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8DC1" w14:textId="7866FF52" w:rsidR="00BB5C22" w:rsidRDefault="00C25C1A" w:rsidP="00D840B6">
      <w:pPr>
        <w:pStyle w:val="Heading-Appendix"/>
      </w:pPr>
      <w:r>
        <w:t>Inquiry framework for assessing the 2018 reforms and alternative</w:t>
      </w:r>
      <w:r w:rsidR="00CC0744">
        <w:t xml:space="preserve"> </w:t>
      </w:r>
      <w:r>
        <w:t>di</w:t>
      </w:r>
      <w:r w:rsidR="00174143">
        <w:t>s</w:t>
      </w:r>
      <w:r>
        <w:t xml:space="preserve">tribution arrangements </w:t>
      </w:r>
    </w:p>
    <w:p w14:paraId="75E80F43" w14:textId="484086EF" w:rsidR="000A3D27" w:rsidRPr="000A3D27" w:rsidRDefault="0013439C" w:rsidP="000A3D27">
      <w:pPr>
        <w:pStyle w:val="Heading2-Appendix"/>
      </w:pPr>
      <w:r>
        <w:t xml:space="preserve">The </w:t>
      </w:r>
      <w:r w:rsidR="00672FDD">
        <w:t>i</w:t>
      </w:r>
      <w:r>
        <w:t xml:space="preserve">nquiry’s ToR establishes several </w:t>
      </w:r>
      <w:r w:rsidR="00044402" w:rsidRPr="00044402">
        <w:t xml:space="preserve">policy goals for the GST distribution </w:t>
      </w:r>
      <w:r w:rsidR="00044402">
        <w:t>system</w:t>
      </w:r>
      <w:r>
        <w:t xml:space="preserve"> </w:t>
      </w:r>
    </w:p>
    <w:p w14:paraId="044CB734" w14:textId="718D994F" w:rsidR="002121BC" w:rsidRDefault="002121BC" w:rsidP="002121BC">
      <w:pPr>
        <w:pStyle w:val="BodyText"/>
      </w:pPr>
      <w:r>
        <w:t xml:space="preserve">The inquiry’s </w:t>
      </w:r>
      <w:r w:rsidR="00672FDD">
        <w:t>t</w:t>
      </w:r>
      <w:r>
        <w:t xml:space="preserve">erms of </w:t>
      </w:r>
      <w:r w:rsidR="00672FDD">
        <w:t>r</w:t>
      </w:r>
      <w:r>
        <w:t xml:space="preserve">eference (ToR) established </w:t>
      </w:r>
      <w:r w:rsidR="0081018D">
        <w:t xml:space="preserve">4 </w:t>
      </w:r>
      <w:r>
        <w:t>criteria by which the 2018 reforms, and alternative arrangements considered by the inquiry, were to be assessed. These criteria can be broadly summari</w:t>
      </w:r>
      <w:r w:rsidR="00BA0282">
        <w:t>s</w:t>
      </w:r>
      <w:r>
        <w:t>ed as equity, efficiency, fiscal sustainability, and certainty, identified in the ToR:</w:t>
      </w:r>
    </w:p>
    <w:p w14:paraId="0E1CF2A0" w14:textId="26F0E43F" w:rsidR="002121BC" w:rsidRPr="00DC71DA" w:rsidRDefault="00BA0282" w:rsidP="00DC71DA">
      <w:pPr>
        <w:pStyle w:val="QuoteBullet"/>
      </w:pPr>
      <w:r>
        <w:rPr>
          <w:b/>
          <w:bCs/>
        </w:rPr>
        <w:t>e</w:t>
      </w:r>
      <w:r w:rsidR="002121BC" w:rsidRPr="00FA3DB1">
        <w:rPr>
          <w:b/>
          <w:bCs/>
        </w:rPr>
        <w:t>quity</w:t>
      </w:r>
      <w:r w:rsidR="002121BC">
        <w:t xml:space="preserve"> </w:t>
      </w:r>
      <w:r w:rsidR="00FA3DB1">
        <w:t>–</w:t>
      </w:r>
      <w:r w:rsidR="002121BC">
        <w:t xml:space="preserve"> </w:t>
      </w:r>
      <w:r w:rsidR="00882098">
        <w:t>d</w:t>
      </w:r>
      <w:r w:rsidR="002121BC">
        <w:t xml:space="preserve">elivering </w:t>
      </w:r>
      <w:r w:rsidR="002121BC" w:rsidRPr="00DC71DA">
        <w:t>a reasonable level of horizontal fiscal equalisation</w:t>
      </w:r>
    </w:p>
    <w:p w14:paraId="0794A877" w14:textId="20644B90" w:rsidR="002121BC" w:rsidRPr="00DC71DA" w:rsidRDefault="00BA0282" w:rsidP="00DC71DA">
      <w:pPr>
        <w:pStyle w:val="QuoteBullet"/>
      </w:pPr>
      <w:r w:rsidRPr="00DC71DA">
        <w:rPr>
          <w:b/>
          <w:bCs/>
        </w:rPr>
        <w:t>e</w:t>
      </w:r>
      <w:r w:rsidR="002121BC" w:rsidRPr="00DC71DA">
        <w:rPr>
          <w:b/>
          <w:bCs/>
        </w:rPr>
        <w:t>fficiency</w:t>
      </w:r>
      <w:r w:rsidR="002121BC" w:rsidRPr="00DC71DA">
        <w:t xml:space="preserve"> – </w:t>
      </w:r>
      <w:r w:rsidR="00882098" w:rsidRPr="00DC71DA">
        <w:t>s</w:t>
      </w:r>
      <w:r w:rsidR="002121BC" w:rsidRPr="00DC71DA">
        <w:t>upporting states and territories to pursue reforms, including to the efficiency of service delivery and state and territory revenue bases</w:t>
      </w:r>
    </w:p>
    <w:p w14:paraId="6D0F8384" w14:textId="30F61C35" w:rsidR="002121BC" w:rsidRPr="00DC71DA" w:rsidRDefault="00BA0282" w:rsidP="00DC71DA">
      <w:pPr>
        <w:pStyle w:val="QuoteBullet"/>
      </w:pPr>
      <w:r w:rsidRPr="00DC71DA">
        <w:rPr>
          <w:b/>
          <w:bCs/>
        </w:rPr>
        <w:t>s</w:t>
      </w:r>
      <w:r w:rsidR="002121BC" w:rsidRPr="00DC71DA">
        <w:rPr>
          <w:b/>
          <w:bCs/>
        </w:rPr>
        <w:t>ustainability</w:t>
      </w:r>
      <w:r w:rsidR="002121BC" w:rsidRPr="00DC71DA">
        <w:t xml:space="preserve"> – </w:t>
      </w:r>
      <w:r w:rsidR="00882098" w:rsidRPr="00DC71DA">
        <w:t>f</w:t>
      </w:r>
      <w:r w:rsidR="002121BC" w:rsidRPr="00DC71DA">
        <w:t>iscally sustainable for the Commonwealth and states and territories</w:t>
      </w:r>
    </w:p>
    <w:p w14:paraId="7F77595B" w14:textId="1C55CF44" w:rsidR="000A3D27" w:rsidRPr="00DC71DA" w:rsidRDefault="00BA0282" w:rsidP="00DC71DA">
      <w:pPr>
        <w:pStyle w:val="QuoteBullet"/>
      </w:pPr>
      <w:r w:rsidRPr="00DC71DA">
        <w:rPr>
          <w:b/>
          <w:bCs/>
        </w:rPr>
        <w:t>c</w:t>
      </w:r>
      <w:r w:rsidR="002121BC" w:rsidRPr="00DC71DA">
        <w:rPr>
          <w:b/>
          <w:bCs/>
        </w:rPr>
        <w:t>ertainty</w:t>
      </w:r>
      <w:r w:rsidR="002121BC" w:rsidRPr="00DC71DA">
        <w:t xml:space="preserve"> – </w:t>
      </w:r>
      <w:r w:rsidR="00882098" w:rsidRPr="00DC71DA">
        <w:t>a</w:t>
      </w:r>
      <w:r w:rsidR="002121BC" w:rsidRPr="00DC71DA">
        <w:t>ppropriately balancing the objective of responsiveness to changing circumstances with the objectives of reducing volatility and improving the certainty of GST revenue streams to support state fiscal planning.</w:t>
      </w:r>
    </w:p>
    <w:p w14:paraId="22D56C58" w14:textId="78EC625E" w:rsidR="00EF53D4" w:rsidRDefault="00EF53D4">
      <w:pPr>
        <w:pStyle w:val="BodyText"/>
        <w:rPr>
          <w:rFonts w:cs="Arial"/>
          <w:lang w:val="en-US"/>
        </w:rPr>
      </w:pPr>
      <w:r w:rsidRPr="61CDF7D2">
        <w:rPr>
          <w:rFonts w:cs="Arial"/>
          <w:lang w:val="en-US"/>
        </w:rPr>
        <w:t>The P</w:t>
      </w:r>
      <w:r w:rsidR="00281D2F">
        <w:rPr>
          <w:rFonts w:cs="Arial"/>
          <w:lang w:val="en-US"/>
        </w:rPr>
        <w:t>roductivity Commission</w:t>
      </w:r>
      <w:r w:rsidR="009E3846">
        <w:rPr>
          <w:rFonts w:cs="Arial"/>
          <w:lang w:val="en-US"/>
        </w:rPr>
        <w:t xml:space="preserve"> </w:t>
      </w:r>
      <w:r>
        <w:rPr>
          <w:rFonts w:cs="Arial"/>
          <w:lang w:val="en-US"/>
        </w:rPr>
        <w:t>considers</w:t>
      </w:r>
      <w:r w:rsidRPr="61CDF7D2">
        <w:rPr>
          <w:rFonts w:cs="Arial"/>
          <w:lang w:val="en-US"/>
        </w:rPr>
        <w:t xml:space="preserve"> that the principal goal of the</w:t>
      </w:r>
      <w:r w:rsidR="0026244D">
        <w:rPr>
          <w:rFonts w:cs="Arial"/>
          <w:lang w:val="en-US"/>
        </w:rPr>
        <w:t xml:space="preserve"> </w:t>
      </w:r>
      <w:r w:rsidR="006348A8">
        <w:rPr>
          <w:rFonts w:cs="Arial"/>
          <w:lang w:val="en-US"/>
        </w:rPr>
        <w:t>GST distribution</w:t>
      </w:r>
      <w:r w:rsidRPr="61CDF7D2">
        <w:rPr>
          <w:rFonts w:cs="Arial"/>
          <w:lang w:val="en-US"/>
        </w:rPr>
        <w:t xml:space="preserve"> system is to drive </w:t>
      </w:r>
      <w:r>
        <w:rPr>
          <w:rFonts w:cs="Arial"/>
          <w:lang w:val="en-US"/>
        </w:rPr>
        <w:t xml:space="preserve">fiscal </w:t>
      </w:r>
      <w:proofErr w:type="spellStart"/>
      <w:r>
        <w:rPr>
          <w:rFonts w:cs="Arial"/>
          <w:lang w:val="en-US"/>
        </w:rPr>
        <w:t>equalisation</w:t>
      </w:r>
      <w:proofErr w:type="spellEnd"/>
      <w:r w:rsidRPr="61CDF7D2">
        <w:rPr>
          <w:rFonts w:cs="Arial"/>
          <w:lang w:val="en-US"/>
        </w:rPr>
        <w:t xml:space="preserve"> between Australia’s </w:t>
      </w:r>
      <w:r>
        <w:rPr>
          <w:rFonts w:cs="Arial"/>
          <w:lang w:val="en-US"/>
        </w:rPr>
        <w:t xml:space="preserve">states </w:t>
      </w:r>
      <w:r w:rsidRPr="61CDF7D2">
        <w:rPr>
          <w:rFonts w:cs="Arial"/>
          <w:lang w:val="en-US"/>
        </w:rPr>
        <w:t xml:space="preserve">and </w:t>
      </w:r>
      <w:r>
        <w:rPr>
          <w:rFonts w:cs="Arial"/>
          <w:lang w:val="en-US"/>
        </w:rPr>
        <w:t xml:space="preserve">territories (hereafter </w:t>
      </w:r>
      <w:r w:rsidR="004C19A7">
        <w:rPr>
          <w:rFonts w:cs="Arial"/>
          <w:lang w:val="en-US"/>
        </w:rPr>
        <w:t>‘</w:t>
      </w:r>
      <w:r>
        <w:rPr>
          <w:rFonts w:cs="Arial"/>
          <w:lang w:val="en-US"/>
        </w:rPr>
        <w:t>states</w:t>
      </w:r>
      <w:r w:rsidR="004C19A7">
        <w:rPr>
          <w:rFonts w:cs="Arial"/>
          <w:lang w:val="en-US"/>
        </w:rPr>
        <w:t>’</w:t>
      </w:r>
      <w:r>
        <w:rPr>
          <w:rFonts w:cs="Arial"/>
          <w:lang w:val="en-US"/>
        </w:rPr>
        <w:t>),</w:t>
      </w:r>
      <w:r w:rsidRPr="61CDF7D2">
        <w:rPr>
          <w:rFonts w:cs="Arial"/>
          <w:lang w:val="en-US"/>
        </w:rPr>
        <w:t xml:space="preserve"> and that it is reasonable to continue doing so </w:t>
      </w:r>
      <w:r>
        <w:rPr>
          <w:rFonts w:cs="Arial"/>
          <w:lang w:val="en-US"/>
        </w:rPr>
        <w:t>un</w:t>
      </w:r>
      <w:r w:rsidR="0062081B">
        <w:rPr>
          <w:rFonts w:cs="Arial"/>
          <w:lang w:val="en-US"/>
        </w:rPr>
        <w:t>less</w:t>
      </w:r>
      <w:r w:rsidRPr="61CDF7D2">
        <w:rPr>
          <w:rFonts w:cs="Arial"/>
          <w:lang w:val="en-US"/>
        </w:rPr>
        <w:t xml:space="preserve"> it presents costly challenges to efficiency, </w:t>
      </w:r>
      <w:r>
        <w:rPr>
          <w:rFonts w:cs="Arial"/>
          <w:lang w:val="en-US"/>
        </w:rPr>
        <w:t xml:space="preserve">fiscal </w:t>
      </w:r>
      <w:r w:rsidRPr="61CDF7D2">
        <w:rPr>
          <w:rFonts w:cs="Arial"/>
          <w:lang w:val="en-US"/>
        </w:rPr>
        <w:t xml:space="preserve">sustainability, </w:t>
      </w:r>
      <w:r>
        <w:rPr>
          <w:rFonts w:cs="Arial"/>
          <w:lang w:val="en-US"/>
        </w:rPr>
        <w:t>or</w:t>
      </w:r>
      <w:r w:rsidRPr="61CDF7D2">
        <w:rPr>
          <w:rFonts w:cs="Arial"/>
          <w:lang w:val="en-US"/>
        </w:rPr>
        <w:t xml:space="preserve"> certainty that cannot be </w:t>
      </w:r>
      <w:r>
        <w:rPr>
          <w:rFonts w:cs="Arial"/>
          <w:lang w:val="en-US"/>
        </w:rPr>
        <w:t>managed</w:t>
      </w:r>
      <w:r w:rsidRPr="61CDF7D2">
        <w:rPr>
          <w:rFonts w:cs="Arial"/>
          <w:lang w:val="en-US"/>
        </w:rPr>
        <w:t xml:space="preserve"> by other policy tools available to governments (section </w:t>
      </w:r>
      <w:r>
        <w:rPr>
          <w:rFonts w:cs="Arial"/>
          <w:lang w:val="en-US"/>
        </w:rPr>
        <w:t>B</w:t>
      </w:r>
      <w:r w:rsidRPr="61CDF7D2">
        <w:rPr>
          <w:rFonts w:cs="Arial"/>
          <w:lang w:val="en-US"/>
        </w:rPr>
        <w:t xml:space="preserve">.2). This serves as the inquiry’s definition of ‘reasonable </w:t>
      </w:r>
      <w:proofErr w:type="spellStart"/>
      <w:r w:rsidRPr="61CDF7D2">
        <w:rPr>
          <w:rFonts w:cs="Arial"/>
          <w:lang w:val="en-US"/>
        </w:rPr>
        <w:t>equali</w:t>
      </w:r>
      <w:r>
        <w:rPr>
          <w:rFonts w:cs="Arial"/>
          <w:lang w:val="en-US"/>
        </w:rPr>
        <w:t>s</w:t>
      </w:r>
      <w:r w:rsidRPr="61CDF7D2">
        <w:rPr>
          <w:rFonts w:cs="Arial"/>
          <w:lang w:val="en-US"/>
        </w:rPr>
        <w:t>ation</w:t>
      </w:r>
      <w:proofErr w:type="spellEnd"/>
      <w:r w:rsidRPr="61CDF7D2">
        <w:rPr>
          <w:rFonts w:cs="Arial"/>
          <w:lang w:val="en-US"/>
        </w:rPr>
        <w:t xml:space="preserve">.’ </w:t>
      </w:r>
    </w:p>
    <w:p w14:paraId="25445967" w14:textId="1EC94F0E" w:rsidR="00EF53D4" w:rsidRPr="00294DD2" w:rsidRDefault="00EF53D4" w:rsidP="00EF53D4">
      <w:pPr>
        <w:pStyle w:val="BodyText"/>
        <w:rPr>
          <w:spacing w:val="-2"/>
          <w:lang w:val="en-US"/>
        </w:rPr>
      </w:pPr>
      <w:r w:rsidRPr="00294DD2">
        <w:rPr>
          <w:rFonts w:cs="Arial"/>
          <w:spacing w:val="-2"/>
          <w:lang w:val="en-US"/>
        </w:rPr>
        <w:t xml:space="preserve">In practice, this means that not all ToR criteria have been </w:t>
      </w:r>
      <w:proofErr w:type="gramStart"/>
      <w:r w:rsidRPr="00294DD2">
        <w:rPr>
          <w:rFonts w:cs="Arial"/>
          <w:spacing w:val="-2"/>
          <w:lang w:val="en-US"/>
        </w:rPr>
        <w:t>weighted</w:t>
      </w:r>
      <w:proofErr w:type="gramEnd"/>
      <w:r w:rsidRPr="00294DD2">
        <w:rPr>
          <w:rFonts w:cs="Arial"/>
          <w:spacing w:val="-2"/>
          <w:lang w:val="en-US"/>
        </w:rPr>
        <w:t xml:space="preserve"> equally when considering alternative arrangements. As one example, because mismatches between yearly revenue and expenses can be managed through government debt issuance, volatility of GST relativities would not be viewed by the PC as a sufficient reason to reduce the degree of </w:t>
      </w:r>
      <w:proofErr w:type="spellStart"/>
      <w:r w:rsidRPr="00294DD2">
        <w:rPr>
          <w:rFonts w:cs="Arial"/>
          <w:spacing w:val="-2"/>
          <w:lang w:val="en-US"/>
        </w:rPr>
        <w:t>equalisation</w:t>
      </w:r>
      <w:proofErr w:type="spellEnd"/>
      <w:r w:rsidRPr="00294DD2">
        <w:rPr>
          <w:rFonts w:cs="Arial"/>
          <w:spacing w:val="-2"/>
          <w:lang w:val="en-US"/>
        </w:rPr>
        <w:t xml:space="preserve"> pursued by the </w:t>
      </w:r>
      <w:r w:rsidR="00875153" w:rsidRPr="00294DD2">
        <w:rPr>
          <w:rFonts w:cs="Arial"/>
          <w:spacing w:val="-2"/>
          <w:lang w:val="en-US"/>
        </w:rPr>
        <w:t xml:space="preserve">HFE </w:t>
      </w:r>
      <w:r w:rsidRPr="00294DD2">
        <w:rPr>
          <w:rFonts w:cs="Arial"/>
          <w:spacing w:val="-2"/>
          <w:lang w:val="en-US"/>
        </w:rPr>
        <w:t xml:space="preserve">system (section B.2). </w:t>
      </w:r>
      <w:r w:rsidRPr="00294DD2">
        <w:rPr>
          <w:rFonts w:cs="Arial"/>
          <w:spacing w:val="-2"/>
        </w:rPr>
        <w:t>Operationalising this</w:t>
      </w:r>
      <w:r w:rsidRPr="00294DD2">
        <w:rPr>
          <w:rFonts w:cs="Arial"/>
          <w:spacing w:val="-2"/>
          <w:lang w:val="en-US"/>
        </w:rPr>
        <w:t xml:space="preserve"> assessment framework has also required that the PC identify metrics that can be used to assess how alternative arrangements perform</w:t>
      </w:r>
      <w:r w:rsidRPr="00294DD2" w:rsidDel="00104E59">
        <w:rPr>
          <w:rFonts w:cs="Arial"/>
          <w:spacing w:val="-2"/>
          <w:lang w:val="en-US"/>
        </w:rPr>
        <w:t xml:space="preserve"> </w:t>
      </w:r>
      <w:r w:rsidRPr="00294DD2">
        <w:rPr>
          <w:rFonts w:cs="Arial"/>
          <w:spacing w:val="-2"/>
          <w:lang w:val="en-US"/>
        </w:rPr>
        <w:t>against each of the criteria (section B.3</w:t>
      </w:r>
      <w:r w:rsidRPr="00294DD2">
        <w:rPr>
          <w:spacing w:val="-2"/>
          <w:lang w:val="en-US"/>
        </w:rPr>
        <w:t>).</w:t>
      </w:r>
    </w:p>
    <w:p w14:paraId="32826038" w14:textId="648EBD59" w:rsidR="001273DA" w:rsidRPr="001273DA" w:rsidRDefault="001273DA" w:rsidP="001273DA">
      <w:pPr>
        <w:pStyle w:val="Heading2-Appendix"/>
      </w:pPr>
      <w:r w:rsidRPr="001273DA">
        <w:t>Defining elements of the framework</w:t>
      </w:r>
    </w:p>
    <w:p w14:paraId="53651949" w14:textId="691C6F5C" w:rsidR="00CF7844" w:rsidRPr="00DE68DD" w:rsidRDefault="00CF7844" w:rsidP="00CF7844">
      <w:pPr>
        <w:pStyle w:val="BodyText"/>
        <w:rPr>
          <w:spacing w:val="-2"/>
        </w:rPr>
      </w:pPr>
      <w:r w:rsidRPr="00DE68DD">
        <w:rPr>
          <w:spacing w:val="-2"/>
        </w:rPr>
        <w:t xml:space="preserve">The PC considers </w:t>
      </w:r>
      <w:r w:rsidR="00625819" w:rsidRPr="00DE68DD">
        <w:rPr>
          <w:spacing w:val="-2"/>
        </w:rPr>
        <w:t xml:space="preserve">that </w:t>
      </w:r>
      <w:r w:rsidRPr="00DE68DD">
        <w:rPr>
          <w:spacing w:val="-2"/>
        </w:rPr>
        <w:t xml:space="preserve">the primary goal of the GST distribution system is to drive fiscal equalisation between Australia’s states. The primacy of fiscal equalisation for the GST distribution system is consistent with the </w:t>
      </w:r>
      <w:r w:rsidRPr="00DE68DD">
        <w:rPr>
          <w:i/>
          <w:iCs/>
          <w:spacing w:val="-2"/>
        </w:rPr>
        <w:t>Commonwealth Grants Commission Act 1973</w:t>
      </w:r>
      <w:r w:rsidR="00DE68DD" w:rsidRPr="00DE68DD">
        <w:rPr>
          <w:i/>
          <w:iCs/>
          <w:spacing w:val="-2"/>
        </w:rPr>
        <w:t xml:space="preserve"> </w:t>
      </w:r>
      <w:r w:rsidR="00DE68DD" w:rsidRPr="00DE68DD">
        <w:rPr>
          <w:spacing w:val="-2"/>
        </w:rPr>
        <w:t>(</w:t>
      </w:r>
      <w:proofErr w:type="spellStart"/>
      <w:r w:rsidR="00DE68DD" w:rsidRPr="00DE68DD">
        <w:rPr>
          <w:spacing w:val="-2"/>
        </w:rPr>
        <w:t>Cth</w:t>
      </w:r>
      <w:proofErr w:type="spellEnd"/>
      <w:r w:rsidR="00DE68DD" w:rsidRPr="00DE68DD">
        <w:rPr>
          <w:spacing w:val="-2"/>
        </w:rPr>
        <w:t>)</w:t>
      </w:r>
      <w:r w:rsidRPr="00DE68DD">
        <w:rPr>
          <w:spacing w:val="-2"/>
        </w:rPr>
        <w:t>, and the</w:t>
      </w:r>
      <w:r w:rsidR="004E6F1C" w:rsidRPr="00DE68DD">
        <w:rPr>
          <w:spacing w:val="-2"/>
        </w:rPr>
        <w:t xml:space="preserve"> </w:t>
      </w:r>
      <w:r w:rsidR="004E6F1C" w:rsidRPr="00DE68DD">
        <w:rPr>
          <w:i/>
          <w:iCs/>
          <w:spacing w:val="-2"/>
        </w:rPr>
        <w:t>Intergovernmental Financial Agreement</w:t>
      </w:r>
      <w:r w:rsidR="004E6F1C" w:rsidRPr="00DE68DD">
        <w:rPr>
          <w:spacing w:val="-2"/>
        </w:rPr>
        <w:t xml:space="preserve"> </w:t>
      </w:r>
      <w:r w:rsidR="00E773F9" w:rsidRPr="00DE68DD">
        <w:rPr>
          <w:spacing w:val="-2"/>
        </w:rPr>
        <w:t>at the time of the introduction of the GST</w:t>
      </w:r>
      <w:r w:rsidRPr="00DE68DD">
        <w:rPr>
          <w:spacing w:val="-2"/>
        </w:rPr>
        <w:t xml:space="preserve"> </w:t>
      </w:r>
      <w:r w:rsidR="004E0970" w:rsidRPr="00DE68DD">
        <w:rPr>
          <w:i/>
          <w:iCs/>
          <w:spacing w:val="-2"/>
        </w:rPr>
        <w:fldChar w:fldCharType="begin"/>
      </w:r>
      <w:r w:rsidR="00114402" w:rsidRPr="00DE68DD">
        <w:rPr>
          <w:i/>
          <w:iCs/>
          <w:spacing w:val="-2"/>
        </w:rPr>
        <w:instrText xml:space="preserve"> ADDIN ZOTERO_ITEM CSL_CITATION {"citationID":"5Mp1Fm6k","properties":{"formattedCitation":"(Australian Government Department of the Treasury\\uc0\\u160{}2022)","plainCitation":"(Australian Government Department of the Treasury 2022)","dontUpdate":true,"noteIndex":0},"citationItems":[{"id":6855,"uris":["http://zotero.org/groups/6174966/items/UPUWYKG2"],"itemData":{"id":6855,"type":"report","title":"Intergovernmental Agreement on Federal Financial Relations (IGA FFR)","URL":"https://federalfinancialrelations.gov.au/sites/federalfinancialrelations.gov.au/files/2022-11/intergovernmental-agreement-on-federal-financial-relations.pdf","author":[{"literal":"Australian Government Department of the Treasury"}],"issued":{"date-parts":[["2022"]]}}}],"schema":"https://github.com/citation-style-language/schema/raw/master/csl-citation.json"} </w:instrText>
      </w:r>
      <w:r w:rsidR="004E0970" w:rsidRPr="00DE68DD">
        <w:rPr>
          <w:i/>
          <w:iCs/>
          <w:spacing w:val="-2"/>
        </w:rPr>
        <w:fldChar w:fldCharType="separate"/>
      </w:r>
      <w:r w:rsidR="004E0970" w:rsidRPr="00DE68DD">
        <w:rPr>
          <w:rFonts w:cs="Open Sans"/>
          <w:spacing w:val="-2"/>
        </w:rPr>
        <w:t>(</w:t>
      </w:r>
      <w:r w:rsidR="00D57EE2" w:rsidRPr="00DE68DD">
        <w:rPr>
          <w:rFonts w:cs="Open Sans"/>
          <w:spacing w:val="-2"/>
        </w:rPr>
        <w:t>Intergovernmental Financial Agreement</w:t>
      </w:r>
      <w:r w:rsidR="004E0970" w:rsidRPr="00DE68DD">
        <w:rPr>
          <w:rFonts w:cs="Open Sans"/>
          <w:spacing w:val="-2"/>
        </w:rPr>
        <w:t>)</w:t>
      </w:r>
      <w:r w:rsidR="004E0970" w:rsidRPr="00DE68DD">
        <w:rPr>
          <w:i/>
          <w:iCs/>
          <w:spacing w:val="-2"/>
        </w:rPr>
        <w:fldChar w:fldCharType="end"/>
      </w:r>
      <w:r w:rsidRPr="00DE68DD">
        <w:rPr>
          <w:spacing w:val="-2"/>
        </w:rPr>
        <w:t xml:space="preserve">. Fiscal equalisation was </w:t>
      </w:r>
      <w:r w:rsidRPr="00DE68DD">
        <w:rPr>
          <w:spacing w:val="-2"/>
        </w:rPr>
        <w:lastRenderedPageBreak/>
        <w:t xml:space="preserve">also generally supported by </w:t>
      </w:r>
      <w:r w:rsidR="00EE5993" w:rsidRPr="00DE68DD">
        <w:rPr>
          <w:spacing w:val="-2"/>
        </w:rPr>
        <w:t xml:space="preserve">state </w:t>
      </w:r>
      <w:r w:rsidRPr="00DE68DD">
        <w:rPr>
          <w:spacing w:val="-2"/>
        </w:rPr>
        <w:t>submissions to the inquiry, though some states had different views on what considerations should constrain equalisation,</w:t>
      </w:r>
      <w:r w:rsidR="009B6900" w:rsidRPr="00DE68DD">
        <w:rPr>
          <w:rStyle w:val="FootnoteReference"/>
          <w:spacing w:val="-2"/>
        </w:rPr>
        <w:footnoteReference w:id="2"/>
      </w:r>
      <w:r w:rsidRPr="00DE68DD">
        <w:rPr>
          <w:spacing w:val="-2"/>
        </w:rPr>
        <w:t xml:space="preserve"> and who should pay for that equalisation.</w:t>
      </w:r>
      <w:r w:rsidR="00DF7736" w:rsidRPr="00DE68DD">
        <w:rPr>
          <w:rStyle w:val="FootnoteReference"/>
          <w:spacing w:val="-2"/>
        </w:rPr>
        <w:footnoteReference w:id="3"/>
      </w:r>
    </w:p>
    <w:p w14:paraId="492FC3FC" w14:textId="66F4382C" w:rsidR="00B33BD8" w:rsidRDefault="00B33BD8">
      <w:pPr>
        <w:pStyle w:val="BodyText"/>
        <w:rPr>
          <w:rFonts w:cs="Arial"/>
          <w:lang w:val="en-US"/>
        </w:rPr>
      </w:pPr>
      <w:r>
        <w:rPr>
          <w:rFonts w:cs="Arial"/>
          <w:lang w:val="en-US"/>
        </w:rPr>
        <w:t xml:space="preserve">As set out in the definition of reasonable </w:t>
      </w:r>
      <w:proofErr w:type="spellStart"/>
      <w:r>
        <w:rPr>
          <w:rFonts w:cs="Arial"/>
          <w:lang w:val="en-US"/>
        </w:rPr>
        <w:t>equali</w:t>
      </w:r>
      <w:r w:rsidR="00F61C54">
        <w:rPr>
          <w:rFonts w:cs="Arial"/>
          <w:lang w:val="en-US"/>
        </w:rPr>
        <w:t>s</w:t>
      </w:r>
      <w:r>
        <w:rPr>
          <w:rFonts w:cs="Arial"/>
          <w:lang w:val="en-US"/>
        </w:rPr>
        <w:t>ation</w:t>
      </w:r>
      <w:proofErr w:type="spellEnd"/>
      <w:r>
        <w:rPr>
          <w:rFonts w:cs="Arial"/>
          <w:lang w:val="en-US"/>
        </w:rPr>
        <w:t xml:space="preserve">, the extent to which other </w:t>
      </w:r>
      <w:r w:rsidRPr="005D2394">
        <w:rPr>
          <w:rFonts w:cs="Arial"/>
          <w:lang w:val="en-US"/>
        </w:rPr>
        <w:t xml:space="preserve">goals are </w:t>
      </w:r>
      <w:r>
        <w:rPr>
          <w:rFonts w:cs="Arial"/>
          <w:lang w:val="en-US"/>
        </w:rPr>
        <w:t xml:space="preserve">pursued by </w:t>
      </w:r>
      <w:r w:rsidRPr="005D2394">
        <w:rPr>
          <w:rFonts w:cs="Arial"/>
          <w:lang w:val="en-US"/>
        </w:rPr>
        <w:t xml:space="preserve">the GST distribution system </w:t>
      </w:r>
      <w:r>
        <w:rPr>
          <w:rFonts w:cs="Arial"/>
          <w:lang w:val="en-US"/>
        </w:rPr>
        <w:t xml:space="preserve">partly </w:t>
      </w:r>
      <w:r w:rsidRPr="005D2394">
        <w:rPr>
          <w:rFonts w:cs="Arial"/>
          <w:lang w:val="en-US"/>
        </w:rPr>
        <w:t xml:space="preserve">depends on the availability of other policy </w:t>
      </w:r>
      <w:r>
        <w:rPr>
          <w:rFonts w:cs="Arial"/>
          <w:lang w:val="en-US"/>
        </w:rPr>
        <w:t>tools</w:t>
      </w:r>
      <w:r w:rsidRPr="005D2394">
        <w:rPr>
          <w:rFonts w:cs="Arial"/>
          <w:lang w:val="en-US"/>
        </w:rPr>
        <w:t xml:space="preserve"> to achieve the</w:t>
      </w:r>
      <w:r>
        <w:rPr>
          <w:rFonts w:cs="Arial"/>
          <w:lang w:val="en-US"/>
        </w:rPr>
        <w:t>m</w:t>
      </w:r>
      <w:r w:rsidRPr="005D2394">
        <w:rPr>
          <w:rFonts w:cs="Arial"/>
          <w:lang w:val="en-US"/>
        </w:rPr>
        <w:t xml:space="preserve">. Using a </w:t>
      </w:r>
      <w:r w:rsidRPr="005D2394">
        <w:rPr>
          <w:rFonts w:cs="Arial"/>
          <w:i/>
          <w:iCs/>
          <w:lang w:val="en-US"/>
        </w:rPr>
        <w:t xml:space="preserve">Tinbergen </w:t>
      </w:r>
      <w:proofErr w:type="gramStart"/>
      <w:r w:rsidRPr="005D2394">
        <w:rPr>
          <w:rFonts w:cs="Arial"/>
          <w:i/>
          <w:iCs/>
          <w:lang w:val="en-US"/>
        </w:rPr>
        <w:t>Principle</w:t>
      </w:r>
      <w:proofErr w:type="gramEnd"/>
      <w:r w:rsidRPr="005D2394">
        <w:rPr>
          <w:rFonts w:cs="Arial"/>
          <w:lang w:val="en-US"/>
        </w:rPr>
        <w:t xml:space="preserve"> lens</w:t>
      </w:r>
      <w:r>
        <w:rPr>
          <w:rFonts w:cs="Arial"/>
          <w:lang w:val="en-US"/>
        </w:rPr>
        <w:t>,</w:t>
      </w:r>
      <w:r w:rsidRPr="005D2394">
        <w:rPr>
          <w:rFonts w:cs="Arial"/>
          <w:lang w:val="en-US"/>
        </w:rPr>
        <w:t xml:space="preserve"> each policy </w:t>
      </w:r>
      <w:r>
        <w:rPr>
          <w:rFonts w:cs="Arial"/>
          <w:lang w:val="en-US"/>
        </w:rPr>
        <w:t xml:space="preserve">tool </w:t>
      </w:r>
      <w:r w:rsidRPr="005D2394">
        <w:rPr>
          <w:rFonts w:cs="Arial"/>
          <w:lang w:val="en-US"/>
        </w:rPr>
        <w:t xml:space="preserve">should principally focus on </w:t>
      </w:r>
      <w:r>
        <w:rPr>
          <w:rFonts w:cs="Arial"/>
          <w:lang w:val="en-US"/>
        </w:rPr>
        <w:t>one</w:t>
      </w:r>
      <w:r w:rsidRPr="005D2394">
        <w:rPr>
          <w:rFonts w:cs="Arial"/>
          <w:lang w:val="en-US"/>
        </w:rPr>
        <w:t xml:space="preserve"> goal</w:t>
      </w:r>
      <w:r>
        <w:rPr>
          <w:rFonts w:cs="Arial"/>
          <w:lang w:val="en-US"/>
        </w:rPr>
        <w:t>. T</w:t>
      </w:r>
      <w:r w:rsidRPr="005D2394">
        <w:rPr>
          <w:rFonts w:cs="Arial"/>
          <w:lang w:val="en-US"/>
        </w:rPr>
        <w:t xml:space="preserve">he </w:t>
      </w:r>
      <w:r>
        <w:rPr>
          <w:rFonts w:cs="Arial"/>
          <w:lang w:val="en-US"/>
        </w:rPr>
        <w:t>PC</w:t>
      </w:r>
      <w:r w:rsidRPr="005D2394">
        <w:rPr>
          <w:rFonts w:cs="Arial"/>
          <w:lang w:val="en-US"/>
        </w:rPr>
        <w:t xml:space="preserve"> is mindful </w:t>
      </w:r>
      <w:r>
        <w:rPr>
          <w:rFonts w:cs="Arial"/>
          <w:lang w:val="en-US"/>
        </w:rPr>
        <w:t xml:space="preserve">that </w:t>
      </w:r>
      <w:r w:rsidR="00457CA0">
        <w:rPr>
          <w:rFonts w:cs="Arial"/>
          <w:lang w:val="en-US"/>
        </w:rPr>
        <w:t xml:space="preserve">Australia’s </w:t>
      </w:r>
      <w:r w:rsidR="002C1EA6">
        <w:rPr>
          <w:rFonts w:cs="Arial"/>
          <w:lang w:val="en-US"/>
        </w:rPr>
        <w:t xml:space="preserve">HFE </w:t>
      </w:r>
      <w:r w:rsidR="00457CA0">
        <w:rPr>
          <w:rFonts w:cs="Arial"/>
          <w:lang w:val="en-US"/>
        </w:rPr>
        <w:t>system</w:t>
      </w:r>
      <w:r w:rsidRPr="005D2394">
        <w:rPr>
          <w:rFonts w:cs="Arial"/>
          <w:lang w:val="en-US"/>
        </w:rPr>
        <w:t xml:space="preserve"> </w:t>
      </w:r>
      <w:r>
        <w:rPr>
          <w:rFonts w:cs="Arial"/>
          <w:lang w:val="en-US"/>
        </w:rPr>
        <w:t xml:space="preserve">should not be tasked with trying </w:t>
      </w:r>
      <w:r w:rsidRPr="005D2394">
        <w:rPr>
          <w:rFonts w:cs="Arial"/>
          <w:lang w:val="en-US"/>
        </w:rPr>
        <w:t xml:space="preserve">to achieve too </w:t>
      </w:r>
      <w:r>
        <w:rPr>
          <w:rFonts w:cs="Arial"/>
          <w:lang w:val="en-US"/>
        </w:rPr>
        <w:t>many policy objectives, where other policy tools are available to target these other goals</w:t>
      </w:r>
      <w:r w:rsidRPr="005D2394">
        <w:rPr>
          <w:rFonts w:cs="Arial"/>
          <w:lang w:val="en-US"/>
        </w:rPr>
        <w:t xml:space="preserve">. </w:t>
      </w:r>
      <w:r>
        <w:rPr>
          <w:rFonts w:cs="Arial"/>
          <w:lang w:val="en-US"/>
        </w:rPr>
        <w:t xml:space="preserve">Asking a single policy tool to target too many goals runs the risk that none of the goals will be achieved particularly well. </w:t>
      </w:r>
    </w:p>
    <w:p w14:paraId="487E8552" w14:textId="611575AF" w:rsidR="00B33BD8" w:rsidRPr="000B4F19" w:rsidRDefault="00B33BD8">
      <w:pPr>
        <w:pStyle w:val="BodyText"/>
        <w:rPr>
          <w:rFonts w:cs="Arial"/>
        </w:rPr>
      </w:pPr>
      <w:r>
        <w:rPr>
          <w:rFonts w:cs="Arial"/>
        </w:rPr>
        <w:t>More broadly, a</w:t>
      </w:r>
      <w:r w:rsidRPr="00AE7E35">
        <w:rPr>
          <w:rFonts w:cs="Arial"/>
        </w:rPr>
        <w:t>sking the GST system to pursue additional objectives</w:t>
      </w:r>
      <w:r w:rsidR="006636E1" w:rsidRPr="005D2394">
        <w:rPr>
          <w:rFonts w:cs="Arial"/>
          <w:lang w:val="en-US"/>
        </w:rPr>
        <w:t xml:space="preserve"> </w:t>
      </w:r>
      <w:r w:rsidR="006636E1">
        <w:rPr>
          <w:rFonts w:cs="Arial"/>
          <w:lang w:val="en-US"/>
        </w:rPr>
        <w:t xml:space="preserve">– </w:t>
      </w:r>
      <w:r w:rsidRPr="00AE7E35">
        <w:rPr>
          <w:rFonts w:cs="Arial"/>
        </w:rPr>
        <w:t xml:space="preserve">such as </w:t>
      </w:r>
      <w:r>
        <w:rPr>
          <w:rFonts w:cs="Arial"/>
        </w:rPr>
        <w:t xml:space="preserve">actively </w:t>
      </w:r>
      <w:r w:rsidRPr="00AE7E35">
        <w:rPr>
          <w:rFonts w:cs="Arial"/>
        </w:rPr>
        <w:t xml:space="preserve">encouraging states to undertake policy reform or actively addressing </w:t>
      </w:r>
      <w:proofErr w:type="gramStart"/>
      <w:r w:rsidRPr="00AE7E35">
        <w:rPr>
          <w:rFonts w:cs="Arial"/>
        </w:rPr>
        <w:t>particular sources</w:t>
      </w:r>
      <w:proofErr w:type="gramEnd"/>
      <w:r w:rsidRPr="00AE7E35">
        <w:rPr>
          <w:rFonts w:cs="Arial"/>
        </w:rPr>
        <w:t xml:space="preserve"> of entrenched disadvantage</w:t>
      </w:r>
      <w:r w:rsidR="006636E1" w:rsidRPr="005D2394">
        <w:rPr>
          <w:rFonts w:cs="Arial"/>
          <w:lang w:val="en-US"/>
        </w:rPr>
        <w:t xml:space="preserve"> </w:t>
      </w:r>
      <w:r w:rsidR="006636E1">
        <w:rPr>
          <w:rFonts w:cs="Arial"/>
          <w:lang w:val="en-US"/>
        </w:rPr>
        <w:t xml:space="preserve">– </w:t>
      </w:r>
      <w:r w:rsidRPr="00AE7E35">
        <w:rPr>
          <w:rFonts w:cs="Arial"/>
        </w:rPr>
        <w:t xml:space="preserve">risks diluting its effectiveness in delivering on its primary </w:t>
      </w:r>
      <w:r>
        <w:rPr>
          <w:rFonts w:cs="Arial"/>
        </w:rPr>
        <w:t>fiscal equalisation</w:t>
      </w:r>
      <w:r w:rsidRPr="00AE7E35">
        <w:rPr>
          <w:rFonts w:cs="Arial"/>
        </w:rPr>
        <w:t xml:space="preserve"> goal. </w:t>
      </w:r>
      <w:r>
        <w:rPr>
          <w:rFonts w:cs="Arial"/>
        </w:rPr>
        <w:t xml:space="preserve">For </w:t>
      </w:r>
      <w:r w:rsidRPr="00AE7E35">
        <w:rPr>
          <w:rFonts w:cs="Arial"/>
        </w:rPr>
        <w:t xml:space="preserve">example, adjusting the </w:t>
      </w:r>
      <w:r>
        <w:rPr>
          <w:rFonts w:cs="Arial"/>
        </w:rPr>
        <w:t xml:space="preserve">equalisation </w:t>
      </w:r>
      <w:r w:rsidRPr="00AE7E35">
        <w:rPr>
          <w:rFonts w:cs="Arial"/>
        </w:rPr>
        <w:t xml:space="preserve">formula to directly reward </w:t>
      </w:r>
      <w:r w:rsidRPr="00DC31ED">
        <w:rPr>
          <w:rFonts w:cs="Arial"/>
        </w:rPr>
        <w:t>or punish</w:t>
      </w:r>
      <w:r>
        <w:rPr>
          <w:rFonts w:cs="Arial"/>
        </w:rPr>
        <w:t xml:space="preserve"> </w:t>
      </w:r>
      <w:r w:rsidRPr="00AE7E35">
        <w:rPr>
          <w:rFonts w:cs="Arial"/>
        </w:rPr>
        <w:t xml:space="preserve">states for taking </w:t>
      </w:r>
      <w:proofErr w:type="gramStart"/>
      <w:r w:rsidRPr="00AE7E35">
        <w:rPr>
          <w:rFonts w:cs="Arial"/>
        </w:rPr>
        <w:t>particular policy</w:t>
      </w:r>
      <w:proofErr w:type="gramEnd"/>
      <w:r w:rsidRPr="00AE7E35">
        <w:rPr>
          <w:rFonts w:cs="Arial"/>
        </w:rPr>
        <w:t xml:space="preserve"> actions would </w:t>
      </w:r>
      <w:r w:rsidR="00AD2A46">
        <w:rPr>
          <w:rFonts w:cs="Arial"/>
        </w:rPr>
        <w:t>deviate</w:t>
      </w:r>
      <w:r>
        <w:rPr>
          <w:rFonts w:cs="Arial"/>
        </w:rPr>
        <w:t xml:space="preserve"> </w:t>
      </w:r>
      <w:r w:rsidRPr="00AE7E35">
        <w:rPr>
          <w:rFonts w:cs="Arial"/>
        </w:rPr>
        <w:t xml:space="preserve">from HFE if they were to principally go to states with higher fiscal capacity than others. For this reason, </w:t>
      </w:r>
      <w:r>
        <w:rPr>
          <w:rFonts w:cs="Arial"/>
        </w:rPr>
        <w:t xml:space="preserve">governments wishing to pursue </w:t>
      </w:r>
      <w:r w:rsidRPr="00AE7E35">
        <w:rPr>
          <w:rFonts w:cs="Arial"/>
        </w:rPr>
        <w:t xml:space="preserve">these </w:t>
      </w:r>
      <w:r>
        <w:rPr>
          <w:rFonts w:cs="Arial"/>
        </w:rPr>
        <w:t xml:space="preserve">other </w:t>
      </w:r>
      <w:r w:rsidRPr="00AE7E35">
        <w:rPr>
          <w:rFonts w:cs="Arial"/>
        </w:rPr>
        <w:t xml:space="preserve">objectives </w:t>
      </w:r>
      <w:r>
        <w:rPr>
          <w:rFonts w:cs="Arial"/>
        </w:rPr>
        <w:t>are likely to be able to do so</w:t>
      </w:r>
      <w:r w:rsidRPr="00AE7E35" w:rsidDel="00433BD5">
        <w:rPr>
          <w:rFonts w:cs="Arial"/>
        </w:rPr>
        <w:t xml:space="preserve"> </w:t>
      </w:r>
      <w:r w:rsidRPr="00AE7E35">
        <w:rPr>
          <w:rFonts w:cs="Arial"/>
        </w:rPr>
        <w:t xml:space="preserve">more </w:t>
      </w:r>
      <w:r w:rsidR="00D42F39" w:rsidRPr="00AE7E35">
        <w:rPr>
          <w:rFonts w:cs="Arial"/>
        </w:rPr>
        <w:t xml:space="preserve">effectively </w:t>
      </w:r>
      <w:r w:rsidR="00D42F39">
        <w:rPr>
          <w:rFonts w:cs="Arial"/>
        </w:rPr>
        <w:t>by</w:t>
      </w:r>
      <w:r>
        <w:rPr>
          <w:rFonts w:cs="Arial"/>
        </w:rPr>
        <w:t xml:space="preserve"> using</w:t>
      </w:r>
      <w:r w:rsidRPr="00AE7E35">
        <w:rPr>
          <w:rFonts w:cs="Arial"/>
        </w:rPr>
        <w:t xml:space="preserve"> </w:t>
      </w:r>
      <w:r>
        <w:rPr>
          <w:rFonts w:cs="Arial"/>
        </w:rPr>
        <w:t>other</w:t>
      </w:r>
      <w:r w:rsidRPr="00AE7E35">
        <w:rPr>
          <w:rFonts w:cs="Arial"/>
        </w:rPr>
        <w:t xml:space="preserve"> policy instruments, such as tied grants from the </w:t>
      </w:r>
      <w:r w:rsidR="005D141B">
        <w:rPr>
          <w:rFonts w:cs="Arial"/>
        </w:rPr>
        <w:t>Australian Government</w:t>
      </w:r>
      <w:r w:rsidRPr="00AE7E35">
        <w:rPr>
          <w:rFonts w:cs="Arial"/>
        </w:rPr>
        <w:t xml:space="preserve">, which can be more directly linked to reform </w:t>
      </w:r>
      <w:r>
        <w:rPr>
          <w:rFonts w:cs="Arial"/>
        </w:rPr>
        <w:t xml:space="preserve">actions and </w:t>
      </w:r>
      <w:r w:rsidRPr="00AE7E35">
        <w:rPr>
          <w:rFonts w:cs="Arial"/>
        </w:rPr>
        <w:t>outcomes.</w:t>
      </w:r>
    </w:p>
    <w:p w14:paraId="64A45F19" w14:textId="0E9E2AC3" w:rsidR="00B33BD8" w:rsidRPr="00B33BD8" w:rsidRDefault="00B33BD8" w:rsidP="00CF7844">
      <w:pPr>
        <w:pStyle w:val="BodyText"/>
        <w:rPr>
          <w:rFonts w:cs="Arial"/>
        </w:rPr>
      </w:pPr>
      <w:r w:rsidRPr="005D2394">
        <w:rPr>
          <w:rFonts w:cs="Arial"/>
          <w:lang w:val="en-US"/>
        </w:rPr>
        <w:t xml:space="preserve">Given that the primary objective of the GST system is to drive </w:t>
      </w:r>
      <w:r>
        <w:rPr>
          <w:rFonts w:cs="Arial"/>
          <w:lang w:val="en-US"/>
        </w:rPr>
        <w:t xml:space="preserve">fiscal </w:t>
      </w:r>
      <w:proofErr w:type="spellStart"/>
      <w:r>
        <w:rPr>
          <w:rFonts w:cs="Arial"/>
          <w:lang w:val="en-US"/>
        </w:rPr>
        <w:t>equalisation</w:t>
      </w:r>
      <w:proofErr w:type="spellEnd"/>
      <w:r w:rsidRPr="005D2394">
        <w:rPr>
          <w:rFonts w:cs="Arial"/>
          <w:lang w:val="en-US"/>
        </w:rPr>
        <w:t xml:space="preserve">, the goals of efficiency, </w:t>
      </w:r>
      <w:r>
        <w:rPr>
          <w:rFonts w:cs="Arial"/>
          <w:lang w:val="en-US"/>
        </w:rPr>
        <w:t>fiscal</w:t>
      </w:r>
      <w:r w:rsidRPr="005D2394">
        <w:rPr>
          <w:rFonts w:cs="Arial"/>
          <w:lang w:val="en-US"/>
        </w:rPr>
        <w:t xml:space="preserve"> sustainability, and certainty </w:t>
      </w:r>
      <w:r>
        <w:rPr>
          <w:rFonts w:cs="Arial"/>
          <w:lang w:val="en-US"/>
        </w:rPr>
        <w:t>– whilst certainly being important objectives in their own right</w:t>
      </w:r>
      <w:r w:rsidR="00BC022C" w:rsidRPr="005D2394">
        <w:rPr>
          <w:rFonts w:cs="Arial"/>
          <w:lang w:val="en-US"/>
        </w:rPr>
        <w:t xml:space="preserve"> </w:t>
      </w:r>
      <w:r w:rsidR="00BC022C">
        <w:rPr>
          <w:rFonts w:cs="Arial"/>
          <w:lang w:val="en-US"/>
        </w:rPr>
        <w:t xml:space="preserve">– </w:t>
      </w:r>
      <w:r w:rsidRPr="005D2394">
        <w:rPr>
          <w:rFonts w:cs="Arial"/>
          <w:lang w:val="en-US"/>
        </w:rPr>
        <w:t xml:space="preserve">are regarded as secondary </w:t>
      </w:r>
      <w:r>
        <w:rPr>
          <w:rFonts w:cs="Arial"/>
          <w:lang w:val="en-US"/>
        </w:rPr>
        <w:t xml:space="preserve">considerations for the purposes of </w:t>
      </w:r>
      <w:r w:rsidR="00875153">
        <w:rPr>
          <w:rFonts w:cs="Arial"/>
          <w:lang w:val="en-US"/>
        </w:rPr>
        <w:t>GST distribution system</w:t>
      </w:r>
      <w:r>
        <w:rPr>
          <w:rFonts w:cs="Arial"/>
          <w:lang w:val="en-US"/>
        </w:rPr>
        <w:t>. As a result</w:t>
      </w:r>
      <w:r w:rsidRPr="005D2394">
        <w:rPr>
          <w:rFonts w:cs="Arial"/>
          <w:lang w:val="en-US"/>
        </w:rPr>
        <w:t xml:space="preserve">, the </w:t>
      </w:r>
      <w:r>
        <w:rPr>
          <w:rFonts w:cs="Arial"/>
          <w:lang w:val="en-US"/>
        </w:rPr>
        <w:t>PC</w:t>
      </w:r>
      <w:r w:rsidRPr="005D2394">
        <w:rPr>
          <w:rFonts w:cs="Arial"/>
          <w:lang w:val="en-US"/>
        </w:rPr>
        <w:t xml:space="preserve"> regards </w:t>
      </w:r>
      <w:r>
        <w:rPr>
          <w:rFonts w:cs="Arial"/>
          <w:lang w:val="en-US"/>
        </w:rPr>
        <w:t xml:space="preserve">the </w:t>
      </w:r>
      <w:r w:rsidRPr="005D2394">
        <w:rPr>
          <w:rFonts w:cs="Arial"/>
          <w:lang w:val="en-US"/>
        </w:rPr>
        <w:t xml:space="preserve">reasonable level of </w:t>
      </w:r>
      <w:proofErr w:type="spellStart"/>
      <w:r w:rsidRPr="005D2394">
        <w:rPr>
          <w:rFonts w:cs="Arial"/>
          <w:lang w:val="en-US"/>
        </w:rPr>
        <w:t>equali</w:t>
      </w:r>
      <w:r>
        <w:rPr>
          <w:rFonts w:cs="Arial"/>
          <w:lang w:val="en-US"/>
        </w:rPr>
        <w:t>s</w:t>
      </w:r>
      <w:r w:rsidRPr="005D2394">
        <w:rPr>
          <w:rFonts w:cs="Arial"/>
          <w:lang w:val="en-US"/>
        </w:rPr>
        <w:t>ation</w:t>
      </w:r>
      <w:proofErr w:type="spellEnd"/>
      <w:r w:rsidRPr="005D2394">
        <w:rPr>
          <w:rFonts w:cs="Arial"/>
          <w:lang w:val="en-US"/>
        </w:rPr>
        <w:t xml:space="preserve"> as th</w:t>
      </w:r>
      <w:r>
        <w:rPr>
          <w:rFonts w:cs="Arial"/>
          <w:lang w:val="en-US"/>
        </w:rPr>
        <w:t>e</w:t>
      </w:r>
      <w:r w:rsidR="000721E4">
        <w:rPr>
          <w:rFonts w:cs="Arial"/>
          <w:lang w:val="en-US"/>
        </w:rPr>
        <w:t xml:space="preserve"> highest</w:t>
      </w:r>
      <w:r w:rsidRPr="005D2394">
        <w:rPr>
          <w:rFonts w:cs="Arial"/>
          <w:lang w:val="en-US"/>
        </w:rPr>
        <w:t xml:space="preserve"> </w:t>
      </w:r>
      <w:r>
        <w:rPr>
          <w:rFonts w:cs="Arial"/>
          <w:lang w:val="en-US"/>
        </w:rPr>
        <w:t>degree of</w:t>
      </w:r>
      <w:r w:rsidRPr="005D2394">
        <w:rPr>
          <w:rFonts w:cs="Arial"/>
          <w:lang w:val="en-US"/>
        </w:rPr>
        <w:t xml:space="preserve"> </w:t>
      </w:r>
      <w:proofErr w:type="spellStart"/>
      <w:r w:rsidRPr="005D2394">
        <w:rPr>
          <w:rFonts w:cs="Arial"/>
          <w:lang w:val="en-US"/>
        </w:rPr>
        <w:t>equali</w:t>
      </w:r>
      <w:r>
        <w:rPr>
          <w:rFonts w:cs="Arial"/>
          <w:lang w:val="en-US"/>
        </w:rPr>
        <w:t>s</w:t>
      </w:r>
      <w:r w:rsidRPr="005D2394">
        <w:rPr>
          <w:rFonts w:cs="Arial"/>
          <w:lang w:val="en-US"/>
        </w:rPr>
        <w:t>ation</w:t>
      </w:r>
      <w:proofErr w:type="spellEnd"/>
      <w:r w:rsidRPr="005D2394">
        <w:rPr>
          <w:rFonts w:cs="Arial"/>
          <w:lang w:val="en-US"/>
        </w:rPr>
        <w:t xml:space="preserve"> that can be achieved without </w:t>
      </w:r>
      <w:r>
        <w:rPr>
          <w:rFonts w:cs="Arial"/>
          <w:lang w:val="en-US"/>
        </w:rPr>
        <w:t xml:space="preserve">creating costly </w:t>
      </w:r>
      <w:r w:rsidRPr="005D2394">
        <w:rPr>
          <w:rFonts w:cs="Arial"/>
          <w:lang w:val="en-US"/>
        </w:rPr>
        <w:t xml:space="preserve">challenges to efficiency, </w:t>
      </w:r>
      <w:r>
        <w:rPr>
          <w:rFonts w:cs="Arial"/>
          <w:lang w:val="en-US"/>
        </w:rPr>
        <w:t xml:space="preserve">fiscal </w:t>
      </w:r>
      <w:r w:rsidRPr="005D2394">
        <w:rPr>
          <w:rFonts w:cs="Arial"/>
          <w:lang w:val="en-US"/>
        </w:rPr>
        <w:t>sustainability, and certaint</w:t>
      </w:r>
      <w:r w:rsidRPr="005D2394" w:rsidDel="007D02E3">
        <w:rPr>
          <w:rFonts w:cs="Arial"/>
          <w:lang w:val="en-US"/>
        </w:rPr>
        <w:t>y</w:t>
      </w:r>
      <w:r>
        <w:rPr>
          <w:rFonts w:cs="Arial"/>
          <w:lang w:val="en-US"/>
        </w:rPr>
        <w:t xml:space="preserve"> that </w:t>
      </w:r>
      <w:r w:rsidRPr="005D2394">
        <w:rPr>
          <w:rFonts w:cs="Arial"/>
          <w:lang w:val="en-US"/>
        </w:rPr>
        <w:t xml:space="preserve">cannot be addressed by other </w:t>
      </w:r>
      <w:r>
        <w:rPr>
          <w:rFonts w:cs="Arial"/>
          <w:lang w:val="en-US"/>
        </w:rPr>
        <w:t>tools available to governments</w:t>
      </w:r>
      <w:r w:rsidRPr="005D2394">
        <w:rPr>
          <w:rFonts w:cs="Arial"/>
          <w:lang w:val="en-US"/>
        </w:rPr>
        <w:t xml:space="preserve">. </w:t>
      </w:r>
    </w:p>
    <w:p w14:paraId="4BB27517" w14:textId="6C1D541E" w:rsidR="00FB4AED" w:rsidRDefault="005E646D" w:rsidP="00FB4AED">
      <w:pPr>
        <w:pStyle w:val="Heading3-noTOC"/>
      </w:pPr>
      <w:r>
        <w:t>How the inquiry has defined equity</w:t>
      </w:r>
    </w:p>
    <w:p w14:paraId="0F6FE046" w14:textId="2EED0FFC" w:rsidR="00B9736F" w:rsidRDefault="00B9736F">
      <w:pPr>
        <w:pStyle w:val="BodyText"/>
      </w:pPr>
      <w:r w:rsidRPr="00136714">
        <w:t>Equity is a contested issue (box B.1). Questions of equity and fairness are ultimately a social choice which the PC seeks to inform rather than strictly adjudicate on. Consistent with this approach, the PC has not sought to identify a definitively equitable distribution of GST revenues between states. Instead, our approach has been to recognise that the primary goal of the GST distribution system is to drive fiscal equalisation between the Australian states,</w:t>
      </w:r>
      <w:r w:rsidR="00355057">
        <w:rPr>
          <w:rStyle w:val="FootnoteReference"/>
        </w:rPr>
        <w:footnoteReference w:id="4"/>
      </w:r>
      <w:r w:rsidR="00355057" w:rsidRPr="00355057">
        <w:rPr>
          <w:rStyle w:val="DateChar"/>
        </w:rPr>
        <w:t xml:space="preserve"> </w:t>
      </w:r>
      <w:r w:rsidRPr="00063A82">
        <w:t xml:space="preserve">to identify those equity lenses that fiscal equalisation </w:t>
      </w:r>
      <w:r w:rsidRPr="00063A82">
        <w:lastRenderedPageBreak/>
        <w:t>most readily aligns with, and to estimate the degree of equalisation that could be achieved by each alternative arrangement. The PC does not dismiss alternative conceptions of equity, nor does the PC recommend that equalisation should be pursued regardless of the costs. Consistent with informing social choices over the distribution of resources in Australia, this approach allows the PC to communicate the relative equity merits of equalisation, and the degree of equalisation offered by each alternative arrangement.</w:t>
      </w:r>
    </w:p>
    <w:p w14:paraId="51FB98B2" w14:textId="028AC77A" w:rsidR="00B9736F" w:rsidRPr="00E75944" w:rsidRDefault="00B9736F">
      <w:pPr>
        <w:pStyle w:val="BodyText"/>
        <w:rPr>
          <w:spacing w:val="-2"/>
        </w:rPr>
      </w:pPr>
      <w:r w:rsidRPr="00E75944">
        <w:rPr>
          <w:spacing w:val="-2"/>
        </w:rPr>
        <w:t xml:space="preserve">Fiscal equalisation is consistent with an equality of opportunity view of equity, as well as vertical and horizontal equity principles commonly used in public policy. Fairness arguments that appeal to rewards for policy effort are implicitly reflected in the inquiry’s </w:t>
      </w:r>
      <w:r w:rsidRPr="00E75944">
        <w:rPr>
          <w:i/>
          <w:spacing w:val="-2"/>
        </w:rPr>
        <w:t>efficiency</w:t>
      </w:r>
      <w:r w:rsidRPr="00E75944">
        <w:rPr>
          <w:spacing w:val="-2"/>
        </w:rPr>
        <w:t xml:space="preserve"> assessments of alternative arrangements, which assesses the degree to which GST distribution outcomes are affected by state policy choices. </w:t>
      </w:r>
    </w:p>
    <w:p w14:paraId="3C1DD881" w14:textId="5F93ECCB" w:rsidR="00B9736F" w:rsidRDefault="00B9736F">
      <w:pPr>
        <w:pStyle w:val="BodyText"/>
      </w:pPr>
      <w:r>
        <w:rPr>
          <w:rFonts w:cs="Arial"/>
          <w:lang w:val="en-US"/>
        </w:rPr>
        <w:t xml:space="preserve">The inclusion of ‘reasonable’ as a qualification on </w:t>
      </w:r>
      <w:proofErr w:type="spellStart"/>
      <w:r>
        <w:rPr>
          <w:rFonts w:cs="Arial"/>
          <w:lang w:val="en-US"/>
        </w:rPr>
        <w:t>equalisation</w:t>
      </w:r>
      <w:proofErr w:type="spellEnd"/>
      <w:r>
        <w:rPr>
          <w:rFonts w:cs="Arial"/>
          <w:lang w:val="en-US"/>
        </w:rPr>
        <w:t xml:space="preserve"> in the </w:t>
      </w:r>
      <w:r w:rsidR="00EF70E2">
        <w:rPr>
          <w:rFonts w:cs="Arial"/>
          <w:lang w:val="en-US"/>
        </w:rPr>
        <w:t xml:space="preserve">inquiry </w:t>
      </w:r>
      <w:r>
        <w:rPr>
          <w:rFonts w:cs="Arial"/>
          <w:lang w:val="en-US"/>
        </w:rPr>
        <w:t xml:space="preserve">terms of reference has been interpreted by the </w:t>
      </w:r>
      <w:r w:rsidR="00CA1097">
        <w:rPr>
          <w:rFonts w:cs="Arial"/>
          <w:lang w:val="en-US"/>
        </w:rPr>
        <w:t>PC</w:t>
      </w:r>
      <w:r>
        <w:rPr>
          <w:rFonts w:cs="Arial"/>
          <w:lang w:val="en-US"/>
        </w:rPr>
        <w:t xml:space="preserve"> as a request to identify when there might be reasonable constraints on the degree of </w:t>
      </w:r>
      <w:proofErr w:type="spellStart"/>
      <w:r>
        <w:rPr>
          <w:rFonts w:cs="Arial"/>
          <w:lang w:val="en-US"/>
        </w:rPr>
        <w:t>equalisation</w:t>
      </w:r>
      <w:proofErr w:type="spellEnd"/>
      <w:r>
        <w:rPr>
          <w:rFonts w:cs="Arial"/>
          <w:lang w:val="en-US"/>
        </w:rPr>
        <w:t xml:space="preserve"> achieved by the GST distribution system. Because the </w:t>
      </w:r>
      <w:r w:rsidR="000A0ED4">
        <w:rPr>
          <w:rFonts w:cs="Arial"/>
          <w:lang w:val="en-US"/>
        </w:rPr>
        <w:t>PC</w:t>
      </w:r>
      <w:r>
        <w:rPr>
          <w:rFonts w:cs="Arial"/>
          <w:lang w:val="en-US"/>
        </w:rPr>
        <w:t xml:space="preserve"> </w:t>
      </w:r>
      <w:r w:rsidRPr="0023296C">
        <w:rPr>
          <w:rFonts w:cs="Arial"/>
          <w:lang w:val="en-US"/>
        </w:rPr>
        <w:t>considers</w:t>
      </w:r>
      <w:r>
        <w:rPr>
          <w:rFonts w:cs="Arial"/>
          <w:lang w:val="en-US"/>
        </w:rPr>
        <w:t xml:space="preserve"> that the principal goal of the GST distribution system is to drive fiscal </w:t>
      </w:r>
      <w:proofErr w:type="spellStart"/>
      <w:r>
        <w:rPr>
          <w:rFonts w:cs="Arial"/>
          <w:lang w:val="en-US"/>
        </w:rPr>
        <w:t>equalisation</w:t>
      </w:r>
      <w:proofErr w:type="spellEnd"/>
      <w:r>
        <w:rPr>
          <w:rFonts w:cs="Arial"/>
          <w:lang w:val="en-US"/>
        </w:rPr>
        <w:t xml:space="preserve"> between Australia’s states, the inquiry </w:t>
      </w:r>
      <w:r w:rsidRPr="0023296C">
        <w:rPr>
          <w:rFonts w:cs="Arial"/>
          <w:lang w:val="en-US"/>
        </w:rPr>
        <w:t>views</w:t>
      </w:r>
      <w:r>
        <w:rPr>
          <w:rFonts w:cs="Arial"/>
          <w:lang w:val="en-US"/>
        </w:rPr>
        <w:t xml:space="preserve"> ‘reasonable </w:t>
      </w:r>
      <w:proofErr w:type="spellStart"/>
      <w:r>
        <w:rPr>
          <w:rFonts w:cs="Arial"/>
          <w:lang w:val="en-US"/>
        </w:rPr>
        <w:t>equalisation</w:t>
      </w:r>
      <w:proofErr w:type="spellEnd"/>
      <w:r>
        <w:rPr>
          <w:rFonts w:cs="Arial"/>
          <w:lang w:val="en-US"/>
        </w:rPr>
        <w:t xml:space="preserve">’ as the degree of </w:t>
      </w:r>
      <w:proofErr w:type="spellStart"/>
      <w:r>
        <w:rPr>
          <w:rFonts w:cs="Arial"/>
          <w:lang w:val="en-US"/>
        </w:rPr>
        <w:t>equalisation</w:t>
      </w:r>
      <w:proofErr w:type="spellEnd"/>
      <w:r>
        <w:rPr>
          <w:rFonts w:cs="Arial"/>
          <w:lang w:val="en-US"/>
        </w:rPr>
        <w:t xml:space="preserve"> that can be achieved without creating costly challenges to efficiency, fiscal sustainability, and certainty that cannot be addressed by other policy tools or market instruments available to governments.</w:t>
      </w:r>
    </w:p>
    <w:p w14:paraId="41A99A73" w14:textId="77777777" w:rsidR="00C3098F" w:rsidRDefault="00B9736F" w:rsidP="00FC2B1D">
      <w:pPr>
        <w:pStyle w:val="BodyText"/>
      </w:pPr>
      <w:r>
        <w:t xml:space="preserve">The PC assessed the equity properties of each GST distribution system by estimating its </w:t>
      </w:r>
      <w:r w:rsidRPr="00DA423D">
        <w:rPr>
          <w:i/>
        </w:rPr>
        <w:t>equalisation rate</w:t>
      </w:r>
      <w:r w:rsidDel="002B0A0A">
        <w:t xml:space="preserve">. </w:t>
      </w:r>
      <w:r>
        <w:t xml:space="preserve">This equity metric does not seek to measure equality of outcomes at the individual level; nor does it measure equality of actual service delivery outcomes at the level of each jurisdiction. </w:t>
      </w:r>
    </w:p>
    <w:p w14:paraId="02689855" w14:textId="4360EF40" w:rsidR="00006032" w:rsidRDefault="00B9736F" w:rsidP="00FC2B1D">
      <w:pPr>
        <w:pStyle w:val="BodyText"/>
      </w:pPr>
      <w:r>
        <w:t>It is more targeted</w:t>
      </w:r>
      <w:r w:rsidR="00047B7A">
        <w:t xml:space="preserve"> to </w:t>
      </w:r>
      <w:r w:rsidR="00786D2A">
        <w:t>horizontal equalisation</w:t>
      </w:r>
      <w:r>
        <w:t xml:space="preserve">: it measures how much </w:t>
      </w:r>
      <w:r w:rsidR="00FD76CC">
        <w:t xml:space="preserve">a given </w:t>
      </w:r>
      <w:r>
        <w:t xml:space="preserve">GST distribution </w:t>
      </w:r>
      <w:r w:rsidR="00FD76CC" w:rsidRPr="00FD76CC">
        <w:t xml:space="preserve">reduces the </w:t>
      </w:r>
      <w:r w:rsidR="00FD76CC">
        <w:t xml:space="preserve">inequality </w:t>
      </w:r>
      <w:r w:rsidR="00FD76CC" w:rsidRPr="00FD76CC">
        <w:t xml:space="preserve">in </w:t>
      </w:r>
      <w:r w:rsidR="00AC5B84">
        <w:t xml:space="preserve">assessed </w:t>
      </w:r>
      <w:r w:rsidR="00FD76CC" w:rsidRPr="00FD76CC">
        <w:t xml:space="preserve">fiscal </w:t>
      </w:r>
      <w:r w:rsidR="00AC5B84">
        <w:t>capacity between the states</w:t>
      </w:r>
      <w:r w:rsidR="002A78B9">
        <w:t xml:space="preserve">. </w:t>
      </w:r>
      <w:r w:rsidR="00006032">
        <w:t>Without GST</w:t>
      </w:r>
      <w:r w:rsidR="00E90C81">
        <w:t>,</w:t>
      </w:r>
      <w:r w:rsidR="00006032">
        <w:t xml:space="preserve"> </w:t>
      </w:r>
      <w:r w:rsidR="008D6AA4">
        <w:t xml:space="preserve">states have different </w:t>
      </w:r>
      <w:r w:rsidR="004333D9">
        <w:t xml:space="preserve">assessed </w:t>
      </w:r>
      <w:r w:rsidR="004A05B6">
        <w:t xml:space="preserve">fiscal </w:t>
      </w:r>
      <w:r w:rsidR="008D6AA4">
        <w:t>capacities</w:t>
      </w:r>
      <w:r w:rsidR="004A05B6" w:rsidRPr="004A05B6">
        <w:t xml:space="preserve"> </w:t>
      </w:r>
      <w:r w:rsidR="004A05B6">
        <w:t xml:space="preserve">to provide services to their </w:t>
      </w:r>
      <w:r w:rsidR="00A72AC3">
        <w:t>residents</w:t>
      </w:r>
      <w:r w:rsidR="008D6AA4">
        <w:t xml:space="preserve">, with the </w:t>
      </w:r>
      <w:r w:rsidR="00B74720">
        <w:t>N</w:t>
      </w:r>
      <w:r w:rsidR="004333D9">
        <w:t>orthern Territory</w:t>
      </w:r>
      <w:r w:rsidR="00B74720">
        <w:t xml:space="preserve"> </w:t>
      </w:r>
      <w:r w:rsidR="0006189C">
        <w:t xml:space="preserve">currently </w:t>
      </w:r>
      <w:r w:rsidR="008D6AA4">
        <w:t>having the least</w:t>
      </w:r>
      <w:r w:rsidR="0006189C">
        <w:t>, W</w:t>
      </w:r>
      <w:r w:rsidR="00144062">
        <w:t>estern Australia having</w:t>
      </w:r>
      <w:r w:rsidR="0006189C">
        <w:t xml:space="preserve"> the most</w:t>
      </w:r>
      <w:r w:rsidR="00BA3021">
        <w:t xml:space="preserve"> and t</w:t>
      </w:r>
      <w:r w:rsidR="0006189C">
        <w:t>he other states fall</w:t>
      </w:r>
      <w:r w:rsidR="00BA3021">
        <w:t>ing in</w:t>
      </w:r>
      <w:r w:rsidR="0006189C">
        <w:t xml:space="preserve"> between</w:t>
      </w:r>
      <w:r w:rsidR="00BA3021">
        <w:t>.</w:t>
      </w:r>
      <w:r w:rsidR="0006705C">
        <w:t xml:space="preserve"> </w:t>
      </w:r>
    </w:p>
    <w:p w14:paraId="26B05E93" w14:textId="67ECBBD4" w:rsidR="001C2E9B" w:rsidRDefault="001C2E9B" w:rsidP="00FC2B1D">
      <w:pPr>
        <w:pStyle w:val="BodyText"/>
      </w:pPr>
      <w:r>
        <w:t xml:space="preserve">The </w:t>
      </w:r>
      <w:r w:rsidR="003E55D1">
        <w:t>pre-2018</w:t>
      </w:r>
      <w:r w:rsidR="00A46BC0">
        <w:t xml:space="preserve"> GST distribution</w:t>
      </w:r>
      <w:r w:rsidR="003E55D1">
        <w:t xml:space="preserve"> </w:t>
      </w:r>
      <w:r w:rsidR="00762FD7">
        <w:t>system</w:t>
      </w:r>
      <w:r w:rsidR="0014161A">
        <w:t xml:space="preserve"> </w:t>
      </w:r>
      <w:r w:rsidR="00B7035F">
        <w:t xml:space="preserve">was designed </w:t>
      </w:r>
      <w:r w:rsidR="0014161A">
        <w:t xml:space="preserve">to </w:t>
      </w:r>
      <w:r w:rsidR="00BA3021">
        <w:t>re</w:t>
      </w:r>
      <w:r w:rsidR="00174A09">
        <w:t>move</w:t>
      </w:r>
      <w:r w:rsidR="00BA3021">
        <w:t xml:space="preserve"> the differences between </w:t>
      </w:r>
      <w:proofErr w:type="gramStart"/>
      <w:r w:rsidR="00BA3021">
        <w:t>states’</w:t>
      </w:r>
      <w:proofErr w:type="gramEnd"/>
      <w:r w:rsidR="00BA3021">
        <w:t xml:space="preserve"> </w:t>
      </w:r>
      <w:r w:rsidR="004C7FAD">
        <w:t xml:space="preserve">assessed </w:t>
      </w:r>
      <w:r w:rsidR="00BA3021">
        <w:t>fiscal capacities</w:t>
      </w:r>
      <w:r w:rsidR="005863F1">
        <w:t xml:space="preserve"> so that each state had the same capacity</w:t>
      </w:r>
      <w:r w:rsidR="00C91696">
        <w:t xml:space="preserve"> to provide a similar level of public services</w:t>
      </w:r>
      <w:r w:rsidR="00522567">
        <w:t>.</w:t>
      </w:r>
      <w:r w:rsidR="00367FA0">
        <w:t xml:space="preserve"> </w:t>
      </w:r>
      <w:r w:rsidR="0083677E">
        <w:t xml:space="preserve">The equalisation rate </w:t>
      </w:r>
      <w:r w:rsidR="00311CD8">
        <w:t>of the pre-2018 system is therefore</w:t>
      </w:r>
      <w:r w:rsidR="00164B4B">
        <w:t xml:space="preserve"> 100%, all pre-</w:t>
      </w:r>
      <w:r w:rsidR="00376660">
        <w:t>existing</w:t>
      </w:r>
      <w:r w:rsidR="00B613A5">
        <w:t xml:space="preserve"> </w:t>
      </w:r>
      <w:r w:rsidR="00164B4B">
        <w:t xml:space="preserve">inequality </w:t>
      </w:r>
      <w:r w:rsidR="00376660">
        <w:t>of</w:t>
      </w:r>
      <w:r w:rsidR="007B765C">
        <w:t xml:space="preserve"> </w:t>
      </w:r>
      <w:r w:rsidR="00FD5ADC">
        <w:t xml:space="preserve">assessed </w:t>
      </w:r>
      <w:r w:rsidR="007B765C">
        <w:t>fiscal capacity</w:t>
      </w:r>
      <w:r w:rsidR="00376660">
        <w:t xml:space="preserve"> </w:t>
      </w:r>
      <w:r w:rsidR="00B613A5">
        <w:t>has been re</w:t>
      </w:r>
      <w:r w:rsidR="00FD5ADC">
        <w:t>moved</w:t>
      </w:r>
      <w:r w:rsidR="007B765C">
        <w:t>.</w:t>
      </w:r>
    </w:p>
    <w:p w14:paraId="57CA2EE8" w14:textId="24A87BDF" w:rsidR="003F3749" w:rsidRDefault="00333C0D" w:rsidP="00FC2B1D">
      <w:pPr>
        <w:pStyle w:val="BodyText"/>
      </w:pPr>
      <w:r>
        <w:t xml:space="preserve">By contrast, </w:t>
      </w:r>
      <w:r w:rsidR="00C54A72">
        <w:t xml:space="preserve">an </w:t>
      </w:r>
      <w:r>
        <w:t>equal per capita distribution allocates GST</w:t>
      </w:r>
      <w:r w:rsidR="00D34F3C">
        <w:t xml:space="preserve"> revenue</w:t>
      </w:r>
      <w:r>
        <w:t xml:space="preserve"> in proportion to population, leaving</w:t>
      </w:r>
      <w:r w:rsidR="00CB16CA">
        <w:t xml:space="preserve"> the </w:t>
      </w:r>
      <w:r w:rsidR="00B44ED4">
        <w:t xml:space="preserve">differences between </w:t>
      </w:r>
      <w:proofErr w:type="gramStart"/>
      <w:r w:rsidR="00B44ED4">
        <w:t>states’</w:t>
      </w:r>
      <w:proofErr w:type="gramEnd"/>
      <w:r w:rsidR="00D80CB8">
        <w:t xml:space="preserve"> </w:t>
      </w:r>
      <w:r w:rsidR="00FD5ADC">
        <w:t xml:space="preserve">assessed </w:t>
      </w:r>
      <w:r w:rsidR="00D80CB8">
        <w:t xml:space="preserve">fiscal </w:t>
      </w:r>
      <w:r w:rsidR="000428F5">
        <w:t>capacities</w:t>
      </w:r>
      <w:r w:rsidR="00D80CB8">
        <w:t xml:space="preserve"> unchanged</w:t>
      </w:r>
      <w:r w:rsidR="00CB4DF3">
        <w:t>.</w:t>
      </w:r>
      <w:r w:rsidR="00165F7B">
        <w:t xml:space="preserve"> </w:t>
      </w:r>
      <w:r w:rsidR="00CB4DF3">
        <w:t xml:space="preserve">This </w:t>
      </w:r>
      <w:r>
        <w:t>equalisation rate</w:t>
      </w:r>
      <w:r w:rsidR="00165F7B">
        <w:t xml:space="preserve"> </w:t>
      </w:r>
      <w:r w:rsidR="00EF30C0">
        <w:t xml:space="preserve">is therefore </w:t>
      </w:r>
      <w:r w:rsidR="00165F7B">
        <w:t>0%</w:t>
      </w:r>
      <w:r w:rsidR="00EF30C0">
        <w:t>, n</w:t>
      </w:r>
      <w:r w:rsidR="0013664C">
        <w:t xml:space="preserve">one of the </w:t>
      </w:r>
      <w:r w:rsidR="00857E0B">
        <w:t xml:space="preserve">inequality </w:t>
      </w:r>
      <w:r w:rsidR="00064779">
        <w:t xml:space="preserve">present prior to the distribution of GST revenue </w:t>
      </w:r>
      <w:r w:rsidR="00857E0B">
        <w:t xml:space="preserve">between the states </w:t>
      </w:r>
      <w:r w:rsidR="00542E36">
        <w:t>has been reduced.</w:t>
      </w:r>
    </w:p>
    <w:p w14:paraId="3848A864" w14:textId="6D3799C5" w:rsidR="007B765C" w:rsidRDefault="00376660" w:rsidP="00FC2B1D">
      <w:pPr>
        <w:pStyle w:val="BodyText"/>
      </w:pPr>
      <w:r>
        <w:t xml:space="preserve">This </w:t>
      </w:r>
      <w:r w:rsidR="00181916">
        <w:t xml:space="preserve">measure </w:t>
      </w:r>
      <w:r>
        <w:t xml:space="preserve">is distinct to </w:t>
      </w:r>
      <w:r w:rsidR="00181916">
        <w:t xml:space="preserve">one that measures </w:t>
      </w:r>
      <w:r w:rsidR="00182B3B">
        <w:t>how much a GST distribution reduce</w:t>
      </w:r>
      <w:r w:rsidR="00216E85">
        <w:t>s</w:t>
      </w:r>
      <w:r w:rsidR="00182B3B">
        <w:t xml:space="preserve"> </w:t>
      </w:r>
      <w:r w:rsidR="00182B3B" w:rsidRPr="002B205B">
        <w:rPr>
          <w:i/>
          <w:iCs/>
        </w:rPr>
        <w:t>state fiscal capacity gaps</w:t>
      </w:r>
      <w:r w:rsidR="00182B3B">
        <w:t xml:space="preserve">, the difference between </w:t>
      </w:r>
      <w:r w:rsidR="00182B3B" w:rsidRPr="002B205B">
        <w:rPr>
          <w:i/>
          <w:iCs/>
        </w:rPr>
        <w:t>assessed</w:t>
      </w:r>
      <w:r w:rsidR="00182B3B">
        <w:t xml:space="preserve"> fiscal need and </w:t>
      </w:r>
      <w:r w:rsidR="00182B3B" w:rsidRPr="002B205B">
        <w:rPr>
          <w:i/>
          <w:iCs/>
        </w:rPr>
        <w:t>assessed</w:t>
      </w:r>
      <w:r w:rsidR="00182B3B">
        <w:t xml:space="preserve"> revenue.</w:t>
      </w:r>
    </w:p>
    <w:p w14:paraId="6CDC1419" w14:textId="03DFE2BD" w:rsidR="00182B3B" w:rsidRDefault="00B462C8" w:rsidP="00FC2B1D">
      <w:pPr>
        <w:pStyle w:val="BodyText"/>
      </w:pPr>
      <w:r>
        <w:t>An</w:t>
      </w:r>
      <w:r w:rsidR="00A36408">
        <w:t xml:space="preserve"> equal per capita</w:t>
      </w:r>
      <w:r>
        <w:t xml:space="preserve"> </w:t>
      </w:r>
      <w:r w:rsidR="00A36408">
        <w:t>(</w:t>
      </w:r>
      <w:r>
        <w:t>EPC</w:t>
      </w:r>
      <w:r w:rsidR="00A36408">
        <w:t>)</w:t>
      </w:r>
      <w:r>
        <w:t xml:space="preserve"> distribution </w:t>
      </w:r>
      <w:r w:rsidR="00CD2802">
        <w:t>could</w:t>
      </w:r>
      <w:r w:rsidR="00EE67F4">
        <w:t>, in theory,</w:t>
      </w:r>
      <w:r w:rsidR="00453E24">
        <w:t xml:space="preserve"> fully reduce all </w:t>
      </w:r>
      <w:r w:rsidR="00EE67F4" w:rsidRPr="002B205B">
        <w:rPr>
          <w:i/>
          <w:iCs/>
        </w:rPr>
        <w:t>state fiscal capacity gaps</w:t>
      </w:r>
      <w:r w:rsidR="00EE67F4">
        <w:t xml:space="preserve"> if the GST pool was big enough. </w:t>
      </w:r>
      <w:r w:rsidR="00486890">
        <w:t xml:space="preserve">Yet even if this were to occur some states would be significantly better off than others </w:t>
      </w:r>
      <w:r w:rsidR="00B43964">
        <w:t xml:space="preserve">and inequality would </w:t>
      </w:r>
      <w:r w:rsidR="00752C46">
        <w:t>continue</w:t>
      </w:r>
      <w:r w:rsidR="00DE32AE">
        <w:t>.</w:t>
      </w:r>
      <w:r w:rsidR="00752C46">
        <w:t xml:space="preserve"> </w:t>
      </w:r>
      <w:r w:rsidR="00A20559">
        <w:t xml:space="preserve">A measure that focuses on reducing </w:t>
      </w:r>
      <w:r w:rsidR="00A20559" w:rsidRPr="002B205B">
        <w:rPr>
          <w:i/>
          <w:iCs/>
        </w:rPr>
        <w:t>state fiscal capacity gaps</w:t>
      </w:r>
      <w:r w:rsidR="00A20559">
        <w:t xml:space="preserve"> alone would not capture this inequality, hence why we use the equalisation rate.</w:t>
      </w:r>
    </w:p>
    <w:p w14:paraId="11EEE9DD" w14:textId="02FA876C" w:rsidR="007519D6" w:rsidRPr="00F82BD9" w:rsidRDefault="007519D6">
      <w:pPr>
        <w:pStyle w:val="NoSpacing"/>
      </w:pPr>
    </w:p>
    <w:tbl>
      <w:tblPr>
        <w:tblStyle w:val="Boxtable"/>
        <w:tblW w:w="5000" w:type="pct"/>
        <w:tblLook w:val="04A0" w:firstRow="1" w:lastRow="0" w:firstColumn="1" w:lastColumn="0" w:noHBand="0" w:noVBand="1"/>
      </w:tblPr>
      <w:tblGrid>
        <w:gridCol w:w="9638"/>
      </w:tblGrid>
      <w:tr w:rsidR="007519D6" w14:paraId="13B71C4D" w14:textId="77777777">
        <w:trPr>
          <w:tblHeader/>
        </w:trPr>
        <w:tc>
          <w:tcPr>
            <w:tcW w:w="9638" w:type="dxa"/>
            <w:shd w:val="clear" w:color="auto" w:fill="EBEBEB"/>
            <w:tcMar>
              <w:top w:w="170" w:type="dxa"/>
              <w:left w:w="170" w:type="dxa"/>
              <w:bottom w:w="113" w:type="dxa"/>
              <w:right w:w="170" w:type="dxa"/>
            </w:tcMar>
            <w:hideMark/>
          </w:tcPr>
          <w:p w14:paraId="158E6B4D" w14:textId="3EC5CA7F" w:rsidR="007519D6" w:rsidRDefault="007519D6">
            <w:pPr>
              <w:pStyle w:val="BoxHeading1"/>
            </w:pPr>
            <w:bookmarkStart w:id="0" w:name="_Ref78902111"/>
            <w:r>
              <w:lastRenderedPageBreak/>
              <w:t xml:space="preserve">Box </w:t>
            </w:r>
            <w:fldSimple w:instr=" STYLEREF  \s Heading-Appendix ">
              <w:r w:rsidR="004C5D0E">
                <w:rPr>
                  <w:noProof/>
                </w:rPr>
                <w:t>B</w:t>
              </w:r>
            </w:fldSimple>
            <w:r>
              <w:t>.</w:t>
            </w:r>
            <w:fldSimple w:instr=" SEQ Box \* ARABIC \s 1 ">
              <w:r w:rsidR="004C5D0E">
                <w:rPr>
                  <w:noProof/>
                </w:rPr>
                <w:t>1</w:t>
              </w:r>
            </w:fldSimple>
            <w:r>
              <w:t xml:space="preserve"> – </w:t>
            </w:r>
            <w:bookmarkEnd w:id="0"/>
            <w:r w:rsidR="0045549D">
              <w:t xml:space="preserve">Equalisation rates and </w:t>
            </w:r>
            <w:r w:rsidR="008971A2">
              <w:t>analytical conceptions</w:t>
            </w:r>
            <w:r w:rsidR="0045549D">
              <w:t xml:space="preserve"> of </w:t>
            </w:r>
            <w:r w:rsidR="0045549D" w:rsidRPr="00AE7E35">
              <w:t>equity</w:t>
            </w:r>
          </w:p>
        </w:tc>
      </w:tr>
      <w:tr w:rsidR="007519D6" w14:paraId="3CDC280F" w14:textId="77777777">
        <w:tc>
          <w:tcPr>
            <w:tcW w:w="9638" w:type="dxa"/>
            <w:shd w:val="clear" w:color="auto" w:fill="EBEBEB"/>
            <w:tcMar>
              <w:top w:w="28" w:type="dxa"/>
              <w:left w:w="170" w:type="dxa"/>
              <w:bottom w:w="170" w:type="dxa"/>
              <w:right w:w="170" w:type="dxa"/>
            </w:tcMar>
            <w:hideMark/>
          </w:tcPr>
          <w:p w14:paraId="6CDB8544" w14:textId="5878373F" w:rsidR="003C0037" w:rsidRPr="002D6153" w:rsidRDefault="003C0037">
            <w:pPr>
              <w:pStyle w:val="BodyText"/>
            </w:pPr>
            <w:r>
              <w:t>Analytical notions of e</w:t>
            </w:r>
            <w:r w:rsidRPr="002D6153">
              <w:t xml:space="preserve">quity </w:t>
            </w:r>
            <w:r>
              <w:t>have been examined at length in the</w:t>
            </w:r>
            <w:r w:rsidR="006A4052">
              <w:t xml:space="preserve"> </w:t>
            </w:r>
            <w:r>
              <w:t>literature</w:t>
            </w:r>
            <w:r w:rsidRPr="002D6153">
              <w:t xml:space="preserve">. </w:t>
            </w:r>
            <w:r>
              <w:t>Different</w:t>
            </w:r>
            <w:r w:rsidRPr="002D6153">
              <w:t xml:space="preserve"> principles are used to judge what is equitable, </w:t>
            </w:r>
            <w:r>
              <w:t>and</w:t>
            </w:r>
            <w:r w:rsidRPr="002D6153">
              <w:t xml:space="preserve"> perception of the situations they apply to</w:t>
            </w:r>
            <w:r>
              <w:t xml:space="preserve"> also differ</w:t>
            </w:r>
            <w:r w:rsidRPr="002D6153">
              <w:t xml:space="preserve">. </w:t>
            </w:r>
            <w:r>
              <w:t>Equity judgements</w:t>
            </w:r>
            <w:r w:rsidRPr="002D6153">
              <w:t xml:space="preserve"> can also vary </w:t>
            </w:r>
            <w:proofErr w:type="gramStart"/>
            <w:r w:rsidRPr="002D6153">
              <w:t>on the basis of</w:t>
            </w:r>
            <w:proofErr w:type="gramEnd"/>
            <w:r w:rsidRPr="002D6153">
              <w:t xml:space="preserve"> the appropriate </w:t>
            </w:r>
            <w:proofErr w:type="gramStart"/>
            <w:r w:rsidRPr="002D6153">
              <w:t>time period</w:t>
            </w:r>
            <w:proofErr w:type="gramEnd"/>
            <w:r w:rsidRPr="002D6153">
              <w:t xml:space="preserve"> over which they </w:t>
            </w:r>
            <w:r>
              <w:t xml:space="preserve">are analysed.  </w:t>
            </w:r>
            <w:r w:rsidRPr="002D6153">
              <w:t>In Australia, common views of equity include:</w:t>
            </w:r>
          </w:p>
          <w:p w14:paraId="3C94771E" w14:textId="68FD2759" w:rsidR="003C0037" w:rsidRPr="00D53890" w:rsidRDefault="00D53890" w:rsidP="00D53890">
            <w:pPr>
              <w:pStyle w:val="ListBullet"/>
            </w:pPr>
            <w:r w:rsidRPr="00D53890">
              <w:rPr>
                <w:b/>
                <w:bCs/>
              </w:rPr>
              <w:t>e</w:t>
            </w:r>
            <w:r w:rsidR="003C0037" w:rsidRPr="00D53890">
              <w:rPr>
                <w:b/>
                <w:bCs/>
              </w:rPr>
              <w:t>quality of opportunity</w:t>
            </w:r>
            <w:r w:rsidR="003C0037" w:rsidRPr="00D53890">
              <w:t xml:space="preserve"> – in a fiscal setting, this emphasises that people should have access to comparable levels and quality of public services that support participation in society—such as education, health, policing, and child protection. </w:t>
            </w:r>
          </w:p>
          <w:p w14:paraId="26AA85A7" w14:textId="0A93ED07" w:rsidR="003C0037" w:rsidRPr="00D53890" w:rsidRDefault="00D53890" w:rsidP="00D53890">
            <w:pPr>
              <w:pStyle w:val="ListBullet"/>
            </w:pPr>
            <w:r w:rsidRPr="00D53890">
              <w:rPr>
                <w:b/>
                <w:bCs/>
              </w:rPr>
              <w:t>e</w:t>
            </w:r>
            <w:r w:rsidR="003C0037" w:rsidRPr="00D53890">
              <w:rPr>
                <w:b/>
                <w:bCs/>
              </w:rPr>
              <w:t>qu</w:t>
            </w:r>
            <w:r w:rsidR="00BC0264">
              <w:rPr>
                <w:b/>
                <w:bCs/>
              </w:rPr>
              <w:t>i</w:t>
            </w:r>
            <w:r w:rsidR="002B205B">
              <w:rPr>
                <w:b/>
                <w:bCs/>
              </w:rPr>
              <w:t>ty</w:t>
            </w:r>
            <w:r w:rsidR="003C0037" w:rsidRPr="00D53890">
              <w:rPr>
                <w:b/>
                <w:bCs/>
              </w:rPr>
              <w:t xml:space="preserve"> of outcomes</w:t>
            </w:r>
            <w:r w:rsidR="003C0037" w:rsidRPr="00D53890">
              <w:t xml:space="preserve"> – </w:t>
            </w:r>
            <w:r w:rsidR="003C0037" w:rsidRPr="002B205B">
              <w:t xml:space="preserve">focuses on ensuring </w:t>
            </w:r>
            <w:r w:rsidR="00CD423A">
              <w:t xml:space="preserve">people have the </w:t>
            </w:r>
            <w:r w:rsidR="00015D90">
              <w:t>opportunity to</w:t>
            </w:r>
            <w:r w:rsidR="00993247">
              <w:t xml:space="preserve"> </w:t>
            </w:r>
            <w:r w:rsidR="003C0037" w:rsidRPr="002B205B">
              <w:t xml:space="preserve">achieve similar outcomes </w:t>
            </w:r>
            <w:r w:rsidR="008F3358">
              <w:t>should</w:t>
            </w:r>
            <w:r w:rsidR="00592F8A">
              <w:t xml:space="preserve"> they </w:t>
            </w:r>
            <w:r w:rsidR="008F3358">
              <w:t>choose</w:t>
            </w:r>
            <w:r w:rsidR="00592F8A">
              <w:t xml:space="preserve"> to pursue them</w:t>
            </w:r>
            <w:r w:rsidR="00F97D58">
              <w:t xml:space="preserve"> </w:t>
            </w:r>
            <w:r w:rsidR="00114402">
              <w:rPr>
                <w:highlight w:val="yellow"/>
              </w:rPr>
              <w:fldChar w:fldCharType="begin"/>
            </w:r>
            <w:r w:rsidR="00114402">
              <w:rPr>
                <w:highlight w:val="yellow"/>
              </w:rPr>
              <w:instrText xml:space="preserve"> ADDIN ZOTERO_ITEM CSL_CITATION {"citationID":"U4viXrgF","properties":{"formattedCitation":"(Sen\\uc0\\u160{}1999)","plainCitation":"(Sen 1999)","noteIndex":0},"citationItems":[{"id":7075,"uris":["http://zotero.org/groups/6174966/items/PDGENDSH"],"itemData":{"id":7075,"type":"book","event-place":"Oxford","publisher":"Oxford University Press","publisher-place":"Oxford","title":"Development as Freedom","author":[{"family":"Sen","given":"Amartya"}],"issued":{"date-parts":[["1999"]]}}}],"schema":"https://github.com/citation-style-language/schema/raw/master/csl-citation.json"} </w:instrText>
            </w:r>
            <w:r w:rsidR="00114402">
              <w:rPr>
                <w:highlight w:val="yellow"/>
              </w:rPr>
              <w:fldChar w:fldCharType="separate"/>
            </w:r>
            <w:r w:rsidR="00114402" w:rsidRPr="00114402">
              <w:rPr>
                <w:rFonts w:cs="Open Sans"/>
              </w:rPr>
              <w:t>(Sen 1999)</w:t>
            </w:r>
            <w:r w:rsidR="00114402">
              <w:rPr>
                <w:highlight w:val="yellow"/>
              </w:rPr>
              <w:fldChar w:fldCharType="end"/>
            </w:r>
            <w:r w:rsidR="00592F8A">
              <w:t>I</w:t>
            </w:r>
            <w:r w:rsidR="003C0037" w:rsidRPr="002B205B">
              <w:t>n a fiscal setting</w:t>
            </w:r>
            <w:r w:rsidR="00592F8A">
              <w:t>, this</w:t>
            </w:r>
            <w:r w:rsidR="003C0037" w:rsidRPr="002B205B">
              <w:t xml:space="preserve"> can involve </w:t>
            </w:r>
            <w:r w:rsidR="00A9060E">
              <w:t xml:space="preserve">providing </w:t>
            </w:r>
            <w:r w:rsidR="003C0037" w:rsidRPr="002B205B">
              <w:t xml:space="preserve"> different levels </w:t>
            </w:r>
            <w:r w:rsidR="00D00159">
              <w:t xml:space="preserve">of fiscal support </w:t>
            </w:r>
            <w:r w:rsidR="00000528">
              <w:t>for</w:t>
            </w:r>
            <w:r w:rsidR="00D00159">
              <w:t xml:space="preserve"> </w:t>
            </w:r>
            <w:r w:rsidR="003605DF">
              <w:t>public services that can</w:t>
            </w:r>
            <w:r w:rsidR="00D00159">
              <w:t xml:space="preserve"> </w:t>
            </w:r>
            <w:r w:rsidR="0016734E">
              <w:t>avoid and/or</w:t>
            </w:r>
            <w:r w:rsidR="003C0037" w:rsidRPr="002B205B">
              <w:t xml:space="preserve"> address structural disadvantage</w:t>
            </w:r>
            <w:r w:rsidR="00F97D58">
              <w:t>.</w:t>
            </w:r>
          </w:p>
          <w:p w14:paraId="76D623A4" w14:textId="64AF8259" w:rsidR="003C0037" w:rsidRPr="00D53890" w:rsidRDefault="00D53890" w:rsidP="00D53890">
            <w:pPr>
              <w:pStyle w:val="ListBullet"/>
            </w:pPr>
            <w:r w:rsidRPr="00D53890">
              <w:rPr>
                <w:b/>
                <w:bCs/>
              </w:rPr>
              <w:t>v</w:t>
            </w:r>
            <w:r w:rsidR="003C0037" w:rsidRPr="00D53890">
              <w:rPr>
                <w:b/>
                <w:bCs/>
              </w:rPr>
              <w:t>ertical equity</w:t>
            </w:r>
            <w:r w:rsidR="003C0037" w:rsidRPr="00D53890">
              <w:t xml:space="preserve"> – those with higher incomes should cont</w:t>
            </w:r>
            <w:r w:rsidR="00711872">
              <w:t>r</w:t>
            </w:r>
            <w:r w:rsidR="003C0037" w:rsidRPr="00D53890">
              <w:t xml:space="preserve">ibute more to the funding of public services than those on lower incomes. </w:t>
            </w:r>
          </w:p>
          <w:p w14:paraId="102251D4" w14:textId="07E6343B" w:rsidR="003C0037" w:rsidRPr="00D53890" w:rsidRDefault="00D53890" w:rsidP="00D53890">
            <w:pPr>
              <w:pStyle w:val="ListBullet"/>
            </w:pPr>
            <w:r w:rsidRPr="00D53890">
              <w:rPr>
                <w:b/>
                <w:bCs/>
              </w:rPr>
              <w:t>h</w:t>
            </w:r>
            <w:r w:rsidR="003C0037" w:rsidRPr="00D53890">
              <w:rPr>
                <w:b/>
                <w:bCs/>
              </w:rPr>
              <w:t>orizontal equity</w:t>
            </w:r>
            <w:r w:rsidR="003C0037" w:rsidRPr="00D53890">
              <w:t xml:space="preserve"> – those in similar circumstances should contribute the same to funding public services.</w:t>
            </w:r>
          </w:p>
          <w:p w14:paraId="0FA9E040" w14:textId="30FA7F2C" w:rsidR="003C0037" w:rsidRPr="00D53890" w:rsidRDefault="00D53890" w:rsidP="00D53890">
            <w:pPr>
              <w:pStyle w:val="ListBullet"/>
            </w:pPr>
            <w:r w:rsidRPr="00D53890">
              <w:rPr>
                <w:b/>
                <w:bCs/>
              </w:rPr>
              <w:t>r</w:t>
            </w:r>
            <w:r w:rsidR="003C0037" w:rsidRPr="00D53890">
              <w:rPr>
                <w:b/>
                <w:bCs/>
              </w:rPr>
              <w:t>eward for effort</w:t>
            </w:r>
            <w:r w:rsidR="003C0037" w:rsidRPr="00D53890">
              <w:t xml:space="preserve"> – desert</w:t>
            </w:r>
            <w:r w:rsidR="008925BE">
              <w:noBreakHyphen/>
            </w:r>
            <w:r w:rsidR="003C0037" w:rsidRPr="00D53890">
              <w:t xml:space="preserve">based equity frameworks argue that people deserve to enjoy the fruits of their labour </w:t>
            </w:r>
            <w:r w:rsidR="002E6CEF">
              <w:rPr>
                <w:highlight w:val="yellow"/>
              </w:rPr>
              <w:fldChar w:fldCharType="begin"/>
            </w:r>
            <w:r w:rsidR="00114402">
              <w:rPr>
                <w:highlight w:val="yellow"/>
              </w:rPr>
              <w:instrText xml:space="preserve"> ADDIN ZOTERO_ITEM CSL_CITATION {"citationID":"h63bh2Ks","properties":{"formattedCitation":"(Locke\\uc0\\u160{}1690)","plainCitation":"(Locke 1690)","noteIndex":0},"citationItems":[{"id":7064,"uris":["http://zotero.org/groups/6174966/items/265PQUJQ"],"itemData":{"id":7064,"type":"book","publisher":"Awnsham Churchill","title":"Second Treastise of Government","author":[{"family":"Locke","given":"John"}],"issued":{"date-parts":[["1690"]]}}}],"schema":"https://github.com/citation-style-language/schema/raw/master/csl-citation.json"} </w:instrText>
            </w:r>
            <w:r w:rsidR="002E6CEF">
              <w:rPr>
                <w:highlight w:val="yellow"/>
              </w:rPr>
              <w:fldChar w:fldCharType="separate"/>
            </w:r>
            <w:r w:rsidR="002E6CEF" w:rsidRPr="002E6CEF">
              <w:rPr>
                <w:rFonts w:cs="Open Sans"/>
              </w:rPr>
              <w:t>(Locke 1690)</w:t>
            </w:r>
            <w:r w:rsidR="002E6CEF">
              <w:rPr>
                <w:highlight w:val="yellow"/>
              </w:rPr>
              <w:fldChar w:fldCharType="end"/>
            </w:r>
            <w:r w:rsidR="003C0037" w:rsidRPr="00D53890">
              <w:t>, though not for outcomes attributable to ‘luck’</w:t>
            </w:r>
            <w:r w:rsidR="002B205B">
              <w:t xml:space="preserve"> </w:t>
            </w:r>
            <w:r w:rsidR="003D1CD2">
              <w:rPr>
                <w:highlight w:val="yellow"/>
              </w:rPr>
              <w:fldChar w:fldCharType="begin"/>
            </w:r>
            <w:r w:rsidR="00114402">
              <w:rPr>
                <w:highlight w:val="yellow"/>
              </w:rPr>
              <w:instrText xml:space="preserve"> ADDIN ZOTERO_ITEM CSL_CITATION {"citationID":"7kn8jL2q","properties":{"formattedCitation":"(Dworkin\\uc0\\u160{}1981)","plainCitation":"(Dworkin 1981)","noteIndex":0},"citationItems":[{"id":7062,"uris":["http://zotero.org/groups/6174966/items/G9FJQN8M"],"itemData":{"id":7062,"type":"article-journal","container-title":"Philosophy &amp; Public Affairs","issue":"4","title":"What is Equality? Part 2: Equality of Resources","volume":"10","author":[{"family":"Dworkin","given":"Ronald"}],"issued":{"date-parts":[["1981"]]}}}],"schema":"https://github.com/citation-style-language/schema/raw/master/csl-citation.json"} </w:instrText>
            </w:r>
            <w:r w:rsidR="003D1CD2">
              <w:rPr>
                <w:highlight w:val="yellow"/>
              </w:rPr>
              <w:fldChar w:fldCharType="separate"/>
            </w:r>
            <w:r w:rsidR="002E6CEF" w:rsidRPr="002E6CEF">
              <w:rPr>
                <w:rFonts w:cs="Open Sans"/>
              </w:rPr>
              <w:t>(Dworkin 1981)</w:t>
            </w:r>
            <w:r w:rsidR="003D1CD2">
              <w:rPr>
                <w:highlight w:val="yellow"/>
              </w:rPr>
              <w:fldChar w:fldCharType="end"/>
            </w:r>
            <w:r w:rsidR="003C0037" w:rsidRPr="00D53890">
              <w:t>.</w:t>
            </w:r>
          </w:p>
          <w:p w14:paraId="1868CE76" w14:textId="4A3C8021" w:rsidR="003C0037" w:rsidRPr="00AE7E35" w:rsidRDefault="003C0037">
            <w:pPr>
              <w:pStyle w:val="BodyText"/>
              <w:rPr>
                <w:rFonts w:cs="Arial"/>
              </w:rPr>
            </w:pPr>
            <w:r>
              <w:rPr>
                <w:rFonts w:cs="Arial"/>
              </w:rPr>
              <w:t>Each of t</w:t>
            </w:r>
            <w:r w:rsidRPr="00AE7E35">
              <w:rPr>
                <w:rFonts w:cs="Arial"/>
              </w:rPr>
              <w:t xml:space="preserve">hese equity frames are reflected in public debate about the GST distribution system. Horizontal fiscal equalisation (HFE) </w:t>
            </w:r>
            <w:r>
              <w:rPr>
                <w:rFonts w:cs="Arial"/>
              </w:rPr>
              <w:t>is consistent</w:t>
            </w:r>
            <w:r w:rsidRPr="00AE7E35">
              <w:rPr>
                <w:rFonts w:cs="Arial"/>
              </w:rPr>
              <w:t xml:space="preserve"> with </w:t>
            </w:r>
            <w:r>
              <w:rPr>
                <w:rFonts w:cs="Arial"/>
              </w:rPr>
              <w:t>an</w:t>
            </w:r>
            <w:r w:rsidRPr="00AE7E35">
              <w:rPr>
                <w:rFonts w:cs="Arial"/>
              </w:rPr>
              <w:t xml:space="preserve"> equality</w:t>
            </w:r>
            <w:r w:rsidR="008925BE">
              <w:rPr>
                <w:rFonts w:cs="Arial"/>
              </w:rPr>
              <w:noBreakHyphen/>
            </w:r>
            <w:r w:rsidRPr="00AE7E35">
              <w:rPr>
                <w:rFonts w:cs="Arial"/>
              </w:rPr>
              <w:t>of</w:t>
            </w:r>
            <w:r w:rsidR="008925BE">
              <w:rPr>
                <w:rFonts w:cs="Arial"/>
              </w:rPr>
              <w:noBreakHyphen/>
            </w:r>
            <w:r w:rsidRPr="00AE7E35">
              <w:rPr>
                <w:rFonts w:cs="Arial"/>
              </w:rPr>
              <w:t xml:space="preserve">opportunity </w:t>
            </w:r>
            <w:r>
              <w:rPr>
                <w:rFonts w:cs="Arial"/>
              </w:rPr>
              <w:t>and equ</w:t>
            </w:r>
            <w:r w:rsidR="002B205B">
              <w:rPr>
                <w:rFonts w:cs="Arial"/>
              </w:rPr>
              <w:t>ity</w:t>
            </w:r>
            <w:r>
              <w:rPr>
                <w:rFonts w:cs="Arial"/>
              </w:rPr>
              <w:t xml:space="preserve"> of outcomes lens</w:t>
            </w:r>
            <w:r w:rsidRPr="00AE7E35">
              <w:rPr>
                <w:rFonts w:cs="Arial"/>
              </w:rPr>
              <w:t xml:space="preserve"> by providing states with </w:t>
            </w:r>
            <w:r>
              <w:rPr>
                <w:rFonts w:cs="Arial"/>
              </w:rPr>
              <w:t>equivalent</w:t>
            </w:r>
            <w:r w:rsidRPr="00AE7E35">
              <w:rPr>
                <w:rFonts w:cs="Arial"/>
              </w:rPr>
              <w:t xml:space="preserve"> fiscal capacity to deliver </w:t>
            </w:r>
            <w:r>
              <w:rPr>
                <w:rFonts w:cs="Arial"/>
              </w:rPr>
              <w:t>similar</w:t>
            </w:r>
            <w:r w:rsidRPr="00AE7E35">
              <w:rPr>
                <w:rFonts w:cs="Arial"/>
              </w:rPr>
              <w:t xml:space="preserve"> public</w:t>
            </w:r>
            <w:r w:rsidR="00FB662C">
              <w:rPr>
                <w:rFonts w:cs="Arial"/>
              </w:rPr>
              <w:t xml:space="preserve"> services</w:t>
            </w:r>
            <w:r w:rsidRPr="00AE7E35">
              <w:rPr>
                <w:rFonts w:cs="Arial"/>
              </w:rPr>
              <w:t xml:space="preserve">. It also aligns with a horizontal equity perspective, insofar as Australians who pay broadly similar taxes can access </w:t>
            </w:r>
            <w:r>
              <w:rPr>
                <w:rFonts w:cs="Arial"/>
              </w:rPr>
              <w:t>similar</w:t>
            </w:r>
            <w:r w:rsidRPr="00AE7E35">
              <w:rPr>
                <w:rFonts w:cs="Arial"/>
              </w:rPr>
              <w:t xml:space="preserve"> services </w:t>
            </w:r>
            <w:r>
              <w:rPr>
                <w:rFonts w:cs="Arial"/>
              </w:rPr>
              <w:t>regardless of which state they are in</w:t>
            </w:r>
            <w:r w:rsidRPr="00AE7E35">
              <w:rPr>
                <w:rFonts w:cs="Arial"/>
              </w:rPr>
              <w:t xml:space="preserve"> </w:t>
            </w:r>
            <w:r w:rsidR="00BF79AD">
              <w:rPr>
                <w:rFonts w:cs="Arial"/>
                <w:highlight w:val="yellow"/>
              </w:rPr>
              <w:fldChar w:fldCharType="begin"/>
            </w:r>
            <w:r w:rsidR="00114402">
              <w:rPr>
                <w:rFonts w:cs="Arial"/>
                <w:highlight w:val="yellow"/>
              </w:rPr>
              <w:instrText xml:space="preserve"> ADDIN ZOTERO_ITEM CSL_CITATION {"citationID":"ZLCDXRJU","properties":{"formattedCitation":"(Buchanan\\uc0\\u160{}1950)","plainCitation":"(Buchanan 1950)","noteIndex":0},"citationItems":[{"id":6899,"uris":["http://zotero.org/groups/6174966/items/JS9RKF72"],"itemData":{"id":6899,"type":"article-journal","container-title":"American Economic Review","issue":"4","page":"583-599","title":"Federalism and fiscal equity","volume":"40","author":[{"family":"Buchanan","given":"James"}],"issued":{"date-parts":[["1950"]]}}}],"schema":"https://github.com/citation-style-language/schema/raw/master/csl-citation.json"} </w:instrText>
            </w:r>
            <w:r w:rsidR="00BF79AD">
              <w:rPr>
                <w:rFonts w:cs="Arial"/>
                <w:highlight w:val="yellow"/>
              </w:rPr>
              <w:fldChar w:fldCharType="separate"/>
            </w:r>
            <w:r w:rsidR="00BF79AD" w:rsidRPr="00BF79AD">
              <w:rPr>
                <w:rFonts w:cs="Open Sans"/>
              </w:rPr>
              <w:t>(Buchanan 1950)</w:t>
            </w:r>
            <w:r w:rsidR="00BF79AD">
              <w:rPr>
                <w:rFonts w:cs="Arial"/>
                <w:highlight w:val="yellow"/>
              </w:rPr>
              <w:fldChar w:fldCharType="end"/>
            </w:r>
            <w:r w:rsidRPr="00AE7E35">
              <w:rPr>
                <w:rFonts w:cs="Arial"/>
              </w:rPr>
              <w:t xml:space="preserve">, and with vertical equity to the extent that jurisdictions with higher fiscal capacities </w:t>
            </w:r>
            <w:r>
              <w:rPr>
                <w:rFonts w:cs="Arial"/>
              </w:rPr>
              <w:t>receive</w:t>
            </w:r>
            <w:r w:rsidRPr="00AE7E35">
              <w:rPr>
                <w:rFonts w:cs="Arial"/>
              </w:rPr>
              <w:t xml:space="preserve"> less assistance.</w:t>
            </w:r>
          </w:p>
          <w:p w14:paraId="07C538E0" w14:textId="4C8E91AE" w:rsidR="003C0037" w:rsidRPr="00AE7E35" w:rsidRDefault="003C0037">
            <w:pPr>
              <w:pStyle w:val="BodyText"/>
              <w:rPr>
                <w:rFonts w:cs="Arial"/>
              </w:rPr>
            </w:pPr>
            <w:r w:rsidRPr="00AE7E35">
              <w:rPr>
                <w:rFonts w:cs="Arial"/>
              </w:rPr>
              <w:t>Desert</w:t>
            </w:r>
            <w:r w:rsidR="008925BE">
              <w:rPr>
                <w:rFonts w:cs="Arial"/>
              </w:rPr>
              <w:noBreakHyphen/>
            </w:r>
            <w:r w:rsidRPr="00AE7E35">
              <w:rPr>
                <w:rFonts w:cs="Arial"/>
              </w:rPr>
              <w:t xml:space="preserve">based perspectives are also evident in arguments that the </w:t>
            </w:r>
            <w:r w:rsidR="00875153">
              <w:rPr>
                <w:rFonts w:cs="Arial"/>
              </w:rPr>
              <w:t>HFE system</w:t>
            </w:r>
            <w:r w:rsidRPr="00AE7E35">
              <w:rPr>
                <w:rFonts w:cs="Arial"/>
              </w:rPr>
              <w:t xml:space="preserve"> m</w:t>
            </w:r>
            <w:r>
              <w:rPr>
                <w:rFonts w:cs="Arial"/>
              </w:rPr>
              <w:t>ight</w:t>
            </w:r>
            <w:r w:rsidRPr="00AE7E35">
              <w:rPr>
                <w:rFonts w:cs="Arial"/>
              </w:rPr>
              <w:t xml:space="preserve"> discourage state efforts to develop their economies if successful development leads to lower GST </w:t>
            </w:r>
            <w:r w:rsidR="0020155F">
              <w:rPr>
                <w:rFonts w:cs="Arial"/>
              </w:rPr>
              <w:t xml:space="preserve">revenue </w:t>
            </w:r>
            <w:r w:rsidRPr="00AE7E35">
              <w:rPr>
                <w:rFonts w:cs="Arial"/>
              </w:rPr>
              <w:t xml:space="preserve">shares. Where these opportunities arise from natural resource endowments, geological </w:t>
            </w:r>
            <w:r w:rsidR="008925BE">
              <w:rPr>
                <w:rFonts w:cs="Arial"/>
              </w:rPr>
              <w:t>‘</w:t>
            </w:r>
            <w:r w:rsidRPr="00AE7E35">
              <w:rPr>
                <w:rFonts w:cs="Arial"/>
              </w:rPr>
              <w:t>luck</w:t>
            </w:r>
            <w:r w:rsidR="008925BE">
              <w:rPr>
                <w:rFonts w:cs="Arial"/>
              </w:rPr>
              <w:t>’</w:t>
            </w:r>
            <w:r w:rsidRPr="00AE7E35">
              <w:rPr>
                <w:rFonts w:cs="Arial"/>
              </w:rPr>
              <w:t xml:space="preserve"> </w:t>
            </w:r>
            <w:r w:rsidR="009962B4">
              <w:rPr>
                <w:rFonts w:cs="Arial"/>
              </w:rPr>
              <w:t>might</w:t>
            </w:r>
            <w:r w:rsidRPr="00AE7E35">
              <w:rPr>
                <w:rFonts w:cs="Arial"/>
              </w:rPr>
              <w:t xml:space="preserve"> be cited as a justification for sharing at least some resource</w:t>
            </w:r>
            <w:r w:rsidR="008925BE">
              <w:rPr>
                <w:rFonts w:cs="Arial"/>
              </w:rPr>
              <w:noBreakHyphen/>
            </w:r>
            <w:r w:rsidRPr="00AE7E35">
              <w:rPr>
                <w:rFonts w:cs="Arial"/>
              </w:rPr>
              <w:t xml:space="preserve">related revenues across the </w:t>
            </w:r>
            <w:r w:rsidR="00666F3C">
              <w:rPr>
                <w:rFonts w:cs="Arial"/>
              </w:rPr>
              <w:t>country</w:t>
            </w:r>
            <w:r w:rsidRPr="00AE7E35">
              <w:rPr>
                <w:rFonts w:cs="Arial"/>
              </w:rPr>
              <w:t xml:space="preserve">, rather than allocating them solely to the states in which they arise </w:t>
            </w:r>
            <w:r w:rsidR="008D0584">
              <w:rPr>
                <w:rFonts w:cs="Open Sans"/>
                <w:highlight w:val="yellow"/>
              </w:rPr>
              <w:fldChar w:fldCharType="begin"/>
            </w:r>
            <w:r w:rsidR="008D0584">
              <w:rPr>
                <w:rFonts w:cs="Open Sans"/>
                <w:highlight w:val="yellow"/>
              </w:rPr>
              <w:instrText xml:space="preserve"> ADDIN ZOTERO_ITEM CSL_CITATION {"citationID":"SAESpuxf","properties":{"formattedCitation":"(Collier\\uc0\\u160{}2014)","plainCitation":"(Collier 2014)","noteIndex":0},"citationItems":[{"id":7077,"uris":["http://zotero.org/groups/6174966/items/3DDTSFFW"],"itemData":{"id":7077,"type":"article-journal","container-title":"Journal of Global Ethics","issue":"1","page":"45-52","title":"The ethics of natural assets","volume":"10","author":[{"family":"Collier","given":"Paul"}],"issued":{"date-parts":[["2014",1]]}}}],"schema":"https://github.com/citation-style-language/schema/raw/master/csl-citation.json"} </w:instrText>
            </w:r>
            <w:r w:rsidR="008D0584">
              <w:rPr>
                <w:rFonts w:cs="Open Sans"/>
                <w:highlight w:val="yellow"/>
              </w:rPr>
              <w:fldChar w:fldCharType="separate"/>
            </w:r>
            <w:r w:rsidR="008D0584" w:rsidRPr="008D0584">
              <w:rPr>
                <w:rFonts w:cs="Open Sans"/>
              </w:rPr>
              <w:t>(Collier 2014)</w:t>
            </w:r>
            <w:r w:rsidR="008D0584">
              <w:rPr>
                <w:rFonts w:cs="Open Sans"/>
                <w:highlight w:val="yellow"/>
              </w:rPr>
              <w:fldChar w:fldCharType="end"/>
            </w:r>
            <w:r w:rsidR="00250117">
              <w:rPr>
                <w:rFonts w:cs="Open Sans"/>
              </w:rPr>
              <w:t>.</w:t>
            </w:r>
            <w:r w:rsidRPr="00AE7E35">
              <w:rPr>
                <w:rFonts w:cs="Arial"/>
              </w:rPr>
              <w:t xml:space="preserve"> </w:t>
            </w:r>
            <w:r>
              <w:rPr>
                <w:rFonts w:cs="Arial"/>
              </w:rPr>
              <w:t>In part, desert</w:t>
            </w:r>
            <w:r w:rsidR="008925BE">
              <w:rPr>
                <w:rFonts w:cs="Arial"/>
              </w:rPr>
              <w:noBreakHyphen/>
            </w:r>
            <w:r>
              <w:rPr>
                <w:rFonts w:cs="Arial"/>
              </w:rPr>
              <w:t>based conceptions of equity can be partly viewed through the efficiency elements of the framework, which estimates the degree to which policy choices made by governments can lead to reductions in their GST distributions under different GST distribution systems.</w:t>
            </w:r>
          </w:p>
          <w:p w14:paraId="0EBE7D5E" w14:textId="24FD67B0" w:rsidR="007519D6" w:rsidRDefault="003C0037" w:rsidP="00D34DBC">
            <w:r w:rsidRPr="00AE7E35">
              <w:rPr>
                <w:rFonts w:cs="Arial"/>
              </w:rPr>
              <w:t xml:space="preserve">Decisions about which </w:t>
            </w:r>
            <w:r>
              <w:rPr>
                <w:rFonts w:cs="Arial"/>
              </w:rPr>
              <w:t>conceptions</w:t>
            </w:r>
            <w:r w:rsidRPr="00AE7E35">
              <w:rPr>
                <w:rFonts w:cs="Arial"/>
              </w:rPr>
              <w:t xml:space="preserve"> of </w:t>
            </w:r>
            <w:r>
              <w:rPr>
                <w:rFonts w:cs="Arial"/>
              </w:rPr>
              <w:t>equity</w:t>
            </w:r>
            <w:r w:rsidRPr="00AE7E35">
              <w:rPr>
                <w:rFonts w:cs="Arial"/>
              </w:rPr>
              <w:t xml:space="preserve"> are most important are ultimately social choices </w:t>
            </w:r>
            <w:r w:rsidRPr="007E0DA0">
              <w:t>that the PC cannot definitively adjudicate on, but which it can help to inform</w:t>
            </w:r>
            <w:r w:rsidR="002B205B">
              <w:t xml:space="preserve">. These social choices can be viewed through a social contract lens </w:t>
            </w:r>
            <w:r w:rsidR="00C33BB8" w:rsidRPr="002B205B">
              <w:rPr>
                <w:rFonts w:cs="Arial"/>
              </w:rPr>
              <w:fldChar w:fldCharType="begin"/>
            </w:r>
            <w:r w:rsidR="00114402">
              <w:rPr>
                <w:rFonts w:cs="Arial"/>
              </w:rPr>
              <w:instrText xml:space="preserve"> ADDIN ZOTERO_ITEM CSL_CITATION {"citationID":"EzxuioKT","properties":{"unsorted":false,"formattedCitation":"(Hobbes\\uc0\\u160{}1651; Locke\\uc0\\u160{}1690; Rawls\\uc0\\u160{}1971; Rousseau\\uc0\\u160{}1762)","plainCitation":"(Hobbes 1651; Locke 1690; Rawls 1971; Rousseau 1762)","noteIndex":0},"citationItems":[{"id":3562,"uris":["http://zotero.org/groups/6174966/items/9UMUIGG2"],"itemData":{"id":3562,"type":"book","event-place":"London","publisher-place":"London","title":"Leviathan","author":[{"family":"Hobbes","given":"Thomas"}],"issued":{"date-parts":[["1651"]]}}},{"id":7064,"uris":["http://zotero.org/groups/6174966/items/265PQUJQ"],"itemData":{"id":7064,"type":"book","publisher":"Awnsham Churchill","title":"Second Treastise of Government","author":[{"family":"Locke","given":"John"}],"issued":{"date-parts":[["1690"]]}}},{"id":7066,"uris":["http://zotero.org/groups/6174966/items/56UDVKB4"],"itemData":{"id":7066,"type":"book","event-place":"Cambridge","publisher":"Harvard University Press","publisher-place":"Cambridge","title":"A Theory of Justice","author":[{"family":"Rawls","given":"John"}],"issued":{"date-parts":[["1971"]]}}},{"id":7065,"uris":["http://zotero.org/groups/6174966/items/DJYEYFYP"],"itemData":{"id":7065,"type":"book","event-place":"Amsterdam","publisher":"Marc-Michel Rey","publisher-place":"Amsterdam","title":"The Social Contract","author":[{"family":"Rousseau","given":"Jean Jacques"}],"issued":{"date-parts":[["1762"]]}}}],"schema":"https://github.com/citation-style-language/schema/raw/master/csl-citation.json"} </w:instrText>
            </w:r>
            <w:r w:rsidR="00C33BB8" w:rsidRPr="002B205B">
              <w:rPr>
                <w:rFonts w:cs="Arial"/>
              </w:rPr>
              <w:fldChar w:fldCharType="separate"/>
            </w:r>
            <w:r w:rsidR="0086697E" w:rsidRPr="0086697E">
              <w:rPr>
                <w:rFonts w:cs="Open Sans"/>
              </w:rPr>
              <w:t>(Hobbes 1651; Locke 1690; Rawls 1971; Rousseau 1762)</w:t>
            </w:r>
            <w:r w:rsidR="00C33BB8" w:rsidRPr="002B205B">
              <w:rPr>
                <w:rFonts w:cs="Arial"/>
              </w:rPr>
              <w:fldChar w:fldCharType="end"/>
            </w:r>
            <w:r w:rsidRPr="002B205B">
              <w:rPr>
                <w:rFonts w:cs="Arial"/>
              </w:rPr>
              <w:t>.</w:t>
            </w:r>
            <w:r>
              <w:rPr>
                <w:rFonts w:cs="Arial"/>
              </w:rPr>
              <w:t xml:space="preserve"> </w:t>
            </w:r>
            <w:r w:rsidRPr="007E0DA0">
              <w:t xml:space="preserve">The PC has sought to do so by communicating which equity lenses align with fiscal </w:t>
            </w:r>
            <w:proofErr w:type="gramStart"/>
            <w:r w:rsidRPr="007E0DA0">
              <w:t>equalisation</w:t>
            </w:r>
            <w:r>
              <w:rPr>
                <w:rFonts w:cs="Arial"/>
                <w:lang w:val="en-US"/>
              </w:rPr>
              <w:t>, and</w:t>
            </w:r>
            <w:proofErr w:type="gramEnd"/>
            <w:r>
              <w:rPr>
                <w:rFonts w:cs="Arial"/>
                <w:lang w:val="en-US"/>
              </w:rPr>
              <w:t xml:space="preserve"> </w:t>
            </w:r>
            <w:r w:rsidRPr="00AE7E35">
              <w:rPr>
                <w:rFonts w:cs="Arial"/>
                <w:lang w:val="en-US"/>
              </w:rPr>
              <w:t xml:space="preserve">estimating the degree of </w:t>
            </w:r>
            <w:proofErr w:type="spellStart"/>
            <w:r>
              <w:rPr>
                <w:rFonts w:cs="Arial"/>
                <w:lang w:val="en-US"/>
              </w:rPr>
              <w:t>equalisation</w:t>
            </w:r>
            <w:proofErr w:type="spellEnd"/>
            <w:r w:rsidRPr="00AE7E35">
              <w:rPr>
                <w:rFonts w:cs="Arial"/>
                <w:lang w:val="en-US"/>
              </w:rPr>
              <w:t xml:space="preserve"> that </w:t>
            </w:r>
            <w:r>
              <w:rPr>
                <w:rFonts w:cs="Arial"/>
                <w:lang w:val="en-US"/>
              </w:rPr>
              <w:t>can be</w:t>
            </w:r>
            <w:r w:rsidRPr="00AE7E35">
              <w:rPr>
                <w:rFonts w:cs="Arial"/>
                <w:lang w:val="en-US"/>
              </w:rPr>
              <w:t xml:space="preserve"> achieved by </w:t>
            </w:r>
            <w:r>
              <w:rPr>
                <w:rFonts w:cs="Arial"/>
                <w:lang w:val="en-US"/>
              </w:rPr>
              <w:t xml:space="preserve">different </w:t>
            </w:r>
            <w:r w:rsidRPr="00AE7E35">
              <w:rPr>
                <w:rFonts w:cs="Arial"/>
                <w:lang w:val="en-US"/>
              </w:rPr>
              <w:t>GST distribution system</w:t>
            </w:r>
            <w:r>
              <w:rPr>
                <w:rFonts w:cs="Arial"/>
                <w:lang w:val="en-US"/>
              </w:rPr>
              <w:t>s</w:t>
            </w:r>
            <w:r w:rsidRPr="00AE7E35">
              <w:rPr>
                <w:rFonts w:cs="Arial"/>
                <w:lang w:val="en-US"/>
              </w:rPr>
              <w:t>.</w:t>
            </w:r>
          </w:p>
        </w:tc>
      </w:tr>
      <w:tr w:rsidR="007519D6" w14:paraId="58B019EA" w14:textId="77777777">
        <w:trPr>
          <w:hidden/>
        </w:trPr>
        <w:tc>
          <w:tcPr>
            <w:tcW w:w="9638" w:type="dxa"/>
            <w:shd w:val="clear" w:color="auto" w:fill="auto"/>
            <w:tcMar>
              <w:top w:w="0" w:type="dxa"/>
              <w:left w:w="170" w:type="dxa"/>
              <w:bottom w:w="0" w:type="dxa"/>
              <w:right w:w="170" w:type="dxa"/>
            </w:tcMar>
          </w:tcPr>
          <w:p w14:paraId="64F9A808" w14:textId="35E1B6F8" w:rsidR="007519D6" w:rsidRPr="00465191" w:rsidRDefault="007519D6">
            <w:pPr>
              <w:pStyle w:val="BodyText"/>
              <w:spacing w:before="0" w:after="0" w:line="80" w:lineRule="atLeast"/>
              <w:rPr>
                <w:smallCaps/>
                <w:vanish/>
              </w:rPr>
            </w:pPr>
          </w:p>
        </w:tc>
      </w:tr>
    </w:tbl>
    <w:p w14:paraId="77A423E1" w14:textId="2DB7B508" w:rsidR="000A3D27" w:rsidRPr="000A3D27" w:rsidRDefault="000A3D27" w:rsidP="000D3996">
      <w:pPr>
        <w:pStyle w:val="Heading3-noTOC"/>
      </w:pPr>
      <w:r>
        <w:lastRenderedPageBreak/>
        <w:t>H</w:t>
      </w:r>
      <w:r w:rsidR="00D53890">
        <w:t xml:space="preserve">ow the </w:t>
      </w:r>
      <w:r w:rsidR="00D97B64">
        <w:t>inquiry has defined efficiency</w:t>
      </w:r>
    </w:p>
    <w:p w14:paraId="53C6BA1A" w14:textId="6A12E164" w:rsidR="00B93508" w:rsidRDefault="00B93508" w:rsidP="000D3996">
      <w:pPr>
        <w:pStyle w:val="BodyText"/>
        <w:keepNext/>
        <w:keepLines/>
        <w:rPr>
          <w:rFonts w:cs="Arial"/>
          <w:lang w:val="en-US"/>
        </w:rPr>
      </w:pPr>
      <w:r>
        <w:rPr>
          <w:rFonts w:cs="Arial"/>
          <w:lang w:val="en-US"/>
        </w:rPr>
        <w:t>In a</w:t>
      </w:r>
      <w:r w:rsidR="002B205B">
        <w:rPr>
          <w:rFonts w:cs="Arial"/>
          <w:lang w:val="en-US"/>
        </w:rPr>
        <w:t xml:space="preserve"> fiscal </w:t>
      </w:r>
      <w:proofErr w:type="spellStart"/>
      <w:r w:rsidR="002B205B">
        <w:rPr>
          <w:rFonts w:cs="Arial"/>
          <w:lang w:val="en-US"/>
        </w:rPr>
        <w:t>equalisation</w:t>
      </w:r>
      <w:proofErr w:type="spellEnd"/>
      <w:r>
        <w:rPr>
          <w:rFonts w:cs="Arial"/>
          <w:lang w:val="en-US"/>
        </w:rPr>
        <w:t xml:space="preserve"> setting, efficiency relates to the extent to which different GST distribution systems could potentially distort the policy choices of governments. Ideally, a GST distribution system would be policy neutral, having no impact on state government policy choices (box B.2). This could potentially occur if some policy choices led to material reductions in GST</w:t>
      </w:r>
      <w:r w:rsidR="009A1D9E">
        <w:rPr>
          <w:rFonts w:cs="Arial"/>
          <w:lang w:val="en-US"/>
        </w:rPr>
        <w:t xml:space="preserve"> revenue</w:t>
      </w:r>
      <w:r>
        <w:rPr>
          <w:rFonts w:cs="Arial"/>
          <w:lang w:val="en-US"/>
        </w:rPr>
        <w:t xml:space="preserve"> distributions to that state, or where some policy choices led to larger changes in GST revenues than others. Where this occurs, it is plausible that, all else equal, states might decide against</w:t>
      </w:r>
      <w:r w:rsidDel="00122D09">
        <w:rPr>
          <w:rFonts w:cs="Arial"/>
          <w:lang w:val="en-US"/>
        </w:rPr>
        <w:t xml:space="preserve"> </w:t>
      </w:r>
      <w:r>
        <w:rPr>
          <w:rFonts w:cs="Arial"/>
          <w:lang w:val="en-US"/>
        </w:rPr>
        <w:t xml:space="preserve">policies that have notable negative effects on their GST </w:t>
      </w:r>
      <w:r w:rsidR="00945864">
        <w:rPr>
          <w:rFonts w:cs="Arial"/>
          <w:lang w:val="en-US"/>
        </w:rPr>
        <w:t xml:space="preserve">revenue </w:t>
      </w:r>
      <w:r>
        <w:rPr>
          <w:rFonts w:cs="Arial"/>
          <w:lang w:val="en-US"/>
        </w:rPr>
        <w:t>distribution. These effects would likely be at the margin, given that any policy decision reflects multiple considerations</w:t>
      </w:r>
      <w:r w:rsidR="00EA0002">
        <w:rPr>
          <w:rFonts w:cs="Arial"/>
          <w:lang w:val="en-US"/>
        </w:rPr>
        <w:t>,</w:t>
      </w:r>
      <w:r>
        <w:rPr>
          <w:rFonts w:cs="Arial"/>
          <w:lang w:val="en-US"/>
        </w:rPr>
        <w:t xml:space="preserve"> including broader economic and social impacts.</w:t>
      </w:r>
    </w:p>
    <w:p w14:paraId="09DE6691" w14:textId="22C7EDAA" w:rsidR="00B93508" w:rsidRPr="007A0BB1" w:rsidRDefault="00B93508" w:rsidP="00B93508">
      <w:pPr>
        <w:pStyle w:val="BodyText"/>
        <w:rPr>
          <w:rFonts w:cs="Arial"/>
          <w:spacing w:val="-4"/>
          <w:lang w:val="en-US"/>
        </w:rPr>
      </w:pPr>
      <w:r w:rsidRPr="007A0BB1">
        <w:rPr>
          <w:rFonts w:cs="Arial"/>
          <w:spacing w:val="-4"/>
          <w:lang w:val="en-US"/>
        </w:rPr>
        <w:t>The evidence reviewed by the inquiry to date has not</w:t>
      </w:r>
      <w:r w:rsidRPr="007A0BB1" w:rsidDel="00821ABC">
        <w:rPr>
          <w:rFonts w:cs="Arial"/>
          <w:spacing w:val="-4"/>
          <w:lang w:val="en-US"/>
        </w:rPr>
        <w:t xml:space="preserve"> </w:t>
      </w:r>
      <w:r w:rsidRPr="007A0BB1">
        <w:rPr>
          <w:rFonts w:cs="Arial"/>
          <w:spacing w:val="-4"/>
          <w:lang w:val="en-US"/>
        </w:rPr>
        <w:t>established that the GST distribution system that preceded the 2018 reforms distorted state policy choices, though it does appear that the likelihood of such outcomes are higher in the case of the mining assessment, where dominant</w:t>
      </w:r>
      <w:r w:rsidR="008925BE" w:rsidRPr="007A0BB1">
        <w:rPr>
          <w:rFonts w:cs="Arial"/>
          <w:spacing w:val="-4"/>
          <w:lang w:val="en-US"/>
        </w:rPr>
        <w:noBreakHyphen/>
      </w:r>
      <w:r w:rsidRPr="007A0BB1">
        <w:rPr>
          <w:rFonts w:cs="Arial"/>
          <w:spacing w:val="-4"/>
          <w:lang w:val="en-US"/>
        </w:rPr>
        <w:t xml:space="preserve">state effects can drive notable reductions in GST distributions in responses to changes in natural resource pricing by state governments. It follows that any increase in efficiency is likely to be only marginal, relative to </w:t>
      </w:r>
      <w:r w:rsidR="00C87362" w:rsidRPr="007A0BB1">
        <w:rPr>
          <w:rFonts w:cs="Arial"/>
          <w:spacing w:val="-4"/>
          <w:lang w:val="en-US"/>
        </w:rPr>
        <w:t>a pre-2018 system</w:t>
      </w:r>
      <w:r w:rsidRPr="007A0BB1">
        <w:rPr>
          <w:rFonts w:cs="Arial"/>
          <w:spacing w:val="-4"/>
          <w:lang w:val="en-US"/>
        </w:rPr>
        <w:t xml:space="preserve">. </w:t>
      </w:r>
    </w:p>
    <w:p w14:paraId="34118A77" w14:textId="77777777" w:rsidR="00B93508" w:rsidRDefault="00B93508" w:rsidP="00B93508">
      <w:pPr>
        <w:pStyle w:val="BodyText"/>
        <w:rPr>
          <w:rFonts w:cs="Arial"/>
          <w:lang w:val="en-US"/>
        </w:rPr>
      </w:pPr>
      <w:r>
        <w:rPr>
          <w:rFonts w:cs="Arial"/>
          <w:lang w:val="en-US"/>
        </w:rPr>
        <w:t xml:space="preserve">To assess the efficiency properties of each GST distribution system, the inquiry estimated the GST distribution impacts, and their range, for a bundle of standard state tax system reform directions. This estimation approach is set out in section B.3. </w:t>
      </w:r>
    </w:p>
    <w:p w14:paraId="25B65D8A" w14:textId="2BCE658E" w:rsidR="000A3D27" w:rsidRPr="00DC402D" w:rsidRDefault="00B93508" w:rsidP="000A3D27">
      <w:pPr>
        <w:pStyle w:val="BodyText"/>
        <w:rPr>
          <w:rFonts w:cs="Arial"/>
          <w:lang w:val="en-US"/>
        </w:rPr>
      </w:pPr>
      <w:r>
        <w:rPr>
          <w:rFonts w:cs="Arial"/>
          <w:lang w:val="en-US"/>
        </w:rPr>
        <w:t xml:space="preserve">Consistent with the previous discussion of fiscal </w:t>
      </w:r>
      <w:proofErr w:type="spellStart"/>
      <w:r>
        <w:rPr>
          <w:rFonts w:cs="Arial"/>
          <w:lang w:val="en-US"/>
        </w:rPr>
        <w:t>equalisation</w:t>
      </w:r>
      <w:proofErr w:type="spellEnd"/>
      <w:r>
        <w:rPr>
          <w:rFonts w:cs="Arial"/>
          <w:lang w:val="en-US"/>
        </w:rPr>
        <w:t xml:space="preserve"> being the primary policy goal of the GST distribution system, efficiency is regarded by the inquiry as a reasonable constraint on the degree of the </w:t>
      </w:r>
      <w:proofErr w:type="spellStart"/>
      <w:r>
        <w:rPr>
          <w:rFonts w:cs="Arial"/>
          <w:lang w:val="en-US"/>
        </w:rPr>
        <w:t>equalisation</w:t>
      </w:r>
      <w:proofErr w:type="spellEnd"/>
      <w:r>
        <w:rPr>
          <w:rFonts w:cs="Arial"/>
          <w:lang w:val="en-US"/>
        </w:rPr>
        <w:t xml:space="preserve"> of the system, but only where the costs of policy distortions are material, and where they cannot be managed by other policy tools.</w:t>
      </w:r>
    </w:p>
    <w:p w14:paraId="06755088" w14:textId="3CAE26D6" w:rsidR="00A7605E" w:rsidRPr="00F82BD9" w:rsidRDefault="00A7605E">
      <w:pPr>
        <w:pStyle w:val="NoSpacing"/>
      </w:pPr>
    </w:p>
    <w:tbl>
      <w:tblPr>
        <w:tblStyle w:val="Boxtable"/>
        <w:tblW w:w="5000" w:type="pct"/>
        <w:tblLook w:val="04A0" w:firstRow="1" w:lastRow="0" w:firstColumn="1" w:lastColumn="0" w:noHBand="0" w:noVBand="1"/>
      </w:tblPr>
      <w:tblGrid>
        <w:gridCol w:w="9638"/>
      </w:tblGrid>
      <w:tr w:rsidR="00A7605E" w14:paraId="3DDAFDD3" w14:textId="77777777">
        <w:trPr>
          <w:tblHeader/>
        </w:trPr>
        <w:tc>
          <w:tcPr>
            <w:tcW w:w="9638" w:type="dxa"/>
            <w:shd w:val="clear" w:color="auto" w:fill="EBEBEB"/>
            <w:tcMar>
              <w:top w:w="170" w:type="dxa"/>
              <w:left w:w="170" w:type="dxa"/>
              <w:bottom w:w="113" w:type="dxa"/>
              <w:right w:w="170" w:type="dxa"/>
            </w:tcMar>
            <w:hideMark/>
          </w:tcPr>
          <w:p w14:paraId="5D9F2854" w14:textId="257127D5" w:rsidR="00A7605E" w:rsidRDefault="00A7605E">
            <w:pPr>
              <w:pStyle w:val="BoxHeading1"/>
            </w:pPr>
            <w:r>
              <w:t xml:space="preserve">Box </w:t>
            </w:r>
            <w:fldSimple w:instr=" STYLEREF  \s Heading-Appendix ">
              <w:r w:rsidR="004C5D0E">
                <w:rPr>
                  <w:noProof/>
                </w:rPr>
                <w:t>B</w:t>
              </w:r>
            </w:fldSimple>
            <w:r>
              <w:t>.</w:t>
            </w:r>
            <w:fldSimple w:instr=" SEQ Box \* ARABIC \s 1 ">
              <w:r w:rsidR="004C5D0E">
                <w:rPr>
                  <w:noProof/>
                </w:rPr>
                <w:t>2</w:t>
              </w:r>
            </w:fldSimple>
            <w:r>
              <w:t xml:space="preserve"> – </w:t>
            </w:r>
            <w:r w:rsidR="00B25B8A" w:rsidRPr="00B25B8A">
              <w:t>Policy neutrality and the efficiency of the GST distribution system</w:t>
            </w:r>
          </w:p>
        </w:tc>
      </w:tr>
      <w:tr w:rsidR="00A7605E" w14:paraId="657404A3" w14:textId="77777777">
        <w:tc>
          <w:tcPr>
            <w:tcW w:w="9638" w:type="dxa"/>
            <w:shd w:val="clear" w:color="auto" w:fill="EBEBEB"/>
            <w:tcMar>
              <w:top w:w="28" w:type="dxa"/>
              <w:left w:w="170" w:type="dxa"/>
              <w:bottom w:w="170" w:type="dxa"/>
              <w:right w:w="170" w:type="dxa"/>
            </w:tcMar>
            <w:hideMark/>
          </w:tcPr>
          <w:p w14:paraId="6CE9CDB8" w14:textId="77777777" w:rsidR="00235FF3" w:rsidRPr="00AE7E35" w:rsidRDefault="00235FF3">
            <w:pPr>
              <w:pStyle w:val="BodyText"/>
              <w:rPr>
                <w:rFonts w:cs="Arial"/>
                <w:b/>
                <w:bCs/>
                <w:lang w:val="en-US"/>
              </w:rPr>
            </w:pPr>
            <w:r w:rsidRPr="00AE7E35">
              <w:rPr>
                <w:rFonts w:cs="Arial"/>
                <w:lang w:val="en-US"/>
              </w:rPr>
              <w:t xml:space="preserve">In a world with unlimited needs and wants, but only scarce resources, choices need to be made about what uses those resources are put to. When resources are allocated in line with the preferences of a society, a society is said to achieve </w:t>
            </w:r>
            <w:r w:rsidRPr="00AE7E35">
              <w:rPr>
                <w:rFonts w:cs="Arial"/>
                <w:i/>
                <w:iCs/>
                <w:lang w:val="en-US"/>
              </w:rPr>
              <w:t>allocative efficiency</w:t>
            </w:r>
            <w:r w:rsidRPr="00AE7E35">
              <w:rPr>
                <w:rFonts w:cs="Arial"/>
                <w:lang w:val="en-US"/>
              </w:rPr>
              <w:t xml:space="preserve">. When those preferences are </w:t>
            </w:r>
            <w:r>
              <w:rPr>
                <w:rFonts w:cs="Arial"/>
                <w:lang w:val="en-US"/>
              </w:rPr>
              <w:t>provided for</w:t>
            </w:r>
            <w:r w:rsidRPr="00AE7E35">
              <w:rPr>
                <w:rFonts w:cs="Arial"/>
                <w:lang w:val="en-US"/>
              </w:rPr>
              <w:t xml:space="preserve"> using the least </w:t>
            </w:r>
            <w:proofErr w:type="gramStart"/>
            <w:r w:rsidRPr="00AE7E35">
              <w:rPr>
                <w:rFonts w:cs="Arial"/>
                <w:lang w:val="en-US"/>
              </w:rPr>
              <w:t>amount</w:t>
            </w:r>
            <w:proofErr w:type="gramEnd"/>
            <w:r w:rsidRPr="00AE7E35">
              <w:rPr>
                <w:rFonts w:cs="Arial"/>
                <w:lang w:val="en-US"/>
              </w:rPr>
              <w:t xml:space="preserve"> of resources possible, it is said to achieve </w:t>
            </w:r>
            <w:r w:rsidRPr="00AE7E35">
              <w:rPr>
                <w:rFonts w:cs="Arial"/>
                <w:i/>
                <w:iCs/>
                <w:lang w:val="en-US"/>
              </w:rPr>
              <w:t>productive efficiency</w:t>
            </w:r>
            <w:r w:rsidRPr="00AE7E35">
              <w:rPr>
                <w:rFonts w:cs="Arial"/>
                <w:lang w:val="en-US"/>
              </w:rPr>
              <w:t xml:space="preserve">. Both support the welfare of the Australian community. Allocative efficiency means that our scarce resources are being used for things that we </w:t>
            </w:r>
            <w:proofErr w:type="gramStart"/>
            <w:r w:rsidRPr="00AE7E35">
              <w:rPr>
                <w:rFonts w:cs="Arial"/>
                <w:lang w:val="en-US"/>
              </w:rPr>
              <w:t>actually value</w:t>
            </w:r>
            <w:proofErr w:type="gramEnd"/>
            <w:r w:rsidRPr="00AE7E35">
              <w:rPr>
                <w:rFonts w:cs="Arial"/>
                <w:lang w:val="en-US"/>
              </w:rPr>
              <w:t>, and productive efficiency means that we have more resources left over to produce other goods and services that we also value.</w:t>
            </w:r>
          </w:p>
          <w:p w14:paraId="6085FDF5" w14:textId="54F45525" w:rsidR="00235FF3" w:rsidRPr="00AE7E35" w:rsidRDefault="00235FF3">
            <w:pPr>
              <w:pStyle w:val="BodyText"/>
              <w:rPr>
                <w:rFonts w:cs="Arial"/>
                <w:lang w:eastAsia="en-AU"/>
              </w:rPr>
            </w:pPr>
            <w:r w:rsidRPr="00AE7E35">
              <w:rPr>
                <w:rFonts w:cs="Arial"/>
                <w:color w:val="000000"/>
                <w:lang w:val="en-US"/>
              </w:rPr>
              <w:t xml:space="preserve">Governments have an important role in this resource allocation system, establishing policy settings that give individuals and businesses the confidence to become producers, and individuals and households the confidence to buy from them. Government also has a role in addressing </w:t>
            </w:r>
            <w:r>
              <w:rPr>
                <w:rFonts w:cs="Arial"/>
                <w:color w:val="000000"/>
                <w:lang w:val="en-US"/>
              </w:rPr>
              <w:t>departures from efficiency (</w:t>
            </w:r>
            <w:r w:rsidRPr="00AE7E35">
              <w:rPr>
                <w:rFonts w:cs="Arial"/>
                <w:color w:val="000000"/>
                <w:lang w:val="en-US"/>
              </w:rPr>
              <w:t>market failures</w:t>
            </w:r>
            <w:r>
              <w:rPr>
                <w:rFonts w:cs="Arial"/>
                <w:color w:val="000000"/>
                <w:lang w:val="en-US"/>
              </w:rPr>
              <w:t>)</w:t>
            </w:r>
            <w:r w:rsidRPr="00AE7E35">
              <w:rPr>
                <w:rFonts w:cs="Arial"/>
                <w:color w:val="000000"/>
                <w:lang w:val="en-US"/>
              </w:rPr>
              <w:t xml:space="preserve"> or providing goods and services that market failures prevent businesses from meaningfully supplying.</w:t>
            </w:r>
          </w:p>
          <w:p w14:paraId="0F6C926C" w14:textId="406DE6C2" w:rsidR="00235FF3" w:rsidRPr="00AE7E35" w:rsidRDefault="00235FF3">
            <w:pPr>
              <w:pStyle w:val="BodyText"/>
              <w:rPr>
                <w:rFonts w:cs="Arial"/>
                <w:lang w:eastAsia="en-AU"/>
              </w:rPr>
            </w:pPr>
            <w:r w:rsidRPr="00AE7E35">
              <w:rPr>
                <w:rFonts w:cs="Arial"/>
                <w:color w:val="000000"/>
                <w:lang w:val="en-US"/>
              </w:rPr>
              <w:t>These activities help governments support allocative and productive efficiency,</w:t>
            </w:r>
            <w:r>
              <w:rPr>
                <w:rFonts w:cs="Arial"/>
                <w:color w:val="000000"/>
                <w:lang w:val="en-US"/>
              </w:rPr>
              <w:t xml:space="preserve"> promoting social welfare in the process.</w:t>
            </w:r>
            <w:r w:rsidRPr="00AE7E35">
              <w:rPr>
                <w:rFonts w:cs="Arial"/>
                <w:color w:val="000000"/>
                <w:lang w:val="en-US"/>
              </w:rPr>
              <w:t xml:space="preserve"> </w:t>
            </w:r>
            <w:r>
              <w:rPr>
                <w:rFonts w:cs="Arial"/>
                <w:color w:val="000000"/>
                <w:lang w:val="en-US"/>
              </w:rPr>
              <w:t>T</w:t>
            </w:r>
            <w:r w:rsidRPr="00AE7E35">
              <w:rPr>
                <w:rFonts w:cs="Arial"/>
                <w:color w:val="000000"/>
                <w:lang w:val="en-US"/>
              </w:rPr>
              <w:t xml:space="preserve">here are </w:t>
            </w:r>
            <w:proofErr w:type="gramStart"/>
            <w:r w:rsidRPr="00AE7E35">
              <w:rPr>
                <w:rFonts w:cs="Arial"/>
                <w:color w:val="000000"/>
                <w:lang w:val="en-US"/>
              </w:rPr>
              <w:t>a number of</w:t>
            </w:r>
            <w:proofErr w:type="gramEnd"/>
            <w:r w:rsidRPr="00AE7E35">
              <w:rPr>
                <w:rFonts w:cs="Arial"/>
                <w:color w:val="000000"/>
                <w:lang w:val="en-US"/>
              </w:rPr>
              <w:t xml:space="preserve"> ways</w:t>
            </w:r>
            <w:r>
              <w:rPr>
                <w:rFonts w:cs="Arial"/>
                <w:color w:val="000000"/>
                <w:lang w:val="en-US"/>
              </w:rPr>
              <w:t xml:space="preserve">, </w:t>
            </w:r>
            <w:r w:rsidRPr="00AE7E35">
              <w:rPr>
                <w:rFonts w:cs="Arial"/>
                <w:color w:val="000000"/>
                <w:lang w:val="en-US"/>
              </w:rPr>
              <w:t>both positive and negative</w:t>
            </w:r>
            <w:r>
              <w:rPr>
                <w:rFonts w:cs="Arial"/>
                <w:color w:val="000000"/>
                <w:lang w:val="en-US"/>
              </w:rPr>
              <w:t>,</w:t>
            </w:r>
            <w:r w:rsidRPr="00AE7E35">
              <w:rPr>
                <w:rFonts w:cs="Arial"/>
                <w:color w:val="000000"/>
                <w:lang w:val="en-US"/>
              </w:rPr>
              <w:t xml:space="preserve"> that </w:t>
            </w:r>
            <w:r w:rsidR="00875153">
              <w:rPr>
                <w:rFonts w:cs="Arial"/>
                <w:color w:val="000000"/>
                <w:lang w:val="en-US"/>
              </w:rPr>
              <w:t>HFE system</w:t>
            </w:r>
            <w:r w:rsidRPr="00AE7E35">
              <w:rPr>
                <w:rFonts w:cs="Arial"/>
                <w:color w:val="000000"/>
                <w:lang w:val="en-US"/>
              </w:rPr>
              <w:t>s can affect their ability to do so.</w:t>
            </w:r>
          </w:p>
          <w:p w14:paraId="5339FAB9" w14:textId="780EE997" w:rsidR="00235FF3" w:rsidRPr="00D55227" w:rsidRDefault="00235FF3" w:rsidP="00D55227">
            <w:pPr>
              <w:pStyle w:val="ListBullet"/>
            </w:pPr>
            <w:r w:rsidRPr="00D55227">
              <w:rPr>
                <w:b/>
                <w:bCs/>
              </w:rPr>
              <w:t>Getting funds to governments that have the most visibility of community preferences</w:t>
            </w:r>
            <w:r w:rsidRPr="00D55227">
              <w:t xml:space="preserve"> – In line with the </w:t>
            </w:r>
            <w:r w:rsidRPr="00C5042F">
              <w:rPr>
                <w:i/>
                <w:iCs/>
              </w:rPr>
              <w:t>subsidiarity principle</w:t>
            </w:r>
            <w:r w:rsidRPr="00D55227">
              <w:t xml:space="preserve">, untied fiscal transfers to state governments allow those </w:t>
            </w:r>
            <w:r w:rsidRPr="00D55227">
              <w:lastRenderedPageBreak/>
              <w:t xml:space="preserve">governments </w:t>
            </w:r>
            <w:r w:rsidR="006464D3">
              <w:t>c</w:t>
            </w:r>
            <w:r w:rsidR="00455FC7" w:rsidRPr="00D55227">
              <w:t>lose</w:t>
            </w:r>
            <w:r w:rsidR="00455FC7">
              <w:t>r</w:t>
            </w:r>
            <w:r w:rsidR="00455FC7" w:rsidRPr="00D55227">
              <w:t xml:space="preserve"> </w:t>
            </w:r>
            <w:r w:rsidRPr="00D55227">
              <w:t>to their communities to make judgements about what policy choices satisfy community preferences.</w:t>
            </w:r>
          </w:p>
          <w:p w14:paraId="72545B9A" w14:textId="1BB53CEB" w:rsidR="00235FF3" w:rsidRPr="00D55227" w:rsidRDefault="00235FF3" w:rsidP="00D55227">
            <w:pPr>
              <w:pStyle w:val="ListBullet"/>
            </w:pPr>
            <w:r w:rsidRPr="00D55227">
              <w:rPr>
                <w:b/>
                <w:bCs/>
              </w:rPr>
              <w:t>Extent to which</w:t>
            </w:r>
            <w:r w:rsidR="008F5BEA">
              <w:rPr>
                <w:b/>
                <w:bCs/>
              </w:rPr>
              <w:t xml:space="preserve"> the</w:t>
            </w:r>
            <w:r w:rsidRPr="00D55227">
              <w:rPr>
                <w:b/>
                <w:bCs/>
              </w:rPr>
              <w:t xml:space="preserve"> GST distribution system distorts the flow of resources to their most valued use</w:t>
            </w:r>
            <w:r w:rsidRPr="00D55227">
              <w:t xml:space="preserve"> – different GST distribution systems can potentially support labour mobility between jurisdictions, by reducing the extent to which the quality of public services acts as a factor when deciding where to move in Australia</w:t>
            </w:r>
            <w:r w:rsidRPr="00940B3F">
              <w:t>.</w:t>
            </w:r>
          </w:p>
          <w:p w14:paraId="294B1F54" w14:textId="6A538DDB" w:rsidR="00235FF3" w:rsidRPr="00B7628F" w:rsidRDefault="00235FF3" w:rsidP="00D55227">
            <w:pPr>
              <w:pStyle w:val="ListBullet"/>
              <w:rPr>
                <w:spacing w:val="-4"/>
              </w:rPr>
            </w:pPr>
            <w:r w:rsidRPr="00B7628F">
              <w:rPr>
                <w:b/>
                <w:bCs/>
                <w:spacing w:val="-4"/>
              </w:rPr>
              <w:t>Changes in GST</w:t>
            </w:r>
            <w:r w:rsidR="00364619" w:rsidRPr="00B7628F">
              <w:rPr>
                <w:b/>
                <w:bCs/>
                <w:spacing w:val="-4"/>
              </w:rPr>
              <w:t xml:space="preserve"> distribution</w:t>
            </w:r>
            <w:r w:rsidR="001B6CE3" w:rsidRPr="00B7628F">
              <w:rPr>
                <w:b/>
                <w:bCs/>
                <w:spacing w:val="-4"/>
              </w:rPr>
              <w:t>s</w:t>
            </w:r>
            <w:r w:rsidRPr="00B7628F">
              <w:rPr>
                <w:b/>
                <w:bCs/>
                <w:spacing w:val="-4"/>
              </w:rPr>
              <w:t xml:space="preserve"> might distort policy decisions</w:t>
            </w:r>
            <w:r w:rsidRPr="00B7628F">
              <w:rPr>
                <w:spacing w:val="-4"/>
              </w:rPr>
              <w:t xml:space="preserve"> </w:t>
            </w:r>
            <w:r w:rsidR="007B10F1" w:rsidRPr="00B7628F">
              <w:rPr>
                <w:spacing w:val="-4"/>
              </w:rPr>
              <w:t>–</w:t>
            </w:r>
            <w:r w:rsidRPr="00B7628F">
              <w:rPr>
                <w:spacing w:val="-4"/>
              </w:rPr>
              <w:t xml:space="preserve"> GST distribution systems can lead to changes in GST </w:t>
            </w:r>
            <w:r w:rsidR="00713DDD" w:rsidRPr="00B7628F">
              <w:rPr>
                <w:spacing w:val="-4"/>
              </w:rPr>
              <w:t>payments</w:t>
            </w:r>
            <w:r w:rsidRPr="00B7628F">
              <w:rPr>
                <w:spacing w:val="-4"/>
              </w:rPr>
              <w:t xml:space="preserve">. If policy changes lead to marked reductions in GST </w:t>
            </w:r>
            <w:r w:rsidR="00796A92" w:rsidRPr="00B7628F">
              <w:rPr>
                <w:spacing w:val="-4"/>
              </w:rPr>
              <w:t>payments</w:t>
            </w:r>
            <w:r w:rsidRPr="00B7628F">
              <w:rPr>
                <w:spacing w:val="-4"/>
              </w:rPr>
              <w:t>, or if some policy changes come with greater impacts on GST distributions than others, there is the possibility that policy choices will be distorted away from otherwise welfare</w:t>
            </w:r>
            <w:r w:rsidR="008925BE" w:rsidRPr="00B7628F">
              <w:rPr>
                <w:spacing w:val="-4"/>
              </w:rPr>
              <w:noBreakHyphen/>
            </w:r>
            <w:r w:rsidRPr="00B7628F">
              <w:rPr>
                <w:spacing w:val="-4"/>
              </w:rPr>
              <w:t>enhancing settings.</w:t>
            </w:r>
          </w:p>
          <w:p w14:paraId="2782F169" w14:textId="4F06E2EF" w:rsidR="00A7605E" w:rsidRDefault="00235FF3" w:rsidP="000E74F6">
            <w:r w:rsidRPr="00770428">
              <w:t>The degree to which GST distributions can potentially distort state policy decisions is how the PC has assessed the efficiency of alternative GST distribution mechanisms. The estimation approach taken by the PC is detailed in</w:t>
            </w:r>
            <w:r w:rsidR="00D55227">
              <w:t xml:space="preserve"> section </w:t>
            </w:r>
            <w:r>
              <w:t>B</w:t>
            </w:r>
            <w:r w:rsidRPr="00770428">
              <w:t>.3.</w:t>
            </w:r>
          </w:p>
        </w:tc>
      </w:tr>
      <w:tr w:rsidR="00A7605E" w14:paraId="4C768B04" w14:textId="77777777">
        <w:trPr>
          <w:hidden/>
        </w:trPr>
        <w:tc>
          <w:tcPr>
            <w:tcW w:w="9638" w:type="dxa"/>
            <w:shd w:val="clear" w:color="auto" w:fill="auto"/>
            <w:tcMar>
              <w:top w:w="0" w:type="dxa"/>
              <w:left w:w="170" w:type="dxa"/>
              <w:bottom w:w="0" w:type="dxa"/>
              <w:right w:w="170" w:type="dxa"/>
            </w:tcMar>
          </w:tcPr>
          <w:p w14:paraId="2EE2C399" w14:textId="17CF23AE" w:rsidR="00A7605E" w:rsidRPr="00465191" w:rsidRDefault="00A7605E">
            <w:pPr>
              <w:pStyle w:val="BodyText"/>
              <w:spacing w:before="0" w:after="0" w:line="80" w:lineRule="atLeast"/>
              <w:rPr>
                <w:smallCaps/>
                <w:vanish/>
              </w:rPr>
            </w:pPr>
          </w:p>
        </w:tc>
      </w:tr>
    </w:tbl>
    <w:p w14:paraId="3977F894" w14:textId="1611341F" w:rsidR="00A7605E" w:rsidRDefault="00D55227" w:rsidP="009B54BA">
      <w:pPr>
        <w:pStyle w:val="Heading3-noTOC"/>
      </w:pPr>
      <w:r>
        <w:t>How the inquiry has define</w:t>
      </w:r>
      <w:r w:rsidR="00264745">
        <w:t>d</w:t>
      </w:r>
      <w:r>
        <w:t xml:space="preserve"> fiscal sustainability</w:t>
      </w:r>
    </w:p>
    <w:p w14:paraId="01FAAE1D" w14:textId="5A1B79C2" w:rsidR="00610834" w:rsidRPr="00EB637B" w:rsidRDefault="00E97245" w:rsidP="00610834">
      <w:pPr>
        <w:pStyle w:val="BodyText"/>
      </w:pPr>
      <w:r>
        <w:t xml:space="preserve">A government’s fiscal sustainability can be defined as its ability to maintain its current spending, tax and other related policies into the long term, without a threat to its solvency or the need for large and sudden adjustments to policy settings (box B.3) </w:t>
      </w:r>
      <w:r>
        <w:fldChar w:fldCharType="begin"/>
      </w:r>
      <w:r w:rsidR="00114402">
        <w:instrText xml:space="preserve"> ADDIN ZOTERO_ITEM CSL_CITATION {"citationID":"lInbDLTe","properties":{"unsorted":false,"formattedCitation":"(Commonwealth of Australia\\uc0\\u160{}2023, p.\\uc0\\u160{}224; European Commission\\uc0\\u160{}2017, p.\\uc0\\u160{}1)","plainCitation":"(Commonwealth of Australia 2023, p. 224; European Commission 2017, p. 1)","dontUpdate":true,"noteIndex":0},"citationItems":[{"id":6878,"uris":["http://zotero.org/groups/6174966/items/H6T3YF9K"],"itemData":{"id":6878,"type":"report","event-place":"Canberra","publisher-place":"Canberra","title":"Intergenerational report 2023","URL":"https://treasury.gov.au/sites/default/files/2023-08/p2023-435150.pdf","author":[{"family":"Commonwealth of Australia","given":""}],"issued":{"date-parts":[["2023"]]}},"locator":"224","label":"page"},{"id":6767,"uris":["http://zotero.org/groups/6174966/items/EQR2U3BQ"],"itemData":{"id":6767,"type":"report","title":"European semester thematic factsheet: Sustainability of public finances","URL":"https://commission.europa.eu/system/files/2020-06/european-semester_thematic-factsheet_public-finance-sustainability_en_0.pdf","author":[{"family":"European Commission","given":""}],"issued":{"date-parts":[["2017",11,22]]}},"locator":"1","label":"page"}],"schema":"https://github.com/citation-style-language/schema/raw/master/csl-citation.json"} </w:instrText>
      </w:r>
      <w:r>
        <w:fldChar w:fldCharType="separate"/>
      </w:r>
      <w:r w:rsidRPr="0057681F">
        <w:rPr>
          <w:rFonts w:cs="Open Sans"/>
        </w:rPr>
        <w:t>(</w:t>
      </w:r>
      <w:r>
        <w:rPr>
          <w:rFonts w:cs="Open Sans"/>
        </w:rPr>
        <w:t>Australian Government</w:t>
      </w:r>
      <w:r w:rsidRPr="0057681F">
        <w:rPr>
          <w:rFonts w:cs="Open Sans"/>
        </w:rPr>
        <w:t xml:space="preserve"> of Australia 2023, p. 224; European Commission 2017, p. 1)</w:t>
      </w:r>
      <w:r>
        <w:fldChar w:fldCharType="end"/>
      </w:r>
      <w:r>
        <w:t xml:space="preserve">. Aligned with this definition, a fiscally sustainable GST distribution system would not force large and sudden policy changes or pose a threat to solvency in the longer term for state governments or the Australian Government. </w:t>
      </w:r>
    </w:p>
    <w:p w14:paraId="0F99953F" w14:textId="66E8B0E4" w:rsidR="00610834" w:rsidRPr="00F82BD9" w:rsidRDefault="00610834">
      <w:pPr>
        <w:pStyle w:val="NoSpacing"/>
      </w:pPr>
    </w:p>
    <w:tbl>
      <w:tblPr>
        <w:tblStyle w:val="Boxtable"/>
        <w:tblW w:w="5000" w:type="pct"/>
        <w:tblLook w:val="04A0" w:firstRow="1" w:lastRow="0" w:firstColumn="1" w:lastColumn="0" w:noHBand="0" w:noVBand="1"/>
      </w:tblPr>
      <w:tblGrid>
        <w:gridCol w:w="9638"/>
      </w:tblGrid>
      <w:tr w:rsidR="00610834" w14:paraId="09E6A905" w14:textId="77777777">
        <w:trPr>
          <w:tblHeader/>
        </w:trPr>
        <w:tc>
          <w:tcPr>
            <w:tcW w:w="9638" w:type="dxa"/>
            <w:shd w:val="clear" w:color="auto" w:fill="EBEBEB"/>
            <w:tcMar>
              <w:top w:w="170" w:type="dxa"/>
              <w:left w:w="170" w:type="dxa"/>
              <w:bottom w:w="113" w:type="dxa"/>
              <w:right w:w="170" w:type="dxa"/>
            </w:tcMar>
            <w:hideMark/>
          </w:tcPr>
          <w:p w14:paraId="11FF4AD6" w14:textId="6390931F" w:rsidR="00610834" w:rsidRDefault="00610834">
            <w:pPr>
              <w:pStyle w:val="BoxHeading1"/>
            </w:pPr>
            <w:r>
              <w:t xml:space="preserve">Box </w:t>
            </w:r>
            <w:fldSimple w:instr=" STYLEREF  \s Heading-Appendix ">
              <w:r w:rsidR="004C5D0E">
                <w:rPr>
                  <w:noProof/>
                </w:rPr>
                <w:t>B</w:t>
              </w:r>
            </w:fldSimple>
            <w:r>
              <w:t>.</w:t>
            </w:r>
            <w:fldSimple w:instr=" SEQ Box \* ARABIC \s 1 ">
              <w:r w:rsidR="004C5D0E">
                <w:rPr>
                  <w:noProof/>
                </w:rPr>
                <w:t>3</w:t>
              </w:r>
            </w:fldSimple>
            <w:r>
              <w:t xml:space="preserve"> – </w:t>
            </w:r>
            <w:r w:rsidR="00E54373">
              <w:t>Fiscal</w:t>
            </w:r>
            <w:r w:rsidR="00E54373" w:rsidRPr="00AE7E35">
              <w:t xml:space="preserve"> </w:t>
            </w:r>
            <w:r w:rsidR="00E54373" w:rsidRPr="009C4FE8">
              <w:t>sustainability</w:t>
            </w:r>
            <w:r w:rsidR="00E664BC">
              <w:rPr>
                <w:rStyle w:val="FootnoteReference"/>
              </w:rPr>
              <w:footnoteReference w:id="5"/>
            </w:r>
          </w:p>
        </w:tc>
      </w:tr>
      <w:tr w:rsidR="00610834" w14:paraId="40C513B3" w14:textId="77777777">
        <w:tc>
          <w:tcPr>
            <w:tcW w:w="9638" w:type="dxa"/>
            <w:shd w:val="clear" w:color="auto" w:fill="EBEBEB"/>
            <w:tcMar>
              <w:top w:w="28" w:type="dxa"/>
              <w:left w:w="170" w:type="dxa"/>
              <w:bottom w:w="170" w:type="dxa"/>
              <w:right w:w="170" w:type="dxa"/>
            </w:tcMar>
            <w:hideMark/>
          </w:tcPr>
          <w:p w14:paraId="3103EDB0" w14:textId="073B60D5" w:rsidR="00E664BC" w:rsidRPr="001F5D0A" w:rsidRDefault="00E664BC" w:rsidP="00E664BC">
            <w:pPr>
              <w:pStyle w:val="BodyText"/>
            </w:pPr>
            <w:r w:rsidRPr="009C4FE8">
              <w:t xml:space="preserve">The fiscal sustainability of alternative GST distribution systems means they </w:t>
            </w:r>
            <w:r w:rsidRPr="0005092B">
              <w:t>do not force major state or Australian Government policy changes or pose a threat to their solvency in the longer term.</w:t>
            </w:r>
            <w:r>
              <w:t xml:space="preserve"> </w:t>
            </w:r>
            <w:r w:rsidRPr="005844CF">
              <w:t>The long</w:t>
            </w:r>
            <w:r w:rsidR="008925BE">
              <w:noBreakHyphen/>
            </w:r>
            <w:r w:rsidRPr="005844CF">
              <w:t xml:space="preserve">run fiscal sustainability of governments is commonly assessed through the basic debt dynamics equation: </w:t>
            </w:r>
          </w:p>
          <w:p w14:paraId="7EC2351A" w14:textId="77777777" w:rsidR="00E664BC" w:rsidRPr="00AE7E35" w:rsidRDefault="00044402" w:rsidP="00E664BC">
            <w:pPr>
              <w:pStyle w:val="BodyText"/>
              <w:rPr>
                <w:rFonts w:cs="Arial"/>
              </w:rPr>
            </w:pPr>
            <m:oMathPara>
              <m:oMath>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t</m:t>
                    </m:r>
                  </m:sub>
                </m:sSub>
                <m:r>
                  <w:rPr>
                    <w:rFonts w:ascii="Cambria Math" w:hAnsi="Cambria Math"/>
                  </w:rPr>
                  <m:t>=</m:t>
                </m:r>
                <m:d>
                  <m:dPr>
                    <m:ctrlPr>
                      <w:rPr>
                        <w:rFonts w:ascii="Cambria Math" w:hAnsi="Cambria Math"/>
                        <w:i/>
                        <w:iCs/>
                      </w:rPr>
                    </m:ctrlPr>
                  </m:dPr>
                  <m:e>
                    <m:r>
                      <w:rPr>
                        <w:rFonts w:ascii="Cambria Math" w:hAnsi="Cambria Math"/>
                      </w:rPr>
                      <m:t>r-g</m:t>
                    </m:r>
                  </m:e>
                </m:d>
                <m:sSub>
                  <m:sSubPr>
                    <m:ctrlPr>
                      <w:rPr>
                        <w:rFonts w:ascii="Cambria Math" w:hAnsi="Cambria Math"/>
                        <w:i/>
                        <w:iCs/>
                      </w:rPr>
                    </m:ctrlPr>
                  </m:sSubPr>
                  <m:e>
                    <m:r>
                      <w:rPr>
                        <w:rFonts w:ascii="Cambria Math" w:hAnsi="Cambria Math"/>
                      </w:rPr>
                      <m:t>d</m:t>
                    </m:r>
                  </m:e>
                  <m:sub>
                    <m:r>
                      <w:rPr>
                        <w:rFonts w:ascii="Cambria Math" w:hAnsi="Cambria Math"/>
                      </w:rPr>
                      <m:t>t-1</m:t>
                    </m:r>
                  </m:sub>
                </m:sSub>
                <m:r>
                  <w:rPr>
                    <w:rFonts w:ascii="Cambria Math" w:hAnsi="Cambria Math"/>
                  </w:rPr>
                  <m:t>-p</m:t>
                </m:r>
                <m:sSub>
                  <m:sSubPr>
                    <m:ctrlPr>
                      <w:rPr>
                        <w:rFonts w:ascii="Cambria Math" w:hAnsi="Cambria Math"/>
                        <w:i/>
                        <w:iCs/>
                      </w:rPr>
                    </m:ctrlPr>
                  </m:sSubPr>
                  <m:e>
                    <m:r>
                      <w:rPr>
                        <w:rFonts w:ascii="Cambria Math" w:hAnsi="Cambria Math"/>
                      </w:rPr>
                      <m:t>b</m:t>
                    </m:r>
                  </m:e>
                  <m:sub>
                    <m:r>
                      <w:rPr>
                        <w:rFonts w:ascii="Cambria Math" w:hAnsi="Cambria Math"/>
                      </w:rPr>
                      <m:t>t</m:t>
                    </m:r>
                  </m:sub>
                </m:sSub>
              </m:oMath>
            </m:oMathPara>
          </w:p>
          <w:p w14:paraId="7B7C212D" w14:textId="442165C2" w:rsidR="00E664BC" w:rsidRPr="00AE7E35" w:rsidRDefault="00E664BC" w:rsidP="00E664BC">
            <w:pPr>
              <w:pStyle w:val="BodyText"/>
              <w:rPr>
                <w:rFonts w:cs="Arial"/>
              </w:rPr>
            </w:pPr>
            <w:r w:rsidRPr="00AE7E35">
              <w:rPr>
                <w:rFonts w:cs="Arial"/>
              </w:rPr>
              <w:t xml:space="preserve">where </w:t>
            </w:r>
            <m:oMath>
              <m:sSub>
                <m:sSubPr>
                  <m:ctrlPr>
                    <w:rPr>
                      <w:rFonts w:ascii="Cambria Math" w:hAnsi="Cambria Math" w:cs="Arial"/>
                      <w:i/>
                    </w:rPr>
                  </m:ctrlPr>
                </m:sSubPr>
                <m:e>
                  <m:r>
                    <w:rPr>
                      <w:rFonts w:ascii="Cambria Math" w:hAnsi="Cambria Math" w:cs="Arial"/>
                    </w:rPr>
                    <m:t>d</m:t>
                  </m:r>
                </m:e>
                <m:sub>
                  <m:r>
                    <w:rPr>
                      <w:rFonts w:ascii="Cambria Math" w:hAnsi="Cambria Math" w:cs="Arial"/>
                    </w:rPr>
                    <m:t>t</m:t>
                  </m:r>
                </m:sub>
              </m:sSub>
            </m:oMath>
            <w:r w:rsidRPr="00AE7E35">
              <w:rPr>
                <w:rFonts w:cs="Arial"/>
              </w:rPr>
              <w:t xml:space="preserve"> </w:t>
            </w:r>
            <w:r w:rsidR="008925BE">
              <w:rPr>
                <w:rFonts w:cs="Arial"/>
              </w:rPr>
              <w:t>is</w:t>
            </w:r>
            <w:r w:rsidRPr="00AE7E35">
              <w:rPr>
                <w:rFonts w:cs="Arial"/>
              </w:rPr>
              <w:t xml:space="preserve"> government debt at time </w:t>
            </w:r>
            <m:oMath>
              <m:r>
                <w:rPr>
                  <w:rFonts w:ascii="Cambria Math" w:hAnsi="Cambria Math" w:cs="Arial"/>
                </w:rPr>
                <m:t>t</m:t>
              </m:r>
            </m:oMath>
            <w:r w:rsidRPr="00AE7E35">
              <w:rPr>
                <w:rFonts w:cs="Arial"/>
              </w:rPr>
              <w:t xml:space="preserve">, </w:t>
            </w:r>
            <m:oMath>
              <m:sSub>
                <m:sSubPr>
                  <m:ctrlPr>
                    <w:rPr>
                      <w:rFonts w:ascii="Cambria Math" w:hAnsi="Cambria Math" w:cs="Arial"/>
                      <w:i/>
                    </w:rPr>
                  </m:ctrlPr>
                </m:sSubPr>
                <m:e>
                  <m:r>
                    <w:rPr>
                      <w:rFonts w:ascii="Cambria Math" w:hAnsi="Cambria Math" w:cs="Arial"/>
                    </w:rPr>
                    <m:t>d</m:t>
                  </m:r>
                </m:e>
                <m:sub>
                  <m:r>
                    <w:rPr>
                      <w:rFonts w:ascii="Cambria Math" w:hAnsi="Cambria Math" w:cs="Arial"/>
                    </w:rPr>
                    <m:t>t-1</m:t>
                  </m:r>
                </m:sub>
              </m:sSub>
            </m:oMath>
            <w:r w:rsidRPr="000B1EDE">
              <w:t xml:space="preserve"> </w:t>
            </w:r>
            <w:r w:rsidRPr="00AE7E35">
              <w:rPr>
                <w:rFonts w:cs="Arial"/>
              </w:rPr>
              <w:t xml:space="preserve">is debt at time </w:t>
            </w:r>
            <m:oMath>
              <m:r>
                <w:rPr>
                  <w:rFonts w:ascii="Cambria Math" w:hAnsi="Cambria Math" w:cs="Arial"/>
                </w:rPr>
                <m:t>t-1</m:t>
              </m:r>
            </m:oMath>
            <w:r w:rsidRPr="00AE7E35">
              <w:rPr>
                <w:rFonts w:cs="Arial"/>
              </w:rPr>
              <w:t xml:space="preserve">, </w:t>
            </w:r>
            <m:oMath>
              <m:r>
                <w:rPr>
                  <w:rFonts w:ascii="Cambria Math" w:hAnsi="Cambria Math" w:cs="Arial"/>
                </w:rPr>
                <m:t>r</m:t>
              </m:r>
            </m:oMath>
            <w:r w:rsidRPr="00AE7E35">
              <w:rPr>
                <w:rFonts w:cs="Arial"/>
              </w:rPr>
              <w:t xml:space="preserve"> is </w:t>
            </w:r>
            <w:r>
              <w:rPr>
                <w:rFonts w:cs="Arial"/>
              </w:rPr>
              <w:t xml:space="preserve">the </w:t>
            </w:r>
            <w:r w:rsidRPr="00AE7E35">
              <w:rPr>
                <w:rFonts w:cs="Arial"/>
              </w:rPr>
              <w:t xml:space="preserve">interest rate on existing debt, </w:t>
            </w:r>
            <m:oMath>
              <m:r>
                <w:rPr>
                  <w:rFonts w:ascii="Cambria Math" w:hAnsi="Cambria Math" w:cs="Arial"/>
                </w:rPr>
                <m:t>g</m:t>
              </m:r>
            </m:oMath>
            <w:r w:rsidRPr="00AE7E35">
              <w:rPr>
                <w:rFonts w:cs="Arial"/>
              </w:rPr>
              <w:t xml:space="preserve"> is the </w:t>
            </w:r>
            <w:r>
              <w:rPr>
                <w:rFonts w:cs="Arial"/>
              </w:rPr>
              <w:t>growth rate of the economy (typically GDP growth rate)</w:t>
            </w:r>
            <w:r w:rsidRPr="00AE7E35">
              <w:rPr>
                <w:rFonts w:cs="Arial"/>
              </w:rPr>
              <w:t xml:space="preserve">, and </w:t>
            </w:r>
            <m:oMath>
              <m:r>
                <w:rPr>
                  <w:rFonts w:ascii="Cambria Math" w:hAnsi="Cambria Math" w:cs="Arial"/>
                </w:rPr>
                <m:t>p</m:t>
              </m:r>
              <m:sSub>
                <m:sSubPr>
                  <m:ctrlPr>
                    <w:rPr>
                      <w:rFonts w:ascii="Cambria Math" w:hAnsi="Cambria Math" w:cs="Arial"/>
                      <w:i/>
                    </w:rPr>
                  </m:ctrlPr>
                </m:sSubPr>
                <m:e>
                  <m:r>
                    <w:rPr>
                      <w:rFonts w:ascii="Cambria Math" w:hAnsi="Cambria Math" w:cs="Arial"/>
                    </w:rPr>
                    <m:t>b</m:t>
                  </m:r>
                </m:e>
                <m:sub>
                  <m:r>
                    <w:rPr>
                      <w:rFonts w:ascii="Cambria Math" w:hAnsi="Cambria Math" w:cs="Arial"/>
                    </w:rPr>
                    <m:t>t</m:t>
                  </m:r>
                </m:sub>
              </m:sSub>
            </m:oMath>
            <w:r w:rsidRPr="00AE7E35">
              <w:rPr>
                <w:rFonts w:cs="Arial"/>
              </w:rPr>
              <w:t xml:space="preserve"> is the primary budget balance at time t.</w:t>
            </w:r>
          </w:p>
          <w:p w14:paraId="6411A991" w14:textId="0759BA44" w:rsidR="00E664BC" w:rsidRPr="005844CF" w:rsidRDefault="00E664BC" w:rsidP="00E664BC">
            <w:pPr>
              <w:pStyle w:val="BodyText"/>
            </w:pPr>
            <w:r>
              <w:lastRenderedPageBreak/>
              <w:t>I</w:t>
            </w:r>
            <w:r w:rsidRPr="00952940">
              <w:t xml:space="preserve">f </w:t>
            </w:r>
            <m:oMath>
              <m:r>
                <w:rPr>
                  <w:rFonts w:ascii="Cambria Math" w:hAnsi="Cambria Math"/>
                </w:rPr>
                <m:t>r&gt;g</m:t>
              </m:r>
            </m:oMath>
            <w:r>
              <w:t>,</w:t>
            </w:r>
            <w:r w:rsidRPr="00952940">
              <w:t xml:space="preserve"> the trajectory of debt to GDP will be positive (that is, there will be upward pressure on the debt ratio), </w:t>
            </w:r>
            <w:r>
              <w:t>unless sufficiently offset by budget surpluses. Similarly,</w:t>
            </w:r>
            <w:r w:rsidRPr="00952940">
              <w:t xml:space="preserve"> if </w:t>
            </w:r>
            <m:oMath>
              <m:r>
                <w:rPr>
                  <w:rFonts w:ascii="Cambria Math" w:hAnsi="Cambria Math"/>
                </w:rPr>
                <m:t>r&lt;g</m:t>
              </m:r>
            </m:oMath>
            <w:r>
              <w:t>,</w:t>
            </w:r>
            <w:r w:rsidRPr="00952940">
              <w:t xml:space="preserve"> the trajectory of debt to GDP will be </w:t>
            </w:r>
            <w:r>
              <w:t xml:space="preserve">downward, unless offset by budget deficits. </w:t>
            </w:r>
          </w:p>
          <w:p w14:paraId="14A30103" w14:textId="2E674067" w:rsidR="00E664BC" w:rsidRPr="005844CF" w:rsidRDefault="00E664BC" w:rsidP="00E664BC">
            <w:pPr>
              <w:pStyle w:val="BodyText"/>
            </w:pPr>
            <w:r w:rsidRPr="005844CF">
              <w:t>The PC has assessed the fiscal pressures facing states</w:t>
            </w:r>
            <w:r w:rsidRPr="005844CF" w:rsidDel="00D3397A">
              <w:t xml:space="preserve"> </w:t>
            </w:r>
            <w:r w:rsidRPr="005844CF">
              <w:t xml:space="preserve">using a range of related indicators, including net debt to revenue ratios and interest to revenue ratios (appendix D). </w:t>
            </w:r>
            <w:r>
              <w:t xml:space="preserve">For state governments, total revenue is used as a denominator instead of GDP or GSP because state revenue streams are not as directly linked to states’ economic outcomes as they are for the Australian Government </w:t>
            </w:r>
            <w:r>
              <w:fldChar w:fldCharType="begin"/>
            </w:r>
            <w:r w:rsidR="00114402">
              <w:instrText xml:space="preserve"> ADDIN ZOTERO_ITEM CSL_CITATION {"citationID":"QJBnOk7I","properties":{"unsorted":false,"formattedCitation":"(Government of Tasmania\\uc0\\u160{}2021, p.\\uc0\\u160{}40)","plainCitation":"(Government of Tasmania 2021, p. 40)","noteIndex":0},"citationItems":[{"id":6871,"uris":["http://zotero.org/groups/6174966/items/AQIV7Z38"],"itemData":{"id":6871,"type":"report","event-place":"Hobart","publisher-place":"Hobart","title":"Tasmanian Government fiscal sustainability report 2021","URL":"https://www.treasury.tas.gov.au/Documents/Tasmanian-Government-Fiscal-Sustainability-Report-2021.pdf","author":[{"family":"Government of Tasmania","given":""}],"issued":{"date-parts":[["2021",6]]}},"locator":"40","label":"page"}],"schema":"https://github.com/citation-style-language/schema/raw/master/csl-citation.json"} </w:instrText>
            </w:r>
            <w:r>
              <w:fldChar w:fldCharType="separate"/>
            </w:r>
            <w:r w:rsidRPr="005844CF">
              <w:t>(Government of Tasmania 2021, p. 40)</w:t>
            </w:r>
            <w:r>
              <w:fldChar w:fldCharType="end"/>
            </w:r>
            <w:r>
              <w:t>.</w:t>
            </w:r>
            <w:r w:rsidRPr="00DB2F02">
              <w:t xml:space="preserve"> </w:t>
            </w:r>
          </w:p>
          <w:p w14:paraId="4C6A81B1" w14:textId="46D99FEB" w:rsidR="00E664BC" w:rsidRPr="002A3DF5" w:rsidRDefault="00E664BC" w:rsidP="00E664BC">
            <w:pPr>
              <w:pStyle w:val="BodyText"/>
              <w:rPr>
                <w:spacing w:val="2"/>
              </w:rPr>
            </w:pPr>
            <w:r w:rsidRPr="002A3DF5">
              <w:rPr>
                <w:spacing w:val="2"/>
              </w:rPr>
              <w:t xml:space="preserve">The fiscal sustainability implications of alternative arrangements can be assessed by understanding the revenue implications of different alternative arrangements for states and the </w:t>
            </w:r>
            <w:r w:rsidR="00D03C12" w:rsidRPr="002A3DF5">
              <w:rPr>
                <w:spacing w:val="2"/>
              </w:rPr>
              <w:t>Australian Government</w:t>
            </w:r>
            <w:r w:rsidRPr="002A3DF5">
              <w:rPr>
                <w:spacing w:val="2"/>
              </w:rPr>
              <w:t xml:space="preserve">. </w:t>
            </w:r>
          </w:p>
          <w:p w14:paraId="2CFE4695" w14:textId="4FAA502C" w:rsidR="00E664BC" w:rsidRDefault="00E664BC" w:rsidP="00E664BC">
            <w:pPr>
              <w:pStyle w:val="BodyText"/>
            </w:pPr>
            <w:r>
              <w:t xml:space="preserve">For the states, the </w:t>
            </w:r>
            <w:r w:rsidDel="005851C4">
              <w:t>PC</w:t>
            </w:r>
            <w:r w:rsidDel="00D17E39">
              <w:t xml:space="preserve"> </w:t>
            </w:r>
            <w:r>
              <w:t>used</w:t>
            </w:r>
            <w:r w:rsidDel="00D86AF0">
              <w:t xml:space="preserve"> </w:t>
            </w:r>
            <w:r>
              <w:t>the GST distribution</w:t>
            </w:r>
            <w:r w:rsidR="008D43EB">
              <w:t>s</w:t>
            </w:r>
            <w:r>
              <w:t xml:space="preserve"> modelled under each of the alternative arrangements and state finance statistics to estimate the subsequent changes to states fiscal balances, state debt, and overall interest costs. The </w:t>
            </w:r>
            <w:r w:rsidRPr="005844CF">
              <w:t>proportion of overall state government revenue that would have to be paid to service state government debt is then used to assess the fiscal pressure created by each alternative arrangement.</w:t>
            </w:r>
          </w:p>
          <w:p w14:paraId="7B8F3A86" w14:textId="22560C79" w:rsidR="00610834" w:rsidRDefault="00E664BC" w:rsidP="002A3DF5">
            <w:pPr>
              <w:pStyle w:val="BodyText"/>
              <w:spacing w:after="240"/>
            </w:pPr>
            <w:r w:rsidRPr="005844CF">
              <w:t xml:space="preserve">For the </w:t>
            </w:r>
            <w:r w:rsidR="006667F8">
              <w:t>Australian Government</w:t>
            </w:r>
            <w:r w:rsidRPr="005844CF">
              <w:t xml:space="preserve">, this has included an assessment of </w:t>
            </w:r>
            <w:r w:rsidR="0067553B">
              <w:t xml:space="preserve">its </w:t>
            </w:r>
            <w:r w:rsidRPr="005844CF">
              <w:t>exposure to</w:t>
            </w:r>
            <w:r w:rsidR="008F17AA">
              <w:t xml:space="preserve"> </w:t>
            </w:r>
            <w:r w:rsidR="00185A64">
              <w:t>No Worse-Off</w:t>
            </w:r>
            <w:r w:rsidRPr="005844CF">
              <w:t xml:space="preserve"> </w:t>
            </w:r>
            <w:r w:rsidR="00430865">
              <w:t xml:space="preserve">payment liabilities </w:t>
            </w:r>
            <w:r w:rsidRPr="005844CF">
              <w:t xml:space="preserve">with respect to a range of commodity price scenarios, as well as the cost to </w:t>
            </w:r>
            <w:r w:rsidR="006667F8">
              <w:t>the Australian Government</w:t>
            </w:r>
            <w:r w:rsidR="006667F8" w:rsidRPr="005844CF">
              <w:t xml:space="preserve"> </w:t>
            </w:r>
            <w:r w:rsidRPr="005844CF">
              <w:t>of alternative GST distribution models.</w:t>
            </w:r>
          </w:p>
        </w:tc>
      </w:tr>
      <w:tr w:rsidR="00610834" w14:paraId="648BEA2E" w14:textId="77777777">
        <w:trPr>
          <w:hidden/>
        </w:trPr>
        <w:tc>
          <w:tcPr>
            <w:tcW w:w="9638" w:type="dxa"/>
            <w:shd w:val="clear" w:color="auto" w:fill="auto"/>
            <w:tcMar>
              <w:top w:w="0" w:type="dxa"/>
              <w:left w:w="170" w:type="dxa"/>
              <w:bottom w:w="0" w:type="dxa"/>
              <w:right w:w="170" w:type="dxa"/>
            </w:tcMar>
          </w:tcPr>
          <w:p w14:paraId="63919EF4" w14:textId="04FFBAA5" w:rsidR="00610834" w:rsidRPr="00465191" w:rsidRDefault="00610834">
            <w:pPr>
              <w:pStyle w:val="BodyText"/>
              <w:spacing w:before="0" w:after="0" w:line="80" w:lineRule="atLeast"/>
              <w:rPr>
                <w:smallCaps/>
                <w:vanish/>
              </w:rPr>
            </w:pPr>
          </w:p>
        </w:tc>
      </w:tr>
    </w:tbl>
    <w:p w14:paraId="44138F1C" w14:textId="6645AA16" w:rsidR="00761D9B" w:rsidRDefault="00DF217A" w:rsidP="00761D9B">
      <w:pPr>
        <w:pStyle w:val="Heading3-noTOC"/>
      </w:pPr>
      <w:r>
        <w:t>How the inquiry has define</w:t>
      </w:r>
      <w:r w:rsidR="003B5061">
        <w:t>d</w:t>
      </w:r>
      <w:r>
        <w:t xml:space="preserve"> certainty</w:t>
      </w:r>
    </w:p>
    <w:p w14:paraId="05A2FED1" w14:textId="77777777" w:rsidR="004A3A55" w:rsidRPr="00AE7E35" w:rsidRDefault="004A3A55">
      <w:pPr>
        <w:pStyle w:val="BodyText"/>
        <w:rPr>
          <w:rFonts w:cs="Arial"/>
        </w:rPr>
      </w:pPr>
      <w:r w:rsidRPr="00AE7E35">
        <w:rPr>
          <w:rFonts w:cs="Arial"/>
        </w:rPr>
        <w:t>A degree of certainty about future revenues is important for supporting effective fiscal planning by states. This applies both to GST distributions and to states’ own</w:t>
      </w:r>
      <w:r w:rsidRPr="00AE7E35">
        <w:rPr>
          <w:rFonts w:cs="Arial"/>
        </w:rPr>
        <w:noBreakHyphen/>
        <w:t>source revenues.</w:t>
      </w:r>
    </w:p>
    <w:p w14:paraId="59164F85" w14:textId="4C66FF0C" w:rsidR="004A3A55" w:rsidRPr="00AE7E35" w:rsidRDefault="004A3A55">
      <w:pPr>
        <w:pStyle w:val="BodyText"/>
        <w:rPr>
          <w:rFonts w:cs="Arial"/>
        </w:rPr>
      </w:pPr>
      <w:r w:rsidRPr="00AE7E35">
        <w:rPr>
          <w:rFonts w:cs="Arial"/>
        </w:rPr>
        <w:t xml:space="preserve">At its core, certainty means </w:t>
      </w:r>
      <w:r w:rsidRPr="00DB2F02">
        <w:t>predictability</w:t>
      </w:r>
      <w:r>
        <w:t xml:space="preserve"> rather </w:t>
      </w:r>
      <w:r w:rsidR="004D0768">
        <w:t xml:space="preserve">than </w:t>
      </w:r>
      <w:r>
        <w:t>an absence of any variation</w:t>
      </w:r>
      <w:r w:rsidRPr="00AE7E35">
        <w:rPr>
          <w:rFonts w:cs="Arial"/>
        </w:rPr>
        <w:t xml:space="preserve">. </w:t>
      </w:r>
      <w:r>
        <w:rPr>
          <w:rFonts w:cs="Arial"/>
        </w:rPr>
        <w:t xml:space="preserve">Even in the face of variability, </w:t>
      </w:r>
      <w:r w:rsidR="00DB00E5">
        <w:rPr>
          <w:rFonts w:cs="Arial"/>
        </w:rPr>
        <w:t xml:space="preserve">if </w:t>
      </w:r>
      <w:r w:rsidR="00DB00E5" w:rsidRPr="00AE7E35">
        <w:rPr>
          <w:rFonts w:cs="Arial"/>
        </w:rPr>
        <w:t>governments</w:t>
      </w:r>
      <w:r w:rsidRPr="00AE7E35">
        <w:rPr>
          <w:rFonts w:cs="Arial"/>
        </w:rPr>
        <w:t xml:space="preserve"> can reasonably predict revenue outcomes, they are better able to plan budgets, manage expenditure, and respond to fiscal pressures.</w:t>
      </w:r>
      <w:r>
        <w:rPr>
          <w:rFonts w:cs="Arial"/>
        </w:rPr>
        <w:t xml:space="preserve"> </w:t>
      </w:r>
      <w:r w:rsidRPr="00AE7E35">
        <w:rPr>
          <w:rFonts w:cs="Arial"/>
        </w:rPr>
        <w:t>I</w:t>
      </w:r>
      <w:r>
        <w:rPr>
          <w:rFonts w:cs="Arial"/>
        </w:rPr>
        <w:t>t is true that i</w:t>
      </w:r>
      <w:r w:rsidRPr="00AE7E35">
        <w:rPr>
          <w:rFonts w:cs="Arial"/>
        </w:rPr>
        <w:t>n some circumstances, reduced volatility can improve predictability. All else equal, revenue that fluctuates less from year</w:t>
      </w:r>
      <w:r w:rsidR="003B5061">
        <w:rPr>
          <w:rFonts w:cs="Arial"/>
        </w:rPr>
        <w:noBreakHyphen/>
      </w:r>
      <w:r w:rsidRPr="00AE7E35">
        <w:rPr>
          <w:rFonts w:cs="Arial"/>
        </w:rPr>
        <w:t>to</w:t>
      </w:r>
      <w:r w:rsidR="003B5061">
        <w:rPr>
          <w:rFonts w:cs="Arial"/>
        </w:rPr>
        <w:noBreakHyphen/>
      </w:r>
      <w:r w:rsidRPr="00AE7E35">
        <w:rPr>
          <w:rFonts w:cs="Arial"/>
        </w:rPr>
        <w:t>year is easier to anticipate</w:t>
      </w:r>
      <w:r>
        <w:rPr>
          <w:rFonts w:cs="Arial"/>
        </w:rPr>
        <w:t>, which makes</w:t>
      </w:r>
      <w:r w:rsidRPr="00AE7E35">
        <w:rPr>
          <w:rFonts w:cs="Arial"/>
        </w:rPr>
        <w:t xml:space="preserve"> </w:t>
      </w:r>
      <w:r>
        <w:rPr>
          <w:rFonts w:cs="Arial"/>
        </w:rPr>
        <w:t>planning budgets more stable</w:t>
      </w:r>
      <w:r w:rsidRPr="00AE7E35">
        <w:rPr>
          <w:rFonts w:cs="Arial"/>
        </w:rPr>
        <w:t xml:space="preserve">. </w:t>
      </w:r>
    </w:p>
    <w:p w14:paraId="47F598FA" w14:textId="6AA809C0" w:rsidR="004A3A55" w:rsidRPr="00AE7E35" w:rsidRDefault="004A3A55">
      <w:pPr>
        <w:pStyle w:val="BodyText"/>
        <w:rPr>
          <w:rFonts w:cs="Arial"/>
        </w:rPr>
      </w:pPr>
      <w:r>
        <w:rPr>
          <w:rFonts w:cs="Arial"/>
        </w:rPr>
        <w:t>L</w:t>
      </w:r>
      <w:r w:rsidRPr="00AE7E35">
        <w:rPr>
          <w:rFonts w:cs="Arial"/>
        </w:rPr>
        <w:t>ower volatility does not always translate into greater certainty</w:t>
      </w:r>
      <w:r>
        <w:rPr>
          <w:rFonts w:cs="Arial"/>
        </w:rPr>
        <w:t>, however.</w:t>
      </w:r>
      <w:r w:rsidRPr="00AE7E35">
        <w:rPr>
          <w:rFonts w:cs="Arial"/>
        </w:rPr>
        <w:t xml:space="preserve"> Some forms of volatility in GST distributions can </w:t>
      </w:r>
      <w:proofErr w:type="gramStart"/>
      <w:r w:rsidRPr="00AE7E35">
        <w:rPr>
          <w:rFonts w:cs="Arial"/>
        </w:rPr>
        <w:t>actually reduce</w:t>
      </w:r>
      <w:proofErr w:type="gramEnd"/>
      <w:r w:rsidRPr="00AE7E35">
        <w:rPr>
          <w:rFonts w:cs="Arial"/>
        </w:rPr>
        <w:t xml:space="preserve"> volatility in states’ overall revenues. This can occur where </w:t>
      </w:r>
      <w:r>
        <w:rPr>
          <w:rFonts w:cs="Arial"/>
        </w:rPr>
        <w:t xml:space="preserve">there is negative covariance – if </w:t>
      </w:r>
      <w:r w:rsidRPr="00AE7E35">
        <w:rPr>
          <w:rFonts w:cs="Arial"/>
        </w:rPr>
        <w:t>fluctuations in GST distributions move in the opposite direction to changes in own</w:t>
      </w:r>
      <w:r w:rsidRPr="00AE7E35">
        <w:rPr>
          <w:rFonts w:cs="Arial"/>
        </w:rPr>
        <w:noBreakHyphen/>
        <w:t>source revenues, offsetting revenue swings and smoothing total receipts. Similarly, even where GST distributions are volatile, they can still reduce overall revenue volatility if they are less volatile than own</w:t>
      </w:r>
      <w:r w:rsidRPr="00AE7E35">
        <w:rPr>
          <w:rFonts w:cs="Arial"/>
        </w:rPr>
        <w:noBreakHyphen/>
        <w:t>source revenues.</w:t>
      </w:r>
    </w:p>
    <w:p w14:paraId="33FA8BBC" w14:textId="56AB2CBC" w:rsidR="004A3A55" w:rsidRDefault="004A3A55">
      <w:pPr>
        <w:pStyle w:val="BodyText"/>
        <w:rPr>
          <w:rFonts w:cs="Arial"/>
        </w:rPr>
      </w:pPr>
      <w:r>
        <w:rPr>
          <w:rFonts w:cs="Arial"/>
        </w:rPr>
        <w:t>Nevertheless</w:t>
      </w:r>
      <w:r w:rsidRPr="00AE7E35">
        <w:rPr>
          <w:rFonts w:cs="Arial"/>
        </w:rPr>
        <w:t xml:space="preserve">, </w:t>
      </w:r>
      <w:r>
        <w:rPr>
          <w:rFonts w:cs="Arial"/>
        </w:rPr>
        <w:t xml:space="preserve">in assessing alternative arrangements, </w:t>
      </w:r>
      <w:r>
        <w:t>t</w:t>
      </w:r>
      <w:r w:rsidRPr="00E66D35">
        <w:t>he PC</w:t>
      </w:r>
      <w:r>
        <w:t xml:space="preserve"> has not elected to assess certainty by examining the volatility of total revenue under different GST distribution systems because of the time lag involved in CGC assessments.</w:t>
      </w:r>
      <w:r w:rsidRPr="00E66D35">
        <w:t xml:space="preserve"> </w:t>
      </w:r>
      <w:r>
        <w:t>While</w:t>
      </w:r>
      <w:r w:rsidRPr="00E66D35">
        <w:t xml:space="preserve"> </w:t>
      </w:r>
      <w:r>
        <w:t>a</w:t>
      </w:r>
      <w:r w:rsidRPr="00E66D35">
        <w:t xml:space="preserve"> revenue</w:t>
      </w:r>
      <w:r>
        <w:t xml:space="preserve"> </w:t>
      </w:r>
      <w:r w:rsidRPr="00E66D35">
        <w:t xml:space="preserve">stream may be </w:t>
      </w:r>
      <w:r>
        <w:t xml:space="preserve">negatively correlated with GST </w:t>
      </w:r>
      <w:r>
        <w:lastRenderedPageBreak/>
        <w:t>revenue in the same year, these correlations are not the result of a direct causal relationship and therefore may not be relied upon to stabilise total revenue forecasts into the future.</w:t>
      </w:r>
      <w:r w:rsidR="006714C8">
        <w:rPr>
          <w:rStyle w:val="FootnoteReference"/>
          <w:rFonts w:cs="Arial"/>
        </w:rPr>
        <w:footnoteReference w:id="6"/>
      </w:r>
    </w:p>
    <w:p w14:paraId="2DCF67C4" w14:textId="356B90F9" w:rsidR="004A3A55" w:rsidRDefault="004A3A55">
      <w:pPr>
        <w:pStyle w:val="BodyText"/>
        <w:rPr>
          <w:rFonts w:cs="Arial"/>
        </w:rPr>
      </w:pPr>
      <w:r>
        <w:rPr>
          <w:rFonts w:cs="Arial"/>
        </w:rPr>
        <w:t xml:space="preserve">Instead, </w:t>
      </w:r>
      <w:r w:rsidRPr="00AE7E35">
        <w:rPr>
          <w:rFonts w:cs="Arial"/>
        </w:rPr>
        <w:t xml:space="preserve">the inquiry has judged certainty by </w:t>
      </w:r>
      <w:r>
        <w:rPr>
          <w:rFonts w:cs="Arial"/>
        </w:rPr>
        <w:t xml:space="preserve">the degree of volatility of GST revenue under different alternative arrangements, after removing revenue changes attributable to changes in the GST pool and individual state populations. </w:t>
      </w:r>
      <w:r>
        <w:rPr>
          <w:rFonts w:cs="Arial"/>
          <w:lang w:val="en-US"/>
        </w:rPr>
        <w:t>The specific estimation approach taken by the PC is detailed in</w:t>
      </w:r>
      <w:r w:rsidR="00641A24">
        <w:rPr>
          <w:rFonts w:cs="Arial"/>
          <w:lang w:val="en-US"/>
        </w:rPr>
        <w:t xml:space="preserve"> section</w:t>
      </w:r>
      <w:r>
        <w:rPr>
          <w:rFonts w:cs="Arial"/>
          <w:lang w:val="en-US"/>
        </w:rPr>
        <w:t xml:space="preserve"> B.3.</w:t>
      </w:r>
    </w:p>
    <w:p w14:paraId="47632536" w14:textId="28CA21A9" w:rsidR="0039740F" w:rsidRPr="009B54BA" w:rsidRDefault="004A3A55" w:rsidP="004A3A55">
      <w:pPr>
        <w:pStyle w:val="BodyText"/>
        <w:rPr>
          <w:lang w:eastAsia="en-AU"/>
        </w:rPr>
      </w:pPr>
      <w:r>
        <w:rPr>
          <w:rFonts w:cs="Arial"/>
        </w:rPr>
        <w:t xml:space="preserve">However, the availability of debt markets for governments to smooth mismatches in revenue and expenses, whether arising from volatility in GST distributions or other factors, means that </w:t>
      </w:r>
      <w:r w:rsidR="005961FF">
        <w:rPr>
          <w:rFonts w:cs="Arial"/>
        </w:rPr>
        <w:t xml:space="preserve">small improvements </w:t>
      </w:r>
      <w:r>
        <w:rPr>
          <w:rFonts w:cs="Arial"/>
        </w:rPr>
        <w:t xml:space="preserve">in certainty </w:t>
      </w:r>
      <w:r w:rsidR="005961FF">
        <w:rPr>
          <w:rFonts w:cs="Arial"/>
        </w:rPr>
        <w:t xml:space="preserve">alone </w:t>
      </w:r>
      <w:r>
        <w:rPr>
          <w:rFonts w:cs="Arial"/>
        </w:rPr>
        <w:t xml:space="preserve">are not considered to be a reasonable basis to limit the degree of equalisation pursued by the GST distribution system. </w:t>
      </w:r>
      <w:r w:rsidR="0033503E" w:rsidRPr="00F82BD9">
        <w:rPr>
          <w:vanish/>
          <w:color w:val="FF00FF"/>
        </w:rPr>
        <w:t xml:space="preserve"> </w:t>
      </w:r>
    </w:p>
    <w:p w14:paraId="23FDAC52" w14:textId="73B16D6F" w:rsidR="000A3D27" w:rsidRPr="000A3D27" w:rsidRDefault="00E1045F" w:rsidP="000A3D27">
      <w:pPr>
        <w:pStyle w:val="Heading2-Appendix"/>
      </w:pPr>
      <w:r w:rsidRPr="00E1045F">
        <w:t xml:space="preserve">Operationalising the framework to assess alternative arrangements on a consistent </w:t>
      </w:r>
      <w:r>
        <w:t>basis</w:t>
      </w:r>
    </w:p>
    <w:p w14:paraId="35435253" w14:textId="413B8D5D" w:rsidR="001933AB" w:rsidRDefault="002A0D79" w:rsidP="000A3D27">
      <w:pPr>
        <w:pStyle w:val="BodyText"/>
      </w:pPr>
      <w:proofErr w:type="gramStart"/>
      <w:r w:rsidRPr="002A0D79">
        <w:t>In order to</w:t>
      </w:r>
      <w:proofErr w:type="gramEnd"/>
      <w:r w:rsidRPr="002A0D79">
        <w:t xml:space="preserve"> assess the equity, efficiency, fiscal sustainability, and certainty performance of the alternative arrangements considered by the PC, the inquiry developed its own model of the GST distribution system in Australia. This was developed using data provided by the CGC in combination with published CGC methodology papers (box B.4). This model was then used to estimate GST relativities had the alternative arrangements considered by the PC been in place between 2000</w:t>
      </w:r>
      <w:r w:rsidR="007B10F1" w:rsidRPr="007B10F1">
        <w:t>–</w:t>
      </w:r>
      <w:r w:rsidRPr="002A0D79">
        <w:t>01 and 202</w:t>
      </w:r>
      <w:r w:rsidR="006833E6">
        <w:t>4</w:t>
      </w:r>
      <w:r w:rsidR="007B10F1" w:rsidRPr="007B10F1">
        <w:t>–</w:t>
      </w:r>
      <w:r w:rsidRPr="002A0D79">
        <w:t>2</w:t>
      </w:r>
      <w:r w:rsidR="006833E6">
        <w:t>5</w:t>
      </w:r>
      <w:r w:rsidRPr="002A0D79">
        <w:t xml:space="preserve">, </w:t>
      </w:r>
      <w:proofErr w:type="gramStart"/>
      <w:r w:rsidRPr="002A0D79">
        <w:t>assuming that</w:t>
      </w:r>
      <w:proofErr w:type="gramEnd"/>
      <w:r w:rsidRPr="002A0D79">
        <w:t xml:space="preserve"> all other state budget settings remained constant. The outputs of this modelling exercise were then used to estimate the equity, efficiency, fiscal sustainability, and certainty performance of a range of alternative arrangements considered by the inquiry. A summary of key results from this modelling exercise are provided in appendix C. What follows here is a description of each of the indicators used to assess those properties.</w:t>
      </w:r>
    </w:p>
    <w:p w14:paraId="1B6B3402" w14:textId="150816C5" w:rsidR="001933AB" w:rsidRPr="00F82BD9" w:rsidRDefault="001933AB">
      <w:pPr>
        <w:pStyle w:val="NoSpacing"/>
      </w:pPr>
    </w:p>
    <w:tbl>
      <w:tblPr>
        <w:tblStyle w:val="Boxtable"/>
        <w:tblW w:w="5000" w:type="pct"/>
        <w:tblLook w:val="04A0" w:firstRow="1" w:lastRow="0" w:firstColumn="1" w:lastColumn="0" w:noHBand="0" w:noVBand="1"/>
      </w:tblPr>
      <w:tblGrid>
        <w:gridCol w:w="9638"/>
      </w:tblGrid>
      <w:tr w:rsidR="001933AB" w14:paraId="55C20C09" w14:textId="77777777">
        <w:trPr>
          <w:tblHeader/>
        </w:trPr>
        <w:tc>
          <w:tcPr>
            <w:tcW w:w="9638" w:type="dxa"/>
            <w:shd w:val="clear" w:color="auto" w:fill="EBEBEB"/>
            <w:tcMar>
              <w:top w:w="170" w:type="dxa"/>
              <w:left w:w="170" w:type="dxa"/>
              <w:bottom w:w="113" w:type="dxa"/>
              <w:right w:w="170" w:type="dxa"/>
            </w:tcMar>
            <w:hideMark/>
          </w:tcPr>
          <w:p w14:paraId="7AB6E6D2" w14:textId="52ABF2D0" w:rsidR="001933AB" w:rsidRDefault="001933AB">
            <w:pPr>
              <w:pStyle w:val="BoxHeading1"/>
            </w:pPr>
            <w:r>
              <w:t xml:space="preserve">Box </w:t>
            </w:r>
            <w:fldSimple w:instr=" STYLEREF  \s Heading-Appendix ">
              <w:r w:rsidR="004C5D0E">
                <w:rPr>
                  <w:noProof/>
                </w:rPr>
                <w:t>B</w:t>
              </w:r>
            </w:fldSimple>
            <w:r>
              <w:t>.</w:t>
            </w:r>
            <w:fldSimple w:instr=" SEQ Box \* ARABIC \s 1 ">
              <w:r w:rsidR="004C5D0E">
                <w:rPr>
                  <w:noProof/>
                </w:rPr>
                <w:t>4</w:t>
              </w:r>
            </w:fldSimple>
            <w:r>
              <w:t xml:space="preserve"> – </w:t>
            </w:r>
            <w:r w:rsidR="00C46947" w:rsidRPr="00C46947">
              <w:t xml:space="preserve">Historical modelling of alternative GST </w:t>
            </w:r>
            <w:r w:rsidR="000022BC">
              <w:t>distribution systems</w:t>
            </w:r>
          </w:p>
        </w:tc>
      </w:tr>
      <w:tr w:rsidR="001933AB" w14:paraId="6DFC7FD0" w14:textId="77777777">
        <w:tc>
          <w:tcPr>
            <w:tcW w:w="9638" w:type="dxa"/>
            <w:shd w:val="clear" w:color="auto" w:fill="EBEBEB"/>
            <w:tcMar>
              <w:top w:w="28" w:type="dxa"/>
              <w:left w:w="170" w:type="dxa"/>
              <w:bottom w:w="170" w:type="dxa"/>
              <w:right w:w="170" w:type="dxa"/>
            </w:tcMar>
            <w:hideMark/>
          </w:tcPr>
          <w:p w14:paraId="6693CF0D" w14:textId="1CDF6FE3" w:rsidR="00D039F5" w:rsidRDefault="00D039F5">
            <w:pPr>
              <w:pStyle w:val="BodyText"/>
            </w:pPr>
            <w:r w:rsidRPr="00B10C65">
              <w:t xml:space="preserve">Alternative arrangements </w:t>
            </w:r>
            <w:r>
              <w:t>were</w:t>
            </w:r>
            <w:r w:rsidRPr="00B10C65">
              <w:t xml:space="preserve"> assessed using a </w:t>
            </w:r>
            <w:r>
              <w:t>consistent</w:t>
            </w:r>
            <w:r w:rsidRPr="00B10C65">
              <w:t xml:space="preserve"> </w:t>
            </w:r>
            <w:r>
              <w:t>historical simulation</w:t>
            </w:r>
            <w:r w:rsidRPr="00B10C65">
              <w:t xml:space="preserve"> method. </w:t>
            </w:r>
          </w:p>
          <w:p w14:paraId="4F7B1BBC" w14:textId="05EF73EF" w:rsidR="00D039F5" w:rsidRPr="00B651FD" w:rsidRDefault="00D039F5">
            <w:pPr>
              <w:pStyle w:val="BodyText"/>
            </w:pPr>
            <w:r w:rsidRPr="00B10C65">
              <w:t xml:space="preserve">Each scenario </w:t>
            </w:r>
            <w:r>
              <w:t>was</w:t>
            </w:r>
            <w:r w:rsidRPr="00B10C65">
              <w:t xml:space="preserve"> applied retrospectively to historical CGC</w:t>
            </w:r>
            <w:r w:rsidRPr="00B10C65" w:rsidDel="009347ED">
              <w:t xml:space="preserve"> </w:t>
            </w:r>
            <w:r w:rsidRPr="00B10C65">
              <w:t xml:space="preserve">data on assessed revenues, expenses and populations to estimate the </w:t>
            </w:r>
            <w:r w:rsidR="00EB1FDF">
              <w:t xml:space="preserve">GST </w:t>
            </w:r>
            <w:r w:rsidRPr="00B10C65">
              <w:t>relativities an</w:t>
            </w:r>
            <w:r w:rsidR="00EB1FDF">
              <w:t>d</w:t>
            </w:r>
            <w:r w:rsidRPr="00B10C65">
              <w:t xml:space="preserve"> distributions that would have resulted had the arrangement operated at the time. Assessment</w:t>
            </w:r>
            <w:r w:rsidR="008925BE">
              <w:noBreakHyphen/>
            </w:r>
            <w:r w:rsidRPr="00B10C65">
              <w:t xml:space="preserve">year relativities </w:t>
            </w:r>
            <w:r>
              <w:t>were</w:t>
            </w:r>
            <w:r w:rsidRPr="00B10C65">
              <w:t xml:space="preserve"> averaged over </w:t>
            </w:r>
            <w:r w:rsidR="002202B8">
              <w:t>3</w:t>
            </w:r>
            <w:r w:rsidR="002202B8" w:rsidRPr="00B10C65">
              <w:t xml:space="preserve"> </w:t>
            </w:r>
            <w:r w:rsidRPr="00B10C65">
              <w:t>years and normalised to distribute the full GST pool</w:t>
            </w:r>
            <w:r>
              <w:t xml:space="preserve"> (application years 2001</w:t>
            </w:r>
            <w:r w:rsidR="007B10F1" w:rsidRPr="007B10F1">
              <w:t>–</w:t>
            </w:r>
            <w:r>
              <w:t>02 to 202</w:t>
            </w:r>
            <w:r w:rsidR="003F5D9E">
              <w:t>4</w:t>
            </w:r>
            <w:r w:rsidR="007B10F1" w:rsidRPr="007B10F1">
              <w:t>–</w:t>
            </w:r>
            <w:r>
              <w:t>2</w:t>
            </w:r>
            <w:r w:rsidR="003F5D9E">
              <w:t>5</w:t>
            </w:r>
            <w:r>
              <w:t>)</w:t>
            </w:r>
            <w:r w:rsidRPr="00B10C65">
              <w:t>.</w:t>
            </w:r>
            <w:r>
              <w:t xml:space="preserve"> </w:t>
            </w:r>
            <w:r w:rsidRPr="00B10C65">
              <w:t xml:space="preserve">GST pool amounts </w:t>
            </w:r>
            <w:r>
              <w:t>were</w:t>
            </w:r>
            <w:r w:rsidRPr="00B10C65">
              <w:t xml:space="preserve"> based on final budget outcomes for the relevant </w:t>
            </w:r>
            <w:r>
              <w:t xml:space="preserve">GST distribution year (the </w:t>
            </w:r>
            <w:r w:rsidRPr="00B10C65">
              <w:t>application year</w:t>
            </w:r>
            <w:r>
              <w:t>)</w:t>
            </w:r>
            <w:r w:rsidRPr="00B10C65" w:rsidDel="00D071DB">
              <w:t xml:space="preserve">. </w:t>
            </w:r>
            <w:r w:rsidRPr="00B651FD">
              <w:t>The scenarios</w:t>
            </w:r>
            <w:r w:rsidRPr="00B651FD" w:rsidDel="00061250">
              <w:t xml:space="preserve"> </w:t>
            </w:r>
            <w:r w:rsidRPr="00B651FD">
              <w:t xml:space="preserve">modelled </w:t>
            </w:r>
            <w:r>
              <w:t>included</w:t>
            </w:r>
            <w:r w:rsidRPr="00B651FD">
              <w:t>:</w:t>
            </w:r>
          </w:p>
          <w:p w14:paraId="40E3D85C" w14:textId="2B1AD29F" w:rsidR="00D039F5" w:rsidRPr="009B4FD3" w:rsidRDefault="00402E5C" w:rsidP="009B4FD3">
            <w:pPr>
              <w:pStyle w:val="ListBullet"/>
            </w:pPr>
            <w:r w:rsidRPr="009B4FD3">
              <w:rPr>
                <w:b/>
                <w:bCs/>
              </w:rPr>
              <w:t>p</w:t>
            </w:r>
            <w:r w:rsidR="00D039F5" w:rsidRPr="009B4FD3">
              <w:rPr>
                <w:b/>
                <w:bCs/>
              </w:rPr>
              <w:t>re</w:t>
            </w:r>
            <w:r w:rsidR="008925BE" w:rsidRPr="009B4FD3">
              <w:rPr>
                <w:b/>
                <w:bCs/>
              </w:rPr>
              <w:noBreakHyphen/>
            </w:r>
            <w:r w:rsidR="00D039F5" w:rsidRPr="009B4FD3">
              <w:rPr>
                <w:b/>
                <w:bCs/>
              </w:rPr>
              <w:t>2018 system</w:t>
            </w:r>
            <w:r w:rsidRPr="009B4FD3">
              <w:t xml:space="preserve"> – a</w:t>
            </w:r>
            <w:r w:rsidR="00D039F5" w:rsidRPr="009B4FD3">
              <w:t>pplied the pre</w:t>
            </w:r>
            <w:r w:rsidR="008925BE" w:rsidRPr="009B4FD3">
              <w:noBreakHyphen/>
            </w:r>
            <w:r w:rsidR="00D039F5" w:rsidRPr="009B4FD3">
              <w:t xml:space="preserve">2018 </w:t>
            </w:r>
            <w:r w:rsidR="007B2DB0" w:rsidRPr="009B4FD3">
              <w:t>equalisation</w:t>
            </w:r>
            <w:r w:rsidR="00D039F5" w:rsidRPr="009B4FD3">
              <w:t xml:space="preserve"> methodology to historical CGC data, using </w:t>
            </w:r>
            <w:r w:rsidR="002202B8" w:rsidRPr="009B4FD3">
              <w:t>3</w:t>
            </w:r>
            <w:r w:rsidR="008925BE" w:rsidRPr="009B4FD3">
              <w:noBreakHyphen/>
            </w:r>
            <w:r w:rsidR="00D039F5" w:rsidRPr="009B4FD3">
              <w:t>year averaging throughout for consistency</w:t>
            </w:r>
          </w:p>
          <w:p w14:paraId="7FF00BD2" w14:textId="1630E8CC" w:rsidR="00D039F5" w:rsidRPr="009B4FD3" w:rsidRDefault="00402E5C" w:rsidP="009B4FD3">
            <w:pPr>
              <w:pStyle w:val="ListBullet"/>
            </w:pPr>
            <w:r w:rsidRPr="009B4FD3">
              <w:rPr>
                <w:b/>
                <w:bCs/>
              </w:rPr>
              <w:t>c</w:t>
            </w:r>
            <w:r w:rsidR="00D039F5" w:rsidRPr="009B4FD3">
              <w:rPr>
                <w:b/>
                <w:bCs/>
              </w:rPr>
              <w:t>urrent system</w:t>
            </w:r>
            <w:r w:rsidR="00D039F5" w:rsidRPr="009B4FD3">
              <w:t xml:space="preserve"> </w:t>
            </w:r>
            <w:r w:rsidRPr="009B4FD3">
              <w:t>– a</w:t>
            </w:r>
            <w:r w:rsidR="00D039F5" w:rsidRPr="009B4FD3">
              <w:t xml:space="preserve">pplied the standard-state benchmark retrospectively. </w:t>
            </w:r>
            <w:r w:rsidR="00826522" w:rsidRPr="00900B5D">
              <w:t xml:space="preserve">States with a greater fiscal capacity than the </w:t>
            </w:r>
            <w:r w:rsidR="00C46972">
              <w:t>new equalisation standard</w:t>
            </w:r>
            <w:r w:rsidR="00D039F5" w:rsidRPr="009B4FD3">
              <w:t xml:space="preserve"> </w:t>
            </w:r>
            <w:r w:rsidR="00826522" w:rsidRPr="009B4FD3">
              <w:t xml:space="preserve">(the </w:t>
            </w:r>
            <w:r w:rsidR="00D039F5" w:rsidRPr="009B4FD3">
              <w:t xml:space="preserve">fiscally stronger of New South Wales and </w:t>
            </w:r>
            <w:r w:rsidR="00D039F5" w:rsidRPr="009B4FD3">
              <w:lastRenderedPageBreak/>
              <w:t>Victoria</w:t>
            </w:r>
            <w:r w:rsidR="00826522" w:rsidRPr="009B4FD3">
              <w:t>)</w:t>
            </w:r>
            <w:r w:rsidR="00D039F5" w:rsidRPr="009B4FD3">
              <w:t xml:space="preserve"> </w:t>
            </w:r>
            <w:r w:rsidR="001D58D0" w:rsidRPr="009B4FD3">
              <w:t>have their relativity</w:t>
            </w:r>
            <w:r w:rsidR="00D039F5" w:rsidRPr="009B4FD3">
              <w:t xml:space="preserve"> lifted to </w:t>
            </w:r>
            <w:r w:rsidR="00A4092B">
              <w:t>the standard state</w:t>
            </w:r>
            <w:r w:rsidR="00A4092B" w:rsidRPr="009B4FD3">
              <w:t xml:space="preserve"> </w:t>
            </w:r>
            <w:r w:rsidR="00D039F5" w:rsidRPr="009B4FD3">
              <w:t>benchmark, with the cost redistributed within the fixed GST pool.</w:t>
            </w:r>
          </w:p>
          <w:p w14:paraId="370285A7" w14:textId="2C85E32C" w:rsidR="00D039F5" w:rsidRPr="009B4FD3" w:rsidRDefault="00402E5C" w:rsidP="009B4FD3">
            <w:pPr>
              <w:pStyle w:val="ListBullet"/>
            </w:pPr>
            <w:r w:rsidRPr="009B4FD3">
              <w:rPr>
                <w:b/>
                <w:bCs/>
              </w:rPr>
              <w:t>m</w:t>
            </w:r>
            <w:r w:rsidR="00D039F5" w:rsidRPr="009B4FD3">
              <w:rPr>
                <w:b/>
                <w:bCs/>
              </w:rPr>
              <w:t>ining discounts</w:t>
            </w:r>
            <w:r w:rsidR="00D039F5" w:rsidRPr="009B4FD3">
              <w:t xml:space="preserve"> </w:t>
            </w:r>
            <w:r w:rsidRPr="009B4FD3">
              <w:t>– r</w:t>
            </w:r>
            <w:r w:rsidR="00D039F5" w:rsidRPr="009B4FD3">
              <w:t>educed the relevant assessed revenue by the specified discount, added an equivalent equal per capita expense to keep the GST pool size constant, and then recalculated GST requirements and relativities.</w:t>
            </w:r>
          </w:p>
          <w:p w14:paraId="76CE3600" w14:textId="192ED449" w:rsidR="00D039F5" w:rsidRPr="009B4FD3" w:rsidRDefault="00402E5C" w:rsidP="009B4FD3">
            <w:pPr>
              <w:pStyle w:val="ListBullet"/>
            </w:pPr>
            <w:r w:rsidRPr="009B4FD3">
              <w:rPr>
                <w:b/>
                <w:bCs/>
              </w:rPr>
              <w:t>f</w:t>
            </w:r>
            <w:r w:rsidR="00D039F5" w:rsidRPr="009B4FD3">
              <w:rPr>
                <w:b/>
                <w:bCs/>
              </w:rPr>
              <w:t>ixed floors</w:t>
            </w:r>
            <w:r w:rsidRPr="00645016">
              <w:t xml:space="preserve"> </w:t>
            </w:r>
            <w:r w:rsidRPr="009B4FD3">
              <w:t>–</w:t>
            </w:r>
            <w:r w:rsidR="00D039F5" w:rsidRPr="009B4FD3">
              <w:t xml:space="preserve"> </w:t>
            </w:r>
            <w:r w:rsidRPr="009B4FD3">
              <w:t>a</w:t>
            </w:r>
            <w:r w:rsidR="00D039F5" w:rsidRPr="009B4FD3">
              <w:t xml:space="preserve">pplied the selected floor after </w:t>
            </w:r>
            <w:r w:rsidR="002202B8" w:rsidRPr="009B4FD3">
              <w:t>3</w:t>
            </w:r>
            <w:r w:rsidR="008925BE" w:rsidRPr="009B4FD3">
              <w:noBreakHyphen/>
            </w:r>
            <w:r w:rsidR="00D039F5" w:rsidRPr="009B4FD3">
              <w:t>year averaging, lifted relativities below the floor and redistributed the cost across non</w:t>
            </w:r>
            <w:r w:rsidR="008925BE" w:rsidRPr="009B4FD3">
              <w:noBreakHyphen/>
            </w:r>
            <w:r w:rsidR="00D039F5" w:rsidRPr="009B4FD3">
              <w:t>floor states based on</w:t>
            </w:r>
            <w:r w:rsidR="00D039F5" w:rsidRPr="009B4FD3" w:rsidDel="002C0C99">
              <w:t xml:space="preserve"> </w:t>
            </w:r>
            <w:r w:rsidR="00D039F5" w:rsidRPr="009B4FD3">
              <w:t>population shares.</w:t>
            </w:r>
          </w:p>
          <w:p w14:paraId="5FFA9223" w14:textId="29F4808A" w:rsidR="00D039F5" w:rsidRPr="009B4FD3" w:rsidRDefault="00402E5C" w:rsidP="009B4FD3">
            <w:pPr>
              <w:pStyle w:val="ListBullet"/>
            </w:pPr>
            <w:r w:rsidRPr="009B4FD3">
              <w:rPr>
                <w:b/>
                <w:bCs/>
              </w:rPr>
              <w:t>b</w:t>
            </w:r>
            <w:r w:rsidR="00D039F5" w:rsidRPr="009B4FD3">
              <w:rPr>
                <w:b/>
                <w:bCs/>
              </w:rPr>
              <w:t>lended relativities</w:t>
            </w:r>
            <w:r w:rsidRPr="00645016">
              <w:t xml:space="preserve"> </w:t>
            </w:r>
            <w:r w:rsidRPr="009B4FD3">
              <w:t>–</w:t>
            </w:r>
            <w:r w:rsidR="00D039F5" w:rsidRPr="009B4FD3">
              <w:t xml:space="preserve"> </w:t>
            </w:r>
            <w:r w:rsidRPr="009B4FD3">
              <w:t>c</w:t>
            </w:r>
            <w:r w:rsidR="00D039F5" w:rsidRPr="009B4FD3">
              <w:t>ombined EPC and HFE</w:t>
            </w:r>
            <w:r w:rsidR="009F57EA" w:rsidRPr="009B4FD3">
              <w:t xml:space="preserve"> </w:t>
            </w:r>
            <w:r w:rsidR="00D039F5" w:rsidRPr="009B4FD3">
              <w:t xml:space="preserve">relativities using the specified weights in each assessment year, before averaging over </w:t>
            </w:r>
            <w:r w:rsidR="002202B8" w:rsidRPr="009B4FD3">
              <w:t xml:space="preserve">3 </w:t>
            </w:r>
            <w:r w:rsidR="00D039F5" w:rsidRPr="009B4FD3">
              <w:t>years. For illustration, under a 50</w:t>
            </w:r>
            <w:r w:rsidR="009932CB" w:rsidRPr="009B4FD3">
              <w:t xml:space="preserve">% </w:t>
            </w:r>
            <w:r w:rsidR="00D039F5" w:rsidRPr="009B4FD3">
              <w:t xml:space="preserve">equal per capita blend, an assessed relativity of 2 </w:t>
            </w:r>
            <w:r w:rsidR="00187E26" w:rsidRPr="009B4FD3">
              <w:t xml:space="preserve">becomes a </w:t>
            </w:r>
            <w:r w:rsidR="00076310" w:rsidRPr="009B4FD3">
              <w:t>GST</w:t>
            </w:r>
            <w:r w:rsidR="00187E26" w:rsidRPr="009B4FD3">
              <w:t xml:space="preserve"> relativity of </w:t>
            </w:r>
            <w:r w:rsidR="00D039F5" w:rsidRPr="009B4FD3">
              <w:t>1.5.</w:t>
            </w:r>
          </w:p>
          <w:p w14:paraId="5D785FB5" w14:textId="534C36AA" w:rsidR="001933AB" w:rsidRDefault="000115FB" w:rsidP="00402E5C">
            <w:r>
              <w:t>Further details on modelled GST distribution systems are provided in chapter</w:t>
            </w:r>
            <w:r w:rsidR="006C630C">
              <w:t>s</w:t>
            </w:r>
            <w:r>
              <w:t xml:space="preserve"> 3 and</w:t>
            </w:r>
            <w:r w:rsidR="006C630C">
              <w:t xml:space="preserve"> 4</w:t>
            </w:r>
            <w:r w:rsidR="007D2CE8">
              <w:t>.</w:t>
            </w:r>
            <w:r>
              <w:t xml:space="preserve"> </w:t>
            </w:r>
            <w:r w:rsidR="00D039F5" w:rsidRPr="0035081A">
              <w:t xml:space="preserve">The </w:t>
            </w:r>
            <w:r w:rsidR="00D039F5">
              <w:t xml:space="preserve">modelled results for alternatives </w:t>
            </w:r>
            <w:r w:rsidR="00D039F5" w:rsidRPr="0035081A">
              <w:t xml:space="preserve">may differ slightly from published historical outcomes </w:t>
            </w:r>
            <w:r w:rsidR="00D039F5">
              <w:t xml:space="preserve">(where they would be expected to align) </w:t>
            </w:r>
            <w:r w:rsidR="00D039F5" w:rsidRPr="0035081A">
              <w:t xml:space="preserve">because of differences in data and implementation, including the use of </w:t>
            </w:r>
            <w:r w:rsidR="002202B8">
              <w:t>3</w:t>
            </w:r>
            <w:r w:rsidR="008925BE">
              <w:noBreakHyphen/>
            </w:r>
            <w:r w:rsidR="00D039F5" w:rsidRPr="0035081A">
              <w:t xml:space="preserve">year averaging throughout. </w:t>
            </w:r>
            <w:r w:rsidR="00D039F5">
              <w:t>However, t</w:t>
            </w:r>
            <w:r w:rsidR="00D039F5" w:rsidRPr="0035081A">
              <w:t xml:space="preserve">he approach provides a consistent basis for </w:t>
            </w:r>
            <w:r w:rsidR="00D039F5">
              <w:t xml:space="preserve">the PC to </w:t>
            </w:r>
            <w:r w:rsidR="00D039F5" w:rsidRPr="0035081A">
              <w:t>compar</w:t>
            </w:r>
            <w:r w:rsidR="00D039F5">
              <w:t>e</w:t>
            </w:r>
            <w:r w:rsidR="00D039F5" w:rsidRPr="0035081A">
              <w:t xml:space="preserve"> alternatives.</w:t>
            </w:r>
          </w:p>
        </w:tc>
      </w:tr>
      <w:tr w:rsidR="001933AB" w14:paraId="0C4A6198" w14:textId="77777777">
        <w:trPr>
          <w:hidden/>
        </w:trPr>
        <w:tc>
          <w:tcPr>
            <w:tcW w:w="9638" w:type="dxa"/>
            <w:shd w:val="clear" w:color="auto" w:fill="auto"/>
            <w:tcMar>
              <w:top w:w="0" w:type="dxa"/>
              <w:left w:w="170" w:type="dxa"/>
              <w:bottom w:w="0" w:type="dxa"/>
              <w:right w:w="170" w:type="dxa"/>
            </w:tcMar>
          </w:tcPr>
          <w:p w14:paraId="0AC03F55" w14:textId="08908F64" w:rsidR="001933AB" w:rsidRPr="00465191" w:rsidRDefault="001933AB" w:rsidP="00926B20">
            <w:pPr>
              <w:pStyle w:val="BodyText"/>
              <w:spacing w:before="0" w:after="240" w:line="80" w:lineRule="atLeast"/>
              <w:rPr>
                <w:smallCaps/>
                <w:vanish/>
              </w:rPr>
            </w:pPr>
          </w:p>
        </w:tc>
      </w:tr>
    </w:tbl>
    <w:p w14:paraId="1022A689" w14:textId="77777777" w:rsidR="007D16BD" w:rsidRPr="009B5F97" w:rsidRDefault="007D16BD" w:rsidP="009B5F97">
      <w:pPr>
        <w:pStyle w:val="Heading3"/>
      </w:pPr>
      <w:r w:rsidRPr="009B5F97">
        <w:t>Equity</w:t>
      </w:r>
    </w:p>
    <w:p w14:paraId="1C5B862D" w14:textId="0A67D374" w:rsidR="007D16BD" w:rsidRPr="009C3366" w:rsidRDefault="007D16BD">
      <w:pPr>
        <w:pStyle w:val="BodyText"/>
        <w:rPr>
          <w:rFonts w:cs="Arial"/>
        </w:rPr>
      </w:pPr>
      <w:r w:rsidRPr="00745050">
        <w:rPr>
          <w:rFonts w:cs="Arial"/>
          <w:lang w:val="en-US"/>
        </w:rPr>
        <w:t xml:space="preserve">The </w:t>
      </w:r>
      <w:r w:rsidRPr="001F2942">
        <w:rPr>
          <w:rFonts w:cs="Arial"/>
          <w:lang w:val="en-US"/>
        </w:rPr>
        <w:t>equity</w:t>
      </w:r>
      <w:r w:rsidRPr="00745050">
        <w:rPr>
          <w:rFonts w:cs="Arial"/>
          <w:lang w:val="en-US"/>
        </w:rPr>
        <w:t xml:space="preserve"> of competing GST distribution systems has been assessed by calculating the </w:t>
      </w:r>
      <w:proofErr w:type="spellStart"/>
      <w:r w:rsidRPr="00745050">
        <w:rPr>
          <w:rFonts w:cs="Arial"/>
          <w:lang w:val="en-US"/>
        </w:rPr>
        <w:t>equali</w:t>
      </w:r>
      <w:r>
        <w:rPr>
          <w:rFonts w:cs="Arial"/>
          <w:lang w:val="en-US"/>
        </w:rPr>
        <w:t>s</w:t>
      </w:r>
      <w:r w:rsidRPr="00745050">
        <w:rPr>
          <w:rFonts w:cs="Arial"/>
          <w:lang w:val="en-US"/>
        </w:rPr>
        <w:t>ation</w:t>
      </w:r>
      <w:proofErr w:type="spellEnd"/>
      <w:r w:rsidRPr="00745050">
        <w:rPr>
          <w:rFonts w:cs="Arial"/>
          <w:lang w:val="en-US"/>
        </w:rPr>
        <w:t xml:space="preserve"> rate of each alternative arrangement</w:t>
      </w:r>
      <w:r>
        <w:rPr>
          <w:rFonts w:cs="Arial"/>
          <w:lang w:val="en-US"/>
        </w:rPr>
        <w:t xml:space="preserve">. </w:t>
      </w:r>
    </w:p>
    <w:p w14:paraId="7E37385C" w14:textId="235C9CFB" w:rsidR="007D16BD" w:rsidRDefault="007D16BD" w:rsidP="00964919">
      <w:pPr>
        <w:keepNext/>
      </w:pPr>
      <w:r w:rsidRPr="001F2942">
        <w:t xml:space="preserve">The </w:t>
      </w:r>
      <w:r>
        <w:t>e</w:t>
      </w:r>
      <w:r w:rsidRPr="001F2942">
        <w:t>qualisation rate</w:t>
      </w:r>
      <w:r w:rsidRPr="001F5EF5">
        <w:t xml:space="preserve"> measures how much the model reduces the initial dispersion in fiscal need. A rate of 100% means the model fully equalises states to assessed need. A lower rate means variation in need remains after the GST distribution. This is the better measure of whether the model is achieving equalisation, because it captures the relative difference between states rather than just the average level of GST </w:t>
      </w:r>
      <w:r w:rsidR="00315B8B">
        <w:t xml:space="preserve">payments </w:t>
      </w:r>
      <w:r w:rsidRPr="001F5EF5">
        <w:t>relative to need.</w:t>
      </w:r>
    </w:p>
    <w:p w14:paraId="323A452A" w14:textId="4CC3C6C1" w:rsidR="0099623A" w:rsidRPr="001F012A" w:rsidRDefault="00044402">
      <w:pPr>
        <w:rPr>
          <w:rFonts w:eastAsiaTheme="minorEastAsia"/>
          <w:bCs/>
        </w:rPr>
      </w:pPr>
      <m:oMathPara>
        <m:oMath>
          <m:r>
            <m:rPr>
              <m:sty m:val="p"/>
            </m:rPr>
            <w:rPr>
              <w:rFonts w:ascii="Cambria Math" w:hAnsi="Cambria Math"/>
            </w:rPr>
            <m:t>Equalisation rat</m:t>
          </m:r>
          <m:sSub>
            <m:sSubPr>
              <m:ctrlPr>
                <w:rPr>
                  <w:rFonts w:ascii="Cambria Math" w:hAnsi="Cambria Math"/>
                  <w:iCs/>
                </w:rPr>
              </m:ctrlPr>
            </m:sSubPr>
            <m:e>
              <m:r>
                <m:rPr>
                  <m:sty m:val="p"/>
                </m:rPr>
                <w:rPr>
                  <w:rFonts w:ascii="Cambria Math" w:hAnsi="Cambria Math"/>
                </w:rPr>
                <m:t>e</m:t>
              </m:r>
            </m:e>
            <m:sub>
              <m:r>
                <w:rPr>
                  <w:rFonts w:ascii="Cambria Math" w:hAnsi="Cambria Math"/>
                </w:rPr>
                <m:t>i</m:t>
              </m:r>
            </m:sub>
          </m:sSub>
          <m:r>
            <w:rPr>
              <w:rFonts w:ascii="Cambria Math" w:hAnsi="Cambria Math"/>
            </w:rPr>
            <m:t>=100</m:t>
          </m:r>
          <m:d>
            <m:dPr>
              <m:sepChr m:val="−"/>
              <m:ctrlPr>
                <w:rPr>
                  <w:rFonts w:ascii="Cambria Math" w:hAnsi="Cambria Math"/>
                  <w:bCs/>
                </w:rPr>
              </m:ctrlPr>
            </m:dPr>
            <m:e>
              <m:r>
                <w:rPr>
                  <w:rFonts w:ascii="Cambria Math" w:hAnsi="Cambria Math"/>
                </w:rPr>
                <m:t>1</m:t>
              </m:r>
            </m:e>
            <m:e>
              <m:f>
                <m:fPr>
                  <m:ctrlPr>
                    <w:rPr>
                      <w:rFonts w:ascii="Cambria Math" w:hAnsi="Cambria Math"/>
                      <w:bCs/>
                    </w:rPr>
                  </m:ctrlPr>
                </m:fPr>
                <m:num>
                  <m:rad>
                    <m:radPr>
                      <m:degHide m:val="1"/>
                      <m:ctrlPr>
                        <w:rPr>
                          <w:rFonts w:ascii="Cambria Math" w:hAnsi="Cambria Math"/>
                          <w:bCs/>
                        </w:rPr>
                      </m:ctrlPr>
                    </m:radPr>
                    <m:deg/>
                    <m:e>
                      <m:nary>
                        <m:naryPr>
                          <m:chr m:val="∑"/>
                          <m:limLoc m:val="undOvr"/>
                          <m:grow m:val="1"/>
                          <m:supHide m:val="1"/>
                          <m:ctrlPr>
                            <w:rPr>
                              <w:rFonts w:ascii="Cambria Math" w:hAnsi="Cambria Math"/>
                              <w:bCs/>
                            </w:rPr>
                          </m:ctrlPr>
                        </m:naryPr>
                        <m:sub>
                          <m:r>
                            <w:rPr>
                              <w:rFonts w:ascii="Cambria Math" w:hAnsi="Cambria Math"/>
                            </w:rPr>
                            <m:t>s</m:t>
                          </m:r>
                        </m:sub>
                        <m:sup/>
                        <m:e>
                          <m:sSub>
                            <m:sSubPr>
                              <m:ctrlPr>
                                <w:rPr>
                                  <w:rFonts w:ascii="Cambria Math" w:hAnsi="Cambria Math"/>
                                  <w:bCs/>
                                </w:rPr>
                              </m:ctrlPr>
                            </m:sSubPr>
                            <m:e>
                              <m:r>
                                <w:rPr>
                                  <w:rFonts w:ascii="Cambria Math" w:hAnsi="Cambria Math"/>
                                </w:rPr>
                                <m:t>w</m:t>
                              </m:r>
                            </m:e>
                            <m:sub>
                              <m:r>
                                <w:rPr>
                                  <w:rFonts w:ascii="Cambria Math" w:hAnsi="Cambria Math"/>
                                </w:rPr>
                                <m:t>s</m:t>
                              </m:r>
                            </m:sub>
                          </m:sSub>
                        </m:e>
                      </m:nary>
                      <m:r>
                        <w:rPr>
                          <w:rFonts w:ascii="Cambria Math" w:hAnsi="Cambria Math"/>
                        </w:rPr>
                        <m:t>(</m:t>
                      </m:r>
                      <m:sSub>
                        <m:sSubPr>
                          <m:ctrlPr>
                            <w:rPr>
                              <w:rFonts w:ascii="Cambria Math" w:hAnsi="Cambria Math"/>
                              <w:bCs/>
                            </w:rPr>
                          </m:ctrlPr>
                        </m:sSubPr>
                        <m:e>
                          <m:r>
                            <w:rPr>
                              <w:rFonts w:ascii="Cambria Math" w:hAnsi="Cambria Math"/>
                            </w:rPr>
                            <m:t>N</m:t>
                          </m:r>
                        </m:e>
                        <m:sub>
                          <m:r>
                            <w:rPr>
                              <w:rFonts w:ascii="Cambria Math" w:hAnsi="Cambria Math"/>
                            </w:rPr>
                            <m:t>is</m:t>
                          </m:r>
                        </m:sub>
                      </m:sSub>
                      <m:r>
                        <w:rPr>
                          <w:rFonts w:ascii="Cambria Math" w:hAnsi="Cambria Math"/>
                        </w:rPr>
                        <m:t>-</m:t>
                      </m:r>
                      <m:sSub>
                        <m:sSubPr>
                          <m:ctrlPr>
                            <w:rPr>
                              <w:rFonts w:ascii="Cambria Math" w:hAnsi="Cambria Math"/>
                              <w:bCs/>
                            </w:rPr>
                          </m:ctrlPr>
                        </m:sSubPr>
                        <m:e>
                          <m:r>
                            <w:rPr>
                              <w:rFonts w:ascii="Cambria Math" w:hAnsi="Cambria Math"/>
                            </w:rPr>
                            <m:t>G</m:t>
                          </m:r>
                        </m:e>
                        <m:sub>
                          <m:r>
                            <w:rPr>
                              <w:rFonts w:ascii="Cambria Math" w:hAnsi="Cambria Math"/>
                            </w:rPr>
                            <m:t>is</m:t>
                          </m:r>
                        </m:sub>
                      </m:sSub>
                      <m:sSup>
                        <m:sSupPr>
                          <m:ctrlPr>
                            <w:rPr>
                              <w:rFonts w:ascii="Cambria Math" w:hAnsi="Cambria Math"/>
                              <w:bCs/>
                            </w:rPr>
                          </m:ctrlPr>
                        </m:sSupPr>
                        <m:e>
                          <m:r>
                            <w:rPr>
                              <w:rFonts w:ascii="Cambria Math" w:hAnsi="Cambria Math"/>
                            </w:rPr>
                            <m:t>)</m:t>
                          </m:r>
                        </m:e>
                        <m:sup>
                          <m:r>
                            <w:rPr>
                              <w:rFonts w:ascii="Cambria Math" w:hAnsi="Cambria Math"/>
                            </w:rPr>
                            <m:t>2</m:t>
                          </m:r>
                        </m:sup>
                      </m:sSup>
                    </m:e>
                  </m:rad>
                </m:num>
                <m:den>
                  <m:rad>
                    <m:radPr>
                      <m:degHide m:val="1"/>
                      <m:ctrlPr>
                        <w:rPr>
                          <w:rFonts w:ascii="Cambria Math" w:hAnsi="Cambria Math"/>
                          <w:bCs/>
                        </w:rPr>
                      </m:ctrlPr>
                    </m:radPr>
                    <m:deg/>
                    <m:e>
                      <m:nary>
                        <m:naryPr>
                          <m:chr m:val="∑"/>
                          <m:limLoc m:val="undOvr"/>
                          <m:grow m:val="1"/>
                          <m:supHide m:val="1"/>
                          <m:ctrlPr>
                            <w:rPr>
                              <w:rFonts w:ascii="Cambria Math" w:hAnsi="Cambria Math"/>
                              <w:bCs/>
                            </w:rPr>
                          </m:ctrlPr>
                        </m:naryPr>
                        <m:sub>
                          <m:r>
                            <w:rPr>
                              <w:rFonts w:ascii="Cambria Math" w:hAnsi="Cambria Math"/>
                            </w:rPr>
                            <m:t>s</m:t>
                          </m:r>
                        </m:sub>
                        <m:sup/>
                        <m:e>
                          <m:sSub>
                            <m:sSubPr>
                              <m:ctrlPr>
                                <w:rPr>
                                  <w:rFonts w:ascii="Cambria Math" w:hAnsi="Cambria Math"/>
                                  <w:bCs/>
                                </w:rPr>
                              </m:ctrlPr>
                            </m:sSubPr>
                            <m:e>
                              <m:r>
                                <w:rPr>
                                  <w:rFonts w:ascii="Cambria Math" w:hAnsi="Cambria Math"/>
                                </w:rPr>
                                <m:t>w</m:t>
                              </m:r>
                            </m:e>
                            <m:sub>
                              <m:r>
                                <w:rPr>
                                  <w:rFonts w:ascii="Cambria Math" w:hAnsi="Cambria Math"/>
                                </w:rPr>
                                <m:t>s</m:t>
                              </m:r>
                            </m:sub>
                          </m:sSub>
                        </m:e>
                      </m:nary>
                      <m:r>
                        <w:rPr>
                          <w:rFonts w:ascii="Cambria Math" w:hAnsi="Cambria Math"/>
                        </w:rPr>
                        <m:t>(</m:t>
                      </m:r>
                      <m:sSub>
                        <m:sSubPr>
                          <m:ctrlPr>
                            <w:rPr>
                              <w:rFonts w:ascii="Cambria Math" w:hAnsi="Cambria Math"/>
                              <w:bCs/>
                            </w:rPr>
                          </m:ctrlPr>
                        </m:sSubPr>
                        <m:e>
                          <m:r>
                            <w:rPr>
                              <w:rFonts w:ascii="Cambria Math" w:hAnsi="Cambria Math"/>
                            </w:rPr>
                            <m:t>N</m:t>
                          </m:r>
                        </m:e>
                        <m:sub>
                          <m:r>
                            <w:rPr>
                              <w:rFonts w:ascii="Cambria Math" w:hAnsi="Cambria Math"/>
                            </w:rPr>
                            <m:t>is</m:t>
                          </m:r>
                        </m:sub>
                      </m:sSub>
                      <m:r>
                        <w:rPr>
                          <w:rFonts w:ascii="Cambria Math" w:hAnsi="Cambria Math"/>
                        </w:rPr>
                        <m:t>-</m:t>
                      </m:r>
                      <m:sSub>
                        <m:sSubPr>
                          <m:ctrlPr>
                            <w:rPr>
                              <w:rFonts w:ascii="Cambria Math" w:hAnsi="Cambria Math"/>
                              <w:bCs/>
                            </w:rPr>
                          </m:ctrlPr>
                        </m:sSubPr>
                        <m:e>
                          <m:acc>
                            <m:accPr>
                              <m:chr m:val="ˉ"/>
                              <m:ctrlPr>
                                <w:rPr>
                                  <w:rFonts w:ascii="Cambria Math" w:hAnsi="Cambria Math"/>
                                  <w:bCs/>
                                </w:rPr>
                              </m:ctrlPr>
                            </m:accPr>
                            <m:e>
                              <m:r>
                                <w:rPr>
                                  <w:rFonts w:ascii="Cambria Math" w:hAnsi="Cambria Math"/>
                                </w:rPr>
                                <m:t>N</m:t>
                              </m:r>
                            </m:e>
                          </m:acc>
                        </m:e>
                        <m:sub>
                          <m:r>
                            <w:rPr>
                              <w:rFonts w:ascii="Cambria Math" w:hAnsi="Cambria Math"/>
                            </w:rPr>
                            <m:t>i</m:t>
                          </m:r>
                        </m:sub>
                      </m:sSub>
                      <m:sSup>
                        <m:sSupPr>
                          <m:ctrlPr>
                            <w:rPr>
                              <w:rFonts w:ascii="Cambria Math" w:hAnsi="Cambria Math"/>
                              <w:bCs/>
                            </w:rPr>
                          </m:ctrlPr>
                        </m:sSupPr>
                        <m:e>
                          <m:r>
                            <w:rPr>
                              <w:rFonts w:ascii="Cambria Math" w:hAnsi="Cambria Math"/>
                            </w:rPr>
                            <m:t>)</m:t>
                          </m:r>
                        </m:e>
                        <m:sup>
                          <m:r>
                            <w:rPr>
                              <w:rFonts w:ascii="Cambria Math" w:hAnsi="Cambria Math"/>
                            </w:rPr>
                            <m:t>2</m:t>
                          </m:r>
                        </m:sup>
                      </m:sSup>
                    </m:e>
                  </m:rad>
                </m:den>
              </m:f>
            </m:e>
          </m:d>
        </m:oMath>
      </m:oMathPara>
    </w:p>
    <w:p w14:paraId="4329EE4C" w14:textId="26DF8C97" w:rsidR="001F012A" w:rsidRDefault="001F012A" w:rsidP="00964919">
      <w:pPr>
        <w:keepNext/>
        <w:rPr>
          <w:rFonts w:eastAsiaTheme="minorEastAsia"/>
          <w:bCs/>
        </w:rPr>
      </w:pPr>
      <w:proofErr w:type="gramStart"/>
      <w:r>
        <w:rPr>
          <w:rFonts w:eastAsiaTheme="minorEastAsia"/>
          <w:bCs/>
        </w:rPr>
        <w:t>where</w:t>
      </w:r>
      <w:proofErr w:type="gramEnd"/>
    </w:p>
    <w:p w14:paraId="3BF6FFA4" w14:textId="6EF589AE" w:rsidR="001F012A" w:rsidRPr="0032122A" w:rsidRDefault="00000000">
      <w:pPr>
        <w:rPr>
          <w:rFonts w:eastAsiaTheme="minorEastAsia" w:cs="Arial"/>
        </w:rPr>
      </w:pPr>
      <m:oMathPara>
        <m:oMath>
          <m:sSub>
            <m:sSubPr>
              <m:ctrlPr>
                <w:rPr>
                  <w:rFonts w:ascii="Cambria Math" w:hAnsi="Cambria Math"/>
                </w:rPr>
              </m:ctrlPr>
            </m:sSubPr>
            <m:e>
              <m:acc>
                <m:accPr>
                  <m:chr m:val="ˉ"/>
                  <m:ctrlPr>
                    <w:rPr>
                      <w:rFonts w:ascii="Cambria Math" w:hAnsi="Cambria Math"/>
                    </w:rPr>
                  </m:ctrlPr>
                </m:accPr>
                <m:e>
                  <m:r>
                    <w:rPr>
                      <w:rFonts w:ascii="Cambria Math" w:hAnsi="Cambria Math"/>
                    </w:rPr>
                    <m:t>N</m:t>
                  </m:r>
                </m:e>
              </m:acc>
            </m:e>
            <m:sub>
              <m:r>
                <w:rPr>
                  <w:rFonts w:ascii="Cambria Math" w:hAnsi="Cambria Math"/>
                </w:rPr>
                <m:t>i</m:t>
              </m:r>
            </m:sub>
          </m:sSub>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s</m:t>
              </m:r>
            </m:sub>
            <m:sup/>
            <m:e>
              <m:sSub>
                <m:sSubPr>
                  <m:ctrlPr>
                    <w:rPr>
                      <w:rFonts w:ascii="Cambria Math" w:hAnsi="Cambria Math"/>
                    </w:rPr>
                  </m:ctrlPr>
                </m:sSubPr>
                <m:e>
                  <m:r>
                    <w:rPr>
                      <w:rFonts w:ascii="Cambria Math" w:hAnsi="Cambria Math"/>
                    </w:rPr>
                    <m:t>w</m:t>
                  </m:r>
                </m:e>
                <m:sub>
                  <m:r>
                    <w:rPr>
                      <w:rFonts w:ascii="Cambria Math" w:hAnsi="Cambria Math"/>
                    </w:rPr>
                    <m:t>s</m:t>
                  </m:r>
                </m:sub>
              </m:sSub>
            </m:e>
          </m:nary>
          <m:sSub>
            <m:sSubPr>
              <m:ctrlPr>
                <w:rPr>
                  <w:rFonts w:ascii="Cambria Math" w:hAnsi="Cambria Math"/>
                </w:rPr>
              </m:ctrlPr>
            </m:sSubPr>
            <m:e>
              <m:r>
                <w:rPr>
                  <w:rFonts w:ascii="Cambria Math" w:hAnsi="Cambria Math"/>
                </w:rPr>
                <m:t>N</m:t>
              </m:r>
            </m:e>
            <m:sub>
              <m:r>
                <w:rPr>
                  <w:rFonts w:ascii="Cambria Math" w:hAnsi="Cambria Math"/>
                </w:rPr>
                <m:t>is</m:t>
              </m:r>
            </m:sub>
          </m:sSub>
        </m:oMath>
      </m:oMathPara>
    </w:p>
    <w:p w14:paraId="1C7AFB22" w14:textId="77777777" w:rsidR="00926B20" w:rsidRDefault="00926B20" w:rsidP="00926B20">
      <w:pPr>
        <w:pStyle w:val="BodyText"/>
      </w:pPr>
    </w:p>
    <w:p w14:paraId="56D195EE" w14:textId="6FC9222F" w:rsidR="00C51323" w:rsidRDefault="00C51323" w:rsidP="00926B20">
      <w:pPr>
        <w:pStyle w:val="FigureTableHeading"/>
      </w:pPr>
      <w:r>
        <w:t xml:space="preserve">Table </w:t>
      </w:r>
      <w:fldSimple w:instr=" STYLEREF  \s Heading-Appendix ">
        <w:r w:rsidR="004C5D0E">
          <w:rPr>
            <w:noProof/>
          </w:rPr>
          <w:t>B</w:t>
        </w:r>
      </w:fldSimple>
      <w:r>
        <w:t>.</w:t>
      </w:r>
      <w:fldSimple w:instr=" SEQ Table \* ARABIC \s 1 ">
        <w:r w:rsidR="004C5D0E">
          <w:rPr>
            <w:noProof/>
          </w:rPr>
          <w:t>1</w:t>
        </w:r>
      </w:fldSimple>
      <w:r>
        <w:rPr>
          <w:noProof/>
        </w:rPr>
        <w:t xml:space="preserve"> – </w:t>
      </w:r>
      <w:r w:rsidR="002D07CA">
        <w:t xml:space="preserve">Calculation </w:t>
      </w:r>
      <w:r w:rsidR="002B205B">
        <w:t xml:space="preserve">of </w:t>
      </w:r>
      <w:r w:rsidR="002D07CA">
        <w:t>the equalisation rate</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418"/>
        <w:gridCol w:w="8221"/>
      </w:tblGrid>
      <w:tr w:rsidR="002D07CA" w:rsidRPr="00F32CA6" w14:paraId="549F46A8" w14:textId="77777777" w:rsidTr="00B03A33">
        <w:trPr>
          <w:tblHeader/>
        </w:trPr>
        <w:tc>
          <w:tcPr>
            <w:tcW w:w="1418" w:type="dxa"/>
            <w:tcBorders>
              <w:bottom w:val="single" w:sz="4" w:space="0" w:color="B3B3B3"/>
            </w:tcBorders>
            <w:shd w:val="clear" w:color="000000" w:fill="auto"/>
            <w:vAlign w:val="bottom"/>
          </w:tcPr>
          <w:p w14:paraId="4171B449" w14:textId="1B1DFF3B" w:rsidR="002D07CA" w:rsidRPr="00F32CA6" w:rsidRDefault="002D07CA" w:rsidP="00926B20">
            <w:pPr>
              <w:keepNext/>
              <w:spacing w:before="45" w:after="45"/>
              <w:ind w:left="57" w:right="108"/>
              <w:rPr>
                <w:rFonts w:cs="Open Sans"/>
                <w:b/>
                <w:color w:val="1D4374"/>
                <w:sz w:val="18"/>
              </w:rPr>
            </w:pPr>
            <w:r>
              <w:rPr>
                <w:rFonts w:cs="Open Sans"/>
                <w:b/>
                <w:color w:val="1D4374"/>
                <w:sz w:val="18"/>
              </w:rPr>
              <w:t>Symbol</w:t>
            </w:r>
          </w:p>
        </w:tc>
        <w:tc>
          <w:tcPr>
            <w:tcW w:w="8221" w:type="dxa"/>
            <w:tcBorders>
              <w:bottom w:val="single" w:sz="4" w:space="0" w:color="B3B3B3"/>
            </w:tcBorders>
            <w:shd w:val="clear" w:color="000000" w:fill="auto"/>
            <w:vAlign w:val="bottom"/>
          </w:tcPr>
          <w:p w14:paraId="421E32C8" w14:textId="572BA1D5" w:rsidR="002D07CA" w:rsidRPr="00F32CA6" w:rsidRDefault="002D07CA" w:rsidP="00926B20">
            <w:pPr>
              <w:pStyle w:val="TableHeading"/>
              <w:keepNext/>
              <w:spacing w:before="45" w:after="45"/>
              <w:rPr>
                <w:rFonts w:cs="Open Sans"/>
                <w:color w:val="1D4374"/>
              </w:rPr>
            </w:pPr>
            <w:r>
              <w:rPr>
                <w:rFonts w:cs="Open Sans"/>
                <w:color w:val="1D4374"/>
              </w:rPr>
              <w:t>Definition</w:t>
            </w:r>
          </w:p>
        </w:tc>
      </w:tr>
      <w:tr w:rsidR="00703569" w:rsidRPr="00F32CA6" w14:paraId="6A0A5815" w14:textId="77777777" w:rsidTr="00B03A33">
        <w:tc>
          <w:tcPr>
            <w:tcW w:w="1418" w:type="dxa"/>
            <w:tcBorders>
              <w:top w:val="single" w:sz="4" w:space="0" w:color="B3B3B3"/>
              <w:bottom w:val="nil"/>
            </w:tcBorders>
            <w:shd w:val="clear" w:color="000000" w:fill="E6E6E6"/>
          </w:tcPr>
          <w:p w14:paraId="7D667F5B" w14:textId="3284263F" w:rsidR="00703569" w:rsidRPr="00B03A33" w:rsidRDefault="0000113D" w:rsidP="00926B20">
            <w:pPr>
              <w:pStyle w:val="TableHeading"/>
              <w:keepNext/>
              <w:spacing w:before="45" w:after="45"/>
              <w:rPr>
                <w:rFonts w:cs="Open Sans"/>
                <w:b w:val="0"/>
                <w:color w:val="1D4374"/>
              </w:rPr>
            </w:pPr>
            <m:oMathPara>
              <m:oMath>
                <m:r>
                  <m:rPr>
                    <m:sty m:val="bi"/>
                  </m:rPr>
                  <w:rPr>
                    <w:rFonts w:ascii="Cambria Math" w:hAnsi="Cambria Math" w:cs="Open Sans"/>
                  </w:rPr>
                  <m:t>i</m:t>
                </m:r>
              </m:oMath>
            </m:oMathPara>
          </w:p>
        </w:tc>
        <w:tc>
          <w:tcPr>
            <w:tcW w:w="8221" w:type="dxa"/>
            <w:tcBorders>
              <w:top w:val="single" w:sz="4" w:space="0" w:color="B3B3B3"/>
              <w:bottom w:val="nil"/>
            </w:tcBorders>
            <w:shd w:val="clear" w:color="auto" w:fill="E6E6E6"/>
          </w:tcPr>
          <w:p w14:paraId="6030CE94" w14:textId="29F324A1" w:rsidR="00703569" w:rsidRPr="00F32CA6" w:rsidRDefault="00703569" w:rsidP="00926B20">
            <w:pPr>
              <w:pStyle w:val="TableBody"/>
              <w:keepNext/>
              <w:spacing w:before="45" w:after="45"/>
              <w:ind w:right="108"/>
              <w:rPr>
                <w:rFonts w:cs="Open Sans"/>
                <w:color w:val="000000"/>
              </w:rPr>
            </w:pPr>
            <w:r w:rsidRPr="00EC2B2C">
              <w:rPr>
                <w:rFonts w:cs="Open Sans"/>
                <w:color w:val="000000"/>
              </w:rPr>
              <w:t>Inquiry year and model scenario (for example, 2024</w:t>
            </w:r>
            <w:r w:rsidR="007B10F1" w:rsidRPr="007B10F1">
              <w:t>–</w:t>
            </w:r>
            <w:r w:rsidRPr="00EC2B2C">
              <w:rPr>
                <w:rFonts w:cs="Open Sans"/>
                <w:color w:val="000000"/>
              </w:rPr>
              <w:t xml:space="preserve">25 </w:t>
            </w:r>
            <w:r>
              <w:rPr>
                <w:rFonts w:cs="Open Sans"/>
                <w:color w:val="000000"/>
              </w:rPr>
              <w:t>c</w:t>
            </w:r>
            <w:r w:rsidRPr="00EC2B2C">
              <w:rPr>
                <w:rFonts w:cs="Open Sans"/>
                <w:color w:val="000000"/>
              </w:rPr>
              <w:t xml:space="preserve">urrent </w:t>
            </w:r>
            <w:r>
              <w:rPr>
                <w:rFonts w:cs="Open Sans"/>
                <w:color w:val="000000"/>
              </w:rPr>
              <w:t>s</w:t>
            </w:r>
            <w:r w:rsidRPr="00EC2B2C">
              <w:rPr>
                <w:rFonts w:cs="Open Sans"/>
                <w:color w:val="000000"/>
              </w:rPr>
              <w:t>ystem, 2024</w:t>
            </w:r>
            <w:r w:rsidR="007B10F1" w:rsidRPr="007B10F1">
              <w:t>–</w:t>
            </w:r>
            <w:r w:rsidRPr="00EC2B2C">
              <w:rPr>
                <w:rFonts w:cs="Open Sans"/>
                <w:color w:val="000000"/>
              </w:rPr>
              <w:t>25 EPC, 2024</w:t>
            </w:r>
            <w:r w:rsidR="007B10F1" w:rsidRPr="007B10F1">
              <w:t>–</w:t>
            </w:r>
            <w:r w:rsidRPr="00EC2B2C">
              <w:rPr>
                <w:rFonts w:cs="Open Sans"/>
                <w:color w:val="000000"/>
              </w:rPr>
              <w:t xml:space="preserve">25 </w:t>
            </w:r>
            <w:r>
              <w:rPr>
                <w:rFonts w:cs="Open Sans"/>
                <w:color w:val="000000"/>
              </w:rPr>
              <w:t>m</w:t>
            </w:r>
            <w:r w:rsidRPr="00EC2B2C">
              <w:rPr>
                <w:rFonts w:cs="Open Sans"/>
                <w:color w:val="000000"/>
              </w:rPr>
              <w:t xml:space="preserve">ining </w:t>
            </w:r>
            <w:r>
              <w:rPr>
                <w:rFonts w:cs="Open Sans"/>
                <w:color w:val="000000"/>
              </w:rPr>
              <w:t>d</w:t>
            </w:r>
            <w:r w:rsidRPr="00EC2B2C">
              <w:rPr>
                <w:rFonts w:cs="Open Sans"/>
                <w:color w:val="000000"/>
              </w:rPr>
              <w:t>iscount)</w:t>
            </w:r>
          </w:p>
        </w:tc>
      </w:tr>
      <w:tr w:rsidR="00703569" w:rsidRPr="00F32CA6" w14:paraId="0547ABC0" w14:textId="77777777" w:rsidTr="00B03A33">
        <w:tc>
          <w:tcPr>
            <w:tcW w:w="1418" w:type="dxa"/>
            <w:tcBorders>
              <w:top w:val="nil"/>
              <w:bottom w:val="nil"/>
            </w:tcBorders>
            <w:shd w:val="clear" w:color="000000" w:fill="auto"/>
          </w:tcPr>
          <w:p w14:paraId="29E20D33" w14:textId="53138001" w:rsidR="00703569" w:rsidRPr="00B03A33" w:rsidRDefault="0000113D" w:rsidP="00703569">
            <w:pPr>
              <w:pStyle w:val="TableHeading"/>
              <w:spacing w:before="45" w:after="45"/>
              <w:rPr>
                <w:rFonts w:cs="Open Sans"/>
                <w:b w:val="0"/>
                <w:color w:val="1D4374"/>
              </w:rPr>
            </w:pPr>
            <m:oMathPara>
              <m:oMath>
                <m:r>
                  <m:rPr>
                    <m:sty m:val="bi"/>
                  </m:rPr>
                  <w:rPr>
                    <w:rFonts w:ascii="Cambria Math" w:hAnsi="Cambria Math" w:cs="Open Sans"/>
                  </w:rPr>
                  <m:t>s</m:t>
                </m:r>
              </m:oMath>
            </m:oMathPara>
          </w:p>
        </w:tc>
        <w:tc>
          <w:tcPr>
            <w:tcW w:w="8221" w:type="dxa"/>
            <w:tcBorders>
              <w:top w:val="nil"/>
              <w:bottom w:val="nil"/>
            </w:tcBorders>
            <w:shd w:val="clear" w:color="000000" w:fill="auto"/>
          </w:tcPr>
          <w:p w14:paraId="602122C2" w14:textId="6792544A" w:rsidR="00703569" w:rsidRPr="00F32CA6" w:rsidRDefault="00703569" w:rsidP="00703569">
            <w:pPr>
              <w:pStyle w:val="TableBody"/>
              <w:spacing w:before="45" w:after="45"/>
              <w:ind w:right="108"/>
              <w:rPr>
                <w:rFonts w:cs="Open Sans"/>
                <w:color w:val="000000"/>
              </w:rPr>
            </w:pPr>
            <w:r w:rsidRPr="00766C5E">
              <w:rPr>
                <w:rFonts w:cs="Open Sans"/>
                <w:color w:val="000000"/>
              </w:rPr>
              <w:t>State or territory</w:t>
            </w:r>
          </w:p>
        </w:tc>
      </w:tr>
      <w:tr w:rsidR="00703569" w:rsidRPr="00F32CA6" w14:paraId="6F348FD8" w14:textId="77777777" w:rsidTr="00B03A33">
        <w:tc>
          <w:tcPr>
            <w:tcW w:w="1418" w:type="dxa"/>
            <w:tcBorders>
              <w:top w:val="nil"/>
              <w:bottom w:val="nil"/>
            </w:tcBorders>
            <w:shd w:val="clear" w:color="auto" w:fill="E6E6E6"/>
          </w:tcPr>
          <w:p w14:paraId="703F54E0" w14:textId="19C571BE" w:rsidR="00703569" w:rsidRPr="00B03A33" w:rsidRDefault="00000000" w:rsidP="00703569">
            <w:pPr>
              <w:pStyle w:val="TableHeading"/>
              <w:spacing w:before="45" w:after="45"/>
              <w:rPr>
                <w:rFonts w:cs="Open Sans"/>
                <w:b w:val="0"/>
                <w:color w:val="1D4374"/>
              </w:rPr>
            </w:pPr>
            <m:oMathPara>
              <m:oMath>
                <m:sSub>
                  <m:sSubPr>
                    <m:ctrlPr>
                      <w:rPr>
                        <w:rFonts w:ascii="Cambria Math" w:hAnsi="Cambria Math" w:cs="Open Sans"/>
                        <w:b w:val="0"/>
                        <w:bCs/>
                        <w:i/>
                      </w:rPr>
                    </m:ctrlPr>
                  </m:sSubPr>
                  <m:e>
                    <m:r>
                      <m:rPr>
                        <m:sty m:val="bi"/>
                      </m:rPr>
                      <w:rPr>
                        <w:rFonts w:ascii="Cambria Math" w:hAnsi="Cambria Math" w:cs="Open Sans"/>
                      </w:rPr>
                      <m:t>N</m:t>
                    </m:r>
                  </m:e>
                  <m:sub>
                    <m:r>
                      <m:rPr>
                        <m:sty m:val="bi"/>
                      </m:rPr>
                      <w:rPr>
                        <w:rFonts w:ascii="Cambria Math" w:hAnsi="Cambria Math" w:cs="Open Sans"/>
                      </w:rPr>
                      <m:t>is</m:t>
                    </m:r>
                  </m:sub>
                </m:sSub>
              </m:oMath>
            </m:oMathPara>
          </w:p>
        </w:tc>
        <w:tc>
          <w:tcPr>
            <w:tcW w:w="8221" w:type="dxa"/>
            <w:tcBorders>
              <w:top w:val="nil"/>
              <w:bottom w:val="nil"/>
            </w:tcBorders>
            <w:shd w:val="clear" w:color="auto" w:fill="E6E6E6"/>
          </w:tcPr>
          <w:p w14:paraId="48A7FA27" w14:textId="2C8D04F2" w:rsidR="00703569" w:rsidRPr="00F32CA6" w:rsidRDefault="00703569" w:rsidP="00703569">
            <w:pPr>
              <w:pStyle w:val="TableBody"/>
              <w:spacing w:before="45" w:after="45"/>
              <w:ind w:right="108"/>
              <w:rPr>
                <w:rFonts w:cs="Open Sans"/>
                <w:color w:val="000000"/>
              </w:rPr>
            </w:pPr>
            <w:r w:rsidRPr="00CE08FB">
              <w:rPr>
                <w:rFonts w:cs="Open Sans"/>
                <w:color w:val="000000"/>
              </w:rPr>
              <w:t xml:space="preserve">Assessed fiscal need per capita for state </w:t>
            </w:r>
            <m:oMath>
              <m:r>
                <w:rPr>
                  <w:rFonts w:ascii="Cambria Math" w:hAnsi="Cambria Math" w:cs="Open Sans"/>
                  <w:color w:val="000000"/>
                </w:rPr>
                <m:t>s</m:t>
              </m:r>
            </m:oMath>
            <w:r>
              <w:rPr>
                <w:rFonts w:eastAsiaTheme="minorEastAsia" w:cs="Open Sans"/>
                <w:color w:val="000000"/>
              </w:rPr>
              <w:t xml:space="preserve"> </w:t>
            </w:r>
            <w:r w:rsidRPr="00CE08FB">
              <w:rPr>
                <w:rFonts w:cs="Open Sans"/>
                <w:color w:val="000000"/>
              </w:rPr>
              <w:t xml:space="preserve">in scenario </w:t>
            </w:r>
            <m:oMath>
              <m:r>
                <w:rPr>
                  <w:rFonts w:ascii="Cambria Math" w:hAnsi="Cambria Math" w:cs="Open Sans"/>
                  <w:color w:val="000000"/>
                </w:rPr>
                <m:t>i</m:t>
              </m:r>
            </m:oMath>
            <w:r w:rsidRPr="00CE08FB">
              <w:rPr>
                <w:rFonts w:cs="Open Sans"/>
                <w:color w:val="000000"/>
              </w:rPr>
              <w:t>, before GST redistribution</w:t>
            </w:r>
          </w:p>
        </w:tc>
      </w:tr>
      <w:tr w:rsidR="00703569" w:rsidRPr="00F32CA6" w14:paraId="7D5CC127" w14:textId="77777777" w:rsidTr="00B03A33">
        <w:tc>
          <w:tcPr>
            <w:tcW w:w="1418" w:type="dxa"/>
            <w:tcBorders>
              <w:top w:val="nil"/>
              <w:bottom w:val="nil"/>
            </w:tcBorders>
            <w:shd w:val="clear" w:color="000000" w:fill="auto"/>
          </w:tcPr>
          <w:p w14:paraId="73FFFA45" w14:textId="29164C59" w:rsidR="00703569" w:rsidRPr="00B03A33" w:rsidRDefault="00000000" w:rsidP="00703569">
            <w:pPr>
              <w:pStyle w:val="TableHeading"/>
              <w:spacing w:before="45" w:after="45"/>
              <w:rPr>
                <w:rFonts w:cs="Open Sans"/>
                <w:b w:val="0"/>
                <w:color w:val="1D4374"/>
              </w:rPr>
            </w:pPr>
            <m:oMathPara>
              <m:oMath>
                <m:sSub>
                  <m:sSubPr>
                    <m:ctrlPr>
                      <w:rPr>
                        <w:rFonts w:ascii="Cambria Math" w:hAnsi="Cambria Math" w:cs="Open Sans"/>
                        <w:b w:val="0"/>
                        <w:bCs/>
                        <w:i/>
                      </w:rPr>
                    </m:ctrlPr>
                  </m:sSubPr>
                  <m:e>
                    <m:r>
                      <m:rPr>
                        <m:sty m:val="bi"/>
                      </m:rPr>
                      <w:rPr>
                        <w:rFonts w:ascii="Cambria Math" w:hAnsi="Cambria Math" w:cs="Open Sans"/>
                      </w:rPr>
                      <m:t>G</m:t>
                    </m:r>
                  </m:e>
                  <m:sub>
                    <m:r>
                      <m:rPr>
                        <m:sty m:val="bi"/>
                      </m:rPr>
                      <w:rPr>
                        <w:rFonts w:ascii="Cambria Math" w:hAnsi="Cambria Math" w:cs="Open Sans"/>
                      </w:rPr>
                      <m:t>is</m:t>
                    </m:r>
                  </m:sub>
                </m:sSub>
              </m:oMath>
            </m:oMathPara>
          </w:p>
        </w:tc>
        <w:tc>
          <w:tcPr>
            <w:tcW w:w="8221" w:type="dxa"/>
            <w:tcBorders>
              <w:top w:val="nil"/>
              <w:bottom w:val="nil"/>
            </w:tcBorders>
            <w:shd w:val="clear" w:color="000000" w:fill="auto"/>
          </w:tcPr>
          <w:p w14:paraId="3E311E1B" w14:textId="390370A3" w:rsidR="00703569" w:rsidRPr="00F32CA6" w:rsidRDefault="00703569" w:rsidP="00703569">
            <w:pPr>
              <w:pStyle w:val="TableBody"/>
              <w:spacing w:before="45" w:after="45"/>
              <w:ind w:right="108"/>
              <w:rPr>
                <w:rFonts w:cs="Open Sans"/>
                <w:color w:val="000000"/>
              </w:rPr>
            </w:pPr>
            <w:r w:rsidRPr="00F408B7">
              <w:rPr>
                <w:rFonts w:cs="Open Sans"/>
                <w:color w:val="000000"/>
              </w:rPr>
              <w:t xml:space="preserve">GST payment per capita received by </w:t>
            </w:r>
            <w:r w:rsidRPr="00CE08FB">
              <w:rPr>
                <w:rFonts w:cs="Open Sans"/>
                <w:color w:val="000000"/>
              </w:rPr>
              <w:t xml:space="preserve">state </w:t>
            </w:r>
            <m:oMath>
              <m:r>
                <w:rPr>
                  <w:rFonts w:ascii="Cambria Math" w:hAnsi="Cambria Math" w:cs="Open Sans"/>
                  <w:color w:val="000000"/>
                </w:rPr>
                <m:t>s</m:t>
              </m:r>
            </m:oMath>
            <w:r>
              <w:rPr>
                <w:rFonts w:eastAsiaTheme="minorEastAsia" w:cs="Open Sans"/>
                <w:color w:val="000000"/>
              </w:rPr>
              <w:t xml:space="preserve"> </w:t>
            </w:r>
            <w:r w:rsidRPr="00CE08FB">
              <w:rPr>
                <w:rFonts w:cs="Open Sans"/>
                <w:color w:val="000000"/>
              </w:rPr>
              <w:t xml:space="preserve">in scenario </w:t>
            </w:r>
            <m:oMath>
              <m:r>
                <w:rPr>
                  <w:rFonts w:ascii="Cambria Math" w:hAnsi="Cambria Math" w:cs="Open Sans"/>
                  <w:color w:val="000000"/>
                </w:rPr>
                <m:t>i</m:t>
              </m:r>
            </m:oMath>
          </w:p>
        </w:tc>
      </w:tr>
      <w:tr w:rsidR="00703569" w:rsidRPr="00F32CA6" w14:paraId="41D62B27" w14:textId="77777777" w:rsidTr="00B03A33">
        <w:tc>
          <w:tcPr>
            <w:tcW w:w="1418" w:type="dxa"/>
            <w:tcBorders>
              <w:top w:val="nil"/>
              <w:bottom w:val="nil"/>
            </w:tcBorders>
            <w:shd w:val="clear" w:color="auto" w:fill="E6E6E6"/>
          </w:tcPr>
          <w:p w14:paraId="48D506DE" w14:textId="5E0C1C92" w:rsidR="00703569" w:rsidRPr="00B03A33" w:rsidRDefault="00000000" w:rsidP="00703569">
            <w:pPr>
              <w:pStyle w:val="TableHeading"/>
              <w:spacing w:before="45" w:after="45"/>
              <w:rPr>
                <w:rFonts w:cs="Open Sans"/>
                <w:b w:val="0"/>
                <w:color w:val="1D4374"/>
              </w:rPr>
            </w:pPr>
            <m:oMathPara>
              <m:oMath>
                <m:sSub>
                  <m:sSubPr>
                    <m:ctrlPr>
                      <w:rPr>
                        <w:rFonts w:ascii="Cambria Math" w:hAnsi="Cambria Math" w:cs="Open Sans"/>
                        <w:b w:val="0"/>
                        <w:bCs/>
                        <w:i/>
                      </w:rPr>
                    </m:ctrlPr>
                  </m:sSubPr>
                  <m:e>
                    <m:r>
                      <m:rPr>
                        <m:sty m:val="bi"/>
                      </m:rPr>
                      <w:rPr>
                        <w:rFonts w:ascii="Cambria Math" w:hAnsi="Cambria Math" w:cs="Open Sans"/>
                      </w:rPr>
                      <m:t>P</m:t>
                    </m:r>
                  </m:e>
                  <m:sub>
                    <m:r>
                      <m:rPr>
                        <m:sty m:val="bi"/>
                      </m:rPr>
                      <w:rPr>
                        <w:rFonts w:ascii="Cambria Math" w:hAnsi="Cambria Math" w:cs="Open Sans"/>
                      </w:rPr>
                      <m:t>s</m:t>
                    </m:r>
                  </m:sub>
                </m:sSub>
              </m:oMath>
            </m:oMathPara>
          </w:p>
        </w:tc>
        <w:tc>
          <w:tcPr>
            <w:tcW w:w="8221" w:type="dxa"/>
            <w:tcBorders>
              <w:top w:val="nil"/>
              <w:bottom w:val="nil"/>
            </w:tcBorders>
            <w:shd w:val="clear" w:color="auto" w:fill="E6E6E6"/>
          </w:tcPr>
          <w:p w14:paraId="2F754B4A" w14:textId="5404E3F2" w:rsidR="00703569" w:rsidRPr="00F32CA6" w:rsidRDefault="00703569" w:rsidP="00703569">
            <w:pPr>
              <w:pStyle w:val="TableBody"/>
              <w:spacing w:before="45" w:after="45"/>
              <w:ind w:right="108"/>
              <w:rPr>
                <w:rFonts w:cs="Open Sans"/>
                <w:color w:val="000000"/>
              </w:rPr>
            </w:pPr>
            <w:r w:rsidRPr="00030FD6">
              <w:rPr>
                <w:rFonts w:cs="Open Sans"/>
                <w:color w:val="000000"/>
              </w:rPr>
              <w:t>Population of state</w:t>
            </w:r>
            <w:r>
              <w:rPr>
                <w:rFonts w:cs="Open Sans"/>
                <w:color w:val="000000"/>
              </w:rPr>
              <w:t xml:space="preserve"> </w:t>
            </w:r>
            <m:oMath>
              <m:r>
                <w:rPr>
                  <w:rFonts w:ascii="Cambria Math" w:hAnsi="Cambria Math" w:cs="Open Sans"/>
                  <w:color w:val="000000"/>
                </w:rPr>
                <m:t>s</m:t>
              </m:r>
            </m:oMath>
          </w:p>
        </w:tc>
      </w:tr>
      <w:tr w:rsidR="00703569" w:rsidRPr="00F32CA6" w14:paraId="7C948F5B" w14:textId="77777777" w:rsidTr="00B03A33">
        <w:tc>
          <w:tcPr>
            <w:tcW w:w="1418" w:type="dxa"/>
            <w:tcBorders>
              <w:top w:val="nil"/>
              <w:bottom w:val="nil"/>
            </w:tcBorders>
            <w:shd w:val="clear" w:color="000000" w:fill="auto"/>
          </w:tcPr>
          <w:p w14:paraId="2B1442B8" w14:textId="099B8C60" w:rsidR="00703569" w:rsidRPr="00B03A33" w:rsidRDefault="00000000" w:rsidP="00703569">
            <w:pPr>
              <w:pStyle w:val="TableHeading"/>
              <w:spacing w:before="45" w:after="45"/>
              <w:rPr>
                <w:rFonts w:cs="Open Sans"/>
                <w:b w:val="0"/>
                <w:color w:val="1D4374"/>
              </w:rPr>
            </w:pPr>
            <m:oMathPara>
              <m:oMath>
                <m:sSub>
                  <m:sSubPr>
                    <m:ctrlPr>
                      <w:rPr>
                        <w:rFonts w:ascii="Cambria Math" w:hAnsi="Cambria Math" w:cs="Open Sans"/>
                        <w:b w:val="0"/>
                        <w:bCs/>
                        <w:i/>
                      </w:rPr>
                    </m:ctrlPr>
                  </m:sSubPr>
                  <m:e>
                    <m:r>
                      <m:rPr>
                        <m:sty m:val="bi"/>
                      </m:rPr>
                      <w:rPr>
                        <w:rFonts w:ascii="Cambria Math" w:hAnsi="Cambria Math" w:cs="Open Sans"/>
                      </w:rPr>
                      <m:t>w</m:t>
                    </m:r>
                  </m:e>
                  <m:sub>
                    <m:r>
                      <m:rPr>
                        <m:sty m:val="bi"/>
                      </m:rPr>
                      <w:rPr>
                        <w:rFonts w:ascii="Cambria Math" w:hAnsi="Cambria Math" w:cs="Open Sans"/>
                      </w:rPr>
                      <m:t>s</m:t>
                    </m:r>
                  </m:sub>
                </m:sSub>
              </m:oMath>
            </m:oMathPara>
          </w:p>
        </w:tc>
        <w:tc>
          <w:tcPr>
            <w:tcW w:w="8221" w:type="dxa"/>
            <w:tcBorders>
              <w:top w:val="nil"/>
              <w:bottom w:val="nil"/>
            </w:tcBorders>
            <w:shd w:val="clear" w:color="000000" w:fill="auto"/>
          </w:tcPr>
          <w:p w14:paraId="435059DF" w14:textId="5AA9A6BC" w:rsidR="00703569" w:rsidRPr="00F32CA6" w:rsidRDefault="00703569" w:rsidP="00703569">
            <w:pPr>
              <w:pStyle w:val="TableBody"/>
              <w:spacing w:before="45" w:after="45"/>
              <w:ind w:right="108"/>
              <w:rPr>
                <w:rFonts w:cs="Open Sans"/>
                <w:color w:val="000000"/>
              </w:rPr>
            </w:pPr>
            <w:r w:rsidRPr="00FA5588">
              <w:rPr>
                <w:rFonts w:cs="Open Sans"/>
                <w:color w:val="000000"/>
              </w:rPr>
              <w:t>Population weight for state</w:t>
            </w:r>
            <w:r>
              <w:rPr>
                <w:rFonts w:cs="Open Sans"/>
                <w:color w:val="000000"/>
              </w:rPr>
              <w:t xml:space="preserve"> </w:t>
            </w:r>
            <m:oMath>
              <m:r>
                <w:rPr>
                  <w:rFonts w:ascii="Cambria Math" w:hAnsi="Cambria Math" w:cs="Open Sans"/>
                  <w:color w:val="000000"/>
                </w:rPr>
                <m:t>s</m:t>
              </m:r>
            </m:oMath>
            <w:r>
              <w:rPr>
                <w:rFonts w:eastAsiaTheme="minorEastAsia" w:cs="Open Sans"/>
                <w:color w:val="000000"/>
              </w:rPr>
              <w:t xml:space="preserve">: </w:t>
            </w:r>
            <m:oMath>
              <m:sSub>
                <m:sSubPr>
                  <m:ctrlPr>
                    <w:rPr>
                      <w:rFonts w:ascii="Cambria Math" w:eastAsia="Times New Roman" w:hAnsi="Cambria Math" w:cs="Times New Roman"/>
                    </w:rPr>
                  </m:ctrlPr>
                </m:sSubPr>
                <m:e>
                  <m:r>
                    <w:rPr>
                      <w:rFonts w:ascii="Cambria Math" w:eastAsia="Times New Roman" w:hAnsi="Cambria Math" w:cs="Times New Roman"/>
                    </w:rPr>
                    <m:t>w</m:t>
                  </m:r>
                </m:e>
                <m:sub>
                  <m:r>
                    <w:rPr>
                      <w:rFonts w:ascii="Cambria Math" w:eastAsia="Times New Roman" w:hAnsi="Cambria Math" w:cs="Times New Roman"/>
                    </w:rPr>
                    <m:t>s</m:t>
                  </m:r>
                </m:sub>
              </m:sSub>
              <m:r>
                <m:rPr>
                  <m:sty m:val="p"/>
                </m:rPr>
                <w:rPr>
                  <w:rFonts w:ascii="Cambria Math" w:hAnsi="Cambria Math"/>
                </w:rPr>
                <m:t>=</m:t>
              </m:r>
              <m:f>
                <m:fPr>
                  <m:ctrlPr>
                    <w:rPr>
                      <w:rFonts w:ascii="Cambria Math" w:eastAsia="Times New Roman" w:hAnsi="Cambria Math" w:cs="Times New Roman"/>
                    </w:rPr>
                  </m:ctrlPr>
                </m:fPr>
                <m:num>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s</m:t>
                      </m:r>
                    </m:sub>
                  </m:sSub>
                </m:num>
                <m:den>
                  <m:nary>
                    <m:naryPr>
                      <m:chr m:val="∑"/>
                      <m:limLoc m:val="undOvr"/>
                      <m:grow m:val="1"/>
                      <m:supHide m:val="1"/>
                      <m:ctrlPr>
                        <w:rPr>
                          <w:rFonts w:ascii="Cambria Math" w:eastAsia="Times New Roman" w:hAnsi="Cambria Math" w:cs="Times New Roman"/>
                        </w:rPr>
                      </m:ctrlPr>
                    </m:naryPr>
                    <m:sub>
                      <m:r>
                        <w:rPr>
                          <w:rFonts w:ascii="Cambria Math" w:eastAsia="Times New Roman" w:hAnsi="Cambria Math" w:cs="Times New Roman"/>
                        </w:rPr>
                        <m:t>s</m:t>
                      </m:r>
                    </m:sub>
                    <m:sup/>
                    <m:e>
                      <m:sSub>
                        <m:sSubPr>
                          <m:ctrlPr>
                            <w:rPr>
                              <w:rFonts w:ascii="Cambria Math" w:eastAsia="Times New Roman" w:hAnsi="Cambria Math" w:cs="Times New Roman"/>
                            </w:rPr>
                          </m:ctrlPr>
                        </m:sSubPr>
                        <m:e>
                          <m:r>
                            <w:rPr>
                              <w:rFonts w:ascii="Cambria Math" w:eastAsia="Times New Roman" w:hAnsi="Cambria Math" w:cs="Times New Roman"/>
                            </w:rPr>
                            <m:t>P</m:t>
                          </m:r>
                        </m:e>
                        <m:sub>
                          <m:r>
                            <w:rPr>
                              <w:rFonts w:ascii="Cambria Math" w:eastAsia="Times New Roman" w:hAnsi="Cambria Math" w:cs="Times New Roman"/>
                            </w:rPr>
                            <m:t>s</m:t>
                          </m:r>
                        </m:sub>
                      </m:sSub>
                    </m:e>
                  </m:nary>
                </m:den>
              </m:f>
            </m:oMath>
          </w:p>
        </w:tc>
      </w:tr>
      <w:tr w:rsidR="00703569" w:rsidRPr="00F32CA6" w14:paraId="0732065C" w14:textId="77777777" w:rsidTr="00B03A33">
        <w:tc>
          <w:tcPr>
            <w:tcW w:w="1418" w:type="dxa"/>
            <w:tcBorders>
              <w:bottom w:val="single" w:sz="4" w:space="0" w:color="B3B3B3"/>
            </w:tcBorders>
            <w:shd w:val="clear" w:color="000000" w:fill="E6E6E6"/>
          </w:tcPr>
          <w:p w14:paraId="299498D4" w14:textId="0251103A" w:rsidR="00703569" w:rsidRPr="00B03A33" w:rsidRDefault="00000000" w:rsidP="00703569">
            <w:pPr>
              <w:pStyle w:val="TableHeading"/>
              <w:spacing w:before="45" w:after="45"/>
              <w:rPr>
                <w:rFonts w:cs="Open Sans"/>
                <w:b w:val="0"/>
                <w:color w:val="1D4374"/>
              </w:rPr>
            </w:pPr>
            <m:oMathPara>
              <m:oMath>
                <m:acc>
                  <m:accPr>
                    <m:chr m:val="̅"/>
                    <m:ctrlPr>
                      <w:rPr>
                        <w:rFonts w:ascii="Cambria Math" w:hAnsi="Cambria Math" w:cs="Open Sans"/>
                        <w:b w:val="0"/>
                        <w:bCs/>
                        <w:i/>
                      </w:rPr>
                    </m:ctrlPr>
                  </m:accPr>
                  <m:e>
                    <m:sSub>
                      <m:sSubPr>
                        <m:ctrlPr>
                          <w:rPr>
                            <w:rFonts w:ascii="Cambria Math" w:hAnsi="Cambria Math" w:cs="Open Sans"/>
                            <w:b w:val="0"/>
                            <w:bCs/>
                            <w:i/>
                          </w:rPr>
                        </m:ctrlPr>
                      </m:sSubPr>
                      <m:e>
                        <m:r>
                          <m:rPr>
                            <m:sty m:val="bi"/>
                          </m:rPr>
                          <w:rPr>
                            <w:rFonts w:ascii="Cambria Math" w:hAnsi="Cambria Math" w:cs="Open Sans"/>
                          </w:rPr>
                          <m:t>N</m:t>
                        </m:r>
                      </m:e>
                      <m:sub>
                        <m:r>
                          <m:rPr>
                            <m:sty m:val="bi"/>
                          </m:rPr>
                          <w:rPr>
                            <w:rFonts w:ascii="Cambria Math" w:hAnsi="Cambria Math" w:cs="Open Sans"/>
                          </w:rPr>
                          <m:t>i</m:t>
                        </m:r>
                      </m:sub>
                    </m:sSub>
                  </m:e>
                </m:acc>
              </m:oMath>
            </m:oMathPara>
          </w:p>
        </w:tc>
        <w:tc>
          <w:tcPr>
            <w:tcW w:w="8221" w:type="dxa"/>
            <w:tcBorders>
              <w:bottom w:val="single" w:sz="4" w:space="0" w:color="B3B3B3"/>
            </w:tcBorders>
            <w:shd w:val="clear" w:color="000000" w:fill="E6E6E6"/>
          </w:tcPr>
          <w:p w14:paraId="44B7B9B5" w14:textId="3E7CAC99" w:rsidR="00703569" w:rsidRPr="00F32CA6" w:rsidRDefault="00703569" w:rsidP="00996D17">
            <w:pPr>
              <w:pStyle w:val="TableBody"/>
              <w:spacing w:before="45" w:after="120"/>
              <w:ind w:right="108"/>
              <w:rPr>
                <w:rFonts w:cs="Open Sans"/>
                <w:color w:val="000000"/>
              </w:rPr>
            </w:pPr>
            <w:r w:rsidRPr="005B7971">
              <w:rPr>
                <w:rFonts w:cs="Open Sans"/>
                <w:color w:val="000000"/>
              </w:rPr>
              <w:t>Population</w:t>
            </w:r>
            <w:r w:rsidR="008925BE">
              <w:rPr>
                <w:rFonts w:cs="Open Sans"/>
                <w:color w:val="000000"/>
              </w:rPr>
              <w:noBreakHyphen/>
            </w:r>
            <w:r w:rsidRPr="005B7971">
              <w:rPr>
                <w:rFonts w:cs="Open Sans"/>
                <w:color w:val="000000"/>
              </w:rPr>
              <w:t>weighted average assessed need per capita across all states in scenario</w:t>
            </w:r>
            <w:r>
              <w:rPr>
                <w:rFonts w:cs="Open Sans"/>
                <w:color w:val="000000"/>
              </w:rPr>
              <w:t xml:space="preserve"> </w:t>
            </w:r>
            <m:oMath>
              <m:r>
                <w:rPr>
                  <w:rFonts w:ascii="Cambria Math" w:hAnsi="Cambria Math" w:cs="Open Sans"/>
                  <w:color w:val="000000"/>
                </w:rPr>
                <m:t>i</m:t>
              </m:r>
            </m:oMath>
            <w:r>
              <w:rPr>
                <w:rFonts w:eastAsiaTheme="minorEastAsia" w:cs="Open Sans"/>
                <w:color w:val="000000"/>
              </w:rPr>
              <w:t xml:space="preserve">: </w:t>
            </w:r>
            <m:oMath>
              <m:sSub>
                <m:sSubPr>
                  <m:ctrlPr>
                    <w:rPr>
                      <w:rFonts w:ascii="Cambria Math" w:eastAsia="Times New Roman" w:hAnsi="Cambria Math" w:cs="Times New Roman"/>
                    </w:rPr>
                  </m:ctrlPr>
                </m:sSubPr>
                <m:e>
                  <m:acc>
                    <m:accPr>
                      <m:chr m:val="ˉ"/>
                      <m:ctrlPr>
                        <w:rPr>
                          <w:rFonts w:ascii="Cambria Math" w:eastAsia="Times New Roman" w:hAnsi="Cambria Math" w:cs="Times New Roman"/>
                        </w:rPr>
                      </m:ctrlPr>
                    </m:accPr>
                    <m:e>
                      <m:r>
                        <w:rPr>
                          <w:rFonts w:ascii="Cambria Math" w:eastAsia="Times New Roman" w:hAnsi="Cambria Math" w:cs="Times New Roman"/>
                        </w:rPr>
                        <m:t>N</m:t>
                      </m:r>
                    </m:e>
                  </m:acc>
                </m:e>
                <m:sub>
                  <m:r>
                    <w:rPr>
                      <w:rFonts w:ascii="Cambria Math" w:eastAsia="Times New Roman" w:hAnsi="Cambria Math" w:cs="Times New Roman"/>
                    </w:rPr>
                    <m:t>i</m:t>
                  </m:r>
                </m:sub>
              </m:sSub>
              <m:r>
                <m:rPr>
                  <m:sty m:val="p"/>
                </m:rPr>
                <w:rPr>
                  <w:rFonts w:ascii="Cambria Math" w:hAnsi="Cambria Math"/>
                </w:rPr>
                <m:t>=</m:t>
              </m:r>
              <m:nary>
                <m:naryPr>
                  <m:chr m:val="∑"/>
                  <m:limLoc m:val="undOvr"/>
                  <m:grow m:val="1"/>
                  <m:supHide m:val="1"/>
                  <m:ctrlPr>
                    <w:rPr>
                      <w:rFonts w:ascii="Cambria Math" w:eastAsia="Times New Roman" w:hAnsi="Cambria Math" w:cs="Times New Roman"/>
                    </w:rPr>
                  </m:ctrlPr>
                </m:naryPr>
                <m:sub>
                  <m:r>
                    <w:rPr>
                      <w:rFonts w:ascii="Cambria Math" w:eastAsia="Times New Roman" w:hAnsi="Cambria Math" w:cs="Times New Roman"/>
                    </w:rPr>
                    <m:t>s</m:t>
                  </m:r>
                </m:sub>
                <m:sup/>
                <m:e>
                  <m:sSub>
                    <m:sSubPr>
                      <m:ctrlPr>
                        <w:rPr>
                          <w:rFonts w:ascii="Cambria Math" w:eastAsia="Times New Roman" w:hAnsi="Cambria Math" w:cs="Times New Roman"/>
                        </w:rPr>
                      </m:ctrlPr>
                    </m:sSubPr>
                    <m:e>
                      <m:r>
                        <w:rPr>
                          <w:rFonts w:ascii="Cambria Math" w:eastAsia="Times New Roman" w:hAnsi="Cambria Math" w:cs="Times New Roman"/>
                        </w:rPr>
                        <m:t>w</m:t>
                      </m:r>
                    </m:e>
                    <m:sub>
                      <m:r>
                        <w:rPr>
                          <w:rFonts w:ascii="Cambria Math" w:eastAsia="Times New Roman" w:hAnsi="Cambria Math" w:cs="Times New Roman"/>
                        </w:rPr>
                        <m:t>s</m:t>
                      </m:r>
                    </m:sub>
                  </m:sSub>
                </m:e>
              </m:nary>
              <m:sSub>
                <m:sSubPr>
                  <m:ctrlPr>
                    <w:rPr>
                      <w:rFonts w:ascii="Cambria Math" w:eastAsia="Times New Roman" w:hAnsi="Cambria Math" w:cs="Times New Roman"/>
                    </w:rPr>
                  </m:ctrlPr>
                </m:sSubPr>
                <m:e>
                  <m:r>
                    <w:rPr>
                      <w:rFonts w:ascii="Cambria Math" w:eastAsia="Times New Roman" w:hAnsi="Cambria Math" w:cs="Times New Roman"/>
                    </w:rPr>
                    <m:t>N</m:t>
                  </m:r>
                </m:e>
                <m:sub>
                  <m:r>
                    <w:rPr>
                      <w:rFonts w:ascii="Cambria Math" w:eastAsia="Times New Roman" w:hAnsi="Cambria Math" w:cs="Times New Roman"/>
                    </w:rPr>
                    <m:t>is</m:t>
                  </m:r>
                </m:sub>
              </m:sSub>
            </m:oMath>
          </w:p>
        </w:tc>
      </w:tr>
    </w:tbl>
    <w:p w14:paraId="3FABEF87" w14:textId="77777777" w:rsidR="00996D17" w:rsidRDefault="00996D17" w:rsidP="00996D17">
      <w:pPr>
        <w:pStyle w:val="NoSpacing"/>
        <w:spacing w:after="360"/>
      </w:pPr>
    </w:p>
    <w:p w14:paraId="277A18F9" w14:textId="3191C128" w:rsidR="007D16BD" w:rsidRDefault="00116F88" w:rsidP="00116F88">
      <w:pPr>
        <w:pStyle w:val="Heading3"/>
      </w:pPr>
      <w:r>
        <w:t>Efficiency</w:t>
      </w:r>
    </w:p>
    <w:p w14:paraId="48F170CE" w14:textId="693B58AA" w:rsidR="008F15A8" w:rsidRDefault="008F15A8" w:rsidP="008F15A8">
      <w:pPr>
        <w:pStyle w:val="BodyText"/>
      </w:pPr>
      <w:r>
        <w:t>The efficiency of alternative GST distribution systems was analysed by estimating how far different systems departed from policy neutrality after a series of $1</w:t>
      </w:r>
      <w:r w:rsidR="00687CB0">
        <w:t>m</w:t>
      </w:r>
      <w:r>
        <w:t xml:space="preserve"> revenue shocks were independently introduced to different revenue heads.</w:t>
      </w:r>
    </w:p>
    <w:p w14:paraId="71816C58" w14:textId="2C39C9FF" w:rsidR="008F15A8" w:rsidRDefault="008F15A8" w:rsidP="008F15A8">
      <w:pPr>
        <w:pStyle w:val="BodyText"/>
      </w:pPr>
      <w:r>
        <w:t xml:space="preserve">The PC assessed departures from policy neutrality using </w:t>
      </w:r>
      <w:r w:rsidR="003B5DAA">
        <w:t>2</w:t>
      </w:r>
      <w:r>
        <w:t xml:space="preserve"> measures: </w:t>
      </w:r>
      <w:r w:rsidR="001A4D7A">
        <w:t xml:space="preserve">the </w:t>
      </w:r>
      <w:r>
        <w:t xml:space="preserve">weighted average change, and the average maximum change, of GST distributions for each state following each of the shocks. In both cases, the closer the measure to 0, the more policy neutral the </w:t>
      </w:r>
      <w:proofErr w:type="gramStart"/>
      <w:r>
        <w:t>particular GST</w:t>
      </w:r>
      <w:proofErr w:type="gramEnd"/>
      <w:r>
        <w:t xml:space="preserve"> distribution system. </w:t>
      </w:r>
    </w:p>
    <w:p w14:paraId="173FF285" w14:textId="00A46BAD" w:rsidR="00116F88" w:rsidRDefault="008F15A8" w:rsidP="008F15A8">
      <w:pPr>
        <w:pStyle w:val="BodyText"/>
      </w:pPr>
      <w:r>
        <w:t>Revenue shocks were independently applied to 14 different revenue heads.</w:t>
      </w:r>
      <w:r>
        <w:rPr>
          <w:rStyle w:val="FootnoteReference"/>
        </w:rPr>
        <w:footnoteReference w:id="7"/>
      </w:r>
      <w:r>
        <w:t xml:space="preserve"> In all cases, the PC applied the shock and assumed that no change was made to the 2024</w:t>
      </w:r>
      <w:r w:rsidR="007B10F1" w:rsidRPr="007B10F1">
        <w:t>–</w:t>
      </w:r>
      <w:r>
        <w:t>25 underlying shares of the revenue bases in each state. In this way, the shocks can be considered as change to tax rates. The PC assumed the additional revenue from each shock was spent in an expenditure category where the CGC assess expenditure needs on an equal per capita basis.</w:t>
      </w:r>
    </w:p>
    <w:p w14:paraId="11395056" w14:textId="23033E54" w:rsidR="00D20D1B" w:rsidRDefault="00D20D1B" w:rsidP="007800CC">
      <w:pPr>
        <w:keepNext/>
      </w:pPr>
      <w:r>
        <w:t>In GST distribution system</w:t>
      </w:r>
      <w:r w:rsidRPr="00C749AA">
        <w:rPr>
          <w:rFonts w:ascii="Cambria Math" w:hAnsi="Cambria Math"/>
          <w:i/>
        </w:rPr>
        <w:t xml:space="preserve"> </w:t>
      </w:r>
      <m:oMath>
        <m:r>
          <w:rPr>
            <w:rFonts w:ascii="Cambria Math" w:hAnsi="Cambria Math"/>
          </w:rPr>
          <m:t>j</m:t>
        </m:r>
      </m:oMath>
      <w:r>
        <w:t xml:space="preserve">, the absolute GST revenue effect (as a percentage of the revenue shock) for state </w:t>
      </w:r>
      <m:oMath>
        <m:r>
          <w:rPr>
            <w:rFonts w:ascii="Cambria Math" w:hAnsi="Cambria Math"/>
          </w:rPr>
          <m:t>i</m:t>
        </m:r>
      </m:oMath>
      <w:r>
        <w:rPr>
          <w:rFonts w:eastAsiaTheme="minorEastAsia"/>
        </w:rPr>
        <w:t>, from a $1</w:t>
      </w:r>
      <w:r w:rsidR="000E2199">
        <w:rPr>
          <w:rFonts w:eastAsiaTheme="minorEastAsia"/>
        </w:rPr>
        <w:t>m</w:t>
      </w:r>
      <w:r>
        <w:rPr>
          <w:rFonts w:eastAsiaTheme="minorEastAsia"/>
        </w:rPr>
        <w:t xml:space="preserve"> shock to revenue base </w:t>
      </w:r>
      <m:oMath>
        <m:r>
          <w:rPr>
            <w:rFonts w:ascii="Cambria Math" w:eastAsiaTheme="minorEastAsia" w:hAnsi="Cambria Math"/>
          </w:rPr>
          <m:t>r</m:t>
        </m:r>
      </m:oMath>
      <w:r>
        <w:rPr>
          <w:rFonts w:eastAsiaTheme="minorEastAsia"/>
        </w:rPr>
        <w:t>, is given by:</w:t>
      </w:r>
    </w:p>
    <w:p w14:paraId="5ECBB182" w14:textId="4D9E9625" w:rsidR="00D20D1B" w:rsidRDefault="00481B04" w:rsidP="00D20D1B">
      <m:oMathPara>
        <m:oMath>
          <m:r>
            <m:rPr>
              <m:sty m:val="p"/>
            </m:rPr>
            <w:rPr>
              <w:rFonts w:ascii="Cambria Math" w:hAnsi="Cambria Math"/>
            </w:rPr>
            <m:t xml:space="preserve">GST Revenue </m:t>
          </m:r>
          <m:sSub>
            <m:sSubPr>
              <m:ctrlPr>
                <w:rPr>
                  <w:rFonts w:ascii="Cambria Math" w:hAnsi="Cambria Math"/>
                  <w:iCs/>
                </w:rPr>
              </m:ctrlPr>
            </m:sSubPr>
            <m:e>
              <m:r>
                <m:rPr>
                  <m:sty m:val="p"/>
                </m:rPr>
                <w:rPr>
                  <w:rFonts w:ascii="Cambria Math" w:hAnsi="Cambria Math"/>
                </w:rPr>
                <m:t>Effect</m:t>
              </m:r>
            </m:e>
            <m:sub>
              <m:r>
                <w:rPr>
                  <w:rFonts w:ascii="Cambria Math" w:hAnsi="Cambria Math"/>
                </w:rPr>
                <m:t>j,i,r</m:t>
              </m:r>
            </m:sub>
          </m:sSub>
          <m:r>
            <m:rPr>
              <m:sty m:val="p"/>
            </m:rPr>
            <w:rPr>
              <w:rFonts w:ascii="Cambria Math" w:hAnsi="Cambria Math"/>
            </w:rPr>
            <m:t>=</m:t>
          </m:r>
          <m:d>
            <m:dPr>
              <m:begChr m:val="|"/>
              <m:endChr m:val="|"/>
              <m:ctrlPr>
                <w:rPr>
                  <w:rFonts w:ascii="Cambria Math" w:hAnsi="Cambria Math"/>
                  <w:iCs/>
                </w:rPr>
              </m:ctrlPr>
            </m:dPr>
            <m:e>
              <m:f>
                <m:fPr>
                  <m:ctrlPr>
                    <w:rPr>
                      <w:rFonts w:ascii="Cambria Math" w:hAnsi="Cambria Math"/>
                      <w:iCs/>
                    </w:rPr>
                  </m:ctrlPr>
                </m:fPr>
                <m:num>
                  <m:r>
                    <m:rPr>
                      <m:sty m:val="p"/>
                    </m:rPr>
                    <w:rPr>
                      <w:rFonts w:ascii="Cambria Math" w:hAnsi="Cambria Math"/>
                    </w:rPr>
                    <m:t>ΔGST</m:t>
                  </m:r>
                  <m:r>
                    <w:rPr>
                      <w:rFonts w:ascii="Cambria Math" w:hAnsi="Cambria Math"/>
                    </w:rPr>
                    <m:t xml:space="preserve"> </m:t>
                  </m:r>
                  <m:r>
                    <m:rPr>
                      <m:sty m:val="p"/>
                    </m:rPr>
                    <w:rPr>
                      <w:rFonts w:ascii="Cambria Math" w:hAnsi="Cambria Math"/>
                    </w:rPr>
                    <m:t>Revenu</m:t>
                  </m:r>
                  <m:sSub>
                    <m:sSubPr>
                      <m:ctrlPr>
                        <w:rPr>
                          <w:rFonts w:ascii="Cambria Math" w:hAnsi="Cambria Math"/>
                          <w:iCs/>
                        </w:rPr>
                      </m:ctrlPr>
                    </m:sSubPr>
                    <m:e>
                      <m:r>
                        <m:rPr>
                          <m:sty m:val="p"/>
                        </m:rPr>
                        <w:rPr>
                          <w:rFonts w:ascii="Cambria Math" w:hAnsi="Cambria Math"/>
                        </w:rPr>
                        <m:t>e</m:t>
                      </m:r>
                    </m:e>
                    <m:sub>
                      <m:r>
                        <w:rPr>
                          <w:rFonts w:ascii="Cambria Math" w:hAnsi="Cambria Math"/>
                        </w:rPr>
                        <m:t>j,i,r</m:t>
                      </m:r>
                    </m:sub>
                  </m:sSub>
                  <m:ctrlPr>
                    <w:rPr>
                      <w:rFonts w:ascii="Cambria Math" w:hAnsi="Cambria Math"/>
                      <w:i/>
                    </w:rPr>
                  </m:ctrlPr>
                </m:num>
                <m:den>
                  <m:r>
                    <w:rPr>
                      <w:rFonts w:ascii="Cambria Math" w:hAnsi="Cambria Math"/>
                    </w:rPr>
                    <m:t>$1</m:t>
                  </m:r>
                  <m:r>
                    <m:rPr>
                      <m:sty m:val="p"/>
                    </m:rPr>
                    <w:rPr>
                      <w:rFonts w:ascii="Cambria Math" w:hAnsi="Cambria Math"/>
                    </w:rPr>
                    <m:t>m</m:t>
                  </m:r>
                </m:den>
              </m:f>
            </m:e>
          </m:d>
          <m:r>
            <w:rPr>
              <w:rFonts w:ascii="Cambria Math" w:eastAsiaTheme="minorEastAsia" w:hAnsi="Cambria Math"/>
            </w:rPr>
            <m:t>×100%</m:t>
          </m:r>
        </m:oMath>
      </m:oMathPara>
    </w:p>
    <w:p w14:paraId="12E2FF3B" w14:textId="7411684E" w:rsidR="00D20D1B" w:rsidRPr="00D20D1B" w:rsidRDefault="00D20D1B" w:rsidP="00D20D1B">
      <w:pPr>
        <w:rPr>
          <w:lang w:val="en-US"/>
        </w:rPr>
      </w:pPr>
      <w:r>
        <w:rPr>
          <w:lang w:val="en-US"/>
        </w:rPr>
        <w:t xml:space="preserve">The change in GST revenue, </w:t>
      </w:r>
      <m:oMath>
        <m:r>
          <m:rPr>
            <m:sty m:val="p"/>
          </m:rPr>
          <w:rPr>
            <w:rFonts w:ascii="Cambria Math" w:hAnsi="Cambria Math"/>
          </w:rPr>
          <m:t>ΔGST</m:t>
        </m:r>
        <m:r>
          <w:rPr>
            <w:rFonts w:ascii="Cambria Math" w:hAnsi="Cambria Math"/>
          </w:rPr>
          <m:t xml:space="preserve"> </m:t>
        </m:r>
        <m:r>
          <m:rPr>
            <m:sty m:val="p"/>
          </m:rPr>
          <w:rPr>
            <w:rFonts w:ascii="Cambria Math" w:hAnsi="Cambria Math"/>
          </w:rPr>
          <m:t>Revenu</m:t>
        </m:r>
        <m:sSub>
          <m:sSubPr>
            <m:ctrlPr>
              <w:rPr>
                <w:rFonts w:ascii="Cambria Math" w:hAnsi="Cambria Math"/>
                <w:iCs/>
              </w:rPr>
            </m:ctrlPr>
          </m:sSubPr>
          <m:e>
            <m:r>
              <m:rPr>
                <m:sty m:val="p"/>
              </m:rPr>
              <w:rPr>
                <w:rFonts w:ascii="Cambria Math" w:hAnsi="Cambria Math"/>
              </w:rPr>
              <m:t>e</m:t>
            </m:r>
          </m:e>
          <m:sub>
            <m:r>
              <w:rPr>
                <w:rFonts w:ascii="Cambria Math" w:hAnsi="Cambria Math"/>
              </w:rPr>
              <m:t>j,i,r</m:t>
            </m:r>
          </m:sub>
        </m:sSub>
      </m:oMath>
      <w:r>
        <w:rPr>
          <w:rFonts w:eastAsiaTheme="minorEastAsia"/>
          <w:iCs/>
        </w:rPr>
        <w:t>,</w:t>
      </w:r>
      <w:r>
        <w:rPr>
          <w:lang w:val="en-US"/>
        </w:rPr>
        <w:t xml:space="preserve"> is calculated as the total GST revenue change after the shock fully flows through the CGC’s assessment lag and averaging period.</w:t>
      </w:r>
    </w:p>
    <w:p w14:paraId="42AFAE06" w14:textId="70BE0068" w:rsidR="001933AB" w:rsidRDefault="00AB769A" w:rsidP="00AB769A">
      <w:pPr>
        <w:pStyle w:val="Heading4"/>
      </w:pPr>
      <w:r>
        <w:t>Weighted average GST revenue effect</w:t>
      </w:r>
    </w:p>
    <w:p w14:paraId="579AC295" w14:textId="3971B5D6" w:rsidR="007800CC" w:rsidRDefault="007800CC" w:rsidP="007800CC">
      <w:r>
        <w:t xml:space="preserve">In forming a weighted average GST revenue effect for each distribution system, the PC weighted the effects of each shock differently. </w:t>
      </w:r>
    </w:p>
    <w:p w14:paraId="6727B993" w14:textId="77777777" w:rsidR="007800CC" w:rsidRDefault="007800CC" w:rsidP="00D2042E">
      <w:pPr>
        <w:pStyle w:val="BodyText"/>
      </w:pPr>
      <w:r>
        <w:t xml:space="preserve">For each distribution system, the first step was to form a ‘total’ absolute GST revenue change for each revenue shock, </w:t>
      </w:r>
      <m:oMath>
        <m:r>
          <w:rPr>
            <w:rFonts w:ascii="Cambria Math" w:hAnsi="Cambria Math"/>
          </w:rPr>
          <m:t>r=1,…,R</m:t>
        </m:r>
      </m:oMath>
      <w:r>
        <w:rPr>
          <w:rFonts w:eastAsiaTheme="minorEastAsia"/>
        </w:rPr>
        <w:t xml:space="preserve">, </w:t>
      </w:r>
      <w:r>
        <w:t xml:space="preserve">across states, </w:t>
      </w:r>
      <m:oMath>
        <m:r>
          <w:rPr>
            <w:rFonts w:ascii="Cambria Math" w:hAnsi="Cambria Math"/>
          </w:rPr>
          <m:t>i=1,…,N</m:t>
        </m:r>
      </m:oMath>
      <w:r>
        <w:rPr>
          <w:rFonts w:eastAsiaTheme="minorEastAsia"/>
        </w:rPr>
        <w:t>.</w:t>
      </w:r>
      <w:r>
        <w:t xml:space="preserve"> In doing this, the PC excluded a state’s GST revenue change if that state did not have any share of the shocked revenue base. The PC made this decision because, regardless of the size of the GST effect, that state has no capacity to alter its policies in response to that effect. The remaining absolute GST revenue effects were weighted equally.</w:t>
      </w:r>
    </w:p>
    <w:p w14:paraId="7A07285F" w14:textId="77777777" w:rsidR="007800CC" w:rsidRDefault="00014717" w:rsidP="007800CC">
      <m:oMathPara>
        <m:oMath>
          <m:r>
            <m:rPr>
              <m:sty m:val="p"/>
            </m:rPr>
            <w:rPr>
              <w:rFonts w:ascii="Cambria Math" w:hAnsi="Cambria Math"/>
            </w:rPr>
            <m:t xml:space="preserve">ΣGST Revenue </m:t>
          </m:r>
          <m:sSub>
            <m:sSubPr>
              <m:ctrlPr>
                <w:rPr>
                  <w:rFonts w:ascii="Cambria Math" w:hAnsi="Cambria Math"/>
                  <w:iCs/>
                </w:rPr>
              </m:ctrlPr>
            </m:sSubPr>
            <m:e>
              <m:r>
                <m:rPr>
                  <m:sty m:val="p"/>
                </m:rPr>
                <w:rPr>
                  <w:rFonts w:ascii="Cambria Math" w:hAnsi="Cambria Math"/>
                </w:rPr>
                <m:t>Effect</m:t>
              </m:r>
            </m:e>
            <m:sub>
              <m:r>
                <w:rPr>
                  <w:rFonts w:ascii="Cambria Math" w:hAnsi="Cambria Math"/>
                </w:rPr>
                <m:t>j,r</m:t>
              </m:r>
            </m:sub>
          </m:sSub>
          <m:r>
            <w:rPr>
              <w:rFonts w:ascii="Cambria Math" w:hAnsi="Cambria Math"/>
            </w:rPr>
            <m:t>=</m:t>
          </m:r>
          <m:nary>
            <m:naryPr>
              <m:chr m:val="∑"/>
              <m:limLoc m:val="subSup"/>
              <m:supHide m:val="1"/>
              <m:ctrlPr>
                <w:rPr>
                  <w:rFonts w:ascii="Cambria Math" w:hAnsi="Cambria Math"/>
                  <w:i/>
                  <w:iCs/>
                </w:rPr>
              </m:ctrlPr>
            </m:naryPr>
            <m:sub>
              <m:r>
                <w:rPr>
                  <w:rFonts w:ascii="Cambria Math" w:hAnsi="Cambria Math"/>
                </w:rPr>
                <m:t>i∈</m:t>
              </m:r>
              <m:r>
                <m:rPr>
                  <m:sty m:val="p"/>
                </m:rPr>
                <w:rPr>
                  <w:rFonts w:ascii="Cambria Math" w:hAnsi="Cambria Math"/>
                </w:rPr>
                <m:t xml:space="preserve">Share of revenue base,  </m:t>
              </m:r>
              <m:r>
                <w:rPr>
                  <w:rFonts w:ascii="Cambria Math" w:hAnsi="Cambria Math"/>
                </w:rPr>
                <m:t>r&gt;0</m:t>
              </m:r>
            </m:sub>
            <m:sup/>
            <m:e>
              <m:r>
                <m:rPr>
                  <m:sty m:val="p"/>
                </m:rPr>
                <w:rPr>
                  <w:rFonts w:ascii="Cambria Math" w:hAnsi="Cambria Math"/>
                </w:rPr>
                <m:t xml:space="preserve">GST Revenue </m:t>
              </m:r>
              <m:sSub>
                <m:sSubPr>
                  <m:ctrlPr>
                    <w:rPr>
                      <w:rFonts w:ascii="Cambria Math" w:hAnsi="Cambria Math"/>
                    </w:rPr>
                  </m:ctrlPr>
                </m:sSubPr>
                <m:e>
                  <m:r>
                    <m:rPr>
                      <m:sty m:val="p"/>
                    </m:rPr>
                    <w:rPr>
                      <w:rFonts w:ascii="Cambria Math" w:hAnsi="Cambria Math"/>
                    </w:rPr>
                    <m:t>Effect</m:t>
                  </m:r>
                </m:e>
                <m:sub>
                  <m:r>
                    <w:rPr>
                      <w:rFonts w:ascii="Cambria Math" w:hAnsi="Cambria Math"/>
                    </w:rPr>
                    <m:t>j,i,r</m:t>
                  </m:r>
                </m:sub>
              </m:sSub>
            </m:e>
          </m:nary>
        </m:oMath>
      </m:oMathPara>
    </w:p>
    <w:p w14:paraId="7FA4BAE5" w14:textId="01778514" w:rsidR="007800CC" w:rsidRDefault="007800CC" w:rsidP="00D2042E">
      <w:pPr>
        <w:pStyle w:val="BodyText"/>
      </w:pPr>
      <w:r>
        <w:lastRenderedPageBreak/>
        <w:t xml:space="preserve">The second step was to aggregate the total effects for each revenue shock into a single weighted average for each distribution system. The PC applied a </w:t>
      </w:r>
      <w:r w:rsidR="00DF55B6">
        <w:t>2</w:t>
      </w:r>
      <w:r w:rsidR="008925BE">
        <w:noBreakHyphen/>
      </w:r>
      <w:r>
        <w:t>step process to determine the weighting for each revenue shock’s total effect. First, each revenue head was weighted by its share of the total assessed revenue in 2024</w:t>
      </w:r>
      <w:r w:rsidR="007B10F1" w:rsidRPr="007B10F1">
        <w:t>–</w:t>
      </w:r>
      <w:r>
        <w:t>25. Then, each revenue head weighting was scaled according to the number of states which had assessed revenue in that category in 2024</w:t>
      </w:r>
      <w:r w:rsidR="007B10F1" w:rsidRPr="007B10F1">
        <w:t>–</w:t>
      </w:r>
      <w:r>
        <w:t xml:space="preserve">25. The weighted average for each distribution system, </w:t>
      </w:r>
      <m:oMath>
        <m:r>
          <w:rPr>
            <w:rFonts w:ascii="Cambria Math" w:hAnsi="Cambria Math"/>
          </w:rPr>
          <m:t>j</m:t>
        </m:r>
      </m:oMath>
      <w:r>
        <w:rPr>
          <w:rFonts w:eastAsiaTheme="minorEastAsia"/>
        </w:rPr>
        <w:t>,</w:t>
      </w:r>
      <w:r>
        <w:t xml:space="preserve"> is therefore constructed as:</w:t>
      </w:r>
    </w:p>
    <w:p w14:paraId="524735CB" w14:textId="77777777" w:rsidR="001E7F79" w:rsidRDefault="00000000" w:rsidP="001E7F79">
      <m:oMathPara>
        <m:oMath>
          <m:acc>
            <m:accPr>
              <m:chr m:val="̅"/>
              <m:ctrlPr>
                <w:rPr>
                  <w:rFonts w:ascii="Cambria Math" w:hAnsi="Cambria Math"/>
                  <w:iCs/>
                </w:rPr>
              </m:ctrlPr>
            </m:accPr>
            <m:e>
              <m:r>
                <m:rPr>
                  <m:sty m:val="p"/>
                </m:rPr>
                <w:rPr>
                  <w:rFonts w:ascii="Cambria Math" w:hAnsi="Cambria Math"/>
                </w:rPr>
                <m:t>GST Revenue effec</m:t>
              </m:r>
              <m:sSub>
                <m:sSubPr>
                  <m:ctrlPr>
                    <w:rPr>
                      <w:rFonts w:ascii="Cambria Math" w:hAnsi="Cambria Math"/>
                      <w:iCs/>
                    </w:rPr>
                  </m:ctrlPr>
                </m:sSubPr>
                <m:e>
                  <m:r>
                    <m:rPr>
                      <m:sty m:val="p"/>
                    </m:rPr>
                    <w:rPr>
                      <w:rFonts w:ascii="Cambria Math" w:hAnsi="Cambria Math"/>
                    </w:rPr>
                    <m:t>t</m:t>
                  </m:r>
                </m:e>
                <m:sub>
                  <m:r>
                    <w:rPr>
                      <w:rFonts w:ascii="Cambria Math" w:hAnsi="Cambria Math"/>
                    </w:rPr>
                    <m:t>j</m:t>
                  </m:r>
                </m:sub>
              </m:sSub>
              <m:ctrlPr>
                <w:rPr>
                  <w:rFonts w:ascii="Cambria Math" w:hAnsi="Cambria Math"/>
                  <w:i/>
                </w:rPr>
              </m:ctrlPr>
            </m:e>
          </m:acc>
          <m:r>
            <w:rPr>
              <w:rFonts w:ascii="Cambria Math" w:hAnsi="Cambria Math"/>
            </w:rPr>
            <m:t>=</m:t>
          </m:r>
          <m:f>
            <m:fPr>
              <m:ctrlPr>
                <w:rPr>
                  <w:rFonts w:ascii="Cambria Math" w:hAnsi="Cambria Math"/>
                  <w:i/>
                </w:rPr>
              </m:ctrlPr>
            </m:fPr>
            <m:num>
              <m:nary>
                <m:naryPr>
                  <m:chr m:val="∑"/>
                  <m:limLoc m:val="undOvr"/>
                  <m:ctrlPr>
                    <w:rPr>
                      <w:rFonts w:ascii="Cambria Math" w:hAnsi="Cambria Math"/>
                      <w:iCs/>
                    </w:rPr>
                  </m:ctrlPr>
                </m:naryPr>
                <m:sub>
                  <m:r>
                    <w:rPr>
                      <w:rFonts w:ascii="Cambria Math" w:hAnsi="Cambria Math"/>
                    </w:rPr>
                    <m:t>r=1</m:t>
                  </m:r>
                </m:sub>
                <m:sup>
                  <m:r>
                    <w:rPr>
                      <w:rFonts w:ascii="Cambria Math" w:hAnsi="Cambria Math"/>
                    </w:rPr>
                    <m:t>R</m:t>
                  </m:r>
                </m:sup>
                <m:e>
                  <m:r>
                    <m:rPr>
                      <m:sty m:val="p"/>
                    </m:rPr>
                    <w:rPr>
                      <w:rFonts w:ascii="Cambria Math" w:hAnsi="Cambria Math"/>
                    </w:rPr>
                    <m:t xml:space="preserve">Total FY25 assessed revenue for revenue head </m:t>
                  </m:r>
                  <m:r>
                    <w:rPr>
                      <w:rFonts w:ascii="Cambria Math" w:hAnsi="Cambria Math"/>
                    </w:rPr>
                    <m:t>r</m:t>
                  </m:r>
                  <m:r>
                    <m:rPr>
                      <m:sty m:val="p"/>
                    </m:rPr>
                    <w:rPr>
                      <w:rFonts w:ascii="Cambria Math" w:hAnsi="Cambria Math"/>
                    </w:rPr>
                    <m:t xml:space="preserve">×ΣGST Revenue </m:t>
                  </m:r>
                  <m:sSub>
                    <m:sSubPr>
                      <m:ctrlPr>
                        <w:rPr>
                          <w:rFonts w:ascii="Cambria Math" w:hAnsi="Cambria Math"/>
                          <w:iCs/>
                        </w:rPr>
                      </m:ctrlPr>
                    </m:sSubPr>
                    <m:e>
                      <m:r>
                        <m:rPr>
                          <m:sty m:val="p"/>
                        </m:rPr>
                        <w:rPr>
                          <w:rFonts w:ascii="Cambria Math" w:hAnsi="Cambria Math"/>
                        </w:rPr>
                        <m:t>Effect</m:t>
                      </m:r>
                    </m:e>
                    <m:sub>
                      <m:r>
                        <w:rPr>
                          <w:rFonts w:ascii="Cambria Math" w:hAnsi="Cambria Math"/>
                        </w:rPr>
                        <m:t>j,r</m:t>
                      </m:r>
                    </m:sub>
                  </m:sSub>
                </m:e>
              </m:nary>
            </m:num>
            <m:den>
              <m:nary>
                <m:naryPr>
                  <m:chr m:val="∑"/>
                  <m:limLoc m:val="undOvr"/>
                  <m:ctrlPr>
                    <w:rPr>
                      <w:rFonts w:ascii="Cambria Math" w:hAnsi="Cambria Math"/>
                      <w:iCs/>
                    </w:rPr>
                  </m:ctrlPr>
                </m:naryPr>
                <m:sub>
                  <m:r>
                    <w:rPr>
                      <w:rFonts w:ascii="Cambria Math" w:hAnsi="Cambria Math"/>
                    </w:rPr>
                    <m:t>r=1</m:t>
                  </m:r>
                </m:sub>
                <m:sup>
                  <m:r>
                    <w:rPr>
                      <w:rFonts w:ascii="Cambria Math" w:hAnsi="Cambria Math"/>
                    </w:rPr>
                    <m:t>R</m:t>
                  </m:r>
                </m:sup>
                <m:e>
                  <m:r>
                    <m:rPr>
                      <m:sty m:val="p"/>
                    </m:rPr>
                    <w:rPr>
                      <w:rFonts w:ascii="Cambria Math" w:hAnsi="Cambria Math"/>
                    </w:rPr>
                    <m:t xml:space="preserve">Total FY25 assessed revenue for revenue head </m:t>
                  </m:r>
                  <m:r>
                    <w:rPr>
                      <w:rFonts w:ascii="Cambria Math" w:hAnsi="Cambria Math"/>
                    </w:rPr>
                    <m:t>r</m:t>
                  </m:r>
                  <m:r>
                    <m:rPr>
                      <m:sty m:val="p"/>
                    </m:rPr>
                    <w:rPr>
                      <w:rFonts w:ascii="Cambria Math" w:hAnsi="Cambria Math"/>
                    </w:rPr>
                    <m:t>×</m:t>
                  </m:r>
                  <m:nary>
                    <m:naryPr>
                      <m:chr m:val="∑"/>
                      <m:limLoc m:val="subSup"/>
                      <m:supHide m:val="1"/>
                      <m:ctrlPr>
                        <w:rPr>
                          <w:rFonts w:ascii="Cambria Math" w:hAnsi="Cambria Math"/>
                          <w:i/>
                        </w:rPr>
                      </m:ctrlPr>
                    </m:naryPr>
                    <m:sub>
                      <m:r>
                        <w:rPr>
                          <w:rFonts w:ascii="Cambria Math" w:hAnsi="Cambria Math"/>
                        </w:rPr>
                        <m:t>i∈</m:t>
                      </m:r>
                      <m:r>
                        <m:rPr>
                          <m:sty m:val="p"/>
                        </m:rPr>
                        <w:rPr>
                          <w:rFonts w:ascii="Cambria Math" w:hAnsi="Cambria Math"/>
                        </w:rPr>
                        <m:t xml:space="preserve">Share of revenue base,  </m:t>
                      </m:r>
                      <m:r>
                        <w:rPr>
                          <w:rFonts w:ascii="Cambria Math" w:hAnsi="Cambria Math"/>
                        </w:rPr>
                        <m:t>r&gt;0</m:t>
                      </m:r>
                    </m:sub>
                    <m:sup/>
                    <m:e>
                      <m:r>
                        <w:rPr>
                          <w:rFonts w:ascii="Cambria Math" w:hAnsi="Cambria Math"/>
                        </w:rPr>
                        <m:t>i</m:t>
                      </m:r>
                    </m:e>
                  </m:nary>
                </m:e>
              </m:nary>
            </m:den>
          </m:f>
        </m:oMath>
      </m:oMathPara>
    </w:p>
    <w:p w14:paraId="35DC51C0" w14:textId="5E71A0DF" w:rsidR="001933AB" w:rsidRPr="00EB637B" w:rsidRDefault="00C6420B" w:rsidP="00C6420B">
      <w:pPr>
        <w:pStyle w:val="Heading4"/>
      </w:pPr>
      <w:r>
        <w:t xml:space="preserve">Average </w:t>
      </w:r>
      <w:r w:rsidR="00143EEB" w:rsidRPr="00143EEB">
        <w:t>maximum GST revenue effect</w:t>
      </w:r>
    </w:p>
    <w:p w14:paraId="37F21F34" w14:textId="77777777" w:rsidR="00897C8F" w:rsidRPr="00184206" w:rsidRDefault="00897C8F" w:rsidP="00897C8F">
      <w:pPr>
        <w:pStyle w:val="BodyText"/>
        <w:rPr>
          <w:spacing w:val="-4"/>
          <w:lang w:eastAsia="en-AU"/>
        </w:rPr>
      </w:pPr>
      <w:r w:rsidRPr="00184206">
        <w:rPr>
          <w:spacing w:val="-4"/>
          <w:lang w:eastAsia="en-AU"/>
        </w:rPr>
        <w:t xml:space="preserve">The second way the PC has assessed the policy neutrality of GST distribution systems is the </w:t>
      </w:r>
      <w:r w:rsidRPr="00184206">
        <w:rPr>
          <w:i/>
          <w:spacing w:val="-4"/>
          <w:lang w:eastAsia="en-AU"/>
        </w:rPr>
        <w:t>maximum</w:t>
      </w:r>
      <w:r w:rsidRPr="00184206">
        <w:rPr>
          <w:spacing w:val="-4"/>
          <w:lang w:eastAsia="en-AU"/>
        </w:rPr>
        <w:t xml:space="preserve"> GST revenue effect resulting from a shock, averaged across all states. A smaller average maximum indicates that, even at its most extreme, the distribution system has smaller departures from policy neutrality.</w:t>
      </w:r>
    </w:p>
    <w:p w14:paraId="5EA3E5EE" w14:textId="77777777" w:rsidR="00897C8F" w:rsidRPr="00184206" w:rsidRDefault="00897C8F" w:rsidP="00897C8F">
      <w:pPr>
        <w:pStyle w:val="BodyText"/>
        <w:keepNext/>
        <w:rPr>
          <w:rFonts w:eastAsiaTheme="minorEastAsia"/>
          <w:spacing w:val="-4"/>
        </w:rPr>
      </w:pPr>
      <w:r w:rsidRPr="00184206">
        <w:rPr>
          <w:spacing w:val="-4"/>
          <w:lang w:eastAsia="en-AU"/>
        </w:rPr>
        <w:t>This measure has been calculated from the same series of revenue shocks as described above</w:t>
      </w:r>
      <w:r w:rsidRPr="00184206">
        <w:rPr>
          <w:spacing w:val="-4"/>
        </w:rPr>
        <w:t xml:space="preserve">. In each distribution system, </w:t>
      </w:r>
      <m:oMath>
        <m:r>
          <w:rPr>
            <w:rFonts w:ascii="Cambria Math" w:hAnsi="Cambria Math"/>
            <w:spacing w:val="-4"/>
          </w:rPr>
          <m:t>j</m:t>
        </m:r>
      </m:oMath>
      <w:r w:rsidRPr="00184206">
        <w:rPr>
          <w:rFonts w:eastAsiaTheme="minorEastAsia"/>
          <w:spacing w:val="-4"/>
        </w:rPr>
        <w:t>,</w:t>
      </w:r>
      <w:r w:rsidRPr="00184206">
        <w:rPr>
          <w:spacing w:val="-4"/>
        </w:rPr>
        <w:t xml:space="preserve"> the PC selected, for each state, </w:t>
      </w:r>
      <m:oMath>
        <m:r>
          <w:rPr>
            <w:rFonts w:ascii="Cambria Math" w:hAnsi="Cambria Math"/>
            <w:spacing w:val="-4"/>
          </w:rPr>
          <m:t>i</m:t>
        </m:r>
      </m:oMath>
      <w:r w:rsidRPr="00184206">
        <w:rPr>
          <w:rFonts w:eastAsiaTheme="minorEastAsia"/>
          <w:spacing w:val="-4"/>
        </w:rPr>
        <w:t xml:space="preserve">, the maximum absolute GST revenue effect out of all revenue shocks, </w:t>
      </w:r>
      <m:oMath>
        <m:r>
          <w:rPr>
            <w:rFonts w:ascii="Cambria Math" w:eastAsiaTheme="minorEastAsia" w:hAnsi="Cambria Math"/>
            <w:spacing w:val="-4"/>
          </w:rPr>
          <m:t>r</m:t>
        </m:r>
      </m:oMath>
      <w:r w:rsidRPr="00184206">
        <w:rPr>
          <w:rFonts w:eastAsiaTheme="minorEastAsia"/>
          <w:spacing w:val="-4"/>
        </w:rPr>
        <w:t>. The unweighted average of these maximums is the reported value for the measure.</w:t>
      </w:r>
    </w:p>
    <w:p w14:paraId="11C3E989" w14:textId="50B8C5B5" w:rsidR="00143EEB" w:rsidRPr="00143EEB" w:rsidRDefault="00014717" w:rsidP="00897C8F">
      <w:pPr>
        <w:pStyle w:val="BodyText"/>
      </w:pPr>
      <m:oMathPara>
        <m:oMath>
          <m:r>
            <m:rPr>
              <m:sty m:val="p"/>
            </m:rPr>
            <w:rPr>
              <w:rFonts w:ascii="Cambria Math" w:hAnsi="Cambria Math"/>
              <w:lang w:eastAsia="en-AU"/>
            </w:rPr>
            <m:t xml:space="preserve">Average </m:t>
          </m:r>
          <m:sSub>
            <m:sSubPr>
              <m:ctrlPr>
                <w:rPr>
                  <w:rFonts w:ascii="Cambria Math" w:hAnsi="Cambria Math"/>
                  <w:iCs/>
                  <w:lang w:eastAsia="en-AU"/>
                </w:rPr>
              </m:ctrlPr>
            </m:sSubPr>
            <m:e>
              <m:r>
                <m:rPr>
                  <m:sty m:val="p"/>
                </m:rPr>
                <w:rPr>
                  <w:rFonts w:ascii="Cambria Math" w:hAnsi="Cambria Math"/>
                  <w:lang w:eastAsia="en-AU"/>
                </w:rPr>
                <m:t>Maximum GST Revenue Effect</m:t>
              </m:r>
            </m:e>
            <m:sub>
              <m:r>
                <w:rPr>
                  <w:rFonts w:ascii="Cambria Math" w:hAnsi="Cambria Math"/>
                  <w:lang w:eastAsia="en-AU"/>
                </w:rPr>
                <m:t>j</m:t>
              </m:r>
            </m:sub>
          </m:sSub>
          <m:r>
            <w:rPr>
              <w:rFonts w:ascii="Cambria Math" w:hAnsi="Cambria Math"/>
              <w:lang w:eastAsia="en-AU"/>
            </w:rPr>
            <m:t>=</m:t>
          </m:r>
          <m:f>
            <m:fPr>
              <m:ctrlPr>
                <w:rPr>
                  <w:rFonts w:ascii="Cambria Math" w:hAnsi="Cambria Math"/>
                  <w:i/>
                  <w:iCs/>
                  <w:lang w:eastAsia="en-AU"/>
                </w:rPr>
              </m:ctrlPr>
            </m:fPr>
            <m:num>
              <m:sSub>
                <m:sSubPr>
                  <m:ctrlPr>
                    <w:rPr>
                      <w:rFonts w:ascii="Cambria Math" w:hAnsi="Cambria Math"/>
                      <w:i/>
                      <w:iCs/>
                      <w:lang w:eastAsia="en-AU"/>
                    </w:rPr>
                  </m:ctrlPr>
                </m:sSubPr>
                <m:e>
                  <m:nary>
                    <m:naryPr>
                      <m:chr m:val="∑"/>
                      <m:limLoc m:val="undOvr"/>
                      <m:ctrlPr>
                        <w:rPr>
                          <w:rFonts w:ascii="Cambria Math" w:hAnsi="Cambria Math"/>
                          <w:i/>
                          <w:iCs/>
                          <w:lang w:eastAsia="en-AU"/>
                        </w:rPr>
                      </m:ctrlPr>
                    </m:naryPr>
                    <m:sub>
                      <m:r>
                        <w:rPr>
                          <w:rFonts w:ascii="Cambria Math" w:hAnsi="Cambria Math"/>
                          <w:lang w:eastAsia="en-AU"/>
                        </w:rPr>
                        <m:t>i=1</m:t>
                      </m:r>
                    </m:sub>
                    <m:sup>
                      <m:r>
                        <w:rPr>
                          <w:rFonts w:ascii="Cambria Math" w:hAnsi="Cambria Math"/>
                          <w:lang w:eastAsia="en-AU"/>
                        </w:rPr>
                        <m:t>n</m:t>
                      </m:r>
                    </m:sup>
                    <m:e>
                      <m:func>
                        <m:funcPr>
                          <m:ctrlPr>
                            <w:rPr>
                              <w:rFonts w:ascii="Cambria Math" w:hAnsi="Cambria Math"/>
                              <w:i/>
                              <w:iCs/>
                              <w:lang w:eastAsia="en-AU"/>
                            </w:rPr>
                          </m:ctrlPr>
                        </m:funcPr>
                        <m:fName>
                          <m:r>
                            <m:rPr>
                              <m:sty m:val="p"/>
                            </m:rPr>
                            <w:rPr>
                              <w:rFonts w:ascii="Cambria Math" w:hAnsi="Cambria Math"/>
                              <w:lang w:eastAsia="en-AU"/>
                            </w:rPr>
                            <m:t>max</m:t>
                          </m:r>
                        </m:fName>
                        <m:e>
                          <m:d>
                            <m:dPr>
                              <m:begChr m:val="{"/>
                              <m:endChr m:val="}"/>
                              <m:ctrlPr>
                                <w:rPr>
                                  <w:rFonts w:ascii="Cambria Math" w:hAnsi="Cambria Math"/>
                                  <w:i/>
                                  <w:iCs/>
                                  <w:lang w:eastAsia="en-AU"/>
                                </w:rPr>
                              </m:ctrlPr>
                            </m:dPr>
                            <m:e>
                              <m:r>
                                <m:rPr>
                                  <m:sty m:val="p"/>
                                </m:rPr>
                                <w:rPr>
                                  <w:rFonts w:ascii="Cambria Math" w:hAnsi="Cambria Math"/>
                                  <w:lang w:eastAsia="en-AU"/>
                                </w:rPr>
                                <m:t xml:space="preserve">GST Revenue </m:t>
                              </m:r>
                              <m:sSub>
                                <m:sSubPr>
                                  <m:ctrlPr>
                                    <w:rPr>
                                      <w:rFonts w:ascii="Cambria Math" w:hAnsi="Cambria Math"/>
                                      <w:lang w:eastAsia="en-AU"/>
                                    </w:rPr>
                                  </m:ctrlPr>
                                </m:sSubPr>
                                <m:e>
                                  <m:r>
                                    <m:rPr>
                                      <m:sty m:val="p"/>
                                    </m:rPr>
                                    <w:rPr>
                                      <w:rFonts w:ascii="Cambria Math" w:hAnsi="Cambria Math"/>
                                      <w:lang w:eastAsia="en-AU"/>
                                    </w:rPr>
                                    <m:t>Effect</m:t>
                                  </m:r>
                                </m:e>
                                <m:sub>
                                  <m:r>
                                    <w:rPr>
                                      <w:rFonts w:ascii="Cambria Math" w:hAnsi="Cambria Math"/>
                                      <w:lang w:eastAsia="en-AU"/>
                                    </w:rPr>
                                    <m:t>j,i,r</m:t>
                                  </m:r>
                                </m:sub>
                              </m:sSub>
                            </m:e>
                          </m:d>
                        </m:e>
                      </m:func>
                    </m:e>
                  </m:nary>
                  <m:ctrlPr>
                    <w:rPr>
                      <w:rFonts w:ascii="Cambria Math" w:eastAsiaTheme="minorEastAsia" w:hAnsi="Cambria Math"/>
                      <w:i/>
                      <w:iCs/>
                      <w:lang w:eastAsia="en-AU"/>
                    </w:rPr>
                  </m:ctrlPr>
                </m:e>
                <m:sub>
                  <m:r>
                    <w:rPr>
                      <w:rFonts w:ascii="Cambria Math" w:eastAsiaTheme="minorEastAsia" w:hAnsi="Cambria Math"/>
                      <w:lang w:eastAsia="en-AU"/>
                    </w:rPr>
                    <m:t>R∈1,…,R</m:t>
                  </m:r>
                </m:sub>
              </m:sSub>
              <m:ctrlPr>
                <w:rPr>
                  <w:rFonts w:ascii="Cambria Math" w:eastAsiaTheme="minorEastAsia" w:hAnsi="Cambria Math"/>
                  <w:i/>
                  <w:iCs/>
                  <w:lang w:eastAsia="en-AU"/>
                </w:rPr>
              </m:ctrlPr>
            </m:num>
            <m:den>
              <m:r>
                <w:rPr>
                  <w:rFonts w:ascii="Cambria Math" w:eastAsiaTheme="minorEastAsia" w:hAnsi="Cambria Math"/>
                  <w:lang w:eastAsia="en-AU"/>
                </w:rPr>
                <m:t>N</m:t>
              </m:r>
            </m:den>
          </m:f>
        </m:oMath>
      </m:oMathPara>
    </w:p>
    <w:p w14:paraId="1386F5D1" w14:textId="77777777" w:rsidR="008E6B19" w:rsidRDefault="002C6FD1" w:rsidP="002C6FD1">
      <w:pPr>
        <w:pStyle w:val="Heading3-noTOC"/>
      </w:pPr>
      <w:r>
        <w:t>Fiscal sustainability</w:t>
      </w:r>
    </w:p>
    <w:p w14:paraId="7CF8B1BC" w14:textId="77777777" w:rsidR="008E6B19" w:rsidRPr="00AE7E35" w:rsidRDefault="008E6B19" w:rsidP="008E6B19">
      <w:pPr>
        <w:rPr>
          <w:rFonts w:cs="Arial"/>
        </w:rPr>
      </w:pPr>
      <w:r w:rsidRPr="00AE7E35" w:rsidDel="00B66C8B">
        <w:rPr>
          <w:rFonts w:cs="Arial"/>
          <w:lang w:val="en-US"/>
        </w:rPr>
        <w:t>The</w:t>
      </w:r>
      <w:r>
        <w:rPr>
          <w:rFonts w:cs="Arial"/>
          <w:lang w:val="en-US"/>
        </w:rPr>
        <w:t xml:space="preserve"> </w:t>
      </w:r>
      <w:r w:rsidRPr="00D1118A">
        <w:rPr>
          <w:rFonts w:cs="Arial"/>
          <w:bCs/>
          <w:lang w:val="en-US"/>
        </w:rPr>
        <w:t>fiscal sustainability</w:t>
      </w:r>
      <w:r>
        <w:rPr>
          <w:rFonts w:cs="Arial"/>
          <w:b/>
          <w:lang w:val="en-US"/>
        </w:rPr>
        <w:t xml:space="preserve"> </w:t>
      </w:r>
      <w:r w:rsidRPr="00593B97">
        <w:rPr>
          <w:rFonts w:cs="Arial"/>
          <w:lang w:val="en-US"/>
        </w:rPr>
        <w:t>impacts</w:t>
      </w:r>
      <w:r w:rsidRPr="00AE7E35">
        <w:rPr>
          <w:rFonts w:cs="Arial"/>
          <w:lang w:val="en-US"/>
        </w:rPr>
        <w:t xml:space="preserve"> of competing GST distribution systems </w:t>
      </w:r>
      <w:r>
        <w:rPr>
          <w:rFonts w:cs="Arial"/>
          <w:lang w:val="en-US"/>
        </w:rPr>
        <w:t>have been explored for the Australian Government and state governments. Given the fiscal impacts of the GST distribution are expected to be more significant for state governments than the Australian government, different measures are used.</w:t>
      </w:r>
    </w:p>
    <w:p w14:paraId="6BC77142" w14:textId="50C9495F" w:rsidR="008E6B19" w:rsidRPr="00593B97" w:rsidRDefault="008E6B19" w:rsidP="008E6B19">
      <w:pPr>
        <w:pStyle w:val="ListBullet"/>
        <w:rPr>
          <w:rFonts w:cs="Arial"/>
        </w:rPr>
      </w:pPr>
      <w:r w:rsidRPr="008E6B19">
        <w:rPr>
          <w:rFonts w:cs="Arial"/>
          <w:b/>
          <w:bCs/>
          <w:lang w:val="en-US"/>
        </w:rPr>
        <w:t>State governments</w:t>
      </w:r>
      <w:r>
        <w:rPr>
          <w:rFonts w:cs="Arial"/>
          <w:b/>
          <w:bCs/>
          <w:i/>
          <w:iCs/>
          <w:lang w:val="en-US"/>
        </w:rPr>
        <w:t xml:space="preserve"> </w:t>
      </w:r>
      <w:r w:rsidRPr="008E6B19">
        <w:rPr>
          <w:rFonts w:cs="Arial"/>
          <w:i/>
          <w:iCs/>
          <w:lang w:val="en-US"/>
        </w:rPr>
        <w:t>–</w:t>
      </w:r>
      <w:r w:rsidRPr="00AE7E35">
        <w:rPr>
          <w:rFonts w:cs="Arial"/>
          <w:lang w:val="en-US"/>
        </w:rPr>
        <w:t xml:space="preserve"> </w:t>
      </w:r>
      <w:r>
        <w:rPr>
          <w:rFonts w:cs="Arial"/>
          <w:lang w:val="en-US"/>
        </w:rPr>
        <w:t xml:space="preserve">GST </w:t>
      </w:r>
      <w:r w:rsidR="0093323E">
        <w:rPr>
          <w:rFonts w:cs="Arial"/>
          <w:lang w:val="en-US"/>
        </w:rPr>
        <w:t xml:space="preserve">payments </w:t>
      </w:r>
      <w:r>
        <w:rPr>
          <w:rFonts w:cs="Arial"/>
          <w:lang w:val="en-US"/>
        </w:rPr>
        <w:t>constitute a significant proportion of state revenue, so changes in the distribution have the potential to impact states’ broader fiscal sustainability. Therefore, a broader measure of fiscal sustainability impact is used to compare the effects of different distribution systems, based on states’ interest expense to revenue ratios.</w:t>
      </w:r>
    </w:p>
    <w:p w14:paraId="1BD374D7" w14:textId="367C5B1E" w:rsidR="0010207A" w:rsidRPr="0010207A" w:rsidRDefault="008E6B19" w:rsidP="002C6FD1">
      <w:pPr>
        <w:pStyle w:val="ListBullet"/>
      </w:pPr>
      <w:r w:rsidRPr="008E6B19">
        <w:rPr>
          <w:rFonts w:cs="Arial"/>
          <w:b/>
          <w:bCs/>
          <w:lang w:val="en-US"/>
        </w:rPr>
        <w:t>Australian Government</w:t>
      </w:r>
      <w:r w:rsidRPr="00BB1131">
        <w:rPr>
          <w:rFonts w:cs="Arial"/>
          <w:b/>
          <w:bCs/>
          <w:i/>
          <w:iCs/>
          <w:lang w:val="en-US"/>
        </w:rPr>
        <w:t xml:space="preserve"> </w:t>
      </w:r>
      <w:r w:rsidRPr="008E6B19">
        <w:rPr>
          <w:rFonts w:cs="Arial"/>
          <w:i/>
          <w:iCs/>
          <w:lang w:val="en-US"/>
        </w:rPr>
        <w:t>–</w:t>
      </w:r>
      <w:r w:rsidRPr="00BB1131">
        <w:rPr>
          <w:rFonts w:cs="Arial"/>
          <w:lang w:val="en-US"/>
        </w:rPr>
        <w:t xml:space="preserve"> prior to the 2018 reforms, the GST distribution system had no direct impact on the Australian Government’s fiscal position. The current system has introduced </w:t>
      </w:r>
      <w:r w:rsidR="00DF55B6">
        <w:rPr>
          <w:rFonts w:cs="Arial"/>
          <w:lang w:val="en-US"/>
        </w:rPr>
        <w:t>2</w:t>
      </w:r>
      <w:r w:rsidR="00DF55B6" w:rsidRPr="00BB1131">
        <w:rPr>
          <w:rFonts w:cs="Arial"/>
          <w:lang w:val="en-US"/>
        </w:rPr>
        <w:t xml:space="preserve"> </w:t>
      </w:r>
      <w:r w:rsidRPr="00BB1131">
        <w:rPr>
          <w:rFonts w:cs="Arial"/>
          <w:lang w:val="en-US"/>
        </w:rPr>
        <w:t xml:space="preserve">direct costs to the Australian Government, </w:t>
      </w:r>
      <w:r w:rsidR="00882C35">
        <w:rPr>
          <w:rFonts w:cs="Arial"/>
          <w:lang w:val="en-US"/>
        </w:rPr>
        <w:t xml:space="preserve">GST </w:t>
      </w:r>
      <w:r w:rsidRPr="00BB1131">
        <w:rPr>
          <w:rFonts w:cs="Arial"/>
          <w:lang w:val="en-US"/>
        </w:rPr>
        <w:t xml:space="preserve">pool </w:t>
      </w:r>
      <w:r w:rsidR="003300F6">
        <w:rPr>
          <w:rFonts w:cs="Arial"/>
          <w:lang w:val="en-US"/>
        </w:rPr>
        <w:t>boost</w:t>
      </w:r>
      <w:r w:rsidR="00F643A8">
        <w:rPr>
          <w:rFonts w:cs="Arial"/>
          <w:lang w:val="en-US"/>
        </w:rPr>
        <w:t>,</w:t>
      </w:r>
      <w:r w:rsidR="003300F6">
        <w:rPr>
          <w:rFonts w:cs="Arial"/>
          <w:lang w:val="en-US"/>
        </w:rPr>
        <w:t xml:space="preserve"> </w:t>
      </w:r>
      <w:r w:rsidRPr="00BB1131">
        <w:rPr>
          <w:rFonts w:cs="Arial"/>
          <w:lang w:val="en-US"/>
        </w:rPr>
        <w:t xml:space="preserve">and the </w:t>
      </w:r>
      <w:r w:rsidR="00F643A8">
        <w:rPr>
          <w:rFonts w:cs="Arial"/>
          <w:lang w:val="en-US"/>
        </w:rPr>
        <w:t>(</w:t>
      </w:r>
      <w:proofErr w:type="spellStart"/>
      <w:r w:rsidR="00185A64">
        <w:rPr>
          <w:rFonts w:cs="Arial"/>
          <w:lang w:val="en-US"/>
        </w:rPr>
        <w:t>NoWO</w:t>
      </w:r>
      <w:proofErr w:type="spellEnd"/>
      <w:r w:rsidR="00F643A8">
        <w:rPr>
          <w:rFonts w:cs="Arial"/>
          <w:lang w:val="en-US"/>
        </w:rPr>
        <w:t>)</w:t>
      </w:r>
      <w:r w:rsidR="00EB35DA">
        <w:rPr>
          <w:rFonts w:cs="Arial"/>
          <w:lang w:val="en-US"/>
        </w:rPr>
        <w:t xml:space="preserve"> guarantee.</w:t>
      </w:r>
      <w:r w:rsidRPr="00BB1131">
        <w:rPr>
          <w:rFonts w:cs="Arial"/>
          <w:lang w:val="en-US"/>
        </w:rPr>
        <w:t xml:space="preserve"> Neither cost is likely to threaten the Australian Government’s overall fiscal sustainability, but </w:t>
      </w:r>
      <w:proofErr w:type="spellStart"/>
      <w:r w:rsidRPr="00BB1131">
        <w:rPr>
          <w:rFonts w:cs="Arial"/>
          <w:lang w:val="en-US"/>
        </w:rPr>
        <w:t>NoWO</w:t>
      </w:r>
      <w:proofErr w:type="spellEnd"/>
      <w:r w:rsidRPr="00BB1131">
        <w:rPr>
          <w:rFonts w:cs="Arial"/>
          <w:lang w:val="en-US"/>
        </w:rPr>
        <w:t xml:space="preserve"> payments are material, volatile and could impose significant trade</w:t>
      </w:r>
      <w:r w:rsidR="008925BE">
        <w:rPr>
          <w:rFonts w:cs="Arial"/>
          <w:lang w:val="en-US"/>
        </w:rPr>
        <w:noBreakHyphen/>
      </w:r>
      <w:r w:rsidRPr="00BB1131">
        <w:rPr>
          <w:rFonts w:cs="Arial"/>
          <w:lang w:val="en-US"/>
        </w:rPr>
        <w:t xml:space="preserve">offs. Therefore, the cost of the </w:t>
      </w:r>
      <w:proofErr w:type="spellStart"/>
      <w:r w:rsidR="00174ED0">
        <w:rPr>
          <w:rFonts w:cs="Arial"/>
          <w:lang w:val="en-US"/>
        </w:rPr>
        <w:t>NoWO</w:t>
      </w:r>
      <w:proofErr w:type="spellEnd"/>
      <w:r w:rsidR="00174ED0">
        <w:rPr>
          <w:rFonts w:cs="Arial"/>
          <w:lang w:val="en-US"/>
        </w:rPr>
        <w:t xml:space="preserve"> guarantee </w:t>
      </w:r>
      <w:proofErr w:type="gramStart"/>
      <w:r w:rsidRPr="00BB1131">
        <w:rPr>
          <w:rFonts w:cs="Arial"/>
          <w:lang w:val="en-US"/>
        </w:rPr>
        <w:t>in a given year</w:t>
      </w:r>
      <w:proofErr w:type="gramEnd"/>
      <w:r w:rsidRPr="00BB1131">
        <w:rPr>
          <w:rFonts w:cs="Arial"/>
          <w:lang w:val="en-US"/>
        </w:rPr>
        <w:t xml:space="preserve"> is used to measure the relative impacts of different GST distribution systems on the </w:t>
      </w:r>
      <w:r w:rsidR="00EA20B2">
        <w:rPr>
          <w:rFonts w:cs="Arial"/>
          <w:lang w:val="en-US"/>
        </w:rPr>
        <w:t>Australian Government</w:t>
      </w:r>
      <w:r w:rsidR="00EA20B2" w:rsidRPr="00BB1131">
        <w:rPr>
          <w:rFonts w:cs="Arial"/>
          <w:lang w:val="en-US"/>
        </w:rPr>
        <w:t xml:space="preserve">’s </w:t>
      </w:r>
      <w:r w:rsidRPr="00BB1131">
        <w:rPr>
          <w:rFonts w:cs="Arial"/>
          <w:lang w:val="en-US"/>
        </w:rPr>
        <w:t xml:space="preserve">fiscal position. </w:t>
      </w:r>
      <w:r>
        <w:rPr>
          <w:rFonts w:cs="Arial"/>
          <w:lang w:val="en-US"/>
        </w:rPr>
        <w:t xml:space="preserve">The approach to assessing the exposure of the </w:t>
      </w:r>
      <w:r w:rsidR="00EA20B2">
        <w:rPr>
          <w:rFonts w:cs="Arial"/>
          <w:lang w:val="en-US"/>
        </w:rPr>
        <w:t xml:space="preserve">Australian </w:t>
      </w:r>
      <w:r w:rsidR="0021535C">
        <w:rPr>
          <w:rFonts w:cs="Arial"/>
          <w:lang w:val="en-US"/>
        </w:rPr>
        <w:t>G</w:t>
      </w:r>
      <w:r>
        <w:rPr>
          <w:rFonts w:cs="Arial"/>
          <w:lang w:val="en-US"/>
        </w:rPr>
        <w:t xml:space="preserve">overnment to </w:t>
      </w:r>
      <w:proofErr w:type="spellStart"/>
      <w:r>
        <w:rPr>
          <w:rFonts w:cs="Arial"/>
          <w:lang w:val="en-US"/>
        </w:rPr>
        <w:t>NoWO</w:t>
      </w:r>
      <w:proofErr w:type="spellEnd"/>
      <w:r>
        <w:rPr>
          <w:rFonts w:cs="Arial"/>
          <w:lang w:val="en-US"/>
        </w:rPr>
        <w:t xml:space="preserve"> payments to states is detailed in chapter 3 of the interim report, and key modelling results are provided in appendix C. </w:t>
      </w:r>
    </w:p>
    <w:p w14:paraId="528D7B97" w14:textId="77777777" w:rsidR="0010207A" w:rsidRDefault="0010207A" w:rsidP="00857C5E">
      <w:pPr>
        <w:pStyle w:val="Heading4"/>
      </w:pPr>
      <w:r w:rsidRPr="00D818D2">
        <w:t>State government interest expense to revenue ratios under different systems</w:t>
      </w:r>
    </w:p>
    <w:p w14:paraId="64CB5B60" w14:textId="6F66A980" w:rsidR="003F08EA" w:rsidRDefault="003F08EA" w:rsidP="003F08EA">
      <w:pPr>
        <w:pStyle w:val="BodyText"/>
      </w:pPr>
      <w:r>
        <w:t>To assess the impact of different GST distribution systems on state fiscal sustainability, the PC took the GST distributions modelled under each of the alternative arrangements</w:t>
      </w:r>
      <w:r w:rsidR="009541A0">
        <w:t xml:space="preserve"> from 2001</w:t>
      </w:r>
      <w:r w:rsidR="009541A0" w:rsidRPr="007B10F1">
        <w:t>–</w:t>
      </w:r>
      <w:r w:rsidR="009541A0">
        <w:t>02 to 2024</w:t>
      </w:r>
      <w:r w:rsidR="009541A0" w:rsidRPr="007B10F1">
        <w:t>–</w:t>
      </w:r>
      <w:r w:rsidR="009541A0">
        <w:t>25</w:t>
      </w:r>
      <w:r>
        <w:t xml:space="preserve">, and state finance statistics from the ABS Government Finance Statistics (GFS) to estimate the subsequent changes to states fiscal balances, state debt, and overall interest costs.  </w:t>
      </w:r>
    </w:p>
    <w:p w14:paraId="3AC90B2B" w14:textId="515C336F" w:rsidR="0010207A" w:rsidRDefault="003F08EA" w:rsidP="003F08EA">
      <w:pPr>
        <w:pStyle w:val="BodyText"/>
      </w:pPr>
      <w:r>
        <w:lastRenderedPageBreak/>
        <w:t>Given that state governments also control public non</w:t>
      </w:r>
      <w:r w:rsidR="008925BE">
        <w:noBreakHyphen/>
      </w:r>
      <w:r>
        <w:t xml:space="preserve">financial corporations (PNFCs), whose borrowings are underpinned by guarantees from state governments, the modelled results for the general government were added to actual PNFC figures. Further detail on the modelling assumptions and results is </w:t>
      </w:r>
      <w:r w:rsidR="00BC2A80">
        <w:t xml:space="preserve">provided </w:t>
      </w:r>
      <w:r>
        <w:t>in appendix C.</w:t>
      </w:r>
    </w:p>
    <w:p w14:paraId="26964B8D" w14:textId="40F7CFEC" w:rsidR="003F08EA" w:rsidRPr="00857C5E" w:rsidRDefault="00857C5E" w:rsidP="00857C5E">
      <w:pPr>
        <w:pStyle w:val="Heading4"/>
      </w:pPr>
      <w:r w:rsidRPr="00857C5E">
        <w:t>Selecting the indicator of interest expense to revenue ratios</w:t>
      </w:r>
    </w:p>
    <w:p w14:paraId="441CC81C" w14:textId="62AB22F1" w:rsidR="00793362" w:rsidRDefault="00793362" w:rsidP="00793362">
      <w:pPr>
        <w:pStyle w:val="BodyText"/>
      </w:pPr>
      <w:r>
        <w:t>The PC</w:t>
      </w:r>
      <w:r w:rsidDel="001C4C86">
        <w:t xml:space="preserve"> </w:t>
      </w:r>
      <w:r>
        <w:t xml:space="preserve">used the </w:t>
      </w:r>
      <w:r w:rsidRPr="00AC1E6A">
        <w:rPr>
          <w:bCs/>
        </w:rPr>
        <w:t>ratio of interest expenses to revenue</w:t>
      </w:r>
      <w:r>
        <w:t xml:space="preserve"> for the total non</w:t>
      </w:r>
      <w:r w:rsidR="008925BE">
        <w:noBreakHyphen/>
      </w:r>
      <w:r>
        <w:t>financial public sector (TNFPS) an as its main indicator for the fiscal sustainability impacts of different GST distribution systems.</w:t>
      </w:r>
      <w:r w:rsidRPr="0036082F">
        <w:t xml:space="preserve"> </w:t>
      </w:r>
      <w:r>
        <w:t>The PC uses each state’s interest to revenue ratio from 2024</w:t>
      </w:r>
      <w:r w:rsidR="007B10F1" w:rsidRPr="007B10F1">
        <w:t>–</w:t>
      </w:r>
      <w:r>
        <w:t>25, to reflect the cumulative effect on net debt and interest expenses of having each alternative arrangement in place from 2001</w:t>
      </w:r>
      <w:r w:rsidR="007B10F1" w:rsidRPr="007B10F1">
        <w:t>–</w:t>
      </w:r>
      <w:r>
        <w:t>02 to 2024</w:t>
      </w:r>
      <w:r w:rsidR="007B10F1" w:rsidRPr="007B10F1">
        <w:t>–</w:t>
      </w:r>
      <w:r>
        <w:t>25.</w:t>
      </w:r>
      <w:r>
        <w:rPr>
          <w:rStyle w:val="FootnoteReference"/>
        </w:rPr>
        <w:footnoteReference w:id="8"/>
      </w:r>
      <w:r>
        <w:t xml:space="preserve"> </w:t>
      </w:r>
      <w:r w:rsidRPr="00C83609">
        <w:t>This measure</w:t>
      </w:r>
      <w:r>
        <w:t>s</w:t>
      </w:r>
      <w:r w:rsidRPr="00C83609">
        <w:t xml:space="preserve"> how much of a government’s revenue is being absorbed by debt</w:t>
      </w:r>
      <w:r w:rsidR="008925BE">
        <w:noBreakHyphen/>
      </w:r>
      <w:r w:rsidRPr="00C83609">
        <w:t>servicing costs, rather than being available</w:t>
      </w:r>
      <w:r>
        <w:t xml:space="preserve"> for other purposes, such as funding government</w:t>
      </w:r>
      <w:r w:rsidRPr="00C83609">
        <w:t xml:space="preserve"> services</w:t>
      </w:r>
      <w:r>
        <w:t xml:space="preserve"> </w:t>
      </w:r>
      <w:r w:rsidRPr="00C83609">
        <w:t>or</w:t>
      </w:r>
      <w:r>
        <w:t xml:space="preserve"> building buffers to manage</w:t>
      </w:r>
      <w:r w:rsidRPr="00C83609">
        <w:t xml:space="preserve"> future shocks</w:t>
      </w:r>
      <w:r>
        <w:t xml:space="preserve"> </w:t>
      </w:r>
      <w:r>
        <w:fldChar w:fldCharType="begin"/>
      </w:r>
      <w:r w:rsidR="00114402">
        <w:instrText xml:space="preserve"> ADDIN ZOTERO_ITEM CSL_CITATION {"citationID":"KAk9S6Aw","properties":{"unsorted":false,"formattedCitation":"(SA Government\\uc0\\u160{}2025, p.\\uc0\\u160{}42)","plainCitation":"(SA Government 2025, p. 42)","noteIndex":0},"citationItems":[{"id":6650,"uris":["http://zotero.org/groups/6174966/items/D65SXWWY"],"itemData":{"id":6650,"type":"report","title":"State finances  – insights on the 2025-26 Budget","URL":"https://www.audit.sa.gov.au/sites/default/files/2025-11/Report%209%20of%202025%20State%20Finances.pdf","author":[{"family":"Government of South Australia","given":""}],"translator":[{"family":"SA Government","given":""}],"issued":{"date-parts":[["2025",11,11]]}},"locator":"42","label":"page"}],"schema":"https://github.com/citation-style-language/schema/raw/master/csl-citation.json"} </w:instrText>
      </w:r>
      <w:r>
        <w:fldChar w:fldCharType="separate"/>
      </w:r>
      <w:r w:rsidRPr="00523363">
        <w:rPr>
          <w:rFonts w:cs="Open Sans"/>
        </w:rPr>
        <w:t>(SA Government 2025, p. 42)</w:t>
      </w:r>
      <w:r>
        <w:fldChar w:fldCharType="end"/>
      </w:r>
      <w:r w:rsidRPr="00C2189D">
        <w:t>.</w:t>
      </w:r>
    </w:p>
    <w:p w14:paraId="1E98F799" w14:textId="77777777" w:rsidR="00EF28CC" w:rsidRDefault="00793362" w:rsidP="00EF28CC">
      <w:pPr>
        <w:pStyle w:val="BodyText"/>
        <w:keepNext/>
      </w:pPr>
      <w:r>
        <w:t>The interest (</w:t>
      </w:r>
      <m:oMath>
        <m:r>
          <w:rPr>
            <w:rFonts w:ascii="Cambria Math" w:hAnsi="Cambria Math"/>
          </w:rPr>
          <m:t>i</m:t>
        </m:r>
      </m:oMath>
      <w:r>
        <w:t>)</w:t>
      </w:r>
      <w:r>
        <w:rPr>
          <w:rFonts w:eastAsiaTheme="minorEastAsia"/>
        </w:rPr>
        <w:t xml:space="preserve"> </w:t>
      </w:r>
      <w:r>
        <w:t>to revenue (</w:t>
      </w:r>
      <m:oMath>
        <m:r>
          <w:rPr>
            <w:rFonts w:ascii="Cambria Math" w:hAnsi="Cambria Math"/>
          </w:rPr>
          <m:t>r</m:t>
        </m:r>
      </m:oMath>
      <w:r>
        <w:t>) ratio for each state (</w:t>
      </w:r>
      <m:oMath>
        <m:r>
          <w:rPr>
            <w:rFonts w:ascii="Cambria Math" w:hAnsi="Cambria Math"/>
          </w:rPr>
          <m:t>s</m:t>
        </m:r>
      </m:oMath>
      <w:r>
        <w:t>) under alternative arrangement (</w:t>
      </w:r>
      <m:oMath>
        <m:r>
          <w:rPr>
            <w:rFonts w:ascii="Cambria Math" w:hAnsi="Cambria Math"/>
          </w:rPr>
          <m:t>m</m:t>
        </m:r>
      </m:oMath>
      <w:r>
        <w:t>):</w:t>
      </w:r>
    </w:p>
    <w:p w14:paraId="59A954AF" w14:textId="77777777" w:rsidR="00E435E3" w:rsidRDefault="00000000" w:rsidP="00E435E3">
      <w:pPr>
        <w:pStyle w:val="BodyText"/>
        <w:jc w:val="center"/>
      </w:pPr>
      <m:oMathPara>
        <m:oMath>
          <m:sSub>
            <m:sSubPr>
              <m:ctrlPr>
                <w:rPr>
                  <w:rFonts w:ascii="Cambria Math" w:hAnsi="Cambria Math"/>
                  <w:i/>
                </w:rPr>
              </m:ctrlPr>
            </m:sSubPr>
            <m:e>
              <m:r>
                <w:rPr>
                  <w:rFonts w:ascii="Cambria Math" w:hAnsi="Cambria Math"/>
                </w:rPr>
                <m:t>IR</m:t>
              </m:r>
            </m:e>
            <m:sub>
              <m:r>
                <w:rPr>
                  <w:rFonts w:ascii="Cambria Math" w:hAnsi="Cambria Math"/>
                </w:rPr>
                <m:t>s,m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s,m</m:t>
                  </m:r>
                </m:sub>
              </m:sSub>
            </m:num>
            <m:den>
              <m:sSub>
                <m:sSubPr>
                  <m:ctrlPr>
                    <w:rPr>
                      <w:rFonts w:ascii="Cambria Math" w:hAnsi="Cambria Math"/>
                      <w:i/>
                    </w:rPr>
                  </m:ctrlPr>
                </m:sSubPr>
                <m:e>
                  <m:r>
                    <w:rPr>
                      <w:rFonts w:ascii="Cambria Math" w:hAnsi="Cambria Math"/>
                    </w:rPr>
                    <m:t>r</m:t>
                  </m:r>
                </m:e>
                <m:sub>
                  <m:r>
                    <w:rPr>
                      <w:rFonts w:ascii="Cambria Math" w:hAnsi="Cambria Math"/>
                    </w:rPr>
                    <m:t>s,m</m:t>
                  </m:r>
                </m:sub>
              </m:sSub>
            </m:den>
          </m:f>
          <m:r>
            <w:rPr>
              <w:rFonts w:ascii="Cambria Math" w:hAnsi="Cambria Math"/>
            </w:rPr>
            <m:t xml:space="preserve"> </m:t>
          </m:r>
        </m:oMath>
      </m:oMathPara>
    </w:p>
    <w:p w14:paraId="2AC4D225" w14:textId="63D10A01" w:rsidR="00E435E3" w:rsidRPr="00C2046E" w:rsidRDefault="00E435E3" w:rsidP="00E435E3">
      <w:pPr>
        <w:pStyle w:val="BodyText"/>
        <w:rPr>
          <w:spacing w:val="-2"/>
        </w:rPr>
      </w:pPr>
      <w:r w:rsidRPr="00C2046E">
        <w:rPr>
          <w:spacing w:val="-2"/>
        </w:rPr>
        <w:t xml:space="preserve">The ratio of interest expenses to revenue was selected because it provides an indicator of the extent to which governments </w:t>
      </w:r>
      <w:proofErr w:type="gramStart"/>
      <w:r w:rsidRPr="00C2046E">
        <w:rPr>
          <w:spacing w:val="-2"/>
        </w:rPr>
        <w:t>are able to</w:t>
      </w:r>
      <w:proofErr w:type="gramEnd"/>
      <w:r w:rsidRPr="00C2046E">
        <w:rPr>
          <w:spacing w:val="-2"/>
        </w:rPr>
        <w:t xml:space="preserve"> sustainably</w:t>
      </w:r>
      <w:r w:rsidRPr="00C2046E" w:rsidDel="00CA32D7">
        <w:rPr>
          <w:spacing w:val="-2"/>
        </w:rPr>
        <w:t xml:space="preserve"> </w:t>
      </w:r>
      <w:r w:rsidRPr="00C2046E">
        <w:rPr>
          <w:spacing w:val="-2"/>
        </w:rPr>
        <w:t>maintain their current spending, tax and other related policies over the long term without threatening its solvency or requiring major remedial action. This approach is conceptually similar to the debt dynamics equation set out in box B.3</w:t>
      </w:r>
      <w:r w:rsidR="00971B13" w:rsidRPr="00C2046E">
        <w:rPr>
          <w:spacing w:val="-2"/>
        </w:rPr>
        <w:t>,</w:t>
      </w:r>
      <w:r w:rsidRPr="00C2046E">
        <w:rPr>
          <w:spacing w:val="-2"/>
        </w:rPr>
        <w:t xml:space="preserve"> in that both focus on the point at which debt</w:t>
      </w:r>
      <w:r w:rsidR="008925BE" w:rsidRPr="00C2046E">
        <w:rPr>
          <w:spacing w:val="-2"/>
        </w:rPr>
        <w:noBreakHyphen/>
      </w:r>
      <w:r w:rsidRPr="00C2046E">
        <w:rPr>
          <w:spacing w:val="-2"/>
        </w:rPr>
        <w:t xml:space="preserve">servicing costs begin to place material pressure on a government’s fiscal position. </w:t>
      </w:r>
    </w:p>
    <w:p w14:paraId="5BBE9BBA" w14:textId="13B33645" w:rsidR="00E435E3" w:rsidRPr="00E435E3" w:rsidRDefault="00E435E3" w:rsidP="00E435E3">
      <w:pPr>
        <w:pStyle w:val="BodyText"/>
      </w:pPr>
      <w:r w:rsidRPr="00E435E3">
        <w:t>To facilitate comparison of GST distribution systems, the PC converted states’ interest expense to revenue ratios into an aggregate ‘fiscal pressure’ score (table B.</w:t>
      </w:r>
      <w:r w:rsidR="00971B13">
        <w:t>2</w:t>
      </w:r>
      <w:r w:rsidRPr="00E435E3">
        <w:t>). The PC uses Moody’s Baseline Credit Analysis interest</w:t>
      </w:r>
      <w:r w:rsidR="008925BE">
        <w:noBreakHyphen/>
      </w:r>
      <w:r w:rsidRPr="00E435E3">
        <w:t>to</w:t>
      </w:r>
      <w:r w:rsidR="008925BE">
        <w:noBreakHyphen/>
      </w:r>
      <w:r w:rsidRPr="00E435E3">
        <w:t>revenue thresholds to assess when modelled debt</w:t>
      </w:r>
      <w:r w:rsidR="008925BE">
        <w:noBreakHyphen/>
      </w:r>
      <w:r w:rsidRPr="00E435E3">
        <w:t xml:space="preserve">servicing costs may start to constrain fiscal sustainability </w:t>
      </w:r>
      <w:r w:rsidRPr="00E435E3">
        <w:fldChar w:fldCharType="begin"/>
      </w:r>
      <w:r w:rsidR="00114402">
        <w:instrText xml:space="preserve"> ADDIN ZOTERO_ITEM CSL_CITATION {"citationID":"CL20xmVF","properties":{"unsorted":false,"formattedCitation":"(Moody\\uc0\\u8217{}s Ratings\\uc0\\u160{}2026)","plainCitation":"(Moody’s Ratings 2026)","noteIndex":0},"citationItems":[{"id":6868,"uris":["http://zotero.org/groups/6174966/items/SAGWEKVN"],"itemData":{"id":6868,"type":"webpage","title":"Rating methodology: regional and local governments","URL":"https://www.moodys.com/research/Rating-Methodology-Regional-and-Local-Governments-Rating-Methodology--PBC_1471270#5d113f2038d289f391614c39043629e8","author":[{"family":"Moody's Ratings","given":""}],"accessed":{"date-parts":[["2026",6,23]]},"issued":{"date-parts":[["2026",5,28]]}}}],"schema":"https://github.com/citation-style-language/schema/raw/master/csl-citation.json"} </w:instrText>
      </w:r>
      <w:r w:rsidRPr="00E435E3">
        <w:fldChar w:fldCharType="separate"/>
      </w:r>
      <w:r w:rsidR="00A956A2" w:rsidRPr="00A956A2">
        <w:rPr>
          <w:rFonts w:cs="Open Sans"/>
        </w:rPr>
        <w:t>(Moody’s Ratings 2026)</w:t>
      </w:r>
      <w:r w:rsidRPr="00E435E3">
        <w:fldChar w:fldCharType="end"/>
      </w:r>
      <w:r w:rsidRPr="00E435E3">
        <w:t>.</w:t>
      </w:r>
      <w:r>
        <w:rPr>
          <w:rStyle w:val="FootnoteReference"/>
        </w:rPr>
        <w:footnoteReference w:id="9"/>
      </w:r>
    </w:p>
    <w:p w14:paraId="0EB554A0" w14:textId="35BE8385" w:rsidR="00E435E3" w:rsidRPr="00C2046E" w:rsidRDefault="00E435E3" w:rsidP="00E435E3">
      <w:pPr>
        <w:pStyle w:val="BodyText"/>
        <w:rPr>
          <w:spacing w:val="-2"/>
        </w:rPr>
      </w:pPr>
      <w:r w:rsidRPr="00C2046E">
        <w:rPr>
          <w:spacing w:val="-2"/>
        </w:rPr>
        <w:t>This focus is consistent with Tasmania’s Fiscal Sustainability Report, which states that ‘</w:t>
      </w:r>
      <w:r w:rsidRPr="00C2046E">
        <w:rPr>
          <w:i/>
          <w:spacing w:val="-2"/>
        </w:rPr>
        <w:t>a ratio above 10 per cent, while still incurring budget deficits, would indicate the State’s finances are becoming unsustainable</w:t>
      </w:r>
      <w:r w:rsidRPr="00C2046E">
        <w:rPr>
          <w:spacing w:val="-2"/>
        </w:rPr>
        <w:t xml:space="preserve">’ </w:t>
      </w:r>
      <w:r w:rsidRPr="00C2046E">
        <w:rPr>
          <w:spacing w:val="-2"/>
        </w:rPr>
        <w:fldChar w:fldCharType="begin"/>
      </w:r>
      <w:r w:rsidR="00114402" w:rsidRPr="00C2046E">
        <w:rPr>
          <w:spacing w:val="-2"/>
        </w:rPr>
        <w:instrText xml:space="preserve"> ADDIN ZOTERO_ITEM CSL_CITATION {"citationID":"Ki1CxHcz","properties":{"unsorted":false,"formattedCitation":"(Government of Tasmania\\uc0\\u160{}2026, p.\\uc0\\u160{}13)","plainCitation":"(Government of Tasmania 2026, p. 13)","noteIndex":0},"citationItems":[{"id":6702,"uris":["http://zotero.org/groups/6174966/items/66CDG5KW"],"itemData":{"id":6702,"type":"report","title":"Tasmanian fiscal sustainability report 2026","URL":"https://www.treasury.tas.gov.au/Documents/Fiscal%20Sustainability%20Report%202026%20%28accessible%29.pdf","author":[{"family":"Government of Tasmania","given":""}],"issued":{"date-parts":[["2026",2]]}},"locator":"13","label":"page"}],"schema":"https://github.com/citation-style-language/schema/raw/master/csl-citation.json"} </w:instrText>
      </w:r>
      <w:r w:rsidRPr="00C2046E">
        <w:rPr>
          <w:spacing w:val="-2"/>
        </w:rPr>
        <w:fldChar w:fldCharType="separate"/>
      </w:r>
      <w:r w:rsidRPr="00C2046E">
        <w:rPr>
          <w:spacing w:val="-2"/>
        </w:rPr>
        <w:t>(Government of Tasmania 2026, p. 13)</w:t>
      </w:r>
      <w:r w:rsidRPr="00C2046E">
        <w:rPr>
          <w:spacing w:val="-2"/>
        </w:rPr>
        <w:fldChar w:fldCharType="end"/>
      </w:r>
      <w:r w:rsidRPr="00C2046E">
        <w:rPr>
          <w:spacing w:val="-2"/>
        </w:rPr>
        <w:t>. States with relatively low interest burdens receive a score of zero, while higher interest burdens receive progressively larger scores, reflecting growing fiscal pressure.</w:t>
      </w:r>
    </w:p>
    <w:p w14:paraId="3AAF83EA" w14:textId="3844B980" w:rsidR="000F369C" w:rsidRDefault="000F369C" w:rsidP="007E34C7">
      <w:pPr>
        <w:pStyle w:val="FigureTableHeading"/>
        <w:keepLines/>
      </w:pPr>
      <w:r>
        <w:t xml:space="preserve">Table </w:t>
      </w:r>
      <w:fldSimple w:instr=" STYLEREF  \s Heading-Appendix ">
        <w:r w:rsidR="004C5D0E">
          <w:rPr>
            <w:noProof/>
          </w:rPr>
          <w:t>B</w:t>
        </w:r>
      </w:fldSimple>
      <w:r>
        <w:t>.</w:t>
      </w:r>
      <w:fldSimple w:instr=" SEQ Table \* ARABIC \s 1 ">
        <w:r w:rsidR="004C5D0E">
          <w:rPr>
            <w:noProof/>
          </w:rPr>
          <w:t>2</w:t>
        </w:r>
      </w:fldSimple>
      <w:r>
        <w:rPr>
          <w:noProof/>
        </w:rPr>
        <w:t xml:space="preserve"> – </w:t>
      </w:r>
      <w:r w:rsidR="00C3045B" w:rsidRPr="00C3045B">
        <w:rPr>
          <w:noProof/>
        </w:rPr>
        <w:t>Interest to revenue thresholds and weightings</w:t>
      </w:r>
    </w:p>
    <w:tbl>
      <w:tblPr>
        <w:tblW w:w="9781"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85"/>
        <w:gridCol w:w="974"/>
        <w:gridCol w:w="975"/>
        <w:gridCol w:w="974"/>
        <w:gridCol w:w="975"/>
        <w:gridCol w:w="974"/>
        <w:gridCol w:w="975"/>
        <w:gridCol w:w="974"/>
        <w:gridCol w:w="975"/>
      </w:tblGrid>
      <w:tr w:rsidR="0049493E" w:rsidRPr="00F32CA6" w14:paraId="37F630DC" w14:textId="40625B9E" w:rsidTr="00EA143E">
        <w:trPr>
          <w:tblHeader/>
        </w:trPr>
        <w:tc>
          <w:tcPr>
            <w:tcW w:w="1985" w:type="dxa"/>
            <w:tcBorders>
              <w:bottom w:val="single" w:sz="4" w:space="0" w:color="B3B3B3"/>
            </w:tcBorders>
            <w:shd w:val="clear" w:color="000000" w:fill="auto"/>
            <w:vAlign w:val="bottom"/>
          </w:tcPr>
          <w:p w14:paraId="7A648943" w14:textId="3F31A1DC" w:rsidR="0049493E" w:rsidRPr="00F32CA6" w:rsidRDefault="0049493E" w:rsidP="007E34C7">
            <w:pPr>
              <w:keepNext/>
              <w:keepLines/>
              <w:spacing w:before="45" w:after="45"/>
              <w:ind w:left="57" w:right="108"/>
              <w:rPr>
                <w:rFonts w:cs="Open Sans"/>
                <w:b/>
                <w:color w:val="1D4374"/>
                <w:sz w:val="18"/>
              </w:rPr>
            </w:pPr>
            <w:r>
              <w:rPr>
                <w:rFonts w:cs="Open Sans"/>
                <w:b/>
                <w:color w:val="1D4374"/>
                <w:sz w:val="18"/>
              </w:rPr>
              <w:t>Moody’s bands</w:t>
            </w:r>
          </w:p>
        </w:tc>
        <w:tc>
          <w:tcPr>
            <w:tcW w:w="974" w:type="dxa"/>
            <w:tcBorders>
              <w:bottom w:val="single" w:sz="4" w:space="0" w:color="B3B3B3"/>
            </w:tcBorders>
            <w:shd w:val="clear" w:color="000000" w:fill="auto"/>
            <w:vAlign w:val="bottom"/>
          </w:tcPr>
          <w:p w14:paraId="7DF2C6B2" w14:textId="0F148E6B" w:rsidR="0049493E" w:rsidRPr="00F32CA6" w:rsidRDefault="00151756" w:rsidP="007E34C7">
            <w:pPr>
              <w:pStyle w:val="TableHeading"/>
              <w:keepNext/>
              <w:keepLines/>
              <w:spacing w:before="45" w:after="45"/>
              <w:rPr>
                <w:rFonts w:cs="Open Sans"/>
                <w:color w:val="1D4374"/>
              </w:rPr>
            </w:pPr>
            <w:proofErr w:type="spellStart"/>
            <w:r>
              <w:rPr>
                <w:rFonts w:cs="Open Sans"/>
                <w:color w:val="1D4374"/>
              </w:rPr>
              <w:t>A</w:t>
            </w:r>
            <w:r w:rsidR="0049493E">
              <w:rPr>
                <w:rFonts w:cs="Open Sans"/>
                <w:color w:val="1D4374"/>
              </w:rPr>
              <w:t>aa</w:t>
            </w:r>
            <w:proofErr w:type="spellEnd"/>
          </w:p>
        </w:tc>
        <w:tc>
          <w:tcPr>
            <w:tcW w:w="975" w:type="dxa"/>
            <w:tcBorders>
              <w:bottom w:val="single" w:sz="4" w:space="0" w:color="B3B3B3"/>
            </w:tcBorders>
            <w:shd w:val="clear" w:color="000000" w:fill="auto"/>
            <w:vAlign w:val="bottom"/>
          </w:tcPr>
          <w:p w14:paraId="65BDA880" w14:textId="68E208D0" w:rsidR="0049493E" w:rsidRPr="00F32CA6" w:rsidRDefault="0049493E" w:rsidP="007E34C7">
            <w:pPr>
              <w:pStyle w:val="TableHeading"/>
              <w:keepNext/>
              <w:keepLines/>
              <w:spacing w:before="45" w:after="45"/>
              <w:rPr>
                <w:rFonts w:cs="Open Sans"/>
                <w:color w:val="1D4374"/>
              </w:rPr>
            </w:pPr>
            <w:r>
              <w:rPr>
                <w:rFonts w:cs="Open Sans"/>
                <w:color w:val="1D4374"/>
              </w:rPr>
              <w:t>aa</w:t>
            </w:r>
          </w:p>
        </w:tc>
        <w:tc>
          <w:tcPr>
            <w:tcW w:w="974" w:type="dxa"/>
            <w:tcBorders>
              <w:bottom w:val="single" w:sz="4" w:space="0" w:color="B3B3B3"/>
            </w:tcBorders>
            <w:shd w:val="clear" w:color="000000" w:fill="auto"/>
          </w:tcPr>
          <w:p w14:paraId="12CD2D7F" w14:textId="79E1489E" w:rsidR="0049493E" w:rsidRPr="00F32CA6" w:rsidRDefault="0049493E" w:rsidP="007E34C7">
            <w:pPr>
              <w:pStyle w:val="TableHeading"/>
              <w:keepNext/>
              <w:keepLines/>
              <w:spacing w:before="45" w:after="45"/>
              <w:rPr>
                <w:rFonts w:cs="Open Sans"/>
                <w:color w:val="1D4374"/>
              </w:rPr>
            </w:pPr>
            <w:r>
              <w:rPr>
                <w:rFonts w:cs="Open Sans"/>
                <w:color w:val="1D4374"/>
              </w:rPr>
              <w:t>a</w:t>
            </w:r>
          </w:p>
        </w:tc>
        <w:tc>
          <w:tcPr>
            <w:tcW w:w="975" w:type="dxa"/>
            <w:tcBorders>
              <w:bottom w:val="single" w:sz="4" w:space="0" w:color="B3B3B3"/>
            </w:tcBorders>
            <w:shd w:val="clear" w:color="000000" w:fill="auto"/>
          </w:tcPr>
          <w:p w14:paraId="12D475B0" w14:textId="39FC93BB" w:rsidR="0049493E" w:rsidRPr="00F32CA6" w:rsidRDefault="0049493E" w:rsidP="007E34C7">
            <w:pPr>
              <w:pStyle w:val="TableHeading"/>
              <w:keepNext/>
              <w:keepLines/>
              <w:spacing w:before="45" w:after="45"/>
              <w:rPr>
                <w:rFonts w:cs="Open Sans"/>
                <w:color w:val="1D4374"/>
              </w:rPr>
            </w:pPr>
            <w:r>
              <w:rPr>
                <w:rFonts w:cs="Open Sans"/>
                <w:color w:val="1D4374"/>
              </w:rPr>
              <w:t>baa</w:t>
            </w:r>
          </w:p>
        </w:tc>
        <w:tc>
          <w:tcPr>
            <w:tcW w:w="974" w:type="dxa"/>
            <w:tcBorders>
              <w:bottom w:val="single" w:sz="4" w:space="0" w:color="B3B3B3"/>
            </w:tcBorders>
            <w:shd w:val="clear" w:color="000000" w:fill="auto"/>
          </w:tcPr>
          <w:p w14:paraId="0ABC19A4" w14:textId="5C869C2B" w:rsidR="0049493E" w:rsidRPr="00F32CA6" w:rsidRDefault="0049493E" w:rsidP="007E34C7">
            <w:pPr>
              <w:pStyle w:val="TableHeading"/>
              <w:keepNext/>
              <w:keepLines/>
              <w:spacing w:before="45" w:after="45"/>
              <w:rPr>
                <w:rFonts w:cs="Open Sans"/>
                <w:color w:val="1D4374"/>
              </w:rPr>
            </w:pPr>
            <w:proofErr w:type="spellStart"/>
            <w:r>
              <w:rPr>
                <w:rFonts w:cs="Open Sans"/>
                <w:color w:val="1D4374"/>
              </w:rPr>
              <w:t>ba</w:t>
            </w:r>
            <w:proofErr w:type="spellEnd"/>
          </w:p>
        </w:tc>
        <w:tc>
          <w:tcPr>
            <w:tcW w:w="975" w:type="dxa"/>
            <w:tcBorders>
              <w:bottom w:val="single" w:sz="4" w:space="0" w:color="B3B3B3"/>
            </w:tcBorders>
            <w:shd w:val="clear" w:color="000000" w:fill="auto"/>
          </w:tcPr>
          <w:p w14:paraId="3BE0193F" w14:textId="5F8922BA" w:rsidR="0049493E" w:rsidRDefault="002329DB" w:rsidP="007E34C7">
            <w:pPr>
              <w:pStyle w:val="TableHeading"/>
              <w:keepNext/>
              <w:keepLines/>
              <w:spacing w:before="45" w:after="45"/>
              <w:rPr>
                <w:rFonts w:cs="Open Sans"/>
                <w:color w:val="1D4374"/>
              </w:rPr>
            </w:pPr>
            <w:r>
              <w:rPr>
                <w:rFonts w:cs="Open Sans"/>
                <w:color w:val="1D4374"/>
              </w:rPr>
              <w:t>b</w:t>
            </w:r>
          </w:p>
        </w:tc>
        <w:tc>
          <w:tcPr>
            <w:tcW w:w="974" w:type="dxa"/>
            <w:tcBorders>
              <w:bottom w:val="single" w:sz="4" w:space="0" w:color="B3B3B3"/>
            </w:tcBorders>
            <w:shd w:val="clear" w:color="000000" w:fill="auto"/>
          </w:tcPr>
          <w:p w14:paraId="09BEFF63" w14:textId="7A5A2389" w:rsidR="0049493E" w:rsidRDefault="002329DB" w:rsidP="007E34C7">
            <w:pPr>
              <w:pStyle w:val="TableHeading"/>
              <w:keepNext/>
              <w:keepLines/>
              <w:spacing w:before="45" w:after="45"/>
              <w:rPr>
                <w:rFonts w:cs="Open Sans"/>
                <w:color w:val="1D4374"/>
              </w:rPr>
            </w:pPr>
            <w:proofErr w:type="spellStart"/>
            <w:r>
              <w:rPr>
                <w:rFonts w:cs="Open Sans"/>
                <w:color w:val="1D4374"/>
              </w:rPr>
              <w:t>caa</w:t>
            </w:r>
            <w:proofErr w:type="spellEnd"/>
          </w:p>
        </w:tc>
        <w:tc>
          <w:tcPr>
            <w:tcW w:w="975" w:type="dxa"/>
            <w:tcBorders>
              <w:bottom w:val="single" w:sz="4" w:space="0" w:color="B3B3B3"/>
            </w:tcBorders>
            <w:shd w:val="clear" w:color="000000" w:fill="auto"/>
          </w:tcPr>
          <w:p w14:paraId="186197F7" w14:textId="19E62803" w:rsidR="0049493E" w:rsidRDefault="002329DB" w:rsidP="007E34C7">
            <w:pPr>
              <w:pStyle w:val="TableHeading"/>
              <w:keepNext/>
              <w:keepLines/>
              <w:spacing w:before="45" w:after="45"/>
              <w:rPr>
                <w:rFonts w:cs="Open Sans"/>
                <w:color w:val="1D4374"/>
              </w:rPr>
            </w:pPr>
            <w:r>
              <w:rPr>
                <w:rFonts w:cs="Open Sans"/>
                <w:color w:val="1D4374"/>
              </w:rPr>
              <w:t>ca</w:t>
            </w:r>
          </w:p>
        </w:tc>
      </w:tr>
      <w:tr w:rsidR="0049493E" w:rsidRPr="00F32CA6" w14:paraId="6BDAA4BD" w14:textId="09970775" w:rsidTr="00EA143E">
        <w:tc>
          <w:tcPr>
            <w:tcW w:w="1985" w:type="dxa"/>
            <w:tcBorders>
              <w:top w:val="single" w:sz="4" w:space="0" w:color="B3B3B3"/>
              <w:bottom w:val="nil"/>
            </w:tcBorders>
            <w:shd w:val="clear" w:color="000000" w:fill="E6E6E6"/>
          </w:tcPr>
          <w:p w14:paraId="7ABD3326" w14:textId="4E33828F" w:rsidR="0049493E" w:rsidRPr="00F32CA6" w:rsidRDefault="00AB4B99" w:rsidP="007E34C7">
            <w:pPr>
              <w:pStyle w:val="TableHeading"/>
              <w:keepNext/>
              <w:keepLines/>
              <w:spacing w:before="45" w:after="45"/>
              <w:rPr>
                <w:rFonts w:cs="Open Sans"/>
                <w:color w:val="1D4374"/>
              </w:rPr>
            </w:pPr>
            <w:r w:rsidRPr="00AB4B99">
              <w:rPr>
                <w:rFonts w:cs="Open Sans"/>
                <w:color w:val="1D4374"/>
              </w:rPr>
              <w:t>Interest</w:t>
            </w:r>
            <w:r w:rsidR="008925BE">
              <w:rPr>
                <w:rFonts w:cs="Open Sans"/>
                <w:color w:val="1D4374"/>
              </w:rPr>
              <w:noBreakHyphen/>
            </w:r>
            <w:r w:rsidRPr="00AB4B99">
              <w:rPr>
                <w:rFonts w:cs="Open Sans"/>
                <w:color w:val="1D4374"/>
              </w:rPr>
              <w:t>to</w:t>
            </w:r>
            <w:r w:rsidR="008925BE">
              <w:rPr>
                <w:rFonts w:cs="Open Sans"/>
                <w:color w:val="1D4374"/>
              </w:rPr>
              <w:noBreakHyphen/>
            </w:r>
            <w:r w:rsidRPr="00AB4B99">
              <w:rPr>
                <w:rFonts w:cs="Open Sans"/>
                <w:color w:val="1D4374"/>
              </w:rPr>
              <w:t>revenue threshold bands</w:t>
            </w:r>
          </w:p>
        </w:tc>
        <w:tc>
          <w:tcPr>
            <w:tcW w:w="974" w:type="dxa"/>
            <w:tcBorders>
              <w:top w:val="single" w:sz="4" w:space="0" w:color="B3B3B3"/>
              <w:bottom w:val="nil"/>
            </w:tcBorders>
            <w:shd w:val="clear" w:color="000000" w:fill="E6E6E6"/>
          </w:tcPr>
          <w:p w14:paraId="49D6D50D" w14:textId="51505EC4"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&lt;0.5%</w:t>
            </w:r>
            <w:r w:rsidRPr="00FB5B47">
              <w:rPr>
                <w:rFonts w:cs="Open Sans"/>
                <w:color w:val="000000"/>
              </w:rPr>
              <w:tab/>
            </w:r>
          </w:p>
          <w:p w14:paraId="476020BB" w14:textId="63C75284"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ab/>
            </w:r>
          </w:p>
        </w:tc>
        <w:tc>
          <w:tcPr>
            <w:tcW w:w="975" w:type="dxa"/>
            <w:tcBorders>
              <w:top w:val="single" w:sz="4" w:space="0" w:color="B3B3B3"/>
              <w:bottom w:val="nil"/>
            </w:tcBorders>
            <w:shd w:val="clear" w:color="000000" w:fill="E6E6E6"/>
          </w:tcPr>
          <w:p w14:paraId="33EFD4C6" w14:textId="77777777"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 xml:space="preserve">0.5% - </w:t>
            </w:r>
          </w:p>
          <w:p w14:paraId="4DD47D60" w14:textId="12C281AE"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1.5%</w:t>
            </w:r>
          </w:p>
        </w:tc>
        <w:tc>
          <w:tcPr>
            <w:tcW w:w="974" w:type="dxa"/>
            <w:tcBorders>
              <w:top w:val="single" w:sz="4" w:space="0" w:color="B3B3B3"/>
              <w:bottom w:val="nil"/>
            </w:tcBorders>
            <w:shd w:val="clear" w:color="000000" w:fill="E6E6E6"/>
          </w:tcPr>
          <w:p w14:paraId="77D886D1" w14:textId="77777777"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 xml:space="preserve">1.5% - </w:t>
            </w:r>
          </w:p>
          <w:p w14:paraId="5FF034DC" w14:textId="48B90167"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3%</w:t>
            </w:r>
          </w:p>
        </w:tc>
        <w:tc>
          <w:tcPr>
            <w:tcW w:w="975" w:type="dxa"/>
            <w:tcBorders>
              <w:top w:val="single" w:sz="4" w:space="0" w:color="B3B3B3"/>
              <w:bottom w:val="nil"/>
            </w:tcBorders>
            <w:shd w:val="clear" w:color="000000" w:fill="E6E6E6"/>
          </w:tcPr>
          <w:p w14:paraId="2678B6E9" w14:textId="77777777"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 xml:space="preserve">3% - </w:t>
            </w:r>
          </w:p>
          <w:p w14:paraId="4959F82C" w14:textId="000DC63D"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5%</w:t>
            </w:r>
          </w:p>
        </w:tc>
        <w:tc>
          <w:tcPr>
            <w:tcW w:w="974" w:type="dxa"/>
            <w:tcBorders>
              <w:top w:val="single" w:sz="4" w:space="0" w:color="B3B3B3"/>
              <w:bottom w:val="nil"/>
            </w:tcBorders>
            <w:shd w:val="clear" w:color="000000" w:fill="E6E6E6"/>
          </w:tcPr>
          <w:p w14:paraId="008E1536" w14:textId="77777777"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 xml:space="preserve">5% - </w:t>
            </w:r>
          </w:p>
          <w:p w14:paraId="3D0ECF6F" w14:textId="65D067BF"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8%</w:t>
            </w:r>
          </w:p>
        </w:tc>
        <w:tc>
          <w:tcPr>
            <w:tcW w:w="975" w:type="dxa"/>
            <w:tcBorders>
              <w:top w:val="single" w:sz="4" w:space="0" w:color="B3B3B3"/>
              <w:bottom w:val="nil"/>
            </w:tcBorders>
            <w:shd w:val="clear" w:color="000000" w:fill="E6E6E6"/>
          </w:tcPr>
          <w:p w14:paraId="45520D72" w14:textId="77777777" w:rsidR="00FB5B47" w:rsidRPr="00FB5B47" w:rsidRDefault="00FB5B47" w:rsidP="007E34C7">
            <w:pPr>
              <w:pStyle w:val="TableBody"/>
              <w:keepNext/>
              <w:keepLines/>
              <w:spacing w:before="45" w:after="45"/>
              <w:ind w:right="108"/>
              <w:rPr>
                <w:rFonts w:cs="Open Sans"/>
                <w:color w:val="000000"/>
              </w:rPr>
            </w:pPr>
            <w:r w:rsidRPr="00FB5B47">
              <w:rPr>
                <w:rFonts w:cs="Open Sans"/>
                <w:color w:val="000000"/>
              </w:rPr>
              <w:t xml:space="preserve">8% - </w:t>
            </w:r>
          </w:p>
          <w:p w14:paraId="0BDE4EB3" w14:textId="77DAA7F3"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12%</w:t>
            </w:r>
            <w:r w:rsidRPr="00FB5B47">
              <w:rPr>
                <w:rFonts w:cs="Open Sans"/>
                <w:color w:val="000000"/>
              </w:rPr>
              <w:tab/>
            </w:r>
          </w:p>
        </w:tc>
        <w:tc>
          <w:tcPr>
            <w:tcW w:w="974" w:type="dxa"/>
            <w:tcBorders>
              <w:top w:val="single" w:sz="4" w:space="0" w:color="B3B3B3"/>
              <w:bottom w:val="nil"/>
            </w:tcBorders>
            <w:shd w:val="clear" w:color="000000" w:fill="E6E6E6"/>
          </w:tcPr>
          <w:p w14:paraId="45282C64" w14:textId="53FC3784"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12% - 18%</w:t>
            </w:r>
          </w:p>
        </w:tc>
        <w:tc>
          <w:tcPr>
            <w:tcW w:w="975" w:type="dxa"/>
            <w:tcBorders>
              <w:top w:val="single" w:sz="4" w:space="0" w:color="B3B3B3"/>
              <w:bottom w:val="nil"/>
            </w:tcBorders>
            <w:shd w:val="clear" w:color="000000" w:fill="E6E6E6"/>
          </w:tcPr>
          <w:p w14:paraId="0205DAFD" w14:textId="19DE0A4E" w:rsidR="0049493E" w:rsidRPr="00F32CA6" w:rsidRDefault="00FB5B47" w:rsidP="007E34C7">
            <w:pPr>
              <w:pStyle w:val="TableBody"/>
              <w:keepNext/>
              <w:keepLines/>
              <w:spacing w:before="45" w:after="45"/>
              <w:ind w:right="108"/>
              <w:rPr>
                <w:rFonts w:cs="Open Sans"/>
                <w:color w:val="000000"/>
              </w:rPr>
            </w:pPr>
            <w:r w:rsidRPr="00FB5B47">
              <w:rPr>
                <w:rFonts w:cs="Open Sans"/>
                <w:color w:val="000000"/>
              </w:rPr>
              <w:t>&gt;18%</w:t>
            </w:r>
          </w:p>
        </w:tc>
      </w:tr>
      <w:tr w:rsidR="008333E6" w:rsidRPr="00F32CA6" w14:paraId="1EE84D15" w14:textId="398C95BF">
        <w:tc>
          <w:tcPr>
            <w:tcW w:w="1985" w:type="dxa"/>
            <w:tcBorders>
              <w:bottom w:val="single" w:sz="4" w:space="0" w:color="B3B3B3"/>
            </w:tcBorders>
          </w:tcPr>
          <w:p w14:paraId="37F6ADD8" w14:textId="0E9E563B" w:rsidR="008333E6" w:rsidRPr="00F32CA6" w:rsidRDefault="008333E6">
            <w:pPr>
              <w:pStyle w:val="TableHeading"/>
              <w:spacing w:before="45" w:after="45"/>
              <w:rPr>
                <w:rFonts w:cs="Open Sans"/>
                <w:color w:val="1D4374"/>
              </w:rPr>
            </w:pPr>
            <w:r>
              <w:rPr>
                <w:rFonts w:cs="Open Sans"/>
                <w:color w:val="1D4374"/>
              </w:rPr>
              <w:t>PC score</w:t>
            </w:r>
          </w:p>
        </w:tc>
        <w:tc>
          <w:tcPr>
            <w:tcW w:w="2923" w:type="dxa"/>
            <w:gridSpan w:val="3"/>
            <w:tcBorders>
              <w:bottom w:val="single" w:sz="4" w:space="0" w:color="B3B3B3"/>
            </w:tcBorders>
          </w:tcPr>
          <w:p w14:paraId="4FEE3C05" w14:textId="612492DC" w:rsidR="008333E6" w:rsidRPr="008333E6" w:rsidRDefault="008333E6">
            <w:pPr>
              <w:pStyle w:val="TableBody"/>
              <w:spacing w:before="45" w:after="45"/>
              <w:ind w:right="108"/>
              <w:rPr>
                <w:rFonts w:cs="Open Sans"/>
                <w:i/>
                <w:iCs/>
                <w:color w:val="000000"/>
              </w:rPr>
            </w:pPr>
            <w:r w:rsidRPr="008333E6">
              <w:rPr>
                <w:rFonts w:cs="Open Sans"/>
                <w:i/>
                <w:iCs/>
                <w:color w:val="000000"/>
              </w:rPr>
              <w:t>0 – unlikely to be a significant pressure on fiscal sustainability</w:t>
            </w:r>
          </w:p>
        </w:tc>
        <w:tc>
          <w:tcPr>
            <w:tcW w:w="975" w:type="dxa"/>
            <w:tcBorders>
              <w:bottom w:val="single" w:sz="4" w:space="0" w:color="B3B3B3"/>
            </w:tcBorders>
          </w:tcPr>
          <w:p w14:paraId="4874D0BF" w14:textId="33C692A2" w:rsidR="008333E6" w:rsidRPr="00F32CA6" w:rsidRDefault="008333E6">
            <w:pPr>
              <w:pStyle w:val="TableBody"/>
              <w:spacing w:before="45" w:after="45"/>
              <w:ind w:right="108"/>
              <w:rPr>
                <w:rFonts w:cs="Open Sans"/>
                <w:color w:val="000000"/>
              </w:rPr>
            </w:pPr>
            <w:r>
              <w:rPr>
                <w:rFonts w:cs="Open Sans"/>
                <w:color w:val="000000"/>
              </w:rPr>
              <w:t>1</w:t>
            </w:r>
          </w:p>
        </w:tc>
        <w:tc>
          <w:tcPr>
            <w:tcW w:w="974" w:type="dxa"/>
            <w:tcBorders>
              <w:bottom w:val="single" w:sz="4" w:space="0" w:color="B3B3B3"/>
            </w:tcBorders>
          </w:tcPr>
          <w:p w14:paraId="12B19CD5" w14:textId="10834806" w:rsidR="008333E6" w:rsidRPr="00F32CA6" w:rsidRDefault="008333E6">
            <w:pPr>
              <w:pStyle w:val="TableBody"/>
              <w:spacing w:before="45" w:after="45"/>
              <w:ind w:right="108"/>
              <w:rPr>
                <w:rFonts w:cs="Open Sans"/>
                <w:color w:val="000000"/>
              </w:rPr>
            </w:pPr>
            <w:r>
              <w:rPr>
                <w:rFonts w:cs="Open Sans"/>
                <w:color w:val="000000"/>
              </w:rPr>
              <w:t>2</w:t>
            </w:r>
          </w:p>
        </w:tc>
        <w:tc>
          <w:tcPr>
            <w:tcW w:w="975" w:type="dxa"/>
            <w:tcBorders>
              <w:bottom w:val="single" w:sz="4" w:space="0" w:color="B3B3B3"/>
            </w:tcBorders>
          </w:tcPr>
          <w:p w14:paraId="2BDFDF50" w14:textId="2F3D6E71" w:rsidR="008333E6" w:rsidRPr="00F32CA6" w:rsidRDefault="008333E6">
            <w:pPr>
              <w:pStyle w:val="TableBody"/>
              <w:spacing w:before="45" w:after="45"/>
              <w:ind w:right="108"/>
              <w:rPr>
                <w:rFonts w:cs="Open Sans"/>
                <w:color w:val="000000"/>
              </w:rPr>
            </w:pPr>
            <w:r>
              <w:rPr>
                <w:rFonts w:cs="Open Sans"/>
                <w:color w:val="000000"/>
              </w:rPr>
              <w:t>3</w:t>
            </w:r>
          </w:p>
        </w:tc>
        <w:tc>
          <w:tcPr>
            <w:tcW w:w="974" w:type="dxa"/>
            <w:tcBorders>
              <w:bottom w:val="single" w:sz="4" w:space="0" w:color="B3B3B3"/>
            </w:tcBorders>
          </w:tcPr>
          <w:p w14:paraId="043B9D0F" w14:textId="11792010" w:rsidR="008333E6" w:rsidRPr="00F32CA6" w:rsidRDefault="008333E6">
            <w:pPr>
              <w:pStyle w:val="TableBody"/>
              <w:spacing w:before="45" w:after="45"/>
              <w:ind w:right="108"/>
              <w:rPr>
                <w:rFonts w:cs="Open Sans"/>
                <w:color w:val="000000"/>
              </w:rPr>
            </w:pPr>
            <w:r>
              <w:rPr>
                <w:rFonts w:cs="Open Sans"/>
                <w:color w:val="000000"/>
              </w:rPr>
              <w:t>4</w:t>
            </w:r>
          </w:p>
        </w:tc>
        <w:tc>
          <w:tcPr>
            <w:tcW w:w="975" w:type="dxa"/>
            <w:tcBorders>
              <w:bottom w:val="single" w:sz="4" w:space="0" w:color="B3B3B3"/>
            </w:tcBorders>
          </w:tcPr>
          <w:p w14:paraId="61599893" w14:textId="5E2DCFF8" w:rsidR="008333E6" w:rsidRPr="00F32CA6" w:rsidRDefault="008333E6">
            <w:pPr>
              <w:pStyle w:val="TableBody"/>
              <w:spacing w:before="45" w:after="45"/>
              <w:ind w:right="108"/>
              <w:rPr>
                <w:rFonts w:cs="Open Sans"/>
                <w:color w:val="000000"/>
              </w:rPr>
            </w:pPr>
            <w:r>
              <w:rPr>
                <w:rFonts w:cs="Open Sans"/>
                <w:color w:val="000000"/>
              </w:rPr>
              <w:t>5</w:t>
            </w:r>
          </w:p>
        </w:tc>
      </w:tr>
    </w:tbl>
    <w:p w14:paraId="01D94DC5" w14:textId="3490C345" w:rsidR="004D056E" w:rsidRDefault="000F369C" w:rsidP="000F369C">
      <w:pPr>
        <w:pStyle w:val="Source"/>
      </w:pPr>
      <w:r w:rsidRPr="00696447">
        <w:t xml:space="preserve">Source: </w:t>
      </w:r>
      <w:r w:rsidR="0083643B">
        <w:t xml:space="preserve">Moody’s Ratings </w:t>
      </w:r>
      <w:r w:rsidR="0083643B">
        <w:fldChar w:fldCharType="begin"/>
      </w:r>
      <w:r w:rsidR="00114402">
        <w:instrText xml:space="preserve"> ADDIN ZOTERO_ITEM CSL_CITATION {"citationID":"BQ6kqdZs","properties":{"unsorted":false,"formattedCitation":"(2026)","plainCitation":"(2026)","noteIndex":0},"citationItems":[{"id":6868,"uris":["http://zotero.org/groups/6174966/items/SAGWEKVN"],"itemData":{"id":6868,"type":"webpage","title":"Rating methodology: regional and local governments","URL":"https://www.moodys.com/research/Rating-Methodology-Regional-and-Local-Governments-Rating-Methodology--PBC_1471270#5d113f2038d289f391614c39043629e8","author":[{"family":"Moody's Ratings","given":""}],"accessed":{"date-parts":[["2026",6,23]]},"issued":{"date-parts":[["2026",5,28]]}},"suppress-author":true}],"schema":"https://github.com/citation-style-language/schema/raw/master/csl-citation.json"} </w:instrText>
      </w:r>
      <w:r w:rsidR="0083643B">
        <w:fldChar w:fldCharType="separate"/>
      </w:r>
      <w:r w:rsidR="0083643B" w:rsidRPr="008E275E">
        <w:rPr>
          <w:rFonts w:cs="Open Sans"/>
        </w:rPr>
        <w:t>(2026)</w:t>
      </w:r>
      <w:r w:rsidR="0083643B">
        <w:fldChar w:fldCharType="end"/>
      </w:r>
      <w:r w:rsidRPr="00696447">
        <w:t>.</w:t>
      </w:r>
    </w:p>
    <w:p w14:paraId="67088830" w14:textId="22AE6C5A" w:rsidR="0077401D" w:rsidRDefault="0077401D" w:rsidP="00AA5693">
      <w:pPr>
        <w:pStyle w:val="BodyText"/>
        <w:keepNext/>
      </w:pPr>
      <w:r>
        <w:lastRenderedPageBreak/>
        <w:t>The equation for fiscal pressure (</w:t>
      </w:r>
      <m:oMath>
        <m:r>
          <w:rPr>
            <w:rFonts w:ascii="Cambria Math" w:hAnsi="Cambria Math"/>
          </w:rPr>
          <m:t>FP</m:t>
        </m:r>
      </m:oMath>
      <w:r>
        <w:t>) for each arrangement then becomes:</w:t>
      </w:r>
    </w:p>
    <w:p w14:paraId="47169149" w14:textId="19B59403" w:rsidR="00A91D4D" w:rsidRDefault="00000000" w:rsidP="00A91D4D">
      <w:pPr>
        <w:pStyle w:val="Source"/>
        <w:jc w:val="center"/>
      </w:pPr>
      <m:oMathPara>
        <m:oMath>
          <m:sSub>
            <m:sSubPr>
              <m:ctrlPr>
                <w:rPr>
                  <w:rFonts w:ascii="Cambria Math" w:hAnsi="Cambria Math"/>
                  <w:i/>
                </w:rPr>
              </m:ctrlPr>
            </m:sSubPr>
            <m:e>
              <m:r>
                <w:rPr>
                  <w:rFonts w:ascii="Cambria Math" w:hAnsi="Cambria Math"/>
                </w:rPr>
                <m:t>FP</m:t>
              </m:r>
            </m:e>
            <m:sub>
              <m:r>
                <w:rPr>
                  <w:rFonts w:ascii="Cambria Math" w:hAnsi="Cambria Math"/>
                </w:rPr>
                <m:t>m</m:t>
              </m:r>
            </m:sub>
          </m:sSub>
          <m:r>
            <w:rPr>
              <w:rFonts w:ascii="Cambria Math" w:hAnsi="Cambria Math"/>
            </w:rPr>
            <m:t>=</m:t>
          </m:r>
          <m:nary>
            <m:naryPr>
              <m:chr m:val="∑"/>
              <m:limLoc m:val="undOvr"/>
              <m:ctrlPr>
                <w:rPr>
                  <w:rFonts w:ascii="Cambria Math" w:hAnsi="Cambria Math"/>
                  <w:i/>
                </w:rPr>
              </m:ctrlPr>
            </m:naryPr>
            <m:sub>
              <m:r>
                <w:rPr>
                  <w:rFonts w:ascii="Cambria Math" w:hAnsi="Cambria Math"/>
                </w:rPr>
                <m:t>s∈S</m:t>
              </m:r>
            </m:sub>
            <m:sup>
              <m:r>
                <w:rPr>
                  <w:rFonts w:ascii="Cambria Math" w:hAnsi="Cambria Math"/>
                </w:rPr>
                <m:t>s</m:t>
              </m:r>
            </m:sup>
            <m:e>
              <m:r>
                <w:rPr>
                  <w:rFonts w:ascii="Cambria Math" w:hAnsi="Cambria Math"/>
                </w:rPr>
                <m:t>p(</m:t>
              </m:r>
              <m:sSub>
                <m:sSubPr>
                  <m:ctrlPr>
                    <w:rPr>
                      <w:rFonts w:ascii="Cambria Math" w:hAnsi="Cambria Math"/>
                      <w:i/>
                    </w:rPr>
                  </m:ctrlPr>
                </m:sSubPr>
                <m:e>
                  <m:r>
                    <w:rPr>
                      <w:rFonts w:ascii="Cambria Math" w:hAnsi="Cambria Math"/>
                    </w:rPr>
                    <m:t>IR</m:t>
                  </m:r>
                </m:e>
                <m:sub>
                  <m:r>
                    <w:rPr>
                      <w:rFonts w:ascii="Cambria Math" w:hAnsi="Cambria Math"/>
                    </w:rPr>
                    <m:t>s,m</m:t>
                  </m:r>
                </m:sub>
              </m:sSub>
              <m:r>
                <w:rPr>
                  <w:rFonts w:ascii="Cambria Math" w:hAnsi="Cambria Math"/>
                </w:rPr>
                <m:t>)</m:t>
              </m:r>
            </m:e>
          </m:nary>
        </m:oMath>
      </m:oMathPara>
    </w:p>
    <w:p w14:paraId="2957A80A" w14:textId="3C0DA3D4" w:rsidR="0077401D" w:rsidRDefault="00AA5693" w:rsidP="0024280F">
      <w:pPr>
        <w:pStyle w:val="BodyText"/>
        <w:keepNext/>
      </w:pPr>
      <w:r>
        <w:rPr>
          <w:rFonts w:eastAsiaTheme="minorEastAsia"/>
        </w:rPr>
        <w:t>w</w:t>
      </w:r>
      <w:r w:rsidR="009B482A">
        <w:rPr>
          <w:rFonts w:eastAsiaTheme="minorEastAsia"/>
        </w:rPr>
        <w:t xml:space="preserve">here the function </w:t>
      </w:r>
      <m:oMath>
        <m:r>
          <w:rPr>
            <w:rFonts w:ascii="Cambria Math" w:eastAsiaTheme="minorEastAsia" w:hAnsi="Cambria Math"/>
          </w:rPr>
          <m:t>p</m:t>
        </m:r>
      </m:oMath>
      <w:r w:rsidR="009B482A">
        <w:rPr>
          <w:rFonts w:eastAsiaTheme="minorEastAsia"/>
        </w:rPr>
        <w:t xml:space="preserve"> is</w:t>
      </w:r>
      <w:r>
        <w:rPr>
          <w:rFonts w:eastAsiaTheme="minorEastAsia"/>
        </w:rPr>
        <w:t>:</w:t>
      </w:r>
    </w:p>
    <w:p w14:paraId="2ED03AAC" w14:textId="0A74D720" w:rsidR="000F369C" w:rsidRPr="00E435E3" w:rsidRDefault="0000113D" w:rsidP="0024280F">
      <w:pPr>
        <w:pStyle w:val="BodyText"/>
        <w:keepNext/>
      </w:pPr>
      <m:oMathPara>
        <m:oMath>
          <m:r>
            <w:rPr>
              <w:rFonts w:ascii="Cambria Math" w:eastAsiaTheme="minorEastAsia" w:hAnsi="Cambria Math"/>
            </w:rPr>
            <m:t>p</m:t>
          </m:r>
          <m:d>
            <m:dPr>
              <m:ctrlPr>
                <w:rPr>
                  <w:rFonts w:ascii="Cambria Math" w:eastAsiaTheme="minorEastAsia" w:hAnsi="Cambria Math"/>
                </w:rPr>
              </m:ctrlPr>
            </m:dPr>
            <m:e>
              <m:r>
                <w:rPr>
                  <w:rFonts w:ascii="Cambria Math" w:eastAsiaTheme="minorEastAsia" w:hAnsi="Cambria Math"/>
                </w:rPr>
                <m:t>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e>
          </m:d>
          <m:r>
            <w:rPr>
              <w:rFonts w:ascii="Cambria Math" w:eastAsiaTheme="minorEastAsia" w:hAnsi="Cambria Math"/>
            </w:rPr>
            <m:t>=</m:t>
          </m:r>
          <m:d>
            <m:dPr>
              <m:begChr m:val="{"/>
              <m:endChr m:val=""/>
              <m:ctrlPr>
                <w:rPr>
                  <w:rFonts w:ascii="Cambria Math" w:eastAsiaTheme="minorEastAsia" w:hAnsi="Cambria Math"/>
                </w:rPr>
              </m:ctrlPr>
            </m:dPr>
            <m:e>
              <m:m>
                <m:mPr>
                  <m:mcs>
                    <m:mc>
                      <m:mcPr>
                        <m:count m:val="2"/>
                        <m:mcJc m:val="center"/>
                      </m:mcPr>
                    </m:mc>
                  </m:mcs>
                  <m:ctrlPr>
                    <w:rPr>
                      <w:rFonts w:ascii="Cambria Math" w:eastAsiaTheme="minorEastAsia" w:hAnsi="Cambria Math"/>
                    </w:rPr>
                  </m:ctrlPr>
                </m:mPr>
                <m:mr>
                  <m:e>
                    <m:r>
                      <w:rPr>
                        <w:rFonts w:ascii="Cambria Math" w:eastAsiaTheme="minorEastAsia" w:hAnsi="Cambria Math"/>
                      </w:rPr>
                      <m:t xml:space="preserve"> 0</m:t>
                    </m:r>
                  </m:e>
                  <m:e>
                    <m:r>
                      <w:rPr>
                        <w:rFonts w:ascii="Cambria Math" w:eastAsiaTheme="minorEastAsia" w:hAnsi="Cambria Math"/>
                      </w:rPr>
                      <m:t>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&lt;3%</m:t>
                    </m:r>
                  </m:e>
                </m:mr>
                <m:mr>
                  <m:e>
                    <m:r>
                      <w:rPr>
                        <w:rFonts w:ascii="Cambria Math" w:eastAsiaTheme="minorEastAsia" w:hAnsi="Cambria Math"/>
                      </w:rPr>
                      <m:t xml:space="preserve"> 1</m:t>
                    </m:r>
                  </m:e>
                  <m:e>
                    <m:r>
                      <w:rPr>
                        <w:rFonts w:ascii="Cambria Math" w:eastAsiaTheme="minorEastAsia" w:hAnsi="Cambria Math"/>
                      </w:rPr>
                      <m:t>3%≤I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&lt;5%</m:t>
                    </m:r>
                  </m:e>
                </m:mr>
                <m:mr>
                  <m:e>
                    <m:r>
                      <w:rPr>
                        <w:rFonts w:ascii="Cambria Math" w:eastAsiaTheme="minorEastAsia" w:hAnsi="Cambria Math"/>
                      </w:rPr>
                      <m:t xml:space="preserve"> 2</m:t>
                    </m:r>
                  </m:e>
                  <m:e>
                    <m:r>
                      <w:rPr>
                        <w:rFonts w:ascii="Cambria Math" w:eastAsiaTheme="minorEastAsia" w:hAnsi="Cambria Math"/>
                      </w:rPr>
                      <m:t>5%≤I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&lt;8%</m:t>
                    </m:r>
                  </m:e>
                </m:mr>
                <m:mr>
                  <m:e>
                    <m:r>
                      <w:rPr>
                        <w:rFonts w:ascii="Cambria Math" w:eastAsiaTheme="minorEastAsia" w:hAnsi="Cambria Math"/>
                      </w:rPr>
                      <m:t xml:space="preserve"> 3</m:t>
                    </m:r>
                  </m:e>
                  <m:e>
                    <m:r>
                      <w:rPr>
                        <w:rFonts w:ascii="Cambria Math" w:eastAsiaTheme="minorEastAsia" w:hAnsi="Cambria Math"/>
                      </w:rPr>
                      <m:t>8%≤I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&lt;12%</m:t>
                    </m:r>
                  </m:e>
                </m:mr>
                <m:mr>
                  <m:e>
                    <m:r>
                      <w:rPr>
                        <w:rFonts w:ascii="Cambria Math" w:eastAsiaTheme="minorEastAsia" w:hAnsi="Cambria Math"/>
                      </w:rPr>
                      <m:t xml:space="preserve"> 4</m:t>
                    </m:r>
                  </m:e>
                  <m:e>
                    <m:r>
                      <w:rPr>
                        <w:rFonts w:ascii="Cambria Math" w:eastAsiaTheme="minorEastAsia" w:hAnsi="Cambria Math"/>
                      </w:rPr>
                      <m:t>12%≤I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&lt;18%</m:t>
                    </m:r>
                  </m:e>
                </m:mr>
                <m:mr>
                  <m:e>
                    <m:r>
                      <w:rPr>
                        <w:rFonts w:ascii="Cambria Math" w:eastAsiaTheme="minorEastAsia" w:hAnsi="Cambria Math"/>
                      </w:rPr>
                      <m:t xml:space="preserve"> 5</m:t>
                    </m:r>
                  </m:e>
                  <m:e>
                    <m:r>
                      <w:rPr>
                        <w:rFonts w:ascii="Cambria Math" w:eastAsiaTheme="minorEastAsia" w:hAnsi="Cambria Math"/>
                      </w:rPr>
                      <m:t>I</m:t>
                    </m:r>
                    <m:sSub>
                      <m:sSubPr>
                        <m:ctrlPr>
                          <w:rPr>
                            <w:rFonts w:ascii="Cambria Math" w:eastAsiaTheme="minorEastAsia" w:hAnsi="Cambria Math"/>
                          </w:rPr>
                        </m:ctrlPr>
                      </m:sSubPr>
                      <m:e>
                        <m:r>
                          <w:rPr>
                            <w:rFonts w:ascii="Cambria Math" w:eastAsiaTheme="minorEastAsia" w:hAnsi="Cambria Math"/>
                          </w:rPr>
                          <m:t>R</m:t>
                        </m:r>
                      </m:e>
                      <m:sub>
                        <m:r>
                          <w:rPr>
                            <w:rFonts w:ascii="Cambria Math" w:eastAsiaTheme="minorEastAsia" w:hAnsi="Cambria Math"/>
                          </w:rPr>
                          <m:t>s,m</m:t>
                        </m:r>
                      </m:sub>
                    </m:sSub>
                    <m:r>
                      <w:rPr>
                        <w:rFonts w:ascii="Cambria Math" w:eastAsiaTheme="minorEastAsia" w:hAnsi="Cambria Math"/>
                      </w:rPr>
                      <m:t>≥18%</m:t>
                    </m:r>
                  </m:e>
                </m:mr>
              </m:m>
            </m:e>
          </m:d>
        </m:oMath>
      </m:oMathPara>
    </w:p>
    <w:p w14:paraId="6B4D62A6" w14:textId="73351C0B" w:rsidR="007E3617" w:rsidRDefault="007E3617" w:rsidP="007E3617">
      <w:pPr>
        <w:pStyle w:val="Heading3"/>
      </w:pPr>
      <w:r>
        <w:t>Certainty</w:t>
      </w:r>
    </w:p>
    <w:p w14:paraId="7028F053" w14:textId="506AA777" w:rsidR="0069194E" w:rsidRDefault="0069194E" w:rsidP="0069194E">
      <w:r>
        <w:t>The certainty provided by different GST distribution systems has been analysed using the year</w:t>
      </w:r>
      <w:r w:rsidR="008925BE">
        <w:noBreakHyphen/>
      </w:r>
      <w:r>
        <w:t>on</w:t>
      </w:r>
      <w:r w:rsidR="008925BE">
        <w:noBreakHyphen/>
      </w:r>
      <w:r>
        <w:t>year distribution system</w:t>
      </w:r>
      <w:r w:rsidR="008925BE">
        <w:noBreakHyphen/>
      </w:r>
      <w:r>
        <w:t>driven volatility of GST revenues. All else equal, the more volatile a distribution system, the harder it is to predict, and the more detrimental the effect on state fiscal planning.</w:t>
      </w:r>
    </w:p>
    <w:p w14:paraId="6D988D78" w14:textId="394821E7" w:rsidR="0069194E" w:rsidRDefault="0069194E" w:rsidP="0069194E">
      <w:r>
        <w:t>To isolate the volatility driven by the distribution system (as opposed to volatility driven by changes in population share or size of the GST pool), the PC has calculated what the average year</w:t>
      </w:r>
      <w:r w:rsidR="008925BE">
        <w:noBreakHyphen/>
      </w:r>
      <w:r>
        <w:t>on</w:t>
      </w:r>
      <w:r w:rsidR="008925BE">
        <w:noBreakHyphen/>
      </w:r>
      <w:r>
        <w:t>year volatility of pool</w:t>
      </w:r>
      <w:r w:rsidR="008925BE">
        <w:noBreakHyphen/>
      </w:r>
      <w:r>
        <w:t>growth adjusted GST revenues per capita across all states would have been, had the system operated between 2001</w:t>
      </w:r>
      <w:r w:rsidR="007B10F1" w:rsidRPr="007B10F1">
        <w:t>–</w:t>
      </w:r>
      <w:r>
        <w:t>02 and 2024</w:t>
      </w:r>
      <w:r w:rsidR="007B10F1" w:rsidRPr="007B10F1">
        <w:t>–</w:t>
      </w:r>
      <w:r>
        <w:t>25.</w:t>
      </w:r>
    </w:p>
    <w:p w14:paraId="2AD9DB4F" w14:textId="40D56CB5" w:rsidR="007E3617" w:rsidRPr="0069194E" w:rsidRDefault="0069194E" w:rsidP="0069194E">
      <w:pPr>
        <w:keepNext/>
      </w:pPr>
      <w:r>
        <w:t xml:space="preserve">To calculate this measure, GST revenue has been transformed in </w:t>
      </w:r>
      <w:r w:rsidR="00DF55B6">
        <w:t xml:space="preserve">2 </w:t>
      </w:r>
      <w:r>
        <w:t xml:space="preserve">ways. First, for each state </w:t>
      </w:r>
      <m:oMath>
        <m:r>
          <w:rPr>
            <w:rFonts w:ascii="Cambria Math" w:hAnsi="Cambria Math"/>
          </w:rPr>
          <m:t>i=1,…,N</m:t>
        </m:r>
      </m:oMath>
      <w:r>
        <w:rPr>
          <w:rFonts w:eastAsiaTheme="minorEastAsia"/>
        </w:rPr>
        <w:t>,</w:t>
      </w:r>
      <w:r>
        <w:t xml:space="preserve"> in each year </w:t>
      </w:r>
      <m:oMath>
        <m:r>
          <w:rPr>
            <w:rFonts w:ascii="Cambria Math" w:hAnsi="Cambria Math"/>
          </w:rPr>
          <m:t>t=1,…,T</m:t>
        </m:r>
      </m:oMath>
      <w:r>
        <w:rPr>
          <w:rFonts w:eastAsiaTheme="minorEastAsia"/>
        </w:rPr>
        <w:t xml:space="preserve">, </w:t>
      </w:r>
      <w:r>
        <w:t xml:space="preserve">dividing GST revenue by the population of the state in that year, </w:t>
      </w:r>
      <m:oMath>
        <m:sSub>
          <m:sSubPr>
            <m:ctrlPr>
              <w:rPr>
                <w:rFonts w:ascii="Cambria Math" w:hAnsi="Cambria Math"/>
                <w:i/>
              </w:rPr>
            </m:ctrlPr>
          </m:sSubPr>
          <m:e>
            <m:r>
              <w:rPr>
                <w:rFonts w:ascii="Cambria Math" w:hAnsi="Cambria Math"/>
              </w:rPr>
              <m:t>p</m:t>
            </m:r>
          </m:e>
          <m:sub>
            <m:r>
              <w:rPr>
                <w:rFonts w:ascii="Cambria Math" w:hAnsi="Cambria Math"/>
              </w:rPr>
              <m:t>i,t</m:t>
            </m:r>
          </m:sub>
        </m:sSub>
      </m:oMath>
      <w:r>
        <w:rPr>
          <w:rFonts w:eastAsiaTheme="minorEastAsia"/>
        </w:rPr>
        <w:t>. Then, to control for growth in the size of the per capita GST pool, dividing these per capita revenues by the growth rate of the national average GST</w:t>
      </w:r>
      <w:r w:rsidR="00C03962">
        <w:rPr>
          <w:rFonts w:eastAsiaTheme="minorEastAsia"/>
        </w:rPr>
        <w:t xml:space="preserve"> payments</w:t>
      </w:r>
      <w:r>
        <w:rPr>
          <w:rFonts w:eastAsiaTheme="minorEastAsia"/>
        </w:rPr>
        <w:t xml:space="preserve"> per person between 2001</w:t>
      </w:r>
      <w:r w:rsidR="007B10F1" w:rsidRPr="007B10F1">
        <w:t>–</w:t>
      </w:r>
      <w:r>
        <w:rPr>
          <w:rFonts w:eastAsiaTheme="minorEastAsia"/>
        </w:rPr>
        <w:t xml:space="preserve">02 (the base year, denoted by </w:t>
      </w:r>
      <m:oMath>
        <m:r>
          <w:rPr>
            <w:rFonts w:ascii="Cambria Math" w:eastAsiaTheme="minorEastAsia" w:hAnsi="Cambria Math"/>
          </w:rPr>
          <m:t>t=0</m:t>
        </m:r>
      </m:oMath>
      <w:r>
        <w:rPr>
          <w:rFonts w:eastAsiaTheme="minorEastAsia"/>
        </w:rPr>
        <w:t>) and the relevant year.</w:t>
      </w:r>
      <w:r>
        <w:rPr>
          <w:rStyle w:val="FootnoteReference"/>
          <w:rFonts w:eastAsiaTheme="minorEastAsia"/>
        </w:rPr>
        <w:footnoteReference w:id="10"/>
      </w:r>
      <w:r>
        <w:rPr>
          <w:rFonts w:eastAsiaTheme="minorEastAsia"/>
        </w:rPr>
        <w:t xml:space="preserve"> Pool</w:t>
      </w:r>
      <w:r w:rsidR="008925BE">
        <w:rPr>
          <w:rFonts w:eastAsiaTheme="minorEastAsia"/>
        </w:rPr>
        <w:noBreakHyphen/>
      </w:r>
      <w:r>
        <w:rPr>
          <w:rFonts w:eastAsiaTheme="minorEastAsia"/>
        </w:rPr>
        <w:t xml:space="preserve">growth adjusted GST revenues per capita under each GST distribution system, </w:t>
      </w:r>
      <m:oMath>
        <m:r>
          <w:rPr>
            <w:rFonts w:ascii="Cambria Math" w:eastAsiaTheme="minorEastAsia" w:hAnsi="Cambria Math"/>
          </w:rPr>
          <m:t>j</m:t>
        </m:r>
      </m:oMath>
      <w:r>
        <w:rPr>
          <w:rFonts w:eastAsiaTheme="minorEastAsia"/>
        </w:rPr>
        <w:t>, are therefore given by:</w:t>
      </w:r>
    </w:p>
    <w:p w14:paraId="2FC481C1" w14:textId="5472F2BF" w:rsidR="00BE3B1A" w:rsidRPr="00BE3B1A" w:rsidRDefault="0000113D" w:rsidP="00BE3B1A">
      <m:oMathPara>
        <m:oMath>
          <m:r>
            <m:rPr>
              <m:sty m:val="p"/>
            </m:rPr>
            <w:rPr>
              <w:rFonts w:ascii="Cambria Math" w:eastAsiaTheme="minorEastAsia" w:hAnsi="Cambria Math"/>
            </w:rPr>
            <m:t xml:space="preserve">Pool growth adjusted GST Revenue per </m:t>
          </m:r>
          <m:sSub>
            <m:sSubPr>
              <m:ctrlPr>
                <w:rPr>
                  <w:rFonts w:ascii="Cambria Math" w:eastAsiaTheme="minorEastAsia" w:hAnsi="Cambria Math"/>
                  <w:iCs/>
                </w:rPr>
              </m:ctrlPr>
            </m:sSubPr>
            <m:e>
              <m:r>
                <m:rPr>
                  <m:sty m:val="p"/>
                </m:rPr>
                <w:rPr>
                  <w:rFonts w:ascii="Cambria Math" w:eastAsiaTheme="minorEastAsia" w:hAnsi="Cambria Math"/>
                </w:rPr>
                <m:t>capita</m:t>
              </m:r>
            </m:e>
            <m:sub>
              <m:r>
                <w:rPr>
                  <w:rFonts w:ascii="Cambria Math" w:eastAsiaTheme="minorEastAsia" w:hAnsi="Cambria Math"/>
                </w:rPr>
                <m:t>j,i,t</m:t>
              </m:r>
            </m:sub>
          </m:sSub>
          <m:r>
            <w:rPr>
              <w:rFonts w:ascii="Cambria Math" w:eastAsiaTheme="minorEastAsia" w:hAnsi="Cambria Math"/>
            </w:rPr>
            <m:t>=</m:t>
          </m:r>
          <m:r>
            <m:rPr>
              <m:sty m:val="p"/>
            </m:rPr>
            <w:rPr>
              <w:rFonts w:ascii="Cambria Math" w:eastAsiaTheme="minorEastAsia" w:hAnsi="Cambria Math"/>
            </w:rPr>
            <m:t xml:space="preserve">GST </m:t>
          </m:r>
          <m:sSub>
            <m:sSubPr>
              <m:ctrlPr>
                <w:rPr>
                  <w:rFonts w:ascii="Cambria Math" w:eastAsiaTheme="minorEastAsia" w:hAnsi="Cambria Math"/>
                </w:rPr>
              </m:ctrlPr>
            </m:sSubPr>
            <m:e>
              <m:r>
                <m:rPr>
                  <m:sty m:val="p"/>
                </m:rPr>
                <w:rPr>
                  <w:rFonts w:ascii="Cambria Math" w:eastAsiaTheme="minorEastAsia" w:hAnsi="Cambria Math"/>
                </w:rPr>
                <m:t>Revenue</m:t>
              </m:r>
            </m:e>
            <m:sub>
              <m:r>
                <w:rPr>
                  <w:rFonts w:ascii="Cambria Math" w:eastAsiaTheme="minorEastAsia" w:hAnsi="Cambria Math"/>
                </w:rPr>
                <m:t>j,i,t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i,t</m:t>
              </m:r>
            </m:sub>
          </m:sSub>
          <m:r>
            <w:rPr>
              <w:rFonts w:ascii="Cambria Math" w:eastAsiaTheme="minorEastAsia" w:hAnsi="Cambria Math"/>
            </w:rPr>
            <m:t>÷</m:t>
          </m:r>
          <m:f>
            <m:fPr>
              <m:ctrlPr>
                <w:rPr>
                  <w:rFonts w:ascii="Cambria Math" w:eastAsiaTheme="minorEastAsia" w:hAnsi="Cambria Math"/>
                  <w:i/>
                </w:rPr>
              </m:ctrlPr>
            </m:fPr>
            <m:num>
              <m:r>
                <m:rPr>
                  <m:sty m:val="p"/>
                </m:rPr>
                <w:rPr>
                  <w:rFonts w:ascii="Cambria Math" w:eastAsiaTheme="minorEastAsia" w:hAnsi="Cambria Math"/>
                </w:rPr>
                <m:t xml:space="preserve">GST </m:t>
              </m:r>
              <m:sSub>
                <m:sSubPr>
                  <m:ctrlPr>
                    <w:rPr>
                      <w:rFonts w:ascii="Cambria Math" w:eastAsiaTheme="minorEastAsia" w:hAnsi="Cambria Math"/>
                      <w:iCs/>
                    </w:rPr>
                  </m:ctrlPr>
                </m:sSubPr>
                <m:e>
                  <m:r>
                    <m:rPr>
                      <m:sty m:val="p"/>
                    </m:rPr>
                    <w:rPr>
                      <w:rFonts w:ascii="Cambria Math" w:eastAsiaTheme="minorEastAsia" w:hAnsi="Cambria Math"/>
                    </w:rPr>
                    <m:t>Pool</m:t>
                  </m:r>
                </m:e>
                <m:sub>
                  <m:r>
                    <w:rPr>
                      <w:rFonts w:ascii="Cambria Math" w:eastAsiaTheme="minorEastAsia" w:hAnsi="Cambria Math"/>
                    </w:rPr>
                    <m:t>t</m:t>
                  </m:r>
                </m:sub>
              </m:sSub>
              <m:r>
                <w:rPr>
                  <w:rFonts w:ascii="Cambria Math" w:eastAsiaTheme="minorEastAsia" w:hAnsi="Cambria Math"/>
                </w:rPr>
                <m:t>÷</m:t>
              </m:r>
              <m:r>
                <m:rPr>
                  <m:sty m:val="p"/>
                </m:rPr>
                <w:rPr>
                  <w:rFonts w:ascii="Cambria Math" w:eastAsiaTheme="minorEastAsia" w:hAnsi="Cambria Math"/>
                </w:rPr>
                <m:t xml:space="preserve">Aus. </m:t>
              </m:r>
              <m:sSub>
                <m:sSubPr>
                  <m:ctrlPr>
                    <w:rPr>
                      <w:rFonts w:ascii="Cambria Math" w:eastAsiaTheme="minorEastAsia" w:hAnsi="Cambria Math"/>
                    </w:rPr>
                  </m:ctrlPr>
                </m:sSubPr>
                <m:e>
                  <m:r>
                    <m:rPr>
                      <m:sty m:val="p"/>
                    </m:rPr>
                    <w:rPr>
                      <w:rFonts w:ascii="Cambria Math" w:eastAsiaTheme="minorEastAsia" w:hAnsi="Cambria Math"/>
                    </w:rPr>
                    <m:t>Population</m:t>
                  </m:r>
                </m:e>
                <m:sub>
                  <m:r>
                    <w:rPr>
                      <w:rFonts w:ascii="Cambria Math" w:eastAsiaTheme="minorEastAsia" w:hAnsi="Cambria Math"/>
                    </w:rPr>
                    <m:t>t</m:t>
                  </m:r>
                </m:sub>
              </m:sSub>
              <m:ctrlPr>
                <w:rPr>
                  <w:rFonts w:ascii="Cambria Math" w:hAnsi="Cambria Math"/>
                  <w:i/>
                </w:rPr>
              </m:ctrlPr>
            </m:num>
            <m:den>
              <m:r>
                <m:rPr>
                  <m:sty m:val="p"/>
                </m:rPr>
                <w:rPr>
                  <w:rFonts w:ascii="Cambria Math" w:eastAsiaTheme="minorEastAsia" w:hAnsi="Cambria Math"/>
                </w:rPr>
                <m:t xml:space="preserve">GST </m:t>
              </m:r>
              <m:sSub>
                <m:sSubPr>
                  <m:ctrlPr>
                    <w:rPr>
                      <w:rFonts w:ascii="Cambria Math" w:eastAsiaTheme="minorEastAsia" w:hAnsi="Cambria Math"/>
                      <w:iCs/>
                    </w:rPr>
                  </m:ctrlPr>
                </m:sSubPr>
                <m:e>
                  <m:r>
                    <m:rPr>
                      <m:sty m:val="p"/>
                    </m:rPr>
                    <w:rPr>
                      <w:rFonts w:ascii="Cambria Math" w:eastAsiaTheme="minorEastAsia" w:hAnsi="Cambria Math"/>
                    </w:rPr>
                    <m:t>Pool</m:t>
                  </m:r>
                </m:e>
                <m:sub>
                  <m:r>
                    <w:rPr>
                      <w:rFonts w:ascii="Cambria Math" w:eastAsiaTheme="minorEastAsia" w:hAnsi="Cambria Math"/>
                    </w:rPr>
                    <m:t>0</m:t>
                  </m:r>
                </m:sub>
              </m:sSub>
              <m:r>
                <w:rPr>
                  <w:rFonts w:ascii="Cambria Math" w:eastAsiaTheme="minorEastAsia" w:hAnsi="Cambria Math"/>
                </w:rPr>
                <m:t>÷</m:t>
              </m:r>
              <m:r>
                <m:rPr>
                  <m:sty m:val="p"/>
                </m:rPr>
                <w:rPr>
                  <w:rFonts w:ascii="Cambria Math" w:eastAsiaTheme="minorEastAsia" w:hAnsi="Cambria Math"/>
                </w:rPr>
                <m:t xml:space="preserve">Aus. </m:t>
              </m:r>
              <m:sSub>
                <m:sSubPr>
                  <m:ctrlPr>
                    <w:rPr>
                      <w:rFonts w:ascii="Cambria Math" w:eastAsiaTheme="minorEastAsia" w:hAnsi="Cambria Math"/>
                    </w:rPr>
                  </m:ctrlPr>
                </m:sSubPr>
                <m:e>
                  <m:r>
                    <m:rPr>
                      <m:sty m:val="p"/>
                    </m:rPr>
                    <w:rPr>
                      <w:rFonts w:ascii="Cambria Math" w:eastAsiaTheme="minorEastAsia" w:hAnsi="Cambria Math"/>
                    </w:rPr>
                    <m:t>Population</m:t>
                  </m:r>
                </m:e>
                <m:sub>
                  <m:r>
                    <w:rPr>
                      <w:rFonts w:ascii="Cambria Math" w:eastAsiaTheme="minorEastAsia" w:hAnsi="Cambria Math"/>
                    </w:rPr>
                    <m:t>0</m:t>
                  </m:r>
                </m:sub>
              </m:sSub>
            </m:den>
          </m:f>
        </m:oMath>
      </m:oMathPara>
    </w:p>
    <w:p w14:paraId="6D01659F" w14:textId="5E7924A9" w:rsidR="00D971E9" w:rsidRDefault="00D971E9" w:rsidP="00D971E9">
      <w:pPr>
        <w:rPr>
          <w:rFonts w:eastAsiaTheme="minorEastAsia"/>
        </w:rPr>
      </w:pPr>
      <w:r>
        <w:t>For each state in each year, the year</w:t>
      </w:r>
      <w:r w:rsidR="008925BE">
        <w:noBreakHyphen/>
      </w:r>
      <w:r>
        <w:t>on</w:t>
      </w:r>
      <w:r w:rsidR="008925BE">
        <w:noBreakHyphen/>
      </w:r>
      <w:r>
        <w:t>year volatility in pool growth adjusted GST revenue per capita has been calculated in every year from 2002</w:t>
      </w:r>
      <w:r w:rsidR="007B10F1" w:rsidRPr="007B10F1">
        <w:t>–</w:t>
      </w:r>
      <w:r>
        <w:t xml:space="preserve">03 </w:t>
      </w:r>
      <w:r>
        <w:rPr>
          <w:rFonts w:eastAsiaTheme="minorEastAsia"/>
        </w:rPr>
        <w:t>to 2024</w:t>
      </w:r>
      <w:r w:rsidR="007B10F1" w:rsidRPr="007B10F1">
        <w:t>–</w:t>
      </w:r>
      <w:r>
        <w:rPr>
          <w:rFonts w:eastAsiaTheme="minorEastAsia"/>
        </w:rPr>
        <w:t xml:space="preserve">25. </w:t>
      </w:r>
    </w:p>
    <w:p w14:paraId="69A466B1" w14:textId="77777777" w:rsidR="00D971E9" w:rsidRPr="00E07B8B" w:rsidRDefault="00D971E9" w:rsidP="00D971E9">
      <w:pPr>
        <w:keepNext/>
      </w:pPr>
      <w:r>
        <w:rPr>
          <w:rFonts w:eastAsiaTheme="minorEastAsia"/>
        </w:rPr>
        <w:t>The certainty measure for each distribution system,</w:t>
      </w:r>
      <w:r w:rsidRPr="00F11152">
        <w:rPr>
          <w:rFonts w:ascii="Cambria Math" w:eastAsiaTheme="minorEastAsia" w:hAnsi="Cambria Math"/>
          <w:i/>
        </w:rPr>
        <w:t xml:space="preserve"> </w:t>
      </w:r>
      <m:oMath>
        <m:r>
          <w:rPr>
            <w:rFonts w:ascii="Cambria Math" w:eastAsiaTheme="minorEastAsia" w:hAnsi="Cambria Math"/>
          </w:rPr>
          <m:t>j</m:t>
        </m:r>
      </m:oMath>
      <w:r w:rsidRPr="00F11152">
        <w:rPr>
          <w:rFonts w:eastAsiaTheme="minorEastAsia"/>
        </w:rPr>
        <w:t>,</w:t>
      </w:r>
      <w:r>
        <w:rPr>
          <w:rFonts w:ascii="Cambria Math" w:eastAsiaTheme="minorEastAsia" w:hAnsi="Cambria Math"/>
          <w:i/>
        </w:rPr>
        <w:t xml:space="preserve"> </w:t>
      </w:r>
      <w:r>
        <w:rPr>
          <w:rFonts w:eastAsiaTheme="minorEastAsia"/>
        </w:rPr>
        <w:t>is then given by the average of these volatilities across all years and all states.</w:t>
      </w:r>
    </w:p>
    <w:p w14:paraId="1E93040B" w14:textId="7335F7FC" w:rsidR="00E53920" w:rsidRPr="0047424B" w:rsidRDefault="00000000" w:rsidP="00E53920">
      <m:oMathPara>
        <m:oMath>
          <m:acc>
            <m:accPr>
              <m:chr m:val="̅"/>
              <m:ctrlPr>
                <w:rPr>
                  <w:rFonts w:ascii="Cambria Math" w:hAnsi="Cambria Math"/>
                  <w:i/>
                </w:rPr>
              </m:ctrlPr>
            </m:accPr>
            <m:e>
              <m:sSub>
                <m:sSubPr>
                  <m:ctrlPr>
                    <w:rPr>
                      <w:rFonts w:ascii="Cambria Math" w:hAnsi="Cambria Math"/>
                      <w:iCs/>
                    </w:rPr>
                  </m:ctrlPr>
                </m:sSubPr>
                <m:e>
                  <m:r>
                    <m:rPr>
                      <m:sty m:val="p"/>
                    </m:rPr>
                    <w:rPr>
                      <w:rFonts w:ascii="Cambria Math" w:hAnsi="Cambria Math"/>
                    </w:rPr>
                    <m:t>Volatility</m:t>
                  </m:r>
                </m:e>
                <m:sub>
                  <m:r>
                    <w:rPr>
                      <w:rFonts w:ascii="Cambria Math" w:hAnsi="Cambria Math"/>
                    </w:rPr>
                    <m:t>j</m:t>
                  </m:r>
                </m:sub>
              </m:sSub>
            </m:e>
          </m:acc>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d>
                    <m:dPr>
                      <m:begChr m:val="|"/>
                      <m:endChr m:val="|"/>
                      <m:ctrlPr>
                        <w:rPr>
                          <w:rFonts w:ascii="Cambria Math" w:hAnsi="Cambria Math"/>
                          <w:i/>
                        </w:rPr>
                      </m:ctrlPr>
                    </m:dPr>
                    <m:e>
                      <m:f>
                        <m:fPr>
                          <m:ctrlPr>
                            <w:rPr>
                              <w:rFonts w:ascii="Cambria Math" w:hAnsi="Cambria Math"/>
                              <w:i/>
                            </w:rPr>
                          </m:ctrlPr>
                        </m:fPr>
                        <m:num>
                          <m:r>
                            <m:rPr>
                              <m:sty m:val="p"/>
                            </m:rPr>
                            <w:rPr>
                              <w:rFonts w:ascii="Cambria Math" w:eastAsiaTheme="minorEastAsia" w:hAnsi="Cambria Math"/>
                            </w:rPr>
                            <m:t xml:space="preserve">Pool growth adjusted GST Revenue per </m:t>
                          </m:r>
                          <m:sSub>
                            <m:sSubPr>
                              <m:ctrlPr>
                                <w:rPr>
                                  <w:rFonts w:ascii="Cambria Math" w:eastAsiaTheme="minorEastAsia" w:hAnsi="Cambria Math"/>
                                  <w:iCs/>
                                </w:rPr>
                              </m:ctrlPr>
                            </m:sSubPr>
                            <m:e>
                              <m:r>
                                <m:rPr>
                                  <m:sty m:val="p"/>
                                </m:rPr>
                                <w:rPr>
                                  <w:rFonts w:ascii="Cambria Math" w:eastAsiaTheme="minorEastAsia" w:hAnsi="Cambria Math"/>
                                </w:rPr>
                                <m:t>capita</m:t>
                              </m:r>
                            </m:e>
                            <m:sub>
                              <m:r>
                                <w:rPr>
                                  <w:rFonts w:ascii="Cambria Math" w:eastAsiaTheme="minorEastAsia" w:hAnsi="Cambria Math"/>
                                </w:rPr>
                                <m:t>j,i,t</m:t>
                              </m:r>
                            </m:sub>
                          </m:sSub>
                        </m:num>
                        <m:den>
                          <m:r>
                            <m:rPr>
                              <m:sty m:val="p"/>
                            </m:rPr>
                            <w:rPr>
                              <w:rFonts w:ascii="Cambria Math" w:eastAsiaTheme="minorEastAsia" w:hAnsi="Cambria Math"/>
                            </w:rPr>
                            <m:t xml:space="preserve">Pool growth adjusted GST Revenue per </m:t>
                          </m:r>
                          <m:sSub>
                            <m:sSubPr>
                              <m:ctrlPr>
                                <w:rPr>
                                  <w:rFonts w:ascii="Cambria Math" w:eastAsiaTheme="minorEastAsia" w:hAnsi="Cambria Math"/>
                                  <w:iCs/>
                                </w:rPr>
                              </m:ctrlPr>
                            </m:sSubPr>
                            <m:e>
                              <m:r>
                                <m:rPr>
                                  <m:sty m:val="p"/>
                                </m:rPr>
                                <w:rPr>
                                  <w:rFonts w:ascii="Cambria Math" w:eastAsiaTheme="minorEastAsia" w:hAnsi="Cambria Math"/>
                                </w:rPr>
                                <m:t>capita</m:t>
                              </m:r>
                            </m:e>
                            <m:sub>
                              <m:r>
                                <w:rPr>
                                  <w:rFonts w:ascii="Cambria Math" w:eastAsiaTheme="minorEastAsia" w:hAnsi="Cambria Math"/>
                                </w:rPr>
                                <m:t>j,i,t-1</m:t>
                              </m:r>
                            </m:sub>
                          </m:sSub>
                        </m:den>
                      </m:f>
                    </m:e>
                  </m:d>
                </m:e>
              </m:nary>
            </m:e>
          </m:nary>
          <m:r>
            <w:rPr>
              <w:rFonts w:ascii="Cambria Math" w:hAnsi="Cambria Math"/>
            </w:rPr>
            <m:t>÷</m:t>
          </m:r>
          <m:d>
            <m:dPr>
              <m:ctrlPr>
                <w:rPr>
                  <w:rFonts w:ascii="Cambria Math" w:hAnsi="Cambria Math"/>
                  <w:i/>
                </w:rPr>
              </m:ctrlPr>
            </m:dPr>
            <m:e>
              <m:r>
                <w:rPr>
                  <w:rFonts w:ascii="Cambria Math" w:hAnsi="Cambria Math"/>
                </w:rPr>
                <m:t>N×T</m:t>
              </m:r>
            </m:e>
          </m:d>
        </m:oMath>
      </m:oMathPara>
    </w:p>
    <w:p w14:paraId="2FC1AC91" w14:textId="32A6F662" w:rsidR="00BE3B1A" w:rsidRDefault="00541123" w:rsidP="00FD6C31">
      <w:pPr>
        <w:pStyle w:val="Heading2-Appendix"/>
      </w:pPr>
      <w:r w:rsidRPr="00541123">
        <w:lastRenderedPageBreak/>
        <w:t>Alternative arrangements that we did not undertake a full assessment</w:t>
      </w:r>
      <w:r>
        <w:t xml:space="preserve"> of</w:t>
      </w:r>
    </w:p>
    <w:p w14:paraId="3DA1AC31" w14:textId="4CDD999E" w:rsidR="00541123" w:rsidRDefault="00A535E0" w:rsidP="00A535E0">
      <w:pPr>
        <w:pStyle w:val="BodyText"/>
        <w:rPr>
          <w:rFonts w:cs="Arial"/>
          <w:lang w:val="en-US"/>
        </w:rPr>
      </w:pPr>
      <w:r>
        <w:rPr>
          <w:rFonts w:cs="Arial"/>
          <w:lang w:val="en-US"/>
        </w:rPr>
        <w:t xml:space="preserve">The framework set out in this appendix was applied to the range of GST distribution models set out in chapters 3 and 4 of the interim report. Several additional models were also considered for their clear conceptual strength, such as the broader indicators model proposed by Saul Eslake, and the optimal </w:t>
      </w:r>
      <w:proofErr w:type="spellStart"/>
      <w:r>
        <w:rPr>
          <w:rFonts w:cs="Arial"/>
          <w:lang w:val="en-US"/>
        </w:rPr>
        <w:t>equalisation</w:t>
      </w:r>
      <w:proofErr w:type="spellEnd"/>
      <w:r>
        <w:rPr>
          <w:rFonts w:cs="Arial"/>
          <w:lang w:val="en-US"/>
        </w:rPr>
        <w:t xml:space="preserve"> model proposed by Chris Murphy, though did not undergo a full assessment against the PC framework</w:t>
      </w:r>
      <w:r w:rsidDel="004F28E8">
        <w:rPr>
          <w:rFonts w:cs="Arial"/>
          <w:lang w:val="en-US"/>
        </w:rPr>
        <w:t>.</w:t>
      </w:r>
      <w:r>
        <w:rPr>
          <w:rFonts w:cs="Arial"/>
          <w:lang w:val="en-US"/>
        </w:rPr>
        <w:t xml:space="preserve"> </w:t>
      </w:r>
      <w:proofErr w:type="gramStart"/>
      <w:r>
        <w:rPr>
          <w:rFonts w:cs="Arial"/>
          <w:lang w:val="en-US"/>
        </w:rPr>
        <w:t>A brief summary</w:t>
      </w:r>
      <w:proofErr w:type="gramEnd"/>
      <w:r>
        <w:rPr>
          <w:rFonts w:cs="Arial"/>
          <w:lang w:val="en-US"/>
        </w:rPr>
        <w:t xml:space="preserve"> of each of these models is set out below. </w:t>
      </w:r>
    </w:p>
    <w:p w14:paraId="28AE8E9B" w14:textId="632E915C" w:rsidR="00E30F29" w:rsidRDefault="00E30F29" w:rsidP="00E30F29">
      <w:pPr>
        <w:pStyle w:val="BodyText"/>
        <w:rPr>
          <w:rFonts w:cs="Arial"/>
          <w:b/>
          <w:bCs/>
          <w:lang w:val="en-US"/>
        </w:rPr>
      </w:pPr>
      <w:r>
        <w:rPr>
          <w:rFonts w:cs="Arial"/>
          <w:b/>
          <w:bCs/>
          <w:lang w:val="en-US"/>
        </w:rPr>
        <w:t xml:space="preserve">Broader indicators model </w:t>
      </w:r>
      <w:r>
        <w:rPr>
          <w:rFonts w:cs="Arial"/>
          <w:lang w:val="en-US"/>
        </w:rPr>
        <w:t xml:space="preserve">– </w:t>
      </w:r>
      <w:r>
        <w:t xml:space="preserve">The alternative arrangement proposed by Saul </w:t>
      </w:r>
      <w:proofErr w:type="spellStart"/>
      <w:r>
        <w:t>Eslake</w:t>
      </w:r>
      <w:proofErr w:type="spellEnd"/>
      <w:r>
        <w:t xml:space="preserve"> was a broader indicators model which seeks to achieve a high level of fiscal equalisation but relies on a broader range of publicly available indicators than is currently used in the CGC assessments</w:t>
      </w:r>
      <w:r w:rsidR="00E12C28">
        <w:t xml:space="preserve"> (Saul Eslake, sub</w:t>
      </w:r>
      <w:r w:rsidR="001C4513">
        <w:t>.</w:t>
      </w:r>
      <w:r w:rsidR="00E81A47">
        <w:t xml:space="preserve"> </w:t>
      </w:r>
      <w:r w:rsidR="00E12C28">
        <w:t>3</w:t>
      </w:r>
      <w:r w:rsidR="00E81A47">
        <w:t>, p.</w:t>
      </w:r>
      <w:r w:rsidR="000674A7">
        <w:t xml:space="preserve"> </w:t>
      </w:r>
      <w:r w:rsidR="00E81A47">
        <w:t>25</w:t>
      </w:r>
      <w:r w:rsidR="00E12C28">
        <w:t>)</w:t>
      </w:r>
      <w:r>
        <w:t>. These include gross state product, a range of demographic indicators, and other proxies for</w:t>
      </w:r>
      <w:r w:rsidR="002443E1">
        <w:t xml:space="preserve"> fiscal</w:t>
      </w:r>
      <w:r>
        <w:t xml:space="preserve"> need and capacity. The appeal of the broader indicators model lies in the possibility of reducing direct links between state policy choices and subsequent GST distributions. A key challenge encountered by the PC in assessing the model was methodological, with the range of indicators presenting preliminary econometric challenges that stood in the way of a robust model. Another potential challenge is that the more system moves away from direct measures of fiscal capacity, the greater the risk that it ceases to equalise for the </w:t>
      </w:r>
      <w:r w:rsidRPr="00601CE4">
        <w:t xml:space="preserve">appropriate </w:t>
      </w:r>
      <w:r>
        <w:t>factors.</w:t>
      </w:r>
    </w:p>
    <w:p w14:paraId="4BA1A354" w14:textId="56DDEB19" w:rsidR="00E30F29" w:rsidRDefault="00E30F29" w:rsidP="00E30F29">
      <w:pPr>
        <w:pStyle w:val="BodyText"/>
      </w:pPr>
      <w:r w:rsidRPr="00BD32A3">
        <w:rPr>
          <w:rFonts w:cs="Arial"/>
          <w:b/>
          <w:bCs/>
          <w:lang w:val="en-US"/>
        </w:rPr>
        <w:t xml:space="preserve">Optimal </w:t>
      </w:r>
      <w:proofErr w:type="spellStart"/>
      <w:r w:rsidRPr="00BD32A3">
        <w:rPr>
          <w:rFonts w:cs="Arial"/>
          <w:b/>
          <w:bCs/>
          <w:lang w:val="en-US"/>
        </w:rPr>
        <w:t>equalisation</w:t>
      </w:r>
      <w:proofErr w:type="spellEnd"/>
      <w:r w:rsidRPr="00BD32A3">
        <w:rPr>
          <w:rFonts w:cs="Arial"/>
          <w:b/>
          <w:bCs/>
          <w:lang w:val="en-US"/>
        </w:rPr>
        <w:t xml:space="preserve"> model </w:t>
      </w:r>
      <w:r w:rsidRPr="00E30F29">
        <w:rPr>
          <w:rFonts w:cs="Arial"/>
          <w:lang w:val="en-US"/>
        </w:rPr>
        <w:t>–</w:t>
      </w:r>
      <w:r w:rsidRPr="00BD32A3">
        <w:rPr>
          <w:rFonts w:cs="Arial"/>
          <w:b/>
          <w:bCs/>
          <w:lang w:val="en-US"/>
        </w:rPr>
        <w:t xml:space="preserve"> </w:t>
      </w:r>
      <w:r w:rsidRPr="00593B97">
        <w:t>Under the optimal equali</w:t>
      </w:r>
      <w:r>
        <w:t>s</w:t>
      </w:r>
      <w:r w:rsidRPr="00593B97">
        <w:t xml:space="preserve">ation model proposed to the PC by Chris Murphy, not all revenues would be equalised between states. </w:t>
      </w:r>
      <w:r>
        <w:t>S</w:t>
      </w:r>
      <w:r w:rsidRPr="00593B97">
        <w:t>ource</w:t>
      </w:r>
      <w:r w:rsidR="008925BE">
        <w:noBreakHyphen/>
      </w:r>
      <w:r w:rsidRPr="00593B97">
        <w:t>based taxes (</w:t>
      </w:r>
      <w:r w:rsidR="000D1239">
        <w:t xml:space="preserve">for example, </w:t>
      </w:r>
      <w:r w:rsidRPr="00593B97">
        <w:t xml:space="preserve">mining royalties, stamp duty, land tax) </w:t>
      </w:r>
      <w:r>
        <w:t>would be fully equalised, and only the proportion of residence</w:t>
      </w:r>
      <w:r w:rsidR="008925BE">
        <w:noBreakHyphen/>
      </w:r>
      <w:r>
        <w:t>based taxes that are attributable to demographic variability between states should be equalised. In addition, not all expenses should attempt to be equalised for</w:t>
      </w:r>
      <w:r w:rsidR="0074712A">
        <w:t xml:space="preserve"> (Chris Murphy, sub</w:t>
      </w:r>
      <w:r w:rsidR="002323A5">
        <w:t>.</w:t>
      </w:r>
      <w:r w:rsidR="0074712A">
        <w:t>45</w:t>
      </w:r>
      <w:r w:rsidR="00BB5CF3">
        <w:t>, p.</w:t>
      </w:r>
      <w:r w:rsidR="000674A7">
        <w:t xml:space="preserve"> </w:t>
      </w:r>
      <w:r w:rsidR="0068680A">
        <w:t>46</w:t>
      </w:r>
      <w:r w:rsidR="0074712A">
        <w:t xml:space="preserve">). </w:t>
      </w:r>
      <w:r>
        <w:t xml:space="preserve">Murphy argues that not doing so risks distorting internal labour migration patterns in a way that is detrimental to consumer welfare. Insufficient granularity in the PC’s model prevented a full assessment of the model against the PC’s framework, though the ongoing full equalisation of mining revenues in the alternative raises ongoing policy neutrality challenges. More generally the proposal would require a range of detailed methodological changes that exceeded the scope of the inquiry. </w:t>
      </w:r>
    </w:p>
    <w:p w14:paraId="1303B140" w14:textId="686BF29C" w:rsidR="00E30F29" w:rsidRPr="00C50B39" w:rsidRDefault="00E30F29" w:rsidP="00E30F29">
      <w:pPr>
        <w:pStyle w:val="BodyText"/>
        <w:rPr>
          <w:rFonts w:cs="Arial"/>
          <w:lang w:val="en-US"/>
        </w:rPr>
      </w:pPr>
      <w:r w:rsidRPr="00C50B39">
        <w:rPr>
          <w:rFonts w:cs="Arial"/>
          <w:b/>
          <w:lang w:val="en-US"/>
        </w:rPr>
        <w:t xml:space="preserve">Broader changes to the </w:t>
      </w:r>
      <w:r w:rsidR="00680112">
        <w:rPr>
          <w:rFonts w:cs="Arial"/>
          <w:b/>
          <w:lang w:val="en-US"/>
        </w:rPr>
        <w:t xml:space="preserve">federal financial relations </w:t>
      </w:r>
      <w:r w:rsidRPr="00C50B39">
        <w:rPr>
          <w:rFonts w:cs="Arial"/>
          <w:b/>
          <w:lang w:val="en-US"/>
        </w:rPr>
        <w:t>system</w:t>
      </w:r>
      <w:r>
        <w:rPr>
          <w:rFonts w:cs="Arial"/>
          <w:lang w:val="en-US"/>
        </w:rPr>
        <w:t xml:space="preserve"> – </w:t>
      </w:r>
      <w:r w:rsidR="00412826">
        <w:rPr>
          <w:rFonts w:cs="Arial"/>
          <w:lang w:val="en-US"/>
        </w:rPr>
        <w:t>The Australian Centre for Federalism</w:t>
      </w:r>
      <w:r>
        <w:rPr>
          <w:rFonts w:cs="Arial"/>
          <w:lang w:val="en-US"/>
        </w:rPr>
        <w:t xml:space="preserve"> proposed that in the place of changes to the GST distribution system Australia should move towards broader changes to the federal financial relations (FFR) system. An example provided in the submission is for the </w:t>
      </w:r>
      <w:r w:rsidR="0021535C">
        <w:rPr>
          <w:rFonts w:cs="Arial"/>
          <w:lang w:val="en-US"/>
        </w:rPr>
        <w:t>Australian G</w:t>
      </w:r>
      <w:r>
        <w:rPr>
          <w:rFonts w:cs="Arial"/>
          <w:lang w:val="en-US"/>
        </w:rPr>
        <w:t>overnment to share income tax revenues collected from residents of a state to be shared with that state on a 50/50 basis</w:t>
      </w:r>
      <w:r w:rsidR="00412826">
        <w:rPr>
          <w:rFonts w:cs="Arial"/>
          <w:lang w:val="en-US"/>
        </w:rPr>
        <w:t xml:space="preserve"> (Tracy </w:t>
      </w:r>
      <w:r w:rsidR="00794106">
        <w:rPr>
          <w:rFonts w:cs="Arial"/>
          <w:lang w:val="en-US"/>
        </w:rPr>
        <w:t>Fenwick, sub</w:t>
      </w:r>
      <w:r w:rsidR="004C19A7">
        <w:rPr>
          <w:rFonts w:cs="Arial"/>
          <w:lang w:val="en-US"/>
        </w:rPr>
        <w:t>.</w:t>
      </w:r>
      <w:r w:rsidR="00794106">
        <w:rPr>
          <w:rFonts w:cs="Arial"/>
          <w:lang w:val="en-US"/>
        </w:rPr>
        <w:t xml:space="preserve"> 23</w:t>
      </w:r>
      <w:r w:rsidR="002D2D09">
        <w:rPr>
          <w:rFonts w:cs="Arial"/>
          <w:lang w:val="en-US"/>
        </w:rPr>
        <w:t>, p.</w:t>
      </w:r>
      <w:r w:rsidR="00DA1EF1">
        <w:rPr>
          <w:rFonts w:cs="Arial"/>
          <w:lang w:val="en-US"/>
        </w:rPr>
        <w:t xml:space="preserve"> </w:t>
      </w:r>
      <w:r w:rsidR="002D2D09">
        <w:rPr>
          <w:rFonts w:cs="Arial"/>
          <w:lang w:val="en-US"/>
        </w:rPr>
        <w:t>6</w:t>
      </w:r>
      <w:r w:rsidR="00794106">
        <w:rPr>
          <w:rFonts w:cs="Arial"/>
          <w:lang w:val="en-US"/>
        </w:rPr>
        <w:t>).</w:t>
      </w:r>
      <w:r>
        <w:rPr>
          <w:rFonts w:cs="Arial"/>
          <w:lang w:val="en-US"/>
        </w:rPr>
        <w:t xml:space="preserve"> The PC did not undertake a full assessment of</w:t>
      </w:r>
      <w:r w:rsidDel="00D30109">
        <w:rPr>
          <w:rFonts w:cs="Arial"/>
          <w:lang w:val="en-US"/>
        </w:rPr>
        <w:t xml:space="preserve"> </w:t>
      </w:r>
      <w:r>
        <w:rPr>
          <w:rFonts w:cs="Arial"/>
          <w:lang w:val="en-US"/>
        </w:rPr>
        <w:t xml:space="preserve">this proposal against the framework set out in this appendix, as such changes to the broader tax and FFR systems were considered beyond the scope of the inquiry. </w:t>
      </w:r>
    </w:p>
    <w:p w14:paraId="7FA65511" w14:textId="2252FE6F" w:rsidR="00FA3281" w:rsidRDefault="00E30F29" w:rsidP="00A535E0">
      <w:pPr>
        <w:pStyle w:val="BodyText"/>
        <w:rPr>
          <w:rFonts w:cs="Arial"/>
          <w:lang w:val="en-US"/>
        </w:rPr>
      </w:pPr>
      <w:r>
        <w:rPr>
          <w:rFonts w:cs="Arial"/>
          <w:b/>
          <w:bCs/>
          <w:lang w:val="en-US"/>
        </w:rPr>
        <w:t xml:space="preserve">PC 2018 model </w:t>
      </w:r>
      <w:r w:rsidRPr="00E30F29">
        <w:rPr>
          <w:rFonts w:cs="Arial"/>
          <w:lang w:val="en-US"/>
        </w:rPr>
        <w:t>–</w:t>
      </w:r>
      <w:r>
        <w:rPr>
          <w:rFonts w:cs="Arial"/>
          <w:b/>
          <w:bCs/>
          <w:lang w:val="en-US"/>
        </w:rPr>
        <w:t xml:space="preserve"> </w:t>
      </w:r>
      <w:r>
        <w:rPr>
          <w:rFonts w:cs="Arial"/>
          <w:lang w:val="en-US"/>
        </w:rPr>
        <w:t xml:space="preserve">The alternative proposed in the PC’s 2018 </w:t>
      </w:r>
      <w:r w:rsidR="00FA3281">
        <w:rPr>
          <w:rFonts w:cs="Arial"/>
          <w:lang w:val="en-US"/>
        </w:rPr>
        <w:t>i</w:t>
      </w:r>
      <w:r>
        <w:rPr>
          <w:rFonts w:cs="Arial"/>
          <w:lang w:val="en-US"/>
        </w:rPr>
        <w:t xml:space="preserve">nquiry into </w:t>
      </w:r>
      <w:r w:rsidRPr="00FA3281">
        <w:rPr>
          <w:rFonts w:cs="Arial"/>
          <w:i/>
          <w:iCs/>
          <w:lang w:val="en-US"/>
        </w:rPr>
        <w:t xml:space="preserve">Horizontal Fiscal </w:t>
      </w:r>
      <w:proofErr w:type="spellStart"/>
      <w:r w:rsidRPr="00FA3281">
        <w:rPr>
          <w:rFonts w:cs="Arial"/>
          <w:i/>
          <w:iCs/>
          <w:lang w:val="en-US"/>
        </w:rPr>
        <w:t>Equalisation</w:t>
      </w:r>
      <w:proofErr w:type="spellEnd"/>
      <w:r>
        <w:rPr>
          <w:rFonts w:cs="Arial"/>
          <w:lang w:val="en-US"/>
        </w:rPr>
        <w:t xml:space="preserve"> was for a new </w:t>
      </w:r>
      <w:proofErr w:type="spellStart"/>
      <w:r>
        <w:rPr>
          <w:rFonts w:cs="Arial"/>
          <w:lang w:val="en-US"/>
        </w:rPr>
        <w:t>equalisation</w:t>
      </w:r>
      <w:proofErr w:type="spellEnd"/>
      <w:r>
        <w:rPr>
          <w:rFonts w:cs="Arial"/>
          <w:lang w:val="en-US"/>
        </w:rPr>
        <w:t xml:space="preserve"> benchmark</w:t>
      </w:r>
      <w:r w:rsidR="00C35544">
        <w:rPr>
          <w:rFonts w:cs="Arial"/>
          <w:lang w:val="en-US"/>
        </w:rPr>
        <w:t xml:space="preserve"> </w:t>
      </w:r>
      <w:r w:rsidR="00EF797D">
        <w:rPr>
          <w:rFonts w:cs="Arial"/>
          <w:lang w:val="en-US"/>
        </w:rPr>
        <w:t xml:space="preserve">(PC 2018). </w:t>
      </w:r>
      <w:r>
        <w:rPr>
          <w:rFonts w:cs="Arial"/>
          <w:lang w:val="en-US"/>
        </w:rPr>
        <w:t xml:space="preserve">It recommended </w:t>
      </w:r>
      <w:proofErr w:type="spellStart"/>
      <w:r>
        <w:rPr>
          <w:rFonts w:cs="Arial"/>
          <w:lang w:val="en-US"/>
        </w:rPr>
        <w:t>equalising</w:t>
      </w:r>
      <w:proofErr w:type="spellEnd"/>
      <w:r>
        <w:rPr>
          <w:rFonts w:cs="Arial"/>
          <w:lang w:val="en-US"/>
        </w:rPr>
        <w:t xml:space="preserve"> states to the average fiscal capacity of all states. Under this model, the GST distribution would occur in </w:t>
      </w:r>
      <w:r w:rsidR="00DF55B6">
        <w:rPr>
          <w:rFonts w:cs="Arial"/>
          <w:lang w:val="en-US"/>
        </w:rPr>
        <w:t xml:space="preserve">2 </w:t>
      </w:r>
      <w:r>
        <w:rPr>
          <w:rFonts w:cs="Arial"/>
          <w:lang w:val="en-US"/>
        </w:rPr>
        <w:t xml:space="preserve">stages. First, those states with an assessed fiscal capacity below the average would be allocated GST revenue until the point that they reached the average fiscal capacity of the states. Once this point </w:t>
      </w:r>
      <w:proofErr w:type="gramStart"/>
      <w:r>
        <w:rPr>
          <w:rFonts w:cs="Arial"/>
          <w:lang w:val="en-US"/>
        </w:rPr>
        <w:t>had</w:t>
      </w:r>
      <w:proofErr w:type="gramEnd"/>
      <w:r>
        <w:rPr>
          <w:rFonts w:cs="Arial"/>
          <w:lang w:val="en-US"/>
        </w:rPr>
        <w:t xml:space="preserve"> been reached, what remained of the GST distribution pool </w:t>
      </w:r>
      <w:proofErr w:type="gramStart"/>
      <w:r>
        <w:rPr>
          <w:rFonts w:cs="Arial"/>
          <w:lang w:val="en-US"/>
        </w:rPr>
        <w:t>would</w:t>
      </w:r>
      <w:proofErr w:type="gramEnd"/>
      <w:r>
        <w:rPr>
          <w:rFonts w:cs="Arial"/>
          <w:lang w:val="en-US"/>
        </w:rPr>
        <w:t xml:space="preserve"> be divided between states on an EPC basis. In some ways, this approach could be seen as similar to EPC/HFE approaches. The PC 2018 model would have amplified some of the challenges the PC identified with the 2018 reforms and was not fully assessed against the framework.</w:t>
      </w:r>
    </w:p>
    <w:p w14:paraId="0F4E5470" w14:textId="77777777" w:rsidR="00FA3281" w:rsidRDefault="00FA3281">
      <w:pPr>
        <w:spacing w:before="0" w:after="160" w:line="259" w:lineRule="auto"/>
        <w:rPr>
          <w:rFonts w:cs="Arial"/>
          <w:lang w:val="en-US"/>
        </w:rPr>
      </w:pPr>
      <w:r>
        <w:rPr>
          <w:rFonts w:cs="Arial"/>
          <w:lang w:val="en-US"/>
        </w:rPr>
        <w:br w:type="page"/>
      </w:r>
    </w:p>
    <w:p w14:paraId="519F7F14" w14:textId="77777777" w:rsidR="00B81DD6" w:rsidRDefault="0098540D" w:rsidP="00F73BC3">
      <w:pPr>
        <w:pStyle w:val="Heading1-nobackground"/>
        <w:sectPr w:rsidR="00B81DD6" w:rsidSect="002E3F19">
          <w:headerReference w:type="even" r:id="rId14"/>
          <w:headerReference w:type="default" r:id="rId15"/>
          <w:footerReference w:type="even" r:id="rId16"/>
          <w:footerReference w:type="default" r:id="rId17"/>
          <w:pgSz w:w="11906" w:h="16838" w:code="9"/>
          <w:pgMar w:top="1134" w:right="1134" w:bottom="1134" w:left="1134" w:header="794" w:footer="510" w:gutter="0"/>
          <w:cols w:space="708"/>
          <w:docGrid w:linePitch="360"/>
        </w:sectPr>
      </w:pPr>
      <w:r>
        <w:lastRenderedPageBreak/>
        <w:t>R</w:t>
      </w:r>
      <w:r w:rsidR="00F73BC3">
        <w:t>eference</w:t>
      </w:r>
      <w:r>
        <w:t>s</w:t>
      </w:r>
    </w:p>
    <w:p w14:paraId="2E39FAE5" w14:textId="6EA64FD9" w:rsidR="003220F0" w:rsidRPr="00C154B5" w:rsidRDefault="003220F0" w:rsidP="003220F0">
      <w:pPr>
        <w:pStyle w:val="Reference"/>
      </w:pPr>
      <w:r w:rsidRPr="00C154B5">
        <w:t xml:space="preserve">Buchanan, J 1950, ‘Federalism and fiscal equity’, </w:t>
      </w:r>
      <w:r w:rsidRPr="00C154B5">
        <w:rPr>
          <w:i/>
          <w:iCs/>
        </w:rPr>
        <w:t>American Economic Review</w:t>
      </w:r>
      <w:r w:rsidRPr="00C154B5">
        <w:t>, vol. 40, no. 4, pp. 583–599.</w:t>
      </w:r>
    </w:p>
    <w:p w14:paraId="015AF012" w14:textId="77777777" w:rsidR="003220F0" w:rsidRPr="00C154B5" w:rsidRDefault="003220F0" w:rsidP="003220F0">
      <w:pPr>
        <w:pStyle w:val="Reference"/>
      </w:pPr>
      <w:r w:rsidRPr="00C154B5">
        <w:t xml:space="preserve">Collier, P 2014, ‘The ethics of natural assets’, </w:t>
      </w:r>
      <w:r w:rsidRPr="00C154B5">
        <w:rPr>
          <w:i/>
          <w:iCs/>
        </w:rPr>
        <w:t>Journal of Global Ethics</w:t>
      </w:r>
      <w:r w:rsidRPr="00C154B5">
        <w:t>, vol. 10, no. 1, pp. 45–52.</w:t>
      </w:r>
    </w:p>
    <w:p w14:paraId="18B8A3F4" w14:textId="77777777" w:rsidR="003220F0" w:rsidRPr="00C154B5" w:rsidRDefault="003220F0" w:rsidP="003220F0">
      <w:pPr>
        <w:pStyle w:val="Reference"/>
      </w:pPr>
      <w:r w:rsidRPr="00C154B5">
        <w:t xml:space="preserve">Commonwealth of Australia 1999, </w:t>
      </w:r>
      <w:r w:rsidRPr="00C154B5">
        <w:rPr>
          <w:i/>
          <w:iCs/>
        </w:rPr>
        <w:t>Intergovernmental agreement on the reform of Commonwealth-state financial relations</w:t>
      </w:r>
      <w:r w:rsidRPr="00C154B5">
        <w:t>.</w:t>
      </w:r>
    </w:p>
    <w:p w14:paraId="7E769111" w14:textId="77777777" w:rsidR="003220F0" w:rsidRPr="00C154B5" w:rsidRDefault="003220F0" w:rsidP="003220F0">
      <w:pPr>
        <w:pStyle w:val="Reference"/>
      </w:pPr>
      <w:r w:rsidRPr="00C154B5">
        <w:t xml:space="preserve">—— 2023, </w:t>
      </w:r>
      <w:r w:rsidRPr="00C154B5">
        <w:rPr>
          <w:i/>
          <w:iCs/>
        </w:rPr>
        <w:t>Intergenerational report 2023</w:t>
      </w:r>
      <w:r w:rsidRPr="00C154B5">
        <w:t>, Canberra.</w:t>
      </w:r>
    </w:p>
    <w:p w14:paraId="25A8452E" w14:textId="77777777" w:rsidR="003220F0" w:rsidRPr="00C154B5" w:rsidRDefault="003220F0" w:rsidP="003220F0">
      <w:pPr>
        <w:pStyle w:val="Reference"/>
      </w:pPr>
      <w:r w:rsidRPr="00C154B5">
        <w:t xml:space="preserve">Dworkin, R 1981, ‘What is Equality? Part 2: Equality of Resources’, </w:t>
      </w:r>
      <w:r w:rsidRPr="00C154B5">
        <w:rPr>
          <w:i/>
          <w:iCs/>
        </w:rPr>
        <w:t>Philosophy &amp; Public Affairs</w:t>
      </w:r>
      <w:r w:rsidRPr="00C154B5">
        <w:t>, vol. 10, no. 4.</w:t>
      </w:r>
    </w:p>
    <w:p w14:paraId="4372CBA7" w14:textId="77777777" w:rsidR="003220F0" w:rsidRPr="00C154B5" w:rsidRDefault="003220F0" w:rsidP="003220F0">
      <w:pPr>
        <w:pStyle w:val="Reference"/>
      </w:pPr>
      <w:r w:rsidRPr="00C154B5">
        <w:t xml:space="preserve">European Commission 2017, </w:t>
      </w:r>
      <w:r w:rsidRPr="00C154B5">
        <w:rPr>
          <w:i/>
          <w:iCs/>
        </w:rPr>
        <w:t>European semester thematic factsheet: Sustainability of public finances</w:t>
      </w:r>
      <w:r w:rsidRPr="00C154B5">
        <w:t>, 22 November.</w:t>
      </w:r>
    </w:p>
    <w:p w14:paraId="25FBAC9F" w14:textId="77777777" w:rsidR="003220F0" w:rsidRPr="00C154B5" w:rsidRDefault="003220F0" w:rsidP="003220F0">
      <w:pPr>
        <w:pStyle w:val="Reference"/>
      </w:pPr>
      <w:r w:rsidRPr="00C154B5">
        <w:t xml:space="preserve">Government of Tasmania 2021, </w:t>
      </w:r>
      <w:r w:rsidRPr="00C154B5">
        <w:rPr>
          <w:i/>
          <w:iCs/>
        </w:rPr>
        <w:t>Tasmanian Government fiscal sustainability report 2021</w:t>
      </w:r>
      <w:r w:rsidRPr="00C154B5">
        <w:t>, June, Hobart.</w:t>
      </w:r>
    </w:p>
    <w:p w14:paraId="431A1944" w14:textId="77777777" w:rsidR="003220F0" w:rsidRPr="00C154B5" w:rsidRDefault="003220F0" w:rsidP="003220F0">
      <w:pPr>
        <w:pStyle w:val="Reference"/>
      </w:pPr>
      <w:r w:rsidRPr="00C154B5">
        <w:t xml:space="preserve">—— 2026, </w:t>
      </w:r>
      <w:r w:rsidRPr="00C154B5">
        <w:rPr>
          <w:i/>
          <w:iCs/>
        </w:rPr>
        <w:t>Tasmanian fiscal sustainability report 2026</w:t>
      </w:r>
      <w:r w:rsidRPr="00C154B5">
        <w:t>, February.</w:t>
      </w:r>
    </w:p>
    <w:p w14:paraId="5B4826CF" w14:textId="77777777" w:rsidR="003220F0" w:rsidRPr="00C154B5" w:rsidRDefault="003220F0" w:rsidP="003220F0">
      <w:pPr>
        <w:pStyle w:val="Reference"/>
      </w:pPr>
      <w:r w:rsidRPr="00C154B5">
        <w:t xml:space="preserve">Hobbes, T 1651, </w:t>
      </w:r>
      <w:r w:rsidRPr="00C154B5">
        <w:rPr>
          <w:i/>
          <w:iCs/>
        </w:rPr>
        <w:t>Leviathan</w:t>
      </w:r>
      <w:r w:rsidRPr="00C154B5">
        <w:t>, London.</w:t>
      </w:r>
    </w:p>
    <w:p w14:paraId="7A05BC9F" w14:textId="77777777" w:rsidR="003220F0" w:rsidRPr="00C154B5" w:rsidRDefault="003220F0" w:rsidP="003220F0">
      <w:pPr>
        <w:pStyle w:val="Reference"/>
      </w:pPr>
      <w:r w:rsidRPr="00C154B5">
        <w:t xml:space="preserve">Locke, J 1690, </w:t>
      </w:r>
      <w:r w:rsidRPr="00C154B5">
        <w:rPr>
          <w:i/>
          <w:iCs/>
        </w:rPr>
        <w:t xml:space="preserve">Second </w:t>
      </w:r>
      <w:proofErr w:type="spellStart"/>
      <w:r w:rsidRPr="00C154B5">
        <w:rPr>
          <w:i/>
          <w:iCs/>
        </w:rPr>
        <w:t>Treastise</w:t>
      </w:r>
      <w:proofErr w:type="spellEnd"/>
      <w:r w:rsidRPr="00C154B5">
        <w:rPr>
          <w:i/>
          <w:iCs/>
        </w:rPr>
        <w:t xml:space="preserve"> of Government</w:t>
      </w:r>
      <w:r w:rsidRPr="00C154B5">
        <w:t xml:space="preserve">, </w:t>
      </w:r>
      <w:proofErr w:type="spellStart"/>
      <w:r w:rsidRPr="00C154B5">
        <w:t>Awnsham</w:t>
      </w:r>
      <w:proofErr w:type="spellEnd"/>
      <w:r w:rsidRPr="00C154B5">
        <w:t xml:space="preserve"> Churchill.</w:t>
      </w:r>
    </w:p>
    <w:p w14:paraId="49220F68" w14:textId="4B3D4AE0" w:rsidR="003220F0" w:rsidRPr="00C154B5" w:rsidRDefault="003220F0" w:rsidP="003220F0">
      <w:pPr>
        <w:pStyle w:val="Reference"/>
      </w:pPr>
      <w:r w:rsidRPr="00C154B5">
        <w:t xml:space="preserve">Moody’s Ratings 2026, </w:t>
      </w:r>
      <w:r w:rsidRPr="00C154B5">
        <w:rPr>
          <w:i/>
          <w:iCs/>
        </w:rPr>
        <w:t>Rating methodology: regional and local governments</w:t>
      </w:r>
      <w:r w:rsidRPr="00C154B5">
        <w:t>, https://www.moodys.com/research/Rating-Methodology-Regional-and-Local-Governments-Rating-Methodology--PBC_1471270#5d113f2038d289f391614</w:t>
      </w:r>
      <w:r w:rsidR="00B81DD6">
        <w:br/>
      </w:r>
      <w:r w:rsidRPr="00C154B5">
        <w:t>c39043629e8 (accessed 23 June 2026).</w:t>
      </w:r>
    </w:p>
    <w:p w14:paraId="3AB5D522" w14:textId="77777777" w:rsidR="003220F0" w:rsidRPr="00C154B5" w:rsidRDefault="003220F0" w:rsidP="003220F0">
      <w:pPr>
        <w:pStyle w:val="Reference"/>
      </w:pPr>
      <w:r w:rsidRPr="00C154B5">
        <w:t xml:space="preserve">Rawls, J 1971, </w:t>
      </w:r>
      <w:r w:rsidRPr="00C154B5">
        <w:rPr>
          <w:i/>
          <w:iCs/>
        </w:rPr>
        <w:t>A Theory of Justice</w:t>
      </w:r>
      <w:r w:rsidRPr="00C154B5">
        <w:t>, Harvard University Press, Cambridge.</w:t>
      </w:r>
    </w:p>
    <w:p w14:paraId="6CBE56B6" w14:textId="77777777" w:rsidR="003220F0" w:rsidRPr="00C154B5" w:rsidRDefault="003220F0" w:rsidP="003220F0">
      <w:pPr>
        <w:pStyle w:val="Reference"/>
      </w:pPr>
      <w:r w:rsidRPr="00C154B5">
        <w:t xml:space="preserve">Rousseau, JJ 1762, </w:t>
      </w:r>
      <w:r w:rsidRPr="00C154B5">
        <w:rPr>
          <w:i/>
          <w:iCs/>
        </w:rPr>
        <w:t>The Social Contract</w:t>
      </w:r>
      <w:r w:rsidRPr="00C154B5">
        <w:t>, Marc-Michel Rey, Amsterdam.</w:t>
      </w:r>
    </w:p>
    <w:p w14:paraId="5D116A65" w14:textId="7696DFDA" w:rsidR="003220F0" w:rsidRPr="00C154B5" w:rsidRDefault="003220F0" w:rsidP="003220F0">
      <w:pPr>
        <w:pStyle w:val="Reference"/>
      </w:pPr>
      <w:r w:rsidRPr="00C154B5">
        <w:t xml:space="preserve">SA Government (Government of South Australia) 2025, </w:t>
      </w:r>
      <w:r w:rsidRPr="00C154B5">
        <w:rPr>
          <w:i/>
          <w:iCs/>
        </w:rPr>
        <w:t xml:space="preserve">State finances – </w:t>
      </w:r>
      <w:r w:rsidR="00D853B5">
        <w:rPr>
          <w:i/>
          <w:iCs/>
        </w:rPr>
        <w:t>i</w:t>
      </w:r>
      <w:r w:rsidRPr="00C154B5">
        <w:rPr>
          <w:i/>
          <w:iCs/>
        </w:rPr>
        <w:t>nsights on the 2025-26 Budget</w:t>
      </w:r>
      <w:r w:rsidRPr="00C154B5">
        <w:t>, 11 November.</w:t>
      </w:r>
    </w:p>
    <w:p w14:paraId="3FB41B15" w14:textId="74C579F6" w:rsidR="00A86051" w:rsidRPr="00BB5C22" w:rsidRDefault="003220F0" w:rsidP="003220F0">
      <w:pPr>
        <w:pStyle w:val="Reference"/>
      </w:pPr>
      <w:r w:rsidRPr="00C154B5">
        <w:t xml:space="preserve">Sen, A 1999, </w:t>
      </w:r>
      <w:r w:rsidRPr="00C154B5">
        <w:rPr>
          <w:i/>
          <w:iCs/>
        </w:rPr>
        <w:t>Development as Freedom</w:t>
      </w:r>
      <w:r w:rsidRPr="00C154B5">
        <w:t>, Oxford University Press, Oxford.</w:t>
      </w:r>
    </w:p>
    <w:sectPr w:rsidR="00A86051" w:rsidRPr="00BB5C22" w:rsidSect="00B81DD6">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CEF1" w14:textId="77777777" w:rsidR="000E74E6" w:rsidRDefault="000E74E6" w:rsidP="008017BC">
      <w:r>
        <w:separator/>
      </w:r>
    </w:p>
    <w:p w14:paraId="40D3BAA8" w14:textId="77777777" w:rsidR="000E74E6" w:rsidRDefault="000E74E6"/>
  </w:endnote>
  <w:endnote w:type="continuationSeparator" w:id="0">
    <w:p w14:paraId="1B9C3BBA" w14:textId="77777777" w:rsidR="000E74E6" w:rsidRDefault="000E74E6" w:rsidP="008017BC">
      <w:r>
        <w:continuationSeparator/>
      </w:r>
    </w:p>
    <w:p w14:paraId="53AC0BDC" w14:textId="77777777" w:rsidR="000E74E6" w:rsidRDefault="000E7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8D16"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35D4C943" w14:textId="2743B52D"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08381" w14:textId="77777777" w:rsidR="000E74E6" w:rsidRPr="00C238D1" w:rsidRDefault="000E74E6" w:rsidP="00273E86">
      <w:pPr>
        <w:spacing w:after="0" w:line="240" w:lineRule="auto"/>
        <w:rPr>
          <w:rStyle w:val="ColourDarkBlue"/>
        </w:rPr>
      </w:pPr>
      <w:r w:rsidRPr="00C238D1">
        <w:rPr>
          <w:rStyle w:val="ColourDarkBlue"/>
        </w:rPr>
        <w:continuationSeparator/>
      </w:r>
    </w:p>
  </w:footnote>
  <w:footnote w:type="continuationSeparator" w:id="0">
    <w:p w14:paraId="24053E10" w14:textId="77777777" w:rsidR="000E74E6" w:rsidRPr="001D7D9B" w:rsidRDefault="000E74E6" w:rsidP="001D7D9B">
      <w:pPr>
        <w:spacing w:after="0" w:line="240" w:lineRule="auto"/>
        <w:rPr>
          <w:color w:val="265A9A" w:themeColor="background2"/>
        </w:rPr>
      </w:pPr>
      <w:r w:rsidRPr="00C238D1">
        <w:rPr>
          <w:rStyle w:val="ColourDarkBlue"/>
        </w:rPr>
        <w:continuationSeparator/>
      </w:r>
    </w:p>
  </w:footnote>
  <w:footnote w:type="continuationNotice" w:id="1">
    <w:p w14:paraId="168F6729" w14:textId="77777777" w:rsidR="000E74E6" w:rsidRDefault="000E74E6"/>
  </w:footnote>
  <w:footnote w:id="2">
    <w:p w14:paraId="7900D765" w14:textId="4D563452" w:rsidR="009B6900" w:rsidRPr="00355057" w:rsidRDefault="009B6900">
      <w:pPr>
        <w:pStyle w:val="FootnoteText"/>
        <w:rPr>
          <w:spacing w:val="-4"/>
          <w:lang w:val="en-US"/>
        </w:rPr>
      </w:pPr>
      <w:r w:rsidRPr="00355057">
        <w:rPr>
          <w:rStyle w:val="FootnoteReference"/>
          <w:spacing w:val="-4"/>
        </w:rPr>
        <w:footnoteRef/>
      </w:r>
      <w:r w:rsidRPr="00355057">
        <w:rPr>
          <w:spacing w:val="-4"/>
        </w:rPr>
        <w:t xml:space="preserve"> For example, the Queensland Government submission argued that equalisation should not be pursued so much as to dissuade the development of </w:t>
      </w:r>
      <w:r w:rsidR="005D1DB3" w:rsidRPr="00355057">
        <w:rPr>
          <w:spacing w:val="-4"/>
        </w:rPr>
        <w:t>state</w:t>
      </w:r>
      <w:r w:rsidRPr="00355057">
        <w:rPr>
          <w:spacing w:val="-4"/>
        </w:rPr>
        <w:t xml:space="preserve"> mining sector</w:t>
      </w:r>
      <w:r w:rsidR="005D1DB3" w:rsidRPr="00355057">
        <w:rPr>
          <w:spacing w:val="-4"/>
        </w:rPr>
        <w:t>s</w:t>
      </w:r>
      <w:r w:rsidR="00154A9B" w:rsidRPr="00355057">
        <w:rPr>
          <w:spacing w:val="-4"/>
        </w:rPr>
        <w:t xml:space="preserve"> (Queensland Government, sub</w:t>
      </w:r>
      <w:r w:rsidR="00C27DBE" w:rsidRPr="00355057">
        <w:rPr>
          <w:spacing w:val="-4"/>
        </w:rPr>
        <w:t>.</w:t>
      </w:r>
      <w:r w:rsidR="00154A9B" w:rsidRPr="00355057">
        <w:rPr>
          <w:spacing w:val="-4"/>
        </w:rPr>
        <w:t xml:space="preserve"> </w:t>
      </w:r>
      <w:r w:rsidR="00151692" w:rsidRPr="00355057">
        <w:rPr>
          <w:spacing w:val="-4"/>
        </w:rPr>
        <w:t>62, p.</w:t>
      </w:r>
      <w:r w:rsidR="00E75944">
        <w:rPr>
          <w:spacing w:val="-4"/>
        </w:rPr>
        <w:t xml:space="preserve"> </w:t>
      </w:r>
      <w:r w:rsidR="000932F9" w:rsidRPr="00355057">
        <w:rPr>
          <w:spacing w:val="-4"/>
        </w:rPr>
        <w:t>23</w:t>
      </w:r>
      <w:r w:rsidR="00151692" w:rsidRPr="00355057">
        <w:rPr>
          <w:spacing w:val="-4"/>
        </w:rPr>
        <w:t xml:space="preserve">) </w:t>
      </w:r>
      <w:r w:rsidRPr="00355057">
        <w:rPr>
          <w:spacing w:val="-4"/>
        </w:rPr>
        <w:t>, the NSW Government’s submission argued that equalisation should not be pursued so much as to reduce national economic efficiency</w:t>
      </w:r>
      <w:r w:rsidR="00B542DE" w:rsidRPr="00355057">
        <w:rPr>
          <w:spacing w:val="-4"/>
        </w:rPr>
        <w:t xml:space="preserve"> (NSW Government, sub</w:t>
      </w:r>
      <w:r w:rsidR="00C27DBE" w:rsidRPr="00355057">
        <w:rPr>
          <w:spacing w:val="-4"/>
        </w:rPr>
        <w:t>.</w:t>
      </w:r>
      <w:r w:rsidR="00B542DE" w:rsidRPr="00355057">
        <w:rPr>
          <w:spacing w:val="-4"/>
        </w:rPr>
        <w:t xml:space="preserve"> </w:t>
      </w:r>
      <w:r w:rsidR="00BC2036" w:rsidRPr="00355057">
        <w:rPr>
          <w:spacing w:val="-4"/>
        </w:rPr>
        <w:t>6</w:t>
      </w:r>
      <w:r w:rsidR="00F85742" w:rsidRPr="00355057">
        <w:rPr>
          <w:spacing w:val="-4"/>
        </w:rPr>
        <w:t>1</w:t>
      </w:r>
      <w:r w:rsidR="00B542DE" w:rsidRPr="00355057">
        <w:rPr>
          <w:spacing w:val="-4"/>
        </w:rPr>
        <w:t>, p.</w:t>
      </w:r>
      <w:r w:rsidR="00355057">
        <w:rPr>
          <w:spacing w:val="-4"/>
        </w:rPr>
        <w:t xml:space="preserve"> </w:t>
      </w:r>
      <w:r w:rsidR="00B542DE" w:rsidRPr="00355057">
        <w:rPr>
          <w:spacing w:val="-4"/>
        </w:rPr>
        <w:t>7)</w:t>
      </w:r>
      <w:r w:rsidRPr="00355057">
        <w:rPr>
          <w:spacing w:val="-4"/>
        </w:rPr>
        <w:t xml:space="preserve">, and the Western Australian Government submission argued that equalisation should not be pursued so much as to dissuade </w:t>
      </w:r>
      <w:r w:rsidR="00CE58BC" w:rsidRPr="00355057">
        <w:rPr>
          <w:spacing w:val="-4"/>
        </w:rPr>
        <w:t>economic</w:t>
      </w:r>
      <w:r w:rsidRPr="00355057">
        <w:rPr>
          <w:spacing w:val="-4"/>
        </w:rPr>
        <w:t xml:space="preserve"> development</w:t>
      </w:r>
      <w:r w:rsidR="0070056F" w:rsidRPr="00355057">
        <w:rPr>
          <w:spacing w:val="-4"/>
        </w:rPr>
        <w:t xml:space="preserve"> (WA Government, sub</w:t>
      </w:r>
      <w:r w:rsidR="00C27DBE" w:rsidRPr="00355057">
        <w:rPr>
          <w:spacing w:val="-4"/>
        </w:rPr>
        <w:t>.</w:t>
      </w:r>
      <w:r w:rsidR="0070056F" w:rsidRPr="00355057">
        <w:rPr>
          <w:spacing w:val="-4"/>
        </w:rPr>
        <w:t xml:space="preserve"> </w:t>
      </w:r>
      <w:r w:rsidR="008047E7" w:rsidRPr="00355057">
        <w:rPr>
          <w:spacing w:val="-4"/>
        </w:rPr>
        <w:t xml:space="preserve">37, </w:t>
      </w:r>
      <w:r w:rsidR="002A1003">
        <w:rPr>
          <w:spacing w:val="-4"/>
        </w:rPr>
        <w:t>p. </w:t>
      </w:r>
      <w:r w:rsidR="00CE58BC" w:rsidRPr="00355057">
        <w:rPr>
          <w:spacing w:val="-4"/>
        </w:rPr>
        <w:t>1)</w:t>
      </w:r>
      <w:r w:rsidR="008047E7" w:rsidRPr="00355057">
        <w:rPr>
          <w:spacing w:val="-4"/>
        </w:rPr>
        <w:t xml:space="preserve"> </w:t>
      </w:r>
      <w:r w:rsidRPr="00355057">
        <w:rPr>
          <w:spacing w:val="-4"/>
        </w:rPr>
        <w:t>. Other state</w:t>
      </w:r>
      <w:r w:rsidR="00DA31B0" w:rsidRPr="00355057">
        <w:rPr>
          <w:spacing w:val="-4"/>
        </w:rPr>
        <w:t xml:space="preserve"> submissions</w:t>
      </w:r>
      <w:r w:rsidRPr="00355057">
        <w:rPr>
          <w:spacing w:val="-4"/>
        </w:rPr>
        <w:t xml:space="preserve"> argued that there should be no constraints on equalisation</w:t>
      </w:r>
      <w:r w:rsidR="00107981" w:rsidRPr="00355057">
        <w:rPr>
          <w:spacing w:val="-4"/>
        </w:rPr>
        <w:t xml:space="preserve"> (ACT Government, </w:t>
      </w:r>
      <w:r w:rsidR="00E440AC" w:rsidRPr="00355057">
        <w:rPr>
          <w:spacing w:val="-4"/>
        </w:rPr>
        <w:t>sub</w:t>
      </w:r>
      <w:r w:rsidR="00C27DBE" w:rsidRPr="00355057">
        <w:rPr>
          <w:spacing w:val="-4"/>
        </w:rPr>
        <w:t>.</w:t>
      </w:r>
      <w:r w:rsidR="00B7628F" w:rsidRPr="00355057">
        <w:rPr>
          <w:spacing w:val="-4"/>
        </w:rPr>
        <w:t> </w:t>
      </w:r>
      <w:r w:rsidR="00E440AC" w:rsidRPr="00355057">
        <w:rPr>
          <w:spacing w:val="-4"/>
        </w:rPr>
        <w:t xml:space="preserve">38, </w:t>
      </w:r>
      <w:r w:rsidR="002A1003">
        <w:rPr>
          <w:spacing w:val="-4"/>
        </w:rPr>
        <w:t>p. </w:t>
      </w:r>
      <w:r w:rsidR="00CD06E2" w:rsidRPr="00355057">
        <w:rPr>
          <w:spacing w:val="-4"/>
        </w:rPr>
        <w:t>4</w:t>
      </w:r>
      <w:r w:rsidR="00E440AC" w:rsidRPr="00355057">
        <w:rPr>
          <w:spacing w:val="-4"/>
        </w:rPr>
        <w:t>)</w:t>
      </w:r>
      <w:r w:rsidRPr="00355057">
        <w:rPr>
          <w:spacing w:val="-4"/>
        </w:rPr>
        <w:t xml:space="preserve">, or that there was a lack of evidence to support concerns that </w:t>
      </w:r>
      <w:r w:rsidR="00527E7A" w:rsidRPr="00355057">
        <w:rPr>
          <w:spacing w:val="-4"/>
        </w:rPr>
        <w:t xml:space="preserve">equalisation under the </w:t>
      </w:r>
      <w:r w:rsidR="009D1814" w:rsidRPr="00355057">
        <w:rPr>
          <w:spacing w:val="-4"/>
        </w:rPr>
        <w:t>pre-2018</w:t>
      </w:r>
      <w:r w:rsidR="00E90D92" w:rsidRPr="00355057">
        <w:rPr>
          <w:spacing w:val="-4"/>
        </w:rPr>
        <w:t xml:space="preserve"> </w:t>
      </w:r>
      <w:r w:rsidR="0086089E" w:rsidRPr="00355057">
        <w:rPr>
          <w:spacing w:val="-4"/>
        </w:rPr>
        <w:t>GST</w:t>
      </w:r>
      <w:r w:rsidR="00E90D92" w:rsidRPr="00355057">
        <w:rPr>
          <w:spacing w:val="-4"/>
        </w:rPr>
        <w:t xml:space="preserve"> distr</w:t>
      </w:r>
      <w:r w:rsidR="002E42E5" w:rsidRPr="00355057">
        <w:rPr>
          <w:spacing w:val="-4"/>
        </w:rPr>
        <w:t>ibution</w:t>
      </w:r>
      <w:r w:rsidR="009D1814" w:rsidRPr="00355057">
        <w:rPr>
          <w:spacing w:val="-4"/>
        </w:rPr>
        <w:t xml:space="preserve"> </w:t>
      </w:r>
      <w:r w:rsidR="00527E7A" w:rsidRPr="00355057">
        <w:rPr>
          <w:spacing w:val="-4"/>
        </w:rPr>
        <w:t>system</w:t>
      </w:r>
      <w:r w:rsidR="009D1814" w:rsidRPr="00355057">
        <w:rPr>
          <w:spacing w:val="-4"/>
        </w:rPr>
        <w:t xml:space="preserve"> </w:t>
      </w:r>
      <w:r w:rsidRPr="00355057">
        <w:rPr>
          <w:spacing w:val="-4"/>
        </w:rPr>
        <w:t>would come at the expense of other considerations</w:t>
      </w:r>
      <w:r w:rsidR="008D5DF5" w:rsidRPr="00355057">
        <w:rPr>
          <w:spacing w:val="-4"/>
        </w:rPr>
        <w:t xml:space="preserve"> (Victorian Government, sub</w:t>
      </w:r>
      <w:r w:rsidRPr="00355057">
        <w:rPr>
          <w:spacing w:val="-4"/>
        </w:rPr>
        <w:t>.</w:t>
      </w:r>
      <w:r w:rsidR="00C27DBE" w:rsidRPr="00355057">
        <w:rPr>
          <w:spacing w:val="-4"/>
        </w:rPr>
        <w:t xml:space="preserve"> </w:t>
      </w:r>
      <w:r w:rsidR="006E3116" w:rsidRPr="00355057">
        <w:rPr>
          <w:spacing w:val="-4"/>
        </w:rPr>
        <w:t>59, p.</w:t>
      </w:r>
      <w:r w:rsidR="00355057">
        <w:rPr>
          <w:spacing w:val="-4"/>
        </w:rPr>
        <w:t xml:space="preserve"> </w:t>
      </w:r>
      <w:r w:rsidR="009A1CAD" w:rsidRPr="00355057">
        <w:rPr>
          <w:spacing w:val="-4"/>
        </w:rPr>
        <w:t>23</w:t>
      </w:r>
      <w:r w:rsidR="006E3116" w:rsidRPr="00355057">
        <w:rPr>
          <w:spacing w:val="-4"/>
        </w:rPr>
        <w:t>)</w:t>
      </w:r>
      <w:r w:rsidR="009A1CAD" w:rsidRPr="00355057">
        <w:rPr>
          <w:spacing w:val="-4"/>
        </w:rPr>
        <w:t>.</w:t>
      </w:r>
    </w:p>
  </w:footnote>
  <w:footnote w:id="3">
    <w:p w14:paraId="19CA8BDD" w14:textId="4759EE62" w:rsidR="00DF7736" w:rsidRPr="00355057" w:rsidRDefault="00DF7736">
      <w:pPr>
        <w:pStyle w:val="FootnoteText"/>
        <w:rPr>
          <w:spacing w:val="-4"/>
          <w:lang w:val="en-US"/>
        </w:rPr>
      </w:pPr>
      <w:r w:rsidRPr="00355057">
        <w:rPr>
          <w:rStyle w:val="FootnoteReference"/>
          <w:spacing w:val="-4"/>
        </w:rPr>
        <w:footnoteRef/>
      </w:r>
      <w:r w:rsidRPr="00355057">
        <w:rPr>
          <w:spacing w:val="-4"/>
        </w:rPr>
        <w:t xml:space="preserve"> For example, the NSW Government</w:t>
      </w:r>
      <w:r w:rsidR="00A16223" w:rsidRPr="00355057">
        <w:rPr>
          <w:spacing w:val="-4"/>
        </w:rPr>
        <w:t>’s</w:t>
      </w:r>
      <w:r w:rsidRPr="00355057">
        <w:rPr>
          <w:spacing w:val="-4"/>
        </w:rPr>
        <w:t xml:space="preserve"> primary recommendation was that Australia distribute the GST pool on an equal per capita (EPC) basis and that the </w:t>
      </w:r>
      <w:r w:rsidR="0021535C" w:rsidRPr="00355057">
        <w:rPr>
          <w:spacing w:val="-4"/>
        </w:rPr>
        <w:t>Australian G</w:t>
      </w:r>
      <w:r w:rsidRPr="00355057">
        <w:rPr>
          <w:spacing w:val="-4"/>
        </w:rPr>
        <w:t>overnment pursue fiscal equalisation through direct payments outside of the GST pool. If that was not deemed desirable, the NSW Government</w:t>
      </w:r>
      <w:r w:rsidR="00453676" w:rsidRPr="00355057">
        <w:rPr>
          <w:spacing w:val="-4"/>
        </w:rPr>
        <w:t>’s</w:t>
      </w:r>
      <w:r w:rsidRPr="00355057">
        <w:rPr>
          <w:spacing w:val="-4"/>
        </w:rPr>
        <w:t xml:space="preserve"> second recommendation was that Australia return to a pre-2018 system but with a fixed relativity floor of 0.5, which would be funded by Commonwealth payments to states that fall below that floor</w:t>
      </w:r>
      <w:r w:rsidR="00647B34" w:rsidRPr="00355057">
        <w:rPr>
          <w:spacing w:val="-4"/>
        </w:rPr>
        <w:t xml:space="preserve"> (NSW Government, sub</w:t>
      </w:r>
      <w:r w:rsidR="007A6C2F" w:rsidRPr="00355057">
        <w:rPr>
          <w:spacing w:val="-4"/>
        </w:rPr>
        <w:t>.</w:t>
      </w:r>
      <w:r w:rsidR="00647B34" w:rsidRPr="00355057">
        <w:rPr>
          <w:spacing w:val="-4"/>
        </w:rPr>
        <w:t xml:space="preserve"> 61, p.</w:t>
      </w:r>
      <w:r w:rsidR="00355057">
        <w:rPr>
          <w:spacing w:val="-4"/>
        </w:rPr>
        <w:t xml:space="preserve"> </w:t>
      </w:r>
      <w:r w:rsidR="00C72BED" w:rsidRPr="00355057">
        <w:rPr>
          <w:spacing w:val="-4"/>
        </w:rPr>
        <w:t>5</w:t>
      </w:r>
      <w:r w:rsidR="00647B34" w:rsidRPr="00355057">
        <w:rPr>
          <w:spacing w:val="-4"/>
        </w:rPr>
        <w:t>).</w:t>
      </w:r>
    </w:p>
  </w:footnote>
  <w:footnote w:id="4">
    <w:p w14:paraId="578B1362" w14:textId="444A0E2D" w:rsidR="00355057" w:rsidRPr="00355057" w:rsidRDefault="00355057">
      <w:pPr>
        <w:pStyle w:val="FootnoteText"/>
        <w:rPr>
          <w:lang w:val="en-US"/>
        </w:rPr>
      </w:pPr>
      <w:r>
        <w:rPr>
          <w:rStyle w:val="FootnoteReference"/>
        </w:rPr>
        <w:footnoteRef/>
      </w:r>
      <w:r>
        <w:t xml:space="preserve"> Assuming states make the same effort to raise own-source revenue and operate at the same level of efficiency.</w:t>
      </w:r>
    </w:p>
  </w:footnote>
  <w:footnote w:id="5">
    <w:p w14:paraId="61A9904D" w14:textId="02C46EA3" w:rsidR="00E664BC" w:rsidRPr="00B7628F" w:rsidRDefault="00E664BC">
      <w:pPr>
        <w:pStyle w:val="FootnoteText"/>
        <w:rPr>
          <w:spacing w:val="-2"/>
          <w:lang w:val="en-US"/>
        </w:rPr>
      </w:pPr>
      <w:r w:rsidRPr="00B7628F">
        <w:rPr>
          <w:rStyle w:val="FootnoteReference"/>
          <w:spacing w:val="-2"/>
        </w:rPr>
        <w:footnoteRef/>
      </w:r>
      <w:r w:rsidRPr="00B7628F">
        <w:rPr>
          <w:spacing w:val="-2"/>
        </w:rPr>
        <w:t xml:space="preserve"> </w:t>
      </w:r>
      <w:r w:rsidR="006A1481" w:rsidRPr="00B7628F">
        <w:rPr>
          <w:spacing w:val="-2"/>
        </w:rPr>
        <w:t>There are relevant sustainability considerations beyond fiscal sustainability</w:t>
      </w:r>
      <w:r w:rsidR="00BF1FE1" w:rsidRPr="00B7628F">
        <w:rPr>
          <w:spacing w:val="-2"/>
        </w:rPr>
        <w:t>. H</w:t>
      </w:r>
      <w:r w:rsidR="006A1481" w:rsidRPr="00B7628F">
        <w:rPr>
          <w:spacing w:val="-2"/>
        </w:rPr>
        <w:t xml:space="preserve">owever, the PC has not measured these considerations quantitatively. </w:t>
      </w:r>
      <w:r w:rsidR="006A1481" w:rsidRPr="00B7628F">
        <w:rPr>
          <w:spacing w:val="-2"/>
        </w:rPr>
        <w:t>In particular, community perceptions of fairness of the distribution are important for ongoing institutional stability. Perceptions of procedural fairness can also impact community support for the system. Some key features of procedural fairness include transparency of the process, equal application of the process, independence in the carrying out of that process, and the ability to review outcomes of the process.</w:t>
      </w:r>
    </w:p>
  </w:footnote>
  <w:footnote w:id="6">
    <w:p w14:paraId="7AA1FE08" w14:textId="77777777" w:rsidR="006714C8" w:rsidRDefault="006714C8" w:rsidP="006714C8">
      <w:pPr>
        <w:pStyle w:val="FootnoteText"/>
      </w:pPr>
      <w:r>
        <w:rPr>
          <w:rStyle w:val="FootnoteReference"/>
        </w:rPr>
        <w:footnoteRef/>
      </w:r>
      <w:r>
        <w:t xml:space="preserve"> The use of a 3-year lagged average of assessed revenues and expenses means the relationship with GST payments is not as </w:t>
      </w:r>
      <w:r>
        <w:t>direct, and can take several years to flow through to a state’s budget.</w:t>
      </w:r>
    </w:p>
  </w:footnote>
  <w:footnote w:id="7">
    <w:p w14:paraId="1F7458A8" w14:textId="1A169F72" w:rsidR="008F15A8" w:rsidRPr="008F15A8" w:rsidRDefault="008F15A8">
      <w:pPr>
        <w:pStyle w:val="FootnoteText"/>
        <w:rPr>
          <w:lang w:val="en-US"/>
        </w:rPr>
      </w:pPr>
      <w:r>
        <w:rPr>
          <w:rStyle w:val="FootnoteReference"/>
        </w:rPr>
        <w:footnoteRef/>
      </w:r>
      <w:r>
        <w:t xml:space="preserve"> </w:t>
      </w:r>
      <w:r w:rsidR="008C68C4" w:rsidRPr="008C68C4">
        <w:t xml:space="preserve">The shocked revenue heads were payroll tax, land tax, stamp duty on conveyances, insurance tax, light vehicles, heavy vehicles, motor stamp duty, iron ore, coal, gold, copper, lithium, nickel, other minerals </w:t>
      </w:r>
      <w:r w:rsidR="00ED43B4">
        <w:t xml:space="preserve">royalties </w:t>
      </w:r>
      <w:r w:rsidR="008C68C4" w:rsidRPr="008C68C4">
        <w:t>and other revenue. Commonwealth payments were excluded as states do not exert the same control in raising Commonwealth payments revenue as other revenue heads.</w:t>
      </w:r>
    </w:p>
  </w:footnote>
  <w:footnote w:id="8">
    <w:p w14:paraId="67A70706" w14:textId="23BCC652" w:rsidR="00793362" w:rsidRPr="00AD316F" w:rsidRDefault="00793362" w:rsidP="00793362">
      <w:pPr>
        <w:pStyle w:val="FootnoteText"/>
      </w:pPr>
      <w:r>
        <w:rPr>
          <w:rStyle w:val="FootnoteReference"/>
        </w:rPr>
        <w:footnoteRef/>
      </w:r>
      <w:r>
        <w:t xml:space="preserve"> 2024</w:t>
      </w:r>
      <w:r w:rsidR="00836495" w:rsidRPr="007B10F1">
        <w:t>–</w:t>
      </w:r>
      <w:r>
        <w:t>25 is the final year where state fiscal data is available from the ABS GFS.</w:t>
      </w:r>
    </w:p>
  </w:footnote>
  <w:footnote w:id="9">
    <w:p w14:paraId="53D21F84" w14:textId="77777777" w:rsidR="00E435E3" w:rsidRPr="005E7867" w:rsidRDefault="00E435E3" w:rsidP="00E435E3">
      <w:pPr>
        <w:pStyle w:val="FootnoteText"/>
        <w:rPr>
          <w:lang w:val="en-US"/>
        </w:rPr>
      </w:pPr>
      <w:r w:rsidRPr="009A65FD">
        <w:rPr>
          <w:rStyle w:val="FootnoteReference"/>
        </w:rPr>
        <w:footnoteRef/>
      </w:r>
      <w:r>
        <w:t xml:space="preserve"> </w:t>
      </w:r>
      <w:r w:rsidRPr="009F347E">
        <w:t>The Moody’s categories are used only as a benchmark for interpreting when interest costs become more material to fiscal sustainability; they do not imply a credit rating for any state.</w:t>
      </w:r>
    </w:p>
  </w:footnote>
  <w:footnote w:id="10">
    <w:p w14:paraId="6EA546D2" w14:textId="77777777" w:rsidR="0069194E" w:rsidRPr="00467DB6" w:rsidRDefault="0069194E" w:rsidP="0069194E">
      <w:pPr>
        <w:pStyle w:val="FootnoteText"/>
        <w:rPr>
          <w:lang w:val="en-US"/>
        </w:rPr>
      </w:pPr>
      <w:r>
        <w:rPr>
          <w:rStyle w:val="FootnoteReference"/>
        </w:rPr>
        <w:footnoteRef/>
      </w:r>
      <w:r>
        <w:t xml:space="preserve"> </w:t>
      </w:r>
      <w:r>
        <w:rPr>
          <w:lang w:val="en-US"/>
        </w:rPr>
        <w:t>This adjustment does not strip away any volatility contributed by the GST pool boost, in GST distribution systems where the pool boost is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3F2F" w14:textId="58415B23" w:rsidR="00BB5C22" w:rsidRDefault="00A37796" w:rsidP="00BB5C22">
    <w:pPr>
      <w:pStyle w:val="Header-Keyline"/>
    </w:pPr>
    <w:r>
      <w:rPr>
        <w:rStyle w:val="Strong"/>
      </w:rPr>
      <w:t>GST distribution reforms</w:t>
    </w:r>
    <w:r w:rsidR="00BB5C22">
      <w:t xml:space="preserve"> In</w:t>
    </w:r>
    <w:r w:rsidR="007C31D9">
      <w:t>terim</w:t>
    </w:r>
    <w:r w:rsidR="00BB5C22">
      <w:t xml:space="preserve"> </w:t>
    </w:r>
    <w:r w:rsidR="00F73BC3">
      <w:t>r</w:t>
    </w:r>
    <w:r w:rsidR="00BB5C22">
      <w:t>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F18F" w14:textId="468F5C6F" w:rsidR="00BB5C22" w:rsidRDefault="002A1003" w:rsidP="00BB5C22">
    <w:pPr>
      <w:pStyle w:val="Header-KeylineRight"/>
    </w:pPr>
    <w:r>
      <w:rPr>
        <w:noProof/>
      </w:rPr>
      <w:t>Inquiry framework for assessing the 2018 reforms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styleLink w:val="TOCList"/>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843437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3E6C9D"/>
    <w:multiLevelType w:val="multilevel"/>
    <w:tmpl w:val="5D027FC8"/>
    <w:numStyleLink w:val="Bullets"/>
  </w:abstractNum>
  <w:abstractNum w:abstractNumId="5" w15:restartNumberingAfterBreak="0">
    <w:nsid w:val="0F6F37EA"/>
    <w:multiLevelType w:val="multilevel"/>
    <w:tmpl w:val="1FA8DC2A"/>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454" w:hanging="227"/>
      </w:pPr>
      <w:rPr>
        <w:rFonts w:hint="default"/>
      </w:rPr>
    </w:lvl>
    <w:lvl w:ilvl="3">
      <w:start w:val="1"/>
      <w:numFmt w:val="lowerRoman"/>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istHeadings"/>
    <w:lvl w:ilvl="0">
      <w:start w:val="1"/>
      <w:numFmt w:val="lowerLetter"/>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454" w:hanging="227"/>
      </w:pPr>
      <w:rPr>
        <w:rFonts w:hint="default"/>
      </w:rPr>
    </w:lvl>
    <w:lvl w:ilvl="3">
      <w:start w:val="1"/>
      <w:numFmt w:val="lowerRoman"/>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370980"/>
    <w:multiLevelType w:val="hybridMultilevel"/>
    <w:tmpl w:val="03B6DFEC"/>
    <w:lvl w:ilvl="0" w:tplc="0B52BED8">
      <w:start w:val="2"/>
      <w:numFmt w:val="upperLetter"/>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2D665246"/>
    <w:multiLevelType w:val="multilevel"/>
    <w:tmpl w:val="55366B42"/>
    <w:styleLink w:val="Numbering"/>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2" w15:restartNumberingAfterBreak="0">
    <w:nsid w:val="2DFE29AF"/>
    <w:multiLevelType w:val="multilevel"/>
    <w:tmpl w:val="4FFE2852"/>
    <w:lvl w:ilvl="0">
      <w:start w:val="2"/>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F456E0"/>
    <w:multiLevelType w:val="hybridMultilevel"/>
    <w:tmpl w:val="FE9683E8"/>
    <w:lvl w:ilvl="0" w:tplc="E780A35E">
      <w:start w:val="2"/>
      <w:numFmt w:val="upperLetter"/>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583261"/>
    <w:multiLevelType w:val="multilevel"/>
    <w:tmpl w:val="CAAA5DC0"/>
    <w:lvl w:ilvl="0">
      <w:start w:val="1"/>
      <w:numFmt w:val="none"/>
      <w:lvlText w:val="B."/>
      <w:lvlJc w:val="left"/>
      <w:pPr>
        <w:ind w:left="1418" w:hanging="851"/>
      </w:pPr>
      <w:rPr>
        <w:rFonts w:hint="default"/>
      </w:rPr>
    </w:lvl>
    <w:lvl w:ilvl="1">
      <w:start w:val="1"/>
      <w:numFmt w:val="decimal"/>
      <w:lvlText w:val="%1B.%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E1502C"/>
    <w:multiLevelType w:val="multilevel"/>
    <w:tmpl w:val="5D027FC8"/>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8" w15:restartNumberingAfterBreak="0">
    <w:nsid w:val="67EB6AB0"/>
    <w:multiLevelType w:val="multilevel"/>
    <w:tmpl w:val="5D027FC8"/>
    <w:numStyleLink w:val="Bullets"/>
  </w:abstractNum>
  <w:abstractNum w:abstractNumId="19" w15:restartNumberingAfterBreak="0">
    <w:nsid w:val="761B4A1B"/>
    <w:multiLevelType w:val="multilevel"/>
    <w:tmpl w:val="4F48000A"/>
    <w:styleLink w:val="Table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num w:numId="1" w16cid:durableId="763303227">
    <w:abstractNumId w:val="6"/>
  </w:num>
  <w:num w:numId="2" w16cid:durableId="109015279">
    <w:abstractNumId w:val="3"/>
  </w:num>
  <w:num w:numId="3" w16cid:durableId="416827280">
    <w:abstractNumId w:val="9"/>
  </w:num>
  <w:num w:numId="4" w16cid:durableId="2119906880">
    <w:abstractNumId w:val="16"/>
  </w:num>
  <w:num w:numId="5" w16cid:durableId="1584148975">
    <w:abstractNumId w:val="17"/>
  </w:num>
  <w:num w:numId="6" w16cid:durableId="1771126203">
    <w:abstractNumId w:val="14"/>
  </w:num>
  <w:num w:numId="7" w16cid:durableId="2113940314">
    <w:abstractNumId w:val="12"/>
  </w:num>
  <w:num w:numId="8" w16cid:durableId="1459566104">
    <w:abstractNumId w:val="7"/>
  </w:num>
  <w:num w:numId="9" w16cid:durableId="797577100">
    <w:abstractNumId w:val="11"/>
  </w:num>
  <w:num w:numId="10" w16cid:durableId="1513379372">
    <w:abstractNumId w:val="19"/>
  </w:num>
  <w:num w:numId="11" w16cid:durableId="1788041181">
    <w:abstractNumId w:val="0"/>
  </w:num>
  <w:num w:numId="12" w16cid:durableId="52318963">
    <w:abstractNumId w:val="12"/>
  </w:num>
  <w:num w:numId="13" w16cid:durableId="1553808567">
    <w:abstractNumId w:val="11"/>
  </w:num>
  <w:num w:numId="14" w16cid:durableId="1560051465">
    <w:abstractNumId w:val="19"/>
  </w:num>
  <w:num w:numId="15" w16cid:durableId="1549957068">
    <w:abstractNumId w:val="0"/>
  </w:num>
  <w:num w:numId="16" w16cid:durableId="21368954">
    <w:abstractNumId w:val="8"/>
  </w:num>
  <w:num w:numId="17" w16cid:durableId="1142844144">
    <w:abstractNumId w:val="5"/>
  </w:num>
  <w:num w:numId="18" w16cid:durableId="1783837498">
    <w:abstractNumId w:val="4"/>
  </w:num>
  <w:num w:numId="19" w16cid:durableId="1769696709">
    <w:abstractNumId w:val="2"/>
  </w:num>
  <w:num w:numId="20" w16cid:durableId="1771197134">
    <w:abstractNumId w:val="13"/>
  </w:num>
  <w:num w:numId="21" w16cid:durableId="1725520041">
    <w:abstractNumId w:val="10"/>
  </w:num>
  <w:num w:numId="22" w16cid:durableId="1078360512">
    <w:abstractNumId w:val="15"/>
    <w:lvlOverride w:ilvl="0">
      <w:lvl w:ilvl="0">
        <w:start w:val="1"/>
        <w:numFmt w:val="none"/>
        <w:lvlText w:val="B."/>
        <w:lvlJc w:val="left"/>
        <w:pPr>
          <w:ind w:left="1418" w:hanging="851"/>
        </w:pPr>
        <w:rPr>
          <w:rFonts w:hint="default"/>
        </w:rPr>
      </w:lvl>
    </w:lvlOverride>
    <w:lvlOverride w:ilvl="1">
      <w:lvl w:ilvl="1">
        <w:start w:val="1"/>
        <w:numFmt w:val="decimal"/>
        <w:lvlText w:val="%1B.2"/>
        <w:lvlJc w:val="left"/>
        <w:pPr>
          <w:ind w:left="851" w:hanging="851"/>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16cid:durableId="664209092">
    <w:abstractNumId w:val="1"/>
  </w:num>
  <w:num w:numId="24" w16cid:durableId="1670911732">
    <w:abstractNumId w:val="18"/>
  </w:num>
  <w:num w:numId="25" w16cid:durableId="90803033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27"/>
    <w:rsid w:val="00000075"/>
    <w:rsid w:val="00000528"/>
    <w:rsid w:val="00000AC3"/>
    <w:rsid w:val="00000F3C"/>
    <w:rsid w:val="0000113D"/>
    <w:rsid w:val="00001ECD"/>
    <w:rsid w:val="000022BC"/>
    <w:rsid w:val="00002837"/>
    <w:rsid w:val="0000342F"/>
    <w:rsid w:val="00003B68"/>
    <w:rsid w:val="00004489"/>
    <w:rsid w:val="0000561F"/>
    <w:rsid w:val="00005C79"/>
    <w:rsid w:val="00006032"/>
    <w:rsid w:val="00007029"/>
    <w:rsid w:val="000077AC"/>
    <w:rsid w:val="00010B02"/>
    <w:rsid w:val="000115FB"/>
    <w:rsid w:val="00013717"/>
    <w:rsid w:val="00013A70"/>
    <w:rsid w:val="00014717"/>
    <w:rsid w:val="00015D90"/>
    <w:rsid w:val="000170C6"/>
    <w:rsid w:val="000171AE"/>
    <w:rsid w:val="000171ED"/>
    <w:rsid w:val="00017779"/>
    <w:rsid w:val="00017BAA"/>
    <w:rsid w:val="00017C8B"/>
    <w:rsid w:val="00020F17"/>
    <w:rsid w:val="00021410"/>
    <w:rsid w:val="00021A35"/>
    <w:rsid w:val="00021A81"/>
    <w:rsid w:val="00021B9C"/>
    <w:rsid w:val="000223FF"/>
    <w:rsid w:val="00023148"/>
    <w:rsid w:val="00024779"/>
    <w:rsid w:val="00024BBC"/>
    <w:rsid w:val="00025FA9"/>
    <w:rsid w:val="00026467"/>
    <w:rsid w:val="00026783"/>
    <w:rsid w:val="00026C04"/>
    <w:rsid w:val="00027654"/>
    <w:rsid w:val="00027A22"/>
    <w:rsid w:val="000300AF"/>
    <w:rsid w:val="00030FD6"/>
    <w:rsid w:val="000322B7"/>
    <w:rsid w:val="000331E4"/>
    <w:rsid w:val="0003338D"/>
    <w:rsid w:val="00033619"/>
    <w:rsid w:val="00033ED7"/>
    <w:rsid w:val="00035E70"/>
    <w:rsid w:val="00035F38"/>
    <w:rsid w:val="000428F5"/>
    <w:rsid w:val="0004343E"/>
    <w:rsid w:val="000435F0"/>
    <w:rsid w:val="00043ED0"/>
    <w:rsid w:val="00044402"/>
    <w:rsid w:val="00047894"/>
    <w:rsid w:val="000479E4"/>
    <w:rsid w:val="00047B7A"/>
    <w:rsid w:val="000504C2"/>
    <w:rsid w:val="0005151B"/>
    <w:rsid w:val="00051672"/>
    <w:rsid w:val="00052800"/>
    <w:rsid w:val="000530FE"/>
    <w:rsid w:val="00054186"/>
    <w:rsid w:val="0005452C"/>
    <w:rsid w:val="00054C95"/>
    <w:rsid w:val="0005584F"/>
    <w:rsid w:val="00055B06"/>
    <w:rsid w:val="00055C05"/>
    <w:rsid w:val="000561CF"/>
    <w:rsid w:val="00056761"/>
    <w:rsid w:val="0005774F"/>
    <w:rsid w:val="00057D25"/>
    <w:rsid w:val="00057F4F"/>
    <w:rsid w:val="00060EC9"/>
    <w:rsid w:val="0006169E"/>
    <w:rsid w:val="0006189C"/>
    <w:rsid w:val="00061B7E"/>
    <w:rsid w:val="0006231D"/>
    <w:rsid w:val="00062A44"/>
    <w:rsid w:val="00063001"/>
    <w:rsid w:val="000638AE"/>
    <w:rsid w:val="00063A82"/>
    <w:rsid w:val="000642DA"/>
    <w:rsid w:val="00064779"/>
    <w:rsid w:val="00066051"/>
    <w:rsid w:val="000669BF"/>
    <w:rsid w:val="0006705C"/>
    <w:rsid w:val="000674A7"/>
    <w:rsid w:val="0006788B"/>
    <w:rsid w:val="00067D45"/>
    <w:rsid w:val="00070C8C"/>
    <w:rsid w:val="00070D20"/>
    <w:rsid w:val="000721E4"/>
    <w:rsid w:val="000722BD"/>
    <w:rsid w:val="000724AE"/>
    <w:rsid w:val="0007379A"/>
    <w:rsid w:val="00074284"/>
    <w:rsid w:val="00074B1B"/>
    <w:rsid w:val="000750C4"/>
    <w:rsid w:val="00076310"/>
    <w:rsid w:val="0007776A"/>
    <w:rsid w:val="000778D8"/>
    <w:rsid w:val="00077A76"/>
    <w:rsid w:val="0008037D"/>
    <w:rsid w:val="0008038F"/>
    <w:rsid w:val="0008102D"/>
    <w:rsid w:val="000832F2"/>
    <w:rsid w:val="00084660"/>
    <w:rsid w:val="00085FB9"/>
    <w:rsid w:val="00090BD2"/>
    <w:rsid w:val="00091286"/>
    <w:rsid w:val="0009258A"/>
    <w:rsid w:val="00092BB7"/>
    <w:rsid w:val="000932F9"/>
    <w:rsid w:val="00093F9A"/>
    <w:rsid w:val="000948A2"/>
    <w:rsid w:val="00095A54"/>
    <w:rsid w:val="00095AB7"/>
    <w:rsid w:val="00097847"/>
    <w:rsid w:val="000A0DA2"/>
    <w:rsid w:val="000A0ED4"/>
    <w:rsid w:val="000A0F08"/>
    <w:rsid w:val="000A1E4A"/>
    <w:rsid w:val="000A25A9"/>
    <w:rsid w:val="000A2DD8"/>
    <w:rsid w:val="000A3027"/>
    <w:rsid w:val="000A32D7"/>
    <w:rsid w:val="000A36F1"/>
    <w:rsid w:val="000A38AA"/>
    <w:rsid w:val="000A3D27"/>
    <w:rsid w:val="000A3E53"/>
    <w:rsid w:val="000A412B"/>
    <w:rsid w:val="000A5114"/>
    <w:rsid w:val="000A68ED"/>
    <w:rsid w:val="000A6B23"/>
    <w:rsid w:val="000A6FF7"/>
    <w:rsid w:val="000A74E1"/>
    <w:rsid w:val="000B2719"/>
    <w:rsid w:val="000B34DC"/>
    <w:rsid w:val="000B3B4B"/>
    <w:rsid w:val="000B497F"/>
    <w:rsid w:val="000B4A72"/>
    <w:rsid w:val="000B5105"/>
    <w:rsid w:val="000B58C1"/>
    <w:rsid w:val="000B7131"/>
    <w:rsid w:val="000B789E"/>
    <w:rsid w:val="000B7ED0"/>
    <w:rsid w:val="000C1A74"/>
    <w:rsid w:val="000C3452"/>
    <w:rsid w:val="000C544D"/>
    <w:rsid w:val="000C5745"/>
    <w:rsid w:val="000C5755"/>
    <w:rsid w:val="000C64DD"/>
    <w:rsid w:val="000C6B77"/>
    <w:rsid w:val="000C6C5A"/>
    <w:rsid w:val="000C6F04"/>
    <w:rsid w:val="000D1239"/>
    <w:rsid w:val="000D2D53"/>
    <w:rsid w:val="000D3996"/>
    <w:rsid w:val="000D3E42"/>
    <w:rsid w:val="000D3E90"/>
    <w:rsid w:val="000D4ABB"/>
    <w:rsid w:val="000D4C72"/>
    <w:rsid w:val="000D5CBF"/>
    <w:rsid w:val="000D5F89"/>
    <w:rsid w:val="000D6C27"/>
    <w:rsid w:val="000E0AF8"/>
    <w:rsid w:val="000E163B"/>
    <w:rsid w:val="000E2199"/>
    <w:rsid w:val="000E2215"/>
    <w:rsid w:val="000E2E56"/>
    <w:rsid w:val="000E2EF6"/>
    <w:rsid w:val="000E3B4C"/>
    <w:rsid w:val="000E43B0"/>
    <w:rsid w:val="000E4858"/>
    <w:rsid w:val="000E4A7D"/>
    <w:rsid w:val="000E4E55"/>
    <w:rsid w:val="000E52BC"/>
    <w:rsid w:val="000E57E4"/>
    <w:rsid w:val="000E5CDF"/>
    <w:rsid w:val="000E67A0"/>
    <w:rsid w:val="000E74E6"/>
    <w:rsid w:val="000E74F6"/>
    <w:rsid w:val="000F0BAC"/>
    <w:rsid w:val="000F2279"/>
    <w:rsid w:val="000F369C"/>
    <w:rsid w:val="000F4488"/>
    <w:rsid w:val="000F7A57"/>
    <w:rsid w:val="00100249"/>
    <w:rsid w:val="001002C3"/>
    <w:rsid w:val="0010093C"/>
    <w:rsid w:val="00100E1D"/>
    <w:rsid w:val="00100FAB"/>
    <w:rsid w:val="0010110F"/>
    <w:rsid w:val="00101207"/>
    <w:rsid w:val="0010207A"/>
    <w:rsid w:val="00103DCA"/>
    <w:rsid w:val="00103F5F"/>
    <w:rsid w:val="001046AF"/>
    <w:rsid w:val="001049EB"/>
    <w:rsid w:val="00104E8B"/>
    <w:rsid w:val="001069CB"/>
    <w:rsid w:val="00106CC1"/>
    <w:rsid w:val="00107981"/>
    <w:rsid w:val="00107BD4"/>
    <w:rsid w:val="00111236"/>
    <w:rsid w:val="0011182C"/>
    <w:rsid w:val="00111963"/>
    <w:rsid w:val="0011217E"/>
    <w:rsid w:val="00112E8F"/>
    <w:rsid w:val="00112F05"/>
    <w:rsid w:val="001130F1"/>
    <w:rsid w:val="00114402"/>
    <w:rsid w:val="0011485F"/>
    <w:rsid w:val="001148E2"/>
    <w:rsid w:val="00116F88"/>
    <w:rsid w:val="00117150"/>
    <w:rsid w:val="00117BE8"/>
    <w:rsid w:val="00120792"/>
    <w:rsid w:val="001213AE"/>
    <w:rsid w:val="00122E47"/>
    <w:rsid w:val="00123179"/>
    <w:rsid w:val="001231F3"/>
    <w:rsid w:val="001240A4"/>
    <w:rsid w:val="00125D32"/>
    <w:rsid w:val="00125D56"/>
    <w:rsid w:val="00126603"/>
    <w:rsid w:val="0012661E"/>
    <w:rsid w:val="001268BC"/>
    <w:rsid w:val="001271C8"/>
    <w:rsid w:val="001273DA"/>
    <w:rsid w:val="0013030E"/>
    <w:rsid w:val="001316D8"/>
    <w:rsid w:val="00134188"/>
    <w:rsid w:val="00134237"/>
    <w:rsid w:val="0013439C"/>
    <w:rsid w:val="00134600"/>
    <w:rsid w:val="0013664C"/>
    <w:rsid w:val="00136714"/>
    <w:rsid w:val="00136DB2"/>
    <w:rsid w:val="0013722E"/>
    <w:rsid w:val="001376E3"/>
    <w:rsid w:val="00137C44"/>
    <w:rsid w:val="00137FAB"/>
    <w:rsid w:val="0014161A"/>
    <w:rsid w:val="00141EA4"/>
    <w:rsid w:val="001420D5"/>
    <w:rsid w:val="00143BFC"/>
    <w:rsid w:val="00143EEB"/>
    <w:rsid w:val="00144062"/>
    <w:rsid w:val="00145519"/>
    <w:rsid w:val="0014564A"/>
    <w:rsid w:val="00147A40"/>
    <w:rsid w:val="00147AD1"/>
    <w:rsid w:val="00151692"/>
    <w:rsid w:val="00151756"/>
    <w:rsid w:val="0015483A"/>
    <w:rsid w:val="00154A9B"/>
    <w:rsid w:val="00154E0D"/>
    <w:rsid w:val="0015542B"/>
    <w:rsid w:val="001600E9"/>
    <w:rsid w:val="00160F28"/>
    <w:rsid w:val="00160FEC"/>
    <w:rsid w:val="001610E5"/>
    <w:rsid w:val="00161BC8"/>
    <w:rsid w:val="00162586"/>
    <w:rsid w:val="00164767"/>
    <w:rsid w:val="00164B0F"/>
    <w:rsid w:val="00164B4B"/>
    <w:rsid w:val="00165D8D"/>
    <w:rsid w:val="00165F7B"/>
    <w:rsid w:val="00166A44"/>
    <w:rsid w:val="0016734E"/>
    <w:rsid w:val="00170806"/>
    <w:rsid w:val="00170CD7"/>
    <w:rsid w:val="00170D76"/>
    <w:rsid w:val="001714F3"/>
    <w:rsid w:val="00171C48"/>
    <w:rsid w:val="00171C8C"/>
    <w:rsid w:val="0017255F"/>
    <w:rsid w:val="001726AB"/>
    <w:rsid w:val="00173811"/>
    <w:rsid w:val="00173D55"/>
    <w:rsid w:val="00173E5A"/>
    <w:rsid w:val="00174143"/>
    <w:rsid w:val="00174A09"/>
    <w:rsid w:val="00174E98"/>
    <w:rsid w:val="00174ED0"/>
    <w:rsid w:val="001757E3"/>
    <w:rsid w:val="00175A83"/>
    <w:rsid w:val="00175C88"/>
    <w:rsid w:val="00175D80"/>
    <w:rsid w:val="001763B6"/>
    <w:rsid w:val="00176527"/>
    <w:rsid w:val="0017693A"/>
    <w:rsid w:val="001804D0"/>
    <w:rsid w:val="00181765"/>
    <w:rsid w:val="00181916"/>
    <w:rsid w:val="00182898"/>
    <w:rsid w:val="00182B3B"/>
    <w:rsid w:val="00184206"/>
    <w:rsid w:val="001846D7"/>
    <w:rsid w:val="00184D2D"/>
    <w:rsid w:val="001850D0"/>
    <w:rsid w:val="00185216"/>
    <w:rsid w:val="00185A64"/>
    <w:rsid w:val="00185C44"/>
    <w:rsid w:val="00186464"/>
    <w:rsid w:val="0018720F"/>
    <w:rsid w:val="00187A9C"/>
    <w:rsid w:val="00187E26"/>
    <w:rsid w:val="00187F05"/>
    <w:rsid w:val="00191040"/>
    <w:rsid w:val="001915E8"/>
    <w:rsid w:val="00191962"/>
    <w:rsid w:val="00192D6D"/>
    <w:rsid w:val="001933AB"/>
    <w:rsid w:val="00193A70"/>
    <w:rsid w:val="00194486"/>
    <w:rsid w:val="00194E52"/>
    <w:rsid w:val="001957BF"/>
    <w:rsid w:val="00195890"/>
    <w:rsid w:val="00195CA4"/>
    <w:rsid w:val="00197586"/>
    <w:rsid w:val="00197602"/>
    <w:rsid w:val="001977CE"/>
    <w:rsid w:val="00197928"/>
    <w:rsid w:val="001A040F"/>
    <w:rsid w:val="001A0D77"/>
    <w:rsid w:val="001A13C7"/>
    <w:rsid w:val="001A196A"/>
    <w:rsid w:val="001A1A7C"/>
    <w:rsid w:val="001A1CFF"/>
    <w:rsid w:val="001A1D95"/>
    <w:rsid w:val="001A1DF4"/>
    <w:rsid w:val="001A1FA9"/>
    <w:rsid w:val="001A2565"/>
    <w:rsid w:val="001A4BBF"/>
    <w:rsid w:val="001A4D7A"/>
    <w:rsid w:val="001A4DF0"/>
    <w:rsid w:val="001A5235"/>
    <w:rsid w:val="001A5837"/>
    <w:rsid w:val="001A6A3B"/>
    <w:rsid w:val="001A6BFD"/>
    <w:rsid w:val="001A7CE7"/>
    <w:rsid w:val="001B0B82"/>
    <w:rsid w:val="001B1762"/>
    <w:rsid w:val="001B17AC"/>
    <w:rsid w:val="001B1907"/>
    <w:rsid w:val="001B1AB1"/>
    <w:rsid w:val="001B1E4C"/>
    <w:rsid w:val="001B349B"/>
    <w:rsid w:val="001B3D3A"/>
    <w:rsid w:val="001B420E"/>
    <w:rsid w:val="001B588D"/>
    <w:rsid w:val="001B6CE3"/>
    <w:rsid w:val="001B7FD6"/>
    <w:rsid w:val="001C2C9D"/>
    <w:rsid w:val="001C2E9B"/>
    <w:rsid w:val="001C32C8"/>
    <w:rsid w:val="001C3E33"/>
    <w:rsid w:val="001C4513"/>
    <w:rsid w:val="001C4CAD"/>
    <w:rsid w:val="001C52EF"/>
    <w:rsid w:val="001C57EE"/>
    <w:rsid w:val="001C7622"/>
    <w:rsid w:val="001C7835"/>
    <w:rsid w:val="001D1223"/>
    <w:rsid w:val="001D155E"/>
    <w:rsid w:val="001D25F4"/>
    <w:rsid w:val="001D2E40"/>
    <w:rsid w:val="001D4050"/>
    <w:rsid w:val="001D4ADF"/>
    <w:rsid w:val="001D5690"/>
    <w:rsid w:val="001D58D0"/>
    <w:rsid w:val="001D60EA"/>
    <w:rsid w:val="001D7A94"/>
    <w:rsid w:val="001D7D9B"/>
    <w:rsid w:val="001E12B5"/>
    <w:rsid w:val="001E1619"/>
    <w:rsid w:val="001E3285"/>
    <w:rsid w:val="001E3B1B"/>
    <w:rsid w:val="001E4841"/>
    <w:rsid w:val="001E4A91"/>
    <w:rsid w:val="001E4C80"/>
    <w:rsid w:val="001E5099"/>
    <w:rsid w:val="001E54BE"/>
    <w:rsid w:val="001E5F5A"/>
    <w:rsid w:val="001E6FAA"/>
    <w:rsid w:val="001E7633"/>
    <w:rsid w:val="001E7D9A"/>
    <w:rsid w:val="001E7F79"/>
    <w:rsid w:val="001F012A"/>
    <w:rsid w:val="001F039B"/>
    <w:rsid w:val="001F0673"/>
    <w:rsid w:val="001F0E2E"/>
    <w:rsid w:val="001F13C1"/>
    <w:rsid w:val="001F1E9A"/>
    <w:rsid w:val="001F2436"/>
    <w:rsid w:val="001F2B6B"/>
    <w:rsid w:val="001F3153"/>
    <w:rsid w:val="001F410A"/>
    <w:rsid w:val="001F43E0"/>
    <w:rsid w:val="001F446D"/>
    <w:rsid w:val="001F5278"/>
    <w:rsid w:val="001F5ACA"/>
    <w:rsid w:val="001F5D2A"/>
    <w:rsid w:val="001F6B0A"/>
    <w:rsid w:val="001F6EED"/>
    <w:rsid w:val="00200CB0"/>
    <w:rsid w:val="00201320"/>
    <w:rsid w:val="0020155F"/>
    <w:rsid w:val="0020204A"/>
    <w:rsid w:val="00202349"/>
    <w:rsid w:val="00203DE4"/>
    <w:rsid w:val="0020415E"/>
    <w:rsid w:val="00204384"/>
    <w:rsid w:val="0020451E"/>
    <w:rsid w:val="00204586"/>
    <w:rsid w:val="0020466A"/>
    <w:rsid w:val="00204DCE"/>
    <w:rsid w:val="0020541E"/>
    <w:rsid w:val="0020628D"/>
    <w:rsid w:val="00206623"/>
    <w:rsid w:val="00206D59"/>
    <w:rsid w:val="00207EB8"/>
    <w:rsid w:val="002100D1"/>
    <w:rsid w:val="002112EC"/>
    <w:rsid w:val="0021147D"/>
    <w:rsid w:val="00211B56"/>
    <w:rsid w:val="00212145"/>
    <w:rsid w:val="002121BC"/>
    <w:rsid w:val="002122FA"/>
    <w:rsid w:val="00213898"/>
    <w:rsid w:val="00213A5E"/>
    <w:rsid w:val="00214234"/>
    <w:rsid w:val="002147BA"/>
    <w:rsid w:val="0021507C"/>
    <w:rsid w:val="0021535C"/>
    <w:rsid w:val="00216847"/>
    <w:rsid w:val="00216E85"/>
    <w:rsid w:val="0021707B"/>
    <w:rsid w:val="00217FAB"/>
    <w:rsid w:val="0022017E"/>
    <w:rsid w:val="002202B8"/>
    <w:rsid w:val="002208B6"/>
    <w:rsid w:val="0022175B"/>
    <w:rsid w:val="00221800"/>
    <w:rsid w:val="00221AB7"/>
    <w:rsid w:val="00223A7F"/>
    <w:rsid w:val="00224CE3"/>
    <w:rsid w:val="0022528D"/>
    <w:rsid w:val="00225792"/>
    <w:rsid w:val="002268E4"/>
    <w:rsid w:val="0022757D"/>
    <w:rsid w:val="002275A3"/>
    <w:rsid w:val="00227712"/>
    <w:rsid w:val="00232317"/>
    <w:rsid w:val="002323A5"/>
    <w:rsid w:val="002329DB"/>
    <w:rsid w:val="002330F2"/>
    <w:rsid w:val="00233F2C"/>
    <w:rsid w:val="0023500B"/>
    <w:rsid w:val="0023575C"/>
    <w:rsid w:val="00235B59"/>
    <w:rsid w:val="00235FF3"/>
    <w:rsid w:val="002361BC"/>
    <w:rsid w:val="00236774"/>
    <w:rsid w:val="0023752C"/>
    <w:rsid w:val="00240912"/>
    <w:rsid w:val="00240A4D"/>
    <w:rsid w:val="00240B81"/>
    <w:rsid w:val="002410E3"/>
    <w:rsid w:val="0024167D"/>
    <w:rsid w:val="002424A8"/>
    <w:rsid w:val="0024280F"/>
    <w:rsid w:val="002442EA"/>
    <w:rsid w:val="002443E1"/>
    <w:rsid w:val="002445C7"/>
    <w:rsid w:val="002457DE"/>
    <w:rsid w:val="00246435"/>
    <w:rsid w:val="00246461"/>
    <w:rsid w:val="00246BCF"/>
    <w:rsid w:val="00246E42"/>
    <w:rsid w:val="002478A9"/>
    <w:rsid w:val="00250117"/>
    <w:rsid w:val="00251245"/>
    <w:rsid w:val="00251CA2"/>
    <w:rsid w:val="00252486"/>
    <w:rsid w:val="00252F38"/>
    <w:rsid w:val="00252F75"/>
    <w:rsid w:val="00253171"/>
    <w:rsid w:val="00253F92"/>
    <w:rsid w:val="0025437B"/>
    <w:rsid w:val="00255E89"/>
    <w:rsid w:val="00257B5F"/>
    <w:rsid w:val="002601BB"/>
    <w:rsid w:val="00260C3F"/>
    <w:rsid w:val="0026169B"/>
    <w:rsid w:val="0026244D"/>
    <w:rsid w:val="002625F5"/>
    <w:rsid w:val="0026261A"/>
    <w:rsid w:val="00262FF7"/>
    <w:rsid w:val="00264745"/>
    <w:rsid w:val="00264893"/>
    <w:rsid w:val="00265918"/>
    <w:rsid w:val="00266B6F"/>
    <w:rsid w:val="00267D54"/>
    <w:rsid w:val="00270834"/>
    <w:rsid w:val="0027093B"/>
    <w:rsid w:val="00272EE8"/>
    <w:rsid w:val="00273093"/>
    <w:rsid w:val="00273E86"/>
    <w:rsid w:val="0027433D"/>
    <w:rsid w:val="00274768"/>
    <w:rsid w:val="00274DBF"/>
    <w:rsid w:val="00276454"/>
    <w:rsid w:val="002769FA"/>
    <w:rsid w:val="00276E5B"/>
    <w:rsid w:val="00277140"/>
    <w:rsid w:val="00277417"/>
    <w:rsid w:val="00277486"/>
    <w:rsid w:val="00277517"/>
    <w:rsid w:val="00277C79"/>
    <w:rsid w:val="00277E42"/>
    <w:rsid w:val="002814E6"/>
    <w:rsid w:val="00281A54"/>
    <w:rsid w:val="00281D2F"/>
    <w:rsid w:val="00282329"/>
    <w:rsid w:val="00282AE5"/>
    <w:rsid w:val="00283F0C"/>
    <w:rsid w:val="00283F66"/>
    <w:rsid w:val="0028476D"/>
    <w:rsid w:val="00285D88"/>
    <w:rsid w:val="00287114"/>
    <w:rsid w:val="002878F9"/>
    <w:rsid w:val="00287B7E"/>
    <w:rsid w:val="00287C4D"/>
    <w:rsid w:val="002904A7"/>
    <w:rsid w:val="00290A5D"/>
    <w:rsid w:val="0029249A"/>
    <w:rsid w:val="002926F0"/>
    <w:rsid w:val="0029364C"/>
    <w:rsid w:val="002936B4"/>
    <w:rsid w:val="002943F8"/>
    <w:rsid w:val="00294DD2"/>
    <w:rsid w:val="002951E6"/>
    <w:rsid w:val="00295330"/>
    <w:rsid w:val="002966A9"/>
    <w:rsid w:val="00296730"/>
    <w:rsid w:val="00297D1C"/>
    <w:rsid w:val="002A04BC"/>
    <w:rsid w:val="002A0724"/>
    <w:rsid w:val="002A0D79"/>
    <w:rsid w:val="002A1003"/>
    <w:rsid w:val="002A1879"/>
    <w:rsid w:val="002A1D00"/>
    <w:rsid w:val="002A33BE"/>
    <w:rsid w:val="002A3D40"/>
    <w:rsid w:val="002A3DF5"/>
    <w:rsid w:val="002A3F76"/>
    <w:rsid w:val="002A46AC"/>
    <w:rsid w:val="002A55B8"/>
    <w:rsid w:val="002A78B9"/>
    <w:rsid w:val="002A78C3"/>
    <w:rsid w:val="002A78CC"/>
    <w:rsid w:val="002B0577"/>
    <w:rsid w:val="002B1134"/>
    <w:rsid w:val="002B1DD3"/>
    <w:rsid w:val="002B1EEE"/>
    <w:rsid w:val="002B205B"/>
    <w:rsid w:val="002B53CD"/>
    <w:rsid w:val="002B687D"/>
    <w:rsid w:val="002B68A3"/>
    <w:rsid w:val="002B690B"/>
    <w:rsid w:val="002B75DE"/>
    <w:rsid w:val="002C0578"/>
    <w:rsid w:val="002C1776"/>
    <w:rsid w:val="002C1EA6"/>
    <w:rsid w:val="002C3B51"/>
    <w:rsid w:val="002C3DDA"/>
    <w:rsid w:val="002C6FD1"/>
    <w:rsid w:val="002C7046"/>
    <w:rsid w:val="002C797E"/>
    <w:rsid w:val="002D07CA"/>
    <w:rsid w:val="002D1EF8"/>
    <w:rsid w:val="002D27E7"/>
    <w:rsid w:val="002D2D09"/>
    <w:rsid w:val="002D36D9"/>
    <w:rsid w:val="002D4AB3"/>
    <w:rsid w:val="002D50CB"/>
    <w:rsid w:val="002D546E"/>
    <w:rsid w:val="002D6BF0"/>
    <w:rsid w:val="002D72B3"/>
    <w:rsid w:val="002E002F"/>
    <w:rsid w:val="002E005B"/>
    <w:rsid w:val="002E20F9"/>
    <w:rsid w:val="002E2F2F"/>
    <w:rsid w:val="002E3356"/>
    <w:rsid w:val="002E3F19"/>
    <w:rsid w:val="002E42E5"/>
    <w:rsid w:val="002E49CE"/>
    <w:rsid w:val="002E4A44"/>
    <w:rsid w:val="002E51D2"/>
    <w:rsid w:val="002E5C85"/>
    <w:rsid w:val="002E64DB"/>
    <w:rsid w:val="002E6CEF"/>
    <w:rsid w:val="002E7A0E"/>
    <w:rsid w:val="002E7EFA"/>
    <w:rsid w:val="002F081A"/>
    <w:rsid w:val="002F0A91"/>
    <w:rsid w:val="002F20FE"/>
    <w:rsid w:val="002F3A22"/>
    <w:rsid w:val="002F5301"/>
    <w:rsid w:val="002F5E70"/>
    <w:rsid w:val="002F6386"/>
    <w:rsid w:val="002F70AB"/>
    <w:rsid w:val="002F7D40"/>
    <w:rsid w:val="00300898"/>
    <w:rsid w:val="00300B6F"/>
    <w:rsid w:val="00300C14"/>
    <w:rsid w:val="003014C6"/>
    <w:rsid w:val="0030246C"/>
    <w:rsid w:val="00303704"/>
    <w:rsid w:val="003039FD"/>
    <w:rsid w:val="00304D6D"/>
    <w:rsid w:val="00305171"/>
    <w:rsid w:val="003054C0"/>
    <w:rsid w:val="00305A66"/>
    <w:rsid w:val="0030609F"/>
    <w:rsid w:val="00306598"/>
    <w:rsid w:val="00307254"/>
    <w:rsid w:val="00307B83"/>
    <w:rsid w:val="003105D2"/>
    <w:rsid w:val="00311045"/>
    <w:rsid w:val="00311CD8"/>
    <w:rsid w:val="00312D7E"/>
    <w:rsid w:val="00313B6C"/>
    <w:rsid w:val="00313E9A"/>
    <w:rsid w:val="00314B96"/>
    <w:rsid w:val="00315781"/>
    <w:rsid w:val="00315B8B"/>
    <w:rsid w:val="0031665D"/>
    <w:rsid w:val="00317BCE"/>
    <w:rsid w:val="00320B34"/>
    <w:rsid w:val="0032122A"/>
    <w:rsid w:val="00321901"/>
    <w:rsid w:val="00321D43"/>
    <w:rsid w:val="00321F12"/>
    <w:rsid w:val="003220F0"/>
    <w:rsid w:val="00322A9E"/>
    <w:rsid w:val="00323400"/>
    <w:rsid w:val="00323496"/>
    <w:rsid w:val="0032448A"/>
    <w:rsid w:val="00324818"/>
    <w:rsid w:val="003266CD"/>
    <w:rsid w:val="00326A36"/>
    <w:rsid w:val="003300F6"/>
    <w:rsid w:val="003301B7"/>
    <w:rsid w:val="003311AE"/>
    <w:rsid w:val="00331E1E"/>
    <w:rsid w:val="00332FFC"/>
    <w:rsid w:val="00333C0D"/>
    <w:rsid w:val="0033503E"/>
    <w:rsid w:val="00336E24"/>
    <w:rsid w:val="00336ECB"/>
    <w:rsid w:val="00340FCF"/>
    <w:rsid w:val="00341D2D"/>
    <w:rsid w:val="00344A92"/>
    <w:rsid w:val="00345891"/>
    <w:rsid w:val="0034680A"/>
    <w:rsid w:val="0035095C"/>
    <w:rsid w:val="0035197C"/>
    <w:rsid w:val="00351CBB"/>
    <w:rsid w:val="00352042"/>
    <w:rsid w:val="0035217D"/>
    <w:rsid w:val="003540BD"/>
    <w:rsid w:val="00354307"/>
    <w:rsid w:val="0035445C"/>
    <w:rsid w:val="00354478"/>
    <w:rsid w:val="00354538"/>
    <w:rsid w:val="00354696"/>
    <w:rsid w:val="00354A8A"/>
    <w:rsid w:val="00355057"/>
    <w:rsid w:val="0035519A"/>
    <w:rsid w:val="00355C63"/>
    <w:rsid w:val="0035689B"/>
    <w:rsid w:val="0036059A"/>
    <w:rsid w:val="003605DF"/>
    <w:rsid w:val="00360C75"/>
    <w:rsid w:val="00363441"/>
    <w:rsid w:val="00363704"/>
    <w:rsid w:val="00363A80"/>
    <w:rsid w:val="00363FF8"/>
    <w:rsid w:val="003640E1"/>
    <w:rsid w:val="00364619"/>
    <w:rsid w:val="00365FE5"/>
    <w:rsid w:val="00366215"/>
    <w:rsid w:val="00367FA0"/>
    <w:rsid w:val="00372657"/>
    <w:rsid w:val="003731E6"/>
    <w:rsid w:val="00375048"/>
    <w:rsid w:val="00375728"/>
    <w:rsid w:val="00376491"/>
    <w:rsid w:val="00376660"/>
    <w:rsid w:val="00376AE7"/>
    <w:rsid w:val="00376BD3"/>
    <w:rsid w:val="003771EA"/>
    <w:rsid w:val="0037721D"/>
    <w:rsid w:val="003809C8"/>
    <w:rsid w:val="0038102A"/>
    <w:rsid w:val="00382D5F"/>
    <w:rsid w:val="003833B4"/>
    <w:rsid w:val="00383B37"/>
    <w:rsid w:val="00384017"/>
    <w:rsid w:val="00384F92"/>
    <w:rsid w:val="003900DC"/>
    <w:rsid w:val="0039065F"/>
    <w:rsid w:val="0039084E"/>
    <w:rsid w:val="00391FD0"/>
    <w:rsid w:val="00392958"/>
    <w:rsid w:val="0039370D"/>
    <w:rsid w:val="00393BC8"/>
    <w:rsid w:val="0039623D"/>
    <w:rsid w:val="0039740F"/>
    <w:rsid w:val="003975AB"/>
    <w:rsid w:val="003A0A1C"/>
    <w:rsid w:val="003A2D1A"/>
    <w:rsid w:val="003A2FC2"/>
    <w:rsid w:val="003A4BE1"/>
    <w:rsid w:val="003A4F6A"/>
    <w:rsid w:val="003A743E"/>
    <w:rsid w:val="003A7ADE"/>
    <w:rsid w:val="003B0C14"/>
    <w:rsid w:val="003B139A"/>
    <w:rsid w:val="003B268C"/>
    <w:rsid w:val="003B26B3"/>
    <w:rsid w:val="003B2A34"/>
    <w:rsid w:val="003B2E8C"/>
    <w:rsid w:val="003B3350"/>
    <w:rsid w:val="003B48E6"/>
    <w:rsid w:val="003B5061"/>
    <w:rsid w:val="003B5764"/>
    <w:rsid w:val="003B5DAA"/>
    <w:rsid w:val="003B6E2C"/>
    <w:rsid w:val="003B7BBB"/>
    <w:rsid w:val="003B7D1E"/>
    <w:rsid w:val="003B7DB1"/>
    <w:rsid w:val="003C0037"/>
    <w:rsid w:val="003C01D4"/>
    <w:rsid w:val="003C02DF"/>
    <w:rsid w:val="003C03B2"/>
    <w:rsid w:val="003C0C6B"/>
    <w:rsid w:val="003C2256"/>
    <w:rsid w:val="003C2CC3"/>
    <w:rsid w:val="003C3757"/>
    <w:rsid w:val="003C3B54"/>
    <w:rsid w:val="003C4990"/>
    <w:rsid w:val="003C6327"/>
    <w:rsid w:val="003C66BD"/>
    <w:rsid w:val="003C6941"/>
    <w:rsid w:val="003C69BF"/>
    <w:rsid w:val="003C7075"/>
    <w:rsid w:val="003C748C"/>
    <w:rsid w:val="003D09EE"/>
    <w:rsid w:val="003D1A10"/>
    <w:rsid w:val="003D1CD2"/>
    <w:rsid w:val="003D23A3"/>
    <w:rsid w:val="003D3AFA"/>
    <w:rsid w:val="003D3CB4"/>
    <w:rsid w:val="003D4083"/>
    <w:rsid w:val="003D4958"/>
    <w:rsid w:val="003D5856"/>
    <w:rsid w:val="003D5FE8"/>
    <w:rsid w:val="003D6361"/>
    <w:rsid w:val="003E05BA"/>
    <w:rsid w:val="003E0B34"/>
    <w:rsid w:val="003E27E0"/>
    <w:rsid w:val="003E2DF8"/>
    <w:rsid w:val="003E3157"/>
    <w:rsid w:val="003E48C9"/>
    <w:rsid w:val="003E4AC3"/>
    <w:rsid w:val="003E55D1"/>
    <w:rsid w:val="003E6055"/>
    <w:rsid w:val="003E650C"/>
    <w:rsid w:val="003E74CF"/>
    <w:rsid w:val="003F08EA"/>
    <w:rsid w:val="003F10A9"/>
    <w:rsid w:val="003F131D"/>
    <w:rsid w:val="003F28B5"/>
    <w:rsid w:val="003F3749"/>
    <w:rsid w:val="003F45D8"/>
    <w:rsid w:val="003F4790"/>
    <w:rsid w:val="003F4AFA"/>
    <w:rsid w:val="003F4CC3"/>
    <w:rsid w:val="003F521B"/>
    <w:rsid w:val="003F55F1"/>
    <w:rsid w:val="003F5D9E"/>
    <w:rsid w:val="003F6F1A"/>
    <w:rsid w:val="003F755C"/>
    <w:rsid w:val="003F76E6"/>
    <w:rsid w:val="003F7E5F"/>
    <w:rsid w:val="0040060F"/>
    <w:rsid w:val="00400C9F"/>
    <w:rsid w:val="0040250F"/>
    <w:rsid w:val="00402E5C"/>
    <w:rsid w:val="004030B1"/>
    <w:rsid w:val="004039A5"/>
    <w:rsid w:val="00404B10"/>
    <w:rsid w:val="00404E4F"/>
    <w:rsid w:val="00404E6A"/>
    <w:rsid w:val="004064F7"/>
    <w:rsid w:val="00406966"/>
    <w:rsid w:val="004075B6"/>
    <w:rsid w:val="00410031"/>
    <w:rsid w:val="00410744"/>
    <w:rsid w:val="00411428"/>
    <w:rsid w:val="00411683"/>
    <w:rsid w:val="00411CB2"/>
    <w:rsid w:val="00412826"/>
    <w:rsid w:val="004129C7"/>
    <w:rsid w:val="004133FD"/>
    <w:rsid w:val="00413937"/>
    <w:rsid w:val="00413E33"/>
    <w:rsid w:val="0041517A"/>
    <w:rsid w:val="00415D88"/>
    <w:rsid w:val="0041789E"/>
    <w:rsid w:val="00420825"/>
    <w:rsid w:val="00420F0E"/>
    <w:rsid w:val="004211F3"/>
    <w:rsid w:val="00421DCC"/>
    <w:rsid w:val="0042206F"/>
    <w:rsid w:val="00423025"/>
    <w:rsid w:val="0042339A"/>
    <w:rsid w:val="004238FF"/>
    <w:rsid w:val="00423B15"/>
    <w:rsid w:val="00423F6D"/>
    <w:rsid w:val="0042446D"/>
    <w:rsid w:val="00424AC3"/>
    <w:rsid w:val="00424CB8"/>
    <w:rsid w:val="0042508F"/>
    <w:rsid w:val="00425410"/>
    <w:rsid w:val="00425F0B"/>
    <w:rsid w:val="00426357"/>
    <w:rsid w:val="004300F7"/>
    <w:rsid w:val="0043081A"/>
    <w:rsid w:val="00430865"/>
    <w:rsid w:val="00431316"/>
    <w:rsid w:val="0043326D"/>
    <w:rsid w:val="004333D9"/>
    <w:rsid w:val="00435DBD"/>
    <w:rsid w:val="004379C2"/>
    <w:rsid w:val="004400E8"/>
    <w:rsid w:val="00440DA6"/>
    <w:rsid w:val="00440F0A"/>
    <w:rsid w:val="00441323"/>
    <w:rsid w:val="004428B8"/>
    <w:rsid w:val="0044601E"/>
    <w:rsid w:val="00446BF3"/>
    <w:rsid w:val="00450C80"/>
    <w:rsid w:val="00450DBC"/>
    <w:rsid w:val="00451C34"/>
    <w:rsid w:val="00453676"/>
    <w:rsid w:val="00453BF0"/>
    <w:rsid w:val="00453E24"/>
    <w:rsid w:val="004544D6"/>
    <w:rsid w:val="0045549D"/>
    <w:rsid w:val="00455B11"/>
    <w:rsid w:val="00455D10"/>
    <w:rsid w:val="00455FC7"/>
    <w:rsid w:val="0045714D"/>
    <w:rsid w:val="00457CA0"/>
    <w:rsid w:val="00460E18"/>
    <w:rsid w:val="00461CE9"/>
    <w:rsid w:val="004623A7"/>
    <w:rsid w:val="00462407"/>
    <w:rsid w:val="004631DD"/>
    <w:rsid w:val="00463298"/>
    <w:rsid w:val="0046353F"/>
    <w:rsid w:val="004635FD"/>
    <w:rsid w:val="00463C5A"/>
    <w:rsid w:val="00464686"/>
    <w:rsid w:val="00464AD9"/>
    <w:rsid w:val="00466651"/>
    <w:rsid w:val="004668C7"/>
    <w:rsid w:val="00466BD7"/>
    <w:rsid w:val="00470129"/>
    <w:rsid w:val="00470B4C"/>
    <w:rsid w:val="00470BD5"/>
    <w:rsid w:val="00471B1D"/>
    <w:rsid w:val="004728A0"/>
    <w:rsid w:val="00473BF5"/>
    <w:rsid w:val="004742DD"/>
    <w:rsid w:val="00475231"/>
    <w:rsid w:val="00475A7E"/>
    <w:rsid w:val="00475BBC"/>
    <w:rsid w:val="00476E8A"/>
    <w:rsid w:val="004777E2"/>
    <w:rsid w:val="00477F04"/>
    <w:rsid w:val="0048177E"/>
    <w:rsid w:val="004817DF"/>
    <w:rsid w:val="00481B04"/>
    <w:rsid w:val="0048202C"/>
    <w:rsid w:val="0048206D"/>
    <w:rsid w:val="004822A1"/>
    <w:rsid w:val="004835B7"/>
    <w:rsid w:val="00483687"/>
    <w:rsid w:val="00484E96"/>
    <w:rsid w:val="0048581C"/>
    <w:rsid w:val="0048621A"/>
    <w:rsid w:val="004865CF"/>
    <w:rsid w:val="00486890"/>
    <w:rsid w:val="00486EA5"/>
    <w:rsid w:val="00487831"/>
    <w:rsid w:val="0049173E"/>
    <w:rsid w:val="00492587"/>
    <w:rsid w:val="0049297C"/>
    <w:rsid w:val="004933D1"/>
    <w:rsid w:val="0049462D"/>
    <w:rsid w:val="0049493E"/>
    <w:rsid w:val="00495D5C"/>
    <w:rsid w:val="00496700"/>
    <w:rsid w:val="0049779F"/>
    <w:rsid w:val="004A0182"/>
    <w:rsid w:val="004A04FB"/>
    <w:rsid w:val="004A05B6"/>
    <w:rsid w:val="004A1242"/>
    <w:rsid w:val="004A2FB8"/>
    <w:rsid w:val="004A3A55"/>
    <w:rsid w:val="004A476A"/>
    <w:rsid w:val="004A47B7"/>
    <w:rsid w:val="004A49D9"/>
    <w:rsid w:val="004A5586"/>
    <w:rsid w:val="004A6349"/>
    <w:rsid w:val="004A63A5"/>
    <w:rsid w:val="004B058E"/>
    <w:rsid w:val="004B1531"/>
    <w:rsid w:val="004B1DDC"/>
    <w:rsid w:val="004B4FF2"/>
    <w:rsid w:val="004B5DA2"/>
    <w:rsid w:val="004B609E"/>
    <w:rsid w:val="004B7387"/>
    <w:rsid w:val="004C1549"/>
    <w:rsid w:val="004C19A7"/>
    <w:rsid w:val="004C3330"/>
    <w:rsid w:val="004C34D2"/>
    <w:rsid w:val="004C3ACA"/>
    <w:rsid w:val="004C40D6"/>
    <w:rsid w:val="004C4823"/>
    <w:rsid w:val="004C50FA"/>
    <w:rsid w:val="004C5733"/>
    <w:rsid w:val="004C5D0E"/>
    <w:rsid w:val="004C634B"/>
    <w:rsid w:val="004C7EA8"/>
    <w:rsid w:val="004C7FAD"/>
    <w:rsid w:val="004D056E"/>
    <w:rsid w:val="004D0768"/>
    <w:rsid w:val="004D1088"/>
    <w:rsid w:val="004D1B2B"/>
    <w:rsid w:val="004D241B"/>
    <w:rsid w:val="004D2733"/>
    <w:rsid w:val="004D2C4D"/>
    <w:rsid w:val="004D38CC"/>
    <w:rsid w:val="004D3DCB"/>
    <w:rsid w:val="004D6675"/>
    <w:rsid w:val="004D6703"/>
    <w:rsid w:val="004D748F"/>
    <w:rsid w:val="004E086C"/>
    <w:rsid w:val="004E0970"/>
    <w:rsid w:val="004E0DC0"/>
    <w:rsid w:val="004E1233"/>
    <w:rsid w:val="004E19B2"/>
    <w:rsid w:val="004E1EC7"/>
    <w:rsid w:val="004E28C6"/>
    <w:rsid w:val="004E2AB1"/>
    <w:rsid w:val="004E2E3C"/>
    <w:rsid w:val="004E4564"/>
    <w:rsid w:val="004E472E"/>
    <w:rsid w:val="004E4F70"/>
    <w:rsid w:val="004E5293"/>
    <w:rsid w:val="004E6226"/>
    <w:rsid w:val="004E6BE0"/>
    <w:rsid w:val="004E6DE1"/>
    <w:rsid w:val="004E6F1C"/>
    <w:rsid w:val="004E7420"/>
    <w:rsid w:val="004E7AE3"/>
    <w:rsid w:val="004F05F3"/>
    <w:rsid w:val="004F0E66"/>
    <w:rsid w:val="004F10E0"/>
    <w:rsid w:val="004F138F"/>
    <w:rsid w:val="004F1728"/>
    <w:rsid w:val="004F20E4"/>
    <w:rsid w:val="004F246A"/>
    <w:rsid w:val="004F2D0A"/>
    <w:rsid w:val="004F3059"/>
    <w:rsid w:val="004F420C"/>
    <w:rsid w:val="004F597A"/>
    <w:rsid w:val="004F5AD6"/>
    <w:rsid w:val="004F7DB9"/>
    <w:rsid w:val="00500123"/>
    <w:rsid w:val="0050125D"/>
    <w:rsid w:val="00501B4C"/>
    <w:rsid w:val="00501E8B"/>
    <w:rsid w:val="00502770"/>
    <w:rsid w:val="0050543A"/>
    <w:rsid w:val="00505D47"/>
    <w:rsid w:val="0050670B"/>
    <w:rsid w:val="00506FB3"/>
    <w:rsid w:val="0051003C"/>
    <w:rsid w:val="00511B29"/>
    <w:rsid w:val="005124ED"/>
    <w:rsid w:val="005141E8"/>
    <w:rsid w:val="00515699"/>
    <w:rsid w:val="00515E59"/>
    <w:rsid w:val="00516673"/>
    <w:rsid w:val="00516A89"/>
    <w:rsid w:val="00517257"/>
    <w:rsid w:val="0051781A"/>
    <w:rsid w:val="00520911"/>
    <w:rsid w:val="00520C2C"/>
    <w:rsid w:val="005210DF"/>
    <w:rsid w:val="005224E0"/>
    <w:rsid w:val="00522567"/>
    <w:rsid w:val="00522AAD"/>
    <w:rsid w:val="00523A05"/>
    <w:rsid w:val="00525555"/>
    <w:rsid w:val="00525612"/>
    <w:rsid w:val="00526C7D"/>
    <w:rsid w:val="00527A18"/>
    <w:rsid w:val="00527E7A"/>
    <w:rsid w:val="00530B68"/>
    <w:rsid w:val="00531222"/>
    <w:rsid w:val="00532627"/>
    <w:rsid w:val="005331B0"/>
    <w:rsid w:val="00537FDA"/>
    <w:rsid w:val="005407CB"/>
    <w:rsid w:val="005408BB"/>
    <w:rsid w:val="00540B70"/>
    <w:rsid w:val="00541123"/>
    <w:rsid w:val="00541B11"/>
    <w:rsid w:val="00542E36"/>
    <w:rsid w:val="00542EE8"/>
    <w:rsid w:val="005437D4"/>
    <w:rsid w:val="00544503"/>
    <w:rsid w:val="00544E1E"/>
    <w:rsid w:val="00546956"/>
    <w:rsid w:val="00546D11"/>
    <w:rsid w:val="0054746D"/>
    <w:rsid w:val="00547982"/>
    <w:rsid w:val="0055099B"/>
    <w:rsid w:val="00550C99"/>
    <w:rsid w:val="0055143F"/>
    <w:rsid w:val="00551833"/>
    <w:rsid w:val="00552E8F"/>
    <w:rsid w:val="00553413"/>
    <w:rsid w:val="0055429B"/>
    <w:rsid w:val="005544F3"/>
    <w:rsid w:val="00555AB2"/>
    <w:rsid w:val="00556F50"/>
    <w:rsid w:val="00557499"/>
    <w:rsid w:val="00557B04"/>
    <w:rsid w:val="005600A2"/>
    <w:rsid w:val="0056040A"/>
    <w:rsid w:val="0056044D"/>
    <w:rsid w:val="00560D46"/>
    <w:rsid w:val="00560EBF"/>
    <w:rsid w:val="00561129"/>
    <w:rsid w:val="0056119D"/>
    <w:rsid w:val="00561F0E"/>
    <w:rsid w:val="00562410"/>
    <w:rsid w:val="00562B99"/>
    <w:rsid w:val="00562E6B"/>
    <w:rsid w:val="00565DCF"/>
    <w:rsid w:val="00567EE1"/>
    <w:rsid w:val="00570016"/>
    <w:rsid w:val="00571371"/>
    <w:rsid w:val="00571837"/>
    <w:rsid w:val="00571C54"/>
    <w:rsid w:val="00571DBD"/>
    <w:rsid w:val="00572494"/>
    <w:rsid w:val="005725BD"/>
    <w:rsid w:val="00573FCF"/>
    <w:rsid w:val="00574DE1"/>
    <w:rsid w:val="005754AB"/>
    <w:rsid w:val="00576284"/>
    <w:rsid w:val="0057659E"/>
    <w:rsid w:val="0057699A"/>
    <w:rsid w:val="00576C35"/>
    <w:rsid w:val="00576EBB"/>
    <w:rsid w:val="00576ED6"/>
    <w:rsid w:val="00577399"/>
    <w:rsid w:val="00577B91"/>
    <w:rsid w:val="005800EB"/>
    <w:rsid w:val="00580286"/>
    <w:rsid w:val="005826F4"/>
    <w:rsid w:val="00582CE4"/>
    <w:rsid w:val="00582E29"/>
    <w:rsid w:val="0058369E"/>
    <w:rsid w:val="005846C7"/>
    <w:rsid w:val="00585395"/>
    <w:rsid w:val="00585E41"/>
    <w:rsid w:val="005860E9"/>
    <w:rsid w:val="005863F1"/>
    <w:rsid w:val="00586891"/>
    <w:rsid w:val="005905F4"/>
    <w:rsid w:val="00590D09"/>
    <w:rsid w:val="00590DF9"/>
    <w:rsid w:val="0059136C"/>
    <w:rsid w:val="0059156A"/>
    <w:rsid w:val="00591DFA"/>
    <w:rsid w:val="00592F8A"/>
    <w:rsid w:val="00593314"/>
    <w:rsid w:val="0059368E"/>
    <w:rsid w:val="00593BF5"/>
    <w:rsid w:val="00594496"/>
    <w:rsid w:val="005956D3"/>
    <w:rsid w:val="005961FF"/>
    <w:rsid w:val="00596365"/>
    <w:rsid w:val="005965BC"/>
    <w:rsid w:val="00596F53"/>
    <w:rsid w:val="005970FD"/>
    <w:rsid w:val="005A138F"/>
    <w:rsid w:val="005A17D0"/>
    <w:rsid w:val="005A2B7E"/>
    <w:rsid w:val="005A314A"/>
    <w:rsid w:val="005A35F6"/>
    <w:rsid w:val="005A708A"/>
    <w:rsid w:val="005A7E78"/>
    <w:rsid w:val="005B03ED"/>
    <w:rsid w:val="005B042E"/>
    <w:rsid w:val="005B1776"/>
    <w:rsid w:val="005B1BA3"/>
    <w:rsid w:val="005B26A9"/>
    <w:rsid w:val="005B30D0"/>
    <w:rsid w:val="005B32FB"/>
    <w:rsid w:val="005B3A45"/>
    <w:rsid w:val="005B5FA4"/>
    <w:rsid w:val="005B7971"/>
    <w:rsid w:val="005B7DDB"/>
    <w:rsid w:val="005B7FE4"/>
    <w:rsid w:val="005C05E0"/>
    <w:rsid w:val="005C2254"/>
    <w:rsid w:val="005C2B7C"/>
    <w:rsid w:val="005C37E0"/>
    <w:rsid w:val="005C3BF6"/>
    <w:rsid w:val="005C4241"/>
    <w:rsid w:val="005C54B9"/>
    <w:rsid w:val="005C5A1C"/>
    <w:rsid w:val="005C5C01"/>
    <w:rsid w:val="005C6618"/>
    <w:rsid w:val="005C68EF"/>
    <w:rsid w:val="005C6EF5"/>
    <w:rsid w:val="005D0189"/>
    <w:rsid w:val="005D0659"/>
    <w:rsid w:val="005D09B5"/>
    <w:rsid w:val="005D141B"/>
    <w:rsid w:val="005D1DB3"/>
    <w:rsid w:val="005D1F8D"/>
    <w:rsid w:val="005D25C0"/>
    <w:rsid w:val="005D33C0"/>
    <w:rsid w:val="005D38C3"/>
    <w:rsid w:val="005D3E92"/>
    <w:rsid w:val="005D409D"/>
    <w:rsid w:val="005D40D1"/>
    <w:rsid w:val="005D4EAA"/>
    <w:rsid w:val="005D5002"/>
    <w:rsid w:val="005D6823"/>
    <w:rsid w:val="005D685E"/>
    <w:rsid w:val="005E085E"/>
    <w:rsid w:val="005E0A72"/>
    <w:rsid w:val="005E19AF"/>
    <w:rsid w:val="005E266A"/>
    <w:rsid w:val="005E2EAA"/>
    <w:rsid w:val="005E3CCE"/>
    <w:rsid w:val="005E3D06"/>
    <w:rsid w:val="005E4470"/>
    <w:rsid w:val="005E48F5"/>
    <w:rsid w:val="005E5794"/>
    <w:rsid w:val="005E646D"/>
    <w:rsid w:val="005E65C7"/>
    <w:rsid w:val="005E66D8"/>
    <w:rsid w:val="005E753A"/>
    <w:rsid w:val="005F208A"/>
    <w:rsid w:val="005F26B5"/>
    <w:rsid w:val="005F35E2"/>
    <w:rsid w:val="005F363F"/>
    <w:rsid w:val="005F38F5"/>
    <w:rsid w:val="005F6062"/>
    <w:rsid w:val="005F7D2B"/>
    <w:rsid w:val="005F7DC3"/>
    <w:rsid w:val="0060080B"/>
    <w:rsid w:val="006008B0"/>
    <w:rsid w:val="00600C54"/>
    <w:rsid w:val="0060265C"/>
    <w:rsid w:val="00602B5B"/>
    <w:rsid w:val="00603FD5"/>
    <w:rsid w:val="00604EEE"/>
    <w:rsid w:val="00605278"/>
    <w:rsid w:val="00605F87"/>
    <w:rsid w:val="006065EB"/>
    <w:rsid w:val="00606A20"/>
    <w:rsid w:val="00607F03"/>
    <w:rsid w:val="00607F70"/>
    <w:rsid w:val="00610627"/>
    <w:rsid w:val="00610834"/>
    <w:rsid w:val="00610F6C"/>
    <w:rsid w:val="00611B17"/>
    <w:rsid w:val="0061331E"/>
    <w:rsid w:val="00614144"/>
    <w:rsid w:val="00615F84"/>
    <w:rsid w:val="00616BD5"/>
    <w:rsid w:val="00616DC8"/>
    <w:rsid w:val="00620548"/>
    <w:rsid w:val="0062081B"/>
    <w:rsid w:val="0062119C"/>
    <w:rsid w:val="00621B7F"/>
    <w:rsid w:val="006221D6"/>
    <w:rsid w:val="0062259C"/>
    <w:rsid w:val="006226F0"/>
    <w:rsid w:val="006229F4"/>
    <w:rsid w:val="00624B90"/>
    <w:rsid w:val="00625819"/>
    <w:rsid w:val="00625B09"/>
    <w:rsid w:val="00630F02"/>
    <w:rsid w:val="006311F7"/>
    <w:rsid w:val="00631871"/>
    <w:rsid w:val="006329F9"/>
    <w:rsid w:val="006348A8"/>
    <w:rsid w:val="006353A5"/>
    <w:rsid w:val="0063740B"/>
    <w:rsid w:val="00637848"/>
    <w:rsid w:val="0063799C"/>
    <w:rsid w:val="00640640"/>
    <w:rsid w:val="00640A54"/>
    <w:rsid w:val="00640E8D"/>
    <w:rsid w:val="006412EC"/>
    <w:rsid w:val="006417B3"/>
    <w:rsid w:val="00641A24"/>
    <w:rsid w:val="006425A7"/>
    <w:rsid w:val="00643A1C"/>
    <w:rsid w:val="006448DA"/>
    <w:rsid w:val="00644B23"/>
    <w:rsid w:val="00645016"/>
    <w:rsid w:val="0064549E"/>
    <w:rsid w:val="00645BCF"/>
    <w:rsid w:val="00646281"/>
    <w:rsid w:val="0064631A"/>
    <w:rsid w:val="006464D3"/>
    <w:rsid w:val="0064730A"/>
    <w:rsid w:val="006475BD"/>
    <w:rsid w:val="00647B34"/>
    <w:rsid w:val="00650D8A"/>
    <w:rsid w:val="00651B5B"/>
    <w:rsid w:val="006527FF"/>
    <w:rsid w:val="0065280F"/>
    <w:rsid w:val="00653A3C"/>
    <w:rsid w:val="0065643C"/>
    <w:rsid w:val="006564C0"/>
    <w:rsid w:val="00656754"/>
    <w:rsid w:val="00656A8A"/>
    <w:rsid w:val="006575BD"/>
    <w:rsid w:val="0065770A"/>
    <w:rsid w:val="0066168D"/>
    <w:rsid w:val="00662209"/>
    <w:rsid w:val="00662C07"/>
    <w:rsid w:val="006636E1"/>
    <w:rsid w:val="00665580"/>
    <w:rsid w:val="00665B26"/>
    <w:rsid w:val="00665FD5"/>
    <w:rsid w:val="0066644C"/>
    <w:rsid w:val="006667F8"/>
    <w:rsid w:val="00666F3C"/>
    <w:rsid w:val="00667DDF"/>
    <w:rsid w:val="006700AE"/>
    <w:rsid w:val="00670B0F"/>
    <w:rsid w:val="006714C8"/>
    <w:rsid w:val="006728A7"/>
    <w:rsid w:val="00672FDD"/>
    <w:rsid w:val="0067353A"/>
    <w:rsid w:val="00673BBF"/>
    <w:rsid w:val="00674D7E"/>
    <w:rsid w:val="006754AE"/>
    <w:rsid w:val="0067553B"/>
    <w:rsid w:val="006759AD"/>
    <w:rsid w:val="006763D9"/>
    <w:rsid w:val="00676B2E"/>
    <w:rsid w:val="00676EEF"/>
    <w:rsid w:val="00680112"/>
    <w:rsid w:val="00680E6F"/>
    <w:rsid w:val="00681434"/>
    <w:rsid w:val="00681E6C"/>
    <w:rsid w:val="0068204A"/>
    <w:rsid w:val="00682CA5"/>
    <w:rsid w:val="006833E6"/>
    <w:rsid w:val="00685B32"/>
    <w:rsid w:val="006862CD"/>
    <w:rsid w:val="0068680A"/>
    <w:rsid w:val="00686B60"/>
    <w:rsid w:val="0068724F"/>
    <w:rsid w:val="00687CB0"/>
    <w:rsid w:val="00687FE0"/>
    <w:rsid w:val="006904EF"/>
    <w:rsid w:val="0069194E"/>
    <w:rsid w:val="00692ADF"/>
    <w:rsid w:val="006944C0"/>
    <w:rsid w:val="006948B3"/>
    <w:rsid w:val="00695504"/>
    <w:rsid w:val="00695654"/>
    <w:rsid w:val="00695700"/>
    <w:rsid w:val="00695737"/>
    <w:rsid w:val="00695C87"/>
    <w:rsid w:val="00696FBB"/>
    <w:rsid w:val="00697B17"/>
    <w:rsid w:val="00697E05"/>
    <w:rsid w:val="006A13E0"/>
    <w:rsid w:val="006A1481"/>
    <w:rsid w:val="006A1DEF"/>
    <w:rsid w:val="006A4052"/>
    <w:rsid w:val="006A5251"/>
    <w:rsid w:val="006A5494"/>
    <w:rsid w:val="006A63BA"/>
    <w:rsid w:val="006A6A0E"/>
    <w:rsid w:val="006A7069"/>
    <w:rsid w:val="006B0CA1"/>
    <w:rsid w:val="006B1096"/>
    <w:rsid w:val="006B2384"/>
    <w:rsid w:val="006B2A9A"/>
    <w:rsid w:val="006C16B4"/>
    <w:rsid w:val="006C195C"/>
    <w:rsid w:val="006C36D5"/>
    <w:rsid w:val="006C3D12"/>
    <w:rsid w:val="006C4AF4"/>
    <w:rsid w:val="006C4C82"/>
    <w:rsid w:val="006C630C"/>
    <w:rsid w:val="006C708B"/>
    <w:rsid w:val="006C715B"/>
    <w:rsid w:val="006C7BC0"/>
    <w:rsid w:val="006D095B"/>
    <w:rsid w:val="006D17E8"/>
    <w:rsid w:val="006D1906"/>
    <w:rsid w:val="006D2EE2"/>
    <w:rsid w:val="006D3F2F"/>
    <w:rsid w:val="006D4B22"/>
    <w:rsid w:val="006D4F09"/>
    <w:rsid w:val="006D5F4F"/>
    <w:rsid w:val="006D6536"/>
    <w:rsid w:val="006D6BAC"/>
    <w:rsid w:val="006D7093"/>
    <w:rsid w:val="006D7B32"/>
    <w:rsid w:val="006E00BC"/>
    <w:rsid w:val="006E0FB6"/>
    <w:rsid w:val="006E1668"/>
    <w:rsid w:val="006E216C"/>
    <w:rsid w:val="006E3116"/>
    <w:rsid w:val="006E3536"/>
    <w:rsid w:val="006E3939"/>
    <w:rsid w:val="006E3C8D"/>
    <w:rsid w:val="006E42B2"/>
    <w:rsid w:val="006E4F42"/>
    <w:rsid w:val="006E511D"/>
    <w:rsid w:val="006E643F"/>
    <w:rsid w:val="006E7EB0"/>
    <w:rsid w:val="006F002A"/>
    <w:rsid w:val="006F18A0"/>
    <w:rsid w:val="006F1B8E"/>
    <w:rsid w:val="006F1C60"/>
    <w:rsid w:val="006F224F"/>
    <w:rsid w:val="006F2890"/>
    <w:rsid w:val="006F325C"/>
    <w:rsid w:val="006F3B30"/>
    <w:rsid w:val="006F5C06"/>
    <w:rsid w:val="006F6956"/>
    <w:rsid w:val="006F7282"/>
    <w:rsid w:val="00700505"/>
    <w:rsid w:val="0070056F"/>
    <w:rsid w:val="00701100"/>
    <w:rsid w:val="00701112"/>
    <w:rsid w:val="0070158E"/>
    <w:rsid w:val="00701612"/>
    <w:rsid w:val="00703569"/>
    <w:rsid w:val="00704667"/>
    <w:rsid w:val="00705446"/>
    <w:rsid w:val="007067C7"/>
    <w:rsid w:val="007074E4"/>
    <w:rsid w:val="00710775"/>
    <w:rsid w:val="007108C3"/>
    <w:rsid w:val="00711872"/>
    <w:rsid w:val="00712182"/>
    <w:rsid w:val="007129B1"/>
    <w:rsid w:val="00712BE0"/>
    <w:rsid w:val="00712F9F"/>
    <w:rsid w:val="00713A01"/>
    <w:rsid w:val="00713DDD"/>
    <w:rsid w:val="00714488"/>
    <w:rsid w:val="0071577C"/>
    <w:rsid w:val="007158C6"/>
    <w:rsid w:val="0071608F"/>
    <w:rsid w:val="0071752A"/>
    <w:rsid w:val="00717756"/>
    <w:rsid w:val="00720507"/>
    <w:rsid w:val="00720957"/>
    <w:rsid w:val="007215EF"/>
    <w:rsid w:val="00722161"/>
    <w:rsid w:val="0072286D"/>
    <w:rsid w:val="007231D9"/>
    <w:rsid w:val="00724EF3"/>
    <w:rsid w:val="007257AE"/>
    <w:rsid w:val="00727458"/>
    <w:rsid w:val="00727693"/>
    <w:rsid w:val="00730127"/>
    <w:rsid w:val="007301C9"/>
    <w:rsid w:val="00730793"/>
    <w:rsid w:val="0073089C"/>
    <w:rsid w:val="00730B24"/>
    <w:rsid w:val="00730CF9"/>
    <w:rsid w:val="00733104"/>
    <w:rsid w:val="00734ED1"/>
    <w:rsid w:val="0073629D"/>
    <w:rsid w:val="00736E3B"/>
    <w:rsid w:val="007373F6"/>
    <w:rsid w:val="0074093E"/>
    <w:rsid w:val="00741E89"/>
    <w:rsid w:val="00742757"/>
    <w:rsid w:val="00742F0D"/>
    <w:rsid w:val="00743548"/>
    <w:rsid w:val="00743FEB"/>
    <w:rsid w:val="00744120"/>
    <w:rsid w:val="00744C1B"/>
    <w:rsid w:val="00746D2E"/>
    <w:rsid w:val="0074712A"/>
    <w:rsid w:val="00747AB3"/>
    <w:rsid w:val="007501ED"/>
    <w:rsid w:val="00750FF3"/>
    <w:rsid w:val="007515D7"/>
    <w:rsid w:val="007519D6"/>
    <w:rsid w:val="00751F6E"/>
    <w:rsid w:val="00752C46"/>
    <w:rsid w:val="00752C9A"/>
    <w:rsid w:val="0075347A"/>
    <w:rsid w:val="0075373D"/>
    <w:rsid w:val="0075386F"/>
    <w:rsid w:val="0075432F"/>
    <w:rsid w:val="007549D9"/>
    <w:rsid w:val="007555BF"/>
    <w:rsid w:val="00757B5E"/>
    <w:rsid w:val="007602AB"/>
    <w:rsid w:val="00760304"/>
    <w:rsid w:val="00760E1B"/>
    <w:rsid w:val="007612BD"/>
    <w:rsid w:val="00761D9B"/>
    <w:rsid w:val="00762F69"/>
    <w:rsid w:val="00762FD7"/>
    <w:rsid w:val="007640A5"/>
    <w:rsid w:val="00764FE1"/>
    <w:rsid w:val="00765BA0"/>
    <w:rsid w:val="00765CC0"/>
    <w:rsid w:val="007669DE"/>
    <w:rsid w:val="00766C5E"/>
    <w:rsid w:val="00767EAE"/>
    <w:rsid w:val="00767F90"/>
    <w:rsid w:val="00770DB0"/>
    <w:rsid w:val="00771145"/>
    <w:rsid w:val="00771BE7"/>
    <w:rsid w:val="0077366D"/>
    <w:rsid w:val="0077389A"/>
    <w:rsid w:val="0077401D"/>
    <w:rsid w:val="00775165"/>
    <w:rsid w:val="00776750"/>
    <w:rsid w:val="00776B15"/>
    <w:rsid w:val="00777210"/>
    <w:rsid w:val="00777CDD"/>
    <w:rsid w:val="007800CC"/>
    <w:rsid w:val="007801C1"/>
    <w:rsid w:val="00781F9C"/>
    <w:rsid w:val="00783549"/>
    <w:rsid w:val="00784F33"/>
    <w:rsid w:val="0078533C"/>
    <w:rsid w:val="00785C95"/>
    <w:rsid w:val="00786C08"/>
    <w:rsid w:val="00786D2A"/>
    <w:rsid w:val="00790537"/>
    <w:rsid w:val="00790973"/>
    <w:rsid w:val="00790EC3"/>
    <w:rsid w:val="00792130"/>
    <w:rsid w:val="00793274"/>
    <w:rsid w:val="00793362"/>
    <w:rsid w:val="00794106"/>
    <w:rsid w:val="0079473E"/>
    <w:rsid w:val="00794D50"/>
    <w:rsid w:val="00795E58"/>
    <w:rsid w:val="00796A92"/>
    <w:rsid w:val="007971A5"/>
    <w:rsid w:val="007A0363"/>
    <w:rsid w:val="007A0910"/>
    <w:rsid w:val="007A0BB1"/>
    <w:rsid w:val="007A0C1C"/>
    <w:rsid w:val="007A26E1"/>
    <w:rsid w:val="007A5E4B"/>
    <w:rsid w:val="007A605D"/>
    <w:rsid w:val="007A61CE"/>
    <w:rsid w:val="007A6C2F"/>
    <w:rsid w:val="007B10F1"/>
    <w:rsid w:val="007B1668"/>
    <w:rsid w:val="007B2930"/>
    <w:rsid w:val="007B2D91"/>
    <w:rsid w:val="007B2DB0"/>
    <w:rsid w:val="007B420B"/>
    <w:rsid w:val="007B42AF"/>
    <w:rsid w:val="007B5763"/>
    <w:rsid w:val="007B68B9"/>
    <w:rsid w:val="007B765C"/>
    <w:rsid w:val="007B7BB3"/>
    <w:rsid w:val="007C0180"/>
    <w:rsid w:val="007C0C56"/>
    <w:rsid w:val="007C19E3"/>
    <w:rsid w:val="007C2320"/>
    <w:rsid w:val="007C307C"/>
    <w:rsid w:val="007C31D9"/>
    <w:rsid w:val="007C3475"/>
    <w:rsid w:val="007C348E"/>
    <w:rsid w:val="007C3BD4"/>
    <w:rsid w:val="007C3F2C"/>
    <w:rsid w:val="007C4353"/>
    <w:rsid w:val="007C44A8"/>
    <w:rsid w:val="007C4791"/>
    <w:rsid w:val="007C49F9"/>
    <w:rsid w:val="007C6FB7"/>
    <w:rsid w:val="007C7CD6"/>
    <w:rsid w:val="007C7F3D"/>
    <w:rsid w:val="007D034B"/>
    <w:rsid w:val="007D0CE7"/>
    <w:rsid w:val="007D0EC1"/>
    <w:rsid w:val="007D1569"/>
    <w:rsid w:val="007D16BD"/>
    <w:rsid w:val="007D200F"/>
    <w:rsid w:val="007D25EB"/>
    <w:rsid w:val="007D2CE8"/>
    <w:rsid w:val="007D35AC"/>
    <w:rsid w:val="007D35B9"/>
    <w:rsid w:val="007D35C9"/>
    <w:rsid w:val="007D37FC"/>
    <w:rsid w:val="007D3A06"/>
    <w:rsid w:val="007D59DD"/>
    <w:rsid w:val="007E0160"/>
    <w:rsid w:val="007E0509"/>
    <w:rsid w:val="007E1A38"/>
    <w:rsid w:val="007E32AD"/>
    <w:rsid w:val="007E34C7"/>
    <w:rsid w:val="007E35A9"/>
    <w:rsid w:val="007E3617"/>
    <w:rsid w:val="007E4B67"/>
    <w:rsid w:val="007F057D"/>
    <w:rsid w:val="007F06D8"/>
    <w:rsid w:val="007F0B51"/>
    <w:rsid w:val="007F1667"/>
    <w:rsid w:val="007F2474"/>
    <w:rsid w:val="007F2BCA"/>
    <w:rsid w:val="007F3064"/>
    <w:rsid w:val="007F3659"/>
    <w:rsid w:val="007F36A0"/>
    <w:rsid w:val="007F3A36"/>
    <w:rsid w:val="007F3F5C"/>
    <w:rsid w:val="007F5084"/>
    <w:rsid w:val="007F5582"/>
    <w:rsid w:val="007F5C15"/>
    <w:rsid w:val="007F6A39"/>
    <w:rsid w:val="008017BC"/>
    <w:rsid w:val="0080322B"/>
    <w:rsid w:val="008035C3"/>
    <w:rsid w:val="00803F26"/>
    <w:rsid w:val="008040C4"/>
    <w:rsid w:val="00804784"/>
    <w:rsid w:val="008047E7"/>
    <w:rsid w:val="00804A01"/>
    <w:rsid w:val="00804B8B"/>
    <w:rsid w:val="00805BE0"/>
    <w:rsid w:val="008064CF"/>
    <w:rsid w:val="00806F63"/>
    <w:rsid w:val="00807F06"/>
    <w:rsid w:val="0081018D"/>
    <w:rsid w:val="00811196"/>
    <w:rsid w:val="00811E13"/>
    <w:rsid w:val="008129AD"/>
    <w:rsid w:val="0081533C"/>
    <w:rsid w:val="008158CC"/>
    <w:rsid w:val="008161D7"/>
    <w:rsid w:val="00816A27"/>
    <w:rsid w:val="00820661"/>
    <w:rsid w:val="00823462"/>
    <w:rsid w:val="00823907"/>
    <w:rsid w:val="00823E7E"/>
    <w:rsid w:val="008242A0"/>
    <w:rsid w:val="0082437F"/>
    <w:rsid w:val="00824C84"/>
    <w:rsid w:val="00824CAE"/>
    <w:rsid w:val="008256E3"/>
    <w:rsid w:val="008257D1"/>
    <w:rsid w:val="00825BC1"/>
    <w:rsid w:val="0082631F"/>
    <w:rsid w:val="00826522"/>
    <w:rsid w:val="00830365"/>
    <w:rsid w:val="00830A05"/>
    <w:rsid w:val="00832540"/>
    <w:rsid w:val="008333E6"/>
    <w:rsid w:val="00833FFB"/>
    <w:rsid w:val="00834B3F"/>
    <w:rsid w:val="00835028"/>
    <w:rsid w:val="00835926"/>
    <w:rsid w:val="00836262"/>
    <w:rsid w:val="00836329"/>
    <w:rsid w:val="0083643B"/>
    <w:rsid w:val="00836495"/>
    <w:rsid w:val="0083677E"/>
    <w:rsid w:val="00836E3A"/>
    <w:rsid w:val="00837210"/>
    <w:rsid w:val="00837DC2"/>
    <w:rsid w:val="00837FF5"/>
    <w:rsid w:val="008404D3"/>
    <w:rsid w:val="0084238D"/>
    <w:rsid w:val="00843794"/>
    <w:rsid w:val="008472B8"/>
    <w:rsid w:val="008500CE"/>
    <w:rsid w:val="00851991"/>
    <w:rsid w:val="008524D8"/>
    <w:rsid w:val="008529A2"/>
    <w:rsid w:val="00852F42"/>
    <w:rsid w:val="008539A5"/>
    <w:rsid w:val="00854062"/>
    <w:rsid w:val="0085439B"/>
    <w:rsid w:val="00854F9F"/>
    <w:rsid w:val="0085708B"/>
    <w:rsid w:val="00857637"/>
    <w:rsid w:val="008579B4"/>
    <w:rsid w:val="00857C5E"/>
    <w:rsid w:val="00857E0B"/>
    <w:rsid w:val="0086089E"/>
    <w:rsid w:val="00861B53"/>
    <w:rsid w:val="00861D14"/>
    <w:rsid w:val="00862454"/>
    <w:rsid w:val="00862AAE"/>
    <w:rsid w:val="00863CBA"/>
    <w:rsid w:val="00863CE2"/>
    <w:rsid w:val="00865F2D"/>
    <w:rsid w:val="008668A1"/>
    <w:rsid w:val="0086697E"/>
    <w:rsid w:val="008672F5"/>
    <w:rsid w:val="00871A6C"/>
    <w:rsid w:val="008720C3"/>
    <w:rsid w:val="00872A6F"/>
    <w:rsid w:val="00875153"/>
    <w:rsid w:val="00875666"/>
    <w:rsid w:val="00875CCB"/>
    <w:rsid w:val="00881C7E"/>
    <w:rsid w:val="00882098"/>
    <w:rsid w:val="00882976"/>
    <w:rsid w:val="00882C35"/>
    <w:rsid w:val="00882F64"/>
    <w:rsid w:val="008833F3"/>
    <w:rsid w:val="00884BD7"/>
    <w:rsid w:val="0088551D"/>
    <w:rsid w:val="0088588C"/>
    <w:rsid w:val="0088635A"/>
    <w:rsid w:val="00886BF9"/>
    <w:rsid w:val="00887DC5"/>
    <w:rsid w:val="00890EB5"/>
    <w:rsid w:val="00890F2A"/>
    <w:rsid w:val="00890FD4"/>
    <w:rsid w:val="0089122D"/>
    <w:rsid w:val="008925BE"/>
    <w:rsid w:val="00892C59"/>
    <w:rsid w:val="008971A2"/>
    <w:rsid w:val="00897793"/>
    <w:rsid w:val="00897C8F"/>
    <w:rsid w:val="008A035F"/>
    <w:rsid w:val="008A145C"/>
    <w:rsid w:val="008A1632"/>
    <w:rsid w:val="008A2613"/>
    <w:rsid w:val="008A2771"/>
    <w:rsid w:val="008A4621"/>
    <w:rsid w:val="008A5B52"/>
    <w:rsid w:val="008A6C6F"/>
    <w:rsid w:val="008A6EE1"/>
    <w:rsid w:val="008A6F83"/>
    <w:rsid w:val="008A7548"/>
    <w:rsid w:val="008B05C3"/>
    <w:rsid w:val="008B2B36"/>
    <w:rsid w:val="008B3D4D"/>
    <w:rsid w:val="008B4965"/>
    <w:rsid w:val="008B4F22"/>
    <w:rsid w:val="008B62D8"/>
    <w:rsid w:val="008B66C3"/>
    <w:rsid w:val="008B7258"/>
    <w:rsid w:val="008B78B1"/>
    <w:rsid w:val="008B7F43"/>
    <w:rsid w:val="008C000A"/>
    <w:rsid w:val="008C1C8B"/>
    <w:rsid w:val="008C1CCF"/>
    <w:rsid w:val="008C40D6"/>
    <w:rsid w:val="008C4BDC"/>
    <w:rsid w:val="008C5F25"/>
    <w:rsid w:val="008C68C4"/>
    <w:rsid w:val="008C7D40"/>
    <w:rsid w:val="008D0584"/>
    <w:rsid w:val="008D19FD"/>
    <w:rsid w:val="008D1ABD"/>
    <w:rsid w:val="008D38AB"/>
    <w:rsid w:val="008D3A0D"/>
    <w:rsid w:val="008D3EE9"/>
    <w:rsid w:val="008D43EB"/>
    <w:rsid w:val="008D5DF5"/>
    <w:rsid w:val="008D67DD"/>
    <w:rsid w:val="008D6AA4"/>
    <w:rsid w:val="008E0826"/>
    <w:rsid w:val="008E0B1B"/>
    <w:rsid w:val="008E0C42"/>
    <w:rsid w:val="008E0D49"/>
    <w:rsid w:val="008E14B6"/>
    <w:rsid w:val="008E1660"/>
    <w:rsid w:val="008E1929"/>
    <w:rsid w:val="008E2255"/>
    <w:rsid w:val="008E25D6"/>
    <w:rsid w:val="008E33BE"/>
    <w:rsid w:val="008E46C1"/>
    <w:rsid w:val="008E6167"/>
    <w:rsid w:val="008E62F3"/>
    <w:rsid w:val="008E6521"/>
    <w:rsid w:val="008E6B19"/>
    <w:rsid w:val="008E7BD4"/>
    <w:rsid w:val="008F0292"/>
    <w:rsid w:val="008F0A95"/>
    <w:rsid w:val="008F0BAA"/>
    <w:rsid w:val="008F15A8"/>
    <w:rsid w:val="008F17AA"/>
    <w:rsid w:val="008F2189"/>
    <w:rsid w:val="008F3358"/>
    <w:rsid w:val="008F3F65"/>
    <w:rsid w:val="008F44D9"/>
    <w:rsid w:val="008F5565"/>
    <w:rsid w:val="008F567D"/>
    <w:rsid w:val="008F5BEA"/>
    <w:rsid w:val="008F5DBA"/>
    <w:rsid w:val="008F66AE"/>
    <w:rsid w:val="008F6884"/>
    <w:rsid w:val="008F6F1A"/>
    <w:rsid w:val="008F7897"/>
    <w:rsid w:val="00900376"/>
    <w:rsid w:val="00900B5D"/>
    <w:rsid w:val="00900E0C"/>
    <w:rsid w:val="0090137A"/>
    <w:rsid w:val="009029D0"/>
    <w:rsid w:val="00903370"/>
    <w:rsid w:val="00904377"/>
    <w:rsid w:val="00904882"/>
    <w:rsid w:val="0090524F"/>
    <w:rsid w:val="00905C03"/>
    <w:rsid w:val="00906DCA"/>
    <w:rsid w:val="009107C2"/>
    <w:rsid w:val="0091135A"/>
    <w:rsid w:val="00912104"/>
    <w:rsid w:val="0091349A"/>
    <w:rsid w:val="00914399"/>
    <w:rsid w:val="00915246"/>
    <w:rsid w:val="0091530C"/>
    <w:rsid w:val="009158BF"/>
    <w:rsid w:val="009159F4"/>
    <w:rsid w:val="00917B7B"/>
    <w:rsid w:val="00920A38"/>
    <w:rsid w:val="0092114B"/>
    <w:rsid w:val="009218CF"/>
    <w:rsid w:val="009236F1"/>
    <w:rsid w:val="00923B37"/>
    <w:rsid w:val="00923BEB"/>
    <w:rsid w:val="00924943"/>
    <w:rsid w:val="00924BBC"/>
    <w:rsid w:val="00926B20"/>
    <w:rsid w:val="00927EFF"/>
    <w:rsid w:val="00932602"/>
    <w:rsid w:val="0093323E"/>
    <w:rsid w:val="00933571"/>
    <w:rsid w:val="009339A3"/>
    <w:rsid w:val="00933E08"/>
    <w:rsid w:val="009342FC"/>
    <w:rsid w:val="00934347"/>
    <w:rsid w:val="00936068"/>
    <w:rsid w:val="009363DD"/>
    <w:rsid w:val="00937C29"/>
    <w:rsid w:val="00937E67"/>
    <w:rsid w:val="009401A0"/>
    <w:rsid w:val="00940B3F"/>
    <w:rsid w:val="009411D5"/>
    <w:rsid w:val="0094131F"/>
    <w:rsid w:val="00941528"/>
    <w:rsid w:val="009419F5"/>
    <w:rsid w:val="009423C0"/>
    <w:rsid w:val="009427C4"/>
    <w:rsid w:val="009428AC"/>
    <w:rsid w:val="009429EE"/>
    <w:rsid w:val="009433AE"/>
    <w:rsid w:val="00943806"/>
    <w:rsid w:val="0094393C"/>
    <w:rsid w:val="00943AE7"/>
    <w:rsid w:val="00944EF4"/>
    <w:rsid w:val="00945864"/>
    <w:rsid w:val="00945A92"/>
    <w:rsid w:val="00945CC1"/>
    <w:rsid w:val="00946351"/>
    <w:rsid w:val="00946AC3"/>
    <w:rsid w:val="00951165"/>
    <w:rsid w:val="009517CC"/>
    <w:rsid w:val="009519C2"/>
    <w:rsid w:val="009519E5"/>
    <w:rsid w:val="0095238A"/>
    <w:rsid w:val="00952A5D"/>
    <w:rsid w:val="00953369"/>
    <w:rsid w:val="00953573"/>
    <w:rsid w:val="0095389C"/>
    <w:rsid w:val="009541A0"/>
    <w:rsid w:val="009549DE"/>
    <w:rsid w:val="00954B41"/>
    <w:rsid w:val="009552A3"/>
    <w:rsid w:val="00955B79"/>
    <w:rsid w:val="00955DD1"/>
    <w:rsid w:val="009602A4"/>
    <w:rsid w:val="009602D4"/>
    <w:rsid w:val="00960F0D"/>
    <w:rsid w:val="009615D4"/>
    <w:rsid w:val="00961787"/>
    <w:rsid w:val="00961C74"/>
    <w:rsid w:val="00962575"/>
    <w:rsid w:val="00962905"/>
    <w:rsid w:val="00962C87"/>
    <w:rsid w:val="00964919"/>
    <w:rsid w:val="00965239"/>
    <w:rsid w:val="00967405"/>
    <w:rsid w:val="00967826"/>
    <w:rsid w:val="00970349"/>
    <w:rsid w:val="009706D0"/>
    <w:rsid w:val="00970A20"/>
    <w:rsid w:val="0097163D"/>
    <w:rsid w:val="00971A7D"/>
    <w:rsid w:val="00971B13"/>
    <w:rsid w:val="009721F8"/>
    <w:rsid w:val="009729AB"/>
    <w:rsid w:val="00972BAB"/>
    <w:rsid w:val="00973693"/>
    <w:rsid w:val="0097436F"/>
    <w:rsid w:val="00974677"/>
    <w:rsid w:val="00976023"/>
    <w:rsid w:val="00976C48"/>
    <w:rsid w:val="00976E98"/>
    <w:rsid w:val="00980461"/>
    <w:rsid w:val="0098190B"/>
    <w:rsid w:val="00982319"/>
    <w:rsid w:val="00982C4C"/>
    <w:rsid w:val="009841B9"/>
    <w:rsid w:val="0098508E"/>
    <w:rsid w:val="00985117"/>
    <w:rsid w:val="0098540D"/>
    <w:rsid w:val="009864AF"/>
    <w:rsid w:val="009901F4"/>
    <w:rsid w:val="00991024"/>
    <w:rsid w:val="009915DC"/>
    <w:rsid w:val="00991AC6"/>
    <w:rsid w:val="00992208"/>
    <w:rsid w:val="009928D9"/>
    <w:rsid w:val="00993247"/>
    <w:rsid w:val="009932CB"/>
    <w:rsid w:val="0099623A"/>
    <w:rsid w:val="009962B4"/>
    <w:rsid w:val="009967CA"/>
    <w:rsid w:val="009969C3"/>
    <w:rsid w:val="00996D17"/>
    <w:rsid w:val="00997336"/>
    <w:rsid w:val="009973B1"/>
    <w:rsid w:val="009A19F8"/>
    <w:rsid w:val="009A1CAD"/>
    <w:rsid w:val="009A1D9E"/>
    <w:rsid w:val="009A1F95"/>
    <w:rsid w:val="009A2401"/>
    <w:rsid w:val="009A2585"/>
    <w:rsid w:val="009A2F17"/>
    <w:rsid w:val="009A3C2B"/>
    <w:rsid w:val="009A65E4"/>
    <w:rsid w:val="009A6E7D"/>
    <w:rsid w:val="009B33AC"/>
    <w:rsid w:val="009B482A"/>
    <w:rsid w:val="009B4FD3"/>
    <w:rsid w:val="009B54BA"/>
    <w:rsid w:val="009B5A50"/>
    <w:rsid w:val="009B5F97"/>
    <w:rsid w:val="009B6900"/>
    <w:rsid w:val="009B749E"/>
    <w:rsid w:val="009C0773"/>
    <w:rsid w:val="009C1269"/>
    <w:rsid w:val="009C259A"/>
    <w:rsid w:val="009C332F"/>
    <w:rsid w:val="009C3377"/>
    <w:rsid w:val="009C3829"/>
    <w:rsid w:val="009C4D8C"/>
    <w:rsid w:val="009C6075"/>
    <w:rsid w:val="009C6221"/>
    <w:rsid w:val="009D1814"/>
    <w:rsid w:val="009D22D4"/>
    <w:rsid w:val="009D24F5"/>
    <w:rsid w:val="009D2D68"/>
    <w:rsid w:val="009D3B4D"/>
    <w:rsid w:val="009D58E5"/>
    <w:rsid w:val="009D7075"/>
    <w:rsid w:val="009D7336"/>
    <w:rsid w:val="009E0571"/>
    <w:rsid w:val="009E19A3"/>
    <w:rsid w:val="009E2BF5"/>
    <w:rsid w:val="009E2F47"/>
    <w:rsid w:val="009E3846"/>
    <w:rsid w:val="009E468E"/>
    <w:rsid w:val="009E4D2C"/>
    <w:rsid w:val="009E4DC0"/>
    <w:rsid w:val="009E5618"/>
    <w:rsid w:val="009E5A43"/>
    <w:rsid w:val="009E7744"/>
    <w:rsid w:val="009F08CE"/>
    <w:rsid w:val="009F0E24"/>
    <w:rsid w:val="009F16B5"/>
    <w:rsid w:val="009F47FC"/>
    <w:rsid w:val="009F4E20"/>
    <w:rsid w:val="009F52E9"/>
    <w:rsid w:val="009F55F7"/>
    <w:rsid w:val="009F57EA"/>
    <w:rsid w:val="009F660E"/>
    <w:rsid w:val="009F7123"/>
    <w:rsid w:val="00A00134"/>
    <w:rsid w:val="00A018D0"/>
    <w:rsid w:val="00A01DD9"/>
    <w:rsid w:val="00A02354"/>
    <w:rsid w:val="00A041BE"/>
    <w:rsid w:val="00A04204"/>
    <w:rsid w:val="00A042A7"/>
    <w:rsid w:val="00A04ACB"/>
    <w:rsid w:val="00A06303"/>
    <w:rsid w:val="00A063DF"/>
    <w:rsid w:val="00A069B9"/>
    <w:rsid w:val="00A06D7C"/>
    <w:rsid w:val="00A0736D"/>
    <w:rsid w:val="00A0757A"/>
    <w:rsid w:val="00A07BF7"/>
    <w:rsid w:val="00A1123A"/>
    <w:rsid w:val="00A11AC8"/>
    <w:rsid w:val="00A128B7"/>
    <w:rsid w:val="00A12D03"/>
    <w:rsid w:val="00A133BA"/>
    <w:rsid w:val="00A133E4"/>
    <w:rsid w:val="00A134B1"/>
    <w:rsid w:val="00A13664"/>
    <w:rsid w:val="00A13F1F"/>
    <w:rsid w:val="00A14235"/>
    <w:rsid w:val="00A16223"/>
    <w:rsid w:val="00A16658"/>
    <w:rsid w:val="00A16A8B"/>
    <w:rsid w:val="00A17ADC"/>
    <w:rsid w:val="00A20559"/>
    <w:rsid w:val="00A217B3"/>
    <w:rsid w:val="00A21E37"/>
    <w:rsid w:val="00A2327C"/>
    <w:rsid w:val="00A23702"/>
    <w:rsid w:val="00A23B43"/>
    <w:rsid w:val="00A2422B"/>
    <w:rsid w:val="00A249B2"/>
    <w:rsid w:val="00A25A45"/>
    <w:rsid w:val="00A273C2"/>
    <w:rsid w:val="00A275F8"/>
    <w:rsid w:val="00A27738"/>
    <w:rsid w:val="00A27DD0"/>
    <w:rsid w:val="00A31026"/>
    <w:rsid w:val="00A31929"/>
    <w:rsid w:val="00A31DD4"/>
    <w:rsid w:val="00A321F3"/>
    <w:rsid w:val="00A3240E"/>
    <w:rsid w:val="00A324FE"/>
    <w:rsid w:val="00A32CDD"/>
    <w:rsid w:val="00A33BC9"/>
    <w:rsid w:val="00A3494D"/>
    <w:rsid w:val="00A35BF6"/>
    <w:rsid w:val="00A360CA"/>
    <w:rsid w:val="00A36408"/>
    <w:rsid w:val="00A37796"/>
    <w:rsid w:val="00A4092B"/>
    <w:rsid w:val="00A416AD"/>
    <w:rsid w:val="00A424AE"/>
    <w:rsid w:val="00A42675"/>
    <w:rsid w:val="00A42C77"/>
    <w:rsid w:val="00A4317D"/>
    <w:rsid w:val="00A43455"/>
    <w:rsid w:val="00A43854"/>
    <w:rsid w:val="00A44501"/>
    <w:rsid w:val="00A46BC0"/>
    <w:rsid w:val="00A471AE"/>
    <w:rsid w:val="00A50CD9"/>
    <w:rsid w:val="00A51374"/>
    <w:rsid w:val="00A52771"/>
    <w:rsid w:val="00A530B9"/>
    <w:rsid w:val="00A530C8"/>
    <w:rsid w:val="00A535E0"/>
    <w:rsid w:val="00A54140"/>
    <w:rsid w:val="00A54624"/>
    <w:rsid w:val="00A54F1E"/>
    <w:rsid w:val="00A5529A"/>
    <w:rsid w:val="00A552F3"/>
    <w:rsid w:val="00A5605E"/>
    <w:rsid w:val="00A5703F"/>
    <w:rsid w:val="00A57238"/>
    <w:rsid w:val="00A572D9"/>
    <w:rsid w:val="00A60243"/>
    <w:rsid w:val="00A61AD5"/>
    <w:rsid w:val="00A62CCE"/>
    <w:rsid w:val="00A62D73"/>
    <w:rsid w:val="00A63BD9"/>
    <w:rsid w:val="00A6474E"/>
    <w:rsid w:val="00A650B1"/>
    <w:rsid w:val="00A652A3"/>
    <w:rsid w:val="00A658B7"/>
    <w:rsid w:val="00A65DCB"/>
    <w:rsid w:val="00A66FAF"/>
    <w:rsid w:val="00A670AF"/>
    <w:rsid w:val="00A678C1"/>
    <w:rsid w:val="00A700CA"/>
    <w:rsid w:val="00A705D0"/>
    <w:rsid w:val="00A7269C"/>
    <w:rsid w:val="00A72AC3"/>
    <w:rsid w:val="00A74486"/>
    <w:rsid w:val="00A74573"/>
    <w:rsid w:val="00A74D2B"/>
    <w:rsid w:val="00A75DCB"/>
    <w:rsid w:val="00A7605E"/>
    <w:rsid w:val="00A80B7E"/>
    <w:rsid w:val="00A80CCB"/>
    <w:rsid w:val="00A8183A"/>
    <w:rsid w:val="00A83ED6"/>
    <w:rsid w:val="00A86051"/>
    <w:rsid w:val="00A8625F"/>
    <w:rsid w:val="00A87AB4"/>
    <w:rsid w:val="00A90151"/>
    <w:rsid w:val="00A90256"/>
    <w:rsid w:val="00A9060E"/>
    <w:rsid w:val="00A91308"/>
    <w:rsid w:val="00A91D4D"/>
    <w:rsid w:val="00A92440"/>
    <w:rsid w:val="00A92BDE"/>
    <w:rsid w:val="00A9359B"/>
    <w:rsid w:val="00A9360F"/>
    <w:rsid w:val="00A94110"/>
    <w:rsid w:val="00A9532E"/>
    <w:rsid w:val="00A9545C"/>
    <w:rsid w:val="00A956A2"/>
    <w:rsid w:val="00A95E1C"/>
    <w:rsid w:val="00A962B6"/>
    <w:rsid w:val="00A96734"/>
    <w:rsid w:val="00A970A6"/>
    <w:rsid w:val="00A972C8"/>
    <w:rsid w:val="00AA0404"/>
    <w:rsid w:val="00AA163B"/>
    <w:rsid w:val="00AA314F"/>
    <w:rsid w:val="00AA32AD"/>
    <w:rsid w:val="00AA3569"/>
    <w:rsid w:val="00AA4807"/>
    <w:rsid w:val="00AA484E"/>
    <w:rsid w:val="00AA5693"/>
    <w:rsid w:val="00AA7288"/>
    <w:rsid w:val="00AA7DC7"/>
    <w:rsid w:val="00AA7F51"/>
    <w:rsid w:val="00AB0432"/>
    <w:rsid w:val="00AB107F"/>
    <w:rsid w:val="00AB10F4"/>
    <w:rsid w:val="00AB12EF"/>
    <w:rsid w:val="00AB2D17"/>
    <w:rsid w:val="00AB34AD"/>
    <w:rsid w:val="00AB38AE"/>
    <w:rsid w:val="00AB3DE2"/>
    <w:rsid w:val="00AB46AC"/>
    <w:rsid w:val="00AB46E2"/>
    <w:rsid w:val="00AB4B99"/>
    <w:rsid w:val="00AB5386"/>
    <w:rsid w:val="00AB56E4"/>
    <w:rsid w:val="00AB6867"/>
    <w:rsid w:val="00AB705B"/>
    <w:rsid w:val="00AB769A"/>
    <w:rsid w:val="00AB7BED"/>
    <w:rsid w:val="00AC0A86"/>
    <w:rsid w:val="00AC1A20"/>
    <w:rsid w:val="00AC1E6A"/>
    <w:rsid w:val="00AC1F33"/>
    <w:rsid w:val="00AC4195"/>
    <w:rsid w:val="00AC4EF1"/>
    <w:rsid w:val="00AC4F7C"/>
    <w:rsid w:val="00AC587D"/>
    <w:rsid w:val="00AC5B84"/>
    <w:rsid w:val="00AC69F7"/>
    <w:rsid w:val="00AC6F6F"/>
    <w:rsid w:val="00AC7D94"/>
    <w:rsid w:val="00AD0BC6"/>
    <w:rsid w:val="00AD1690"/>
    <w:rsid w:val="00AD1AA2"/>
    <w:rsid w:val="00AD1D80"/>
    <w:rsid w:val="00AD278B"/>
    <w:rsid w:val="00AD2932"/>
    <w:rsid w:val="00AD2A46"/>
    <w:rsid w:val="00AD2AF6"/>
    <w:rsid w:val="00AD2C32"/>
    <w:rsid w:val="00AD3D1A"/>
    <w:rsid w:val="00AD3DE4"/>
    <w:rsid w:val="00AD4E58"/>
    <w:rsid w:val="00AD5BE8"/>
    <w:rsid w:val="00AD7A30"/>
    <w:rsid w:val="00AE1072"/>
    <w:rsid w:val="00AE18EE"/>
    <w:rsid w:val="00AE1C73"/>
    <w:rsid w:val="00AE3127"/>
    <w:rsid w:val="00AE6D4B"/>
    <w:rsid w:val="00AF029B"/>
    <w:rsid w:val="00AF029D"/>
    <w:rsid w:val="00AF0C9B"/>
    <w:rsid w:val="00AF28A2"/>
    <w:rsid w:val="00AF356C"/>
    <w:rsid w:val="00AF3A50"/>
    <w:rsid w:val="00AF3BD9"/>
    <w:rsid w:val="00AF3C4B"/>
    <w:rsid w:val="00AF479F"/>
    <w:rsid w:val="00AF4EB2"/>
    <w:rsid w:val="00AF661C"/>
    <w:rsid w:val="00AF7B61"/>
    <w:rsid w:val="00AF7C36"/>
    <w:rsid w:val="00B00D83"/>
    <w:rsid w:val="00B01E80"/>
    <w:rsid w:val="00B01F12"/>
    <w:rsid w:val="00B02B17"/>
    <w:rsid w:val="00B03A33"/>
    <w:rsid w:val="00B03E2B"/>
    <w:rsid w:val="00B044BC"/>
    <w:rsid w:val="00B0536A"/>
    <w:rsid w:val="00B05F03"/>
    <w:rsid w:val="00B0610F"/>
    <w:rsid w:val="00B070E3"/>
    <w:rsid w:val="00B07F14"/>
    <w:rsid w:val="00B10317"/>
    <w:rsid w:val="00B105DD"/>
    <w:rsid w:val="00B1088B"/>
    <w:rsid w:val="00B11756"/>
    <w:rsid w:val="00B11F80"/>
    <w:rsid w:val="00B122AD"/>
    <w:rsid w:val="00B12474"/>
    <w:rsid w:val="00B14093"/>
    <w:rsid w:val="00B15757"/>
    <w:rsid w:val="00B1665A"/>
    <w:rsid w:val="00B1713D"/>
    <w:rsid w:val="00B2092F"/>
    <w:rsid w:val="00B21AC7"/>
    <w:rsid w:val="00B22A77"/>
    <w:rsid w:val="00B23258"/>
    <w:rsid w:val="00B232E3"/>
    <w:rsid w:val="00B234DC"/>
    <w:rsid w:val="00B23603"/>
    <w:rsid w:val="00B25B8A"/>
    <w:rsid w:val="00B27DDD"/>
    <w:rsid w:val="00B302FA"/>
    <w:rsid w:val="00B30BF9"/>
    <w:rsid w:val="00B315FE"/>
    <w:rsid w:val="00B31AE6"/>
    <w:rsid w:val="00B31C58"/>
    <w:rsid w:val="00B31FBB"/>
    <w:rsid w:val="00B321A3"/>
    <w:rsid w:val="00B323FC"/>
    <w:rsid w:val="00B32D6C"/>
    <w:rsid w:val="00B33BD8"/>
    <w:rsid w:val="00B33C59"/>
    <w:rsid w:val="00B34048"/>
    <w:rsid w:val="00B34397"/>
    <w:rsid w:val="00B352BF"/>
    <w:rsid w:val="00B35A7C"/>
    <w:rsid w:val="00B3749D"/>
    <w:rsid w:val="00B37EC5"/>
    <w:rsid w:val="00B41CFB"/>
    <w:rsid w:val="00B41EC3"/>
    <w:rsid w:val="00B43964"/>
    <w:rsid w:val="00B443CC"/>
    <w:rsid w:val="00B44ED4"/>
    <w:rsid w:val="00B4542F"/>
    <w:rsid w:val="00B4593C"/>
    <w:rsid w:val="00B462C8"/>
    <w:rsid w:val="00B46BF1"/>
    <w:rsid w:val="00B4724A"/>
    <w:rsid w:val="00B5056C"/>
    <w:rsid w:val="00B50650"/>
    <w:rsid w:val="00B50D39"/>
    <w:rsid w:val="00B51758"/>
    <w:rsid w:val="00B537E8"/>
    <w:rsid w:val="00B542DE"/>
    <w:rsid w:val="00B54FA8"/>
    <w:rsid w:val="00B55AD4"/>
    <w:rsid w:val="00B56F91"/>
    <w:rsid w:val="00B57AA9"/>
    <w:rsid w:val="00B57C12"/>
    <w:rsid w:val="00B60715"/>
    <w:rsid w:val="00B613A5"/>
    <w:rsid w:val="00B622F1"/>
    <w:rsid w:val="00B6357C"/>
    <w:rsid w:val="00B639D8"/>
    <w:rsid w:val="00B64BBA"/>
    <w:rsid w:val="00B65DAA"/>
    <w:rsid w:val="00B65EC5"/>
    <w:rsid w:val="00B6694A"/>
    <w:rsid w:val="00B66B2F"/>
    <w:rsid w:val="00B7035F"/>
    <w:rsid w:val="00B707BD"/>
    <w:rsid w:val="00B71F08"/>
    <w:rsid w:val="00B720EC"/>
    <w:rsid w:val="00B733D9"/>
    <w:rsid w:val="00B74674"/>
    <w:rsid w:val="00B74720"/>
    <w:rsid w:val="00B74F7F"/>
    <w:rsid w:val="00B752A6"/>
    <w:rsid w:val="00B75868"/>
    <w:rsid w:val="00B75B08"/>
    <w:rsid w:val="00B7628F"/>
    <w:rsid w:val="00B7663C"/>
    <w:rsid w:val="00B76AD9"/>
    <w:rsid w:val="00B77D63"/>
    <w:rsid w:val="00B77FB6"/>
    <w:rsid w:val="00B8060A"/>
    <w:rsid w:val="00B8176E"/>
    <w:rsid w:val="00B818CB"/>
    <w:rsid w:val="00B81CF8"/>
    <w:rsid w:val="00B81DD6"/>
    <w:rsid w:val="00B8322F"/>
    <w:rsid w:val="00B8379A"/>
    <w:rsid w:val="00B8409D"/>
    <w:rsid w:val="00B84869"/>
    <w:rsid w:val="00B85FD3"/>
    <w:rsid w:val="00B86607"/>
    <w:rsid w:val="00B86C2C"/>
    <w:rsid w:val="00B86E30"/>
    <w:rsid w:val="00B86EFC"/>
    <w:rsid w:val="00B8769F"/>
    <w:rsid w:val="00B87859"/>
    <w:rsid w:val="00B87920"/>
    <w:rsid w:val="00B90B5A"/>
    <w:rsid w:val="00B90BDE"/>
    <w:rsid w:val="00B912AE"/>
    <w:rsid w:val="00B91670"/>
    <w:rsid w:val="00B91D47"/>
    <w:rsid w:val="00B93508"/>
    <w:rsid w:val="00B953E2"/>
    <w:rsid w:val="00B9556E"/>
    <w:rsid w:val="00B955C3"/>
    <w:rsid w:val="00B9660D"/>
    <w:rsid w:val="00B9736F"/>
    <w:rsid w:val="00B9796A"/>
    <w:rsid w:val="00BA0282"/>
    <w:rsid w:val="00BA0813"/>
    <w:rsid w:val="00BA3021"/>
    <w:rsid w:val="00BA3581"/>
    <w:rsid w:val="00BA3CB8"/>
    <w:rsid w:val="00BA59D0"/>
    <w:rsid w:val="00BA7623"/>
    <w:rsid w:val="00BB035E"/>
    <w:rsid w:val="00BB0988"/>
    <w:rsid w:val="00BB36B5"/>
    <w:rsid w:val="00BB3B19"/>
    <w:rsid w:val="00BB40C7"/>
    <w:rsid w:val="00BB5C22"/>
    <w:rsid w:val="00BB5CF3"/>
    <w:rsid w:val="00BB6868"/>
    <w:rsid w:val="00BC0192"/>
    <w:rsid w:val="00BC022C"/>
    <w:rsid w:val="00BC0264"/>
    <w:rsid w:val="00BC0322"/>
    <w:rsid w:val="00BC0743"/>
    <w:rsid w:val="00BC0B10"/>
    <w:rsid w:val="00BC0DCE"/>
    <w:rsid w:val="00BC0FEC"/>
    <w:rsid w:val="00BC127C"/>
    <w:rsid w:val="00BC1585"/>
    <w:rsid w:val="00BC2036"/>
    <w:rsid w:val="00BC2A80"/>
    <w:rsid w:val="00BC35F6"/>
    <w:rsid w:val="00BC4EBB"/>
    <w:rsid w:val="00BC6606"/>
    <w:rsid w:val="00BC7189"/>
    <w:rsid w:val="00BC7563"/>
    <w:rsid w:val="00BC7975"/>
    <w:rsid w:val="00BC7C1B"/>
    <w:rsid w:val="00BD0168"/>
    <w:rsid w:val="00BD0542"/>
    <w:rsid w:val="00BD0AF3"/>
    <w:rsid w:val="00BD10A3"/>
    <w:rsid w:val="00BD176E"/>
    <w:rsid w:val="00BD190D"/>
    <w:rsid w:val="00BD19DB"/>
    <w:rsid w:val="00BD2CF8"/>
    <w:rsid w:val="00BD59E9"/>
    <w:rsid w:val="00BD5CC8"/>
    <w:rsid w:val="00BD6071"/>
    <w:rsid w:val="00BD6962"/>
    <w:rsid w:val="00BD78BF"/>
    <w:rsid w:val="00BE1199"/>
    <w:rsid w:val="00BE1A2D"/>
    <w:rsid w:val="00BE29F5"/>
    <w:rsid w:val="00BE3B1A"/>
    <w:rsid w:val="00BE3FCF"/>
    <w:rsid w:val="00BE4FB0"/>
    <w:rsid w:val="00BE6B34"/>
    <w:rsid w:val="00BE7B37"/>
    <w:rsid w:val="00BF0EF2"/>
    <w:rsid w:val="00BF1054"/>
    <w:rsid w:val="00BF11A0"/>
    <w:rsid w:val="00BF1FE1"/>
    <w:rsid w:val="00BF22A9"/>
    <w:rsid w:val="00BF3587"/>
    <w:rsid w:val="00BF362B"/>
    <w:rsid w:val="00BF402E"/>
    <w:rsid w:val="00BF41FB"/>
    <w:rsid w:val="00BF5BAA"/>
    <w:rsid w:val="00BF6166"/>
    <w:rsid w:val="00BF68C8"/>
    <w:rsid w:val="00BF79AD"/>
    <w:rsid w:val="00BF7D6A"/>
    <w:rsid w:val="00C016A3"/>
    <w:rsid w:val="00C01E68"/>
    <w:rsid w:val="00C02D35"/>
    <w:rsid w:val="00C034C6"/>
    <w:rsid w:val="00C037D5"/>
    <w:rsid w:val="00C03962"/>
    <w:rsid w:val="00C03FB3"/>
    <w:rsid w:val="00C04DD6"/>
    <w:rsid w:val="00C04F6B"/>
    <w:rsid w:val="00C05CAB"/>
    <w:rsid w:val="00C063A7"/>
    <w:rsid w:val="00C06419"/>
    <w:rsid w:val="00C06705"/>
    <w:rsid w:val="00C07306"/>
    <w:rsid w:val="00C078AD"/>
    <w:rsid w:val="00C10129"/>
    <w:rsid w:val="00C10A07"/>
    <w:rsid w:val="00C11924"/>
    <w:rsid w:val="00C11CC0"/>
    <w:rsid w:val="00C136FE"/>
    <w:rsid w:val="00C14016"/>
    <w:rsid w:val="00C15E64"/>
    <w:rsid w:val="00C16C3C"/>
    <w:rsid w:val="00C17B40"/>
    <w:rsid w:val="00C2046E"/>
    <w:rsid w:val="00C20ADD"/>
    <w:rsid w:val="00C217EC"/>
    <w:rsid w:val="00C21B92"/>
    <w:rsid w:val="00C221A0"/>
    <w:rsid w:val="00C226F4"/>
    <w:rsid w:val="00C238D1"/>
    <w:rsid w:val="00C23FBD"/>
    <w:rsid w:val="00C24419"/>
    <w:rsid w:val="00C25023"/>
    <w:rsid w:val="00C25C1A"/>
    <w:rsid w:val="00C25C3E"/>
    <w:rsid w:val="00C25C46"/>
    <w:rsid w:val="00C2647B"/>
    <w:rsid w:val="00C2656A"/>
    <w:rsid w:val="00C2717C"/>
    <w:rsid w:val="00C27A98"/>
    <w:rsid w:val="00C27B07"/>
    <w:rsid w:val="00C27DBE"/>
    <w:rsid w:val="00C27DCB"/>
    <w:rsid w:val="00C3045B"/>
    <w:rsid w:val="00C3098F"/>
    <w:rsid w:val="00C31E23"/>
    <w:rsid w:val="00C31F3C"/>
    <w:rsid w:val="00C326F9"/>
    <w:rsid w:val="00C32C7A"/>
    <w:rsid w:val="00C33BB8"/>
    <w:rsid w:val="00C35544"/>
    <w:rsid w:val="00C35E6F"/>
    <w:rsid w:val="00C36339"/>
    <w:rsid w:val="00C36C0E"/>
    <w:rsid w:val="00C36FFC"/>
    <w:rsid w:val="00C37A29"/>
    <w:rsid w:val="00C407C4"/>
    <w:rsid w:val="00C420C8"/>
    <w:rsid w:val="00C42804"/>
    <w:rsid w:val="00C42E95"/>
    <w:rsid w:val="00C43822"/>
    <w:rsid w:val="00C4390F"/>
    <w:rsid w:val="00C46947"/>
    <w:rsid w:val="00C46972"/>
    <w:rsid w:val="00C5042F"/>
    <w:rsid w:val="00C51323"/>
    <w:rsid w:val="00C52A74"/>
    <w:rsid w:val="00C52E48"/>
    <w:rsid w:val="00C5346C"/>
    <w:rsid w:val="00C54A72"/>
    <w:rsid w:val="00C55BAF"/>
    <w:rsid w:val="00C568F9"/>
    <w:rsid w:val="00C56A05"/>
    <w:rsid w:val="00C57219"/>
    <w:rsid w:val="00C57C26"/>
    <w:rsid w:val="00C60586"/>
    <w:rsid w:val="00C60792"/>
    <w:rsid w:val="00C61484"/>
    <w:rsid w:val="00C61DFB"/>
    <w:rsid w:val="00C6257D"/>
    <w:rsid w:val="00C630FA"/>
    <w:rsid w:val="00C635B8"/>
    <w:rsid w:val="00C6420B"/>
    <w:rsid w:val="00C65E38"/>
    <w:rsid w:val="00C65EC9"/>
    <w:rsid w:val="00C7054E"/>
    <w:rsid w:val="00C70D80"/>
    <w:rsid w:val="00C70EFC"/>
    <w:rsid w:val="00C70FBA"/>
    <w:rsid w:val="00C71688"/>
    <w:rsid w:val="00C72BED"/>
    <w:rsid w:val="00C7303B"/>
    <w:rsid w:val="00C741C0"/>
    <w:rsid w:val="00C74E74"/>
    <w:rsid w:val="00C7575A"/>
    <w:rsid w:val="00C75C56"/>
    <w:rsid w:val="00C7610F"/>
    <w:rsid w:val="00C841F9"/>
    <w:rsid w:val="00C85457"/>
    <w:rsid w:val="00C86BB9"/>
    <w:rsid w:val="00C87362"/>
    <w:rsid w:val="00C87854"/>
    <w:rsid w:val="00C907F3"/>
    <w:rsid w:val="00C90D02"/>
    <w:rsid w:val="00C91696"/>
    <w:rsid w:val="00C93021"/>
    <w:rsid w:val="00C932F3"/>
    <w:rsid w:val="00C935AA"/>
    <w:rsid w:val="00C938BC"/>
    <w:rsid w:val="00C93D0C"/>
    <w:rsid w:val="00C955B9"/>
    <w:rsid w:val="00C9580A"/>
    <w:rsid w:val="00C976DD"/>
    <w:rsid w:val="00C97969"/>
    <w:rsid w:val="00CA0B3F"/>
    <w:rsid w:val="00CA1097"/>
    <w:rsid w:val="00CA301A"/>
    <w:rsid w:val="00CA336D"/>
    <w:rsid w:val="00CA444F"/>
    <w:rsid w:val="00CA4BD1"/>
    <w:rsid w:val="00CA55F1"/>
    <w:rsid w:val="00CA5913"/>
    <w:rsid w:val="00CB0EBB"/>
    <w:rsid w:val="00CB0F31"/>
    <w:rsid w:val="00CB1243"/>
    <w:rsid w:val="00CB16CA"/>
    <w:rsid w:val="00CB4DF3"/>
    <w:rsid w:val="00CB5133"/>
    <w:rsid w:val="00CB5174"/>
    <w:rsid w:val="00CB5439"/>
    <w:rsid w:val="00CB5BA2"/>
    <w:rsid w:val="00CB6B1D"/>
    <w:rsid w:val="00CC0744"/>
    <w:rsid w:val="00CC0F00"/>
    <w:rsid w:val="00CC14D0"/>
    <w:rsid w:val="00CC2776"/>
    <w:rsid w:val="00CC3DE4"/>
    <w:rsid w:val="00CC459B"/>
    <w:rsid w:val="00CC48BC"/>
    <w:rsid w:val="00CC50B3"/>
    <w:rsid w:val="00CC5F5B"/>
    <w:rsid w:val="00CC6254"/>
    <w:rsid w:val="00CC65CC"/>
    <w:rsid w:val="00CC6DD9"/>
    <w:rsid w:val="00CC7083"/>
    <w:rsid w:val="00CC745E"/>
    <w:rsid w:val="00CC7810"/>
    <w:rsid w:val="00CC7E36"/>
    <w:rsid w:val="00CD06E2"/>
    <w:rsid w:val="00CD0ECA"/>
    <w:rsid w:val="00CD16F2"/>
    <w:rsid w:val="00CD1ED0"/>
    <w:rsid w:val="00CD1FFB"/>
    <w:rsid w:val="00CD2491"/>
    <w:rsid w:val="00CD2802"/>
    <w:rsid w:val="00CD423A"/>
    <w:rsid w:val="00CD4456"/>
    <w:rsid w:val="00CD4CA5"/>
    <w:rsid w:val="00CD61EB"/>
    <w:rsid w:val="00CD67BC"/>
    <w:rsid w:val="00CD7F44"/>
    <w:rsid w:val="00CD7F5E"/>
    <w:rsid w:val="00CE08FB"/>
    <w:rsid w:val="00CE1254"/>
    <w:rsid w:val="00CE2C67"/>
    <w:rsid w:val="00CE3D24"/>
    <w:rsid w:val="00CE4199"/>
    <w:rsid w:val="00CE43AF"/>
    <w:rsid w:val="00CE4C29"/>
    <w:rsid w:val="00CE4D3A"/>
    <w:rsid w:val="00CE58BC"/>
    <w:rsid w:val="00CE64FD"/>
    <w:rsid w:val="00CE653C"/>
    <w:rsid w:val="00CE6A2D"/>
    <w:rsid w:val="00CE7236"/>
    <w:rsid w:val="00CE72A3"/>
    <w:rsid w:val="00CE7586"/>
    <w:rsid w:val="00CE7DB6"/>
    <w:rsid w:val="00CF02F0"/>
    <w:rsid w:val="00CF089E"/>
    <w:rsid w:val="00CF20E1"/>
    <w:rsid w:val="00CF2865"/>
    <w:rsid w:val="00CF2E40"/>
    <w:rsid w:val="00CF362E"/>
    <w:rsid w:val="00CF4BC6"/>
    <w:rsid w:val="00CF5519"/>
    <w:rsid w:val="00CF7802"/>
    <w:rsid w:val="00CF7844"/>
    <w:rsid w:val="00CF7F06"/>
    <w:rsid w:val="00D00159"/>
    <w:rsid w:val="00D00C21"/>
    <w:rsid w:val="00D00E8C"/>
    <w:rsid w:val="00D0103A"/>
    <w:rsid w:val="00D01615"/>
    <w:rsid w:val="00D01A0B"/>
    <w:rsid w:val="00D02433"/>
    <w:rsid w:val="00D02858"/>
    <w:rsid w:val="00D032C9"/>
    <w:rsid w:val="00D03332"/>
    <w:rsid w:val="00D0352E"/>
    <w:rsid w:val="00D039F5"/>
    <w:rsid w:val="00D03C12"/>
    <w:rsid w:val="00D041DB"/>
    <w:rsid w:val="00D04C37"/>
    <w:rsid w:val="00D05A9F"/>
    <w:rsid w:val="00D05B02"/>
    <w:rsid w:val="00D05EC8"/>
    <w:rsid w:val="00D06031"/>
    <w:rsid w:val="00D062B6"/>
    <w:rsid w:val="00D06818"/>
    <w:rsid w:val="00D071A4"/>
    <w:rsid w:val="00D07EFB"/>
    <w:rsid w:val="00D10F14"/>
    <w:rsid w:val="00D1118A"/>
    <w:rsid w:val="00D113BA"/>
    <w:rsid w:val="00D11C16"/>
    <w:rsid w:val="00D138E6"/>
    <w:rsid w:val="00D14092"/>
    <w:rsid w:val="00D14CC4"/>
    <w:rsid w:val="00D150CD"/>
    <w:rsid w:val="00D15113"/>
    <w:rsid w:val="00D156ED"/>
    <w:rsid w:val="00D15B7C"/>
    <w:rsid w:val="00D15B7D"/>
    <w:rsid w:val="00D1621C"/>
    <w:rsid w:val="00D16CE4"/>
    <w:rsid w:val="00D16F74"/>
    <w:rsid w:val="00D17181"/>
    <w:rsid w:val="00D17755"/>
    <w:rsid w:val="00D17C30"/>
    <w:rsid w:val="00D20079"/>
    <w:rsid w:val="00D2042E"/>
    <w:rsid w:val="00D206F6"/>
    <w:rsid w:val="00D20D1B"/>
    <w:rsid w:val="00D22720"/>
    <w:rsid w:val="00D25CB0"/>
    <w:rsid w:val="00D26228"/>
    <w:rsid w:val="00D265E5"/>
    <w:rsid w:val="00D26A33"/>
    <w:rsid w:val="00D30791"/>
    <w:rsid w:val="00D30B94"/>
    <w:rsid w:val="00D3124A"/>
    <w:rsid w:val="00D31834"/>
    <w:rsid w:val="00D31A86"/>
    <w:rsid w:val="00D31E3E"/>
    <w:rsid w:val="00D32C60"/>
    <w:rsid w:val="00D330CA"/>
    <w:rsid w:val="00D3316D"/>
    <w:rsid w:val="00D33583"/>
    <w:rsid w:val="00D340A4"/>
    <w:rsid w:val="00D343E9"/>
    <w:rsid w:val="00D349E9"/>
    <w:rsid w:val="00D34DBC"/>
    <w:rsid w:val="00D34F3C"/>
    <w:rsid w:val="00D36093"/>
    <w:rsid w:val="00D37882"/>
    <w:rsid w:val="00D379F0"/>
    <w:rsid w:val="00D42F39"/>
    <w:rsid w:val="00D44CB6"/>
    <w:rsid w:val="00D452BF"/>
    <w:rsid w:val="00D466C3"/>
    <w:rsid w:val="00D46FD9"/>
    <w:rsid w:val="00D50D36"/>
    <w:rsid w:val="00D5126E"/>
    <w:rsid w:val="00D51CED"/>
    <w:rsid w:val="00D53890"/>
    <w:rsid w:val="00D53FBC"/>
    <w:rsid w:val="00D54253"/>
    <w:rsid w:val="00D543E0"/>
    <w:rsid w:val="00D545F1"/>
    <w:rsid w:val="00D55227"/>
    <w:rsid w:val="00D572C5"/>
    <w:rsid w:val="00D57EE2"/>
    <w:rsid w:val="00D60328"/>
    <w:rsid w:val="00D60649"/>
    <w:rsid w:val="00D61E88"/>
    <w:rsid w:val="00D63B7D"/>
    <w:rsid w:val="00D67113"/>
    <w:rsid w:val="00D6759F"/>
    <w:rsid w:val="00D701AB"/>
    <w:rsid w:val="00D71A8A"/>
    <w:rsid w:val="00D731DB"/>
    <w:rsid w:val="00D75AD9"/>
    <w:rsid w:val="00D75B7E"/>
    <w:rsid w:val="00D75B93"/>
    <w:rsid w:val="00D75C86"/>
    <w:rsid w:val="00D763F8"/>
    <w:rsid w:val="00D767DD"/>
    <w:rsid w:val="00D80CB8"/>
    <w:rsid w:val="00D81030"/>
    <w:rsid w:val="00D81610"/>
    <w:rsid w:val="00D82B80"/>
    <w:rsid w:val="00D83923"/>
    <w:rsid w:val="00D83F0F"/>
    <w:rsid w:val="00D840B6"/>
    <w:rsid w:val="00D84AA3"/>
    <w:rsid w:val="00D84CE3"/>
    <w:rsid w:val="00D853B5"/>
    <w:rsid w:val="00D914B4"/>
    <w:rsid w:val="00D91D20"/>
    <w:rsid w:val="00D92720"/>
    <w:rsid w:val="00D93937"/>
    <w:rsid w:val="00D93AB7"/>
    <w:rsid w:val="00D9419D"/>
    <w:rsid w:val="00D94BC9"/>
    <w:rsid w:val="00D95D90"/>
    <w:rsid w:val="00D96F65"/>
    <w:rsid w:val="00D971E9"/>
    <w:rsid w:val="00D9729E"/>
    <w:rsid w:val="00D97787"/>
    <w:rsid w:val="00D9787D"/>
    <w:rsid w:val="00D97B64"/>
    <w:rsid w:val="00DA136C"/>
    <w:rsid w:val="00DA1EF1"/>
    <w:rsid w:val="00DA2000"/>
    <w:rsid w:val="00DA3017"/>
    <w:rsid w:val="00DA305B"/>
    <w:rsid w:val="00DA31B0"/>
    <w:rsid w:val="00DA423D"/>
    <w:rsid w:val="00DA4DD8"/>
    <w:rsid w:val="00DA53D5"/>
    <w:rsid w:val="00DA5484"/>
    <w:rsid w:val="00DA5601"/>
    <w:rsid w:val="00DA60BB"/>
    <w:rsid w:val="00DA6D8F"/>
    <w:rsid w:val="00DA6DA6"/>
    <w:rsid w:val="00DA7582"/>
    <w:rsid w:val="00DA7CEE"/>
    <w:rsid w:val="00DB00E5"/>
    <w:rsid w:val="00DB06D7"/>
    <w:rsid w:val="00DB1989"/>
    <w:rsid w:val="00DB25B8"/>
    <w:rsid w:val="00DB2B2A"/>
    <w:rsid w:val="00DB3742"/>
    <w:rsid w:val="00DB4697"/>
    <w:rsid w:val="00DB496D"/>
    <w:rsid w:val="00DB4B58"/>
    <w:rsid w:val="00DB5A84"/>
    <w:rsid w:val="00DB64EC"/>
    <w:rsid w:val="00DB7B24"/>
    <w:rsid w:val="00DB7E8D"/>
    <w:rsid w:val="00DC0468"/>
    <w:rsid w:val="00DC1012"/>
    <w:rsid w:val="00DC18D8"/>
    <w:rsid w:val="00DC1B37"/>
    <w:rsid w:val="00DC291B"/>
    <w:rsid w:val="00DC31ED"/>
    <w:rsid w:val="00DC325B"/>
    <w:rsid w:val="00DC38C7"/>
    <w:rsid w:val="00DC3C79"/>
    <w:rsid w:val="00DC4014"/>
    <w:rsid w:val="00DC402D"/>
    <w:rsid w:val="00DC41EA"/>
    <w:rsid w:val="00DC420D"/>
    <w:rsid w:val="00DC4628"/>
    <w:rsid w:val="00DC4860"/>
    <w:rsid w:val="00DC52BC"/>
    <w:rsid w:val="00DC5606"/>
    <w:rsid w:val="00DC5DFF"/>
    <w:rsid w:val="00DC71DA"/>
    <w:rsid w:val="00DC74CB"/>
    <w:rsid w:val="00DD05EA"/>
    <w:rsid w:val="00DD0D8F"/>
    <w:rsid w:val="00DD10EA"/>
    <w:rsid w:val="00DD11A5"/>
    <w:rsid w:val="00DD134A"/>
    <w:rsid w:val="00DD1988"/>
    <w:rsid w:val="00DD2992"/>
    <w:rsid w:val="00DD2BEF"/>
    <w:rsid w:val="00DD2FCA"/>
    <w:rsid w:val="00DD521C"/>
    <w:rsid w:val="00DD6473"/>
    <w:rsid w:val="00DD6795"/>
    <w:rsid w:val="00DE0E6C"/>
    <w:rsid w:val="00DE1C32"/>
    <w:rsid w:val="00DE32AE"/>
    <w:rsid w:val="00DE34A0"/>
    <w:rsid w:val="00DE3596"/>
    <w:rsid w:val="00DE46AB"/>
    <w:rsid w:val="00DE473F"/>
    <w:rsid w:val="00DE68DD"/>
    <w:rsid w:val="00DE6A02"/>
    <w:rsid w:val="00DE6B59"/>
    <w:rsid w:val="00DE6E2D"/>
    <w:rsid w:val="00DF1203"/>
    <w:rsid w:val="00DF1769"/>
    <w:rsid w:val="00DF1BF4"/>
    <w:rsid w:val="00DF20AC"/>
    <w:rsid w:val="00DF217A"/>
    <w:rsid w:val="00DF2CB0"/>
    <w:rsid w:val="00DF340C"/>
    <w:rsid w:val="00DF341D"/>
    <w:rsid w:val="00DF4005"/>
    <w:rsid w:val="00DF4E3E"/>
    <w:rsid w:val="00DF528E"/>
    <w:rsid w:val="00DF55B6"/>
    <w:rsid w:val="00DF5619"/>
    <w:rsid w:val="00DF57D9"/>
    <w:rsid w:val="00DF587D"/>
    <w:rsid w:val="00DF60B9"/>
    <w:rsid w:val="00DF618E"/>
    <w:rsid w:val="00DF63B7"/>
    <w:rsid w:val="00DF7736"/>
    <w:rsid w:val="00DF7D5F"/>
    <w:rsid w:val="00DF7DB3"/>
    <w:rsid w:val="00DF7E35"/>
    <w:rsid w:val="00E00316"/>
    <w:rsid w:val="00E0050F"/>
    <w:rsid w:val="00E010AA"/>
    <w:rsid w:val="00E010CD"/>
    <w:rsid w:val="00E0192B"/>
    <w:rsid w:val="00E0327B"/>
    <w:rsid w:val="00E03603"/>
    <w:rsid w:val="00E03655"/>
    <w:rsid w:val="00E03D36"/>
    <w:rsid w:val="00E03EA6"/>
    <w:rsid w:val="00E0453D"/>
    <w:rsid w:val="00E05FA6"/>
    <w:rsid w:val="00E06B2D"/>
    <w:rsid w:val="00E07F89"/>
    <w:rsid w:val="00E1045F"/>
    <w:rsid w:val="00E11DA1"/>
    <w:rsid w:val="00E12C28"/>
    <w:rsid w:val="00E13BBA"/>
    <w:rsid w:val="00E15A2F"/>
    <w:rsid w:val="00E16605"/>
    <w:rsid w:val="00E16793"/>
    <w:rsid w:val="00E17FE6"/>
    <w:rsid w:val="00E20205"/>
    <w:rsid w:val="00E205B9"/>
    <w:rsid w:val="00E22227"/>
    <w:rsid w:val="00E22284"/>
    <w:rsid w:val="00E22301"/>
    <w:rsid w:val="00E237C2"/>
    <w:rsid w:val="00E23C5C"/>
    <w:rsid w:val="00E23F9A"/>
    <w:rsid w:val="00E24165"/>
    <w:rsid w:val="00E246D7"/>
    <w:rsid w:val="00E24804"/>
    <w:rsid w:val="00E24822"/>
    <w:rsid w:val="00E25474"/>
    <w:rsid w:val="00E266B6"/>
    <w:rsid w:val="00E26A79"/>
    <w:rsid w:val="00E3002B"/>
    <w:rsid w:val="00E30F29"/>
    <w:rsid w:val="00E3112B"/>
    <w:rsid w:val="00E32EE5"/>
    <w:rsid w:val="00E32F93"/>
    <w:rsid w:val="00E332F0"/>
    <w:rsid w:val="00E33A0E"/>
    <w:rsid w:val="00E33CB8"/>
    <w:rsid w:val="00E33F2B"/>
    <w:rsid w:val="00E36A92"/>
    <w:rsid w:val="00E36CEF"/>
    <w:rsid w:val="00E36DF8"/>
    <w:rsid w:val="00E375F6"/>
    <w:rsid w:val="00E379F7"/>
    <w:rsid w:val="00E429F6"/>
    <w:rsid w:val="00E42AE7"/>
    <w:rsid w:val="00E42DF6"/>
    <w:rsid w:val="00E435E3"/>
    <w:rsid w:val="00E439BE"/>
    <w:rsid w:val="00E440AC"/>
    <w:rsid w:val="00E46272"/>
    <w:rsid w:val="00E4648E"/>
    <w:rsid w:val="00E47107"/>
    <w:rsid w:val="00E50164"/>
    <w:rsid w:val="00E50606"/>
    <w:rsid w:val="00E50A29"/>
    <w:rsid w:val="00E5162A"/>
    <w:rsid w:val="00E51D62"/>
    <w:rsid w:val="00E52CBB"/>
    <w:rsid w:val="00E536E8"/>
    <w:rsid w:val="00E53920"/>
    <w:rsid w:val="00E53E21"/>
    <w:rsid w:val="00E541E0"/>
    <w:rsid w:val="00E54373"/>
    <w:rsid w:val="00E546D5"/>
    <w:rsid w:val="00E54ACD"/>
    <w:rsid w:val="00E54B2B"/>
    <w:rsid w:val="00E54D4A"/>
    <w:rsid w:val="00E55511"/>
    <w:rsid w:val="00E56A22"/>
    <w:rsid w:val="00E57176"/>
    <w:rsid w:val="00E57A3C"/>
    <w:rsid w:val="00E57BC8"/>
    <w:rsid w:val="00E60E75"/>
    <w:rsid w:val="00E61632"/>
    <w:rsid w:val="00E61AF4"/>
    <w:rsid w:val="00E6417A"/>
    <w:rsid w:val="00E642AA"/>
    <w:rsid w:val="00E64454"/>
    <w:rsid w:val="00E6513C"/>
    <w:rsid w:val="00E65AC5"/>
    <w:rsid w:val="00E664BC"/>
    <w:rsid w:val="00E6763C"/>
    <w:rsid w:val="00E67C2D"/>
    <w:rsid w:val="00E70DD7"/>
    <w:rsid w:val="00E72B40"/>
    <w:rsid w:val="00E72EE0"/>
    <w:rsid w:val="00E73288"/>
    <w:rsid w:val="00E7399E"/>
    <w:rsid w:val="00E73AF9"/>
    <w:rsid w:val="00E741FB"/>
    <w:rsid w:val="00E74488"/>
    <w:rsid w:val="00E74DD7"/>
    <w:rsid w:val="00E75944"/>
    <w:rsid w:val="00E75C62"/>
    <w:rsid w:val="00E76B83"/>
    <w:rsid w:val="00E773F9"/>
    <w:rsid w:val="00E815F2"/>
    <w:rsid w:val="00E81A47"/>
    <w:rsid w:val="00E81DAD"/>
    <w:rsid w:val="00E82961"/>
    <w:rsid w:val="00E85461"/>
    <w:rsid w:val="00E85FF2"/>
    <w:rsid w:val="00E864A5"/>
    <w:rsid w:val="00E86A34"/>
    <w:rsid w:val="00E87408"/>
    <w:rsid w:val="00E87B6A"/>
    <w:rsid w:val="00E90C81"/>
    <w:rsid w:val="00E90D92"/>
    <w:rsid w:val="00E90EE2"/>
    <w:rsid w:val="00E90FF0"/>
    <w:rsid w:val="00E91A7E"/>
    <w:rsid w:val="00E91E4B"/>
    <w:rsid w:val="00E91FED"/>
    <w:rsid w:val="00E92D14"/>
    <w:rsid w:val="00E94957"/>
    <w:rsid w:val="00E94F36"/>
    <w:rsid w:val="00E959CF"/>
    <w:rsid w:val="00E9720D"/>
    <w:rsid w:val="00E97245"/>
    <w:rsid w:val="00E97ECA"/>
    <w:rsid w:val="00EA0002"/>
    <w:rsid w:val="00EA0055"/>
    <w:rsid w:val="00EA143E"/>
    <w:rsid w:val="00EA1943"/>
    <w:rsid w:val="00EA1992"/>
    <w:rsid w:val="00EA1A75"/>
    <w:rsid w:val="00EA20B2"/>
    <w:rsid w:val="00EA22E5"/>
    <w:rsid w:val="00EA29AA"/>
    <w:rsid w:val="00EA2AF5"/>
    <w:rsid w:val="00EA2F1D"/>
    <w:rsid w:val="00EA563A"/>
    <w:rsid w:val="00EA617E"/>
    <w:rsid w:val="00EA6883"/>
    <w:rsid w:val="00EB039C"/>
    <w:rsid w:val="00EB08D2"/>
    <w:rsid w:val="00EB0C9F"/>
    <w:rsid w:val="00EB1FDF"/>
    <w:rsid w:val="00EB35DA"/>
    <w:rsid w:val="00EB3F9D"/>
    <w:rsid w:val="00EB55D9"/>
    <w:rsid w:val="00EB5DC6"/>
    <w:rsid w:val="00EB68D3"/>
    <w:rsid w:val="00EB6F5C"/>
    <w:rsid w:val="00EB71FF"/>
    <w:rsid w:val="00EB72A2"/>
    <w:rsid w:val="00EB77F2"/>
    <w:rsid w:val="00EC13D6"/>
    <w:rsid w:val="00EC19DB"/>
    <w:rsid w:val="00EC2016"/>
    <w:rsid w:val="00EC238A"/>
    <w:rsid w:val="00EC2B2C"/>
    <w:rsid w:val="00EC30AF"/>
    <w:rsid w:val="00EC4516"/>
    <w:rsid w:val="00EC536E"/>
    <w:rsid w:val="00EC551E"/>
    <w:rsid w:val="00EC6AC5"/>
    <w:rsid w:val="00EC7FB7"/>
    <w:rsid w:val="00ED0330"/>
    <w:rsid w:val="00ED13F4"/>
    <w:rsid w:val="00ED144F"/>
    <w:rsid w:val="00ED2179"/>
    <w:rsid w:val="00ED24A0"/>
    <w:rsid w:val="00ED43B4"/>
    <w:rsid w:val="00ED4983"/>
    <w:rsid w:val="00ED57F5"/>
    <w:rsid w:val="00ED5834"/>
    <w:rsid w:val="00EE161E"/>
    <w:rsid w:val="00EE1D2C"/>
    <w:rsid w:val="00EE2207"/>
    <w:rsid w:val="00EE28A9"/>
    <w:rsid w:val="00EE382B"/>
    <w:rsid w:val="00EE4708"/>
    <w:rsid w:val="00EE559B"/>
    <w:rsid w:val="00EE5993"/>
    <w:rsid w:val="00EE67F4"/>
    <w:rsid w:val="00EE6F14"/>
    <w:rsid w:val="00EE73BF"/>
    <w:rsid w:val="00EE770E"/>
    <w:rsid w:val="00EF251E"/>
    <w:rsid w:val="00EF28CC"/>
    <w:rsid w:val="00EF2BC4"/>
    <w:rsid w:val="00EF30C0"/>
    <w:rsid w:val="00EF3F23"/>
    <w:rsid w:val="00EF4342"/>
    <w:rsid w:val="00EF4C7A"/>
    <w:rsid w:val="00EF53D4"/>
    <w:rsid w:val="00EF6825"/>
    <w:rsid w:val="00EF6B43"/>
    <w:rsid w:val="00EF6FFB"/>
    <w:rsid w:val="00EF70E2"/>
    <w:rsid w:val="00EF797D"/>
    <w:rsid w:val="00EF7DFB"/>
    <w:rsid w:val="00F01006"/>
    <w:rsid w:val="00F02EAE"/>
    <w:rsid w:val="00F02ED1"/>
    <w:rsid w:val="00F037E6"/>
    <w:rsid w:val="00F03E41"/>
    <w:rsid w:val="00F04EA7"/>
    <w:rsid w:val="00F07D5B"/>
    <w:rsid w:val="00F104B5"/>
    <w:rsid w:val="00F11167"/>
    <w:rsid w:val="00F1238E"/>
    <w:rsid w:val="00F1377C"/>
    <w:rsid w:val="00F14C47"/>
    <w:rsid w:val="00F15525"/>
    <w:rsid w:val="00F1597F"/>
    <w:rsid w:val="00F15CE1"/>
    <w:rsid w:val="00F162D4"/>
    <w:rsid w:val="00F16468"/>
    <w:rsid w:val="00F176C0"/>
    <w:rsid w:val="00F2058B"/>
    <w:rsid w:val="00F212F8"/>
    <w:rsid w:val="00F21550"/>
    <w:rsid w:val="00F23604"/>
    <w:rsid w:val="00F2468E"/>
    <w:rsid w:val="00F249F7"/>
    <w:rsid w:val="00F24BF5"/>
    <w:rsid w:val="00F25AE6"/>
    <w:rsid w:val="00F263AB"/>
    <w:rsid w:val="00F26887"/>
    <w:rsid w:val="00F26D26"/>
    <w:rsid w:val="00F3005B"/>
    <w:rsid w:val="00F30075"/>
    <w:rsid w:val="00F30418"/>
    <w:rsid w:val="00F30D39"/>
    <w:rsid w:val="00F31031"/>
    <w:rsid w:val="00F3209B"/>
    <w:rsid w:val="00F3214C"/>
    <w:rsid w:val="00F32FDF"/>
    <w:rsid w:val="00F3308C"/>
    <w:rsid w:val="00F33F8D"/>
    <w:rsid w:val="00F34943"/>
    <w:rsid w:val="00F34B6D"/>
    <w:rsid w:val="00F34DDA"/>
    <w:rsid w:val="00F37028"/>
    <w:rsid w:val="00F37CB6"/>
    <w:rsid w:val="00F37F65"/>
    <w:rsid w:val="00F4010B"/>
    <w:rsid w:val="00F408B7"/>
    <w:rsid w:val="00F41208"/>
    <w:rsid w:val="00F419A4"/>
    <w:rsid w:val="00F41DC3"/>
    <w:rsid w:val="00F41DC5"/>
    <w:rsid w:val="00F42118"/>
    <w:rsid w:val="00F4268B"/>
    <w:rsid w:val="00F43421"/>
    <w:rsid w:val="00F43817"/>
    <w:rsid w:val="00F440C0"/>
    <w:rsid w:val="00F44844"/>
    <w:rsid w:val="00F45A43"/>
    <w:rsid w:val="00F46C27"/>
    <w:rsid w:val="00F46E42"/>
    <w:rsid w:val="00F4702C"/>
    <w:rsid w:val="00F474B1"/>
    <w:rsid w:val="00F47846"/>
    <w:rsid w:val="00F47E61"/>
    <w:rsid w:val="00F50181"/>
    <w:rsid w:val="00F505B8"/>
    <w:rsid w:val="00F50D4D"/>
    <w:rsid w:val="00F50D6A"/>
    <w:rsid w:val="00F51198"/>
    <w:rsid w:val="00F518AB"/>
    <w:rsid w:val="00F51B98"/>
    <w:rsid w:val="00F51C21"/>
    <w:rsid w:val="00F53EFE"/>
    <w:rsid w:val="00F5471F"/>
    <w:rsid w:val="00F56D7C"/>
    <w:rsid w:val="00F57CA5"/>
    <w:rsid w:val="00F57EC0"/>
    <w:rsid w:val="00F605BE"/>
    <w:rsid w:val="00F60BA2"/>
    <w:rsid w:val="00F61C54"/>
    <w:rsid w:val="00F625BC"/>
    <w:rsid w:val="00F62691"/>
    <w:rsid w:val="00F62BD0"/>
    <w:rsid w:val="00F62EFE"/>
    <w:rsid w:val="00F634F6"/>
    <w:rsid w:val="00F642B4"/>
    <w:rsid w:val="00F643A8"/>
    <w:rsid w:val="00F647CB"/>
    <w:rsid w:val="00F6595E"/>
    <w:rsid w:val="00F7051C"/>
    <w:rsid w:val="00F706D5"/>
    <w:rsid w:val="00F71D73"/>
    <w:rsid w:val="00F72110"/>
    <w:rsid w:val="00F72128"/>
    <w:rsid w:val="00F7271A"/>
    <w:rsid w:val="00F73889"/>
    <w:rsid w:val="00F73A26"/>
    <w:rsid w:val="00F73BC3"/>
    <w:rsid w:val="00F74EAC"/>
    <w:rsid w:val="00F74F95"/>
    <w:rsid w:val="00F77B4D"/>
    <w:rsid w:val="00F80399"/>
    <w:rsid w:val="00F85742"/>
    <w:rsid w:val="00F85CD9"/>
    <w:rsid w:val="00F87B07"/>
    <w:rsid w:val="00F9025A"/>
    <w:rsid w:val="00F90747"/>
    <w:rsid w:val="00F90B6E"/>
    <w:rsid w:val="00F90BC7"/>
    <w:rsid w:val="00F912AB"/>
    <w:rsid w:val="00F934E8"/>
    <w:rsid w:val="00F939D4"/>
    <w:rsid w:val="00F94880"/>
    <w:rsid w:val="00F94D0C"/>
    <w:rsid w:val="00F954C3"/>
    <w:rsid w:val="00F956E5"/>
    <w:rsid w:val="00F95D72"/>
    <w:rsid w:val="00F97D58"/>
    <w:rsid w:val="00FA0A06"/>
    <w:rsid w:val="00FA292F"/>
    <w:rsid w:val="00FA3281"/>
    <w:rsid w:val="00FA33D2"/>
    <w:rsid w:val="00FA3DB1"/>
    <w:rsid w:val="00FA3DFB"/>
    <w:rsid w:val="00FA54FF"/>
    <w:rsid w:val="00FA5588"/>
    <w:rsid w:val="00FA5B89"/>
    <w:rsid w:val="00FA6D14"/>
    <w:rsid w:val="00FA7E17"/>
    <w:rsid w:val="00FB016C"/>
    <w:rsid w:val="00FB0A8E"/>
    <w:rsid w:val="00FB0CD7"/>
    <w:rsid w:val="00FB1033"/>
    <w:rsid w:val="00FB2EDC"/>
    <w:rsid w:val="00FB37A7"/>
    <w:rsid w:val="00FB3BF6"/>
    <w:rsid w:val="00FB402E"/>
    <w:rsid w:val="00FB4545"/>
    <w:rsid w:val="00FB4813"/>
    <w:rsid w:val="00FB4AED"/>
    <w:rsid w:val="00FB4C11"/>
    <w:rsid w:val="00FB4E93"/>
    <w:rsid w:val="00FB5B47"/>
    <w:rsid w:val="00FB63E8"/>
    <w:rsid w:val="00FB662C"/>
    <w:rsid w:val="00FB6701"/>
    <w:rsid w:val="00FB70EC"/>
    <w:rsid w:val="00FC092E"/>
    <w:rsid w:val="00FC2B1D"/>
    <w:rsid w:val="00FC2C6C"/>
    <w:rsid w:val="00FC2CD9"/>
    <w:rsid w:val="00FC2D8B"/>
    <w:rsid w:val="00FC3B69"/>
    <w:rsid w:val="00FC4575"/>
    <w:rsid w:val="00FC4A98"/>
    <w:rsid w:val="00FC5C62"/>
    <w:rsid w:val="00FD0459"/>
    <w:rsid w:val="00FD2031"/>
    <w:rsid w:val="00FD2533"/>
    <w:rsid w:val="00FD2F0D"/>
    <w:rsid w:val="00FD3306"/>
    <w:rsid w:val="00FD36B1"/>
    <w:rsid w:val="00FD4532"/>
    <w:rsid w:val="00FD4AD5"/>
    <w:rsid w:val="00FD4F16"/>
    <w:rsid w:val="00FD5828"/>
    <w:rsid w:val="00FD5ADC"/>
    <w:rsid w:val="00FD6C31"/>
    <w:rsid w:val="00FD6F3F"/>
    <w:rsid w:val="00FD70BB"/>
    <w:rsid w:val="00FD76CC"/>
    <w:rsid w:val="00FE0058"/>
    <w:rsid w:val="00FE125D"/>
    <w:rsid w:val="00FE3209"/>
    <w:rsid w:val="00FE3BF0"/>
    <w:rsid w:val="00FE59FD"/>
    <w:rsid w:val="00FE5AE5"/>
    <w:rsid w:val="00FE6585"/>
    <w:rsid w:val="00FE6E27"/>
    <w:rsid w:val="00FE78EF"/>
    <w:rsid w:val="00FE7F98"/>
    <w:rsid w:val="00FF122B"/>
    <w:rsid w:val="00FF1B7F"/>
    <w:rsid w:val="00FF1F75"/>
    <w:rsid w:val="00FF2598"/>
    <w:rsid w:val="00FF2E7F"/>
    <w:rsid w:val="00FF306D"/>
    <w:rsid w:val="00FF3862"/>
    <w:rsid w:val="00FF4918"/>
    <w:rsid w:val="00FF4D60"/>
    <w:rsid w:val="00FF4DBE"/>
    <w:rsid w:val="00FF52E7"/>
    <w:rsid w:val="00FF58CB"/>
    <w:rsid w:val="00FF5E10"/>
    <w:rsid w:val="00FF643F"/>
    <w:rsid w:val="00FF6D3B"/>
    <w:rsid w:val="00FF70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10A0"/>
  <w15:chartTrackingRefBased/>
  <w15:docId w15:val="{BED39D42-C218-4656-BE68-C3DFC53B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70158E"/>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E72B40"/>
    <w:pPr>
      <w:numPr>
        <w:numId w:val="16"/>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E72B40"/>
    <w:pPr>
      <w:keepNext/>
      <w:keepLines/>
      <w:numPr>
        <w:ilvl w:val="2"/>
        <w:numId w:val="16"/>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70158E"/>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E72B40"/>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70158E"/>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70158E"/>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70158E"/>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70158E"/>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70158E"/>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58E"/>
    <w:rPr>
      <w:color w:val="808080"/>
    </w:rPr>
  </w:style>
  <w:style w:type="paragraph" w:styleId="Date">
    <w:name w:val="Date"/>
    <w:basedOn w:val="Normal"/>
    <w:next w:val="Normal"/>
    <w:link w:val="DateChar"/>
    <w:uiPriority w:val="99"/>
    <w:unhideWhenUsed/>
    <w:rsid w:val="0070158E"/>
    <w:pPr>
      <w:spacing w:after="360" w:line="293" w:lineRule="auto"/>
    </w:pPr>
  </w:style>
  <w:style w:type="character" w:customStyle="1" w:styleId="DateChar">
    <w:name w:val="Date Char"/>
    <w:basedOn w:val="DefaultParagraphFont"/>
    <w:link w:val="Date"/>
    <w:uiPriority w:val="99"/>
    <w:rsid w:val="0070158E"/>
    <w:rPr>
      <w:rFonts w:ascii="Open Sans" w:hAnsi="Open Sans"/>
      <w:sz w:val="20"/>
      <w:szCs w:val="20"/>
    </w:rPr>
  </w:style>
  <w:style w:type="paragraph" w:styleId="NoSpacing">
    <w:name w:val="No Spacing"/>
    <w:basedOn w:val="Normal"/>
    <w:link w:val="NoSpacingChar"/>
    <w:uiPriority w:val="10"/>
    <w:qFormat/>
    <w:rsid w:val="0070158E"/>
    <w:pPr>
      <w:spacing w:before="0" w:after="0"/>
    </w:pPr>
  </w:style>
  <w:style w:type="paragraph" w:styleId="ListBullet">
    <w:name w:val="List Bullet"/>
    <w:basedOn w:val="Normal"/>
    <w:link w:val="ListBulletChar"/>
    <w:uiPriority w:val="1"/>
    <w:qFormat/>
    <w:rsid w:val="00B7628F"/>
    <w:pPr>
      <w:numPr>
        <w:numId w:val="25"/>
      </w:numPr>
      <w:contextualSpacing/>
    </w:pPr>
  </w:style>
  <w:style w:type="paragraph" w:styleId="ListBullet2">
    <w:name w:val="List Bullet 2"/>
    <w:basedOn w:val="Normal"/>
    <w:uiPriority w:val="1"/>
    <w:qFormat/>
    <w:rsid w:val="0070158E"/>
    <w:pPr>
      <w:numPr>
        <w:ilvl w:val="1"/>
        <w:numId w:val="25"/>
      </w:numPr>
      <w:contextualSpacing/>
    </w:pPr>
  </w:style>
  <w:style w:type="paragraph" w:styleId="ListNumber">
    <w:name w:val="List Number"/>
    <w:basedOn w:val="Normal"/>
    <w:uiPriority w:val="2"/>
    <w:qFormat/>
    <w:rsid w:val="0070158E"/>
    <w:pPr>
      <w:numPr>
        <w:numId w:val="17"/>
      </w:numPr>
      <w:spacing w:before="60"/>
      <w:contextualSpacing/>
    </w:pPr>
  </w:style>
  <w:style w:type="numbering" w:customStyle="1" w:styleId="Bullets">
    <w:name w:val="Bullets"/>
    <w:uiPriority w:val="99"/>
    <w:rsid w:val="0070158E"/>
    <w:pPr>
      <w:numPr>
        <w:numId w:val="5"/>
      </w:numPr>
    </w:pPr>
  </w:style>
  <w:style w:type="character" w:customStyle="1" w:styleId="Heading1Char">
    <w:name w:val="Heading 1 Char"/>
    <w:basedOn w:val="DefaultParagraphFont"/>
    <w:link w:val="Heading1"/>
    <w:uiPriority w:val="9"/>
    <w:rsid w:val="0070158E"/>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70158E"/>
    <w:pPr>
      <w:numPr>
        <w:ilvl w:val="1"/>
        <w:numId w:val="17"/>
      </w:numPr>
      <w:spacing w:before="60"/>
      <w:contextualSpacing/>
    </w:pPr>
  </w:style>
  <w:style w:type="character" w:customStyle="1" w:styleId="Heading2Char">
    <w:name w:val="Heading 2 Char"/>
    <w:basedOn w:val="DefaultParagraphFont"/>
    <w:link w:val="Heading2"/>
    <w:uiPriority w:val="9"/>
    <w:rsid w:val="0070158E"/>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70158E"/>
    <w:pPr>
      <w:spacing w:line="293" w:lineRule="auto"/>
      <w:ind w:left="284"/>
      <w:contextualSpacing/>
    </w:pPr>
  </w:style>
  <w:style w:type="paragraph" w:styleId="Header">
    <w:name w:val="header"/>
    <w:basedOn w:val="Normal"/>
    <w:link w:val="HeaderChar"/>
    <w:uiPriority w:val="99"/>
    <w:unhideWhenUsed/>
    <w:rsid w:val="0070158E"/>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70158E"/>
    <w:rPr>
      <w:rFonts w:ascii="Open Sans" w:hAnsi="Open Sans"/>
      <w:sz w:val="16"/>
      <w:szCs w:val="20"/>
    </w:rPr>
  </w:style>
  <w:style w:type="paragraph" w:styleId="Footer">
    <w:name w:val="footer"/>
    <w:basedOn w:val="Normal"/>
    <w:link w:val="FooterChar"/>
    <w:uiPriority w:val="11"/>
    <w:rsid w:val="0070158E"/>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70158E"/>
    <w:rPr>
      <w:rFonts w:ascii="Open Sans Extrabold" w:hAnsi="Open Sans Extrabold"/>
      <w:sz w:val="17"/>
    </w:rPr>
  </w:style>
  <w:style w:type="numbering" w:customStyle="1" w:styleId="Numbering">
    <w:name w:val="Numbering"/>
    <w:uiPriority w:val="99"/>
    <w:rsid w:val="0070158E"/>
    <w:pPr>
      <w:numPr>
        <w:numId w:val="9"/>
      </w:numPr>
    </w:pPr>
  </w:style>
  <w:style w:type="paragraph" w:styleId="ListBullet3">
    <w:name w:val="List Bullet 3"/>
    <w:basedOn w:val="Normal"/>
    <w:uiPriority w:val="1"/>
    <w:qFormat/>
    <w:rsid w:val="0070158E"/>
    <w:pPr>
      <w:numPr>
        <w:ilvl w:val="2"/>
        <w:numId w:val="25"/>
      </w:numPr>
      <w:contextualSpacing/>
    </w:pPr>
  </w:style>
  <w:style w:type="paragraph" w:styleId="ListContinue2">
    <w:name w:val="List Continue 2"/>
    <w:basedOn w:val="Normal"/>
    <w:uiPriority w:val="3"/>
    <w:unhideWhenUsed/>
    <w:qFormat/>
    <w:rsid w:val="0070158E"/>
    <w:pPr>
      <w:spacing w:before="60"/>
      <w:ind w:left="454"/>
    </w:pPr>
  </w:style>
  <w:style w:type="paragraph" w:styleId="ListNumber3">
    <w:name w:val="List Number 3"/>
    <w:basedOn w:val="Normal"/>
    <w:uiPriority w:val="13"/>
    <w:semiHidden/>
    <w:qFormat/>
    <w:rsid w:val="0070158E"/>
    <w:pPr>
      <w:numPr>
        <w:ilvl w:val="2"/>
        <w:numId w:val="17"/>
      </w:numPr>
      <w:spacing w:before="60"/>
      <w:contextualSpacing/>
    </w:pPr>
  </w:style>
  <w:style w:type="paragraph" w:styleId="ListNumber4">
    <w:name w:val="List Number 4"/>
    <w:basedOn w:val="Normal"/>
    <w:uiPriority w:val="13"/>
    <w:semiHidden/>
    <w:qFormat/>
    <w:rsid w:val="0070158E"/>
    <w:pPr>
      <w:numPr>
        <w:ilvl w:val="3"/>
        <w:numId w:val="17"/>
      </w:numPr>
      <w:spacing w:after="200" w:line="293" w:lineRule="auto"/>
      <w:contextualSpacing/>
    </w:pPr>
  </w:style>
  <w:style w:type="paragraph" w:styleId="ListNumber5">
    <w:name w:val="List Number 5"/>
    <w:basedOn w:val="Normal"/>
    <w:uiPriority w:val="13"/>
    <w:semiHidden/>
    <w:rsid w:val="0070158E"/>
    <w:pPr>
      <w:numPr>
        <w:ilvl w:val="4"/>
        <w:numId w:val="17"/>
      </w:numPr>
      <w:spacing w:after="200" w:line="293" w:lineRule="auto"/>
      <w:contextualSpacing/>
    </w:pPr>
  </w:style>
  <w:style w:type="paragraph" w:styleId="ListContinue">
    <w:name w:val="List Continue"/>
    <w:basedOn w:val="Normal"/>
    <w:uiPriority w:val="3"/>
    <w:unhideWhenUsed/>
    <w:qFormat/>
    <w:rsid w:val="0070158E"/>
    <w:pPr>
      <w:spacing w:before="60"/>
      <w:ind w:left="227"/>
    </w:pPr>
  </w:style>
  <w:style w:type="paragraph" w:styleId="ListContinue3">
    <w:name w:val="List Continue 3"/>
    <w:basedOn w:val="Normal"/>
    <w:uiPriority w:val="3"/>
    <w:unhideWhenUsed/>
    <w:qFormat/>
    <w:rsid w:val="0070158E"/>
    <w:pPr>
      <w:spacing w:before="60"/>
      <w:ind w:left="907"/>
    </w:pPr>
  </w:style>
  <w:style w:type="paragraph" w:styleId="ListContinue4">
    <w:name w:val="List Continue 4"/>
    <w:basedOn w:val="Normal"/>
    <w:uiPriority w:val="3"/>
    <w:unhideWhenUsed/>
    <w:qFormat/>
    <w:rsid w:val="0070158E"/>
    <w:pPr>
      <w:spacing w:line="293" w:lineRule="auto"/>
      <w:ind w:left="907"/>
      <w:contextualSpacing/>
    </w:pPr>
  </w:style>
  <w:style w:type="character" w:customStyle="1" w:styleId="Heading3Char">
    <w:name w:val="Heading 3 Char"/>
    <w:basedOn w:val="DefaultParagraphFont"/>
    <w:link w:val="Heading3"/>
    <w:uiPriority w:val="9"/>
    <w:rsid w:val="0070158E"/>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70158E"/>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70158E"/>
    <w:rPr>
      <w:rFonts w:ascii="Open Sans" w:eastAsiaTheme="majorEastAsia" w:hAnsi="Open Sans" w:cstheme="majorBidi"/>
      <w:b/>
      <w:color w:val="265A9A" w:themeColor="background2"/>
      <w:szCs w:val="29"/>
    </w:rPr>
  </w:style>
  <w:style w:type="numbering" w:customStyle="1" w:styleId="ListHeadings">
    <w:name w:val="List Headings"/>
    <w:uiPriority w:val="99"/>
    <w:rsid w:val="0070158E"/>
    <w:pPr>
      <w:numPr>
        <w:numId w:val="8"/>
      </w:numPr>
    </w:pPr>
  </w:style>
  <w:style w:type="paragraph" w:styleId="Title">
    <w:name w:val="Title"/>
    <w:basedOn w:val="Heading1"/>
    <w:next w:val="Normal"/>
    <w:link w:val="TitleChar"/>
    <w:uiPriority w:val="39"/>
    <w:rsid w:val="0070158E"/>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70158E"/>
    <w:rPr>
      <w:rFonts w:ascii="Open Sans Extrabold" w:eastAsiaTheme="majorEastAsia" w:hAnsi="Open Sans Extrabold" w:cstheme="majorBidi"/>
      <w:color w:val="132D4D" w:themeColor="background2" w:themeShade="80"/>
      <w:kern w:val="28"/>
      <w:sz w:val="56"/>
      <w:szCs w:val="56"/>
    </w:rPr>
  </w:style>
  <w:style w:type="paragraph" w:customStyle="1" w:styleId="Pull-outQuote">
    <w:name w:val="Pull-out Quote"/>
    <w:basedOn w:val="Normal"/>
    <w:link w:val="Pull-outQuoteChar"/>
    <w:uiPriority w:val="99"/>
    <w:semiHidden/>
    <w:rsid w:val="0070158E"/>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70158E"/>
    <w:rPr>
      <w:b/>
    </w:rPr>
  </w:style>
  <w:style w:type="character" w:customStyle="1" w:styleId="Pull-outQuoteChar">
    <w:name w:val="Pull-out Quote Char"/>
    <w:basedOn w:val="DefaultParagraphFont"/>
    <w:link w:val="Pull-outQuote"/>
    <w:uiPriority w:val="99"/>
    <w:semiHidden/>
    <w:rsid w:val="0070158E"/>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70158E"/>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70158E"/>
  </w:style>
  <w:style w:type="paragraph" w:customStyle="1" w:styleId="NumberedHeading2">
    <w:name w:val="Numbered Heading 2"/>
    <w:basedOn w:val="Heading2"/>
    <w:next w:val="Normal"/>
    <w:link w:val="NumberedHeading2Char"/>
    <w:uiPriority w:val="9"/>
    <w:semiHidden/>
    <w:rsid w:val="0070158E"/>
  </w:style>
  <w:style w:type="character" w:customStyle="1" w:styleId="NumberedHeading1Char">
    <w:name w:val="Numbered Heading 1 Char"/>
    <w:basedOn w:val="Heading1Char"/>
    <w:link w:val="NumberedHeading1"/>
    <w:uiPriority w:val="9"/>
    <w:semiHidden/>
    <w:rsid w:val="0070158E"/>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70158E"/>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70158E"/>
    <w:pPr>
      <w:ind w:left="1134"/>
      <w:contextualSpacing/>
    </w:pPr>
  </w:style>
  <w:style w:type="table" w:styleId="TableGrid">
    <w:name w:val="Table Grid"/>
    <w:basedOn w:val="TableNormal"/>
    <w:uiPriority w:val="39"/>
    <w:rsid w:val="0070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70158E"/>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70158E"/>
    <w:pPr>
      <w:numPr>
        <w:numId w:val="13"/>
      </w:numPr>
      <w:spacing w:before="60"/>
    </w:pPr>
  </w:style>
  <w:style w:type="paragraph" w:styleId="List2">
    <w:name w:val="List 2"/>
    <w:basedOn w:val="Normal"/>
    <w:uiPriority w:val="99"/>
    <w:semiHidden/>
    <w:qFormat/>
    <w:rsid w:val="0070158E"/>
    <w:pPr>
      <w:numPr>
        <w:ilvl w:val="1"/>
        <w:numId w:val="13"/>
      </w:numPr>
      <w:spacing w:before="60"/>
    </w:pPr>
  </w:style>
  <w:style w:type="numbering" w:customStyle="1" w:styleId="LetteredList">
    <w:name w:val="Lettered List"/>
    <w:uiPriority w:val="99"/>
    <w:rsid w:val="0070158E"/>
  </w:style>
  <w:style w:type="paragraph" w:styleId="Subtitle">
    <w:name w:val="Subtitle"/>
    <w:basedOn w:val="Normal"/>
    <w:next w:val="Normal"/>
    <w:link w:val="SubtitleChar"/>
    <w:uiPriority w:val="39"/>
    <w:rsid w:val="0070158E"/>
    <w:pPr>
      <w:numPr>
        <w:ilvl w:val="1"/>
      </w:numPr>
      <w:spacing w:before="240" w:after="240" w:line="240" w:lineRule="auto"/>
    </w:pPr>
    <w:rPr>
      <w:rFonts w:eastAsiaTheme="minorEastAsia"/>
      <w:color w:val="132D4D" w:themeColor="background2" w:themeShade="80"/>
      <w:sz w:val="48"/>
    </w:rPr>
  </w:style>
  <w:style w:type="character" w:customStyle="1" w:styleId="SubtitleChar">
    <w:name w:val="Subtitle Char"/>
    <w:basedOn w:val="DefaultParagraphFont"/>
    <w:link w:val="Subtitle"/>
    <w:uiPriority w:val="39"/>
    <w:rsid w:val="0070158E"/>
    <w:rPr>
      <w:rFonts w:ascii="Open Sans" w:eastAsiaTheme="minorEastAsia" w:hAnsi="Open Sans"/>
      <w:color w:val="132D4D" w:themeColor="background2" w:themeShade="80"/>
      <w:sz w:val="48"/>
      <w:szCs w:val="20"/>
    </w:rPr>
  </w:style>
  <w:style w:type="character" w:styleId="Strong">
    <w:name w:val="Strong"/>
    <w:basedOn w:val="DefaultParagraphFont"/>
    <w:uiPriority w:val="22"/>
    <w:qFormat/>
    <w:rsid w:val="0070158E"/>
    <w:rPr>
      <w:rFonts w:ascii="Open Sans" w:hAnsi="Open Sans"/>
      <w:b/>
      <w:bCs/>
    </w:rPr>
  </w:style>
  <w:style w:type="paragraph" w:customStyle="1" w:styleId="Header-Keyline">
    <w:name w:val="Header - Keyline"/>
    <w:basedOn w:val="Header"/>
    <w:link w:val="Header-KeylineChar"/>
    <w:uiPriority w:val="99"/>
    <w:rsid w:val="0070158E"/>
    <w:pPr>
      <w:pBdr>
        <w:bottom w:val="single" w:sz="4" w:space="31" w:color="2B9AC2" w:themeColor="text2"/>
      </w:pBdr>
      <w:spacing w:after="600"/>
    </w:pPr>
  </w:style>
  <w:style w:type="character" w:customStyle="1" w:styleId="Heading6Char">
    <w:name w:val="Heading 6 Char"/>
    <w:basedOn w:val="DefaultParagraphFont"/>
    <w:link w:val="Heading6"/>
    <w:uiPriority w:val="9"/>
    <w:rsid w:val="0070158E"/>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70158E"/>
    <w:rPr>
      <w:rFonts w:ascii="Open Sans" w:hAnsi="Open Sans"/>
      <w:sz w:val="16"/>
      <w:szCs w:val="20"/>
    </w:rPr>
  </w:style>
  <w:style w:type="character" w:customStyle="1" w:styleId="Heading7Char">
    <w:name w:val="Heading 7 Char"/>
    <w:basedOn w:val="DefaultParagraphFont"/>
    <w:link w:val="Heading7"/>
    <w:uiPriority w:val="9"/>
    <w:semiHidden/>
    <w:rsid w:val="0070158E"/>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70158E"/>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70158E"/>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70158E"/>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70158E"/>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70158E"/>
    <w:pPr>
      <w:spacing w:before="240" w:after="240" w:line="500" w:lineRule="atLeast"/>
      <w:outlineLvl w:val="0"/>
    </w:pPr>
    <w:rPr>
      <w:rFonts w:ascii="Open Sans Extrabold" w:hAnsi="Open Sans Extrabold"/>
      <w:color w:val="132D4D" w:themeColor="background2" w:themeShade="80"/>
      <w:sz w:val="42"/>
      <w:szCs w:val="20"/>
    </w:rPr>
  </w:style>
  <w:style w:type="paragraph" w:styleId="FootnoteText">
    <w:name w:val="footnote text"/>
    <w:basedOn w:val="Normal"/>
    <w:link w:val="FootnoteTextChar"/>
    <w:uiPriority w:val="99"/>
    <w:rsid w:val="0070158E"/>
    <w:pPr>
      <w:spacing w:before="60" w:after="60" w:line="293" w:lineRule="auto"/>
      <w:contextualSpacing/>
    </w:pPr>
    <w:rPr>
      <w:sz w:val="18"/>
    </w:rPr>
  </w:style>
  <w:style w:type="paragraph" w:styleId="TOC1">
    <w:name w:val="toc 1"/>
    <w:basedOn w:val="Normal"/>
    <w:next w:val="BodyText"/>
    <w:autoRedefine/>
    <w:uiPriority w:val="39"/>
    <w:unhideWhenUsed/>
    <w:rsid w:val="0070158E"/>
    <w:pPr>
      <w:tabs>
        <w:tab w:val="left" w:pos="567"/>
        <w:tab w:val="right" w:pos="7938"/>
      </w:tabs>
      <w:spacing w:after="100" w:line="293" w:lineRule="auto"/>
      <w:ind w:left="567" w:right="1701" w:hanging="567"/>
    </w:pPr>
    <w:rPr>
      <w:rFonts w:ascii="Open Sans Extrabold" w:hAnsi="Open Sans Extrabold"/>
      <w:color w:val="132D4D" w:themeColor="background2" w:themeShade="80"/>
    </w:rPr>
  </w:style>
  <w:style w:type="character" w:customStyle="1" w:styleId="FootnoteTextChar">
    <w:name w:val="Footnote Text Char"/>
    <w:basedOn w:val="DefaultParagraphFont"/>
    <w:link w:val="FootnoteText"/>
    <w:uiPriority w:val="99"/>
    <w:rsid w:val="0070158E"/>
    <w:rPr>
      <w:rFonts w:ascii="Open Sans" w:hAnsi="Open Sans"/>
      <w:sz w:val="18"/>
      <w:szCs w:val="20"/>
    </w:rPr>
  </w:style>
  <w:style w:type="character" w:styleId="FootnoteReference">
    <w:name w:val="footnote reference"/>
    <w:basedOn w:val="DefaultParagraphFont"/>
    <w:uiPriority w:val="99"/>
    <w:semiHidden/>
    <w:unhideWhenUsed/>
    <w:rsid w:val="0070158E"/>
    <w:rPr>
      <w:vertAlign w:val="superscript"/>
    </w:rPr>
  </w:style>
  <w:style w:type="character" w:styleId="Hyperlink">
    <w:name w:val="Hyperlink"/>
    <w:basedOn w:val="DefaultParagraphFont"/>
    <w:uiPriority w:val="99"/>
    <w:unhideWhenUsed/>
    <w:rsid w:val="0070158E"/>
    <w:rPr>
      <w:color w:val="000000" w:themeColor="hyperlink"/>
      <w:u w:val="single"/>
    </w:rPr>
  </w:style>
  <w:style w:type="character" w:styleId="HTMLVariable">
    <w:name w:val="HTML Variable"/>
    <w:basedOn w:val="DefaultParagraphFont"/>
    <w:uiPriority w:val="99"/>
    <w:unhideWhenUsed/>
    <w:rsid w:val="0070158E"/>
    <w:rPr>
      <w:i/>
      <w:iCs/>
    </w:rPr>
  </w:style>
  <w:style w:type="paragraph" w:styleId="TOC2">
    <w:name w:val="toc 2"/>
    <w:basedOn w:val="Normal"/>
    <w:next w:val="Normal"/>
    <w:autoRedefine/>
    <w:uiPriority w:val="39"/>
    <w:unhideWhenUsed/>
    <w:rsid w:val="0070158E"/>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70158E"/>
    <w:pPr>
      <w:tabs>
        <w:tab w:val="right" w:pos="7938"/>
      </w:tabs>
      <w:spacing w:after="100" w:line="293" w:lineRule="auto"/>
      <w:ind w:right="1701"/>
    </w:pPr>
    <w:rPr>
      <w:rFonts w:asciiTheme="majorHAnsi" w:hAnsiTheme="majorHAnsi"/>
      <w:color w:val="132D4D" w:themeColor="background2" w:themeShade="80"/>
    </w:rPr>
  </w:style>
  <w:style w:type="paragraph" w:customStyle="1" w:styleId="Subtitle2">
    <w:name w:val="Subtitle 2"/>
    <w:basedOn w:val="Normal"/>
    <w:link w:val="Subtitle2Char"/>
    <w:uiPriority w:val="39"/>
    <w:rsid w:val="0070158E"/>
    <w:pPr>
      <w:spacing w:before="0" w:after="160" w:line="259" w:lineRule="auto"/>
    </w:pPr>
    <w:rPr>
      <w:color w:val="132D4D" w:themeColor="background2" w:themeShade="80"/>
      <w:sz w:val="28"/>
      <w:szCs w:val="36"/>
    </w:rPr>
  </w:style>
  <w:style w:type="paragraph" w:customStyle="1" w:styleId="Copyrightpage-Heading2">
    <w:name w:val="Copyright page-Heading 2"/>
    <w:basedOn w:val="NoSpacing"/>
    <w:link w:val="Copyrightpage-Heading2Char"/>
    <w:uiPriority w:val="19"/>
    <w:rsid w:val="0070158E"/>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70158E"/>
    <w:rPr>
      <w:rFonts w:ascii="Open Sans" w:hAnsi="Open Sans"/>
      <w:color w:val="132D4D" w:themeColor="background2" w:themeShade="80"/>
      <w:sz w:val="28"/>
      <w:szCs w:val="36"/>
    </w:rPr>
  </w:style>
  <w:style w:type="paragraph" w:customStyle="1" w:styleId="Copyrightpage-BodyText">
    <w:name w:val="Copyright page-Body Text"/>
    <w:basedOn w:val="Normal"/>
    <w:link w:val="Copyrightpage-BodyTextChar"/>
    <w:uiPriority w:val="19"/>
    <w:rsid w:val="0070158E"/>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70158E"/>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70158E"/>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70158E"/>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70158E"/>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7A26E1"/>
    <w:pPr>
      <w:spacing w:after="40"/>
    </w:pPr>
    <w:rPr>
      <w:b/>
      <w:sz w:val="16"/>
    </w:rPr>
  </w:style>
  <w:style w:type="character" w:customStyle="1" w:styleId="Copyrightpage-HeadingChar">
    <w:name w:val="Copyright page-Heading Char"/>
    <w:basedOn w:val="Subtitle2Char"/>
    <w:link w:val="Copyrightpage-Heading"/>
    <w:uiPriority w:val="19"/>
    <w:rsid w:val="0070158E"/>
    <w:rPr>
      <w:rFonts w:ascii="Open Sans Semibold" w:hAnsi="Open Sans Semibold"/>
      <w:color w:val="132D4D" w:themeColor="background2" w:themeShade="80"/>
      <w:spacing w:val="4"/>
      <w:sz w:val="19"/>
      <w:szCs w:val="18"/>
    </w:rPr>
  </w:style>
  <w:style w:type="paragraph" w:customStyle="1" w:styleId="Heading1-noTOC">
    <w:name w:val="Heading 1-no TOC"/>
    <w:next w:val="BodyText"/>
    <w:uiPriority w:val="9"/>
    <w:qFormat/>
    <w:rsid w:val="00E72B40"/>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7A26E1"/>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E72B40"/>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70158E"/>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70158E"/>
    <w:pPr>
      <w:spacing w:line="360" w:lineRule="auto"/>
      <w:jc w:val="right"/>
    </w:pPr>
    <w:rPr>
      <w:sz w:val="16"/>
    </w:rPr>
  </w:style>
  <w:style w:type="paragraph" w:customStyle="1" w:styleId="Letterlogo">
    <w:name w:val="Letter logo"/>
    <w:basedOn w:val="LetterRight"/>
    <w:uiPriority w:val="99"/>
    <w:rsid w:val="0070158E"/>
    <w:pPr>
      <w:spacing w:after="320"/>
    </w:pPr>
  </w:style>
  <w:style w:type="character" w:customStyle="1" w:styleId="LetterRightChar">
    <w:name w:val="Letter Right Char"/>
    <w:basedOn w:val="DefaultParagraphFont"/>
    <w:link w:val="LetterRight"/>
    <w:uiPriority w:val="99"/>
    <w:rsid w:val="0070158E"/>
    <w:rPr>
      <w:rFonts w:ascii="Open Sans" w:hAnsi="Open Sans"/>
      <w:sz w:val="16"/>
      <w:szCs w:val="20"/>
    </w:rPr>
  </w:style>
  <w:style w:type="character" w:styleId="UnresolvedMention">
    <w:name w:val="Unresolved Mention"/>
    <w:basedOn w:val="DefaultParagraphFont"/>
    <w:uiPriority w:val="99"/>
    <w:semiHidden/>
    <w:unhideWhenUsed/>
    <w:rsid w:val="0070158E"/>
    <w:rPr>
      <w:color w:val="605E5C"/>
      <w:shd w:val="clear" w:color="auto" w:fill="E1DFDD"/>
    </w:rPr>
  </w:style>
  <w:style w:type="paragraph" w:customStyle="1" w:styleId="LetterRight-NoSpace">
    <w:name w:val="Letter Right-No Space"/>
    <w:basedOn w:val="LetterRight"/>
    <w:uiPriority w:val="99"/>
    <w:rsid w:val="0070158E"/>
    <w:pPr>
      <w:spacing w:after="0"/>
    </w:pPr>
  </w:style>
  <w:style w:type="table" w:customStyle="1" w:styleId="Blank">
    <w:name w:val="Blank"/>
    <w:basedOn w:val="TableNormal"/>
    <w:uiPriority w:val="99"/>
    <w:rsid w:val="0070158E"/>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70158E"/>
    <w:pPr>
      <w:numPr>
        <w:numId w:val="15"/>
      </w:numPr>
      <w:contextualSpacing/>
    </w:pPr>
  </w:style>
  <w:style w:type="paragraph" w:customStyle="1" w:styleId="Coverdate">
    <w:name w:val="Cover date"/>
    <w:basedOn w:val="Normal"/>
    <w:uiPriority w:val="29"/>
    <w:rsid w:val="0070158E"/>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70158E"/>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70158E"/>
    <w:rPr>
      <w:color w:val="FFFFFF" w:themeColor="background1"/>
    </w:rPr>
  </w:style>
  <w:style w:type="paragraph" w:customStyle="1" w:styleId="Copyrightpage-Keylinenotext">
    <w:name w:val="Copyright page-Keyline (no text)"/>
    <w:basedOn w:val="Copyrightpage-Heading2"/>
    <w:uiPriority w:val="19"/>
    <w:rsid w:val="0070158E"/>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70158E"/>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70158E"/>
    <w:pPr>
      <w:spacing w:before="46" w:after="46"/>
      <w:ind w:left="57" w:right="108"/>
    </w:pPr>
    <w:rPr>
      <w:b/>
      <w:sz w:val="18"/>
    </w:rPr>
  </w:style>
  <w:style w:type="paragraph" w:customStyle="1" w:styleId="CoverImage">
    <w:name w:val="Cover Image"/>
    <w:basedOn w:val="Normal"/>
    <w:uiPriority w:val="29"/>
    <w:rsid w:val="0070158E"/>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70158E"/>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70158E"/>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70158E"/>
    <w:pPr>
      <w:spacing w:before="60"/>
      <w:ind w:left="113" w:right="851"/>
    </w:pPr>
    <w:rPr>
      <w:color w:val="58585B"/>
    </w:rPr>
  </w:style>
  <w:style w:type="numbering" w:customStyle="1" w:styleId="TOCList">
    <w:name w:val="TOC List"/>
    <w:uiPriority w:val="99"/>
    <w:rsid w:val="0070158E"/>
    <w:pPr>
      <w:numPr>
        <w:numId w:val="11"/>
      </w:numPr>
    </w:pPr>
  </w:style>
  <w:style w:type="paragraph" w:customStyle="1" w:styleId="Heading1-Section-fullpage">
    <w:name w:val="Heading 1-Section-full page"/>
    <w:basedOn w:val="Heading1-nobackground"/>
    <w:uiPriority w:val="9"/>
    <w:qFormat/>
    <w:rsid w:val="0070158E"/>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70158E"/>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70158E"/>
    <w:pPr>
      <w:keepNext/>
      <w:spacing w:before="240"/>
    </w:pPr>
  </w:style>
  <w:style w:type="paragraph" w:customStyle="1" w:styleId="Source">
    <w:name w:val="Source"/>
    <w:basedOn w:val="Normal"/>
    <w:uiPriority w:val="9"/>
    <w:qFormat/>
    <w:rsid w:val="0070158E"/>
    <w:pPr>
      <w:spacing w:before="80" w:after="240" w:line="216" w:lineRule="atLeast"/>
    </w:pPr>
    <w:rPr>
      <w:sz w:val="18"/>
    </w:rPr>
  </w:style>
  <w:style w:type="paragraph" w:customStyle="1" w:styleId="Note">
    <w:name w:val="Note"/>
    <w:basedOn w:val="Source"/>
    <w:uiPriority w:val="9"/>
    <w:qFormat/>
    <w:rsid w:val="0070158E"/>
    <w:pPr>
      <w:spacing w:after="20"/>
    </w:pPr>
  </w:style>
  <w:style w:type="numbering" w:customStyle="1" w:styleId="Figure">
    <w:name w:val="Figure"/>
    <w:uiPriority w:val="99"/>
    <w:rsid w:val="0070158E"/>
    <w:pPr>
      <w:numPr>
        <w:numId w:val="6"/>
      </w:numPr>
    </w:pPr>
  </w:style>
  <w:style w:type="table" w:customStyle="1" w:styleId="Boxtable">
    <w:name w:val="Box table"/>
    <w:basedOn w:val="Texttable-Paleblue"/>
    <w:uiPriority w:val="99"/>
    <w:rsid w:val="0070158E"/>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70158E"/>
    <w:pPr>
      <w:numPr>
        <w:numId w:val="4"/>
      </w:numPr>
    </w:pPr>
  </w:style>
  <w:style w:type="paragraph" w:customStyle="1" w:styleId="BoxHeading2">
    <w:name w:val="Box Heading 2"/>
    <w:basedOn w:val="Normal"/>
    <w:next w:val="BodyText"/>
    <w:uiPriority w:val="4"/>
    <w:qFormat/>
    <w:rsid w:val="0070158E"/>
    <w:rPr>
      <w:b/>
    </w:rPr>
  </w:style>
  <w:style w:type="table" w:customStyle="1" w:styleId="ProductivityCommissionTable2-Dark">
    <w:name w:val="Productivity Commission Table 2 - Dark"/>
    <w:basedOn w:val="ProductivityCommissionTable2"/>
    <w:uiPriority w:val="99"/>
    <w:rsid w:val="0070158E"/>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70158E"/>
    <w:rPr>
      <w:i/>
    </w:rPr>
  </w:style>
  <w:style w:type="paragraph" w:customStyle="1" w:styleId="TableHeading">
    <w:name w:val="Table Heading"/>
    <w:basedOn w:val="NoSpacing"/>
    <w:link w:val="TableHeadingChar"/>
    <w:uiPriority w:val="4"/>
    <w:qFormat/>
    <w:rsid w:val="0070158E"/>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70158E"/>
    <w:rPr>
      <w:color w:val="265A9A" w:themeColor="background2"/>
    </w:rPr>
  </w:style>
  <w:style w:type="table" w:customStyle="1" w:styleId="Texttable-Keyline">
    <w:name w:val="Text table-Keyline"/>
    <w:basedOn w:val="Texttable-Paleblue"/>
    <w:uiPriority w:val="99"/>
    <w:rsid w:val="0070158E"/>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70158E"/>
    <w:pPr>
      <w:jc w:val="right"/>
    </w:pPr>
  </w:style>
  <w:style w:type="table" w:customStyle="1" w:styleId="CopyrightPage">
    <w:name w:val="Copyright Page"/>
    <w:basedOn w:val="OverviewPageBannerTableStyle"/>
    <w:uiPriority w:val="99"/>
    <w:rsid w:val="0070158E"/>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70158E"/>
    <w:pPr>
      <w:spacing w:line="312" w:lineRule="atLeast"/>
    </w:pPr>
  </w:style>
  <w:style w:type="paragraph" w:styleId="BodyText">
    <w:name w:val="Body Text"/>
    <w:basedOn w:val="Normal"/>
    <w:link w:val="BodyTextChar"/>
    <w:qFormat/>
    <w:rsid w:val="0070158E"/>
  </w:style>
  <w:style w:type="character" w:customStyle="1" w:styleId="BodyTextChar">
    <w:name w:val="Body Text Char"/>
    <w:basedOn w:val="DefaultParagraphFont"/>
    <w:link w:val="BodyText"/>
    <w:rsid w:val="0070158E"/>
    <w:rPr>
      <w:rFonts w:ascii="Open Sans" w:hAnsi="Open Sans"/>
      <w:sz w:val="20"/>
      <w:szCs w:val="20"/>
    </w:rPr>
  </w:style>
  <w:style w:type="paragraph" w:styleId="List4">
    <w:name w:val="List 4"/>
    <w:basedOn w:val="Normal"/>
    <w:uiPriority w:val="99"/>
    <w:semiHidden/>
    <w:rsid w:val="0070158E"/>
    <w:pPr>
      <w:numPr>
        <w:ilvl w:val="3"/>
        <w:numId w:val="13"/>
      </w:numPr>
      <w:contextualSpacing/>
    </w:pPr>
  </w:style>
  <w:style w:type="paragraph" w:styleId="List3">
    <w:name w:val="List 3"/>
    <w:basedOn w:val="Normal"/>
    <w:uiPriority w:val="99"/>
    <w:semiHidden/>
    <w:rsid w:val="0070158E"/>
    <w:pPr>
      <w:numPr>
        <w:ilvl w:val="2"/>
        <w:numId w:val="13"/>
      </w:numPr>
      <w:contextualSpacing/>
    </w:pPr>
  </w:style>
  <w:style w:type="paragraph" w:customStyle="1" w:styleId="Heading1-nonumber">
    <w:name w:val="Heading 1-no number"/>
    <w:basedOn w:val="Heading1"/>
    <w:next w:val="BodyText"/>
    <w:uiPriority w:val="9"/>
    <w:qFormat/>
    <w:rsid w:val="0070158E"/>
    <w:pPr>
      <w:numPr>
        <w:numId w:val="0"/>
      </w:numPr>
      <w:ind w:left="567"/>
    </w:pPr>
  </w:style>
  <w:style w:type="paragraph" w:customStyle="1" w:styleId="ListAlpha1">
    <w:name w:val="List Alpha 1"/>
    <w:basedOn w:val="Normal"/>
    <w:uiPriority w:val="3"/>
    <w:qFormat/>
    <w:rsid w:val="0070158E"/>
    <w:pPr>
      <w:numPr>
        <w:numId w:val="14"/>
      </w:numPr>
      <w:spacing w:before="60"/>
      <w:contextualSpacing/>
    </w:pPr>
  </w:style>
  <w:style w:type="paragraph" w:customStyle="1" w:styleId="ListAlpha2">
    <w:name w:val="List Alpha 2"/>
    <w:basedOn w:val="ListAlpha1"/>
    <w:uiPriority w:val="3"/>
    <w:qFormat/>
    <w:rsid w:val="0070158E"/>
    <w:pPr>
      <w:numPr>
        <w:ilvl w:val="1"/>
      </w:numPr>
    </w:pPr>
  </w:style>
  <w:style w:type="paragraph" w:customStyle="1" w:styleId="ListAlpha3">
    <w:name w:val="List Alpha 3"/>
    <w:basedOn w:val="ListAlpha2"/>
    <w:uiPriority w:val="3"/>
    <w:qFormat/>
    <w:rsid w:val="0070158E"/>
    <w:pPr>
      <w:numPr>
        <w:ilvl w:val="2"/>
      </w:numPr>
    </w:pPr>
  </w:style>
  <w:style w:type="paragraph" w:customStyle="1" w:styleId="ListAlpha4">
    <w:name w:val="List Alpha 4"/>
    <w:basedOn w:val="ListAlpha3"/>
    <w:uiPriority w:val="3"/>
    <w:semiHidden/>
    <w:qFormat/>
    <w:rsid w:val="0070158E"/>
    <w:pPr>
      <w:numPr>
        <w:ilvl w:val="3"/>
      </w:numPr>
      <w:tabs>
        <w:tab w:val="num" w:pos="360"/>
      </w:tabs>
      <w:ind w:left="454" w:hanging="227"/>
    </w:pPr>
  </w:style>
  <w:style w:type="numbering" w:customStyle="1" w:styleId="Alphalist">
    <w:name w:val="Alpha list"/>
    <w:uiPriority w:val="99"/>
    <w:rsid w:val="0070158E"/>
    <w:pPr>
      <w:numPr>
        <w:numId w:val="1"/>
      </w:numPr>
    </w:pPr>
  </w:style>
  <w:style w:type="paragraph" w:customStyle="1" w:styleId="KeyPoints-Bold">
    <w:name w:val="Key Points-Bold"/>
    <w:basedOn w:val="Normal"/>
    <w:uiPriority w:val="10"/>
    <w:qFormat/>
    <w:rsid w:val="0070158E"/>
    <w:pPr>
      <w:spacing w:before="40" w:after="60" w:line="274" w:lineRule="atLeast"/>
    </w:pPr>
    <w:rPr>
      <w:b/>
      <w:sz w:val="18"/>
    </w:rPr>
  </w:style>
  <w:style w:type="paragraph" w:customStyle="1" w:styleId="Copyrightpage-BodyBold">
    <w:name w:val="Copyright page-Body Bold"/>
    <w:basedOn w:val="Copyrightpage-BodyText"/>
    <w:uiPriority w:val="19"/>
    <w:rsid w:val="0070158E"/>
    <w:rPr>
      <w:b/>
    </w:rPr>
  </w:style>
  <w:style w:type="paragraph" w:customStyle="1" w:styleId="KeyPoints-Bullet">
    <w:name w:val="Key Points-Bullet"/>
    <w:basedOn w:val="ListBullet"/>
    <w:uiPriority w:val="10"/>
    <w:qFormat/>
    <w:rsid w:val="0070158E"/>
    <w:pPr>
      <w:spacing w:after="60" w:line="274" w:lineRule="atLeast"/>
    </w:pPr>
    <w:rPr>
      <w:sz w:val="18"/>
    </w:rPr>
  </w:style>
  <w:style w:type="paragraph" w:customStyle="1" w:styleId="BodyText-Grey">
    <w:name w:val="Body Text-Grey"/>
    <w:basedOn w:val="BodyText"/>
    <w:link w:val="BodyText-GreyChar"/>
    <w:semiHidden/>
    <w:qFormat/>
    <w:rsid w:val="0070158E"/>
    <w:rPr>
      <w:color w:val="58585B"/>
    </w:rPr>
  </w:style>
  <w:style w:type="character" w:customStyle="1" w:styleId="BodyText-GreyChar">
    <w:name w:val="Body Text-Grey Char"/>
    <w:basedOn w:val="BodyTextChar"/>
    <w:link w:val="BodyText-Grey"/>
    <w:semiHidden/>
    <w:rsid w:val="0070158E"/>
    <w:rPr>
      <w:rFonts w:ascii="Open Sans" w:hAnsi="Open Sans"/>
      <w:color w:val="58585B"/>
      <w:sz w:val="20"/>
      <w:szCs w:val="20"/>
    </w:rPr>
  </w:style>
  <w:style w:type="paragraph" w:styleId="BalloonText">
    <w:name w:val="Balloon Text"/>
    <w:basedOn w:val="Normal"/>
    <w:link w:val="BalloonTextChar"/>
    <w:uiPriority w:val="99"/>
    <w:semiHidden/>
    <w:unhideWhenUsed/>
    <w:rsid w:val="00701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58E"/>
    <w:rPr>
      <w:rFonts w:ascii="Segoe UI" w:hAnsi="Segoe UI" w:cs="Segoe UI"/>
      <w:sz w:val="18"/>
      <w:szCs w:val="18"/>
    </w:rPr>
  </w:style>
  <w:style w:type="character" w:styleId="CommentReference">
    <w:name w:val="annotation reference"/>
    <w:basedOn w:val="DefaultParagraphFont"/>
    <w:uiPriority w:val="99"/>
    <w:semiHidden/>
    <w:unhideWhenUsed/>
    <w:rsid w:val="0070158E"/>
    <w:rPr>
      <w:sz w:val="16"/>
      <w:szCs w:val="16"/>
    </w:rPr>
  </w:style>
  <w:style w:type="paragraph" w:styleId="CommentText">
    <w:name w:val="annotation text"/>
    <w:basedOn w:val="Normal"/>
    <w:link w:val="CommentTextChar"/>
    <w:uiPriority w:val="99"/>
    <w:unhideWhenUsed/>
    <w:rsid w:val="0070158E"/>
    <w:pPr>
      <w:spacing w:line="240" w:lineRule="auto"/>
    </w:pPr>
  </w:style>
  <w:style w:type="character" w:customStyle="1" w:styleId="CommentTextChar">
    <w:name w:val="Comment Text Char"/>
    <w:basedOn w:val="DefaultParagraphFont"/>
    <w:link w:val="CommentText"/>
    <w:uiPriority w:val="99"/>
    <w:rsid w:val="0070158E"/>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70158E"/>
    <w:rPr>
      <w:b/>
      <w:bCs/>
    </w:rPr>
  </w:style>
  <w:style w:type="character" w:customStyle="1" w:styleId="CommentSubjectChar">
    <w:name w:val="Comment Subject Char"/>
    <w:basedOn w:val="CommentTextChar"/>
    <w:link w:val="CommentSubject"/>
    <w:uiPriority w:val="99"/>
    <w:semiHidden/>
    <w:rsid w:val="0070158E"/>
    <w:rPr>
      <w:rFonts w:ascii="Open Sans" w:hAnsi="Open Sans"/>
      <w:b/>
      <w:bCs/>
      <w:sz w:val="20"/>
      <w:szCs w:val="20"/>
    </w:rPr>
  </w:style>
  <w:style w:type="character" w:customStyle="1" w:styleId="ColourBlue">
    <w:name w:val="Colour Blue"/>
    <w:basedOn w:val="DefaultParagraphFont"/>
    <w:uiPriority w:val="22"/>
    <w:qFormat/>
    <w:rsid w:val="0070158E"/>
    <w:rPr>
      <w:color w:val="2B9AC2" w:themeColor="text2"/>
    </w:rPr>
  </w:style>
  <w:style w:type="character" w:customStyle="1" w:styleId="ColourDarkBlue">
    <w:name w:val="Colour Dark Blue"/>
    <w:basedOn w:val="ColourBlue"/>
    <w:uiPriority w:val="22"/>
    <w:qFormat/>
    <w:rsid w:val="0070158E"/>
    <w:rPr>
      <w:color w:val="265A9A" w:themeColor="background2"/>
    </w:rPr>
  </w:style>
  <w:style w:type="paragraph" w:customStyle="1" w:styleId="BodyText-Beforebullet">
    <w:name w:val="Body Text-Before bullet"/>
    <w:basedOn w:val="BodyText"/>
    <w:link w:val="BodyText-BeforebulletChar"/>
    <w:semiHidden/>
    <w:unhideWhenUsed/>
    <w:rsid w:val="0070158E"/>
    <w:pPr>
      <w:spacing w:after="20"/>
    </w:pPr>
  </w:style>
  <w:style w:type="paragraph" w:customStyle="1" w:styleId="PullQuote">
    <w:name w:val="Pull Quote"/>
    <w:basedOn w:val="BodyText"/>
    <w:next w:val="BodyText"/>
    <w:uiPriority w:val="10"/>
    <w:qFormat/>
    <w:rsid w:val="0070158E"/>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70158E"/>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70158E"/>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70158E"/>
    <w:pPr>
      <w:spacing w:before="60"/>
      <w:jc w:val="right"/>
    </w:pPr>
  </w:style>
  <w:style w:type="paragraph" w:customStyle="1" w:styleId="FigureTableSubheading">
    <w:name w:val="Figure/Table Subheading"/>
    <w:basedOn w:val="FigureTableHeading"/>
    <w:uiPriority w:val="4"/>
    <w:qFormat/>
    <w:rsid w:val="0070158E"/>
    <w:pPr>
      <w:spacing w:before="40"/>
    </w:pPr>
    <w:rPr>
      <w:color w:val="58585B"/>
    </w:rPr>
  </w:style>
  <w:style w:type="table" w:customStyle="1" w:styleId="TextTable-Grey">
    <w:name w:val="Text Table-Grey"/>
    <w:basedOn w:val="Texttable-Paleblue"/>
    <w:uiPriority w:val="99"/>
    <w:rsid w:val="0070158E"/>
    <w:rPr>
      <w:color w:val="265A9A" w:themeColor="background2"/>
    </w:rPr>
    <w:tblPr/>
    <w:tcPr>
      <w:shd w:val="clear" w:color="auto" w:fill="F2F2F2"/>
    </w:tcPr>
  </w:style>
  <w:style w:type="character" w:customStyle="1" w:styleId="BodyText-BlueChar">
    <w:name w:val="Body Text-Blue Char"/>
    <w:basedOn w:val="BodyTextChar"/>
    <w:link w:val="BodyText-Blue"/>
    <w:semiHidden/>
    <w:rsid w:val="0070158E"/>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70158E"/>
  </w:style>
  <w:style w:type="paragraph" w:customStyle="1" w:styleId="Heading1-nobackground">
    <w:name w:val="Heading 1-no background"/>
    <w:basedOn w:val="Heading1"/>
    <w:next w:val="BodyText"/>
    <w:uiPriority w:val="9"/>
    <w:qFormat/>
    <w:rsid w:val="0070158E"/>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70158E"/>
    <w:rPr>
      <w:rFonts w:ascii="Open Sans" w:hAnsi="Open Sans"/>
      <w:color w:val="58585B"/>
      <w:sz w:val="20"/>
      <w:szCs w:val="20"/>
    </w:rPr>
  </w:style>
  <w:style w:type="paragraph" w:customStyle="1" w:styleId="TableHeading-numbered">
    <w:name w:val="Table Heading-numbered"/>
    <w:basedOn w:val="Normal"/>
    <w:semiHidden/>
    <w:qFormat/>
    <w:rsid w:val="0070158E"/>
    <w:pPr>
      <w:numPr>
        <w:numId w:val="19"/>
      </w:numPr>
      <w:tabs>
        <w:tab w:val="num" w:pos="360"/>
      </w:tabs>
      <w:spacing w:before="60"/>
      <w:contextualSpacing/>
    </w:pPr>
    <w:rPr>
      <w:b/>
      <w:color w:val="265A9A" w:themeColor="background2"/>
    </w:rPr>
  </w:style>
  <w:style w:type="numbering" w:customStyle="1" w:styleId="TableList">
    <w:name w:val="TableList"/>
    <w:uiPriority w:val="99"/>
    <w:rsid w:val="0070158E"/>
    <w:pPr>
      <w:numPr>
        <w:numId w:val="10"/>
      </w:numPr>
    </w:pPr>
  </w:style>
  <w:style w:type="paragraph" w:customStyle="1" w:styleId="Footer-right">
    <w:name w:val="Footer-right"/>
    <w:basedOn w:val="Footer"/>
    <w:uiPriority w:val="11"/>
    <w:rsid w:val="0070158E"/>
    <w:pPr>
      <w:jc w:val="right"/>
    </w:pPr>
    <w:rPr>
      <w:szCs w:val="24"/>
    </w:rPr>
  </w:style>
  <w:style w:type="paragraph" w:customStyle="1" w:styleId="Heading2-nonumber">
    <w:name w:val="Heading 2-no number"/>
    <w:basedOn w:val="Heading2"/>
    <w:uiPriority w:val="9"/>
    <w:qFormat/>
    <w:rsid w:val="0070158E"/>
    <w:pPr>
      <w:numPr>
        <w:ilvl w:val="0"/>
        <w:numId w:val="0"/>
      </w:numPr>
    </w:pPr>
  </w:style>
  <w:style w:type="paragraph" w:customStyle="1" w:styleId="Heading-Appendix">
    <w:name w:val="Heading-Appendix"/>
    <w:basedOn w:val="Heading1-nonumber"/>
    <w:next w:val="BodyText"/>
    <w:uiPriority w:val="9"/>
    <w:qFormat/>
    <w:rsid w:val="0070158E"/>
    <w:pPr>
      <w:numPr>
        <w:numId w:val="7"/>
      </w:numPr>
    </w:pPr>
  </w:style>
  <w:style w:type="numbering" w:customStyle="1" w:styleId="AppendixHeading">
    <w:name w:val="AppendixHeading"/>
    <w:uiPriority w:val="99"/>
    <w:rsid w:val="0070158E"/>
    <w:pPr>
      <w:numPr>
        <w:numId w:val="3"/>
      </w:numPr>
    </w:pPr>
  </w:style>
  <w:style w:type="paragraph" w:customStyle="1" w:styleId="DraftingNote">
    <w:name w:val="Drafting Note"/>
    <w:basedOn w:val="BodyText"/>
    <w:link w:val="DraftingNoteChar"/>
    <w:qFormat/>
    <w:rsid w:val="0070158E"/>
    <w:pPr>
      <w:contextualSpacing/>
    </w:pPr>
    <w:rPr>
      <w:color w:val="A22D2B"/>
      <w:sz w:val="24"/>
      <w:u w:val="dotted"/>
    </w:rPr>
  </w:style>
  <w:style w:type="character" w:customStyle="1" w:styleId="DraftingNoteChar">
    <w:name w:val="Drafting Note Char"/>
    <w:basedOn w:val="BodyTextChar"/>
    <w:link w:val="DraftingNote"/>
    <w:rsid w:val="0070158E"/>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70158E"/>
    <w:pPr>
      <w:spacing w:after="0"/>
    </w:pPr>
  </w:style>
  <w:style w:type="character" w:styleId="Emphasis">
    <w:name w:val="Emphasis"/>
    <w:basedOn w:val="DefaultParagraphFont"/>
    <w:uiPriority w:val="22"/>
    <w:qFormat/>
    <w:rsid w:val="0070158E"/>
    <w:rPr>
      <w:i/>
      <w:iCs/>
    </w:rPr>
  </w:style>
  <w:style w:type="paragraph" w:customStyle="1" w:styleId="Reference">
    <w:name w:val="Reference"/>
    <w:basedOn w:val="BodyText"/>
    <w:qFormat/>
    <w:rsid w:val="0070158E"/>
    <w:pPr>
      <w:spacing w:before="0" w:after="60" w:line="200" w:lineRule="exact"/>
    </w:pPr>
    <w:rPr>
      <w:sz w:val="16"/>
    </w:rPr>
  </w:style>
  <w:style w:type="paragraph" w:customStyle="1" w:styleId="Keypoints-heading">
    <w:name w:val="Key points-heading"/>
    <w:basedOn w:val="Heading3"/>
    <w:uiPriority w:val="10"/>
    <w:qFormat/>
    <w:rsid w:val="0070158E"/>
    <w:rPr>
      <w:color w:val="auto"/>
    </w:rPr>
  </w:style>
  <w:style w:type="paragraph" w:customStyle="1" w:styleId="Heading2-Appendix">
    <w:name w:val="Heading 2-Appendix"/>
    <w:basedOn w:val="Heading2-nonumber"/>
    <w:next w:val="Normal"/>
    <w:uiPriority w:val="10"/>
    <w:qFormat/>
    <w:rsid w:val="00E72B40"/>
    <w:pPr>
      <w:numPr>
        <w:ilvl w:val="1"/>
        <w:numId w:val="7"/>
      </w:numPr>
    </w:pPr>
  </w:style>
  <w:style w:type="numbering" w:customStyle="1" w:styleId="AppendixHeadingList">
    <w:name w:val="Appendix Heading List"/>
    <w:uiPriority w:val="99"/>
    <w:rsid w:val="0070158E"/>
    <w:pPr>
      <w:numPr>
        <w:numId w:val="2"/>
      </w:numPr>
    </w:pPr>
  </w:style>
  <w:style w:type="paragraph" w:customStyle="1" w:styleId="Space">
    <w:name w:val="Space"/>
    <w:basedOn w:val="BodyText"/>
    <w:uiPriority w:val="1"/>
    <w:rsid w:val="0070158E"/>
    <w:pPr>
      <w:spacing w:before="0" w:after="0"/>
    </w:pPr>
  </w:style>
  <w:style w:type="paragraph" w:customStyle="1" w:styleId="QuoteBullet">
    <w:name w:val="Quote Bullet"/>
    <w:basedOn w:val="ListBullet"/>
    <w:link w:val="QuoteBulletChar"/>
    <w:uiPriority w:val="1"/>
    <w:qFormat/>
    <w:rsid w:val="00B7628F"/>
    <w:pPr>
      <w:spacing w:before="60"/>
      <w:ind w:left="340" w:right="851"/>
    </w:pPr>
    <w:rPr>
      <w:color w:val="58585B"/>
    </w:rPr>
  </w:style>
  <w:style w:type="character" w:customStyle="1" w:styleId="ListBulletChar">
    <w:name w:val="List Bullet Char"/>
    <w:basedOn w:val="DefaultParagraphFont"/>
    <w:link w:val="ListBullet"/>
    <w:uiPriority w:val="1"/>
    <w:rsid w:val="00B7628F"/>
    <w:rPr>
      <w:rFonts w:ascii="Open Sans" w:hAnsi="Open Sans"/>
      <w:sz w:val="20"/>
      <w:szCs w:val="20"/>
    </w:rPr>
  </w:style>
  <w:style w:type="character" w:customStyle="1" w:styleId="QuoteBulletChar">
    <w:name w:val="Quote Bullet Char"/>
    <w:basedOn w:val="ListBulletChar"/>
    <w:link w:val="QuoteBullet"/>
    <w:uiPriority w:val="1"/>
    <w:rsid w:val="00B7628F"/>
    <w:rPr>
      <w:rFonts w:ascii="Open Sans" w:hAnsi="Open Sans"/>
      <w:color w:val="58585B"/>
      <w:sz w:val="20"/>
      <w:szCs w:val="20"/>
    </w:rPr>
  </w:style>
  <w:style w:type="paragraph" w:customStyle="1" w:styleId="Figurecharttitle">
    <w:name w:val="Figure chart title"/>
    <w:basedOn w:val="BodyText"/>
    <w:uiPriority w:val="10"/>
    <w:qFormat/>
    <w:rsid w:val="0070158E"/>
    <w:pPr>
      <w:spacing w:before="0" w:after="0"/>
      <w:ind w:left="284" w:hanging="284"/>
    </w:pPr>
    <w:rPr>
      <w:sz w:val="18"/>
      <w:szCs w:val="18"/>
    </w:rPr>
  </w:style>
  <w:style w:type="paragraph" w:customStyle="1" w:styleId="TableListBullet">
    <w:name w:val="Table List Bullet"/>
    <w:basedOn w:val="ListBullet"/>
    <w:uiPriority w:val="10"/>
    <w:qFormat/>
    <w:rsid w:val="0070158E"/>
    <w:pPr>
      <w:spacing w:before="46" w:after="46"/>
      <w:ind w:left="170" w:hanging="113"/>
    </w:pPr>
    <w:rPr>
      <w:sz w:val="18"/>
    </w:rPr>
  </w:style>
  <w:style w:type="paragraph" w:customStyle="1" w:styleId="PullQuoteNoSpacing">
    <w:name w:val="Pull Quote No Spacing"/>
    <w:basedOn w:val="NoSpacing"/>
    <w:link w:val="PullQuoteNoSpacingChar"/>
    <w:uiPriority w:val="10"/>
    <w:qFormat/>
    <w:rsid w:val="0070158E"/>
    <w:pPr>
      <w:spacing w:line="160" w:lineRule="exact"/>
    </w:pPr>
  </w:style>
  <w:style w:type="character" w:customStyle="1" w:styleId="PullQuoteNoSpacingChar">
    <w:name w:val="Pull Quote No Spacing Char"/>
    <w:basedOn w:val="NoSpacingChar"/>
    <w:link w:val="PullQuoteNoSpacing"/>
    <w:uiPriority w:val="10"/>
    <w:rsid w:val="0070158E"/>
    <w:rPr>
      <w:rFonts w:ascii="Open Sans" w:hAnsi="Open Sans"/>
      <w:sz w:val="20"/>
      <w:szCs w:val="20"/>
    </w:rPr>
  </w:style>
  <w:style w:type="paragraph" w:customStyle="1" w:styleId="PullQuote-Indigenous">
    <w:name w:val="Pull Quote-Indigenous"/>
    <w:basedOn w:val="PullQuote"/>
    <w:uiPriority w:val="10"/>
    <w:qFormat/>
    <w:rsid w:val="0070158E"/>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70158E"/>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70158E"/>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70158E"/>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70158E"/>
    <w:rPr>
      <w:rFonts w:ascii="Open Sans" w:hAnsi="Open Sans"/>
      <w:b/>
      <w:color w:val="265A9A" w:themeColor="background2"/>
      <w:sz w:val="20"/>
      <w:szCs w:val="20"/>
    </w:rPr>
  </w:style>
  <w:style w:type="character" w:styleId="Mention">
    <w:name w:val="Mention"/>
    <w:basedOn w:val="DefaultParagraphFont"/>
    <w:uiPriority w:val="99"/>
    <w:unhideWhenUsed/>
    <w:rsid w:val="00E74DD7"/>
    <w:rPr>
      <w:color w:val="2B579A"/>
      <w:shd w:val="clear" w:color="auto" w:fill="E1DFDD"/>
    </w:rPr>
  </w:style>
  <w:style w:type="paragraph" w:styleId="Bibliography">
    <w:name w:val="Bibliography"/>
    <w:basedOn w:val="Normal"/>
    <w:next w:val="Normal"/>
    <w:uiPriority w:val="37"/>
    <w:semiHidden/>
    <w:unhideWhenUsed/>
    <w:rsid w:val="0032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MPWT-2140667901-109699</_dlc_DocId>
    <_dlc_DocIdUrl xmlns="20393cdf-440a-4521-8f19-00ba43423d00">
      <Url>https://pcgov.sharepoint.com/sites/sceteam/_layouts/15/DocIdRedir.aspx?ID=MPWT-2140667901-109699</Url>
      <Description>MPWT-2140667901-109699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appendix","templateDescription":"","enableDocumentContentUpdater":false,"version":"2.0"}]]></TemplafyTemplateConfiguration>
</file>

<file path=customXml/item4.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TemplafyFormConfiguration><![CDATA[{"formFields":[],"formDataEntries":[]}]]></TemplafyFormConfiguratio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248D4-F94D-4E3A-B191-1740E26CEAB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2.xml><?xml version="1.0" encoding="utf-8"?>
<ds:datastoreItem xmlns:ds="http://schemas.openxmlformats.org/officeDocument/2006/customXml" ds:itemID="{C203C0A9-8800-4241-BB25-89D17CAC9BA9}">
  <ds:schemaRefs>
    <ds:schemaRef ds:uri="http://schemas.microsoft.com/sharepoint/v3/contenttype/forms"/>
  </ds:schemaRefs>
</ds:datastoreItem>
</file>

<file path=customXml/itemProps3.xml><?xml version="1.0" encoding="utf-8"?>
<ds:datastoreItem xmlns:ds="http://schemas.openxmlformats.org/officeDocument/2006/customXml" ds:itemID="{5CCDCE8C-2FF2-479D-91C1-79A7A7683D3C}">
  <ds:schemaRefs/>
</ds:datastoreItem>
</file>

<file path=customXml/itemProps4.xml><?xml version="1.0" encoding="utf-8"?>
<ds:datastoreItem xmlns:ds="http://schemas.openxmlformats.org/officeDocument/2006/customXml" ds:itemID="{A52FFBBD-73F6-4A52-B330-770D5AA00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46B40B-EF97-43D7-AB47-AD742ABBBC94}">
  <ds:schemaRefs>
    <ds:schemaRef ds:uri="http://schemas.microsoft.com/sharepoint/events"/>
  </ds:schemaRefs>
</ds:datastoreItem>
</file>

<file path=customXml/itemProps6.xml><?xml version="1.0" encoding="utf-8"?>
<ds:datastoreItem xmlns:ds="http://schemas.openxmlformats.org/officeDocument/2006/customXml" ds:itemID="{9897F752-2238-441E-ABA5-DB8C10DEA577}">
  <ds:schemaRefs/>
</ds:datastoreItem>
</file>

<file path=customXml/itemProps7.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32</TotalTime>
  <Pages>15</Pages>
  <Words>8100</Words>
  <Characters>45446</Characters>
  <Application>Microsoft Office Word</Application>
  <DocSecurity>0</DocSecurity>
  <Lines>710</Lines>
  <Paragraphs>294</Paragraphs>
  <ScaleCrop>false</ScaleCrop>
  <HeadingPairs>
    <vt:vector size="2" baseType="variant">
      <vt:variant>
        <vt:lpstr>Title</vt:lpstr>
      </vt:variant>
      <vt:variant>
        <vt:i4>1</vt:i4>
      </vt:variant>
    </vt:vector>
  </HeadingPairs>
  <TitlesOfParts>
    <vt:vector size="1" baseType="lpstr">
      <vt:lpstr>Appendix B – Inquiry framework for assessing the 2018 reforms and alternative distribution arrangements - Interim report - GST distribution reforms</vt:lpstr>
    </vt:vector>
  </TitlesOfParts>
  <Company>Productivity Commission</Company>
  <LinksUpToDate>false</LinksUpToDate>
  <CharactersWithSpaces>53252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 Inquiry framework for assessing the 2018 reforms and alternative distribution arrangements - Interim report - GST distribution reforms</dc:title>
  <dc:subject>GST distribution reforms – interim report</dc:subject>
  <dc:creator>Productivity Commission</dc:creator>
  <cp:keywords/>
  <dc:description/>
  <cp:lastModifiedBy>Chris Alston</cp:lastModifiedBy>
  <cp:revision>35</cp:revision>
  <cp:lastPrinted>2026-08-13T12:14:00Z</cp:lastPrinted>
  <dcterms:created xsi:type="dcterms:W3CDTF">2026-08-13T11:29:00Z</dcterms:created>
  <dcterms:modified xsi:type="dcterms:W3CDTF">2026-08-14T01:40:00Z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_dlc_DocIdItemGuid">
    <vt:lpwstr>f2c83ee7-46dc-4369-9eec-189fd79b9b9f</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637629323571087762</vt:lpwstr>
  </property>
  <property fmtid="{D5CDD505-2E9C-101B-9397-08002B2CF9AE}" pid="8" name="TemplafyUserProfileId">
    <vt:lpwstr>637817738275995306</vt:lpwstr>
  </property>
  <property fmtid="{D5CDD505-2E9C-101B-9397-08002B2CF9AE}" pid="9" name="TemplafyFromBlank">
    <vt:bool>false</vt:bool>
  </property>
  <property fmtid="{D5CDD505-2E9C-101B-9397-08002B2CF9AE}" pid="10" name="docLang">
    <vt:lpwstr>en</vt:lpwstr>
  </property>
  <property fmtid="{D5CDD505-2E9C-101B-9397-08002B2CF9AE}" pid="11" name="ZOTERO_PREF_1">
    <vt:lpwstr>&lt;data data-version="3" zotero-version="7.0.11"&gt;&lt;session id="EJIegNqq"/&gt;&lt;style id="http://www.zotero.org/styles/Productivity-Commission" hasBibliography="1" bibliographyStyleHasBeenSet="0"/&gt;&lt;prefs&gt;&lt;pref name="fieldType" value="Field"/&gt;&lt;/prefs&gt;&lt;/data&gt;</vt:lpwstr>
  </property>
  <property fmtid="{D5CDD505-2E9C-101B-9397-08002B2CF9AE}" pid="12" name="MSIP_Label_c1f2b1ce-4212-46db-a901-dd8453f57141_Enabled">
    <vt:lpwstr>true</vt:lpwstr>
  </property>
  <property fmtid="{D5CDD505-2E9C-101B-9397-08002B2CF9AE}" pid="13" name="MSIP_Label_c1f2b1ce-4212-46db-a901-dd8453f57141_SetDate">
    <vt:lpwstr>2026-08-13T11:51:40Z</vt:lpwstr>
  </property>
  <property fmtid="{D5CDD505-2E9C-101B-9397-08002B2CF9AE}" pid="14" name="MSIP_Label_c1f2b1ce-4212-46db-a901-dd8453f57141_Method">
    <vt:lpwstr>Privileged</vt:lpwstr>
  </property>
  <property fmtid="{D5CDD505-2E9C-101B-9397-08002B2CF9AE}" pid="15" name="MSIP_Label_c1f2b1ce-4212-46db-a901-dd8453f57141_Name">
    <vt:lpwstr>Publish</vt:lpwstr>
  </property>
  <property fmtid="{D5CDD505-2E9C-101B-9397-08002B2CF9AE}" pid="16" name="MSIP_Label_c1f2b1ce-4212-46db-a901-dd8453f57141_SiteId">
    <vt:lpwstr>29f9330b-c0fe-4244-830e-ba9f275d6c34</vt:lpwstr>
  </property>
  <property fmtid="{D5CDD505-2E9C-101B-9397-08002B2CF9AE}" pid="17" name="MSIP_Label_c1f2b1ce-4212-46db-a901-dd8453f57141_ActionId">
    <vt:lpwstr>2046ffe0-e2aa-49d8-8119-5083df661e27</vt:lpwstr>
  </property>
  <property fmtid="{D5CDD505-2E9C-101B-9397-08002B2CF9AE}" pid="18" name="MSIP_Label_c1f2b1ce-4212-46db-a901-dd8453f57141_ContentBits">
    <vt:lpwstr>0</vt:lpwstr>
  </property>
  <property fmtid="{D5CDD505-2E9C-101B-9397-08002B2CF9AE}" pid="19" name="MSIP_Label_c1f2b1ce-4212-46db-a901-dd8453f57141_Tag">
    <vt:lpwstr>10, 0, 1, 1</vt:lpwstr>
  </property>
  <property fmtid="{D5CDD505-2E9C-101B-9397-08002B2CF9AE}" pid="20" name="ClassificationContentMarkingHeaderText">
    <vt:lpwstr> OFFICIAL</vt:lpwstr>
  </property>
  <property fmtid="{D5CDD505-2E9C-101B-9397-08002B2CF9AE}" pid="21" name="MSIP_Label_f7467c1a-e0ed-413c-a72b-aac8e8e94f41_Name">
    <vt:lpwstr>OFFICIAL</vt:lpwstr>
  </property>
  <property fmtid="{D5CDD505-2E9C-101B-9397-08002B2CF9AE}" pid="22" name="ClassificationContentMarkingHeaderFontProps">
    <vt:lpwstr>#000000,12,Calibri</vt:lpwstr>
  </property>
  <property fmtid="{D5CDD505-2E9C-101B-9397-08002B2CF9AE}" pid="23" name="MSIP_Label_f7467c1a-e0ed-413c-a72b-aac8e8e94f41_ActionId">
    <vt:lpwstr>376330a1-f476-40c1-9b61-4773e518c17f</vt:lpwstr>
  </property>
  <property fmtid="{D5CDD505-2E9C-101B-9397-08002B2CF9AE}" pid="24" name="MSIP_Label_f7467c1a-e0ed-413c-a72b-aac8e8e94f41_SiteId">
    <vt:lpwstr>29f9330b-c0fe-4244-830e-ba9f275d6c34</vt:lpwstr>
  </property>
  <property fmtid="{D5CDD505-2E9C-101B-9397-08002B2CF9AE}" pid="25" name="MSIP_Label_f7467c1a-e0ed-413c-a72b-aac8e8e94f41_ContentBits">
    <vt:lpwstr>1</vt:lpwstr>
  </property>
  <property fmtid="{D5CDD505-2E9C-101B-9397-08002B2CF9AE}" pid="26" name="MSIP_Label_f7467c1a-e0ed-413c-a72b-aac8e8e94f41_Method">
    <vt:lpwstr>Privileged</vt:lpwstr>
  </property>
  <property fmtid="{D5CDD505-2E9C-101B-9397-08002B2CF9AE}" pid="27" name="ClassificationContentMarkingHeaderShapeIds">
    <vt:lpwstr>5877b50f,164b7cc2,7a80c21a</vt:lpwstr>
  </property>
  <property fmtid="{D5CDD505-2E9C-101B-9397-08002B2CF9AE}" pid="28" name="MSIP_Label_f7467c1a-e0ed-413c-a72b-aac8e8e94f41_Enabled">
    <vt:lpwstr>true</vt:lpwstr>
  </property>
  <property fmtid="{D5CDD505-2E9C-101B-9397-08002B2CF9AE}" pid="29" name="MSIP_Label_f7467c1a-e0ed-413c-a72b-aac8e8e94f41_SetDate">
    <vt:lpwstr>2024-10-29T08:09:25Z</vt:lpwstr>
  </property>
</Properties>
</file>