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4A86D" w14:textId="2996AAFB" w:rsidR="00DB1F25" w:rsidRDefault="00EC13ED" w:rsidP="009E46B5">
      <w:pPr>
        <w:pStyle w:val="Heading-Appendix"/>
        <w:rPr>
          <w:kern w:val="2"/>
          <w:szCs w:val="42"/>
          <w:lang w:eastAsia="en-AU"/>
          <w14:ligatures w14:val="standardContextual"/>
        </w:rPr>
      </w:pPr>
      <w:r>
        <w:t>Productivity Commission</w:t>
      </w:r>
      <w:r w:rsidR="00DB1F25">
        <w:t xml:space="preserve"> modelling</w:t>
      </w:r>
    </w:p>
    <w:p w14:paraId="767CD039" w14:textId="0D59F971" w:rsidR="00FA135F" w:rsidRDefault="00FA135F" w:rsidP="004F7DBA">
      <w:pPr>
        <w:pStyle w:val="BodyText"/>
      </w:pPr>
      <w:r w:rsidRPr="00FA135F">
        <w:t xml:space="preserve">This appendix documents the models, data, calculations and assumptions used to produce the quantitative evidence presented in chapters 3 and 4. It explains how the inquiry operationalised the assessment framework described in appendix B and provides sufficient detail for readers to understand, test and reproduce the results for each framework element. </w:t>
      </w:r>
    </w:p>
    <w:p w14:paraId="75ADCDD5" w14:textId="5622E8A0" w:rsidR="000978BB" w:rsidRDefault="00FA135F" w:rsidP="004F7DBA">
      <w:pPr>
        <w:pStyle w:val="BodyText"/>
      </w:pPr>
      <w:r w:rsidRPr="00FA135F">
        <w:t xml:space="preserve">The appendix first defines the alternative GST arrangements and the common modelling conventions that support comparison across models. It then describes each model using a consistent structure covering its purpose, scope, method, data and assumptions. </w:t>
      </w:r>
    </w:p>
    <w:p w14:paraId="1012CF0D" w14:textId="35F1E210" w:rsidR="003F7A4A" w:rsidRDefault="003F7A4A" w:rsidP="003F7A4A">
      <w:pPr>
        <w:pStyle w:val="FigureTableHeading"/>
      </w:pPr>
      <w:r>
        <w:t>Table C.</w:t>
      </w:r>
      <w:fldSimple w:instr=" SEQ Table \* ARABIC \s 1 ">
        <w:r w:rsidR="002D76C4">
          <w:rPr>
            <w:noProof/>
          </w:rPr>
          <w:t>1</w:t>
        </w:r>
      </w:fldSimple>
      <w:r>
        <w:rPr>
          <w:noProof/>
        </w:rPr>
        <w:t xml:space="preserve"> – Appe</w:t>
      </w:r>
      <w:r w:rsidR="009676F7">
        <w:rPr>
          <w:noProof/>
        </w:rPr>
        <w:t>ndix material and description</w:t>
      </w:r>
    </w:p>
    <w:tbl>
      <w:tblPr>
        <w:tblW w:w="0" w:type="auto"/>
        <w:tblBorders>
          <w:bottom w:val="single" w:sz="4" w:space="0" w:color="B3B3B3"/>
        </w:tblBorders>
        <w:shd w:val="clear" w:color="000000" w:fill="auto"/>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826"/>
        <w:gridCol w:w="2009"/>
        <w:gridCol w:w="6803"/>
      </w:tblGrid>
      <w:tr w:rsidR="001648F4" w:rsidRPr="00AE2A79" w14:paraId="7D2231BE" w14:textId="77777777" w:rsidTr="00276576">
        <w:trPr>
          <w:tblHeader/>
        </w:trPr>
        <w:tc>
          <w:tcPr>
            <w:tcW w:w="0" w:type="auto"/>
            <w:tcBorders>
              <w:bottom w:val="single" w:sz="4" w:space="0" w:color="B3B3B3"/>
            </w:tcBorders>
            <w:vAlign w:val="bottom"/>
          </w:tcPr>
          <w:p w14:paraId="64A86F3C" w14:textId="12D3896B" w:rsidR="001648F4" w:rsidRPr="00AE2A79" w:rsidRDefault="00EC3D80" w:rsidP="00AE2A79">
            <w:pPr>
              <w:spacing w:before="45" w:after="45"/>
              <w:ind w:left="57" w:right="108"/>
              <w:rPr>
                <w:rFonts w:cs="Open Sans"/>
                <w:b/>
                <w:bCs/>
                <w:color w:val="1D4374"/>
                <w:sz w:val="18"/>
              </w:rPr>
            </w:pPr>
            <w:r w:rsidRPr="00AE2A79">
              <w:rPr>
                <w:rFonts w:cs="Open Sans"/>
                <w:b/>
                <w:bCs/>
                <w:color w:val="1D4374"/>
                <w:sz w:val="18"/>
              </w:rPr>
              <w:t>Section</w:t>
            </w:r>
          </w:p>
        </w:tc>
        <w:tc>
          <w:tcPr>
            <w:tcW w:w="2009" w:type="dxa"/>
            <w:tcBorders>
              <w:bottom w:val="single" w:sz="4" w:space="0" w:color="B3B3B3"/>
            </w:tcBorders>
            <w:vAlign w:val="bottom"/>
          </w:tcPr>
          <w:p w14:paraId="27BE5DB1" w14:textId="089876A1" w:rsidR="001648F4" w:rsidRPr="00AE2A79" w:rsidRDefault="00EC3D80" w:rsidP="00AE2A79">
            <w:pPr>
              <w:spacing w:before="45" w:after="45"/>
              <w:ind w:left="57" w:right="108"/>
              <w:rPr>
                <w:rFonts w:cs="Open Sans"/>
                <w:b/>
                <w:color w:val="1D4374"/>
                <w:sz w:val="18"/>
              </w:rPr>
            </w:pPr>
            <w:r w:rsidRPr="00AE2A79">
              <w:rPr>
                <w:rFonts w:cs="Open Sans"/>
                <w:b/>
                <w:color w:val="1D4374"/>
                <w:sz w:val="18"/>
              </w:rPr>
              <w:t>Name</w:t>
            </w:r>
          </w:p>
        </w:tc>
        <w:tc>
          <w:tcPr>
            <w:tcW w:w="6803" w:type="dxa"/>
            <w:tcBorders>
              <w:bottom w:val="single" w:sz="4" w:space="0" w:color="B3B3B3"/>
            </w:tcBorders>
            <w:vAlign w:val="bottom"/>
          </w:tcPr>
          <w:p w14:paraId="4D1D05C6" w14:textId="713F48BC" w:rsidR="001648F4" w:rsidRPr="00AE2A79" w:rsidRDefault="00375637" w:rsidP="00AE2A79">
            <w:pPr>
              <w:pStyle w:val="TableHeading"/>
              <w:spacing w:before="45" w:after="45"/>
              <w:rPr>
                <w:rFonts w:cs="Open Sans"/>
                <w:color w:val="1D4374"/>
              </w:rPr>
            </w:pPr>
            <w:r w:rsidRPr="00AE2A79">
              <w:rPr>
                <w:rFonts w:cs="Open Sans"/>
                <w:bCs/>
                <w:color w:val="1D4374"/>
              </w:rPr>
              <w:t>Description</w:t>
            </w:r>
          </w:p>
        </w:tc>
      </w:tr>
      <w:tr w:rsidR="00375637" w:rsidRPr="00AE2A79" w14:paraId="1EBF1488" w14:textId="77777777" w:rsidTr="00276576">
        <w:tc>
          <w:tcPr>
            <w:tcW w:w="0" w:type="auto"/>
            <w:tcBorders>
              <w:top w:val="single" w:sz="4" w:space="0" w:color="B3B3B3"/>
              <w:bottom w:val="nil"/>
            </w:tcBorders>
            <w:shd w:val="clear" w:color="auto" w:fill="E6E6E6"/>
          </w:tcPr>
          <w:p w14:paraId="55B4482D" w14:textId="436D1E4F" w:rsidR="00375637" w:rsidRPr="00AE2A79" w:rsidRDefault="008B7A2D" w:rsidP="00AE2A79">
            <w:pPr>
              <w:pStyle w:val="TableHeading"/>
              <w:spacing w:before="45" w:after="45"/>
              <w:rPr>
                <w:rStyle w:val="Strong"/>
                <w:rFonts w:cs="Open Sans"/>
                <w:b/>
                <w:color w:val="1D4374"/>
              </w:rPr>
            </w:pPr>
            <w:r w:rsidRPr="00AE2A79">
              <w:rPr>
                <w:rStyle w:val="Strong"/>
                <w:rFonts w:cs="Open Sans"/>
                <w:b/>
                <w:color w:val="1D4374"/>
              </w:rPr>
              <w:t>C.1</w:t>
            </w:r>
          </w:p>
        </w:tc>
        <w:tc>
          <w:tcPr>
            <w:tcW w:w="2009" w:type="dxa"/>
            <w:tcBorders>
              <w:top w:val="single" w:sz="4" w:space="0" w:color="B3B3B3"/>
              <w:bottom w:val="nil"/>
            </w:tcBorders>
            <w:shd w:val="clear" w:color="auto" w:fill="E6E6E6"/>
          </w:tcPr>
          <w:p w14:paraId="0041D625" w14:textId="5E2763E0" w:rsidR="00375637" w:rsidRPr="00AE2A79" w:rsidRDefault="00AE2A79" w:rsidP="00AE2A79">
            <w:pPr>
              <w:pStyle w:val="TableHeading"/>
              <w:spacing w:before="45" w:after="45"/>
              <w:rPr>
                <w:rStyle w:val="Strong"/>
                <w:rFonts w:cs="Open Sans"/>
                <w:color w:val="000000"/>
              </w:rPr>
            </w:pPr>
            <w:r w:rsidRPr="00AE2A79">
              <w:rPr>
                <w:rStyle w:val="Strong"/>
                <w:rFonts w:cs="Open Sans"/>
                <w:color w:val="000000"/>
              </w:rPr>
              <w:t>Common modelling assumptions</w:t>
            </w:r>
          </w:p>
        </w:tc>
        <w:tc>
          <w:tcPr>
            <w:tcW w:w="6803" w:type="dxa"/>
            <w:tcBorders>
              <w:top w:val="single" w:sz="4" w:space="0" w:color="B3B3B3"/>
              <w:bottom w:val="nil"/>
            </w:tcBorders>
            <w:shd w:val="clear" w:color="auto" w:fill="E6E6E6"/>
          </w:tcPr>
          <w:p w14:paraId="78C0FD37" w14:textId="010A38EE" w:rsidR="00375637" w:rsidRPr="00AE2A79" w:rsidRDefault="00AE2A79" w:rsidP="00AE2A79">
            <w:pPr>
              <w:pStyle w:val="TableBody"/>
              <w:spacing w:before="45" w:after="45"/>
              <w:ind w:right="108"/>
              <w:rPr>
                <w:rFonts w:cs="Open Sans"/>
                <w:color w:val="000000"/>
                <w:kern w:val="2"/>
                <w:szCs w:val="18"/>
                <w:lang w:eastAsia="zh-CN" w:bidi="th-TH"/>
                <w14:ligatures w14:val="standardContextual"/>
              </w:rPr>
            </w:pPr>
            <w:r>
              <w:rPr>
                <w:color w:val="000000"/>
              </w:rPr>
              <w:t>Defines assumptions used across the modelling and outlines the validation and quality-assurance approach.</w:t>
            </w:r>
          </w:p>
        </w:tc>
      </w:tr>
      <w:tr w:rsidR="001648F4" w:rsidRPr="00AE2A79" w14:paraId="781DBDF3" w14:textId="77777777" w:rsidTr="00276576">
        <w:tc>
          <w:tcPr>
            <w:tcW w:w="0" w:type="auto"/>
            <w:tcBorders>
              <w:top w:val="nil"/>
              <w:bottom w:val="nil"/>
            </w:tcBorders>
          </w:tcPr>
          <w:p w14:paraId="1A3E3832" w14:textId="73731708" w:rsidR="001648F4" w:rsidRPr="00AE2A79" w:rsidRDefault="008B7A2D" w:rsidP="00AE2A79">
            <w:pPr>
              <w:pStyle w:val="TableHeading"/>
              <w:spacing w:before="45" w:after="45"/>
              <w:rPr>
                <w:rStyle w:val="Strong"/>
                <w:rFonts w:cs="Open Sans"/>
                <w:b/>
                <w:color w:val="1D4374"/>
              </w:rPr>
            </w:pPr>
            <w:r w:rsidRPr="00AE2A79">
              <w:rPr>
                <w:rStyle w:val="Strong"/>
                <w:rFonts w:cs="Open Sans"/>
                <w:b/>
                <w:color w:val="1D4374"/>
              </w:rPr>
              <w:t>C.2</w:t>
            </w:r>
          </w:p>
        </w:tc>
        <w:tc>
          <w:tcPr>
            <w:tcW w:w="2009" w:type="dxa"/>
            <w:tcBorders>
              <w:top w:val="nil"/>
              <w:bottom w:val="nil"/>
            </w:tcBorders>
          </w:tcPr>
          <w:p w14:paraId="23DB49AD" w14:textId="27D25775" w:rsidR="001648F4" w:rsidRPr="00AE2A79" w:rsidRDefault="001648F4" w:rsidP="00AE2A79">
            <w:pPr>
              <w:pStyle w:val="TableHeading"/>
              <w:spacing w:before="45" w:after="45"/>
              <w:rPr>
                <w:rFonts w:cs="Open Sans"/>
                <w:b w:val="0"/>
                <w:color w:val="000000"/>
              </w:rPr>
            </w:pPr>
            <w:r w:rsidRPr="00AE2A79">
              <w:rPr>
                <w:rStyle w:val="Strong"/>
                <w:rFonts w:cs="Open Sans"/>
                <w:color w:val="000000"/>
              </w:rPr>
              <w:t xml:space="preserve">Alternative GST arrangements </w:t>
            </w:r>
          </w:p>
        </w:tc>
        <w:tc>
          <w:tcPr>
            <w:tcW w:w="6803" w:type="dxa"/>
            <w:tcBorders>
              <w:top w:val="nil"/>
              <w:bottom w:val="nil"/>
            </w:tcBorders>
          </w:tcPr>
          <w:p w14:paraId="2EA62ADF" w14:textId="3D637293" w:rsidR="001648F4" w:rsidRPr="00AE2A79" w:rsidRDefault="001648F4" w:rsidP="00AE2A79">
            <w:pPr>
              <w:pStyle w:val="TableBody"/>
              <w:spacing w:before="45" w:after="45"/>
              <w:ind w:right="108"/>
              <w:rPr>
                <w:rFonts w:cs="Open Sans"/>
                <w:color w:val="000000"/>
              </w:rPr>
            </w:pPr>
            <w:r w:rsidRPr="00AE2A79">
              <w:rPr>
                <w:rFonts w:cs="Open Sans"/>
                <w:color w:val="000000"/>
              </w:rPr>
              <w:t xml:space="preserve">Defines the current system and 13 alternatives, including equalisation benchmarks, relativity floors, GST pool treatment and </w:t>
            </w:r>
            <w:proofErr w:type="spellStart"/>
            <w:r w:rsidRPr="00AE2A79">
              <w:rPr>
                <w:rFonts w:cs="Open Sans"/>
                <w:color w:val="000000"/>
              </w:rPr>
              <w:t>NoWO</w:t>
            </w:r>
            <w:proofErr w:type="spellEnd"/>
            <w:r w:rsidRPr="00AE2A79">
              <w:rPr>
                <w:rFonts w:cs="Open Sans"/>
                <w:color w:val="000000"/>
              </w:rPr>
              <w:t xml:space="preserve"> treatment.</w:t>
            </w:r>
          </w:p>
        </w:tc>
      </w:tr>
      <w:tr w:rsidR="001648F4" w:rsidRPr="00AE2A79" w14:paraId="310B7C90" w14:textId="77777777" w:rsidTr="00276576">
        <w:tc>
          <w:tcPr>
            <w:tcW w:w="0" w:type="auto"/>
            <w:tcBorders>
              <w:bottom w:val="nil"/>
            </w:tcBorders>
            <w:shd w:val="clear" w:color="auto" w:fill="E6E6E6"/>
          </w:tcPr>
          <w:p w14:paraId="08034FF0" w14:textId="776248CF" w:rsidR="001648F4" w:rsidRPr="00AE2A79" w:rsidRDefault="008B7A2D" w:rsidP="00AE2A79">
            <w:pPr>
              <w:pStyle w:val="TableHeading"/>
              <w:spacing w:before="45" w:after="45"/>
              <w:rPr>
                <w:rStyle w:val="Strong"/>
                <w:rFonts w:cs="Open Sans"/>
                <w:b/>
                <w:color w:val="1D4374"/>
              </w:rPr>
            </w:pPr>
            <w:r w:rsidRPr="00AE2A79">
              <w:rPr>
                <w:rStyle w:val="Strong"/>
                <w:rFonts w:cs="Open Sans"/>
                <w:b/>
                <w:color w:val="1D4374"/>
              </w:rPr>
              <w:t>C.3</w:t>
            </w:r>
          </w:p>
        </w:tc>
        <w:tc>
          <w:tcPr>
            <w:tcW w:w="2009" w:type="dxa"/>
            <w:tcBorders>
              <w:bottom w:val="nil"/>
            </w:tcBorders>
            <w:shd w:val="clear" w:color="auto" w:fill="E6E6E6"/>
          </w:tcPr>
          <w:p w14:paraId="280CFD3A" w14:textId="33C68CF9" w:rsidR="001648F4" w:rsidRPr="00AE2A79" w:rsidRDefault="001648F4" w:rsidP="00AE2A79">
            <w:pPr>
              <w:pStyle w:val="TableHeading"/>
              <w:spacing w:before="45" w:after="45"/>
              <w:rPr>
                <w:rFonts w:cs="Open Sans"/>
                <w:b w:val="0"/>
                <w:color w:val="000000"/>
              </w:rPr>
            </w:pPr>
            <w:r w:rsidRPr="00AE2A79">
              <w:rPr>
                <w:rStyle w:val="Strong"/>
                <w:rFonts w:cs="Open Sans"/>
                <w:color w:val="000000"/>
              </w:rPr>
              <w:t xml:space="preserve">PC GST </w:t>
            </w:r>
            <w:r w:rsidR="00375637" w:rsidRPr="00AE2A79">
              <w:rPr>
                <w:rStyle w:val="Strong"/>
                <w:rFonts w:cs="Open Sans"/>
                <w:color w:val="000000"/>
              </w:rPr>
              <w:t>M</w:t>
            </w:r>
            <w:r w:rsidRPr="00AE2A79">
              <w:rPr>
                <w:rStyle w:val="Strong"/>
                <w:rFonts w:cs="Open Sans"/>
                <w:color w:val="000000"/>
              </w:rPr>
              <w:t>odel</w:t>
            </w:r>
          </w:p>
        </w:tc>
        <w:tc>
          <w:tcPr>
            <w:tcW w:w="6803" w:type="dxa"/>
            <w:tcBorders>
              <w:bottom w:val="nil"/>
            </w:tcBorders>
            <w:shd w:val="clear" w:color="auto" w:fill="E6E6E6"/>
          </w:tcPr>
          <w:p w14:paraId="155B6DEB" w14:textId="6CA2F2D7" w:rsidR="001648F4" w:rsidRPr="00AE2A79" w:rsidRDefault="001648F4" w:rsidP="00AE2A79">
            <w:pPr>
              <w:pStyle w:val="TableBody"/>
              <w:spacing w:before="45" w:after="45"/>
              <w:ind w:right="108"/>
              <w:rPr>
                <w:rFonts w:cs="Open Sans"/>
                <w:color w:val="000000"/>
              </w:rPr>
            </w:pPr>
            <w:r w:rsidRPr="00AE2A79">
              <w:rPr>
                <w:rFonts w:cs="Open Sans"/>
                <w:color w:val="000000"/>
              </w:rPr>
              <w:t xml:space="preserve">Reconstructs GST requirements, relativities, state GST payments and </w:t>
            </w:r>
            <w:proofErr w:type="spellStart"/>
            <w:r w:rsidRPr="00AE2A79">
              <w:rPr>
                <w:rFonts w:cs="Open Sans"/>
                <w:color w:val="000000"/>
              </w:rPr>
              <w:t>NoWO</w:t>
            </w:r>
            <w:proofErr w:type="spellEnd"/>
            <w:r w:rsidRPr="00AE2A79">
              <w:rPr>
                <w:rFonts w:cs="Open Sans"/>
                <w:color w:val="000000"/>
              </w:rPr>
              <w:t xml:space="preserve"> payments under each arrangement across the history of the GST. Its outputs are inputs to several later models.</w:t>
            </w:r>
          </w:p>
        </w:tc>
      </w:tr>
      <w:tr w:rsidR="001648F4" w:rsidRPr="00AE2A79" w14:paraId="00CBEDDA" w14:textId="77777777" w:rsidTr="00276576">
        <w:tc>
          <w:tcPr>
            <w:tcW w:w="0" w:type="auto"/>
            <w:tcBorders>
              <w:top w:val="nil"/>
              <w:bottom w:val="nil"/>
            </w:tcBorders>
          </w:tcPr>
          <w:p w14:paraId="60DE2106" w14:textId="2F70EB66" w:rsidR="001648F4" w:rsidRPr="00AE2A79" w:rsidRDefault="008B7A2D" w:rsidP="00AE2A79">
            <w:pPr>
              <w:pStyle w:val="TableHeading"/>
              <w:spacing w:before="45" w:after="45"/>
              <w:rPr>
                <w:rStyle w:val="Strong"/>
                <w:rFonts w:cs="Open Sans"/>
                <w:b/>
                <w:color w:val="1D4374"/>
              </w:rPr>
            </w:pPr>
            <w:r w:rsidRPr="00AE2A79">
              <w:rPr>
                <w:rStyle w:val="Strong"/>
                <w:rFonts w:cs="Open Sans"/>
                <w:b/>
                <w:color w:val="1D4374"/>
              </w:rPr>
              <w:t>C.4</w:t>
            </w:r>
          </w:p>
        </w:tc>
        <w:tc>
          <w:tcPr>
            <w:tcW w:w="2009" w:type="dxa"/>
            <w:tcBorders>
              <w:top w:val="nil"/>
              <w:bottom w:val="nil"/>
            </w:tcBorders>
          </w:tcPr>
          <w:p w14:paraId="20B67702" w14:textId="551A1D58" w:rsidR="001648F4" w:rsidRPr="00AE2A79" w:rsidRDefault="001648F4" w:rsidP="00AE2A79">
            <w:pPr>
              <w:pStyle w:val="TableHeading"/>
              <w:spacing w:before="45" w:after="45"/>
              <w:rPr>
                <w:rFonts w:cs="Open Sans"/>
                <w:b w:val="0"/>
                <w:color w:val="000000"/>
              </w:rPr>
            </w:pPr>
            <w:r w:rsidRPr="00AE2A79">
              <w:rPr>
                <w:rStyle w:val="Strong"/>
                <w:rFonts w:cs="Open Sans"/>
                <w:color w:val="000000"/>
              </w:rPr>
              <w:t>Equity framework measure</w:t>
            </w:r>
          </w:p>
        </w:tc>
        <w:tc>
          <w:tcPr>
            <w:tcW w:w="6803" w:type="dxa"/>
            <w:tcBorders>
              <w:top w:val="nil"/>
              <w:bottom w:val="nil"/>
            </w:tcBorders>
          </w:tcPr>
          <w:p w14:paraId="13004146" w14:textId="0FD4DEDD" w:rsidR="001648F4" w:rsidRPr="00AE2A79" w:rsidRDefault="001648F4" w:rsidP="00AE2A79">
            <w:pPr>
              <w:pStyle w:val="TableBody"/>
              <w:spacing w:before="45" w:after="45"/>
              <w:ind w:right="108"/>
              <w:rPr>
                <w:rFonts w:cs="Open Sans"/>
                <w:color w:val="000000"/>
              </w:rPr>
            </w:pPr>
            <w:r w:rsidRPr="00AE2A79">
              <w:rPr>
                <w:rFonts w:cs="Open Sans"/>
                <w:color w:val="000000"/>
              </w:rPr>
              <w:t>Measures how far each arrangement reduces interstate differences in assessed fiscal capacity, using an equalisation rate derived from pre- and post-GST fiscal gaps.</w:t>
            </w:r>
          </w:p>
        </w:tc>
      </w:tr>
      <w:tr w:rsidR="001648F4" w:rsidRPr="00AE2A79" w14:paraId="1621A8D4" w14:textId="77777777" w:rsidTr="00276576">
        <w:tc>
          <w:tcPr>
            <w:tcW w:w="0" w:type="auto"/>
            <w:tcBorders>
              <w:bottom w:val="nil"/>
            </w:tcBorders>
            <w:shd w:val="clear" w:color="auto" w:fill="E6E6E6"/>
          </w:tcPr>
          <w:p w14:paraId="3C9AA4F0" w14:textId="01027CE8" w:rsidR="001648F4" w:rsidRPr="00AE2A79" w:rsidRDefault="008B7A2D" w:rsidP="00AE2A79">
            <w:pPr>
              <w:pStyle w:val="TableHeading"/>
              <w:spacing w:before="45" w:after="45"/>
              <w:rPr>
                <w:rStyle w:val="Strong"/>
                <w:rFonts w:cs="Open Sans"/>
                <w:b/>
                <w:color w:val="1D4374"/>
              </w:rPr>
            </w:pPr>
            <w:r w:rsidRPr="00AE2A79">
              <w:rPr>
                <w:rStyle w:val="Strong"/>
                <w:rFonts w:cs="Open Sans"/>
                <w:b/>
                <w:color w:val="1D4374"/>
              </w:rPr>
              <w:t>C.5</w:t>
            </w:r>
          </w:p>
        </w:tc>
        <w:tc>
          <w:tcPr>
            <w:tcW w:w="2009" w:type="dxa"/>
            <w:tcBorders>
              <w:bottom w:val="nil"/>
            </w:tcBorders>
            <w:shd w:val="clear" w:color="auto" w:fill="E6E6E6"/>
          </w:tcPr>
          <w:p w14:paraId="3249FA28" w14:textId="74766DA5" w:rsidR="001648F4" w:rsidRPr="00AE2A79" w:rsidRDefault="001648F4" w:rsidP="00AE2A79">
            <w:pPr>
              <w:pStyle w:val="TableHeading"/>
              <w:spacing w:before="45" w:after="45"/>
              <w:rPr>
                <w:rFonts w:cs="Open Sans"/>
                <w:b w:val="0"/>
                <w:color w:val="000000"/>
              </w:rPr>
            </w:pPr>
            <w:r w:rsidRPr="00AE2A79">
              <w:rPr>
                <w:rStyle w:val="Strong"/>
                <w:rFonts w:cs="Open Sans"/>
                <w:color w:val="000000"/>
              </w:rPr>
              <w:t>Efficiency framework measures</w:t>
            </w:r>
          </w:p>
        </w:tc>
        <w:tc>
          <w:tcPr>
            <w:tcW w:w="6803" w:type="dxa"/>
            <w:tcBorders>
              <w:bottom w:val="nil"/>
            </w:tcBorders>
            <w:shd w:val="clear" w:color="auto" w:fill="E6E6E6"/>
          </w:tcPr>
          <w:p w14:paraId="5B0EAB7E" w14:textId="7E5936F8" w:rsidR="001648F4" w:rsidRPr="00AE2A79" w:rsidRDefault="001648F4" w:rsidP="00AE2A79">
            <w:pPr>
              <w:pStyle w:val="TableBody"/>
              <w:spacing w:before="45" w:after="45"/>
              <w:ind w:right="108"/>
              <w:rPr>
                <w:rFonts w:cs="Open Sans"/>
                <w:color w:val="000000"/>
              </w:rPr>
            </w:pPr>
            <w:r w:rsidRPr="00AE2A79">
              <w:rPr>
                <w:rFonts w:cs="Open Sans"/>
                <w:color w:val="000000"/>
              </w:rPr>
              <w:t>Tests how independently applied revenue shocks affect GST payments under each arrangement, producing weighted-average and average-maximum measures of departures from policy neutrality.</w:t>
            </w:r>
          </w:p>
        </w:tc>
      </w:tr>
      <w:tr w:rsidR="001648F4" w:rsidRPr="00AE2A79" w14:paraId="7CDCA7E4" w14:textId="77777777" w:rsidTr="00276576">
        <w:tc>
          <w:tcPr>
            <w:tcW w:w="0" w:type="auto"/>
            <w:tcBorders>
              <w:top w:val="nil"/>
              <w:bottom w:val="nil"/>
            </w:tcBorders>
          </w:tcPr>
          <w:p w14:paraId="0F19A098" w14:textId="152CF1D6" w:rsidR="001648F4" w:rsidRPr="00AE2A79" w:rsidRDefault="008B7A2D" w:rsidP="00AE2A79">
            <w:pPr>
              <w:pStyle w:val="TableHeading"/>
              <w:spacing w:before="45" w:after="45"/>
              <w:rPr>
                <w:rStyle w:val="Strong"/>
                <w:rFonts w:cs="Open Sans"/>
                <w:b/>
                <w:color w:val="1D4374"/>
              </w:rPr>
            </w:pPr>
            <w:r w:rsidRPr="00AE2A79">
              <w:rPr>
                <w:rStyle w:val="Strong"/>
                <w:rFonts w:cs="Open Sans"/>
                <w:b/>
                <w:color w:val="1D4374"/>
              </w:rPr>
              <w:t>C.6</w:t>
            </w:r>
          </w:p>
        </w:tc>
        <w:tc>
          <w:tcPr>
            <w:tcW w:w="2009" w:type="dxa"/>
            <w:tcBorders>
              <w:top w:val="nil"/>
              <w:bottom w:val="nil"/>
            </w:tcBorders>
          </w:tcPr>
          <w:p w14:paraId="7EC98FE4" w14:textId="3F9EB4D1" w:rsidR="001648F4" w:rsidRPr="00AE2A79" w:rsidRDefault="001648F4" w:rsidP="00AE2A79">
            <w:pPr>
              <w:pStyle w:val="TableHeading"/>
              <w:spacing w:before="45" w:after="45"/>
              <w:rPr>
                <w:rFonts w:cs="Open Sans"/>
                <w:b w:val="0"/>
                <w:color w:val="000000"/>
              </w:rPr>
            </w:pPr>
            <w:r w:rsidRPr="00AE2A79">
              <w:rPr>
                <w:rStyle w:val="Strong"/>
                <w:rFonts w:cs="Open Sans"/>
                <w:color w:val="000000"/>
              </w:rPr>
              <w:t>Fiscal sustainability framework measure</w:t>
            </w:r>
          </w:p>
        </w:tc>
        <w:tc>
          <w:tcPr>
            <w:tcW w:w="6803" w:type="dxa"/>
            <w:tcBorders>
              <w:top w:val="nil"/>
              <w:bottom w:val="nil"/>
            </w:tcBorders>
          </w:tcPr>
          <w:p w14:paraId="15A213D8" w14:textId="45B28ED3" w:rsidR="001648F4" w:rsidRPr="00AE2A79" w:rsidRDefault="001648F4" w:rsidP="00AE2A79">
            <w:pPr>
              <w:pStyle w:val="TableBody"/>
              <w:spacing w:before="45" w:after="45"/>
              <w:ind w:right="108"/>
              <w:rPr>
                <w:rFonts w:cs="Open Sans"/>
                <w:color w:val="000000"/>
              </w:rPr>
            </w:pPr>
            <w:r w:rsidRPr="00AE2A79">
              <w:rPr>
                <w:rFonts w:cs="Open Sans"/>
                <w:color w:val="000000"/>
              </w:rPr>
              <w:t>Estimates how differences in GST payments would flow through state fiscal balances, debt and interest expenses, and into the fiscal pressure measure.</w:t>
            </w:r>
          </w:p>
        </w:tc>
      </w:tr>
      <w:tr w:rsidR="001648F4" w:rsidRPr="00AE2A79" w14:paraId="6AC60DF9" w14:textId="77777777" w:rsidTr="00276576">
        <w:tc>
          <w:tcPr>
            <w:tcW w:w="0" w:type="auto"/>
            <w:tcBorders>
              <w:bottom w:val="nil"/>
            </w:tcBorders>
            <w:shd w:val="clear" w:color="auto" w:fill="E6E6E6"/>
          </w:tcPr>
          <w:p w14:paraId="75BD7584" w14:textId="428D05A5" w:rsidR="001648F4" w:rsidRPr="00AE2A79" w:rsidRDefault="008B7A2D" w:rsidP="00AE2A79">
            <w:pPr>
              <w:pStyle w:val="TableHeading"/>
              <w:spacing w:before="45" w:after="45"/>
              <w:rPr>
                <w:rStyle w:val="Strong"/>
                <w:rFonts w:cs="Open Sans"/>
                <w:b/>
                <w:color w:val="1D4374"/>
              </w:rPr>
            </w:pPr>
            <w:r w:rsidRPr="00AE2A79">
              <w:rPr>
                <w:rStyle w:val="Strong"/>
                <w:rFonts w:cs="Open Sans"/>
                <w:b/>
                <w:color w:val="1D4374"/>
              </w:rPr>
              <w:t>C.7</w:t>
            </w:r>
          </w:p>
        </w:tc>
        <w:tc>
          <w:tcPr>
            <w:tcW w:w="2009" w:type="dxa"/>
            <w:tcBorders>
              <w:bottom w:val="nil"/>
            </w:tcBorders>
            <w:shd w:val="clear" w:color="auto" w:fill="E6E6E6"/>
          </w:tcPr>
          <w:p w14:paraId="7FF45AD6" w14:textId="709340D7" w:rsidR="001648F4" w:rsidRPr="00AE2A79" w:rsidRDefault="001648F4" w:rsidP="00AE2A79">
            <w:pPr>
              <w:pStyle w:val="TableHeading"/>
              <w:spacing w:before="45" w:after="45"/>
              <w:rPr>
                <w:rFonts w:cs="Open Sans"/>
                <w:b w:val="0"/>
                <w:color w:val="000000"/>
              </w:rPr>
            </w:pPr>
            <w:r w:rsidRPr="00AE2A79">
              <w:rPr>
                <w:rStyle w:val="Strong"/>
                <w:rFonts w:cs="Open Sans"/>
                <w:color w:val="000000"/>
              </w:rPr>
              <w:t>Certainty framework measure</w:t>
            </w:r>
          </w:p>
        </w:tc>
        <w:tc>
          <w:tcPr>
            <w:tcW w:w="6803" w:type="dxa"/>
            <w:tcBorders>
              <w:bottom w:val="nil"/>
            </w:tcBorders>
            <w:shd w:val="clear" w:color="auto" w:fill="E6E6E6"/>
          </w:tcPr>
          <w:p w14:paraId="5C4DCD62" w14:textId="5C2B7A41" w:rsidR="001648F4" w:rsidRPr="00AE2A79" w:rsidRDefault="001648F4" w:rsidP="00AE2A79">
            <w:pPr>
              <w:pStyle w:val="TableBody"/>
              <w:spacing w:before="45" w:after="45"/>
              <w:ind w:right="108"/>
              <w:rPr>
                <w:rFonts w:cs="Open Sans"/>
                <w:color w:val="000000"/>
              </w:rPr>
            </w:pPr>
            <w:r w:rsidRPr="00AE2A79">
              <w:rPr>
                <w:rFonts w:cs="Open Sans"/>
                <w:color w:val="000000"/>
              </w:rPr>
              <w:t>Assesses the stability and predictability of outcomes under alternative GST arrangements.</w:t>
            </w:r>
          </w:p>
        </w:tc>
      </w:tr>
      <w:tr w:rsidR="001648F4" w:rsidRPr="00AE2A79" w14:paraId="525D7C10" w14:textId="77777777" w:rsidTr="00276576">
        <w:tc>
          <w:tcPr>
            <w:tcW w:w="0" w:type="auto"/>
            <w:tcBorders>
              <w:top w:val="nil"/>
              <w:bottom w:val="nil"/>
            </w:tcBorders>
          </w:tcPr>
          <w:p w14:paraId="5AE913DE" w14:textId="11C1FD10" w:rsidR="001648F4" w:rsidRPr="00AE2A79" w:rsidRDefault="008B7A2D" w:rsidP="00AE2A79">
            <w:pPr>
              <w:pStyle w:val="TableHeading"/>
              <w:spacing w:before="45" w:after="45"/>
              <w:rPr>
                <w:rStyle w:val="Strong"/>
                <w:rFonts w:cs="Open Sans"/>
                <w:b/>
                <w:color w:val="1D4374"/>
              </w:rPr>
            </w:pPr>
            <w:r w:rsidRPr="00AE2A79">
              <w:rPr>
                <w:rStyle w:val="Strong"/>
                <w:rFonts w:cs="Open Sans"/>
                <w:b/>
                <w:color w:val="1D4374"/>
              </w:rPr>
              <w:t>C.8</w:t>
            </w:r>
          </w:p>
        </w:tc>
        <w:tc>
          <w:tcPr>
            <w:tcW w:w="2009" w:type="dxa"/>
            <w:tcBorders>
              <w:top w:val="nil"/>
              <w:bottom w:val="nil"/>
            </w:tcBorders>
          </w:tcPr>
          <w:p w14:paraId="496DBA7F" w14:textId="33F96740" w:rsidR="001648F4" w:rsidRPr="00AE2A79" w:rsidRDefault="008B7A2D" w:rsidP="00AE2A79">
            <w:pPr>
              <w:pStyle w:val="TableHeading"/>
              <w:spacing w:before="45" w:after="45"/>
              <w:rPr>
                <w:rFonts w:cs="Open Sans"/>
                <w:b w:val="0"/>
                <w:color w:val="000000"/>
              </w:rPr>
            </w:pPr>
            <w:r w:rsidRPr="00AE2A79">
              <w:rPr>
                <w:rStyle w:val="Strong"/>
                <w:rFonts w:cs="Open Sans"/>
                <w:color w:val="000000"/>
              </w:rPr>
              <w:t xml:space="preserve">Reform </w:t>
            </w:r>
            <w:r w:rsidR="001648F4" w:rsidRPr="00AE2A79">
              <w:rPr>
                <w:rStyle w:val="Strong"/>
                <w:rFonts w:cs="Open Sans"/>
                <w:color w:val="000000"/>
              </w:rPr>
              <w:t>cameos</w:t>
            </w:r>
          </w:p>
        </w:tc>
        <w:tc>
          <w:tcPr>
            <w:tcW w:w="6803" w:type="dxa"/>
            <w:tcBorders>
              <w:top w:val="nil"/>
              <w:bottom w:val="nil"/>
            </w:tcBorders>
          </w:tcPr>
          <w:p w14:paraId="1198873C" w14:textId="4CE2F6EE" w:rsidR="001648F4" w:rsidRPr="00AE2A79" w:rsidRDefault="001648F4" w:rsidP="00AE2A79">
            <w:pPr>
              <w:pStyle w:val="TableBody"/>
              <w:spacing w:before="45" w:after="45"/>
              <w:ind w:right="108"/>
              <w:rPr>
                <w:rFonts w:cs="Open Sans"/>
                <w:color w:val="000000"/>
              </w:rPr>
            </w:pPr>
            <w:r w:rsidRPr="00AE2A79">
              <w:rPr>
                <w:rFonts w:cs="Open Sans"/>
                <w:color w:val="000000"/>
              </w:rPr>
              <w:t>Examines selected behavioural or policy channels that are not captured by the mechanical efficiency measures.</w:t>
            </w:r>
          </w:p>
        </w:tc>
      </w:tr>
      <w:tr w:rsidR="001648F4" w:rsidRPr="00AE2A79" w14:paraId="6B3E85C3" w14:textId="77777777" w:rsidTr="00276576">
        <w:tc>
          <w:tcPr>
            <w:tcW w:w="0" w:type="auto"/>
            <w:tcBorders>
              <w:bottom w:val="nil"/>
            </w:tcBorders>
            <w:shd w:val="clear" w:color="auto" w:fill="E6E6E6"/>
          </w:tcPr>
          <w:p w14:paraId="44CFDE11" w14:textId="07456B6C" w:rsidR="001648F4" w:rsidRPr="00AE2A79" w:rsidRDefault="008B7A2D" w:rsidP="00AE2A79">
            <w:pPr>
              <w:pStyle w:val="TableHeading"/>
              <w:spacing w:before="45" w:after="45"/>
              <w:rPr>
                <w:rStyle w:val="Strong"/>
                <w:rFonts w:cs="Open Sans"/>
                <w:b/>
                <w:color w:val="1D4374"/>
              </w:rPr>
            </w:pPr>
            <w:r w:rsidRPr="00AE2A79">
              <w:rPr>
                <w:rStyle w:val="Strong"/>
                <w:rFonts w:cs="Open Sans"/>
                <w:b/>
                <w:color w:val="1D4374"/>
              </w:rPr>
              <w:t>C.9</w:t>
            </w:r>
          </w:p>
        </w:tc>
        <w:tc>
          <w:tcPr>
            <w:tcW w:w="2009" w:type="dxa"/>
            <w:tcBorders>
              <w:bottom w:val="nil"/>
            </w:tcBorders>
            <w:shd w:val="clear" w:color="auto" w:fill="E6E6E6"/>
          </w:tcPr>
          <w:p w14:paraId="373D84F4" w14:textId="300E2F5F" w:rsidR="001648F4" w:rsidRPr="00AE2A79" w:rsidRDefault="001648F4" w:rsidP="00AE2A79">
            <w:pPr>
              <w:pStyle w:val="TableHeading"/>
              <w:spacing w:before="45" w:after="45"/>
              <w:rPr>
                <w:rFonts w:cs="Open Sans"/>
                <w:b w:val="0"/>
                <w:color w:val="000000"/>
              </w:rPr>
            </w:pPr>
            <w:r w:rsidRPr="00AE2A79">
              <w:rPr>
                <w:rStyle w:val="Strong"/>
                <w:rFonts w:cs="Open Sans"/>
                <w:color w:val="000000"/>
              </w:rPr>
              <w:t xml:space="preserve">Commodity price </w:t>
            </w:r>
            <w:r w:rsidR="00FF5F54">
              <w:rPr>
                <w:rStyle w:val="Strong"/>
                <w:rFonts w:cs="Open Sans"/>
                <w:color w:val="000000"/>
              </w:rPr>
              <w:t xml:space="preserve">hypotheticals </w:t>
            </w:r>
          </w:p>
        </w:tc>
        <w:tc>
          <w:tcPr>
            <w:tcW w:w="6803" w:type="dxa"/>
            <w:tcBorders>
              <w:bottom w:val="nil"/>
            </w:tcBorders>
            <w:shd w:val="clear" w:color="auto" w:fill="E6E6E6"/>
          </w:tcPr>
          <w:p w14:paraId="4E22672C" w14:textId="263B7FFE" w:rsidR="001648F4" w:rsidRPr="00AE2A79" w:rsidRDefault="001648F4" w:rsidP="00AE2A79">
            <w:pPr>
              <w:pStyle w:val="TableBody"/>
              <w:spacing w:before="45" w:after="45"/>
              <w:ind w:right="108"/>
              <w:rPr>
                <w:rFonts w:cs="Open Sans"/>
                <w:color w:val="000000"/>
              </w:rPr>
            </w:pPr>
            <w:r w:rsidRPr="00AE2A79">
              <w:rPr>
                <w:rFonts w:cs="Open Sans"/>
                <w:color w:val="000000"/>
              </w:rPr>
              <w:t>Develops alternative price and production scenarios for iron ore, metallurgical coal and thermal coal.</w:t>
            </w:r>
          </w:p>
        </w:tc>
      </w:tr>
      <w:tr w:rsidR="001648F4" w:rsidRPr="00AE2A79" w14:paraId="173F05A5" w14:textId="77777777" w:rsidTr="00276576">
        <w:tc>
          <w:tcPr>
            <w:tcW w:w="0" w:type="auto"/>
            <w:tcBorders>
              <w:top w:val="nil"/>
            </w:tcBorders>
          </w:tcPr>
          <w:p w14:paraId="076CAE80" w14:textId="15A895C2" w:rsidR="001648F4" w:rsidRPr="00AE2A79" w:rsidRDefault="008B7A2D" w:rsidP="00AE2A79">
            <w:pPr>
              <w:pStyle w:val="TableHeading"/>
              <w:spacing w:before="45" w:after="45"/>
              <w:rPr>
                <w:rStyle w:val="Strong"/>
                <w:rFonts w:cs="Open Sans"/>
                <w:b/>
                <w:color w:val="1D4374"/>
              </w:rPr>
            </w:pPr>
            <w:r w:rsidRPr="00AE2A79">
              <w:rPr>
                <w:rStyle w:val="Strong"/>
                <w:rFonts w:cs="Open Sans"/>
                <w:b/>
                <w:color w:val="1D4374"/>
              </w:rPr>
              <w:lastRenderedPageBreak/>
              <w:t>C.10</w:t>
            </w:r>
          </w:p>
        </w:tc>
        <w:tc>
          <w:tcPr>
            <w:tcW w:w="2009" w:type="dxa"/>
            <w:tcBorders>
              <w:top w:val="nil"/>
            </w:tcBorders>
          </w:tcPr>
          <w:p w14:paraId="785F6535" w14:textId="53A9FD14" w:rsidR="001648F4" w:rsidRPr="00AE2A79" w:rsidRDefault="001648F4" w:rsidP="00AE2A79">
            <w:pPr>
              <w:pStyle w:val="TableHeading"/>
              <w:spacing w:before="45" w:after="45"/>
              <w:rPr>
                <w:rFonts w:cs="Open Sans"/>
                <w:b w:val="0"/>
                <w:color w:val="000000"/>
              </w:rPr>
            </w:pPr>
            <w:proofErr w:type="spellStart"/>
            <w:r w:rsidRPr="00AE2A79">
              <w:rPr>
                <w:rStyle w:val="Strong"/>
                <w:rFonts w:cs="Open Sans"/>
                <w:color w:val="000000"/>
              </w:rPr>
              <w:t>NoWO</w:t>
            </w:r>
            <w:proofErr w:type="spellEnd"/>
            <w:r w:rsidRPr="00AE2A79">
              <w:rPr>
                <w:rStyle w:val="Strong"/>
                <w:rFonts w:cs="Open Sans"/>
                <w:color w:val="000000"/>
              </w:rPr>
              <w:t xml:space="preserve"> estimates under commodity scenarios</w:t>
            </w:r>
          </w:p>
        </w:tc>
        <w:tc>
          <w:tcPr>
            <w:tcW w:w="6803" w:type="dxa"/>
            <w:tcBorders>
              <w:top w:val="nil"/>
            </w:tcBorders>
          </w:tcPr>
          <w:p w14:paraId="7EBA8DEC" w14:textId="3B5EBEE2" w:rsidR="001648F4" w:rsidRPr="00AE2A79" w:rsidRDefault="001648F4" w:rsidP="00AE2A79">
            <w:pPr>
              <w:pStyle w:val="TableBody"/>
              <w:spacing w:before="45" w:after="45"/>
              <w:ind w:right="108"/>
              <w:rPr>
                <w:rFonts w:cs="Open Sans"/>
                <w:color w:val="000000"/>
              </w:rPr>
            </w:pPr>
            <w:r w:rsidRPr="00AE2A79">
              <w:rPr>
                <w:rFonts w:cs="Open Sans"/>
                <w:color w:val="000000"/>
              </w:rPr>
              <w:t xml:space="preserve">Feeds the commodity scenarios through the GST modelling to estimate their implications for GST distributions and </w:t>
            </w:r>
            <w:proofErr w:type="spellStart"/>
            <w:r w:rsidRPr="00AE2A79">
              <w:rPr>
                <w:rFonts w:cs="Open Sans"/>
                <w:color w:val="000000"/>
              </w:rPr>
              <w:t>NoWO</w:t>
            </w:r>
            <w:proofErr w:type="spellEnd"/>
            <w:r w:rsidRPr="00AE2A79">
              <w:rPr>
                <w:rFonts w:cs="Open Sans"/>
                <w:color w:val="000000"/>
              </w:rPr>
              <w:t xml:space="preserve"> payments.</w:t>
            </w:r>
          </w:p>
        </w:tc>
      </w:tr>
    </w:tbl>
    <w:p w14:paraId="0A3A678C" w14:textId="77777777" w:rsidR="00606D0A" w:rsidRDefault="00606D0A" w:rsidP="00126979">
      <w:pPr>
        <w:pStyle w:val="Heading3"/>
      </w:pPr>
      <w:r w:rsidRPr="003964B7">
        <w:t>Validation and quality assurance</w:t>
      </w:r>
    </w:p>
    <w:p w14:paraId="14C1712F" w14:textId="77777777" w:rsidR="007B7C28" w:rsidRPr="00EE2A2F" w:rsidRDefault="00276576" w:rsidP="00126979">
      <w:pPr>
        <w:pStyle w:val="Heading4"/>
        <w:rPr>
          <w:rStyle w:val="Heading4Char"/>
          <w:iCs/>
        </w:rPr>
      </w:pPr>
      <w:r w:rsidRPr="00EE2A2F">
        <w:rPr>
          <w:rStyle w:val="Heading4Char"/>
          <w:iCs/>
        </w:rPr>
        <w:t xml:space="preserve">External checks by the </w:t>
      </w:r>
      <w:r w:rsidR="00364CC4" w:rsidRPr="00EE2A2F">
        <w:rPr>
          <w:rStyle w:val="Heading4Char"/>
          <w:iCs/>
        </w:rPr>
        <w:t>Commonwealth Grants Commission (CGC)</w:t>
      </w:r>
    </w:p>
    <w:p w14:paraId="33C0E1FC" w14:textId="7E18B414" w:rsidR="00276576" w:rsidRPr="004F7DBA" w:rsidRDefault="00276576" w:rsidP="00606D0A">
      <w:pPr>
        <w:rPr>
          <w:rStyle w:val="BodyTextChar"/>
        </w:rPr>
      </w:pPr>
      <w:r w:rsidRPr="004F7DBA">
        <w:rPr>
          <w:rStyle w:val="BodyTextChar"/>
        </w:rPr>
        <w:t xml:space="preserve">The CGC fact-checked the </w:t>
      </w:r>
      <w:r w:rsidR="00364CC4" w:rsidRPr="004F7DBA">
        <w:rPr>
          <w:rStyle w:val="BodyTextChar"/>
        </w:rPr>
        <w:t>Productivity Commission’s</w:t>
      </w:r>
      <w:r w:rsidRPr="004F7DBA">
        <w:rPr>
          <w:rStyle w:val="BodyTextChar"/>
        </w:rPr>
        <w:t xml:space="preserve"> GST Model, efficiency framework measurements and reform cameos. The CGC did not check the PC’s interpretation of those outputs, as these interpretations are the PC’s responsibility.</w:t>
      </w:r>
    </w:p>
    <w:p w14:paraId="7DA31EBA" w14:textId="77777777" w:rsidR="00606D0A" w:rsidRPr="00EE2A2F" w:rsidRDefault="00606D0A" w:rsidP="00126979">
      <w:pPr>
        <w:pStyle w:val="Heading4"/>
        <w:rPr>
          <w:rStyle w:val="Heading4Char"/>
          <w:iCs/>
        </w:rPr>
      </w:pPr>
      <w:r w:rsidRPr="00EE2A2F">
        <w:rPr>
          <w:rStyle w:val="Heading4Char"/>
          <w:iCs/>
        </w:rPr>
        <w:t>PC quality assurance</w:t>
      </w:r>
    </w:p>
    <w:p w14:paraId="6140814D" w14:textId="7A2F756A" w:rsidR="00606D0A" w:rsidRPr="00F16E79" w:rsidRDefault="00606D0A" w:rsidP="004F7DBA">
      <w:pPr>
        <w:pStyle w:val="BodyText"/>
        <w:rPr>
          <w:kern w:val="2"/>
          <w:lang w:eastAsia="zh-CN" w:bidi="th-TH"/>
          <w14:ligatures w14:val="standardContextual"/>
        </w:rPr>
      </w:pPr>
      <w:r>
        <w:t>The PC undertook quality assurance of the figures and numerical outputs it produced.</w:t>
      </w:r>
    </w:p>
    <w:p w14:paraId="37141176" w14:textId="4FB35DFF" w:rsidR="00BF253A" w:rsidRDefault="00BF253A" w:rsidP="00B802E0">
      <w:pPr>
        <w:pStyle w:val="Heading2-Appendix"/>
      </w:pPr>
      <w:r>
        <w:t>Common modelling assumptions</w:t>
      </w:r>
    </w:p>
    <w:p w14:paraId="338B9343" w14:textId="781C7CDB" w:rsidR="00DC65EC" w:rsidRPr="00CD0873" w:rsidRDefault="00FC4F80" w:rsidP="004F7DBA">
      <w:pPr>
        <w:pStyle w:val="BodyText"/>
      </w:pPr>
      <w:r w:rsidRPr="00FC4F80">
        <w:t xml:space="preserve">This section sets out assumptions </w:t>
      </w:r>
      <w:r w:rsidR="00B83442">
        <w:t xml:space="preserve">common </w:t>
      </w:r>
      <w:r w:rsidRPr="00FC4F80">
        <w:t xml:space="preserve">across </w:t>
      </w:r>
      <w:r w:rsidR="00B83442">
        <w:t xml:space="preserve">all the </w:t>
      </w:r>
      <w:r w:rsidRPr="00FC4F80">
        <w:t xml:space="preserve">report’s modelling. Establishing these common elements supports comparisons across the </w:t>
      </w:r>
      <w:r w:rsidR="00F73A10">
        <w:t>alternative GST arrangements</w:t>
      </w:r>
      <w:r w:rsidR="00BA485C">
        <w:t xml:space="preserve"> using</w:t>
      </w:r>
      <w:r w:rsidRPr="00FC4F80">
        <w:t xml:space="preserve"> equity, efficiency, fiscal sustainability, certainty and commodity models</w:t>
      </w:r>
      <w:r w:rsidR="00492EE6">
        <w:t>.</w:t>
      </w:r>
      <w:r w:rsidRPr="00FC4F80">
        <w:t xml:space="preserve"> </w:t>
      </w:r>
      <w:r w:rsidR="00492EE6">
        <w:t>A</w:t>
      </w:r>
      <w:r w:rsidRPr="00FC4F80">
        <w:t>ny departures, extensions or model-specific inputs are identified in the relevant sections below.</w:t>
      </w:r>
    </w:p>
    <w:p w14:paraId="396C01C2" w14:textId="66A838A2" w:rsidR="00A9456D" w:rsidRDefault="00A9456D" w:rsidP="00A9456D">
      <w:pPr>
        <w:pStyle w:val="FigureTableHeading"/>
      </w:pPr>
      <w:r>
        <w:t>Table C.</w:t>
      </w:r>
      <w:fldSimple w:instr=" SEQ Table \* ARABIC \s 1 ">
        <w:r w:rsidR="002D76C4">
          <w:rPr>
            <w:noProof/>
          </w:rPr>
          <w:t>2</w:t>
        </w:r>
      </w:fldSimple>
      <w:r>
        <w:rPr>
          <w:noProof/>
        </w:rPr>
        <w:t xml:space="preserve"> – </w:t>
      </w:r>
      <w:r>
        <w:t>Assumptions common across all modelling</w:t>
      </w:r>
    </w:p>
    <w:tbl>
      <w:tblPr>
        <w:tblW w:w="0" w:type="auto"/>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3210"/>
        <w:gridCol w:w="6428"/>
      </w:tblGrid>
      <w:tr w:rsidR="00A9456D" w:rsidRPr="00E1770A" w14:paraId="4D2FD628" w14:textId="77777777" w:rsidTr="00A971BA">
        <w:trPr>
          <w:tblHeader/>
        </w:trPr>
        <w:tc>
          <w:tcPr>
            <w:tcW w:w="3210" w:type="dxa"/>
            <w:tcBorders>
              <w:bottom w:val="single" w:sz="4" w:space="0" w:color="B3B3B3"/>
            </w:tcBorders>
            <w:shd w:val="clear" w:color="000000" w:fill="auto"/>
            <w:vAlign w:val="bottom"/>
          </w:tcPr>
          <w:p w14:paraId="73FAF48A" w14:textId="4F8FDD0D" w:rsidR="00A9456D" w:rsidRPr="00A971BA" w:rsidRDefault="00A9456D" w:rsidP="00A971BA">
            <w:pPr>
              <w:spacing w:before="45" w:after="45"/>
              <w:ind w:left="57" w:right="108"/>
              <w:rPr>
                <w:rFonts w:cs="Open Sans"/>
                <w:b/>
                <w:color w:val="1D4374"/>
                <w:sz w:val="18"/>
              </w:rPr>
            </w:pPr>
            <w:r w:rsidRPr="00A971BA">
              <w:rPr>
                <w:rFonts w:cs="Open Sans"/>
                <w:b/>
                <w:color w:val="1D4374"/>
                <w:sz w:val="18"/>
              </w:rPr>
              <w:t>Assumption</w:t>
            </w:r>
          </w:p>
        </w:tc>
        <w:tc>
          <w:tcPr>
            <w:tcW w:w="6428" w:type="dxa"/>
            <w:tcBorders>
              <w:bottom w:val="single" w:sz="4" w:space="0" w:color="B3B3B3"/>
            </w:tcBorders>
            <w:shd w:val="clear" w:color="000000" w:fill="auto"/>
            <w:vAlign w:val="bottom"/>
          </w:tcPr>
          <w:p w14:paraId="7D8453D5" w14:textId="360CE2C6" w:rsidR="00A9456D" w:rsidRPr="00A971BA" w:rsidRDefault="00A9456D" w:rsidP="00A971BA">
            <w:pPr>
              <w:pStyle w:val="TableHeading"/>
              <w:spacing w:before="45" w:after="45"/>
              <w:rPr>
                <w:rFonts w:cs="Open Sans"/>
                <w:color w:val="1D4374"/>
              </w:rPr>
            </w:pPr>
            <w:r w:rsidRPr="00A971BA">
              <w:rPr>
                <w:rFonts w:cs="Open Sans"/>
                <w:color w:val="1D4374"/>
              </w:rPr>
              <w:t>Implication</w:t>
            </w:r>
          </w:p>
        </w:tc>
      </w:tr>
      <w:tr w:rsidR="00A9456D" w:rsidRPr="00E1770A" w14:paraId="2BF91003" w14:textId="77777777" w:rsidTr="00A971BA">
        <w:tc>
          <w:tcPr>
            <w:tcW w:w="3210" w:type="dxa"/>
            <w:tcBorders>
              <w:top w:val="single" w:sz="4" w:space="0" w:color="B3B3B3"/>
              <w:bottom w:val="nil"/>
            </w:tcBorders>
            <w:shd w:val="clear" w:color="000000" w:fill="E6E6E6"/>
          </w:tcPr>
          <w:p w14:paraId="3F379519" w14:textId="70DB3A98" w:rsidR="00A9456D" w:rsidRPr="00863293" w:rsidRDefault="00A9456D" w:rsidP="00A971BA">
            <w:pPr>
              <w:pStyle w:val="TableHeading"/>
              <w:spacing w:before="45" w:after="45"/>
              <w:rPr>
                <w:rFonts w:cs="Open Sans"/>
                <w:b w:val="0"/>
                <w:color w:val="auto"/>
              </w:rPr>
            </w:pPr>
            <w:r w:rsidRPr="00863293">
              <w:rPr>
                <w:rFonts w:cs="Open Sans"/>
                <w:b w:val="0"/>
                <w:color w:val="auto"/>
              </w:rPr>
              <w:t>Modelling is comparative, not predictive.</w:t>
            </w:r>
          </w:p>
        </w:tc>
        <w:tc>
          <w:tcPr>
            <w:tcW w:w="6428" w:type="dxa"/>
            <w:tcBorders>
              <w:top w:val="single" w:sz="4" w:space="0" w:color="B3B3B3"/>
              <w:bottom w:val="nil"/>
            </w:tcBorders>
            <w:shd w:val="clear" w:color="000000" w:fill="E6E6E6"/>
          </w:tcPr>
          <w:p w14:paraId="525FAE62" w14:textId="0B9ED920" w:rsidR="00A9456D" w:rsidRPr="00A971BA" w:rsidRDefault="00A9456D" w:rsidP="00A971BA">
            <w:pPr>
              <w:pStyle w:val="TableBody"/>
              <w:spacing w:before="45" w:after="45"/>
              <w:ind w:right="108"/>
              <w:rPr>
                <w:rFonts w:cs="Open Sans"/>
                <w:color w:val="000000"/>
              </w:rPr>
            </w:pPr>
            <w:r w:rsidRPr="00A971BA">
              <w:rPr>
                <w:rFonts w:cs="Open Sans"/>
                <w:color w:val="000000"/>
              </w:rPr>
              <w:t>Results compare arrangements or scenarios consistently and should not be interpreted as forecasts of actual policy, fiscal, commodity-market or behavioural outcomes.</w:t>
            </w:r>
          </w:p>
        </w:tc>
      </w:tr>
      <w:tr w:rsidR="00A9456D" w:rsidRPr="00E1770A" w14:paraId="1B5C5882" w14:textId="77777777" w:rsidTr="00A971BA">
        <w:tc>
          <w:tcPr>
            <w:tcW w:w="3210" w:type="dxa"/>
            <w:tcBorders>
              <w:top w:val="nil"/>
              <w:bottom w:val="nil"/>
            </w:tcBorders>
            <w:shd w:val="clear" w:color="000000" w:fill="auto"/>
          </w:tcPr>
          <w:p w14:paraId="0CE7FDFD" w14:textId="5607D892" w:rsidR="00A9456D" w:rsidRPr="00863293" w:rsidRDefault="005C4DF4" w:rsidP="00A971BA">
            <w:pPr>
              <w:pStyle w:val="TableHeading"/>
              <w:spacing w:before="45" w:after="45"/>
              <w:rPr>
                <w:rFonts w:cs="Open Sans"/>
                <w:b w:val="0"/>
                <w:color w:val="auto"/>
              </w:rPr>
            </w:pPr>
            <w:r w:rsidRPr="00863293">
              <w:rPr>
                <w:rFonts w:cs="Open Sans"/>
                <w:b w:val="0"/>
                <w:color w:val="auto"/>
              </w:rPr>
              <w:t>F</w:t>
            </w:r>
            <w:r w:rsidR="00A9456D" w:rsidRPr="00863293">
              <w:rPr>
                <w:rFonts w:cs="Open Sans"/>
                <w:b w:val="0"/>
                <w:color w:val="auto"/>
              </w:rPr>
              <w:t>actors are held constant unless explicitly varied.</w:t>
            </w:r>
          </w:p>
        </w:tc>
        <w:tc>
          <w:tcPr>
            <w:tcW w:w="6428" w:type="dxa"/>
            <w:tcBorders>
              <w:top w:val="nil"/>
              <w:bottom w:val="nil"/>
            </w:tcBorders>
            <w:shd w:val="clear" w:color="000000" w:fill="auto"/>
          </w:tcPr>
          <w:p w14:paraId="3B077D8C" w14:textId="152E011B" w:rsidR="00A9456D" w:rsidRPr="00A971BA" w:rsidRDefault="00A9456D" w:rsidP="00A971BA">
            <w:pPr>
              <w:pStyle w:val="TableBody"/>
              <w:spacing w:before="45" w:after="45"/>
              <w:ind w:right="108"/>
              <w:rPr>
                <w:rFonts w:cs="Open Sans"/>
                <w:color w:val="000000"/>
              </w:rPr>
            </w:pPr>
            <w:r w:rsidRPr="00A971BA">
              <w:rPr>
                <w:rFonts w:cs="Open Sans"/>
                <w:color w:val="000000"/>
              </w:rPr>
              <w:t>State policies, budget settings, populations, revenue and expenditure bases, and other inputs remain unchanged unless the model specifies otherwise.</w:t>
            </w:r>
          </w:p>
        </w:tc>
      </w:tr>
      <w:tr w:rsidR="00A9456D" w:rsidRPr="00E1770A" w14:paraId="069E05B1" w14:textId="77777777" w:rsidTr="00A971BA">
        <w:tc>
          <w:tcPr>
            <w:tcW w:w="3210" w:type="dxa"/>
            <w:tcBorders>
              <w:bottom w:val="nil"/>
            </w:tcBorders>
            <w:shd w:val="clear" w:color="000000" w:fill="E6E6E6"/>
          </w:tcPr>
          <w:p w14:paraId="40BC3B9C" w14:textId="45D59200" w:rsidR="00A9456D" w:rsidRPr="00863293" w:rsidRDefault="00A9456D" w:rsidP="00A971BA">
            <w:pPr>
              <w:pStyle w:val="TableHeading"/>
              <w:spacing w:before="45" w:after="45"/>
              <w:rPr>
                <w:rFonts w:cs="Open Sans"/>
                <w:b w:val="0"/>
                <w:color w:val="auto"/>
              </w:rPr>
            </w:pPr>
            <w:r w:rsidRPr="00863293">
              <w:rPr>
                <w:rFonts w:cs="Open Sans"/>
                <w:b w:val="0"/>
                <w:color w:val="auto"/>
              </w:rPr>
              <w:t>The modelling generally captures mechanical, first-round effects.</w:t>
            </w:r>
          </w:p>
        </w:tc>
        <w:tc>
          <w:tcPr>
            <w:tcW w:w="6428" w:type="dxa"/>
            <w:tcBorders>
              <w:bottom w:val="nil"/>
            </w:tcBorders>
            <w:shd w:val="clear" w:color="000000" w:fill="E6E6E6"/>
          </w:tcPr>
          <w:p w14:paraId="104794FC" w14:textId="01746E51" w:rsidR="00A9456D" w:rsidRPr="00A971BA" w:rsidRDefault="00A9456D" w:rsidP="00A971BA">
            <w:pPr>
              <w:pStyle w:val="TableBody"/>
              <w:spacing w:before="45" w:after="45"/>
              <w:ind w:right="108"/>
              <w:rPr>
                <w:rFonts w:cs="Open Sans"/>
                <w:color w:val="000000"/>
              </w:rPr>
            </w:pPr>
            <w:r w:rsidRPr="00A971BA">
              <w:rPr>
                <w:rFonts w:cs="Open Sans"/>
                <w:color w:val="000000"/>
              </w:rPr>
              <w:t>Broader economic, behavioural, policy and institutional responses are excluded unless explicitly modelled</w:t>
            </w:r>
            <w:r w:rsidR="00AB7CF3">
              <w:rPr>
                <w:rFonts w:cs="Open Sans"/>
                <w:color w:val="000000"/>
              </w:rPr>
              <w:t xml:space="preserve"> (</w:t>
            </w:r>
            <w:r w:rsidR="002A4FF2">
              <w:rPr>
                <w:rFonts w:cs="Open Sans"/>
                <w:color w:val="000000"/>
              </w:rPr>
              <w:t>section </w:t>
            </w:r>
            <w:r w:rsidR="000D78E2">
              <w:rPr>
                <w:rFonts w:cs="Open Sans"/>
                <w:color w:val="000000"/>
              </w:rPr>
              <w:t>C</w:t>
            </w:r>
            <w:r w:rsidR="002A4FF2">
              <w:rPr>
                <w:rFonts w:cs="Open Sans"/>
                <w:color w:val="000000"/>
              </w:rPr>
              <w:t>.</w:t>
            </w:r>
            <w:r w:rsidR="000D78E2">
              <w:rPr>
                <w:rFonts w:cs="Open Sans"/>
                <w:color w:val="000000"/>
              </w:rPr>
              <w:t>8</w:t>
            </w:r>
            <w:r w:rsidR="00125871">
              <w:rPr>
                <w:rFonts w:cs="Open Sans"/>
                <w:color w:val="000000"/>
              </w:rPr>
              <w:t>)</w:t>
            </w:r>
          </w:p>
        </w:tc>
      </w:tr>
      <w:tr w:rsidR="00A9456D" w:rsidRPr="00E1770A" w14:paraId="4D72F8DC" w14:textId="77777777" w:rsidTr="00A971BA">
        <w:tc>
          <w:tcPr>
            <w:tcW w:w="3210" w:type="dxa"/>
            <w:tcBorders>
              <w:top w:val="nil"/>
              <w:bottom w:val="nil"/>
            </w:tcBorders>
            <w:shd w:val="clear" w:color="000000" w:fill="auto"/>
          </w:tcPr>
          <w:p w14:paraId="5B77F3AA" w14:textId="6BC7ED39" w:rsidR="00A9456D" w:rsidRPr="00863293" w:rsidRDefault="00A9456D" w:rsidP="00A971BA">
            <w:pPr>
              <w:pStyle w:val="TableHeading"/>
              <w:spacing w:before="45" w:after="45"/>
              <w:rPr>
                <w:rFonts w:cs="Open Sans"/>
                <w:b w:val="0"/>
                <w:color w:val="auto"/>
              </w:rPr>
            </w:pPr>
            <w:r w:rsidRPr="00863293">
              <w:rPr>
                <w:rFonts w:cs="Open Sans"/>
                <w:b w:val="0"/>
                <w:color w:val="auto"/>
              </w:rPr>
              <w:t>Scenarios are assessed independently</w:t>
            </w:r>
            <w:r w:rsidR="008B79EF" w:rsidRPr="00863293">
              <w:rPr>
                <w:rFonts w:cs="Open Sans"/>
                <w:b w:val="0"/>
                <w:color w:val="auto"/>
              </w:rPr>
              <w:t>.</w:t>
            </w:r>
          </w:p>
        </w:tc>
        <w:tc>
          <w:tcPr>
            <w:tcW w:w="6428" w:type="dxa"/>
            <w:tcBorders>
              <w:top w:val="nil"/>
              <w:bottom w:val="nil"/>
            </w:tcBorders>
            <w:shd w:val="clear" w:color="000000" w:fill="auto"/>
          </w:tcPr>
          <w:p w14:paraId="23CBB56C" w14:textId="6357BA30" w:rsidR="00A9456D" w:rsidRPr="00A971BA" w:rsidRDefault="00A9456D" w:rsidP="00A971BA">
            <w:pPr>
              <w:pStyle w:val="TableBody"/>
              <w:spacing w:before="45" w:after="45"/>
              <w:ind w:right="108"/>
              <w:rPr>
                <w:rFonts w:cs="Open Sans"/>
                <w:color w:val="000000"/>
              </w:rPr>
            </w:pPr>
            <w:r w:rsidRPr="00A971BA">
              <w:rPr>
                <w:rFonts w:cs="Open Sans"/>
                <w:color w:val="000000"/>
              </w:rPr>
              <w:t>Interactions between simultaneous policy changes or shocks are generally not captured.</w:t>
            </w:r>
          </w:p>
        </w:tc>
      </w:tr>
      <w:tr w:rsidR="00A9456D" w:rsidRPr="00E1770A" w14:paraId="794089BB" w14:textId="77777777" w:rsidTr="00A971BA">
        <w:tc>
          <w:tcPr>
            <w:tcW w:w="3210" w:type="dxa"/>
            <w:tcBorders>
              <w:bottom w:val="nil"/>
            </w:tcBorders>
            <w:shd w:val="clear" w:color="000000" w:fill="E6E6E6"/>
          </w:tcPr>
          <w:p w14:paraId="74D3287B" w14:textId="378EBD0C" w:rsidR="00A9456D" w:rsidRPr="00863293" w:rsidRDefault="00A9456D" w:rsidP="00A971BA">
            <w:pPr>
              <w:pStyle w:val="TableHeading"/>
              <w:spacing w:before="45" w:after="45"/>
              <w:rPr>
                <w:rFonts w:cs="Open Sans"/>
                <w:b w:val="0"/>
                <w:color w:val="auto"/>
              </w:rPr>
            </w:pPr>
            <w:r w:rsidRPr="00863293">
              <w:rPr>
                <w:rFonts w:cs="Open Sans"/>
                <w:b w:val="0"/>
                <w:color w:val="auto"/>
              </w:rPr>
              <w:t>Observed and assessed data provide the baseline.</w:t>
            </w:r>
          </w:p>
        </w:tc>
        <w:tc>
          <w:tcPr>
            <w:tcW w:w="6428" w:type="dxa"/>
            <w:tcBorders>
              <w:bottom w:val="nil"/>
            </w:tcBorders>
            <w:shd w:val="clear" w:color="000000" w:fill="E6E6E6"/>
          </w:tcPr>
          <w:p w14:paraId="63C4F0ED" w14:textId="19EDFB89" w:rsidR="00A9456D" w:rsidRPr="00A971BA" w:rsidRDefault="00A9456D" w:rsidP="00A971BA">
            <w:pPr>
              <w:pStyle w:val="TableBody"/>
              <w:spacing w:before="45" w:after="45"/>
              <w:ind w:right="108"/>
              <w:rPr>
                <w:rFonts w:cs="Open Sans"/>
                <w:color w:val="000000"/>
              </w:rPr>
            </w:pPr>
            <w:r w:rsidRPr="00A971BA">
              <w:rPr>
                <w:rFonts w:cs="Open Sans"/>
                <w:color w:val="000000"/>
              </w:rPr>
              <w:t xml:space="preserve">Alternative arrangements are generally applied retrospectively to historical CGC, </w:t>
            </w:r>
            <w:r w:rsidR="00023ADE">
              <w:rPr>
                <w:rFonts w:cs="Open Sans"/>
                <w:color w:val="000000"/>
              </w:rPr>
              <w:t>Australian Bureau of Statistics</w:t>
            </w:r>
            <w:r w:rsidRPr="00A971BA">
              <w:rPr>
                <w:rFonts w:cs="Open Sans"/>
                <w:color w:val="000000"/>
              </w:rPr>
              <w:t xml:space="preserve"> and government data rather than to forecast data.</w:t>
            </w:r>
          </w:p>
        </w:tc>
      </w:tr>
      <w:tr w:rsidR="00A9456D" w:rsidRPr="00E1770A" w14:paraId="1AB55F87" w14:textId="77777777" w:rsidTr="00A971BA">
        <w:tc>
          <w:tcPr>
            <w:tcW w:w="3210" w:type="dxa"/>
            <w:tcBorders>
              <w:top w:val="nil"/>
              <w:bottom w:val="nil"/>
            </w:tcBorders>
            <w:shd w:val="clear" w:color="000000" w:fill="auto"/>
          </w:tcPr>
          <w:p w14:paraId="741E737A" w14:textId="1E83D643" w:rsidR="00A9456D" w:rsidRPr="00863293" w:rsidRDefault="00A9456D" w:rsidP="00A971BA">
            <w:pPr>
              <w:pStyle w:val="TableHeading"/>
              <w:spacing w:before="45" w:after="45"/>
              <w:rPr>
                <w:rFonts w:cs="Open Sans"/>
                <w:b w:val="0"/>
                <w:color w:val="auto"/>
              </w:rPr>
            </w:pPr>
            <w:r w:rsidRPr="00863293">
              <w:rPr>
                <w:rFonts w:cs="Open Sans"/>
                <w:b w:val="0"/>
                <w:color w:val="auto"/>
              </w:rPr>
              <w:t>CGC concepts and conventions are retained unless explicitly modified.</w:t>
            </w:r>
          </w:p>
        </w:tc>
        <w:tc>
          <w:tcPr>
            <w:tcW w:w="6428" w:type="dxa"/>
            <w:tcBorders>
              <w:top w:val="nil"/>
              <w:bottom w:val="nil"/>
            </w:tcBorders>
            <w:shd w:val="clear" w:color="000000" w:fill="auto"/>
          </w:tcPr>
          <w:p w14:paraId="4F40F7EB" w14:textId="42BF9C09" w:rsidR="00A9456D" w:rsidRPr="00A971BA" w:rsidRDefault="00A9456D" w:rsidP="00A971BA">
            <w:pPr>
              <w:pStyle w:val="TableBody"/>
              <w:spacing w:before="45" w:after="45"/>
              <w:ind w:right="108"/>
              <w:rPr>
                <w:rFonts w:cs="Open Sans"/>
                <w:color w:val="000000"/>
              </w:rPr>
            </w:pPr>
            <w:r w:rsidRPr="00A971BA">
              <w:rPr>
                <w:rFonts w:cs="Open Sans"/>
                <w:color w:val="000000"/>
              </w:rPr>
              <w:t>GST need, assessed revenue and expenditure, relativities, assessment and application years, and three-year averaging generally follow CGC methodology</w:t>
            </w:r>
            <w:r w:rsidR="00AB5234">
              <w:rPr>
                <w:rFonts w:cs="Open Sans"/>
                <w:color w:val="000000"/>
              </w:rPr>
              <w:t>.</w:t>
            </w:r>
          </w:p>
        </w:tc>
      </w:tr>
      <w:tr w:rsidR="00A9456D" w:rsidRPr="00E1770A" w14:paraId="09A11B77" w14:textId="77777777" w:rsidTr="00A971BA">
        <w:tc>
          <w:tcPr>
            <w:tcW w:w="3210" w:type="dxa"/>
            <w:tcBorders>
              <w:bottom w:val="nil"/>
            </w:tcBorders>
            <w:shd w:val="clear" w:color="000000" w:fill="E6E6E6"/>
          </w:tcPr>
          <w:p w14:paraId="2BDFFBAE" w14:textId="4BD1DAFD" w:rsidR="00A9456D" w:rsidRPr="00863293" w:rsidRDefault="00A9456D" w:rsidP="00A971BA">
            <w:pPr>
              <w:pStyle w:val="TableHeading"/>
              <w:spacing w:before="45" w:after="45"/>
              <w:rPr>
                <w:rFonts w:cs="Open Sans"/>
                <w:b w:val="0"/>
                <w:color w:val="auto"/>
              </w:rPr>
            </w:pPr>
            <w:r w:rsidRPr="00863293">
              <w:rPr>
                <w:rFonts w:cs="Open Sans"/>
                <w:b w:val="0"/>
                <w:color w:val="auto"/>
              </w:rPr>
              <w:t>Population is the standard scaling and weighting basis.</w:t>
            </w:r>
          </w:p>
        </w:tc>
        <w:tc>
          <w:tcPr>
            <w:tcW w:w="6428" w:type="dxa"/>
            <w:tcBorders>
              <w:bottom w:val="nil"/>
            </w:tcBorders>
            <w:shd w:val="clear" w:color="000000" w:fill="E6E6E6"/>
          </w:tcPr>
          <w:p w14:paraId="4AC7069F" w14:textId="4CCAEDF5" w:rsidR="00A9456D" w:rsidRPr="00A971BA" w:rsidRDefault="00A9456D" w:rsidP="00A971BA">
            <w:pPr>
              <w:pStyle w:val="TableBody"/>
              <w:spacing w:before="45" w:after="45"/>
              <w:ind w:right="108"/>
              <w:rPr>
                <w:rFonts w:cs="Open Sans"/>
                <w:color w:val="000000"/>
              </w:rPr>
            </w:pPr>
            <w:r w:rsidRPr="00A971BA">
              <w:rPr>
                <w:rFonts w:cs="Open Sans"/>
                <w:color w:val="000000"/>
              </w:rPr>
              <w:t>Fiscal variables are commonly expressed per capita, and national benchmarks are generally population weighted.</w:t>
            </w:r>
          </w:p>
        </w:tc>
      </w:tr>
      <w:tr w:rsidR="00A9456D" w:rsidRPr="00E1770A" w14:paraId="6DEED765" w14:textId="77777777" w:rsidTr="00E1770A">
        <w:tc>
          <w:tcPr>
            <w:tcW w:w="3210" w:type="dxa"/>
            <w:tcBorders>
              <w:top w:val="nil"/>
              <w:bottom w:val="nil"/>
            </w:tcBorders>
            <w:shd w:val="clear" w:color="000000" w:fill="auto"/>
          </w:tcPr>
          <w:p w14:paraId="16DA5A65" w14:textId="1C617344" w:rsidR="00A9456D" w:rsidRPr="00863293" w:rsidRDefault="00A9456D" w:rsidP="00A971BA">
            <w:pPr>
              <w:pStyle w:val="TableHeading"/>
              <w:spacing w:before="45" w:after="45"/>
              <w:rPr>
                <w:rFonts w:cs="Open Sans"/>
                <w:b w:val="0"/>
                <w:color w:val="auto"/>
              </w:rPr>
            </w:pPr>
            <w:r w:rsidRPr="00863293">
              <w:rPr>
                <w:rFonts w:cs="Open Sans"/>
                <w:b w:val="0"/>
                <w:color w:val="auto"/>
              </w:rPr>
              <w:lastRenderedPageBreak/>
              <w:t>The GST pool is fixed within each model-year unless a top-up or boost is specified.</w:t>
            </w:r>
          </w:p>
        </w:tc>
        <w:tc>
          <w:tcPr>
            <w:tcW w:w="6428" w:type="dxa"/>
            <w:tcBorders>
              <w:top w:val="nil"/>
              <w:bottom w:val="nil"/>
            </w:tcBorders>
            <w:shd w:val="clear" w:color="000000" w:fill="auto"/>
          </w:tcPr>
          <w:p w14:paraId="51CA82D9" w14:textId="2FB8397B" w:rsidR="00A9456D" w:rsidRPr="00A971BA" w:rsidRDefault="00A9456D" w:rsidP="00A971BA">
            <w:pPr>
              <w:pStyle w:val="TableBody"/>
              <w:spacing w:before="45" w:after="45"/>
              <w:ind w:right="108"/>
              <w:rPr>
                <w:rFonts w:cs="Open Sans"/>
                <w:color w:val="000000"/>
              </w:rPr>
            </w:pPr>
            <w:r w:rsidRPr="00A971BA">
              <w:rPr>
                <w:rFonts w:cs="Open Sans"/>
                <w:color w:val="000000"/>
              </w:rPr>
              <w:t xml:space="preserve">The total pool changes only where </w:t>
            </w:r>
            <w:r w:rsidR="00FF7175">
              <w:rPr>
                <w:rFonts w:cs="Open Sans"/>
                <w:color w:val="000000"/>
              </w:rPr>
              <w:t xml:space="preserve">an </w:t>
            </w:r>
            <w:r w:rsidRPr="00A971BA">
              <w:rPr>
                <w:rFonts w:cs="Open Sans"/>
                <w:color w:val="000000"/>
              </w:rPr>
              <w:t>explicitly modelled addition applies.</w:t>
            </w:r>
          </w:p>
        </w:tc>
      </w:tr>
      <w:tr w:rsidR="00A9456D" w:rsidRPr="00E1770A" w14:paraId="4906BE31" w14:textId="77777777" w:rsidTr="00E1770A">
        <w:tc>
          <w:tcPr>
            <w:tcW w:w="3210" w:type="dxa"/>
            <w:tcBorders>
              <w:bottom w:val="nil"/>
            </w:tcBorders>
            <w:shd w:val="clear" w:color="000000" w:fill="E6E6E6"/>
          </w:tcPr>
          <w:p w14:paraId="051C433E" w14:textId="60AF497C" w:rsidR="00A9456D" w:rsidRPr="00863293" w:rsidRDefault="00A9456D" w:rsidP="00A971BA">
            <w:pPr>
              <w:pStyle w:val="TableHeading"/>
              <w:spacing w:before="45" w:after="45"/>
              <w:rPr>
                <w:rFonts w:cs="Open Sans"/>
                <w:b w:val="0"/>
                <w:color w:val="auto"/>
              </w:rPr>
            </w:pPr>
            <w:r w:rsidRPr="00863293">
              <w:rPr>
                <w:rFonts w:cs="Open Sans"/>
                <w:b w:val="0"/>
                <w:color w:val="auto"/>
              </w:rPr>
              <w:t>Redistribution within a fixed pool is zero-sum.</w:t>
            </w:r>
          </w:p>
        </w:tc>
        <w:tc>
          <w:tcPr>
            <w:tcW w:w="6428" w:type="dxa"/>
            <w:tcBorders>
              <w:bottom w:val="nil"/>
            </w:tcBorders>
            <w:shd w:val="clear" w:color="000000" w:fill="E6E6E6"/>
          </w:tcPr>
          <w:p w14:paraId="284C627D" w14:textId="093FFA6C" w:rsidR="00A9456D" w:rsidRPr="00E1770A" w:rsidRDefault="00A9456D" w:rsidP="00CE3536">
            <w:pPr>
              <w:pStyle w:val="TableHeading"/>
              <w:spacing w:before="45" w:after="45"/>
              <w:rPr>
                <w:rFonts w:cs="Open Sans"/>
                <w:b w:val="0"/>
                <w:color w:val="000000"/>
              </w:rPr>
            </w:pPr>
            <w:r w:rsidRPr="00E1770A">
              <w:rPr>
                <w:rFonts w:cs="Open Sans"/>
                <w:b w:val="0"/>
                <w:color w:val="000000"/>
              </w:rPr>
              <w:t>A higher GST allocation to one state reduces the amount available to other states.</w:t>
            </w:r>
            <w:r w:rsidR="00BF107C" w:rsidRPr="00E1770A">
              <w:rPr>
                <w:rFonts w:cs="Open Sans"/>
                <w:b w:val="0"/>
                <w:color w:val="000000"/>
              </w:rPr>
              <w:t xml:space="preserve"> </w:t>
            </w:r>
          </w:p>
        </w:tc>
      </w:tr>
      <w:tr w:rsidR="00A9456D" w:rsidRPr="00E1770A" w14:paraId="4AFAA2E7" w14:textId="77777777" w:rsidTr="00E1770A">
        <w:tc>
          <w:tcPr>
            <w:tcW w:w="3210" w:type="dxa"/>
            <w:tcBorders>
              <w:top w:val="nil"/>
              <w:bottom w:val="nil"/>
            </w:tcBorders>
            <w:shd w:val="clear" w:color="000000" w:fill="auto"/>
          </w:tcPr>
          <w:p w14:paraId="60BE9CD0" w14:textId="6A0E5627" w:rsidR="00A9456D" w:rsidRPr="00863293" w:rsidRDefault="00A9456D" w:rsidP="00A971BA">
            <w:pPr>
              <w:pStyle w:val="TableHeading"/>
              <w:spacing w:before="45" w:after="45"/>
              <w:rPr>
                <w:rFonts w:cs="Open Sans"/>
                <w:b w:val="0"/>
                <w:color w:val="auto"/>
              </w:rPr>
            </w:pPr>
            <w:proofErr w:type="spellStart"/>
            <w:r w:rsidRPr="00863293">
              <w:rPr>
                <w:rFonts w:cs="Open Sans"/>
                <w:b w:val="0"/>
                <w:color w:val="auto"/>
              </w:rPr>
              <w:t>NoWO</w:t>
            </w:r>
            <w:proofErr w:type="spellEnd"/>
            <w:r w:rsidRPr="00863293">
              <w:rPr>
                <w:rFonts w:cs="Open Sans"/>
                <w:b w:val="0"/>
                <w:color w:val="auto"/>
              </w:rPr>
              <w:t xml:space="preserve"> payments are treated separately from the GST pool.</w:t>
            </w:r>
          </w:p>
        </w:tc>
        <w:tc>
          <w:tcPr>
            <w:tcW w:w="6428" w:type="dxa"/>
            <w:tcBorders>
              <w:top w:val="nil"/>
              <w:bottom w:val="nil"/>
            </w:tcBorders>
            <w:shd w:val="clear" w:color="000000" w:fill="auto"/>
          </w:tcPr>
          <w:p w14:paraId="0B92B35A" w14:textId="1B03327A" w:rsidR="00A9456D" w:rsidRPr="00A971BA" w:rsidRDefault="00A9456D" w:rsidP="00A971BA">
            <w:pPr>
              <w:pStyle w:val="TableBody"/>
              <w:spacing w:before="45" w:after="45"/>
              <w:ind w:right="108"/>
              <w:rPr>
                <w:rFonts w:cs="Open Sans"/>
                <w:color w:val="000000"/>
              </w:rPr>
            </w:pPr>
            <w:r w:rsidRPr="00A971BA">
              <w:rPr>
                <w:rFonts w:cs="Open Sans"/>
                <w:color w:val="000000"/>
              </w:rPr>
              <w:t xml:space="preserve">Where included, </w:t>
            </w:r>
            <w:proofErr w:type="spellStart"/>
            <w:r w:rsidRPr="00A971BA">
              <w:rPr>
                <w:rFonts w:cs="Open Sans"/>
                <w:color w:val="000000"/>
              </w:rPr>
              <w:t>NoWO</w:t>
            </w:r>
            <w:proofErr w:type="spellEnd"/>
            <w:r w:rsidRPr="00A971BA">
              <w:rPr>
                <w:rFonts w:cs="Open Sans"/>
                <w:color w:val="000000"/>
              </w:rPr>
              <w:t xml:space="preserve"> </w:t>
            </w:r>
            <w:r w:rsidR="0027398F">
              <w:rPr>
                <w:rFonts w:cs="Open Sans"/>
                <w:color w:val="000000"/>
              </w:rPr>
              <w:t xml:space="preserve">payments </w:t>
            </w:r>
            <w:r w:rsidRPr="00A971BA">
              <w:rPr>
                <w:rFonts w:cs="Open Sans"/>
                <w:color w:val="000000"/>
              </w:rPr>
              <w:t xml:space="preserve">cover a modelled shortfall relative to the specified pre-2018 benchmark </w:t>
            </w:r>
            <w:r w:rsidR="00EE6C26">
              <w:rPr>
                <w:rFonts w:cs="Open Sans"/>
                <w:color w:val="000000"/>
              </w:rPr>
              <w:t xml:space="preserve">with the cost </w:t>
            </w:r>
            <w:r w:rsidRPr="00A971BA">
              <w:rPr>
                <w:rFonts w:cs="Open Sans"/>
                <w:color w:val="000000"/>
              </w:rPr>
              <w:t>attributed to the Australian Government.</w:t>
            </w:r>
          </w:p>
        </w:tc>
      </w:tr>
      <w:tr w:rsidR="00A9456D" w:rsidRPr="00E1770A" w14:paraId="35E16E7D" w14:textId="77777777" w:rsidTr="00E1770A">
        <w:tc>
          <w:tcPr>
            <w:tcW w:w="3210" w:type="dxa"/>
            <w:tcBorders>
              <w:bottom w:val="nil"/>
            </w:tcBorders>
            <w:shd w:val="clear" w:color="000000" w:fill="E6E6E6"/>
          </w:tcPr>
          <w:p w14:paraId="1A3994F3" w14:textId="3D1741FC" w:rsidR="00A9456D" w:rsidRPr="00863293" w:rsidRDefault="00A9456D" w:rsidP="00A971BA">
            <w:pPr>
              <w:pStyle w:val="TableHeading"/>
              <w:spacing w:before="45" w:after="45"/>
              <w:rPr>
                <w:rFonts w:cs="Open Sans"/>
                <w:b w:val="0"/>
                <w:color w:val="auto"/>
              </w:rPr>
            </w:pPr>
            <w:r w:rsidRPr="00863293">
              <w:rPr>
                <w:rFonts w:cs="Open Sans"/>
                <w:b w:val="0"/>
                <w:color w:val="auto"/>
              </w:rPr>
              <w:t>Monetary values use consistent price, year and unit conventions.</w:t>
            </w:r>
          </w:p>
        </w:tc>
        <w:tc>
          <w:tcPr>
            <w:tcW w:w="6428" w:type="dxa"/>
            <w:tcBorders>
              <w:bottom w:val="nil"/>
            </w:tcBorders>
            <w:shd w:val="clear" w:color="000000" w:fill="E6E6E6"/>
          </w:tcPr>
          <w:p w14:paraId="2E13E055" w14:textId="404B2DF3" w:rsidR="00A9456D" w:rsidRPr="00E1770A" w:rsidRDefault="00A9456D" w:rsidP="00A971BA">
            <w:pPr>
              <w:pStyle w:val="TableBody"/>
              <w:spacing w:before="45" w:after="45"/>
              <w:ind w:right="108"/>
              <w:rPr>
                <w:rFonts w:cs="Open Sans"/>
                <w:color w:val="000000"/>
              </w:rPr>
            </w:pPr>
            <w:r w:rsidRPr="00E1770A">
              <w:rPr>
                <w:rFonts w:cs="Open Sans"/>
                <w:color w:val="000000"/>
              </w:rPr>
              <w:t>Amounts are compared on a common basis, with deflation or conversion applied consistently where required.</w:t>
            </w:r>
          </w:p>
        </w:tc>
      </w:tr>
      <w:tr w:rsidR="00A9456D" w:rsidRPr="00E1770A" w14:paraId="48ADC0D8" w14:textId="77777777" w:rsidTr="00E1770A">
        <w:tc>
          <w:tcPr>
            <w:tcW w:w="3210" w:type="dxa"/>
            <w:tcBorders>
              <w:top w:val="nil"/>
              <w:bottom w:val="nil"/>
            </w:tcBorders>
            <w:shd w:val="clear" w:color="000000" w:fill="auto"/>
          </w:tcPr>
          <w:p w14:paraId="4181321F" w14:textId="1F2E8F1B" w:rsidR="00A9456D" w:rsidRPr="00863293" w:rsidRDefault="00A9456D" w:rsidP="00A971BA">
            <w:pPr>
              <w:pStyle w:val="TableHeading"/>
              <w:spacing w:before="45" w:after="45"/>
              <w:rPr>
                <w:rFonts w:cs="Open Sans"/>
                <w:b w:val="0"/>
                <w:color w:val="auto"/>
              </w:rPr>
            </w:pPr>
            <w:r w:rsidRPr="00863293">
              <w:rPr>
                <w:rFonts w:cs="Open Sans"/>
                <w:b w:val="0"/>
                <w:color w:val="auto"/>
              </w:rPr>
              <w:t>Positive and negative deviations are generally treated symmetrically.</w:t>
            </w:r>
          </w:p>
        </w:tc>
        <w:tc>
          <w:tcPr>
            <w:tcW w:w="6428" w:type="dxa"/>
            <w:tcBorders>
              <w:top w:val="nil"/>
              <w:bottom w:val="nil"/>
            </w:tcBorders>
            <w:shd w:val="clear" w:color="000000" w:fill="auto"/>
          </w:tcPr>
          <w:p w14:paraId="146C9B04" w14:textId="5834D1C1" w:rsidR="00A9456D" w:rsidRPr="00A971BA" w:rsidRDefault="00A9456D" w:rsidP="00A971BA">
            <w:pPr>
              <w:pStyle w:val="TableBody"/>
              <w:spacing w:before="45" w:after="45"/>
              <w:ind w:right="108"/>
              <w:rPr>
                <w:rFonts w:cs="Open Sans"/>
                <w:color w:val="000000"/>
              </w:rPr>
            </w:pPr>
            <w:r w:rsidRPr="00A971BA">
              <w:rPr>
                <w:rFonts w:cs="Open Sans"/>
                <w:color w:val="000000"/>
              </w:rPr>
              <w:t>Measures using absolute values, squared gaps or equivalent methods give gains and losses of the same magnitude equal weight.</w:t>
            </w:r>
          </w:p>
        </w:tc>
      </w:tr>
      <w:tr w:rsidR="00A9456D" w:rsidRPr="00E1770A" w14:paraId="7D28BD54" w14:textId="77777777" w:rsidTr="00E1770A">
        <w:tc>
          <w:tcPr>
            <w:tcW w:w="3210" w:type="dxa"/>
            <w:tcBorders>
              <w:bottom w:val="nil"/>
            </w:tcBorders>
            <w:shd w:val="clear" w:color="000000" w:fill="E6E6E6"/>
          </w:tcPr>
          <w:p w14:paraId="00E32BA9" w14:textId="7D5FB5DF" w:rsidR="00A9456D" w:rsidRPr="00863293" w:rsidRDefault="00A9456D" w:rsidP="00A971BA">
            <w:pPr>
              <w:pStyle w:val="TableHeading"/>
              <w:spacing w:before="45" w:after="45"/>
              <w:rPr>
                <w:rFonts w:cs="Open Sans"/>
                <w:b w:val="0"/>
                <w:color w:val="auto"/>
              </w:rPr>
            </w:pPr>
            <w:r w:rsidRPr="00863293">
              <w:rPr>
                <w:rFonts w:cs="Open Sans"/>
                <w:b w:val="0"/>
                <w:color w:val="auto"/>
              </w:rPr>
              <w:t>Results depend on the selected period and aggregation method.</w:t>
            </w:r>
          </w:p>
        </w:tc>
        <w:tc>
          <w:tcPr>
            <w:tcW w:w="6428" w:type="dxa"/>
            <w:tcBorders>
              <w:bottom w:val="nil"/>
            </w:tcBorders>
            <w:shd w:val="clear" w:color="000000" w:fill="E6E6E6"/>
          </w:tcPr>
          <w:p w14:paraId="260E96E3" w14:textId="5BD12744" w:rsidR="00A9456D" w:rsidRPr="00A971BA" w:rsidRDefault="00A9456D" w:rsidP="00A971BA">
            <w:pPr>
              <w:pStyle w:val="TableBody"/>
              <w:spacing w:before="45" w:after="45"/>
              <w:ind w:right="108"/>
              <w:rPr>
                <w:rFonts w:cs="Open Sans"/>
                <w:color w:val="000000"/>
              </w:rPr>
            </w:pPr>
            <w:r w:rsidRPr="00A971BA">
              <w:rPr>
                <w:rFonts w:cs="Open Sans"/>
                <w:color w:val="000000"/>
              </w:rPr>
              <w:t>Averaging and weighting choices may not reflect the relative economic importance of different years, states or revenue categories.</w:t>
            </w:r>
          </w:p>
        </w:tc>
      </w:tr>
      <w:tr w:rsidR="00A9456D" w:rsidRPr="00E1770A" w14:paraId="76F0A841" w14:textId="77777777" w:rsidTr="008247ED">
        <w:tc>
          <w:tcPr>
            <w:tcW w:w="3210" w:type="dxa"/>
            <w:tcBorders>
              <w:top w:val="nil"/>
              <w:bottom w:val="nil"/>
            </w:tcBorders>
            <w:shd w:val="clear" w:color="000000" w:fill="auto"/>
          </w:tcPr>
          <w:p w14:paraId="7EA0A11D" w14:textId="5836906A" w:rsidR="00A9456D" w:rsidRPr="00863293" w:rsidRDefault="00A9456D" w:rsidP="00A971BA">
            <w:pPr>
              <w:pStyle w:val="TableHeading"/>
              <w:spacing w:before="45" w:after="45"/>
              <w:rPr>
                <w:rFonts w:cs="Open Sans"/>
                <w:b w:val="0"/>
                <w:color w:val="auto"/>
              </w:rPr>
            </w:pPr>
            <w:r w:rsidRPr="00863293">
              <w:rPr>
                <w:rFonts w:cs="Open Sans"/>
                <w:b w:val="0"/>
                <w:color w:val="auto"/>
              </w:rPr>
              <w:t>Unmodelled feedback</w:t>
            </w:r>
            <w:r w:rsidR="00FD2D27" w:rsidRPr="00863293">
              <w:rPr>
                <w:rFonts w:cs="Open Sans"/>
                <w:b w:val="0"/>
                <w:color w:val="auto"/>
              </w:rPr>
              <w:t xml:space="preserve"> effects</w:t>
            </w:r>
            <w:r w:rsidRPr="00863293">
              <w:rPr>
                <w:rFonts w:cs="Open Sans"/>
                <w:b w:val="0"/>
                <w:color w:val="auto"/>
              </w:rPr>
              <w:t xml:space="preserve"> are excluded.</w:t>
            </w:r>
          </w:p>
        </w:tc>
        <w:tc>
          <w:tcPr>
            <w:tcW w:w="6428" w:type="dxa"/>
            <w:tcBorders>
              <w:top w:val="nil"/>
              <w:bottom w:val="nil"/>
            </w:tcBorders>
            <w:shd w:val="clear" w:color="000000" w:fill="auto"/>
          </w:tcPr>
          <w:p w14:paraId="7351D390" w14:textId="4CC0805C" w:rsidR="00A9456D" w:rsidRPr="00A971BA" w:rsidRDefault="00A9456D" w:rsidP="00A971BA">
            <w:pPr>
              <w:pStyle w:val="TableBody"/>
              <w:spacing w:before="45" w:after="45"/>
              <w:ind w:right="108"/>
              <w:rPr>
                <w:rFonts w:cs="Open Sans"/>
                <w:color w:val="000000"/>
              </w:rPr>
            </w:pPr>
            <w:r w:rsidRPr="00A971BA">
              <w:rPr>
                <w:rFonts w:cs="Open Sans"/>
                <w:color w:val="000000"/>
              </w:rPr>
              <w:t xml:space="preserve">Effects on credit ratings, borrowing costs, tax bases, expenditure needs, migration, investment, commodity production and intergovernmental behaviour are omitted unless explicitly </w:t>
            </w:r>
            <w:r w:rsidR="00FD2D27">
              <w:rPr>
                <w:rFonts w:cs="Open Sans"/>
                <w:color w:val="000000"/>
              </w:rPr>
              <w:t>stated</w:t>
            </w:r>
            <w:r w:rsidRPr="00A971BA">
              <w:rPr>
                <w:rFonts w:cs="Open Sans"/>
                <w:color w:val="000000"/>
              </w:rPr>
              <w:t>.</w:t>
            </w:r>
          </w:p>
        </w:tc>
      </w:tr>
      <w:tr w:rsidR="00A9456D" w:rsidRPr="00E1770A" w14:paraId="0745D7E9" w14:textId="77777777" w:rsidTr="008247ED">
        <w:tc>
          <w:tcPr>
            <w:tcW w:w="3210" w:type="dxa"/>
            <w:tcBorders>
              <w:bottom w:val="single" w:sz="4" w:space="0" w:color="BFBFBF" w:themeColor="background1" w:themeShade="BF"/>
            </w:tcBorders>
            <w:shd w:val="clear" w:color="000000" w:fill="E6E6E6"/>
          </w:tcPr>
          <w:p w14:paraId="3BAEECD2" w14:textId="25BCCD30" w:rsidR="00A9456D" w:rsidRPr="00863293" w:rsidRDefault="00A9456D" w:rsidP="00A971BA">
            <w:pPr>
              <w:pStyle w:val="TableHeading"/>
              <w:spacing w:before="45" w:after="45"/>
              <w:rPr>
                <w:rFonts w:cs="Open Sans"/>
                <w:b w:val="0"/>
                <w:color w:val="auto"/>
              </w:rPr>
            </w:pPr>
            <w:r w:rsidRPr="00863293">
              <w:rPr>
                <w:rFonts w:cs="Open Sans"/>
                <w:b w:val="0"/>
                <w:color w:val="auto"/>
              </w:rPr>
              <w:t>Outputs are conditional estimates.</w:t>
            </w:r>
          </w:p>
        </w:tc>
        <w:tc>
          <w:tcPr>
            <w:tcW w:w="6428" w:type="dxa"/>
            <w:tcBorders>
              <w:bottom w:val="single" w:sz="4" w:space="0" w:color="BFBFBF" w:themeColor="background1" w:themeShade="BF"/>
            </w:tcBorders>
            <w:shd w:val="clear" w:color="000000" w:fill="E6E6E6"/>
          </w:tcPr>
          <w:p w14:paraId="40C009EF" w14:textId="57186973" w:rsidR="00A9456D" w:rsidRPr="00A971BA" w:rsidRDefault="00A9456D" w:rsidP="008247ED">
            <w:pPr>
              <w:pStyle w:val="TableBody"/>
              <w:spacing w:before="45" w:after="120"/>
              <w:ind w:right="108"/>
              <w:rPr>
                <w:rFonts w:cs="Open Sans"/>
                <w:color w:val="000000"/>
              </w:rPr>
            </w:pPr>
            <w:r w:rsidRPr="00A971BA">
              <w:rPr>
                <w:rFonts w:cs="Open Sans"/>
                <w:color w:val="000000"/>
              </w:rPr>
              <w:t>Results show what the models produce if their data, parameters and assumptions hold; actual outcomes may differ materially.</w:t>
            </w:r>
          </w:p>
        </w:tc>
      </w:tr>
    </w:tbl>
    <w:p w14:paraId="21DA528C" w14:textId="77777777" w:rsidR="00DF1703" w:rsidRDefault="00DF1703">
      <w:pPr>
        <w:sectPr w:rsidR="00DF1703" w:rsidSect="00DF1703">
          <w:headerReference w:type="even" r:id="rId14"/>
          <w:headerReference w:type="default" r:id="rId15"/>
          <w:footerReference w:type="even" r:id="rId16"/>
          <w:footerReference w:type="default" r:id="rId17"/>
          <w:pgSz w:w="11906" w:h="16838" w:code="9"/>
          <w:pgMar w:top="1134" w:right="1134" w:bottom="1134" w:left="1134" w:header="794" w:footer="510" w:gutter="0"/>
          <w:cols w:space="708"/>
          <w:docGrid w:linePitch="360"/>
        </w:sectPr>
      </w:pPr>
    </w:p>
    <w:p w14:paraId="0EA29446" w14:textId="039EE6DE" w:rsidR="00D4219D" w:rsidRPr="000D2DB6" w:rsidRDefault="002737AF" w:rsidP="00B802E0">
      <w:pPr>
        <w:pStyle w:val="Heading2-Appendix"/>
        <w:rPr>
          <w:b/>
          <w:bCs/>
        </w:rPr>
      </w:pPr>
      <w:bookmarkStart w:id="0" w:name="_Ref237440650"/>
      <w:bookmarkStart w:id="1" w:name="_Ref237424507"/>
      <w:r>
        <w:lastRenderedPageBreak/>
        <w:t>Alternative GST arrangements</w:t>
      </w:r>
      <w:bookmarkEnd w:id="0"/>
      <w:r>
        <w:t xml:space="preserve"> </w:t>
      </w:r>
      <w:bookmarkEnd w:id="1"/>
    </w:p>
    <w:p w14:paraId="3C65B376" w14:textId="58972F12" w:rsidR="00D16747" w:rsidRPr="00CF2DC0" w:rsidRDefault="00D16747" w:rsidP="004F7DBA">
      <w:pPr>
        <w:pStyle w:val="BodyText"/>
      </w:pPr>
      <w:r w:rsidRPr="00D16747">
        <w:t>This section sets out the current and alternative GST arrangements evaluated in this report, including the specific treatment and methodology applied to each. These arrangements are discussed in more detail in chapters 3 and 4 of the report and in appendix B.</w:t>
      </w:r>
    </w:p>
    <w:p w14:paraId="5F03F9B4" w14:textId="3B1E24CC" w:rsidR="00DB4605" w:rsidRDefault="00204C47" w:rsidP="004F7DBA">
      <w:pPr>
        <w:pStyle w:val="BodyText"/>
        <w:rPr>
          <w:kern w:val="2"/>
          <w:lang w:eastAsia="zh-CN" w:bidi="th-TH"/>
          <w14:ligatures w14:val="standardContextual"/>
        </w:rPr>
      </w:pPr>
      <w:r>
        <w:t>N</w:t>
      </w:r>
      <w:r w:rsidR="00DB4605">
        <w:t>ame identifies the alternative GST arrangement modelled; equalisation benchmark refers to the basis for calculating GST needs or relativities; relativity floor is the minimum relativity allowed under the model; pool treatment describes how pool boosts or top-ups are handled; and</w:t>
      </w:r>
      <w:r w:rsidR="006A6BD8">
        <w:t xml:space="preserve"> No Worse Off</w:t>
      </w:r>
      <w:r w:rsidR="00DB4605">
        <w:t xml:space="preserve"> </w:t>
      </w:r>
      <w:r w:rsidR="006A6BD8">
        <w:t>(</w:t>
      </w:r>
      <w:proofErr w:type="spellStart"/>
      <w:r w:rsidR="00DB4605">
        <w:t>NoWO</w:t>
      </w:r>
      <w:proofErr w:type="spellEnd"/>
      <w:r w:rsidR="006A6BD8">
        <w:t>)</w:t>
      </w:r>
      <w:r w:rsidR="00DB4605">
        <w:t xml:space="preserve"> treatment indicates whether </w:t>
      </w:r>
      <w:proofErr w:type="spellStart"/>
      <w:r w:rsidR="00DB4605">
        <w:t>NoWO</w:t>
      </w:r>
      <w:proofErr w:type="spellEnd"/>
      <w:r w:rsidR="00DB4605">
        <w:t xml:space="preserve"> payments are included.</w:t>
      </w:r>
    </w:p>
    <w:p w14:paraId="35AC3165" w14:textId="323B24C8" w:rsidR="007454B8" w:rsidRDefault="00AB018D" w:rsidP="00504525">
      <w:pPr>
        <w:pStyle w:val="FigureTableHeading"/>
      </w:pPr>
      <w:r>
        <w:t xml:space="preserve">Table </w:t>
      </w:r>
      <w:r w:rsidR="00AA26C1">
        <w:t>C</w:t>
      </w:r>
      <w:r>
        <w:t>.</w:t>
      </w:r>
      <w:fldSimple w:instr=" SEQ Table \* ARABIC \s 1 ">
        <w:r w:rsidR="002D76C4">
          <w:rPr>
            <w:noProof/>
          </w:rPr>
          <w:t>3</w:t>
        </w:r>
      </w:fldSimple>
      <w:r>
        <w:rPr>
          <w:noProof/>
        </w:rPr>
        <w:t xml:space="preserve"> –</w:t>
      </w:r>
      <w:r w:rsidR="004615F0">
        <w:rPr>
          <w:noProof/>
        </w:rPr>
        <w:t>Modelled</w:t>
      </w:r>
      <w:r w:rsidR="006D78C1">
        <w:t xml:space="preserve"> GST arrangements</w:t>
      </w:r>
      <w:r>
        <w:t xml:space="preserve"> specifications </w:t>
      </w:r>
    </w:p>
    <w:tbl>
      <w:tblPr>
        <w:tblW w:w="0" w:type="auto"/>
        <w:tblBorders>
          <w:bottom w:val="single" w:sz="4" w:space="0" w:color="B3B3B3"/>
        </w:tblBorders>
        <w:shd w:val="clear" w:color="000000" w:fill="auto"/>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371"/>
        <w:gridCol w:w="1324"/>
        <w:gridCol w:w="2394"/>
        <w:gridCol w:w="6"/>
        <w:gridCol w:w="624"/>
        <w:gridCol w:w="1306"/>
        <w:gridCol w:w="1271"/>
        <w:gridCol w:w="7274"/>
      </w:tblGrid>
      <w:tr w:rsidR="00AB018D" w:rsidRPr="00AE2C18" w14:paraId="62E71AFA" w14:textId="5C5CDFE2" w:rsidTr="00134331">
        <w:trPr>
          <w:tblHeader/>
        </w:trPr>
        <w:tc>
          <w:tcPr>
            <w:tcW w:w="0" w:type="auto"/>
            <w:tcBorders>
              <w:bottom w:val="single" w:sz="4" w:space="0" w:color="B3B3B3"/>
            </w:tcBorders>
            <w:shd w:val="clear" w:color="000000" w:fill="auto"/>
            <w:vAlign w:val="bottom"/>
          </w:tcPr>
          <w:p w14:paraId="29EFB1C8" w14:textId="2B3BFDED" w:rsidR="00AB018D" w:rsidRPr="00AE2C18" w:rsidRDefault="00AB018D" w:rsidP="00AE2C18">
            <w:pPr>
              <w:spacing w:before="45" w:after="45"/>
              <w:ind w:left="57" w:right="108"/>
              <w:rPr>
                <w:rFonts w:cs="Open Sans"/>
                <w:b/>
                <w:color w:val="1D4374"/>
                <w:sz w:val="18"/>
              </w:rPr>
            </w:pPr>
            <w:r w:rsidRPr="00AE2C18">
              <w:rPr>
                <w:rFonts w:eastAsia="Times New Roman" w:cs="Open Sans"/>
                <w:b/>
                <w:bCs/>
                <w:color w:val="1D4374"/>
                <w:sz w:val="18"/>
                <w:lang w:eastAsia="zh-CN" w:bidi="th-TH"/>
              </w:rPr>
              <w:t>#</w:t>
            </w:r>
          </w:p>
        </w:tc>
        <w:tc>
          <w:tcPr>
            <w:tcW w:w="0" w:type="auto"/>
            <w:tcBorders>
              <w:bottom w:val="single" w:sz="4" w:space="0" w:color="B3B3B3"/>
            </w:tcBorders>
            <w:shd w:val="clear" w:color="000000" w:fill="auto"/>
            <w:vAlign w:val="bottom"/>
          </w:tcPr>
          <w:p w14:paraId="6B840112" w14:textId="26179205" w:rsidR="00AB018D" w:rsidRPr="00AE2C18" w:rsidRDefault="00AB018D" w:rsidP="00AE2C18">
            <w:pPr>
              <w:pStyle w:val="TableHeading"/>
              <w:spacing w:before="45" w:after="45"/>
              <w:rPr>
                <w:rFonts w:cs="Open Sans"/>
                <w:color w:val="1D4374"/>
              </w:rPr>
            </w:pPr>
            <w:r w:rsidRPr="00AE2C18">
              <w:rPr>
                <w:rFonts w:eastAsia="Times New Roman" w:cs="Open Sans"/>
                <w:bCs/>
                <w:color w:val="1D4374"/>
                <w:lang w:eastAsia="zh-CN" w:bidi="th-TH"/>
              </w:rPr>
              <w:t>Name</w:t>
            </w:r>
          </w:p>
        </w:tc>
        <w:tc>
          <w:tcPr>
            <w:tcW w:w="0" w:type="auto"/>
            <w:tcBorders>
              <w:bottom w:val="single" w:sz="4" w:space="0" w:color="B3B3B3"/>
            </w:tcBorders>
            <w:shd w:val="clear" w:color="000000" w:fill="auto"/>
            <w:vAlign w:val="bottom"/>
          </w:tcPr>
          <w:p w14:paraId="422A1151" w14:textId="2E7D53B5" w:rsidR="00AB018D" w:rsidRPr="00AE2C18" w:rsidRDefault="00AB018D" w:rsidP="00AE2C18">
            <w:pPr>
              <w:pStyle w:val="TableHeading"/>
              <w:spacing w:before="45" w:after="45"/>
              <w:rPr>
                <w:rFonts w:cs="Open Sans"/>
                <w:color w:val="1D4374"/>
              </w:rPr>
            </w:pPr>
            <w:r w:rsidRPr="00AE2C18">
              <w:rPr>
                <w:rFonts w:eastAsia="Times New Roman" w:cs="Open Sans"/>
                <w:bCs/>
                <w:color w:val="1D4374"/>
                <w:lang w:eastAsia="zh-CN" w:bidi="th-TH"/>
              </w:rPr>
              <w:t>Equalisation benchmark</w:t>
            </w:r>
          </w:p>
        </w:tc>
        <w:tc>
          <w:tcPr>
            <w:tcW w:w="0" w:type="auto"/>
            <w:tcBorders>
              <w:bottom w:val="single" w:sz="4" w:space="0" w:color="B3B3B3"/>
            </w:tcBorders>
            <w:shd w:val="clear" w:color="000000" w:fill="auto"/>
          </w:tcPr>
          <w:p w14:paraId="164504D7" w14:textId="77777777" w:rsidR="00AB018D" w:rsidRPr="00AE2C18" w:rsidRDefault="00AB018D" w:rsidP="00AE2C18">
            <w:pPr>
              <w:pStyle w:val="TableHeading"/>
              <w:spacing w:before="45" w:after="45"/>
              <w:rPr>
                <w:rFonts w:eastAsia="Times New Roman" w:cs="Open Sans"/>
                <w:bCs/>
                <w:color w:val="1D4374"/>
                <w:lang w:eastAsia="zh-CN" w:bidi="th-TH"/>
              </w:rPr>
            </w:pPr>
          </w:p>
        </w:tc>
        <w:tc>
          <w:tcPr>
            <w:tcW w:w="0" w:type="auto"/>
            <w:tcBorders>
              <w:bottom w:val="single" w:sz="4" w:space="0" w:color="B3B3B3"/>
            </w:tcBorders>
            <w:shd w:val="clear" w:color="000000" w:fill="auto"/>
            <w:vAlign w:val="bottom"/>
          </w:tcPr>
          <w:p w14:paraId="16F809D9" w14:textId="19011D4C" w:rsidR="00AB018D" w:rsidRPr="00AE2C18" w:rsidRDefault="00AB018D" w:rsidP="00AE2C18">
            <w:pPr>
              <w:pStyle w:val="TableHeading"/>
              <w:spacing w:before="45" w:after="45"/>
              <w:rPr>
                <w:rFonts w:cs="Open Sans"/>
                <w:color w:val="1D4374"/>
              </w:rPr>
            </w:pPr>
            <w:r w:rsidRPr="00AE2C18">
              <w:rPr>
                <w:rFonts w:eastAsia="Times New Roman" w:cs="Open Sans"/>
                <w:bCs/>
                <w:color w:val="1D4374"/>
                <w:lang w:eastAsia="zh-CN" w:bidi="th-TH"/>
              </w:rPr>
              <w:t>Floor</w:t>
            </w:r>
          </w:p>
        </w:tc>
        <w:tc>
          <w:tcPr>
            <w:tcW w:w="0" w:type="auto"/>
            <w:tcBorders>
              <w:bottom w:val="single" w:sz="4" w:space="0" w:color="B3B3B3"/>
            </w:tcBorders>
            <w:shd w:val="clear" w:color="000000" w:fill="auto"/>
            <w:vAlign w:val="bottom"/>
          </w:tcPr>
          <w:p w14:paraId="7A42257E" w14:textId="5ACDBE94" w:rsidR="00AB018D" w:rsidRPr="00AE2C18" w:rsidRDefault="00AB018D" w:rsidP="00AE2C18">
            <w:pPr>
              <w:pStyle w:val="TableHeading"/>
              <w:spacing w:before="45" w:after="45"/>
              <w:rPr>
                <w:rFonts w:cs="Open Sans"/>
                <w:color w:val="1D4374"/>
              </w:rPr>
            </w:pPr>
            <w:r w:rsidRPr="00AE2C18">
              <w:rPr>
                <w:rFonts w:eastAsia="Times New Roman" w:cs="Open Sans"/>
                <w:bCs/>
                <w:color w:val="1D4374"/>
                <w:lang w:eastAsia="zh-CN" w:bidi="th-TH"/>
              </w:rPr>
              <w:t>Pool treatment</w:t>
            </w:r>
          </w:p>
        </w:tc>
        <w:tc>
          <w:tcPr>
            <w:tcW w:w="0" w:type="auto"/>
            <w:tcBorders>
              <w:bottom w:val="single" w:sz="4" w:space="0" w:color="B3B3B3"/>
            </w:tcBorders>
            <w:shd w:val="clear" w:color="000000" w:fill="auto"/>
            <w:vAlign w:val="bottom"/>
          </w:tcPr>
          <w:p w14:paraId="51FE0142" w14:textId="22152908" w:rsidR="00AB018D" w:rsidRPr="00AE2C18" w:rsidRDefault="00AB018D" w:rsidP="00AE2C18">
            <w:pPr>
              <w:pStyle w:val="TableHeading"/>
              <w:spacing w:before="45" w:after="45"/>
              <w:rPr>
                <w:rFonts w:cs="Open Sans"/>
                <w:color w:val="1D4374"/>
              </w:rPr>
            </w:pPr>
            <w:proofErr w:type="spellStart"/>
            <w:r w:rsidRPr="00AE2C18">
              <w:rPr>
                <w:rFonts w:eastAsia="Times New Roman" w:cs="Open Sans"/>
                <w:bCs/>
                <w:color w:val="1D4374"/>
                <w:lang w:eastAsia="zh-CN" w:bidi="th-TH"/>
              </w:rPr>
              <w:t>NoWO</w:t>
            </w:r>
            <w:proofErr w:type="spellEnd"/>
            <w:r w:rsidRPr="00AE2C18">
              <w:rPr>
                <w:rFonts w:eastAsia="Times New Roman" w:cs="Open Sans"/>
                <w:bCs/>
                <w:color w:val="1D4374"/>
                <w:lang w:eastAsia="zh-CN" w:bidi="th-TH"/>
              </w:rPr>
              <w:t xml:space="preserve"> treatment</w:t>
            </w:r>
          </w:p>
        </w:tc>
        <w:tc>
          <w:tcPr>
            <w:tcW w:w="0" w:type="auto"/>
            <w:tcBorders>
              <w:bottom w:val="single" w:sz="4" w:space="0" w:color="B3B3B3"/>
            </w:tcBorders>
            <w:shd w:val="clear" w:color="000000" w:fill="auto"/>
            <w:vAlign w:val="bottom"/>
          </w:tcPr>
          <w:p w14:paraId="7205D5D6" w14:textId="20D3D5A6" w:rsidR="00AB018D" w:rsidRPr="00AE2C18" w:rsidRDefault="00AB018D" w:rsidP="00AE2C18">
            <w:pPr>
              <w:pStyle w:val="TableHeading"/>
              <w:spacing w:before="45" w:after="45"/>
              <w:rPr>
                <w:rFonts w:cs="Open Sans"/>
                <w:color w:val="1D4374"/>
              </w:rPr>
            </w:pPr>
            <w:r w:rsidRPr="00AE2C18">
              <w:rPr>
                <w:rFonts w:eastAsia="Times New Roman" w:cs="Open Sans"/>
                <w:bCs/>
                <w:color w:val="1D4374"/>
                <w:lang w:eastAsia="zh-CN" w:bidi="th-TH"/>
              </w:rPr>
              <w:t>Short methodology</w:t>
            </w:r>
          </w:p>
        </w:tc>
      </w:tr>
      <w:tr w:rsidR="00AB018D" w:rsidRPr="00AE2C18" w14:paraId="63638CF0" w14:textId="0B0082F9" w:rsidTr="00134331">
        <w:tc>
          <w:tcPr>
            <w:tcW w:w="0" w:type="auto"/>
            <w:tcBorders>
              <w:top w:val="single" w:sz="4" w:space="0" w:color="B3B3B3"/>
              <w:bottom w:val="nil"/>
            </w:tcBorders>
            <w:shd w:val="clear" w:color="000000" w:fill="E6E6E6"/>
          </w:tcPr>
          <w:p w14:paraId="5702DEC2" w14:textId="251341D8" w:rsidR="00AB018D" w:rsidRPr="00AE2C18" w:rsidRDefault="00AB018D" w:rsidP="00AE2C18">
            <w:pPr>
              <w:pStyle w:val="TableHeading"/>
              <w:spacing w:before="45" w:after="45"/>
              <w:rPr>
                <w:rFonts w:cs="Open Sans"/>
                <w:color w:val="1D4374"/>
              </w:rPr>
            </w:pPr>
            <w:r w:rsidRPr="00AE2C18">
              <w:rPr>
                <w:rFonts w:eastAsia="Times New Roman" w:cs="Open Sans"/>
                <w:color w:val="1D4374"/>
                <w:lang w:eastAsia="zh-CN" w:bidi="th-TH"/>
              </w:rPr>
              <w:t>1</w:t>
            </w:r>
          </w:p>
        </w:tc>
        <w:tc>
          <w:tcPr>
            <w:tcW w:w="0" w:type="auto"/>
            <w:tcBorders>
              <w:top w:val="single" w:sz="4" w:space="0" w:color="B3B3B3"/>
              <w:bottom w:val="nil"/>
            </w:tcBorders>
            <w:shd w:val="clear" w:color="000000" w:fill="E6E6E6"/>
          </w:tcPr>
          <w:p w14:paraId="24288E92" w14:textId="7D6AC8FF"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Current system</w:t>
            </w:r>
          </w:p>
        </w:tc>
        <w:tc>
          <w:tcPr>
            <w:tcW w:w="0" w:type="auto"/>
            <w:tcBorders>
              <w:top w:val="single" w:sz="4" w:space="0" w:color="B3B3B3"/>
              <w:bottom w:val="nil"/>
            </w:tcBorders>
            <w:shd w:val="clear" w:color="000000" w:fill="E6E6E6"/>
          </w:tcPr>
          <w:p w14:paraId="42F24590" w14:textId="1C64BA33"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Standard State</w:t>
            </w:r>
          </w:p>
        </w:tc>
        <w:tc>
          <w:tcPr>
            <w:tcW w:w="0" w:type="auto"/>
            <w:tcBorders>
              <w:top w:val="single" w:sz="4" w:space="0" w:color="B3B3B3"/>
              <w:bottom w:val="nil"/>
            </w:tcBorders>
            <w:shd w:val="clear" w:color="000000" w:fill="E6E6E6"/>
          </w:tcPr>
          <w:p w14:paraId="5C1E3E02" w14:textId="77777777" w:rsidR="00AB018D" w:rsidRPr="00AE2C18" w:rsidRDefault="00AB018D" w:rsidP="00AE2C18">
            <w:pPr>
              <w:pStyle w:val="TableBody"/>
              <w:spacing w:before="45" w:after="45"/>
              <w:ind w:right="108"/>
              <w:rPr>
                <w:rFonts w:eastAsia="Times New Roman" w:cs="Open Sans"/>
                <w:color w:val="000000"/>
                <w:lang w:eastAsia="zh-CN" w:bidi="th-TH"/>
              </w:rPr>
            </w:pPr>
          </w:p>
        </w:tc>
        <w:tc>
          <w:tcPr>
            <w:tcW w:w="0" w:type="auto"/>
            <w:tcBorders>
              <w:top w:val="single" w:sz="4" w:space="0" w:color="B3B3B3"/>
              <w:bottom w:val="nil"/>
            </w:tcBorders>
            <w:shd w:val="clear" w:color="000000" w:fill="E6E6E6"/>
          </w:tcPr>
          <w:p w14:paraId="31C2D873" w14:textId="5F48074C"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0.75</w:t>
            </w:r>
          </w:p>
        </w:tc>
        <w:tc>
          <w:tcPr>
            <w:tcW w:w="0" w:type="auto"/>
            <w:tcBorders>
              <w:top w:val="single" w:sz="4" w:space="0" w:color="B3B3B3"/>
              <w:bottom w:val="nil"/>
            </w:tcBorders>
            <w:shd w:val="clear" w:color="000000" w:fill="E6E6E6"/>
          </w:tcPr>
          <w:p w14:paraId="11902977" w14:textId="694CE777"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Includes pool boost</w:t>
            </w:r>
          </w:p>
        </w:tc>
        <w:tc>
          <w:tcPr>
            <w:tcW w:w="0" w:type="auto"/>
            <w:tcBorders>
              <w:top w:val="single" w:sz="4" w:space="0" w:color="B3B3B3"/>
              <w:bottom w:val="nil"/>
            </w:tcBorders>
            <w:shd w:val="clear" w:color="000000" w:fill="E6E6E6"/>
          </w:tcPr>
          <w:p w14:paraId="5F50AD68" w14:textId="4658BFE9"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 xml:space="preserve">Excludes </w:t>
            </w:r>
            <w:proofErr w:type="spellStart"/>
            <w:r w:rsidRPr="00AE2C18">
              <w:rPr>
                <w:rFonts w:eastAsia="Times New Roman" w:cs="Open Sans"/>
                <w:color w:val="000000"/>
                <w:lang w:eastAsia="zh-CN" w:bidi="th-TH"/>
              </w:rPr>
              <w:t>NoWO</w:t>
            </w:r>
            <w:proofErr w:type="spellEnd"/>
          </w:p>
        </w:tc>
        <w:tc>
          <w:tcPr>
            <w:tcW w:w="0" w:type="auto"/>
            <w:tcBorders>
              <w:top w:val="single" w:sz="4" w:space="0" w:color="B3B3B3"/>
              <w:bottom w:val="nil"/>
            </w:tcBorders>
            <w:shd w:val="clear" w:color="000000" w:fill="E6E6E6"/>
          </w:tcPr>
          <w:p w14:paraId="2DAD53D0" w14:textId="0CD98F97" w:rsidR="00AB018D" w:rsidRPr="00AE2C18" w:rsidRDefault="00AB018D" w:rsidP="00AF3460">
            <w:pPr>
              <w:pStyle w:val="TableBody"/>
              <w:spacing w:before="45" w:after="45"/>
              <w:ind w:right="108"/>
              <w:rPr>
                <w:rFonts w:cs="Open Sans"/>
                <w:color w:val="000000"/>
              </w:rPr>
            </w:pPr>
            <w:r w:rsidRPr="00AE2C18">
              <w:rPr>
                <w:rFonts w:cs="Open Sans"/>
                <w:color w:val="000000"/>
              </w:rPr>
              <w:t xml:space="preserve">States </w:t>
            </w:r>
            <w:r w:rsidR="003832DE">
              <w:rPr>
                <w:rFonts w:cs="Open Sans"/>
                <w:color w:val="000000"/>
              </w:rPr>
              <w:t xml:space="preserve">below the standard state benchmark, </w:t>
            </w:r>
            <w:r w:rsidR="004C2936">
              <w:rPr>
                <w:rFonts w:cs="Open Sans"/>
                <w:color w:val="000000"/>
              </w:rPr>
              <w:t>t</w:t>
            </w:r>
            <w:r w:rsidR="007F5275">
              <w:rPr>
                <w:rFonts w:cs="Open Sans"/>
                <w:color w:val="000000"/>
              </w:rPr>
              <w:t xml:space="preserve">he lower </w:t>
            </w:r>
            <w:r w:rsidR="00F03555">
              <w:rPr>
                <w:rFonts w:cs="Open Sans"/>
                <w:color w:val="000000"/>
              </w:rPr>
              <w:t xml:space="preserve">assessed </w:t>
            </w:r>
            <w:r w:rsidR="007F5275">
              <w:rPr>
                <w:rFonts w:cs="Open Sans"/>
                <w:color w:val="000000"/>
              </w:rPr>
              <w:t xml:space="preserve">relativity of </w:t>
            </w:r>
            <w:r w:rsidR="00A25CEE">
              <w:rPr>
                <w:rFonts w:cs="Open Sans"/>
                <w:color w:val="000000"/>
              </w:rPr>
              <w:t>New South Wales</w:t>
            </w:r>
            <w:r w:rsidR="007F5275">
              <w:rPr>
                <w:rFonts w:cs="Open Sans"/>
                <w:color w:val="000000"/>
              </w:rPr>
              <w:t xml:space="preserve"> or Victoria, </w:t>
            </w:r>
            <w:r w:rsidR="00AF3460">
              <w:rPr>
                <w:rFonts w:cs="Open Sans"/>
                <w:color w:val="000000"/>
              </w:rPr>
              <w:t xml:space="preserve">are equalised to that benchmark. </w:t>
            </w:r>
            <w:r w:rsidR="009F3468">
              <w:rPr>
                <w:rFonts w:cs="Open Sans"/>
                <w:color w:val="000000"/>
              </w:rPr>
              <w:t>T</w:t>
            </w:r>
            <w:r w:rsidR="00AF3460">
              <w:rPr>
                <w:rFonts w:cs="Open Sans"/>
                <w:color w:val="000000"/>
              </w:rPr>
              <w:t xml:space="preserve">he </w:t>
            </w:r>
            <w:r w:rsidR="008A3A27">
              <w:rPr>
                <w:rFonts w:cs="Open Sans"/>
                <w:color w:val="000000"/>
              </w:rPr>
              <w:t xml:space="preserve">increase in relativity </w:t>
            </w:r>
            <w:r w:rsidR="009F3468">
              <w:rPr>
                <w:rFonts w:cs="Open Sans"/>
                <w:color w:val="000000"/>
              </w:rPr>
              <w:t xml:space="preserve">is </w:t>
            </w:r>
            <w:r w:rsidRPr="00AE2C18">
              <w:rPr>
                <w:rFonts w:cs="Open Sans"/>
                <w:color w:val="000000"/>
              </w:rPr>
              <w:t xml:space="preserve">funded </w:t>
            </w:r>
            <w:r w:rsidR="00A25CEE">
              <w:rPr>
                <w:rFonts w:cs="Open Sans"/>
                <w:color w:val="000000"/>
              </w:rPr>
              <w:t>equal per capita (</w:t>
            </w:r>
            <w:r w:rsidRPr="00AE2C18">
              <w:rPr>
                <w:rFonts w:cs="Open Sans"/>
                <w:color w:val="000000"/>
              </w:rPr>
              <w:t>EPC</w:t>
            </w:r>
            <w:r w:rsidR="00A25CEE">
              <w:rPr>
                <w:rFonts w:cs="Open Sans"/>
                <w:color w:val="000000"/>
              </w:rPr>
              <w:t>)</w:t>
            </w:r>
            <w:r w:rsidRPr="00AE2C18">
              <w:rPr>
                <w:rFonts w:cs="Open Sans"/>
                <w:color w:val="000000"/>
              </w:rPr>
              <w:t xml:space="preserve"> by all states, including </w:t>
            </w:r>
            <w:r w:rsidR="009F3468">
              <w:rPr>
                <w:rFonts w:cs="Open Sans"/>
                <w:color w:val="000000"/>
              </w:rPr>
              <w:t xml:space="preserve">the </w:t>
            </w:r>
            <w:r w:rsidR="00C558C6">
              <w:rPr>
                <w:rFonts w:cs="Open Sans"/>
                <w:color w:val="000000"/>
              </w:rPr>
              <w:t>states that were equalised to the benchmark.</w:t>
            </w:r>
          </w:p>
        </w:tc>
      </w:tr>
      <w:tr w:rsidR="00AB018D" w:rsidRPr="00AE2C18" w14:paraId="30B57A4E" w14:textId="15FAA48E" w:rsidTr="00134331">
        <w:tc>
          <w:tcPr>
            <w:tcW w:w="0" w:type="auto"/>
            <w:tcBorders>
              <w:top w:val="nil"/>
              <w:bottom w:val="nil"/>
            </w:tcBorders>
            <w:shd w:val="clear" w:color="000000" w:fill="auto"/>
          </w:tcPr>
          <w:p w14:paraId="7D22B50A" w14:textId="44A68459" w:rsidR="00AB018D" w:rsidRPr="00AE2C18" w:rsidRDefault="00AB018D" w:rsidP="00AE2C18">
            <w:pPr>
              <w:pStyle w:val="TableHeading"/>
              <w:spacing w:before="45" w:after="45"/>
              <w:rPr>
                <w:rFonts w:cs="Open Sans"/>
                <w:color w:val="1D4374"/>
              </w:rPr>
            </w:pPr>
            <w:r w:rsidRPr="00AE2C18">
              <w:rPr>
                <w:rFonts w:eastAsia="Times New Roman" w:cs="Open Sans"/>
                <w:color w:val="1D4374"/>
                <w:lang w:eastAsia="zh-CN" w:bidi="th-TH"/>
              </w:rPr>
              <w:t>2</w:t>
            </w:r>
          </w:p>
        </w:tc>
        <w:tc>
          <w:tcPr>
            <w:tcW w:w="0" w:type="auto"/>
            <w:tcBorders>
              <w:top w:val="nil"/>
              <w:bottom w:val="nil"/>
            </w:tcBorders>
            <w:shd w:val="clear" w:color="000000" w:fill="auto"/>
          </w:tcPr>
          <w:p w14:paraId="37884961" w14:textId="2A7DCB6C"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 xml:space="preserve">Current system with </w:t>
            </w:r>
            <w:proofErr w:type="spellStart"/>
            <w:r w:rsidRPr="00AE2C18">
              <w:rPr>
                <w:rFonts w:eastAsia="Times New Roman" w:cs="Open Sans"/>
                <w:color w:val="000000"/>
                <w:lang w:eastAsia="zh-CN" w:bidi="th-TH"/>
              </w:rPr>
              <w:t>NoWO</w:t>
            </w:r>
            <w:proofErr w:type="spellEnd"/>
          </w:p>
        </w:tc>
        <w:tc>
          <w:tcPr>
            <w:tcW w:w="0" w:type="auto"/>
            <w:tcBorders>
              <w:top w:val="nil"/>
              <w:bottom w:val="nil"/>
            </w:tcBorders>
            <w:shd w:val="clear" w:color="000000" w:fill="auto"/>
          </w:tcPr>
          <w:p w14:paraId="0273D4C0" w14:textId="73AC7D0C"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Standard State</w:t>
            </w:r>
          </w:p>
        </w:tc>
        <w:tc>
          <w:tcPr>
            <w:tcW w:w="0" w:type="auto"/>
            <w:tcBorders>
              <w:top w:val="nil"/>
              <w:bottom w:val="nil"/>
            </w:tcBorders>
            <w:shd w:val="clear" w:color="000000" w:fill="auto"/>
          </w:tcPr>
          <w:p w14:paraId="196BB6AD" w14:textId="77777777" w:rsidR="00AB018D" w:rsidRPr="00AE2C18" w:rsidRDefault="00AB018D" w:rsidP="00AE2C18">
            <w:pPr>
              <w:pStyle w:val="TableBody"/>
              <w:spacing w:before="45" w:after="45"/>
              <w:ind w:right="108"/>
              <w:rPr>
                <w:rFonts w:eastAsia="Times New Roman" w:cs="Open Sans"/>
                <w:color w:val="000000"/>
                <w:lang w:eastAsia="zh-CN" w:bidi="th-TH"/>
              </w:rPr>
            </w:pPr>
          </w:p>
        </w:tc>
        <w:tc>
          <w:tcPr>
            <w:tcW w:w="0" w:type="auto"/>
            <w:tcBorders>
              <w:top w:val="nil"/>
              <w:bottom w:val="nil"/>
            </w:tcBorders>
            <w:shd w:val="clear" w:color="000000" w:fill="auto"/>
          </w:tcPr>
          <w:p w14:paraId="1321B7BF" w14:textId="3B4629A6"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0.75</w:t>
            </w:r>
          </w:p>
        </w:tc>
        <w:tc>
          <w:tcPr>
            <w:tcW w:w="0" w:type="auto"/>
            <w:tcBorders>
              <w:top w:val="nil"/>
              <w:bottom w:val="nil"/>
            </w:tcBorders>
            <w:shd w:val="clear" w:color="000000" w:fill="auto"/>
          </w:tcPr>
          <w:p w14:paraId="38FF1E81" w14:textId="0DB89B8D"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Includes pool boost</w:t>
            </w:r>
          </w:p>
        </w:tc>
        <w:tc>
          <w:tcPr>
            <w:tcW w:w="0" w:type="auto"/>
            <w:tcBorders>
              <w:top w:val="nil"/>
              <w:bottom w:val="nil"/>
            </w:tcBorders>
            <w:shd w:val="clear" w:color="000000" w:fill="auto"/>
          </w:tcPr>
          <w:p w14:paraId="0132DF8A" w14:textId="7E342651"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 xml:space="preserve">Includes </w:t>
            </w:r>
            <w:proofErr w:type="spellStart"/>
            <w:r w:rsidRPr="00AE2C18">
              <w:rPr>
                <w:rFonts w:eastAsia="Times New Roman" w:cs="Open Sans"/>
                <w:color w:val="000000"/>
                <w:lang w:eastAsia="zh-CN" w:bidi="th-TH"/>
              </w:rPr>
              <w:t>NoWO</w:t>
            </w:r>
            <w:proofErr w:type="spellEnd"/>
          </w:p>
        </w:tc>
        <w:tc>
          <w:tcPr>
            <w:tcW w:w="0" w:type="auto"/>
            <w:tcBorders>
              <w:top w:val="nil"/>
              <w:bottom w:val="nil"/>
            </w:tcBorders>
            <w:shd w:val="clear" w:color="000000" w:fill="auto"/>
          </w:tcPr>
          <w:p w14:paraId="4B878F70" w14:textId="31AEF72D" w:rsidR="00AB018D" w:rsidRPr="00AE2C18" w:rsidRDefault="00AB018D" w:rsidP="00AE2C18">
            <w:pPr>
              <w:pStyle w:val="TableBody"/>
              <w:spacing w:before="45" w:after="45"/>
              <w:ind w:right="108"/>
              <w:rPr>
                <w:rFonts w:cs="Open Sans"/>
                <w:color w:val="000000"/>
              </w:rPr>
            </w:pPr>
            <w:r w:rsidRPr="00AE2C18">
              <w:rPr>
                <w:rFonts w:cs="Open Sans"/>
                <w:color w:val="000000"/>
              </w:rPr>
              <w:t>As above, but states below their pre-2018 relativity receive the pre-2018 relativity.</w:t>
            </w:r>
          </w:p>
        </w:tc>
      </w:tr>
      <w:tr w:rsidR="00AB018D" w:rsidRPr="00AE2C18" w14:paraId="5A120E17" w14:textId="724517EC" w:rsidTr="00134331">
        <w:tc>
          <w:tcPr>
            <w:tcW w:w="0" w:type="auto"/>
            <w:tcBorders>
              <w:bottom w:val="nil"/>
            </w:tcBorders>
            <w:shd w:val="clear" w:color="000000" w:fill="E6E6E6"/>
          </w:tcPr>
          <w:p w14:paraId="3D21D0CA" w14:textId="4D109D10" w:rsidR="00AB018D" w:rsidRPr="00AE2C18" w:rsidRDefault="00AB018D" w:rsidP="00AE2C18">
            <w:pPr>
              <w:pStyle w:val="TableHeading"/>
              <w:spacing w:before="45" w:after="45"/>
              <w:rPr>
                <w:rFonts w:cs="Open Sans"/>
                <w:color w:val="1D4374"/>
              </w:rPr>
            </w:pPr>
            <w:r w:rsidRPr="00AE2C18">
              <w:rPr>
                <w:rFonts w:eastAsia="Times New Roman" w:cs="Open Sans"/>
                <w:color w:val="1D4374"/>
                <w:lang w:eastAsia="zh-CN" w:bidi="th-TH"/>
              </w:rPr>
              <w:t>3</w:t>
            </w:r>
          </w:p>
        </w:tc>
        <w:tc>
          <w:tcPr>
            <w:tcW w:w="0" w:type="auto"/>
            <w:tcBorders>
              <w:bottom w:val="nil"/>
            </w:tcBorders>
            <w:shd w:val="clear" w:color="000000" w:fill="E6E6E6"/>
          </w:tcPr>
          <w:p w14:paraId="5553A6AE" w14:textId="1DC9EBA6"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Min Change 0.75 floor</w:t>
            </w:r>
          </w:p>
        </w:tc>
        <w:tc>
          <w:tcPr>
            <w:tcW w:w="0" w:type="auto"/>
            <w:tcBorders>
              <w:bottom w:val="nil"/>
            </w:tcBorders>
            <w:shd w:val="clear" w:color="000000" w:fill="E6E6E6"/>
          </w:tcPr>
          <w:p w14:paraId="052E3E20" w14:textId="35449494" w:rsidR="00AB018D" w:rsidRPr="00AE2C18" w:rsidRDefault="003C2766" w:rsidP="00AE2C18">
            <w:pPr>
              <w:pStyle w:val="TableBody"/>
              <w:spacing w:before="45" w:after="45"/>
              <w:ind w:right="108"/>
              <w:rPr>
                <w:rFonts w:cs="Open Sans"/>
                <w:color w:val="000000"/>
              </w:rPr>
            </w:pPr>
            <w:r>
              <w:rPr>
                <w:rFonts w:eastAsia="Times New Roman" w:cs="Open Sans"/>
                <w:color w:val="000000"/>
                <w:lang w:eastAsia="zh-CN" w:bidi="th-TH"/>
              </w:rPr>
              <w:t>Maxi</w:t>
            </w:r>
            <w:r w:rsidR="007C0C00">
              <w:rPr>
                <w:rFonts w:eastAsia="Times New Roman" w:cs="Open Sans"/>
                <w:color w:val="000000"/>
                <w:lang w:eastAsia="zh-CN" w:bidi="th-TH"/>
              </w:rPr>
              <w:t>mum of s</w:t>
            </w:r>
            <w:r w:rsidR="007C0C00" w:rsidRPr="00AE2C18">
              <w:rPr>
                <w:rFonts w:eastAsia="Times New Roman" w:cs="Open Sans"/>
                <w:color w:val="000000"/>
                <w:lang w:eastAsia="zh-CN" w:bidi="th-TH"/>
              </w:rPr>
              <w:t>tate with greatest capacity or floor</w:t>
            </w:r>
          </w:p>
        </w:tc>
        <w:tc>
          <w:tcPr>
            <w:tcW w:w="0" w:type="auto"/>
            <w:tcBorders>
              <w:bottom w:val="nil"/>
            </w:tcBorders>
            <w:shd w:val="clear" w:color="000000" w:fill="E6E6E6"/>
          </w:tcPr>
          <w:p w14:paraId="28CB873E" w14:textId="77777777" w:rsidR="00AB018D" w:rsidRPr="00AE2C18" w:rsidRDefault="00AB018D" w:rsidP="00AE2C18">
            <w:pPr>
              <w:pStyle w:val="TableBody"/>
              <w:spacing w:before="45" w:after="45"/>
              <w:ind w:right="108"/>
              <w:rPr>
                <w:rFonts w:eastAsia="Times New Roman" w:cs="Open Sans"/>
                <w:color w:val="000000"/>
                <w:lang w:eastAsia="zh-CN" w:bidi="th-TH"/>
              </w:rPr>
            </w:pPr>
          </w:p>
        </w:tc>
        <w:tc>
          <w:tcPr>
            <w:tcW w:w="0" w:type="auto"/>
            <w:tcBorders>
              <w:bottom w:val="nil"/>
            </w:tcBorders>
            <w:shd w:val="clear" w:color="000000" w:fill="E6E6E6"/>
          </w:tcPr>
          <w:p w14:paraId="7FCD7B83" w14:textId="30F76B14"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0.75</w:t>
            </w:r>
          </w:p>
        </w:tc>
        <w:tc>
          <w:tcPr>
            <w:tcW w:w="0" w:type="auto"/>
            <w:tcBorders>
              <w:bottom w:val="nil"/>
            </w:tcBorders>
            <w:shd w:val="clear" w:color="000000" w:fill="E6E6E6"/>
          </w:tcPr>
          <w:p w14:paraId="3E4590E8" w14:textId="1ED3ACA5"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Excludes pool boost</w:t>
            </w:r>
          </w:p>
        </w:tc>
        <w:tc>
          <w:tcPr>
            <w:tcW w:w="0" w:type="auto"/>
            <w:tcBorders>
              <w:bottom w:val="nil"/>
            </w:tcBorders>
            <w:shd w:val="clear" w:color="000000" w:fill="E6E6E6"/>
          </w:tcPr>
          <w:p w14:paraId="20BA802E" w14:textId="3992E945"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 xml:space="preserve">Includes </w:t>
            </w:r>
            <w:proofErr w:type="spellStart"/>
            <w:r w:rsidRPr="00AE2C18">
              <w:rPr>
                <w:rFonts w:eastAsia="Times New Roman" w:cs="Open Sans"/>
                <w:color w:val="000000"/>
                <w:lang w:eastAsia="zh-CN" w:bidi="th-TH"/>
              </w:rPr>
              <w:t>NoWO</w:t>
            </w:r>
            <w:proofErr w:type="spellEnd"/>
          </w:p>
        </w:tc>
        <w:tc>
          <w:tcPr>
            <w:tcW w:w="0" w:type="auto"/>
            <w:tcBorders>
              <w:bottom w:val="nil"/>
            </w:tcBorders>
            <w:shd w:val="clear" w:color="000000" w:fill="E6E6E6"/>
          </w:tcPr>
          <w:p w14:paraId="5FB3BFAE" w14:textId="38D3A194" w:rsidR="00AB018D" w:rsidRPr="00AE2C18" w:rsidRDefault="00AB018D" w:rsidP="00AE2C18">
            <w:pPr>
              <w:pStyle w:val="TableBody"/>
              <w:spacing w:before="45" w:after="45"/>
              <w:ind w:right="108"/>
              <w:rPr>
                <w:rFonts w:cs="Open Sans"/>
                <w:color w:val="000000"/>
              </w:rPr>
            </w:pPr>
            <w:r w:rsidRPr="00AE2C18">
              <w:rPr>
                <w:rFonts w:cs="Open Sans"/>
                <w:color w:val="000000"/>
              </w:rPr>
              <w:t>Applies a 0.75 relativity floor using the CGC binding-floor method. States below their 2018-equivalent relativity receive their pre-2018 system GST amount</w:t>
            </w:r>
            <w:r w:rsidR="00172F20">
              <w:rPr>
                <w:rFonts w:cs="Open Sans"/>
                <w:color w:val="000000"/>
              </w:rPr>
              <w:t xml:space="preserve"> through </w:t>
            </w:r>
            <w:proofErr w:type="spellStart"/>
            <w:r w:rsidR="00172F20">
              <w:rPr>
                <w:rFonts w:cs="Open Sans"/>
                <w:color w:val="000000"/>
              </w:rPr>
              <w:t>NoWO</w:t>
            </w:r>
            <w:proofErr w:type="spellEnd"/>
            <w:r w:rsidR="00172F20">
              <w:rPr>
                <w:rFonts w:cs="Open Sans"/>
                <w:color w:val="000000"/>
              </w:rPr>
              <w:t>.</w:t>
            </w:r>
          </w:p>
        </w:tc>
      </w:tr>
      <w:tr w:rsidR="00AB018D" w:rsidRPr="00AE2C18" w14:paraId="04D9590B" w14:textId="77777777" w:rsidTr="00134331">
        <w:tc>
          <w:tcPr>
            <w:tcW w:w="0" w:type="auto"/>
            <w:tcBorders>
              <w:top w:val="nil"/>
              <w:bottom w:val="nil"/>
            </w:tcBorders>
            <w:shd w:val="clear" w:color="000000" w:fill="auto"/>
          </w:tcPr>
          <w:p w14:paraId="17D17159" w14:textId="61C9FD1A" w:rsidR="00AB018D" w:rsidRPr="00AE2C18" w:rsidRDefault="00AB018D" w:rsidP="00AE2C18">
            <w:pPr>
              <w:pStyle w:val="TableHeading"/>
              <w:spacing w:before="45" w:after="45"/>
              <w:rPr>
                <w:rFonts w:cs="Open Sans"/>
                <w:color w:val="1D4374"/>
              </w:rPr>
            </w:pPr>
            <w:r w:rsidRPr="00AE2C18">
              <w:rPr>
                <w:rFonts w:eastAsia="Times New Roman" w:cs="Open Sans"/>
                <w:color w:val="1D4374"/>
                <w:lang w:eastAsia="zh-CN" w:bidi="th-TH"/>
              </w:rPr>
              <w:t>4</w:t>
            </w:r>
          </w:p>
        </w:tc>
        <w:tc>
          <w:tcPr>
            <w:tcW w:w="0" w:type="auto"/>
            <w:tcBorders>
              <w:top w:val="nil"/>
              <w:bottom w:val="nil"/>
            </w:tcBorders>
            <w:shd w:val="clear" w:color="000000" w:fill="auto"/>
          </w:tcPr>
          <w:p w14:paraId="58F62C63" w14:textId="1CFFC249"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Min Change 0.5 floor</w:t>
            </w:r>
          </w:p>
        </w:tc>
        <w:tc>
          <w:tcPr>
            <w:tcW w:w="0" w:type="auto"/>
            <w:tcBorders>
              <w:top w:val="nil"/>
              <w:bottom w:val="nil"/>
            </w:tcBorders>
            <w:shd w:val="clear" w:color="000000" w:fill="auto"/>
          </w:tcPr>
          <w:p w14:paraId="7711AF9F" w14:textId="078F5D23" w:rsidR="00AB018D" w:rsidRPr="00AE2C18" w:rsidRDefault="007C0C00" w:rsidP="00AE2C18">
            <w:pPr>
              <w:pStyle w:val="TableBody"/>
              <w:spacing w:before="45" w:after="45"/>
              <w:ind w:right="108"/>
              <w:rPr>
                <w:rFonts w:cs="Open Sans"/>
                <w:color w:val="000000"/>
              </w:rPr>
            </w:pPr>
            <w:r>
              <w:rPr>
                <w:rFonts w:eastAsia="Times New Roman" w:cs="Open Sans"/>
                <w:color w:val="000000"/>
                <w:lang w:eastAsia="zh-CN" w:bidi="th-TH"/>
              </w:rPr>
              <w:t>Maximum of s</w:t>
            </w:r>
            <w:r w:rsidRPr="00AE2C18">
              <w:rPr>
                <w:rFonts w:eastAsia="Times New Roman" w:cs="Open Sans"/>
                <w:color w:val="000000"/>
                <w:lang w:eastAsia="zh-CN" w:bidi="th-TH"/>
              </w:rPr>
              <w:t>tate</w:t>
            </w:r>
            <w:r w:rsidR="00AB018D" w:rsidRPr="00AE2C18">
              <w:rPr>
                <w:rFonts w:eastAsia="Times New Roman" w:cs="Open Sans"/>
                <w:color w:val="000000"/>
                <w:lang w:eastAsia="zh-CN" w:bidi="th-TH"/>
              </w:rPr>
              <w:t xml:space="preserve"> with greatest capacity or floor</w:t>
            </w:r>
          </w:p>
        </w:tc>
        <w:tc>
          <w:tcPr>
            <w:tcW w:w="0" w:type="auto"/>
            <w:tcBorders>
              <w:top w:val="nil"/>
              <w:bottom w:val="nil"/>
            </w:tcBorders>
            <w:shd w:val="clear" w:color="000000" w:fill="auto"/>
          </w:tcPr>
          <w:p w14:paraId="45160C53" w14:textId="77777777" w:rsidR="00AB018D" w:rsidRPr="00AE2C18" w:rsidRDefault="00AB018D" w:rsidP="00AE2C18">
            <w:pPr>
              <w:pStyle w:val="TableBody"/>
              <w:spacing w:before="45" w:after="45"/>
              <w:ind w:right="108"/>
              <w:rPr>
                <w:rFonts w:eastAsia="Times New Roman" w:cs="Open Sans"/>
                <w:color w:val="000000"/>
                <w:lang w:eastAsia="zh-CN" w:bidi="th-TH"/>
              </w:rPr>
            </w:pPr>
          </w:p>
        </w:tc>
        <w:tc>
          <w:tcPr>
            <w:tcW w:w="0" w:type="auto"/>
            <w:tcBorders>
              <w:top w:val="nil"/>
              <w:bottom w:val="nil"/>
            </w:tcBorders>
            <w:shd w:val="clear" w:color="000000" w:fill="auto"/>
          </w:tcPr>
          <w:p w14:paraId="7C8B68E9" w14:textId="4EB61B40"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0.5</w:t>
            </w:r>
          </w:p>
        </w:tc>
        <w:tc>
          <w:tcPr>
            <w:tcW w:w="0" w:type="auto"/>
            <w:tcBorders>
              <w:top w:val="nil"/>
              <w:bottom w:val="nil"/>
            </w:tcBorders>
            <w:shd w:val="clear" w:color="000000" w:fill="auto"/>
          </w:tcPr>
          <w:p w14:paraId="0B44A01E" w14:textId="3B404363"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Excludes pool boost</w:t>
            </w:r>
          </w:p>
        </w:tc>
        <w:tc>
          <w:tcPr>
            <w:tcW w:w="0" w:type="auto"/>
            <w:tcBorders>
              <w:top w:val="nil"/>
              <w:bottom w:val="nil"/>
            </w:tcBorders>
            <w:shd w:val="clear" w:color="000000" w:fill="auto"/>
          </w:tcPr>
          <w:p w14:paraId="62BF60E9" w14:textId="2B65FE57"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 xml:space="preserve">Includes </w:t>
            </w:r>
            <w:proofErr w:type="spellStart"/>
            <w:r w:rsidRPr="00AE2C18">
              <w:rPr>
                <w:rFonts w:eastAsia="Times New Roman" w:cs="Open Sans"/>
                <w:color w:val="000000"/>
                <w:lang w:eastAsia="zh-CN" w:bidi="th-TH"/>
              </w:rPr>
              <w:t>NoWO</w:t>
            </w:r>
            <w:proofErr w:type="spellEnd"/>
          </w:p>
        </w:tc>
        <w:tc>
          <w:tcPr>
            <w:tcW w:w="0" w:type="auto"/>
            <w:tcBorders>
              <w:top w:val="nil"/>
              <w:bottom w:val="nil"/>
            </w:tcBorders>
            <w:shd w:val="clear" w:color="000000" w:fill="auto"/>
          </w:tcPr>
          <w:p w14:paraId="62F5A575" w14:textId="486D192E" w:rsidR="00AB018D" w:rsidRPr="00AE2C18" w:rsidRDefault="00AB018D" w:rsidP="00AE2C18">
            <w:pPr>
              <w:pStyle w:val="TableBody"/>
              <w:spacing w:before="45" w:after="45"/>
              <w:ind w:right="108"/>
              <w:rPr>
                <w:rFonts w:cs="Open Sans"/>
                <w:color w:val="000000"/>
              </w:rPr>
            </w:pPr>
            <w:r w:rsidRPr="00AE2C18">
              <w:rPr>
                <w:rFonts w:cs="Open Sans"/>
                <w:color w:val="000000"/>
              </w:rPr>
              <w:t>Same as above with a 0.5 floor</w:t>
            </w:r>
            <w:r w:rsidR="00A55C5D">
              <w:rPr>
                <w:rFonts w:cs="Open Sans"/>
                <w:color w:val="000000"/>
              </w:rPr>
              <w:t>.</w:t>
            </w:r>
          </w:p>
        </w:tc>
      </w:tr>
      <w:tr w:rsidR="00AB018D" w:rsidRPr="00AE2C18" w14:paraId="54BB7B3D" w14:textId="77777777" w:rsidTr="00134331">
        <w:tc>
          <w:tcPr>
            <w:tcW w:w="0" w:type="auto"/>
            <w:tcBorders>
              <w:bottom w:val="nil"/>
            </w:tcBorders>
            <w:shd w:val="clear" w:color="000000" w:fill="E6E6E6"/>
          </w:tcPr>
          <w:p w14:paraId="7781156F" w14:textId="28933CF9" w:rsidR="00AB018D" w:rsidRPr="00AE2C18" w:rsidRDefault="00AB018D" w:rsidP="00AE2C18">
            <w:pPr>
              <w:pStyle w:val="TableHeading"/>
              <w:spacing w:before="45" w:after="45"/>
              <w:rPr>
                <w:rFonts w:cs="Open Sans"/>
                <w:color w:val="1D4374"/>
              </w:rPr>
            </w:pPr>
            <w:r w:rsidRPr="00AE2C18">
              <w:rPr>
                <w:rFonts w:eastAsia="Times New Roman" w:cs="Open Sans"/>
                <w:color w:val="1D4374"/>
                <w:lang w:eastAsia="zh-CN" w:bidi="th-TH"/>
              </w:rPr>
              <w:t>5</w:t>
            </w:r>
          </w:p>
        </w:tc>
        <w:tc>
          <w:tcPr>
            <w:tcW w:w="0" w:type="auto"/>
            <w:tcBorders>
              <w:bottom w:val="nil"/>
            </w:tcBorders>
            <w:shd w:val="clear" w:color="000000" w:fill="E6E6E6"/>
          </w:tcPr>
          <w:p w14:paraId="2E2037D7" w14:textId="3396E6B7"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Min Change 0.3 floor</w:t>
            </w:r>
          </w:p>
        </w:tc>
        <w:tc>
          <w:tcPr>
            <w:tcW w:w="0" w:type="auto"/>
            <w:tcBorders>
              <w:bottom w:val="nil"/>
            </w:tcBorders>
            <w:shd w:val="clear" w:color="000000" w:fill="E6E6E6"/>
          </w:tcPr>
          <w:p w14:paraId="250AF7F7" w14:textId="7160F38E" w:rsidR="00AB018D" w:rsidRPr="00AE2C18" w:rsidRDefault="007C0C00" w:rsidP="00AE2C18">
            <w:pPr>
              <w:pStyle w:val="TableBody"/>
              <w:spacing w:before="45" w:after="45"/>
              <w:ind w:right="108"/>
              <w:rPr>
                <w:rFonts w:cs="Open Sans"/>
                <w:color w:val="000000"/>
              </w:rPr>
            </w:pPr>
            <w:r>
              <w:rPr>
                <w:rFonts w:eastAsia="Times New Roman" w:cs="Open Sans"/>
                <w:color w:val="000000"/>
                <w:lang w:eastAsia="zh-CN" w:bidi="th-TH"/>
              </w:rPr>
              <w:t>Maximum of s</w:t>
            </w:r>
            <w:r w:rsidRPr="00AE2C18">
              <w:rPr>
                <w:rFonts w:eastAsia="Times New Roman" w:cs="Open Sans"/>
                <w:color w:val="000000"/>
                <w:lang w:eastAsia="zh-CN" w:bidi="th-TH"/>
              </w:rPr>
              <w:t>tate</w:t>
            </w:r>
            <w:r w:rsidR="00AB018D" w:rsidRPr="00AE2C18">
              <w:rPr>
                <w:rFonts w:eastAsia="Times New Roman" w:cs="Open Sans"/>
                <w:color w:val="000000"/>
                <w:lang w:eastAsia="zh-CN" w:bidi="th-TH"/>
              </w:rPr>
              <w:t xml:space="preserve"> with greatest capacity or floor</w:t>
            </w:r>
          </w:p>
        </w:tc>
        <w:tc>
          <w:tcPr>
            <w:tcW w:w="0" w:type="auto"/>
            <w:tcBorders>
              <w:bottom w:val="nil"/>
            </w:tcBorders>
            <w:shd w:val="clear" w:color="000000" w:fill="E6E6E6"/>
          </w:tcPr>
          <w:p w14:paraId="1B7B86BA" w14:textId="77777777" w:rsidR="00AB018D" w:rsidRPr="00AE2C18" w:rsidRDefault="00AB018D" w:rsidP="00AE2C18">
            <w:pPr>
              <w:pStyle w:val="TableBody"/>
              <w:spacing w:before="45" w:after="45"/>
              <w:ind w:right="108"/>
              <w:rPr>
                <w:rFonts w:eastAsia="Times New Roman" w:cs="Open Sans"/>
                <w:color w:val="000000"/>
                <w:lang w:eastAsia="zh-CN" w:bidi="th-TH"/>
              </w:rPr>
            </w:pPr>
          </w:p>
        </w:tc>
        <w:tc>
          <w:tcPr>
            <w:tcW w:w="0" w:type="auto"/>
            <w:tcBorders>
              <w:bottom w:val="nil"/>
            </w:tcBorders>
            <w:shd w:val="clear" w:color="000000" w:fill="E6E6E6"/>
          </w:tcPr>
          <w:p w14:paraId="30D795CC" w14:textId="74227995"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0.3</w:t>
            </w:r>
          </w:p>
        </w:tc>
        <w:tc>
          <w:tcPr>
            <w:tcW w:w="0" w:type="auto"/>
            <w:tcBorders>
              <w:bottom w:val="nil"/>
            </w:tcBorders>
            <w:shd w:val="clear" w:color="000000" w:fill="E6E6E6"/>
          </w:tcPr>
          <w:p w14:paraId="599A8F7F" w14:textId="699F3D57"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Excludes pool boost</w:t>
            </w:r>
          </w:p>
        </w:tc>
        <w:tc>
          <w:tcPr>
            <w:tcW w:w="0" w:type="auto"/>
            <w:tcBorders>
              <w:bottom w:val="nil"/>
            </w:tcBorders>
            <w:shd w:val="clear" w:color="000000" w:fill="E6E6E6"/>
          </w:tcPr>
          <w:p w14:paraId="197FD38E" w14:textId="1D012852"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 xml:space="preserve">Includes </w:t>
            </w:r>
            <w:proofErr w:type="spellStart"/>
            <w:r w:rsidRPr="00AE2C18">
              <w:rPr>
                <w:rFonts w:eastAsia="Times New Roman" w:cs="Open Sans"/>
                <w:color w:val="000000"/>
                <w:lang w:eastAsia="zh-CN" w:bidi="th-TH"/>
              </w:rPr>
              <w:t>NoWO</w:t>
            </w:r>
            <w:proofErr w:type="spellEnd"/>
          </w:p>
        </w:tc>
        <w:tc>
          <w:tcPr>
            <w:tcW w:w="0" w:type="auto"/>
            <w:tcBorders>
              <w:bottom w:val="nil"/>
            </w:tcBorders>
            <w:shd w:val="clear" w:color="000000" w:fill="E6E6E6"/>
          </w:tcPr>
          <w:p w14:paraId="57E3AEF3" w14:textId="6530E209" w:rsidR="00AB018D" w:rsidRPr="00AE2C18" w:rsidRDefault="00AB018D" w:rsidP="00AE2C18">
            <w:pPr>
              <w:pStyle w:val="TableBody"/>
              <w:spacing w:before="45" w:after="45"/>
              <w:ind w:right="108"/>
              <w:rPr>
                <w:rFonts w:cs="Open Sans"/>
                <w:color w:val="000000"/>
              </w:rPr>
            </w:pPr>
            <w:r w:rsidRPr="00AE2C18">
              <w:rPr>
                <w:rFonts w:cs="Open Sans"/>
                <w:color w:val="000000"/>
              </w:rPr>
              <w:t>Same as above with a 0.3 floor</w:t>
            </w:r>
            <w:r w:rsidR="00A55C5D">
              <w:rPr>
                <w:rFonts w:cs="Open Sans"/>
                <w:color w:val="000000"/>
              </w:rPr>
              <w:t>.</w:t>
            </w:r>
          </w:p>
        </w:tc>
      </w:tr>
      <w:tr w:rsidR="00AB018D" w:rsidRPr="00AE2C18" w14:paraId="6CC691A3" w14:textId="77777777" w:rsidTr="00134331">
        <w:tc>
          <w:tcPr>
            <w:tcW w:w="0" w:type="auto"/>
            <w:tcBorders>
              <w:top w:val="nil"/>
              <w:bottom w:val="nil"/>
            </w:tcBorders>
            <w:shd w:val="clear" w:color="000000" w:fill="auto"/>
          </w:tcPr>
          <w:p w14:paraId="5838BE36" w14:textId="23375BB6" w:rsidR="00AB018D" w:rsidRPr="00AE2C18" w:rsidRDefault="00AB018D" w:rsidP="00AE2C18">
            <w:pPr>
              <w:pStyle w:val="TableHeading"/>
              <w:spacing w:before="45" w:after="45"/>
              <w:rPr>
                <w:rFonts w:cs="Open Sans"/>
                <w:color w:val="1D4374"/>
              </w:rPr>
            </w:pPr>
            <w:r w:rsidRPr="00AE2C18">
              <w:rPr>
                <w:rFonts w:eastAsia="Times New Roman" w:cs="Open Sans"/>
                <w:color w:val="1D4374"/>
                <w:lang w:eastAsia="zh-CN" w:bidi="th-TH"/>
              </w:rPr>
              <w:t>6</w:t>
            </w:r>
          </w:p>
        </w:tc>
        <w:tc>
          <w:tcPr>
            <w:tcW w:w="0" w:type="auto"/>
            <w:tcBorders>
              <w:top w:val="nil"/>
              <w:bottom w:val="nil"/>
            </w:tcBorders>
            <w:shd w:val="clear" w:color="000000" w:fill="auto"/>
          </w:tcPr>
          <w:p w14:paraId="13E5F6DC" w14:textId="1DC61542"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0.75 floor</w:t>
            </w:r>
          </w:p>
        </w:tc>
        <w:tc>
          <w:tcPr>
            <w:tcW w:w="0" w:type="auto"/>
            <w:tcBorders>
              <w:top w:val="nil"/>
              <w:bottom w:val="nil"/>
            </w:tcBorders>
            <w:shd w:val="clear" w:color="000000" w:fill="auto"/>
          </w:tcPr>
          <w:p w14:paraId="783C1635" w14:textId="346B47FC" w:rsidR="00AB018D" w:rsidRPr="00AE2C18" w:rsidRDefault="007C0C00" w:rsidP="00AE2C18">
            <w:pPr>
              <w:pStyle w:val="TableBody"/>
              <w:spacing w:before="45" w:after="45"/>
              <w:ind w:right="108"/>
              <w:rPr>
                <w:rFonts w:cs="Open Sans"/>
                <w:color w:val="000000"/>
              </w:rPr>
            </w:pPr>
            <w:r>
              <w:rPr>
                <w:rFonts w:eastAsia="Times New Roman" w:cs="Open Sans"/>
                <w:color w:val="000000"/>
                <w:lang w:eastAsia="zh-CN" w:bidi="th-TH"/>
              </w:rPr>
              <w:t>Maximum of s</w:t>
            </w:r>
            <w:r w:rsidRPr="00AE2C18">
              <w:rPr>
                <w:rFonts w:eastAsia="Times New Roman" w:cs="Open Sans"/>
                <w:color w:val="000000"/>
                <w:lang w:eastAsia="zh-CN" w:bidi="th-TH"/>
              </w:rPr>
              <w:t>tate</w:t>
            </w:r>
            <w:r w:rsidR="00AB018D" w:rsidRPr="00AE2C18">
              <w:rPr>
                <w:rFonts w:eastAsia="Times New Roman" w:cs="Open Sans"/>
                <w:color w:val="000000"/>
                <w:lang w:eastAsia="zh-CN" w:bidi="th-TH"/>
              </w:rPr>
              <w:t xml:space="preserve"> with greatest capacity or floor</w:t>
            </w:r>
          </w:p>
        </w:tc>
        <w:tc>
          <w:tcPr>
            <w:tcW w:w="0" w:type="auto"/>
            <w:tcBorders>
              <w:top w:val="nil"/>
              <w:bottom w:val="nil"/>
            </w:tcBorders>
            <w:shd w:val="clear" w:color="000000" w:fill="auto"/>
          </w:tcPr>
          <w:p w14:paraId="2BFAB852" w14:textId="77777777" w:rsidR="00AB018D" w:rsidRPr="00AE2C18" w:rsidRDefault="00AB018D" w:rsidP="00AE2C18">
            <w:pPr>
              <w:pStyle w:val="TableBody"/>
              <w:spacing w:before="45" w:after="45"/>
              <w:ind w:right="108"/>
              <w:rPr>
                <w:rFonts w:eastAsia="Times New Roman" w:cs="Open Sans"/>
                <w:color w:val="000000"/>
                <w:lang w:eastAsia="zh-CN" w:bidi="th-TH"/>
              </w:rPr>
            </w:pPr>
          </w:p>
        </w:tc>
        <w:tc>
          <w:tcPr>
            <w:tcW w:w="0" w:type="auto"/>
            <w:tcBorders>
              <w:top w:val="nil"/>
              <w:bottom w:val="nil"/>
            </w:tcBorders>
            <w:shd w:val="clear" w:color="000000" w:fill="auto"/>
          </w:tcPr>
          <w:p w14:paraId="342CE99D" w14:textId="188D6BBE"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0.75</w:t>
            </w:r>
          </w:p>
        </w:tc>
        <w:tc>
          <w:tcPr>
            <w:tcW w:w="0" w:type="auto"/>
            <w:tcBorders>
              <w:top w:val="nil"/>
              <w:bottom w:val="nil"/>
            </w:tcBorders>
            <w:shd w:val="clear" w:color="000000" w:fill="auto"/>
          </w:tcPr>
          <w:p w14:paraId="3A0AF757" w14:textId="046B18D7"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Includes pool boost</w:t>
            </w:r>
          </w:p>
        </w:tc>
        <w:tc>
          <w:tcPr>
            <w:tcW w:w="0" w:type="auto"/>
            <w:tcBorders>
              <w:top w:val="nil"/>
              <w:bottom w:val="nil"/>
            </w:tcBorders>
            <w:shd w:val="clear" w:color="000000" w:fill="auto"/>
          </w:tcPr>
          <w:p w14:paraId="51BF8D23" w14:textId="1BA4A828"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 xml:space="preserve">Excludes </w:t>
            </w:r>
            <w:proofErr w:type="spellStart"/>
            <w:r w:rsidRPr="00AE2C18">
              <w:rPr>
                <w:rFonts w:eastAsia="Times New Roman" w:cs="Open Sans"/>
                <w:color w:val="000000"/>
                <w:lang w:eastAsia="zh-CN" w:bidi="th-TH"/>
              </w:rPr>
              <w:t>NoWO</w:t>
            </w:r>
            <w:proofErr w:type="spellEnd"/>
          </w:p>
        </w:tc>
        <w:tc>
          <w:tcPr>
            <w:tcW w:w="0" w:type="auto"/>
            <w:tcBorders>
              <w:top w:val="nil"/>
              <w:bottom w:val="nil"/>
            </w:tcBorders>
            <w:shd w:val="clear" w:color="000000" w:fill="auto"/>
          </w:tcPr>
          <w:p w14:paraId="3C964AF6" w14:textId="55C3B74F"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 xml:space="preserve">Same as </w:t>
            </w:r>
            <w:r w:rsidR="00172F20">
              <w:rPr>
                <w:rFonts w:eastAsia="Times New Roman" w:cs="Open Sans"/>
                <w:color w:val="000000"/>
                <w:lang w:eastAsia="zh-CN" w:bidi="th-TH"/>
              </w:rPr>
              <w:t xml:space="preserve">arrangement </w:t>
            </w:r>
            <w:r w:rsidRPr="00AE2C18">
              <w:rPr>
                <w:rFonts w:eastAsia="Times New Roman" w:cs="Open Sans"/>
                <w:color w:val="000000"/>
                <w:lang w:eastAsia="zh-CN" w:bidi="th-TH"/>
              </w:rPr>
              <w:t xml:space="preserve">3 but with the pool boost and without </w:t>
            </w:r>
            <w:proofErr w:type="spellStart"/>
            <w:r w:rsidRPr="00AE2C18">
              <w:rPr>
                <w:rFonts w:eastAsia="Times New Roman" w:cs="Open Sans"/>
                <w:color w:val="000000"/>
                <w:lang w:eastAsia="zh-CN" w:bidi="th-TH"/>
              </w:rPr>
              <w:t>NoWO</w:t>
            </w:r>
            <w:proofErr w:type="spellEnd"/>
            <w:r w:rsidR="00A55C5D">
              <w:rPr>
                <w:rFonts w:eastAsia="Times New Roman" w:cs="Open Sans"/>
                <w:color w:val="000000"/>
                <w:lang w:eastAsia="zh-CN" w:bidi="th-TH"/>
              </w:rPr>
              <w:t>.</w:t>
            </w:r>
          </w:p>
        </w:tc>
      </w:tr>
      <w:tr w:rsidR="00AB018D" w:rsidRPr="00AE2C18" w14:paraId="5AB0CC2D" w14:textId="77777777" w:rsidTr="00134331">
        <w:tc>
          <w:tcPr>
            <w:tcW w:w="0" w:type="auto"/>
            <w:tcBorders>
              <w:bottom w:val="nil"/>
            </w:tcBorders>
            <w:shd w:val="clear" w:color="000000" w:fill="E6E6E6"/>
          </w:tcPr>
          <w:p w14:paraId="36AC005C" w14:textId="52D03931" w:rsidR="00AB018D" w:rsidRPr="00AE2C18" w:rsidRDefault="00AB018D" w:rsidP="00AE2C18">
            <w:pPr>
              <w:pStyle w:val="TableHeading"/>
              <w:spacing w:before="45" w:after="45"/>
              <w:rPr>
                <w:rFonts w:cs="Open Sans"/>
                <w:color w:val="1D4374"/>
              </w:rPr>
            </w:pPr>
            <w:r w:rsidRPr="00AE2C18">
              <w:rPr>
                <w:rFonts w:eastAsia="Times New Roman" w:cs="Open Sans"/>
                <w:color w:val="1D4374"/>
                <w:lang w:eastAsia="zh-CN" w:bidi="th-TH"/>
              </w:rPr>
              <w:lastRenderedPageBreak/>
              <w:t>7</w:t>
            </w:r>
          </w:p>
        </w:tc>
        <w:tc>
          <w:tcPr>
            <w:tcW w:w="0" w:type="auto"/>
            <w:tcBorders>
              <w:bottom w:val="nil"/>
            </w:tcBorders>
            <w:shd w:val="clear" w:color="000000" w:fill="E6E6E6"/>
          </w:tcPr>
          <w:p w14:paraId="7F969924" w14:textId="192EF1E2"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0.5 floor</w:t>
            </w:r>
          </w:p>
        </w:tc>
        <w:tc>
          <w:tcPr>
            <w:tcW w:w="0" w:type="auto"/>
            <w:tcBorders>
              <w:bottom w:val="nil"/>
            </w:tcBorders>
            <w:shd w:val="clear" w:color="000000" w:fill="E6E6E6"/>
          </w:tcPr>
          <w:p w14:paraId="4F7E0478" w14:textId="77E0B0F5" w:rsidR="00AB018D" w:rsidRPr="00AE2C18" w:rsidRDefault="007C0C00" w:rsidP="00AE2C18">
            <w:pPr>
              <w:pStyle w:val="TableBody"/>
              <w:spacing w:before="45" w:after="45"/>
              <w:ind w:right="108"/>
              <w:rPr>
                <w:rFonts w:cs="Open Sans"/>
                <w:color w:val="000000"/>
              </w:rPr>
            </w:pPr>
            <w:r>
              <w:rPr>
                <w:rFonts w:eastAsia="Times New Roman" w:cs="Open Sans"/>
                <w:color w:val="000000"/>
                <w:lang w:eastAsia="zh-CN" w:bidi="th-TH"/>
              </w:rPr>
              <w:t>Maximum of s</w:t>
            </w:r>
            <w:r w:rsidRPr="00AE2C18">
              <w:rPr>
                <w:rFonts w:eastAsia="Times New Roman" w:cs="Open Sans"/>
                <w:color w:val="000000"/>
                <w:lang w:eastAsia="zh-CN" w:bidi="th-TH"/>
              </w:rPr>
              <w:t>tate</w:t>
            </w:r>
            <w:r w:rsidR="00AB018D" w:rsidRPr="00AE2C18">
              <w:rPr>
                <w:rFonts w:eastAsia="Times New Roman" w:cs="Open Sans"/>
                <w:color w:val="000000"/>
                <w:lang w:eastAsia="zh-CN" w:bidi="th-TH"/>
              </w:rPr>
              <w:t xml:space="preserve"> with greatest capacity or floor</w:t>
            </w:r>
          </w:p>
        </w:tc>
        <w:tc>
          <w:tcPr>
            <w:tcW w:w="0" w:type="auto"/>
            <w:tcBorders>
              <w:bottom w:val="nil"/>
            </w:tcBorders>
            <w:shd w:val="clear" w:color="000000" w:fill="E6E6E6"/>
          </w:tcPr>
          <w:p w14:paraId="596A7906" w14:textId="77777777" w:rsidR="00AB018D" w:rsidRPr="00AE2C18" w:rsidRDefault="00AB018D" w:rsidP="00AE2C18">
            <w:pPr>
              <w:pStyle w:val="TableBody"/>
              <w:spacing w:before="45" w:after="45"/>
              <w:ind w:right="108"/>
              <w:rPr>
                <w:rFonts w:eastAsia="Times New Roman" w:cs="Open Sans"/>
                <w:color w:val="000000"/>
                <w:lang w:eastAsia="zh-CN" w:bidi="th-TH"/>
              </w:rPr>
            </w:pPr>
          </w:p>
        </w:tc>
        <w:tc>
          <w:tcPr>
            <w:tcW w:w="0" w:type="auto"/>
            <w:tcBorders>
              <w:bottom w:val="nil"/>
            </w:tcBorders>
            <w:shd w:val="clear" w:color="000000" w:fill="E6E6E6"/>
          </w:tcPr>
          <w:p w14:paraId="307E5C51" w14:textId="218CC33E"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0.5</w:t>
            </w:r>
          </w:p>
        </w:tc>
        <w:tc>
          <w:tcPr>
            <w:tcW w:w="0" w:type="auto"/>
            <w:tcBorders>
              <w:bottom w:val="nil"/>
            </w:tcBorders>
            <w:shd w:val="clear" w:color="000000" w:fill="E6E6E6"/>
          </w:tcPr>
          <w:p w14:paraId="7AA85867" w14:textId="302ADB38"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Includes pool boost</w:t>
            </w:r>
          </w:p>
        </w:tc>
        <w:tc>
          <w:tcPr>
            <w:tcW w:w="0" w:type="auto"/>
            <w:tcBorders>
              <w:bottom w:val="nil"/>
            </w:tcBorders>
            <w:shd w:val="clear" w:color="000000" w:fill="E6E6E6"/>
          </w:tcPr>
          <w:p w14:paraId="2754647A" w14:textId="7728C7EF"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 xml:space="preserve">Excludes </w:t>
            </w:r>
            <w:proofErr w:type="spellStart"/>
            <w:r w:rsidRPr="00AE2C18">
              <w:rPr>
                <w:rFonts w:eastAsia="Times New Roman" w:cs="Open Sans"/>
                <w:color w:val="000000"/>
                <w:lang w:eastAsia="zh-CN" w:bidi="th-TH"/>
              </w:rPr>
              <w:t>NoWO</w:t>
            </w:r>
            <w:proofErr w:type="spellEnd"/>
          </w:p>
        </w:tc>
        <w:tc>
          <w:tcPr>
            <w:tcW w:w="0" w:type="auto"/>
            <w:tcBorders>
              <w:bottom w:val="nil"/>
            </w:tcBorders>
            <w:shd w:val="clear" w:color="000000" w:fill="E6E6E6"/>
          </w:tcPr>
          <w:p w14:paraId="6B9F55F0" w14:textId="0B7314E9"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 xml:space="preserve">Same as </w:t>
            </w:r>
            <w:r w:rsidR="00172F20">
              <w:rPr>
                <w:rFonts w:eastAsia="Times New Roman" w:cs="Open Sans"/>
                <w:color w:val="000000"/>
                <w:lang w:eastAsia="zh-CN" w:bidi="th-TH"/>
              </w:rPr>
              <w:t>arrangement</w:t>
            </w:r>
            <w:r w:rsidRPr="00AE2C18">
              <w:rPr>
                <w:rFonts w:eastAsia="Times New Roman" w:cs="Open Sans"/>
                <w:color w:val="000000"/>
                <w:lang w:eastAsia="zh-CN" w:bidi="th-TH"/>
              </w:rPr>
              <w:t xml:space="preserve"> 4 but with the pool boost and without </w:t>
            </w:r>
            <w:proofErr w:type="spellStart"/>
            <w:r w:rsidRPr="00AE2C18">
              <w:rPr>
                <w:rFonts w:eastAsia="Times New Roman" w:cs="Open Sans"/>
                <w:color w:val="000000"/>
                <w:lang w:eastAsia="zh-CN" w:bidi="th-TH"/>
              </w:rPr>
              <w:t>NoWO</w:t>
            </w:r>
            <w:proofErr w:type="spellEnd"/>
            <w:r w:rsidR="00A55C5D">
              <w:rPr>
                <w:rFonts w:eastAsia="Times New Roman" w:cs="Open Sans"/>
                <w:color w:val="000000"/>
                <w:lang w:eastAsia="zh-CN" w:bidi="th-TH"/>
              </w:rPr>
              <w:t>.</w:t>
            </w:r>
          </w:p>
        </w:tc>
      </w:tr>
      <w:tr w:rsidR="00AB018D" w:rsidRPr="00AE2C18" w14:paraId="643D1560" w14:textId="77777777" w:rsidTr="00134331">
        <w:tc>
          <w:tcPr>
            <w:tcW w:w="0" w:type="auto"/>
            <w:tcBorders>
              <w:top w:val="nil"/>
              <w:bottom w:val="nil"/>
            </w:tcBorders>
            <w:shd w:val="clear" w:color="000000" w:fill="auto"/>
          </w:tcPr>
          <w:p w14:paraId="08426ACA" w14:textId="5E29656E" w:rsidR="00AB018D" w:rsidRPr="00AE2C18" w:rsidRDefault="00AB018D" w:rsidP="00AE2C18">
            <w:pPr>
              <w:pStyle w:val="TableHeading"/>
              <w:spacing w:before="45" w:after="45"/>
              <w:rPr>
                <w:rFonts w:cs="Open Sans"/>
                <w:color w:val="1D4374"/>
              </w:rPr>
            </w:pPr>
            <w:r w:rsidRPr="00AE2C18">
              <w:rPr>
                <w:rFonts w:eastAsia="Times New Roman" w:cs="Open Sans"/>
                <w:color w:val="1D4374"/>
                <w:lang w:eastAsia="zh-CN" w:bidi="th-TH"/>
              </w:rPr>
              <w:t>8</w:t>
            </w:r>
          </w:p>
        </w:tc>
        <w:tc>
          <w:tcPr>
            <w:tcW w:w="0" w:type="auto"/>
            <w:tcBorders>
              <w:top w:val="nil"/>
              <w:bottom w:val="nil"/>
            </w:tcBorders>
            <w:shd w:val="clear" w:color="000000" w:fill="auto"/>
          </w:tcPr>
          <w:p w14:paraId="77076DAB" w14:textId="75250765"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0.3 floor</w:t>
            </w:r>
          </w:p>
        </w:tc>
        <w:tc>
          <w:tcPr>
            <w:tcW w:w="0" w:type="auto"/>
            <w:tcBorders>
              <w:top w:val="nil"/>
              <w:bottom w:val="nil"/>
            </w:tcBorders>
            <w:shd w:val="clear" w:color="000000" w:fill="auto"/>
          </w:tcPr>
          <w:p w14:paraId="7307325A" w14:textId="2C50883E" w:rsidR="00AB018D" w:rsidRPr="00AE2C18" w:rsidRDefault="007C0C00" w:rsidP="00AE2C18">
            <w:pPr>
              <w:pStyle w:val="TableBody"/>
              <w:spacing w:before="45" w:after="45"/>
              <w:ind w:right="108"/>
              <w:rPr>
                <w:rFonts w:cs="Open Sans"/>
                <w:color w:val="000000"/>
              </w:rPr>
            </w:pPr>
            <w:r>
              <w:rPr>
                <w:rFonts w:eastAsia="Times New Roman" w:cs="Open Sans"/>
                <w:color w:val="000000"/>
                <w:lang w:eastAsia="zh-CN" w:bidi="th-TH"/>
              </w:rPr>
              <w:t>Maximum of s</w:t>
            </w:r>
            <w:r w:rsidRPr="00AE2C18">
              <w:rPr>
                <w:rFonts w:eastAsia="Times New Roman" w:cs="Open Sans"/>
                <w:color w:val="000000"/>
                <w:lang w:eastAsia="zh-CN" w:bidi="th-TH"/>
              </w:rPr>
              <w:t>tate</w:t>
            </w:r>
            <w:r w:rsidR="00AB018D" w:rsidRPr="00AE2C18">
              <w:rPr>
                <w:rFonts w:eastAsia="Times New Roman" w:cs="Open Sans"/>
                <w:color w:val="000000"/>
                <w:lang w:eastAsia="zh-CN" w:bidi="th-TH"/>
              </w:rPr>
              <w:t xml:space="preserve"> with greatest capacity or floor</w:t>
            </w:r>
          </w:p>
        </w:tc>
        <w:tc>
          <w:tcPr>
            <w:tcW w:w="0" w:type="auto"/>
            <w:tcBorders>
              <w:top w:val="nil"/>
              <w:bottom w:val="nil"/>
            </w:tcBorders>
            <w:shd w:val="clear" w:color="000000" w:fill="auto"/>
          </w:tcPr>
          <w:p w14:paraId="5E80E09B" w14:textId="77777777" w:rsidR="00AB018D" w:rsidRPr="00AE2C18" w:rsidRDefault="00AB018D" w:rsidP="00AE2C18">
            <w:pPr>
              <w:pStyle w:val="TableBody"/>
              <w:spacing w:before="45" w:after="45"/>
              <w:ind w:right="108"/>
              <w:rPr>
                <w:rFonts w:eastAsia="Times New Roman" w:cs="Open Sans"/>
                <w:color w:val="000000"/>
                <w:lang w:eastAsia="zh-CN" w:bidi="th-TH"/>
              </w:rPr>
            </w:pPr>
          </w:p>
        </w:tc>
        <w:tc>
          <w:tcPr>
            <w:tcW w:w="0" w:type="auto"/>
            <w:tcBorders>
              <w:top w:val="nil"/>
              <w:bottom w:val="nil"/>
            </w:tcBorders>
            <w:shd w:val="clear" w:color="000000" w:fill="auto"/>
          </w:tcPr>
          <w:p w14:paraId="7623A300" w14:textId="2C128C1C"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0.3</w:t>
            </w:r>
          </w:p>
        </w:tc>
        <w:tc>
          <w:tcPr>
            <w:tcW w:w="0" w:type="auto"/>
            <w:tcBorders>
              <w:top w:val="nil"/>
              <w:bottom w:val="nil"/>
            </w:tcBorders>
            <w:shd w:val="clear" w:color="000000" w:fill="auto"/>
          </w:tcPr>
          <w:p w14:paraId="50311E07" w14:textId="5E95C6F7"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Includes pool boost</w:t>
            </w:r>
          </w:p>
        </w:tc>
        <w:tc>
          <w:tcPr>
            <w:tcW w:w="0" w:type="auto"/>
            <w:tcBorders>
              <w:top w:val="nil"/>
              <w:bottom w:val="nil"/>
            </w:tcBorders>
            <w:shd w:val="clear" w:color="000000" w:fill="auto"/>
          </w:tcPr>
          <w:p w14:paraId="0759C318" w14:textId="32FEE5CC"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 xml:space="preserve">Excludes </w:t>
            </w:r>
            <w:proofErr w:type="spellStart"/>
            <w:r w:rsidRPr="00AE2C18">
              <w:rPr>
                <w:rFonts w:eastAsia="Times New Roman" w:cs="Open Sans"/>
                <w:color w:val="000000"/>
                <w:lang w:eastAsia="zh-CN" w:bidi="th-TH"/>
              </w:rPr>
              <w:t>NoWO</w:t>
            </w:r>
            <w:proofErr w:type="spellEnd"/>
          </w:p>
        </w:tc>
        <w:tc>
          <w:tcPr>
            <w:tcW w:w="0" w:type="auto"/>
            <w:tcBorders>
              <w:top w:val="nil"/>
              <w:bottom w:val="nil"/>
            </w:tcBorders>
            <w:shd w:val="clear" w:color="000000" w:fill="auto"/>
          </w:tcPr>
          <w:p w14:paraId="199E2D50" w14:textId="2274ED9A"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 xml:space="preserve">Same as </w:t>
            </w:r>
            <w:r w:rsidR="00172F20">
              <w:rPr>
                <w:rFonts w:eastAsia="Times New Roman" w:cs="Open Sans"/>
                <w:color w:val="000000"/>
                <w:lang w:eastAsia="zh-CN" w:bidi="th-TH"/>
              </w:rPr>
              <w:t xml:space="preserve">arrangement </w:t>
            </w:r>
            <w:r w:rsidRPr="00AE2C18">
              <w:rPr>
                <w:rFonts w:eastAsia="Times New Roman" w:cs="Open Sans"/>
                <w:color w:val="000000"/>
                <w:lang w:eastAsia="zh-CN" w:bidi="th-TH"/>
              </w:rPr>
              <w:t xml:space="preserve">5 but with the pool boost and without </w:t>
            </w:r>
            <w:proofErr w:type="spellStart"/>
            <w:r w:rsidRPr="00AE2C18">
              <w:rPr>
                <w:rFonts w:eastAsia="Times New Roman" w:cs="Open Sans"/>
                <w:color w:val="000000"/>
                <w:lang w:eastAsia="zh-CN" w:bidi="th-TH"/>
              </w:rPr>
              <w:t>NoWO</w:t>
            </w:r>
            <w:proofErr w:type="spellEnd"/>
            <w:r w:rsidR="00A55C5D">
              <w:rPr>
                <w:rFonts w:eastAsia="Times New Roman" w:cs="Open Sans"/>
                <w:color w:val="000000"/>
                <w:lang w:eastAsia="zh-CN" w:bidi="th-TH"/>
              </w:rPr>
              <w:t>.</w:t>
            </w:r>
          </w:p>
        </w:tc>
      </w:tr>
      <w:tr w:rsidR="00AB018D" w:rsidRPr="00AE2C18" w14:paraId="678BACC7" w14:textId="77777777" w:rsidTr="00134331">
        <w:tc>
          <w:tcPr>
            <w:tcW w:w="0" w:type="auto"/>
            <w:tcBorders>
              <w:bottom w:val="nil"/>
            </w:tcBorders>
            <w:shd w:val="clear" w:color="000000" w:fill="E6E6E6"/>
          </w:tcPr>
          <w:p w14:paraId="0E7FA1F9" w14:textId="7C5FF23C" w:rsidR="00AB018D" w:rsidRPr="00AE2C18" w:rsidRDefault="00AB018D" w:rsidP="00AE2C18">
            <w:pPr>
              <w:pStyle w:val="TableHeading"/>
              <w:spacing w:before="45" w:after="45"/>
              <w:rPr>
                <w:rFonts w:cs="Open Sans"/>
                <w:color w:val="1D4374"/>
              </w:rPr>
            </w:pPr>
            <w:r w:rsidRPr="00AE2C18">
              <w:rPr>
                <w:rFonts w:eastAsia="Times New Roman" w:cs="Open Sans"/>
                <w:color w:val="1D4374"/>
                <w:lang w:eastAsia="zh-CN" w:bidi="th-TH"/>
              </w:rPr>
              <w:t>9</w:t>
            </w:r>
          </w:p>
        </w:tc>
        <w:tc>
          <w:tcPr>
            <w:tcW w:w="0" w:type="auto"/>
            <w:tcBorders>
              <w:bottom w:val="nil"/>
            </w:tcBorders>
            <w:shd w:val="clear" w:color="000000" w:fill="E6E6E6"/>
          </w:tcPr>
          <w:p w14:paraId="51758F18" w14:textId="07DCEC80"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Pre-2018</w:t>
            </w:r>
          </w:p>
        </w:tc>
        <w:tc>
          <w:tcPr>
            <w:tcW w:w="0" w:type="auto"/>
            <w:tcBorders>
              <w:bottom w:val="nil"/>
            </w:tcBorders>
            <w:shd w:val="clear" w:color="000000" w:fill="E6E6E6"/>
          </w:tcPr>
          <w:p w14:paraId="25FF6A0E" w14:textId="416991FD"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State with greatest capacity</w:t>
            </w:r>
          </w:p>
        </w:tc>
        <w:tc>
          <w:tcPr>
            <w:tcW w:w="0" w:type="auto"/>
            <w:tcBorders>
              <w:bottom w:val="nil"/>
            </w:tcBorders>
            <w:shd w:val="clear" w:color="000000" w:fill="E6E6E6"/>
          </w:tcPr>
          <w:p w14:paraId="528D7E21" w14:textId="77777777" w:rsidR="00AB018D" w:rsidRPr="00AE2C18" w:rsidRDefault="00AB018D" w:rsidP="00AE2C18">
            <w:pPr>
              <w:pStyle w:val="TableBody"/>
              <w:spacing w:before="45" w:after="45"/>
              <w:ind w:right="108"/>
              <w:rPr>
                <w:rFonts w:eastAsia="Times New Roman" w:cs="Open Sans"/>
                <w:color w:val="000000"/>
                <w:lang w:eastAsia="zh-CN" w:bidi="th-TH"/>
              </w:rPr>
            </w:pPr>
          </w:p>
        </w:tc>
        <w:tc>
          <w:tcPr>
            <w:tcW w:w="0" w:type="auto"/>
            <w:tcBorders>
              <w:bottom w:val="nil"/>
            </w:tcBorders>
            <w:shd w:val="clear" w:color="000000" w:fill="E6E6E6"/>
          </w:tcPr>
          <w:p w14:paraId="529468DC" w14:textId="0A126630"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w:t>
            </w:r>
          </w:p>
        </w:tc>
        <w:tc>
          <w:tcPr>
            <w:tcW w:w="0" w:type="auto"/>
            <w:tcBorders>
              <w:bottom w:val="nil"/>
            </w:tcBorders>
            <w:shd w:val="clear" w:color="000000" w:fill="E6E6E6"/>
          </w:tcPr>
          <w:p w14:paraId="2287AE98" w14:textId="7EE6F9A7"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Excludes pool boost</w:t>
            </w:r>
          </w:p>
        </w:tc>
        <w:tc>
          <w:tcPr>
            <w:tcW w:w="0" w:type="auto"/>
            <w:tcBorders>
              <w:bottom w:val="nil"/>
            </w:tcBorders>
            <w:shd w:val="clear" w:color="000000" w:fill="E6E6E6"/>
          </w:tcPr>
          <w:p w14:paraId="4A41BB8F" w14:textId="7E048109"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 xml:space="preserve">Excludes </w:t>
            </w:r>
            <w:proofErr w:type="spellStart"/>
            <w:r w:rsidRPr="00AE2C18">
              <w:rPr>
                <w:rFonts w:eastAsia="Times New Roman" w:cs="Open Sans"/>
                <w:color w:val="000000"/>
                <w:lang w:eastAsia="zh-CN" w:bidi="th-TH"/>
              </w:rPr>
              <w:t>NoWO</w:t>
            </w:r>
            <w:proofErr w:type="spellEnd"/>
          </w:p>
        </w:tc>
        <w:tc>
          <w:tcPr>
            <w:tcW w:w="0" w:type="auto"/>
            <w:tcBorders>
              <w:bottom w:val="nil"/>
            </w:tcBorders>
            <w:shd w:val="clear" w:color="000000" w:fill="E6E6E6"/>
          </w:tcPr>
          <w:p w14:paraId="56C53B95" w14:textId="2ACD3768" w:rsidR="00AB018D" w:rsidRPr="00AE2C18" w:rsidRDefault="00C3724B" w:rsidP="00AE2C18">
            <w:pPr>
              <w:pStyle w:val="TableBody"/>
              <w:spacing w:before="45" w:after="45"/>
              <w:ind w:right="108"/>
              <w:rPr>
                <w:rFonts w:cs="Open Sans"/>
                <w:color w:val="000000"/>
              </w:rPr>
            </w:pPr>
            <w:r>
              <w:rPr>
                <w:rFonts w:cs="Open Sans"/>
                <w:color w:val="000000"/>
              </w:rPr>
              <w:t>Horizontal Fiscal Equalisation (</w:t>
            </w:r>
            <w:r w:rsidR="00AB018D" w:rsidRPr="00AE2C18">
              <w:rPr>
                <w:rFonts w:cs="Open Sans"/>
                <w:color w:val="000000"/>
              </w:rPr>
              <w:t>HFE</w:t>
            </w:r>
            <w:r>
              <w:rPr>
                <w:rFonts w:cs="Open Sans"/>
                <w:color w:val="000000"/>
              </w:rPr>
              <w:t>)</w:t>
            </w:r>
            <w:r w:rsidR="00AB018D" w:rsidRPr="00AE2C18">
              <w:rPr>
                <w:rFonts w:cs="Open Sans"/>
                <w:color w:val="000000"/>
              </w:rPr>
              <w:t xml:space="preserve"> method used by the CGC prior to 2018 reforms – assessed relativities as identified in step 1 of Figure 2.1 of the Interim Report.</w:t>
            </w:r>
          </w:p>
        </w:tc>
      </w:tr>
      <w:tr w:rsidR="00AB018D" w:rsidRPr="00AE2C18" w14:paraId="29B19CA3" w14:textId="77777777" w:rsidTr="00134331">
        <w:tc>
          <w:tcPr>
            <w:tcW w:w="0" w:type="auto"/>
            <w:tcBorders>
              <w:top w:val="nil"/>
              <w:bottom w:val="nil"/>
            </w:tcBorders>
            <w:shd w:val="clear" w:color="000000" w:fill="auto"/>
          </w:tcPr>
          <w:p w14:paraId="28989313" w14:textId="1628FC7F" w:rsidR="00AB018D" w:rsidRPr="00AE2C18" w:rsidRDefault="00AB018D" w:rsidP="00AE2C18">
            <w:pPr>
              <w:pStyle w:val="TableHeading"/>
              <w:spacing w:before="45" w:after="45"/>
              <w:rPr>
                <w:rFonts w:cs="Open Sans"/>
                <w:color w:val="1D4374"/>
              </w:rPr>
            </w:pPr>
            <w:r w:rsidRPr="00AE2C18">
              <w:rPr>
                <w:rFonts w:eastAsia="Times New Roman" w:cs="Open Sans"/>
                <w:color w:val="1D4374"/>
                <w:lang w:eastAsia="zh-CN" w:bidi="th-TH"/>
              </w:rPr>
              <w:t>10</w:t>
            </w:r>
          </w:p>
        </w:tc>
        <w:tc>
          <w:tcPr>
            <w:tcW w:w="0" w:type="auto"/>
            <w:tcBorders>
              <w:top w:val="nil"/>
              <w:bottom w:val="nil"/>
            </w:tcBorders>
            <w:shd w:val="clear" w:color="000000" w:fill="auto"/>
          </w:tcPr>
          <w:p w14:paraId="004F025E" w14:textId="3D6B5CD1"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10% mining discount</w:t>
            </w:r>
          </w:p>
        </w:tc>
        <w:tc>
          <w:tcPr>
            <w:tcW w:w="0" w:type="auto"/>
            <w:tcBorders>
              <w:top w:val="nil"/>
              <w:bottom w:val="nil"/>
            </w:tcBorders>
            <w:shd w:val="clear" w:color="000000" w:fill="auto"/>
          </w:tcPr>
          <w:p w14:paraId="721A880B" w14:textId="5AD49F1B"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State with greatest capacity</w:t>
            </w:r>
          </w:p>
        </w:tc>
        <w:tc>
          <w:tcPr>
            <w:tcW w:w="0" w:type="auto"/>
            <w:tcBorders>
              <w:top w:val="nil"/>
              <w:bottom w:val="nil"/>
            </w:tcBorders>
            <w:shd w:val="clear" w:color="000000" w:fill="auto"/>
          </w:tcPr>
          <w:p w14:paraId="4369A691" w14:textId="77777777" w:rsidR="00AB018D" w:rsidRPr="00AE2C18" w:rsidRDefault="00AB018D" w:rsidP="00AE2C18">
            <w:pPr>
              <w:pStyle w:val="TableBody"/>
              <w:spacing w:before="45" w:after="45"/>
              <w:ind w:right="108"/>
              <w:rPr>
                <w:rFonts w:eastAsia="Times New Roman" w:cs="Open Sans"/>
                <w:color w:val="000000"/>
                <w:lang w:eastAsia="zh-CN" w:bidi="th-TH"/>
              </w:rPr>
            </w:pPr>
          </w:p>
        </w:tc>
        <w:tc>
          <w:tcPr>
            <w:tcW w:w="0" w:type="auto"/>
            <w:tcBorders>
              <w:top w:val="nil"/>
              <w:bottom w:val="nil"/>
            </w:tcBorders>
            <w:shd w:val="clear" w:color="000000" w:fill="auto"/>
          </w:tcPr>
          <w:p w14:paraId="7EE1FB2A" w14:textId="29E8BF34"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w:t>
            </w:r>
          </w:p>
        </w:tc>
        <w:tc>
          <w:tcPr>
            <w:tcW w:w="0" w:type="auto"/>
            <w:tcBorders>
              <w:top w:val="nil"/>
              <w:bottom w:val="nil"/>
            </w:tcBorders>
            <w:shd w:val="clear" w:color="000000" w:fill="auto"/>
          </w:tcPr>
          <w:p w14:paraId="3E6D7B82" w14:textId="60FBF30C"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Excludes pool boost</w:t>
            </w:r>
          </w:p>
        </w:tc>
        <w:tc>
          <w:tcPr>
            <w:tcW w:w="0" w:type="auto"/>
            <w:tcBorders>
              <w:top w:val="nil"/>
              <w:bottom w:val="nil"/>
            </w:tcBorders>
            <w:shd w:val="clear" w:color="000000" w:fill="auto"/>
          </w:tcPr>
          <w:p w14:paraId="092810CF" w14:textId="3CA8064D"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 xml:space="preserve">Excludes </w:t>
            </w:r>
            <w:proofErr w:type="spellStart"/>
            <w:r w:rsidRPr="00AE2C18">
              <w:rPr>
                <w:rFonts w:eastAsia="Times New Roman" w:cs="Open Sans"/>
                <w:color w:val="000000"/>
                <w:lang w:eastAsia="zh-CN" w:bidi="th-TH"/>
              </w:rPr>
              <w:t>NoWO</w:t>
            </w:r>
            <w:proofErr w:type="spellEnd"/>
          </w:p>
        </w:tc>
        <w:tc>
          <w:tcPr>
            <w:tcW w:w="0" w:type="auto"/>
            <w:tcBorders>
              <w:top w:val="nil"/>
              <w:bottom w:val="nil"/>
            </w:tcBorders>
            <w:shd w:val="clear" w:color="000000" w:fill="auto"/>
          </w:tcPr>
          <w:p w14:paraId="61197BDC" w14:textId="1C4D68E7"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Model 9 with a 10</w:t>
            </w:r>
            <w:r w:rsidR="00C3724B">
              <w:rPr>
                <w:rFonts w:eastAsia="Times New Roman" w:cs="Open Sans"/>
                <w:color w:val="000000"/>
                <w:lang w:eastAsia="zh-CN" w:bidi="th-TH"/>
              </w:rPr>
              <w:t xml:space="preserve">% </w:t>
            </w:r>
            <w:r w:rsidRPr="00AE2C18">
              <w:rPr>
                <w:rFonts w:eastAsia="Times New Roman" w:cs="Open Sans"/>
                <w:color w:val="000000"/>
                <w:lang w:eastAsia="zh-CN" w:bidi="th-TH"/>
              </w:rPr>
              <w:t>discount applied to CGC assessed mining revenue raising capacity</w:t>
            </w:r>
            <w:r w:rsidR="00A55C5D">
              <w:rPr>
                <w:rFonts w:eastAsia="Times New Roman" w:cs="Open Sans"/>
                <w:color w:val="000000"/>
                <w:lang w:eastAsia="zh-CN" w:bidi="th-TH"/>
              </w:rPr>
              <w:t>.</w:t>
            </w:r>
          </w:p>
        </w:tc>
      </w:tr>
      <w:tr w:rsidR="00AB018D" w:rsidRPr="00AE2C18" w14:paraId="0D0BAE64" w14:textId="77777777" w:rsidTr="00134331">
        <w:tc>
          <w:tcPr>
            <w:tcW w:w="0" w:type="auto"/>
            <w:tcBorders>
              <w:bottom w:val="nil"/>
            </w:tcBorders>
            <w:shd w:val="clear" w:color="000000" w:fill="E6E6E6"/>
          </w:tcPr>
          <w:p w14:paraId="3EB4FCC5" w14:textId="35FE024A" w:rsidR="00AB018D" w:rsidRPr="00AE2C18" w:rsidRDefault="00AB018D" w:rsidP="00AE2C18">
            <w:pPr>
              <w:pStyle w:val="TableHeading"/>
              <w:spacing w:before="45" w:after="45"/>
              <w:rPr>
                <w:rFonts w:cs="Open Sans"/>
                <w:color w:val="1D4374"/>
              </w:rPr>
            </w:pPr>
            <w:r w:rsidRPr="00AE2C18">
              <w:rPr>
                <w:rFonts w:eastAsia="Times New Roman" w:cs="Open Sans"/>
                <w:color w:val="1D4374"/>
                <w:lang w:eastAsia="zh-CN" w:bidi="th-TH"/>
              </w:rPr>
              <w:t>11</w:t>
            </w:r>
          </w:p>
        </w:tc>
        <w:tc>
          <w:tcPr>
            <w:tcW w:w="0" w:type="auto"/>
            <w:tcBorders>
              <w:bottom w:val="nil"/>
            </w:tcBorders>
            <w:shd w:val="clear" w:color="000000" w:fill="E6E6E6"/>
          </w:tcPr>
          <w:p w14:paraId="4051E03E" w14:textId="6CAAA985"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25% mining discount</w:t>
            </w:r>
          </w:p>
        </w:tc>
        <w:tc>
          <w:tcPr>
            <w:tcW w:w="0" w:type="auto"/>
            <w:tcBorders>
              <w:bottom w:val="nil"/>
            </w:tcBorders>
            <w:shd w:val="clear" w:color="000000" w:fill="E6E6E6"/>
          </w:tcPr>
          <w:p w14:paraId="201479BA" w14:textId="6A364EF2"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State with greatest capacity</w:t>
            </w:r>
          </w:p>
        </w:tc>
        <w:tc>
          <w:tcPr>
            <w:tcW w:w="0" w:type="auto"/>
            <w:tcBorders>
              <w:bottom w:val="nil"/>
            </w:tcBorders>
            <w:shd w:val="clear" w:color="000000" w:fill="E6E6E6"/>
          </w:tcPr>
          <w:p w14:paraId="3D3E800D" w14:textId="77777777" w:rsidR="00AB018D" w:rsidRPr="00AE2C18" w:rsidRDefault="00AB018D" w:rsidP="00AE2C18">
            <w:pPr>
              <w:pStyle w:val="TableBody"/>
              <w:spacing w:before="45" w:after="45"/>
              <w:ind w:right="108"/>
              <w:rPr>
                <w:rFonts w:eastAsia="Times New Roman" w:cs="Open Sans"/>
                <w:color w:val="000000"/>
                <w:lang w:eastAsia="zh-CN" w:bidi="th-TH"/>
              </w:rPr>
            </w:pPr>
          </w:p>
        </w:tc>
        <w:tc>
          <w:tcPr>
            <w:tcW w:w="0" w:type="auto"/>
            <w:tcBorders>
              <w:bottom w:val="nil"/>
            </w:tcBorders>
            <w:shd w:val="clear" w:color="000000" w:fill="E6E6E6"/>
          </w:tcPr>
          <w:p w14:paraId="4C8E87D2" w14:textId="407F8F07"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w:t>
            </w:r>
          </w:p>
        </w:tc>
        <w:tc>
          <w:tcPr>
            <w:tcW w:w="0" w:type="auto"/>
            <w:tcBorders>
              <w:bottom w:val="nil"/>
            </w:tcBorders>
            <w:shd w:val="clear" w:color="000000" w:fill="E6E6E6"/>
          </w:tcPr>
          <w:p w14:paraId="12FD666C" w14:textId="789ED5B5"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Excludes pool boost</w:t>
            </w:r>
          </w:p>
        </w:tc>
        <w:tc>
          <w:tcPr>
            <w:tcW w:w="0" w:type="auto"/>
            <w:tcBorders>
              <w:bottom w:val="nil"/>
            </w:tcBorders>
            <w:shd w:val="clear" w:color="000000" w:fill="E6E6E6"/>
          </w:tcPr>
          <w:p w14:paraId="1E4EFCA0" w14:textId="00797C9D"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 xml:space="preserve">Excludes </w:t>
            </w:r>
            <w:proofErr w:type="spellStart"/>
            <w:r w:rsidRPr="00AE2C18">
              <w:rPr>
                <w:rFonts w:eastAsia="Times New Roman" w:cs="Open Sans"/>
                <w:color w:val="000000"/>
                <w:lang w:eastAsia="zh-CN" w:bidi="th-TH"/>
              </w:rPr>
              <w:t>NoWO</w:t>
            </w:r>
            <w:proofErr w:type="spellEnd"/>
          </w:p>
        </w:tc>
        <w:tc>
          <w:tcPr>
            <w:tcW w:w="0" w:type="auto"/>
            <w:tcBorders>
              <w:bottom w:val="nil"/>
            </w:tcBorders>
            <w:shd w:val="clear" w:color="000000" w:fill="E6E6E6"/>
          </w:tcPr>
          <w:p w14:paraId="573E533A" w14:textId="4EDE5A27"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Model 9 with a 25</w:t>
            </w:r>
            <w:r w:rsidR="00C3724B">
              <w:rPr>
                <w:rFonts w:eastAsia="Times New Roman" w:cs="Open Sans"/>
                <w:color w:val="000000"/>
                <w:lang w:eastAsia="zh-CN" w:bidi="th-TH"/>
              </w:rPr>
              <w:t>%</w:t>
            </w:r>
            <w:r w:rsidRPr="00AE2C18">
              <w:rPr>
                <w:rFonts w:eastAsia="Times New Roman" w:cs="Open Sans"/>
                <w:color w:val="000000"/>
                <w:lang w:eastAsia="zh-CN" w:bidi="th-TH"/>
              </w:rPr>
              <w:t xml:space="preserve"> discount applied to CGC assessed mining revenue raising capacity</w:t>
            </w:r>
            <w:r w:rsidR="00A55C5D">
              <w:rPr>
                <w:rFonts w:eastAsia="Times New Roman" w:cs="Open Sans"/>
                <w:color w:val="000000"/>
                <w:lang w:eastAsia="zh-CN" w:bidi="th-TH"/>
              </w:rPr>
              <w:t>.</w:t>
            </w:r>
          </w:p>
        </w:tc>
      </w:tr>
      <w:tr w:rsidR="00AB018D" w:rsidRPr="00AE2C18" w14:paraId="7A8CD2C4" w14:textId="77777777" w:rsidTr="00134331">
        <w:tc>
          <w:tcPr>
            <w:tcW w:w="0" w:type="auto"/>
            <w:tcBorders>
              <w:top w:val="nil"/>
              <w:bottom w:val="nil"/>
            </w:tcBorders>
            <w:shd w:val="clear" w:color="000000" w:fill="auto"/>
          </w:tcPr>
          <w:p w14:paraId="21156302" w14:textId="6D499073" w:rsidR="00AB018D" w:rsidRPr="00AE2C18" w:rsidRDefault="00AB018D" w:rsidP="00AE2C18">
            <w:pPr>
              <w:pStyle w:val="TableHeading"/>
              <w:spacing w:before="45" w:after="45"/>
              <w:rPr>
                <w:rFonts w:cs="Open Sans"/>
                <w:color w:val="1D4374"/>
              </w:rPr>
            </w:pPr>
            <w:r w:rsidRPr="00AE2C18">
              <w:rPr>
                <w:rFonts w:eastAsia="Times New Roman" w:cs="Open Sans"/>
                <w:color w:val="1D4374"/>
                <w:lang w:eastAsia="zh-CN" w:bidi="th-TH"/>
              </w:rPr>
              <w:t>12</w:t>
            </w:r>
          </w:p>
        </w:tc>
        <w:tc>
          <w:tcPr>
            <w:tcW w:w="0" w:type="auto"/>
            <w:tcBorders>
              <w:top w:val="nil"/>
              <w:bottom w:val="nil"/>
            </w:tcBorders>
            <w:shd w:val="clear" w:color="000000" w:fill="auto"/>
          </w:tcPr>
          <w:p w14:paraId="4C8401FE" w14:textId="3A3771FB"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50% mining discount</w:t>
            </w:r>
          </w:p>
        </w:tc>
        <w:tc>
          <w:tcPr>
            <w:tcW w:w="0" w:type="auto"/>
            <w:tcBorders>
              <w:top w:val="nil"/>
              <w:bottom w:val="nil"/>
            </w:tcBorders>
            <w:shd w:val="clear" w:color="000000" w:fill="auto"/>
          </w:tcPr>
          <w:p w14:paraId="7F4D44F0" w14:textId="7C1C7ABA"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State with greatest capacity</w:t>
            </w:r>
          </w:p>
        </w:tc>
        <w:tc>
          <w:tcPr>
            <w:tcW w:w="0" w:type="auto"/>
            <w:tcBorders>
              <w:top w:val="nil"/>
              <w:bottom w:val="nil"/>
            </w:tcBorders>
            <w:shd w:val="clear" w:color="000000" w:fill="auto"/>
          </w:tcPr>
          <w:p w14:paraId="041F6C97" w14:textId="77777777" w:rsidR="00AB018D" w:rsidRPr="00AE2C18" w:rsidRDefault="00AB018D" w:rsidP="00AE2C18">
            <w:pPr>
              <w:pStyle w:val="TableBody"/>
              <w:spacing w:before="45" w:after="45"/>
              <w:ind w:right="108"/>
              <w:rPr>
                <w:rFonts w:eastAsia="Times New Roman" w:cs="Open Sans"/>
                <w:color w:val="000000"/>
                <w:lang w:eastAsia="zh-CN" w:bidi="th-TH"/>
              </w:rPr>
            </w:pPr>
          </w:p>
        </w:tc>
        <w:tc>
          <w:tcPr>
            <w:tcW w:w="0" w:type="auto"/>
            <w:tcBorders>
              <w:top w:val="nil"/>
              <w:bottom w:val="nil"/>
            </w:tcBorders>
            <w:shd w:val="clear" w:color="000000" w:fill="auto"/>
          </w:tcPr>
          <w:p w14:paraId="525A98F5" w14:textId="6B9D3BE3"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w:t>
            </w:r>
          </w:p>
        </w:tc>
        <w:tc>
          <w:tcPr>
            <w:tcW w:w="0" w:type="auto"/>
            <w:tcBorders>
              <w:top w:val="nil"/>
              <w:bottom w:val="nil"/>
            </w:tcBorders>
            <w:shd w:val="clear" w:color="000000" w:fill="auto"/>
          </w:tcPr>
          <w:p w14:paraId="78AACCE3" w14:textId="0A0F594C"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Excludes pool boost</w:t>
            </w:r>
          </w:p>
        </w:tc>
        <w:tc>
          <w:tcPr>
            <w:tcW w:w="0" w:type="auto"/>
            <w:tcBorders>
              <w:top w:val="nil"/>
              <w:bottom w:val="nil"/>
            </w:tcBorders>
            <w:shd w:val="clear" w:color="000000" w:fill="auto"/>
          </w:tcPr>
          <w:p w14:paraId="4B831128" w14:textId="09E16665"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 xml:space="preserve">Excludes </w:t>
            </w:r>
            <w:proofErr w:type="spellStart"/>
            <w:r w:rsidRPr="00AE2C18">
              <w:rPr>
                <w:rFonts w:eastAsia="Times New Roman" w:cs="Open Sans"/>
                <w:color w:val="000000"/>
                <w:lang w:eastAsia="zh-CN" w:bidi="th-TH"/>
              </w:rPr>
              <w:t>NoWO</w:t>
            </w:r>
            <w:proofErr w:type="spellEnd"/>
          </w:p>
        </w:tc>
        <w:tc>
          <w:tcPr>
            <w:tcW w:w="0" w:type="auto"/>
            <w:tcBorders>
              <w:top w:val="nil"/>
              <w:bottom w:val="nil"/>
            </w:tcBorders>
            <w:shd w:val="clear" w:color="000000" w:fill="auto"/>
          </w:tcPr>
          <w:p w14:paraId="7E360C8F" w14:textId="70F82130"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Model 9 with a 50</w:t>
            </w:r>
            <w:r w:rsidR="00C3724B">
              <w:rPr>
                <w:rFonts w:eastAsia="Times New Roman" w:cs="Open Sans"/>
                <w:color w:val="000000"/>
                <w:lang w:eastAsia="zh-CN" w:bidi="th-TH"/>
              </w:rPr>
              <w:t>%</w:t>
            </w:r>
            <w:r w:rsidRPr="00AE2C18">
              <w:rPr>
                <w:rFonts w:eastAsia="Times New Roman" w:cs="Open Sans"/>
                <w:color w:val="000000"/>
                <w:lang w:eastAsia="zh-CN" w:bidi="th-TH"/>
              </w:rPr>
              <w:t xml:space="preserve"> discount applied to CGC assessed mining revenue raising capacity</w:t>
            </w:r>
            <w:r w:rsidR="00A55C5D">
              <w:rPr>
                <w:rFonts w:eastAsia="Times New Roman" w:cs="Open Sans"/>
                <w:color w:val="000000"/>
                <w:lang w:eastAsia="zh-CN" w:bidi="th-TH"/>
              </w:rPr>
              <w:t>.</w:t>
            </w:r>
          </w:p>
        </w:tc>
      </w:tr>
      <w:tr w:rsidR="00AB018D" w:rsidRPr="00AE2C18" w14:paraId="1E1C0ED8" w14:textId="77777777" w:rsidTr="00F7301C">
        <w:tc>
          <w:tcPr>
            <w:tcW w:w="0" w:type="auto"/>
            <w:tcBorders>
              <w:bottom w:val="nil"/>
            </w:tcBorders>
            <w:shd w:val="clear" w:color="000000" w:fill="E6E6E6"/>
          </w:tcPr>
          <w:p w14:paraId="0E3A37C7" w14:textId="5A213875" w:rsidR="00AB018D" w:rsidRPr="00AE2C18" w:rsidRDefault="00AB018D" w:rsidP="00AE2C18">
            <w:pPr>
              <w:pStyle w:val="TableHeading"/>
              <w:spacing w:before="45" w:after="45"/>
              <w:rPr>
                <w:rFonts w:cs="Open Sans"/>
                <w:color w:val="1D4374"/>
              </w:rPr>
            </w:pPr>
            <w:r w:rsidRPr="00AE2C18">
              <w:rPr>
                <w:rFonts w:eastAsia="Times New Roman" w:cs="Open Sans"/>
                <w:color w:val="1D4374"/>
                <w:lang w:eastAsia="zh-CN" w:bidi="th-TH"/>
              </w:rPr>
              <w:t>13</w:t>
            </w:r>
          </w:p>
        </w:tc>
        <w:tc>
          <w:tcPr>
            <w:tcW w:w="0" w:type="auto"/>
            <w:tcBorders>
              <w:bottom w:val="nil"/>
            </w:tcBorders>
            <w:shd w:val="clear" w:color="000000" w:fill="E6E6E6"/>
          </w:tcPr>
          <w:p w14:paraId="6A7A8A0F" w14:textId="477FB89F"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 xml:space="preserve">EPC + </w:t>
            </w:r>
            <w:proofErr w:type="spellStart"/>
            <w:r w:rsidRPr="00AE2C18">
              <w:rPr>
                <w:rFonts w:eastAsia="Times New Roman" w:cs="Open Sans"/>
                <w:color w:val="000000"/>
                <w:lang w:eastAsia="zh-CN" w:bidi="th-TH"/>
              </w:rPr>
              <w:t>NoWO</w:t>
            </w:r>
            <w:proofErr w:type="spellEnd"/>
          </w:p>
        </w:tc>
        <w:tc>
          <w:tcPr>
            <w:tcW w:w="0" w:type="auto"/>
            <w:tcBorders>
              <w:bottom w:val="nil"/>
            </w:tcBorders>
            <w:shd w:val="clear" w:color="000000" w:fill="E6E6E6"/>
          </w:tcPr>
          <w:p w14:paraId="7A0F4733" w14:textId="43404839"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 xml:space="preserve">Equal per capita </w:t>
            </w:r>
            <w:r w:rsidR="00E41188">
              <w:rPr>
                <w:rFonts w:eastAsia="Times New Roman" w:cs="Open Sans"/>
                <w:color w:val="000000"/>
                <w:lang w:eastAsia="zh-CN" w:bidi="th-TH"/>
              </w:rPr>
              <w:t>and</w:t>
            </w:r>
            <w:r w:rsidRPr="00AE2C18">
              <w:rPr>
                <w:rFonts w:eastAsia="Times New Roman" w:cs="Open Sans"/>
                <w:color w:val="000000"/>
                <w:lang w:eastAsia="zh-CN" w:bidi="th-TH"/>
              </w:rPr>
              <w:t xml:space="preserve"> assessed GST relativity</w:t>
            </w:r>
          </w:p>
        </w:tc>
        <w:tc>
          <w:tcPr>
            <w:tcW w:w="0" w:type="auto"/>
            <w:tcBorders>
              <w:bottom w:val="nil"/>
            </w:tcBorders>
            <w:shd w:val="clear" w:color="000000" w:fill="E6E6E6"/>
          </w:tcPr>
          <w:p w14:paraId="77BF3C98" w14:textId="77777777" w:rsidR="00AB018D" w:rsidRPr="00AE2C18" w:rsidRDefault="00AB018D" w:rsidP="00AE2C18">
            <w:pPr>
              <w:pStyle w:val="TableBody"/>
              <w:spacing w:before="45" w:after="45"/>
              <w:ind w:right="108"/>
              <w:rPr>
                <w:rFonts w:eastAsia="Times New Roman" w:cs="Open Sans"/>
                <w:color w:val="000000"/>
                <w:lang w:eastAsia="zh-CN" w:bidi="th-TH"/>
              </w:rPr>
            </w:pPr>
          </w:p>
        </w:tc>
        <w:tc>
          <w:tcPr>
            <w:tcW w:w="0" w:type="auto"/>
            <w:tcBorders>
              <w:bottom w:val="nil"/>
            </w:tcBorders>
            <w:shd w:val="clear" w:color="000000" w:fill="E6E6E6"/>
          </w:tcPr>
          <w:p w14:paraId="372B62FE" w14:textId="1D05507C"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w:t>
            </w:r>
          </w:p>
        </w:tc>
        <w:tc>
          <w:tcPr>
            <w:tcW w:w="0" w:type="auto"/>
            <w:tcBorders>
              <w:bottom w:val="nil"/>
            </w:tcBorders>
            <w:shd w:val="clear" w:color="000000" w:fill="E6E6E6"/>
          </w:tcPr>
          <w:p w14:paraId="168180AB" w14:textId="6FED6AA7"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Excludes pool boost</w:t>
            </w:r>
          </w:p>
        </w:tc>
        <w:tc>
          <w:tcPr>
            <w:tcW w:w="0" w:type="auto"/>
            <w:tcBorders>
              <w:bottom w:val="nil"/>
            </w:tcBorders>
            <w:shd w:val="clear" w:color="000000" w:fill="E6E6E6"/>
          </w:tcPr>
          <w:p w14:paraId="0131E429" w14:textId="02217F0F"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 xml:space="preserve">Includes </w:t>
            </w:r>
            <w:proofErr w:type="spellStart"/>
            <w:r w:rsidRPr="00AE2C18">
              <w:rPr>
                <w:rFonts w:eastAsia="Times New Roman" w:cs="Open Sans"/>
                <w:color w:val="000000"/>
                <w:lang w:eastAsia="zh-CN" w:bidi="th-TH"/>
              </w:rPr>
              <w:t>NoWO</w:t>
            </w:r>
            <w:proofErr w:type="spellEnd"/>
          </w:p>
        </w:tc>
        <w:tc>
          <w:tcPr>
            <w:tcW w:w="0" w:type="auto"/>
            <w:tcBorders>
              <w:bottom w:val="nil"/>
            </w:tcBorders>
            <w:shd w:val="clear" w:color="000000" w:fill="E6E6E6"/>
          </w:tcPr>
          <w:p w14:paraId="720AA9AC" w14:textId="3B7258A1"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 xml:space="preserve">States provided with </w:t>
            </w:r>
            <w:r w:rsidR="00C3724B">
              <w:rPr>
                <w:rFonts w:eastAsia="Times New Roman" w:cs="Open Sans"/>
                <w:color w:val="000000"/>
                <w:lang w:eastAsia="zh-CN" w:bidi="th-TH"/>
              </w:rPr>
              <w:t>EPC</w:t>
            </w:r>
            <w:r w:rsidRPr="00AE2C18">
              <w:rPr>
                <w:rFonts w:eastAsia="Times New Roman" w:cs="Open Sans"/>
                <w:color w:val="000000"/>
                <w:lang w:eastAsia="zh-CN" w:bidi="th-TH"/>
              </w:rPr>
              <w:t xml:space="preserve"> allocation or pre-2018 allocation</w:t>
            </w:r>
            <w:r w:rsidR="002F30E5">
              <w:rPr>
                <w:rFonts w:eastAsia="Times New Roman" w:cs="Open Sans"/>
                <w:color w:val="000000"/>
                <w:lang w:eastAsia="zh-CN" w:bidi="th-TH"/>
              </w:rPr>
              <w:t xml:space="preserve"> </w:t>
            </w:r>
            <w:r w:rsidR="002F30E5" w:rsidRPr="00AE2C18">
              <w:rPr>
                <w:rFonts w:eastAsia="Times New Roman" w:cs="Open Sans"/>
                <w:color w:val="000000"/>
                <w:lang w:eastAsia="zh-CN" w:bidi="th-TH"/>
              </w:rPr>
              <w:t>(model 9)</w:t>
            </w:r>
            <w:r w:rsidRPr="00AE2C18">
              <w:rPr>
                <w:rFonts w:eastAsia="Times New Roman" w:cs="Open Sans"/>
                <w:color w:val="000000"/>
                <w:lang w:eastAsia="zh-CN" w:bidi="th-TH"/>
              </w:rPr>
              <w:t>, whichever is greater</w:t>
            </w:r>
            <w:r w:rsidR="00A55C5D">
              <w:rPr>
                <w:rFonts w:eastAsia="Times New Roman" w:cs="Open Sans"/>
                <w:color w:val="000000"/>
                <w:lang w:eastAsia="zh-CN" w:bidi="th-TH"/>
              </w:rPr>
              <w:t>.</w:t>
            </w:r>
          </w:p>
        </w:tc>
      </w:tr>
      <w:tr w:rsidR="00AB018D" w:rsidRPr="00AE2C18" w14:paraId="0A68CFBA" w14:textId="77777777" w:rsidTr="00F7301C">
        <w:tc>
          <w:tcPr>
            <w:tcW w:w="0" w:type="auto"/>
            <w:tcBorders>
              <w:top w:val="nil"/>
              <w:bottom w:val="single" w:sz="4" w:space="0" w:color="BFBFBF" w:themeColor="background1" w:themeShade="BF"/>
            </w:tcBorders>
            <w:shd w:val="clear" w:color="000000" w:fill="auto"/>
          </w:tcPr>
          <w:p w14:paraId="647D63AC" w14:textId="4F8E774A" w:rsidR="00AB018D" w:rsidRPr="00AE2C18" w:rsidRDefault="00AB018D" w:rsidP="00AE2C18">
            <w:pPr>
              <w:pStyle w:val="TableHeading"/>
              <w:spacing w:before="45" w:after="45"/>
              <w:rPr>
                <w:rFonts w:cs="Open Sans"/>
                <w:color w:val="1D4374"/>
              </w:rPr>
            </w:pPr>
            <w:r w:rsidRPr="00AE2C18">
              <w:rPr>
                <w:rFonts w:eastAsia="Times New Roman" w:cs="Open Sans"/>
                <w:color w:val="1D4374"/>
                <w:lang w:eastAsia="zh-CN" w:bidi="th-TH"/>
              </w:rPr>
              <w:t>14</w:t>
            </w:r>
          </w:p>
        </w:tc>
        <w:tc>
          <w:tcPr>
            <w:tcW w:w="0" w:type="auto"/>
            <w:tcBorders>
              <w:top w:val="nil"/>
              <w:bottom w:val="single" w:sz="4" w:space="0" w:color="BFBFBF" w:themeColor="background1" w:themeShade="BF"/>
            </w:tcBorders>
            <w:shd w:val="clear" w:color="000000" w:fill="auto"/>
          </w:tcPr>
          <w:p w14:paraId="39659F44" w14:textId="27832C66"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90% EPC, 10% HFE</w:t>
            </w:r>
          </w:p>
        </w:tc>
        <w:tc>
          <w:tcPr>
            <w:tcW w:w="0" w:type="auto"/>
            <w:tcBorders>
              <w:top w:val="nil"/>
              <w:bottom w:val="single" w:sz="4" w:space="0" w:color="BFBFBF" w:themeColor="background1" w:themeShade="BF"/>
            </w:tcBorders>
            <w:shd w:val="clear" w:color="000000" w:fill="auto"/>
          </w:tcPr>
          <w:p w14:paraId="0A9BCF1F" w14:textId="6E4B08B6"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Blend of equal per capita and the state with greatest capacity</w:t>
            </w:r>
          </w:p>
        </w:tc>
        <w:tc>
          <w:tcPr>
            <w:tcW w:w="0" w:type="auto"/>
            <w:tcBorders>
              <w:top w:val="nil"/>
              <w:bottom w:val="single" w:sz="4" w:space="0" w:color="BFBFBF" w:themeColor="background1" w:themeShade="BF"/>
            </w:tcBorders>
            <w:shd w:val="clear" w:color="000000" w:fill="auto"/>
          </w:tcPr>
          <w:p w14:paraId="39699439" w14:textId="77777777" w:rsidR="00AB018D" w:rsidRPr="00AE2C18" w:rsidRDefault="00AB018D" w:rsidP="00AE2C18">
            <w:pPr>
              <w:pStyle w:val="TableBody"/>
              <w:spacing w:before="45" w:after="45"/>
              <w:ind w:right="108"/>
              <w:rPr>
                <w:rFonts w:eastAsia="Times New Roman" w:cs="Open Sans"/>
                <w:color w:val="000000"/>
                <w:lang w:eastAsia="zh-CN" w:bidi="th-TH"/>
              </w:rPr>
            </w:pPr>
          </w:p>
        </w:tc>
        <w:tc>
          <w:tcPr>
            <w:tcW w:w="0" w:type="auto"/>
            <w:tcBorders>
              <w:top w:val="nil"/>
              <w:bottom w:val="single" w:sz="4" w:space="0" w:color="BFBFBF" w:themeColor="background1" w:themeShade="BF"/>
            </w:tcBorders>
            <w:shd w:val="clear" w:color="000000" w:fill="auto"/>
          </w:tcPr>
          <w:p w14:paraId="16657C74" w14:textId="4F9A2F25"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w:t>
            </w:r>
          </w:p>
        </w:tc>
        <w:tc>
          <w:tcPr>
            <w:tcW w:w="0" w:type="auto"/>
            <w:tcBorders>
              <w:top w:val="nil"/>
              <w:bottom w:val="single" w:sz="4" w:space="0" w:color="BFBFBF" w:themeColor="background1" w:themeShade="BF"/>
            </w:tcBorders>
            <w:shd w:val="clear" w:color="000000" w:fill="auto"/>
          </w:tcPr>
          <w:p w14:paraId="4E643DB7" w14:textId="690F7030"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Excludes pool boost</w:t>
            </w:r>
          </w:p>
        </w:tc>
        <w:tc>
          <w:tcPr>
            <w:tcW w:w="0" w:type="auto"/>
            <w:tcBorders>
              <w:top w:val="nil"/>
              <w:bottom w:val="single" w:sz="4" w:space="0" w:color="BFBFBF" w:themeColor="background1" w:themeShade="BF"/>
            </w:tcBorders>
            <w:shd w:val="clear" w:color="000000" w:fill="auto"/>
          </w:tcPr>
          <w:p w14:paraId="76A06B92" w14:textId="104FC1CC"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 xml:space="preserve">Excludes </w:t>
            </w:r>
            <w:proofErr w:type="spellStart"/>
            <w:r w:rsidRPr="00AE2C18">
              <w:rPr>
                <w:rFonts w:eastAsia="Times New Roman" w:cs="Open Sans"/>
                <w:color w:val="000000"/>
                <w:lang w:eastAsia="zh-CN" w:bidi="th-TH"/>
              </w:rPr>
              <w:t>NoWO</w:t>
            </w:r>
            <w:proofErr w:type="spellEnd"/>
          </w:p>
        </w:tc>
        <w:tc>
          <w:tcPr>
            <w:tcW w:w="0" w:type="auto"/>
            <w:tcBorders>
              <w:top w:val="nil"/>
              <w:bottom w:val="single" w:sz="4" w:space="0" w:color="BFBFBF" w:themeColor="background1" w:themeShade="BF"/>
            </w:tcBorders>
            <w:shd w:val="clear" w:color="000000" w:fill="auto"/>
          </w:tcPr>
          <w:p w14:paraId="034BB4EE" w14:textId="753E3FF0" w:rsidR="00AB018D" w:rsidRPr="00AE2C18" w:rsidRDefault="00AB018D" w:rsidP="00AE2C18">
            <w:pPr>
              <w:pStyle w:val="TableBody"/>
              <w:spacing w:before="45" w:after="45"/>
              <w:ind w:right="108"/>
              <w:rPr>
                <w:rFonts w:cs="Open Sans"/>
                <w:color w:val="000000"/>
              </w:rPr>
            </w:pPr>
            <w:r w:rsidRPr="00AE2C18">
              <w:rPr>
                <w:rFonts w:eastAsia="Times New Roman" w:cs="Open Sans"/>
                <w:color w:val="000000"/>
                <w:lang w:eastAsia="zh-CN" w:bidi="th-TH"/>
              </w:rPr>
              <w:t>Post assessment blend of EPC GST allocation (not shown here) and HFE GST allocation (model 9)</w:t>
            </w:r>
            <w:r w:rsidR="00A55C5D">
              <w:rPr>
                <w:rFonts w:eastAsia="Times New Roman" w:cs="Open Sans"/>
                <w:color w:val="000000"/>
                <w:lang w:eastAsia="zh-CN" w:bidi="th-TH"/>
              </w:rPr>
              <w:t>.</w:t>
            </w:r>
          </w:p>
        </w:tc>
      </w:tr>
    </w:tbl>
    <w:p w14:paraId="1EC6AC17" w14:textId="685E9659" w:rsidR="00C33CCF" w:rsidRDefault="006D79AD" w:rsidP="00F7301C">
      <w:pPr>
        <w:pStyle w:val="Note"/>
      </w:pPr>
      <w:r>
        <w:t xml:space="preserve">For each state, </w:t>
      </w:r>
      <w:proofErr w:type="spellStart"/>
      <w:r>
        <w:t>NoWO</w:t>
      </w:r>
      <w:proofErr w:type="spellEnd"/>
      <w:r>
        <w:t xml:space="preserve"> payments are calculated as the </w:t>
      </w:r>
      <w:r w:rsidR="00DA6C4E">
        <w:t xml:space="preserve">difference between </w:t>
      </w:r>
      <w:r>
        <w:t xml:space="preserve">the GST payment under the model or the pre-2018 </w:t>
      </w:r>
      <w:r w:rsidR="00907A95">
        <w:t>system</w:t>
      </w:r>
      <w:r w:rsidR="007203E3">
        <w:t>, assuming the GST payment for the state was higher in the pre-2018 system</w:t>
      </w:r>
      <w:r>
        <w:t>. Short methodology provides a brief description of the model rules</w:t>
      </w:r>
      <w:r w:rsidR="00907A95">
        <w:t>.</w:t>
      </w:r>
    </w:p>
    <w:p w14:paraId="661789AF" w14:textId="77777777" w:rsidR="002D044B" w:rsidRPr="002D044B" w:rsidRDefault="002D044B" w:rsidP="002D044B">
      <w:pPr>
        <w:sectPr w:rsidR="002D044B" w:rsidRPr="002D044B" w:rsidSect="00C33CCF">
          <w:pgSz w:w="16838" w:h="11906" w:orient="landscape" w:code="9"/>
          <w:pgMar w:top="1134" w:right="1134" w:bottom="1134" w:left="1134" w:header="794" w:footer="510" w:gutter="0"/>
          <w:cols w:space="708"/>
          <w:docGrid w:linePitch="360"/>
        </w:sectPr>
      </w:pPr>
    </w:p>
    <w:p w14:paraId="02D08A02" w14:textId="3CF89BBD" w:rsidR="00470534" w:rsidRDefault="00340928" w:rsidP="0076058A">
      <w:pPr>
        <w:pStyle w:val="Heading2-Appendix"/>
      </w:pPr>
      <w:bookmarkStart w:id="2" w:name="_Ref237342376"/>
      <w:r>
        <w:lastRenderedPageBreak/>
        <w:t>PC</w:t>
      </w:r>
      <w:r w:rsidR="00A119E0">
        <w:t xml:space="preserve"> </w:t>
      </w:r>
      <w:r w:rsidR="0078757F">
        <w:t xml:space="preserve">GST </w:t>
      </w:r>
      <w:bookmarkEnd w:id="2"/>
      <w:r w:rsidR="001027D3">
        <w:t>M</w:t>
      </w:r>
      <w:r w:rsidR="00A119E0">
        <w:t>odel</w:t>
      </w:r>
    </w:p>
    <w:p w14:paraId="41DEBBCD" w14:textId="554EBB3E" w:rsidR="004E0945" w:rsidRDefault="006221C8" w:rsidP="004E0945">
      <w:pPr>
        <w:pStyle w:val="Heading3-noTOC"/>
      </w:pPr>
      <w:r>
        <w:t>Purpose</w:t>
      </w:r>
    </w:p>
    <w:tbl>
      <w:tblPr>
        <w:tblW w:w="5000" w:type="pct"/>
        <w:tblBorders>
          <w:top w:val="single" w:sz="4" w:space="0" w:color="BFBFBF" w:themeColor="background1" w:themeShade="BF"/>
          <w:bottom w:val="single" w:sz="4" w:space="0" w:color="BFBFBF" w:themeColor="background1" w:themeShade="BF"/>
          <w:insideH w:val="single" w:sz="4" w:space="0" w:color="BFBFBF" w:themeColor="background1" w:themeShade="BF"/>
          <w:insideV w:val="single" w:sz="4" w:space="0" w:color="BFBFBF" w:themeColor="background1" w:themeShade="BF"/>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2409"/>
        <w:gridCol w:w="7229"/>
      </w:tblGrid>
      <w:tr w:rsidR="00FE7F82" w:rsidRPr="005951C9" w14:paraId="3909CC22" w14:textId="77777777" w:rsidTr="007B13D1">
        <w:trPr>
          <w:tblHeader/>
        </w:trPr>
        <w:tc>
          <w:tcPr>
            <w:tcW w:w="1250" w:type="pct"/>
            <w:tcMar>
              <w:top w:w="57" w:type="dxa"/>
              <w:left w:w="57" w:type="dxa"/>
              <w:bottom w:w="57" w:type="dxa"/>
              <w:right w:w="85" w:type="dxa"/>
            </w:tcMar>
            <w:vAlign w:val="bottom"/>
            <w:hideMark/>
          </w:tcPr>
          <w:p w14:paraId="53F6BDBF" w14:textId="506986D3" w:rsidR="00FE7F82" w:rsidRPr="005951C9" w:rsidRDefault="00FE7F82" w:rsidP="005951C9">
            <w:pPr>
              <w:pStyle w:val="TableHeading"/>
              <w:spacing w:before="45" w:after="45"/>
              <w:rPr>
                <w:rFonts w:cs="Open Sans"/>
                <w:color w:val="1D4374"/>
                <w:kern w:val="2"/>
                <w:szCs w:val="18"/>
                <w:lang w:eastAsia="zh-CN" w:bidi="th-TH"/>
                <w14:ligatures w14:val="standardContextual"/>
              </w:rPr>
            </w:pPr>
            <w:r w:rsidRPr="005951C9">
              <w:rPr>
                <w:rFonts w:cs="Open Sans"/>
                <w:color w:val="1D4374"/>
              </w:rPr>
              <w:t xml:space="preserve">Question this </w:t>
            </w:r>
            <w:r w:rsidR="006E5F10" w:rsidRPr="005951C9">
              <w:rPr>
                <w:rFonts w:cs="Open Sans"/>
                <w:color w:val="1D4374"/>
              </w:rPr>
              <w:t xml:space="preserve">modelling </w:t>
            </w:r>
            <w:r w:rsidRPr="005951C9">
              <w:rPr>
                <w:rFonts w:cs="Open Sans"/>
                <w:color w:val="1D4374"/>
              </w:rPr>
              <w:t>answers</w:t>
            </w:r>
          </w:p>
        </w:tc>
        <w:tc>
          <w:tcPr>
            <w:tcW w:w="3750" w:type="pct"/>
            <w:tcMar>
              <w:top w:w="57" w:type="dxa"/>
              <w:left w:w="57" w:type="dxa"/>
              <w:bottom w:w="57" w:type="dxa"/>
              <w:right w:w="85" w:type="dxa"/>
            </w:tcMar>
            <w:vAlign w:val="bottom"/>
            <w:hideMark/>
          </w:tcPr>
          <w:p w14:paraId="3BDA194F" w14:textId="7A3ED472" w:rsidR="00FE7F82" w:rsidRPr="005951C9" w:rsidRDefault="00320D79" w:rsidP="005951C9">
            <w:pPr>
              <w:pStyle w:val="TableBody"/>
              <w:spacing w:before="45" w:after="45"/>
              <w:ind w:right="108"/>
              <w:rPr>
                <w:rFonts w:cs="Open Sans"/>
                <w:color w:val="1D4374"/>
              </w:rPr>
            </w:pPr>
            <w:r w:rsidRPr="001027D3">
              <w:rPr>
                <w:rFonts w:cs="Open Sans"/>
                <w:color w:val="000000" w:themeColor="text1"/>
              </w:rPr>
              <w:t xml:space="preserve">What would the GST distribution </w:t>
            </w:r>
            <w:r w:rsidR="0057233C">
              <w:rPr>
                <w:rFonts w:cs="Open Sans"/>
                <w:color w:val="000000" w:themeColor="text1"/>
              </w:rPr>
              <w:t xml:space="preserve">system </w:t>
            </w:r>
            <w:r w:rsidR="00BD1060" w:rsidRPr="001027D3">
              <w:rPr>
                <w:rFonts w:cs="Open Sans"/>
                <w:color w:val="000000" w:themeColor="text1"/>
              </w:rPr>
              <w:t>have looked</w:t>
            </w:r>
            <w:r w:rsidRPr="001027D3">
              <w:rPr>
                <w:rFonts w:cs="Open Sans"/>
                <w:color w:val="000000" w:themeColor="text1"/>
              </w:rPr>
              <w:t xml:space="preserve"> like if alternative </w:t>
            </w:r>
            <w:r w:rsidR="00D03A1B" w:rsidRPr="001027D3">
              <w:rPr>
                <w:rFonts w:cs="Open Sans"/>
                <w:color w:val="000000" w:themeColor="text1"/>
              </w:rPr>
              <w:t>arrangements</w:t>
            </w:r>
            <w:r w:rsidRPr="001027D3">
              <w:rPr>
                <w:rFonts w:cs="Open Sans"/>
                <w:color w:val="000000" w:themeColor="text1"/>
              </w:rPr>
              <w:t xml:space="preserve"> were applied across the history of GST</w:t>
            </w:r>
            <w:r w:rsidR="0057233C">
              <w:rPr>
                <w:rFonts w:cs="Open Sans"/>
                <w:color w:val="000000" w:themeColor="text1"/>
              </w:rPr>
              <w:t xml:space="preserve"> payments</w:t>
            </w:r>
            <w:r w:rsidRPr="001027D3">
              <w:rPr>
                <w:rFonts w:cs="Open Sans"/>
                <w:color w:val="000000" w:themeColor="text1"/>
              </w:rPr>
              <w:t>?</w:t>
            </w:r>
          </w:p>
        </w:tc>
      </w:tr>
      <w:tr w:rsidR="00FE7F82" w:rsidRPr="005951C9" w14:paraId="00AB7925" w14:textId="77777777" w:rsidTr="007B13D1">
        <w:tc>
          <w:tcPr>
            <w:tcW w:w="1250" w:type="pct"/>
            <w:tcMar>
              <w:top w:w="57" w:type="dxa"/>
              <w:left w:w="57" w:type="dxa"/>
              <w:bottom w:w="57" w:type="dxa"/>
              <w:right w:w="85" w:type="dxa"/>
            </w:tcMar>
            <w:hideMark/>
          </w:tcPr>
          <w:p w14:paraId="47E9056C" w14:textId="77777777" w:rsidR="00FE7F82" w:rsidRPr="005951C9" w:rsidRDefault="00FE7F82" w:rsidP="005951C9">
            <w:pPr>
              <w:pStyle w:val="TableHeading"/>
              <w:spacing w:before="45" w:after="45"/>
              <w:rPr>
                <w:rFonts w:cs="Open Sans"/>
                <w:color w:val="1D4374"/>
              </w:rPr>
            </w:pPr>
            <w:r w:rsidRPr="005951C9">
              <w:rPr>
                <w:rFonts w:cs="Open Sans"/>
                <w:color w:val="1D4374"/>
              </w:rPr>
              <w:t>Scope</w:t>
            </w:r>
          </w:p>
        </w:tc>
        <w:tc>
          <w:tcPr>
            <w:tcW w:w="3750" w:type="pct"/>
            <w:tcMar>
              <w:top w:w="57" w:type="dxa"/>
              <w:left w:w="57" w:type="dxa"/>
              <w:bottom w:w="57" w:type="dxa"/>
              <w:right w:w="85" w:type="dxa"/>
            </w:tcMar>
            <w:hideMark/>
          </w:tcPr>
          <w:p w14:paraId="5181EE9A" w14:textId="0814F67A" w:rsidR="0086003E" w:rsidRPr="005951C9" w:rsidRDefault="006E5F10" w:rsidP="005951C9">
            <w:pPr>
              <w:spacing w:before="45" w:after="45"/>
              <w:ind w:left="57" w:right="108"/>
              <w:rPr>
                <w:rFonts w:cs="Open Sans"/>
                <w:color w:val="000000"/>
                <w:sz w:val="18"/>
              </w:rPr>
            </w:pPr>
            <w:r w:rsidRPr="005951C9">
              <w:rPr>
                <w:rFonts w:cs="Open Sans"/>
                <w:color w:val="000000"/>
                <w:sz w:val="18"/>
              </w:rPr>
              <w:t>M</w:t>
            </w:r>
            <w:r w:rsidR="00320D79" w:rsidRPr="005951C9">
              <w:rPr>
                <w:rFonts w:cs="Open Sans"/>
                <w:color w:val="000000"/>
                <w:sz w:val="18"/>
              </w:rPr>
              <w:t>odels 1-14</w:t>
            </w:r>
            <w:r w:rsidR="006D78C1" w:rsidRPr="005951C9">
              <w:rPr>
                <w:rFonts w:cs="Open Sans"/>
                <w:color w:val="000000"/>
                <w:sz w:val="18"/>
              </w:rPr>
              <w:t xml:space="preserve"> from</w:t>
            </w:r>
            <w:r w:rsidR="001829BE">
              <w:rPr>
                <w:rFonts w:cs="Open Sans"/>
                <w:color w:val="000000"/>
                <w:sz w:val="18"/>
              </w:rPr>
              <w:t xml:space="preserve"> section</w:t>
            </w:r>
            <w:r w:rsidR="005951C9" w:rsidRPr="005951C9">
              <w:rPr>
                <w:rFonts w:cs="Open Sans"/>
                <w:color w:val="000000"/>
                <w:sz w:val="18"/>
              </w:rPr>
              <w:t xml:space="preserve"> </w:t>
            </w:r>
            <w:r w:rsidR="005951C9" w:rsidRPr="005951C9">
              <w:rPr>
                <w:rFonts w:cs="Open Sans"/>
                <w:color w:val="000000"/>
                <w:sz w:val="18"/>
              </w:rPr>
              <w:fldChar w:fldCharType="begin"/>
            </w:r>
            <w:r w:rsidR="005951C9" w:rsidRPr="005951C9">
              <w:rPr>
                <w:rFonts w:cs="Open Sans"/>
                <w:color w:val="000000"/>
                <w:sz w:val="18"/>
              </w:rPr>
              <w:instrText xml:space="preserve"> REF _Ref237440650 \r \h </w:instrText>
            </w:r>
            <w:r w:rsidR="007B13D1">
              <w:rPr>
                <w:rFonts w:cs="Open Sans"/>
                <w:color w:val="000000"/>
                <w:sz w:val="18"/>
              </w:rPr>
              <w:instrText xml:space="preserve"> \* MERGEFORMAT </w:instrText>
            </w:r>
            <w:r w:rsidR="005951C9" w:rsidRPr="005951C9">
              <w:rPr>
                <w:rFonts w:cs="Open Sans"/>
                <w:color w:val="000000"/>
                <w:sz w:val="18"/>
              </w:rPr>
            </w:r>
            <w:r w:rsidR="005951C9" w:rsidRPr="005951C9">
              <w:rPr>
                <w:rFonts w:cs="Open Sans"/>
                <w:color w:val="000000"/>
                <w:sz w:val="18"/>
              </w:rPr>
              <w:fldChar w:fldCharType="separate"/>
            </w:r>
            <w:r w:rsidR="002D76C4">
              <w:rPr>
                <w:rFonts w:cs="Open Sans"/>
                <w:color w:val="000000"/>
                <w:sz w:val="18"/>
              </w:rPr>
              <w:t>C.2</w:t>
            </w:r>
            <w:r w:rsidR="005951C9" w:rsidRPr="005951C9">
              <w:rPr>
                <w:rFonts w:cs="Open Sans"/>
                <w:color w:val="000000"/>
                <w:sz w:val="18"/>
              </w:rPr>
              <w:fldChar w:fldCharType="end"/>
            </w:r>
            <w:r w:rsidR="005951C9" w:rsidRPr="005951C9">
              <w:rPr>
                <w:rFonts w:cs="Open Sans"/>
                <w:color w:val="000000"/>
                <w:sz w:val="18"/>
              </w:rPr>
              <w:t xml:space="preserve"> </w:t>
            </w:r>
            <w:r w:rsidR="0086003E" w:rsidRPr="005951C9">
              <w:rPr>
                <w:rFonts w:cs="Open Sans"/>
                <w:color w:val="000000"/>
                <w:sz w:val="18"/>
              </w:rPr>
              <w:t xml:space="preserve">covering </w:t>
            </w:r>
            <w:r w:rsidRPr="005951C9">
              <w:rPr>
                <w:rFonts w:cs="Open Sans"/>
                <w:color w:val="000000"/>
                <w:sz w:val="18"/>
              </w:rPr>
              <w:t xml:space="preserve">all states and </w:t>
            </w:r>
            <w:r w:rsidR="0086003E" w:rsidRPr="005951C9">
              <w:rPr>
                <w:rFonts w:cs="Open Sans"/>
                <w:color w:val="000000"/>
                <w:sz w:val="18"/>
              </w:rPr>
              <w:t xml:space="preserve">inquiry years </w:t>
            </w:r>
            <w:r w:rsidR="00807DF8" w:rsidRPr="005951C9">
              <w:rPr>
                <w:rFonts w:cs="Open Sans"/>
                <w:color w:val="000000"/>
                <w:sz w:val="18"/>
              </w:rPr>
              <w:t>2001</w:t>
            </w:r>
            <w:r w:rsidR="000577C5">
              <w:t xml:space="preserve"> to </w:t>
            </w:r>
            <w:r w:rsidR="00807DF8" w:rsidRPr="005951C9">
              <w:rPr>
                <w:rFonts w:cs="Open Sans"/>
                <w:color w:val="000000"/>
                <w:sz w:val="18"/>
              </w:rPr>
              <w:t>2024</w:t>
            </w:r>
          </w:p>
        </w:tc>
      </w:tr>
      <w:tr w:rsidR="00FE7F82" w:rsidRPr="005951C9" w14:paraId="161B8BC8" w14:textId="77777777" w:rsidTr="007B13D1">
        <w:tc>
          <w:tcPr>
            <w:tcW w:w="1250" w:type="pct"/>
            <w:tcMar>
              <w:top w:w="57" w:type="dxa"/>
              <w:left w:w="57" w:type="dxa"/>
              <w:bottom w:w="57" w:type="dxa"/>
              <w:right w:w="85" w:type="dxa"/>
            </w:tcMar>
            <w:hideMark/>
          </w:tcPr>
          <w:p w14:paraId="4D5322D5" w14:textId="77777777" w:rsidR="00FE7F82" w:rsidRPr="005951C9" w:rsidRDefault="00FE7F82" w:rsidP="005951C9">
            <w:pPr>
              <w:pStyle w:val="TableHeading"/>
              <w:spacing w:before="45" w:after="45"/>
              <w:rPr>
                <w:rFonts w:cs="Open Sans"/>
                <w:color w:val="1D4374"/>
              </w:rPr>
            </w:pPr>
            <w:r w:rsidRPr="005951C9">
              <w:rPr>
                <w:rFonts w:cs="Open Sans"/>
                <w:color w:val="1D4374"/>
              </w:rPr>
              <w:t>Use in report</w:t>
            </w:r>
          </w:p>
        </w:tc>
        <w:tc>
          <w:tcPr>
            <w:tcW w:w="3750" w:type="pct"/>
            <w:tcMar>
              <w:top w:w="57" w:type="dxa"/>
              <w:left w:w="57" w:type="dxa"/>
              <w:bottom w:w="57" w:type="dxa"/>
              <w:right w:w="85" w:type="dxa"/>
            </w:tcMar>
            <w:hideMark/>
          </w:tcPr>
          <w:p w14:paraId="27060870" w14:textId="11FA2CF8" w:rsidR="00BD1060" w:rsidRPr="005951C9" w:rsidRDefault="00BD1060" w:rsidP="005951C9">
            <w:pPr>
              <w:pStyle w:val="TableBody"/>
              <w:spacing w:before="45" w:after="45"/>
              <w:ind w:right="108"/>
              <w:rPr>
                <w:rFonts w:cs="Open Sans"/>
                <w:color w:val="000000"/>
              </w:rPr>
            </w:pPr>
            <w:r w:rsidRPr="005951C9">
              <w:rPr>
                <w:rFonts w:cs="Open Sans"/>
                <w:color w:val="000000"/>
              </w:rPr>
              <w:t xml:space="preserve">Features directly used in </w:t>
            </w:r>
            <w:r w:rsidR="00363D4A" w:rsidRPr="005951C9">
              <w:rPr>
                <w:rFonts w:cs="Open Sans"/>
                <w:color w:val="000000"/>
              </w:rPr>
              <w:t>table 4.1, figure 4.1, figure 4.2, figure 4.3, figure 4.4, figure 4.5, figure 4.6, figure 4.7.</w:t>
            </w:r>
          </w:p>
          <w:p w14:paraId="096C2D89" w14:textId="42529D72" w:rsidR="00525745" w:rsidRPr="005951C9" w:rsidRDefault="00B6536D" w:rsidP="005951C9">
            <w:pPr>
              <w:pStyle w:val="TableBody"/>
              <w:spacing w:before="45" w:after="45"/>
              <w:ind w:right="108"/>
              <w:rPr>
                <w:rFonts w:cs="Open Sans"/>
                <w:color w:val="000000"/>
              </w:rPr>
            </w:pPr>
            <w:r>
              <w:rPr>
                <w:rFonts w:cs="Open Sans"/>
                <w:color w:val="000000"/>
              </w:rPr>
              <w:t>Model o</w:t>
            </w:r>
            <w:r w:rsidR="00BD1060" w:rsidRPr="005951C9">
              <w:rPr>
                <w:rFonts w:cs="Open Sans"/>
                <w:color w:val="000000"/>
              </w:rPr>
              <w:t xml:space="preserve">utputs used </w:t>
            </w:r>
            <w:r>
              <w:rPr>
                <w:rFonts w:cs="Open Sans"/>
                <w:color w:val="000000"/>
              </w:rPr>
              <w:t xml:space="preserve">in </w:t>
            </w:r>
            <w:r w:rsidR="00D03A1B">
              <w:rPr>
                <w:rFonts w:cs="Open Sans"/>
                <w:color w:val="000000"/>
              </w:rPr>
              <w:t>framework measures found in Chapter 4 and documented in</w:t>
            </w:r>
            <w:r w:rsidR="001829BE">
              <w:rPr>
                <w:rFonts w:cs="Open Sans"/>
                <w:color w:val="000000"/>
              </w:rPr>
              <w:t xml:space="preserve"> sections</w:t>
            </w:r>
            <w:r w:rsidR="00D03A1B">
              <w:rPr>
                <w:rFonts w:cs="Open Sans"/>
                <w:color w:val="000000"/>
              </w:rPr>
              <w:t xml:space="preserve"> </w:t>
            </w:r>
            <w:r w:rsidR="00D03A1B">
              <w:rPr>
                <w:rFonts w:cs="Open Sans"/>
                <w:color w:val="000000"/>
              </w:rPr>
              <w:fldChar w:fldCharType="begin"/>
            </w:r>
            <w:r w:rsidR="00D03A1B">
              <w:rPr>
                <w:rFonts w:cs="Open Sans"/>
                <w:color w:val="000000"/>
              </w:rPr>
              <w:instrText xml:space="preserve"> REF _Ref237337831 \r \h </w:instrText>
            </w:r>
            <w:r w:rsidR="007B13D1">
              <w:rPr>
                <w:rFonts w:cs="Open Sans"/>
                <w:color w:val="000000"/>
              </w:rPr>
              <w:instrText xml:space="preserve"> \* MERGEFORMAT </w:instrText>
            </w:r>
            <w:r w:rsidR="00D03A1B">
              <w:rPr>
                <w:rFonts w:cs="Open Sans"/>
                <w:color w:val="000000"/>
              </w:rPr>
            </w:r>
            <w:r w:rsidR="00D03A1B">
              <w:rPr>
                <w:rFonts w:cs="Open Sans"/>
                <w:color w:val="000000"/>
              </w:rPr>
              <w:fldChar w:fldCharType="separate"/>
            </w:r>
            <w:r w:rsidR="002D76C4">
              <w:rPr>
                <w:rFonts w:cs="Open Sans"/>
                <w:color w:val="000000"/>
              </w:rPr>
              <w:t>0</w:t>
            </w:r>
            <w:r w:rsidR="00D03A1B">
              <w:rPr>
                <w:rFonts w:cs="Open Sans"/>
                <w:color w:val="000000"/>
              </w:rPr>
              <w:fldChar w:fldCharType="end"/>
            </w:r>
            <w:r w:rsidR="00D03A1B">
              <w:rPr>
                <w:rFonts w:cs="Open Sans"/>
                <w:color w:val="000000"/>
              </w:rPr>
              <w:t xml:space="preserve">, </w:t>
            </w:r>
            <w:r w:rsidR="00D03A1B">
              <w:rPr>
                <w:rFonts w:cs="Open Sans"/>
                <w:color w:val="000000"/>
              </w:rPr>
              <w:fldChar w:fldCharType="begin"/>
            </w:r>
            <w:r w:rsidR="00D03A1B">
              <w:rPr>
                <w:rFonts w:cs="Open Sans"/>
                <w:color w:val="000000"/>
              </w:rPr>
              <w:instrText xml:space="preserve"> REF _Ref237441192 \r \h </w:instrText>
            </w:r>
            <w:r w:rsidR="007B13D1">
              <w:rPr>
                <w:rFonts w:cs="Open Sans"/>
                <w:color w:val="000000"/>
              </w:rPr>
              <w:instrText xml:space="preserve"> \* MERGEFORMAT </w:instrText>
            </w:r>
            <w:r w:rsidR="00D03A1B">
              <w:rPr>
                <w:rFonts w:cs="Open Sans"/>
                <w:color w:val="000000"/>
              </w:rPr>
            </w:r>
            <w:r w:rsidR="00D03A1B">
              <w:rPr>
                <w:rFonts w:cs="Open Sans"/>
                <w:color w:val="000000"/>
              </w:rPr>
              <w:fldChar w:fldCharType="separate"/>
            </w:r>
            <w:r w:rsidR="002D76C4">
              <w:rPr>
                <w:rFonts w:cs="Open Sans"/>
                <w:color w:val="000000"/>
              </w:rPr>
              <w:t>0</w:t>
            </w:r>
            <w:r w:rsidR="00D03A1B">
              <w:rPr>
                <w:rFonts w:cs="Open Sans"/>
                <w:color w:val="000000"/>
              </w:rPr>
              <w:fldChar w:fldCharType="end"/>
            </w:r>
            <w:r w:rsidR="00D03A1B">
              <w:rPr>
                <w:rFonts w:cs="Open Sans"/>
                <w:color w:val="000000"/>
              </w:rPr>
              <w:t xml:space="preserve">, </w:t>
            </w:r>
            <w:r w:rsidR="00D03A1B">
              <w:rPr>
                <w:rFonts w:cs="Open Sans"/>
                <w:color w:val="000000"/>
              </w:rPr>
              <w:fldChar w:fldCharType="begin"/>
            </w:r>
            <w:r w:rsidR="00D03A1B">
              <w:rPr>
                <w:rFonts w:cs="Open Sans"/>
                <w:color w:val="000000"/>
              </w:rPr>
              <w:instrText xml:space="preserve"> REF _Ref237441642 \r \h </w:instrText>
            </w:r>
            <w:r w:rsidR="007B13D1">
              <w:rPr>
                <w:rFonts w:cs="Open Sans"/>
                <w:color w:val="000000"/>
              </w:rPr>
              <w:instrText xml:space="preserve"> \* MERGEFORMAT </w:instrText>
            </w:r>
            <w:r w:rsidR="00D03A1B">
              <w:rPr>
                <w:rFonts w:cs="Open Sans"/>
                <w:color w:val="000000"/>
              </w:rPr>
            </w:r>
            <w:r w:rsidR="00D03A1B">
              <w:rPr>
                <w:rFonts w:cs="Open Sans"/>
                <w:color w:val="000000"/>
              </w:rPr>
              <w:fldChar w:fldCharType="separate"/>
            </w:r>
            <w:r w:rsidR="002D76C4">
              <w:rPr>
                <w:rFonts w:cs="Open Sans"/>
                <w:color w:val="000000"/>
              </w:rPr>
              <w:t>0</w:t>
            </w:r>
            <w:r w:rsidR="00D03A1B">
              <w:rPr>
                <w:rFonts w:cs="Open Sans"/>
                <w:color w:val="000000"/>
              </w:rPr>
              <w:fldChar w:fldCharType="end"/>
            </w:r>
            <w:r w:rsidR="00D03A1B">
              <w:rPr>
                <w:rFonts w:cs="Open Sans"/>
                <w:color w:val="000000"/>
              </w:rPr>
              <w:t xml:space="preserve"> and </w:t>
            </w:r>
            <w:r w:rsidR="00D03A1B">
              <w:rPr>
                <w:rFonts w:cs="Open Sans"/>
                <w:color w:val="000000"/>
              </w:rPr>
              <w:fldChar w:fldCharType="begin"/>
            </w:r>
            <w:r w:rsidR="00D03A1B">
              <w:rPr>
                <w:rFonts w:cs="Open Sans"/>
                <w:color w:val="000000"/>
              </w:rPr>
              <w:instrText xml:space="preserve"> REF _Ref237441644 \r \h </w:instrText>
            </w:r>
            <w:r w:rsidR="007B13D1">
              <w:rPr>
                <w:rFonts w:cs="Open Sans"/>
                <w:color w:val="000000"/>
              </w:rPr>
              <w:instrText xml:space="preserve"> \* MERGEFORMAT </w:instrText>
            </w:r>
            <w:r w:rsidR="00D03A1B">
              <w:rPr>
                <w:rFonts w:cs="Open Sans"/>
                <w:color w:val="000000"/>
              </w:rPr>
            </w:r>
            <w:r w:rsidR="00D03A1B">
              <w:rPr>
                <w:rFonts w:cs="Open Sans"/>
                <w:color w:val="000000"/>
              </w:rPr>
              <w:fldChar w:fldCharType="separate"/>
            </w:r>
            <w:r w:rsidR="002D76C4">
              <w:rPr>
                <w:rFonts w:cs="Open Sans"/>
                <w:color w:val="000000"/>
              </w:rPr>
              <w:t>0</w:t>
            </w:r>
            <w:r w:rsidR="00D03A1B">
              <w:rPr>
                <w:rFonts w:cs="Open Sans"/>
                <w:color w:val="000000"/>
              </w:rPr>
              <w:fldChar w:fldCharType="end"/>
            </w:r>
            <w:r w:rsidR="00D03A1B">
              <w:rPr>
                <w:rFonts w:cs="Open Sans"/>
                <w:color w:val="000000"/>
              </w:rPr>
              <w:t xml:space="preserve"> here</w:t>
            </w:r>
            <w:r w:rsidR="00E44EBC">
              <w:rPr>
                <w:rFonts w:cs="Open Sans"/>
                <w:color w:val="000000"/>
              </w:rPr>
              <w:t>.</w:t>
            </w:r>
          </w:p>
        </w:tc>
      </w:tr>
    </w:tbl>
    <w:p w14:paraId="77EAB268" w14:textId="7A336F40" w:rsidR="004E0945" w:rsidRDefault="004E0945" w:rsidP="004E0945">
      <w:pPr>
        <w:pStyle w:val="Heading3-noTOC"/>
      </w:pPr>
      <w:r>
        <w:t>Method</w:t>
      </w:r>
    </w:p>
    <w:p w14:paraId="74D25524" w14:textId="1BC9152F" w:rsidR="00867F06" w:rsidRDefault="00B569C2" w:rsidP="004F7DBA">
      <w:pPr>
        <w:pStyle w:val="BodyText"/>
        <w:rPr>
          <w:lang w:bidi="th-TH"/>
        </w:rPr>
      </w:pPr>
      <w:r w:rsidRPr="00B569C2">
        <w:t>The PC GST model is a retrospective, comparative exercise that applies the alternative arrangements</w:t>
      </w:r>
      <w:r w:rsidR="00DF78C2">
        <w:t xml:space="preserve"> set out</w:t>
      </w:r>
      <w:r w:rsidRPr="00B569C2">
        <w:t xml:space="preserve"> in</w:t>
      </w:r>
      <w:r w:rsidR="00DF78C2">
        <w:t xml:space="preserve"> section</w:t>
      </w:r>
      <w:r w:rsidRPr="00B569C2">
        <w:t xml:space="preserve"> </w:t>
      </w:r>
      <w:r w:rsidR="001027D3">
        <w:fldChar w:fldCharType="begin"/>
      </w:r>
      <w:r w:rsidR="001027D3">
        <w:instrText xml:space="preserve"> REF _Ref237440650 \r \h </w:instrText>
      </w:r>
      <w:r w:rsidR="004F7DBA">
        <w:instrText xml:space="preserve"> \* MERGEFORMAT </w:instrText>
      </w:r>
      <w:r w:rsidR="001027D3">
        <w:fldChar w:fldCharType="separate"/>
      </w:r>
      <w:r w:rsidR="002D76C4">
        <w:t>C.2</w:t>
      </w:r>
      <w:r w:rsidR="001027D3">
        <w:fldChar w:fldCharType="end"/>
      </w:r>
      <w:r w:rsidRPr="00B569C2">
        <w:t xml:space="preserve"> to a common set of CGC data from 2000–01 to 2024–25. It follows </w:t>
      </w:r>
      <w:r w:rsidR="00E42236">
        <w:t xml:space="preserve">the </w:t>
      </w:r>
      <w:r w:rsidRPr="00B569C2">
        <w:t>CGC</w:t>
      </w:r>
      <w:r w:rsidR="00E42236">
        <w:t>’s</w:t>
      </w:r>
      <w:r w:rsidRPr="00B569C2">
        <w:t xml:space="preserve"> methodology to calculate GST requirements and assessed relativities, using three-year averages for application-year relativities and normalising them to a population-weighted national average of one. The results primarily show how each arrangement reallocates a given GST pool among states, rather than changes in aggregate assessed need or funding.</w:t>
      </w:r>
    </w:p>
    <w:p w14:paraId="5334A0F0" w14:textId="5C1ABC7C" w:rsidR="001027D3" w:rsidRPr="001027D3" w:rsidRDefault="001027D3" w:rsidP="001027D3">
      <w:pPr>
        <w:pStyle w:val="FigureTableHeading"/>
      </w:pPr>
      <w:r>
        <w:t>Table C.</w:t>
      </w:r>
      <w:fldSimple w:instr=" SEQ Table \* ARABIC \s 1 ">
        <w:r w:rsidR="002D76C4">
          <w:rPr>
            <w:noProof/>
          </w:rPr>
          <w:t>4</w:t>
        </w:r>
      </w:fldSimple>
      <w:r>
        <w:rPr>
          <w:noProof/>
        </w:rPr>
        <w:t xml:space="preserve"> – </w:t>
      </w:r>
      <w:r>
        <w:t xml:space="preserve">PC GST Model </w:t>
      </w:r>
      <w:r w:rsidR="004615F0" w:rsidRPr="004615F0">
        <w:t>model</w:t>
      </w:r>
      <w:r w:rsidR="004615F0">
        <w:t>ling steps</w:t>
      </w:r>
    </w:p>
    <w:tbl>
      <w:tblPr>
        <w:tblStyle w:val="ProductivityCommissionTable2-Dark"/>
        <w:tblW w:w="0" w:type="auto"/>
        <w:tblBorders>
          <w:insideH w:val="none" w:sz="0" w:space="0" w:color="auto"/>
        </w:tblBorders>
        <w:shd w:val="clear" w:color="000000" w:fill="auto"/>
        <w:tblCellMar>
          <w:top w:w="0" w:type="dxa"/>
          <w:left w:w="0" w:type="dxa"/>
          <w:bottom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371"/>
        <w:gridCol w:w="9267"/>
      </w:tblGrid>
      <w:tr w:rsidR="007F42D1" w:rsidRPr="007F1A99" w14:paraId="6A3980A5" w14:textId="77777777" w:rsidTr="004615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B3B3B3"/>
            </w:tcBorders>
            <w:shd w:val="clear" w:color="000000" w:fill="auto"/>
            <w:vAlign w:val="bottom"/>
          </w:tcPr>
          <w:p w14:paraId="091CC3BC" w14:textId="77777777" w:rsidR="007F42D1" w:rsidRPr="007F1A99" w:rsidRDefault="007F42D1" w:rsidP="007F1A99">
            <w:pPr>
              <w:pStyle w:val="TableHeading"/>
              <w:rPr>
                <w:b/>
                <w:bCs/>
              </w:rPr>
            </w:pPr>
            <w:r w:rsidRPr="007F1A99">
              <w:rPr>
                <w:b/>
                <w:bCs/>
              </w:rPr>
              <w:t>#</w:t>
            </w:r>
          </w:p>
        </w:tc>
        <w:tc>
          <w:tcPr>
            <w:tcW w:w="0" w:type="auto"/>
            <w:tcBorders>
              <w:bottom w:val="single" w:sz="4" w:space="0" w:color="B3B3B3"/>
            </w:tcBorders>
            <w:shd w:val="clear" w:color="000000" w:fill="auto"/>
            <w:vAlign w:val="bottom"/>
          </w:tcPr>
          <w:p w14:paraId="2F8DB3DA" w14:textId="77777777" w:rsidR="007F42D1" w:rsidRPr="007F1A99" w:rsidRDefault="007F42D1" w:rsidP="007F1A99">
            <w:pPr>
              <w:pStyle w:val="TableHeading"/>
              <w:cnfStyle w:val="100000000000" w:firstRow="1" w:lastRow="0" w:firstColumn="0" w:lastColumn="0" w:oddVBand="0" w:evenVBand="0" w:oddHBand="0" w:evenHBand="0" w:firstRowFirstColumn="0" w:firstRowLastColumn="0" w:lastRowFirstColumn="0" w:lastRowLastColumn="0"/>
              <w:rPr>
                <w:b/>
                <w:bCs/>
              </w:rPr>
            </w:pPr>
            <w:r w:rsidRPr="007F1A99">
              <w:rPr>
                <w:b/>
                <w:bCs/>
              </w:rPr>
              <w:t>Step</w:t>
            </w:r>
          </w:p>
        </w:tc>
      </w:tr>
      <w:tr w:rsidR="007F42D1" w:rsidRPr="008848FB" w14:paraId="40CF60F5" w14:textId="77777777" w:rsidTr="00461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3B3B3"/>
              <w:bottom w:val="nil"/>
            </w:tcBorders>
            <w:shd w:val="clear" w:color="000000" w:fill="E6E6E6"/>
            <w:hideMark/>
          </w:tcPr>
          <w:p w14:paraId="3B091A99" w14:textId="77777777" w:rsidR="007F42D1" w:rsidRPr="007F1A99" w:rsidRDefault="007F42D1" w:rsidP="007F1A99">
            <w:pPr>
              <w:pStyle w:val="TableHeading"/>
              <w:rPr>
                <w:b/>
                <w:lang w:bidi="th-TH"/>
              </w:rPr>
            </w:pPr>
            <w:r w:rsidRPr="007F1A99">
              <w:rPr>
                <w:b/>
                <w:lang w:bidi="th-TH"/>
              </w:rPr>
              <w:t>1</w:t>
            </w:r>
          </w:p>
        </w:tc>
        <w:tc>
          <w:tcPr>
            <w:tcW w:w="0" w:type="auto"/>
            <w:tcBorders>
              <w:top w:val="single" w:sz="4" w:space="0" w:color="B3B3B3"/>
              <w:bottom w:val="nil"/>
            </w:tcBorders>
            <w:shd w:val="clear" w:color="000000" w:fill="E6E6E6"/>
            <w:hideMark/>
          </w:tcPr>
          <w:p w14:paraId="674E458F" w14:textId="251AFCBA" w:rsidR="007F42D1" w:rsidRPr="008848FB" w:rsidRDefault="007F42D1" w:rsidP="008848FB">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8848FB">
              <w:rPr>
                <w:rFonts w:cs="Open Sans"/>
                <w:color w:val="000000"/>
              </w:rPr>
              <w:t xml:space="preserve">Collate CGC population, assessed revenue and assessed expenditure data by category, assessment year, application year and state. </w:t>
            </w:r>
          </w:p>
        </w:tc>
      </w:tr>
      <w:tr w:rsidR="007F42D1" w:rsidRPr="008848FB" w14:paraId="2593EDCC" w14:textId="77777777" w:rsidTr="004615F0">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000000" w:fill="auto"/>
          </w:tcPr>
          <w:p w14:paraId="6EC760F5" w14:textId="77777777" w:rsidR="007F42D1" w:rsidRPr="007F1A99" w:rsidRDefault="007F42D1" w:rsidP="007F1A99">
            <w:pPr>
              <w:pStyle w:val="TableHeading"/>
              <w:rPr>
                <w:b/>
              </w:rPr>
            </w:pPr>
            <w:r w:rsidRPr="007F1A99">
              <w:rPr>
                <w:b/>
              </w:rPr>
              <w:t>2</w:t>
            </w:r>
          </w:p>
        </w:tc>
        <w:tc>
          <w:tcPr>
            <w:tcW w:w="0" w:type="auto"/>
            <w:tcBorders>
              <w:top w:val="nil"/>
              <w:bottom w:val="nil"/>
            </w:tcBorders>
            <w:shd w:val="clear" w:color="000000" w:fill="auto"/>
          </w:tcPr>
          <w:p w14:paraId="71DF7B8E" w14:textId="722573BF" w:rsidR="007F42D1" w:rsidRPr="008848FB" w:rsidRDefault="00D86505" w:rsidP="008848FB">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8848FB">
              <w:rPr>
                <w:rFonts w:cs="Open Sans"/>
                <w:color w:val="000000"/>
              </w:rPr>
              <w:t>For models 10, 11 and 12, apply the specified discount to assessed mining revenue; otherwise use the CGC data unchanged for all other models.</w:t>
            </w:r>
          </w:p>
        </w:tc>
      </w:tr>
      <w:tr w:rsidR="007F42D1" w:rsidRPr="008848FB" w14:paraId="6DDDAF1A" w14:textId="77777777" w:rsidTr="00461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000000" w:fill="E6E6E6"/>
          </w:tcPr>
          <w:p w14:paraId="371684A6" w14:textId="77777777" w:rsidR="007F42D1" w:rsidRPr="007F1A99" w:rsidRDefault="007F42D1" w:rsidP="007F1A99">
            <w:pPr>
              <w:pStyle w:val="TableHeading"/>
              <w:rPr>
                <w:b/>
              </w:rPr>
            </w:pPr>
            <w:r w:rsidRPr="007F1A99">
              <w:rPr>
                <w:b/>
              </w:rPr>
              <w:t>3</w:t>
            </w:r>
          </w:p>
        </w:tc>
        <w:tc>
          <w:tcPr>
            <w:tcW w:w="0" w:type="auto"/>
            <w:tcBorders>
              <w:bottom w:val="nil"/>
            </w:tcBorders>
            <w:shd w:val="clear" w:color="000000" w:fill="E6E6E6"/>
          </w:tcPr>
          <w:p w14:paraId="75EBB077" w14:textId="6CC90A14" w:rsidR="007F42D1" w:rsidRPr="008848FB" w:rsidRDefault="00D86505" w:rsidP="008848FB">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8848FB">
              <w:rPr>
                <w:rFonts w:cs="Open Sans"/>
                <w:color w:val="000000"/>
              </w:rPr>
              <w:t>For each state and assessment year, calculate GST need as assessed expenditure less assessed revenue, expressed on a per capita basis.</w:t>
            </w:r>
            <w:r w:rsidR="0083201E">
              <w:rPr>
                <w:rFonts w:cs="Open Sans"/>
                <w:color w:val="000000"/>
              </w:rPr>
              <w:t xml:space="preserve"> This is </w:t>
            </w:r>
            <w:r w:rsidR="00D60F19">
              <w:rPr>
                <w:rFonts w:cs="Open Sans"/>
                <w:color w:val="000000"/>
              </w:rPr>
              <w:t>where revenue and expenditure shocks as per</w:t>
            </w:r>
            <w:r w:rsidR="005664ED">
              <w:rPr>
                <w:rFonts w:cs="Open Sans"/>
                <w:color w:val="000000"/>
              </w:rPr>
              <w:t xml:space="preserve"> </w:t>
            </w:r>
            <w:r w:rsidR="00E25D85">
              <w:rPr>
                <w:rFonts w:cs="Open Sans"/>
                <w:color w:val="000000"/>
              </w:rPr>
              <w:t xml:space="preserve">sections </w:t>
            </w:r>
            <w:r w:rsidR="005664ED">
              <w:rPr>
                <w:rFonts w:cs="Open Sans"/>
                <w:color w:val="000000"/>
              </w:rPr>
              <w:fldChar w:fldCharType="begin"/>
            </w:r>
            <w:r w:rsidR="005664ED">
              <w:rPr>
                <w:rFonts w:cs="Open Sans"/>
                <w:color w:val="000000"/>
              </w:rPr>
              <w:instrText xml:space="preserve"> REF _Ref237441192 \r \h </w:instrText>
            </w:r>
            <w:r w:rsidR="007F1A99">
              <w:rPr>
                <w:rFonts w:cs="Open Sans"/>
                <w:color w:val="000000"/>
              </w:rPr>
              <w:instrText xml:space="preserve"> \* MERGEFORMAT </w:instrText>
            </w:r>
            <w:r w:rsidR="005664ED">
              <w:rPr>
                <w:rFonts w:cs="Open Sans"/>
                <w:color w:val="000000"/>
              </w:rPr>
            </w:r>
            <w:r w:rsidR="005664ED">
              <w:rPr>
                <w:rFonts w:cs="Open Sans"/>
                <w:color w:val="000000"/>
              </w:rPr>
              <w:fldChar w:fldCharType="separate"/>
            </w:r>
            <w:r w:rsidR="002D76C4">
              <w:rPr>
                <w:rFonts w:cs="Open Sans"/>
                <w:color w:val="000000"/>
              </w:rPr>
              <w:t>0</w:t>
            </w:r>
            <w:r w:rsidR="005664ED">
              <w:rPr>
                <w:rFonts w:cs="Open Sans"/>
                <w:color w:val="000000"/>
              </w:rPr>
              <w:fldChar w:fldCharType="end"/>
            </w:r>
            <w:r w:rsidR="00682364">
              <w:rPr>
                <w:rFonts w:cs="Open Sans"/>
                <w:color w:val="000000"/>
              </w:rPr>
              <w:t>,</w:t>
            </w:r>
            <w:r w:rsidR="00D60F19">
              <w:rPr>
                <w:rFonts w:cs="Open Sans"/>
                <w:color w:val="000000"/>
              </w:rPr>
              <w:t xml:space="preserve"> </w:t>
            </w:r>
            <w:r w:rsidR="005664ED">
              <w:rPr>
                <w:rFonts w:cs="Open Sans"/>
                <w:color w:val="000000"/>
              </w:rPr>
              <w:fldChar w:fldCharType="begin"/>
            </w:r>
            <w:r w:rsidR="005664ED">
              <w:rPr>
                <w:rFonts w:cs="Open Sans"/>
                <w:color w:val="000000"/>
              </w:rPr>
              <w:instrText xml:space="preserve"> REF _Ref237438488 \r \h </w:instrText>
            </w:r>
            <w:r w:rsidR="007F1A99">
              <w:rPr>
                <w:rFonts w:cs="Open Sans"/>
                <w:color w:val="000000"/>
              </w:rPr>
              <w:instrText xml:space="preserve"> \* MERGEFORMAT </w:instrText>
            </w:r>
            <w:r w:rsidR="005664ED">
              <w:rPr>
                <w:rFonts w:cs="Open Sans"/>
                <w:color w:val="000000"/>
              </w:rPr>
            </w:r>
            <w:r w:rsidR="005664ED">
              <w:rPr>
                <w:rFonts w:cs="Open Sans"/>
                <w:color w:val="000000"/>
              </w:rPr>
              <w:fldChar w:fldCharType="separate"/>
            </w:r>
            <w:r w:rsidR="002D76C4">
              <w:rPr>
                <w:rFonts w:cs="Open Sans"/>
                <w:color w:val="000000"/>
              </w:rPr>
              <w:t>C.8</w:t>
            </w:r>
            <w:r w:rsidR="005664ED">
              <w:rPr>
                <w:rFonts w:cs="Open Sans"/>
                <w:color w:val="000000"/>
              </w:rPr>
              <w:fldChar w:fldCharType="end"/>
            </w:r>
            <w:r w:rsidR="00682364">
              <w:rPr>
                <w:rFonts w:cs="Open Sans"/>
                <w:color w:val="000000"/>
              </w:rPr>
              <w:t xml:space="preserve"> and</w:t>
            </w:r>
            <w:r w:rsidR="005664ED">
              <w:rPr>
                <w:rFonts w:cs="Open Sans"/>
                <w:color w:val="000000"/>
              </w:rPr>
              <w:t xml:space="preserve"> </w:t>
            </w:r>
            <w:r w:rsidR="005664ED">
              <w:rPr>
                <w:rFonts w:cs="Open Sans"/>
                <w:color w:val="000000"/>
              </w:rPr>
              <w:fldChar w:fldCharType="begin"/>
            </w:r>
            <w:r w:rsidR="005664ED">
              <w:rPr>
                <w:rFonts w:cs="Open Sans"/>
                <w:color w:val="000000"/>
              </w:rPr>
              <w:instrText xml:space="preserve"> REF _Ref237441188 \r \h </w:instrText>
            </w:r>
            <w:r w:rsidR="007F1A99">
              <w:rPr>
                <w:rFonts w:cs="Open Sans"/>
                <w:color w:val="000000"/>
              </w:rPr>
              <w:instrText xml:space="preserve"> \* MERGEFORMAT </w:instrText>
            </w:r>
            <w:r w:rsidR="005664ED">
              <w:rPr>
                <w:rFonts w:cs="Open Sans"/>
                <w:color w:val="000000"/>
              </w:rPr>
            </w:r>
            <w:r w:rsidR="005664ED">
              <w:rPr>
                <w:rFonts w:cs="Open Sans"/>
                <w:color w:val="000000"/>
              </w:rPr>
              <w:fldChar w:fldCharType="separate"/>
            </w:r>
            <w:r w:rsidR="002D76C4">
              <w:rPr>
                <w:rFonts w:cs="Open Sans"/>
                <w:color w:val="000000"/>
              </w:rPr>
              <w:t>C.10</w:t>
            </w:r>
            <w:r w:rsidR="005664ED">
              <w:rPr>
                <w:rFonts w:cs="Open Sans"/>
                <w:color w:val="000000"/>
              </w:rPr>
              <w:fldChar w:fldCharType="end"/>
            </w:r>
            <w:r w:rsidR="005664ED">
              <w:rPr>
                <w:rFonts w:cs="Open Sans"/>
                <w:color w:val="000000"/>
              </w:rPr>
              <w:t xml:space="preserve"> </w:t>
            </w:r>
            <w:r w:rsidR="00D60F19">
              <w:rPr>
                <w:rFonts w:cs="Open Sans"/>
                <w:color w:val="000000"/>
              </w:rPr>
              <w:t>are input</w:t>
            </w:r>
            <w:r w:rsidR="005664ED">
              <w:rPr>
                <w:rFonts w:cs="Open Sans"/>
                <w:color w:val="000000"/>
              </w:rPr>
              <w:t xml:space="preserve">ted. </w:t>
            </w:r>
            <w:r w:rsidR="00682364">
              <w:rPr>
                <w:rFonts w:cs="Open Sans"/>
                <w:color w:val="000000"/>
              </w:rPr>
              <w:t xml:space="preserve">The subsequent steps remain the same. </w:t>
            </w:r>
          </w:p>
        </w:tc>
      </w:tr>
      <w:tr w:rsidR="007F42D1" w:rsidRPr="008848FB" w14:paraId="43B1BC2E" w14:textId="77777777" w:rsidTr="004615F0">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000000" w:fill="auto"/>
          </w:tcPr>
          <w:p w14:paraId="6C936B9C" w14:textId="77777777" w:rsidR="007F42D1" w:rsidRPr="007F1A99" w:rsidRDefault="007F42D1" w:rsidP="007F1A99">
            <w:pPr>
              <w:pStyle w:val="TableHeading"/>
              <w:rPr>
                <w:b/>
              </w:rPr>
            </w:pPr>
            <w:r w:rsidRPr="007F1A99">
              <w:rPr>
                <w:b/>
              </w:rPr>
              <w:t>4</w:t>
            </w:r>
          </w:p>
        </w:tc>
        <w:tc>
          <w:tcPr>
            <w:tcW w:w="0" w:type="auto"/>
            <w:tcBorders>
              <w:top w:val="nil"/>
              <w:bottom w:val="nil"/>
            </w:tcBorders>
            <w:shd w:val="clear" w:color="000000" w:fill="auto"/>
          </w:tcPr>
          <w:p w14:paraId="6E94208D" w14:textId="04E19440" w:rsidR="007F42D1" w:rsidRPr="008848FB" w:rsidRDefault="00D86505" w:rsidP="008848FB">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8848FB">
              <w:rPr>
                <w:rFonts w:cs="Open Sans"/>
                <w:color w:val="000000"/>
              </w:rPr>
              <w:t>Calculate the national average GST need per capita, weighted by state populations.</w:t>
            </w:r>
          </w:p>
        </w:tc>
      </w:tr>
      <w:tr w:rsidR="007F42D1" w:rsidRPr="008848FB" w14:paraId="1802A66E" w14:textId="77777777" w:rsidTr="00461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000000" w:fill="E6E6E6"/>
          </w:tcPr>
          <w:p w14:paraId="148D0D66" w14:textId="77777777" w:rsidR="007F42D1" w:rsidRPr="007F1A99" w:rsidRDefault="007F42D1" w:rsidP="007F1A99">
            <w:pPr>
              <w:pStyle w:val="TableHeading"/>
              <w:rPr>
                <w:b/>
              </w:rPr>
            </w:pPr>
            <w:r w:rsidRPr="007F1A99">
              <w:rPr>
                <w:b/>
              </w:rPr>
              <w:t>5</w:t>
            </w:r>
          </w:p>
        </w:tc>
        <w:tc>
          <w:tcPr>
            <w:tcW w:w="0" w:type="auto"/>
            <w:tcBorders>
              <w:bottom w:val="nil"/>
            </w:tcBorders>
            <w:shd w:val="clear" w:color="000000" w:fill="E6E6E6"/>
          </w:tcPr>
          <w:p w14:paraId="0247CFFC" w14:textId="022E1A5D" w:rsidR="007F42D1" w:rsidRPr="008848FB" w:rsidRDefault="00D86505" w:rsidP="008848FB">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8848FB">
              <w:rPr>
                <w:rFonts w:cs="Open Sans"/>
                <w:color w:val="000000"/>
              </w:rPr>
              <w:t>Calculate each state’s assessed relativity as its GST need per capita divided by the national average GST need per capita.</w:t>
            </w:r>
          </w:p>
        </w:tc>
      </w:tr>
      <w:tr w:rsidR="00D86505" w:rsidRPr="008848FB" w14:paraId="24CBE14B" w14:textId="77777777" w:rsidTr="004615F0">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000000" w:fill="auto"/>
          </w:tcPr>
          <w:p w14:paraId="12ED7F96" w14:textId="0A2496AC" w:rsidR="00D86505" w:rsidRPr="007F1A99" w:rsidRDefault="00D86505" w:rsidP="007F1A99">
            <w:pPr>
              <w:pStyle w:val="TableHeading"/>
              <w:rPr>
                <w:b/>
              </w:rPr>
            </w:pPr>
            <w:r w:rsidRPr="007F1A99">
              <w:rPr>
                <w:b/>
              </w:rPr>
              <w:t>6</w:t>
            </w:r>
          </w:p>
        </w:tc>
        <w:tc>
          <w:tcPr>
            <w:tcW w:w="0" w:type="auto"/>
            <w:tcBorders>
              <w:top w:val="nil"/>
              <w:bottom w:val="nil"/>
            </w:tcBorders>
            <w:shd w:val="clear" w:color="000000" w:fill="auto"/>
          </w:tcPr>
          <w:p w14:paraId="3C44570A" w14:textId="014D32D0" w:rsidR="00D86505" w:rsidRPr="008848FB" w:rsidRDefault="00D86505" w:rsidP="008848FB">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8848FB">
              <w:rPr>
                <w:rFonts w:cs="Open Sans"/>
                <w:color w:val="000000"/>
              </w:rPr>
              <w:t>Calculate each state’s assessed relativity as its GST need per capita divided by the national average GST need per capita.</w:t>
            </w:r>
          </w:p>
        </w:tc>
      </w:tr>
      <w:tr w:rsidR="00D86505" w:rsidRPr="008848FB" w14:paraId="5038ECA2" w14:textId="77777777" w:rsidTr="00461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000000" w:fill="E6E6E6"/>
          </w:tcPr>
          <w:p w14:paraId="0969025D" w14:textId="38B4FC62" w:rsidR="00D86505" w:rsidRPr="007F1A99" w:rsidRDefault="00D86505" w:rsidP="007F1A99">
            <w:pPr>
              <w:pStyle w:val="TableHeading"/>
              <w:rPr>
                <w:b/>
              </w:rPr>
            </w:pPr>
            <w:r w:rsidRPr="007F1A99">
              <w:rPr>
                <w:b/>
              </w:rPr>
              <w:t>7</w:t>
            </w:r>
          </w:p>
        </w:tc>
        <w:tc>
          <w:tcPr>
            <w:tcW w:w="0" w:type="auto"/>
            <w:tcBorders>
              <w:bottom w:val="nil"/>
            </w:tcBorders>
            <w:shd w:val="clear" w:color="000000" w:fill="E6E6E6"/>
          </w:tcPr>
          <w:p w14:paraId="1C8C5F83" w14:textId="28E12318" w:rsidR="00D86505" w:rsidRPr="008848FB" w:rsidRDefault="00D86505" w:rsidP="008848FB">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8848FB">
              <w:rPr>
                <w:rFonts w:cs="Open Sans"/>
                <w:color w:val="000000"/>
              </w:rPr>
              <w:t>Apply the model-specific benchmark, floor or other adjustment specified in table X.X to the assessed relativities (save the mining revenue adjustment made above)</w:t>
            </w:r>
          </w:p>
        </w:tc>
      </w:tr>
      <w:tr w:rsidR="00D86505" w:rsidRPr="008848FB" w14:paraId="5BD0F3FA" w14:textId="77777777" w:rsidTr="004615F0">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000000" w:fill="auto"/>
          </w:tcPr>
          <w:p w14:paraId="2051CD51" w14:textId="12430269" w:rsidR="00D86505" w:rsidRPr="007F1A99" w:rsidRDefault="00D86505" w:rsidP="007F1A99">
            <w:pPr>
              <w:pStyle w:val="TableHeading"/>
              <w:rPr>
                <w:b/>
              </w:rPr>
            </w:pPr>
            <w:r w:rsidRPr="007F1A99">
              <w:rPr>
                <w:b/>
              </w:rPr>
              <w:t>8</w:t>
            </w:r>
          </w:p>
        </w:tc>
        <w:tc>
          <w:tcPr>
            <w:tcW w:w="0" w:type="auto"/>
            <w:tcBorders>
              <w:top w:val="nil"/>
              <w:bottom w:val="nil"/>
            </w:tcBorders>
            <w:shd w:val="clear" w:color="000000" w:fill="auto"/>
          </w:tcPr>
          <w:p w14:paraId="7D3E585D" w14:textId="70FF1A0D" w:rsidR="00D86505" w:rsidRPr="008848FB" w:rsidRDefault="00D86505" w:rsidP="008848FB">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8848FB">
              <w:rPr>
                <w:rFonts w:cs="Open Sans"/>
                <w:color w:val="000000"/>
              </w:rPr>
              <w:t xml:space="preserve">Repeat these calculations for each assessment year associated with inquiry years </w:t>
            </w:r>
            <w:r w:rsidR="00807DF8" w:rsidRPr="008848FB">
              <w:rPr>
                <w:rFonts w:cs="Open Sans"/>
                <w:color w:val="000000"/>
              </w:rPr>
              <w:t>200</w:t>
            </w:r>
            <w:r w:rsidR="00B63FA1" w:rsidRPr="008848FB">
              <w:rPr>
                <w:rFonts w:cs="Open Sans"/>
                <w:color w:val="000000"/>
              </w:rPr>
              <w:t>0</w:t>
            </w:r>
            <w:r w:rsidR="00697FFB" w:rsidRPr="008848FB">
              <w:rPr>
                <w:rFonts w:cs="Open Sans"/>
                <w:color w:val="000000"/>
              </w:rPr>
              <w:t>-0</w:t>
            </w:r>
            <w:r w:rsidR="00807DF8" w:rsidRPr="008848FB">
              <w:rPr>
                <w:rFonts w:cs="Open Sans"/>
                <w:color w:val="000000"/>
              </w:rPr>
              <w:t xml:space="preserve">1 </w:t>
            </w:r>
            <w:r w:rsidR="00697FFB" w:rsidRPr="008848FB">
              <w:rPr>
                <w:rFonts w:cs="Open Sans"/>
                <w:color w:val="000000"/>
              </w:rPr>
              <w:t>–</w:t>
            </w:r>
            <w:r w:rsidR="00807DF8" w:rsidRPr="008848FB">
              <w:rPr>
                <w:rFonts w:cs="Open Sans"/>
                <w:color w:val="000000"/>
              </w:rPr>
              <w:t xml:space="preserve"> </w:t>
            </w:r>
            <w:r w:rsidR="00B41D17">
              <w:rPr>
                <w:rFonts w:cs="Open Sans"/>
                <w:color w:val="000000"/>
              </w:rPr>
              <w:t>2024–25</w:t>
            </w:r>
            <w:r w:rsidRPr="008848FB">
              <w:rPr>
                <w:rFonts w:cs="Open Sans"/>
                <w:color w:val="000000"/>
              </w:rPr>
              <w:t>.</w:t>
            </w:r>
          </w:p>
        </w:tc>
      </w:tr>
      <w:tr w:rsidR="00D86505" w:rsidRPr="008848FB" w14:paraId="1E11E14E" w14:textId="77777777" w:rsidTr="00461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000000" w:fill="E6E6E6"/>
          </w:tcPr>
          <w:p w14:paraId="1FFE193F" w14:textId="760AB712" w:rsidR="00D86505" w:rsidRPr="007F1A99" w:rsidRDefault="00D86505" w:rsidP="007F1A99">
            <w:pPr>
              <w:pStyle w:val="TableHeading"/>
              <w:rPr>
                <w:b/>
              </w:rPr>
            </w:pPr>
            <w:r w:rsidRPr="007F1A99">
              <w:rPr>
                <w:b/>
              </w:rPr>
              <w:t>9</w:t>
            </w:r>
          </w:p>
        </w:tc>
        <w:tc>
          <w:tcPr>
            <w:tcW w:w="0" w:type="auto"/>
            <w:tcBorders>
              <w:bottom w:val="nil"/>
            </w:tcBorders>
            <w:shd w:val="clear" w:color="000000" w:fill="E6E6E6"/>
          </w:tcPr>
          <w:p w14:paraId="721B5828" w14:textId="69FFB40F" w:rsidR="00D86505" w:rsidRPr="008848FB" w:rsidRDefault="00D86505" w:rsidP="008848FB">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8848FB">
              <w:rPr>
                <w:rFonts w:cs="Open Sans"/>
                <w:color w:val="000000"/>
              </w:rPr>
              <w:t>Apply the three-year averaging arrangements to the adjusted assessment-year relativities to derive a final relativity for each model and application year.</w:t>
            </w:r>
          </w:p>
        </w:tc>
      </w:tr>
      <w:tr w:rsidR="00D86505" w:rsidRPr="008848FB" w14:paraId="33308473" w14:textId="77777777" w:rsidTr="004615F0">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000000" w:fill="auto"/>
          </w:tcPr>
          <w:p w14:paraId="2005C7DE" w14:textId="598848F6" w:rsidR="00D86505" w:rsidRPr="007F1A99" w:rsidRDefault="00D86505" w:rsidP="007F1A99">
            <w:pPr>
              <w:pStyle w:val="TableHeading"/>
              <w:rPr>
                <w:b/>
              </w:rPr>
            </w:pPr>
            <w:r w:rsidRPr="007F1A99">
              <w:rPr>
                <w:b/>
              </w:rPr>
              <w:lastRenderedPageBreak/>
              <w:t>10</w:t>
            </w:r>
          </w:p>
        </w:tc>
        <w:tc>
          <w:tcPr>
            <w:tcW w:w="0" w:type="auto"/>
            <w:tcBorders>
              <w:top w:val="nil"/>
              <w:bottom w:val="nil"/>
            </w:tcBorders>
            <w:shd w:val="clear" w:color="000000" w:fill="auto"/>
          </w:tcPr>
          <w:p w14:paraId="18D15EDA" w14:textId="6C1D149B" w:rsidR="00D86505" w:rsidRPr="008848FB" w:rsidRDefault="00D86505" w:rsidP="008848FB">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8848FB">
              <w:rPr>
                <w:rFonts w:cs="Open Sans"/>
                <w:color w:val="000000"/>
              </w:rPr>
              <w:t>Apply each model’s final relativities to the GST pool for the relevant application year to calculate GST payments by state, model and application year.</w:t>
            </w:r>
          </w:p>
        </w:tc>
      </w:tr>
      <w:tr w:rsidR="00CD4A5A" w:rsidRPr="008848FB" w14:paraId="1FD43776" w14:textId="77777777" w:rsidTr="00461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B3B3B3"/>
            </w:tcBorders>
            <w:shd w:val="clear" w:color="000000" w:fill="E6E6E6"/>
          </w:tcPr>
          <w:p w14:paraId="75812D5C" w14:textId="07EB3304" w:rsidR="00CD4A5A" w:rsidRPr="007F1A99" w:rsidRDefault="00CD4A5A" w:rsidP="007F1A99">
            <w:pPr>
              <w:pStyle w:val="TableHeading"/>
              <w:rPr>
                <w:b/>
              </w:rPr>
            </w:pPr>
            <w:r w:rsidRPr="007F1A99">
              <w:rPr>
                <w:b/>
              </w:rPr>
              <w:t>11</w:t>
            </w:r>
          </w:p>
        </w:tc>
        <w:tc>
          <w:tcPr>
            <w:tcW w:w="0" w:type="auto"/>
            <w:tcBorders>
              <w:bottom w:val="single" w:sz="4" w:space="0" w:color="B3B3B3"/>
            </w:tcBorders>
            <w:shd w:val="clear" w:color="000000" w:fill="E6E6E6"/>
          </w:tcPr>
          <w:p w14:paraId="77B6186E" w14:textId="2BD943C7" w:rsidR="00CD4A5A" w:rsidRPr="000079F4" w:rsidRDefault="000079F4" w:rsidP="000079F4">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kern w:val="2"/>
                <w:szCs w:val="18"/>
                <w:lang w:eastAsia="zh-CN" w:bidi="th-TH"/>
                <w14:ligatures w14:val="standardContextual"/>
              </w:rPr>
            </w:pPr>
            <w:r>
              <w:rPr>
                <w:color w:val="000000"/>
              </w:rPr>
              <w:t xml:space="preserve">For each state and model, </w:t>
            </w:r>
            <w:proofErr w:type="spellStart"/>
            <w:r>
              <w:rPr>
                <w:color w:val="000000"/>
              </w:rPr>
              <w:t>NoWO</w:t>
            </w:r>
            <w:proofErr w:type="spellEnd"/>
            <w:r>
              <w:rPr>
                <w:color w:val="000000"/>
              </w:rPr>
              <w:t xml:space="preserve"> payments equal any shortfall below the pre-2018 </w:t>
            </w:r>
            <w:r w:rsidR="008A6D36">
              <w:rPr>
                <w:color w:val="000000"/>
              </w:rPr>
              <w:t>system</w:t>
            </w:r>
            <w:r>
              <w:rPr>
                <w:color w:val="000000"/>
              </w:rPr>
              <w:t>, excluding pool top-ups or boosts; otherwise, they are zero.</w:t>
            </w:r>
          </w:p>
        </w:tc>
      </w:tr>
    </w:tbl>
    <w:p w14:paraId="0E295868" w14:textId="77777777" w:rsidR="00EE4E18" w:rsidRDefault="00EE4E18" w:rsidP="0092635C">
      <w:pPr>
        <w:pStyle w:val="NoSpacing"/>
      </w:pPr>
    </w:p>
    <w:p w14:paraId="100D3E7C" w14:textId="2DB58E8F" w:rsidR="004E0945" w:rsidRDefault="004E0945" w:rsidP="004E0945">
      <w:pPr>
        <w:pStyle w:val="Heading3-noTOC"/>
      </w:pPr>
      <w:r>
        <w:t>Data</w:t>
      </w:r>
    </w:p>
    <w:p w14:paraId="69CD2BDF" w14:textId="2DF04F91" w:rsidR="0017354D" w:rsidRDefault="0017354D" w:rsidP="0098352A">
      <w:pPr>
        <w:pStyle w:val="BodyText"/>
        <w:rPr>
          <w:kern w:val="2"/>
          <w:lang w:eastAsia="zh-CN" w:bidi="th-TH"/>
          <w14:ligatures w14:val="standardContextual"/>
        </w:rPr>
      </w:pPr>
      <w:r>
        <w:t>The PC GST model uses only CGC-supplied data. The alternative arrangements identified in</w:t>
      </w:r>
      <w:r w:rsidR="00CD72B9">
        <w:t xml:space="preserve"> table</w:t>
      </w:r>
      <w:r>
        <w:t xml:space="preserve"> C.3 are applied to these data, with no other inputs used.</w:t>
      </w:r>
    </w:p>
    <w:p w14:paraId="305EB084" w14:textId="1B5BCA73" w:rsidR="00800B5F" w:rsidRDefault="00800B5F" w:rsidP="001A108D">
      <w:pPr>
        <w:pStyle w:val="FigureTableHeading"/>
      </w:pPr>
      <w:r>
        <w:t xml:space="preserve">Table </w:t>
      </w:r>
      <w:r w:rsidR="001A108D">
        <w:t>C</w:t>
      </w:r>
      <w:r>
        <w:t>.</w:t>
      </w:r>
      <w:fldSimple w:instr=" SEQ Table \* ARABIC \s 1 ">
        <w:r w:rsidR="002D76C4">
          <w:rPr>
            <w:noProof/>
          </w:rPr>
          <w:t>5</w:t>
        </w:r>
      </w:fldSimple>
      <w:r>
        <w:rPr>
          <w:noProof/>
        </w:rPr>
        <w:t xml:space="preserve"> – </w:t>
      </w:r>
      <w:r w:rsidR="00AF3191">
        <w:t xml:space="preserve">PC </w:t>
      </w:r>
      <w:r w:rsidR="00682EAF">
        <w:t xml:space="preserve">GST </w:t>
      </w:r>
      <w:r w:rsidR="004615F0">
        <w:t>M</w:t>
      </w:r>
      <w:r w:rsidR="00682EAF">
        <w:t>odel data inputs</w:t>
      </w:r>
    </w:p>
    <w:tbl>
      <w:tblPr>
        <w:tblW w:w="0" w:type="auto"/>
        <w:tblBorders>
          <w:bottom w:val="single" w:sz="4" w:space="0" w:color="B3B3B3"/>
        </w:tblBorders>
        <w:shd w:val="clear" w:color="000000" w:fill="auto"/>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353"/>
        <w:gridCol w:w="4229"/>
        <w:gridCol w:w="705"/>
        <w:gridCol w:w="1361"/>
        <w:gridCol w:w="1990"/>
      </w:tblGrid>
      <w:tr w:rsidR="00800B5F" w:rsidRPr="00391024" w14:paraId="3A2FB30E" w14:textId="67F70FF8" w:rsidTr="00391024">
        <w:trPr>
          <w:tblHeader/>
        </w:trPr>
        <w:tc>
          <w:tcPr>
            <w:tcW w:w="0" w:type="auto"/>
            <w:tcBorders>
              <w:bottom w:val="single" w:sz="4" w:space="0" w:color="B3B3B3"/>
            </w:tcBorders>
            <w:shd w:val="clear" w:color="000000" w:fill="auto"/>
            <w:vAlign w:val="bottom"/>
          </w:tcPr>
          <w:p w14:paraId="3BA69431" w14:textId="76DE13A5" w:rsidR="00800B5F" w:rsidRPr="00391024" w:rsidRDefault="00800B5F" w:rsidP="00391024">
            <w:pPr>
              <w:spacing w:before="45" w:after="45"/>
              <w:ind w:left="57" w:right="108"/>
              <w:rPr>
                <w:rFonts w:cs="Open Sans"/>
                <w:b/>
                <w:color w:val="1D4374"/>
                <w:sz w:val="18"/>
              </w:rPr>
            </w:pPr>
            <w:r w:rsidRPr="00391024">
              <w:rPr>
                <w:rFonts w:cs="Open Sans"/>
                <w:b/>
                <w:color w:val="1D4374"/>
                <w:sz w:val="18"/>
              </w:rPr>
              <w:t>Dataset</w:t>
            </w:r>
          </w:p>
        </w:tc>
        <w:tc>
          <w:tcPr>
            <w:tcW w:w="0" w:type="auto"/>
            <w:tcBorders>
              <w:bottom w:val="single" w:sz="4" w:space="0" w:color="B3B3B3"/>
            </w:tcBorders>
            <w:shd w:val="clear" w:color="000000" w:fill="auto"/>
            <w:vAlign w:val="bottom"/>
          </w:tcPr>
          <w:p w14:paraId="008FE649" w14:textId="5D3216F9" w:rsidR="00800B5F" w:rsidRPr="00391024" w:rsidRDefault="00800B5F" w:rsidP="00391024">
            <w:pPr>
              <w:pStyle w:val="TableHeading"/>
              <w:spacing w:before="45" w:after="45"/>
              <w:rPr>
                <w:rFonts w:cs="Open Sans"/>
                <w:color w:val="1D4374"/>
              </w:rPr>
            </w:pPr>
            <w:r w:rsidRPr="00391024">
              <w:rPr>
                <w:rFonts w:cs="Open Sans"/>
                <w:color w:val="1D4374"/>
              </w:rPr>
              <w:t xml:space="preserve">Variables </w:t>
            </w:r>
          </w:p>
        </w:tc>
        <w:tc>
          <w:tcPr>
            <w:tcW w:w="0" w:type="auto"/>
            <w:tcBorders>
              <w:bottom w:val="single" w:sz="4" w:space="0" w:color="B3B3B3"/>
            </w:tcBorders>
            <w:shd w:val="clear" w:color="000000" w:fill="auto"/>
            <w:vAlign w:val="bottom"/>
          </w:tcPr>
          <w:p w14:paraId="2B8220C3" w14:textId="4AE90114" w:rsidR="00800B5F" w:rsidRPr="00391024" w:rsidRDefault="00800B5F" w:rsidP="00391024">
            <w:pPr>
              <w:pStyle w:val="TableHeading"/>
              <w:spacing w:before="45" w:after="45"/>
              <w:rPr>
                <w:rFonts w:cs="Open Sans"/>
                <w:color w:val="1D4374"/>
              </w:rPr>
            </w:pPr>
            <w:r w:rsidRPr="00391024">
              <w:rPr>
                <w:rFonts w:cs="Open Sans"/>
                <w:color w:val="1D4374"/>
              </w:rPr>
              <w:t>Years</w:t>
            </w:r>
          </w:p>
        </w:tc>
        <w:tc>
          <w:tcPr>
            <w:tcW w:w="0" w:type="auto"/>
            <w:tcBorders>
              <w:bottom w:val="single" w:sz="4" w:space="0" w:color="B3B3B3"/>
            </w:tcBorders>
            <w:shd w:val="clear" w:color="000000" w:fill="auto"/>
            <w:vAlign w:val="bottom"/>
          </w:tcPr>
          <w:p w14:paraId="0D95659A" w14:textId="3BFD143E" w:rsidR="00800B5F" w:rsidRPr="00391024" w:rsidRDefault="00800B5F" w:rsidP="00391024">
            <w:pPr>
              <w:pStyle w:val="TableHeading"/>
              <w:spacing w:before="45" w:after="45"/>
              <w:rPr>
                <w:rFonts w:cs="Open Sans"/>
                <w:color w:val="1D4374"/>
              </w:rPr>
            </w:pPr>
            <w:r w:rsidRPr="00391024">
              <w:rPr>
                <w:rFonts w:cs="Open Sans"/>
                <w:color w:val="1D4374"/>
              </w:rPr>
              <w:t>Source</w:t>
            </w:r>
          </w:p>
        </w:tc>
        <w:tc>
          <w:tcPr>
            <w:tcW w:w="0" w:type="auto"/>
            <w:tcBorders>
              <w:bottom w:val="single" w:sz="4" w:space="0" w:color="B3B3B3"/>
            </w:tcBorders>
            <w:shd w:val="clear" w:color="000000" w:fill="auto"/>
            <w:vAlign w:val="bottom"/>
          </w:tcPr>
          <w:p w14:paraId="0C2C9103" w14:textId="4DFDFCC3" w:rsidR="00800B5F" w:rsidRPr="00391024" w:rsidRDefault="00800B5F" w:rsidP="00391024">
            <w:pPr>
              <w:pStyle w:val="TableHeading"/>
              <w:spacing w:before="45" w:after="45"/>
              <w:rPr>
                <w:rFonts w:cs="Open Sans"/>
                <w:color w:val="1D4374"/>
              </w:rPr>
            </w:pPr>
            <w:r w:rsidRPr="00391024">
              <w:rPr>
                <w:rFonts w:cs="Open Sans"/>
                <w:color w:val="1D4374"/>
              </w:rPr>
              <w:t>Notes</w:t>
            </w:r>
          </w:p>
        </w:tc>
      </w:tr>
      <w:tr w:rsidR="00800B5F" w:rsidRPr="00391024" w14:paraId="6172B1AA" w14:textId="06B04CD6" w:rsidTr="00391024">
        <w:tc>
          <w:tcPr>
            <w:tcW w:w="0" w:type="auto"/>
            <w:tcBorders>
              <w:top w:val="single" w:sz="4" w:space="0" w:color="B3B3B3"/>
              <w:bottom w:val="single" w:sz="4" w:space="0" w:color="B3B3B3"/>
            </w:tcBorders>
            <w:shd w:val="clear" w:color="000000" w:fill="E6E6E6"/>
          </w:tcPr>
          <w:p w14:paraId="52F4F9BD" w14:textId="5908CA8E" w:rsidR="00800B5F" w:rsidRPr="00DA17BB" w:rsidRDefault="00800B5F" w:rsidP="00391024">
            <w:pPr>
              <w:pStyle w:val="TableHeading"/>
              <w:spacing w:before="45" w:after="45"/>
              <w:rPr>
                <w:rFonts w:cs="Open Sans"/>
                <w:b w:val="0"/>
                <w:bCs/>
                <w:color w:val="1D4374"/>
              </w:rPr>
            </w:pPr>
            <w:r w:rsidRPr="00DA17BB">
              <w:rPr>
                <w:rFonts w:cs="Open Sans"/>
                <w:b w:val="0"/>
                <w:bCs/>
                <w:color w:val="auto"/>
              </w:rPr>
              <w:t>GST methodology data</w:t>
            </w:r>
          </w:p>
        </w:tc>
        <w:tc>
          <w:tcPr>
            <w:tcW w:w="0" w:type="auto"/>
            <w:tcBorders>
              <w:top w:val="single" w:sz="4" w:space="0" w:color="B3B3B3"/>
              <w:bottom w:val="single" w:sz="4" w:space="0" w:color="B3B3B3"/>
            </w:tcBorders>
            <w:shd w:val="clear" w:color="000000" w:fill="E6E6E6"/>
          </w:tcPr>
          <w:p w14:paraId="1B1D9B22" w14:textId="0D4B9F9B" w:rsidR="00800B5F" w:rsidRPr="008848FB" w:rsidRDefault="00391024" w:rsidP="00391024">
            <w:pPr>
              <w:pStyle w:val="TableBody"/>
              <w:spacing w:before="45" w:after="45"/>
              <w:ind w:right="108"/>
              <w:rPr>
                <w:rFonts w:cs="Open Sans"/>
                <w:color w:val="000000"/>
              </w:rPr>
            </w:pPr>
            <w:r w:rsidRPr="00391024">
              <w:rPr>
                <w:rFonts w:cs="Open Sans"/>
                <w:i/>
                <w:color w:val="000000"/>
              </w:rPr>
              <w:t>Population</w:t>
            </w:r>
            <w:r w:rsidRPr="00391024">
              <w:rPr>
                <w:rFonts w:cs="Open Sans"/>
                <w:iCs/>
                <w:color w:val="000000"/>
              </w:rPr>
              <w:t xml:space="preserve"> (by state, application year and assessment year); </w:t>
            </w:r>
            <w:r w:rsidRPr="00391024">
              <w:rPr>
                <w:rFonts w:cs="Open Sans"/>
                <w:i/>
                <w:color w:val="000000"/>
              </w:rPr>
              <w:t>GST pool</w:t>
            </w:r>
            <w:r w:rsidRPr="00391024">
              <w:rPr>
                <w:rFonts w:cs="Open Sans"/>
                <w:iCs/>
                <w:color w:val="000000"/>
              </w:rPr>
              <w:t xml:space="preserve"> (by application year and assessment year); </w:t>
            </w:r>
            <w:r w:rsidRPr="00391024">
              <w:rPr>
                <w:rFonts w:cs="Open Sans"/>
                <w:i/>
                <w:color w:val="000000"/>
              </w:rPr>
              <w:t>assessed expenses</w:t>
            </w:r>
            <w:r w:rsidRPr="00391024">
              <w:rPr>
                <w:rFonts w:cs="Open Sans"/>
                <w:iCs/>
                <w:color w:val="000000"/>
              </w:rPr>
              <w:t xml:space="preserve"> (by category, application year and assessment year); </w:t>
            </w:r>
            <w:r w:rsidRPr="00391024">
              <w:rPr>
                <w:rFonts w:cs="Open Sans"/>
                <w:i/>
                <w:color w:val="000000"/>
              </w:rPr>
              <w:t>investment</w:t>
            </w:r>
            <w:r w:rsidRPr="00391024">
              <w:rPr>
                <w:rFonts w:cs="Open Sans"/>
                <w:iCs/>
                <w:color w:val="000000"/>
              </w:rPr>
              <w:t xml:space="preserve"> (by application year and assessment year); </w:t>
            </w:r>
            <w:r w:rsidRPr="00391024">
              <w:rPr>
                <w:rFonts w:cs="Open Sans"/>
                <w:i/>
                <w:color w:val="000000"/>
              </w:rPr>
              <w:t>own-source revenue</w:t>
            </w:r>
            <w:r w:rsidRPr="00391024">
              <w:rPr>
                <w:rFonts w:cs="Open Sans"/>
                <w:iCs/>
                <w:color w:val="000000"/>
              </w:rPr>
              <w:t xml:space="preserve"> (by category, application year and assessment year); </w:t>
            </w:r>
            <w:r w:rsidRPr="00391024">
              <w:rPr>
                <w:rFonts w:cs="Open Sans"/>
                <w:i/>
                <w:color w:val="000000"/>
              </w:rPr>
              <w:t>Commonwealth payments</w:t>
            </w:r>
            <w:r w:rsidRPr="00391024">
              <w:rPr>
                <w:rFonts w:cs="Open Sans"/>
                <w:iCs/>
                <w:color w:val="000000"/>
              </w:rPr>
              <w:t xml:space="preserve"> (by application year and assessment year); and </w:t>
            </w:r>
            <w:r w:rsidRPr="00391024">
              <w:rPr>
                <w:rFonts w:cs="Open Sans"/>
                <w:i/>
                <w:color w:val="000000"/>
              </w:rPr>
              <w:t>net borrowing</w:t>
            </w:r>
            <w:r w:rsidRPr="00391024">
              <w:rPr>
                <w:rFonts w:cs="Open Sans"/>
                <w:iCs/>
                <w:color w:val="000000"/>
              </w:rPr>
              <w:t xml:space="preserve"> (by application year and assessment year)</w:t>
            </w:r>
          </w:p>
        </w:tc>
        <w:tc>
          <w:tcPr>
            <w:tcW w:w="0" w:type="auto"/>
            <w:tcBorders>
              <w:top w:val="single" w:sz="4" w:space="0" w:color="B3B3B3"/>
              <w:bottom w:val="single" w:sz="4" w:space="0" w:color="B3B3B3"/>
            </w:tcBorders>
            <w:shd w:val="clear" w:color="000000" w:fill="E6E6E6"/>
          </w:tcPr>
          <w:p w14:paraId="59D5282A" w14:textId="33F44FD4" w:rsidR="00800B5F" w:rsidRPr="00391024" w:rsidRDefault="00800B5F" w:rsidP="00391024">
            <w:pPr>
              <w:pStyle w:val="TableBody"/>
              <w:spacing w:before="45" w:after="45"/>
              <w:ind w:right="108"/>
              <w:rPr>
                <w:rFonts w:cs="Open Sans"/>
                <w:color w:val="000000"/>
              </w:rPr>
            </w:pPr>
            <w:r w:rsidRPr="00391024">
              <w:rPr>
                <w:rFonts w:cs="Open Sans"/>
                <w:color w:val="000000"/>
              </w:rPr>
              <w:t>2001</w:t>
            </w:r>
            <w:r w:rsidR="007F1A99">
              <w:rPr>
                <w:rFonts w:cs="Open Sans"/>
                <w:color w:val="000000"/>
              </w:rPr>
              <w:t>–</w:t>
            </w:r>
            <w:r w:rsidRPr="00391024">
              <w:rPr>
                <w:rFonts w:cs="Open Sans"/>
                <w:color w:val="000000"/>
              </w:rPr>
              <w:t>2024</w:t>
            </w:r>
          </w:p>
        </w:tc>
        <w:tc>
          <w:tcPr>
            <w:tcW w:w="0" w:type="auto"/>
            <w:tcBorders>
              <w:top w:val="single" w:sz="4" w:space="0" w:color="B3B3B3"/>
              <w:bottom w:val="single" w:sz="4" w:space="0" w:color="B3B3B3"/>
            </w:tcBorders>
            <w:shd w:val="clear" w:color="000000" w:fill="E6E6E6"/>
          </w:tcPr>
          <w:p w14:paraId="6B82A3D8" w14:textId="4E364F2A" w:rsidR="00800B5F" w:rsidRPr="00391024" w:rsidRDefault="00800B5F" w:rsidP="00391024">
            <w:pPr>
              <w:pStyle w:val="TableBody"/>
              <w:spacing w:before="45" w:after="45"/>
              <w:ind w:right="108"/>
              <w:rPr>
                <w:rFonts w:cs="Open Sans"/>
                <w:color w:val="000000"/>
              </w:rPr>
            </w:pPr>
            <w:r w:rsidRPr="00391024">
              <w:rPr>
                <w:rFonts w:cs="Open Sans"/>
                <w:color w:val="000000"/>
              </w:rPr>
              <w:t>CGC (unpublished)</w:t>
            </w:r>
          </w:p>
        </w:tc>
        <w:tc>
          <w:tcPr>
            <w:tcW w:w="0" w:type="auto"/>
            <w:tcBorders>
              <w:top w:val="single" w:sz="4" w:space="0" w:color="B3B3B3"/>
              <w:bottom w:val="single" w:sz="4" w:space="0" w:color="B3B3B3"/>
            </w:tcBorders>
            <w:shd w:val="clear" w:color="000000" w:fill="E6E6E6"/>
          </w:tcPr>
          <w:p w14:paraId="3480553B" w14:textId="6C7321BC" w:rsidR="00800B5F" w:rsidRPr="00391024" w:rsidRDefault="00800B5F" w:rsidP="00391024">
            <w:pPr>
              <w:pStyle w:val="TableBody"/>
              <w:spacing w:before="45" w:after="45"/>
              <w:ind w:right="108"/>
              <w:rPr>
                <w:rFonts w:cs="Open Sans"/>
                <w:color w:val="000000"/>
              </w:rPr>
            </w:pPr>
            <w:r w:rsidRPr="00391024">
              <w:rPr>
                <w:rFonts w:cs="Open Sans"/>
                <w:color w:val="000000"/>
              </w:rPr>
              <w:t xml:space="preserve">High-level versions of these data are available in the CGC’s annual updates. See, for example, 3-1 Summary in </w:t>
            </w:r>
            <w:r w:rsidRPr="00391024">
              <w:rPr>
                <w:rFonts w:cs="Open Sans"/>
                <w:color w:val="000000"/>
                <w:szCs w:val="24"/>
              </w:rPr>
              <w:t>CGC (2024)</w:t>
            </w:r>
            <w:r w:rsidRPr="00391024">
              <w:rPr>
                <w:rFonts w:cs="Open Sans"/>
                <w:color w:val="000000"/>
              </w:rPr>
              <w:t>.</w:t>
            </w:r>
          </w:p>
        </w:tc>
      </w:tr>
    </w:tbl>
    <w:p w14:paraId="063A30BB" w14:textId="77777777" w:rsidR="00147EBD" w:rsidRDefault="00147EBD" w:rsidP="00153BEC">
      <w:pPr>
        <w:rPr>
          <w:kern w:val="2"/>
          <w:lang w:eastAsia="zh-CN" w:bidi="th-TH"/>
          <w14:ligatures w14:val="standardContextual"/>
        </w:rPr>
      </w:pPr>
    </w:p>
    <w:p w14:paraId="578C0BC1" w14:textId="1625AB39" w:rsidR="004E0945" w:rsidRDefault="004E0945" w:rsidP="004E0945">
      <w:pPr>
        <w:pStyle w:val="Heading3-noTOC"/>
      </w:pPr>
      <w:r>
        <w:t>Assumptions</w:t>
      </w:r>
    </w:p>
    <w:p w14:paraId="5F40CC88" w14:textId="5247AD69" w:rsidR="00391024" w:rsidRDefault="00391024" w:rsidP="00391024">
      <w:pPr>
        <w:pStyle w:val="FigureTableHeading"/>
      </w:pPr>
      <w:r>
        <w:t>Table C.</w:t>
      </w:r>
      <w:fldSimple w:instr=" SEQ Table \* ARABIC \s 1 ">
        <w:r w:rsidR="002D76C4">
          <w:rPr>
            <w:noProof/>
          </w:rPr>
          <w:t>6</w:t>
        </w:r>
      </w:fldSimple>
      <w:r>
        <w:rPr>
          <w:noProof/>
        </w:rPr>
        <w:t xml:space="preserve"> – </w:t>
      </w:r>
      <w:r>
        <w:t xml:space="preserve">PC GST </w:t>
      </w:r>
      <w:r w:rsidR="004615F0">
        <w:t>M</w:t>
      </w:r>
      <w:r>
        <w:t xml:space="preserve">odel </w:t>
      </w:r>
      <w:r w:rsidR="00353FD7">
        <w:t xml:space="preserve">specific </w:t>
      </w:r>
      <w:r>
        <w:t>assumptions</w:t>
      </w:r>
    </w:p>
    <w:tbl>
      <w:tblPr>
        <w:tblW w:w="0" w:type="auto"/>
        <w:tblBorders>
          <w:bottom w:val="single" w:sz="4" w:space="0" w:color="B3B3B3"/>
        </w:tblBorders>
        <w:shd w:val="clear" w:color="000000" w:fill="auto"/>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2552"/>
        <w:gridCol w:w="7086"/>
      </w:tblGrid>
      <w:tr w:rsidR="00353FD7" w:rsidRPr="00C90FB0" w14:paraId="60A42C27" w14:textId="77777777" w:rsidTr="004615F0">
        <w:trPr>
          <w:tblHeader/>
        </w:trPr>
        <w:tc>
          <w:tcPr>
            <w:tcW w:w="2552" w:type="dxa"/>
            <w:tcBorders>
              <w:bottom w:val="single" w:sz="4" w:space="0" w:color="B3B3B3"/>
            </w:tcBorders>
            <w:shd w:val="clear" w:color="000000" w:fill="auto"/>
            <w:vAlign w:val="bottom"/>
          </w:tcPr>
          <w:p w14:paraId="1CABFFC0" w14:textId="77777777" w:rsidR="00353FD7" w:rsidRPr="00353FD7" w:rsidRDefault="00353FD7" w:rsidP="007F6844">
            <w:pPr>
              <w:spacing w:before="45" w:after="45"/>
              <w:ind w:left="57" w:right="108"/>
              <w:rPr>
                <w:rFonts w:cs="Open Sans"/>
                <w:b/>
                <w:bCs/>
                <w:color w:val="1D4374"/>
                <w:sz w:val="18"/>
              </w:rPr>
            </w:pPr>
            <w:r w:rsidRPr="00353FD7">
              <w:rPr>
                <w:rFonts w:cs="Open Sans"/>
                <w:b/>
                <w:bCs/>
                <w:color w:val="1D4374"/>
                <w:sz w:val="18"/>
              </w:rPr>
              <w:t>Assumption</w:t>
            </w:r>
          </w:p>
        </w:tc>
        <w:tc>
          <w:tcPr>
            <w:tcW w:w="7086" w:type="dxa"/>
            <w:tcBorders>
              <w:bottom w:val="single" w:sz="4" w:space="0" w:color="B3B3B3"/>
            </w:tcBorders>
            <w:shd w:val="clear" w:color="000000" w:fill="auto"/>
            <w:vAlign w:val="bottom"/>
          </w:tcPr>
          <w:p w14:paraId="0D7F1DBA" w14:textId="77777777" w:rsidR="00353FD7" w:rsidRPr="007F6844" w:rsidRDefault="00353FD7" w:rsidP="007F6844">
            <w:pPr>
              <w:pStyle w:val="TableHeading"/>
              <w:spacing w:before="45" w:after="45"/>
              <w:rPr>
                <w:rFonts w:cs="Open Sans"/>
                <w:color w:val="1D4374"/>
              </w:rPr>
            </w:pPr>
            <w:r w:rsidRPr="007F6844">
              <w:rPr>
                <w:rFonts w:cs="Open Sans"/>
                <w:color w:val="1D4374"/>
              </w:rPr>
              <w:t xml:space="preserve">Implication </w:t>
            </w:r>
          </w:p>
        </w:tc>
      </w:tr>
      <w:tr w:rsidR="00480958" w:rsidRPr="00C90FB0" w14:paraId="6B80686A" w14:textId="77777777" w:rsidTr="004615F0">
        <w:tc>
          <w:tcPr>
            <w:tcW w:w="2552" w:type="dxa"/>
            <w:tcBorders>
              <w:top w:val="single" w:sz="4" w:space="0" w:color="B3B3B3"/>
              <w:bottom w:val="nil"/>
            </w:tcBorders>
            <w:shd w:val="clear" w:color="000000" w:fill="E6E6E6"/>
          </w:tcPr>
          <w:p w14:paraId="78F60484" w14:textId="04AE8CB5" w:rsidR="00480958" w:rsidRPr="007B5714" w:rsidRDefault="00480958" w:rsidP="007F6844">
            <w:pPr>
              <w:pStyle w:val="TableHeading"/>
              <w:spacing w:before="45" w:after="45"/>
              <w:rPr>
                <w:rFonts w:cs="Open Sans"/>
                <w:b w:val="0"/>
                <w:color w:val="auto"/>
              </w:rPr>
            </w:pPr>
            <w:r w:rsidRPr="007B5714">
              <w:rPr>
                <w:rFonts w:cs="Open Sans"/>
                <w:b w:val="0"/>
                <w:color w:val="auto"/>
              </w:rPr>
              <w:t xml:space="preserve">The </w:t>
            </w:r>
            <w:r w:rsidRPr="007B5714">
              <w:rPr>
                <w:rFonts w:cs="Open Sans"/>
                <w:b w:val="0"/>
                <w:bCs/>
                <w:color w:val="auto"/>
              </w:rPr>
              <w:t>GST pool remains fixed</w:t>
            </w:r>
            <w:r w:rsidR="006F1120" w:rsidRPr="007B5714">
              <w:rPr>
                <w:rFonts w:cs="Open Sans"/>
                <w:b w:val="0"/>
                <w:bCs/>
                <w:color w:val="auto"/>
              </w:rPr>
              <w:t xml:space="preserve"> for the given arrangement</w:t>
            </w:r>
            <w:r w:rsidR="009B5BBE" w:rsidRPr="007B5714">
              <w:rPr>
                <w:rFonts w:cs="Open Sans"/>
                <w:b w:val="0"/>
                <w:bCs/>
                <w:color w:val="auto"/>
              </w:rPr>
              <w:t>.</w:t>
            </w:r>
          </w:p>
        </w:tc>
        <w:tc>
          <w:tcPr>
            <w:tcW w:w="7086" w:type="dxa"/>
            <w:tcBorders>
              <w:top w:val="single" w:sz="4" w:space="0" w:color="B3B3B3"/>
              <w:bottom w:val="nil"/>
            </w:tcBorders>
            <w:shd w:val="clear" w:color="000000" w:fill="E6E6E6"/>
          </w:tcPr>
          <w:p w14:paraId="1118479F" w14:textId="499E97A2" w:rsidR="00480958" w:rsidRPr="00353FD7" w:rsidRDefault="006039EA" w:rsidP="007F6844">
            <w:pPr>
              <w:pStyle w:val="TableBody"/>
              <w:spacing w:before="45" w:after="45"/>
              <w:ind w:right="108"/>
              <w:rPr>
                <w:rFonts w:cs="Open Sans"/>
                <w:color w:val="000000"/>
              </w:rPr>
            </w:pPr>
            <w:r w:rsidRPr="00E325ED">
              <w:rPr>
                <w:rFonts w:cs="Open Sans"/>
                <w:color w:val="000000"/>
              </w:rPr>
              <w:t>Arrangements are assessed using either a pool with or without top ups and boosts as specified in</w:t>
            </w:r>
            <w:r w:rsidR="004E511F">
              <w:rPr>
                <w:rFonts w:cs="Open Sans"/>
                <w:color w:val="000000"/>
              </w:rPr>
              <w:t xml:space="preserve"> section</w:t>
            </w:r>
            <w:r w:rsidRPr="00E325ED">
              <w:rPr>
                <w:rFonts w:cs="Open Sans"/>
                <w:color w:val="000000"/>
              </w:rPr>
              <w:t xml:space="preserve"> </w:t>
            </w:r>
            <w:r w:rsidR="007F6844" w:rsidRPr="00C90FB0">
              <w:rPr>
                <w:rFonts w:cs="Open Sans"/>
                <w:color w:val="000000"/>
              </w:rPr>
              <w:fldChar w:fldCharType="begin"/>
            </w:r>
            <w:r w:rsidR="007F6844" w:rsidRPr="00C90FB0">
              <w:rPr>
                <w:rFonts w:cs="Open Sans"/>
                <w:color w:val="000000"/>
              </w:rPr>
              <w:instrText xml:space="preserve"> REF _Ref237440650 \r \h </w:instrText>
            </w:r>
            <w:r w:rsidR="00C90FB0">
              <w:rPr>
                <w:rFonts w:cs="Open Sans"/>
                <w:color w:val="000000"/>
              </w:rPr>
              <w:instrText xml:space="preserve"> \* MERGEFORMAT </w:instrText>
            </w:r>
            <w:r w:rsidR="007F6844" w:rsidRPr="00C90FB0">
              <w:rPr>
                <w:rFonts w:cs="Open Sans"/>
                <w:color w:val="000000"/>
              </w:rPr>
            </w:r>
            <w:r w:rsidR="007F6844" w:rsidRPr="00C90FB0">
              <w:rPr>
                <w:rFonts w:cs="Open Sans"/>
                <w:color w:val="000000"/>
              </w:rPr>
              <w:fldChar w:fldCharType="separate"/>
            </w:r>
            <w:r w:rsidR="002D76C4">
              <w:rPr>
                <w:rFonts w:cs="Open Sans"/>
                <w:color w:val="000000"/>
              </w:rPr>
              <w:t>C.2</w:t>
            </w:r>
            <w:r w:rsidR="007F6844" w:rsidRPr="00C90FB0">
              <w:rPr>
                <w:rFonts w:cs="Open Sans"/>
                <w:color w:val="000000"/>
              </w:rPr>
              <w:fldChar w:fldCharType="end"/>
            </w:r>
            <w:r w:rsidR="007F6844" w:rsidRPr="00C90FB0">
              <w:rPr>
                <w:rFonts w:cs="Open Sans"/>
                <w:color w:val="000000"/>
              </w:rPr>
              <w:t>.</w:t>
            </w:r>
            <w:r>
              <w:rPr>
                <w:rFonts w:cs="Open Sans"/>
                <w:color w:val="000000"/>
              </w:rPr>
              <w:t xml:space="preserve"> Results</w:t>
            </w:r>
            <w:r w:rsidR="007E0484">
              <w:rPr>
                <w:rFonts w:cs="Open Sans"/>
                <w:color w:val="000000"/>
              </w:rPr>
              <w:t xml:space="preserve"> </w:t>
            </w:r>
            <w:r w:rsidR="007E0484" w:rsidRPr="007E0484">
              <w:rPr>
                <w:rFonts w:cs="Open Sans"/>
                <w:color w:val="000000"/>
              </w:rPr>
              <w:t>primarily represent reallocations of a given GST pool between states rather than changes in aggregate assessed need or funding</w:t>
            </w:r>
            <w:r w:rsidR="007E0484">
              <w:rPr>
                <w:rFonts w:cs="Open Sans"/>
                <w:color w:val="000000"/>
              </w:rPr>
              <w:t>.</w:t>
            </w:r>
            <w:r w:rsidR="009B5BBE">
              <w:rPr>
                <w:rFonts w:cs="Open Sans"/>
                <w:color w:val="000000"/>
              </w:rPr>
              <w:t xml:space="preserve"> </w:t>
            </w:r>
          </w:p>
        </w:tc>
      </w:tr>
      <w:tr w:rsidR="00353FD7" w:rsidRPr="00C90FB0" w14:paraId="6246836D" w14:textId="77777777" w:rsidTr="004615F0">
        <w:tc>
          <w:tcPr>
            <w:tcW w:w="2552" w:type="dxa"/>
            <w:tcBorders>
              <w:top w:val="nil"/>
              <w:bottom w:val="nil"/>
            </w:tcBorders>
            <w:shd w:val="clear" w:color="000000" w:fill="auto"/>
          </w:tcPr>
          <w:p w14:paraId="153ECE3B" w14:textId="43E0D5AE" w:rsidR="00353FD7" w:rsidRPr="007B5714" w:rsidRDefault="00353FD7" w:rsidP="007F6844">
            <w:pPr>
              <w:pStyle w:val="TableHeading"/>
              <w:spacing w:before="45" w:after="45"/>
              <w:rPr>
                <w:rFonts w:cs="Open Sans"/>
                <w:b w:val="0"/>
                <w:color w:val="auto"/>
              </w:rPr>
            </w:pPr>
            <w:r w:rsidRPr="007B5714">
              <w:rPr>
                <w:rFonts w:cs="Open Sans"/>
                <w:b w:val="0"/>
                <w:color w:val="auto"/>
              </w:rPr>
              <w:t>The model uses a consistent thr</w:t>
            </w:r>
            <w:r w:rsidRPr="007B5714">
              <w:rPr>
                <w:rFonts w:cs="Open Sans"/>
                <w:b w:val="0"/>
                <w:bCs/>
                <w:color w:val="auto"/>
              </w:rPr>
              <w:t>ee-year averaging convention</w:t>
            </w:r>
            <w:r w:rsidR="00B17821">
              <w:rPr>
                <w:rFonts w:cs="Open Sans"/>
                <w:b w:val="0"/>
                <w:bCs/>
                <w:color w:val="auto"/>
              </w:rPr>
              <w:t>.</w:t>
            </w:r>
          </w:p>
        </w:tc>
        <w:tc>
          <w:tcPr>
            <w:tcW w:w="7086" w:type="dxa"/>
            <w:tcBorders>
              <w:top w:val="nil"/>
              <w:bottom w:val="nil"/>
            </w:tcBorders>
            <w:shd w:val="clear" w:color="000000" w:fill="auto"/>
          </w:tcPr>
          <w:p w14:paraId="257A5CCA" w14:textId="77777777" w:rsidR="00353FD7" w:rsidRPr="00353FD7" w:rsidRDefault="00353FD7" w:rsidP="007F6844">
            <w:pPr>
              <w:pStyle w:val="TableBody"/>
              <w:spacing w:before="45" w:after="45"/>
              <w:ind w:right="108"/>
              <w:rPr>
                <w:rFonts w:cs="Open Sans"/>
                <w:color w:val="000000"/>
              </w:rPr>
            </w:pPr>
            <w:r w:rsidRPr="00E325ED">
              <w:rPr>
                <w:rFonts w:cs="Open Sans"/>
                <w:color w:val="000000"/>
              </w:rPr>
              <w:t>Comparisons between scenarios are not driven by different averaging conventions; differences principally reflect the alternative distribution rules being tested.</w:t>
            </w:r>
          </w:p>
        </w:tc>
      </w:tr>
      <w:tr w:rsidR="005E1EFF" w:rsidRPr="00C90FB0" w14:paraId="7A0D7EF5" w14:textId="77777777" w:rsidTr="004615F0">
        <w:tc>
          <w:tcPr>
            <w:tcW w:w="2552" w:type="dxa"/>
            <w:tcBorders>
              <w:bottom w:val="nil"/>
            </w:tcBorders>
            <w:shd w:val="clear" w:color="000000" w:fill="E6E6E6"/>
          </w:tcPr>
          <w:p w14:paraId="7A35CD85" w14:textId="38D8363A" w:rsidR="005E1EFF" w:rsidRPr="007B5714" w:rsidRDefault="001905B9" w:rsidP="007F6844">
            <w:pPr>
              <w:pStyle w:val="TableHeading"/>
              <w:spacing w:before="45" w:after="45"/>
              <w:rPr>
                <w:rFonts w:cs="Open Sans"/>
                <w:b w:val="0"/>
                <w:color w:val="auto"/>
              </w:rPr>
            </w:pPr>
            <w:r w:rsidRPr="007B5714">
              <w:rPr>
                <w:rFonts w:cs="Open Sans"/>
                <w:b w:val="0"/>
                <w:color w:val="auto"/>
              </w:rPr>
              <w:t xml:space="preserve">The standard state is the fiscally stronger of </w:t>
            </w:r>
            <w:r w:rsidR="0098352A" w:rsidRPr="007B5714">
              <w:rPr>
                <w:rFonts w:cs="Open Sans"/>
                <w:b w:val="0"/>
                <w:color w:val="auto"/>
              </w:rPr>
              <w:t>New South Wales</w:t>
            </w:r>
            <w:r w:rsidRPr="007B5714">
              <w:rPr>
                <w:rFonts w:cs="Open Sans"/>
                <w:b w:val="0"/>
                <w:color w:val="auto"/>
              </w:rPr>
              <w:t xml:space="preserve"> and Victoria</w:t>
            </w:r>
          </w:p>
        </w:tc>
        <w:tc>
          <w:tcPr>
            <w:tcW w:w="7086" w:type="dxa"/>
            <w:tcBorders>
              <w:bottom w:val="nil"/>
            </w:tcBorders>
            <w:shd w:val="clear" w:color="000000" w:fill="E6E6E6"/>
          </w:tcPr>
          <w:p w14:paraId="7D1A6E7C" w14:textId="72089267" w:rsidR="005E1EFF" w:rsidRPr="00060EF5" w:rsidRDefault="009E6781" w:rsidP="007F6844">
            <w:pPr>
              <w:pStyle w:val="TableBody"/>
              <w:spacing w:before="45" w:after="45"/>
              <w:ind w:right="108"/>
              <w:rPr>
                <w:rFonts w:cs="Open Sans"/>
                <w:color w:val="000000"/>
              </w:rPr>
            </w:pPr>
            <w:r w:rsidRPr="009E6781">
              <w:rPr>
                <w:rFonts w:cs="Open Sans"/>
                <w:color w:val="000000"/>
              </w:rPr>
              <w:t xml:space="preserve">The formula takes the minimum of </w:t>
            </w:r>
            <w:r w:rsidR="0098352A">
              <w:rPr>
                <w:rFonts w:cs="Open Sans"/>
                <w:color w:val="000000"/>
              </w:rPr>
              <w:t>New South Wales</w:t>
            </w:r>
            <w:r w:rsidRPr="009E6781">
              <w:rPr>
                <w:rFonts w:cs="Open Sans"/>
                <w:color w:val="000000"/>
              </w:rPr>
              <w:t xml:space="preserve"> and Victoria's assessed relativities and lifts any lower state to at least that benchmark.</w:t>
            </w:r>
            <w:r w:rsidR="009562E3" w:rsidRPr="00C90FB0">
              <w:rPr>
                <w:rFonts w:cs="Open Sans"/>
                <w:color w:val="000000"/>
              </w:rPr>
              <w:t xml:space="preserve"> </w:t>
            </w:r>
            <w:r w:rsidR="009562E3" w:rsidRPr="009562E3">
              <w:rPr>
                <w:rFonts w:cs="Open Sans"/>
                <w:color w:val="000000"/>
              </w:rPr>
              <w:t>It does not symmetrically alter high-relativity states before the national redistribution is performed.</w:t>
            </w:r>
          </w:p>
        </w:tc>
      </w:tr>
      <w:tr w:rsidR="007D6D99" w:rsidRPr="00C90FB0" w14:paraId="4C50225D" w14:textId="77777777" w:rsidTr="004615F0">
        <w:tc>
          <w:tcPr>
            <w:tcW w:w="2552" w:type="dxa"/>
            <w:tcBorders>
              <w:top w:val="nil"/>
              <w:bottom w:val="nil"/>
            </w:tcBorders>
            <w:shd w:val="clear" w:color="000000" w:fill="auto"/>
          </w:tcPr>
          <w:p w14:paraId="2669BDD3" w14:textId="72C6492D" w:rsidR="007D6D99" w:rsidRPr="007B5714" w:rsidRDefault="007D6D99" w:rsidP="007F6844">
            <w:pPr>
              <w:pStyle w:val="TableHeading"/>
              <w:spacing w:before="45" w:after="45"/>
              <w:rPr>
                <w:rFonts w:cs="Open Sans"/>
                <w:b w:val="0"/>
                <w:color w:val="auto"/>
              </w:rPr>
            </w:pPr>
            <w:r w:rsidRPr="007B5714">
              <w:rPr>
                <w:rFonts w:cs="Open Sans"/>
                <w:b w:val="0"/>
                <w:color w:val="auto"/>
              </w:rPr>
              <w:t>The “current system” is treated matured policy</w:t>
            </w:r>
            <w:r w:rsidR="00B17821">
              <w:rPr>
                <w:rFonts w:cs="Open Sans"/>
                <w:b w:val="0"/>
                <w:color w:val="auto"/>
              </w:rPr>
              <w:t>.</w:t>
            </w:r>
          </w:p>
        </w:tc>
        <w:tc>
          <w:tcPr>
            <w:tcW w:w="7086" w:type="dxa"/>
            <w:tcBorders>
              <w:top w:val="nil"/>
              <w:bottom w:val="nil"/>
            </w:tcBorders>
            <w:shd w:val="clear" w:color="000000" w:fill="auto"/>
          </w:tcPr>
          <w:p w14:paraId="41A40492" w14:textId="47E8B86E" w:rsidR="007D6D99" w:rsidRPr="00E325ED" w:rsidRDefault="009B199F" w:rsidP="007F6844">
            <w:pPr>
              <w:pStyle w:val="TableBody"/>
              <w:spacing w:before="45" w:after="45"/>
              <w:ind w:right="108"/>
              <w:rPr>
                <w:rFonts w:cs="Open Sans"/>
                <w:color w:val="000000"/>
              </w:rPr>
            </w:pPr>
            <w:r>
              <w:rPr>
                <w:rFonts w:cs="Open Sans"/>
                <w:color w:val="000000"/>
              </w:rPr>
              <w:t>The “</w:t>
            </w:r>
            <w:r w:rsidR="00060EF5" w:rsidRPr="00060EF5">
              <w:rPr>
                <w:rFonts w:cs="Open Sans"/>
                <w:color w:val="000000"/>
              </w:rPr>
              <w:t>current</w:t>
            </w:r>
            <w:r>
              <w:rPr>
                <w:rFonts w:cs="Open Sans"/>
                <w:color w:val="000000"/>
              </w:rPr>
              <w:t xml:space="preserve"> </w:t>
            </w:r>
            <w:r w:rsidR="00060EF5" w:rsidRPr="00060EF5">
              <w:rPr>
                <w:rFonts w:cs="Open Sans"/>
                <w:color w:val="000000"/>
              </w:rPr>
              <w:t>system</w:t>
            </w:r>
            <w:r>
              <w:rPr>
                <w:rFonts w:cs="Open Sans"/>
                <w:color w:val="000000"/>
              </w:rPr>
              <w:t>”</w:t>
            </w:r>
            <w:r w:rsidR="00060EF5" w:rsidRPr="00060EF5">
              <w:rPr>
                <w:rFonts w:cs="Open Sans"/>
                <w:color w:val="000000"/>
              </w:rPr>
              <w:t xml:space="preserve"> settings </w:t>
            </w:r>
            <w:r w:rsidR="008D4FFE">
              <w:rPr>
                <w:rFonts w:cs="Open Sans"/>
                <w:color w:val="000000"/>
              </w:rPr>
              <w:t>assume that all transition arrangements have been completed</w:t>
            </w:r>
            <w:r w:rsidR="0077763C">
              <w:rPr>
                <w:rFonts w:cs="Open Sans"/>
                <w:color w:val="000000"/>
              </w:rPr>
              <w:t>. These setting</w:t>
            </w:r>
            <w:r w:rsidR="00B56654">
              <w:rPr>
                <w:rFonts w:cs="Open Sans"/>
                <w:color w:val="000000"/>
              </w:rPr>
              <w:t>s</w:t>
            </w:r>
            <w:r w:rsidR="0077763C">
              <w:rPr>
                <w:rFonts w:cs="Open Sans"/>
                <w:color w:val="000000"/>
              </w:rPr>
              <w:t xml:space="preserve"> </w:t>
            </w:r>
            <w:r w:rsidR="00060EF5" w:rsidRPr="00060EF5">
              <w:rPr>
                <w:rFonts w:cs="Open Sans"/>
                <w:color w:val="000000"/>
              </w:rPr>
              <w:t>are applied retrospectively rather than recreating every historical transition step.</w:t>
            </w:r>
          </w:p>
        </w:tc>
      </w:tr>
      <w:tr w:rsidR="00353FD7" w:rsidRPr="00C90FB0" w14:paraId="734CE69F" w14:textId="77777777" w:rsidTr="004615F0">
        <w:tc>
          <w:tcPr>
            <w:tcW w:w="2552" w:type="dxa"/>
            <w:tcBorders>
              <w:bottom w:val="nil"/>
            </w:tcBorders>
            <w:shd w:val="clear" w:color="000000" w:fill="E6E6E6"/>
          </w:tcPr>
          <w:p w14:paraId="462CE8D4" w14:textId="58E5F3B4" w:rsidR="00353FD7" w:rsidRPr="007B5714" w:rsidRDefault="00353FD7" w:rsidP="007F6844">
            <w:pPr>
              <w:pStyle w:val="TableHeading"/>
              <w:spacing w:before="45" w:after="45"/>
              <w:rPr>
                <w:rFonts w:cs="Open Sans"/>
                <w:b w:val="0"/>
                <w:color w:val="auto"/>
              </w:rPr>
            </w:pPr>
            <w:r w:rsidRPr="007B5714">
              <w:rPr>
                <w:rFonts w:cs="Open Sans"/>
                <w:b w:val="0"/>
                <w:color w:val="auto"/>
              </w:rPr>
              <w:lastRenderedPageBreak/>
              <w:t>Relativity floors are applied after averaging</w:t>
            </w:r>
            <w:r w:rsidR="00B17821">
              <w:rPr>
                <w:rFonts w:cs="Open Sans"/>
                <w:b w:val="0"/>
                <w:color w:val="auto"/>
              </w:rPr>
              <w:t>.</w:t>
            </w:r>
          </w:p>
        </w:tc>
        <w:tc>
          <w:tcPr>
            <w:tcW w:w="7086" w:type="dxa"/>
            <w:tcBorders>
              <w:bottom w:val="nil"/>
            </w:tcBorders>
            <w:shd w:val="clear" w:color="000000" w:fill="E6E6E6"/>
          </w:tcPr>
          <w:p w14:paraId="43ECED00" w14:textId="7640A5D1" w:rsidR="00353FD7" w:rsidRPr="00353FD7" w:rsidRDefault="00353FD7" w:rsidP="007F6844">
            <w:pPr>
              <w:pStyle w:val="TableBody"/>
              <w:spacing w:before="45" w:after="45"/>
              <w:ind w:right="108"/>
              <w:rPr>
                <w:rFonts w:cs="Open Sans"/>
                <w:color w:val="000000"/>
              </w:rPr>
            </w:pPr>
            <w:r w:rsidRPr="00E325ED">
              <w:rPr>
                <w:rFonts w:cs="Open Sans"/>
                <w:color w:val="000000"/>
              </w:rPr>
              <w:t>A floor is a redistribution mechanism, not additional national funding. Annual</w:t>
            </w:r>
            <w:r w:rsidRPr="00353FD7">
              <w:rPr>
                <w:rFonts w:cs="Open Sans"/>
                <w:color w:val="000000"/>
              </w:rPr>
              <w:t xml:space="preserve"> </w:t>
            </w:r>
            <w:r w:rsidR="00697A38">
              <w:rPr>
                <w:rFonts w:cs="Open Sans"/>
                <w:color w:val="000000"/>
              </w:rPr>
              <w:t>assessed</w:t>
            </w:r>
            <w:r w:rsidRPr="00353FD7">
              <w:rPr>
                <w:rFonts w:cs="Open Sans"/>
                <w:color w:val="000000"/>
              </w:rPr>
              <w:t xml:space="preserve"> relativities can fall below the floor without the floor necessarily binding once the three-year average is calculated.</w:t>
            </w:r>
          </w:p>
        </w:tc>
      </w:tr>
      <w:tr w:rsidR="002B04F1" w:rsidRPr="00C90FB0" w14:paraId="68DAC00D" w14:textId="77777777" w:rsidTr="004615F0">
        <w:tc>
          <w:tcPr>
            <w:tcW w:w="2552" w:type="dxa"/>
            <w:tcBorders>
              <w:top w:val="nil"/>
              <w:bottom w:val="nil"/>
            </w:tcBorders>
            <w:shd w:val="clear" w:color="000000" w:fill="auto"/>
          </w:tcPr>
          <w:p w14:paraId="583B3DE0" w14:textId="1F938C6D" w:rsidR="002B04F1" w:rsidRPr="007B5714" w:rsidRDefault="002B04F1" w:rsidP="007F6844">
            <w:pPr>
              <w:pStyle w:val="TableHeading"/>
              <w:spacing w:before="45" w:after="45"/>
              <w:rPr>
                <w:rFonts w:cs="Open Sans"/>
                <w:b w:val="0"/>
                <w:color w:val="auto"/>
              </w:rPr>
            </w:pPr>
            <w:r w:rsidRPr="007B5714">
              <w:rPr>
                <w:rFonts w:cs="Open Sans"/>
                <w:b w:val="0"/>
                <w:color w:val="auto"/>
              </w:rPr>
              <w:t>Floors are financed internally rather than through additional funding</w:t>
            </w:r>
            <w:r w:rsidR="00B17821">
              <w:rPr>
                <w:rFonts w:cs="Open Sans"/>
                <w:b w:val="0"/>
                <w:color w:val="auto"/>
              </w:rPr>
              <w:t>.</w:t>
            </w:r>
          </w:p>
        </w:tc>
        <w:tc>
          <w:tcPr>
            <w:tcW w:w="7086" w:type="dxa"/>
            <w:tcBorders>
              <w:top w:val="nil"/>
              <w:bottom w:val="nil"/>
            </w:tcBorders>
            <w:shd w:val="clear" w:color="000000" w:fill="auto"/>
          </w:tcPr>
          <w:p w14:paraId="73C1B21C" w14:textId="7578331A" w:rsidR="002B04F1" w:rsidRPr="00E325ED" w:rsidRDefault="00604535" w:rsidP="007F6844">
            <w:pPr>
              <w:pStyle w:val="TableBody"/>
              <w:spacing w:before="45" w:after="45"/>
              <w:ind w:right="108"/>
              <w:rPr>
                <w:rFonts w:cs="Open Sans"/>
                <w:color w:val="000000"/>
              </w:rPr>
            </w:pPr>
            <w:r w:rsidRPr="00604535">
              <w:rPr>
                <w:rFonts w:cs="Open Sans"/>
                <w:color w:val="000000"/>
              </w:rPr>
              <w:t>A state below a 0.75, 0.50 or 0.30 floor is lifted to the floor. The resulting excess allocation is taken from states above the floor, broadly in proportion to the population of states eligible to absorb the adjustment.</w:t>
            </w:r>
          </w:p>
        </w:tc>
      </w:tr>
      <w:tr w:rsidR="00353FD7" w:rsidRPr="00C90FB0" w14:paraId="5606C09E" w14:textId="77777777" w:rsidTr="004615F0">
        <w:tc>
          <w:tcPr>
            <w:tcW w:w="2552" w:type="dxa"/>
            <w:tcBorders>
              <w:bottom w:val="nil"/>
            </w:tcBorders>
            <w:shd w:val="clear" w:color="000000" w:fill="E6E6E6"/>
          </w:tcPr>
          <w:p w14:paraId="683868DB" w14:textId="488F1EB1" w:rsidR="00353FD7" w:rsidRPr="007B5714" w:rsidRDefault="00353FD7" w:rsidP="007F6844">
            <w:pPr>
              <w:pStyle w:val="TableHeading"/>
              <w:spacing w:before="45" w:after="45"/>
              <w:rPr>
                <w:rFonts w:cs="Open Sans"/>
                <w:b w:val="0"/>
                <w:color w:val="auto"/>
              </w:rPr>
            </w:pPr>
            <w:r w:rsidRPr="007B5714">
              <w:rPr>
                <w:rFonts w:cs="Open Sans"/>
                <w:b w:val="0"/>
                <w:color w:val="auto"/>
              </w:rPr>
              <w:t>Mining discounts are constructed to leave the aggregate GST pool unchanged</w:t>
            </w:r>
            <w:r w:rsidR="00B17821">
              <w:rPr>
                <w:rFonts w:cs="Open Sans"/>
                <w:b w:val="0"/>
                <w:color w:val="auto"/>
              </w:rPr>
              <w:t>.</w:t>
            </w:r>
          </w:p>
        </w:tc>
        <w:tc>
          <w:tcPr>
            <w:tcW w:w="7086" w:type="dxa"/>
            <w:tcBorders>
              <w:bottom w:val="nil"/>
            </w:tcBorders>
            <w:shd w:val="clear" w:color="000000" w:fill="E6E6E6"/>
          </w:tcPr>
          <w:p w14:paraId="571B8694" w14:textId="77777777" w:rsidR="00353FD7" w:rsidRPr="00353FD7" w:rsidRDefault="00353FD7" w:rsidP="007F6844">
            <w:pPr>
              <w:pStyle w:val="TableBody"/>
              <w:spacing w:before="45" w:after="45"/>
              <w:ind w:right="108"/>
              <w:rPr>
                <w:rFonts w:cs="Open Sans"/>
                <w:color w:val="000000"/>
              </w:rPr>
            </w:pPr>
            <w:r w:rsidRPr="00E325ED">
              <w:rPr>
                <w:rFonts w:cs="Open Sans"/>
                <w:color w:val="000000"/>
              </w:rPr>
              <w:t xml:space="preserve">The scenario isolates the </w:t>
            </w:r>
            <w:r w:rsidRPr="00353FD7">
              <w:rPr>
                <w:rFonts w:cs="Open Sans"/>
                <w:bCs/>
                <w:color w:val="000000"/>
              </w:rPr>
              <w:t>distributional effect of giving less weight to mining revenue capacity</w:t>
            </w:r>
            <w:r w:rsidRPr="00353FD7">
              <w:rPr>
                <w:rFonts w:cs="Open Sans"/>
                <w:color w:val="000000"/>
              </w:rPr>
              <w:t>, rather than modelling a smaller national GST pool. The offset also means the effect is not equivalent to simply deleting a proportion of mining revenue from the assessment.</w:t>
            </w:r>
          </w:p>
        </w:tc>
      </w:tr>
      <w:tr w:rsidR="00353FD7" w:rsidRPr="00C90FB0" w14:paraId="19C2ED70" w14:textId="77777777" w:rsidTr="004615F0">
        <w:tc>
          <w:tcPr>
            <w:tcW w:w="2552" w:type="dxa"/>
            <w:tcBorders>
              <w:top w:val="nil"/>
              <w:bottom w:val="nil"/>
            </w:tcBorders>
            <w:shd w:val="clear" w:color="000000" w:fill="auto"/>
          </w:tcPr>
          <w:p w14:paraId="5C1859F8" w14:textId="392B3D21" w:rsidR="00353FD7" w:rsidRPr="007B5714" w:rsidRDefault="00353FD7" w:rsidP="007F6844">
            <w:pPr>
              <w:pStyle w:val="TableHeading"/>
              <w:spacing w:before="45" w:after="45"/>
              <w:rPr>
                <w:rFonts w:cs="Open Sans"/>
                <w:b w:val="0"/>
                <w:color w:val="auto"/>
              </w:rPr>
            </w:pPr>
            <w:r w:rsidRPr="007B5714">
              <w:rPr>
                <w:rFonts w:cs="Open Sans"/>
                <w:b w:val="0"/>
                <w:color w:val="auto"/>
              </w:rPr>
              <w:t xml:space="preserve">EPC/HFE blends are </w:t>
            </w:r>
            <w:r w:rsidR="00EA6AF6" w:rsidRPr="007B5714">
              <w:rPr>
                <w:rFonts w:cs="Open Sans"/>
                <w:b w:val="0"/>
                <w:color w:val="auto"/>
              </w:rPr>
              <w:t xml:space="preserve">linear combinations of relativities </w:t>
            </w:r>
            <w:r w:rsidRPr="007B5714">
              <w:rPr>
                <w:rFonts w:cs="Open Sans"/>
                <w:b w:val="0"/>
                <w:color w:val="auto"/>
              </w:rPr>
              <w:t>imposed before three-year averaging</w:t>
            </w:r>
            <w:r w:rsidR="00B17821">
              <w:rPr>
                <w:rFonts w:cs="Open Sans"/>
                <w:b w:val="0"/>
                <w:color w:val="auto"/>
              </w:rPr>
              <w:t>.</w:t>
            </w:r>
          </w:p>
        </w:tc>
        <w:tc>
          <w:tcPr>
            <w:tcW w:w="7086" w:type="dxa"/>
            <w:tcBorders>
              <w:top w:val="nil"/>
              <w:bottom w:val="nil"/>
            </w:tcBorders>
            <w:shd w:val="clear" w:color="000000" w:fill="auto"/>
          </w:tcPr>
          <w:p w14:paraId="315C3E22" w14:textId="69D54160" w:rsidR="00EA6AF6" w:rsidRDefault="00EA6AF6" w:rsidP="007F6844">
            <w:pPr>
              <w:pStyle w:val="TableBody"/>
              <w:spacing w:before="45" w:after="45"/>
              <w:ind w:right="108"/>
              <w:rPr>
                <w:rFonts w:cs="Open Sans"/>
                <w:color w:val="000000"/>
              </w:rPr>
            </w:pPr>
            <w:r w:rsidRPr="00EA6AF6">
              <w:rPr>
                <w:rFonts w:cs="Open Sans"/>
                <w:color w:val="000000"/>
              </w:rPr>
              <w:t>The model assumes the two systems can be linearly blended at the relativity level.</w:t>
            </w:r>
          </w:p>
          <w:p w14:paraId="2D406081" w14:textId="77777777" w:rsidR="00353FD7" w:rsidRPr="00353FD7" w:rsidRDefault="00353FD7" w:rsidP="007F6844">
            <w:pPr>
              <w:pStyle w:val="TableBody"/>
              <w:spacing w:before="45" w:after="45"/>
              <w:ind w:right="108"/>
              <w:rPr>
                <w:rFonts w:cs="Open Sans"/>
                <w:color w:val="000000"/>
              </w:rPr>
            </w:pPr>
            <w:r w:rsidRPr="00E325ED">
              <w:rPr>
                <w:rFonts w:cs="Open Sans"/>
                <w:color w:val="000000"/>
              </w:rPr>
              <w:t xml:space="preserve">The selected weight mechanically pulls relativities toward 1.0. Results depend on both the chosen EPC/HFE </w:t>
            </w:r>
            <w:r w:rsidRPr="00353FD7">
              <w:rPr>
                <w:rFonts w:cs="Open Sans"/>
                <w:color w:val="000000"/>
              </w:rPr>
              <w:t>weight and the specified sequencing of blending before averaging.</w:t>
            </w:r>
          </w:p>
        </w:tc>
      </w:tr>
      <w:tr w:rsidR="00353FD7" w:rsidRPr="00C90FB0" w14:paraId="4758733F" w14:textId="77777777" w:rsidTr="004615F0">
        <w:tc>
          <w:tcPr>
            <w:tcW w:w="2552" w:type="dxa"/>
            <w:tcBorders>
              <w:bottom w:val="single" w:sz="4" w:space="0" w:color="B3B3B3"/>
            </w:tcBorders>
            <w:shd w:val="clear" w:color="000000" w:fill="E6E6E6"/>
          </w:tcPr>
          <w:p w14:paraId="350833D1" w14:textId="3FAA2638" w:rsidR="00353FD7" w:rsidRPr="007B5714" w:rsidRDefault="00353FD7" w:rsidP="007F6844">
            <w:pPr>
              <w:pStyle w:val="TableHeading"/>
              <w:spacing w:before="45" w:after="45"/>
              <w:rPr>
                <w:rFonts w:cs="Open Sans"/>
                <w:b w:val="0"/>
                <w:color w:val="auto"/>
              </w:rPr>
            </w:pPr>
            <w:r w:rsidRPr="007B5714">
              <w:rPr>
                <w:rFonts w:cs="Open Sans"/>
                <w:b w:val="0"/>
                <w:color w:val="auto"/>
              </w:rPr>
              <w:t xml:space="preserve">Mining revenue discount is a concentration </w:t>
            </w:r>
            <w:proofErr w:type="spellStart"/>
            <w:r w:rsidRPr="007B5714">
              <w:rPr>
                <w:rFonts w:cs="Open Sans"/>
                <w:b w:val="0"/>
                <w:color w:val="auto"/>
              </w:rPr>
              <w:t>cap</w:t>
            </w:r>
            <w:proofErr w:type="spellEnd"/>
            <w:r w:rsidRPr="007B5714">
              <w:rPr>
                <w:rFonts w:cs="Open Sans"/>
                <w:b w:val="0"/>
                <w:color w:val="auto"/>
              </w:rPr>
              <w:t>, not a fixed percentage</w:t>
            </w:r>
            <w:r w:rsidR="00B17821">
              <w:rPr>
                <w:rFonts w:cs="Open Sans"/>
                <w:b w:val="0"/>
                <w:color w:val="auto"/>
              </w:rPr>
              <w:t>.</w:t>
            </w:r>
            <w:r w:rsidRPr="007B5714">
              <w:rPr>
                <w:rFonts w:cs="Open Sans"/>
                <w:b w:val="0"/>
                <w:color w:val="auto"/>
              </w:rPr>
              <w:t xml:space="preserve"> </w:t>
            </w:r>
          </w:p>
        </w:tc>
        <w:tc>
          <w:tcPr>
            <w:tcW w:w="7086" w:type="dxa"/>
            <w:tcBorders>
              <w:bottom w:val="single" w:sz="4" w:space="0" w:color="B3B3B3"/>
            </w:tcBorders>
            <w:shd w:val="clear" w:color="000000" w:fill="E6E6E6"/>
          </w:tcPr>
          <w:p w14:paraId="16B8B730" w14:textId="740DB0AA" w:rsidR="00353FD7" w:rsidRPr="00353FD7" w:rsidRDefault="00353FD7" w:rsidP="007F6844">
            <w:pPr>
              <w:pStyle w:val="TableBody"/>
              <w:spacing w:before="45" w:after="45"/>
              <w:ind w:right="108"/>
              <w:rPr>
                <w:rFonts w:cs="Open Sans"/>
                <w:color w:val="000000"/>
              </w:rPr>
            </w:pPr>
            <w:r w:rsidRPr="00E325ED">
              <w:rPr>
                <w:rFonts w:cs="Open Sans"/>
                <w:color w:val="000000"/>
              </w:rPr>
              <w:t xml:space="preserve">In highly concentrated commodities the required revenue discount can be much larger than the stated gap. For </w:t>
            </w:r>
            <w:r w:rsidRPr="00353FD7">
              <w:rPr>
                <w:rFonts w:cs="Open Sans"/>
                <w:color w:val="000000"/>
              </w:rPr>
              <w:t xml:space="preserve">example, WA iron-ore requires a </w:t>
            </w:r>
            <w:r w:rsidRPr="00353FD7">
              <w:rPr>
                <w:rFonts w:cs="Open Sans"/>
                <w:bCs/>
                <w:color w:val="000000"/>
              </w:rPr>
              <w:t>98.28% discount</w:t>
            </w:r>
            <w:r w:rsidRPr="00353FD7">
              <w:rPr>
                <w:rFonts w:cs="Open Sans"/>
                <w:color w:val="000000"/>
              </w:rPr>
              <w:t xml:space="preserve"> to satisfy a 50 percentage-point share-gap cap.</w:t>
            </w:r>
          </w:p>
        </w:tc>
      </w:tr>
    </w:tbl>
    <w:p w14:paraId="39562969" w14:textId="1CB18EB1" w:rsidR="004615F0" w:rsidRDefault="004615F0" w:rsidP="0045701A">
      <w:pPr>
        <w:pStyle w:val="NoSpacing"/>
      </w:pPr>
      <w:bookmarkStart w:id="3" w:name="_Ref237337831"/>
    </w:p>
    <w:p w14:paraId="4F085BF9" w14:textId="3CBD786E" w:rsidR="00BA4D21" w:rsidRDefault="00BA4D21" w:rsidP="00B14074">
      <w:pPr>
        <w:pStyle w:val="Heading2-Appendix"/>
      </w:pPr>
      <w:r>
        <w:t>Equity framework measure</w:t>
      </w:r>
      <w:bookmarkEnd w:id="3"/>
    </w:p>
    <w:p w14:paraId="0EBD40A4" w14:textId="77777777" w:rsidR="004E0945" w:rsidRDefault="00D51150" w:rsidP="004E0945">
      <w:pPr>
        <w:pStyle w:val="Heading3-noTOC"/>
      </w:pPr>
      <w:r>
        <w:t>Purpose</w:t>
      </w:r>
    </w:p>
    <w:tbl>
      <w:tblPr>
        <w:tblW w:w="5000" w:type="pct"/>
        <w:tblCellMar>
          <w:left w:w="0" w:type="dxa"/>
          <w:right w:w="0" w:type="dxa"/>
        </w:tblCellMar>
        <w:tblLook w:val="04A0" w:firstRow="1" w:lastRow="0" w:firstColumn="1" w:lastColumn="0" w:noHBand="0" w:noVBand="1"/>
      </w:tblPr>
      <w:tblGrid>
        <w:gridCol w:w="1985"/>
        <w:gridCol w:w="7653"/>
      </w:tblGrid>
      <w:tr w:rsidR="00BA4D21" w14:paraId="017D6DF6" w14:textId="77777777" w:rsidTr="00720005">
        <w:tc>
          <w:tcPr>
            <w:tcW w:w="1030" w:type="pct"/>
            <w:tcBorders>
              <w:top w:val="single" w:sz="4" w:space="0" w:color="BFBFBF" w:themeColor="background1" w:themeShade="BF"/>
              <w:left w:val="nil"/>
              <w:bottom w:val="single" w:sz="8" w:space="0" w:color="B3B3B3"/>
              <w:right w:val="nil"/>
            </w:tcBorders>
            <w:tcMar>
              <w:top w:w="57" w:type="dxa"/>
              <w:left w:w="57" w:type="dxa"/>
              <w:bottom w:w="57" w:type="dxa"/>
              <w:right w:w="85" w:type="dxa"/>
            </w:tcMar>
            <w:hideMark/>
          </w:tcPr>
          <w:p w14:paraId="0D659D9C" w14:textId="77777777" w:rsidR="00BA4D21" w:rsidRDefault="00BA4D21">
            <w:pPr>
              <w:pStyle w:val="TableHeading"/>
              <w:rPr>
                <w:kern w:val="2"/>
                <w:szCs w:val="18"/>
                <w:lang w:eastAsia="zh-CN" w:bidi="th-TH"/>
                <w14:ligatures w14:val="standardContextual"/>
              </w:rPr>
            </w:pPr>
            <w:r>
              <w:t>Question this section answers</w:t>
            </w:r>
          </w:p>
        </w:tc>
        <w:tc>
          <w:tcPr>
            <w:tcW w:w="3970" w:type="pct"/>
            <w:tcBorders>
              <w:top w:val="single" w:sz="4" w:space="0" w:color="BFBFBF" w:themeColor="background1" w:themeShade="BF"/>
              <w:left w:val="nil"/>
              <w:bottom w:val="single" w:sz="8" w:space="0" w:color="B3B3B3"/>
              <w:right w:val="nil"/>
            </w:tcBorders>
            <w:tcMar>
              <w:top w:w="57" w:type="dxa"/>
              <w:left w:w="57" w:type="dxa"/>
              <w:bottom w:w="57" w:type="dxa"/>
              <w:right w:w="85" w:type="dxa"/>
            </w:tcMar>
            <w:hideMark/>
          </w:tcPr>
          <w:p w14:paraId="0E5C2ED6" w14:textId="7C79E6D9" w:rsidR="00BA4D21" w:rsidRPr="00E3796D" w:rsidRDefault="005936CE" w:rsidP="003A6BDA">
            <w:pPr>
              <w:pStyle w:val="TableBody"/>
              <w:rPr>
                <w:kern w:val="2"/>
                <w:szCs w:val="18"/>
                <w:lang w:eastAsia="zh-CN" w:bidi="th-TH"/>
                <w14:ligatures w14:val="standardContextual"/>
              </w:rPr>
            </w:pPr>
            <w:r>
              <w:t>Measures equity under the PC framework discussed in chapter 3, chapter 4 and appendix B.</w:t>
            </w:r>
            <w:r w:rsidR="003A6BDA">
              <w:t xml:space="preserve"> </w:t>
            </w:r>
            <w:r w:rsidR="00195B23">
              <w:t>More specifically</w:t>
            </w:r>
            <w:r w:rsidR="00816675">
              <w:t>,</w:t>
            </w:r>
            <w:r w:rsidR="00195B23">
              <w:t xml:space="preserve"> it seeks to </w:t>
            </w:r>
            <w:r w:rsidR="00451644">
              <w:t>answer:</w:t>
            </w:r>
            <w:r w:rsidR="00195B23">
              <w:t xml:space="preserve"> </w:t>
            </w:r>
            <w:r w:rsidR="00771320" w:rsidRPr="00771320">
              <w:rPr>
                <w:i/>
                <w:iCs/>
              </w:rPr>
              <w:t>‘</w:t>
            </w:r>
            <w:r w:rsidR="00E3796D" w:rsidRPr="00771320">
              <w:rPr>
                <w:i/>
              </w:rPr>
              <w:t>How much does each GST arrangement reduce differences in fiscal capacity between states</w:t>
            </w:r>
            <w:r w:rsidR="00E3796D" w:rsidRPr="00771320">
              <w:rPr>
                <w:i/>
                <w:iCs/>
              </w:rPr>
              <w:t>?</w:t>
            </w:r>
            <w:r w:rsidR="00771320" w:rsidRPr="00771320">
              <w:rPr>
                <w:i/>
                <w:iCs/>
              </w:rPr>
              <w:t>’</w:t>
            </w:r>
          </w:p>
        </w:tc>
      </w:tr>
      <w:tr w:rsidR="003A174B" w14:paraId="4D48FB45" w14:textId="77777777" w:rsidTr="00720005">
        <w:tc>
          <w:tcPr>
            <w:tcW w:w="1030" w:type="pct"/>
            <w:tcBorders>
              <w:top w:val="nil"/>
              <w:left w:val="nil"/>
              <w:bottom w:val="single" w:sz="8" w:space="0" w:color="B3B3B3"/>
              <w:right w:val="nil"/>
            </w:tcBorders>
            <w:tcMar>
              <w:top w:w="57" w:type="dxa"/>
              <w:left w:w="57" w:type="dxa"/>
              <w:bottom w:w="57" w:type="dxa"/>
              <w:right w:w="85" w:type="dxa"/>
            </w:tcMar>
            <w:hideMark/>
          </w:tcPr>
          <w:p w14:paraId="43F01BE8" w14:textId="77777777" w:rsidR="003A174B" w:rsidRDefault="003A174B" w:rsidP="003A174B">
            <w:pPr>
              <w:pStyle w:val="TableHeading"/>
            </w:pPr>
            <w:r>
              <w:t>Scope</w:t>
            </w:r>
          </w:p>
        </w:tc>
        <w:tc>
          <w:tcPr>
            <w:tcW w:w="3970" w:type="pct"/>
            <w:tcBorders>
              <w:top w:val="nil"/>
              <w:left w:val="nil"/>
              <w:bottom w:val="single" w:sz="8" w:space="0" w:color="B3B3B3"/>
              <w:right w:val="nil"/>
            </w:tcBorders>
            <w:tcMar>
              <w:top w:w="57" w:type="dxa"/>
              <w:left w:w="57" w:type="dxa"/>
              <w:bottom w:w="57" w:type="dxa"/>
              <w:right w:w="85" w:type="dxa"/>
            </w:tcMar>
          </w:tcPr>
          <w:p w14:paraId="6D6B6D32" w14:textId="081E330F" w:rsidR="003A174B" w:rsidRPr="00005CD6" w:rsidRDefault="00005CD6" w:rsidP="00005CD6">
            <w:pPr>
              <w:pStyle w:val="TableBody"/>
              <w:rPr>
                <w:kern w:val="2"/>
                <w:szCs w:val="18"/>
                <w:lang w:eastAsia="zh-CN" w:bidi="th-TH"/>
                <w14:ligatures w14:val="standardContextual"/>
              </w:rPr>
            </w:pPr>
            <w:r>
              <w:rPr>
                <w:color w:val="000000"/>
              </w:rPr>
              <w:t>Measures the equity effects of models 1-14 in</w:t>
            </w:r>
            <w:r w:rsidR="00EF6D52">
              <w:rPr>
                <w:color w:val="000000"/>
              </w:rPr>
              <w:t xml:space="preserve"> section</w:t>
            </w:r>
            <w:r w:rsidR="003A6BDA">
              <w:rPr>
                <w:color w:val="000000"/>
              </w:rPr>
              <w:t xml:space="preserve"> </w:t>
            </w:r>
            <w:r w:rsidR="003A6BDA">
              <w:fldChar w:fldCharType="begin"/>
            </w:r>
            <w:r w:rsidR="003A6BDA">
              <w:instrText xml:space="preserve"> REF _Ref237424507 \r \h </w:instrText>
            </w:r>
            <w:r w:rsidR="00720005">
              <w:instrText xml:space="preserve"> \* MERGEFORMAT </w:instrText>
            </w:r>
            <w:r w:rsidR="003A6BDA">
              <w:fldChar w:fldCharType="separate"/>
            </w:r>
            <w:r w:rsidR="002D76C4">
              <w:t>C.2</w:t>
            </w:r>
            <w:r w:rsidR="003A6BDA">
              <w:fldChar w:fldCharType="end"/>
            </w:r>
            <w:r>
              <w:rPr>
                <w:color w:val="000000"/>
              </w:rPr>
              <w:t xml:space="preserve">, across all states and years from </w:t>
            </w:r>
            <w:r w:rsidR="00FD28E6">
              <w:rPr>
                <w:color w:val="000000"/>
              </w:rPr>
              <w:t>2001–02</w:t>
            </w:r>
            <w:r w:rsidR="003A6BDA">
              <w:rPr>
                <w:color w:val="000000"/>
              </w:rPr>
              <w:t xml:space="preserve"> to </w:t>
            </w:r>
            <w:r w:rsidR="00B41D17">
              <w:rPr>
                <w:color w:val="000000"/>
              </w:rPr>
              <w:t>2024–25</w:t>
            </w:r>
            <w:r>
              <w:rPr>
                <w:color w:val="000000"/>
              </w:rPr>
              <w:t>.</w:t>
            </w:r>
          </w:p>
        </w:tc>
      </w:tr>
      <w:tr w:rsidR="003A174B" w14:paraId="568BB911" w14:textId="77777777" w:rsidTr="003A6BDA">
        <w:tc>
          <w:tcPr>
            <w:tcW w:w="1030" w:type="pct"/>
            <w:tcBorders>
              <w:top w:val="nil"/>
              <w:left w:val="nil"/>
              <w:bottom w:val="single" w:sz="8" w:space="0" w:color="B3B3B3"/>
              <w:right w:val="nil"/>
            </w:tcBorders>
            <w:tcMar>
              <w:top w:w="57" w:type="dxa"/>
              <w:left w:w="57" w:type="dxa"/>
              <w:bottom w:w="57" w:type="dxa"/>
              <w:right w:w="85" w:type="dxa"/>
            </w:tcMar>
            <w:hideMark/>
          </w:tcPr>
          <w:p w14:paraId="03DC5352" w14:textId="77777777" w:rsidR="003A174B" w:rsidRDefault="003A174B" w:rsidP="003A174B">
            <w:pPr>
              <w:pStyle w:val="TableHeading"/>
            </w:pPr>
            <w:r>
              <w:t>Use in report</w:t>
            </w:r>
          </w:p>
        </w:tc>
        <w:tc>
          <w:tcPr>
            <w:tcW w:w="3970" w:type="pct"/>
            <w:tcBorders>
              <w:top w:val="nil"/>
              <w:left w:val="nil"/>
              <w:bottom w:val="single" w:sz="8" w:space="0" w:color="B3B3B3"/>
              <w:right w:val="nil"/>
            </w:tcBorders>
            <w:tcMar>
              <w:top w:w="57" w:type="dxa"/>
              <w:left w:w="57" w:type="dxa"/>
              <w:bottom w:w="57" w:type="dxa"/>
              <w:right w:w="85" w:type="dxa"/>
            </w:tcMar>
            <w:hideMark/>
          </w:tcPr>
          <w:p w14:paraId="488CA466" w14:textId="0F216E1E" w:rsidR="003A174B" w:rsidRPr="00720005" w:rsidRDefault="007B52E5" w:rsidP="003A174B">
            <w:pPr>
              <w:pStyle w:val="TableBody"/>
              <w:rPr>
                <w:spacing w:val="-4"/>
              </w:rPr>
            </w:pPr>
            <w:r w:rsidRPr="00720005">
              <w:rPr>
                <w:spacing w:val="-4"/>
              </w:rPr>
              <w:t>Table 3.2, table 4.1, figure 4.1, figure 4.2, figure 4.3, figure 4.4, figure 4.5, figure 4.6, figure 4.7</w:t>
            </w:r>
            <w:r w:rsidR="001A1D91" w:rsidRPr="00720005">
              <w:rPr>
                <w:spacing w:val="-4"/>
              </w:rPr>
              <w:t>.</w:t>
            </w:r>
          </w:p>
        </w:tc>
      </w:tr>
    </w:tbl>
    <w:p w14:paraId="49479D1D" w14:textId="77777777" w:rsidR="004E0945" w:rsidRDefault="004E0945" w:rsidP="004E0945">
      <w:pPr>
        <w:pStyle w:val="Heading3-noTOC"/>
      </w:pPr>
      <w:r>
        <w:t>Method</w:t>
      </w:r>
    </w:p>
    <w:p w14:paraId="79005076" w14:textId="6276AD48" w:rsidR="00427CAF" w:rsidRPr="00CF2DC0" w:rsidRDefault="009F72E8">
      <w:r>
        <w:t xml:space="preserve">The </w:t>
      </w:r>
      <w:r w:rsidR="00135A65" w:rsidRPr="00135A65">
        <w:t>equity</w:t>
      </w:r>
      <w:r>
        <w:t xml:space="preserve"> framework measure</w:t>
      </w:r>
      <w:r w:rsidR="00A442C1">
        <w:t>,</w:t>
      </w:r>
      <w:r>
        <w:t xml:space="preserve"> the equalisation rate</w:t>
      </w:r>
      <w:r w:rsidR="00A442C1">
        <w:t xml:space="preserve">, </w:t>
      </w:r>
      <w:r w:rsidR="00135A65" w:rsidRPr="00135A65">
        <w:t>uses</w:t>
      </w:r>
      <w:r w:rsidR="00A7311F">
        <w:t xml:space="preserve"> per-capi</w:t>
      </w:r>
      <w:r w:rsidR="0085124B">
        <w:t>t</w:t>
      </w:r>
      <w:r w:rsidR="00A7311F">
        <w:t>a</w:t>
      </w:r>
      <w:r>
        <w:t xml:space="preserve"> GST</w:t>
      </w:r>
      <w:r w:rsidR="00A7311F">
        <w:t>-</w:t>
      </w:r>
      <w:r>
        <w:t xml:space="preserve">need </w:t>
      </w:r>
      <w:r w:rsidR="00A7311F">
        <w:t xml:space="preserve">from the </w:t>
      </w:r>
      <w:r w:rsidR="007F40D1">
        <w:t xml:space="preserve">CGC </w:t>
      </w:r>
      <w:r w:rsidR="00A7311F">
        <w:t xml:space="preserve">assessments </w:t>
      </w:r>
      <w:r>
        <w:t>and GST distribution</w:t>
      </w:r>
      <w:r w:rsidR="00164AFE">
        <w:t xml:space="preserve"> systems</w:t>
      </w:r>
      <w:r>
        <w:t xml:space="preserve"> from the PC GST </w:t>
      </w:r>
      <w:r w:rsidR="00A442C1">
        <w:t>M</w:t>
      </w:r>
      <w:r>
        <w:t>odel in</w:t>
      </w:r>
      <w:r w:rsidR="001C468D">
        <w:t xml:space="preserve"> section</w:t>
      </w:r>
      <w:r>
        <w:t xml:space="preserve"> C.</w:t>
      </w:r>
      <w:r w:rsidR="001C468D">
        <w:t>3</w:t>
      </w:r>
      <w:r>
        <w:t xml:space="preserve"> to </w:t>
      </w:r>
      <w:r w:rsidR="00135A65" w:rsidRPr="00135A65">
        <w:t>assess</w:t>
      </w:r>
      <w:r>
        <w:t xml:space="preserve"> how far each state is from the equalisation benchmark before and after GST distribution</w:t>
      </w:r>
      <w:r w:rsidR="00A7311F">
        <w:t>. This is repeated for each model described in</w:t>
      </w:r>
      <w:r w:rsidR="00EF6D52">
        <w:t xml:space="preserve"> section</w:t>
      </w:r>
      <w:r w:rsidR="00A7311F">
        <w:t xml:space="preserve"> </w:t>
      </w:r>
      <w:r w:rsidR="00A7311F">
        <w:fldChar w:fldCharType="begin"/>
      </w:r>
      <w:r w:rsidR="00A7311F">
        <w:instrText xml:space="preserve"> REF _Ref237424507 \r \h </w:instrText>
      </w:r>
      <w:r w:rsidR="00A7311F">
        <w:fldChar w:fldCharType="separate"/>
      </w:r>
      <w:r w:rsidR="002D76C4">
        <w:t>C.2</w:t>
      </w:r>
      <w:r w:rsidR="00A7311F">
        <w:fldChar w:fldCharType="end"/>
      </w:r>
      <w:r w:rsidR="00587493">
        <w:t xml:space="preserve"> and across years </w:t>
      </w:r>
      <w:r w:rsidR="00FD28E6">
        <w:t>2001–02</w:t>
      </w:r>
      <w:r w:rsidR="00587493">
        <w:t xml:space="preserve"> to </w:t>
      </w:r>
      <w:r w:rsidR="00B41D17">
        <w:t>2024–25</w:t>
      </w:r>
      <w:r w:rsidR="00587493">
        <w:t xml:space="preserve">. </w:t>
      </w:r>
    </w:p>
    <w:p w14:paraId="7F2DFAA2" w14:textId="7D257828" w:rsidR="00280356" w:rsidRDefault="00280356" w:rsidP="00AB5063">
      <w:pPr>
        <w:pStyle w:val="FigureTableHeading"/>
      </w:pPr>
      <w:r>
        <w:lastRenderedPageBreak/>
        <w:t xml:space="preserve">Table </w:t>
      </w:r>
      <w:r w:rsidR="00E01F84">
        <w:t>C</w:t>
      </w:r>
      <w:r>
        <w:t>.</w:t>
      </w:r>
      <w:fldSimple w:instr=" SEQ Table \* ARABIC \s 1 ">
        <w:r w:rsidR="002D76C4">
          <w:rPr>
            <w:noProof/>
          </w:rPr>
          <w:t>7</w:t>
        </w:r>
      </w:fldSimple>
      <w:r>
        <w:rPr>
          <w:noProof/>
        </w:rPr>
        <w:t xml:space="preserve"> – </w:t>
      </w:r>
      <w:r w:rsidR="004A53D4">
        <w:rPr>
          <w:noProof/>
        </w:rPr>
        <w:t>Steps</w:t>
      </w:r>
      <w:r w:rsidR="00903CD6">
        <w:rPr>
          <w:noProof/>
        </w:rPr>
        <w:t xml:space="preserve"> for the e</w:t>
      </w:r>
      <w:r w:rsidR="00C03AEC">
        <w:rPr>
          <w:noProof/>
        </w:rPr>
        <w:t xml:space="preserve">quity framework measure </w:t>
      </w:r>
    </w:p>
    <w:tbl>
      <w:tblPr>
        <w:tblW w:w="0" w:type="auto"/>
        <w:tblBorders>
          <w:bottom w:val="single" w:sz="4" w:space="0" w:color="B3B3B3"/>
        </w:tblBorders>
        <w:shd w:val="clear" w:color="000000" w:fill="auto"/>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282"/>
        <w:gridCol w:w="9356"/>
      </w:tblGrid>
      <w:tr w:rsidR="00394724" w:rsidRPr="00037B72" w14:paraId="3719A2F3" w14:textId="77777777" w:rsidTr="00614E85">
        <w:trPr>
          <w:tblHeader/>
        </w:trPr>
        <w:tc>
          <w:tcPr>
            <w:tcW w:w="0" w:type="auto"/>
            <w:tcBorders>
              <w:bottom w:val="single" w:sz="4" w:space="0" w:color="B3B3B3"/>
            </w:tcBorders>
            <w:shd w:val="clear" w:color="000000" w:fill="auto"/>
            <w:vAlign w:val="bottom"/>
          </w:tcPr>
          <w:p w14:paraId="21F51336" w14:textId="39956F2D" w:rsidR="00394724" w:rsidRPr="00037B72" w:rsidRDefault="00394724" w:rsidP="00AB5063">
            <w:pPr>
              <w:keepNext/>
              <w:spacing w:before="45" w:after="45"/>
              <w:ind w:left="57" w:right="108"/>
              <w:rPr>
                <w:rFonts w:cs="Open Sans"/>
                <w:b/>
                <w:color w:val="1D4374"/>
                <w:sz w:val="18"/>
              </w:rPr>
            </w:pPr>
            <w:r w:rsidRPr="00037B72">
              <w:rPr>
                <w:rFonts w:cs="Open Sans"/>
                <w:b/>
                <w:bCs/>
                <w:color w:val="1D4374"/>
                <w:sz w:val="18"/>
              </w:rPr>
              <w:t>#</w:t>
            </w:r>
          </w:p>
        </w:tc>
        <w:tc>
          <w:tcPr>
            <w:tcW w:w="0" w:type="auto"/>
            <w:tcBorders>
              <w:bottom w:val="single" w:sz="4" w:space="0" w:color="B3B3B3"/>
            </w:tcBorders>
            <w:shd w:val="clear" w:color="000000" w:fill="auto"/>
            <w:vAlign w:val="bottom"/>
          </w:tcPr>
          <w:p w14:paraId="51EEC9EB" w14:textId="34C159D5" w:rsidR="00394724" w:rsidRPr="00037B72" w:rsidRDefault="00394724" w:rsidP="00AB5063">
            <w:pPr>
              <w:pStyle w:val="TableHeading"/>
              <w:keepNext/>
              <w:spacing w:before="45" w:after="45"/>
              <w:rPr>
                <w:rFonts w:cs="Open Sans"/>
                <w:color w:val="1D4374"/>
              </w:rPr>
            </w:pPr>
            <w:r w:rsidRPr="00037B72">
              <w:rPr>
                <w:rFonts w:cs="Open Sans"/>
                <w:bCs/>
                <w:color w:val="1D4374"/>
              </w:rPr>
              <w:t>Step</w:t>
            </w:r>
          </w:p>
        </w:tc>
      </w:tr>
      <w:tr w:rsidR="00394724" w:rsidRPr="00037B72" w14:paraId="27177D94" w14:textId="77777777" w:rsidTr="00614E85">
        <w:tc>
          <w:tcPr>
            <w:tcW w:w="0" w:type="auto"/>
            <w:tcBorders>
              <w:top w:val="single" w:sz="4" w:space="0" w:color="B3B3B3"/>
              <w:bottom w:val="nil"/>
            </w:tcBorders>
            <w:shd w:val="clear" w:color="000000" w:fill="E6E6E6"/>
          </w:tcPr>
          <w:p w14:paraId="6D8D168C" w14:textId="04BAA384" w:rsidR="00394724" w:rsidRPr="00037B72" w:rsidRDefault="00324DA0" w:rsidP="00AB5063">
            <w:pPr>
              <w:pStyle w:val="TableHeading"/>
              <w:keepNext/>
              <w:spacing w:before="45" w:after="45"/>
              <w:rPr>
                <w:rFonts w:cs="Open Sans"/>
                <w:color w:val="1D4374"/>
              </w:rPr>
            </w:pPr>
            <w:r w:rsidRPr="00037B72">
              <w:rPr>
                <w:rFonts w:cs="Open Sans"/>
                <w:color w:val="1D4374"/>
              </w:rPr>
              <w:t>1</w:t>
            </w:r>
          </w:p>
        </w:tc>
        <w:tc>
          <w:tcPr>
            <w:tcW w:w="0" w:type="auto"/>
            <w:tcBorders>
              <w:top w:val="single" w:sz="4" w:space="0" w:color="B3B3B3"/>
              <w:bottom w:val="nil"/>
            </w:tcBorders>
            <w:shd w:val="clear" w:color="000000" w:fill="E6E6E6"/>
          </w:tcPr>
          <w:p w14:paraId="58A6E3A2" w14:textId="33E3BD5B" w:rsidR="00394724" w:rsidRPr="00037B72" w:rsidRDefault="00394724" w:rsidP="00AB5063">
            <w:pPr>
              <w:pStyle w:val="TableBody"/>
              <w:keepNext/>
              <w:spacing w:before="45" w:after="45"/>
              <w:ind w:right="108"/>
              <w:rPr>
                <w:rFonts w:cs="Open Sans"/>
                <w:color w:val="000000"/>
              </w:rPr>
            </w:pPr>
            <w:r w:rsidRPr="00037B72">
              <w:rPr>
                <w:rStyle w:val="Strong"/>
                <w:rFonts w:cs="Open Sans"/>
                <w:b w:val="0"/>
                <w:color w:val="000000"/>
              </w:rPr>
              <w:t>Collate the modelling inputs</w:t>
            </w:r>
            <w:r w:rsidRPr="00037B72">
              <w:rPr>
                <w:rFonts w:cs="Open Sans"/>
                <w:color w:val="000000"/>
              </w:rPr>
              <w:t xml:space="preserve"> for each state, year and arrangement, including the GST pool, assessed GST need, GST </w:t>
            </w:r>
            <w:r w:rsidR="00860001">
              <w:rPr>
                <w:rFonts w:cs="Open Sans"/>
                <w:color w:val="000000"/>
              </w:rPr>
              <w:t xml:space="preserve">payments </w:t>
            </w:r>
            <w:r w:rsidRPr="00037B72">
              <w:rPr>
                <w:rFonts w:cs="Open Sans"/>
                <w:color w:val="000000"/>
              </w:rPr>
              <w:t xml:space="preserve">received and </w:t>
            </w:r>
            <w:proofErr w:type="spellStart"/>
            <w:r w:rsidRPr="00037B72">
              <w:rPr>
                <w:rFonts w:cs="Open Sans"/>
                <w:color w:val="000000"/>
              </w:rPr>
              <w:t>NoWO</w:t>
            </w:r>
            <w:proofErr w:type="spellEnd"/>
            <w:r w:rsidRPr="00037B72">
              <w:rPr>
                <w:rFonts w:cs="Open Sans"/>
                <w:color w:val="000000"/>
              </w:rPr>
              <w:t xml:space="preserve"> data from the PC GST model in</w:t>
            </w:r>
            <w:r w:rsidR="00EF6D52">
              <w:rPr>
                <w:rFonts w:cs="Open Sans"/>
                <w:color w:val="000000"/>
              </w:rPr>
              <w:t xml:space="preserve"> section</w:t>
            </w:r>
            <w:r w:rsidRPr="00037B72">
              <w:rPr>
                <w:rFonts w:cs="Open Sans"/>
                <w:color w:val="000000"/>
              </w:rPr>
              <w:t xml:space="preserve"> </w:t>
            </w:r>
            <w:r w:rsidRPr="00037B72">
              <w:rPr>
                <w:rFonts w:cs="Open Sans"/>
                <w:color w:val="000000"/>
              </w:rPr>
              <w:fldChar w:fldCharType="begin"/>
            </w:r>
            <w:r w:rsidRPr="00037B72">
              <w:rPr>
                <w:rFonts w:cs="Open Sans"/>
                <w:color w:val="000000"/>
              </w:rPr>
              <w:instrText xml:space="preserve"> REF _Ref237342376 \r \h </w:instrText>
            </w:r>
            <w:r w:rsidR="004D67CC" w:rsidRPr="00037B72">
              <w:rPr>
                <w:rFonts w:cs="Open Sans"/>
                <w:color w:val="000000"/>
              </w:rPr>
              <w:instrText xml:space="preserve"> \* MERGEFORMAT </w:instrText>
            </w:r>
            <w:r w:rsidRPr="00037B72">
              <w:rPr>
                <w:rFonts w:cs="Open Sans"/>
                <w:color w:val="000000"/>
              </w:rPr>
            </w:r>
            <w:r w:rsidRPr="00037B72">
              <w:rPr>
                <w:rFonts w:cs="Open Sans"/>
                <w:color w:val="000000"/>
              </w:rPr>
              <w:fldChar w:fldCharType="separate"/>
            </w:r>
            <w:r w:rsidR="002D76C4">
              <w:rPr>
                <w:rFonts w:cs="Open Sans"/>
                <w:color w:val="000000"/>
              </w:rPr>
              <w:t>C.3</w:t>
            </w:r>
            <w:r w:rsidRPr="00037B72">
              <w:rPr>
                <w:rFonts w:cs="Open Sans"/>
                <w:color w:val="000000"/>
              </w:rPr>
              <w:fldChar w:fldCharType="end"/>
            </w:r>
            <w:r w:rsidRPr="00037B72">
              <w:rPr>
                <w:rFonts w:cs="Open Sans"/>
                <w:color w:val="000000"/>
              </w:rPr>
              <w:t>.</w:t>
            </w:r>
          </w:p>
        </w:tc>
      </w:tr>
      <w:tr w:rsidR="00394724" w:rsidRPr="00037B72" w14:paraId="6B05F19D" w14:textId="77777777" w:rsidTr="00614E85">
        <w:tc>
          <w:tcPr>
            <w:tcW w:w="0" w:type="auto"/>
            <w:tcBorders>
              <w:top w:val="nil"/>
              <w:bottom w:val="nil"/>
            </w:tcBorders>
            <w:shd w:val="clear" w:color="000000" w:fill="auto"/>
          </w:tcPr>
          <w:p w14:paraId="4B3968D0" w14:textId="0E10836D" w:rsidR="00394724" w:rsidRPr="00037B72" w:rsidRDefault="00394724" w:rsidP="00037B72">
            <w:pPr>
              <w:pStyle w:val="TableHeading"/>
              <w:spacing w:before="45" w:after="45"/>
              <w:rPr>
                <w:rFonts w:cs="Open Sans"/>
                <w:color w:val="1D4374"/>
              </w:rPr>
            </w:pPr>
            <w:r w:rsidRPr="00037B72">
              <w:rPr>
                <w:rFonts w:cs="Open Sans"/>
                <w:color w:val="1D4374"/>
              </w:rPr>
              <w:t>2</w:t>
            </w:r>
          </w:p>
        </w:tc>
        <w:tc>
          <w:tcPr>
            <w:tcW w:w="0" w:type="auto"/>
            <w:tcBorders>
              <w:top w:val="nil"/>
              <w:bottom w:val="nil"/>
            </w:tcBorders>
            <w:shd w:val="clear" w:color="000000" w:fill="auto"/>
          </w:tcPr>
          <w:p w14:paraId="7476C96D" w14:textId="2C0A1A92" w:rsidR="00394724" w:rsidRPr="00037B72" w:rsidRDefault="00394724" w:rsidP="00037B72">
            <w:pPr>
              <w:pStyle w:val="TableBody"/>
              <w:spacing w:before="45" w:after="45"/>
              <w:ind w:right="108"/>
              <w:rPr>
                <w:rFonts w:cs="Open Sans"/>
                <w:color w:val="000000"/>
              </w:rPr>
            </w:pPr>
            <w:r w:rsidRPr="00037B72">
              <w:rPr>
                <w:rStyle w:val="Strong"/>
                <w:rFonts w:cs="Open Sans"/>
                <w:b w:val="0"/>
                <w:color w:val="000000"/>
              </w:rPr>
              <w:t xml:space="preserve">Calculate the </w:t>
            </w:r>
            <w:r w:rsidRPr="00037B72">
              <w:rPr>
                <w:rStyle w:val="Strong"/>
                <w:rFonts w:cs="Open Sans"/>
                <w:b w:val="0"/>
                <w:iCs/>
                <w:color w:val="000000"/>
              </w:rPr>
              <w:t>equal per capita assessed-need benchmark</w:t>
            </w:r>
            <w:r w:rsidRPr="00037B72">
              <w:rPr>
                <w:rFonts w:cs="Open Sans"/>
                <w:color w:val="000000"/>
              </w:rPr>
              <w:t xml:space="preserve"> for each year</w:t>
            </w:r>
            <w:r w:rsidR="0066095D" w:rsidRPr="00037B72">
              <w:rPr>
                <w:rFonts w:cs="Open Sans"/>
                <w:color w:val="000000"/>
              </w:rPr>
              <w:t xml:space="preserve"> and </w:t>
            </w:r>
            <w:r w:rsidR="00125FD0" w:rsidRPr="00037B72">
              <w:rPr>
                <w:rFonts w:cs="Open Sans"/>
                <w:color w:val="000000"/>
              </w:rPr>
              <w:t xml:space="preserve">arrangement </w:t>
            </w:r>
            <w:r w:rsidRPr="00037B72">
              <w:rPr>
                <w:rFonts w:cs="Open Sans"/>
                <w:color w:val="000000"/>
              </w:rPr>
              <w:t>as the population-weighted average assessed GST need across states.</w:t>
            </w:r>
          </w:p>
        </w:tc>
      </w:tr>
      <w:tr w:rsidR="00394724" w:rsidRPr="00037B72" w14:paraId="6828D67C" w14:textId="77777777" w:rsidTr="00614E85">
        <w:tc>
          <w:tcPr>
            <w:tcW w:w="0" w:type="auto"/>
            <w:tcBorders>
              <w:bottom w:val="nil"/>
            </w:tcBorders>
            <w:shd w:val="clear" w:color="000000" w:fill="E6E6E6"/>
          </w:tcPr>
          <w:p w14:paraId="5E12FBBC" w14:textId="0610B599" w:rsidR="00394724" w:rsidRPr="00037B72" w:rsidRDefault="00394724" w:rsidP="00037B72">
            <w:pPr>
              <w:pStyle w:val="TableHeading"/>
              <w:spacing w:before="45" w:after="45"/>
              <w:rPr>
                <w:rFonts w:cs="Open Sans"/>
                <w:color w:val="1D4374"/>
              </w:rPr>
            </w:pPr>
            <w:r w:rsidRPr="00037B72">
              <w:rPr>
                <w:rFonts w:cs="Open Sans"/>
                <w:color w:val="1D4374"/>
              </w:rPr>
              <w:t>3</w:t>
            </w:r>
          </w:p>
        </w:tc>
        <w:tc>
          <w:tcPr>
            <w:tcW w:w="0" w:type="auto"/>
            <w:tcBorders>
              <w:bottom w:val="nil"/>
            </w:tcBorders>
            <w:shd w:val="clear" w:color="000000" w:fill="E6E6E6"/>
          </w:tcPr>
          <w:p w14:paraId="19504420" w14:textId="4F7E473C" w:rsidR="00394724" w:rsidRPr="00037B72" w:rsidRDefault="00394724" w:rsidP="00037B72">
            <w:pPr>
              <w:pStyle w:val="TableBody"/>
              <w:spacing w:before="45" w:after="45"/>
              <w:ind w:right="108"/>
              <w:rPr>
                <w:rFonts w:cs="Open Sans"/>
                <w:color w:val="000000"/>
              </w:rPr>
            </w:pPr>
            <w:r w:rsidRPr="00037B72">
              <w:rPr>
                <w:rStyle w:val="Strong"/>
                <w:rFonts w:cs="Open Sans"/>
                <w:b w:val="0"/>
                <w:color w:val="000000"/>
              </w:rPr>
              <w:t xml:space="preserve">Calculate each state’s </w:t>
            </w:r>
            <w:r w:rsidRPr="00037B72">
              <w:rPr>
                <w:rStyle w:val="Strong"/>
                <w:rFonts w:cs="Open Sans"/>
                <w:b w:val="0"/>
                <w:iCs/>
                <w:color w:val="000000"/>
              </w:rPr>
              <w:t>pre-GST fiscal gap</w:t>
            </w:r>
            <w:r w:rsidRPr="00037B72">
              <w:rPr>
                <w:rFonts w:cs="Open Sans"/>
                <w:color w:val="000000"/>
              </w:rPr>
              <w:t xml:space="preserve"> as its assessed GST need less the equal per capita assessed-need benchmark</w:t>
            </w:r>
            <w:r w:rsidR="00BC7E95">
              <w:rPr>
                <w:rFonts w:cs="Open Sans"/>
                <w:color w:val="000000"/>
              </w:rPr>
              <w:t>,</w:t>
            </w:r>
            <w:r w:rsidR="00AB140A" w:rsidRPr="00037B72">
              <w:rPr>
                <w:rFonts w:cs="Open Sans"/>
                <w:color w:val="000000"/>
              </w:rPr>
              <w:t xml:space="preserve"> </w:t>
            </w:r>
            <w:r w:rsidR="00BC7E95" w:rsidRPr="00037B72">
              <w:rPr>
                <w:rFonts w:cs="Open Sans"/>
                <w:color w:val="000000"/>
              </w:rPr>
              <w:t>i.e.</w:t>
            </w:r>
            <w:r w:rsidR="00AB140A" w:rsidRPr="00037B72">
              <w:rPr>
                <w:rFonts w:cs="Open Sans"/>
                <w:color w:val="000000"/>
              </w:rPr>
              <w:t xml:space="preserve"> the deviation from the mean.</w:t>
            </w:r>
          </w:p>
        </w:tc>
      </w:tr>
      <w:tr w:rsidR="00394724" w:rsidRPr="00037B72" w14:paraId="6D79BA02" w14:textId="77777777" w:rsidTr="00614E85">
        <w:tc>
          <w:tcPr>
            <w:tcW w:w="0" w:type="auto"/>
            <w:tcBorders>
              <w:top w:val="nil"/>
              <w:bottom w:val="nil"/>
            </w:tcBorders>
            <w:shd w:val="clear" w:color="000000" w:fill="auto"/>
          </w:tcPr>
          <w:p w14:paraId="7FDA7574" w14:textId="48069359" w:rsidR="00394724" w:rsidRPr="00037B72" w:rsidRDefault="00394724" w:rsidP="00037B72">
            <w:pPr>
              <w:pStyle w:val="TableHeading"/>
              <w:spacing w:before="45" w:after="45"/>
              <w:rPr>
                <w:rFonts w:cs="Open Sans"/>
                <w:color w:val="1D4374"/>
              </w:rPr>
            </w:pPr>
            <w:r w:rsidRPr="00037B72">
              <w:rPr>
                <w:rFonts w:cs="Open Sans"/>
                <w:color w:val="1D4374"/>
              </w:rPr>
              <w:t>4</w:t>
            </w:r>
          </w:p>
        </w:tc>
        <w:tc>
          <w:tcPr>
            <w:tcW w:w="0" w:type="auto"/>
            <w:tcBorders>
              <w:top w:val="nil"/>
              <w:bottom w:val="nil"/>
            </w:tcBorders>
            <w:shd w:val="clear" w:color="000000" w:fill="auto"/>
          </w:tcPr>
          <w:p w14:paraId="7AD8E297" w14:textId="6F46FFAC" w:rsidR="00394724" w:rsidRPr="00037B72" w:rsidRDefault="00394724" w:rsidP="00037B72">
            <w:pPr>
              <w:pStyle w:val="TableBody"/>
              <w:spacing w:before="45" w:after="45"/>
              <w:ind w:right="108"/>
              <w:rPr>
                <w:rFonts w:cs="Open Sans"/>
                <w:color w:val="000000"/>
              </w:rPr>
            </w:pPr>
            <w:r w:rsidRPr="00037B72">
              <w:rPr>
                <w:rStyle w:val="Strong"/>
                <w:rFonts w:cs="Open Sans"/>
                <w:b w:val="0"/>
                <w:color w:val="000000"/>
              </w:rPr>
              <w:t xml:space="preserve">Calculate each state’s </w:t>
            </w:r>
            <w:r w:rsidRPr="00037B72">
              <w:rPr>
                <w:rStyle w:val="Strong"/>
                <w:rFonts w:cs="Open Sans"/>
                <w:b w:val="0"/>
                <w:iCs/>
                <w:color w:val="000000"/>
              </w:rPr>
              <w:t>post-GST residual gap</w:t>
            </w:r>
            <w:r w:rsidRPr="00037B72">
              <w:rPr>
                <w:rFonts w:cs="Open Sans"/>
                <w:color w:val="000000"/>
              </w:rPr>
              <w:t xml:space="preserve"> as its assessed GST need less the GST it receives under the relevant arrangement</w:t>
            </w:r>
            <w:r w:rsidR="00AB140A" w:rsidRPr="00037B72">
              <w:rPr>
                <w:rFonts w:cs="Open Sans"/>
                <w:color w:val="000000"/>
              </w:rPr>
              <w:t xml:space="preserve">. </w:t>
            </w:r>
          </w:p>
        </w:tc>
      </w:tr>
      <w:tr w:rsidR="00394724" w:rsidRPr="00037B72" w14:paraId="1E5F84D4" w14:textId="77777777" w:rsidTr="00614E85">
        <w:tc>
          <w:tcPr>
            <w:tcW w:w="0" w:type="auto"/>
            <w:tcBorders>
              <w:bottom w:val="nil"/>
            </w:tcBorders>
            <w:shd w:val="clear" w:color="000000" w:fill="E6E6E6"/>
          </w:tcPr>
          <w:p w14:paraId="0D9B5C39" w14:textId="181AB9B6" w:rsidR="00394724" w:rsidRPr="00037B72" w:rsidRDefault="00394724" w:rsidP="00037B72">
            <w:pPr>
              <w:pStyle w:val="TableHeading"/>
              <w:spacing w:before="45" w:after="45"/>
              <w:rPr>
                <w:rFonts w:cs="Open Sans"/>
                <w:color w:val="1D4374"/>
              </w:rPr>
            </w:pPr>
            <w:r w:rsidRPr="00037B72">
              <w:rPr>
                <w:rFonts w:cs="Open Sans"/>
                <w:color w:val="1D4374"/>
              </w:rPr>
              <w:t>5</w:t>
            </w:r>
          </w:p>
        </w:tc>
        <w:tc>
          <w:tcPr>
            <w:tcW w:w="0" w:type="auto"/>
            <w:tcBorders>
              <w:bottom w:val="nil"/>
            </w:tcBorders>
            <w:shd w:val="clear" w:color="000000" w:fill="E6E6E6"/>
          </w:tcPr>
          <w:p w14:paraId="1C2DA6AA" w14:textId="2F336D1D" w:rsidR="00394724" w:rsidRPr="00037B72" w:rsidRDefault="00047077" w:rsidP="00037B72">
            <w:pPr>
              <w:pStyle w:val="TableBody"/>
              <w:spacing w:before="45" w:after="45"/>
              <w:ind w:right="108"/>
              <w:rPr>
                <w:rFonts w:cs="Open Sans"/>
                <w:color w:val="000000"/>
              </w:rPr>
            </w:pPr>
            <w:r w:rsidRPr="00037B72">
              <w:rPr>
                <w:rFonts w:cs="Open Sans"/>
                <w:color w:val="000000"/>
              </w:rPr>
              <w:t xml:space="preserve">Calculate </w:t>
            </w:r>
            <w:r w:rsidRPr="00037B72">
              <w:rPr>
                <w:rFonts w:cs="Open Sans"/>
                <w:iCs/>
                <w:color w:val="000000"/>
              </w:rPr>
              <w:t>pre-GST dispersion</w:t>
            </w:r>
            <w:r w:rsidRPr="00037B72">
              <w:rPr>
                <w:rFonts w:cs="Open Sans"/>
                <w:bCs/>
                <w:color w:val="000000"/>
              </w:rPr>
              <w:t xml:space="preserve"> for each model/year/scenario as the population-weighted root mean square of </w:t>
            </w:r>
            <w:r w:rsidR="00415D99">
              <w:rPr>
                <w:rFonts w:cs="Open Sans"/>
                <w:bCs/>
                <w:color w:val="000000"/>
              </w:rPr>
              <w:t xml:space="preserve">the </w:t>
            </w:r>
            <w:r w:rsidRPr="00037B72">
              <w:rPr>
                <w:rFonts w:cs="Open Sans"/>
                <w:bCs/>
                <w:color w:val="000000"/>
              </w:rPr>
              <w:t>states’ pre-GST fiscal gaps.</w:t>
            </w:r>
          </w:p>
        </w:tc>
      </w:tr>
      <w:tr w:rsidR="00394724" w:rsidRPr="00037B72" w14:paraId="03BC3CF3" w14:textId="77777777" w:rsidTr="00614E85">
        <w:tc>
          <w:tcPr>
            <w:tcW w:w="0" w:type="auto"/>
            <w:tcBorders>
              <w:top w:val="nil"/>
              <w:bottom w:val="nil"/>
            </w:tcBorders>
            <w:shd w:val="clear" w:color="000000" w:fill="auto"/>
          </w:tcPr>
          <w:p w14:paraId="6C998203" w14:textId="234DAAD9" w:rsidR="00394724" w:rsidRPr="00037B72" w:rsidRDefault="00324DA0" w:rsidP="00037B72">
            <w:pPr>
              <w:pStyle w:val="TableHeading"/>
              <w:spacing w:before="45" w:after="45"/>
              <w:rPr>
                <w:rFonts w:cs="Open Sans"/>
                <w:color w:val="1D4374"/>
              </w:rPr>
            </w:pPr>
            <w:r w:rsidRPr="00037B72">
              <w:rPr>
                <w:rFonts w:cs="Open Sans"/>
                <w:color w:val="1D4374"/>
              </w:rPr>
              <w:t>6</w:t>
            </w:r>
          </w:p>
        </w:tc>
        <w:tc>
          <w:tcPr>
            <w:tcW w:w="0" w:type="auto"/>
            <w:tcBorders>
              <w:top w:val="nil"/>
              <w:bottom w:val="nil"/>
            </w:tcBorders>
            <w:shd w:val="clear" w:color="000000" w:fill="auto"/>
          </w:tcPr>
          <w:p w14:paraId="581DA127" w14:textId="05CCEB20" w:rsidR="00394724" w:rsidRPr="00037B72" w:rsidRDefault="00047077" w:rsidP="00037B72">
            <w:pPr>
              <w:pStyle w:val="TableBody"/>
              <w:spacing w:before="45" w:after="45"/>
              <w:ind w:right="108"/>
              <w:rPr>
                <w:rFonts w:cs="Open Sans"/>
                <w:color w:val="000000"/>
              </w:rPr>
            </w:pPr>
            <w:r w:rsidRPr="00037B72">
              <w:rPr>
                <w:rStyle w:val="Strong"/>
                <w:rFonts w:cs="Open Sans"/>
                <w:b w:val="0"/>
                <w:color w:val="000000"/>
              </w:rPr>
              <w:t xml:space="preserve">Calculate </w:t>
            </w:r>
            <w:r w:rsidRPr="00037B72">
              <w:rPr>
                <w:rStyle w:val="Strong"/>
                <w:rFonts w:cs="Open Sans"/>
                <w:b w:val="0"/>
                <w:iCs/>
                <w:color w:val="000000"/>
              </w:rPr>
              <w:t>post-GST residual dispersion</w:t>
            </w:r>
            <w:r w:rsidRPr="00037B72">
              <w:rPr>
                <w:rStyle w:val="Strong"/>
                <w:rFonts w:cs="Open Sans"/>
                <w:b w:val="0"/>
                <w:color w:val="000000"/>
              </w:rPr>
              <w:t xml:space="preserve"> for each model/year/scenario as the population-weighted root mean square of states’ post-GST residual gaps.</w:t>
            </w:r>
          </w:p>
        </w:tc>
      </w:tr>
      <w:tr w:rsidR="00394724" w:rsidRPr="00037B72" w14:paraId="773047F6" w14:textId="77777777" w:rsidTr="00614E85">
        <w:tc>
          <w:tcPr>
            <w:tcW w:w="0" w:type="auto"/>
            <w:tcBorders>
              <w:bottom w:val="nil"/>
            </w:tcBorders>
            <w:shd w:val="clear" w:color="000000" w:fill="E6E6E6"/>
          </w:tcPr>
          <w:p w14:paraId="610E1ACD" w14:textId="65C7CA35" w:rsidR="00394724" w:rsidRPr="00037B72" w:rsidRDefault="00047077" w:rsidP="00037B72">
            <w:pPr>
              <w:pStyle w:val="TableHeading"/>
              <w:spacing w:before="45" w:after="45"/>
              <w:rPr>
                <w:rFonts w:cs="Open Sans"/>
                <w:color w:val="1D4374"/>
              </w:rPr>
            </w:pPr>
            <w:r w:rsidRPr="00037B72">
              <w:rPr>
                <w:rFonts w:cs="Open Sans"/>
                <w:color w:val="1D4374"/>
              </w:rPr>
              <w:t>7</w:t>
            </w:r>
          </w:p>
        </w:tc>
        <w:tc>
          <w:tcPr>
            <w:tcW w:w="0" w:type="auto"/>
            <w:tcBorders>
              <w:bottom w:val="nil"/>
            </w:tcBorders>
            <w:shd w:val="clear" w:color="000000" w:fill="E6E6E6"/>
          </w:tcPr>
          <w:p w14:paraId="752713D2" w14:textId="062F8CAC" w:rsidR="00394724" w:rsidRPr="00037B72" w:rsidRDefault="00394724" w:rsidP="00037B72">
            <w:pPr>
              <w:pStyle w:val="TableBody"/>
              <w:spacing w:before="45" w:after="45"/>
              <w:ind w:right="108"/>
              <w:rPr>
                <w:rFonts w:cs="Open Sans"/>
                <w:bCs/>
                <w:color w:val="000000"/>
              </w:rPr>
            </w:pPr>
            <w:r w:rsidRPr="00037B72">
              <w:rPr>
                <w:rStyle w:val="Strong"/>
                <w:rFonts w:cs="Open Sans"/>
                <w:b w:val="0"/>
                <w:color w:val="000000"/>
              </w:rPr>
              <w:t xml:space="preserve">Calculate the </w:t>
            </w:r>
            <w:r w:rsidRPr="00037B72">
              <w:rPr>
                <w:rStyle w:val="Strong"/>
                <w:rFonts w:cs="Open Sans"/>
                <w:b w:val="0"/>
                <w:bCs w:val="0"/>
                <w:color w:val="000000"/>
              </w:rPr>
              <w:t>equalisation rate</w:t>
            </w:r>
            <w:r w:rsidRPr="00037B72">
              <w:rPr>
                <w:rFonts w:cs="Open Sans"/>
                <w:color w:val="000000"/>
              </w:rPr>
              <w:t xml:space="preserve"> as </w:t>
            </w:r>
            <w:r w:rsidR="009544A4" w:rsidRPr="00037B72">
              <w:rPr>
                <w:rFonts w:cs="Open Sans"/>
                <w:color w:val="000000"/>
              </w:rPr>
              <w:t>1 (</w:t>
            </w:r>
            <w:r w:rsidR="009544A4" w:rsidRPr="00037B72">
              <w:rPr>
                <w:rFonts w:cs="Open Sans"/>
                <w:iCs/>
                <w:color w:val="000000"/>
              </w:rPr>
              <w:t>post-GST residual dispersion</w:t>
            </w:r>
            <w:r w:rsidR="009544A4" w:rsidRPr="00037B72">
              <w:rPr>
                <w:rFonts w:cs="Open Sans"/>
                <w:color w:val="000000"/>
              </w:rPr>
              <w:t>/</w:t>
            </w:r>
            <w:r w:rsidR="009544A4" w:rsidRPr="00037B72">
              <w:rPr>
                <w:rFonts w:cs="Open Sans"/>
                <w:iCs/>
                <w:color w:val="000000"/>
              </w:rPr>
              <w:t>pre-GST dispersion</w:t>
            </w:r>
            <w:r w:rsidR="009544A4" w:rsidRPr="00037B72">
              <w:rPr>
                <w:rFonts w:cs="Open Sans"/>
                <w:color w:val="000000"/>
              </w:rPr>
              <w:t>)</w:t>
            </w:r>
          </w:p>
        </w:tc>
      </w:tr>
      <w:tr w:rsidR="009C29F4" w:rsidRPr="00037B72" w14:paraId="562D8D4F" w14:textId="77777777" w:rsidTr="00614E85">
        <w:tc>
          <w:tcPr>
            <w:tcW w:w="0" w:type="auto"/>
            <w:tcBorders>
              <w:top w:val="nil"/>
            </w:tcBorders>
            <w:shd w:val="clear" w:color="000000" w:fill="auto"/>
          </w:tcPr>
          <w:p w14:paraId="3620D17F" w14:textId="073932E2" w:rsidR="009C29F4" w:rsidRPr="00037B72" w:rsidRDefault="009C29F4" w:rsidP="00037B72">
            <w:pPr>
              <w:pStyle w:val="TableHeading"/>
              <w:spacing w:before="45" w:after="45"/>
              <w:rPr>
                <w:rFonts w:cs="Open Sans"/>
                <w:color w:val="1D4374"/>
              </w:rPr>
            </w:pPr>
            <w:r w:rsidRPr="00037B72">
              <w:rPr>
                <w:rFonts w:cs="Open Sans"/>
                <w:color w:val="1D4374"/>
              </w:rPr>
              <w:t>8</w:t>
            </w:r>
          </w:p>
        </w:tc>
        <w:tc>
          <w:tcPr>
            <w:tcW w:w="0" w:type="auto"/>
            <w:tcBorders>
              <w:top w:val="nil"/>
            </w:tcBorders>
            <w:shd w:val="clear" w:color="000000" w:fill="auto"/>
          </w:tcPr>
          <w:p w14:paraId="2411B3DB" w14:textId="56774603" w:rsidR="009C29F4" w:rsidRPr="00037B72" w:rsidRDefault="009C29F4" w:rsidP="00037B72">
            <w:pPr>
              <w:pStyle w:val="TableBody"/>
              <w:spacing w:before="45" w:after="45"/>
              <w:ind w:right="108"/>
              <w:rPr>
                <w:rStyle w:val="Strong"/>
                <w:rFonts w:cs="Open Sans"/>
                <w:b w:val="0"/>
                <w:color w:val="000000"/>
              </w:rPr>
            </w:pPr>
            <w:r w:rsidRPr="00037B72">
              <w:rPr>
                <w:rFonts w:cs="Open Sans"/>
                <w:bCs/>
                <w:color w:val="000000"/>
              </w:rPr>
              <w:t xml:space="preserve">Calculate the </w:t>
            </w:r>
            <w:r w:rsidRPr="00037B72">
              <w:rPr>
                <w:rFonts w:cs="Open Sans"/>
                <w:color w:val="000000"/>
              </w:rPr>
              <w:t>equalisation rate</w:t>
            </w:r>
            <w:r w:rsidRPr="00037B72">
              <w:rPr>
                <w:rFonts w:cs="Open Sans"/>
                <w:bCs/>
                <w:color w:val="000000"/>
              </w:rPr>
              <w:t xml:space="preserve"> across years for each </w:t>
            </w:r>
            <w:r w:rsidR="00CC277C" w:rsidRPr="00037B72">
              <w:rPr>
                <w:rFonts w:cs="Open Sans"/>
                <w:bCs/>
                <w:color w:val="000000"/>
              </w:rPr>
              <w:t xml:space="preserve">arrangement </w:t>
            </w:r>
            <w:r w:rsidRPr="00037B72">
              <w:rPr>
                <w:rFonts w:cs="Open Sans"/>
                <w:bCs/>
                <w:color w:val="000000"/>
              </w:rPr>
              <w:t>as the average of the annual equalisation rates over the relevant modelling period.</w:t>
            </w:r>
          </w:p>
        </w:tc>
      </w:tr>
    </w:tbl>
    <w:p w14:paraId="1668E67E" w14:textId="77777777" w:rsidR="004E0945" w:rsidRDefault="004E0945" w:rsidP="004E0945">
      <w:pPr>
        <w:pStyle w:val="Heading3-noTOC"/>
      </w:pPr>
      <w:r>
        <w:t>Data</w:t>
      </w:r>
    </w:p>
    <w:p w14:paraId="40F4AD4C" w14:textId="45525CF1" w:rsidR="00AE4CE1" w:rsidRDefault="00AE4CE1" w:rsidP="00AE4CE1">
      <w:r>
        <w:t xml:space="preserve">The </w:t>
      </w:r>
      <w:r w:rsidR="008C1CDF">
        <w:t>equalisation rate exclusively used data from the PC GST model, buil</w:t>
      </w:r>
      <w:r w:rsidR="00C271E0">
        <w:t>t</w:t>
      </w:r>
      <w:r w:rsidR="008C1CDF">
        <w:t xml:space="preserve"> on CGC </w:t>
      </w:r>
      <w:r w:rsidR="00A94AC6">
        <w:t xml:space="preserve">data. See section </w:t>
      </w:r>
      <w:r w:rsidR="00A94AC6">
        <w:fldChar w:fldCharType="begin"/>
      </w:r>
      <w:r w:rsidR="00A94AC6">
        <w:instrText xml:space="preserve"> REF _Ref237342376 \r \h </w:instrText>
      </w:r>
      <w:r w:rsidR="00A94AC6">
        <w:fldChar w:fldCharType="separate"/>
      </w:r>
      <w:r w:rsidR="002D76C4">
        <w:t>C.3</w:t>
      </w:r>
      <w:r w:rsidR="00A94AC6">
        <w:fldChar w:fldCharType="end"/>
      </w:r>
      <w:r w:rsidR="00A94AC6">
        <w:t xml:space="preserve"> for details.</w:t>
      </w:r>
    </w:p>
    <w:p w14:paraId="49A93152" w14:textId="0E5875E7" w:rsidR="00E9585A" w:rsidRDefault="00E9585A" w:rsidP="00E9585A">
      <w:pPr>
        <w:pStyle w:val="FigureTableHeading"/>
      </w:pPr>
      <w:r>
        <w:t>Table C.</w:t>
      </w:r>
      <w:fldSimple w:instr=" SEQ Table \* ARABIC \s 1 ">
        <w:r w:rsidR="002D76C4">
          <w:rPr>
            <w:noProof/>
          </w:rPr>
          <w:t>8</w:t>
        </w:r>
      </w:fldSimple>
      <w:r>
        <w:rPr>
          <w:noProof/>
        </w:rPr>
        <w:t xml:space="preserve"> – </w:t>
      </w:r>
      <w:r w:rsidR="00903CD6">
        <w:rPr>
          <w:noProof/>
        </w:rPr>
        <w:t>Data inputs for the e</w:t>
      </w:r>
      <w:r w:rsidR="00AE4CE1">
        <w:rPr>
          <w:noProof/>
        </w:rPr>
        <w:t xml:space="preserve">quity framework measure </w:t>
      </w:r>
    </w:p>
    <w:tbl>
      <w:tblPr>
        <w:tblStyle w:val="ProductivityCommissionTable2-Dark"/>
        <w:tblW w:w="5000" w:type="pct"/>
        <w:tblBorders>
          <w:insideH w:val="none" w:sz="0" w:space="0" w:color="auto"/>
        </w:tblBorders>
        <w:shd w:val="clear" w:color="000000" w:fill="auto"/>
        <w:tblLayout w:type="fixed"/>
        <w:tblCellMar>
          <w:top w:w="0" w:type="dxa"/>
          <w:left w:w="0" w:type="dxa"/>
          <w:bottom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636"/>
        <w:gridCol w:w="3751"/>
        <w:gridCol w:w="1276"/>
        <w:gridCol w:w="1259"/>
        <w:gridCol w:w="1716"/>
      </w:tblGrid>
      <w:tr w:rsidR="00BA4D21" w:rsidRPr="00E9585A" w14:paraId="23514B1B" w14:textId="77777777" w:rsidTr="00E9585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9" w:type="pct"/>
            <w:tcBorders>
              <w:bottom w:val="single" w:sz="4" w:space="0" w:color="B3B3B3"/>
            </w:tcBorders>
            <w:shd w:val="clear" w:color="000000" w:fill="auto"/>
            <w:vAlign w:val="bottom"/>
          </w:tcPr>
          <w:p w14:paraId="515F31C9" w14:textId="77777777" w:rsidR="00BA4D21" w:rsidRPr="00E9585A" w:rsidRDefault="00BA4D21" w:rsidP="00E9585A">
            <w:pPr>
              <w:spacing w:before="45" w:after="45"/>
              <w:ind w:left="57" w:right="108"/>
              <w:rPr>
                <w:rFonts w:cs="Open Sans"/>
                <w:color w:val="1D4374"/>
                <w:sz w:val="18"/>
              </w:rPr>
            </w:pPr>
            <w:r w:rsidRPr="00E9585A">
              <w:rPr>
                <w:rFonts w:cs="Open Sans"/>
                <w:color w:val="1D4374"/>
                <w:sz w:val="18"/>
              </w:rPr>
              <w:t>Dataset</w:t>
            </w:r>
          </w:p>
        </w:tc>
        <w:tc>
          <w:tcPr>
            <w:tcW w:w="1946" w:type="pct"/>
            <w:tcBorders>
              <w:bottom w:val="single" w:sz="4" w:space="0" w:color="B3B3B3"/>
            </w:tcBorders>
            <w:shd w:val="clear" w:color="000000" w:fill="auto"/>
            <w:vAlign w:val="bottom"/>
          </w:tcPr>
          <w:p w14:paraId="4C05C6D5" w14:textId="77777777" w:rsidR="00BA4D21" w:rsidRPr="00E9585A" w:rsidRDefault="00BA4D21" w:rsidP="00E9585A">
            <w:pPr>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E9585A">
              <w:rPr>
                <w:rFonts w:cs="Open Sans"/>
                <w:color w:val="1D4374"/>
                <w:sz w:val="18"/>
              </w:rPr>
              <w:t>Variables</w:t>
            </w:r>
          </w:p>
        </w:tc>
        <w:tc>
          <w:tcPr>
            <w:tcW w:w="662" w:type="pct"/>
            <w:tcBorders>
              <w:bottom w:val="single" w:sz="4" w:space="0" w:color="B3B3B3"/>
            </w:tcBorders>
            <w:shd w:val="clear" w:color="000000" w:fill="auto"/>
            <w:vAlign w:val="bottom"/>
          </w:tcPr>
          <w:p w14:paraId="14A9B8EA" w14:textId="0481AA2F" w:rsidR="00BA4D21" w:rsidRPr="00E9585A" w:rsidRDefault="00C0081A" w:rsidP="00E9585A">
            <w:pPr>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Pr>
                <w:rFonts w:cs="Open Sans"/>
                <w:color w:val="1D4374"/>
                <w:sz w:val="18"/>
              </w:rPr>
              <w:t>Y</w:t>
            </w:r>
            <w:r w:rsidR="00BA4D21" w:rsidRPr="00E9585A">
              <w:rPr>
                <w:rFonts w:cs="Open Sans"/>
                <w:color w:val="1D4374"/>
                <w:sz w:val="18"/>
              </w:rPr>
              <w:t>ears</w:t>
            </w:r>
          </w:p>
        </w:tc>
        <w:tc>
          <w:tcPr>
            <w:tcW w:w="653" w:type="pct"/>
            <w:tcBorders>
              <w:bottom w:val="single" w:sz="4" w:space="0" w:color="B3B3B3"/>
            </w:tcBorders>
            <w:shd w:val="clear" w:color="000000" w:fill="auto"/>
            <w:vAlign w:val="bottom"/>
          </w:tcPr>
          <w:p w14:paraId="4E27B330" w14:textId="77777777" w:rsidR="00BA4D21" w:rsidRPr="00E9585A" w:rsidRDefault="00BA4D21" w:rsidP="00E9585A">
            <w:pPr>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E9585A">
              <w:rPr>
                <w:rFonts w:cs="Open Sans"/>
                <w:color w:val="1D4374"/>
                <w:sz w:val="18"/>
              </w:rPr>
              <w:t>Source</w:t>
            </w:r>
          </w:p>
        </w:tc>
        <w:tc>
          <w:tcPr>
            <w:tcW w:w="890" w:type="pct"/>
            <w:tcBorders>
              <w:bottom w:val="single" w:sz="4" w:space="0" w:color="B3B3B3"/>
            </w:tcBorders>
            <w:shd w:val="clear" w:color="000000" w:fill="auto"/>
            <w:vAlign w:val="bottom"/>
          </w:tcPr>
          <w:p w14:paraId="64120B88" w14:textId="77777777" w:rsidR="00BA4D21" w:rsidRPr="00E9585A" w:rsidRDefault="00BA4D21" w:rsidP="00E9585A">
            <w:pPr>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E9585A">
              <w:rPr>
                <w:rFonts w:cs="Open Sans"/>
                <w:color w:val="1D4374"/>
                <w:sz w:val="18"/>
              </w:rPr>
              <w:t>Notes</w:t>
            </w:r>
          </w:p>
        </w:tc>
      </w:tr>
      <w:tr w:rsidR="00C0081A" w:rsidRPr="00E9585A" w14:paraId="6143D96E" w14:textId="77777777" w:rsidTr="00C0081A">
        <w:trPr>
          <w:cnfStyle w:val="000000100000" w:firstRow="0" w:lastRow="0" w:firstColumn="0" w:lastColumn="0" w:oddVBand="0" w:evenVBand="0" w:oddHBand="1" w:evenHBand="0" w:firstRowFirstColumn="0" w:firstRowLastColumn="0" w:lastRowFirstColumn="0" w:lastRowLastColumn="0"/>
          <w:trHeight w:val="1323"/>
        </w:trPr>
        <w:tc>
          <w:tcPr>
            <w:cnfStyle w:val="001000000000" w:firstRow="0" w:lastRow="0" w:firstColumn="1" w:lastColumn="0" w:oddVBand="0" w:evenVBand="0" w:oddHBand="0" w:evenHBand="0" w:firstRowFirstColumn="0" w:firstRowLastColumn="0" w:lastRowFirstColumn="0" w:lastRowLastColumn="0"/>
            <w:tcW w:w="849" w:type="pct"/>
            <w:tcBorders>
              <w:top w:val="single" w:sz="4" w:space="0" w:color="B3B3B3"/>
            </w:tcBorders>
            <w:shd w:val="clear" w:color="000000" w:fill="E6E6E6"/>
          </w:tcPr>
          <w:p w14:paraId="00BB1777" w14:textId="704EE803" w:rsidR="00C0081A" w:rsidRPr="00037B72" w:rsidRDefault="00C0081A" w:rsidP="00E9585A">
            <w:pPr>
              <w:pStyle w:val="TableBody"/>
              <w:spacing w:before="45" w:after="45"/>
              <w:ind w:right="108"/>
              <w:rPr>
                <w:rFonts w:cs="Open Sans"/>
                <w:b w:val="0"/>
                <w:bCs/>
                <w:color w:val="1D4374"/>
              </w:rPr>
            </w:pPr>
            <w:r w:rsidRPr="00037B72">
              <w:rPr>
                <w:rFonts w:cs="Open Sans"/>
                <w:b w:val="0"/>
                <w:bCs/>
                <w:color w:val="1D4374"/>
              </w:rPr>
              <w:t>PC GST Model outputs</w:t>
            </w:r>
          </w:p>
        </w:tc>
        <w:tc>
          <w:tcPr>
            <w:tcW w:w="1946" w:type="pct"/>
            <w:tcBorders>
              <w:top w:val="single" w:sz="4" w:space="0" w:color="B3B3B3"/>
            </w:tcBorders>
            <w:shd w:val="clear" w:color="000000" w:fill="E6E6E6"/>
          </w:tcPr>
          <w:p w14:paraId="247FDCBD" w14:textId="02D08C71" w:rsidR="00C0081A" w:rsidRPr="00E9585A" w:rsidRDefault="00C0081A" w:rsidP="00C0081A">
            <w:pPr>
              <w:pStyle w:val="TableBody"/>
              <w:spacing w:before="45" w:after="45"/>
              <w:ind w:left="0"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E9585A">
              <w:rPr>
                <w:rFonts w:cs="Open Sans"/>
                <w:color w:val="000000"/>
              </w:rPr>
              <w:t>Per-capita GST need by state, year and model</w:t>
            </w:r>
            <w:r>
              <w:rPr>
                <w:rFonts w:cs="Open Sans"/>
                <w:color w:val="000000"/>
              </w:rPr>
              <w:t xml:space="preserve">; </w:t>
            </w:r>
            <w:r w:rsidRPr="00E9585A">
              <w:rPr>
                <w:rFonts w:cs="Open Sans"/>
                <w:color w:val="000000"/>
              </w:rPr>
              <w:t>Per-capita GST amount by state, year and model</w:t>
            </w:r>
            <w:r>
              <w:rPr>
                <w:rFonts w:cs="Open Sans"/>
                <w:color w:val="000000"/>
              </w:rPr>
              <w:t xml:space="preserve">; </w:t>
            </w:r>
            <w:r w:rsidRPr="00E9585A">
              <w:rPr>
                <w:rFonts w:cs="Open Sans"/>
                <w:color w:val="000000"/>
              </w:rPr>
              <w:t xml:space="preserve">Per-capita </w:t>
            </w:r>
            <w:proofErr w:type="spellStart"/>
            <w:r w:rsidRPr="00E9585A">
              <w:rPr>
                <w:rFonts w:cs="Open Sans"/>
                <w:color w:val="000000"/>
              </w:rPr>
              <w:t>NoWO</w:t>
            </w:r>
            <w:proofErr w:type="spellEnd"/>
            <w:r w:rsidRPr="00E9585A">
              <w:rPr>
                <w:rFonts w:cs="Open Sans"/>
                <w:color w:val="000000"/>
              </w:rPr>
              <w:t xml:space="preserve"> amount by state, year and mode</w:t>
            </w:r>
            <w:r>
              <w:rPr>
                <w:rFonts w:cs="Open Sans"/>
                <w:color w:val="000000"/>
              </w:rPr>
              <w:t>l</w:t>
            </w:r>
          </w:p>
        </w:tc>
        <w:tc>
          <w:tcPr>
            <w:tcW w:w="662" w:type="pct"/>
            <w:tcBorders>
              <w:top w:val="single" w:sz="4" w:space="0" w:color="B3B3B3"/>
            </w:tcBorders>
            <w:shd w:val="clear" w:color="000000" w:fill="E6E6E6"/>
          </w:tcPr>
          <w:p w14:paraId="58441474" w14:textId="47353D49" w:rsidR="00C0081A" w:rsidRPr="00E9585A" w:rsidRDefault="00FD28E6" w:rsidP="00E9585A">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Pr>
                <w:rFonts w:cs="Open Sans"/>
                <w:color w:val="000000"/>
              </w:rPr>
              <w:t>2001–02</w:t>
            </w:r>
            <w:r w:rsidR="00C0081A">
              <w:rPr>
                <w:rFonts w:cs="Open Sans"/>
                <w:color w:val="000000"/>
              </w:rPr>
              <w:t xml:space="preserve"> to </w:t>
            </w:r>
            <w:r w:rsidR="00B41D17">
              <w:rPr>
                <w:rFonts w:cs="Open Sans"/>
                <w:color w:val="000000"/>
              </w:rPr>
              <w:t>2024–25</w:t>
            </w:r>
          </w:p>
        </w:tc>
        <w:tc>
          <w:tcPr>
            <w:tcW w:w="653" w:type="pct"/>
            <w:tcBorders>
              <w:top w:val="single" w:sz="4" w:space="0" w:color="B3B3B3"/>
            </w:tcBorders>
            <w:shd w:val="clear" w:color="000000" w:fill="E6E6E6"/>
          </w:tcPr>
          <w:p w14:paraId="46D18AA8" w14:textId="15E1D581" w:rsidR="00C0081A" w:rsidRPr="00E9585A" w:rsidRDefault="00C0081A" w:rsidP="00E9585A">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E9585A">
              <w:rPr>
                <w:rFonts w:cs="Open Sans"/>
                <w:color w:val="000000"/>
              </w:rPr>
              <w:t>Internal PC calculations</w:t>
            </w:r>
          </w:p>
        </w:tc>
        <w:tc>
          <w:tcPr>
            <w:tcW w:w="890" w:type="pct"/>
            <w:tcBorders>
              <w:top w:val="single" w:sz="4" w:space="0" w:color="B3B3B3"/>
            </w:tcBorders>
            <w:shd w:val="clear" w:color="000000" w:fill="E6E6E6"/>
          </w:tcPr>
          <w:p w14:paraId="6FC12F63" w14:textId="3070E8D5" w:rsidR="00C0081A" w:rsidRPr="00E9585A" w:rsidRDefault="00C0081A" w:rsidP="00E9585A">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E9585A">
              <w:rPr>
                <w:rFonts w:cs="Open Sans"/>
                <w:color w:val="000000"/>
              </w:rPr>
              <w:t>PC GST model</w:t>
            </w:r>
            <w:r>
              <w:rPr>
                <w:rFonts w:cs="Open Sans"/>
                <w:color w:val="000000"/>
              </w:rPr>
              <w:t xml:space="preserve"> outputs</w:t>
            </w:r>
            <w:r w:rsidRPr="00E9585A">
              <w:rPr>
                <w:rFonts w:cs="Open Sans"/>
                <w:color w:val="000000"/>
              </w:rPr>
              <w:t xml:space="preserve"> verified by CGC</w:t>
            </w:r>
          </w:p>
        </w:tc>
      </w:tr>
    </w:tbl>
    <w:p w14:paraId="2FA06178" w14:textId="77777777" w:rsidR="004E0945" w:rsidRDefault="004E0945" w:rsidP="004E0945">
      <w:pPr>
        <w:pStyle w:val="Heading3-noTOC"/>
      </w:pPr>
      <w:r>
        <w:t>Assumptions</w:t>
      </w:r>
    </w:p>
    <w:p w14:paraId="577D4B22" w14:textId="20627FDF" w:rsidR="00277BE5" w:rsidRDefault="00277BE5" w:rsidP="00037B72">
      <w:pPr>
        <w:pStyle w:val="FigureTableHeading"/>
      </w:pPr>
      <w:r>
        <w:t xml:space="preserve">Table </w:t>
      </w:r>
      <w:r w:rsidR="00037B72">
        <w:t>C</w:t>
      </w:r>
      <w:r>
        <w:t>.</w:t>
      </w:r>
      <w:fldSimple w:instr=" SEQ Table \* ARABIC \s 1 ">
        <w:r w:rsidR="002D76C4">
          <w:rPr>
            <w:noProof/>
          </w:rPr>
          <w:t>9</w:t>
        </w:r>
      </w:fldSimple>
      <w:r>
        <w:rPr>
          <w:noProof/>
        </w:rPr>
        <w:t xml:space="preserve"> – </w:t>
      </w:r>
      <w:r w:rsidR="00903CD6">
        <w:t>Specific assumptions for the e</w:t>
      </w:r>
      <w:r w:rsidR="00037B72">
        <w:t xml:space="preserve">quity framework measure </w:t>
      </w:r>
    </w:p>
    <w:tbl>
      <w:tblPr>
        <w:tblW w:w="0" w:type="auto"/>
        <w:tblBorders>
          <w:bottom w:val="single" w:sz="4" w:space="0" w:color="B3B3B3"/>
        </w:tblBorders>
        <w:shd w:val="clear" w:color="000000" w:fill="auto"/>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2680"/>
        <w:gridCol w:w="6958"/>
      </w:tblGrid>
      <w:tr w:rsidR="00277BE5" w:rsidRPr="00037B72" w14:paraId="5DBC060E" w14:textId="77777777" w:rsidTr="00FA7BAE">
        <w:trPr>
          <w:tblHeader/>
        </w:trPr>
        <w:tc>
          <w:tcPr>
            <w:tcW w:w="0" w:type="auto"/>
            <w:tcBorders>
              <w:bottom w:val="single" w:sz="4" w:space="0" w:color="B3B3B3"/>
            </w:tcBorders>
            <w:shd w:val="clear" w:color="000000" w:fill="auto"/>
            <w:vAlign w:val="bottom"/>
          </w:tcPr>
          <w:p w14:paraId="7CB84797" w14:textId="0180FC62" w:rsidR="00277BE5" w:rsidRPr="00037B72" w:rsidRDefault="00277BE5" w:rsidP="00037B72">
            <w:pPr>
              <w:spacing w:before="45" w:after="45"/>
              <w:ind w:left="57" w:right="108"/>
              <w:rPr>
                <w:rFonts w:cs="Open Sans"/>
                <w:b/>
                <w:color w:val="1D4374"/>
                <w:sz w:val="18"/>
              </w:rPr>
            </w:pPr>
            <w:r w:rsidRPr="00037B72">
              <w:rPr>
                <w:rFonts w:cs="Open Sans"/>
                <w:b/>
                <w:color w:val="1D4374"/>
                <w:sz w:val="18"/>
              </w:rPr>
              <w:t>Assumption</w:t>
            </w:r>
          </w:p>
        </w:tc>
        <w:tc>
          <w:tcPr>
            <w:tcW w:w="0" w:type="auto"/>
            <w:tcBorders>
              <w:bottom w:val="single" w:sz="4" w:space="0" w:color="B3B3B3"/>
            </w:tcBorders>
            <w:shd w:val="clear" w:color="000000" w:fill="auto"/>
            <w:vAlign w:val="bottom"/>
          </w:tcPr>
          <w:p w14:paraId="449F6FCE" w14:textId="6E0A0656" w:rsidR="00277BE5" w:rsidRPr="00037B72" w:rsidRDefault="00277BE5" w:rsidP="00037B72">
            <w:pPr>
              <w:pStyle w:val="TableHeading"/>
              <w:spacing w:before="45" w:after="45"/>
              <w:rPr>
                <w:rFonts w:cs="Open Sans"/>
                <w:color w:val="1D4374"/>
              </w:rPr>
            </w:pPr>
            <w:r w:rsidRPr="00037B72">
              <w:rPr>
                <w:rFonts w:cs="Open Sans"/>
                <w:color w:val="1D4374"/>
              </w:rPr>
              <w:t>Implication</w:t>
            </w:r>
          </w:p>
        </w:tc>
      </w:tr>
      <w:tr w:rsidR="00277BE5" w:rsidRPr="00037B72" w14:paraId="516F9057" w14:textId="77777777" w:rsidTr="00FA7BAE">
        <w:tc>
          <w:tcPr>
            <w:tcW w:w="0" w:type="auto"/>
            <w:tcBorders>
              <w:top w:val="single" w:sz="4" w:space="0" w:color="B3B3B3"/>
              <w:bottom w:val="nil"/>
            </w:tcBorders>
            <w:shd w:val="clear" w:color="000000" w:fill="E6E6E6"/>
          </w:tcPr>
          <w:p w14:paraId="114123ED" w14:textId="009DA033" w:rsidR="00277BE5" w:rsidRPr="0034171B" w:rsidRDefault="00277BE5" w:rsidP="009F3827">
            <w:pPr>
              <w:pStyle w:val="TableHeading"/>
              <w:spacing w:before="45" w:after="45"/>
              <w:ind w:left="0"/>
              <w:rPr>
                <w:rFonts w:cs="Open Sans"/>
                <w:b w:val="0"/>
                <w:bCs/>
                <w:color w:val="auto"/>
              </w:rPr>
            </w:pPr>
            <w:r w:rsidRPr="0034171B">
              <w:rPr>
                <w:rFonts w:cs="Open Sans"/>
                <w:b w:val="0"/>
                <w:bCs/>
                <w:color w:val="auto"/>
              </w:rPr>
              <w:t>GST need scales with the size of the GST pool</w:t>
            </w:r>
            <w:r w:rsidR="00B17821">
              <w:rPr>
                <w:rFonts w:cs="Open Sans"/>
                <w:b w:val="0"/>
                <w:bCs/>
                <w:color w:val="auto"/>
              </w:rPr>
              <w:t>.</w:t>
            </w:r>
          </w:p>
        </w:tc>
        <w:tc>
          <w:tcPr>
            <w:tcW w:w="0" w:type="auto"/>
            <w:tcBorders>
              <w:top w:val="single" w:sz="4" w:space="0" w:color="B3B3B3"/>
              <w:bottom w:val="nil"/>
            </w:tcBorders>
            <w:shd w:val="clear" w:color="000000" w:fill="E6E6E6"/>
          </w:tcPr>
          <w:p w14:paraId="0B0BF09A" w14:textId="4E3BC98A" w:rsidR="00277BE5" w:rsidRPr="008D081F" w:rsidRDefault="00277BE5" w:rsidP="00037B72">
            <w:pPr>
              <w:pStyle w:val="TableBody"/>
              <w:spacing w:before="45" w:after="45"/>
              <w:ind w:right="108"/>
              <w:rPr>
                <w:rFonts w:cs="Open Sans"/>
                <w:color w:val="000000"/>
                <w:spacing w:val="-4"/>
              </w:rPr>
            </w:pPr>
            <w:r w:rsidRPr="008D081F">
              <w:rPr>
                <w:rFonts w:cs="Open Sans"/>
                <w:color w:val="000000"/>
                <w:spacing w:val="-4"/>
                <w:szCs w:val="18"/>
              </w:rPr>
              <w:t xml:space="preserve">Including the pool boost changes the level of GST need, so arrangements </w:t>
            </w:r>
            <w:r w:rsidR="00532361" w:rsidRPr="008D081F">
              <w:rPr>
                <w:rFonts w:cs="Open Sans"/>
                <w:color w:val="000000"/>
                <w:spacing w:val="-4"/>
                <w:szCs w:val="18"/>
              </w:rPr>
              <w:t xml:space="preserve">with a pool boost </w:t>
            </w:r>
            <w:r w:rsidRPr="008D081F">
              <w:rPr>
                <w:rFonts w:cs="Open Sans"/>
                <w:color w:val="000000"/>
                <w:spacing w:val="-4"/>
                <w:szCs w:val="18"/>
              </w:rPr>
              <w:t xml:space="preserve">produce different equity outcomes from otherwise equivalent arrangements without the </w:t>
            </w:r>
            <w:r w:rsidR="00532361" w:rsidRPr="008D081F">
              <w:rPr>
                <w:rFonts w:cs="Open Sans"/>
                <w:color w:val="000000"/>
                <w:spacing w:val="-4"/>
                <w:szCs w:val="18"/>
              </w:rPr>
              <w:t xml:space="preserve">pool </w:t>
            </w:r>
            <w:r w:rsidRPr="008D081F">
              <w:rPr>
                <w:rFonts w:cs="Open Sans"/>
                <w:color w:val="000000"/>
                <w:spacing w:val="-4"/>
                <w:szCs w:val="18"/>
              </w:rPr>
              <w:t>boost. The PC has verif</w:t>
            </w:r>
            <w:r w:rsidR="00532361" w:rsidRPr="008D081F">
              <w:rPr>
                <w:rFonts w:cs="Open Sans"/>
                <w:color w:val="000000"/>
                <w:spacing w:val="-4"/>
                <w:szCs w:val="18"/>
              </w:rPr>
              <w:t>ied</w:t>
            </w:r>
            <w:r w:rsidRPr="008D081F">
              <w:rPr>
                <w:rFonts w:cs="Open Sans"/>
                <w:color w:val="000000"/>
                <w:spacing w:val="-4"/>
                <w:szCs w:val="18"/>
              </w:rPr>
              <w:t xml:space="preserve"> this assumption with the CGC.</w:t>
            </w:r>
          </w:p>
        </w:tc>
      </w:tr>
      <w:tr w:rsidR="00277BE5" w:rsidRPr="00037B72" w14:paraId="036408C7" w14:textId="77777777" w:rsidTr="00FA7BAE">
        <w:tc>
          <w:tcPr>
            <w:tcW w:w="0" w:type="auto"/>
            <w:tcBorders>
              <w:top w:val="nil"/>
              <w:bottom w:val="nil"/>
            </w:tcBorders>
            <w:shd w:val="clear" w:color="000000" w:fill="auto"/>
          </w:tcPr>
          <w:p w14:paraId="400131F2" w14:textId="628B2600" w:rsidR="00277BE5" w:rsidRPr="008D081F" w:rsidRDefault="00277BE5" w:rsidP="009F3827">
            <w:pPr>
              <w:pStyle w:val="TableHeading"/>
              <w:spacing w:before="45" w:after="45"/>
              <w:ind w:left="0"/>
              <w:rPr>
                <w:rFonts w:cs="Open Sans"/>
                <w:b w:val="0"/>
                <w:bCs/>
                <w:color w:val="auto"/>
                <w:spacing w:val="-2"/>
              </w:rPr>
            </w:pPr>
            <w:r w:rsidRPr="008D081F">
              <w:rPr>
                <w:rFonts w:cs="Open Sans"/>
                <w:b w:val="0"/>
                <w:bCs/>
                <w:color w:val="auto"/>
                <w:spacing w:val="-2"/>
              </w:rPr>
              <w:t>Equal per capita assessed need is the pre-GST reference point</w:t>
            </w:r>
            <w:r w:rsidR="00B17821" w:rsidRPr="008D081F">
              <w:rPr>
                <w:rFonts w:cs="Open Sans"/>
                <w:b w:val="0"/>
                <w:bCs/>
                <w:color w:val="auto"/>
                <w:spacing w:val="-2"/>
              </w:rPr>
              <w:t>.</w:t>
            </w:r>
          </w:p>
        </w:tc>
        <w:tc>
          <w:tcPr>
            <w:tcW w:w="0" w:type="auto"/>
            <w:tcBorders>
              <w:top w:val="nil"/>
              <w:bottom w:val="nil"/>
            </w:tcBorders>
            <w:shd w:val="clear" w:color="000000" w:fill="auto"/>
          </w:tcPr>
          <w:p w14:paraId="08E5F0AD" w14:textId="7C91247E" w:rsidR="00277BE5" w:rsidRPr="00037B72" w:rsidRDefault="00277BE5" w:rsidP="00037B72">
            <w:pPr>
              <w:pStyle w:val="TableBody"/>
              <w:spacing w:before="45" w:after="45"/>
              <w:ind w:right="108"/>
              <w:rPr>
                <w:rFonts w:cs="Open Sans"/>
                <w:color w:val="000000"/>
              </w:rPr>
            </w:pPr>
            <w:r w:rsidRPr="00037B72">
              <w:rPr>
                <w:rFonts w:cs="Open Sans"/>
                <w:color w:val="000000"/>
              </w:rPr>
              <w:t>Interstate fiscal dispersion before GST is measured relative to the population-weighted national average assessed need per capita.</w:t>
            </w:r>
          </w:p>
        </w:tc>
      </w:tr>
      <w:tr w:rsidR="00277BE5" w:rsidRPr="00037B72" w14:paraId="16B0114C" w14:textId="77777777" w:rsidTr="00FA7BAE">
        <w:tc>
          <w:tcPr>
            <w:tcW w:w="0" w:type="auto"/>
            <w:tcBorders>
              <w:bottom w:val="nil"/>
            </w:tcBorders>
            <w:shd w:val="clear" w:color="000000" w:fill="E6E6E6"/>
          </w:tcPr>
          <w:p w14:paraId="2FB15964" w14:textId="303511FF" w:rsidR="00277BE5" w:rsidRPr="0034171B" w:rsidRDefault="00277BE5" w:rsidP="009F3827">
            <w:pPr>
              <w:pStyle w:val="TableHeading"/>
              <w:spacing w:before="45" w:after="45"/>
              <w:ind w:left="0"/>
              <w:rPr>
                <w:rFonts w:cs="Open Sans"/>
                <w:b w:val="0"/>
                <w:bCs/>
                <w:color w:val="auto"/>
              </w:rPr>
            </w:pPr>
            <w:r w:rsidRPr="0034171B">
              <w:rPr>
                <w:rFonts w:cs="Open Sans"/>
                <w:b w:val="0"/>
                <w:bCs/>
                <w:color w:val="auto"/>
              </w:rPr>
              <w:t>Full equalisation corresponds to GST exactly meeting assessed need</w:t>
            </w:r>
            <w:r w:rsidR="00B17821">
              <w:rPr>
                <w:rFonts w:cs="Open Sans"/>
                <w:b w:val="0"/>
                <w:bCs/>
                <w:color w:val="auto"/>
              </w:rPr>
              <w:t>.</w:t>
            </w:r>
          </w:p>
        </w:tc>
        <w:tc>
          <w:tcPr>
            <w:tcW w:w="0" w:type="auto"/>
            <w:tcBorders>
              <w:bottom w:val="nil"/>
            </w:tcBorders>
            <w:shd w:val="clear" w:color="000000" w:fill="E6E6E6"/>
          </w:tcPr>
          <w:p w14:paraId="41BF136A" w14:textId="6C29B960" w:rsidR="00277BE5" w:rsidRPr="00037B72" w:rsidRDefault="00277BE5" w:rsidP="00037B72">
            <w:pPr>
              <w:pStyle w:val="TableBody"/>
              <w:spacing w:before="45" w:after="45"/>
              <w:ind w:right="108"/>
              <w:rPr>
                <w:rFonts w:cs="Open Sans"/>
                <w:color w:val="000000"/>
              </w:rPr>
            </w:pPr>
            <w:r w:rsidRPr="00037B72">
              <w:rPr>
                <w:rFonts w:cs="Open Sans"/>
                <w:color w:val="000000"/>
              </w:rPr>
              <w:t>The post-GST target is a zero residual gap between assessed need and GST received for every state.</w:t>
            </w:r>
          </w:p>
        </w:tc>
      </w:tr>
      <w:tr w:rsidR="00277BE5" w:rsidRPr="00037B72" w14:paraId="1E467455" w14:textId="77777777" w:rsidTr="00FA7BAE">
        <w:tc>
          <w:tcPr>
            <w:tcW w:w="0" w:type="auto"/>
            <w:tcBorders>
              <w:top w:val="nil"/>
              <w:bottom w:val="nil"/>
            </w:tcBorders>
            <w:shd w:val="clear" w:color="000000" w:fill="auto"/>
          </w:tcPr>
          <w:p w14:paraId="0AEE8DE1" w14:textId="3072268A" w:rsidR="00277BE5" w:rsidRPr="008D081F" w:rsidRDefault="00277BE5" w:rsidP="009F3827">
            <w:pPr>
              <w:pStyle w:val="TableHeading"/>
              <w:spacing w:before="45" w:after="45"/>
              <w:ind w:left="0"/>
              <w:rPr>
                <w:rFonts w:cs="Open Sans"/>
                <w:b w:val="0"/>
                <w:bCs/>
                <w:color w:val="auto"/>
                <w:spacing w:val="-4"/>
              </w:rPr>
            </w:pPr>
            <w:r w:rsidRPr="008D081F">
              <w:rPr>
                <w:rFonts w:cs="Open Sans"/>
                <w:b w:val="0"/>
                <w:bCs/>
                <w:color w:val="auto"/>
                <w:spacing w:val="-4"/>
              </w:rPr>
              <w:lastRenderedPageBreak/>
              <w:t>Positive and negative fiscal gaps are treated symmetrically</w:t>
            </w:r>
            <w:r w:rsidR="00B17821" w:rsidRPr="008D081F">
              <w:rPr>
                <w:rFonts w:cs="Open Sans"/>
                <w:b w:val="0"/>
                <w:bCs/>
                <w:color w:val="auto"/>
                <w:spacing w:val="-4"/>
              </w:rPr>
              <w:t>.</w:t>
            </w:r>
          </w:p>
        </w:tc>
        <w:tc>
          <w:tcPr>
            <w:tcW w:w="0" w:type="auto"/>
            <w:tcBorders>
              <w:top w:val="nil"/>
              <w:bottom w:val="nil"/>
            </w:tcBorders>
            <w:shd w:val="clear" w:color="000000" w:fill="auto"/>
          </w:tcPr>
          <w:p w14:paraId="7CC59B38" w14:textId="41717E09" w:rsidR="00277BE5" w:rsidRPr="00037B72" w:rsidRDefault="00277BE5" w:rsidP="00037B72">
            <w:pPr>
              <w:pStyle w:val="TableBody"/>
              <w:spacing w:before="45" w:after="45"/>
              <w:ind w:right="108"/>
              <w:rPr>
                <w:rFonts w:cs="Open Sans"/>
                <w:color w:val="000000"/>
              </w:rPr>
            </w:pPr>
            <w:r w:rsidRPr="00037B72">
              <w:rPr>
                <w:rFonts w:cs="Open Sans"/>
                <w:color w:val="000000"/>
              </w:rPr>
              <w:t>The EQ rate calculation squares gaps, so under-compensation and over-compensation of the same magnitude contribute equally to residual dispersion.</w:t>
            </w:r>
          </w:p>
        </w:tc>
      </w:tr>
      <w:tr w:rsidR="00037B72" w:rsidRPr="00037B72" w14:paraId="4861031D" w14:textId="77777777" w:rsidTr="00FA7BAE">
        <w:tc>
          <w:tcPr>
            <w:tcW w:w="0" w:type="auto"/>
            <w:tcBorders>
              <w:bottom w:val="single" w:sz="4" w:space="0" w:color="B3B3B3"/>
            </w:tcBorders>
            <w:shd w:val="clear" w:color="000000" w:fill="E6E6E6"/>
          </w:tcPr>
          <w:p w14:paraId="42B14FBD" w14:textId="1D234AE9" w:rsidR="00037B72" w:rsidRPr="0034171B" w:rsidRDefault="00037B72" w:rsidP="000854D2">
            <w:pPr>
              <w:pStyle w:val="TableHeading"/>
              <w:spacing w:before="45" w:after="45"/>
              <w:ind w:left="0"/>
              <w:rPr>
                <w:rFonts w:cs="Open Sans"/>
                <w:b w:val="0"/>
                <w:bCs/>
                <w:color w:val="auto"/>
              </w:rPr>
            </w:pPr>
            <w:r w:rsidRPr="0034171B">
              <w:rPr>
                <w:rFonts w:cs="Open Sans"/>
                <w:b w:val="0"/>
                <w:bCs/>
                <w:color w:val="auto"/>
              </w:rPr>
              <w:t>Each inquiry year is given equal weight in the across-years average</w:t>
            </w:r>
            <w:r w:rsidR="00B17821">
              <w:rPr>
                <w:rFonts w:cs="Open Sans"/>
                <w:b w:val="0"/>
                <w:bCs/>
                <w:color w:val="auto"/>
              </w:rPr>
              <w:t>.</w:t>
            </w:r>
          </w:p>
        </w:tc>
        <w:tc>
          <w:tcPr>
            <w:tcW w:w="0" w:type="auto"/>
            <w:tcBorders>
              <w:bottom w:val="single" w:sz="4" w:space="0" w:color="B3B3B3"/>
            </w:tcBorders>
            <w:shd w:val="clear" w:color="000000" w:fill="E6E6E6"/>
          </w:tcPr>
          <w:p w14:paraId="274CCCFE" w14:textId="5D37BBE3" w:rsidR="00037B72" w:rsidRPr="00B17821" w:rsidRDefault="00037B72" w:rsidP="00037B72">
            <w:pPr>
              <w:pStyle w:val="TableBody"/>
              <w:spacing w:before="45" w:after="45"/>
              <w:ind w:right="108"/>
              <w:rPr>
                <w:rFonts w:cs="Open Sans"/>
                <w:color w:val="000000"/>
                <w:spacing w:val="-4"/>
              </w:rPr>
            </w:pPr>
            <w:r w:rsidRPr="00B17821">
              <w:rPr>
                <w:rFonts w:cs="Open Sans"/>
                <w:bCs/>
                <w:color w:val="000000"/>
                <w:spacing w:val="-4"/>
              </w:rPr>
              <w:t>The headline average EQ rate is the simple mean of annual equalisation rates, rather than being weighted by population, GST pool size or fiscal need across years.</w:t>
            </w:r>
          </w:p>
        </w:tc>
      </w:tr>
    </w:tbl>
    <w:p w14:paraId="7EE099E1" w14:textId="273351C0" w:rsidR="004615F0" w:rsidRDefault="004615F0" w:rsidP="00BA6A6B">
      <w:pPr>
        <w:pStyle w:val="NoSpacing"/>
      </w:pPr>
      <w:bookmarkStart w:id="4" w:name="_Ref237337801"/>
      <w:bookmarkStart w:id="5" w:name="_Ref237441192"/>
    </w:p>
    <w:p w14:paraId="120E0E6C" w14:textId="166F4888" w:rsidR="00D20CBC" w:rsidRDefault="00D20CBC" w:rsidP="00B14074">
      <w:pPr>
        <w:pStyle w:val="Heading2-Appendix"/>
      </w:pPr>
      <w:r>
        <w:t>Efficiency</w:t>
      </w:r>
      <w:r w:rsidR="00BA4D21">
        <w:t xml:space="preserve"> </w:t>
      </w:r>
      <w:r w:rsidR="00AF42A4">
        <w:t>framework</w:t>
      </w:r>
      <w:r>
        <w:t xml:space="preserve"> </w:t>
      </w:r>
      <w:bookmarkEnd w:id="4"/>
      <w:r>
        <w:t>measure</w:t>
      </w:r>
      <w:r w:rsidR="006B5ECC">
        <w:t>s</w:t>
      </w:r>
      <w:bookmarkEnd w:id="5"/>
    </w:p>
    <w:p w14:paraId="5699B631" w14:textId="77777777" w:rsidR="004E0945" w:rsidRDefault="00D51150" w:rsidP="004E0945">
      <w:pPr>
        <w:pStyle w:val="Heading3-noTOC"/>
      </w:pPr>
      <w:r>
        <w:t>Purpose</w:t>
      </w:r>
    </w:p>
    <w:tbl>
      <w:tblPr>
        <w:tblW w:w="5000" w:type="pct"/>
        <w:tblBorders>
          <w:top w:val="single" w:sz="4" w:space="0" w:color="BFBFBF" w:themeColor="background1" w:themeShade="BF"/>
          <w:bottom w:val="single" w:sz="8" w:space="0" w:color="B3B3B3"/>
          <w:insideH w:val="single" w:sz="8" w:space="0" w:color="B3B3B3"/>
        </w:tblBorders>
        <w:tblCellMar>
          <w:left w:w="0" w:type="dxa"/>
          <w:right w:w="0" w:type="dxa"/>
        </w:tblCellMar>
        <w:tblLook w:val="04A0" w:firstRow="1" w:lastRow="0" w:firstColumn="1" w:lastColumn="0" w:noHBand="0" w:noVBand="1"/>
      </w:tblPr>
      <w:tblGrid>
        <w:gridCol w:w="2409"/>
        <w:gridCol w:w="7229"/>
      </w:tblGrid>
      <w:tr w:rsidR="004D2B52" w14:paraId="57ED9E13" w14:textId="77777777" w:rsidTr="005A4D57">
        <w:tc>
          <w:tcPr>
            <w:tcW w:w="1250" w:type="pct"/>
            <w:tcMar>
              <w:top w:w="57" w:type="dxa"/>
              <w:left w:w="57" w:type="dxa"/>
              <w:bottom w:w="57" w:type="dxa"/>
              <w:right w:w="85" w:type="dxa"/>
            </w:tcMar>
            <w:hideMark/>
          </w:tcPr>
          <w:p w14:paraId="61EF6B70" w14:textId="77777777" w:rsidR="004D2B52" w:rsidRDefault="004D2B52">
            <w:pPr>
              <w:pStyle w:val="TableHeading"/>
              <w:rPr>
                <w:kern w:val="2"/>
                <w:szCs w:val="18"/>
                <w:lang w:eastAsia="zh-CN" w:bidi="th-TH"/>
                <w14:ligatures w14:val="standardContextual"/>
              </w:rPr>
            </w:pPr>
            <w:r>
              <w:t>Question this section answers</w:t>
            </w:r>
          </w:p>
        </w:tc>
        <w:tc>
          <w:tcPr>
            <w:tcW w:w="3750" w:type="pct"/>
            <w:tcMar>
              <w:top w:w="57" w:type="dxa"/>
              <w:left w:w="57" w:type="dxa"/>
              <w:bottom w:w="57" w:type="dxa"/>
              <w:right w:w="85" w:type="dxa"/>
            </w:tcMar>
            <w:hideMark/>
          </w:tcPr>
          <w:p w14:paraId="38F98845" w14:textId="34352099" w:rsidR="004D2B52" w:rsidRPr="0075433A" w:rsidRDefault="000756C7">
            <w:pPr>
              <w:pStyle w:val="TableBody"/>
              <w:rPr>
                <w:kern w:val="2"/>
                <w:szCs w:val="18"/>
                <w:lang w:eastAsia="zh-CN" w:bidi="th-TH"/>
                <w14:ligatures w14:val="standardContextual"/>
              </w:rPr>
            </w:pPr>
            <w:r>
              <w:t xml:space="preserve">Measures </w:t>
            </w:r>
            <w:r w:rsidR="00CA3619">
              <w:t>efficiency</w:t>
            </w:r>
            <w:r>
              <w:t xml:space="preserve"> under the PC framework discussed in chapter 3, chapter 4 and appendix B.</w:t>
            </w:r>
            <w:r w:rsidR="0075433A">
              <w:t xml:space="preserve"> Specifically, it addresses the question:</w:t>
            </w:r>
            <w:r>
              <w:t xml:space="preserve"> “How much </w:t>
            </w:r>
            <w:r w:rsidR="00CA3619">
              <w:t xml:space="preserve">departure from policy neutrality is there </w:t>
            </w:r>
            <w:r w:rsidR="009703BB">
              <w:t>under each</w:t>
            </w:r>
            <w:r w:rsidR="0075433A">
              <w:t xml:space="preserve"> alternative</w:t>
            </w:r>
            <w:r w:rsidR="009703BB">
              <w:t xml:space="preserve"> </w:t>
            </w:r>
            <w:r>
              <w:t xml:space="preserve">GST </w:t>
            </w:r>
            <w:r w:rsidR="009703BB">
              <w:t xml:space="preserve">distribution </w:t>
            </w:r>
            <w:r w:rsidR="0075433A">
              <w:t>system</w:t>
            </w:r>
            <w:r>
              <w:t>?”</w:t>
            </w:r>
          </w:p>
        </w:tc>
      </w:tr>
      <w:tr w:rsidR="004D2B52" w14:paraId="7810161F" w14:textId="77777777" w:rsidTr="005A4D57">
        <w:tc>
          <w:tcPr>
            <w:tcW w:w="0" w:type="auto"/>
            <w:tcMar>
              <w:top w:w="57" w:type="dxa"/>
              <w:left w:w="57" w:type="dxa"/>
              <w:bottom w:w="57" w:type="dxa"/>
              <w:right w:w="85" w:type="dxa"/>
            </w:tcMar>
            <w:hideMark/>
          </w:tcPr>
          <w:p w14:paraId="51D62507" w14:textId="77777777" w:rsidR="004D2B52" w:rsidRDefault="004D2B52">
            <w:pPr>
              <w:pStyle w:val="TableHeading"/>
            </w:pPr>
            <w:r>
              <w:t>Scope</w:t>
            </w:r>
          </w:p>
        </w:tc>
        <w:tc>
          <w:tcPr>
            <w:tcW w:w="0" w:type="auto"/>
            <w:tcMar>
              <w:top w:w="57" w:type="dxa"/>
              <w:left w:w="57" w:type="dxa"/>
              <w:bottom w:w="57" w:type="dxa"/>
              <w:right w:w="85" w:type="dxa"/>
            </w:tcMar>
          </w:tcPr>
          <w:p w14:paraId="1F576D7D" w14:textId="19A516FB" w:rsidR="004D2B52" w:rsidRDefault="00EF67C4">
            <w:pPr>
              <w:pStyle w:val="TableBody"/>
            </w:pPr>
            <w:r>
              <w:t xml:space="preserve">Models the efficiency effects </w:t>
            </w:r>
            <w:r w:rsidR="00B80E7B">
              <w:t xml:space="preserve">of models 1-14 in table </w:t>
            </w:r>
            <w:r w:rsidR="0005646C">
              <w:t>C.</w:t>
            </w:r>
            <w:r w:rsidR="00DD507A">
              <w:t>3</w:t>
            </w:r>
            <w:r w:rsidR="008B09FC">
              <w:t xml:space="preserve"> across all states using </w:t>
            </w:r>
            <w:r w:rsidR="00896D13">
              <w:t>data from the 2024 inquiry year.</w:t>
            </w:r>
          </w:p>
        </w:tc>
      </w:tr>
      <w:tr w:rsidR="004D2B52" w14:paraId="39D6EC22" w14:textId="77777777" w:rsidTr="005A4D57">
        <w:tc>
          <w:tcPr>
            <w:tcW w:w="0" w:type="auto"/>
            <w:tcMar>
              <w:top w:w="57" w:type="dxa"/>
              <w:left w:w="57" w:type="dxa"/>
              <w:bottom w:w="57" w:type="dxa"/>
              <w:right w:w="85" w:type="dxa"/>
            </w:tcMar>
            <w:hideMark/>
          </w:tcPr>
          <w:p w14:paraId="1C2D8891" w14:textId="77777777" w:rsidR="004D2B52" w:rsidRDefault="004D2B52">
            <w:pPr>
              <w:pStyle w:val="TableHeading"/>
            </w:pPr>
            <w:r>
              <w:t>Use in report</w:t>
            </w:r>
          </w:p>
        </w:tc>
        <w:tc>
          <w:tcPr>
            <w:tcW w:w="0" w:type="auto"/>
            <w:tcMar>
              <w:top w:w="57" w:type="dxa"/>
              <w:left w:w="57" w:type="dxa"/>
              <w:bottom w:w="57" w:type="dxa"/>
              <w:right w:w="85" w:type="dxa"/>
            </w:tcMar>
            <w:hideMark/>
          </w:tcPr>
          <w:p w14:paraId="4B63418F" w14:textId="3EA6E457" w:rsidR="004D2B52" w:rsidRDefault="00EB45CC">
            <w:pPr>
              <w:pStyle w:val="TableBody"/>
            </w:pPr>
            <w:r>
              <w:t>Table 3.</w:t>
            </w:r>
            <w:r w:rsidR="00182D40">
              <w:t>1</w:t>
            </w:r>
            <w:r>
              <w:t xml:space="preserve">, </w:t>
            </w:r>
            <w:r w:rsidR="006B5ECC">
              <w:t>table 4.1, figure 4.1, figure 4.2, figure 4.3, figure 4.4, figure 4.5, figure 4.6, figure 4.7</w:t>
            </w:r>
          </w:p>
        </w:tc>
      </w:tr>
    </w:tbl>
    <w:p w14:paraId="052D9E62" w14:textId="77777777" w:rsidR="004E0945" w:rsidRDefault="004E0945" w:rsidP="004E0945">
      <w:pPr>
        <w:pStyle w:val="Heading3-noTOC"/>
      </w:pPr>
      <w:r>
        <w:t>Method</w:t>
      </w:r>
    </w:p>
    <w:p w14:paraId="4221DAC3" w14:textId="7EB9F96F" w:rsidR="004D2B52" w:rsidRDefault="0011743A" w:rsidP="004D2B52">
      <w:pPr>
        <w:rPr>
          <w:lang w:bidi="th-TH"/>
        </w:rPr>
      </w:pPr>
      <w:r>
        <w:t>These measures u</w:t>
      </w:r>
      <w:r w:rsidR="006B5ECC">
        <w:t xml:space="preserve">se </w:t>
      </w:r>
      <w:r w:rsidR="00AD13DA">
        <w:t>the</w:t>
      </w:r>
      <w:r w:rsidR="006B5ECC">
        <w:t xml:space="preserve"> PC GST </w:t>
      </w:r>
      <w:r w:rsidR="00C42DAD">
        <w:t>M</w:t>
      </w:r>
      <w:r w:rsidR="006B5ECC">
        <w:t>odel in</w:t>
      </w:r>
      <w:r w:rsidR="005B6762">
        <w:t xml:space="preserve"> section</w:t>
      </w:r>
      <w:r w:rsidR="006B5ECC">
        <w:t xml:space="preserve"> C.</w:t>
      </w:r>
      <w:r w:rsidR="005B6762">
        <w:t>3</w:t>
      </w:r>
      <w:r w:rsidR="006B5ECC">
        <w:t xml:space="preserve"> to measure how</w:t>
      </w:r>
      <w:r w:rsidR="00A52BAE">
        <w:t xml:space="preserve"> much</w:t>
      </w:r>
      <w:r w:rsidR="006B5ECC">
        <w:t xml:space="preserve"> each state</w:t>
      </w:r>
      <w:r w:rsidR="00A52BAE">
        <w:t xml:space="preserve">’s </w:t>
      </w:r>
      <w:r w:rsidR="00A06525">
        <w:t xml:space="preserve">GST distribution would be affected </w:t>
      </w:r>
      <w:r w:rsidR="003B7E6D">
        <w:t>if</w:t>
      </w:r>
      <w:r w:rsidR="0038281E">
        <w:t xml:space="preserve"> a $1 million revenue shock was independently applied to 1</w:t>
      </w:r>
      <w:r w:rsidR="007A3671">
        <w:t>5</w:t>
      </w:r>
      <w:r w:rsidR="0038281E">
        <w:t xml:space="preserve"> different revenue </w:t>
      </w:r>
      <w:r w:rsidR="00EC37B4">
        <w:t>(table C.</w:t>
      </w:r>
      <w:r w:rsidR="00D4533A">
        <w:t>10</w:t>
      </w:r>
      <w:r w:rsidR="00EC37B4">
        <w:t>)</w:t>
      </w:r>
      <w:r w:rsidR="0038281E">
        <w:t xml:space="preserve"> heads</w:t>
      </w:r>
      <w:r w:rsidR="006B5ECC">
        <w:t xml:space="preserve"> </w:t>
      </w:r>
      <w:r w:rsidR="008304E5">
        <w:t xml:space="preserve">for each </w:t>
      </w:r>
      <w:r w:rsidR="006B5ECC">
        <w:t xml:space="preserve">arrangement </w:t>
      </w:r>
      <w:r w:rsidR="008304E5">
        <w:t>in the 2024 inquiry year</w:t>
      </w:r>
      <w:r w:rsidR="006B5ECC">
        <w:t>.</w:t>
      </w:r>
      <w:r w:rsidR="00E428D0">
        <w:t xml:space="preserve"> The PC measured this in two ways: the weighted average </w:t>
      </w:r>
      <w:r w:rsidR="00BA6C82">
        <w:t xml:space="preserve">effect, and the </w:t>
      </w:r>
      <w:r w:rsidR="00207C95">
        <w:t>average maximum effect.</w:t>
      </w:r>
    </w:p>
    <w:p w14:paraId="3EEB54CA" w14:textId="099C273E" w:rsidR="007A1D84" w:rsidRDefault="007A1D84" w:rsidP="007A1D84">
      <w:pPr>
        <w:pStyle w:val="FigureTableHeading"/>
      </w:pPr>
      <w:r>
        <w:t xml:space="preserve">Table </w:t>
      </w:r>
      <w:fldSimple w:instr=" STYLEREF  \s Heading-Appendix ">
        <w:r w:rsidR="002D76C4">
          <w:rPr>
            <w:noProof/>
          </w:rPr>
          <w:t>C</w:t>
        </w:r>
      </w:fldSimple>
      <w:r>
        <w:t>.</w:t>
      </w:r>
      <w:fldSimple w:instr=" SEQ Table \* ARABIC \s 1 ">
        <w:r w:rsidR="002D76C4">
          <w:rPr>
            <w:noProof/>
          </w:rPr>
          <w:t>10</w:t>
        </w:r>
      </w:fldSimple>
      <w:r>
        <w:rPr>
          <w:noProof/>
        </w:rPr>
        <w:t xml:space="preserve"> – </w:t>
      </w:r>
      <w:r>
        <w:t>Revenue heads considered in the efficiency measures</w:t>
      </w:r>
    </w:p>
    <w:tbl>
      <w:tblPr>
        <w:tblW w:w="0" w:type="auto"/>
        <w:tblBorders>
          <w:bottom w:val="single" w:sz="4" w:space="0" w:color="B3B3B3"/>
        </w:tblBorders>
        <w:shd w:val="clear" w:color="000000" w:fill="auto"/>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371"/>
        <w:gridCol w:w="2510"/>
      </w:tblGrid>
      <w:tr w:rsidR="007A1D84" w:rsidRPr="007A1D84" w14:paraId="728DA328" w14:textId="77777777" w:rsidTr="00C42DAD">
        <w:trPr>
          <w:trHeight w:val="270"/>
          <w:tblHeader/>
        </w:trPr>
        <w:tc>
          <w:tcPr>
            <w:tcW w:w="0" w:type="auto"/>
            <w:tcBorders>
              <w:bottom w:val="single" w:sz="4" w:space="0" w:color="B3B3B3"/>
            </w:tcBorders>
            <w:shd w:val="clear" w:color="000000" w:fill="auto"/>
            <w:noWrap/>
            <w:vAlign w:val="bottom"/>
            <w:hideMark/>
          </w:tcPr>
          <w:p w14:paraId="670D54BA" w14:textId="025F8B66" w:rsidR="007A1D84" w:rsidRPr="007A1D84" w:rsidRDefault="00C42DAD" w:rsidP="007A1D84">
            <w:pPr>
              <w:spacing w:before="45" w:after="45" w:line="240" w:lineRule="auto"/>
              <w:ind w:left="57" w:right="108"/>
              <w:rPr>
                <w:rFonts w:eastAsia="Times New Roman" w:cs="Open Sans"/>
                <w:b/>
                <w:bCs/>
                <w:color w:val="1D4374"/>
                <w:sz w:val="18"/>
                <w:szCs w:val="18"/>
                <w:lang w:eastAsia="en-AU"/>
              </w:rPr>
            </w:pPr>
            <w:r>
              <w:rPr>
                <w:rFonts w:eastAsia="Times New Roman" w:cs="Open Sans"/>
                <w:b/>
                <w:bCs/>
                <w:color w:val="1D4374"/>
                <w:sz w:val="18"/>
                <w:szCs w:val="18"/>
                <w:lang w:eastAsia="en-AU"/>
              </w:rPr>
              <w:t>#</w:t>
            </w:r>
          </w:p>
        </w:tc>
        <w:tc>
          <w:tcPr>
            <w:tcW w:w="0" w:type="auto"/>
            <w:tcBorders>
              <w:bottom w:val="single" w:sz="4" w:space="0" w:color="B3B3B3"/>
            </w:tcBorders>
            <w:shd w:val="clear" w:color="000000" w:fill="auto"/>
            <w:noWrap/>
            <w:vAlign w:val="bottom"/>
            <w:hideMark/>
          </w:tcPr>
          <w:p w14:paraId="057848CD" w14:textId="5D76E183" w:rsidR="007A1D84" w:rsidRPr="007A1D84" w:rsidRDefault="007A1D84" w:rsidP="007A1D84">
            <w:pPr>
              <w:spacing w:before="45" w:after="45" w:line="240" w:lineRule="auto"/>
              <w:ind w:left="57" w:right="108"/>
              <w:rPr>
                <w:rFonts w:eastAsia="Times New Roman" w:cs="Open Sans"/>
                <w:b/>
                <w:bCs/>
                <w:color w:val="1D4374"/>
                <w:sz w:val="18"/>
                <w:szCs w:val="18"/>
                <w:lang w:eastAsia="en-AU"/>
              </w:rPr>
            </w:pPr>
            <w:r w:rsidRPr="007A1D84">
              <w:rPr>
                <w:rFonts w:eastAsia="Times New Roman" w:cs="Open Sans"/>
                <w:b/>
                <w:bCs/>
                <w:color w:val="1D4374"/>
                <w:sz w:val="18"/>
                <w:szCs w:val="18"/>
                <w:lang w:eastAsia="en-AU"/>
              </w:rPr>
              <w:t xml:space="preserve">Revenue </w:t>
            </w:r>
            <w:r w:rsidR="00C42DAD">
              <w:rPr>
                <w:rFonts w:eastAsia="Times New Roman" w:cs="Open Sans"/>
                <w:b/>
                <w:bCs/>
                <w:color w:val="1D4374"/>
                <w:sz w:val="18"/>
                <w:szCs w:val="18"/>
                <w:lang w:eastAsia="en-AU"/>
              </w:rPr>
              <w:t>category</w:t>
            </w:r>
          </w:p>
        </w:tc>
      </w:tr>
      <w:tr w:rsidR="007A1D84" w:rsidRPr="007A1D84" w14:paraId="21567061" w14:textId="77777777" w:rsidTr="00C42DAD">
        <w:trPr>
          <w:trHeight w:val="260"/>
        </w:trPr>
        <w:tc>
          <w:tcPr>
            <w:tcW w:w="0" w:type="auto"/>
            <w:tcBorders>
              <w:top w:val="single" w:sz="4" w:space="0" w:color="B3B3B3"/>
              <w:bottom w:val="nil"/>
            </w:tcBorders>
            <w:shd w:val="clear" w:color="000000" w:fill="E6E6E6"/>
            <w:noWrap/>
            <w:hideMark/>
          </w:tcPr>
          <w:p w14:paraId="3EB928B2" w14:textId="77777777" w:rsidR="007A1D84" w:rsidRPr="007A1D84" w:rsidRDefault="007A1D84" w:rsidP="007A1D84">
            <w:pPr>
              <w:spacing w:before="45" w:after="45" w:line="240" w:lineRule="auto"/>
              <w:ind w:left="57" w:right="108"/>
              <w:rPr>
                <w:rFonts w:eastAsia="Times New Roman" w:cs="Open Sans"/>
                <w:b/>
                <w:bCs/>
                <w:color w:val="1D4374"/>
                <w:sz w:val="18"/>
                <w:szCs w:val="18"/>
                <w:lang w:eastAsia="en-AU"/>
              </w:rPr>
            </w:pPr>
            <w:r w:rsidRPr="007A1D84">
              <w:rPr>
                <w:rFonts w:eastAsia="Times New Roman" w:cs="Open Sans"/>
                <w:b/>
                <w:bCs/>
                <w:color w:val="1D4374"/>
                <w:sz w:val="18"/>
                <w:szCs w:val="18"/>
                <w:lang w:eastAsia="en-AU"/>
              </w:rPr>
              <w:t>1</w:t>
            </w:r>
          </w:p>
        </w:tc>
        <w:tc>
          <w:tcPr>
            <w:tcW w:w="0" w:type="auto"/>
            <w:tcBorders>
              <w:top w:val="single" w:sz="4" w:space="0" w:color="B3B3B3"/>
              <w:bottom w:val="nil"/>
            </w:tcBorders>
            <w:shd w:val="clear" w:color="000000" w:fill="E6E6E6"/>
            <w:noWrap/>
            <w:hideMark/>
          </w:tcPr>
          <w:p w14:paraId="605B158B" w14:textId="77777777" w:rsidR="007A1D84" w:rsidRPr="007A1D84" w:rsidRDefault="007A1D84" w:rsidP="007A1D84">
            <w:pPr>
              <w:spacing w:before="45" w:after="45" w:line="240" w:lineRule="auto"/>
              <w:ind w:left="57" w:right="108"/>
              <w:rPr>
                <w:rFonts w:eastAsia="Times New Roman" w:cs="Open Sans"/>
                <w:color w:val="000000"/>
                <w:sz w:val="18"/>
                <w:szCs w:val="18"/>
                <w:lang w:eastAsia="en-AU"/>
              </w:rPr>
            </w:pPr>
            <w:r w:rsidRPr="007A1D84">
              <w:rPr>
                <w:rFonts w:eastAsia="Times New Roman" w:cs="Open Sans"/>
                <w:color w:val="000000"/>
                <w:sz w:val="18"/>
                <w:szCs w:val="18"/>
                <w:lang w:eastAsia="en-AU"/>
              </w:rPr>
              <w:t>Payroll tax</w:t>
            </w:r>
          </w:p>
        </w:tc>
      </w:tr>
      <w:tr w:rsidR="007A1D84" w:rsidRPr="007A1D84" w14:paraId="053021B4" w14:textId="77777777" w:rsidTr="00C42DAD">
        <w:trPr>
          <w:trHeight w:val="260"/>
        </w:trPr>
        <w:tc>
          <w:tcPr>
            <w:tcW w:w="0" w:type="auto"/>
            <w:tcBorders>
              <w:top w:val="nil"/>
              <w:bottom w:val="nil"/>
            </w:tcBorders>
            <w:shd w:val="clear" w:color="000000" w:fill="auto"/>
            <w:noWrap/>
            <w:hideMark/>
          </w:tcPr>
          <w:p w14:paraId="0C220EE3" w14:textId="77777777" w:rsidR="007A1D84" w:rsidRPr="007A1D84" w:rsidRDefault="007A1D84" w:rsidP="007A1D84">
            <w:pPr>
              <w:spacing w:before="45" w:after="45" w:line="240" w:lineRule="auto"/>
              <w:ind w:left="57" w:right="108"/>
              <w:rPr>
                <w:rFonts w:eastAsia="Times New Roman" w:cs="Open Sans"/>
                <w:b/>
                <w:bCs/>
                <w:color w:val="1D4374"/>
                <w:sz w:val="18"/>
                <w:szCs w:val="18"/>
                <w:lang w:eastAsia="en-AU"/>
              </w:rPr>
            </w:pPr>
            <w:r w:rsidRPr="007A1D84">
              <w:rPr>
                <w:rFonts w:eastAsia="Times New Roman" w:cs="Open Sans"/>
                <w:b/>
                <w:bCs/>
                <w:color w:val="1D4374"/>
                <w:sz w:val="18"/>
                <w:szCs w:val="18"/>
                <w:lang w:eastAsia="en-AU"/>
              </w:rPr>
              <w:t>2</w:t>
            </w:r>
          </w:p>
        </w:tc>
        <w:tc>
          <w:tcPr>
            <w:tcW w:w="0" w:type="auto"/>
            <w:tcBorders>
              <w:top w:val="nil"/>
              <w:bottom w:val="nil"/>
            </w:tcBorders>
            <w:shd w:val="clear" w:color="000000" w:fill="auto"/>
            <w:noWrap/>
            <w:hideMark/>
          </w:tcPr>
          <w:p w14:paraId="11A1BF2F" w14:textId="77777777" w:rsidR="007A1D84" w:rsidRPr="007A1D84" w:rsidRDefault="007A1D84" w:rsidP="007A1D84">
            <w:pPr>
              <w:spacing w:before="45" w:after="45" w:line="240" w:lineRule="auto"/>
              <w:ind w:left="57" w:right="108"/>
              <w:rPr>
                <w:rFonts w:eastAsia="Times New Roman" w:cs="Open Sans"/>
                <w:color w:val="000000"/>
                <w:sz w:val="18"/>
                <w:szCs w:val="18"/>
                <w:lang w:eastAsia="en-AU"/>
              </w:rPr>
            </w:pPr>
            <w:r w:rsidRPr="007A1D84">
              <w:rPr>
                <w:rFonts w:eastAsia="Times New Roman" w:cs="Open Sans"/>
                <w:color w:val="000000"/>
                <w:sz w:val="18"/>
                <w:szCs w:val="18"/>
                <w:lang w:eastAsia="en-AU"/>
              </w:rPr>
              <w:t>Land tax</w:t>
            </w:r>
          </w:p>
        </w:tc>
      </w:tr>
      <w:tr w:rsidR="007A1D84" w:rsidRPr="007A1D84" w14:paraId="5423ABC2" w14:textId="77777777" w:rsidTr="00C42DAD">
        <w:trPr>
          <w:trHeight w:val="260"/>
        </w:trPr>
        <w:tc>
          <w:tcPr>
            <w:tcW w:w="0" w:type="auto"/>
            <w:tcBorders>
              <w:bottom w:val="nil"/>
            </w:tcBorders>
            <w:shd w:val="clear" w:color="000000" w:fill="E6E6E6"/>
            <w:noWrap/>
            <w:hideMark/>
          </w:tcPr>
          <w:p w14:paraId="2289AFA3" w14:textId="77777777" w:rsidR="007A1D84" w:rsidRPr="007A1D84" w:rsidRDefault="007A1D84" w:rsidP="007A1D84">
            <w:pPr>
              <w:spacing w:before="45" w:after="45" w:line="240" w:lineRule="auto"/>
              <w:ind w:left="57" w:right="108"/>
              <w:rPr>
                <w:rFonts w:eastAsia="Times New Roman" w:cs="Open Sans"/>
                <w:b/>
                <w:bCs/>
                <w:color w:val="1D4374"/>
                <w:sz w:val="18"/>
                <w:szCs w:val="18"/>
                <w:lang w:eastAsia="en-AU"/>
              </w:rPr>
            </w:pPr>
            <w:r w:rsidRPr="007A1D84">
              <w:rPr>
                <w:rFonts w:eastAsia="Times New Roman" w:cs="Open Sans"/>
                <w:b/>
                <w:bCs/>
                <w:color w:val="1D4374"/>
                <w:sz w:val="18"/>
                <w:szCs w:val="18"/>
                <w:lang w:eastAsia="en-AU"/>
              </w:rPr>
              <w:t>3</w:t>
            </w:r>
          </w:p>
        </w:tc>
        <w:tc>
          <w:tcPr>
            <w:tcW w:w="0" w:type="auto"/>
            <w:tcBorders>
              <w:bottom w:val="nil"/>
            </w:tcBorders>
            <w:shd w:val="clear" w:color="000000" w:fill="E6E6E6"/>
            <w:noWrap/>
            <w:hideMark/>
          </w:tcPr>
          <w:p w14:paraId="1723D15D" w14:textId="77777777" w:rsidR="007A1D84" w:rsidRPr="007A1D84" w:rsidRDefault="007A1D84" w:rsidP="007A1D84">
            <w:pPr>
              <w:spacing w:before="45" w:after="45" w:line="240" w:lineRule="auto"/>
              <w:ind w:left="57" w:right="108"/>
              <w:rPr>
                <w:rFonts w:eastAsia="Times New Roman" w:cs="Open Sans"/>
                <w:color w:val="000000"/>
                <w:sz w:val="18"/>
                <w:szCs w:val="18"/>
                <w:lang w:eastAsia="en-AU"/>
              </w:rPr>
            </w:pPr>
            <w:r w:rsidRPr="007A1D84">
              <w:rPr>
                <w:rFonts w:eastAsia="Times New Roman" w:cs="Open Sans"/>
                <w:color w:val="000000"/>
                <w:sz w:val="18"/>
                <w:szCs w:val="18"/>
                <w:lang w:eastAsia="en-AU"/>
              </w:rPr>
              <w:t>Stamp duty on conveyances</w:t>
            </w:r>
          </w:p>
        </w:tc>
      </w:tr>
      <w:tr w:rsidR="007A1D84" w:rsidRPr="007A1D84" w14:paraId="09335F54" w14:textId="77777777" w:rsidTr="00C42DAD">
        <w:trPr>
          <w:trHeight w:val="260"/>
        </w:trPr>
        <w:tc>
          <w:tcPr>
            <w:tcW w:w="0" w:type="auto"/>
            <w:tcBorders>
              <w:top w:val="nil"/>
              <w:bottom w:val="nil"/>
            </w:tcBorders>
            <w:shd w:val="clear" w:color="000000" w:fill="auto"/>
            <w:noWrap/>
            <w:hideMark/>
          </w:tcPr>
          <w:p w14:paraId="77811C8C" w14:textId="77777777" w:rsidR="007A1D84" w:rsidRPr="007A1D84" w:rsidRDefault="007A1D84" w:rsidP="007A1D84">
            <w:pPr>
              <w:spacing w:before="45" w:after="45" w:line="240" w:lineRule="auto"/>
              <w:ind w:left="57" w:right="108"/>
              <w:rPr>
                <w:rFonts w:eastAsia="Times New Roman" w:cs="Open Sans"/>
                <w:b/>
                <w:bCs/>
                <w:color w:val="1D4374"/>
                <w:sz w:val="18"/>
                <w:szCs w:val="18"/>
                <w:lang w:eastAsia="en-AU"/>
              </w:rPr>
            </w:pPr>
            <w:r w:rsidRPr="007A1D84">
              <w:rPr>
                <w:rFonts w:eastAsia="Times New Roman" w:cs="Open Sans"/>
                <w:b/>
                <w:bCs/>
                <w:color w:val="1D4374"/>
                <w:sz w:val="18"/>
                <w:szCs w:val="18"/>
                <w:lang w:eastAsia="en-AU"/>
              </w:rPr>
              <w:t>4</w:t>
            </w:r>
          </w:p>
        </w:tc>
        <w:tc>
          <w:tcPr>
            <w:tcW w:w="0" w:type="auto"/>
            <w:tcBorders>
              <w:top w:val="nil"/>
              <w:bottom w:val="nil"/>
            </w:tcBorders>
            <w:shd w:val="clear" w:color="000000" w:fill="auto"/>
            <w:noWrap/>
            <w:hideMark/>
          </w:tcPr>
          <w:p w14:paraId="2F31165B" w14:textId="77777777" w:rsidR="007A1D84" w:rsidRPr="007A1D84" w:rsidRDefault="007A1D84" w:rsidP="007A1D84">
            <w:pPr>
              <w:spacing w:before="45" w:after="45" w:line="240" w:lineRule="auto"/>
              <w:ind w:left="57" w:right="108"/>
              <w:rPr>
                <w:rFonts w:eastAsia="Times New Roman" w:cs="Open Sans"/>
                <w:color w:val="000000"/>
                <w:sz w:val="18"/>
                <w:szCs w:val="18"/>
                <w:lang w:eastAsia="en-AU"/>
              </w:rPr>
            </w:pPr>
            <w:r w:rsidRPr="007A1D84">
              <w:rPr>
                <w:rFonts w:eastAsia="Times New Roman" w:cs="Open Sans"/>
                <w:color w:val="000000"/>
                <w:sz w:val="18"/>
                <w:szCs w:val="18"/>
                <w:lang w:eastAsia="en-AU"/>
              </w:rPr>
              <w:t>Insurance tax</w:t>
            </w:r>
          </w:p>
        </w:tc>
      </w:tr>
      <w:tr w:rsidR="007A1D84" w:rsidRPr="007A1D84" w14:paraId="1211077A" w14:textId="77777777" w:rsidTr="00C42DAD">
        <w:trPr>
          <w:trHeight w:val="260"/>
        </w:trPr>
        <w:tc>
          <w:tcPr>
            <w:tcW w:w="0" w:type="auto"/>
            <w:tcBorders>
              <w:bottom w:val="nil"/>
            </w:tcBorders>
            <w:shd w:val="clear" w:color="000000" w:fill="E6E6E6"/>
            <w:noWrap/>
            <w:hideMark/>
          </w:tcPr>
          <w:p w14:paraId="12DCCAD2" w14:textId="77777777" w:rsidR="007A1D84" w:rsidRPr="007A1D84" w:rsidRDefault="007A1D84" w:rsidP="007A1D84">
            <w:pPr>
              <w:spacing w:before="45" w:after="45" w:line="240" w:lineRule="auto"/>
              <w:ind w:left="57" w:right="108"/>
              <w:rPr>
                <w:rFonts w:eastAsia="Times New Roman" w:cs="Open Sans"/>
                <w:b/>
                <w:bCs/>
                <w:color w:val="1D4374"/>
                <w:sz w:val="18"/>
                <w:szCs w:val="18"/>
                <w:lang w:eastAsia="en-AU"/>
              </w:rPr>
            </w:pPr>
            <w:r w:rsidRPr="007A1D84">
              <w:rPr>
                <w:rFonts w:eastAsia="Times New Roman" w:cs="Open Sans"/>
                <w:b/>
                <w:bCs/>
                <w:color w:val="1D4374"/>
                <w:sz w:val="18"/>
                <w:szCs w:val="18"/>
                <w:lang w:eastAsia="en-AU"/>
              </w:rPr>
              <w:t>5</w:t>
            </w:r>
          </w:p>
        </w:tc>
        <w:tc>
          <w:tcPr>
            <w:tcW w:w="0" w:type="auto"/>
            <w:tcBorders>
              <w:bottom w:val="nil"/>
            </w:tcBorders>
            <w:shd w:val="clear" w:color="000000" w:fill="E6E6E6"/>
            <w:noWrap/>
            <w:hideMark/>
          </w:tcPr>
          <w:p w14:paraId="3B5DA1B2" w14:textId="77777777" w:rsidR="007A1D84" w:rsidRPr="007A1D84" w:rsidRDefault="007A1D84" w:rsidP="007A1D84">
            <w:pPr>
              <w:spacing w:before="45" w:after="45" w:line="240" w:lineRule="auto"/>
              <w:ind w:left="57" w:right="108"/>
              <w:rPr>
                <w:rFonts w:eastAsia="Times New Roman" w:cs="Open Sans"/>
                <w:color w:val="000000"/>
                <w:sz w:val="18"/>
                <w:szCs w:val="18"/>
                <w:lang w:eastAsia="en-AU"/>
              </w:rPr>
            </w:pPr>
            <w:r w:rsidRPr="007A1D84">
              <w:rPr>
                <w:rFonts w:eastAsia="Times New Roman" w:cs="Open Sans"/>
                <w:color w:val="000000"/>
                <w:sz w:val="18"/>
                <w:szCs w:val="18"/>
                <w:lang w:eastAsia="en-AU"/>
              </w:rPr>
              <w:t>Light vehicles</w:t>
            </w:r>
          </w:p>
        </w:tc>
      </w:tr>
      <w:tr w:rsidR="007A1D84" w:rsidRPr="007A1D84" w14:paraId="195EAFDE" w14:textId="77777777" w:rsidTr="00C42DAD">
        <w:trPr>
          <w:trHeight w:val="260"/>
        </w:trPr>
        <w:tc>
          <w:tcPr>
            <w:tcW w:w="0" w:type="auto"/>
            <w:tcBorders>
              <w:top w:val="nil"/>
              <w:bottom w:val="nil"/>
            </w:tcBorders>
            <w:shd w:val="clear" w:color="000000" w:fill="auto"/>
            <w:noWrap/>
            <w:hideMark/>
          </w:tcPr>
          <w:p w14:paraId="325896AF" w14:textId="77777777" w:rsidR="007A1D84" w:rsidRPr="007A1D84" w:rsidRDefault="007A1D84" w:rsidP="007A1D84">
            <w:pPr>
              <w:spacing w:before="45" w:after="45" w:line="240" w:lineRule="auto"/>
              <w:ind w:left="57" w:right="108"/>
              <w:rPr>
                <w:rFonts w:eastAsia="Times New Roman" w:cs="Open Sans"/>
                <w:b/>
                <w:bCs/>
                <w:color w:val="1D4374"/>
                <w:sz w:val="18"/>
                <w:szCs w:val="18"/>
                <w:lang w:eastAsia="en-AU"/>
              </w:rPr>
            </w:pPr>
            <w:r w:rsidRPr="007A1D84">
              <w:rPr>
                <w:rFonts w:eastAsia="Times New Roman" w:cs="Open Sans"/>
                <w:b/>
                <w:bCs/>
                <w:color w:val="1D4374"/>
                <w:sz w:val="18"/>
                <w:szCs w:val="18"/>
                <w:lang w:eastAsia="en-AU"/>
              </w:rPr>
              <w:t>6</w:t>
            </w:r>
          </w:p>
        </w:tc>
        <w:tc>
          <w:tcPr>
            <w:tcW w:w="0" w:type="auto"/>
            <w:tcBorders>
              <w:top w:val="nil"/>
              <w:bottom w:val="nil"/>
            </w:tcBorders>
            <w:shd w:val="clear" w:color="000000" w:fill="auto"/>
            <w:noWrap/>
            <w:hideMark/>
          </w:tcPr>
          <w:p w14:paraId="0B99765E" w14:textId="77777777" w:rsidR="007A1D84" w:rsidRPr="007A1D84" w:rsidRDefault="007A1D84" w:rsidP="007A1D84">
            <w:pPr>
              <w:spacing w:before="45" w:after="45" w:line="240" w:lineRule="auto"/>
              <w:ind w:left="57" w:right="108"/>
              <w:rPr>
                <w:rFonts w:eastAsia="Times New Roman" w:cs="Open Sans"/>
                <w:color w:val="000000"/>
                <w:sz w:val="18"/>
                <w:szCs w:val="18"/>
                <w:lang w:eastAsia="en-AU"/>
              </w:rPr>
            </w:pPr>
            <w:r w:rsidRPr="007A1D84">
              <w:rPr>
                <w:rFonts w:eastAsia="Times New Roman" w:cs="Open Sans"/>
                <w:color w:val="000000"/>
                <w:sz w:val="18"/>
                <w:szCs w:val="18"/>
                <w:lang w:eastAsia="en-AU"/>
              </w:rPr>
              <w:t>Heavy vehicles</w:t>
            </w:r>
          </w:p>
        </w:tc>
      </w:tr>
      <w:tr w:rsidR="007A1D84" w:rsidRPr="007A1D84" w14:paraId="5BA5F807" w14:textId="77777777" w:rsidTr="00C42DAD">
        <w:trPr>
          <w:trHeight w:val="260"/>
        </w:trPr>
        <w:tc>
          <w:tcPr>
            <w:tcW w:w="0" w:type="auto"/>
            <w:tcBorders>
              <w:bottom w:val="nil"/>
            </w:tcBorders>
            <w:shd w:val="clear" w:color="000000" w:fill="E6E6E6"/>
            <w:noWrap/>
            <w:hideMark/>
          </w:tcPr>
          <w:p w14:paraId="608DA892" w14:textId="77777777" w:rsidR="007A1D84" w:rsidRPr="007A1D84" w:rsidRDefault="007A1D84" w:rsidP="007A1D84">
            <w:pPr>
              <w:spacing w:before="45" w:after="45" w:line="240" w:lineRule="auto"/>
              <w:ind w:left="57" w:right="108"/>
              <w:rPr>
                <w:rFonts w:eastAsia="Times New Roman" w:cs="Open Sans"/>
                <w:b/>
                <w:bCs/>
                <w:color w:val="1D4374"/>
                <w:sz w:val="18"/>
                <w:szCs w:val="18"/>
                <w:lang w:eastAsia="en-AU"/>
              </w:rPr>
            </w:pPr>
            <w:r w:rsidRPr="007A1D84">
              <w:rPr>
                <w:rFonts w:eastAsia="Times New Roman" w:cs="Open Sans"/>
                <w:b/>
                <w:bCs/>
                <w:color w:val="1D4374"/>
                <w:sz w:val="18"/>
                <w:szCs w:val="18"/>
                <w:lang w:eastAsia="en-AU"/>
              </w:rPr>
              <w:t>7</w:t>
            </w:r>
          </w:p>
        </w:tc>
        <w:tc>
          <w:tcPr>
            <w:tcW w:w="0" w:type="auto"/>
            <w:tcBorders>
              <w:bottom w:val="nil"/>
            </w:tcBorders>
            <w:shd w:val="clear" w:color="000000" w:fill="E6E6E6"/>
            <w:noWrap/>
            <w:hideMark/>
          </w:tcPr>
          <w:p w14:paraId="3588C979" w14:textId="77777777" w:rsidR="007A1D84" w:rsidRPr="007A1D84" w:rsidRDefault="007A1D84" w:rsidP="007A1D84">
            <w:pPr>
              <w:spacing w:before="45" w:after="45" w:line="240" w:lineRule="auto"/>
              <w:ind w:left="57" w:right="108"/>
              <w:rPr>
                <w:rFonts w:eastAsia="Times New Roman" w:cs="Open Sans"/>
                <w:color w:val="000000"/>
                <w:sz w:val="18"/>
                <w:szCs w:val="18"/>
                <w:lang w:eastAsia="en-AU"/>
              </w:rPr>
            </w:pPr>
            <w:r w:rsidRPr="007A1D84">
              <w:rPr>
                <w:rFonts w:eastAsia="Times New Roman" w:cs="Open Sans"/>
                <w:color w:val="000000"/>
                <w:sz w:val="18"/>
                <w:szCs w:val="18"/>
                <w:lang w:eastAsia="en-AU"/>
              </w:rPr>
              <w:t>Motor stamp duty</w:t>
            </w:r>
          </w:p>
        </w:tc>
      </w:tr>
      <w:tr w:rsidR="007A1D84" w:rsidRPr="007A1D84" w14:paraId="074DF7DD" w14:textId="77777777" w:rsidTr="00C42DAD">
        <w:trPr>
          <w:trHeight w:val="260"/>
        </w:trPr>
        <w:tc>
          <w:tcPr>
            <w:tcW w:w="0" w:type="auto"/>
            <w:tcBorders>
              <w:top w:val="nil"/>
              <w:bottom w:val="nil"/>
            </w:tcBorders>
            <w:shd w:val="clear" w:color="000000" w:fill="auto"/>
            <w:noWrap/>
            <w:hideMark/>
          </w:tcPr>
          <w:p w14:paraId="092912EA" w14:textId="77777777" w:rsidR="007A1D84" w:rsidRPr="007A1D84" w:rsidRDefault="007A1D84" w:rsidP="007A1D84">
            <w:pPr>
              <w:spacing w:before="45" w:after="45" w:line="240" w:lineRule="auto"/>
              <w:ind w:left="57" w:right="108"/>
              <w:rPr>
                <w:rFonts w:eastAsia="Times New Roman" w:cs="Open Sans"/>
                <w:b/>
                <w:bCs/>
                <w:color w:val="1D4374"/>
                <w:sz w:val="18"/>
                <w:szCs w:val="18"/>
                <w:lang w:eastAsia="en-AU"/>
              </w:rPr>
            </w:pPr>
            <w:r w:rsidRPr="007A1D84">
              <w:rPr>
                <w:rFonts w:eastAsia="Times New Roman" w:cs="Open Sans"/>
                <w:b/>
                <w:bCs/>
                <w:color w:val="1D4374"/>
                <w:sz w:val="18"/>
                <w:szCs w:val="18"/>
                <w:lang w:eastAsia="en-AU"/>
              </w:rPr>
              <w:t>8</w:t>
            </w:r>
          </w:p>
        </w:tc>
        <w:tc>
          <w:tcPr>
            <w:tcW w:w="0" w:type="auto"/>
            <w:tcBorders>
              <w:top w:val="nil"/>
              <w:bottom w:val="nil"/>
            </w:tcBorders>
            <w:shd w:val="clear" w:color="000000" w:fill="auto"/>
            <w:noWrap/>
            <w:hideMark/>
          </w:tcPr>
          <w:p w14:paraId="07C763D8" w14:textId="77777777" w:rsidR="007A1D84" w:rsidRPr="007A1D84" w:rsidRDefault="007A1D84" w:rsidP="007A1D84">
            <w:pPr>
              <w:spacing w:before="45" w:after="45" w:line="240" w:lineRule="auto"/>
              <w:ind w:left="57" w:right="108"/>
              <w:rPr>
                <w:rFonts w:eastAsia="Times New Roman" w:cs="Open Sans"/>
                <w:color w:val="000000"/>
                <w:sz w:val="18"/>
                <w:szCs w:val="18"/>
                <w:lang w:eastAsia="en-AU"/>
              </w:rPr>
            </w:pPr>
            <w:r w:rsidRPr="007A1D84">
              <w:rPr>
                <w:rFonts w:eastAsia="Times New Roman" w:cs="Open Sans"/>
                <w:color w:val="000000"/>
                <w:sz w:val="18"/>
                <w:szCs w:val="18"/>
                <w:lang w:eastAsia="en-AU"/>
              </w:rPr>
              <w:t>Iron ore</w:t>
            </w:r>
          </w:p>
        </w:tc>
      </w:tr>
      <w:tr w:rsidR="007A1D84" w:rsidRPr="007A1D84" w14:paraId="392F0A19" w14:textId="77777777" w:rsidTr="00C42DAD">
        <w:trPr>
          <w:trHeight w:val="260"/>
        </w:trPr>
        <w:tc>
          <w:tcPr>
            <w:tcW w:w="0" w:type="auto"/>
            <w:tcBorders>
              <w:bottom w:val="nil"/>
            </w:tcBorders>
            <w:shd w:val="clear" w:color="000000" w:fill="E6E6E6"/>
            <w:noWrap/>
            <w:hideMark/>
          </w:tcPr>
          <w:p w14:paraId="552A9B12" w14:textId="77777777" w:rsidR="007A1D84" w:rsidRPr="007A1D84" w:rsidRDefault="007A1D84" w:rsidP="007A1D84">
            <w:pPr>
              <w:spacing w:before="45" w:after="45" w:line="240" w:lineRule="auto"/>
              <w:ind w:left="57" w:right="108"/>
              <w:rPr>
                <w:rFonts w:eastAsia="Times New Roman" w:cs="Open Sans"/>
                <w:b/>
                <w:bCs/>
                <w:color w:val="1D4374"/>
                <w:sz w:val="18"/>
                <w:szCs w:val="18"/>
                <w:lang w:eastAsia="en-AU"/>
              </w:rPr>
            </w:pPr>
            <w:r w:rsidRPr="007A1D84">
              <w:rPr>
                <w:rFonts w:eastAsia="Times New Roman" w:cs="Open Sans"/>
                <w:b/>
                <w:bCs/>
                <w:color w:val="1D4374"/>
                <w:sz w:val="18"/>
                <w:szCs w:val="18"/>
                <w:lang w:eastAsia="en-AU"/>
              </w:rPr>
              <w:t>9</w:t>
            </w:r>
          </w:p>
        </w:tc>
        <w:tc>
          <w:tcPr>
            <w:tcW w:w="0" w:type="auto"/>
            <w:tcBorders>
              <w:bottom w:val="nil"/>
            </w:tcBorders>
            <w:shd w:val="clear" w:color="000000" w:fill="E6E6E6"/>
            <w:noWrap/>
            <w:hideMark/>
          </w:tcPr>
          <w:p w14:paraId="5E8BEDCF" w14:textId="77777777" w:rsidR="007A1D84" w:rsidRPr="007A1D84" w:rsidRDefault="007A1D84" w:rsidP="007A1D84">
            <w:pPr>
              <w:spacing w:before="45" w:after="45" w:line="240" w:lineRule="auto"/>
              <w:ind w:left="57" w:right="108"/>
              <w:rPr>
                <w:rFonts w:eastAsia="Times New Roman" w:cs="Open Sans"/>
                <w:color w:val="000000"/>
                <w:sz w:val="18"/>
                <w:szCs w:val="18"/>
                <w:lang w:eastAsia="en-AU"/>
              </w:rPr>
            </w:pPr>
            <w:r w:rsidRPr="007A1D84">
              <w:rPr>
                <w:rFonts w:eastAsia="Times New Roman" w:cs="Open Sans"/>
                <w:color w:val="000000"/>
                <w:sz w:val="18"/>
                <w:szCs w:val="18"/>
                <w:lang w:eastAsia="en-AU"/>
              </w:rPr>
              <w:t>Coal</w:t>
            </w:r>
          </w:p>
        </w:tc>
      </w:tr>
      <w:tr w:rsidR="007A1D84" w:rsidRPr="007A1D84" w14:paraId="28F564AA" w14:textId="77777777" w:rsidTr="00C42DAD">
        <w:trPr>
          <w:trHeight w:val="260"/>
        </w:trPr>
        <w:tc>
          <w:tcPr>
            <w:tcW w:w="0" w:type="auto"/>
            <w:tcBorders>
              <w:top w:val="nil"/>
              <w:bottom w:val="nil"/>
            </w:tcBorders>
            <w:shd w:val="clear" w:color="000000" w:fill="auto"/>
            <w:noWrap/>
            <w:hideMark/>
          </w:tcPr>
          <w:p w14:paraId="5CA32A23" w14:textId="77777777" w:rsidR="007A1D84" w:rsidRPr="007A1D84" w:rsidRDefault="007A1D84" w:rsidP="007A1D84">
            <w:pPr>
              <w:spacing w:before="45" w:after="45" w:line="240" w:lineRule="auto"/>
              <w:ind w:left="57" w:right="108"/>
              <w:rPr>
                <w:rFonts w:eastAsia="Times New Roman" w:cs="Open Sans"/>
                <w:b/>
                <w:bCs/>
                <w:color w:val="1D4374"/>
                <w:sz w:val="18"/>
                <w:szCs w:val="18"/>
                <w:lang w:eastAsia="en-AU"/>
              </w:rPr>
            </w:pPr>
            <w:r w:rsidRPr="007A1D84">
              <w:rPr>
                <w:rFonts w:eastAsia="Times New Roman" w:cs="Open Sans"/>
                <w:b/>
                <w:bCs/>
                <w:color w:val="1D4374"/>
                <w:sz w:val="18"/>
                <w:szCs w:val="18"/>
                <w:lang w:eastAsia="en-AU"/>
              </w:rPr>
              <w:t>10</w:t>
            </w:r>
          </w:p>
        </w:tc>
        <w:tc>
          <w:tcPr>
            <w:tcW w:w="0" w:type="auto"/>
            <w:tcBorders>
              <w:top w:val="nil"/>
              <w:bottom w:val="nil"/>
            </w:tcBorders>
            <w:shd w:val="clear" w:color="000000" w:fill="auto"/>
            <w:noWrap/>
            <w:hideMark/>
          </w:tcPr>
          <w:p w14:paraId="7A945E5F" w14:textId="77777777" w:rsidR="007A1D84" w:rsidRPr="007A1D84" w:rsidRDefault="007A1D84" w:rsidP="007A1D84">
            <w:pPr>
              <w:spacing w:before="45" w:after="45" w:line="240" w:lineRule="auto"/>
              <w:ind w:left="57" w:right="108"/>
              <w:rPr>
                <w:rFonts w:eastAsia="Times New Roman" w:cs="Open Sans"/>
                <w:color w:val="000000"/>
                <w:sz w:val="18"/>
                <w:szCs w:val="18"/>
                <w:lang w:eastAsia="en-AU"/>
              </w:rPr>
            </w:pPr>
            <w:r w:rsidRPr="007A1D84">
              <w:rPr>
                <w:rFonts w:eastAsia="Times New Roman" w:cs="Open Sans"/>
                <w:color w:val="000000"/>
                <w:sz w:val="18"/>
                <w:szCs w:val="18"/>
                <w:lang w:eastAsia="en-AU"/>
              </w:rPr>
              <w:t>Gold</w:t>
            </w:r>
          </w:p>
        </w:tc>
      </w:tr>
      <w:tr w:rsidR="007A1D84" w:rsidRPr="007A1D84" w14:paraId="0CF2B057" w14:textId="77777777" w:rsidTr="00C42DAD">
        <w:trPr>
          <w:trHeight w:val="260"/>
        </w:trPr>
        <w:tc>
          <w:tcPr>
            <w:tcW w:w="0" w:type="auto"/>
            <w:tcBorders>
              <w:bottom w:val="nil"/>
            </w:tcBorders>
            <w:shd w:val="clear" w:color="000000" w:fill="E6E6E6"/>
            <w:noWrap/>
            <w:hideMark/>
          </w:tcPr>
          <w:p w14:paraId="692394DD" w14:textId="77777777" w:rsidR="007A1D84" w:rsidRPr="007A1D84" w:rsidRDefault="007A1D84" w:rsidP="007A1D84">
            <w:pPr>
              <w:spacing w:before="45" w:after="45" w:line="240" w:lineRule="auto"/>
              <w:ind w:left="57" w:right="108"/>
              <w:rPr>
                <w:rFonts w:eastAsia="Times New Roman" w:cs="Open Sans"/>
                <w:b/>
                <w:bCs/>
                <w:color w:val="1D4374"/>
                <w:sz w:val="18"/>
                <w:szCs w:val="18"/>
                <w:lang w:eastAsia="en-AU"/>
              </w:rPr>
            </w:pPr>
            <w:r w:rsidRPr="007A1D84">
              <w:rPr>
                <w:rFonts w:eastAsia="Times New Roman" w:cs="Open Sans"/>
                <w:b/>
                <w:bCs/>
                <w:color w:val="1D4374"/>
                <w:sz w:val="18"/>
                <w:szCs w:val="18"/>
                <w:lang w:eastAsia="en-AU"/>
              </w:rPr>
              <w:t>11</w:t>
            </w:r>
          </w:p>
        </w:tc>
        <w:tc>
          <w:tcPr>
            <w:tcW w:w="0" w:type="auto"/>
            <w:tcBorders>
              <w:bottom w:val="nil"/>
            </w:tcBorders>
            <w:shd w:val="clear" w:color="000000" w:fill="E6E6E6"/>
            <w:noWrap/>
            <w:hideMark/>
          </w:tcPr>
          <w:p w14:paraId="1512CA97" w14:textId="77777777" w:rsidR="007A1D84" w:rsidRPr="007A1D84" w:rsidRDefault="007A1D84" w:rsidP="007A1D84">
            <w:pPr>
              <w:spacing w:before="45" w:after="45" w:line="240" w:lineRule="auto"/>
              <w:ind w:left="57" w:right="108"/>
              <w:rPr>
                <w:rFonts w:eastAsia="Times New Roman" w:cs="Open Sans"/>
                <w:color w:val="000000"/>
                <w:sz w:val="18"/>
                <w:szCs w:val="18"/>
                <w:lang w:eastAsia="en-AU"/>
              </w:rPr>
            </w:pPr>
            <w:r w:rsidRPr="007A1D84">
              <w:rPr>
                <w:rFonts w:eastAsia="Times New Roman" w:cs="Open Sans"/>
                <w:color w:val="000000"/>
                <w:sz w:val="18"/>
                <w:szCs w:val="18"/>
                <w:lang w:eastAsia="en-AU"/>
              </w:rPr>
              <w:t>Copper</w:t>
            </w:r>
          </w:p>
        </w:tc>
      </w:tr>
      <w:tr w:rsidR="007A1D84" w:rsidRPr="007A1D84" w14:paraId="71932309" w14:textId="77777777" w:rsidTr="00C42DAD">
        <w:trPr>
          <w:trHeight w:val="260"/>
        </w:trPr>
        <w:tc>
          <w:tcPr>
            <w:tcW w:w="0" w:type="auto"/>
            <w:tcBorders>
              <w:top w:val="nil"/>
              <w:bottom w:val="nil"/>
            </w:tcBorders>
            <w:shd w:val="clear" w:color="000000" w:fill="auto"/>
            <w:noWrap/>
            <w:hideMark/>
          </w:tcPr>
          <w:p w14:paraId="5563B6E5" w14:textId="77777777" w:rsidR="007A1D84" w:rsidRPr="007A1D84" w:rsidRDefault="007A1D84" w:rsidP="007A1D84">
            <w:pPr>
              <w:spacing w:before="45" w:after="45" w:line="240" w:lineRule="auto"/>
              <w:ind w:left="57" w:right="108"/>
              <w:rPr>
                <w:rFonts w:eastAsia="Times New Roman" w:cs="Open Sans"/>
                <w:b/>
                <w:bCs/>
                <w:color w:val="1D4374"/>
                <w:sz w:val="18"/>
                <w:szCs w:val="18"/>
                <w:lang w:eastAsia="en-AU"/>
              </w:rPr>
            </w:pPr>
            <w:r w:rsidRPr="007A1D84">
              <w:rPr>
                <w:rFonts w:eastAsia="Times New Roman" w:cs="Open Sans"/>
                <w:b/>
                <w:bCs/>
                <w:color w:val="1D4374"/>
                <w:sz w:val="18"/>
                <w:szCs w:val="18"/>
                <w:lang w:eastAsia="en-AU"/>
              </w:rPr>
              <w:t>12</w:t>
            </w:r>
          </w:p>
        </w:tc>
        <w:tc>
          <w:tcPr>
            <w:tcW w:w="0" w:type="auto"/>
            <w:tcBorders>
              <w:top w:val="nil"/>
              <w:bottom w:val="nil"/>
            </w:tcBorders>
            <w:shd w:val="clear" w:color="000000" w:fill="auto"/>
            <w:noWrap/>
            <w:hideMark/>
          </w:tcPr>
          <w:p w14:paraId="6D6C5F5B" w14:textId="77777777" w:rsidR="007A1D84" w:rsidRPr="007A1D84" w:rsidRDefault="007A1D84" w:rsidP="007A1D84">
            <w:pPr>
              <w:spacing w:before="45" w:after="45" w:line="240" w:lineRule="auto"/>
              <w:ind w:left="57" w:right="108"/>
              <w:rPr>
                <w:rFonts w:eastAsia="Times New Roman" w:cs="Open Sans"/>
                <w:color w:val="000000"/>
                <w:sz w:val="18"/>
                <w:szCs w:val="18"/>
                <w:lang w:eastAsia="en-AU"/>
              </w:rPr>
            </w:pPr>
            <w:r w:rsidRPr="007A1D84">
              <w:rPr>
                <w:rFonts w:eastAsia="Times New Roman" w:cs="Open Sans"/>
                <w:color w:val="000000"/>
                <w:sz w:val="18"/>
                <w:szCs w:val="18"/>
                <w:lang w:eastAsia="en-AU"/>
              </w:rPr>
              <w:t>Lithium</w:t>
            </w:r>
          </w:p>
        </w:tc>
      </w:tr>
      <w:tr w:rsidR="007A1D84" w:rsidRPr="007A1D84" w14:paraId="235BBA10" w14:textId="77777777" w:rsidTr="00C42DAD">
        <w:trPr>
          <w:trHeight w:val="260"/>
        </w:trPr>
        <w:tc>
          <w:tcPr>
            <w:tcW w:w="0" w:type="auto"/>
            <w:tcBorders>
              <w:bottom w:val="nil"/>
            </w:tcBorders>
            <w:shd w:val="clear" w:color="000000" w:fill="E6E6E6"/>
            <w:noWrap/>
            <w:hideMark/>
          </w:tcPr>
          <w:p w14:paraId="34B40F93" w14:textId="77777777" w:rsidR="007A1D84" w:rsidRPr="007A1D84" w:rsidRDefault="007A1D84" w:rsidP="007A1D84">
            <w:pPr>
              <w:spacing w:before="45" w:after="45" w:line="240" w:lineRule="auto"/>
              <w:ind w:left="57" w:right="108"/>
              <w:rPr>
                <w:rFonts w:eastAsia="Times New Roman" w:cs="Open Sans"/>
                <w:b/>
                <w:bCs/>
                <w:color w:val="1D4374"/>
                <w:sz w:val="18"/>
                <w:szCs w:val="18"/>
                <w:lang w:eastAsia="en-AU"/>
              </w:rPr>
            </w:pPr>
            <w:r w:rsidRPr="007A1D84">
              <w:rPr>
                <w:rFonts w:eastAsia="Times New Roman" w:cs="Open Sans"/>
                <w:b/>
                <w:bCs/>
                <w:color w:val="1D4374"/>
                <w:sz w:val="18"/>
                <w:szCs w:val="18"/>
                <w:lang w:eastAsia="en-AU"/>
              </w:rPr>
              <w:lastRenderedPageBreak/>
              <w:t>13</w:t>
            </w:r>
          </w:p>
        </w:tc>
        <w:tc>
          <w:tcPr>
            <w:tcW w:w="0" w:type="auto"/>
            <w:tcBorders>
              <w:bottom w:val="nil"/>
            </w:tcBorders>
            <w:shd w:val="clear" w:color="000000" w:fill="E6E6E6"/>
            <w:noWrap/>
            <w:hideMark/>
          </w:tcPr>
          <w:p w14:paraId="7AC64541" w14:textId="77777777" w:rsidR="007A1D84" w:rsidRPr="007A1D84" w:rsidRDefault="007A1D84" w:rsidP="007A1D84">
            <w:pPr>
              <w:spacing w:before="45" w:after="45" w:line="240" w:lineRule="auto"/>
              <w:ind w:left="57" w:right="108"/>
              <w:rPr>
                <w:rFonts w:eastAsia="Times New Roman" w:cs="Open Sans"/>
                <w:color w:val="000000"/>
                <w:sz w:val="18"/>
                <w:szCs w:val="18"/>
                <w:lang w:eastAsia="en-AU"/>
              </w:rPr>
            </w:pPr>
            <w:r w:rsidRPr="007A1D84">
              <w:rPr>
                <w:rFonts w:eastAsia="Times New Roman" w:cs="Open Sans"/>
                <w:color w:val="000000"/>
                <w:sz w:val="18"/>
                <w:szCs w:val="18"/>
                <w:lang w:eastAsia="en-AU"/>
              </w:rPr>
              <w:t>Nickel</w:t>
            </w:r>
          </w:p>
        </w:tc>
      </w:tr>
      <w:tr w:rsidR="007A1D84" w:rsidRPr="007A1D84" w14:paraId="4DC8994C" w14:textId="77777777" w:rsidTr="00C42DAD">
        <w:trPr>
          <w:trHeight w:val="260"/>
        </w:trPr>
        <w:tc>
          <w:tcPr>
            <w:tcW w:w="0" w:type="auto"/>
            <w:tcBorders>
              <w:top w:val="nil"/>
              <w:bottom w:val="nil"/>
            </w:tcBorders>
            <w:shd w:val="clear" w:color="000000" w:fill="auto"/>
            <w:noWrap/>
            <w:hideMark/>
          </w:tcPr>
          <w:p w14:paraId="10FDBD93" w14:textId="77777777" w:rsidR="007A1D84" w:rsidRPr="007A1D84" w:rsidRDefault="007A1D84" w:rsidP="007A1D84">
            <w:pPr>
              <w:spacing w:before="45" w:after="45" w:line="240" w:lineRule="auto"/>
              <w:ind w:left="57" w:right="108"/>
              <w:rPr>
                <w:rFonts w:eastAsia="Times New Roman" w:cs="Open Sans"/>
                <w:b/>
                <w:bCs/>
                <w:color w:val="1D4374"/>
                <w:sz w:val="18"/>
                <w:szCs w:val="18"/>
                <w:lang w:eastAsia="en-AU"/>
              </w:rPr>
            </w:pPr>
            <w:r w:rsidRPr="007A1D84">
              <w:rPr>
                <w:rFonts w:eastAsia="Times New Roman" w:cs="Open Sans"/>
                <w:b/>
                <w:bCs/>
                <w:color w:val="1D4374"/>
                <w:sz w:val="18"/>
                <w:szCs w:val="18"/>
                <w:lang w:eastAsia="en-AU"/>
              </w:rPr>
              <w:t>14</w:t>
            </w:r>
          </w:p>
        </w:tc>
        <w:tc>
          <w:tcPr>
            <w:tcW w:w="0" w:type="auto"/>
            <w:tcBorders>
              <w:top w:val="nil"/>
              <w:bottom w:val="nil"/>
            </w:tcBorders>
            <w:shd w:val="clear" w:color="000000" w:fill="auto"/>
            <w:noWrap/>
            <w:hideMark/>
          </w:tcPr>
          <w:p w14:paraId="715E67FF" w14:textId="77777777" w:rsidR="007A1D84" w:rsidRPr="007A1D84" w:rsidRDefault="007A1D84" w:rsidP="007A1D84">
            <w:pPr>
              <w:spacing w:before="45" w:after="45" w:line="240" w:lineRule="auto"/>
              <w:ind w:left="57" w:right="108"/>
              <w:rPr>
                <w:rFonts w:eastAsia="Times New Roman" w:cs="Open Sans"/>
                <w:color w:val="000000"/>
                <w:sz w:val="18"/>
                <w:szCs w:val="18"/>
                <w:lang w:eastAsia="en-AU"/>
              </w:rPr>
            </w:pPr>
            <w:r w:rsidRPr="007A1D84">
              <w:rPr>
                <w:rFonts w:eastAsia="Times New Roman" w:cs="Open Sans"/>
                <w:color w:val="000000"/>
                <w:sz w:val="18"/>
                <w:szCs w:val="18"/>
                <w:lang w:eastAsia="en-AU"/>
              </w:rPr>
              <w:t>Other minerals</w:t>
            </w:r>
          </w:p>
        </w:tc>
      </w:tr>
      <w:tr w:rsidR="007A1D84" w:rsidRPr="007A1D84" w14:paraId="08080F94" w14:textId="77777777" w:rsidTr="00C42DAD">
        <w:trPr>
          <w:trHeight w:val="260"/>
        </w:trPr>
        <w:tc>
          <w:tcPr>
            <w:tcW w:w="0" w:type="auto"/>
            <w:tcBorders>
              <w:bottom w:val="single" w:sz="4" w:space="0" w:color="B3B3B3"/>
            </w:tcBorders>
            <w:shd w:val="clear" w:color="000000" w:fill="E6E6E6"/>
            <w:noWrap/>
            <w:hideMark/>
          </w:tcPr>
          <w:p w14:paraId="23ADD599" w14:textId="77777777" w:rsidR="007A1D84" w:rsidRPr="007A1D84" w:rsidRDefault="007A1D84" w:rsidP="007A1D84">
            <w:pPr>
              <w:spacing w:before="45" w:after="45" w:line="240" w:lineRule="auto"/>
              <w:ind w:left="57" w:right="108"/>
              <w:rPr>
                <w:rFonts w:eastAsia="Times New Roman" w:cs="Open Sans"/>
                <w:b/>
                <w:bCs/>
                <w:color w:val="1D4374"/>
                <w:sz w:val="18"/>
                <w:szCs w:val="18"/>
                <w:lang w:eastAsia="en-AU"/>
              </w:rPr>
            </w:pPr>
            <w:r w:rsidRPr="007A1D84">
              <w:rPr>
                <w:rFonts w:eastAsia="Times New Roman" w:cs="Open Sans"/>
                <w:b/>
                <w:bCs/>
                <w:color w:val="1D4374"/>
                <w:sz w:val="18"/>
                <w:szCs w:val="18"/>
                <w:lang w:eastAsia="en-AU"/>
              </w:rPr>
              <w:t>15</w:t>
            </w:r>
          </w:p>
        </w:tc>
        <w:tc>
          <w:tcPr>
            <w:tcW w:w="0" w:type="auto"/>
            <w:tcBorders>
              <w:bottom w:val="single" w:sz="4" w:space="0" w:color="B3B3B3"/>
            </w:tcBorders>
            <w:shd w:val="clear" w:color="000000" w:fill="E6E6E6"/>
            <w:noWrap/>
            <w:hideMark/>
          </w:tcPr>
          <w:p w14:paraId="5EE81204" w14:textId="77777777" w:rsidR="007A1D84" w:rsidRPr="007A1D84" w:rsidRDefault="007A1D84" w:rsidP="007A1D84">
            <w:pPr>
              <w:spacing w:before="45" w:after="45" w:line="240" w:lineRule="auto"/>
              <w:ind w:left="57" w:right="108"/>
              <w:rPr>
                <w:rFonts w:eastAsia="Times New Roman" w:cs="Open Sans"/>
                <w:color w:val="000000"/>
                <w:sz w:val="18"/>
                <w:szCs w:val="18"/>
                <w:lang w:eastAsia="en-AU"/>
              </w:rPr>
            </w:pPr>
            <w:r w:rsidRPr="007A1D84">
              <w:rPr>
                <w:rFonts w:eastAsia="Times New Roman" w:cs="Open Sans"/>
                <w:color w:val="000000"/>
                <w:sz w:val="18"/>
                <w:szCs w:val="18"/>
                <w:lang w:eastAsia="en-AU"/>
              </w:rPr>
              <w:t>Other revenue</w:t>
            </w:r>
          </w:p>
        </w:tc>
      </w:tr>
    </w:tbl>
    <w:p w14:paraId="3AC89FBD" w14:textId="77777777" w:rsidR="00BA6A6B" w:rsidRDefault="00BA6A6B" w:rsidP="00BA6A6B">
      <w:pPr>
        <w:pStyle w:val="NoSpacing"/>
      </w:pPr>
    </w:p>
    <w:p w14:paraId="0163D5A8" w14:textId="1307F1F8" w:rsidR="00646454" w:rsidRPr="00646454" w:rsidRDefault="00646454" w:rsidP="00646454">
      <w:pPr>
        <w:pStyle w:val="FigureTableHeading"/>
      </w:pPr>
      <w:r>
        <w:t xml:space="preserve">Table </w:t>
      </w:r>
      <w:r w:rsidR="00115001">
        <w:t>C</w:t>
      </w:r>
      <w:r>
        <w:t>.</w:t>
      </w:r>
      <w:fldSimple w:instr=" SEQ Table \* ARABIC \s 1 ">
        <w:r w:rsidR="002D76C4">
          <w:rPr>
            <w:noProof/>
          </w:rPr>
          <w:t>11</w:t>
        </w:r>
      </w:fldSimple>
      <w:r>
        <w:rPr>
          <w:noProof/>
        </w:rPr>
        <w:t xml:space="preserve"> – </w:t>
      </w:r>
      <w:r w:rsidRPr="00646454">
        <w:rPr>
          <w:noProof/>
        </w:rPr>
        <w:t xml:space="preserve">Initial steps common to both </w:t>
      </w:r>
      <w:r w:rsidR="004B0F88">
        <w:rPr>
          <w:noProof/>
        </w:rPr>
        <w:t xml:space="preserve">efficicency </w:t>
      </w:r>
      <w:r w:rsidRPr="00646454">
        <w:rPr>
          <w:noProof/>
        </w:rPr>
        <w:t>measures</w:t>
      </w:r>
    </w:p>
    <w:tbl>
      <w:tblPr>
        <w:tblStyle w:val="ProductivityCommissionTable2-Dark"/>
        <w:tblW w:w="0" w:type="auto"/>
        <w:tblBorders>
          <w:insideH w:val="none" w:sz="0" w:space="0" w:color="auto"/>
        </w:tblBorders>
        <w:shd w:val="clear" w:color="000000" w:fill="auto"/>
        <w:tblLayout w:type="fixed"/>
        <w:tblCellMar>
          <w:top w:w="0" w:type="dxa"/>
          <w:left w:w="0" w:type="dxa"/>
          <w:bottom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416"/>
        <w:gridCol w:w="9222"/>
      </w:tblGrid>
      <w:tr w:rsidR="004D2B52" w:rsidRPr="00444DCC" w14:paraId="3BC3B8D8" w14:textId="77777777" w:rsidTr="004615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6" w:type="dxa"/>
            <w:tcBorders>
              <w:bottom w:val="single" w:sz="4" w:space="0" w:color="B3B3B3"/>
            </w:tcBorders>
            <w:shd w:val="clear" w:color="000000" w:fill="auto"/>
            <w:vAlign w:val="bottom"/>
          </w:tcPr>
          <w:p w14:paraId="27D2376B" w14:textId="77777777" w:rsidR="004D2B52" w:rsidRPr="004615F0" w:rsidRDefault="004D2B52" w:rsidP="004615F0">
            <w:pPr>
              <w:spacing w:before="45" w:after="45"/>
              <w:ind w:left="57" w:right="108"/>
              <w:rPr>
                <w:rFonts w:cs="Open Sans"/>
                <w:color w:val="1D4374"/>
                <w:sz w:val="18"/>
              </w:rPr>
            </w:pPr>
            <w:r w:rsidRPr="004615F0">
              <w:rPr>
                <w:rFonts w:cs="Open Sans"/>
                <w:color w:val="1D4374"/>
                <w:sz w:val="18"/>
              </w:rPr>
              <w:t>#</w:t>
            </w:r>
          </w:p>
        </w:tc>
        <w:tc>
          <w:tcPr>
            <w:tcW w:w="9222" w:type="dxa"/>
            <w:tcBorders>
              <w:bottom w:val="single" w:sz="4" w:space="0" w:color="B3B3B3"/>
            </w:tcBorders>
            <w:shd w:val="clear" w:color="000000" w:fill="auto"/>
            <w:vAlign w:val="bottom"/>
          </w:tcPr>
          <w:p w14:paraId="46A4CFC6" w14:textId="77777777" w:rsidR="004D2B52" w:rsidRPr="004615F0" w:rsidRDefault="004D2B52" w:rsidP="004615F0">
            <w:pPr>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4615F0">
              <w:rPr>
                <w:rFonts w:cs="Open Sans"/>
                <w:color w:val="1D4374"/>
                <w:sz w:val="18"/>
              </w:rPr>
              <w:t>Step</w:t>
            </w:r>
          </w:p>
        </w:tc>
      </w:tr>
      <w:tr w:rsidR="004D2B52" w:rsidRPr="00444DCC" w14:paraId="73050FA6" w14:textId="77777777" w:rsidTr="00461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Borders>
              <w:top w:val="single" w:sz="4" w:space="0" w:color="B3B3B3"/>
              <w:bottom w:val="nil"/>
            </w:tcBorders>
            <w:shd w:val="clear" w:color="000000" w:fill="E6E6E6"/>
            <w:hideMark/>
          </w:tcPr>
          <w:p w14:paraId="5E970F1B" w14:textId="0194B4E0" w:rsidR="004D2B52" w:rsidRPr="004615F0" w:rsidRDefault="00846B13" w:rsidP="004615F0">
            <w:pPr>
              <w:pStyle w:val="TableBody"/>
              <w:spacing w:before="45" w:after="45"/>
              <w:ind w:right="108"/>
              <w:rPr>
                <w:rFonts w:cs="Open Sans"/>
                <w:color w:val="1D4374"/>
                <w:lang w:eastAsia="zh-CN" w:bidi="th-TH"/>
              </w:rPr>
            </w:pPr>
            <w:r w:rsidRPr="004615F0">
              <w:rPr>
                <w:rFonts w:cs="Open Sans"/>
                <w:color w:val="1D4374"/>
                <w:lang w:eastAsia="zh-CN" w:bidi="th-TH"/>
              </w:rPr>
              <w:t>A</w:t>
            </w:r>
            <w:r w:rsidR="004D2B52" w:rsidRPr="004615F0">
              <w:rPr>
                <w:rFonts w:cs="Open Sans"/>
                <w:color w:val="1D4374"/>
                <w:lang w:eastAsia="zh-CN" w:bidi="th-TH"/>
              </w:rPr>
              <w:t>1</w:t>
            </w:r>
          </w:p>
        </w:tc>
        <w:tc>
          <w:tcPr>
            <w:tcW w:w="9222" w:type="dxa"/>
            <w:tcBorders>
              <w:top w:val="single" w:sz="4" w:space="0" w:color="B3B3B3"/>
              <w:bottom w:val="nil"/>
            </w:tcBorders>
            <w:shd w:val="clear" w:color="000000" w:fill="E6E6E6"/>
            <w:hideMark/>
          </w:tcPr>
          <w:p w14:paraId="642B7A70" w14:textId="7FAD3AEA" w:rsidR="004D2B52" w:rsidRPr="004615F0" w:rsidRDefault="000155E1" w:rsidP="004615F0">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Pr>
                <w:rStyle w:val="Strong"/>
                <w:rFonts w:cs="Open Sans"/>
                <w:b w:val="0"/>
                <w:color w:val="000000"/>
              </w:rPr>
              <w:t>Collate t</w:t>
            </w:r>
            <w:r w:rsidR="008A38BD" w:rsidRPr="004615F0">
              <w:rPr>
                <w:rStyle w:val="Strong"/>
                <w:rFonts w:cs="Open Sans"/>
                <w:b w:val="0"/>
                <w:color w:val="000000"/>
              </w:rPr>
              <w:t>he</w:t>
            </w:r>
            <w:r w:rsidR="00D33E0D" w:rsidRPr="00037B72">
              <w:rPr>
                <w:rStyle w:val="Strong"/>
                <w:rFonts w:cs="Open Sans"/>
                <w:b w:val="0"/>
                <w:color w:val="000000"/>
              </w:rPr>
              <w:t xml:space="preserve"> modelling inputs</w:t>
            </w:r>
            <w:r w:rsidR="00D33E0D" w:rsidRPr="00037B72">
              <w:rPr>
                <w:rFonts w:cs="Open Sans"/>
                <w:color w:val="000000"/>
              </w:rPr>
              <w:t xml:space="preserve"> for each state</w:t>
            </w:r>
            <w:r w:rsidR="00AF368D">
              <w:rPr>
                <w:rFonts w:cs="Open Sans"/>
                <w:color w:val="000000"/>
              </w:rPr>
              <w:t xml:space="preserve"> </w:t>
            </w:r>
            <w:r w:rsidR="00D33E0D" w:rsidRPr="00037B72">
              <w:rPr>
                <w:rFonts w:cs="Open Sans"/>
                <w:color w:val="000000"/>
              </w:rPr>
              <w:t xml:space="preserve">and arrangement, including the GST pool, assessed GST need, GST received and </w:t>
            </w:r>
            <w:proofErr w:type="spellStart"/>
            <w:r w:rsidR="00D33E0D" w:rsidRPr="00037B72">
              <w:rPr>
                <w:rFonts w:cs="Open Sans"/>
                <w:color w:val="000000"/>
              </w:rPr>
              <w:t>NoWO</w:t>
            </w:r>
            <w:proofErr w:type="spellEnd"/>
            <w:r w:rsidR="00D33E0D" w:rsidRPr="00037B72">
              <w:rPr>
                <w:rFonts w:cs="Open Sans"/>
                <w:color w:val="000000"/>
              </w:rPr>
              <w:t xml:space="preserve"> data from the PC GST model in</w:t>
            </w:r>
            <w:r w:rsidR="00420680">
              <w:rPr>
                <w:rFonts w:cs="Open Sans"/>
                <w:color w:val="000000"/>
              </w:rPr>
              <w:t xml:space="preserve"> section</w:t>
            </w:r>
            <w:r w:rsidR="00D33E0D" w:rsidRPr="00037B72">
              <w:rPr>
                <w:rFonts w:cs="Open Sans"/>
                <w:color w:val="000000"/>
              </w:rPr>
              <w:t xml:space="preserve"> </w:t>
            </w:r>
            <w:r w:rsidR="00D33E0D" w:rsidRPr="00037B72">
              <w:rPr>
                <w:rFonts w:cs="Open Sans"/>
                <w:color w:val="000000"/>
              </w:rPr>
              <w:fldChar w:fldCharType="begin"/>
            </w:r>
            <w:r w:rsidR="00D33E0D" w:rsidRPr="00037B72">
              <w:rPr>
                <w:rFonts w:cs="Open Sans"/>
                <w:color w:val="000000"/>
              </w:rPr>
              <w:instrText xml:space="preserve"> REF _Ref237342376 \r \h  \* MERGEFORMAT </w:instrText>
            </w:r>
            <w:r w:rsidR="00D33E0D" w:rsidRPr="00037B72">
              <w:rPr>
                <w:rFonts w:cs="Open Sans"/>
                <w:color w:val="000000"/>
              </w:rPr>
            </w:r>
            <w:r w:rsidR="00D33E0D" w:rsidRPr="00037B72">
              <w:rPr>
                <w:rFonts w:cs="Open Sans"/>
                <w:color w:val="000000"/>
              </w:rPr>
              <w:fldChar w:fldCharType="separate"/>
            </w:r>
            <w:r w:rsidR="002D76C4">
              <w:rPr>
                <w:rFonts w:cs="Open Sans"/>
                <w:color w:val="000000"/>
              </w:rPr>
              <w:t>C.3</w:t>
            </w:r>
            <w:r w:rsidR="00D33E0D" w:rsidRPr="00037B72">
              <w:rPr>
                <w:rFonts w:cs="Open Sans"/>
                <w:color w:val="000000"/>
              </w:rPr>
              <w:fldChar w:fldCharType="end"/>
            </w:r>
            <w:r w:rsidR="008A38BD">
              <w:rPr>
                <w:rFonts w:cs="Open Sans"/>
                <w:color w:val="000000"/>
              </w:rPr>
              <w:t>.</w:t>
            </w:r>
          </w:p>
        </w:tc>
      </w:tr>
      <w:tr w:rsidR="004D2B52" w:rsidRPr="00444DCC" w14:paraId="7D7DE3A3" w14:textId="77777777" w:rsidTr="004615F0">
        <w:tc>
          <w:tcPr>
            <w:cnfStyle w:val="001000000000" w:firstRow="0" w:lastRow="0" w:firstColumn="1" w:lastColumn="0" w:oddVBand="0" w:evenVBand="0" w:oddHBand="0" w:evenHBand="0" w:firstRowFirstColumn="0" w:firstRowLastColumn="0" w:lastRowFirstColumn="0" w:lastRowLastColumn="0"/>
            <w:tcW w:w="416" w:type="dxa"/>
            <w:tcBorders>
              <w:top w:val="nil"/>
              <w:bottom w:val="nil"/>
            </w:tcBorders>
            <w:shd w:val="clear" w:color="000000" w:fill="auto"/>
          </w:tcPr>
          <w:p w14:paraId="243641E7" w14:textId="1EB7F7A1" w:rsidR="004D2B52" w:rsidRPr="004615F0" w:rsidRDefault="00846B13" w:rsidP="004615F0">
            <w:pPr>
              <w:pStyle w:val="TableBody"/>
              <w:spacing w:before="45" w:after="45"/>
              <w:ind w:right="108"/>
              <w:rPr>
                <w:rFonts w:cs="Open Sans"/>
                <w:color w:val="1D4374"/>
              </w:rPr>
            </w:pPr>
            <w:r w:rsidRPr="004615F0">
              <w:rPr>
                <w:rFonts w:cs="Open Sans"/>
                <w:color w:val="1D4374"/>
              </w:rPr>
              <w:t>A</w:t>
            </w:r>
            <w:r w:rsidR="004D2B52" w:rsidRPr="004615F0">
              <w:rPr>
                <w:rFonts w:cs="Open Sans"/>
                <w:color w:val="1D4374"/>
              </w:rPr>
              <w:t>2</w:t>
            </w:r>
          </w:p>
        </w:tc>
        <w:tc>
          <w:tcPr>
            <w:tcW w:w="9222" w:type="dxa"/>
            <w:tcBorders>
              <w:top w:val="nil"/>
              <w:bottom w:val="nil"/>
            </w:tcBorders>
            <w:shd w:val="clear" w:color="000000" w:fill="auto"/>
          </w:tcPr>
          <w:p w14:paraId="508AF24A" w14:textId="33B66BEC" w:rsidR="004D2B52" w:rsidRPr="004615F0" w:rsidRDefault="008A38BD" w:rsidP="004615F0">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4615F0">
              <w:rPr>
                <w:rFonts w:cs="Open Sans"/>
                <w:color w:val="000000"/>
              </w:rPr>
              <w:t>A</w:t>
            </w:r>
            <w:r w:rsidR="009C0997" w:rsidRPr="004615F0">
              <w:rPr>
                <w:rFonts w:cs="Open Sans"/>
                <w:color w:val="000000"/>
              </w:rPr>
              <w:t xml:space="preserve"> </w:t>
            </w:r>
            <w:r w:rsidR="00D44591" w:rsidRPr="004615F0">
              <w:rPr>
                <w:rFonts w:cs="Open Sans"/>
                <w:color w:val="000000"/>
              </w:rPr>
              <w:t>positive</w:t>
            </w:r>
            <w:r w:rsidR="009C0997" w:rsidRPr="004615F0">
              <w:rPr>
                <w:rFonts w:cs="Open Sans"/>
                <w:color w:val="000000"/>
              </w:rPr>
              <w:t xml:space="preserve"> $1 million</w:t>
            </w:r>
            <w:r w:rsidRPr="004615F0">
              <w:rPr>
                <w:rFonts w:cs="Open Sans"/>
                <w:color w:val="000000"/>
              </w:rPr>
              <w:t xml:space="preserve"> revenue shock</w:t>
            </w:r>
            <w:r w:rsidR="009E229C" w:rsidRPr="004615F0">
              <w:rPr>
                <w:rStyle w:val="FootnoteReference"/>
                <w:rFonts w:cs="Open Sans"/>
                <w:color w:val="000000"/>
              </w:rPr>
              <w:footnoteReference w:id="2"/>
            </w:r>
            <w:r w:rsidRPr="004615F0">
              <w:rPr>
                <w:rFonts w:cs="Open Sans"/>
                <w:color w:val="000000"/>
              </w:rPr>
              <w:t xml:space="preserve"> was introduced</w:t>
            </w:r>
            <w:r w:rsidR="00F60B5F" w:rsidRPr="004615F0">
              <w:rPr>
                <w:rFonts w:cs="Open Sans"/>
                <w:color w:val="000000"/>
              </w:rPr>
              <w:t xml:space="preserve"> to the </w:t>
            </w:r>
            <w:r w:rsidR="00115FA6" w:rsidRPr="004615F0">
              <w:rPr>
                <w:rFonts w:cs="Open Sans"/>
                <w:color w:val="000000"/>
              </w:rPr>
              <w:t xml:space="preserve">model in the </w:t>
            </w:r>
            <w:r w:rsidR="00B41D17">
              <w:rPr>
                <w:rFonts w:cs="Open Sans"/>
                <w:color w:val="000000"/>
              </w:rPr>
              <w:t>2024–25</w:t>
            </w:r>
            <w:r w:rsidR="00723243" w:rsidRPr="004615F0">
              <w:rPr>
                <w:rFonts w:cs="Open Sans"/>
                <w:color w:val="000000"/>
              </w:rPr>
              <w:t xml:space="preserve"> assessment year</w:t>
            </w:r>
            <w:r w:rsidR="00F60B5F" w:rsidRPr="004615F0">
              <w:rPr>
                <w:rFonts w:cs="Open Sans"/>
                <w:color w:val="000000"/>
              </w:rPr>
              <w:t xml:space="preserve"> </w:t>
            </w:r>
            <w:r w:rsidR="00E1090F" w:rsidRPr="004615F0">
              <w:rPr>
                <w:rFonts w:cs="Open Sans"/>
                <w:color w:val="000000"/>
              </w:rPr>
              <w:t>on the</w:t>
            </w:r>
            <w:r w:rsidR="00F60B5F" w:rsidRPr="004615F0">
              <w:rPr>
                <w:rFonts w:cs="Open Sans"/>
                <w:color w:val="000000"/>
              </w:rPr>
              <w:t xml:space="preserve"> first revenue head</w:t>
            </w:r>
            <w:r w:rsidR="002B264B" w:rsidRPr="004615F0">
              <w:rPr>
                <w:rFonts w:cs="Open Sans"/>
                <w:color w:val="000000"/>
              </w:rPr>
              <w:t xml:space="preserve"> in table C.</w:t>
            </w:r>
            <w:r w:rsidR="00420680">
              <w:rPr>
                <w:rFonts w:cs="Open Sans"/>
                <w:color w:val="000000"/>
              </w:rPr>
              <w:t>10</w:t>
            </w:r>
            <w:r w:rsidR="002B264B" w:rsidRPr="004615F0">
              <w:rPr>
                <w:rFonts w:cs="Open Sans"/>
                <w:color w:val="000000"/>
              </w:rPr>
              <w:t>.</w:t>
            </w:r>
            <w:r w:rsidRPr="004615F0">
              <w:rPr>
                <w:rFonts w:cs="Open Sans"/>
                <w:color w:val="000000"/>
              </w:rPr>
              <w:t xml:space="preserve"> </w:t>
            </w:r>
            <w:r w:rsidR="00F57858" w:rsidRPr="004615F0">
              <w:rPr>
                <w:rFonts w:cs="Open Sans"/>
                <w:color w:val="000000"/>
              </w:rPr>
              <w:t xml:space="preserve">The additional expenditure </w:t>
            </w:r>
            <w:r w:rsidR="00D44591" w:rsidRPr="004615F0">
              <w:rPr>
                <w:rFonts w:cs="Open Sans"/>
                <w:color w:val="000000"/>
              </w:rPr>
              <w:t xml:space="preserve">necessitated </w:t>
            </w:r>
            <w:r w:rsidR="00F57858" w:rsidRPr="004615F0">
              <w:rPr>
                <w:rFonts w:cs="Open Sans"/>
                <w:color w:val="000000"/>
              </w:rPr>
              <w:t xml:space="preserve">from </w:t>
            </w:r>
            <w:r w:rsidR="00D44591" w:rsidRPr="004615F0">
              <w:rPr>
                <w:rFonts w:cs="Open Sans"/>
                <w:color w:val="000000"/>
              </w:rPr>
              <w:t>the shock was assumed to be spent on an expenditure category</w:t>
            </w:r>
            <w:r w:rsidR="00570337" w:rsidRPr="004615F0">
              <w:rPr>
                <w:rFonts w:cs="Open Sans"/>
                <w:color w:val="000000"/>
              </w:rPr>
              <w:t xml:space="preserve"> the CGC </w:t>
            </w:r>
            <w:r w:rsidR="00D44591" w:rsidRPr="004615F0">
              <w:rPr>
                <w:rFonts w:cs="Open Sans"/>
                <w:color w:val="000000"/>
              </w:rPr>
              <w:t>assess</w:t>
            </w:r>
            <w:r w:rsidR="009E229C" w:rsidRPr="004615F0">
              <w:rPr>
                <w:rFonts w:cs="Open Sans"/>
                <w:color w:val="000000"/>
              </w:rPr>
              <w:t>es</w:t>
            </w:r>
            <w:r w:rsidR="00D44591" w:rsidRPr="004615F0">
              <w:rPr>
                <w:rFonts w:cs="Open Sans"/>
                <w:color w:val="000000"/>
              </w:rPr>
              <w:t xml:space="preserve"> on an EPC basis. </w:t>
            </w:r>
          </w:p>
        </w:tc>
      </w:tr>
      <w:tr w:rsidR="004D2B52" w:rsidRPr="00444DCC" w14:paraId="177A3137" w14:textId="77777777" w:rsidTr="00461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Borders>
              <w:bottom w:val="nil"/>
            </w:tcBorders>
            <w:shd w:val="clear" w:color="000000" w:fill="E6E6E6"/>
          </w:tcPr>
          <w:p w14:paraId="6192CD7D" w14:textId="324B74C8" w:rsidR="004D2B52" w:rsidRPr="004615F0" w:rsidRDefault="00846B13" w:rsidP="004615F0">
            <w:pPr>
              <w:pStyle w:val="TableBody"/>
              <w:spacing w:before="45" w:after="45"/>
              <w:ind w:right="108"/>
              <w:rPr>
                <w:rFonts w:cs="Open Sans"/>
                <w:color w:val="1D4374"/>
              </w:rPr>
            </w:pPr>
            <w:r w:rsidRPr="004615F0">
              <w:rPr>
                <w:rFonts w:cs="Open Sans"/>
                <w:color w:val="1D4374"/>
              </w:rPr>
              <w:t>A</w:t>
            </w:r>
            <w:r w:rsidR="004D2B52" w:rsidRPr="004615F0">
              <w:rPr>
                <w:rFonts w:cs="Open Sans"/>
                <w:color w:val="1D4374"/>
              </w:rPr>
              <w:t>3</w:t>
            </w:r>
          </w:p>
        </w:tc>
        <w:tc>
          <w:tcPr>
            <w:tcW w:w="9222" w:type="dxa"/>
            <w:tcBorders>
              <w:bottom w:val="nil"/>
            </w:tcBorders>
            <w:shd w:val="clear" w:color="000000" w:fill="E6E6E6"/>
          </w:tcPr>
          <w:p w14:paraId="57E21631" w14:textId="5A856E74" w:rsidR="004D2B52" w:rsidRPr="004615F0" w:rsidRDefault="00E672AF" w:rsidP="004615F0">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4615F0">
              <w:rPr>
                <w:rFonts w:cs="Open Sans"/>
                <w:color w:val="000000"/>
              </w:rPr>
              <w:t xml:space="preserve">The </w:t>
            </w:r>
            <w:r w:rsidR="009A645B" w:rsidRPr="004615F0">
              <w:rPr>
                <w:rFonts w:cs="Open Sans"/>
                <w:color w:val="000000"/>
              </w:rPr>
              <w:t>absolute change in each state’s GST distribution (in dollars)</w:t>
            </w:r>
            <w:r w:rsidR="00E1090F" w:rsidRPr="004615F0">
              <w:rPr>
                <w:rFonts w:cs="Open Sans"/>
                <w:color w:val="000000"/>
              </w:rPr>
              <w:t xml:space="preserve">, </w:t>
            </w:r>
            <w:r w:rsidR="00AB7972" w:rsidRPr="004615F0">
              <w:rPr>
                <w:rFonts w:cs="Open Sans"/>
                <w:color w:val="000000"/>
              </w:rPr>
              <w:t xml:space="preserve">aggregated over the </w:t>
            </w:r>
            <w:r w:rsidR="005C121E" w:rsidRPr="004615F0">
              <w:rPr>
                <w:rFonts w:cs="Open Sans"/>
                <w:color w:val="000000"/>
              </w:rPr>
              <w:t xml:space="preserve">three years where this </w:t>
            </w:r>
            <w:r w:rsidR="00FB2990" w:rsidRPr="004615F0">
              <w:rPr>
                <w:rFonts w:cs="Open Sans"/>
                <w:color w:val="000000"/>
              </w:rPr>
              <w:t>shock would affect GST relativities,</w:t>
            </w:r>
            <w:r w:rsidR="009A645B" w:rsidRPr="004615F0">
              <w:rPr>
                <w:rFonts w:cs="Open Sans"/>
                <w:color w:val="000000"/>
              </w:rPr>
              <w:t xml:space="preserve"> </w:t>
            </w:r>
            <w:r w:rsidR="003B2626" w:rsidRPr="004615F0">
              <w:rPr>
                <w:rFonts w:cs="Open Sans"/>
                <w:color w:val="000000"/>
              </w:rPr>
              <w:t xml:space="preserve">was converted into a percentage </w:t>
            </w:r>
            <w:r w:rsidR="003C3B75" w:rsidRPr="004615F0">
              <w:rPr>
                <w:rFonts w:cs="Open Sans"/>
                <w:color w:val="000000"/>
              </w:rPr>
              <w:t>relative to</w:t>
            </w:r>
            <w:r w:rsidR="003B2626" w:rsidRPr="004615F0">
              <w:rPr>
                <w:rFonts w:cs="Open Sans"/>
                <w:color w:val="000000"/>
              </w:rPr>
              <w:t xml:space="preserve"> the size of the revenue shock ($1 million)</w:t>
            </w:r>
            <w:r w:rsidR="00580360" w:rsidRPr="004615F0">
              <w:rPr>
                <w:rFonts w:cs="Open Sans"/>
                <w:color w:val="000000"/>
              </w:rPr>
              <w:t xml:space="preserve"> for all states, and results recorded.</w:t>
            </w:r>
          </w:p>
        </w:tc>
      </w:tr>
      <w:tr w:rsidR="004D2B52" w:rsidRPr="00444DCC" w14:paraId="7A36DE0F" w14:textId="77777777" w:rsidTr="004615F0">
        <w:tc>
          <w:tcPr>
            <w:cnfStyle w:val="001000000000" w:firstRow="0" w:lastRow="0" w:firstColumn="1" w:lastColumn="0" w:oddVBand="0" w:evenVBand="0" w:oddHBand="0" w:evenHBand="0" w:firstRowFirstColumn="0" w:firstRowLastColumn="0" w:lastRowFirstColumn="0" w:lastRowLastColumn="0"/>
            <w:tcW w:w="416" w:type="dxa"/>
            <w:tcBorders>
              <w:top w:val="nil"/>
              <w:bottom w:val="nil"/>
            </w:tcBorders>
            <w:shd w:val="clear" w:color="000000" w:fill="auto"/>
          </w:tcPr>
          <w:p w14:paraId="45BED589" w14:textId="0535C021" w:rsidR="004D2B52" w:rsidRPr="004615F0" w:rsidRDefault="00846B13" w:rsidP="004615F0">
            <w:pPr>
              <w:pStyle w:val="TableBody"/>
              <w:spacing w:before="45" w:after="45"/>
              <w:ind w:right="108"/>
              <w:rPr>
                <w:rFonts w:cs="Open Sans"/>
                <w:color w:val="1D4374"/>
              </w:rPr>
            </w:pPr>
            <w:r w:rsidRPr="004615F0">
              <w:rPr>
                <w:rFonts w:cs="Open Sans"/>
                <w:color w:val="1D4374"/>
              </w:rPr>
              <w:t>A</w:t>
            </w:r>
            <w:r w:rsidR="004D2B52" w:rsidRPr="004615F0">
              <w:rPr>
                <w:rFonts w:cs="Open Sans"/>
                <w:color w:val="1D4374"/>
              </w:rPr>
              <w:t>4</w:t>
            </w:r>
          </w:p>
        </w:tc>
        <w:tc>
          <w:tcPr>
            <w:tcW w:w="9222" w:type="dxa"/>
            <w:tcBorders>
              <w:top w:val="nil"/>
              <w:bottom w:val="nil"/>
            </w:tcBorders>
            <w:shd w:val="clear" w:color="000000" w:fill="auto"/>
          </w:tcPr>
          <w:p w14:paraId="4512B858" w14:textId="69AF7ED7" w:rsidR="004D2B52" w:rsidRPr="0001617B" w:rsidRDefault="00C046BA" w:rsidP="004615F0">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spacing w:val="-2"/>
              </w:rPr>
            </w:pPr>
            <w:r w:rsidRPr="0001617B">
              <w:rPr>
                <w:rFonts w:cs="Open Sans"/>
                <w:color w:val="000000"/>
                <w:spacing w:val="-2"/>
              </w:rPr>
              <w:t xml:space="preserve">The absolute percentage changes from step 3 were </w:t>
            </w:r>
            <w:r w:rsidR="00353AE3" w:rsidRPr="0001617B">
              <w:rPr>
                <w:rFonts w:cs="Open Sans"/>
                <w:color w:val="000000"/>
                <w:spacing w:val="-2"/>
              </w:rPr>
              <w:t xml:space="preserve">filtered </w:t>
            </w:r>
            <w:r w:rsidR="00240A7E" w:rsidRPr="0001617B">
              <w:rPr>
                <w:rFonts w:cs="Open Sans"/>
                <w:color w:val="000000"/>
                <w:spacing w:val="-2"/>
              </w:rPr>
              <w:t xml:space="preserve">to exclude </w:t>
            </w:r>
            <w:r w:rsidR="009F5097" w:rsidRPr="0001617B">
              <w:rPr>
                <w:rFonts w:cs="Open Sans"/>
                <w:color w:val="000000"/>
                <w:spacing w:val="-2"/>
              </w:rPr>
              <w:t xml:space="preserve">the effects for </w:t>
            </w:r>
            <w:r w:rsidR="00FC08BE" w:rsidRPr="0001617B">
              <w:rPr>
                <w:rFonts w:cs="Open Sans"/>
                <w:color w:val="000000"/>
                <w:spacing w:val="-2"/>
              </w:rPr>
              <w:t xml:space="preserve">any state which has a </w:t>
            </w:r>
            <w:r w:rsidR="00DC1185" w:rsidRPr="0001617B">
              <w:rPr>
                <w:rFonts w:cs="Open Sans"/>
                <w:color w:val="000000"/>
                <w:spacing w:val="-2"/>
              </w:rPr>
              <w:t>0% share of the revenue base which was shocked.</w:t>
            </w:r>
            <w:r w:rsidR="00353AE3" w:rsidRPr="0001617B">
              <w:rPr>
                <w:rFonts w:cs="Open Sans"/>
                <w:color w:val="000000"/>
                <w:spacing w:val="-2"/>
              </w:rPr>
              <w:t xml:space="preserve"> </w:t>
            </w:r>
            <w:r w:rsidR="006456A9" w:rsidRPr="0001617B">
              <w:rPr>
                <w:rFonts w:cs="Open Sans"/>
                <w:color w:val="000000"/>
                <w:spacing w:val="-2"/>
              </w:rPr>
              <w:t xml:space="preserve">These </w:t>
            </w:r>
            <w:r w:rsidR="00B6432C" w:rsidRPr="0001617B">
              <w:rPr>
                <w:rFonts w:cs="Open Sans"/>
                <w:color w:val="000000"/>
                <w:spacing w:val="-2"/>
              </w:rPr>
              <w:t xml:space="preserve">outputs are known as the </w:t>
            </w:r>
            <w:r w:rsidR="00180DA1" w:rsidRPr="0001617B">
              <w:rPr>
                <w:rFonts w:cs="Open Sans"/>
                <w:color w:val="000000"/>
                <w:spacing w:val="-2"/>
              </w:rPr>
              <w:t xml:space="preserve">impacts on </w:t>
            </w:r>
            <w:r w:rsidR="00B6432C" w:rsidRPr="0001617B">
              <w:rPr>
                <w:rFonts w:cs="Open Sans"/>
                <w:color w:val="000000"/>
                <w:spacing w:val="-2"/>
              </w:rPr>
              <w:t xml:space="preserve">GST </w:t>
            </w:r>
            <w:r w:rsidR="00180DA1" w:rsidRPr="0001617B">
              <w:rPr>
                <w:rFonts w:cs="Open Sans"/>
                <w:color w:val="000000"/>
                <w:spacing w:val="-2"/>
              </w:rPr>
              <w:t>payment</w:t>
            </w:r>
            <w:r w:rsidR="00B6432C" w:rsidRPr="0001617B">
              <w:rPr>
                <w:rFonts w:cs="Open Sans"/>
                <w:color w:val="000000"/>
                <w:spacing w:val="-2"/>
              </w:rPr>
              <w:t>s</w:t>
            </w:r>
            <w:r w:rsidR="00E51B97" w:rsidRPr="0001617B">
              <w:rPr>
                <w:rFonts w:cs="Open Sans"/>
                <w:color w:val="000000"/>
                <w:spacing w:val="-2"/>
              </w:rPr>
              <w:t>.</w:t>
            </w:r>
          </w:p>
        </w:tc>
      </w:tr>
      <w:tr w:rsidR="001637CB" w:rsidRPr="00444DCC" w14:paraId="11D14C43" w14:textId="77777777" w:rsidTr="00461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Borders>
              <w:bottom w:val="single" w:sz="4" w:space="0" w:color="B3B3B3"/>
            </w:tcBorders>
            <w:shd w:val="clear" w:color="000000" w:fill="E6E6E6"/>
          </w:tcPr>
          <w:p w14:paraId="393B124E" w14:textId="1D758301" w:rsidR="001637CB" w:rsidRPr="004615F0" w:rsidRDefault="00846B13" w:rsidP="004615F0">
            <w:pPr>
              <w:pStyle w:val="TableBody"/>
              <w:spacing w:before="45" w:after="45"/>
              <w:ind w:right="108"/>
              <w:rPr>
                <w:rFonts w:cs="Open Sans"/>
                <w:color w:val="1D4374"/>
              </w:rPr>
            </w:pPr>
            <w:r w:rsidRPr="004615F0">
              <w:rPr>
                <w:rFonts w:cs="Open Sans"/>
                <w:color w:val="1D4374"/>
              </w:rPr>
              <w:t>A</w:t>
            </w:r>
            <w:r w:rsidR="001637CB" w:rsidRPr="004615F0">
              <w:rPr>
                <w:rFonts w:cs="Open Sans"/>
                <w:color w:val="1D4374"/>
              </w:rPr>
              <w:t>5</w:t>
            </w:r>
          </w:p>
        </w:tc>
        <w:tc>
          <w:tcPr>
            <w:tcW w:w="9222" w:type="dxa"/>
            <w:tcBorders>
              <w:bottom w:val="single" w:sz="4" w:space="0" w:color="B3B3B3"/>
            </w:tcBorders>
            <w:shd w:val="clear" w:color="000000" w:fill="E6E6E6"/>
          </w:tcPr>
          <w:p w14:paraId="2A3A18AC" w14:textId="0DF3319E" w:rsidR="001637CB" w:rsidRPr="004615F0" w:rsidRDefault="00E237D8" w:rsidP="004615F0">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4615F0">
              <w:rPr>
                <w:rFonts w:cs="Open Sans"/>
                <w:color w:val="000000"/>
              </w:rPr>
              <w:t xml:space="preserve">The </w:t>
            </w:r>
            <w:r w:rsidR="00BA53D9" w:rsidRPr="004615F0">
              <w:rPr>
                <w:rFonts w:cs="Open Sans"/>
                <w:color w:val="000000"/>
              </w:rPr>
              <w:t xml:space="preserve">model was reset, and steps </w:t>
            </w:r>
            <w:r w:rsidR="001D5FAA">
              <w:rPr>
                <w:rFonts w:cs="Open Sans"/>
                <w:color w:val="000000"/>
              </w:rPr>
              <w:t>A</w:t>
            </w:r>
            <w:r w:rsidR="00BA53D9" w:rsidRPr="004615F0">
              <w:rPr>
                <w:rFonts w:cs="Open Sans"/>
                <w:color w:val="000000"/>
              </w:rPr>
              <w:t>2-</w:t>
            </w:r>
            <w:r w:rsidR="001D5FAA">
              <w:rPr>
                <w:rFonts w:cs="Open Sans"/>
                <w:color w:val="000000"/>
              </w:rPr>
              <w:t>A</w:t>
            </w:r>
            <w:r w:rsidR="00BA53D9" w:rsidRPr="004615F0">
              <w:rPr>
                <w:rFonts w:cs="Open Sans"/>
                <w:color w:val="000000"/>
              </w:rPr>
              <w:t>5 were repeated until all revenue heads had been shocked.</w:t>
            </w:r>
          </w:p>
        </w:tc>
      </w:tr>
    </w:tbl>
    <w:p w14:paraId="786E9F4E" w14:textId="77777777" w:rsidR="00FF5C84" w:rsidRDefault="00FF5C84" w:rsidP="00FF5C84">
      <w:pPr>
        <w:pStyle w:val="NoSpacing"/>
      </w:pPr>
    </w:p>
    <w:p w14:paraId="7B958A33" w14:textId="3429B48D" w:rsidR="00E13742" w:rsidRPr="00115001" w:rsidRDefault="00115001" w:rsidP="00115001">
      <w:pPr>
        <w:pStyle w:val="FigureTableHeading"/>
        <w:rPr>
          <w:lang w:bidi="th-TH"/>
        </w:rPr>
      </w:pPr>
      <w:r>
        <w:t xml:space="preserve">Table </w:t>
      </w:r>
      <w:r w:rsidR="00346D23">
        <w:t>C</w:t>
      </w:r>
      <w:r>
        <w:t>.</w:t>
      </w:r>
      <w:fldSimple w:instr=" SEQ Table \* ARABIC \s 1 ">
        <w:r w:rsidR="002D76C4">
          <w:rPr>
            <w:noProof/>
          </w:rPr>
          <w:t>12</w:t>
        </w:r>
      </w:fldSimple>
      <w:r>
        <w:rPr>
          <w:noProof/>
        </w:rPr>
        <w:t xml:space="preserve"> – </w:t>
      </w:r>
      <w:r w:rsidR="0027511C">
        <w:rPr>
          <w:noProof/>
        </w:rPr>
        <w:t>S</w:t>
      </w:r>
      <w:r w:rsidR="00346D23">
        <w:rPr>
          <w:noProof/>
        </w:rPr>
        <w:t>ubs</w:t>
      </w:r>
      <w:r w:rsidR="001D590A">
        <w:rPr>
          <w:noProof/>
        </w:rPr>
        <w:t>e</w:t>
      </w:r>
      <w:r w:rsidR="00346D23">
        <w:rPr>
          <w:noProof/>
        </w:rPr>
        <w:t xml:space="preserve">quent </w:t>
      </w:r>
      <w:r>
        <w:rPr>
          <w:noProof/>
        </w:rPr>
        <w:t>steps for</w:t>
      </w:r>
      <w:r w:rsidR="00E332AA">
        <w:rPr>
          <w:noProof/>
        </w:rPr>
        <w:t xml:space="preserve"> the</w:t>
      </w:r>
      <w:r>
        <w:rPr>
          <w:noProof/>
        </w:rPr>
        <w:t xml:space="preserve"> </w:t>
      </w:r>
      <w:r>
        <w:rPr>
          <w:b/>
          <w:bCs/>
          <w:kern w:val="2"/>
          <w:lang w:eastAsia="zh-CN" w:bidi="th-TH"/>
          <w14:ligatures w14:val="standardContextual"/>
        </w:rPr>
        <w:t>weighted average measure</w:t>
      </w:r>
    </w:p>
    <w:tbl>
      <w:tblPr>
        <w:tblStyle w:val="ProductivityCommissionTable2-Dark"/>
        <w:tblW w:w="0" w:type="auto"/>
        <w:tblBorders>
          <w:insideH w:val="none" w:sz="0" w:space="0" w:color="auto"/>
        </w:tblBorders>
        <w:shd w:val="clear" w:color="000000" w:fill="auto"/>
        <w:tblLayout w:type="fixed"/>
        <w:tblCellMar>
          <w:top w:w="0" w:type="dxa"/>
          <w:left w:w="0" w:type="dxa"/>
          <w:bottom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419"/>
        <w:gridCol w:w="9219"/>
      </w:tblGrid>
      <w:tr w:rsidR="00E13742" w:rsidRPr="00444DCC" w14:paraId="34122145" w14:textId="77777777" w:rsidTr="004615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9" w:type="dxa"/>
            <w:tcBorders>
              <w:bottom w:val="single" w:sz="4" w:space="0" w:color="B3B3B3"/>
            </w:tcBorders>
            <w:shd w:val="clear" w:color="000000" w:fill="auto"/>
            <w:vAlign w:val="bottom"/>
          </w:tcPr>
          <w:p w14:paraId="32E3B486" w14:textId="77777777" w:rsidR="00E13742" w:rsidRPr="004615F0" w:rsidRDefault="00E13742" w:rsidP="004615F0">
            <w:pPr>
              <w:spacing w:before="45" w:after="45"/>
              <w:ind w:left="57" w:right="108"/>
              <w:rPr>
                <w:rFonts w:cs="Open Sans"/>
                <w:color w:val="1D4374"/>
                <w:sz w:val="18"/>
              </w:rPr>
            </w:pPr>
            <w:r w:rsidRPr="004615F0">
              <w:rPr>
                <w:rFonts w:cs="Open Sans"/>
                <w:color w:val="1D4374"/>
                <w:sz w:val="18"/>
              </w:rPr>
              <w:t>#</w:t>
            </w:r>
          </w:p>
        </w:tc>
        <w:tc>
          <w:tcPr>
            <w:tcW w:w="9219" w:type="dxa"/>
            <w:tcBorders>
              <w:bottom w:val="single" w:sz="4" w:space="0" w:color="B3B3B3"/>
            </w:tcBorders>
            <w:shd w:val="clear" w:color="000000" w:fill="auto"/>
            <w:vAlign w:val="bottom"/>
          </w:tcPr>
          <w:p w14:paraId="64914508" w14:textId="77777777" w:rsidR="00E13742" w:rsidRPr="004615F0" w:rsidRDefault="00E13742" w:rsidP="004615F0">
            <w:pPr>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4615F0">
              <w:rPr>
                <w:rFonts w:cs="Open Sans"/>
                <w:color w:val="1D4374"/>
                <w:sz w:val="18"/>
              </w:rPr>
              <w:t>Step</w:t>
            </w:r>
          </w:p>
        </w:tc>
      </w:tr>
      <w:tr w:rsidR="00E13742" w:rsidRPr="00444DCC" w14:paraId="1534C1DD" w14:textId="77777777" w:rsidTr="00461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dxa"/>
            <w:tcBorders>
              <w:top w:val="single" w:sz="4" w:space="0" w:color="B3B3B3"/>
              <w:bottom w:val="nil"/>
            </w:tcBorders>
            <w:shd w:val="clear" w:color="000000" w:fill="E6E6E6"/>
            <w:hideMark/>
          </w:tcPr>
          <w:p w14:paraId="369313FB" w14:textId="113D0195" w:rsidR="00E13742" w:rsidRPr="004615F0" w:rsidRDefault="00846B13" w:rsidP="004615F0">
            <w:pPr>
              <w:pStyle w:val="TableBody"/>
              <w:spacing w:before="45" w:after="45"/>
              <w:ind w:right="108"/>
              <w:rPr>
                <w:rFonts w:cs="Open Sans"/>
                <w:color w:val="1D4374"/>
                <w:lang w:eastAsia="zh-CN" w:bidi="th-TH"/>
              </w:rPr>
            </w:pPr>
            <w:r w:rsidRPr="004615F0">
              <w:rPr>
                <w:rFonts w:cs="Open Sans"/>
                <w:color w:val="1D4374"/>
                <w:lang w:eastAsia="zh-CN" w:bidi="th-TH"/>
              </w:rPr>
              <w:t>B</w:t>
            </w:r>
            <w:r w:rsidR="00E13742" w:rsidRPr="004615F0">
              <w:rPr>
                <w:rFonts w:cs="Open Sans"/>
                <w:color w:val="1D4374"/>
                <w:lang w:eastAsia="zh-CN" w:bidi="th-TH"/>
              </w:rPr>
              <w:t>1</w:t>
            </w:r>
          </w:p>
        </w:tc>
        <w:tc>
          <w:tcPr>
            <w:tcW w:w="9219" w:type="dxa"/>
            <w:tcBorders>
              <w:top w:val="single" w:sz="4" w:space="0" w:color="B3B3B3"/>
              <w:bottom w:val="nil"/>
            </w:tcBorders>
            <w:shd w:val="clear" w:color="000000" w:fill="E6E6E6"/>
            <w:hideMark/>
          </w:tcPr>
          <w:p w14:paraId="43725BB3" w14:textId="6231A154" w:rsidR="00E13742" w:rsidRPr="004615F0" w:rsidRDefault="00571DB7" w:rsidP="004615F0">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222A98">
              <w:rPr>
                <w:rStyle w:val="Strong"/>
                <w:rFonts w:cs="Open Sans"/>
                <w:b w:val="0"/>
                <w:color w:val="000000"/>
              </w:rPr>
              <w:t>For the first alternative GST distribution system in table C.</w:t>
            </w:r>
            <w:r w:rsidR="001355A7">
              <w:rPr>
                <w:rStyle w:val="Strong"/>
                <w:rFonts w:cs="Open Sans"/>
                <w:b w:val="0"/>
                <w:color w:val="000000"/>
              </w:rPr>
              <w:t>3</w:t>
            </w:r>
            <w:r>
              <w:rPr>
                <w:rStyle w:val="Strong"/>
                <w:rFonts w:cs="Open Sans"/>
                <w:b w:val="0"/>
                <w:color w:val="000000"/>
              </w:rPr>
              <w:t xml:space="preserve">, the sum of the non-excluded </w:t>
            </w:r>
            <w:r w:rsidR="000E456B">
              <w:rPr>
                <w:rStyle w:val="Strong"/>
                <w:rFonts w:cs="Open Sans"/>
                <w:b w:val="0"/>
                <w:color w:val="000000"/>
              </w:rPr>
              <w:t>i</w:t>
            </w:r>
            <w:r w:rsidR="00180DA1">
              <w:rPr>
                <w:rStyle w:val="Strong"/>
                <w:rFonts w:cs="Open Sans"/>
                <w:b w:val="0"/>
                <w:color w:val="000000"/>
              </w:rPr>
              <w:t>mpact</w:t>
            </w:r>
            <w:r w:rsidR="000E456B">
              <w:rPr>
                <w:rStyle w:val="Strong"/>
                <w:rFonts w:cs="Open Sans"/>
                <w:b w:val="0"/>
                <w:color w:val="000000"/>
              </w:rPr>
              <w:t>s</w:t>
            </w:r>
            <w:r w:rsidR="00180DA1">
              <w:rPr>
                <w:rStyle w:val="Strong"/>
                <w:rFonts w:cs="Open Sans"/>
                <w:b w:val="0"/>
                <w:color w:val="000000"/>
              </w:rPr>
              <w:t xml:space="preserve"> on GST payments</w:t>
            </w:r>
            <w:r>
              <w:rPr>
                <w:rStyle w:val="Strong"/>
                <w:rFonts w:cs="Open Sans"/>
                <w:b w:val="0"/>
                <w:color w:val="000000"/>
              </w:rPr>
              <w:t xml:space="preserve"> was taken for each revenue shock and recorded.</w:t>
            </w:r>
          </w:p>
        </w:tc>
      </w:tr>
      <w:tr w:rsidR="00E13742" w:rsidRPr="00444DCC" w14:paraId="3ACD6728" w14:textId="77777777" w:rsidTr="004615F0">
        <w:tc>
          <w:tcPr>
            <w:cnfStyle w:val="001000000000" w:firstRow="0" w:lastRow="0" w:firstColumn="1" w:lastColumn="0" w:oddVBand="0" w:evenVBand="0" w:oddHBand="0" w:evenHBand="0" w:firstRowFirstColumn="0" w:firstRowLastColumn="0" w:lastRowFirstColumn="0" w:lastRowLastColumn="0"/>
            <w:tcW w:w="419" w:type="dxa"/>
            <w:tcBorders>
              <w:top w:val="nil"/>
              <w:bottom w:val="nil"/>
            </w:tcBorders>
            <w:shd w:val="clear" w:color="000000" w:fill="auto"/>
          </w:tcPr>
          <w:p w14:paraId="23FDFAFA" w14:textId="42F3448E" w:rsidR="00E13742" w:rsidRPr="004615F0" w:rsidRDefault="00846B13" w:rsidP="004615F0">
            <w:pPr>
              <w:pStyle w:val="TableBody"/>
              <w:spacing w:before="45" w:after="45"/>
              <w:ind w:right="108"/>
              <w:rPr>
                <w:rFonts w:cs="Open Sans"/>
                <w:color w:val="1D4374"/>
              </w:rPr>
            </w:pPr>
            <w:r w:rsidRPr="004615F0">
              <w:rPr>
                <w:rFonts w:cs="Open Sans"/>
                <w:color w:val="1D4374"/>
              </w:rPr>
              <w:t>B</w:t>
            </w:r>
            <w:r w:rsidR="00E13742" w:rsidRPr="004615F0">
              <w:rPr>
                <w:rFonts w:cs="Open Sans"/>
                <w:color w:val="1D4374"/>
              </w:rPr>
              <w:t>2</w:t>
            </w:r>
          </w:p>
        </w:tc>
        <w:tc>
          <w:tcPr>
            <w:tcW w:w="9219" w:type="dxa"/>
            <w:tcBorders>
              <w:top w:val="nil"/>
              <w:bottom w:val="nil"/>
            </w:tcBorders>
            <w:shd w:val="clear" w:color="000000" w:fill="auto"/>
          </w:tcPr>
          <w:p w14:paraId="61920B6E" w14:textId="1BFF22E8" w:rsidR="00E13742" w:rsidRPr="004615F0" w:rsidRDefault="004121C9" w:rsidP="004615F0">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4615F0">
              <w:rPr>
                <w:rFonts w:cs="Open Sans"/>
                <w:color w:val="000000"/>
              </w:rPr>
              <w:t>For</w:t>
            </w:r>
            <w:r w:rsidR="00ED4CD5" w:rsidRPr="004615F0">
              <w:rPr>
                <w:rFonts w:cs="Open Sans"/>
                <w:color w:val="000000"/>
              </w:rPr>
              <w:t xml:space="preserve"> each shocked revenue head</w:t>
            </w:r>
            <w:r w:rsidRPr="004615F0">
              <w:rPr>
                <w:rFonts w:cs="Open Sans"/>
                <w:color w:val="000000"/>
              </w:rPr>
              <w:t>, t</w:t>
            </w:r>
            <w:r w:rsidR="00C51E0D" w:rsidRPr="004615F0">
              <w:rPr>
                <w:rFonts w:cs="Open Sans"/>
                <w:color w:val="000000"/>
              </w:rPr>
              <w:t>h</w:t>
            </w:r>
            <w:r w:rsidR="002E5414" w:rsidRPr="004615F0">
              <w:rPr>
                <w:rFonts w:cs="Open Sans"/>
                <w:color w:val="000000"/>
              </w:rPr>
              <w:t xml:space="preserve">e total </w:t>
            </w:r>
            <w:r w:rsidR="00ED4CD5" w:rsidRPr="004615F0">
              <w:rPr>
                <w:rFonts w:cs="Open Sans"/>
                <w:color w:val="000000"/>
              </w:rPr>
              <w:t xml:space="preserve">effect </w:t>
            </w:r>
            <w:r w:rsidRPr="004615F0">
              <w:rPr>
                <w:rFonts w:cs="Open Sans"/>
                <w:color w:val="000000"/>
              </w:rPr>
              <w:t>calculated in step</w:t>
            </w:r>
            <w:r w:rsidR="00ED4CD5" w:rsidRPr="004615F0">
              <w:rPr>
                <w:rFonts w:cs="Open Sans"/>
                <w:color w:val="000000"/>
              </w:rPr>
              <w:t xml:space="preserve"> B1 </w:t>
            </w:r>
            <w:r w:rsidR="00A3136C" w:rsidRPr="004615F0">
              <w:rPr>
                <w:rFonts w:cs="Open Sans"/>
                <w:color w:val="000000"/>
              </w:rPr>
              <w:t xml:space="preserve">was multiplied by the total assessed revenue </w:t>
            </w:r>
            <w:r w:rsidR="00562A91" w:rsidRPr="004615F0">
              <w:rPr>
                <w:rFonts w:cs="Open Sans"/>
                <w:color w:val="000000"/>
              </w:rPr>
              <w:t>under that revenue head in the 2024 inquiry year.</w:t>
            </w:r>
            <w:r w:rsidR="00E32A6F" w:rsidRPr="004615F0">
              <w:rPr>
                <w:rFonts w:cs="Open Sans"/>
                <w:color w:val="000000"/>
              </w:rPr>
              <w:t xml:space="preserve"> The results of this multiplication were added </w:t>
            </w:r>
            <w:r w:rsidR="00CB2B78" w:rsidRPr="004615F0">
              <w:rPr>
                <w:rFonts w:cs="Open Sans"/>
                <w:color w:val="000000"/>
              </w:rPr>
              <w:t xml:space="preserve">across all </w:t>
            </w:r>
            <w:r w:rsidR="00505EAB" w:rsidRPr="004615F0">
              <w:rPr>
                <w:rFonts w:cs="Open Sans"/>
                <w:color w:val="000000"/>
              </w:rPr>
              <w:t>shocked revenue heads.</w:t>
            </w:r>
          </w:p>
        </w:tc>
      </w:tr>
      <w:tr w:rsidR="00E13742" w:rsidRPr="00444DCC" w14:paraId="0F6FCD6F" w14:textId="77777777" w:rsidTr="00461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dxa"/>
            <w:tcBorders>
              <w:bottom w:val="nil"/>
            </w:tcBorders>
            <w:shd w:val="clear" w:color="000000" w:fill="E6E6E6"/>
          </w:tcPr>
          <w:p w14:paraId="74FB4E75" w14:textId="437A197C" w:rsidR="00E13742" w:rsidRPr="004615F0" w:rsidRDefault="00505EAB" w:rsidP="004615F0">
            <w:pPr>
              <w:pStyle w:val="TableBody"/>
              <w:spacing w:before="45" w:after="45"/>
              <w:ind w:right="108"/>
              <w:rPr>
                <w:rFonts w:cs="Open Sans"/>
                <w:color w:val="1D4374"/>
              </w:rPr>
            </w:pPr>
            <w:r w:rsidRPr="004615F0">
              <w:rPr>
                <w:rFonts w:cs="Open Sans"/>
                <w:color w:val="1D4374"/>
              </w:rPr>
              <w:t>B</w:t>
            </w:r>
            <w:r w:rsidR="00E13742" w:rsidRPr="004615F0">
              <w:rPr>
                <w:rFonts w:cs="Open Sans"/>
                <w:color w:val="1D4374"/>
              </w:rPr>
              <w:t>3</w:t>
            </w:r>
          </w:p>
        </w:tc>
        <w:tc>
          <w:tcPr>
            <w:tcW w:w="9219" w:type="dxa"/>
            <w:tcBorders>
              <w:bottom w:val="nil"/>
            </w:tcBorders>
            <w:shd w:val="clear" w:color="000000" w:fill="E6E6E6"/>
          </w:tcPr>
          <w:p w14:paraId="67FDD20B" w14:textId="5441FEC2" w:rsidR="00E13742" w:rsidRPr="004615F0" w:rsidRDefault="00FC2ADB" w:rsidP="004615F0">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4615F0">
              <w:rPr>
                <w:rFonts w:cs="Open Sans"/>
                <w:color w:val="000000"/>
              </w:rPr>
              <w:t>For each shocked revenue head, t</w:t>
            </w:r>
            <w:r w:rsidR="00BF536C" w:rsidRPr="004615F0">
              <w:rPr>
                <w:rFonts w:cs="Open Sans"/>
                <w:color w:val="000000"/>
              </w:rPr>
              <w:t xml:space="preserve">he total assessed revenue </w:t>
            </w:r>
            <w:r w:rsidR="00A12CD4" w:rsidRPr="004615F0">
              <w:rPr>
                <w:rFonts w:cs="Open Sans"/>
                <w:color w:val="000000"/>
              </w:rPr>
              <w:t>under that revenue</w:t>
            </w:r>
            <w:r w:rsidRPr="004615F0">
              <w:rPr>
                <w:rFonts w:cs="Open Sans"/>
                <w:color w:val="000000"/>
              </w:rPr>
              <w:t xml:space="preserve"> </w:t>
            </w:r>
            <w:r w:rsidR="00BF536C" w:rsidRPr="004615F0">
              <w:rPr>
                <w:rFonts w:cs="Open Sans"/>
                <w:color w:val="000000"/>
              </w:rPr>
              <w:t xml:space="preserve">head in the 2024 inquiry </w:t>
            </w:r>
            <w:r w:rsidRPr="004615F0">
              <w:rPr>
                <w:rFonts w:cs="Open Sans"/>
                <w:color w:val="000000"/>
              </w:rPr>
              <w:t xml:space="preserve">year </w:t>
            </w:r>
            <w:r w:rsidR="00BF536C" w:rsidRPr="004615F0">
              <w:rPr>
                <w:rFonts w:cs="Open Sans"/>
                <w:color w:val="000000"/>
              </w:rPr>
              <w:t xml:space="preserve">was multiplied by the number of states </w:t>
            </w:r>
            <w:r w:rsidR="0003395E" w:rsidRPr="004615F0">
              <w:rPr>
                <w:rFonts w:cs="Open Sans"/>
                <w:color w:val="000000"/>
              </w:rPr>
              <w:t>which had a</w:t>
            </w:r>
            <w:r w:rsidR="00C00D16" w:rsidRPr="004615F0">
              <w:rPr>
                <w:rFonts w:cs="Open Sans"/>
                <w:color w:val="000000"/>
              </w:rPr>
              <w:t xml:space="preserve"> </w:t>
            </w:r>
            <w:r w:rsidR="005A77F1" w:rsidRPr="004615F0">
              <w:rPr>
                <w:rFonts w:cs="Open Sans"/>
                <w:color w:val="000000"/>
              </w:rPr>
              <w:t xml:space="preserve">positive, non-zero </w:t>
            </w:r>
            <w:r w:rsidR="00C00D16" w:rsidRPr="004615F0">
              <w:rPr>
                <w:rFonts w:cs="Open Sans"/>
                <w:color w:val="000000"/>
              </w:rPr>
              <w:t>share of that revenue base</w:t>
            </w:r>
            <w:r w:rsidR="005A77F1" w:rsidRPr="004615F0">
              <w:rPr>
                <w:rFonts w:cs="Open Sans"/>
                <w:color w:val="000000"/>
              </w:rPr>
              <w:t>.</w:t>
            </w:r>
            <w:r w:rsidR="0007100B" w:rsidRPr="004615F0">
              <w:rPr>
                <w:rFonts w:cs="Open Sans"/>
                <w:color w:val="000000"/>
              </w:rPr>
              <w:t xml:space="preserve"> The results of this multiplication were added across all shocked revenue heads.</w:t>
            </w:r>
          </w:p>
        </w:tc>
      </w:tr>
      <w:tr w:rsidR="00E13742" w:rsidRPr="00444DCC" w14:paraId="7ABC6682" w14:textId="77777777" w:rsidTr="004615F0">
        <w:tc>
          <w:tcPr>
            <w:cnfStyle w:val="001000000000" w:firstRow="0" w:lastRow="0" w:firstColumn="1" w:lastColumn="0" w:oddVBand="0" w:evenVBand="0" w:oddHBand="0" w:evenHBand="0" w:firstRowFirstColumn="0" w:firstRowLastColumn="0" w:lastRowFirstColumn="0" w:lastRowLastColumn="0"/>
            <w:tcW w:w="419" w:type="dxa"/>
            <w:tcBorders>
              <w:top w:val="nil"/>
            </w:tcBorders>
            <w:shd w:val="clear" w:color="000000" w:fill="auto"/>
          </w:tcPr>
          <w:p w14:paraId="4F28E235" w14:textId="588FFFC9" w:rsidR="00E13742" w:rsidRPr="004615F0" w:rsidRDefault="0007100B" w:rsidP="004615F0">
            <w:pPr>
              <w:pStyle w:val="TableBody"/>
              <w:spacing w:before="45" w:after="45"/>
              <w:ind w:right="108"/>
              <w:rPr>
                <w:rFonts w:cs="Open Sans"/>
                <w:color w:val="1D4374"/>
              </w:rPr>
            </w:pPr>
            <w:r w:rsidRPr="004615F0">
              <w:rPr>
                <w:rFonts w:cs="Open Sans"/>
                <w:color w:val="1D4374"/>
              </w:rPr>
              <w:t>B</w:t>
            </w:r>
            <w:r w:rsidR="00E13742" w:rsidRPr="004615F0">
              <w:rPr>
                <w:rFonts w:cs="Open Sans"/>
                <w:color w:val="1D4374"/>
              </w:rPr>
              <w:t>4</w:t>
            </w:r>
          </w:p>
        </w:tc>
        <w:tc>
          <w:tcPr>
            <w:tcW w:w="9219" w:type="dxa"/>
            <w:tcBorders>
              <w:top w:val="nil"/>
            </w:tcBorders>
            <w:shd w:val="clear" w:color="000000" w:fill="auto"/>
          </w:tcPr>
          <w:p w14:paraId="6E7ADEA6" w14:textId="3C746217" w:rsidR="00E13742" w:rsidRPr="004615F0" w:rsidRDefault="001F1781" w:rsidP="004615F0">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4615F0">
              <w:rPr>
                <w:rFonts w:cs="Open Sans"/>
                <w:color w:val="000000"/>
              </w:rPr>
              <w:t>The output from step B</w:t>
            </w:r>
            <w:r w:rsidR="00F12795" w:rsidRPr="004615F0">
              <w:rPr>
                <w:rFonts w:cs="Open Sans"/>
                <w:color w:val="000000"/>
              </w:rPr>
              <w:t>2</w:t>
            </w:r>
            <w:r w:rsidRPr="004615F0">
              <w:rPr>
                <w:rFonts w:cs="Open Sans"/>
                <w:color w:val="000000"/>
              </w:rPr>
              <w:t xml:space="preserve"> </w:t>
            </w:r>
            <w:r w:rsidR="00EC1D01" w:rsidRPr="004615F0">
              <w:rPr>
                <w:rFonts w:cs="Open Sans"/>
                <w:color w:val="000000"/>
              </w:rPr>
              <w:t>is divided by the output in step B3</w:t>
            </w:r>
            <w:r w:rsidR="00847B78" w:rsidRPr="004615F0">
              <w:rPr>
                <w:rFonts w:cs="Open Sans"/>
                <w:color w:val="000000"/>
              </w:rPr>
              <w:t xml:space="preserve"> to obtain the weighted average</w:t>
            </w:r>
            <w:r w:rsidR="00EC1D01" w:rsidRPr="004615F0">
              <w:rPr>
                <w:rFonts w:cs="Open Sans"/>
                <w:color w:val="000000"/>
              </w:rPr>
              <w:t xml:space="preserve"> </w:t>
            </w:r>
            <w:r w:rsidR="00660527" w:rsidRPr="004615F0">
              <w:rPr>
                <w:rFonts w:cs="Open Sans"/>
                <w:color w:val="000000"/>
              </w:rPr>
              <w:t xml:space="preserve">GST effect under that distribution model. </w:t>
            </w:r>
            <w:r w:rsidR="0030568A" w:rsidRPr="004615F0">
              <w:rPr>
                <w:rFonts w:cs="Open Sans"/>
                <w:color w:val="000000"/>
              </w:rPr>
              <w:t xml:space="preserve">Steps </w:t>
            </w:r>
            <w:r w:rsidR="009930B8" w:rsidRPr="004615F0">
              <w:rPr>
                <w:rFonts w:cs="Open Sans"/>
                <w:color w:val="000000"/>
              </w:rPr>
              <w:t>B1-B3 were repeated for all distribution systems in table C.</w:t>
            </w:r>
            <w:r w:rsidR="002B5956">
              <w:rPr>
                <w:rFonts w:cs="Open Sans"/>
                <w:color w:val="000000"/>
              </w:rPr>
              <w:t>3</w:t>
            </w:r>
            <w:r w:rsidR="009930B8" w:rsidRPr="004615F0">
              <w:rPr>
                <w:rFonts w:cs="Open Sans"/>
                <w:color w:val="000000"/>
              </w:rPr>
              <w:t>.</w:t>
            </w:r>
          </w:p>
        </w:tc>
      </w:tr>
    </w:tbl>
    <w:p w14:paraId="147C53BF" w14:textId="47407452" w:rsidR="00357482" w:rsidRDefault="00597262" w:rsidP="0036712D">
      <w:pPr>
        <w:pStyle w:val="BodyText"/>
        <w:spacing w:before="360"/>
      </w:pPr>
      <w:r>
        <w:t>Th</w:t>
      </w:r>
      <w:r w:rsidR="00AB535A">
        <w:t>e described</w:t>
      </w:r>
      <w:r>
        <w:t xml:space="preserve"> methodology is equivalent to </w:t>
      </w:r>
      <w:r w:rsidR="00A528CA">
        <w:t xml:space="preserve">calculating a weighted average </w:t>
      </w:r>
      <w:r w:rsidR="00B568EB">
        <w:t>(weighted across the revenue heads</w:t>
      </w:r>
      <w:r w:rsidR="00D451B7">
        <w:t xml:space="preserve"> by number of states and total assessed revenue</w:t>
      </w:r>
      <w:r w:rsidR="00B568EB">
        <w:t>)</w:t>
      </w:r>
      <w:r w:rsidR="00A528CA">
        <w:t xml:space="preserve"> of the </w:t>
      </w:r>
      <w:r w:rsidR="00BA3DCC">
        <w:t xml:space="preserve">average absolute </w:t>
      </w:r>
      <w:r w:rsidR="000E456B">
        <w:t>i</w:t>
      </w:r>
      <w:r w:rsidR="00180DA1">
        <w:t>mpact on GST payment</w:t>
      </w:r>
      <w:r w:rsidR="00B568EB">
        <w:t>s (averaged across the states</w:t>
      </w:r>
      <w:r w:rsidR="00D451B7">
        <w:t>, excluding states with a zero share of the revenue base</w:t>
      </w:r>
      <w:r w:rsidR="00B568EB">
        <w:t>).</w:t>
      </w:r>
      <w:r w:rsidR="007D1C07">
        <w:t xml:space="preserve"> </w:t>
      </w:r>
    </w:p>
    <w:p w14:paraId="12F95E48" w14:textId="5D0468C0" w:rsidR="00E13742" w:rsidRDefault="007D1C07" w:rsidP="005D1470">
      <w:pPr>
        <w:pStyle w:val="BodyText"/>
      </w:pPr>
      <w:r>
        <w:t xml:space="preserve">For example, </w:t>
      </w:r>
      <w:r w:rsidR="00357482">
        <w:t xml:space="preserve">the weighted average effect </w:t>
      </w:r>
      <w:r>
        <w:t>under the current system</w:t>
      </w:r>
      <w:r w:rsidR="008261EB">
        <w:t xml:space="preserve"> is </w:t>
      </w:r>
      <w:r w:rsidR="00750E62">
        <w:t xml:space="preserve">the sum product of columns (1) and (4) in </w:t>
      </w:r>
      <w:r w:rsidR="00AB5063">
        <w:t>t</w:t>
      </w:r>
      <w:r w:rsidR="00810A11">
        <w:t xml:space="preserve">able </w:t>
      </w:r>
      <w:r w:rsidR="00810A11">
        <w:rPr>
          <w:noProof/>
        </w:rPr>
        <w:t>C</w:t>
      </w:r>
      <w:r w:rsidR="00810A11">
        <w:t>.</w:t>
      </w:r>
      <w:r w:rsidR="00810A11">
        <w:rPr>
          <w:noProof/>
        </w:rPr>
        <w:t>13</w:t>
      </w:r>
      <w:r w:rsidR="00E6716F">
        <w:t>.</w:t>
      </w:r>
    </w:p>
    <w:p w14:paraId="62E232C0" w14:textId="5CA1972B" w:rsidR="008F282D" w:rsidRDefault="008F282D" w:rsidP="00AE08BD">
      <w:pPr>
        <w:pStyle w:val="FigureTableHeading"/>
      </w:pPr>
      <w:bookmarkStart w:id="6" w:name="_Ref237442853"/>
      <w:r>
        <w:lastRenderedPageBreak/>
        <w:t xml:space="preserve">Table </w:t>
      </w:r>
      <w:fldSimple w:instr=" STYLEREF  \s Heading-Appendix ">
        <w:r w:rsidR="002D76C4">
          <w:rPr>
            <w:noProof/>
          </w:rPr>
          <w:t>C</w:t>
        </w:r>
      </w:fldSimple>
      <w:r>
        <w:t>.</w:t>
      </w:r>
      <w:fldSimple w:instr=" SEQ Table \* ARABIC \s 1 ">
        <w:r w:rsidR="002D76C4">
          <w:rPr>
            <w:noProof/>
          </w:rPr>
          <w:t>13</w:t>
        </w:r>
      </w:fldSimple>
      <w:bookmarkEnd w:id="6"/>
      <w:r>
        <w:rPr>
          <w:noProof/>
        </w:rPr>
        <w:t xml:space="preserve"> –</w:t>
      </w:r>
      <w:r w:rsidR="00F26AE6">
        <w:rPr>
          <w:noProof/>
        </w:rPr>
        <w:t xml:space="preserve"> </w:t>
      </w:r>
      <w:r w:rsidR="00F26AE6">
        <w:t>W</w:t>
      </w:r>
      <w:r w:rsidR="007B4454">
        <w:t xml:space="preserve">eighted average </w:t>
      </w:r>
      <w:r w:rsidR="008A5AEC">
        <w:t>i</w:t>
      </w:r>
      <w:r w:rsidR="00180DA1">
        <w:t xml:space="preserve">mpact on </w:t>
      </w:r>
      <w:r w:rsidR="007B4454">
        <w:t xml:space="preserve">GST </w:t>
      </w:r>
      <w:r w:rsidR="00180DA1">
        <w:t>payments</w:t>
      </w:r>
      <w:r w:rsidR="007B4454">
        <w:t xml:space="preserve"> </w:t>
      </w:r>
      <w:r w:rsidR="002779D6">
        <w:t xml:space="preserve">inputs </w:t>
      </w:r>
      <w:r w:rsidR="007B4454">
        <w:t>for the current system</w:t>
      </w:r>
    </w:p>
    <w:tbl>
      <w:tblPr>
        <w:tblW w:w="9109"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2580"/>
        <w:gridCol w:w="2268"/>
        <w:gridCol w:w="1600"/>
        <w:gridCol w:w="960"/>
        <w:gridCol w:w="1701"/>
      </w:tblGrid>
      <w:tr w:rsidR="005F2D9C" w:rsidRPr="001B42EA" w14:paraId="3985B7B4" w14:textId="77777777" w:rsidTr="001B42EA">
        <w:trPr>
          <w:trHeight w:val="270"/>
          <w:tblHeader/>
        </w:trPr>
        <w:tc>
          <w:tcPr>
            <w:tcW w:w="2580" w:type="dxa"/>
            <w:tcBorders>
              <w:bottom w:val="single" w:sz="4" w:space="0" w:color="B3B3B3"/>
            </w:tcBorders>
            <w:shd w:val="clear" w:color="000000" w:fill="auto"/>
            <w:noWrap/>
            <w:vAlign w:val="bottom"/>
            <w:hideMark/>
          </w:tcPr>
          <w:p w14:paraId="51A447CE" w14:textId="77777777" w:rsidR="005F2D9C" w:rsidRPr="00503CDD" w:rsidRDefault="005F2D9C" w:rsidP="001B42EA">
            <w:pPr>
              <w:spacing w:before="45" w:after="45" w:line="240" w:lineRule="auto"/>
              <w:ind w:left="57" w:right="108"/>
              <w:rPr>
                <w:rFonts w:eastAsia="Times New Roman" w:cs="Open Sans"/>
                <w:b/>
                <w:bCs/>
                <w:color w:val="1D4374"/>
                <w:sz w:val="18"/>
                <w:szCs w:val="18"/>
                <w:lang w:eastAsia="en-AU"/>
              </w:rPr>
            </w:pPr>
            <w:bookmarkStart w:id="7" w:name="RANGE!P52:T67"/>
            <w:r w:rsidRPr="00503CDD">
              <w:rPr>
                <w:rFonts w:eastAsia="Times New Roman" w:cs="Open Sans"/>
                <w:b/>
                <w:bCs/>
                <w:color w:val="1D4374"/>
                <w:sz w:val="18"/>
                <w:szCs w:val="18"/>
                <w:lang w:eastAsia="en-AU"/>
              </w:rPr>
              <w:t>Revenue head</w:t>
            </w:r>
            <w:bookmarkEnd w:id="7"/>
          </w:p>
        </w:tc>
        <w:tc>
          <w:tcPr>
            <w:tcW w:w="2268" w:type="dxa"/>
            <w:tcBorders>
              <w:bottom w:val="single" w:sz="4" w:space="0" w:color="B3B3B3"/>
            </w:tcBorders>
            <w:shd w:val="clear" w:color="000000" w:fill="auto"/>
            <w:noWrap/>
            <w:vAlign w:val="bottom"/>
            <w:hideMark/>
          </w:tcPr>
          <w:p w14:paraId="26638E64" w14:textId="35E9EF23" w:rsidR="005F2D9C" w:rsidRPr="00503CDD" w:rsidRDefault="00E6716F" w:rsidP="001B42EA">
            <w:pPr>
              <w:spacing w:before="45" w:after="45" w:line="240" w:lineRule="auto"/>
              <w:ind w:left="57" w:right="108"/>
              <w:rPr>
                <w:rFonts w:eastAsia="Times New Roman" w:cs="Open Sans"/>
                <w:b/>
                <w:color w:val="1D4374"/>
                <w:sz w:val="18"/>
                <w:szCs w:val="18"/>
                <w:vertAlign w:val="superscript"/>
                <w:lang w:eastAsia="en-AU"/>
              </w:rPr>
            </w:pPr>
            <w:r w:rsidRPr="0027511C">
              <w:rPr>
                <w:rFonts w:eastAsia="Times New Roman" w:cs="Open Sans"/>
                <w:b/>
                <w:color w:val="1D4374"/>
                <w:sz w:val="18"/>
                <w:szCs w:val="18"/>
                <w:lang w:eastAsia="en-AU"/>
              </w:rPr>
              <w:t xml:space="preserve">(1) </w:t>
            </w:r>
            <w:r w:rsidR="005F2D9C" w:rsidRPr="0027511C">
              <w:rPr>
                <w:rFonts w:eastAsia="Times New Roman" w:cs="Open Sans"/>
                <w:b/>
                <w:color w:val="1D4374"/>
                <w:sz w:val="18"/>
                <w:szCs w:val="18"/>
                <w:lang w:eastAsia="en-AU"/>
              </w:rPr>
              <w:t xml:space="preserve">Average absolute </w:t>
            </w:r>
            <w:r w:rsidR="000E456B" w:rsidRPr="0027511C">
              <w:rPr>
                <w:rFonts w:eastAsia="Times New Roman" w:cs="Open Sans"/>
                <w:b/>
                <w:color w:val="1D4374"/>
                <w:sz w:val="18"/>
                <w:szCs w:val="18"/>
                <w:lang w:eastAsia="en-AU"/>
              </w:rPr>
              <w:t>i</w:t>
            </w:r>
            <w:r w:rsidR="00180DA1" w:rsidRPr="0027511C">
              <w:rPr>
                <w:rFonts w:eastAsia="Times New Roman" w:cs="Open Sans"/>
                <w:b/>
                <w:color w:val="1D4374"/>
                <w:sz w:val="18"/>
                <w:szCs w:val="18"/>
                <w:lang w:eastAsia="en-AU"/>
              </w:rPr>
              <w:t xml:space="preserve">mpact on </w:t>
            </w:r>
            <w:r w:rsidR="005F2D9C" w:rsidRPr="0027511C">
              <w:rPr>
                <w:rFonts w:eastAsia="Times New Roman" w:cs="Open Sans"/>
                <w:b/>
                <w:color w:val="1D4374"/>
                <w:sz w:val="18"/>
                <w:szCs w:val="18"/>
                <w:lang w:eastAsia="en-AU"/>
              </w:rPr>
              <w:t xml:space="preserve">GST </w:t>
            </w:r>
            <w:r w:rsidR="00180DA1" w:rsidRPr="0027511C">
              <w:rPr>
                <w:rFonts w:eastAsia="Times New Roman" w:cs="Open Sans"/>
                <w:b/>
                <w:color w:val="1D4374"/>
                <w:sz w:val="18"/>
                <w:szCs w:val="18"/>
                <w:lang w:eastAsia="en-AU"/>
              </w:rPr>
              <w:t>payments</w:t>
            </w:r>
            <w:r w:rsidR="00FF5C84">
              <w:rPr>
                <w:rFonts w:eastAsia="Times New Roman" w:cs="Open Sans"/>
                <w:b/>
                <w:color w:val="1D4374"/>
                <w:sz w:val="18"/>
                <w:szCs w:val="18"/>
                <w:lang w:eastAsia="en-AU"/>
              </w:rPr>
              <w:t xml:space="preserve"> (</w:t>
            </w:r>
            <w:proofErr w:type="gramStart"/>
            <w:r w:rsidR="00B35345">
              <w:rPr>
                <w:rFonts w:eastAsia="Times New Roman" w:cs="Open Sans"/>
                <w:b/>
                <w:color w:val="1D4374"/>
                <w:sz w:val="18"/>
                <w:szCs w:val="18"/>
                <w:lang w:eastAsia="en-AU"/>
              </w:rPr>
              <w:t>%)</w:t>
            </w:r>
            <w:r w:rsidR="00AE08BD" w:rsidRPr="0027511C">
              <w:rPr>
                <w:rFonts w:eastAsia="Times New Roman" w:cs="Open Sans"/>
                <w:b/>
                <w:color w:val="1D4374"/>
                <w:sz w:val="18"/>
                <w:szCs w:val="18"/>
                <w:vertAlign w:val="superscript"/>
                <w:lang w:eastAsia="en-AU"/>
              </w:rPr>
              <w:t>a</w:t>
            </w:r>
            <w:proofErr w:type="gramEnd"/>
          </w:p>
        </w:tc>
        <w:tc>
          <w:tcPr>
            <w:tcW w:w="1600" w:type="dxa"/>
            <w:tcBorders>
              <w:bottom w:val="single" w:sz="4" w:space="0" w:color="B3B3B3"/>
            </w:tcBorders>
            <w:shd w:val="clear" w:color="000000" w:fill="auto"/>
            <w:noWrap/>
            <w:vAlign w:val="bottom"/>
            <w:hideMark/>
          </w:tcPr>
          <w:p w14:paraId="545A6306" w14:textId="6AE39988" w:rsidR="005F2D9C" w:rsidRPr="00503CDD" w:rsidRDefault="00E6716F" w:rsidP="001B42EA">
            <w:pPr>
              <w:spacing w:before="45" w:after="45" w:line="240" w:lineRule="auto"/>
              <w:ind w:left="57" w:right="108"/>
              <w:rPr>
                <w:rFonts w:eastAsia="Times New Roman" w:cs="Open Sans"/>
                <w:b/>
                <w:bCs/>
                <w:color w:val="1D4374"/>
                <w:sz w:val="18"/>
                <w:szCs w:val="18"/>
                <w:lang w:eastAsia="en-AU"/>
              </w:rPr>
            </w:pPr>
            <w:r w:rsidRPr="00503CDD">
              <w:rPr>
                <w:rFonts w:eastAsia="Times New Roman" w:cs="Open Sans"/>
                <w:b/>
                <w:bCs/>
                <w:color w:val="1D4374"/>
                <w:sz w:val="18"/>
                <w:szCs w:val="18"/>
                <w:lang w:eastAsia="en-AU"/>
              </w:rPr>
              <w:t xml:space="preserve">(2) </w:t>
            </w:r>
            <w:r w:rsidR="005F2D9C" w:rsidRPr="00503CDD">
              <w:rPr>
                <w:rFonts w:eastAsia="Times New Roman" w:cs="Open Sans"/>
                <w:b/>
                <w:bCs/>
                <w:color w:val="1D4374"/>
                <w:sz w:val="18"/>
                <w:szCs w:val="18"/>
                <w:lang w:eastAsia="en-AU"/>
              </w:rPr>
              <w:t>Total assessed revenue ($b)</w:t>
            </w:r>
          </w:p>
        </w:tc>
        <w:tc>
          <w:tcPr>
            <w:tcW w:w="960" w:type="dxa"/>
            <w:tcBorders>
              <w:bottom w:val="single" w:sz="4" w:space="0" w:color="B3B3B3"/>
            </w:tcBorders>
            <w:shd w:val="clear" w:color="000000" w:fill="auto"/>
            <w:noWrap/>
            <w:vAlign w:val="bottom"/>
            <w:hideMark/>
          </w:tcPr>
          <w:p w14:paraId="2A95CF13" w14:textId="49D7BCA3" w:rsidR="005F2D9C" w:rsidRPr="00503CDD" w:rsidRDefault="00E6716F" w:rsidP="001B42EA">
            <w:pPr>
              <w:spacing w:before="45" w:after="45" w:line="240" w:lineRule="auto"/>
              <w:ind w:left="57" w:right="108"/>
              <w:rPr>
                <w:rFonts w:eastAsia="Times New Roman" w:cs="Open Sans"/>
                <w:b/>
                <w:bCs/>
                <w:color w:val="1D4374"/>
                <w:sz w:val="18"/>
                <w:szCs w:val="18"/>
                <w:lang w:eastAsia="en-AU"/>
              </w:rPr>
            </w:pPr>
            <w:r w:rsidRPr="00503CDD">
              <w:rPr>
                <w:rFonts w:eastAsia="Times New Roman" w:cs="Open Sans"/>
                <w:b/>
                <w:bCs/>
                <w:color w:val="1D4374"/>
                <w:sz w:val="18"/>
                <w:szCs w:val="18"/>
                <w:lang w:eastAsia="en-AU"/>
              </w:rPr>
              <w:t xml:space="preserve">(3) </w:t>
            </w:r>
            <w:r w:rsidR="005F2D9C" w:rsidRPr="00503CDD">
              <w:rPr>
                <w:rFonts w:eastAsia="Times New Roman" w:cs="Open Sans"/>
                <w:b/>
                <w:bCs/>
                <w:color w:val="1D4374"/>
                <w:sz w:val="18"/>
                <w:szCs w:val="18"/>
                <w:lang w:eastAsia="en-AU"/>
              </w:rPr>
              <w:t>Number of states</w:t>
            </w:r>
          </w:p>
        </w:tc>
        <w:tc>
          <w:tcPr>
            <w:tcW w:w="1701" w:type="dxa"/>
            <w:tcBorders>
              <w:bottom w:val="single" w:sz="4" w:space="0" w:color="B3B3B3"/>
            </w:tcBorders>
            <w:shd w:val="clear" w:color="000000" w:fill="auto"/>
            <w:noWrap/>
            <w:vAlign w:val="bottom"/>
            <w:hideMark/>
          </w:tcPr>
          <w:p w14:paraId="5035C2F9" w14:textId="6ADFAE45" w:rsidR="005F2D9C" w:rsidRPr="00503CDD" w:rsidRDefault="00E6716F" w:rsidP="001B42EA">
            <w:pPr>
              <w:spacing w:before="45" w:after="45" w:line="240" w:lineRule="auto"/>
              <w:ind w:left="57" w:right="108"/>
              <w:rPr>
                <w:rFonts w:eastAsia="Times New Roman" w:cs="Open Sans"/>
                <w:b/>
                <w:bCs/>
                <w:color w:val="1D4374"/>
                <w:sz w:val="18"/>
                <w:szCs w:val="18"/>
                <w:vertAlign w:val="superscript"/>
                <w:lang w:eastAsia="en-AU"/>
              </w:rPr>
            </w:pPr>
            <w:r w:rsidRPr="00503CDD">
              <w:rPr>
                <w:rFonts w:eastAsia="Times New Roman" w:cs="Open Sans"/>
                <w:b/>
                <w:bCs/>
                <w:color w:val="1D4374"/>
                <w:sz w:val="18"/>
                <w:szCs w:val="18"/>
                <w:lang w:eastAsia="en-AU"/>
              </w:rPr>
              <w:t xml:space="preserve">(4) </w:t>
            </w:r>
            <w:r w:rsidR="005F2D9C" w:rsidRPr="00503CDD">
              <w:rPr>
                <w:rFonts w:eastAsia="Times New Roman" w:cs="Open Sans"/>
                <w:b/>
                <w:bCs/>
                <w:color w:val="1D4374"/>
                <w:sz w:val="18"/>
                <w:szCs w:val="18"/>
                <w:lang w:eastAsia="en-AU"/>
              </w:rPr>
              <w:t>Weighting</w:t>
            </w:r>
            <w:r w:rsidR="00F251A7">
              <w:rPr>
                <w:rFonts w:eastAsia="Times New Roman" w:cs="Open Sans"/>
                <w:b/>
                <w:bCs/>
                <w:color w:val="1D4374"/>
                <w:sz w:val="18"/>
                <w:szCs w:val="18"/>
                <w:lang w:eastAsia="en-AU"/>
              </w:rPr>
              <w:t xml:space="preserve"> (</w:t>
            </w:r>
            <w:proofErr w:type="gramStart"/>
            <w:r w:rsidR="00F251A7">
              <w:rPr>
                <w:rFonts w:eastAsia="Times New Roman" w:cs="Open Sans"/>
                <w:b/>
                <w:bCs/>
                <w:color w:val="1D4374"/>
                <w:sz w:val="18"/>
                <w:szCs w:val="18"/>
                <w:lang w:eastAsia="en-AU"/>
              </w:rPr>
              <w:t>%)</w:t>
            </w:r>
            <w:r w:rsidR="00AE08BD" w:rsidRPr="00503CDD">
              <w:rPr>
                <w:rFonts w:eastAsia="Times New Roman" w:cs="Open Sans"/>
                <w:b/>
                <w:bCs/>
                <w:color w:val="1D4374"/>
                <w:sz w:val="18"/>
                <w:szCs w:val="18"/>
                <w:vertAlign w:val="superscript"/>
                <w:lang w:eastAsia="en-AU"/>
              </w:rPr>
              <w:t>b</w:t>
            </w:r>
            <w:proofErr w:type="gramEnd"/>
          </w:p>
        </w:tc>
      </w:tr>
      <w:tr w:rsidR="005F2D9C" w:rsidRPr="001B42EA" w14:paraId="50D83BAC" w14:textId="77777777" w:rsidTr="001B42EA">
        <w:trPr>
          <w:trHeight w:val="260"/>
        </w:trPr>
        <w:tc>
          <w:tcPr>
            <w:tcW w:w="2580" w:type="dxa"/>
            <w:tcBorders>
              <w:top w:val="single" w:sz="4" w:space="0" w:color="B3B3B3"/>
              <w:bottom w:val="nil"/>
            </w:tcBorders>
            <w:shd w:val="clear" w:color="000000" w:fill="E6E6E6"/>
            <w:noWrap/>
            <w:hideMark/>
          </w:tcPr>
          <w:p w14:paraId="59E547C9" w14:textId="77777777" w:rsidR="005F2D9C" w:rsidRPr="0036712D" w:rsidRDefault="005F2D9C" w:rsidP="001B42EA">
            <w:pPr>
              <w:spacing w:before="45" w:after="45" w:line="240" w:lineRule="auto"/>
              <w:ind w:left="57" w:right="108"/>
              <w:rPr>
                <w:rFonts w:eastAsia="Times New Roman" w:cs="Open Sans"/>
                <w:sz w:val="18"/>
                <w:szCs w:val="18"/>
                <w:lang w:eastAsia="en-AU"/>
              </w:rPr>
            </w:pPr>
            <w:r w:rsidRPr="0036712D">
              <w:rPr>
                <w:rFonts w:eastAsia="Times New Roman" w:cs="Open Sans"/>
                <w:sz w:val="18"/>
                <w:szCs w:val="18"/>
                <w:lang w:eastAsia="en-AU"/>
              </w:rPr>
              <w:t>Payroll tax</w:t>
            </w:r>
          </w:p>
        </w:tc>
        <w:tc>
          <w:tcPr>
            <w:tcW w:w="2268" w:type="dxa"/>
            <w:tcBorders>
              <w:top w:val="single" w:sz="4" w:space="0" w:color="B3B3B3"/>
              <w:bottom w:val="nil"/>
            </w:tcBorders>
            <w:shd w:val="clear" w:color="000000" w:fill="E6E6E6"/>
            <w:noWrap/>
            <w:hideMark/>
          </w:tcPr>
          <w:p w14:paraId="4BFFCA3A" w14:textId="013D874F"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0.5</w:t>
            </w:r>
          </w:p>
        </w:tc>
        <w:tc>
          <w:tcPr>
            <w:tcW w:w="1600" w:type="dxa"/>
            <w:tcBorders>
              <w:top w:val="single" w:sz="4" w:space="0" w:color="B3B3B3"/>
              <w:bottom w:val="nil"/>
            </w:tcBorders>
            <w:shd w:val="clear" w:color="000000" w:fill="E6E6E6"/>
            <w:noWrap/>
            <w:hideMark/>
          </w:tcPr>
          <w:p w14:paraId="2EFDF59A" w14:textId="0FC1948D"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415.3</w:t>
            </w:r>
          </w:p>
        </w:tc>
        <w:tc>
          <w:tcPr>
            <w:tcW w:w="960" w:type="dxa"/>
            <w:tcBorders>
              <w:top w:val="single" w:sz="4" w:space="0" w:color="B3B3B3"/>
              <w:bottom w:val="nil"/>
            </w:tcBorders>
            <w:shd w:val="clear" w:color="000000" w:fill="E6E6E6"/>
            <w:noWrap/>
            <w:hideMark/>
          </w:tcPr>
          <w:p w14:paraId="5FC3E950" w14:textId="77777777"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8</w:t>
            </w:r>
          </w:p>
        </w:tc>
        <w:tc>
          <w:tcPr>
            <w:tcW w:w="1701" w:type="dxa"/>
            <w:tcBorders>
              <w:top w:val="single" w:sz="4" w:space="0" w:color="B3B3B3"/>
              <w:bottom w:val="nil"/>
            </w:tcBorders>
            <w:shd w:val="clear" w:color="000000" w:fill="E6E6E6"/>
            <w:noWrap/>
            <w:hideMark/>
          </w:tcPr>
          <w:p w14:paraId="79DA9021" w14:textId="4BA8DF0C"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21.9</w:t>
            </w:r>
          </w:p>
        </w:tc>
      </w:tr>
      <w:tr w:rsidR="005F2D9C" w:rsidRPr="001B42EA" w14:paraId="62210197" w14:textId="77777777" w:rsidTr="001B42EA">
        <w:trPr>
          <w:trHeight w:val="260"/>
        </w:trPr>
        <w:tc>
          <w:tcPr>
            <w:tcW w:w="2580" w:type="dxa"/>
            <w:tcBorders>
              <w:top w:val="nil"/>
              <w:bottom w:val="nil"/>
            </w:tcBorders>
            <w:shd w:val="clear" w:color="000000" w:fill="auto"/>
            <w:noWrap/>
            <w:hideMark/>
          </w:tcPr>
          <w:p w14:paraId="12760EBA" w14:textId="77777777" w:rsidR="005F2D9C" w:rsidRPr="0036712D" w:rsidRDefault="005F2D9C" w:rsidP="001B42EA">
            <w:pPr>
              <w:spacing w:before="45" w:after="45" w:line="240" w:lineRule="auto"/>
              <w:ind w:left="57" w:right="108"/>
              <w:rPr>
                <w:rFonts w:eastAsia="Times New Roman" w:cs="Open Sans"/>
                <w:sz w:val="18"/>
                <w:szCs w:val="18"/>
                <w:lang w:eastAsia="en-AU"/>
              </w:rPr>
            </w:pPr>
            <w:r w:rsidRPr="0036712D">
              <w:rPr>
                <w:rFonts w:eastAsia="Times New Roman" w:cs="Open Sans"/>
                <w:sz w:val="18"/>
                <w:szCs w:val="18"/>
                <w:lang w:eastAsia="en-AU"/>
              </w:rPr>
              <w:t>Land tax</w:t>
            </w:r>
          </w:p>
        </w:tc>
        <w:tc>
          <w:tcPr>
            <w:tcW w:w="2268" w:type="dxa"/>
            <w:tcBorders>
              <w:top w:val="nil"/>
              <w:bottom w:val="nil"/>
            </w:tcBorders>
            <w:shd w:val="clear" w:color="000000" w:fill="auto"/>
            <w:noWrap/>
            <w:hideMark/>
          </w:tcPr>
          <w:p w14:paraId="561FB5DC" w14:textId="669BBFC3"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4.7</w:t>
            </w:r>
          </w:p>
        </w:tc>
        <w:tc>
          <w:tcPr>
            <w:tcW w:w="1600" w:type="dxa"/>
            <w:tcBorders>
              <w:top w:val="nil"/>
              <w:bottom w:val="nil"/>
            </w:tcBorders>
            <w:shd w:val="clear" w:color="000000" w:fill="auto"/>
            <w:noWrap/>
            <w:hideMark/>
          </w:tcPr>
          <w:p w14:paraId="19908CEB" w14:textId="365137B6"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200.2</w:t>
            </w:r>
          </w:p>
        </w:tc>
        <w:tc>
          <w:tcPr>
            <w:tcW w:w="960" w:type="dxa"/>
            <w:tcBorders>
              <w:top w:val="nil"/>
              <w:bottom w:val="nil"/>
            </w:tcBorders>
            <w:shd w:val="clear" w:color="000000" w:fill="auto"/>
            <w:noWrap/>
            <w:hideMark/>
          </w:tcPr>
          <w:p w14:paraId="597ADE99" w14:textId="77777777"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8</w:t>
            </w:r>
          </w:p>
        </w:tc>
        <w:tc>
          <w:tcPr>
            <w:tcW w:w="1701" w:type="dxa"/>
            <w:tcBorders>
              <w:top w:val="nil"/>
              <w:bottom w:val="nil"/>
            </w:tcBorders>
            <w:shd w:val="clear" w:color="000000" w:fill="auto"/>
            <w:noWrap/>
            <w:hideMark/>
          </w:tcPr>
          <w:p w14:paraId="59BA7B82" w14:textId="01106F7B"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10.5</w:t>
            </w:r>
          </w:p>
        </w:tc>
      </w:tr>
      <w:tr w:rsidR="005F2D9C" w:rsidRPr="001B42EA" w14:paraId="5F8278CF" w14:textId="77777777" w:rsidTr="001B42EA">
        <w:trPr>
          <w:trHeight w:val="260"/>
        </w:trPr>
        <w:tc>
          <w:tcPr>
            <w:tcW w:w="2580" w:type="dxa"/>
            <w:tcBorders>
              <w:bottom w:val="nil"/>
            </w:tcBorders>
            <w:shd w:val="clear" w:color="000000" w:fill="E6E6E6"/>
            <w:noWrap/>
            <w:hideMark/>
          </w:tcPr>
          <w:p w14:paraId="2746F61E" w14:textId="77777777" w:rsidR="005F2D9C" w:rsidRPr="0036712D" w:rsidRDefault="005F2D9C" w:rsidP="001B42EA">
            <w:pPr>
              <w:spacing w:before="45" w:after="45" w:line="240" w:lineRule="auto"/>
              <w:ind w:left="57" w:right="108"/>
              <w:rPr>
                <w:rFonts w:eastAsia="Times New Roman" w:cs="Open Sans"/>
                <w:sz w:val="18"/>
                <w:szCs w:val="18"/>
                <w:lang w:eastAsia="en-AU"/>
              </w:rPr>
            </w:pPr>
            <w:r w:rsidRPr="0036712D">
              <w:rPr>
                <w:rFonts w:eastAsia="Times New Roman" w:cs="Open Sans"/>
                <w:sz w:val="18"/>
                <w:szCs w:val="18"/>
                <w:lang w:eastAsia="en-AU"/>
              </w:rPr>
              <w:t>Stamp duty on conveyances</w:t>
            </w:r>
          </w:p>
        </w:tc>
        <w:tc>
          <w:tcPr>
            <w:tcW w:w="2268" w:type="dxa"/>
            <w:tcBorders>
              <w:bottom w:val="nil"/>
            </w:tcBorders>
            <w:shd w:val="clear" w:color="000000" w:fill="E6E6E6"/>
            <w:noWrap/>
            <w:hideMark/>
          </w:tcPr>
          <w:p w14:paraId="685CA4D4" w14:textId="5DA2BC08"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1.7</w:t>
            </w:r>
          </w:p>
        </w:tc>
        <w:tc>
          <w:tcPr>
            <w:tcW w:w="1600" w:type="dxa"/>
            <w:tcBorders>
              <w:bottom w:val="nil"/>
            </w:tcBorders>
            <w:shd w:val="clear" w:color="000000" w:fill="E6E6E6"/>
            <w:noWrap/>
            <w:hideMark/>
          </w:tcPr>
          <w:p w14:paraId="452C413E" w14:textId="7923C4D2"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333.6</w:t>
            </w:r>
          </w:p>
        </w:tc>
        <w:tc>
          <w:tcPr>
            <w:tcW w:w="960" w:type="dxa"/>
            <w:tcBorders>
              <w:bottom w:val="nil"/>
            </w:tcBorders>
            <w:shd w:val="clear" w:color="000000" w:fill="E6E6E6"/>
            <w:noWrap/>
            <w:hideMark/>
          </w:tcPr>
          <w:p w14:paraId="4DCFB466" w14:textId="77777777"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8</w:t>
            </w:r>
          </w:p>
        </w:tc>
        <w:tc>
          <w:tcPr>
            <w:tcW w:w="1701" w:type="dxa"/>
            <w:tcBorders>
              <w:bottom w:val="nil"/>
            </w:tcBorders>
            <w:shd w:val="clear" w:color="000000" w:fill="E6E6E6"/>
            <w:noWrap/>
            <w:hideMark/>
          </w:tcPr>
          <w:p w14:paraId="344894D5" w14:textId="7B19EFA0"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17.6</w:t>
            </w:r>
          </w:p>
        </w:tc>
      </w:tr>
      <w:tr w:rsidR="005F2D9C" w:rsidRPr="001B42EA" w14:paraId="2E678CF7" w14:textId="77777777" w:rsidTr="001B42EA">
        <w:trPr>
          <w:trHeight w:val="260"/>
        </w:trPr>
        <w:tc>
          <w:tcPr>
            <w:tcW w:w="2580" w:type="dxa"/>
            <w:tcBorders>
              <w:top w:val="nil"/>
              <w:bottom w:val="nil"/>
            </w:tcBorders>
            <w:shd w:val="clear" w:color="000000" w:fill="auto"/>
            <w:noWrap/>
            <w:hideMark/>
          </w:tcPr>
          <w:p w14:paraId="2B617757" w14:textId="77777777" w:rsidR="005F2D9C" w:rsidRPr="0036712D" w:rsidRDefault="005F2D9C" w:rsidP="001B42EA">
            <w:pPr>
              <w:spacing w:before="45" w:after="45" w:line="240" w:lineRule="auto"/>
              <w:ind w:left="57" w:right="108"/>
              <w:rPr>
                <w:rFonts w:eastAsia="Times New Roman" w:cs="Open Sans"/>
                <w:sz w:val="18"/>
                <w:szCs w:val="18"/>
                <w:lang w:eastAsia="en-AU"/>
              </w:rPr>
            </w:pPr>
            <w:r w:rsidRPr="0036712D">
              <w:rPr>
                <w:rFonts w:eastAsia="Times New Roman" w:cs="Open Sans"/>
                <w:sz w:val="18"/>
                <w:szCs w:val="18"/>
                <w:lang w:eastAsia="en-AU"/>
              </w:rPr>
              <w:t>Insurance tax</w:t>
            </w:r>
          </w:p>
        </w:tc>
        <w:tc>
          <w:tcPr>
            <w:tcW w:w="2268" w:type="dxa"/>
            <w:tcBorders>
              <w:top w:val="nil"/>
              <w:bottom w:val="nil"/>
            </w:tcBorders>
            <w:shd w:val="clear" w:color="000000" w:fill="auto"/>
            <w:noWrap/>
            <w:hideMark/>
          </w:tcPr>
          <w:p w14:paraId="552C0BC9" w14:textId="29B5EC7F"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0.7</w:t>
            </w:r>
          </w:p>
        </w:tc>
        <w:tc>
          <w:tcPr>
            <w:tcW w:w="1600" w:type="dxa"/>
            <w:tcBorders>
              <w:top w:val="nil"/>
              <w:bottom w:val="nil"/>
            </w:tcBorders>
            <w:shd w:val="clear" w:color="000000" w:fill="auto"/>
            <w:noWrap/>
            <w:hideMark/>
          </w:tcPr>
          <w:p w14:paraId="15CD0D4A" w14:textId="363EEF17"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86.2</w:t>
            </w:r>
          </w:p>
        </w:tc>
        <w:tc>
          <w:tcPr>
            <w:tcW w:w="960" w:type="dxa"/>
            <w:tcBorders>
              <w:top w:val="nil"/>
              <w:bottom w:val="nil"/>
            </w:tcBorders>
            <w:shd w:val="clear" w:color="000000" w:fill="auto"/>
            <w:noWrap/>
            <w:hideMark/>
          </w:tcPr>
          <w:p w14:paraId="76839F9A" w14:textId="77777777"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8</w:t>
            </w:r>
          </w:p>
        </w:tc>
        <w:tc>
          <w:tcPr>
            <w:tcW w:w="1701" w:type="dxa"/>
            <w:tcBorders>
              <w:top w:val="nil"/>
              <w:bottom w:val="nil"/>
            </w:tcBorders>
            <w:shd w:val="clear" w:color="000000" w:fill="auto"/>
            <w:noWrap/>
            <w:hideMark/>
          </w:tcPr>
          <w:p w14:paraId="328EE157" w14:textId="5B77E7B1"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4.5</w:t>
            </w:r>
          </w:p>
        </w:tc>
      </w:tr>
      <w:tr w:rsidR="005F2D9C" w:rsidRPr="001B42EA" w14:paraId="18780B2B" w14:textId="77777777" w:rsidTr="001B42EA">
        <w:trPr>
          <w:trHeight w:val="260"/>
        </w:trPr>
        <w:tc>
          <w:tcPr>
            <w:tcW w:w="2580" w:type="dxa"/>
            <w:tcBorders>
              <w:bottom w:val="nil"/>
            </w:tcBorders>
            <w:shd w:val="clear" w:color="000000" w:fill="E6E6E6"/>
            <w:noWrap/>
            <w:hideMark/>
          </w:tcPr>
          <w:p w14:paraId="5597A8B6" w14:textId="77777777" w:rsidR="005F2D9C" w:rsidRPr="0036712D" w:rsidRDefault="005F2D9C" w:rsidP="001B42EA">
            <w:pPr>
              <w:spacing w:before="45" w:after="45" w:line="240" w:lineRule="auto"/>
              <w:ind w:left="57" w:right="108"/>
              <w:rPr>
                <w:rFonts w:eastAsia="Times New Roman" w:cs="Open Sans"/>
                <w:sz w:val="18"/>
                <w:szCs w:val="18"/>
                <w:lang w:eastAsia="en-AU"/>
              </w:rPr>
            </w:pPr>
            <w:r w:rsidRPr="0036712D">
              <w:rPr>
                <w:rFonts w:eastAsia="Times New Roman" w:cs="Open Sans"/>
                <w:sz w:val="18"/>
                <w:szCs w:val="18"/>
                <w:lang w:eastAsia="en-AU"/>
              </w:rPr>
              <w:t>Light vehicles</w:t>
            </w:r>
          </w:p>
        </w:tc>
        <w:tc>
          <w:tcPr>
            <w:tcW w:w="2268" w:type="dxa"/>
            <w:tcBorders>
              <w:bottom w:val="nil"/>
            </w:tcBorders>
            <w:shd w:val="clear" w:color="000000" w:fill="E6E6E6"/>
            <w:noWrap/>
            <w:hideMark/>
          </w:tcPr>
          <w:p w14:paraId="363024CF" w14:textId="00F1CF14"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0.8</w:t>
            </w:r>
          </w:p>
        </w:tc>
        <w:tc>
          <w:tcPr>
            <w:tcW w:w="1600" w:type="dxa"/>
            <w:tcBorders>
              <w:bottom w:val="nil"/>
            </w:tcBorders>
            <w:shd w:val="clear" w:color="000000" w:fill="E6E6E6"/>
            <w:noWrap/>
            <w:hideMark/>
          </w:tcPr>
          <w:p w14:paraId="7000F91B" w14:textId="361296A3"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89.8</w:t>
            </w:r>
          </w:p>
        </w:tc>
        <w:tc>
          <w:tcPr>
            <w:tcW w:w="960" w:type="dxa"/>
            <w:tcBorders>
              <w:bottom w:val="nil"/>
            </w:tcBorders>
            <w:shd w:val="clear" w:color="000000" w:fill="E6E6E6"/>
            <w:noWrap/>
            <w:hideMark/>
          </w:tcPr>
          <w:p w14:paraId="70616DD4" w14:textId="77777777"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8</w:t>
            </w:r>
          </w:p>
        </w:tc>
        <w:tc>
          <w:tcPr>
            <w:tcW w:w="1701" w:type="dxa"/>
            <w:tcBorders>
              <w:bottom w:val="nil"/>
            </w:tcBorders>
            <w:shd w:val="clear" w:color="000000" w:fill="E6E6E6"/>
            <w:noWrap/>
            <w:hideMark/>
          </w:tcPr>
          <w:p w14:paraId="64BF42F1" w14:textId="5A8FD5A4"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4.7</w:t>
            </w:r>
          </w:p>
        </w:tc>
      </w:tr>
      <w:tr w:rsidR="005F2D9C" w:rsidRPr="001B42EA" w14:paraId="00811027" w14:textId="77777777" w:rsidTr="001B42EA">
        <w:trPr>
          <w:trHeight w:val="260"/>
        </w:trPr>
        <w:tc>
          <w:tcPr>
            <w:tcW w:w="2580" w:type="dxa"/>
            <w:tcBorders>
              <w:top w:val="nil"/>
              <w:bottom w:val="nil"/>
            </w:tcBorders>
            <w:shd w:val="clear" w:color="000000" w:fill="auto"/>
            <w:noWrap/>
            <w:hideMark/>
          </w:tcPr>
          <w:p w14:paraId="50512E83" w14:textId="77777777" w:rsidR="005F2D9C" w:rsidRPr="0036712D" w:rsidRDefault="005F2D9C" w:rsidP="001B42EA">
            <w:pPr>
              <w:spacing w:before="45" w:after="45" w:line="240" w:lineRule="auto"/>
              <w:ind w:left="57" w:right="108"/>
              <w:rPr>
                <w:rFonts w:eastAsia="Times New Roman" w:cs="Open Sans"/>
                <w:sz w:val="18"/>
                <w:szCs w:val="18"/>
                <w:lang w:eastAsia="en-AU"/>
              </w:rPr>
            </w:pPr>
            <w:r w:rsidRPr="0036712D">
              <w:rPr>
                <w:rFonts w:eastAsia="Times New Roman" w:cs="Open Sans"/>
                <w:sz w:val="18"/>
                <w:szCs w:val="18"/>
                <w:lang w:eastAsia="en-AU"/>
              </w:rPr>
              <w:t>Heavy vehicles</w:t>
            </w:r>
          </w:p>
        </w:tc>
        <w:tc>
          <w:tcPr>
            <w:tcW w:w="2268" w:type="dxa"/>
            <w:tcBorders>
              <w:top w:val="nil"/>
              <w:bottom w:val="nil"/>
            </w:tcBorders>
            <w:shd w:val="clear" w:color="000000" w:fill="auto"/>
            <w:noWrap/>
            <w:hideMark/>
          </w:tcPr>
          <w:p w14:paraId="557232C7" w14:textId="1B5A919C"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1.2</w:t>
            </w:r>
          </w:p>
        </w:tc>
        <w:tc>
          <w:tcPr>
            <w:tcW w:w="1600" w:type="dxa"/>
            <w:tcBorders>
              <w:top w:val="nil"/>
              <w:bottom w:val="nil"/>
            </w:tcBorders>
            <w:shd w:val="clear" w:color="000000" w:fill="auto"/>
            <w:noWrap/>
            <w:hideMark/>
          </w:tcPr>
          <w:p w14:paraId="1912D84F" w14:textId="5C6AE620"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18.9</w:t>
            </w:r>
          </w:p>
        </w:tc>
        <w:tc>
          <w:tcPr>
            <w:tcW w:w="960" w:type="dxa"/>
            <w:tcBorders>
              <w:top w:val="nil"/>
              <w:bottom w:val="nil"/>
            </w:tcBorders>
            <w:shd w:val="clear" w:color="000000" w:fill="auto"/>
            <w:noWrap/>
            <w:hideMark/>
          </w:tcPr>
          <w:p w14:paraId="03010447" w14:textId="77777777"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8</w:t>
            </w:r>
          </w:p>
        </w:tc>
        <w:tc>
          <w:tcPr>
            <w:tcW w:w="1701" w:type="dxa"/>
            <w:tcBorders>
              <w:top w:val="nil"/>
              <w:bottom w:val="nil"/>
            </w:tcBorders>
            <w:shd w:val="clear" w:color="000000" w:fill="auto"/>
            <w:noWrap/>
            <w:hideMark/>
          </w:tcPr>
          <w:p w14:paraId="590DC666" w14:textId="36DF4989"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1.0</w:t>
            </w:r>
          </w:p>
        </w:tc>
      </w:tr>
      <w:tr w:rsidR="005F2D9C" w:rsidRPr="001B42EA" w14:paraId="58E1784F" w14:textId="77777777" w:rsidTr="001B42EA">
        <w:trPr>
          <w:trHeight w:val="260"/>
        </w:trPr>
        <w:tc>
          <w:tcPr>
            <w:tcW w:w="2580" w:type="dxa"/>
            <w:tcBorders>
              <w:bottom w:val="nil"/>
            </w:tcBorders>
            <w:shd w:val="clear" w:color="000000" w:fill="E6E6E6"/>
            <w:noWrap/>
            <w:hideMark/>
          </w:tcPr>
          <w:p w14:paraId="72554B28" w14:textId="77777777" w:rsidR="005F2D9C" w:rsidRPr="0036712D" w:rsidRDefault="005F2D9C" w:rsidP="001B42EA">
            <w:pPr>
              <w:spacing w:before="45" w:after="45" w:line="240" w:lineRule="auto"/>
              <w:ind w:left="57" w:right="108"/>
              <w:rPr>
                <w:rFonts w:eastAsia="Times New Roman" w:cs="Open Sans"/>
                <w:sz w:val="18"/>
                <w:szCs w:val="18"/>
                <w:lang w:eastAsia="en-AU"/>
              </w:rPr>
            </w:pPr>
            <w:r w:rsidRPr="0036712D">
              <w:rPr>
                <w:rFonts w:eastAsia="Times New Roman" w:cs="Open Sans"/>
                <w:sz w:val="18"/>
                <w:szCs w:val="18"/>
                <w:lang w:eastAsia="en-AU"/>
              </w:rPr>
              <w:t>Motor stamp duty</w:t>
            </w:r>
          </w:p>
        </w:tc>
        <w:tc>
          <w:tcPr>
            <w:tcW w:w="2268" w:type="dxa"/>
            <w:tcBorders>
              <w:bottom w:val="nil"/>
            </w:tcBorders>
            <w:shd w:val="clear" w:color="000000" w:fill="E6E6E6"/>
            <w:noWrap/>
            <w:hideMark/>
          </w:tcPr>
          <w:p w14:paraId="4D313711" w14:textId="207AB100"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1.0</w:t>
            </w:r>
          </w:p>
        </w:tc>
        <w:tc>
          <w:tcPr>
            <w:tcW w:w="1600" w:type="dxa"/>
            <w:tcBorders>
              <w:bottom w:val="nil"/>
            </w:tcBorders>
            <w:shd w:val="clear" w:color="000000" w:fill="E6E6E6"/>
            <w:noWrap/>
            <w:hideMark/>
          </w:tcPr>
          <w:p w14:paraId="741A5E04" w14:textId="03217EB6"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46.2</w:t>
            </w:r>
          </w:p>
        </w:tc>
        <w:tc>
          <w:tcPr>
            <w:tcW w:w="960" w:type="dxa"/>
            <w:tcBorders>
              <w:bottom w:val="nil"/>
            </w:tcBorders>
            <w:shd w:val="clear" w:color="000000" w:fill="E6E6E6"/>
            <w:noWrap/>
            <w:hideMark/>
          </w:tcPr>
          <w:p w14:paraId="3295AD4D" w14:textId="77777777"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8</w:t>
            </w:r>
          </w:p>
        </w:tc>
        <w:tc>
          <w:tcPr>
            <w:tcW w:w="1701" w:type="dxa"/>
            <w:tcBorders>
              <w:bottom w:val="nil"/>
            </w:tcBorders>
            <w:shd w:val="clear" w:color="000000" w:fill="E6E6E6"/>
            <w:noWrap/>
            <w:hideMark/>
          </w:tcPr>
          <w:p w14:paraId="3326218A" w14:textId="5668C8C8"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2.4</w:t>
            </w:r>
          </w:p>
        </w:tc>
      </w:tr>
      <w:tr w:rsidR="005F2D9C" w:rsidRPr="001B42EA" w14:paraId="568D7A76" w14:textId="77777777" w:rsidTr="001B42EA">
        <w:trPr>
          <w:trHeight w:val="260"/>
        </w:trPr>
        <w:tc>
          <w:tcPr>
            <w:tcW w:w="2580" w:type="dxa"/>
            <w:tcBorders>
              <w:top w:val="nil"/>
              <w:bottom w:val="nil"/>
            </w:tcBorders>
            <w:shd w:val="clear" w:color="000000" w:fill="auto"/>
            <w:noWrap/>
            <w:hideMark/>
          </w:tcPr>
          <w:p w14:paraId="5CD14BFC" w14:textId="77777777" w:rsidR="005F2D9C" w:rsidRPr="0036712D" w:rsidRDefault="005F2D9C" w:rsidP="001B42EA">
            <w:pPr>
              <w:spacing w:before="45" w:after="45" w:line="240" w:lineRule="auto"/>
              <w:ind w:left="57" w:right="108"/>
              <w:rPr>
                <w:rFonts w:eastAsia="Times New Roman" w:cs="Open Sans"/>
                <w:sz w:val="18"/>
                <w:szCs w:val="18"/>
                <w:lang w:eastAsia="en-AU"/>
              </w:rPr>
            </w:pPr>
            <w:r w:rsidRPr="0036712D">
              <w:rPr>
                <w:rFonts w:eastAsia="Times New Roman" w:cs="Open Sans"/>
                <w:sz w:val="18"/>
                <w:szCs w:val="18"/>
                <w:lang w:eastAsia="en-AU"/>
              </w:rPr>
              <w:t>Iron ore</w:t>
            </w:r>
          </w:p>
        </w:tc>
        <w:tc>
          <w:tcPr>
            <w:tcW w:w="2268" w:type="dxa"/>
            <w:tcBorders>
              <w:top w:val="nil"/>
              <w:bottom w:val="nil"/>
            </w:tcBorders>
            <w:shd w:val="clear" w:color="000000" w:fill="auto"/>
            <w:noWrap/>
            <w:hideMark/>
          </w:tcPr>
          <w:p w14:paraId="645CE1DB" w14:textId="6EEEE68F"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0.3</w:t>
            </w:r>
          </w:p>
        </w:tc>
        <w:tc>
          <w:tcPr>
            <w:tcW w:w="1600" w:type="dxa"/>
            <w:tcBorders>
              <w:top w:val="nil"/>
              <w:bottom w:val="nil"/>
            </w:tcBorders>
            <w:shd w:val="clear" w:color="000000" w:fill="auto"/>
            <w:noWrap/>
            <w:hideMark/>
          </w:tcPr>
          <w:p w14:paraId="5A516A32" w14:textId="5F1897F7"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85.1</w:t>
            </w:r>
          </w:p>
        </w:tc>
        <w:tc>
          <w:tcPr>
            <w:tcW w:w="960" w:type="dxa"/>
            <w:tcBorders>
              <w:top w:val="nil"/>
              <w:bottom w:val="nil"/>
            </w:tcBorders>
            <w:shd w:val="clear" w:color="000000" w:fill="auto"/>
            <w:noWrap/>
            <w:hideMark/>
          </w:tcPr>
          <w:p w14:paraId="0063DFA0" w14:textId="77777777"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4</w:t>
            </w:r>
          </w:p>
        </w:tc>
        <w:tc>
          <w:tcPr>
            <w:tcW w:w="1701" w:type="dxa"/>
            <w:tcBorders>
              <w:top w:val="nil"/>
              <w:bottom w:val="nil"/>
            </w:tcBorders>
            <w:shd w:val="clear" w:color="000000" w:fill="auto"/>
            <w:noWrap/>
            <w:hideMark/>
          </w:tcPr>
          <w:p w14:paraId="1286C057" w14:textId="6925E4AE"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2.2</w:t>
            </w:r>
          </w:p>
        </w:tc>
      </w:tr>
      <w:tr w:rsidR="005F2D9C" w:rsidRPr="001B42EA" w14:paraId="3598DD0B" w14:textId="77777777" w:rsidTr="001B42EA">
        <w:trPr>
          <w:trHeight w:val="260"/>
        </w:trPr>
        <w:tc>
          <w:tcPr>
            <w:tcW w:w="2580" w:type="dxa"/>
            <w:tcBorders>
              <w:bottom w:val="nil"/>
            </w:tcBorders>
            <w:shd w:val="clear" w:color="000000" w:fill="E6E6E6"/>
            <w:noWrap/>
            <w:hideMark/>
          </w:tcPr>
          <w:p w14:paraId="0C9FD333" w14:textId="77777777" w:rsidR="005F2D9C" w:rsidRPr="0036712D" w:rsidRDefault="005F2D9C" w:rsidP="001B42EA">
            <w:pPr>
              <w:spacing w:before="45" w:after="45" w:line="240" w:lineRule="auto"/>
              <w:ind w:left="57" w:right="108"/>
              <w:rPr>
                <w:rFonts w:eastAsia="Times New Roman" w:cs="Open Sans"/>
                <w:sz w:val="18"/>
                <w:szCs w:val="18"/>
                <w:lang w:eastAsia="en-AU"/>
              </w:rPr>
            </w:pPr>
            <w:r w:rsidRPr="0036712D">
              <w:rPr>
                <w:rFonts w:eastAsia="Times New Roman" w:cs="Open Sans"/>
                <w:sz w:val="18"/>
                <w:szCs w:val="18"/>
                <w:lang w:eastAsia="en-AU"/>
              </w:rPr>
              <w:t>Coal</w:t>
            </w:r>
          </w:p>
        </w:tc>
        <w:tc>
          <w:tcPr>
            <w:tcW w:w="2268" w:type="dxa"/>
            <w:tcBorders>
              <w:bottom w:val="nil"/>
            </w:tcBorders>
            <w:shd w:val="clear" w:color="000000" w:fill="E6E6E6"/>
            <w:noWrap/>
            <w:hideMark/>
          </w:tcPr>
          <w:p w14:paraId="6A75F868" w14:textId="6F39F72C"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14.1</w:t>
            </w:r>
          </w:p>
        </w:tc>
        <w:tc>
          <w:tcPr>
            <w:tcW w:w="1600" w:type="dxa"/>
            <w:tcBorders>
              <w:bottom w:val="nil"/>
            </w:tcBorders>
            <w:shd w:val="clear" w:color="000000" w:fill="E6E6E6"/>
            <w:noWrap/>
            <w:hideMark/>
          </w:tcPr>
          <w:p w14:paraId="4AC7A66A" w14:textId="26E36F15"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85.</w:t>
            </w:r>
            <w:r w:rsidR="00825144" w:rsidRPr="00503CDD">
              <w:rPr>
                <w:rFonts w:eastAsia="Times New Roman" w:cs="Open Sans"/>
                <w:color w:val="000000"/>
                <w:sz w:val="18"/>
                <w:szCs w:val="18"/>
                <w:lang w:eastAsia="en-AU"/>
              </w:rPr>
              <w:t>4</w:t>
            </w:r>
          </w:p>
        </w:tc>
        <w:tc>
          <w:tcPr>
            <w:tcW w:w="960" w:type="dxa"/>
            <w:tcBorders>
              <w:bottom w:val="nil"/>
            </w:tcBorders>
            <w:shd w:val="clear" w:color="000000" w:fill="E6E6E6"/>
            <w:noWrap/>
            <w:hideMark/>
          </w:tcPr>
          <w:p w14:paraId="68481B47" w14:textId="77777777"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5</w:t>
            </w:r>
          </w:p>
        </w:tc>
        <w:tc>
          <w:tcPr>
            <w:tcW w:w="1701" w:type="dxa"/>
            <w:tcBorders>
              <w:bottom w:val="nil"/>
            </w:tcBorders>
            <w:shd w:val="clear" w:color="000000" w:fill="E6E6E6"/>
            <w:noWrap/>
            <w:hideMark/>
          </w:tcPr>
          <w:p w14:paraId="314B6CC7" w14:textId="7E855EC9"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2.8</w:t>
            </w:r>
          </w:p>
        </w:tc>
      </w:tr>
      <w:tr w:rsidR="005F2D9C" w:rsidRPr="001B42EA" w14:paraId="2E083CB5" w14:textId="77777777" w:rsidTr="001B42EA">
        <w:trPr>
          <w:trHeight w:val="260"/>
        </w:trPr>
        <w:tc>
          <w:tcPr>
            <w:tcW w:w="2580" w:type="dxa"/>
            <w:tcBorders>
              <w:top w:val="nil"/>
              <w:bottom w:val="nil"/>
            </w:tcBorders>
            <w:shd w:val="clear" w:color="000000" w:fill="auto"/>
            <w:noWrap/>
            <w:hideMark/>
          </w:tcPr>
          <w:p w14:paraId="4464C52A" w14:textId="77777777" w:rsidR="005F2D9C" w:rsidRPr="0036712D" w:rsidRDefault="005F2D9C" w:rsidP="001B42EA">
            <w:pPr>
              <w:spacing w:before="45" w:after="45" w:line="240" w:lineRule="auto"/>
              <w:ind w:left="57" w:right="108"/>
              <w:rPr>
                <w:rFonts w:eastAsia="Times New Roman" w:cs="Open Sans"/>
                <w:sz w:val="18"/>
                <w:szCs w:val="18"/>
                <w:lang w:eastAsia="en-AU"/>
              </w:rPr>
            </w:pPr>
            <w:r w:rsidRPr="0036712D">
              <w:rPr>
                <w:rFonts w:eastAsia="Times New Roman" w:cs="Open Sans"/>
                <w:sz w:val="18"/>
                <w:szCs w:val="18"/>
                <w:lang w:eastAsia="en-AU"/>
              </w:rPr>
              <w:t>Gold</w:t>
            </w:r>
          </w:p>
        </w:tc>
        <w:tc>
          <w:tcPr>
            <w:tcW w:w="2268" w:type="dxa"/>
            <w:tcBorders>
              <w:top w:val="nil"/>
              <w:bottom w:val="nil"/>
            </w:tcBorders>
            <w:shd w:val="clear" w:color="000000" w:fill="auto"/>
            <w:noWrap/>
            <w:hideMark/>
          </w:tcPr>
          <w:p w14:paraId="68ECB1C0" w14:textId="6CC82F49"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2.0</w:t>
            </w:r>
          </w:p>
        </w:tc>
        <w:tc>
          <w:tcPr>
            <w:tcW w:w="1600" w:type="dxa"/>
            <w:tcBorders>
              <w:top w:val="nil"/>
              <w:bottom w:val="nil"/>
            </w:tcBorders>
            <w:shd w:val="clear" w:color="000000" w:fill="auto"/>
            <w:noWrap/>
            <w:hideMark/>
          </w:tcPr>
          <w:p w14:paraId="5B6BF641" w14:textId="0A800806"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12.2</w:t>
            </w:r>
          </w:p>
        </w:tc>
        <w:tc>
          <w:tcPr>
            <w:tcW w:w="960" w:type="dxa"/>
            <w:tcBorders>
              <w:top w:val="nil"/>
              <w:bottom w:val="nil"/>
            </w:tcBorders>
            <w:shd w:val="clear" w:color="000000" w:fill="auto"/>
            <w:noWrap/>
            <w:hideMark/>
          </w:tcPr>
          <w:p w14:paraId="57D2FDD8" w14:textId="77777777"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7</w:t>
            </w:r>
          </w:p>
        </w:tc>
        <w:tc>
          <w:tcPr>
            <w:tcW w:w="1701" w:type="dxa"/>
            <w:tcBorders>
              <w:top w:val="nil"/>
              <w:bottom w:val="nil"/>
            </w:tcBorders>
            <w:shd w:val="clear" w:color="000000" w:fill="auto"/>
            <w:noWrap/>
            <w:hideMark/>
          </w:tcPr>
          <w:p w14:paraId="54612654" w14:textId="0F8FA628"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0.6</w:t>
            </w:r>
          </w:p>
        </w:tc>
      </w:tr>
      <w:tr w:rsidR="005F2D9C" w:rsidRPr="001B42EA" w14:paraId="32C98BBC" w14:textId="77777777" w:rsidTr="001B42EA">
        <w:trPr>
          <w:trHeight w:val="260"/>
        </w:trPr>
        <w:tc>
          <w:tcPr>
            <w:tcW w:w="2580" w:type="dxa"/>
            <w:tcBorders>
              <w:bottom w:val="nil"/>
            </w:tcBorders>
            <w:shd w:val="clear" w:color="000000" w:fill="E6E6E6"/>
            <w:noWrap/>
            <w:hideMark/>
          </w:tcPr>
          <w:p w14:paraId="0D0DBD94" w14:textId="77777777" w:rsidR="005F2D9C" w:rsidRPr="0036712D" w:rsidRDefault="005F2D9C" w:rsidP="001B42EA">
            <w:pPr>
              <w:spacing w:before="45" w:after="45" w:line="240" w:lineRule="auto"/>
              <w:ind w:left="57" w:right="108"/>
              <w:rPr>
                <w:rFonts w:eastAsia="Times New Roman" w:cs="Open Sans"/>
                <w:sz w:val="18"/>
                <w:szCs w:val="18"/>
                <w:lang w:eastAsia="en-AU"/>
              </w:rPr>
            </w:pPr>
            <w:r w:rsidRPr="0036712D">
              <w:rPr>
                <w:rFonts w:eastAsia="Times New Roman" w:cs="Open Sans"/>
                <w:sz w:val="18"/>
                <w:szCs w:val="18"/>
                <w:lang w:eastAsia="en-AU"/>
              </w:rPr>
              <w:t>Copper</w:t>
            </w:r>
          </w:p>
        </w:tc>
        <w:tc>
          <w:tcPr>
            <w:tcW w:w="2268" w:type="dxa"/>
            <w:tcBorders>
              <w:bottom w:val="nil"/>
            </w:tcBorders>
            <w:shd w:val="clear" w:color="000000" w:fill="E6E6E6"/>
            <w:noWrap/>
            <w:hideMark/>
          </w:tcPr>
          <w:p w14:paraId="632E97BA" w14:textId="566110FE"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9.3</w:t>
            </w:r>
          </w:p>
        </w:tc>
        <w:tc>
          <w:tcPr>
            <w:tcW w:w="1600" w:type="dxa"/>
            <w:tcBorders>
              <w:bottom w:val="nil"/>
            </w:tcBorders>
            <w:shd w:val="clear" w:color="000000" w:fill="E6E6E6"/>
            <w:noWrap/>
            <w:hideMark/>
          </w:tcPr>
          <w:p w14:paraId="0D7FA6EC" w14:textId="76B77E0F"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3.</w:t>
            </w:r>
            <w:r w:rsidR="00825144" w:rsidRPr="00503CDD">
              <w:rPr>
                <w:rFonts w:eastAsia="Times New Roman" w:cs="Open Sans"/>
                <w:color w:val="000000"/>
                <w:sz w:val="18"/>
                <w:szCs w:val="18"/>
                <w:lang w:eastAsia="en-AU"/>
              </w:rPr>
              <w:t>8</w:t>
            </w:r>
          </w:p>
        </w:tc>
        <w:tc>
          <w:tcPr>
            <w:tcW w:w="960" w:type="dxa"/>
            <w:tcBorders>
              <w:bottom w:val="nil"/>
            </w:tcBorders>
            <w:shd w:val="clear" w:color="000000" w:fill="E6E6E6"/>
            <w:noWrap/>
            <w:hideMark/>
          </w:tcPr>
          <w:p w14:paraId="753351DF" w14:textId="77777777"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5</w:t>
            </w:r>
          </w:p>
        </w:tc>
        <w:tc>
          <w:tcPr>
            <w:tcW w:w="1701" w:type="dxa"/>
            <w:tcBorders>
              <w:bottom w:val="nil"/>
            </w:tcBorders>
            <w:shd w:val="clear" w:color="000000" w:fill="E6E6E6"/>
            <w:noWrap/>
            <w:hideMark/>
          </w:tcPr>
          <w:p w14:paraId="4CD8C34F" w14:textId="3F3A01D7"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0.1</w:t>
            </w:r>
          </w:p>
        </w:tc>
      </w:tr>
      <w:tr w:rsidR="005F2D9C" w:rsidRPr="001B42EA" w14:paraId="20702778" w14:textId="77777777" w:rsidTr="001B42EA">
        <w:trPr>
          <w:trHeight w:val="260"/>
        </w:trPr>
        <w:tc>
          <w:tcPr>
            <w:tcW w:w="2580" w:type="dxa"/>
            <w:tcBorders>
              <w:top w:val="nil"/>
              <w:bottom w:val="nil"/>
            </w:tcBorders>
            <w:shd w:val="clear" w:color="000000" w:fill="auto"/>
            <w:noWrap/>
            <w:hideMark/>
          </w:tcPr>
          <w:p w14:paraId="7902838F" w14:textId="77777777" w:rsidR="005F2D9C" w:rsidRPr="0036712D" w:rsidRDefault="005F2D9C" w:rsidP="001B42EA">
            <w:pPr>
              <w:spacing w:before="45" w:after="45" w:line="240" w:lineRule="auto"/>
              <w:ind w:left="57" w:right="108"/>
              <w:rPr>
                <w:rFonts w:eastAsia="Times New Roman" w:cs="Open Sans"/>
                <w:sz w:val="18"/>
                <w:szCs w:val="18"/>
                <w:lang w:eastAsia="en-AU"/>
              </w:rPr>
            </w:pPr>
            <w:r w:rsidRPr="0036712D">
              <w:rPr>
                <w:rFonts w:eastAsia="Times New Roman" w:cs="Open Sans"/>
                <w:sz w:val="18"/>
                <w:szCs w:val="18"/>
                <w:lang w:eastAsia="en-AU"/>
              </w:rPr>
              <w:t>Lithium</w:t>
            </w:r>
          </w:p>
        </w:tc>
        <w:tc>
          <w:tcPr>
            <w:tcW w:w="2268" w:type="dxa"/>
            <w:tcBorders>
              <w:top w:val="nil"/>
              <w:bottom w:val="nil"/>
            </w:tcBorders>
            <w:shd w:val="clear" w:color="000000" w:fill="auto"/>
            <w:noWrap/>
            <w:hideMark/>
          </w:tcPr>
          <w:p w14:paraId="707E041A" w14:textId="62C4AD50"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0.0</w:t>
            </w:r>
          </w:p>
        </w:tc>
        <w:tc>
          <w:tcPr>
            <w:tcW w:w="1600" w:type="dxa"/>
            <w:tcBorders>
              <w:top w:val="nil"/>
              <w:bottom w:val="nil"/>
            </w:tcBorders>
            <w:shd w:val="clear" w:color="000000" w:fill="auto"/>
            <w:noWrap/>
            <w:hideMark/>
          </w:tcPr>
          <w:p w14:paraId="2D703CBA" w14:textId="1B1FD353"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2.</w:t>
            </w:r>
            <w:r w:rsidR="009F6C90" w:rsidRPr="00503CDD">
              <w:rPr>
                <w:rFonts w:eastAsia="Times New Roman" w:cs="Open Sans"/>
                <w:color w:val="000000"/>
                <w:sz w:val="18"/>
                <w:szCs w:val="18"/>
                <w:lang w:eastAsia="en-AU"/>
              </w:rPr>
              <w:t>1</w:t>
            </w:r>
          </w:p>
        </w:tc>
        <w:tc>
          <w:tcPr>
            <w:tcW w:w="960" w:type="dxa"/>
            <w:tcBorders>
              <w:top w:val="nil"/>
              <w:bottom w:val="nil"/>
            </w:tcBorders>
            <w:shd w:val="clear" w:color="000000" w:fill="auto"/>
            <w:noWrap/>
            <w:hideMark/>
          </w:tcPr>
          <w:p w14:paraId="45D678F9" w14:textId="77777777"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1</w:t>
            </w:r>
          </w:p>
        </w:tc>
        <w:tc>
          <w:tcPr>
            <w:tcW w:w="1701" w:type="dxa"/>
            <w:tcBorders>
              <w:top w:val="nil"/>
              <w:bottom w:val="nil"/>
            </w:tcBorders>
            <w:shd w:val="clear" w:color="000000" w:fill="auto"/>
            <w:noWrap/>
            <w:hideMark/>
          </w:tcPr>
          <w:p w14:paraId="4FEBB449" w14:textId="60BAF76E"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0.0</w:t>
            </w:r>
          </w:p>
        </w:tc>
      </w:tr>
      <w:tr w:rsidR="005F2D9C" w:rsidRPr="001B42EA" w14:paraId="26CC20F8" w14:textId="77777777" w:rsidTr="001B42EA">
        <w:trPr>
          <w:trHeight w:val="260"/>
        </w:trPr>
        <w:tc>
          <w:tcPr>
            <w:tcW w:w="2580" w:type="dxa"/>
            <w:tcBorders>
              <w:bottom w:val="nil"/>
            </w:tcBorders>
            <w:shd w:val="clear" w:color="000000" w:fill="E6E6E6"/>
            <w:noWrap/>
            <w:hideMark/>
          </w:tcPr>
          <w:p w14:paraId="09A6DCFF" w14:textId="77777777" w:rsidR="005F2D9C" w:rsidRPr="0036712D" w:rsidRDefault="005F2D9C" w:rsidP="001B42EA">
            <w:pPr>
              <w:spacing w:before="45" w:after="45" w:line="240" w:lineRule="auto"/>
              <w:ind w:left="57" w:right="108"/>
              <w:rPr>
                <w:rFonts w:eastAsia="Times New Roman" w:cs="Open Sans"/>
                <w:sz w:val="18"/>
                <w:szCs w:val="18"/>
                <w:lang w:eastAsia="en-AU"/>
              </w:rPr>
            </w:pPr>
            <w:r w:rsidRPr="0036712D">
              <w:rPr>
                <w:rFonts w:eastAsia="Times New Roman" w:cs="Open Sans"/>
                <w:sz w:val="18"/>
                <w:szCs w:val="18"/>
                <w:lang w:eastAsia="en-AU"/>
              </w:rPr>
              <w:t>Nickel</w:t>
            </w:r>
          </w:p>
        </w:tc>
        <w:tc>
          <w:tcPr>
            <w:tcW w:w="2268" w:type="dxa"/>
            <w:tcBorders>
              <w:bottom w:val="nil"/>
            </w:tcBorders>
            <w:shd w:val="clear" w:color="000000" w:fill="E6E6E6"/>
            <w:noWrap/>
            <w:hideMark/>
          </w:tcPr>
          <w:p w14:paraId="6178D12A" w14:textId="7B5A183D"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0.0</w:t>
            </w:r>
          </w:p>
        </w:tc>
        <w:tc>
          <w:tcPr>
            <w:tcW w:w="1600" w:type="dxa"/>
            <w:tcBorders>
              <w:bottom w:val="nil"/>
            </w:tcBorders>
            <w:shd w:val="clear" w:color="000000" w:fill="E6E6E6"/>
            <w:noWrap/>
            <w:hideMark/>
          </w:tcPr>
          <w:p w14:paraId="72FD30BD" w14:textId="4D8C94F9"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0.0</w:t>
            </w:r>
          </w:p>
        </w:tc>
        <w:tc>
          <w:tcPr>
            <w:tcW w:w="960" w:type="dxa"/>
            <w:tcBorders>
              <w:bottom w:val="nil"/>
            </w:tcBorders>
            <w:shd w:val="clear" w:color="000000" w:fill="E6E6E6"/>
            <w:noWrap/>
            <w:hideMark/>
          </w:tcPr>
          <w:p w14:paraId="7643C5DB" w14:textId="77777777"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0</w:t>
            </w:r>
          </w:p>
        </w:tc>
        <w:tc>
          <w:tcPr>
            <w:tcW w:w="1701" w:type="dxa"/>
            <w:tcBorders>
              <w:bottom w:val="nil"/>
            </w:tcBorders>
            <w:shd w:val="clear" w:color="000000" w:fill="E6E6E6"/>
            <w:noWrap/>
            <w:hideMark/>
          </w:tcPr>
          <w:p w14:paraId="210A64DC" w14:textId="5FF7B220"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0.0</w:t>
            </w:r>
          </w:p>
        </w:tc>
      </w:tr>
      <w:tr w:rsidR="005F2D9C" w:rsidRPr="001B42EA" w14:paraId="542C3A49" w14:textId="77777777" w:rsidTr="001B42EA">
        <w:trPr>
          <w:trHeight w:val="260"/>
        </w:trPr>
        <w:tc>
          <w:tcPr>
            <w:tcW w:w="2580" w:type="dxa"/>
            <w:tcBorders>
              <w:top w:val="nil"/>
              <w:bottom w:val="nil"/>
            </w:tcBorders>
            <w:shd w:val="clear" w:color="000000" w:fill="auto"/>
            <w:noWrap/>
            <w:hideMark/>
          </w:tcPr>
          <w:p w14:paraId="001983CB" w14:textId="77777777" w:rsidR="005F2D9C" w:rsidRPr="0036712D" w:rsidRDefault="005F2D9C" w:rsidP="001B42EA">
            <w:pPr>
              <w:spacing w:before="45" w:after="45" w:line="240" w:lineRule="auto"/>
              <w:ind w:left="57" w:right="108"/>
              <w:rPr>
                <w:rFonts w:eastAsia="Times New Roman" w:cs="Open Sans"/>
                <w:sz w:val="18"/>
                <w:szCs w:val="18"/>
                <w:lang w:eastAsia="en-AU"/>
              </w:rPr>
            </w:pPr>
            <w:r w:rsidRPr="0036712D">
              <w:rPr>
                <w:rFonts w:eastAsia="Times New Roman" w:cs="Open Sans"/>
                <w:sz w:val="18"/>
                <w:szCs w:val="18"/>
                <w:lang w:eastAsia="en-AU"/>
              </w:rPr>
              <w:t>Other minerals</w:t>
            </w:r>
          </w:p>
        </w:tc>
        <w:tc>
          <w:tcPr>
            <w:tcW w:w="2268" w:type="dxa"/>
            <w:tcBorders>
              <w:top w:val="nil"/>
              <w:bottom w:val="nil"/>
            </w:tcBorders>
            <w:shd w:val="clear" w:color="000000" w:fill="auto"/>
            <w:noWrap/>
            <w:hideMark/>
          </w:tcPr>
          <w:p w14:paraId="6DE1B0F9" w14:textId="1D2287C3"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15.7</w:t>
            </w:r>
          </w:p>
        </w:tc>
        <w:tc>
          <w:tcPr>
            <w:tcW w:w="1600" w:type="dxa"/>
            <w:tcBorders>
              <w:top w:val="nil"/>
              <w:bottom w:val="nil"/>
            </w:tcBorders>
            <w:shd w:val="clear" w:color="000000" w:fill="auto"/>
            <w:noWrap/>
            <w:hideMark/>
          </w:tcPr>
          <w:p w14:paraId="064F4370" w14:textId="07897772"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30.</w:t>
            </w:r>
            <w:r w:rsidR="009F6C90" w:rsidRPr="00503CDD">
              <w:rPr>
                <w:rFonts w:eastAsia="Times New Roman" w:cs="Open Sans"/>
                <w:color w:val="000000"/>
                <w:sz w:val="18"/>
                <w:szCs w:val="18"/>
                <w:lang w:eastAsia="en-AU"/>
              </w:rPr>
              <w:t>8</w:t>
            </w:r>
          </w:p>
        </w:tc>
        <w:tc>
          <w:tcPr>
            <w:tcW w:w="960" w:type="dxa"/>
            <w:tcBorders>
              <w:top w:val="nil"/>
              <w:bottom w:val="nil"/>
            </w:tcBorders>
            <w:shd w:val="clear" w:color="000000" w:fill="auto"/>
            <w:noWrap/>
            <w:hideMark/>
          </w:tcPr>
          <w:p w14:paraId="29DACE12" w14:textId="77777777"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7</w:t>
            </w:r>
          </w:p>
        </w:tc>
        <w:tc>
          <w:tcPr>
            <w:tcW w:w="1701" w:type="dxa"/>
            <w:tcBorders>
              <w:top w:val="nil"/>
              <w:bottom w:val="nil"/>
            </w:tcBorders>
            <w:shd w:val="clear" w:color="000000" w:fill="auto"/>
            <w:noWrap/>
            <w:hideMark/>
          </w:tcPr>
          <w:p w14:paraId="4A204CB9" w14:textId="67FEC485"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1.4</w:t>
            </w:r>
          </w:p>
        </w:tc>
      </w:tr>
      <w:tr w:rsidR="005F2D9C" w:rsidRPr="001B42EA" w14:paraId="464ECB5E" w14:textId="77777777" w:rsidTr="001B42EA">
        <w:trPr>
          <w:trHeight w:val="260"/>
        </w:trPr>
        <w:tc>
          <w:tcPr>
            <w:tcW w:w="2580" w:type="dxa"/>
            <w:tcBorders>
              <w:bottom w:val="single" w:sz="4" w:space="0" w:color="B3B3B3"/>
            </w:tcBorders>
            <w:shd w:val="clear" w:color="000000" w:fill="E6E6E6"/>
            <w:noWrap/>
            <w:hideMark/>
          </w:tcPr>
          <w:p w14:paraId="3FC4DDA2" w14:textId="77777777" w:rsidR="005F2D9C" w:rsidRPr="0036712D" w:rsidRDefault="005F2D9C" w:rsidP="001B42EA">
            <w:pPr>
              <w:spacing w:before="45" w:after="45" w:line="240" w:lineRule="auto"/>
              <w:ind w:left="57" w:right="108"/>
              <w:rPr>
                <w:rFonts w:eastAsia="Times New Roman" w:cs="Open Sans"/>
                <w:sz w:val="18"/>
                <w:szCs w:val="18"/>
                <w:lang w:eastAsia="en-AU"/>
              </w:rPr>
            </w:pPr>
            <w:r w:rsidRPr="0036712D">
              <w:rPr>
                <w:rFonts w:eastAsia="Times New Roman" w:cs="Open Sans"/>
                <w:sz w:val="18"/>
                <w:szCs w:val="18"/>
                <w:lang w:eastAsia="en-AU"/>
              </w:rPr>
              <w:t>Other revenue</w:t>
            </w:r>
          </w:p>
        </w:tc>
        <w:tc>
          <w:tcPr>
            <w:tcW w:w="2268" w:type="dxa"/>
            <w:tcBorders>
              <w:bottom w:val="single" w:sz="4" w:space="0" w:color="B3B3B3"/>
            </w:tcBorders>
            <w:shd w:val="clear" w:color="000000" w:fill="E6E6E6"/>
            <w:noWrap/>
            <w:hideMark/>
          </w:tcPr>
          <w:p w14:paraId="7E7764E4" w14:textId="6128D09A"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0.0</w:t>
            </w:r>
          </w:p>
        </w:tc>
        <w:tc>
          <w:tcPr>
            <w:tcW w:w="1600" w:type="dxa"/>
            <w:tcBorders>
              <w:bottom w:val="single" w:sz="4" w:space="0" w:color="B3B3B3"/>
            </w:tcBorders>
            <w:shd w:val="clear" w:color="000000" w:fill="E6E6E6"/>
            <w:noWrap/>
            <w:hideMark/>
          </w:tcPr>
          <w:p w14:paraId="45668540" w14:textId="313979B8"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572.</w:t>
            </w:r>
            <w:r w:rsidR="009F6C90" w:rsidRPr="00503CDD">
              <w:rPr>
                <w:rFonts w:eastAsia="Times New Roman" w:cs="Open Sans"/>
                <w:color w:val="000000"/>
                <w:sz w:val="18"/>
                <w:szCs w:val="18"/>
                <w:lang w:eastAsia="en-AU"/>
              </w:rPr>
              <w:t>9</w:t>
            </w:r>
          </w:p>
        </w:tc>
        <w:tc>
          <w:tcPr>
            <w:tcW w:w="960" w:type="dxa"/>
            <w:tcBorders>
              <w:bottom w:val="single" w:sz="4" w:space="0" w:color="B3B3B3"/>
            </w:tcBorders>
            <w:shd w:val="clear" w:color="000000" w:fill="E6E6E6"/>
            <w:noWrap/>
            <w:hideMark/>
          </w:tcPr>
          <w:p w14:paraId="0912BCFF" w14:textId="77777777"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8</w:t>
            </w:r>
          </w:p>
        </w:tc>
        <w:tc>
          <w:tcPr>
            <w:tcW w:w="1701" w:type="dxa"/>
            <w:tcBorders>
              <w:bottom w:val="single" w:sz="4" w:space="0" w:color="B3B3B3"/>
            </w:tcBorders>
            <w:shd w:val="clear" w:color="000000" w:fill="E6E6E6"/>
            <w:noWrap/>
            <w:hideMark/>
          </w:tcPr>
          <w:p w14:paraId="2EE946D3" w14:textId="49361562" w:rsidR="005F2D9C" w:rsidRPr="00503CDD" w:rsidRDefault="005F2D9C" w:rsidP="001B42EA">
            <w:pPr>
              <w:spacing w:before="45" w:after="45" w:line="240" w:lineRule="auto"/>
              <w:ind w:left="57" w:right="108"/>
              <w:rPr>
                <w:rFonts w:eastAsia="Times New Roman" w:cs="Open Sans"/>
                <w:color w:val="000000"/>
                <w:sz w:val="18"/>
                <w:szCs w:val="18"/>
                <w:lang w:eastAsia="en-AU"/>
              </w:rPr>
            </w:pPr>
            <w:r w:rsidRPr="00503CDD">
              <w:rPr>
                <w:rFonts w:eastAsia="Times New Roman" w:cs="Open Sans"/>
                <w:color w:val="000000"/>
                <w:sz w:val="18"/>
                <w:szCs w:val="18"/>
                <w:lang w:eastAsia="en-AU"/>
              </w:rPr>
              <w:t>30.2</w:t>
            </w:r>
          </w:p>
        </w:tc>
      </w:tr>
    </w:tbl>
    <w:p w14:paraId="7DFB2828" w14:textId="70F441D1" w:rsidR="008F282D" w:rsidRDefault="008F282D">
      <w:pPr>
        <w:pStyle w:val="Note"/>
      </w:pPr>
      <w:r w:rsidRPr="00C36914">
        <w:rPr>
          <w:b/>
          <w:bCs/>
        </w:rPr>
        <w:t>a.</w:t>
      </w:r>
      <w:r w:rsidRPr="00C36914">
        <w:t xml:space="preserve"> </w:t>
      </w:r>
      <w:r w:rsidR="00AE08BD">
        <w:t xml:space="preserve">The average absolute </w:t>
      </w:r>
      <w:r w:rsidR="005F17D3">
        <w:t>i</w:t>
      </w:r>
      <w:r w:rsidR="00180DA1">
        <w:t xml:space="preserve">mpact on </w:t>
      </w:r>
      <w:r w:rsidR="00AE08BD">
        <w:t xml:space="preserve">GST </w:t>
      </w:r>
      <w:r w:rsidR="00180DA1">
        <w:t>payments</w:t>
      </w:r>
      <w:r w:rsidR="00AE08BD">
        <w:t xml:space="preserve"> excludes </w:t>
      </w:r>
      <w:r w:rsidR="00752A6C">
        <w:t xml:space="preserve">the </w:t>
      </w:r>
      <w:r w:rsidR="005F17D3">
        <w:t>impacts</w:t>
      </w:r>
      <w:r w:rsidR="00752A6C">
        <w:t xml:space="preserve"> for states that do not have a share of that revenue base.</w:t>
      </w:r>
      <w:r w:rsidR="000D216F">
        <w:t xml:space="preserve"> The average of the remaining effects is unweighted. </w:t>
      </w:r>
      <w:r w:rsidRPr="00C36914">
        <w:rPr>
          <w:b/>
          <w:bCs/>
        </w:rPr>
        <w:t>b.</w:t>
      </w:r>
      <w:r w:rsidRPr="00C36914">
        <w:t xml:space="preserve"> </w:t>
      </w:r>
      <w:r w:rsidR="00943BE0">
        <w:t xml:space="preserve">The weighting is </w:t>
      </w:r>
      <w:r w:rsidR="00E6716F">
        <w:t>the product of columns (2) and (3)</w:t>
      </w:r>
      <w:r w:rsidR="00943BE0">
        <w:t xml:space="preserve"> </w:t>
      </w:r>
      <w:r w:rsidR="00D73991">
        <w:t xml:space="preserve">for each revenue head </w:t>
      </w:r>
      <w:r w:rsidR="00E6716F">
        <w:t xml:space="preserve">as a </w:t>
      </w:r>
      <w:r w:rsidR="00CB5068">
        <w:t>share of the total sum product</w:t>
      </w:r>
      <w:r w:rsidR="008261EB">
        <w:t xml:space="preserve"> </w:t>
      </w:r>
      <w:r w:rsidR="00E6716F">
        <w:t>of the two columns</w:t>
      </w:r>
      <w:r w:rsidR="008261EB">
        <w:t>. Effectively, this increases the weighting for revenue heads with higher total assessed revenue and a higher number of active states.</w:t>
      </w:r>
    </w:p>
    <w:p w14:paraId="66A2937E" w14:textId="34CA25A4" w:rsidR="008F282D" w:rsidRDefault="008F282D" w:rsidP="00314C49">
      <w:pPr>
        <w:pStyle w:val="Source"/>
      </w:pPr>
      <w:r w:rsidRPr="008951B1">
        <w:t xml:space="preserve">Source: </w:t>
      </w:r>
      <w:r w:rsidR="008A5AEC">
        <w:t>PC analysis based on CGC (unpublished data)</w:t>
      </w:r>
    </w:p>
    <w:p w14:paraId="572C53BA" w14:textId="7067D512" w:rsidR="00BE5507" w:rsidRPr="00F64146" w:rsidRDefault="00AE0AF1" w:rsidP="00F64146">
      <w:pPr>
        <w:pStyle w:val="FigureTableHeading"/>
        <w:rPr>
          <w:lang w:bidi="th-TH"/>
        </w:rPr>
      </w:pPr>
      <w:r>
        <w:t>Table C.</w:t>
      </w:r>
      <w:fldSimple w:instr=" SEQ Table \* ARABIC \s 1 ">
        <w:r w:rsidR="002D76C4">
          <w:rPr>
            <w:noProof/>
          </w:rPr>
          <w:t>14</w:t>
        </w:r>
      </w:fldSimple>
      <w:r>
        <w:rPr>
          <w:noProof/>
        </w:rPr>
        <w:t xml:space="preserve"> – subs</w:t>
      </w:r>
      <w:r w:rsidR="00912180">
        <w:rPr>
          <w:noProof/>
        </w:rPr>
        <w:t>e</w:t>
      </w:r>
      <w:r>
        <w:rPr>
          <w:noProof/>
        </w:rPr>
        <w:t xml:space="preserve">quent </w:t>
      </w:r>
      <w:r w:rsidR="004615F0">
        <w:rPr>
          <w:noProof/>
        </w:rPr>
        <w:t xml:space="preserve">modelling </w:t>
      </w:r>
      <w:r>
        <w:rPr>
          <w:noProof/>
        </w:rPr>
        <w:t xml:space="preserve">steps for </w:t>
      </w:r>
      <w:r w:rsidR="00F64146">
        <w:rPr>
          <w:b/>
          <w:bCs/>
          <w:kern w:val="2"/>
          <w:lang w:eastAsia="zh-CN" w:bidi="th-TH"/>
          <w14:ligatures w14:val="standardContextual"/>
        </w:rPr>
        <w:t>a</w:t>
      </w:r>
      <w:r w:rsidR="00BE5507">
        <w:rPr>
          <w:b/>
          <w:bCs/>
          <w:kern w:val="2"/>
          <w:lang w:eastAsia="zh-CN" w:bidi="th-TH"/>
          <w14:ligatures w14:val="standardContextual"/>
        </w:rPr>
        <w:t>verage maximum measure</w:t>
      </w:r>
    </w:p>
    <w:tbl>
      <w:tblPr>
        <w:tblStyle w:val="ProductivityCommissionTable2-Dark"/>
        <w:tblW w:w="0" w:type="auto"/>
        <w:tblBorders>
          <w:insideH w:val="none" w:sz="0" w:space="0" w:color="auto"/>
        </w:tblBorders>
        <w:shd w:val="clear" w:color="000000" w:fill="auto"/>
        <w:tblLayout w:type="fixed"/>
        <w:tblCellMar>
          <w:top w:w="0" w:type="dxa"/>
          <w:left w:w="0" w:type="dxa"/>
          <w:bottom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383"/>
        <w:gridCol w:w="9255"/>
      </w:tblGrid>
      <w:tr w:rsidR="00BE5507" w:rsidRPr="002D76C4" w14:paraId="45A055B7" w14:textId="77777777" w:rsidTr="002D76C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3" w:type="dxa"/>
            <w:tcBorders>
              <w:bottom w:val="single" w:sz="4" w:space="0" w:color="B3B3B3"/>
            </w:tcBorders>
            <w:shd w:val="clear" w:color="000000" w:fill="auto"/>
            <w:vAlign w:val="bottom"/>
          </w:tcPr>
          <w:p w14:paraId="5A94F144" w14:textId="77777777" w:rsidR="00BE5507" w:rsidRPr="002D76C4" w:rsidRDefault="00BE5507" w:rsidP="002D76C4">
            <w:pPr>
              <w:spacing w:before="45" w:after="45"/>
              <w:ind w:left="57" w:right="108"/>
              <w:rPr>
                <w:rFonts w:cs="Open Sans"/>
                <w:color w:val="1D4374"/>
                <w:sz w:val="18"/>
              </w:rPr>
            </w:pPr>
            <w:r w:rsidRPr="002D76C4">
              <w:rPr>
                <w:rFonts w:cs="Open Sans"/>
                <w:color w:val="1D4374"/>
                <w:sz w:val="18"/>
              </w:rPr>
              <w:t>#</w:t>
            </w:r>
          </w:p>
        </w:tc>
        <w:tc>
          <w:tcPr>
            <w:tcW w:w="9255" w:type="dxa"/>
            <w:tcBorders>
              <w:bottom w:val="single" w:sz="4" w:space="0" w:color="B3B3B3"/>
            </w:tcBorders>
            <w:shd w:val="clear" w:color="000000" w:fill="auto"/>
            <w:vAlign w:val="bottom"/>
          </w:tcPr>
          <w:p w14:paraId="1EF8B0B8" w14:textId="77777777" w:rsidR="00BE5507" w:rsidRPr="002D76C4" w:rsidRDefault="00BE5507" w:rsidP="002D76C4">
            <w:pPr>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2D76C4">
              <w:rPr>
                <w:rFonts w:cs="Open Sans"/>
                <w:color w:val="1D4374"/>
                <w:sz w:val="18"/>
              </w:rPr>
              <w:t>Step</w:t>
            </w:r>
          </w:p>
        </w:tc>
      </w:tr>
      <w:tr w:rsidR="00BE5507" w:rsidRPr="002D76C4" w14:paraId="603BA029" w14:textId="77777777" w:rsidTr="002D7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dxa"/>
            <w:tcBorders>
              <w:top w:val="single" w:sz="4" w:space="0" w:color="B3B3B3"/>
              <w:bottom w:val="nil"/>
            </w:tcBorders>
            <w:shd w:val="clear" w:color="000000" w:fill="E6E6E6"/>
            <w:hideMark/>
          </w:tcPr>
          <w:p w14:paraId="33052346" w14:textId="05CC433C" w:rsidR="00BE5507" w:rsidRPr="002D76C4" w:rsidRDefault="00B77EE3" w:rsidP="002D76C4">
            <w:pPr>
              <w:pStyle w:val="TableBody"/>
              <w:spacing w:before="45" w:after="45"/>
              <w:ind w:right="108"/>
              <w:rPr>
                <w:rFonts w:cs="Open Sans"/>
                <w:color w:val="1D4374"/>
                <w:lang w:eastAsia="zh-CN" w:bidi="th-TH"/>
              </w:rPr>
            </w:pPr>
            <w:r w:rsidRPr="002D76C4">
              <w:rPr>
                <w:rFonts w:cs="Open Sans"/>
                <w:color w:val="1D4374"/>
                <w:lang w:eastAsia="zh-CN" w:bidi="th-TH"/>
              </w:rPr>
              <w:t>C</w:t>
            </w:r>
            <w:r w:rsidR="00BE5507" w:rsidRPr="002D76C4">
              <w:rPr>
                <w:rFonts w:cs="Open Sans"/>
                <w:color w:val="1D4374"/>
                <w:lang w:eastAsia="zh-CN" w:bidi="th-TH"/>
              </w:rPr>
              <w:t>1</w:t>
            </w:r>
          </w:p>
        </w:tc>
        <w:tc>
          <w:tcPr>
            <w:tcW w:w="9255" w:type="dxa"/>
            <w:tcBorders>
              <w:top w:val="single" w:sz="4" w:space="0" w:color="B3B3B3"/>
              <w:bottom w:val="nil"/>
            </w:tcBorders>
            <w:shd w:val="clear" w:color="000000" w:fill="E6E6E6"/>
            <w:hideMark/>
          </w:tcPr>
          <w:p w14:paraId="67270D71" w14:textId="1AEB689C" w:rsidR="00BE5507" w:rsidRPr="002D76C4" w:rsidRDefault="00BE5507" w:rsidP="002D76C4">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2D76C4">
              <w:rPr>
                <w:rStyle w:val="Strong"/>
                <w:rFonts w:cs="Open Sans"/>
                <w:b w:val="0"/>
                <w:color w:val="000000"/>
              </w:rPr>
              <w:t>For the first alternative GST distribution system in table C.</w:t>
            </w:r>
            <w:r w:rsidR="006E2CE7" w:rsidRPr="002D76C4">
              <w:rPr>
                <w:rStyle w:val="Strong"/>
                <w:rFonts w:cs="Open Sans"/>
                <w:b w:val="0"/>
                <w:color w:val="000000"/>
              </w:rPr>
              <w:t>3</w:t>
            </w:r>
            <w:r w:rsidRPr="002D76C4">
              <w:rPr>
                <w:rStyle w:val="Strong"/>
                <w:rFonts w:cs="Open Sans"/>
                <w:b w:val="0"/>
                <w:color w:val="000000"/>
              </w:rPr>
              <w:t xml:space="preserve">, the </w:t>
            </w:r>
            <w:r w:rsidR="009D09F2" w:rsidRPr="002D76C4">
              <w:rPr>
                <w:rStyle w:val="Strong"/>
                <w:rFonts w:cs="Open Sans"/>
                <w:b w:val="0"/>
                <w:color w:val="000000"/>
              </w:rPr>
              <w:t>maximum</w:t>
            </w:r>
            <w:r w:rsidRPr="002D76C4">
              <w:rPr>
                <w:rStyle w:val="Strong"/>
                <w:rFonts w:cs="Open Sans"/>
                <w:b w:val="0"/>
                <w:color w:val="000000"/>
              </w:rPr>
              <w:t xml:space="preserve"> non-excluded </w:t>
            </w:r>
            <w:r w:rsidR="000E456B" w:rsidRPr="002D76C4">
              <w:rPr>
                <w:rStyle w:val="Strong"/>
                <w:rFonts w:cs="Open Sans"/>
                <w:b w:val="0"/>
                <w:color w:val="000000"/>
              </w:rPr>
              <w:t>i</w:t>
            </w:r>
            <w:r w:rsidR="00180DA1" w:rsidRPr="002D76C4">
              <w:rPr>
                <w:rStyle w:val="Strong"/>
                <w:rFonts w:cs="Open Sans"/>
                <w:b w:val="0"/>
                <w:color w:val="000000"/>
              </w:rPr>
              <w:t>mpact on GST payments</w:t>
            </w:r>
            <w:r w:rsidRPr="002D76C4">
              <w:rPr>
                <w:rStyle w:val="Strong"/>
                <w:rFonts w:cs="Open Sans"/>
                <w:b w:val="0"/>
                <w:color w:val="000000"/>
              </w:rPr>
              <w:t xml:space="preserve"> </w:t>
            </w:r>
            <w:r w:rsidR="00D06711" w:rsidRPr="002D76C4">
              <w:rPr>
                <w:rStyle w:val="Strong"/>
                <w:rFonts w:cs="Open Sans"/>
                <w:b w:val="0"/>
                <w:color w:val="000000"/>
              </w:rPr>
              <w:t>across all shocked revenue heads</w:t>
            </w:r>
            <w:r w:rsidRPr="002D76C4">
              <w:rPr>
                <w:rStyle w:val="Strong"/>
                <w:rFonts w:cs="Open Sans"/>
                <w:b w:val="0"/>
                <w:color w:val="000000"/>
              </w:rPr>
              <w:t xml:space="preserve"> was taken for each </w:t>
            </w:r>
            <w:r w:rsidR="00D06711" w:rsidRPr="002D76C4">
              <w:rPr>
                <w:rStyle w:val="Strong"/>
                <w:rFonts w:cs="Open Sans"/>
                <w:b w:val="0"/>
                <w:color w:val="000000"/>
              </w:rPr>
              <w:t>state</w:t>
            </w:r>
            <w:r w:rsidRPr="002D76C4">
              <w:rPr>
                <w:rStyle w:val="Strong"/>
                <w:rFonts w:cs="Open Sans"/>
                <w:b w:val="0"/>
                <w:color w:val="000000"/>
              </w:rPr>
              <w:t>.</w:t>
            </w:r>
          </w:p>
        </w:tc>
      </w:tr>
      <w:tr w:rsidR="00BE5507" w:rsidRPr="002D76C4" w14:paraId="282B76F9" w14:textId="77777777" w:rsidTr="002D76C4">
        <w:tc>
          <w:tcPr>
            <w:cnfStyle w:val="001000000000" w:firstRow="0" w:lastRow="0" w:firstColumn="1" w:lastColumn="0" w:oddVBand="0" w:evenVBand="0" w:oddHBand="0" w:evenHBand="0" w:firstRowFirstColumn="0" w:firstRowLastColumn="0" w:lastRowFirstColumn="0" w:lastRowLastColumn="0"/>
            <w:tcW w:w="383" w:type="dxa"/>
            <w:tcBorders>
              <w:top w:val="nil"/>
              <w:bottom w:val="nil"/>
            </w:tcBorders>
            <w:shd w:val="clear" w:color="000000" w:fill="auto"/>
          </w:tcPr>
          <w:p w14:paraId="6A7C2540" w14:textId="0E4540F0" w:rsidR="00BE5507" w:rsidRPr="002D76C4" w:rsidRDefault="00B77EE3" w:rsidP="002D76C4">
            <w:pPr>
              <w:pStyle w:val="TableBody"/>
              <w:spacing w:before="45" w:after="45"/>
              <w:ind w:right="108"/>
              <w:rPr>
                <w:rFonts w:cs="Open Sans"/>
                <w:color w:val="1D4374"/>
              </w:rPr>
            </w:pPr>
            <w:r w:rsidRPr="002D76C4">
              <w:rPr>
                <w:rFonts w:cs="Open Sans"/>
                <w:color w:val="1D4374"/>
              </w:rPr>
              <w:t>C</w:t>
            </w:r>
            <w:r w:rsidR="00BE5507" w:rsidRPr="002D76C4">
              <w:rPr>
                <w:rFonts w:cs="Open Sans"/>
                <w:color w:val="1D4374"/>
              </w:rPr>
              <w:t>2</w:t>
            </w:r>
          </w:p>
        </w:tc>
        <w:tc>
          <w:tcPr>
            <w:tcW w:w="9255" w:type="dxa"/>
            <w:tcBorders>
              <w:top w:val="nil"/>
              <w:bottom w:val="nil"/>
            </w:tcBorders>
            <w:shd w:val="clear" w:color="000000" w:fill="auto"/>
          </w:tcPr>
          <w:p w14:paraId="37ADF8B8" w14:textId="01A25CA0" w:rsidR="00BE5507" w:rsidRPr="002D76C4" w:rsidRDefault="00B77EE3" w:rsidP="002D76C4">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2D76C4">
              <w:rPr>
                <w:rFonts w:cs="Open Sans"/>
                <w:color w:val="000000"/>
              </w:rPr>
              <w:t>An unweighted average of the maximums recorded in step C1 was taken</w:t>
            </w:r>
            <w:r w:rsidR="00D42F34" w:rsidRPr="002D76C4">
              <w:rPr>
                <w:rFonts w:cs="Open Sans"/>
                <w:color w:val="000000"/>
              </w:rPr>
              <w:t>. This is the average maximum measure for the GST distribution system.</w:t>
            </w:r>
          </w:p>
        </w:tc>
      </w:tr>
      <w:tr w:rsidR="00BE5507" w:rsidRPr="002D76C4" w14:paraId="535F35E9" w14:textId="77777777" w:rsidTr="002D7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dxa"/>
            <w:tcBorders>
              <w:bottom w:val="single" w:sz="4" w:space="0" w:color="B3B3B3"/>
            </w:tcBorders>
            <w:shd w:val="clear" w:color="000000" w:fill="E6E6E6"/>
          </w:tcPr>
          <w:p w14:paraId="267FF6EA" w14:textId="0081F8AB" w:rsidR="00BE5507" w:rsidRPr="002D76C4" w:rsidRDefault="006B414D" w:rsidP="002D76C4">
            <w:pPr>
              <w:pStyle w:val="TableBody"/>
              <w:spacing w:before="45" w:after="45"/>
              <w:ind w:right="108"/>
              <w:rPr>
                <w:rFonts w:cs="Open Sans"/>
                <w:color w:val="1D4374"/>
              </w:rPr>
            </w:pPr>
            <w:r w:rsidRPr="002D76C4">
              <w:rPr>
                <w:rFonts w:cs="Open Sans"/>
                <w:color w:val="1D4374"/>
              </w:rPr>
              <w:t>C</w:t>
            </w:r>
            <w:r w:rsidR="00BE5507" w:rsidRPr="002D76C4">
              <w:rPr>
                <w:rFonts w:cs="Open Sans"/>
                <w:color w:val="1D4374"/>
              </w:rPr>
              <w:t>3</w:t>
            </w:r>
          </w:p>
        </w:tc>
        <w:tc>
          <w:tcPr>
            <w:tcW w:w="9255" w:type="dxa"/>
            <w:tcBorders>
              <w:bottom w:val="single" w:sz="4" w:space="0" w:color="B3B3B3"/>
            </w:tcBorders>
            <w:shd w:val="clear" w:color="000000" w:fill="E6E6E6"/>
          </w:tcPr>
          <w:p w14:paraId="16303B4A" w14:textId="108C5026" w:rsidR="00BE5507" w:rsidRPr="002D76C4" w:rsidRDefault="00D42F34" w:rsidP="002D76C4">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2D76C4">
              <w:rPr>
                <w:rFonts w:cs="Open Sans"/>
                <w:color w:val="000000"/>
              </w:rPr>
              <w:t>Steps C1 and C2 were repeated for all alternative GST distribution systems in table C.</w:t>
            </w:r>
            <w:r w:rsidR="006E2CE7" w:rsidRPr="002D76C4">
              <w:rPr>
                <w:rFonts w:cs="Open Sans"/>
                <w:color w:val="000000"/>
              </w:rPr>
              <w:t>3</w:t>
            </w:r>
            <w:r w:rsidRPr="002D76C4">
              <w:rPr>
                <w:rFonts w:cs="Open Sans"/>
                <w:color w:val="000000"/>
              </w:rPr>
              <w:t>.</w:t>
            </w:r>
          </w:p>
        </w:tc>
      </w:tr>
    </w:tbl>
    <w:p w14:paraId="03E4BECD" w14:textId="77777777" w:rsidR="00F41B3F" w:rsidRDefault="00F41B3F" w:rsidP="00F41B3F">
      <w:pPr>
        <w:pStyle w:val="BodyText"/>
      </w:pPr>
      <w:r>
        <w:br w:type="page"/>
      </w:r>
    </w:p>
    <w:p w14:paraId="7E37D116" w14:textId="410F52B5" w:rsidR="004E0945" w:rsidRDefault="004E0945" w:rsidP="004E0945">
      <w:pPr>
        <w:pStyle w:val="Heading3-noTOC"/>
      </w:pPr>
      <w:r>
        <w:lastRenderedPageBreak/>
        <w:t>Data</w:t>
      </w:r>
    </w:p>
    <w:p w14:paraId="50F05857" w14:textId="2F351E27" w:rsidR="00EB0860" w:rsidRDefault="00EB0860" w:rsidP="00EB0860">
      <w:r>
        <w:t>This modelling used the outputs from</w:t>
      </w:r>
      <w:r w:rsidR="00B3768E">
        <w:t xml:space="preserve"> the</w:t>
      </w:r>
      <w:r>
        <w:t xml:space="preserve"> PC GST Model and CGC </w:t>
      </w:r>
      <w:r w:rsidR="00720D52">
        <w:t>data.</w:t>
      </w:r>
    </w:p>
    <w:p w14:paraId="1A07A40B" w14:textId="3105BF3D" w:rsidR="00BB0787" w:rsidRDefault="00BB0787" w:rsidP="00BB0787">
      <w:pPr>
        <w:pStyle w:val="FigureTableHeading"/>
      </w:pPr>
      <w:r>
        <w:t>Table C.</w:t>
      </w:r>
      <w:fldSimple w:instr=" SEQ Table \* ARABIC \s 1 ">
        <w:r w:rsidR="002D76C4">
          <w:rPr>
            <w:noProof/>
          </w:rPr>
          <w:t>15</w:t>
        </w:r>
      </w:fldSimple>
      <w:r>
        <w:rPr>
          <w:noProof/>
        </w:rPr>
        <w:t xml:space="preserve"> – </w:t>
      </w:r>
      <w:r w:rsidR="008951B1">
        <w:rPr>
          <w:noProof/>
        </w:rPr>
        <w:t>E</w:t>
      </w:r>
      <w:r>
        <w:rPr>
          <w:noProof/>
        </w:rPr>
        <w:t>fficiency framework measure data sources</w:t>
      </w:r>
    </w:p>
    <w:tbl>
      <w:tblPr>
        <w:tblStyle w:val="ProductivityCommissionTable2-Dark"/>
        <w:tblW w:w="0" w:type="auto"/>
        <w:tblBorders>
          <w:insideH w:val="none" w:sz="0" w:space="0" w:color="auto"/>
        </w:tblBorders>
        <w:shd w:val="clear" w:color="000000" w:fill="auto"/>
        <w:tblCellMar>
          <w:top w:w="0" w:type="dxa"/>
          <w:left w:w="0" w:type="dxa"/>
          <w:bottom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746"/>
        <w:gridCol w:w="3943"/>
        <w:gridCol w:w="1389"/>
        <w:gridCol w:w="1863"/>
        <w:gridCol w:w="697"/>
      </w:tblGrid>
      <w:tr w:rsidR="004D2B52" w:rsidRPr="008951B1" w14:paraId="256306C7" w14:textId="77777777" w:rsidTr="008951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B3B3B3"/>
            </w:tcBorders>
            <w:shd w:val="clear" w:color="000000" w:fill="auto"/>
            <w:vAlign w:val="bottom"/>
          </w:tcPr>
          <w:p w14:paraId="3E5D2663" w14:textId="77777777" w:rsidR="004D2B52" w:rsidRPr="008951B1" w:rsidRDefault="004D2B52" w:rsidP="008951B1">
            <w:pPr>
              <w:spacing w:before="45" w:after="45"/>
              <w:ind w:left="57" w:right="108"/>
              <w:rPr>
                <w:rFonts w:cs="Open Sans"/>
                <w:color w:val="1D4374"/>
                <w:sz w:val="18"/>
              </w:rPr>
            </w:pPr>
            <w:r w:rsidRPr="008951B1">
              <w:rPr>
                <w:rFonts w:cs="Open Sans"/>
                <w:color w:val="1D4374"/>
                <w:sz w:val="18"/>
              </w:rPr>
              <w:t>Dataset</w:t>
            </w:r>
          </w:p>
        </w:tc>
        <w:tc>
          <w:tcPr>
            <w:tcW w:w="0" w:type="auto"/>
            <w:tcBorders>
              <w:bottom w:val="single" w:sz="4" w:space="0" w:color="B3B3B3"/>
            </w:tcBorders>
            <w:shd w:val="clear" w:color="000000" w:fill="auto"/>
            <w:vAlign w:val="bottom"/>
          </w:tcPr>
          <w:p w14:paraId="1696854D" w14:textId="77777777" w:rsidR="004D2B52" w:rsidRPr="008951B1" w:rsidRDefault="004D2B52" w:rsidP="008951B1">
            <w:pPr>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8951B1">
              <w:rPr>
                <w:rFonts w:cs="Open Sans"/>
                <w:color w:val="1D4374"/>
                <w:sz w:val="18"/>
              </w:rPr>
              <w:t>Variables</w:t>
            </w:r>
          </w:p>
        </w:tc>
        <w:tc>
          <w:tcPr>
            <w:tcW w:w="0" w:type="auto"/>
            <w:tcBorders>
              <w:bottom w:val="single" w:sz="4" w:space="0" w:color="B3B3B3"/>
            </w:tcBorders>
            <w:shd w:val="clear" w:color="000000" w:fill="auto"/>
            <w:vAlign w:val="bottom"/>
          </w:tcPr>
          <w:p w14:paraId="27848C94" w14:textId="77777777" w:rsidR="004D2B52" w:rsidRPr="008951B1" w:rsidRDefault="004D2B52" w:rsidP="008951B1">
            <w:pPr>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8951B1">
              <w:rPr>
                <w:rFonts w:cs="Open Sans"/>
                <w:color w:val="1D4374"/>
                <w:sz w:val="18"/>
              </w:rPr>
              <w:t>Years</w:t>
            </w:r>
          </w:p>
        </w:tc>
        <w:tc>
          <w:tcPr>
            <w:tcW w:w="0" w:type="auto"/>
            <w:tcBorders>
              <w:bottom w:val="single" w:sz="4" w:space="0" w:color="B3B3B3"/>
            </w:tcBorders>
            <w:shd w:val="clear" w:color="000000" w:fill="auto"/>
            <w:vAlign w:val="bottom"/>
          </w:tcPr>
          <w:p w14:paraId="2311C6AF" w14:textId="77777777" w:rsidR="004D2B52" w:rsidRPr="008951B1" w:rsidRDefault="004D2B52" w:rsidP="008951B1">
            <w:pPr>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8951B1">
              <w:rPr>
                <w:rFonts w:cs="Open Sans"/>
                <w:color w:val="1D4374"/>
                <w:sz w:val="18"/>
              </w:rPr>
              <w:t>Source</w:t>
            </w:r>
          </w:p>
        </w:tc>
        <w:tc>
          <w:tcPr>
            <w:tcW w:w="0" w:type="auto"/>
            <w:tcBorders>
              <w:bottom w:val="single" w:sz="4" w:space="0" w:color="B3B3B3"/>
            </w:tcBorders>
            <w:shd w:val="clear" w:color="000000" w:fill="auto"/>
            <w:vAlign w:val="bottom"/>
          </w:tcPr>
          <w:p w14:paraId="7BFFF4E6" w14:textId="77777777" w:rsidR="004D2B52" w:rsidRPr="008951B1" w:rsidRDefault="004D2B52" w:rsidP="008951B1">
            <w:pPr>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8951B1">
              <w:rPr>
                <w:rFonts w:cs="Open Sans"/>
                <w:color w:val="1D4374"/>
                <w:sz w:val="18"/>
              </w:rPr>
              <w:t>Notes</w:t>
            </w:r>
          </w:p>
        </w:tc>
      </w:tr>
      <w:tr w:rsidR="004D2B52" w:rsidRPr="008951B1" w14:paraId="068C75DA" w14:textId="77777777" w:rsidTr="00895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3B3B3"/>
              <w:bottom w:val="nil"/>
            </w:tcBorders>
            <w:shd w:val="clear" w:color="000000" w:fill="E6E6E6"/>
          </w:tcPr>
          <w:p w14:paraId="6307D76F" w14:textId="1A5228E7" w:rsidR="004D2B52" w:rsidRPr="00AB5063" w:rsidRDefault="000824FF" w:rsidP="008951B1">
            <w:pPr>
              <w:pStyle w:val="TableBody"/>
              <w:spacing w:before="45" w:after="45"/>
              <w:ind w:right="108"/>
              <w:rPr>
                <w:rFonts w:cs="Open Sans"/>
                <w:b w:val="0"/>
                <w:color w:val="auto"/>
              </w:rPr>
            </w:pPr>
            <w:r w:rsidRPr="00AB5063">
              <w:rPr>
                <w:rFonts w:cs="Open Sans"/>
                <w:b w:val="0"/>
                <w:color w:val="auto"/>
              </w:rPr>
              <w:t>PC GST model outputs</w:t>
            </w:r>
          </w:p>
        </w:tc>
        <w:tc>
          <w:tcPr>
            <w:tcW w:w="0" w:type="auto"/>
            <w:tcBorders>
              <w:top w:val="single" w:sz="4" w:space="0" w:color="B3B3B3"/>
              <w:bottom w:val="nil"/>
            </w:tcBorders>
            <w:shd w:val="clear" w:color="000000" w:fill="E6E6E6"/>
          </w:tcPr>
          <w:p w14:paraId="3EE0A0AE" w14:textId="6444BDEB" w:rsidR="004D2B52" w:rsidRPr="008951B1" w:rsidRDefault="00D30315" w:rsidP="008951B1">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8951B1">
              <w:rPr>
                <w:rFonts w:cs="Open Sans"/>
                <w:color w:val="000000"/>
              </w:rPr>
              <w:t>GST payments</w:t>
            </w:r>
            <w:r w:rsidR="00803D5F" w:rsidRPr="008951B1">
              <w:rPr>
                <w:rFonts w:cs="Open Sans"/>
                <w:color w:val="000000"/>
              </w:rPr>
              <w:t xml:space="preserve">; </w:t>
            </w:r>
            <w:proofErr w:type="spellStart"/>
            <w:r w:rsidRPr="008951B1">
              <w:rPr>
                <w:rFonts w:cs="Open Sans"/>
                <w:color w:val="000000"/>
              </w:rPr>
              <w:t>NoWO</w:t>
            </w:r>
            <w:proofErr w:type="spellEnd"/>
            <w:r w:rsidRPr="008951B1">
              <w:rPr>
                <w:rFonts w:cs="Open Sans"/>
                <w:color w:val="000000"/>
              </w:rPr>
              <w:t xml:space="preserve"> payments</w:t>
            </w:r>
            <w:r w:rsidR="00384A4C" w:rsidRPr="008951B1">
              <w:rPr>
                <w:rFonts w:cs="Open Sans"/>
                <w:color w:val="000000"/>
              </w:rPr>
              <w:t xml:space="preserve"> by state, year and model</w:t>
            </w:r>
          </w:p>
        </w:tc>
        <w:tc>
          <w:tcPr>
            <w:tcW w:w="0" w:type="auto"/>
            <w:tcBorders>
              <w:top w:val="single" w:sz="4" w:space="0" w:color="B3B3B3"/>
              <w:bottom w:val="nil"/>
            </w:tcBorders>
            <w:shd w:val="clear" w:color="000000" w:fill="E6E6E6"/>
          </w:tcPr>
          <w:p w14:paraId="4A810781" w14:textId="779DA424" w:rsidR="004D2B52" w:rsidRPr="008951B1" w:rsidRDefault="001A4D40" w:rsidP="008951B1">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8951B1">
              <w:rPr>
                <w:rFonts w:cs="Open Sans"/>
                <w:color w:val="000000"/>
              </w:rPr>
              <w:t>2024 inquiry year</w:t>
            </w:r>
          </w:p>
        </w:tc>
        <w:tc>
          <w:tcPr>
            <w:tcW w:w="0" w:type="auto"/>
            <w:tcBorders>
              <w:top w:val="single" w:sz="4" w:space="0" w:color="B3B3B3"/>
              <w:bottom w:val="nil"/>
            </w:tcBorders>
            <w:shd w:val="clear" w:color="000000" w:fill="E6E6E6"/>
          </w:tcPr>
          <w:p w14:paraId="5309C6F7" w14:textId="18E01669" w:rsidR="004D2B52" w:rsidRPr="008951B1" w:rsidRDefault="001A4D40" w:rsidP="008951B1">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8951B1">
              <w:rPr>
                <w:rFonts w:cs="Open Sans"/>
                <w:color w:val="000000"/>
              </w:rPr>
              <w:t>Internal PC calculations</w:t>
            </w:r>
          </w:p>
        </w:tc>
        <w:tc>
          <w:tcPr>
            <w:tcW w:w="0" w:type="auto"/>
            <w:tcBorders>
              <w:top w:val="single" w:sz="4" w:space="0" w:color="B3B3B3"/>
              <w:bottom w:val="nil"/>
            </w:tcBorders>
            <w:shd w:val="clear" w:color="000000" w:fill="E6E6E6"/>
          </w:tcPr>
          <w:p w14:paraId="3922C92C" w14:textId="054E71A7" w:rsidR="004D2B52" w:rsidRPr="008951B1" w:rsidRDefault="00093FD6" w:rsidP="008951B1">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t>–</w:t>
            </w:r>
          </w:p>
        </w:tc>
      </w:tr>
      <w:tr w:rsidR="000824FF" w:rsidRPr="008951B1" w14:paraId="542B1458" w14:textId="77777777" w:rsidTr="008951B1">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000000" w:fill="auto"/>
          </w:tcPr>
          <w:p w14:paraId="60B284DA" w14:textId="089BDC65" w:rsidR="000824FF" w:rsidRPr="00AB5063" w:rsidRDefault="005F57A4" w:rsidP="008951B1">
            <w:pPr>
              <w:pStyle w:val="TableBody"/>
              <w:spacing w:before="45" w:after="45"/>
              <w:ind w:right="108"/>
              <w:rPr>
                <w:rFonts w:cs="Open Sans"/>
                <w:b w:val="0"/>
                <w:color w:val="auto"/>
              </w:rPr>
            </w:pPr>
            <w:r w:rsidRPr="00AB5063">
              <w:rPr>
                <w:rFonts w:cs="Open Sans"/>
                <w:b w:val="0"/>
                <w:color w:val="auto"/>
              </w:rPr>
              <w:t>Assessed Budget</w:t>
            </w:r>
          </w:p>
        </w:tc>
        <w:tc>
          <w:tcPr>
            <w:tcW w:w="0" w:type="auto"/>
            <w:tcBorders>
              <w:top w:val="nil"/>
            </w:tcBorders>
            <w:shd w:val="clear" w:color="000000" w:fill="auto"/>
          </w:tcPr>
          <w:p w14:paraId="3B9F7D02" w14:textId="4638CCD6" w:rsidR="000824FF" w:rsidRPr="008951B1" w:rsidRDefault="005F57A4" w:rsidP="008951B1">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8951B1">
              <w:rPr>
                <w:rFonts w:cs="Open Sans"/>
                <w:color w:val="000000"/>
              </w:rPr>
              <w:t>Assessed revenue by</w:t>
            </w:r>
            <w:r w:rsidR="005C3BFB" w:rsidRPr="008951B1">
              <w:rPr>
                <w:rFonts w:cs="Open Sans"/>
                <w:color w:val="000000"/>
              </w:rPr>
              <w:t xml:space="preserve"> </w:t>
            </w:r>
            <w:r w:rsidRPr="008951B1">
              <w:rPr>
                <w:rFonts w:cs="Open Sans"/>
                <w:color w:val="000000"/>
              </w:rPr>
              <w:t>revenue head and state</w:t>
            </w:r>
          </w:p>
        </w:tc>
        <w:tc>
          <w:tcPr>
            <w:tcW w:w="0" w:type="auto"/>
            <w:tcBorders>
              <w:top w:val="nil"/>
            </w:tcBorders>
            <w:shd w:val="clear" w:color="000000" w:fill="auto"/>
          </w:tcPr>
          <w:p w14:paraId="708B7916" w14:textId="40EA0CFD" w:rsidR="000824FF" w:rsidRPr="008951B1" w:rsidRDefault="00B41D17" w:rsidP="008951B1">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Pr>
                <w:rFonts w:cs="Open Sans"/>
                <w:color w:val="000000"/>
              </w:rPr>
              <w:t>2024–25</w:t>
            </w:r>
          </w:p>
        </w:tc>
        <w:tc>
          <w:tcPr>
            <w:tcW w:w="0" w:type="auto"/>
            <w:tcBorders>
              <w:top w:val="nil"/>
            </w:tcBorders>
            <w:shd w:val="clear" w:color="000000" w:fill="auto"/>
          </w:tcPr>
          <w:p w14:paraId="31B12626" w14:textId="6313495E" w:rsidR="000824FF" w:rsidRPr="008951B1" w:rsidRDefault="006367DF" w:rsidP="008951B1">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8951B1">
              <w:rPr>
                <w:rFonts w:cs="Open Sans"/>
                <w:color w:val="000000"/>
                <w:szCs w:val="24"/>
              </w:rPr>
              <w:t>CGC </w:t>
            </w:r>
            <w:r w:rsidR="00646454" w:rsidRPr="008951B1">
              <w:rPr>
                <w:rFonts w:cs="Open Sans"/>
                <w:color w:val="000000"/>
                <w:szCs w:val="24"/>
              </w:rPr>
              <w:t>(</w:t>
            </w:r>
            <w:r w:rsidRPr="008951B1">
              <w:rPr>
                <w:rFonts w:cs="Open Sans"/>
                <w:color w:val="000000"/>
                <w:szCs w:val="24"/>
              </w:rPr>
              <w:t>2024)</w:t>
            </w:r>
          </w:p>
        </w:tc>
        <w:tc>
          <w:tcPr>
            <w:tcW w:w="0" w:type="auto"/>
            <w:tcBorders>
              <w:top w:val="nil"/>
            </w:tcBorders>
            <w:shd w:val="clear" w:color="000000" w:fill="auto"/>
          </w:tcPr>
          <w:p w14:paraId="74113BAB" w14:textId="28669B7B" w:rsidR="000824FF" w:rsidRPr="008951B1" w:rsidRDefault="00093FD6" w:rsidP="008951B1">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t>–</w:t>
            </w:r>
          </w:p>
        </w:tc>
      </w:tr>
    </w:tbl>
    <w:p w14:paraId="5AB13EF6" w14:textId="77777777" w:rsidR="004E0945" w:rsidRDefault="004E0945" w:rsidP="004E0945">
      <w:pPr>
        <w:pStyle w:val="Heading3-noTOC"/>
      </w:pPr>
      <w:r>
        <w:t>Assumptions</w:t>
      </w:r>
    </w:p>
    <w:p w14:paraId="686499C3" w14:textId="4FBC4F46" w:rsidR="00303BBA" w:rsidRPr="00303BBA" w:rsidRDefault="00303BBA" w:rsidP="00303BBA">
      <w:pPr>
        <w:rPr>
          <w:kern w:val="2"/>
          <w:lang w:eastAsia="zh-CN" w:bidi="th-TH"/>
          <w14:ligatures w14:val="standardContextual"/>
        </w:rPr>
      </w:pPr>
      <w:r>
        <w:t>In general, the modelling assumptions below isolate the modelled GST effects by holding other factors constant and treating policy, revenue and behavioural responses in a simplified way.</w:t>
      </w:r>
    </w:p>
    <w:p w14:paraId="2C38B19A" w14:textId="42DF1C9A" w:rsidR="00BB0787" w:rsidRDefault="00BB0787" w:rsidP="00BB0787">
      <w:pPr>
        <w:pStyle w:val="FigureTableHeading"/>
      </w:pPr>
      <w:r>
        <w:t>Table C.</w:t>
      </w:r>
      <w:fldSimple w:instr=" SEQ Table \* ARABIC \s 1 ">
        <w:r w:rsidR="002D76C4">
          <w:rPr>
            <w:noProof/>
          </w:rPr>
          <w:t>16</w:t>
        </w:r>
      </w:fldSimple>
      <w:r>
        <w:rPr>
          <w:noProof/>
        </w:rPr>
        <w:t xml:space="preserve"> – </w:t>
      </w:r>
      <w:r w:rsidR="008951B1">
        <w:rPr>
          <w:noProof/>
        </w:rPr>
        <w:t>E</w:t>
      </w:r>
      <w:r>
        <w:rPr>
          <w:noProof/>
        </w:rPr>
        <w:t>fficiency framework measure</w:t>
      </w:r>
      <w:r w:rsidR="004615F0">
        <w:rPr>
          <w:noProof/>
        </w:rPr>
        <w:t>s</w:t>
      </w:r>
      <w:r>
        <w:rPr>
          <w:noProof/>
        </w:rPr>
        <w:t xml:space="preserve"> </w:t>
      </w:r>
      <w:r w:rsidR="008951B1">
        <w:rPr>
          <w:noProof/>
        </w:rPr>
        <w:t xml:space="preserve">specific </w:t>
      </w:r>
      <w:r>
        <w:rPr>
          <w:noProof/>
        </w:rPr>
        <w:t>assumptions</w:t>
      </w:r>
    </w:p>
    <w:tbl>
      <w:tblPr>
        <w:tblW w:w="0" w:type="auto"/>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2977"/>
        <w:gridCol w:w="6661"/>
      </w:tblGrid>
      <w:tr w:rsidR="004D2B52" w:rsidRPr="002D76C4" w14:paraId="0FA750D9" w14:textId="77777777" w:rsidTr="002D76C4">
        <w:trPr>
          <w:tblHeader/>
        </w:trPr>
        <w:tc>
          <w:tcPr>
            <w:tcW w:w="2977" w:type="dxa"/>
            <w:tcBorders>
              <w:bottom w:val="single" w:sz="4" w:space="0" w:color="B3B3B3"/>
            </w:tcBorders>
            <w:shd w:val="clear" w:color="000000" w:fill="auto"/>
            <w:tcMar>
              <w:top w:w="57" w:type="dxa"/>
              <w:left w:w="57" w:type="dxa"/>
              <w:bottom w:w="57" w:type="dxa"/>
              <w:right w:w="85" w:type="dxa"/>
            </w:tcMar>
            <w:vAlign w:val="bottom"/>
            <w:hideMark/>
          </w:tcPr>
          <w:p w14:paraId="5CC95315" w14:textId="77777777" w:rsidR="004D2B52" w:rsidRPr="002D76C4" w:rsidRDefault="004D2B52" w:rsidP="002D76C4">
            <w:pPr>
              <w:spacing w:before="45" w:after="45"/>
              <w:ind w:left="57" w:right="108"/>
              <w:rPr>
                <w:rFonts w:cs="Open Sans"/>
                <w:b/>
                <w:color w:val="1D4374"/>
                <w:sz w:val="18"/>
              </w:rPr>
            </w:pPr>
            <w:r w:rsidRPr="002D76C4">
              <w:rPr>
                <w:rFonts w:cs="Open Sans"/>
                <w:b/>
                <w:color w:val="1D4374"/>
                <w:sz w:val="18"/>
              </w:rPr>
              <w:t>Assumption</w:t>
            </w:r>
          </w:p>
        </w:tc>
        <w:tc>
          <w:tcPr>
            <w:tcW w:w="6661" w:type="dxa"/>
            <w:tcBorders>
              <w:bottom w:val="single" w:sz="4" w:space="0" w:color="B3B3B3"/>
            </w:tcBorders>
            <w:shd w:val="clear" w:color="000000" w:fill="auto"/>
            <w:tcMar>
              <w:top w:w="57" w:type="dxa"/>
              <w:left w:w="57" w:type="dxa"/>
              <w:bottom w:w="57" w:type="dxa"/>
              <w:right w:w="85" w:type="dxa"/>
            </w:tcMar>
            <w:vAlign w:val="bottom"/>
            <w:hideMark/>
          </w:tcPr>
          <w:p w14:paraId="3DE18490" w14:textId="77777777" w:rsidR="004D2B52" w:rsidRPr="002D76C4" w:rsidRDefault="004D2B52" w:rsidP="002D76C4">
            <w:pPr>
              <w:spacing w:before="45" w:after="45"/>
              <w:ind w:left="57" w:right="108"/>
              <w:rPr>
                <w:rFonts w:cs="Open Sans"/>
                <w:b/>
                <w:color w:val="1D4374"/>
                <w:sz w:val="18"/>
              </w:rPr>
            </w:pPr>
            <w:r w:rsidRPr="002D76C4">
              <w:rPr>
                <w:rFonts w:cs="Open Sans"/>
                <w:b/>
                <w:color w:val="1D4374"/>
                <w:sz w:val="18"/>
              </w:rPr>
              <w:t>Implication</w:t>
            </w:r>
          </w:p>
        </w:tc>
      </w:tr>
      <w:tr w:rsidR="004D2B52" w:rsidRPr="002D76C4" w14:paraId="45B6CB4D" w14:textId="77777777" w:rsidTr="002D76C4">
        <w:tc>
          <w:tcPr>
            <w:tcW w:w="2977" w:type="dxa"/>
            <w:tcBorders>
              <w:top w:val="single" w:sz="4" w:space="0" w:color="B3B3B3"/>
              <w:bottom w:val="nil"/>
            </w:tcBorders>
            <w:shd w:val="clear" w:color="000000" w:fill="E6E6E6"/>
            <w:tcMar>
              <w:top w:w="57" w:type="dxa"/>
              <w:left w:w="57" w:type="dxa"/>
              <w:bottom w:w="57" w:type="dxa"/>
              <w:right w:w="85" w:type="dxa"/>
            </w:tcMar>
          </w:tcPr>
          <w:p w14:paraId="20D541B7" w14:textId="6D6991FE" w:rsidR="004D2B52" w:rsidRPr="002D76C4" w:rsidRDefault="00884F75" w:rsidP="002D76C4">
            <w:pPr>
              <w:spacing w:before="45" w:after="45"/>
              <w:ind w:left="57" w:right="108"/>
              <w:rPr>
                <w:rFonts w:cs="Open Sans"/>
                <w:bCs/>
                <w:sz w:val="18"/>
              </w:rPr>
            </w:pPr>
            <w:r w:rsidRPr="002D76C4">
              <w:rPr>
                <w:rFonts w:cs="Open Sans"/>
                <w:bCs/>
                <w:sz w:val="18"/>
              </w:rPr>
              <w:t>A revenue shock of size $1</w:t>
            </w:r>
            <w:r w:rsidR="00810A11" w:rsidRPr="002D76C4">
              <w:rPr>
                <w:rFonts w:cs="Open Sans"/>
                <w:bCs/>
                <w:sz w:val="18"/>
              </w:rPr>
              <w:t> </w:t>
            </w:r>
            <w:r w:rsidRPr="002D76C4">
              <w:rPr>
                <w:rFonts w:cs="Open Sans"/>
                <w:bCs/>
                <w:sz w:val="18"/>
              </w:rPr>
              <w:t xml:space="preserve">million </w:t>
            </w:r>
            <w:r w:rsidR="00812FEB" w:rsidRPr="002D76C4">
              <w:rPr>
                <w:rFonts w:cs="Open Sans"/>
                <w:bCs/>
                <w:sz w:val="18"/>
              </w:rPr>
              <w:t>allows</w:t>
            </w:r>
            <w:r w:rsidR="00F56FE6" w:rsidRPr="002D76C4">
              <w:rPr>
                <w:rFonts w:cs="Open Sans"/>
                <w:bCs/>
                <w:sz w:val="18"/>
              </w:rPr>
              <w:t xml:space="preserve"> the policy neutrality characteristics of the </w:t>
            </w:r>
            <w:r w:rsidR="004E2E2B" w:rsidRPr="002D76C4">
              <w:rPr>
                <w:rFonts w:cs="Open Sans"/>
                <w:bCs/>
                <w:sz w:val="18"/>
              </w:rPr>
              <w:t xml:space="preserve">different </w:t>
            </w:r>
            <w:r w:rsidR="00CB1FDF" w:rsidRPr="002D76C4">
              <w:rPr>
                <w:rFonts w:cs="Open Sans"/>
                <w:bCs/>
                <w:sz w:val="18"/>
              </w:rPr>
              <w:t>GST distribution systems</w:t>
            </w:r>
            <w:r w:rsidR="00812FEB" w:rsidRPr="002D76C4">
              <w:rPr>
                <w:rFonts w:cs="Open Sans"/>
                <w:bCs/>
                <w:sz w:val="18"/>
              </w:rPr>
              <w:t xml:space="preserve"> to be identified</w:t>
            </w:r>
            <w:r w:rsidR="00CB1FDF" w:rsidRPr="002D76C4">
              <w:rPr>
                <w:rFonts w:cs="Open Sans"/>
                <w:bCs/>
                <w:sz w:val="18"/>
              </w:rPr>
              <w:t>.</w:t>
            </w:r>
          </w:p>
        </w:tc>
        <w:tc>
          <w:tcPr>
            <w:tcW w:w="6661" w:type="dxa"/>
            <w:tcBorders>
              <w:top w:val="single" w:sz="4" w:space="0" w:color="B3B3B3"/>
              <w:bottom w:val="nil"/>
            </w:tcBorders>
            <w:shd w:val="clear" w:color="000000" w:fill="E6E6E6"/>
            <w:tcMar>
              <w:top w:w="57" w:type="dxa"/>
              <w:left w:w="57" w:type="dxa"/>
              <w:bottom w:w="57" w:type="dxa"/>
              <w:right w:w="85" w:type="dxa"/>
            </w:tcMar>
          </w:tcPr>
          <w:p w14:paraId="29693F86" w14:textId="2587A3CA" w:rsidR="004D2B52" w:rsidRPr="002D76C4" w:rsidRDefault="0018550F" w:rsidP="002D76C4">
            <w:pPr>
              <w:spacing w:before="45" w:after="45"/>
              <w:ind w:left="57" w:right="108"/>
              <w:rPr>
                <w:rFonts w:cs="Open Sans"/>
                <w:color w:val="000000"/>
                <w:sz w:val="18"/>
              </w:rPr>
            </w:pPr>
            <w:r w:rsidRPr="002D76C4">
              <w:rPr>
                <w:rFonts w:cs="Open Sans"/>
                <w:color w:val="000000"/>
                <w:sz w:val="18"/>
              </w:rPr>
              <w:t xml:space="preserve">In some cases, </w:t>
            </w:r>
            <w:r w:rsidR="00A472AD" w:rsidRPr="002D76C4">
              <w:rPr>
                <w:rFonts w:cs="Open Sans"/>
                <w:color w:val="000000"/>
                <w:sz w:val="18"/>
              </w:rPr>
              <w:t xml:space="preserve">a $1 million revenue shock does not activate features of </w:t>
            </w:r>
            <w:r w:rsidR="00DB7B96" w:rsidRPr="002D76C4">
              <w:rPr>
                <w:rFonts w:cs="Open Sans"/>
                <w:color w:val="000000"/>
                <w:sz w:val="18"/>
              </w:rPr>
              <w:t>a particular distribution</w:t>
            </w:r>
            <w:r w:rsidR="00A472AD" w:rsidRPr="002D76C4">
              <w:rPr>
                <w:rFonts w:cs="Open Sans"/>
                <w:color w:val="000000"/>
                <w:sz w:val="18"/>
              </w:rPr>
              <w:t xml:space="preserve"> system, where larger shocks </w:t>
            </w:r>
            <w:r w:rsidR="00D00025" w:rsidRPr="002D76C4">
              <w:rPr>
                <w:rFonts w:cs="Open Sans"/>
                <w:color w:val="000000"/>
                <w:sz w:val="18"/>
              </w:rPr>
              <w:t>could</w:t>
            </w:r>
            <w:r w:rsidR="001441F2" w:rsidRPr="002D76C4">
              <w:rPr>
                <w:rFonts w:cs="Open Sans"/>
                <w:color w:val="000000"/>
                <w:sz w:val="18"/>
              </w:rPr>
              <w:t xml:space="preserve"> (for</w:t>
            </w:r>
            <w:r w:rsidR="00A472AD" w:rsidRPr="002D76C4">
              <w:rPr>
                <w:rFonts w:cs="Open Sans"/>
                <w:color w:val="000000"/>
                <w:sz w:val="18"/>
              </w:rPr>
              <w:t xml:space="preserve"> example, </w:t>
            </w:r>
            <w:r w:rsidR="00691AD0" w:rsidRPr="002D76C4">
              <w:rPr>
                <w:rFonts w:cs="Open Sans"/>
                <w:color w:val="000000"/>
                <w:sz w:val="18"/>
              </w:rPr>
              <w:t xml:space="preserve">a </w:t>
            </w:r>
            <w:r w:rsidR="00DB7B96" w:rsidRPr="002D76C4">
              <w:rPr>
                <w:rFonts w:cs="Open Sans"/>
                <w:color w:val="000000"/>
                <w:sz w:val="18"/>
              </w:rPr>
              <w:t>relativity floor</w:t>
            </w:r>
            <w:r w:rsidR="001441F2" w:rsidRPr="002D76C4">
              <w:rPr>
                <w:rFonts w:cs="Open Sans"/>
                <w:color w:val="000000"/>
                <w:sz w:val="18"/>
              </w:rPr>
              <w:t>)</w:t>
            </w:r>
            <w:r w:rsidR="00DB7B96" w:rsidRPr="002D76C4">
              <w:rPr>
                <w:rFonts w:cs="Open Sans"/>
                <w:color w:val="000000"/>
                <w:sz w:val="18"/>
              </w:rPr>
              <w:t xml:space="preserve">.  </w:t>
            </w:r>
            <w:r w:rsidR="00712C4D" w:rsidRPr="002D76C4">
              <w:rPr>
                <w:rFonts w:cs="Open Sans"/>
                <w:color w:val="000000"/>
                <w:sz w:val="18"/>
              </w:rPr>
              <w:t xml:space="preserve">This means these results </w:t>
            </w:r>
            <w:r w:rsidR="00861B87" w:rsidRPr="002D76C4">
              <w:rPr>
                <w:rFonts w:cs="Open Sans"/>
                <w:color w:val="000000"/>
                <w:sz w:val="18"/>
              </w:rPr>
              <w:t>are not necessarily indicative of policy neutrality departures for larger revenue shocks.</w:t>
            </w:r>
          </w:p>
        </w:tc>
      </w:tr>
      <w:tr w:rsidR="004D2B52" w:rsidRPr="002D76C4" w14:paraId="5DDC0BA7" w14:textId="77777777" w:rsidTr="002D76C4">
        <w:tc>
          <w:tcPr>
            <w:tcW w:w="2977" w:type="dxa"/>
            <w:tcBorders>
              <w:top w:val="nil"/>
              <w:bottom w:val="nil"/>
            </w:tcBorders>
            <w:shd w:val="clear" w:color="000000" w:fill="auto"/>
            <w:tcMar>
              <w:top w:w="57" w:type="dxa"/>
              <w:left w:w="57" w:type="dxa"/>
              <w:bottom w:w="57" w:type="dxa"/>
              <w:right w:w="85" w:type="dxa"/>
            </w:tcMar>
          </w:tcPr>
          <w:p w14:paraId="10A217BA" w14:textId="1FD82EE2" w:rsidR="004D2B52" w:rsidRPr="002D76C4" w:rsidRDefault="00F56FE6" w:rsidP="002D76C4">
            <w:pPr>
              <w:spacing w:before="45" w:after="45"/>
              <w:ind w:left="57" w:right="108"/>
              <w:rPr>
                <w:rFonts w:cs="Open Sans"/>
                <w:bCs/>
                <w:sz w:val="18"/>
              </w:rPr>
            </w:pPr>
            <w:r w:rsidRPr="002D76C4">
              <w:rPr>
                <w:rFonts w:cs="Open Sans"/>
                <w:bCs/>
                <w:sz w:val="18"/>
              </w:rPr>
              <w:t xml:space="preserve">All revenue </w:t>
            </w:r>
            <w:r w:rsidR="00FA014F" w:rsidRPr="002D76C4">
              <w:rPr>
                <w:rFonts w:cs="Open Sans"/>
                <w:bCs/>
                <w:sz w:val="18"/>
              </w:rPr>
              <w:t xml:space="preserve">raised through revenue shocks </w:t>
            </w:r>
            <w:r w:rsidR="00861B87" w:rsidRPr="002D76C4">
              <w:rPr>
                <w:rFonts w:cs="Open Sans"/>
                <w:bCs/>
                <w:sz w:val="18"/>
              </w:rPr>
              <w:t>is</w:t>
            </w:r>
            <w:r w:rsidRPr="002D76C4">
              <w:rPr>
                <w:rFonts w:cs="Open Sans"/>
                <w:bCs/>
                <w:sz w:val="18"/>
              </w:rPr>
              <w:t xml:space="preserve"> spent </w:t>
            </w:r>
            <w:r w:rsidR="00861B87" w:rsidRPr="002D76C4">
              <w:rPr>
                <w:rFonts w:cs="Open Sans"/>
                <w:bCs/>
                <w:sz w:val="18"/>
              </w:rPr>
              <w:t>in</w:t>
            </w:r>
            <w:r w:rsidRPr="002D76C4">
              <w:rPr>
                <w:rFonts w:cs="Open Sans"/>
                <w:bCs/>
                <w:sz w:val="18"/>
              </w:rPr>
              <w:t xml:space="preserve"> expenditure </w:t>
            </w:r>
            <w:r w:rsidR="00861B87" w:rsidRPr="002D76C4">
              <w:rPr>
                <w:rFonts w:cs="Open Sans"/>
                <w:bCs/>
                <w:sz w:val="18"/>
              </w:rPr>
              <w:t>categories</w:t>
            </w:r>
            <w:r w:rsidRPr="002D76C4">
              <w:rPr>
                <w:rFonts w:cs="Open Sans"/>
                <w:bCs/>
                <w:sz w:val="18"/>
              </w:rPr>
              <w:t xml:space="preserve"> which the CGC assess on an equal per capita basis</w:t>
            </w:r>
            <w:r w:rsidR="00861B87" w:rsidRPr="002D76C4">
              <w:rPr>
                <w:rFonts w:cs="Open Sans"/>
                <w:bCs/>
                <w:sz w:val="18"/>
              </w:rPr>
              <w:t>.</w:t>
            </w:r>
          </w:p>
        </w:tc>
        <w:tc>
          <w:tcPr>
            <w:tcW w:w="6661" w:type="dxa"/>
            <w:tcBorders>
              <w:top w:val="nil"/>
              <w:bottom w:val="nil"/>
            </w:tcBorders>
            <w:shd w:val="clear" w:color="000000" w:fill="auto"/>
            <w:tcMar>
              <w:top w:w="57" w:type="dxa"/>
              <w:left w:w="57" w:type="dxa"/>
              <w:bottom w:w="57" w:type="dxa"/>
              <w:right w:w="85" w:type="dxa"/>
            </w:tcMar>
          </w:tcPr>
          <w:p w14:paraId="61503A5E" w14:textId="6F303F19" w:rsidR="004D2B52" w:rsidRPr="002D76C4" w:rsidRDefault="00C943C0" w:rsidP="002D76C4">
            <w:pPr>
              <w:spacing w:before="45" w:after="45"/>
              <w:ind w:left="57" w:right="108"/>
              <w:rPr>
                <w:rFonts w:cs="Open Sans"/>
                <w:color w:val="000000"/>
                <w:sz w:val="18"/>
              </w:rPr>
            </w:pPr>
            <w:r w:rsidRPr="002D76C4">
              <w:rPr>
                <w:rFonts w:cs="Open Sans"/>
                <w:color w:val="000000"/>
                <w:sz w:val="18"/>
              </w:rPr>
              <w:t>T</w:t>
            </w:r>
            <w:r w:rsidR="00CC4BF6" w:rsidRPr="002D76C4">
              <w:rPr>
                <w:rFonts w:cs="Open Sans"/>
                <w:color w:val="000000"/>
                <w:sz w:val="18"/>
              </w:rPr>
              <w:t xml:space="preserve">he </w:t>
            </w:r>
            <w:r w:rsidR="00061B50" w:rsidRPr="002D76C4">
              <w:rPr>
                <w:rFonts w:cs="Open Sans"/>
                <w:color w:val="000000"/>
                <w:sz w:val="18"/>
              </w:rPr>
              <w:t xml:space="preserve">effect of a revenue shock on a state’s GST distribution depends on the difference between their assessed share of the shocked revenue base, and the </w:t>
            </w:r>
            <w:r w:rsidR="00D41661" w:rsidRPr="002D76C4">
              <w:rPr>
                <w:rFonts w:cs="Open Sans"/>
                <w:color w:val="000000"/>
                <w:sz w:val="18"/>
              </w:rPr>
              <w:t xml:space="preserve">assessed </w:t>
            </w:r>
            <w:r w:rsidR="00061B50" w:rsidRPr="002D76C4">
              <w:rPr>
                <w:rFonts w:cs="Open Sans"/>
                <w:color w:val="000000"/>
                <w:sz w:val="18"/>
              </w:rPr>
              <w:t>share of the expenditure base where that revenue is spent</w:t>
            </w:r>
            <w:r w:rsidR="00CC7D01" w:rsidRPr="002D76C4">
              <w:rPr>
                <w:rFonts w:cs="Open Sans"/>
                <w:color w:val="000000"/>
                <w:sz w:val="18"/>
              </w:rPr>
              <w:t xml:space="preserve"> (the greater the difference, the greater the effect)</w:t>
            </w:r>
            <w:r w:rsidR="00061B50" w:rsidRPr="002D76C4">
              <w:rPr>
                <w:rFonts w:cs="Open Sans"/>
                <w:color w:val="000000"/>
                <w:sz w:val="18"/>
              </w:rPr>
              <w:t xml:space="preserve">. If </w:t>
            </w:r>
            <w:r w:rsidR="00C05B49" w:rsidRPr="002D76C4">
              <w:rPr>
                <w:rFonts w:cs="Open Sans"/>
                <w:color w:val="000000"/>
                <w:sz w:val="18"/>
              </w:rPr>
              <w:t xml:space="preserve">the </w:t>
            </w:r>
            <w:r w:rsidR="000D3D43" w:rsidRPr="002D76C4">
              <w:rPr>
                <w:rFonts w:cs="Open Sans"/>
                <w:color w:val="000000"/>
                <w:sz w:val="18"/>
              </w:rPr>
              <w:t>actual</w:t>
            </w:r>
            <w:r w:rsidR="006176B5" w:rsidRPr="002D76C4">
              <w:rPr>
                <w:rFonts w:cs="Open Sans"/>
                <w:color w:val="000000"/>
                <w:sz w:val="18"/>
              </w:rPr>
              <w:t xml:space="preserve"> distribution of the</w:t>
            </w:r>
            <w:r w:rsidR="000D3D43" w:rsidRPr="002D76C4">
              <w:rPr>
                <w:rFonts w:cs="Open Sans"/>
                <w:color w:val="000000"/>
                <w:sz w:val="18"/>
              </w:rPr>
              <w:t xml:space="preserve"> expense base where</w:t>
            </w:r>
            <w:r w:rsidR="00061B50" w:rsidRPr="002D76C4">
              <w:rPr>
                <w:rFonts w:cs="Open Sans"/>
                <w:color w:val="000000"/>
                <w:sz w:val="18"/>
              </w:rPr>
              <w:t xml:space="preserve"> </w:t>
            </w:r>
            <w:r w:rsidR="00C05B49" w:rsidRPr="002D76C4">
              <w:rPr>
                <w:rFonts w:cs="Open Sans"/>
                <w:color w:val="000000"/>
                <w:sz w:val="18"/>
              </w:rPr>
              <w:t xml:space="preserve">the revenue </w:t>
            </w:r>
            <w:r w:rsidR="000D3D43" w:rsidRPr="002D76C4">
              <w:rPr>
                <w:rFonts w:cs="Open Sans"/>
                <w:color w:val="000000"/>
                <w:sz w:val="18"/>
              </w:rPr>
              <w:t>is</w:t>
            </w:r>
            <w:r w:rsidR="00C05B49" w:rsidRPr="002D76C4">
              <w:rPr>
                <w:rFonts w:cs="Open Sans"/>
                <w:color w:val="000000"/>
                <w:sz w:val="18"/>
              </w:rPr>
              <w:t xml:space="preserve"> spent </w:t>
            </w:r>
            <w:r w:rsidR="006176B5" w:rsidRPr="002D76C4">
              <w:rPr>
                <w:rFonts w:cs="Open Sans"/>
                <w:color w:val="000000"/>
                <w:sz w:val="18"/>
              </w:rPr>
              <w:t>differs</w:t>
            </w:r>
            <w:r w:rsidR="00061B50" w:rsidRPr="002D76C4">
              <w:rPr>
                <w:rFonts w:cs="Open Sans"/>
                <w:color w:val="000000"/>
                <w:sz w:val="18"/>
              </w:rPr>
              <w:t xml:space="preserve"> </w:t>
            </w:r>
            <w:r w:rsidR="00CC7D01" w:rsidRPr="002D76C4">
              <w:rPr>
                <w:rFonts w:cs="Open Sans"/>
                <w:color w:val="000000"/>
                <w:sz w:val="18"/>
              </w:rPr>
              <w:t>markedly from the distribution of the population, the results could change</w:t>
            </w:r>
            <w:r w:rsidR="007C5AF4" w:rsidRPr="002D76C4">
              <w:rPr>
                <w:rFonts w:cs="Open Sans"/>
                <w:color w:val="000000"/>
                <w:sz w:val="18"/>
              </w:rPr>
              <w:t>, particularly for distribution systems closer to the pre-2018 system</w:t>
            </w:r>
            <w:r w:rsidR="00CC7D01" w:rsidRPr="002D76C4">
              <w:rPr>
                <w:rFonts w:cs="Open Sans"/>
                <w:color w:val="000000"/>
                <w:sz w:val="18"/>
              </w:rPr>
              <w:t>.</w:t>
            </w:r>
          </w:p>
        </w:tc>
      </w:tr>
      <w:tr w:rsidR="004D2B52" w:rsidRPr="002D76C4" w14:paraId="12EB3FED" w14:textId="77777777" w:rsidTr="002D76C4">
        <w:tc>
          <w:tcPr>
            <w:tcW w:w="2977" w:type="dxa"/>
            <w:tcBorders>
              <w:bottom w:val="nil"/>
            </w:tcBorders>
            <w:shd w:val="clear" w:color="000000" w:fill="E6E6E6"/>
            <w:tcMar>
              <w:top w:w="57" w:type="dxa"/>
              <w:left w:w="57" w:type="dxa"/>
              <w:bottom w:w="57" w:type="dxa"/>
              <w:right w:w="85" w:type="dxa"/>
            </w:tcMar>
          </w:tcPr>
          <w:p w14:paraId="5DB7E7E6" w14:textId="5B01161E" w:rsidR="004D2B52" w:rsidRPr="002D76C4" w:rsidRDefault="003916C5" w:rsidP="002D76C4">
            <w:pPr>
              <w:spacing w:before="45" w:after="45"/>
              <w:ind w:left="57" w:right="108"/>
              <w:rPr>
                <w:rFonts w:cs="Open Sans"/>
                <w:bCs/>
                <w:sz w:val="18"/>
              </w:rPr>
            </w:pPr>
            <w:r w:rsidRPr="002D76C4">
              <w:rPr>
                <w:rFonts w:cs="Open Sans"/>
                <w:bCs/>
                <w:sz w:val="18"/>
              </w:rPr>
              <w:t>All revenue shocks occur independently, and all other variables are held constant during each shock.</w:t>
            </w:r>
          </w:p>
        </w:tc>
        <w:tc>
          <w:tcPr>
            <w:tcW w:w="6661" w:type="dxa"/>
            <w:tcBorders>
              <w:bottom w:val="nil"/>
            </w:tcBorders>
            <w:shd w:val="clear" w:color="000000" w:fill="E6E6E6"/>
            <w:tcMar>
              <w:top w:w="57" w:type="dxa"/>
              <w:left w:w="57" w:type="dxa"/>
              <w:bottom w:w="57" w:type="dxa"/>
              <w:right w:w="85" w:type="dxa"/>
            </w:tcMar>
          </w:tcPr>
          <w:p w14:paraId="360257B3" w14:textId="55911B15" w:rsidR="004D2B52" w:rsidRPr="002D76C4" w:rsidRDefault="00443DCB" w:rsidP="002D76C4">
            <w:pPr>
              <w:spacing w:before="45" w:after="45"/>
              <w:ind w:left="57" w:right="108"/>
              <w:rPr>
                <w:rFonts w:cs="Open Sans"/>
                <w:color w:val="000000"/>
                <w:sz w:val="18"/>
              </w:rPr>
            </w:pPr>
            <w:r w:rsidRPr="002D76C4">
              <w:rPr>
                <w:rFonts w:cs="Open Sans"/>
                <w:color w:val="000000"/>
                <w:sz w:val="18"/>
              </w:rPr>
              <w:t xml:space="preserve">If multiple </w:t>
            </w:r>
            <w:r w:rsidR="00EA4812" w:rsidRPr="002D76C4">
              <w:rPr>
                <w:rFonts w:cs="Open Sans"/>
                <w:color w:val="000000"/>
                <w:sz w:val="18"/>
              </w:rPr>
              <w:t xml:space="preserve">shocks occurred at once, </w:t>
            </w:r>
            <w:r w:rsidR="00B07442" w:rsidRPr="002D76C4">
              <w:rPr>
                <w:rFonts w:cs="Open Sans"/>
                <w:color w:val="000000"/>
                <w:sz w:val="18"/>
              </w:rPr>
              <w:t xml:space="preserve">they may interact in ways that produce </w:t>
            </w:r>
            <w:r w:rsidR="00296030" w:rsidRPr="002D76C4">
              <w:rPr>
                <w:rFonts w:cs="Open Sans"/>
                <w:color w:val="000000"/>
                <w:sz w:val="18"/>
              </w:rPr>
              <w:t>different results to th</w:t>
            </w:r>
            <w:r w:rsidR="00725CF0" w:rsidRPr="002D76C4">
              <w:rPr>
                <w:rFonts w:cs="Open Sans"/>
                <w:color w:val="000000"/>
                <w:sz w:val="18"/>
              </w:rPr>
              <w:t>e scenarios modelled in this measure.</w:t>
            </w:r>
          </w:p>
        </w:tc>
      </w:tr>
      <w:tr w:rsidR="00636AC0" w:rsidRPr="002D76C4" w14:paraId="0D49D705" w14:textId="77777777" w:rsidTr="002D76C4">
        <w:tc>
          <w:tcPr>
            <w:tcW w:w="2977" w:type="dxa"/>
            <w:tcBorders>
              <w:top w:val="nil"/>
              <w:bottom w:val="nil"/>
            </w:tcBorders>
            <w:shd w:val="clear" w:color="000000" w:fill="auto"/>
            <w:tcMar>
              <w:top w:w="57" w:type="dxa"/>
              <w:left w:w="57" w:type="dxa"/>
              <w:bottom w:w="57" w:type="dxa"/>
              <w:right w:w="85" w:type="dxa"/>
            </w:tcMar>
          </w:tcPr>
          <w:p w14:paraId="3D7B18BE" w14:textId="627E19BC" w:rsidR="00636AC0" w:rsidRPr="002D76C4" w:rsidRDefault="00AD386E" w:rsidP="002D76C4">
            <w:pPr>
              <w:spacing w:before="45" w:after="45"/>
              <w:ind w:left="57" w:right="108"/>
              <w:rPr>
                <w:rFonts w:cs="Open Sans"/>
                <w:bCs/>
                <w:sz w:val="18"/>
              </w:rPr>
            </w:pPr>
            <w:r w:rsidRPr="002D76C4">
              <w:rPr>
                <w:rFonts w:cs="Open Sans"/>
                <w:bCs/>
                <w:sz w:val="18"/>
              </w:rPr>
              <w:t xml:space="preserve">All </w:t>
            </w:r>
            <w:r w:rsidR="00915642" w:rsidRPr="002D76C4">
              <w:rPr>
                <w:rFonts w:cs="Open Sans"/>
                <w:bCs/>
                <w:sz w:val="18"/>
              </w:rPr>
              <w:t xml:space="preserve">revenue shocks </w:t>
            </w:r>
            <w:r w:rsidR="000F07C7" w:rsidRPr="002D76C4">
              <w:rPr>
                <w:rFonts w:cs="Open Sans"/>
                <w:bCs/>
                <w:sz w:val="18"/>
              </w:rPr>
              <w:t>do not affect the revenue bases</w:t>
            </w:r>
            <w:r w:rsidR="00372495" w:rsidRPr="002D76C4">
              <w:rPr>
                <w:rFonts w:cs="Open Sans"/>
                <w:bCs/>
                <w:sz w:val="18"/>
              </w:rPr>
              <w:t xml:space="preserve"> </w:t>
            </w:r>
            <w:r w:rsidR="009A254F" w:rsidRPr="002D76C4">
              <w:rPr>
                <w:rFonts w:cs="Open Sans"/>
                <w:bCs/>
                <w:sz w:val="18"/>
              </w:rPr>
              <w:t>of states</w:t>
            </w:r>
            <w:r w:rsidR="006E6F4B" w:rsidRPr="002D76C4">
              <w:rPr>
                <w:rFonts w:cs="Open Sans"/>
                <w:bCs/>
                <w:sz w:val="18"/>
              </w:rPr>
              <w:t xml:space="preserve"> – in effect, </w:t>
            </w:r>
            <w:r w:rsidR="00BA06EB" w:rsidRPr="002D76C4">
              <w:rPr>
                <w:rFonts w:cs="Open Sans"/>
                <w:bCs/>
                <w:sz w:val="18"/>
              </w:rPr>
              <w:t>this reflects</w:t>
            </w:r>
            <w:r w:rsidR="008E14AD" w:rsidRPr="002D76C4">
              <w:rPr>
                <w:rFonts w:cs="Open Sans"/>
                <w:bCs/>
                <w:sz w:val="18"/>
              </w:rPr>
              <w:t xml:space="preserve"> changes </w:t>
            </w:r>
            <w:r w:rsidR="00BA06EB" w:rsidRPr="002D76C4">
              <w:rPr>
                <w:rFonts w:cs="Open Sans"/>
                <w:bCs/>
                <w:sz w:val="18"/>
              </w:rPr>
              <w:t>in rates (for example,</w:t>
            </w:r>
            <w:r w:rsidR="008E14AD" w:rsidRPr="002D76C4">
              <w:rPr>
                <w:rFonts w:cs="Open Sans"/>
                <w:bCs/>
                <w:sz w:val="18"/>
              </w:rPr>
              <w:t xml:space="preserve"> tax rates</w:t>
            </w:r>
            <w:r w:rsidR="00BA06EB" w:rsidRPr="002D76C4">
              <w:rPr>
                <w:rFonts w:cs="Open Sans"/>
                <w:bCs/>
                <w:sz w:val="18"/>
              </w:rPr>
              <w:t>)</w:t>
            </w:r>
            <w:r w:rsidR="008E14AD" w:rsidRPr="002D76C4">
              <w:rPr>
                <w:rFonts w:cs="Open Sans"/>
                <w:bCs/>
                <w:sz w:val="18"/>
              </w:rPr>
              <w:t xml:space="preserve"> not </w:t>
            </w:r>
            <w:r w:rsidR="00BA06EB" w:rsidRPr="002D76C4">
              <w:rPr>
                <w:rFonts w:cs="Open Sans"/>
                <w:bCs/>
                <w:sz w:val="18"/>
              </w:rPr>
              <w:t>revenue</w:t>
            </w:r>
            <w:r w:rsidR="008E14AD" w:rsidRPr="002D76C4">
              <w:rPr>
                <w:rFonts w:cs="Open Sans"/>
                <w:bCs/>
                <w:sz w:val="18"/>
              </w:rPr>
              <w:t xml:space="preserve"> bases.</w:t>
            </w:r>
          </w:p>
        </w:tc>
        <w:tc>
          <w:tcPr>
            <w:tcW w:w="6661" w:type="dxa"/>
            <w:tcBorders>
              <w:top w:val="nil"/>
              <w:bottom w:val="nil"/>
            </w:tcBorders>
            <w:shd w:val="clear" w:color="000000" w:fill="auto"/>
            <w:tcMar>
              <w:top w:w="57" w:type="dxa"/>
              <w:left w:w="57" w:type="dxa"/>
              <w:bottom w:w="57" w:type="dxa"/>
              <w:right w:w="85" w:type="dxa"/>
            </w:tcMar>
          </w:tcPr>
          <w:p w14:paraId="28BD9D57" w14:textId="6431F0AE" w:rsidR="00636AC0" w:rsidRPr="002D76C4" w:rsidRDefault="005233EC" w:rsidP="002D76C4">
            <w:pPr>
              <w:spacing w:before="45" w:after="45"/>
              <w:ind w:left="57" w:right="108"/>
              <w:rPr>
                <w:rFonts w:cs="Open Sans"/>
                <w:color w:val="000000"/>
                <w:sz w:val="18"/>
              </w:rPr>
            </w:pPr>
            <w:r w:rsidRPr="002D76C4">
              <w:rPr>
                <w:rFonts w:cs="Open Sans"/>
                <w:color w:val="000000"/>
                <w:sz w:val="18"/>
              </w:rPr>
              <w:t xml:space="preserve">If revenue shocks materialised due to changes in revenue bases (for example, more businesses </w:t>
            </w:r>
            <w:r w:rsidR="006E6F4B" w:rsidRPr="002D76C4">
              <w:rPr>
                <w:rFonts w:cs="Open Sans"/>
                <w:color w:val="000000"/>
                <w:sz w:val="18"/>
              </w:rPr>
              <w:t xml:space="preserve">operating </w:t>
            </w:r>
            <w:r w:rsidR="00146145" w:rsidRPr="002D76C4">
              <w:rPr>
                <w:rFonts w:cs="Open Sans"/>
                <w:color w:val="000000"/>
                <w:sz w:val="18"/>
              </w:rPr>
              <w:t xml:space="preserve">in a state, </w:t>
            </w:r>
            <w:r w:rsidR="006E6F4B" w:rsidRPr="002D76C4">
              <w:rPr>
                <w:rFonts w:cs="Open Sans"/>
                <w:color w:val="000000"/>
                <w:sz w:val="18"/>
              </w:rPr>
              <w:t xml:space="preserve">or a greater number of property transactions), the efficiency effects between states </w:t>
            </w:r>
            <w:r w:rsidR="00ED374C" w:rsidRPr="002D76C4">
              <w:rPr>
                <w:rFonts w:cs="Open Sans"/>
                <w:color w:val="000000"/>
                <w:sz w:val="18"/>
              </w:rPr>
              <w:t>could</w:t>
            </w:r>
            <w:r w:rsidR="006E6F4B" w:rsidRPr="002D76C4">
              <w:rPr>
                <w:rFonts w:cs="Open Sans"/>
                <w:color w:val="000000"/>
                <w:sz w:val="18"/>
              </w:rPr>
              <w:t xml:space="preserve"> differ.</w:t>
            </w:r>
          </w:p>
        </w:tc>
      </w:tr>
      <w:tr w:rsidR="007D5167" w:rsidRPr="002D76C4" w14:paraId="78A9F511" w14:textId="77777777" w:rsidTr="002D76C4">
        <w:tc>
          <w:tcPr>
            <w:tcW w:w="2977" w:type="dxa"/>
            <w:tcBorders>
              <w:bottom w:val="nil"/>
            </w:tcBorders>
            <w:shd w:val="clear" w:color="000000" w:fill="E6E6E6"/>
            <w:tcMar>
              <w:top w:w="57" w:type="dxa"/>
              <w:left w:w="57" w:type="dxa"/>
              <w:bottom w:w="57" w:type="dxa"/>
              <w:right w:w="85" w:type="dxa"/>
            </w:tcMar>
          </w:tcPr>
          <w:p w14:paraId="33F176B4" w14:textId="08DF07A7" w:rsidR="007D5167" w:rsidRPr="002D76C4" w:rsidRDefault="00256637" w:rsidP="002D76C4">
            <w:pPr>
              <w:spacing w:before="45" w:after="45"/>
              <w:ind w:left="57" w:right="108"/>
              <w:rPr>
                <w:rFonts w:cs="Open Sans"/>
                <w:bCs/>
                <w:sz w:val="18"/>
              </w:rPr>
            </w:pPr>
            <w:r w:rsidRPr="002D76C4">
              <w:rPr>
                <w:rFonts w:cs="Open Sans"/>
                <w:bCs/>
                <w:sz w:val="18"/>
              </w:rPr>
              <w:t xml:space="preserve">In the weighted average measure, revenue bases with more assessed revenue and </w:t>
            </w:r>
            <w:r w:rsidRPr="002D76C4">
              <w:rPr>
                <w:rFonts w:cs="Open Sans"/>
                <w:bCs/>
                <w:sz w:val="18"/>
              </w:rPr>
              <w:lastRenderedPageBreak/>
              <w:t xml:space="preserve">more </w:t>
            </w:r>
            <w:r w:rsidR="00AD5243" w:rsidRPr="002D76C4">
              <w:rPr>
                <w:rFonts w:cs="Open Sans"/>
                <w:bCs/>
                <w:sz w:val="18"/>
              </w:rPr>
              <w:t>active states are given higher weighting.</w:t>
            </w:r>
          </w:p>
        </w:tc>
        <w:tc>
          <w:tcPr>
            <w:tcW w:w="6661" w:type="dxa"/>
            <w:tcBorders>
              <w:bottom w:val="nil"/>
            </w:tcBorders>
            <w:shd w:val="clear" w:color="000000" w:fill="E6E6E6"/>
            <w:tcMar>
              <w:top w:w="57" w:type="dxa"/>
              <w:left w:w="57" w:type="dxa"/>
              <w:bottom w:w="57" w:type="dxa"/>
              <w:right w:w="85" w:type="dxa"/>
            </w:tcMar>
          </w:tcPr>
          <w:p w14:paraId="5163B1D4" w14:textId="44815F76" w:rsidR="007D5167" w:rsidRPr="002D76C4" w:rsidRDefault="008A53E3" w:rsidP="002D76C4">
            <w:pPr>
              <w:spacing w:before="45" w:after="45"/>
              <w:ind w:left="57" w:right="108"/>
              <w:rPr>
                <w:rFonts w:cs="Open Sans"/>
                <w:color w:val="000000"/>
                <w:sz w:val="18"/>
              </w:rPr>
            </w:pPr>
            <w:r w:rsidRPr="002D76C4">
              <w:rPr>
                <w:rFonts w:cs="Open Sans"/>
                <w:color w:val="000000"/>
                <w:sz w:val="18"/>
              </w:rPr>
              <w:lastRenderedPageBreak/>
              <w:t xml:space="preserve">Strong departures from policy neutrality </w:t>
            </w:r>
            <w:r w:rsidR="00FD4F3F" w:rsidRPr="002D76C4">
              <w:rPr>
                <w:rFonts w:cs="Open Sans"/>
                <w:color w:val="000000"/>
                <w:sz w:val="18"/>
              </w:rPr>
              <w:t>due to shocks to</w:t>
            </w:r>
            <w:r w:rsidRPr="002D76C4">
              <w:rPr>
                <w:rFonts w:cs="Open Sans"/>
                <w:color w:val="000000"/>
                <w:sz w:val="18"/>
              </w:rPr>
              <w:t xml:space="preserve"> revenue heads </w:t>
            </w:r>
            <w:r w:rsidR="00760BF3" w:rsidRPr="002D76C4">
              <w:rPr>
                <w:rFonts w:cs="Open Sans"/>
                <w:color w:val="000000"/>
                <w:sz w:val="18"/>
              </w:rPr>
              <w:t xml:space="preserve">with low assessed revenue and/or a low number of active states </w:t>
            </w:r>
            <w:r w:rsidR="00EC37B4" w:rsidRPr="002D76C4">
              <w:rPr>
                <w:rFonts w:cs="Open Sans"/>
                <w:color w:val="000000"/>
                <w:sz w:val="18"/>
              </w:rPr>
              <w:t>are not equally represented in the weighted average measure.</w:t>
            </w:r>
            <w:r w:rsidRPr="002D76C4">
              <w:rPr>
                <w:rFonts w:cs="Open Sans"/>
                <w:color w:val="000000"/>
                <w:sz w:val="18"/>
              </w:rPr>
              <w:t xml:space="preserve"> </w:t>
            </w:r>
            <w:r w:rsidR="005D0F01" w:rsidRPr="002D76C4">
              <w:rPr>
                <w:rFonts w:cs="Open Sans"/>
                <w:color w:val="000000"/>
                <w:sz w:val="18"/>
              </w:rPr>
              <w:t xml:space="preserve"> </w:t>
            </w:r>
          </w:p>
        </w:tc>
      </w:tr>
      <w:tr w:rsidR="009A254F" w:rsidRPr="002D76C4" w14:paraId="0026A716" w14:textId="77777777" w:rsidTr="002D76C4">
        <w:tc>
          <w:tcPr>
            <w:tcW w:w="2977" w:type="dxa"/>
            <w:tcBorders>
              <w:top w:val="nil"/>
              <w:bottom w:val="nil"/>
            </w:tcBorders>
            <w:shd w:val="clear" w:color="000000" w:fill="auto"/>
            <w:tcMar>
              <w:top w:w="57" w:type="dxa"/>
              <w:left w:w="57" w:type="dxa"/>
              <w:bottom w:w="57" w:type="dxa"/>
              <w:right w:w="85" w:type="dxa"/>
            </w:tcMar>
          </w:tcPr>
          <w:p w14:paraId="5D9B1BB5" w14:textId="340EC0F7" w:rsidR="009A254F" w:rsidRPr="002D76C4" w:rsidRDefault="003916C5" w:rsidP="002D76C4">
            <w:pPr>
              <w:spacing w:before="45" w:after="45"/>
              <w:ind w:left="57" w:right="108"/>
              <w:rPr>
                <w:rFonts w:cs="Open Sans"/>
                <w:bCs/>
                <w:sz w:val="18"/>
              </w:rPr>
            </w:pPr>
            <w:r w:rsidRPr="002D76C4">
              <w:rPr>
                <w:rFonts w:cs="Open Sans"/>
                <w:bCs/>
                <w:sz w:val="18"/>
              </w:rPr>
              <w:t xml:space="preserve">Positive and negative </w:t>
            </w:r>
            <w:r w:rsidR="002435D4" w:rsidRPr="002D76C4">
              <w:rPr>
                <w:rFonts w:cs="Open Sans"/>
                <w:bCs/>
                <w:sz w:val="18"/>
              </w:rPr>
              <w:t>i</w:t>
            </w:r>
            <w:r w:rsidR="00180DA1" w:rsidRPr="002D76C4">
              <w:rPr>
                <w:rFonts w:cs="Open Sans"/>
                <w:bCs/>
                <w:sz w:val="18"/>
              </w:rPr>
              <w:t xml:space="preserve">mpact on </w:t>
            </w:r>
            <w:r w:rsidRPr="002D76C4">
              <w:rPr>
                <w:rFonts w:cs="Open Sans"/>
                <w:bCs/>
                <w:sz w:val="18"/>
              </w:rPr>
              <w:t xml:space="preserve">GST </w:t>
            </w:r>
            <w:r w:rsidR="00180DA1" w:rsidRPr="002D76C4">
              <w:rPr>
                <w:rFonts w:cs="Open Sans"/>
                <w:bCs/>
                <w:sz w:val="18"/>
              </w:rPr>
              <w:t>payments</w:t>
            </w:r>
            <w:r w:rsidRPr="002D76C4">
              <w:rPr>
                <w:rFonts w:cs="Open Sans"/>
                <w:bCs/>
                <w:sz w:val="18"/>
              </w:rPr>
              <w:t xml:space="preserve"> of equal magnitude are weighted equally.</w:t>
            </w:r>
          </w:p>
        </w:tc>
        <w:tc>
          <w:tcPr>
            <w:tcW w:w="6661" w:type="dxa"/>
            <w:tcBorders>
              <w:top w:val="nil"/>
              <w:bottom w:val="nil"/>
            </w:tcBorders>
            <w:shd w:val="clear" w:color="000000" w:fill="auto"/>
            <w:tcMar>
              <w:top w:w="57" w:type="dxa"/>
              <w:left w:w="57" w:type="dxa"/>
              <w:bottom w:w="57" w:type="dxa"/>
              <w:right w:w="85" w:type="dxa"/>
            </w:tcMar>
          </w:tcPr>
          <w:p w14:paraId="104D4A43" w14:textId="2775D87F" w:rsidR="009A254F" w:rsidRPr="002D76C4" w:rsidRDefault="00903965" w:rsidP="002D76C4">
            <w:pPr>
              <w:spacing w:before="45" w:after="45"/>
              <w:ind w:left="57" w:right="108"/>
              <w:rPr>
                <w:rFonts w:cs="Open Sans"/>
                <w:color w:val="000000"/>
                <w:sz w:val="18"/>
              </w:rPr>
            </w:pPr>
            <w:r w:rsidRPr="002D76C4">
              <w:rPr>
                <w:rFonts w:cs="Open Sans"/>
                <w:color w:val="000000"/>
                <w:sz w:val="18"/>
              </w:rPr>
              <w:t xml:space="preserve">The PC has given </w:t>
            </w:r>
            <w:r w:rsidR="00535F3E" w:rsidRPr="002D76C4">
              <w:rPr>
                <w:rFonts w:cs="Open Sans"/>
                <w:color w:val="000000"/>
                <w:sz w:val="18"/>
              </w:rPr>
              <w:t>equal</w:t>
            </w:r>
            <w:r w:rsidRPr="002D76C4">
              <w:rPr>
                <w:rFonts w:cs="Open Sans"/>
                <w:color w:val="000000"/>
                <w:sz w:val="18"/>
              </w:rPr>
              <w:t xml:space="preserve"> weighting </w:t>
            </w:r>
            <w:r w:rsidR="00535F3E" w:rsidRPr="002D76C4">
              <w:rPr>
                <w:rFonts w:cs="Open Sans"/>
                <w:color w:val="000000"/>
                <w:sz w:val="18"/>
              </w:rPr>
              <w:t>in this measure</w:t>
            </w:r>
            <w:r w:rsidRPr="002D76C4">
              <w:rPr>
                <w:rFonts w:cs="Open Sans"/>
                <w:color w:val="000000"/>
                <w:sz w:val="18"/>
              </w:rPr>
              <w:t xml:space="preserve"> to </w:t>
            </w:r>
            <w:r w:rsidR="007D0355" w:rsidRPr="002D76C4">
              <w:rPr>
                <w:rFonts w:cs="Open Sans"/>
                <w:color w:val="000000"/>
                <w:sz w:val="18"/>
              </w:rPr>
              <w:t>cases where states receive less GST revenue from a policy change, compared to cases where states receive more.</w:t>
            </w:r>
          </w:p>
        </w:tc>
      </w:tr>
      <w:tr w:rsidR="00353AE3" w:rsidRPr="002D76C4" w14:paraId="7096B586" w14:textId="77777777" w:rsidTr="002D76C4">
        <w:tc>
          <w:tcPr>
            <w:tcW w:w="2977" w:type="dxa"/>
            <w:tcBorders>
              <w:bottom w:val="single" w:sz="4" w:space="0" w:color="B3B3B3"/>
            </w:tcBorders>
            <w:shd w:val="clear" w:color="000000" w:fill="E6E6E6"/>
            <w:tcMar>
              <w:top w:w="57" w:type="dxa"/>
              <w:left w:w="57" w:type="dxa"/>
              <w:bottom w:w="57" w:type="dxa"/>
              <w:right w:w="85" w:type="dxa"/>
            </w:tcMar>
          </w:tcPr>
          <w:p w14:paraId="12064DB1" w14:textId="716F4B65" w:rsidR="00353AE3" w:rsidRPr="002D76C4" w:rsidRDefault="00353AE3" w:rsidP="002D76C4">
            <w:pPr>
              <w:spacing w:before="45" w:after="45"/>
              <w:ind w:left="57" w:right="108"/>
              <w:rPr>
                <w:rFonts w:cs="Open Sans"/>
                <w:bCs/>
                <w:sz w:val="18"/>
              </w:rPr>
            </w:pPr>
            <w:r w:rsidRPr="002D76C4">
              <w:rPr>
                <w:rFonts w:cs="Open Sans"/>
                <w:bCs/>
                <w:sz w:val="18"/>
              </w:rPr>
              <w:t xml:space="preserve">A state’s policymaking incentives are unaffected by </w:t>
            </w:r>
            <w:r w:rsidR="002435D4" w:rsidRPr="002D76C4">
              <w:rPr>
                <w:rFonts w:cs="Open Sans"/>
                <w:bCs/>
                <w:sz w:val="18"/>
              </w:rPr>
              <w:t>impacts</w:t>
            </w:r>
            <w:r w:rsidR="00180DA1" w:rsidRPr="002D76C4">
              <w:rPr>
                <w:rFonts w:cs="Open Sans"/>
                <w:bCs/>
                <w:sz w:val="18"/>
              </w:rPr>
              <w:t xml:space="preserve"> on GST payments</w:t>
            </w:r>
            <w:r w:rsidR="00D6198E" w:rsidRPr="002D76C4">
              <w:rPr>
                <w:rFonts w:cs="Open Sans"/>
                <w:bCs/>
                <w:sz w:val="18"/>
              </w:rPr>
              <w:t xml:space="preserve"> </w:t>
            </w:r>
            <w:r w:rsidR="006D2580" w:rsidRPr="002D76C4">
              <w:rPr>
                <w:rFonts w:cs="Open Sans"/>
                <w:bCs/>
                <w:sz w:val="18"/>
              </w:rPr>
              <w:t>(of any size)</w:t>
            </w:r>
            <w:r w:rsidR="00D6198E" w:rsidRPr="002D76C4">
              <w:rPr>
                <w:rFonts w:cs="Open Sans"/>
                <w:bCs/>
                <w:sz w:val="18"/>
              </w:rPr>
              <w:t xml:space="preserve"> resulting from shocks </w:t>
            </w:r>
            <w:r w:rsidR="00C95A92" w:rsidRPr="002D76C4">
              <w:rPr>
                <w:rFonts w:cs="Open Sans"/>
                <w:bCs/>
                <w:sz w:val="18"/>
              </w:rPr>
              <w:t>to</w:t>
            </w:r>
            <w:r w:rsidR="00D6198E" w:rsidRPr="002D76C4">
              <w:rPr>
                <w:rFonts w:cs="Open Sans"/>
                <w:bCs/>
                <w:sz w:val="18"/>
              </w:rPr>
              <w:t xml:space="preserve"> revenue bases </w:t>
            </w:r>
            <w:r w:rsidR="005E7A96" w:rsidRPr="002D76C4">
              <w:rPr>
                <w:rFonts w:cs="Open Sans"/>
                <w:bCs/>
                <w:sz w:val="18"/>
              </w:rPr>
              <w:t>of which they have no share.</w:t>
            </w:r>
          </w:p>
        </w:tc>
        <w:tc>
          <w:tcPr>
            <w:tcW w:w="6661" w:type="dxa"/>
            <w:tcBorders>
              <w:bottom w:val="single" w:sz="4" w:space="0" w:color="B3B3B3"/>
            </w:tcBorders>
            <w:shd w:val="clear" w:color="000000" w:fill="E6E6E6"/>
            <w:tcMar>
              <w:top w:w="57" w:type="dxa"/>
              <w:left w:w="57" w:type="dxa"/>
              <w:bottom w:w="57" w:type="dxa"/>
              <w:right w:w="85" w:type="dxa"/>
            </w:tcMar>
          </w:tcPr>
          <w:p w14:paraId="0C248889" w14:textId="37915BF8" w:rsidR="00353AE3" w:rsidRPr="002D76C4" w:rsidRDefault="00584CCC" w:rsidP="002D76C4">
            <w:pPr>
              <w:spacing w:before="45" w:after="45"/>
              <w:ind w:left="57" w:right="108"/>
              <w:rPr>
                <w:rFonts w:cs="Open Sans"/>
                <w:color w:val="000000"/>
                <w:sz w:val="18"/>
              </w:rPr>
            </w:pPr>
            <w:r w:rsidRPr="002D76C4">
              <w:rPr>
                <w:rFonts w:cs="Open Sans"/>
                <w:color w:val="000000"/>
                <w:sz w:val="18"/>
              </w:rPr>
              <w:t xml:space="preserve">GST effects </w:t>
            </w:r>
            <w:r w:rsidR="005A169D" w:rsidRPr="002D76C4">
              <w:rPr>
                <w:rFonts w:cs="Open Sans"/>
                <w:color w:val="000000"/>
                <w:sz w:val="18"/>
              </w:rPr>
              <w:t xml:space="preserve">from shocks to revenue bases </w:t>
            </w:r>
            <w:r w:rsidR="008F0A0E" w:rsidRPr="002D76C4">
              <w:rPr>
                <w:rFonts w:cs="Open Sans"/>
                <w:color w:val="000000"/>
                <w:sz w:val="18"/>
              </w:rPr>
              <w:t>of</w:t>
            </w:r>
            <w:r w:rsidR="00262DAF" w:rsidRPr="002D76C4">
              <w:rPr>
                <w:rFonts w:cs="Open Sans"/>
                <w:color w:val="000000"/>
                <w:sz w:val="18"/>
              </w:rPr>
              <w:t xml:space="preserve"> </w:t>
            </w:r>
            <w:r w:rsidR="005A169D" w:rsidRPr="002D76C4">
              <w:rPr>
                <w:rFonts w:cs="Open Sans"/>
                <w:color w:val="000000"/>
                <w:sz w:val="18"/>
              </w:rPr>
              <w:t>which states do not have any share</w:t>
            </w:r>
            <w:r w:rsidRPr="002D76C4">
              <w:rPr>
                <w:rFonts w:cs="Open Sans"/>
                <w:color w:val="000000"/>
                <w:sz w:val="18"/>
              </w:rPr>
              <w:t xml:space="preserve"> </w:t>
            </w:r>
            <w:r w:rsidR="008F0A0E" w:rsidRPr="002D76C4">
              <w:rPr>
                <w:rFonts w:cs="Open Sans"/>
                <w:color w:val="000000"/>
                <w:sz w:val="18"/>
              </w:rPr>
              <w:t>have been excluded.</w:t>
            </w:r>
          </w:p>
        </w:tc>
      </w:tr>
    </w:tbl>
    <w:p w14:paraId="192CD474" w14:textId="77777777" w:rsidR="00F71893" w:rsidRDefault="00F71893" w:rsidP="00F71893">
      <w:pPr>
        <w:pStyle w:val="NoSpacing"/>
      </w:pPr>
      <w:bookmarkStart w:id="8" w:name="_Ref237337887"/>
      <w:bookmarkStart w:id="9" w:name="_Ref237441642"/>
    </w:p>
    <w:p w14:paraId="75F47EAC" w14:textId="11B99F9C" w:rsidR="00C30A06" w:rsidRDefault="00EA6C95" w:rsidP="00B14074">
      <w:pPr>
        <w:pStyle w:val="Heading2-Appendix"/>
      </w:pPr>
      <w:r>
        <w:t xml:space="preserve">Fiscal </w:t>
      </w:r>
      <w:bookmarkEnd w:id="8"/>
      <w:r>
        <w:t>s</w:t>
      </w:r>
      <w:r w:rsidR="00853705">
        <w:t>ustainability</w:t>
      </w:r>
      <w:r w:rsidR="00807DF8">
        <w:t xml:space="preserve"> framework measure</w:t>
      </w:r>
      <w:bookmarkEnd w:id="9"/>
    </w:p>
    <w:p w14:paraId="46A96980" w14:textId="77777777" w:rsidR="00D51150" w:rsidRDefault="00D51150" w:rsidP="00D51150">
      <w:pPr>
        <w:pStyle w:val="Heading3-noTOC"/>
      </w:pPr>
      <w:r>
        <w:t>Purpose</w:t>
      </w:r>
    </w:p>
    <w:tbl>
      <w:tblPr>
        <w:tblW w:w="5000" w:type="pct"/>
        <w:tblBorders>
          <w:top w:val="single" w:sz="4" w:space="0" w:color="BFBFBF" w:themeColor="background1" w:themeShade="BF"/>
          <w:bottom w:val="single" w:sz="8" w:space="0" w:color="B3B3B3"/>
          <w:insideH w:val="single" w:sz="8" w:space="0" w:color="B3B3B3"/>
        </w:tblBorders>
        <w:tblCellMar>
          <w:left w:w="0" w:type="dxa"/>
          <w:right w:w="0" w:type="dxa"/>
        </w:tblCellMar>
        <w:tblLook w:val="04A0" w:firstRow="1" w:lastRow="0" w:firstColumn="1" w:lastColumn="0" w:noHBand="0" w:noVBand="1"/>
      </w:tblPr>
      <w:tblGrid>
        <w:gridCol w:w="2409"/>
        <w:gridCol w:w="7229"/>
      </w:tblGrid>
      <w:tr w:rsidR="004D2B52" w14:paraId="1A46FFA4" w14:textId="77777777" w:rsidTr="00F71893">
        <w:tc>
          <w:tcPr>
            <w:tcW w:w="1250" w:type="pct"/>
            <w:tcMar>
              <w:top w:w="57" w:type="dxa"/>
              <w:left w:w="57" w:type="dxa"/>
              <w:bottom w:w="57" w:type="dxa"/>
              <w:right w:w="85" w:type="dxa"/>
            </w:tcMar>
            <w:hideMark/>
          </w:tcPr>
          <w:p w14:paraId="6C411E0D" w14:textId="77777777" w:rsidR="004D2B52" w:rsidRDefault="004D2B52">
            <w:pPr>
              <w:pStyle w:val="TableHeading"/>
              <w:rPr>
                <w:kern w:val="2"/>
                <w:szCs w:val="18"/>
                <w:lang w:eastAsia="zh-CN" w:bidi="th-TH"/>
                <w14:ligatures w14:val="standardContextual"/>
              </w:rPr>
            </w:pPr>
            <w:r>
              <w:t>Question this section answers</w:t>
            </w:r>
          </w:p>
        </w:tc>
        <w:tc>
          <w:tcPr>
            <w:tcW w:w="3750" w:type="pct"/>
            <w:tcMar>
              <w:top w:w="57" w:type="dxa"/>
              <w:left w:w="57" w:type="dxa"/>
              <w:bottom w:w="57" w:type="dxa"/>
              <w:right w:w="85" w:type="dxa"/>
            </w:tcMar>
            <w:hideMark/>
          </w:tcPr>
          <w:p w14:paraId="192ACEAA" w14:textId="39ECF44A" w:rsidR="004D2B52" w:rsidRDefault="00017B17">
            <w:pPr>
              <w:pStyle w:val="TableBody"/>
            </w:pPr>
            <w:r>
              <w:t xml:space="preserve">What would the impact of alternative GST arrangements </w:t>
            </w:r>
            <w:r w:rsidR="006A2303">
              <w:t xml:space="preserve">have been on states’ fiscal sustainability, if </w:t>
            </w:r>
            <w:r w:rsidR="003D6A61">
              <w:t xml:space="preserve">each had been in place from </w:t>
            </w:r>
            <w:r w:rsidR="00FD28E6">
              <w:t>2001–02</w:t>
            </w:r>
            <w:r w:rsidR="003D6A61">
              <w:t xml:space="preserve"> to </w:t>
            </w:r>
            <w:r w:rsidR="00B41D17">
              <w:t>2024–25</w:t>
            </w:r>
            <w:r w:rsidR="001E75A6">
              <w:t>?</w:t>
            </w:r>
          </w:p>
        </w:tc>
      </w:tr>
      <w:tr w:rsidR="004D2B52" w14:paraId="303C220A" w14:textId="77777777" w:rsidTr="00F71893">
        <w:tc>
          <w:tcPr>
            <w:tcW w:w="0" w:type="auto"/>
            <w:tcMar>
              <w:top w:w="57" w:type="dxa"/>
              <w:left w:w="57" w:type="dxa"/>
              <w:bottom w:w="57" w:type="dxa"/>
              <w:right w:w="85" w:type="dxa"/>
            </w:tcMar>
            <w:hideMark/>
          </w:tcPr>
          <w:p w14:paraId="30C9ECAD" w14:textId="77777777" w:rsidR="004D2B52" w:rsidRDefault="004D2B52">
            <w:pPr>
              <w:pStyle w:val="TableHeading"/>
            </w:pPr>
            <w:r>
              <w:t>Scope</w:t>
            </w:r>
          </w:p>
        </w:tc>
        <w:tc>
          <w:tcPr>
            <w:tcW w:w="0" w:type="auto"/>
            <w:tcMar>
              <w:top w:w="57" w:type="dxa"/>
              <w:left w:w="57" w:type="dxa"/>
              <w:bottom w:w="57" w:type="dxa"/>
              <w:right w:w="85" w:type="dxa"/>
            </w:tcMar>
          </w:tcPr>
          <w:p w14:paraId="4D89883B" w14:textId="0283D8D4" w:rsidR="004D2B52" w:rsidRDefault="003F40EE">
            <w:pPr>
              <w:pStyle w:val="TableBody"/>
            </w:pPr>
            <w:r>
              <w:rPr>
                <w:color w:val="000000"/>
              </w:rPr>
              <w:t>Models the state fiscal sustainability effects of models 1-14 in table 1.1, across all states and years from 2001 - 2024.</w:t>
            </w:r>
          </w:p>
        </w:tc>
      </w:tr>
      <w:tr w:rsidR="004D2B52" w14:paraId="12D28906" w14:textId="77777777" w:rsidTr="00F71893">
        <w:tc>
          <w:tcPr>
            <w:tcW w:w="0" w:type="auto"/>
            <w:tcMar>
              <w:top w:w="57" w:type="dxa"/>
              <w:left w:w="57" w:type="dxa"/>
              <w:bottom w:w="57" w:type="dxa"/>
              <w:right w:w="85" w:type="dxa"/>
            </w:tcMar>
            <w:hideMark/>
          </w:tcPr>
          <w:p w14:paraId="0DF2B4F9" w14:textId="6A5CE1C7" w:rsidR="004D2B52" w:rsidRDefault="004D2B52">
            <w:pPr>
              <w:pStyle w:val="TableHeading"/>
            </w:pPr>
            <w:r>
              <w:t>Use</w:t>
            </w:r>
            <w:r w:rsidR="00691119">
              <w:t>d in</w:t>
            </w:r>
          </w:p>
        </w:tc>
        <w:tc>
          <w:tcPr>
            <w:tcW w:w="0" w:type="auto"/>
            <w:tcMar>
              <w:top w:w="57" w:type="dxa"/>
              <w:left w:w="57" w:type="dxa"/>
              <w:bottom w:w="57" w:type="dxa"/>
              <w:right w:w="85" w:type="dxa"/>
            </w:tcMar>
            <w:hideMark/>
          </w:tcPr>
          <w:p w14:paraId="59AB11B1" w14:textId="258DFED3" w:rsidR="004D2B52" w:rsidRDefault="00DC6961">
            <w:pPr>
              <w:pStyle w:val="TableBody"/>
            </w:pPr>
            <w:r>
              <w:t>T</w:t>
            </w:r>
            <w:r w:rsidR="00F74292">
              <w:t>able 3.</w:t>
            </w:r>
            <w:r w:rsidR="002F1EB4">
              <w:t>3</w:t>
            </w:r>
            <w:r w:rsidR="00F74292">
              <w:t>, table 4.1, figure 4.1, figure 4.2, figure 4.3, figure 4.4, figure 4.5, figure 4.6, figure 4.7</w:t>
            </w:r>
          </w:p>
        </w:tc>
      </w:tr>
    </w:tbl>
    <w:p w14:paraId="31DF56DD" w14:textId="77777777" w:rsidR="00D51150" w:rsidRDefault="00D51150" w:rsidP="00D51150">
      <w:pPr>
        <w:pStyle w:val="Heading3-noTOC"/>
      </w:pPr>
      <w:r>
        <w:t>Method</w:t>
      </w:r>
    </w:p>
    <w:p w14:paraId="0CFF89DC" w14:textId="74A7F189" w:rsidR="005A7F52" w:rsidRDefault="005A7F52">
      <w:pPr>
        <w:pStyle w:val="BodyText"/>
      </w:pPr>
      <w:r w:rsidRPr="004C2EE6">
        <w:t xml:space="preserve">To compare the impact that different GST distribution systems would have had on states' interest expenses, the PC </w:t>
      </w:r>
      <w:r>
        <w:t>estimated the effects</w:t>
      </w:r>
      <w:r w:rsidRPr="004C2EE6">
        <w:t xml:space="preserve"> GST payments </w:t>
      </w:r>
      <w:r w:rsidR="007B0D89">
        <w:t xml:space="preserve">would have had </w:t>
      </w:r>
      <w:r w:rsidRPr="004C2EE6">
        <w:t xml:space="preserve">under each scenario </w:t>
      </w:r>
      <w:r>
        <w:t>on state fiscal positions</w:t>
      </w:r>
      <w:r w:rsidRPr="004C2EE6">
        <w:t xml:space="preserve"> </w:t>
      </w:r>
      <w:r>
        <w:t xml:space="preserve">using data </w:t>
      </w:r>
      <w:r w:rsidRPr="004C2EE6">
        <w:t>from the ABS Government Finance Statistics (GFS) (</w:t>
      </w:r>
      <w:r w:rsidR="00FD28E6">
        <w:t>2001–02</w:t>
      </w:r>
      <w:r w:rsidRPr="004C2EE6">
        <w:t xml:space="preserve"> to </w:t>
      </w:r>
      <w:r w:rsidR="00B41D17">
        <w:t>2024–25</w:t>
      </w:r>
      <w:r w:rsidRPr="004C2EE6">
        <w:t>). T</w:t>
      </w:r>
      <w:r>
        <w:t>o achieve this, t</w:t>
      </w:r>
      <w:r w:rsidRPr="004C2EE6">
        <w:t>he PC developed a mechanical scenario model that estimates how changes in GST payments would flow through to states' fiscal balances, debt (L2) and interest expenses.</w:t>
      </w:r>
      <w:r>
        <w:t xml:space="preserve"> GST shocks are assumed to flow mechanically to the stock of debt, which is then used to calculate the marginal change in interest expenses.</w:t>
      </w:r>
      <w:r w:rsidR="00B40BE0">
        <w:t xml:space="preserve"> </w:t>
      </w:r>
    </w:p>
    <w:p w14:paraId="42586AB4" w14:textId="4ACD2B7B" w:rsidR="005A7F52" w:rsidRPr="003A5CC9" w:rsidRDefault="005A7F52" w:rsidP="005A7F52">
      <w:pPr>
        <w:pStyle w:val="BodyText"/>
        <w:rPr>
          <w:spacing w:val="2"/>
        </w:rPr>
      </w:pPr>
      <w:r w:rsidRPr="003A5CC9">
        <w:rPr>
          <w:spacing w:val="2"/>
        </w:rPr>
        <w:t>The purpose of the modelling is not to estimate states’ actual fiscal outcomes under alternative GST distribution systems. Rather, it provides a consistent framework for comparing the relative fiscal sustainability impacts of different GST distribution systems. The model holds state policy responses and other effects (such as changes in credit ratings) constant, to isolate the impact of differences in GST distributions (</w:t>
      </w:r>
      <w:r w:rsidR="00AA02CA" w:rsidRPr="003A5CC9">
        <w:rPr>
          <w:spacing w:val="2"/>
        </w:rPr>
        <w:t xml:space="preserve">assumptions </w:t>
      </w:r>
      <w:r w:rsidRPr="003A5CC9">
        <w:rPr>
          <w:spacing w:val="2"/>
        </w:rPr>
        <w:t>table). Consequently, the results should not be interpreted as likely fiscal outcomes.</w:t>
      </w:r>
    </w:p>
    <w:p w14:paraId="5757399E" w14:textId="1B276845" w:rsidR="00A23A92" w:rsidRPr="004C2EE6" w:rsidRDefault="00A23A92" w:rsidP="005A7F52">
      <w:pPr>
        <w:pStyle w:val="BodyText"/>
      </w:pPr>
      <w:r w:rsidRPr="00A20626">
        <w:lastRenderedPageBreak/>
        <w:t>GST is a general government revenue source, so the model applies GST shocks directly to the general government budget balance, debt and interest expenses</w:t>
      </w:r>
      <w:r w:rsidR="00405FF7">
        <w:t xml:space="preserve">, while </w:t>
      </w:r>
      <w:r w:rsidR="0034628B">
        <w:t>Public Non</w:t>
      </w:r>
      <w:r w:rsidR="00947B64">
        <w:t>-</w:t>
      </w:r>
      <w:r w:rsidR="0034628B">
        <w:t>Financial Corporation (</w:t>
      </w:r>
      <w:r w:rsidR="00405FF7">
        <w:t>PNFC</w:t>
      </w:r>
      <w:r w:rsidR="0034628B">
        <w:t>)</w:t>
      </w:r>
      <w:r w:rsidR="00405FF7">
        <w:t xml:space="preserve"> finances are held unchanged. </w:t>
      </w:r>
      <w:r w:rsidR="007234BD" w:rsidRPr="007234BD">
        <w:t xml:space="preserve">For </w:t>
      </w:r>
      <w:r w:rsidR="00995600">
        <w:t>Total Non</w:t>
      </w:r>
      <w:r w:rsidR="00947B64">
        <w:t>-</w:t>
      </w:r>
      <w:r w:rsidR="006D00C6">
        <w:t>Financial Public Sector (</w:t>
      </w:r>
      <w:r w:rsidR="007234BD" w:rsidRPr="007234BD">
        <w:t>TNFPS</w:t>
      </w:r>
      <w:r w:rsidR="006D00C6">
        <w:t>)</w:t>
      </w:r>
      <w:r w:rsidR="007234BD" w:rsidRPr="007234BD">
        <w:t xml:space="preserve"> results, the PC uses observed consolidated TNFPS baseline amounts, which remove transactions between a state’s general government sector and its own PNFCs</w:t>
      </w:r>
      <w:r w:rsidR="007234BD">
        <w:t xml:space="preserve"> </w:t>
      </w:r>
      <w:r w:rsidRPr="00AA25FA">
        <w:rPr>
          <w:rFonts w:cs="Open Sans"/>
        </w:rPr>
        <w:t>(ABS 2015)</w:t>
      </w:r>
      <w:r w:rsidRPr="00A20626">
        <w:t xml:space="preserve">. </w:t>
      </w:r>
      <w:r w:rsidR="00C86B0A">
        <w:t xml:space="preserve">The modelled general government changes </w:t>
      </w:r>
      <w:r w:rsidR="00956332">
        <w:t xml:space="preserve">are applied to </w:t>
      </w:r>
      <w:r w:rsidRPr="00A20626">
        <w:t xml:space="preserve">consolidated TNFPS baseline amounts. </w:t>
      </w:r>
    </w:p>
    <w:p w14:paraId="6F941BFA" w14:textId="5309CE42" w:rsidR="00C90FB0" w:rsidRPr="004C2EE6" w:rsidRDefault="00C90FB0" w:rsidP="00C90FB0">
      <w:pPr>
        <w:pStyle w:val="FigureTableHeading"/>
      </w:pPr>
      <w:r>
        <w:t>Table C.</w:t>
      </w:r>
      <w:fldSimple w:instr=" SEQ Table \* ARABIC \s 1 ">
        <w:r w:rsidR="002D76C4">
          <w:rPr>
            <w:noProof/>
          </w:rPr>
          <w:t>17</w:t>
        </w:r>
      </w:fldSimple>
      <w:r>
        <w:rPr>
          <w:noProof/>
        </w:rPr>
        <w:t xml:space="preserve"> – </w:t>
      </w:r>
      <w:r>
        <w:t>Fiscal sustainability framework measure modelling steps</w:t>
      </w:r>
    </w:p>
    <w:tbl>
      <w:tblPr>
        <w:tblW w:w="0" w:type="auto"/>
        <w:tblBorders>
          <w:bottom w:val="single" w:sz="4" w:space="0" w:color="B3B3B3"/>
        </w:tblBorders>
        <w:shd w:val="clear" w:color="000000" w:fill="auto"/>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282"/>
        <w:gridCol w:w="9356"/>
      </w:tblGrid>
      <w:tr w:rsidR="00457377" w:rsidRPr="00C90FB0" w14:paraId="07CC1217" w14:textId="77777777" w:rsidTr="00C90FB0">
        <w:trPr>
          <w:tblHeader/>
        </w:trPr>
        <w:tc>
          <w:tcPr>
            <w:tcW w:w="0" w:type="auto"/>
            <w:tcBorders>
              <w:bottom w:val="single" w:sz="4" w:space="0" w:color="B3B3B3"/>
            </w:tcBorders>
            <w:shd w:val="clear" w:color="000000" w:fill="auto"/>
            <w:vAlign w:val="bottom"/>
          </w:tcPr>
          <w:p w14:paraId="6346BA7A" w14:textId="77777777" w:rsidR="00457377" w:rsidRPr="00037B72" w:rsidRDefault="00457377">
            <w:pPr>
              <w:spacing w:before="45" w:after="45"/>
              <w:ind w:left="57" w:right="108"/>
              <w:rPr>
                <w:rFonts w:cs="Open Sans"/>
                <w:b/>
                <w:color w:val="1D4374"/>
                <w:sz w:val="18"/>
              </w:rPr>
            </w:pPr>
            <w:r w:rsidRPr="00037B72">
              <w:rPr>
                <w:rFonts w:cs="Open Sans"/>
                <w:b/>
                <w:bCs/>
                <w:color w:val="1D4374"/>
                <w:sz w:val="18"/>
              </w:rPr>
              <w:t>#</w:t>
            </w:r>
          </w:p>
        </w:tc>
        <w:tc>
          <w:tcPr>
            <w:tcW w:w="0" w:type="auto"/>
            <w:tcBorders>
              <w:bottom w:val="single" w:sz="4" w:space="0" w:color="B3B3B3"/>
            </w:tcBorders>
            <w:shd w:val="clear" w:color="000000" w:fill="auto"/>
            <w:vAlign w:val="bottom"/>
          </w:tcPr>
          <w:p w14:paraId="2B6CCB9D" w14:textId="77777777" w:rsidR="00457377" w:rsidRPr="00037B72" w:rsidRDefault="00457377">
            <w:pPr>
              <w:pStyle w:val="TableHeading"/>
              <w:spacing w:before="45" w:after="45"/>
              <w:rPr>
                <w:rFonts w:cs="Open Sans"/>
                <w:color w:val="1D4374"/>
              </w:rPr>
            </w:pPr>
            <w:r w:rsidRPr="00037B72">
              <w:rPr>
                <w:rFonts w:cs="Open Sans"/>
                <w:bCs/>
                <w:color w:val="1D4374"/>
              </w:rPr>
              <w:t>Step</w:t>
            </w:r>
          </w:p>
        </w:tc>
      </w:tr>
      <w:tr w:rsidR="00457377" w:rsidRPr="00C90FB0" w14:paraId="5CD735AA" w14:textId="77777777" w:rsidTr="00C90FB0">
        <w:tc>
          <w:tcPr>
            <w:tcW w:w="0" w:type="auto"/>
            <w:tcBorders>
              <w:top w:val="single" w:sz="4" w:space="0" w:color="B3B3B3"/>
              <w:bottom w:val="nil"/>
            </w:tcBorders>
            <w:shd w:val="clear" w:color="000000" w:fill="E6E6E6"/>
          </w:tcPr>
          <w:p w14:paraId="3ADEBDD8" w14:textId="77777777" w:rsidR="00457377" w:rsidRPr="00037B72" w:rsidRDefault="00457377">
            <w:pPr>
              <w:pStyle w:val="TableHeading"/>
              <w:spacing w:before="45" w:after="45"/>
              <w:rPr>
                <w:rFonts w:cs="Open Sans"/>
                <w:color w:val="1D4374"/>
              </w:rPr>
            </w:pPr>
            <w:r w:rsidRPr="00037B72">
              <w:rPr>
                <w:rFonts w:cs="Open Sans"/>
                <w:color w:val="1D4374"/>
              </w:rPr>
              <w:t>1</w:t>
            </w:r>
          </w:p>
        </w:tc>
        <w:tc>
          <w:tcPr>
            <w:tcW w:w="0" w:type="auto"/>
            <w:tcBorders>
              <w:top w:val="single" w:sz="4" w:space="0" w:color="B3B3B3"/>
              <w:bottom w:val="nil"/>
            </w:tcBorders>
            <w:shd w:val="clear" w:color="000000" w:fill="E6E6E6"/>
          </w:tcPr>
          <w:p w14:paraId="0E25D7DF" w14:textId="1788D871" w:rsidR="00457377" w:rsidRPr="00037B72" w:rsidRDefault="006A0E45">
            <w:pPr>
              <w:pStyle w:val="TableBody"/>
              <w:spacing w:before="45" w:after="45"/>
              <w:ind w:right="108"/>
              <w:rPr>
                <w:rFonts w:cs="Open Sans"/>
                <w:color w:val="000000"/>
              </w:rPr>
            </w:pPr>
            <w:r w:rsidRPr="00E67FE9">
              <w:rPr>
                <w:rFonts w:cs="Open Sans"/>
                <w:color w:val="000000"/>
              </w:rPr>
              <w:t xml:space="preserve">Establish the observed </w:t>
            </w:r>
            <w:r w:rsidR="00E67FE9" w:rsidRPr="00E67FE9">
              <w:rPr>
                <w:rFonts w:cs="Open Sans"/>
                <w:color w:val="000000"/>
              </w:rPr>
              <w:t>general government</w:t>
            </w:r>
            <w:r w:rsidRPr="00E67FE9">
              <w:rPr>
                <w:rFonts w:cs="Open Sans"/>
                <w:color w:val="000000"/>
              </w:rPr>
              <w:t xml:space="preserve"> baseline</w:t>
            </w:r>
            <w:r w:rsidR="00E67FE9" w:rsidRPr="00E67FE9">
              <w:rPr>
                <w:rFonts w:cs="Open Sans"/>
                <w:color w:val="000000"/>
              </w:rPr>
              <w:t>, starting with</w:t>
            </w:r>
            <w:r w:rsidRPr="00E67FE9">
              <w:rPr>
                <w:rFonts w:cs="Open Sans"/>
                <w:color w:val="000000"/>
              </w:rPr>
              <w:t xml:space="preserve"> each state </w:t>
            </w:r>
            <w:r w:rsidR="00E67FE9" w:rsidRPr="00E67FE9">
              <w:rPr>
                <w:rFonts w:cs="Open Sans"/>
                <w:color w:val="000000"/>
              </w:rPr>
              <w:t>or territory’s</w:t>
            </w:r>
            <w:r w:rsidRPr="00E67FE9">
              <w:rPr>
                <w:rFonts w:cs="Open Sans"/>
                <w:color w:val="000000"/>
              </w:rPr>
              <w:t xml:space="preserve"> observed general government revenue, expenses, debt and interest expenses</w:t>
            </w:r>
            <w:r w:rsidR="00E67FE9">
              <w:rPr>
                <w:rFonts w:cs="Open Sans"/>
                <w:color w:val="000000"/>
              </w:rPr>
              <w:t xml:space="preserve"> from the GFS</w:t>
            </w:r>
            <w:r w:rsidR="00E67FE9" w:rsidRPr="00E67FE9">
              <w:rPr>
                <w:rFonts w:cs="Open Sans"/>
                <w:color w:val="000000"/>
              </w:rPr>
              <w:t xml:space="preserve">. These provide the baseline against which each alternative GST distribution </w:t>
            </w:r>
            <w:r w:rsidR="00BE0BF2">
              <w:rPr>
                <w:rFonts w:cs="Open Sans"/>
                <w:color w:val="000000"/>
              </w:rPr>
              <w:t>system</w:t>
            </w:r>
            <w:r w:rsidR="00BE0BF2" w:rsidRPr="00E67FE9">
              <w:rPr>
                <w:rFonts w:cs="Open Sans"/>
                <w:color w:val="000000"/>
              </w:rPr>
              <w:t xml:space="preserve"> </w:t>
            </w:r>
            <w:r w:rsidR="00E67FE9" w:rsidRPr="00E67FE9">
              <w:rPr>
                <w:rFonts w:cs="Open Sans"/>
                <w:color w:val="000000"/>
              </w:rPr>
              <w:t>is assessed.</w:t>
            </w:r>
          </w:p>
        </w:tc>
      </w:tr>
      <w:tr w:rsidR="00457377" w:rsidRPr="00C90FB0" w14:paraId="611E08B3" w14:textId="77777777" w:rsidTr="00C90FB0">
        <w:tc>
          <w:tcPr>
            <w:tcW w:w="0" w:type="auto"/>
            <w:tcBorders>
              <w:top w:val="nil"/>
              <w:bottom w:val="nil"/>
            </w:tcBorders>
            <w:shd w:val="clear" w:color="000000" w:fill="auto"/>
          </w:tcPr>
          <w:p w14:paraId="4732A8AD" w14:textId="77777777" w:rsidR="00457377" w:rsidRPr="00037B72" w:rsidRDefault="00457377">
            <w:pPr>
              <w:pStyle w:val="TableHeading"/>
              <w:spacing w:before="45" w:after="45"/>
              <w:rPr>
                <w:rFonts w:cs="Open Sans"/>
                <w:color w:val="1D4374"/>
              </w:rPr>
            </w:pPr>
            <w:r w:rsidRPr="00037B72">
              <w:rPr>
                <w:rFonts w:cs="Open Sans"/>
                <w:color w:val="1D4374"/>
              </w:rPr>
              <w:t>2</w:t>
            </w:r>
          </w:p>
        </w:tc>
        <w:tc>
          <w:tcPr>
            <w:tcW w:w="0" w:type="auto"/>
            <w:tcBorders>
              <w:top w:val="nil"/>
              <w:bottom w:val="nil"/>
            </w:tcBorders>
            <w:shd w:val="clear" w:color="000000" w:fill="auto"/>
          </w:tcPr>
          <w:p w14:paraId="7D7DE097" w14:textId="699C37BF" w:rsidR="00457377" w:rsidRPr="00037B72" w:rsidRDefault="00F36251">
            <w:pPr>
              <w:pStyle w:val="TableBody"/>
              <w:spacing w:before="45" w:after="45"/>
              <w:ind w:right="108"/>
              <w:rPr>
                <w:rFonts w:cs="Open Sans"/>
                <w:color w:val="000000"/>
              </w:rPr>
            </w:pPr>
            <w:r w:rsidRPr="00F36251">
              <w:rPr>
                <w:rFonts w:cs="Open Sans"/>
                <w:bCs/>
                <w:color w:val="000000"/>
              </w:rPr>
              <w:t xml:space="preserve">For each state and year, calculate the difference between </w:t>
            </w:r>
            <w:r w:rsidR="00F12186">
              <w:rPr>
                <w:rFonts w:cs="Open Sans"/>
                <w:bCs/>
                <w:color w:val="000000"/>
              </w:rPr>
              <w:t xml:space="preserve">observed </w:t>
            </w:r>
            <w:r w:rsidRPr="00F36251">
              <w:rPr>
                <w:rFonts w:cs="Open Sans"/>
                <w:bCs/>
                <w:color w:val="000000"/>
              </w:rPr>
              <w:t xml:space="preserve">GST </w:t>
            </w:r>
            <w:r w:rsidR="004C15FB">
              <w:rPr>
                <w:rFonts w:cs="Open Sans"/>
                <w:bCs/>
                <w:color w:val="000000"/>
              </w:rPr>
              <w:t xml:space="preserve">and </w:t>
            </w:r>
            <w:proofErr w:type="spellStart"/>
            <w:r w:rsidR="004C15FB">
              <w:rPr>
                <w:rFonts w:cs="Open Sans"/>
                <w:bCs/>
                <w:color w:val="000000"/>
              </w:rPr>
              <w:t>NoWO</w:t>
            </w:r>
            <w:proofErr w:type="spellEnd"/>
            <w:r w:rsidR="004C15FB">
              <w:rPr>
                <w:rFonts w:cs="Open Sans"/>
                <w:bCs/>
                <w:color w:val="000000"/>
              </w:rPr>
              <w:t xml:space="preserve"> payments </w:t>
            </w:r>
            <w:r w:rsidR="00076C01">
              <w:rPr>
                <w:rFonts w:cs="Open Sans"/>
                <w:bCs/>
                <w:color w:val="000000"/>
              </w:rPr>
              <w:t xml:space="preserve">(from final budget outcomes) and </w:t>
            </w:r>
            <w:r w:rsidR="0014238E">
              <w:rPr>
                <w:rFonts w:cs="Open Sans"/>
                <w:bCs/>
                <w:color w:val="000000"/>
              </w:rPr>
              <w:t xml:space="preserve">the GST payments (including </w:t>
            </w:r>
            <w:proofErr w:type="spellStart"/>
            <w:r w:rsidR="0014238E">
              <w:rPr>
                <w:rFonts w:cs="Open Sans"/>
                <w:bCs/>
                <w:color w:val="000000"/>
              </w:rPr>
              <w:t>NoWO</w:t>
            </w:r>
            <w:proofErr w:type="spellEnd"/>
            <w:r w:rsidR="0014238E">
              <w:rPr>
                <w:rFonts w:cs="Open Sans"/>
                <w:bCs/>
                <w:color w:val="000000"/>
              </w:rPr>
              <w:t xml:space="preserve"> </w:t>
            </w:r>
            <w:r w:rsidR="004C15FB">
              <w:rPr>
                <w:rFonts w:cs="Open Sans"/>
                <w:bCs/>
                <w:color w:val="000000"/>
              </w:rPr>
              <w:t xml:space="preserve">where relevant) </w:t>
            </w:r>
            <w:r w:rsidRPr="00F36251">
              <w:rPr>
                <w:rFonts w:cs="Open Sans"/>
                <w:bCs/>
                <w:color w:val="000000"/>
              </w:rPr>
              <w:t xml:space="preserve">under </w:t>
            </w:r>
            <w:r w:rsidR="004C15FB">
              <w:rPr>
                <w:rFonts w:cs="Open Sans"/>
                <w:bCs/>
                <w:color w:val="000000"/>
              </w:rPr>
              <w:t>each</w:t>
            </w:r>
            <w:r w:rsidRPr="00F36251">
              <w:rPr>
                <w:rFonts w:cs="Open Sans"/>
                <w:bCs/>
                <w:color w:val="000000"/>
              </w:rPr>
              <w:t xml:space="preserve"> alternative arrangement </w:t>
            </w:r>
            <w:r w:rsidR="004C15FB">
              <w:rPr>
                <w:rFonts w:cs="Open Sans"/>
                <w:bCs/>
                <w:color w:val="000000"/>
              </w:rPr>
              <w:t>(</w:t>
            </w:r>
            <w:r w:rsidR="004C15FB" w:rsidRPr="00037B72">
              <w:rPr>
                <w:rFonts w:cs="Open Sans"/>
                <w:color w:val="000000"/>
              </w:rPr>
              <w:t>from the PC GST model</w:t>
            </w:r>
            <w:r w:rsidR="00BE0F36">
              <w:rPr>
                <w:rFonts w:cs="Open Sans"/>
                <w:color w:val="000000"/>
              </w:rPr>
              <w:t>)</w:t>
            </w:r>
            <w:r w:rsidR="0016740F">
              <w:rPr>
                <w:rFonts w:cs="Open Sans"/>
                <w:color w:val="000000"/>
              </w:rPr>
              <w:t>.</w:t>
            </w:r>
            <w:r w:rsidRPr="00F36251">
              <w:rPr>
                <w:rFonts w:cs="Open Sans"/>
                <w:bCs/>
                <w:color w:val="000000"/>
              </w:rPr>
              <w:t xml:space="preserve"> A positive difference improves the general government fiscal position, while a negative difference weakens it.</w:t>
            </w:r>
          </w:p>
        </w:tc>
      </w:tr>
      <w:tr w:rsidR="00457377" w:rsidRPr="00C90FB0" w14:paraId="7EA25776" w14:textId="77777777" w:rsidTr="00C90FB0">
        <w:tc>
          <w:tcPr>
            <w:tcW w:w="0" w:type="auto"/>
            <w:tcBorders>
              <w:bottom w:val="nil"/>
            </w:tcBorders>
            <w:shd w:val="clear" w:color="000000" w:fill="E6E6E6"/>
          </w:tcPr>
          <w:p w14:paraId="5840A101" w14:textId="77777777" w:rsidR="00457377" w:rsidRPr="00037B72" w:rsidRDefault="00457377">
            <w:pPr>
              <w:pStyle w:val="TableHeading"/>
              <w:spacing w:before="45" w:after="45"/>
              <w:rPr>
                <w:rFonts w:cs="Open Sans"/>
                <w:color w:val="1D4374"/>
              </w:rPr>
            </w:pPr>
            <w:r w:rsidRPr="00037B72">
              <w:rPr>
                <w:rFonts w:cs="Open Sans"/>
                <w:color w:val="1D4374"/>
              </w:rPr>
              <w:t>3</w:t>
            </w:r>
          </w:p>
        </w:tc>
        <w:tc>
          <w:tcPr>
            <w:tcW w:w="0" w:type="auto"/>
            <w:tcBorders>
              <w:bottom w:val="nil"/>
            </w:tcBorders>
            <w:shd w:val="clear" w:color="000000" w:fill="E6E6E6"/>
          </w:tcPr>
          <w:p w14:paraId="426D855F" w14:textId="27C2B705" w:rsidR="00457377" w:rsidRPr="00037B72" w:rsidRDefault="00D2721E">
            <w:pPr>
              <w:pStyle w:val="TableBody"/>
              <w:spacing w:before="45" w:after="45"/>
              <w:ind w:right="108"/>
              <w:rPr>
                <w:rFonts w:cs="Open Sans"/>
                <w:color w:val="000000"/>
              </w:rPr>
            </w:pPr>
            <w:r w:rsidRPr="00D2721E">
              <w:rPr>
                <w:rFonts w:cs="Open Sans"/>
                <w:bCs/>
                <w:color w:val="000000"/>
              </w:rPr>
              <w:t>The change in the fiscal position is assumed to flow mechanically into debt relative to the observed baseline. Lower GST revenue increases debt, while higher GST revenue reduces debt.</w:t>
            </w:r>
          </w:p>
        </w:tc>
      </w:tr>
      <w:tr w:rsidR="00457377" w:rsidRPr="00C90FB0" w14:paraId="5C18E51D" w14:textId="77777777" w:rsidTr="00C90FB0">
        <w:tc>
          <w:tcPr>
            <w:tcW w:w="0" w:type="auto"/>
            <w:tcBorders>
              <w:top w:val="nil"/>
              <w:bottom w:val="nil"/>
            </w:tcBorders>
            <w:shd w:val="clear" w:color="000000" w:fill="auto"/>
          </w:tcPr>
          <w:p w14:paraId="350254C9" w14:textId="77777777" w:rsidR="00457377" w:rsidRPr="00037B72" w:rsidRDefault="00457377">
            <w:pPr>
              <w:pStyle w:val="TableHeading"/>
              <w:spacing w:before="45" w:after="45"/>
              <w:rPr>
                <w:rFonts w:cs="Open Sans"/>
                <w:color w:val="1D4374"/>
              </w:rPr>
            </w:pPr>
            <w:r w:rsidRPr="00037B72">
              <w:rPr>
                <w:rFonts w:cs="Open Sans"/>
                <w:color w:val="1D4374"/>
              </w:rPr>
              <w:t>4</w:t>
            </w:r>
          </w:p>
        </w:tc>
        <w:tc>
          <w:tcPr>
            <w:tcW w:w="0" w:type="auto"/>
            <w:tcBorders>
              <w:top w:val="nil"/>
              <w:bottom w:val="nil"/>
            </w:tcBorders>
            <w:shd w:val="clear" w:color="000000" w:fill="auto"/>
          </w:tcPr>
          <w:p w14:paraId="357B73DE" w14:textId="113FF297" w:rsidR="00457377" w:rsidRPr="00037B72" w:rsidRDefault="00572443">
            <w:pPr>
              <w:pStyle w:val="TableBody"/>
              <w:spacing w:before="45" w:after="45"/>
              <w:ind w:right="108"/>
              <w:rPr>
                <w:rFonts w:cs="Open Sans"/>
                <w:color w:val="000000"/>
              </w:rPr>
            </w:pPr>
            <w:r>
              <w:rPr>
                <w:rFonts w:cs="Open Sans"/>
                <w:bCs/>
                <w:color w:val="000000"/>
              </w:rPr>
              <w:t xml:space="preserve">Calculate the </w:t>
            </w:r>
            <w:r w:rsidR="00EA5D5C">
              <w:rPr>
                <w:rFonts w:cs="Open Sans"/>
                <w:bCs/>
                <w:color w:val="000000"/>
              </w:rPr>
              <w:t>marginal interest effect by a</w:t>
            </w:r>
            <w:r w:rsidR="008D383F" w:rsidRPr="008D383F">
              <w:rPr>
                <w:rFonts w:cs="Open Sans"/>
                <w:bCs/>
                <w:color w:val="000000"/>
              </w:rPr>
              <w:t>pply</w:t>
            </w:r>
            <w:r w:rsidR="00EA5D5C">
              <w:rPr>
                <w:rFonts w:cs="Open Sans"/>
                <w:bCs/>
                <w:color w:val="000000"/>
              </w:rPr>
              <w:t>ing</w:t>
            </w:r>
            <w:r w:rsidR="008D383F" w:rsidRPr="008D383F">
              <w:rPr>
                <w:rFonts w:cs="Open Sans"/>
                <w:bCs/>
                <w:color w:val="000000"/>
              </w:rPr>
              <w:t xml:space="preserve"> the modelled borrowing rate to the additional or avoided debt generated by the GST change. Interest effects from earlier years continue to affect later years, so the debt and interest impacts accumulate over the model period.</w:t>
            </w:r>
          </w:p>
        </w:tc>
      </w:tr>
      <w:tr w:rsidR="00457377" w:rsidRPr="00C90FB0" w14:paraId="077CCE08" w14:textId="77777777" w:rsidTr="00C90FB0">
        <w:tc>
          <w:tcPr>
            <w:tcW w:w="0" w:type="auto"/>
            <w:tcBorders>
              <w:bottom w:val="nil"/>
            </w:tcBorders>
            <w:shd w:val="clear" w:color="000000" w:fill="E6E6E6"/>
          </w:tcPr>
          <w:p w14:paraId="421A5EBB" w14:textId="77777777" w:rsidR="00457377" w:rsidRPr="00037B72" w:rsidRDefault="00457377">
            <w:pPr>
              <w:pStyle w:val="TableHeading"/>
              <w:spacing w:before="45" w:after="45"/>
              <w:rPr>
                <w:rFonts w:cs="Open Sans"/>
                <w:color w:val="1D4374"/>
              </w:rPr>
            </w:pPr>
            <w:r w:rsidRPr="00037B72">
              <w:rPr>
                <w:rFonts w:cs="Open Sans"/>
                <w:color w:val="1D4374"/>
              </w:rPr>
              <w:t>5</w:t>
            </w:r>
          </w:p>
        </w:tc>
        <w:tc>
          <w:tcPr>
            <w:tcW w:w="0" w:type="auto"/>
            <w:tcBorders>
              <w:bottom w:val="nil"/>
            </w:tcBorders>
            <w:shd w:val="clear" w:color="000000" w:fill="E6E6E6"/>
          </w:tcPr>
          <w:p w14:paraId="08B0F392" w14:textId="708292A0" w:rsidR="00457377" w:rsidRPr="00037B72" w:rsidRDefault="00B239E0">
            <w:pPr>
              <w:pStyle w:val="TableBody"/>
              <w:spacing w:before="45" w:after="45"/>
              <w:ind w:right="108"/>
              <w:rPr>
                <w:rFonts w:cs="Open Sans"/>
                <w:color w:val="000000"/>
              </w:rPr>
            </w:pPr>
            <w:r w:rsidRPr="00B239E0">
              <w:rPr>
                <w:rFonts w:cs="Open Sans"/>
                <w:color w:val="000000"/>
              </w:rPr>
              <w:t>Add the GST revenue change and associated marginal interest and debt impacts to the observed general government baseline to produce alternative revenue, expenses, fiscal balance, interest expense and debt outcomes</w:t>
            </w:r>
            <w:r>
              <w:rPr>
                <w:rFonts w:cs="Open Sans"/>
                <w:color w:val="000000"/>
              </w:rPr>
              <w:t>.</w:t>
            </w:r>
          </w:p>
        </w:tc>
      </w:tr>
      <w:tr w:rsidR="00457377" w:rsidRPr="00C90FB0" w14:paraId="534040AE" w14:textId="77777777" w:rsidTr="00C90FB0">
        <w:tc>
          <w:tcPr>
            <w:tcW w:w="0" w:type="auto"/>
            <w:tcBorders>
              <w:top w:val="nil"/>
              <w:bottom w:val="nil"/>
            </w:tcBorders>
            <w:shd w:val="clear" w:color="000000" w:fill="auto"/>
          </w:tcPr>
          <w:p w14:paraId="59F8BFE7" w14:textId="77777777" w:rsidR="00457377" w:rsidRPr="00037B72" w:rsidRDefault="00457377">
            <w:pPr>
              <w:pStyle w:val="TableHeading"/>
              <w:spacing w:before="45" w:after="45"/>
              <w:rPr>
                <w:rFonts w:cs="Open Sans"/>
                <w:color w:val="1D4374"/>
              </w:rPr>
            </w:pPr>
            <w:r w:rsidRPr="00037B72">
              <w:rPr>
                <w:rFonts w:cs="Open Sans"/>
                <w:color w:val="1D4374"/>
              </w:rPr>
              <w:t>6</w:t>
            </w:r>
          </w:p>
        </w:tc>
        <w:tc>
          <w:tcPr>
            <w:tcW w:w="0" w:type="auto"/>
            <w:tcBorders>
              <w:top w:val="nil"/>
              <w:bottom w:val="nil"/>
            </w:tcBorders>
            <w:shd w:val="clear" w:color="000000" w:fill="auto"/>
          </w:tcPr>
          <w:p w14:paraId="36E6E732" w14:textId="4326FBA8" w:rsidR="00457377" w:rsidRPr="00037B72" w:rsidRDefault="00C85654">
            <w:pPr>
              <w:pStyle w:val="TableBody"/>
              <w:spacing w:before="45" w:after="45"/>
              <w:ind w:right="108"/>
              <w:rPr>
                <w:rFonts w:cs="Open Sans"/>
                <w:color w:val="000000"/>
              </w:rPr>
            </w:pPr>
            <w:r w:rsidRPr="00C85654">
              <w:rPr>
                <w:rFonts w:cs="Open Sans"/>
                <w:bCs/>
                <w:color w:val="000000"/>
              </w:rPr>
              <w:t>Construct the consolidated TNFPS baseline by combining general government and PNFC amounts after removing transactions and positions between the state’s own general government and PNFC sectors. Apply the modelled GST, debt and marginal interest changes to this baseline, while holding PNFC finances otherwise unchanged.</w:t>
            </w:r>
          </w:p>
        </w:tc>
      </w:tr>
      <w:tr w:rsidR="00457377" w:rsidRPr="00C90FB0" w14:paraId="0A5C9C56" w14:textId="77777777" w:rsidTr="00C90FB0">
        <w:tc>
          <w:tcPr>
            <w:tcW w:w="0" w:type="auto"/>
            <w:tcBorders>
              <w:bottom w:val="nil"/>
            </w:tcBorders>
            <w:shd w:val="clear" w:color="000000" w:fill="E6E6E6"/>
          </w:tcPr>
          <w:p w14:paraId="62FE330B" w14:textId="77777777" w:rsidR="00457377" w:rsidRPr="00037B72" w:rsidRDefault="00457377">
            <w:pPr>
              <w:pStyle w:val="TableHeading"/>
              <w:spacing w:before="45" w:after="45"/>
              <w:rPr>
                <w:rFonts w:cs="Open Sans"/>
                <w:color w:val="1D4374"/>
              </w:rPr>
            </w:pPr>
            <w:r w:rsidRPr="00037B72">
              <w:rPr>
                <w:rFonts w:cs="Open Sans"/>
                <w:color w:val="1D4374"/>
              </w:rPr>
              <w:t>7</w:t>
            </w:r>
          </w:p>
        </w:tc>
        <w:tc>
          <w:tcPr>
            <w:tcW w:w="0" w:type="auto"/>
            <w:tcBorders>
              <w:bottom w:val="nil"/>
            </w:tcBorders>
            <w:shd w:val="clear" w:color="000000" w:fill="E6E6E6"/>
          </w:tcPr>
          <w:p w14:paraId="4CF9130C" w14:textId="52EBB4F2" w:rsidR="00457377" w:rsidRPr="00037B72" w:rsidRDefault="00966A16">
            <w:pPr>
              <w:pStyle w:val="TableBody"/>
              <w:spacing w:before="45" w:after="45"/>
              <w:ind w:right="108"/>
              <w:rPr>
                <w:rFonts w:cs="Open Sans"/>
                <w:bCs/>
                <w:color w:val="000000"/>
              </w:rPr>
            </w:pPr>
            <w:r w:rsidRPr="00966A16">
              <w:rPr>
                <w:rFonts w:cs="Open Sans"/>
                <w:bCs/>
                <w:color w:val="000000"/>
              </w:rPr>
              <w:t xml:space="preserve">Use the modelled general government and TNFPS outcomes to calculate the </w:t>
            </w:r>
            <w:r>
              <w:rPr>
                <w:rFonts w:cs="Open Sans"/>
                <w:bCs/>
                <w:color w:val="000000"/>
              </w:rPr>
              <w:t xml:space="preserve">interest to revenue ratio in </w:t>
            </w:r>
            <w:r w:rsidR="00B41D17">
              <w:rPr>
                <w:rFonts w:cs="Open Sans"/>
                <w:bCs/>
                <w:color w:val="000000"/>
              </w:rPr>
              <w:t>2024–25</w:t>
            </w:r>
            <w:r>
              <w:rPr>
                <w:rFonts w:cs="Open Sans"/>
                <w:bCs/>
                <w:color w:val="000000"/>
              </w:rPr>
              <w:t xml:space="preserve"> for each alternative arrangement.</w:t>
            </w:r>
          </w:p>
        </w:tc>
      </w:tr>
      <w:tr w:rsidR="00457377" w:rsidRPr="00C90FB0" w14:paraId="378C1E8E" w14:textId="77777777" w:rsidTr="00C90FB0">
        <w:tc>
          <w:tcPr>
            <w:tcW w:w="0" w:type="auto"/>
            <w:tcBorders>
              <w:top w:val="nil"/>
            </w:tcBorders>
            <w:shd w:val="clear" w:color="000000" w:fill="auto"/>
          </w:tcPr>
          <w:p w14:paraId="1DE65514" w14:textId="77777777" w:rsidR="00457377" w:rsidRPr="00037B72" w:rsidRDefault="00457377">
            <w:pPr>
              <w:pStyle w:val="TableHeading"/>
              <w:spacing w:before="45" w:after="45"/>
              <w:rPr>
                <w:rFonts w:cs="Open Sans"/>
                <w:color w:val="1D4374"/>
              </w:rPr>
            </w:pPr>
            <w:r w:rsidRPr="00037B72">
              <w:rPr>
                <w:rFonts w:cs="Open Sans"/>
                <w:color w:val="1D4374"/>
              </w:rPr>
              <w:t>8</w:t>
            </w:r>
          </w:p>
        </w:tc>
        <w:tc>
          <w:tcPr>
            <w:tcW w:w="0" w:type="auto"/>
            <w:tcBorders>
              <w:top w:val="nil"/>
            </w:tcBorders>
            <w:shd w:val="clear" w:color="000000" w:fill="auto"/>
          </w:tcPr>
          <w:p w14:paraId="285A9ED5" w14:textId="7DF35480" w:rsidR="00457377" w:rsidRPr="00037B72" w:rsidRDefault="009B6814">
            <w:pPr>
              <w:pStyle w:val="TableBody"/>
              <w:spacing w:before="45" w:after="45"/>
              <w:ind w:right="108"/>
              <w:rPr>
                <w:rStyle w:val="Strong"/>
                <w:rFonts w:cs="Open Sans"/>
                <w:b w:val="0"/>
                <w:color w:val="000000"/>
              </w:rPr>
            </w:pPr>
            <w:r>
              <w:rPr>
                <w:rFonts w:cs="Open Sans"/>
                <w:bCs/>
                <w:color w:val="000000"/>
              </w:rPr>
              <w:t>Use the</w:t>
            </w:r>
            <w:r w:rsidR="007A71ED">
              <w:rPr>
                <w:rFonts w:cs="Open Sans"/>
                <w:bCs/>
                <w:color w:val="000000"/>
              </w:rPr>
              <w:t xml:space="preserve"> modelled interest to revenue ratios to calculate an aggregate fiscal pressure score for each alternative arrangement (</w:t>
            </w:r>
            <w:r w:rsidR="006A391B">
              <w:rPr>
                <w:rFonts w:cs="Open Sans"/>
                <w:bCs/>
                <w:color w:val="000000"/>
              </w:rPr>
              <w:t xml:space="preserve">measure explained in appendix B). </w:t>
            </w:r>
          </w:p>
        </w:tc>
      </w:tr>
    </w:tbl>
    <w:p w14:paraId="770E81D0" w14:textId="77777777" w:rsidR="00B43AF6" w:rsidRPr="006D315C" w:rsidRDefault="00B43AF6" w:rsidP="006D315C">
      <w:pPr>
        <w:pStyle w:val="BodyText"/>
      </w:pPr>
      <w:r w:rsidRPr="006D315C">
        <w:br w:type="page"/>
      </w:r>
    </w:p>
    <w:p w14:paraId="7024A0B6" w14:textId="2C23DE28" w:rsidR="00D51150" w:rsidRDefault="00D51150" w:rsidP="00D51150">
      <w:pPr>
        <w:pStyle w:val="Heading3-noTOC"/>
      </w:pPr>
      <w:r>
        <w:lastRenderedPageBreak/>
        <w:t>Data</w:t>
      </w:r>
    </w:p>
    <w:p w14:paraId="6E2D8310" w14:textId="5CA4BE47" w:rsidR="00D866EE" w:rsidRDefault="00D866EE">
      <w:pPr>
        <w:pStyle w:val="FigureTableHeading"/>
      </w:pPr>
      <w:r>
        <w:t xml:space="preserve">Table </w:t>
      </w:r>
      <w:r w:rsidR="006F4CC5">
        <w:t>C</w:t>
      </w:r>
      <w:r>
        <w:t>.</w:t>
      </w:r>
      <w:fldSimple w:instr=" SEQ Table \* ARABIC \s 1 ">
        <w:r w:rsidR="002D76C4">
          <w:rPr>
            <w:noProof/>
          </w:rPr>
          <w:t>18</w:t>
        </w:r>
      </w:fldSimple>
      <w:r>
        <w:rPr>
          <w:noProof/>
        </w:rPr>
        <w:t xml:space="preserve"> – </w:t>
      </w:r>
      <w:r>
        <w:t xml:space="preserve">Fiscal sustainability framework measure data </w:t>
      </w:r>
      <w:r w:rsidR="006F4CC5">
        <w:t>inputs</w:t>
      </w:r>
    </w:p>
    <w:tbl>
      <w:tblPr>
        <w:tblStyle w:val="ProductivityCommissionTable2-Dark"/>
        <w:tblW w:w="5000" w:type="pct"/>
        <w:tblBorders>
          <w:insideH w:val="none" w:sz="0" w:space="0" w:color="auto"/>
        </w:tblBorders>
        <w:shd w:val="clear" w:color="000000" w:fill="auto"/>
        <w:tblLayout w:type="fixed"/>
        <w:tblCellMar>
          <w:top w:w="0" w:type="dxa"/>
          <w:left w:w="0" w:type="dxa"/>
          <w:bottom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843"/>
        <w:gridCol w:w="2128"/>
        <w:gridCol w:w="1133"/>
        <w:gridCol w:w="2178"/>
        <w:gridCol w:w="2356"/>
      </w:tblGrid>
      <w:tr w:rsidR="004D2B52" w:rsidRPr="002D76C4" w14:paraId="3D900D76" w14:textId="77777777" w:rsidTr="002D76C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56" w:type="pct"/>
            <w:tcBorders>
              <w:bottom w:val="single" w:sz="4" w:space="0" w:color="B3B3B3"/>
            </w:tcBorders>
            <w:shd w:val="clear" w:color="000000" w:fill="auto"/>
            <w:vAlign w:val="bottom"/>
          </w:tcPr>
          <w:p w14:paraId="48365742" w14:textId="77777777" w:rsidR="004D2B52" w:rsidRPr="002D76C4" w:rsidRDefault="004D2B52" w:rsidP="002D76C4">
            <w:pPr>
              <w:pStyle w:val="TableHeading"/>
              <w:spacing w:before="45" w:after="45"/>
              <w:rPr>
                <w:rFonts w:cs="Open Sans"/>
                <w:b/>
                <w:bCs/>
                <w:color w:val="1D4374"/>
              </w:rPr>
            </w:pPr>
            <w:r w:rsidRPr="002D76C4">
              <w:rPr>
                <w:rFonts w:cs="Open Sans"/>
                <w:b/>
                <w:bCs/>
                <w:color w:val="1D4374"/>
              </w:rPr>
              <w:t>Dataset</w:t>
            </w:r>
          </w:p>
        </w:tc>
        <w:tc>
          <w:tcPr>
            <w:tcW w:w="1104" w:type="pct"/>
            <w:tcBorders>
              <w:bottom w:val="single" w:sz="4" w:space="0" w:color="B3B3B3"/>
            </w:tcBorders>
            <w:shd w:val="clear" w:color="000000" w:fill="auto"/>
            <w:vAlign w:val="bottom"/>
          </w:tcPr>
          <w:p w14:paraId="67BE639A" w14:textId="77777777" w:rsidR="004D2B52" w:rsidRPr="002D76C4" w:rsidRDefault="004D2B52" w:rsidP="002D76C4">
            <w:pPr>
              <w:pStyle w:val="TableHeading"/>
              <w:spacing w:before="45" w:after="45"/>
              <w:cnfStyle w:val="100000000000" w:firstRow="1" w:lastRow="0" w:firstColumn="0" w:lastColumn="0" w:oddVBand="0" w:evenVBand="0" w:oddHBand="0" w:evenHBand="0" w:firstRowFirstColumn="0" w:firstRowLastColumn="0" w:lastRowFirstColumn="0" w:lastRowLastColumn="0"/>
              <w:rPr>
                <w:rFonts w:cs="Open Sans"/>
                <w:b/>
                <w:bCs/>
                <w:color w:val="1D4374"/>
              </w:rPr>
            </w:pPr>
            <w:r w:rsidRPr="002D76C4">
              <w:rPr>
                <w:rFonts w:cs="Open Sans"/>
                <w:b/>
                <w:bCs/>
                <w:color w:val="1D4374"/>
              </w:rPr>
              <w:t>Variables</w:t>
            </w:r>
          </w:p>
        </w:tc>
        <w:tc>
          <w:tcPr>
            <w:tcW w:w="588" w:type="pct"/>
            <w:tcBorders>
              <w:bottom w:val="single" w:sz="4" w:space="0" w:color="B3B3B3"/>
            </w:tcBorders>
            <w:shd w:val="clear" w:color="000000" w:fill="auto"/>
            <w:vAlign w:val="bottom"/>
          </w:tcPr>
          <w:p w14:paraId="0E0008FA" w14:textId="77777777" w:rsidR="004D2B52" w:rsidRPr="002D76C4" w:rsidRDefault="004D2B52" w:rsidP="002D76C4">
            <w:pPr>
              <w:pStyle w:val="TableHeading"/>
              <w:spacing w:before="45" w:after="45"/>
              <w:cnfStyle w:val="100000000000" w:firstRow="1" w:lastRow="0" w:firstColumn="0" w:lastColumn="0" w:oddVBand="0" w:evenVBand="0" w:oddHBand="0" w:evenHBand="0" w:firstRowFirstColumn="0" w:firstRowLastColumn="0" w:lastRowFirstColumn="0" w:lastRowLastColumn="0"/>
              <w:rPr>
                <w:rFonts w:cs="Open Sans"/>
                <w:b/>
                <w:bCs/>
                <w:color w:val="1D4374"/>
              </w:rPr>
            </w:pPr>
            <w:r w:rsidRPr="002D76C4">
              <w:rPr>
                <w:rFonts w:cs="Open Sans"/>
                <w:b/>
                <w:bCs/>
                <w:color w:val="1D4374"/>
              </w:rPr>
              <w:t>Years</w:t>
            </w:r>
          </w:p>
        </w:tc>
        <w:tc>
          <w:tcPr>
            <w:tcW w:w="1130" w:type="pct"/>
            <w:tcBorders>
              <w:bottom w:val="single" w:sz="4" w:space="0" w:color="B3B3B3"/>
            </w:tcBorders>
            <w:shd w:val="clear" w:color="000000" w:fill="auto"/>
            <w:vAlign w:val="bottom"/>
          </w:tcPr>
          <w:p w14:paraId="3265263A" w14:textId="77777777" w:rsidR="004D2B52" w:rsidRPr="002D76C4" w:rsidRDefault="004D2B52" w:rsidP="002D76C4">
            <w:pPr>
              <w:pStyle w:val="TableHeading"/>
              <w:spacing w:before="45" w:after="45"/>
              <w:cnfStyle w:val="100000000000" w:firstRow="1" w:lastRow="0" w:firstColumn="0" w:lastColumn="0" w:oddVBand="0" w:evenVBand="0" w:oddHBand="0" w:evenHBand="0" w:firstRowFirstColumn="0" w:firstRowLastColumn="0" w:lastRowFirstColumn="0" w:lastRowLastColumn="0"/>
              <w:rPr>
                <w:rFonts w:cs="Open Sans"/>
                <w:b/>
                <w:bCs/>
                <w:color w:val="1D4374"/>
              </w:rPr>
            </w:pPr>
            <w:r w:rsidRPr="002D76C4">
              <w:rPr>
                <w:rFonts w:cs="Open Sans"/>
                <w:b/>
                <w:bCs/>
                <w:color w:val="1D4374"/>
              </w:rPr>
              <w:t>Source</w:t>
            </w:r>
          </w:p>
        </w:tc>
        <w:tc>
          <w:tcPr>
            <w:tcW w:w="1222" w:type="pct"/>
            <w:tcBorders>
              <w:bottom w:val="single" w:sz="4" w:space="0" w:color="B3B3B3"/>
            </w:tcBorders>
            <w:shd w:val="clear" w:color="000000" w:fill="auto"/>
            <w:vAlign w:val="bottom"/>
          </w:tcPr>
          <w:p w14:paraId="6D785CE1" w14:textId="77777777" w:rsidR="004D2B52" w:rsidRPr="002D76C4" w:rsidRDefault="004D2B52" w:rsidP="002D76C4">
            <w:pPr>
              <w:pStyle w:val="TableHeading"/>
              <w:spacing w:before="45" w:after="45"/>
              <w:cnfStyle w:val="100000000000" w:firstRow="1" w:lastRow="0" w:firstColumn="0" w:lastColumn="0" w:oddVBand="0" w:evenVBand="0" w:oddHBand="0" w:evenHBand="0" w:firstRowFirstColumn="0" w:firstRowLastColumn="0" w:lastRowFirstColumn="0" w:lastRowLastColumn="0"/>
              <w:rPr>
                <w:rFonts w:cs="Open Sans"/>
                <w:b/>
                <w:bCs/>
                <w:color w:val="1D4374"/>
              </w:rPr>
            </w:pPr>
            <w:r w:rsidRPr="002D76C4">
              <w:rPr>
                <w:rFonts w:cs="Open Sans"/>
                <w:b/>
                <w:bCs/>
                <w:color w:val="1D4374"/>
              </w:rPr>
              <w:t>Notes</w:t>
            </w:r>
          </w:p>
        </w:tc>
      </w:tr>
      <w:tr w:rsidR="004D2B52" w:rsidRPr="002D76C4" w14:paraId="10646F5A" w14:textId="77777777" w:rsidTr="002D7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pct"/>
            <w:tcBorders>
              <w:top w:val="single" w:sz="4" w:space="0" w:color="B3B3B3"/>
              <w:bottom w:val="nil"/>
            </w:tcBorders>
            <w:shd w:val="clear" w:color="000000" w:fill="E6E6E6"/>
          </w:tcPr>
          <w:p w14:paraId="5A614D18" w14:textId="3E2A819F" w:rsidR="004D2B52" w:rsidRPr="002D76C4" w:rsidRDefault="00D82AAF" w:rsidP="002D76C4">
            <w:pPr>
              <w:pStyle w:val="TableBody"/>
              <w:spacing w:before="45" w:after="45"/>
              <w:ind w:right="108"/>
              <w:rPr>
                <w:rFonts w:cs="Open Sans"/>
                <w:b w:val="0"/>
                <w:color w:val="auto"/>
              </w:rPr>
            </w:pPr>
            <w:r w:rsidRPr="002D76C4">
              <w:rPr>
                <w:rFonts w:cs="Open Sans"/>
                <w:b w:val="0"/>
                <w:color w:val="auto"/>
              </w:rPr>
              <w:t xml:space="preserve">State general government and public non-financial corporation </w:t>
            </w:r>
            <w:r w:rsidR="002C3DF8" w:rsidRPr="002D76C4">
              <w:rPr>
                <w:rFonts w:cs="Open Sans"/>
                <w:b w:val="0"/>
                <w:color w:val="auto"/>
              </w:rPr>
              <w:t>GFS</w:t>
            </w:r>
            <w:r w:rsidR="000F5501" w:rsidRPr="002D76C4">
              <w:rPr>
                <w:rFonts w:cs="Open Sans"/>
                <w:b w:val="0"/>
                <w:color w:val="auto"/>
              </w:rPr>
              <w:t xml:space="preserve"> </w:t>
            </w:r>
          </w:p>
        </w:tc>
        <w:tc>
          <w:tcPr>
            <w:tcW w:w="1104" w:type="pct"/>
            <w:tcBorders>
              <w:top w:val="single" w:sz="4" w:space="0" w:color="B3B3B3"/>
              <w:bottom w:val="nil"/>
            </w:tcBorders>
            <w:shd w:val="clear" w:color="000000" w:fill="E6E6E6"/>
          </w:tcPr>
          <w:p w14:paraId="61D77AC4" w14:textId="7F3F4C43" w:rsidR="004D2B52" w:rsidRPr="002D76C4" w:rsidRDefault="004A1FCD" w:rsidP="002D76C4">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2D76C4">
              <w:rPr>
                <w:rFonts w:cs="Open Sans"/>
                <w:color w:val="000000"/>
              </w:rPr>
              <w:t>Total expenses</w:t>
            </w:r>
            <w:r w:rsidR="00803D5F" w:rsidRPr="002D76C4">
              <w:rPr>
                <w:rFonts w:cs="Open Sans"/>
                <w:color w:val="000000"/>
              </w:rPr>
              <w:t>; t</w:t>
            </w:r>
            <w:r w:rsidRPr="002D76C4">
              <w:rPr>
                <w:rFonts w:cs="Open Sans"/>
                <w:color w:val="000000"/>
              </w:rPr>
              <w:t>otal revenue</w:t>
            </w:r>
            <w:r w:rsidR="00803D5F" w:rsidRPr="002D76C4">
              <w:rPr>
                <w:rFonts w:cs="Open Sans"/>
                <w:color w:val="000000"/>
              </w:rPr>
              <w:t>; n</w:t>
            </w:r>
            <w:r w:rsidRPr="002D76C4">
              <w:rPr>
                <w:rFonts w:cs="Open Sans"/>
                <w:color w:val="000000"/>
              </w:rPr>
              <w:t>et acquisition of non-financial assets</w:t>
            </w:r>
            <w:r w:rsidR="00803D5F" w:rsidRPr="002D76C4">
              <w:rPr>
                <w:rFonts w:cs="Open Sans"/>
                <w:color w:val="000000"/>
              </w:rPr>
              <w:t xml:space="preserve">; </w:t>
            </w:r>
            <w:r w:rsidRPr="002D76C4">
              <w:rPr>
                <w:rFonts w:cs="Open Sans"/>
                <w:color w:val="000000"/>
              </w:rPr>
              <w:t xml:space="preserve">Interest </w:t>
            </w:r>
            <w:proofErr w:type="spellStart"/>
            <w:r w:rsidR="00C90681" w:rsidRPr="002D76C4">
              <w:rPr>
                <w:rFonts w:cs="Open Sans"/>
                <w:color w:val="000000"/>
              </w:rPr>
              <w:t>n.e.</w:t>
            </w:r>
            <w:r w:rsidR="00803D5F" w:rsidRPr="002D76C4">
              <w:rPr>
                <w:rFonts w:cs="Open Sans"/>
                <w:color w:val="000000"/>
              </w:rPr>
              <w:t>c.</w:t>
            </w:r>
            <w:proofErr w:type="spellEnd"/>
            <w:r w:rsidR="00803D5F" w:rsidRPr="002D76C4">
              <w:rPr>
                <w:rFonts w:cs="Open Sans"/>
                <w:color w:val="000000"/>
              </w:rPr>
              <w:t>; g</w:t>
            </w:r>
            <w:r w:rsidR="00700EF7" w:rsidRPr="002D76C4">
              <w:rPr>
                <w:rFonts w:cs="Open Sans"/>
                <w:color w:val="000000"/>
              </w:rPr>
              <w:t>ross debt (L2)</w:t>
            </w:r>
            <w:r w:rsidR="00803D5F" w:rsidRPr="002D76C4">
              <w:rPr>
                <w:rFonts w:cs="Open Sans"/>
                <w:color w:val="000000"/>
              </w:rPr>
              <w:t>; n</w:t>
            </w:r>
            <w:r w:rsidR="00700EF7" w:rsidRPr="002D76C4">
              <w:rPr>
                <w:rFonts w:cs="Open Sans"/>
                <w:color w:val="000000"/>
              </w:rPr>
              <w:t>et debt (L2)</w:t>
            </w:r>
          </w:p>
        </w:tc>
        <w:tc>
          <w:tcPr>
            <w:tcW w:w="588" w:type="pct"/>
            <w:tcBorders>
              <w:top w:val="single" w:sz="4" w:space="0" w:color="B3B3B3"/>
              <w:bottom w:val="nil"/>
            </w:tcBorders>
            <w:shd w:val="clear" w:color="000000" w:fill="E6E6E6"/>
          </w:tcPr>
          <w:p w14:paraId="228DA45F" w14:textId="33A7DF3D" w:rsidR="004D2B52" w:rsidRPr="002D76C4" w:rsidRDefault="00024865" w:rsidP="002D76C4">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2D76C4">
              <w:rPr>
                <w:rFonts w:cs="Open Sans"/>
                <w:color w:val="000000"/>
              </w:rPr>
              <w:t xml:space="preserve">1998-99 to </w:t>
            </w:r>
            <w:r w:rsidR="00B41D17" w:rsidRPr="002D76C4">
              <w:rPr>
                <w:rFonts w:cs="Open Sans"/>
                <w:color w:val="000000"/>
              </w:rPr>
              <w:t>2024–25</w:t>
            </w:r>
          </w:p>
        </w:tc>
        <w:tc>
          <w:tcPr>
            <w:tcW w:w="1130" w:type="pct"/>
            <w:tcBorders>
              <w:top w:val="single" w:sz="4" w:space="0" w:color="B3B3B3"/>
              <w:bottom w:val="nil"/>
            </w:tcBorders>
            <w:shd w:val="clear" w:color="000000" w:fill="E6E6E6"/>
          </w:tcPr>
          <w:p w14:paraId="2EE78AF5" w14:textId="3863F195" w:rsidR="004D2B52" w:rsidRPr="002D76C4" w:rsidRDefault="00D82AAF" w:rsidP="002D76C4">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2D76C4">
              <w:rPr>
                <w:rFonts w:cs="Open Sans"/>
                <w:color w:val="000000"/>
              </w:rPr>
              <w:t>ABS (unpublished)</w:t>
            </w:r>
          </w:p>
        </w:tc>
        <w:tc>
          <w:tcPr>
            <w:tcW w:w="1222" w:type="pct"/>
            <w:tcBorders>
              <w:top w:val="single" w:sz="4" w:space="0" w:color="B3B3B3"/>
              <w:bottom w:val="nil"/>
            </w:tcBorders>
            <w:shd w:val="clear" w:color="000000" w:fill="E6E6E6"/>
          </w:tcPr>
          <w:p w14:paraId="03CAA68F" w14:textId="52BB347D" w:rsidR="004D2B52" w:rsidRPr="002D76C4" w:rsidRDefault="00D7060E" w:rsidP="002D76C4">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2D76C4">
              <w:rPr>
                <w:rFonts w:cs="Open Sans"/>
                <w:color w:val="000000"/>
              </w:rPr>
              <w:t>Constant prices calculated using implicit price deflator of GDP.</w:t>
            </w:r>
            <w:r w:rsidRPr="002D76C4">
              <w:rPr>
                <w:rFonts w:cs="Open Sans"/>
                <w:color w:val="000000"/>
                <w:szCs w:val="22"/>
              </w:rPr>
              <w:br/>
            </w:r>
            <w:r w:rsidR="006B1A5A" w:rsidRPr="002D76C4">
              <w:rPr>
                <w:rFonts w:cs="Open Sans"/>
                <w:color w:val="000000"/>
              </w:rPr>
              <w:t xml:space="preserve">L2 debt includes debt securities, loans, SDRs, and currency and deposits </w:t>
            </w:r>
            <w:r w:rsidR="00BA0585" w:rsidRPr="002D76C4">
              <w:rPr>
                <w:rFonts w:cs="Open Sans"/>
                <w:color w:val="000000"/>
              </w:rPr>
              <w:t>(ABS 2015)</w:t>
            </w:r>
            <w:r w:rsidR="006B1A5A" w:rsidRPr="002D76C4">
              <w:rPr>
                <w:rFonts w:cs="Open Sans"/>
                <w:color w:val="000000"/>
              </w:rPr>
              <w:t>.</w:t>
            </w:r>
          </w:p>
        </w:tc>
      </w:tr>
      <w:tr w:rsidR="00490CDB" w:rsidRPr="002D76C4" w14:paraId="4BAAB4AA" w14:textId="77777777" w:rsidTr="002D76C4">
        <w:tc>
          <w:tcPr>
            <w:cnfStyle w:val="001000000000" w:firstRow="0" w:lastRow="0" w:firstColumn="1" w:lastColumn="0" w:oddVBand="0" w:evenVBand="0" w:oddHBand="0" w:evenHBand="0" w:firstRowFirstColumn="0" w:firstRowLastColumn="0" w:lastRowFirstColumn="0" w:lastRowLastColumn="0"/>
            <w:tcW w:w="956" w:type="pct"/>
            <w:tcBorders>
              <w:top w:val="nil"/>
              <w:bottom w:val="nil"/>
            </w:tcBorders>
            <w:shd w:val="clear" w:color="000000" w:fill="auto"/>
          </w:tcPr>
          <w:p w14:paraId="0AFAD481" w14:textId="712E0DFD" w:rsidR="00490CDB" w:rsidRPr="002D76C4" w:rsidRDefault="006056B9" w:rsidP="002D76C4">
            <w:pPr>
              <w:pStyle w:val="TableBody"/>
              <w:spacing w:before="45" w:after="45"/>
              <w:ind w:right="108"/>
              <w:rPr>
                <w:rFonts w:cs="Open Sans"/>
                <w:b w:val="0"/>
                <w:color w:val="auto"/>
              </w:rPr>
            </w:pPr>
            <w:r w:rsidRPr="002D76C4">
              <w:rPr>
                <w:rFonts w:cs="Open Sans"/>
                <w:b w:val="0"/>
                <w:color w:val="auto"/>
              </w:rPr>
              <w:t>Australian System of National Accounts, 2024–25</w:t>
            </w:r>
          </w:p>
        </w:tc>
        <w:tc>
          <w:tcPr>
            <w:tcW w:w="1104" w:type="pct"/>
            <w:tcBorders>
              <w:top w:val="nil"/>
              <w:bottom w:val="nil"/>
            </w:tcBorders>
            <w:shd w:val="clear" w:color="000000" w:fill="auto"/>
          </w:tcPr>
          <w:p w14:paraId="53B7218C" w14:textId="365CC94B" w:rsidR="00490CDB" w:rsidRPr="002D76C4" w:rsidRDefault="006056B9" w:rsidP="002D76C4">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2D76C4">
              <w:rPr>
                <w:rFonts w:cs="Open Sans"/>
                <w:color w:val="000000"/>
              </w:rPr>
              <w:t>Gross domestic product implicit price deflator</w:t>
            </w:r>
          </w:p>
        </w:tc>
        <w:tc>
          <w:tcPr>
            <w:tcW w:w="588" w:type="pct"/>
            <w:tcBorders>
              <w:top w:val="nil"/>
              <w:bottom w:val="nil"/>
            </w:tcBorders>
            <w:shd w:val="clear" w:color="000000" w:fill="auto"/>
          </w:tcPr>
          <w:p w14:paraId="338EC9AC" w14:textId="15CD4790" w:rsidR="00490CDB" w:rsidRPr="002D76C4" w:rsidRDefault="002A273A" w:rsidP="002D76C4">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2D76C4">
              <w:rPr>
                <w:rFonts w:cs="Open Sans"/>
                <w:color w:val="000000"/>
              </w:rPr>
              <w:t xml:space="preserve">1998-99 to </w:t>
            </w:r>
            <w:r w:rsidR="00B41D17" w:rsidRPr="002D76C4">
              <w:rPr>
                <w:rFonts w:cs="Open Sans"/>
                <w:color w:val="000000"/>
              </w:rPr>
              <w:t>2024–25</w:t>
            </w:r>
          </w:p>
        </w:tc>
        <w:tc>
          <w:tcPr>
            <w:tcW w:w="1130" w:type="pct"/>
            <w:tcBorders>
              <w:top w:val="nil"/>
              <w:bottom w:val="nil"/>
            </w:tcBorders>
            <w:shd w:val="clear" w:color="000000" w:fill="auto"/>
          </w:tcPr>
          <w:p w14:paraId="07DBA387" w14:textId="61A666D8" w:rsidR="00490CDB" w:rsidRPr="002D76C4" w:rsidRDefault="003B2182" w:rsidP="002D76C4">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2D76C4">
              <w:rPr>
                <w:rFonts w:cs="Open Sans"/>
                <w:color w:val="000000"/>
              </w:rPr>
              <w:t>ABS</w:t>
            </w:r>
            <w:r w:rsidR="00310B79" w:rsidRPr="002D76C4">
              <w:rPr>
                <w:rFonts w:cs="Open Sans"/>
                <w:color w:val="000000"/>
              </w:rPr>
              <w:t xml:space="preserve"> </w:t>
            </w:r>
            <w:r w:rsidR="00603E29" w:rsidRPr="002D76C4">
              <w:rPr>
                <w:rFonts w:cs="Open Sans"/>
                <w:color w:val="000000"/>
              </w:rPr>
              <w:t>(2025)</w:t>
            </w:r>
            <w:r w:rsidR="00F277B0" w:rsidRPr="002D76C4">
              <w:rPr>
                <w:rFonts w:cs="Open Sans"/>
                <w:color w:val="000000"/>
              </w:rPr>
              <w:t xml:space="preserve"> </w:t>
            </w:r>
          </w:p>
        </w:tc>
        <w:tc>
          <w:tcPr>
            <w:tcW w:w="1222" w:type="pct"/>
            <w:tcBorders>
              <w:top w:val="nil"/>
              <w:bottom w:val="nil"/>
            </w:tcBorders>
            <w:shd w:val="clear" w:color="000000" w:fill="auto"/>
          </w:tcPr>
          <w:p w14:paraId="101D35EE" w14:textId="32367BC1" w:rsidR="00490CDB" w:rsidRPr="002D76C4" w:rsidRDefault="00AC1576" w:rsidP="002D76C4">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2D76C4">
              <w:rPr>
                <w:rFonts w:cs="Open Sans"/>
                <w:color w:val="000000"/>
              </w:rPr>
              <w:t xml:space="preserve">Rebased to </w:t>
            </w:r>
            <w:r w:rsidR="00B41D17" w:rsidRPr="002D76C4">
              <w:rPr>
                <w:rFonts w:cs="Open Sans"/>
                <w:color w:val="000000"/>
              </w:rPr>
              <w:t>2024–25</w:t>
            </w:r>
          </w:p>
        </w:tc>
      </w:tr>
      <w:tr w:rsidR="00490CDB" w:rsidRPr="002D76C4" w14:paraId="3AA03B2E" w14:textId="77777777" w:rsidTr="002D7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pct"/>
            <w:tcBorders>
              <w:bottom w:val="nil"/>
            </w:tcBorders>
            <w:shd w:val="clear" w:color="000000" w:fill="E6E6E6"/>
          </w:tcPr>
          <w:p w14:paraId="69D73A6C" w14:textId="20260E34" w:rsidR="00490CDB" w:rsidRPr="002D76C4" w:rsidRDefault="00A2348C" w:rsidP="002D76C4">
            <w:pPr>
              <w:pStyle w:val="TableBody"/>
              <w:spacing w:before="45" w:after="45"/>
              <w:ind w:right="108"/>
              <w:rPr>
                <w:rFonts w:cs="Open Sans"/>
                <w:b w:val="0"/>
                <w:color w:val="auto"/>
              </w:rPr>
            </w:pPr>
            <w:r w:rsidRPr="002D76C4">
              <w:rPr>
                <w:rFonts w:cs="Open Sans"/>
                <w:b w:val="0"/>
                <w:color w:val="auto"/>
              </w:rPr>
              <w:t>Final Budget Outcomes</w:t>
            </w:r>
          </w:p>
        </w:tc>
        <w:tc>
          <w:tcPr>
            <w:tcW w:w="1104" w:type="pct"/>
            <w:tcBorders>
              <w:bottom w:val="nil"/>
            </w:tcBorders>
            <w:shd w:val="clear" w:color="000000" w:fill="E6E6E6"/>
          </w:tcPr>
          <w:p w14:paraId="00E92EEF" w14:textId="0485FEF6" w:rsidR="00490CDB" w:rsidRPr="002D76C4" w:rsidRDefault="005656BD" w:rsidP="002D76C4">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2D76C4">
              <w:rPr>
                <w:rFonts w:cs="Open Sans"/>
                <w:color w:val="000000"/>
              </w:rPr>
              <w:t>GST</w:t>
            </w:r>
            <w:r w:rsidR="00603061" w:rsidRPr="002D76C4">
              <w:rPr>
                <w:rFonts w:cs="Open Sans"/>
                <w:color w:val="000000"/>
              </w:rPr>
              <w:t xml:space="preserve"> payments</w:t>
            </w:r>
            <w:r w:rsidR="00803D5F" w:rsidRPr="002D76C4">
              <w:rPr>
                <w:rFonts w:cs="Open Sans"/>
                <w:color w:val="000000"/>
              </w:rPr>
              <w:t xml:space="preserve">; </w:t>
            </w:r>
            <w:r w:rsidR="001A1792" w:rsidRPr="002D76C4">
              <w:rPr>
                <w:rFonts w:cs="Open Sans"/>
                <w:color w:val="000000"/>
              </w:rPr>
              <w:t>HFE transition payments (</w:t>
            </w:r>
            <w:proofErr w:type="spellStart"/>
            <w:r w:rsidR="001A1792" w:rsidRPr="002D76C4">
              <w:rPr>
                <w:rFonts w:cs="Open Sans"/>
                <w:color w:val="000000"/>
              </w:rPr>
              <w:t>NoWO</w:t>
            </w:r>
            <w:proofErr w:type="spellEnd"/>
            <w:r w:rsidR="001A1792" w:rsidRPr="002D76C4">
              <w:rPr>
                <w:rFonts w:cs="Open Sans"/>
                <w:color w:val="000000"/>
              </w:rPr>
              <w:t xml:space="preserve"> payments)</w:t>
            </w:r>
          </w:p>
        </w:tc>
        <w:tc>
          <w:tcPr>
            <w:tcW w:w="588" w:type="pct"/>
            <w:tcBorders>
              <w:bottom w:val="nil"/>
            </w:tcBorders>
            <w:shd w:val="clear" w:color="000000" w:fill="E6E6E6"/>
          </w:tcPr>
          <w:p w14:paraId="0CBA374E" w14:textId="14D021BC" w:rsidR="00490CDB" w:rsidRPr="002D76C4" w:rsidRDefault="00AC1576" w:rsidP="002D76C4">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2D76C4">
              <w:rPr>
                <w:rFonts w:cs="Open Sans"/>
                <w:color w:val="000000"/>
              </w:rPr>
              <w:t xml:space="preserve">2000-01 to </w:t>
            </w:r>
            <w:r w:rsidR="00B41D17" w:rsidRPr="002D76C4">
              <w:rPr>
                <w:rFonts w:cs="Open Sans"/>
                <w:color w:val="000000"/>
              </w:rPr>
              <w:t>2024–25</w:t>
            </w:r>
          </w:p>
        </w:tc>
        <w:tc>
          <w:tcPr>
            <w:tcW w:w="1130" w:type="pct"/>
            <w:tcBorders>
              <w:bottom w:val="nil"/>
            </w:tcBorders>
            <w:shd w:val="clear" w:color="000000" w:fill="E6E6E6"/>
          </w:tcPr>
          <w:p w14:paraId="5EE872D1" w14:textId="307A13D1" w:rsidR="00490CDB" w:rsidRPr="002D76C4" w:rsidRDefault="004D077F" w:rsidP="002D76C4">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2D76C4">
              <w:rPr>
                <w:rFonts w:cs="Open Sans"/>
                <w:color w:val="000000"/>
              </w:rPr>
              <w:t>Comm</w:t>
            </w:r>
            <w:r w:rsidR="00A97F05" w:rsidRPr="002D76C4">
              <w:rPr>
                <w:rFonts w:cs="Open Sans"/>
                <w:color w:val="000000"/>
              </w:rPr>
              <w:t>on</w:t>
            </w:r>
            <w:r w:rsidRPr="002D76C4">
              <w:rPr>
                <w:rFonts w:cs="Open Sans"/>
                <w:color w:val="000000"/>
              </w:rPr>
              <w:t xml:space="preserve">wealth of Australia </w:t>
            </w:r>
            <w:r w:rsidR="00207099" w:rsidRPr="002D76C4">
              <w:rPr>
                <w:rFonts w:cs="Open Sans"/>
                <w:color w:val="000000"/>
              </w:rPr>
              <w:t>(2002, 2003, 2004, 2005, 2006, 2007, 2008, 2009, 2010, 2011, 2012, 2013, 2014, 2015, 2017, 2018, 2019, 2020, 2021, 2022, 2023, 2024, 2025)</w:t>
            </w:r>
          </w:p>
        </w:tc>
        <w:tc>
          <w:tcPr>
            <w:tcW w:w="1222" w:type="pct"/>
            <w:tcBorders>
              <w:bottom w:val="nil"/>
            </w:tcBorders>
            <w:shd w:val="clear" w:color="000000" w:fill="E6E6E6"/>
          </w:tcPr>
          <w:p w14:paraId="1689AC35" w14:textId="7A2C06A8" w:rsidR="00490CDB" w:rsidRPr="002D76C4" w:rsidRDefault="00093FD6" w:rsidP="002D76C4">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t>–</w:t>
            </w:r>
          </w:p>
        </w:tc>
      </w:tr>
      <w:tr w:rsidR="007F465A" w:rsidRPr="002D76C4" w14:paraId="6AF519A8" w14:textId="77777777" w:rsidTr="002D76C4">
        <w:tc>
          <w:tcPr>
            <w:cnfStyle w:val="001000000000" w:firstRow="0" w:lastRow="0" w:firstColumn="1" w:lastColumn="0" w:oddVBand="0" w:evenVBand="0" w:oddHBand="0" w:evenHBand="0" w:firstRowFirstColumn="0" w:firstRowLastColumn="0" w:lastRowFirstColumn="0" w:lastRowLastColumn="0"/>
            <w:tcW w:w="956" w:type="pct"/>
            <w:tcBorders>
              <w:top w:val="nil"/>
            </w:tcBorders>
            <w:shd w:val="clear" w:color="000000" w:fill="auto"/>
          </w:tcPr>
          <w:p w14:paraId="08D550A9" w14:textId="7725C18A" w:rsidR="007F465A" w:rsidRPr="002D76C4" w:rsidRDefault="0056534D" w:rsidP="002D76C4">
            <w:pPr>
              <w:pStyle w:val="TableBody"/>
              <w:spacing w:before="45" w:after="45"/>
              <w:ind w:right="108"/>
              <w:rPr>
                <w:rFonts w:cs="Open Sans"/>
                <w:b w:val="0"/>
                <w:color w:val="auto"/>
              </w:rPr>
            </w:pPr>
            <w:r w:rsidRPr="002D76C4">
              <w:rPr>
                <w:rFonts w:cs="Open Sans"/>
                <w:b w:val="0"/>
                <w:color w:val="auto"/>
              </w:rPr>
              <w:t>PC GST model</w:t>
            </w:r>
          </w:p>
        </w:tc>
        <w:tc>
          <w:tcPr>
            <w:tcW w:w="1104" w:type="pct"/>
            <w:tcBorders>
              <w:top w:val="nil"/>
            </w:tcBorders>
            <w:shd w:val="clear" w:color="000000" w:fill="auto"/>
          </w:tcPr>
          <w:p w14:paraId="7A84184A" w14:textId="6E6B6617" w:rsidR="007F465A" w:rsidRPr="002D76C4" w:rsidRDefault="00621673" w:rsidP="002D76C4">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2D76C4">
              <w:rPr>
                <w:rFonts w:cs="Open Sans"/>
                <w:color w:val="000000"/>
              </w:rPr>
              <w:t>GST payments</w:t>
            </w:r>
            <w:r w:rsidR="00803D5F" w:rsidRPr="002D76C4">
              <w:rPr>
                <w:rFonts w:cs="Open Sans"/>
                <w:color w:val="000000"/>
              </w:rPr>
              <w:t xml:space="preserve">; </w:t>
            </w:r>
            <w:proofErr w:type="spellStart"/>
            <w:r w:rsidRPr="002D76C4">
              <w:rPr>
                <w:rFonts w:cs="Open Sans"/>
                <w:color w:val="000000"/>
              </w:rPr>
              <w:t>NoWO</w:t>
            </w:r>
            <w:proofErr w:type="spellEnd"/>
            <w:r w:rsidRPr="002D76C4">
              <w:rPr>
                <w:rFonts w:cs="Open Sans"/>
                <w:color w:val="000000"/>
              </w:rPr>
              <w:t xml:space="preserve"> payments</w:t>
            </w:r>
          </w:p>
        </w:tc>
        <w:tc>
          <w:tcPr>
            <w:tcW w:w="588" w:type="pct"/>
            <w:tcBorders>
              <w:top w:val="nil"/>
            </w:tcBorders>
            <w:shd w:val="clear" w:color="000000" w:fill="auto"/>
          </w:tcPr>
          <w:p w14:paraId="38A4D83A" w14:textId="278B791F" w:rsidR="007F465A" w:rsidRPr="002D76C4" w:rsidRDefault="00FD28E6" w:rsidP="002D76C4">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2D76C4">
              <w:rPr>
                <w:rFonts w:cs="Open Sans"/>
                <w:color w:val="000000"/>
              </w:rPr>
              <w:t>2001–02</w:t>
            </w:r>
            <w:r w:rsidR="00621673" w:rsidRPr="002D76C4">
              <w:rPr>
                <w:rFonts w:cs="Open Sans"/>
                <w:color w:val="000000"/>
              </w:rPr>
              <w:t xml:space="preserve"> to </w:t>
            </w:r>
            <w:r w:rsidR="00B41D17" w:rsidRPr="002D76C4">
              <w:rPr>
                <w:rFonts w:cs="Open Sans"/>
                <w:color w:val="000000"/>
              </w:rPr>
              <w:t>2024–25</w:t>
            </w:r>
          </w:p>
        </w:tc>
        <w:tc>
          <w:tcPr>
            <w:tcW w:w="1130" w:type="pct"/>
            <w:tcBorders>
              <w:top w:val="nil"/>
            </w:tcBorders>
            <w:shd w:val="clear" w:color="000000" w:fill="auto"/>
          </w:tcPr>
          <w:p w14:paraId="270800F7" w14:textId="46C5D99D" w:rsidR="007F465A" w:rsidRPr="002D76C4" w:rsidRDefault="00AB6950" w:rsidP="002D76C4">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2D76C4">
              <w:rPr>
                <w:rFonts w:cs="Open Sans"/>
                <w:color w:val="000000"/>
              </w:rPr>
              <w:t>PC using CGC (unpublished)</w:t>
            </w:r>
          </w:p>
        </w:tc>
        <w:tc>
          <w:tcPr>
            <w:tcW w:w="1222" w:type="pct"/>
            <w:tcBorders>
              <w:top w:val="nil"/>
            </w:tcBorders>
            <w:shd w:val="clear" w:color="000000" w:fill="auto"/>
          </w:tcPr>
          <w:p w14:paraId="7919B9AD" w14:textId="77777777" w:rsidR="007F465A" w:rsidRPr="002D76C4" w:rsidRDefault="007F465A" w:rsidP="002D76C4">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p>
        </w:tc>
      </w:tr>
    </w:tbl>
    <w:p w14:paraId="30001891" w14:textId="77777777" w:rsidR="00D51150" w:rsidRDefault="00D51150" w:rsidP="00D51150">
      <w:pPr>
        <w:pStyle w:val="Heading3-noTOC"/>
      </w:pPr>
      <w:r>
        <w:t>Assumptions</w:t>
      </w:r>
    </w:p>
    <w:p w14:paraId="295F23B5" w14:textId="1F96FF00" w:rsidR="006F4CC5" w:rsidRDefault="006F4CC5" w:rsidP="006F4CC5">
      <w:pPr>
        <w:pStyle w:val="FigureTableHeading"/>
      </w:pPr>
      <w:r>
        <w:t>Table C.</w:t>
      </w:r>
      <w:fldSimple w:instr=" SEQ Table \* ARABIC \s 1 ">
        <w:r w:rsidR="002D76C4">
          <w:rPr>
            <w:noProof/>
          </w:rPr>
          <w:t>19</w:t>
        </w:r>
      </w:fldSimple>
      <w:r>
        <w:rPr>
          <w:noProof/>
        </w:rPr>
        <w:t xml:space="preserve"> – </w:t>
      </w:r>
      <w:r w:rsidR="00F63774">
        <w:rPr>
          <w:noProof/>
        </w:rPr>
        <w:t>Specific assumptions in the f</w:t>
      </w:r>
      <w:r>
        <w:rPr>
          <w:noProof/>
        </w:rPr>
        <w:t xml:space="preserve">iscal sustainability framework measure </w:t>
      </w:r>
    </w:p>
    <w:tbl>
      <w:tblPr>
        <w:tblW w:w="0" w:type="auto"/>
        <w:tblBorders>
          <w:bottom w:val="single" w:sz="4" w:space="0" w:color="B3B3B3"/>
        </w:tblBorders>
        <w:shd w:val="clear" w:color="000000" w:fill="auto"/>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3828"/>
        <w:gridCol w:w="5810"/>
      </w:tblGrid>
      <w:tr w:rsidR="004D2B52" w14:paraId="24B6B9BD" w14:textId="77777777" w:rsidTr="004615F0">
        <w:trPr>
          <w:tblHeader/>
        </w:trPr>
        <w:tc>
          <w:tcPr>
            <w:tcW w:w="3828" w:type="dxa"/>
            <w:tcBorders>
              <w:bottom w:val="single" w:sz="4" w:space="0" w:color="B3B3B3"/>
            </w:tcBorders>
            <w:shd w:val="clear" w:color="000000" w:fill="auto"/>
            <w:tcMar>
              <w:top w:w="57" w:type="dxa"/>
              <w:left w:w="57" w:type="dxa"/>
              <w:bottom w:w="57" w:type="dxa"/>
              <w:right w:w="85" w:type="dxa"/>
            </w:tcMar>
            <w:vAlign w:val="bottom"/>
            <w:hideMark/>
          </w:tcPr>
          <w:p w14:paraId="0EBB4088" w14:textId="77777777" w:rsidR="004D2B52" w:rsidRPr="00995D40" w:rsidRDefault="004D2B52" w:rsidP="00217B86">
            <w:pPr>
              <w:pStyle w:val="TableHeading"/>
            </w:pPr>
            <w:r w:rsidRPr="00995D40">
              <w:t>Assumption</w:t>
            </w:r>
          </w:p>
        </w:tc>
        <w:tc>
          <w:tcPr>
            <w:tcW w:w="5810" w:type="dxa"/>
            <w:tcBorders>
              <w:bottom w:val="single" w:sz="4" w:space="0" w:color="B3B3B3"/>
            </w:tcBorders>
            <w:shd w:val="clear" w:color="000000" w:fill="auto"/>
            <w:tcMar>
              <w:top w:w="57" w:type="dxa"/>
              <w:left w:w="57" w:type="dxa"/>
              <w:bottom w:w="57" w:type="dxa"/>
              <w:right w:w="85" w:type="dxa"/>
            </w:tcMar>
            <w:vAlign w:val="bottom"/>
            <w:hideMark/>
          </w:tcPr>
          <w:p w14:paraId="6CDAE602" w14:textId="77777777" w:rsidR="004D2B52" w:rsidRPr="00995D40" w:rsidRDefault="004D2B52" w:rsidP="00217B86">
            <w:pPr>
              <w:pStyle w:val="TableHeading"/>
            </w:pPr>
            <w:r w:rsidRPr="00995D40">
              <w:t>Implication</w:t>
            </w:r>
          </w:p>
        </w:tc>
      </w:tr>
      <w:tr w:rsidR="004D2B52" w14:paraId="581E1C89" w14:textId="77777777" w:rsidTr="004615F0">
        <w:tc>
          <w:tcPr>
            <w:tcW w:w="3828" w:type="dxa"/>
            <w:tcBorders>
              <w:top w:val="single" w:sz="4" w:space="0" w:color="B3B3B3"/>
              <w:bottom w:val="nil"/>
            </w:tcBorders>
            <w:shd w:val="clear" w:color="000000" w:fill="E6E6E6"/>
            <w:tcMar>
              <w:top w:w="57" w:type="dxa"/>
              <w:left w:w="57" w:type="dxa"/>
              <w:bottom w:w="57" w:type="dxa"/>
              <w:right w:w="85" w:type="dxa"/>
            </w:tcMar>
          </w:tcPr>
          <w:p w14:paraId="1100476D" w14:textId="5EC20068" w:rsidR="004D2B52" w:rsidRPr="00217B86" w:rsidRDefault="00A60015" w:rsidP="005B7373">
            <w:pPr>
              <w:pStyle w:val="TableBody"/>
            </w:pPr>
            <w:r w:rsidRPr="00217B86">
              <w:t>GST shocks are assumed to flow mechanically to debt, with no offsetting policy response</w:t>
            </w:r>
            <w:r w:rsidR="00022524">
              <w:t>.</w:t>
            </w:r>
          </w:p>
        </w:tc>
        <w:tc>
          <w:tcPr>
            <w:tcW w:w="5810" w:type="dxa"/>
            <w:tcBorders>
              <w:top w:val="single" w:sz="4" w:space="0" w:color="B3B3B3"/>
              <w:bottom w:val="nil"/>
            </w:tcBorders>
            <w:shd w:val="clear" w:color="000000" w:fill="E6E6E6"/>
            <w:tcMar>
              <w:top w:w="57" w:type="dxa"/>
              <w:left w:w="57" w:type="dxa"/>
              <w:bottom w:w="57" w:type="dxa"/>
              <w:right w:w="85" w:type="dxa"/>
            </w:tcMar>
          </w:tcPr>
          <w:p w14:paraId="4DE4A86C" w14:textId="5459C742" w:rsidR="004D2B52" w:rsidRPr="00995D40" w:rsidRDefault="00C24DD5" w:rsidP="005B7373">
            <w:pPr>
              <w:pStyle w:val="TableBody"/>
              <w:rPr>
                <w:color w:val="000000"/>
              </w:rPr>
            </w:pPr>
            <w:r w:rsidRPr="00995D40">
              <w:rPr>
                <w:color w:val="000000"/>
              </w:rPr>
              <w:t>This may overstate the impact of GST changes on debt and budget positions if states would instead adjust spending, taxation, asset sales, cash balances or other balance-sheet items.</w:t>
            </w:r>
          </w:p>
        </w:tc>
      </w:tr>
      <w:tr w:rsidR="004D2B52" w14:paraId="13BF9BAB" w14:textId="77777777" w:rsidTr="004615F0">
        <w:tc>
          <w:tcPr>
            <w:tcW w:w="3828" w:type="dxa"/>
            <w:tcBorders>
              <w:top w:val="nil"/>
              <w:bottom w:val="nil"/>
            </w:tcBorders>
            <w:shd w:val="clear" w:color="000000" w:fill="auto"/>
            <w:tcMar>
              <w:top w:w="57" w:type="dxa"/>
              <w:left w:w="57" w:type="dxa"/>
              <w:bottom w:w="57" w:type="dxa"/>
              <w:right w:w="85" w:type="dxa"/>
            </w:tcMar>
          </w:tcPr>
          <w:p w14:paraId="1639A3CA" w14:textId="2C0C3C7F" w:rsidR="004D2B52" w:rsidRPr="00217B86" w:rsidRDefault="00E54FE3" w:rsidP="005B7373">
            <w:pPr>
              <w:pStyle w:val="TableBody"/>
            </w:pPr>
            <w:r w:rsidRPr="00217B86">
              <w:t>Interest expenses on the existing debt stock are as observed historically; marginal interest from GST-driven debt changes is modelled and added to or subtracted from observed interest</w:t>
            </w:r>
            <w:r w:rsidR="00DF4AD9" w:rsidRPr="00217B86">
              <w:t>.</w:t>
            </w:r>
          </w:p>
        </w:tc>
        <w:tc>
          <w:tcPr>
            <w:tcW w:w="5810" w:type="dxa"/>
            <w:tcBorders>
              <w:top w:val="nil"/>
              <w:bottom w:val="nil"/>
            </w:tcBorders>
            <w:shd w:val="clear" w:color="000000" w:fill="auto"/>
            <w:tcMar>
              <w:top w:w="57" w:type="dxa"/>
              <w:left w:w="57" w:type="dxa"/>
              <w:bottom w:w="57" w:type="dxa"/>
              <w:right w:w="85" w:type="dxa"/>
            </w:tcMar>
          </w:tcPr>
          <w:p w14:paraId="7B5F57FE" w14:textId="30E690D4" w:rsidR="004D2B52" w:rsidRPr="00995D40" w:rsidRDefault="00E36E82" w:rsidP="005B7373">
            <w:pPr>
              <w:pStyle w:val="TableBody"/>
              <w:rPr>
                <w:color w:val="000000"/>
              </w:rPr>
            </w:pPr>
            <w:r w:rsidRPr="00995D40">
              <w:rPr>
                <w:color w:val="000000"/>
              </w:rPr>
              <w:t xml:space="preserve">This isolates the marginal effect of GST changes but does not capture broader effects across the existing debt portfolio. </w:t>
            </w:r>
          </w:p>
        </w:tc>
      </w:tr>
      <w:tr w:rsidR="004C3AD3" w:rsidRPr="00995D40" w14:paraId="7F18E7E5" w14:textId="77777777" w:rsidTr="004615F0">
        <w:tc>
          <w:tcPr>
            <w:tcW w:w="3828" w:type="dxa"/>
            <w:tcBorders>
              <w:bottom w:val="nil"/>
            </w:tcBorders>
            <w:shd w:val="clear" w:color="000000" w:fill="E6E6E6"/>
            <w:tcMar>
              <w:top w:w="57" w:type="dxa"/>
              <w:left w:w="57" w:type="dxa"/>
              <w:bottom w:w="57" w:type="dxa"/>
              <w:right w:w="85" w:type="dxa"/>
            </w:tcMar>
          </w:tcPr>
          <w:p w14:paraId="778D5638" w14:textId="41DDAFFD" w:rsidR="004C3AD3" w:rsidRPr="00217B86" w:rsidRDefault="00D66E53" w:rsidP="005B7373">
            <w:pPr>
              <w:pStyle w:val="TableBody"/>
            </w:pPr>
            <w:r w:rsidRPr="00217B86">
              <w:t xml:space="preserve">The marginal borrowing rate on GST-driven debt is proxied by the average borrowing rate of existing debt, calculated as observed interest expenses divided by average gross debt (two-year average), </w:t>
            </w:r>
            <w:r w:rsidRPr="00217B86">
              <w:lastRenderedPageBreak/>
              <w:t>excluding amounts relating to a state’s own PNFCs.</w:t>
            </w:r>
          </w:p>
        </w:tc>
        <w:tc>
          <w:tcPr>
            <w:tcW w:w="5810" w:type="dxa"/>
            <w:tcBorders>
              <w:bottom w:val="nil"/>
            </w:tcBorders>
            <w:shd w:val="clear" w:color="000000" w:fill="E6E6E6"/>
            <w:tcMar>
              <w:top w:w="57" w:type="dxa"/>
              <w:left w:w="57" w:type="dxa"/>
              <w:bottom w:w="57" w:type="dxa"/>
              <w:right w:w="85" w:type="dxa"/>
            </w:tcMar>
          </w:tcPr>
          <w:p w14:paraId="0431A1CD" w14:textId="34B5F31D" w:rsidR="004C3AD3" w:rsidRPr="00995D40" w:rsidRDefault="00D0677A" w:rsidP="005B7373">
            <w:pPr>
              <w:pStyle w:val="TableBody"/>
              <w:rPr>
                <w:color w:val="000000"/>
              </w:rPr>
            </w:pPr>
            <w:r w:rsidRPr="00995D40">
              <w:rPr>
                <w:color w:val="000000"/>
              </w:rPr>
              <w:lastRenderedPageBreak/>
              <w:t xml:space="preserve">This assumption may understate or overstate the cost of marginal borrowing where current borrowing rates differ materially from the average cost of the existing debt stock. </w:t>
            </w:r>
          </w:p>
        </w:tc>
      </w:tr>
      <w:tr w:rsidR="00D9748F" w:rsidRPr="00995D40" w14:paraId="695ECAD2" w14:textId="77777777" w:rsidTr="004615F0">
        <w:tc>
          <w:tcPr>
            <w:tcW w:w="3828" w:type="dxa"/>
            <w:tcBorders>
              <w:top w:val="nil"/>
              <w:bottom w:val="nil"/>
            </w:tcBorders>
            <w:shd w:val="clear" w:color="000000" w:fill="auto"/>
            <w:tcMar>
              <w:top w:w="57" w:type="dxa"/>
              <w:left w:w="57" w:type="dxa"/>
              <w:bottom w:w="57" w:type="dxa"/>
              <w:right w:w="85" w:type="dxa"/>
            </w:tcMar>
          </w:tcPr>
          <w:p w14:paraId="48F75565" w14:textId="55FEF671" w:rsidR="00D9748F" w:rsidRPr="00995D40" w:rsidRDefault="00D9748F" w:rsidP="00F3659D">
            <w:pPr>
              <w:pStyle w:val="TableBody"/>
            </w:pPr>
            <w:r w:rsidRPr="00995D40">
              <w:t xml:space="preserve">Each year’s additional or avoided debt is treated as fixed-rate borrowing with a </w:t>
            </w:r>
            <w:r w:rsidR="00F3659D">
              <w:br/>
            </w:r>
            <w:r w:rsidRPr="00995D40">
              <w:t>10-year term and is refinanced every 10</w:t>
            </w:r>
            <w:r w:rsidR="00022524">
              <w:t> </w:t>
            </w:r>
            <w:r w:rsidRPr="00995D40">
              <w:t>years.</w:t>
            </w:r>
          </w:p>
        </w:tc>
        <w:tc>
          <w:tcPr>
            <w:tcW w:w="5810" w:type="dxa"/>
            <w:tcBorders>
              <w:top w:val="nil"/>
              <w:bottom w:val="nil"/>
            </w:tcBorders>
            <w:shd w:val="clear" w:color="000000" w:fill="auto"/>
            <w:tcMar>
              <w:top w:w="57" w:type="dxa"/>
              <w:left w:w="57" w:type="dxa"/>
              <w:bottom w:w="57" w:type="dxa"/>
              <w:right w:w="85" w:type="dxa"/>
            </w:tcMar>
          </w:tcPr>
          <w:p w14:paraId="5393D4FD" w14:textId="2776707B" w:rsidR="00D9748F" w:rsidRPr="00995D40" w:rsidRDefault="00D9748F" w:rsidP="00F3659D">
            <w:pPr>
              <w:pStyle w:val="TableBody"/>
              <w:rPr>
                <w:color w:val="000000"/>
              </w:rPr>
            </w:pPr>
            <w:r w:rsidRPr="00995D40">
              <w:rPr>
                <w:color w:val="000000"/>
              </w:rPr>
              <w:t xml:space="preserve">This is a simplifying assumption, based on </w:t>
            </w:r>
            <w:proofErr w:type="gramStart"/>
            <w:r w:rsidRPr="00995D40">
              <w:rPr>
                <w:color w:val="000000"/>
              </w:rPr>
              <w:t>the majority of</w:t>
            </w:r>
            <w:proofErr w:type="gramEnd"/>
            <w:r w:rsidRPr="00995D40">
              <w:rPr>
                <w:color w:val="000000"/>
              </w:rPr>
              <w:t xml:space="preserve"> semis being issued with a maturity of 5</w:t>
            </w:r>
            <w:r w:rsidR="00022524">
              <w:rPr>
                <w:color w:val="000000"/>
              </w:rPr>
              <w:t>–</w:t>
            </w:r>
            <w:r w:rsidRPr="00995D40">
              <w:rPr>
                <w:color w:val="000000"/>
              </w:rPr>
              <w:t xml:space="preserve">15 years (Batchelor and Roberts 2024, p. 53). </w:t>
            </w:r>
            <w:r w:rsidR="000E759C">
              <w:rPr>
                <w:color w:val="000000"/>
              </w:rPr>
              <w:t>The</w:t>
            </w:r>
            <w:r w:rsidRPr="00995D40">
              <w:rPr>
                <w:color w:val="000000"/>
              </w:rPr>
              <w:t xml:space="preserve"> model will not reflect the actual timing at which debt is refinanced and exposed to new interest rates. </w:t>
            </w:r>
          </w:p>
        </w:tc>
      </w:tr>
      <w:tr w:rsidR="00D9748F" w:rsidRPr="00995D40" w14:paraId="79F62911" w14:textId="77777777" w:rsidTr="004615F0">
        <w:tc>
          <w:tcPr>
            <w:tcW w:w="3828" w:type="dxa"/>
            <w:tcBorders>
              <w:bottom w:val="nil"/>
            </w:tcBorders>
            <w:shd w:val="clear" w:color="000000" w:fill="E6E6E6"/>
            <w:tcMar>
              <w:top w:w="57" w:type="dxa"/>
              <w:left w:w="57" w:type="dxa"/>
              <w:bottom w:w="57" w:type="dxa"/>
              <w:right w:w="85" w:type="dxa"/>
            </w:tcMar>
          </w:tcPr>
          <w:p w14:paraId="73A08E95" w14:textId="5E15677A" w:rsidR="00D9748F" w:rsidRPr="00995D40" w:rsidRDefault="00D9748F" w:rsidP="00F3659D">
            <w:pPr>
              <w:pStyle w:val="TableBody"/>
            </w:pPr>
            <w:r w:rsidRPr="00995D40">
              <w:t xml:space="preserve">In </w:t>
            </w:r>
            <w:r w:rsidRPr="00F3659D">
              <w:rPr>
                <w:spacing w:val="-2"/>
              </w:rPr>
              <w:t xml:space="preserve">each year, marginal interest costs are financed through additional borrowing and carried into the marginal debt stock in subsequent years. Marginal interest savings reduce that debt </w:t>
            </w:r>
            <w:proofErr w:type="gramStart"/>
            <w:r w:rsidRPr="00F3659D">
              <w:rPr>
                <w:spacing w:val="-2"/>
              </w:rPr>
              <w:t>stock,</w:t>
            </w:r>
            <w:proofErr w:type="gramEnd"/>
            <w:r w:rsidRPr="00F3659D">
              <w:rPr>
                <w:spacing w:val="-2"/>
              </w:rPr>
              <w:t xml:space="preserve"> this allows debt impacts to accumulate over the period.</w:t>
            </w:r>
          </w:p>
        </w:tc>
        <w:tc>
          <w:tcPr>
            <w:tcW w:w="5810" w:type="dxa"/>
            <w:tcBorders>
              <w:bottom w:val="nil"/>
            </w:tcBorders>
            <w:shd w:val="clear" w:color="000000" w:fill="E6E6E6"/>
            <w:tcMar>
              <w:top w:w="57" w:type="dxa"/>
              <w:left w:w="57" w:type="dxa"/>
              <w:bottom w:w="57" w:type="dxa"/>
              <w:right w:w="85" w:type="dxa"/>
            </w:tcMar>
          </w:tcPr>
          <w:p w14:paraId="718AEEC0" w14:textId="73F3E4E2" w:rsidR="00D9748F" w:rsidRPr="00995D40" w:rsidRDefault="00D9748F" w:rsidP="00F3659D">
            <w:pPr>
              <w:pStyle w:val="TableBody"/>
              <w:rPr>
                <w:color w:val="000000"/>
              </w:rPr>
            </w:pPr>
            <w:r w:rsidRPr="00995D40">
              <w:rPr>
                <w:color w:val="000000"/>
              </w:rPr>
              <w:t xml:space="preserve">This may overstate adverse debt impacts if governments </w:t>
            </w:r>
            <w:r w:rsidR="00CD538A" w:rsidRPr="00995D40">
              <w:rPr>
                <w:color w:val="000000"/>
              </w:rPr>
              <w:t xml:space="preserve">would </w:t>
            </w:r>
            <w:r w:rsidRPr="00995D40">
              <w:rPr>
                <w:color w:val="000000"/>
              </w:rPr>
              <w:t xml:space="preserve">instead offset higher interest costs through </w:t>
            </w:r>
            <w:r w:rsidR="00CD538A" w:rsidRPr="00995D40">
              <w:rPr>
                <w:color w:val="000000"/>
              </w:rPr>
              <w:t xml:space="preserve">adjustments such as </w:t>
            </w:r>
            <w:r w:rsidRPr="00995D40">
              <w:rPr>
                <w:color w:val="000000"/>
              </w:rPr>
              <w:t xml:space="preserve">spending reductions. It may also overstate favourable impacts if governments </w:t>
            </w:r>
            <w:r w:rsidR="00B31576" w:rsidRPr="00995D40">
              <w:rPr>
                <w:color w:val="000000"/>
              </w:rPr>
              <w:t xml:space="preserve">would </w:t>
            </w:r>
            <w:r w:rsidR="00CD538A" w:rsidRPr="00995D40">
              <w:rPr>
                <w:color w:val="000000"/>
              </w:rPr>
              <w:t>use</w:t>
            </w:r>
            <w:r w:rsidRPr="00995D40">
              <w:rPr>
                <w:color w:val="000000"/>
              </w:rPr>
              <w:t xml:space="preserve"> interest savings </w:t>
            </w:r>
            <w:r w:rsidR="00CD538A" w:rsidRPr="00995D40">
              <w:rPr>
                <w:color w:val="000000"/>
              </w:rPr>
              <w:t>for purposes other than</w:t>
            </w:r>
            <w:r w:rsidRPr="00995D40">
              <w:rPr>
                <w:color w:val="000000"/>
              </w:rPr>
              <w:t xml:space="preserve"> repay</w:t>
            </w:r>
            <w:r w:rsidR="00CD538A" w:rsidRPr="00995D40">
              <w:rPr>
                <w:color w:val="000000"/>
              </w:rPr>
              <w:t>ing</w:t>
            </w:r>
            <w:r w:rsidRPr="00995D40">
              <w:rPr>
                <w:color w:val="000000"/>
              </w:rPr>
              <w:t xml:space="preserve"> debt.</w:t>
            </w:r>
          </w:p>
        </w:tc>
      </w:tr>
      <w:tr w:rsidR="00D9748F" w:rsidRPr="00995D40" w14:paraId="1BEB8826" w14:textId="77777777" w:rsidTr="004615F0">
        <w:tc>
          <w:tcPr>
            <w:tcW w:w="3828" w:type="dxa"/>
            <w:tcBorders>
              <w:top w:val="nil"/>
              <w:bottom w:val="nil"/>
            </w:tcBorders>
            <w:shd w:val="clear" w:color="000000" w:fill="auto"/>
            <w:tcMar>
              <w:top w:w="57" w:type="dxa"/>
              <w:left w:w="57" w:type="dxa"/>
              <w:bottom w:w="57" w:type="dxa"/>
              <w:right w:w="85" w:type="dxa"/>
            </w:tcMar>
          </w:tcPr>
          <w:p w14:paraId="7849CA05" w14:textId="7321A4E1" w:rsidR="00D9748F" w:rsidRPr="004E3DCE" w:rsidRDefault="00D9748F" w:rsidP="00F3659D">
            <w:pPr>
              <w:pStyle w:val="TableBody"/>
            </w:pPr>
            <w:r w:rsidRPr="004E3DCE">
              <w:rPr>
                <w:bCs/>
              </w:rPr>
              <w:t>Changes to interest expenses in the first year the debt is accrued are halved, assuming borrowing or debt reduction occurs progressively</w:t>
            </w:r>
            <w:r w:rsidR="00A636E7" w:rsidRPr="004E3DCE">
              <w:rPr>
                <w:bCs/>
              </w:rPr>
              <w:t xml:space="preserve"> over</w:t>
            </w:r>
            <w:r w:rsidRPr="004E3DCE">
              <w:rPr>
                <w:bCs/>
              </w:rPr>
              <w:t xml:space="preserve"> the year.</w:t>
            </w:r>
          </w:p>
        </w:tc>
        <w:tc>
          <w:tcPr>
            <w:tcW w:w="5810" w:type="dxa"/>
            <w:tcBorders>
              <w:top w:val="nil"/>
              <w:bottom w:val="nil"/>
            </w:tcBorders>
            <w:shd w:val="clear" w:color="000000" w:fill="auto"/>
            <w:tcMar>
              <w:top w:w="57" w:type="dxa"/>
              <w:left w:w="57" w:type="dxa"/>
              <w:bottom w:w="57" w:type="dxa"/>
              <w:right w:w="85" w:type="dxa"/>
            </w:tcMar>
          </w:tcPr>
          <w:p w14:paraId="41D8240B" w14:textId="7D637076" w:rsidR="00D9748F" w:rsidRPr="00995D40" w:rsidRDefault="00D9748F" w:rsidP="00F3659D">
            <w:pPr>
              <w:pStyle w:val="TableBody"/>
              <w:rPr>
                <w:color w:val="000000"/>
              </w:rPr>
            </w:pPr>
            <w:r w:rsidRPr="00995D40">
              <w:rPr>
                <w:color w:val="000000"/>
              </w:rPr>
              <w:t>If the GST shock occurs earlier or later in the year, first-year interest effects may be under or overstated. This is a timing convention rather than an observed financing pattern.</w:t>
            </w:r>
          </w:p>
        </w:tc>
      </w:tr>
      <w:tr w:rsidR="004570C6" w:rsidRPr="00995D40" w14:paraId="76B2C64E" w14:textId="77777777" w:rsidTr="004615F0">
        <w:tc>
          <w:tcPr>
            <w:tcW w:w="3828" w:type="dxa"/>
            <w:tcBorders>
              <w:bottom w:val="nil"/>
            </w:tcBorders>
            <w:shd w:val="clear" w:color="000000" w:fill="E6E6E6"/>
            <w:tcMar>
              <w:top w:w="57" w:type="dxa"/>
              <w:left w:w="57" w:type="dxa"/>
              <w:bottom w:w="57" w:type="dxa"/>
              <w:right w:w="85" w:type="dxa"/>
            </w:tcMar>
          </w:tcPr>
          <w:p w14:paraId="215E6E07" w14:textId="11347E71" w:rsidR="004570C6" w:rsidRPr="00995D40" w:rsidRDefault="004570C6" w:rsidP="00F3659D">
            <w:pPr>
              <w:pStyle w:val="TableBody"/>
              <w:rPr>
                <w:rStyle w:val="Strong"/>
                <w:rFonts w:cs="Open Sans"/>
                <w:bCs w:val="0"/>
                <w:color w:val="1D4374"/>
              </w:rPr>
            </w:pPr>
            <w:r w:rsidRPr="00995D40">
              <w:t>The same cumulative debt impact is applied to net debt and gross debt</w:t>
            </w:r>
            <w:r w:rsidR="00CE4DE3" w:rsidRPr="00995D40">
              <w:t>.</w:t>
            </w:r>
          </w:p>
        </w:tc>
        <w:tc>
          <w:tcPr>
            <w:tcW w:w="5810" w:type="dxa"/>
            <w:tcBorders>
              <w:bottom w:val="nil"/>
            </w:tcBorders>
            <w:shd w:val="clear" w:color="000000" w:fill="E6E6E6"/>
            <w:tcMar>
              <w:top w:w="57" w:type="dxa"/>
              <w:left w:w="57" w:type="dxa"/>
              <w:bottom w:w="57" w:type="dxa"/>
              <w:right w:w="85" w:type="dxa"/>
            </w:tcMar>
          </w:tcPr>
          <w:p w14:paraId="3EAFBB57" w14:textId="64A50E34" w:rsidR="004570C6" w:rsidRPr="00995D40" w:rsidRDefault="004570C6" w:rsidP="00F3659D">
            <w:pPr>
              <w:pStyle w:val="TableBody"/>
              <w:rPr>
                <w:color w:val="000000"/>
              </w:rPr>
            </w:pPr>
            <w:r w:rsidRPr="00995D40">
              <w:rPr>
                <w:color w:val="000000"/>
              </w:rPr>
              <w:t>This assumes GST-driven fiscal changes affect net debt and gross debt one-for-one</w:t>
            </w:r>
            <w:r w:rsidR="00CE4DE3" w:rsidRPr="00995D40">
              <w:rPr>
                <w:color w:val="000000"/>
              </w:rPr>
              <w:t>.</w:t>
            </w:r>
          </w:p>
        </w:tc>
      </w:tr>
      <w:tr w:rsidR="00072E94" w:rsidRPr="00995D40" w14:paraId="7D4DF000" w14:textId="77777777" w:rsidTr="004615F0">
        <w:tc>
          <w:tcPr>
            <w:tcW w:w="3828" w:type="dxa"/>
            <w:tcBorders>
              <w:top w:val="nil"/>
              <w:bottom w:val="nil"/>
            </w:tcBorders>
            <w:shd w:val="clear" w:color="000000" w:fill="auto"/>
            <w:tcMar>
              <w:top w:w="57" w:type="dxa"/>
              <w:left w:w="57" w:type="dxa"/>
              <w:bottom w:w="57" w:type="dxa"/>
              <w:right w:w="85" w:type="dxa"/>
            </w:tcMar>
          </w:tcPr>
          <w:p w14:paraId="4FD48E47" w14:textId="1CD0FE34" w:rsidR="00072E94" w:rsidRPr="00995D40" w:rsidRDefault="00072E94" w:rsidP="00F3659D">
            <w:pPr>
              <w:pStyle w:val="TableBody"/>
              <w:rPr>
                <w:rStyle w:val="Strong"/>
                <w:rFonts w:cs="Open Sans"/>
                <w:bCs w:val="0"/>
                <w:color w:val="1D4374"/>
              </w:rPr>
            </w:pPr>
            <w:r w:rsidRPr="00995D40">
              <w:t>The model applies a zero lower bound to the relevant gross debt and associated interest expenses. Once this debt is fully repaid, further fiscal gains are not modelled as negative debt or financial asset accumulation.</w:t>
            </w:r>
          </w:p>
        </w:tc>
        <w:tc>
          <w:tcPr>
            <w:tcW w:w="5810" w:type="dxa"/>
            <w:tcBorders>
              <w:top w:val="nil"/>
              <w:bottom w:val="nil"/>
            </w:tcBorders>
            <w:shd w:val="clear" w:color="000000" w:fill="auto"/>
            <w:tcMar>
              <w:top w:w="57" w:type="dxa"/>
              <w:left w:w="57" w:type="dxa"/>
              <w:bottom w:w="57" w:type="dxa"/>
              <w:right w:w="85" w:type="dxa"/>
            </w:tcMar>
          </w:tcPr>
          <w:p w14:paraId="28631CA0" w14:textId="4A56419E" w:rsidR="00072E94" w:rsidRPr="00995D40" w:rsidRDefault="00BC17DC" w:rsidP="00F3659D">
            <w:pPr>
              <w:pStyle w:val="TableBody"/>
              <w:rPr>
                <w:color w:val="000000"/>
              </w:rPr>
            </w:pPr>
            <w:r w:rsidRPr="00995D40">
              <w:rPr>
                <w:color w:val="000000"/>
              </w:rPr>
              <w:t>This may understate benefits where further fiscal gains would instead be used to acquire financial assets or earn investment income</w:t>
            </w:r>
            <w:r w:rsidR="00072E94" w:rsidRPr="00995D40">
              <w:rPr>
                <w:color w:val="000000"/>
              </w:rPr>
              <w:t>.</w:t>
            </w:r>
          </w:p>
        </w:tc>
      </w:tr>
      <w:tr w:rsidR="00F303EA" w:rsidRPr="00995D40" w14:paraId="5778D93D" w14:textId="77777777" w:rsidTr="004615F0">
        <w:tc>
          <w:tcPr>
            <w:tcW w:w="3828" w:type="dxa"/>
            <w:tcBorders>
              <w:bottom w:val="single" w:sz="4" w:space="0" w:color="B3B3B3"/>
            </w:tcBorders>
            <w:shd w:val="clear" w:color="000000" w:fill="E6E6E6"/>
            <w:tcMar>
              <w:top w:w="57" w:type="dxa"/>
              <w:left w:w="57" w:type="dxa"/>
              <w:bottom w:w="57" w:type="dxa"/>
              <w:right w:w="85" w:type="dxa"/>
            </w:tcMar>
          </w:tcPr>
          <w:p w14:paraId="77E33DE2" w14:textId="60A6098F" w:rsidR="00F303EA" w:rsidRPr="00995D40" w:rsidRDefault="006B7205" w:rsidP="00F3659D">
            <w:pPr>
              <w:pStyle w:val="TableBody"/>
            </w:pPr>
            <w:r w:rsidRPr="00995D40">
              <w:t>For TNFPS results, the modelled GST, debt and marginal interest impacts are applied to the consolidated TNFPS baseline, while PNFC finances are otherwise held unchanged. Marginal borrowing is assumed to be from lenders other than the state’s own PNFCs.</w:t>
            </w:r>
          </w:p>
        </w:tc>
        <w:tc>
          <w:tcPr>
            <w:tcW w:w="5810" w:type="dxa"/>
            <w:tcBorders>
              <w:bottom w:val="single" w:sz="4" w:space="0" w:color="B3B3B3"/>
            </w:tcBorders>
            <w:shd w:val="clear" w:color="000000" w:fill="E6E6E6"/>
            <w:tcMar>
              <w:top w:w="57" w:type="dxa"/>
              <w:left w:w="57" w:type="dxa"/>
              <w:bottom w:w="57" w:type="dxa"/>
              <w:right w:w="85" w:type="dxa"/>
            </w:tcMar>
          </w:tcPr>
          <w:p w14:paraId="63CA0042" w14:textId="12A653E1" w:rsidR="00F303EA" w:rsidRPr="00995D40" w:rsidRDefault="006B7205" w:rsidP="00F3659D">
            <w:pPr>
              <w:pStyle w:val="TableBody"/>
              <w:rPr>
                <w:color w:val="000000"/>
              </w:rPr>
            </w:pPr>
            <w:r w:rsidRPr="00995D40">
              <w:rPr>
                <w:color w:val="000000"/>
              </w:rPr>
              <w:t>The model does not capture interactions between general government and PNFCs. In practice, TNFPS outcomes may differ if PNFC borrowing, investment, dividends, equity injections or transfers respond to changes in GST outcomes.</w:t>
            </w:r>
          </w:p>
        </w:tc>
      </w:tr>
    </w:tbl>
    <w:p w14:paraId="59B3E128" w14:textId="77777777" w:rsidR="004D7483" w:rsidRPr="00F3659D" w:rsidRDefault="004D7483" w:rsidP="00F3659D">
      <w:pPr>
        <w:pStyle w:val="BodyText"/>
      </w:pPr>
      <w:bookmarkStart w:id="10" w:name="_Ref237441644"/>
      <w:r w:rsidRPr="00F3659D">
        <w:br w:type="page"/>
      </w:r>
    </w:p>
    <w:p w14:paraId="720C1ED7" w14:textId="08AE00CA" w:rsidR="00324E1E" w:rsidRDefault="00F7275C" w:rsidP="00B14074">
      <w:pPr>
        <w:pStyle w:val="Heading2-Appendix"/>
        <w:ind w:left="709" w:hanging="709"/>
      </w:pPr>
      <w:r>
        <w:lastRenderedPageBreak/>
        <w:t>Certainty</w:t>
      </w:r>
      <w:r w:rsidR="00807DF8">
        <w:t xml:space="preserve"> framework measure</w:t>
      </w:r>
      <w:bookmarkEnd w:id="10"/>
      <w:r w:rsidR="005141ED">
        <w:t xml:space="preserve"> </w:t>
      </w:r>
    </w:p>
    <w:p w14:paraId="223F942C" w14:textId="77777777" w:rsidR="00D51150" w:rsidRDefault="00D51150" w:rsidP="00D51150">
      <w:pPr>
        <w:pStyle w:val="Heading3-noTOC"/>
      </w:pPr>
      <w:r>
        <w:t>Purpose</w:t>
      </w:r>
    </w:p>
    <w:tbl>
      <w:tblPr>
        <w:tblW w:w="0" w:type="auto"/>
        <w:tblBorders>
          <w:top w:val="single" w:sz="4" w:space="0" w:color="BFBFBF" w:themeColor="background1" w:themeShade="BF"/>
          <w:bottom w:val="single" w:sz="8" w:space="0" w:color="B3B3B3"/>
          <w:insideH w:val="single" w:sz="8" w:space="0" w:color="B3B3B3"/>
        </w:tblBorders>
        <w:tblCellMar>
          <w:left w:w="0" w:type="dxa"/>
          <w:right w:w="0" w:type="dxa"/>
        </w:tblCellMar>
        <w:tblLook w:val="04A0" w:firstRow="1" w:lastRow="0" w:firstColumn="1" w:lastColumn="0" w:noHBand="0" w:noVBand="1"/>
      </w:tblPr>
      <w:tblGrid>
        <w:gridCol w:w="1719"/>
        <w:gridCol w:w="7919"/>
      </w:tblGrid>
      <w:tr w:rsidR="004D2B52" w14:paraId="38368D6F" w14:textId="77777777" w:rsidTr="00976A5D">
        <w:tc>
          <w:tcPr>
            <w:tcW w:w="0" w:type="auto"/>
            <w:tcMar>
              <w:top w:w="57" w:type="dxa"/>
              <w:left w:w="57" w:type="dxa"/>
              <w:bottom w:w="57" w:type="dxa"/>
              <w:right w:w="85" w:type="dxa"/>
            </w:tcMar>
            <w:hideMark/>
          </w:tcPr>
          <w:p w14:paraId="7C24263C" w14:textId="216D6154" w:rsidR="004D2B52" w:rsidRDefault="004D2B52">
            <w:pPr>
              <w:pStyle w:val="TableHeading"/>
              <w:rPr>
                <w:kern w:val="2"/>
                <w:szCs w:val="18"/>
                <w:lang w:eastAsia="zh-CN" w:bidi="th-TH"/>
                <w14:ligatures w14:val="standardContextual"/>
              </w:rPr>
            </w:pPr>
            <w:r>
              <w:t xml:space="preserve">Question </w:t>
            </w:r>
            <w:r w:rsidR="004D7483">
              <w:t>addressed</w:t>
            </w:r>
          </w:p>
        </w:tc>
        <w:tc>
          <w:tcPr>
            <w:tcW w:w="0" w:type="auto"/>
            <w:tcMar>
              <w:top w:w="57" w:type="dxa"/>
              <w:left w:w="57" w:type="dxa"/>
              <w:bottom w:w="57" w:type="dxa"/>
              <w:right w:w="85" w:type="dxa"/>
            </w:tcMar>
            <w:hideMark/>
          </w:tcPr>
          <w:p w14:paraId="11DBCC3A" w14:textId="546AA322" w:rsidR="004D2B52" w:rsidRDefault="00EF3CD6">
            <w:pPr>
              <w:pStyle w:val="TableBody"/>
            </w:pPr>
            <w:r>
              <w:t xml:space="preserve">What would the impact of alternative GST arrangements have been on states’ GST revenue certainty, if each had been in place from </w:t>
            </w:r>
            <w:r w:rsidR="00FD28E6">
              <w:t>2001–02</w:t>
            </w:r>
            <w:r>
              <w:t xml:space="preserve"> to </w:t>
            </w:r>
            <w:r w:rsidR="00B41D17">
              <w:t>2024–25</w:t>
            </w:r>
            <w:r>
              <w:t>?</w:t>
            </w:r>
          </w:p>
        </w:tc>
      </w:tr>
      <w:tr w:rsidR="004D2B52" w14:paraId="3E550136" w14:textId="77777777" w:rsidTr="00976A5D">
        <w:tc>
          <w:tcPr>
            <w:tcW w:w="0" w:type="auto"/>
            <w:tcMar>
              <w:top w:w="57" w:type="dxa"/>
              <w:left w:w="57" w:type="dxa"/>
              <w:bottom w:w="57" w:type="dxa"/>
              <w:right w:w="85" w:type="dxa"/>
            </w:tcMar>
            <w:hideMark/>
          </w:tcPr>
          <w:p w14:paraId="1FDCB64A" w14:textId="77777777" w:rsidR="004D2B52" w:rsidRDefault="004D2B52">
            <w:pPr>
              <w:pStyle w:val="TableHeading"/>
            </w:pPr>
            <w:r>
              <w:t>Scope</w:t>
            </w:r>
          </w:p>
        </w:tc>
        <w:tc>
          <w:tcPr>
            <w:tcW w:w="0" w:type="auto"/>
            <w:tcMar>
              <w:top w:w="57" w:type="dxa"/>
              <w:left w:w="57" w:type="dxa"/>
              <w:bottom w:w="57" w:type="dxa"/>
              <w:right w:w="85" w:type="dxa"/>
            </w:tcMar>
          </w:tcPr>
          <w:p w14:paraId="7149FBFD" w14:textId="49A39277" w:rsidR="004D2B52" w:rsidRDefault="0011743A">
            <w:pPr>
              <w:pStyle w:val="TableBody"/>
            </w:pPr>
            <w:r>
              <w:rPr>
                <w:color w:val="000000"/>
              </w:rPr>
              <w:t>Models the state GST revenue certainty effects of models 1-14 in table C.</w:t>
            </w:r>
            <w:r w:rsidR="00946531">
              <w:rPr>
                <w:color w:val="000000"/>
              </w:rPr>
              <w:t>3</w:t>
            </w:r>
            <w:r>
              <w:rPr>
                <w:color w:val="000000"/>
              </w:rPr>
              <w:t>, across all states and years from 2001</w:t>
            </w:r>
            <w:r w:rsidR="00976A5D">
              <w:rPr>
                <w:color w:val="000000"/>
              </w:rPr>
              <w:t>–</w:t>
            </w:r>
            <w:r>
              <w:rPr>
                <w:color w:val="000000"/>
              </w:rPr>
              <w:t>2024.</w:t>
            </w:r>
          </w:p>
        </w:tc>
      </w:tr>
      <w:tr w:rsidR="004D2B52" w14:paraId="689C1BBD" w14:textId="77777777" w:rsidTr="00976A5D">
        <w:tc>
          <w:tcPr>
            <w:tcW w:w="0" w:type="auto"/>
            <w:tcMar>
              <w:top w:w="57" w:type="dxa"/>
              <w:left w:w="57" w:type="dxa"/>
              <w:bottom w:w="57" w:type="dxa"/>
              <w:right w:w="85" w:type="dxa"/>
            </w:tcMar>
            <w:hideMark/>
          </w:tcPr>
          <w:p w14:paraId="5E1C4876" w14:textId="77777777" w:rsidR="004D2B52" w:rsidRDefault="004D2B52">
            <w:pPr>
              <w:pStyle w:val="TableHeading"/>
            </w:pPr>
            <w:r>
              <w:t>Use in report</w:t>
            </w:r>
          </w:p>
        </w:tc>
        <w:tc>
          <w:tcPr>
            <w:tcW w:w="0" w:type="auto"/>
            <w:tcMar>
              <w:top w:w="57" w:type="dxa"/>
              <w:left w:w="57" w:type="dxa"/>
              <w:bottom w:w="57" w:type="dxa"/>
              <w:right w:w="85" w:type="dxa"/>
            </w:tcMar>
            <w:hideMark/>
          </w:tcPr>
          <w:p w14:paraId="7C44707B" w14:textId="77A75E46" w:rsidR="004D2B52" w:rsidRPr="00FD28E6" w:rsidRDefault="004D2B52">
            <w:pPr>
              <w:pStyle w:val="TableBody"/>
              <w:rPr>
                <w:spacing w:val="-2"/>
              </w:rPr>
            </w:pPr>
            <w:r w:rsidRPr="00FD28E6">
              <w:rPr>
                <w:spacing w:val="-2"/>
              </w:rPr>
              <w:t>F</w:t>
            </w:r>
            <w:r w:rsidR="00B64C37" w:rsidRPr="00FD28E6">
              <w:rPr>
                <w:spacing w:val="-2"/>
              </w:rPr>
              <w:t>igure 3.9</w:t>
            </w:r>
            <w:r w:rsidR="006B5ECC" w:rsidRPr="00FD28E6">
              <w:rPr>
                <w:spacing w:val="-2"/>
              </w:rPr>
              <w:t>, table 4.1, figure 4.1, figure 4.2, figure 4.3, figure 4.4, figure 4.5, figure 4.6, figure 4.7</w:t>
            </w:r>
          </w:p>
        </w:tc>
      </w:tr>
    </w:tbl>
    <w:p w14:paraId="47E101A5" w14:textId="77777777" w:rsidR="00D51150" w:rsidRDefault="00D51150" w:rsidP="00D51150">
      <w:pPr>
        <w:pStyle w:val="Heading3-noTOC"/>
      </w:pPr>
      <w:r>
        <w:t>Method</w:t>
      </w:r>
    </w:p>
    <w:p w14:paraId="48B6613B" w14:textId="1DF37552" w:rsidR="006F4CC5" w:rsidRDefault="00C249CC" w:rsidP="004D2B52">
      <w:pPr>
        <w:rPr>
          <w:lang w:bidi="th-TH"/>
        </w:rPr>
      </w:pPr>
      <w:r>
        <w:t>This measure uses</w:t>
      </w:r>
      <w:r w:rsidR="001E23E2">
        <w:t xml:space="preserve"> the PC GST model in</w:t>
      </w:r>
      <w:r w:rsidR="00946531">
        <w:t xml:space="preserve"> section</w:t>
      </w:r>
      <w:r w:rsidR="001E23E2">
        <w:t xml:space="preserve"> C.</w:t>
      </w:r>
      <w:r w:rsidR="00946531">
        <w:t>3</w:t>
      </w:r>
      <w:r w:rsidR="001E23E2">
        <w:t xml:space="preserve"> to measure </w:t>
      </w:r>
      <w:r>
        <w:t xml:space="preserve">what the year-on-year volatility of </w:t>
      </w:r>
      <w:r w:rsidR="001E23E2">
        <w:t xml:space="preserve">each state’s GST </w:t>
      </w:r>
      <w:r w:rsidR="004156DF">
        <w:t>revenue</w:t>
      </w:r>
      <w:r w:rsidR="001E23E2">
        <w:t xml:space="preserve"> would </w:t>
      </w:r>
      <w:r>
        <w:t xml:space="preserve">have been </w:t>
      </w:r>
      <w:r w:rsidR="002B41FF">
        <w:t>if</w:t>
      </w:r>
      <w:r>
        <w:t xml:space="preserve"> </w:t>
      </w:r>
      <w:r w:rsidR="004156DF">
        <w:t xml:space="preserve">different GST distribution systems existed </w:t>
      </w:r>
      <w:r w:rsidR="00A64FBC">
        <w:t xml:space="preserve">between </w:t>
      </w:r>
      <w:r w:rsidR="00FD28E6">
        <w:t>2001–02</w:t>
      </w:r>
      <w:r w:rsidR="00A64FBC">
        <w:t xml:space="preserve"> and </w:t>
      </w:r>
      <w:r w:rsidR="00B41D17">
        <w:t>2024–25</w:t>
      </w:r>
      <w:r w:rsidR="00A01122">
        <w:t>.</w:t>
      </w:r>
      <w:r w:rsidR="00B702F4">
        <w:t xml:space="preserve"> This measure isolates </w:t>
      </w:r>
      <w:r w:rsidR="00032082">
        <w:t xml:space="preserve">only the volatility driven by the GST distribution system, </w:t>
      </w:r>
      <w:r w:rsidR="002E6E2E">
        <w:t>controlling for volatility driven by changes to state populations or the size of the GST pool.</w:t>
      </w:r>
    </w:p>
    <w:p w14:paraId="64DA7920" w14:textId="53C54207" w:rsidR="006F4CC5" w:rsidRDefault="006F4CC5" w:rsidP="006F4CC5">
      <w:pPr>
        <w:pStyle w:val="FigureTableHeading"/>
        <w:rPr>
          <w:lang w:bidi="th-TH"/>
        </w:rPr>
      </w:pPr>
      <w:r>
        <w:t>Table C.</w:t>
      </w:r>
      <w:fldSimple w:instr=" SEQ Table \* ARABIC \s 1 ">
        <w:r w:rsidR="002D76C4">
          <w:rPr>
            <w:noProof/>
          </w:rPr>
          <w:t>20</w:t>
        </w:r>
      </w:fldSimple>
      <w:r>
        <w:rPr>
          <w:noProof/>
        </w:rPr>
        <w:t xml:space="preserve"> – </w:t>
      </w:r>
      <w:r w:rsidRPr="006F4CC5">
        <w:rPr>
          <w:noProof/>
        </w:rPr>
        <w:t xml:space="preserve">Certainty framework measure </w:t>
      </w:r>
      <w:r>
        <w:rPr>
          <w:noProof/>
        </w:rPr>
        <w:t>modelling steps</w:t>
      </w:r>
    </w:p>
    <w:tbl>
      <w:tblPr>
        <w:tblStyle w:val="ProductivityCommissionTable2-Dark"/>
        <w:tblW w:w="0" w:type="auto"/>
        <w:tblBorders>
          <w:insideH w:val="none" w:sz="0" w:space="0" w:color="auto"/>
        </w:tblBorders>
        <w:shd w:val="clear" w:color="000000" w:fill="auto"/>
        <w:tblLayout w:type="fixed"/>
        <w:tblCellMar>
          <w:top w:w="0" w:type="dxa"/>
          <w:left w:w="0" w:type="dxa"/>
          <w:bottom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302"/>
        <w:gridCol w:w="9336"/>
      </w:tblGrid>
      <w:tr w:rsidR="004D2B52" w:rsidRPr="00482C5B" w14:paraId="23B71E75" w14:textId="77777777" w:rsidTr="00482C5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2" w:type="dxa"/>
            <w:tcBorders>
              <w:bottom w:val="single" w:sz="4" w:space="0" w:color="B3B3B3"/>
            </w:tcBorders>
            <w:shd w:val="clear" w:color="000000" w:fill="auto"/>
            <w:vAlign w:val="bottom"/>
          </w:tcPr>
          <w:p w14:paraId="56356F68" w14:textId="77777777" w:rsidR="004D2B52" w:rsidRPr="00482C5B" w:rsidRDefault="004D2B52" w:rsidP="00482C5B">
            <w:pPr>
              <w:spacing w:before="45" w:after="45"/>
              <w:ind w:left="57" w:right="108"/>
              <w:rPr>
                <w:rFonts w:cs="Open Sans"/>
                <w:color w:val="1D4374"/>
                <w:sz w:val="18"/>
              </w:rPr>
            </w:pPr>
            <w:r w:rsidRPr="00482C5B">
              <w:rPr>
                <w:rFonts w:cs="Open Sans"/>
                <w:color w:val="1D4374"/>
                <w:sz w:val="18"/>
              </w:rPr>
              <w:t>#</w:t>
            </w:r>
          </w:p>
        </w:tc>
        <w:tc>
          <w:tcPr>
            <w:tcW w:w="9336" w:type="dxa"/>
            <w:tcBorders>
              <w:bottom w:val="single" w:sz="4" w:space="0" w:color="B3B3B3"/>
            </w:tcBorders>
            <w:shd w:val="clear" w:color="000000" w:fill="auto"/>
            <w:vAlign w:val="bottom"/>
          </w:tcPr>
          <w:p w14:paraId="5AFFD5BA" w14:textId="77777777" w:rsidR="004D2B52" w:rsidRPr="00482C5B" w:rsidRDefault="004D2B52" w:rsidP="00482C5B">
            <w:pPr>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482C5B">
              <w:rPr>
                <w:rFonts w:cs="Open Sans"/>
                <w:color w:val="1D4374"/>
                <w:sz w:val="18"/>
              </w:rPr>
              <w:t>Step</w:t>
            </w:r>
          </w:p>
        </w:tc>
      </w:tr>
      <w:tr w:rsidR="004D2B52" w:rsidRPr="00482C5B" w14:paraId="7806B299" w14:textId="77777777" w:rsidTr="00482C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 w:type="dxa"/>
            <w:tcBorders>
              <w:top w:val="single" w:sz="4" w:space="0" w:color="B3B3B3"/>
              <w:bottom w:val="nil"/>
            </w:tcBorders>
            <w:shd w:val="clear" w:color="000000" w:fill="E6E6E6"/>
            <w:hideMark/>
          </w:tcPr>
          <w:p w14:paraId="431838D5" w14:textId="77777777" w:rsidR="004D2B52" w:rsidRPr="00482C5B" w:rsidRDefault="004D2B52" w:rsidP="00482C5B">
            <w:pPr>
              <w:pStyle w:val="TableBody"/>
              <w:spacing w:before="45" w:after="45"/>
              <w:ind w:right="108"/>
              <w:rPr>
                <w:rFonts w:cs="Open Sans"/>
                <w:color w:val="1D4374"/>
                <w:lang w:eastAsia="zh-CN" w:bidi="th-TH"/>
              </w:rPr>
            </w:pPr>
            <w:r w:rsidRPr="00482C5B">
              <w:rPr>
                <w:rFonts w:cs="Open Sans"/>
                <w:color w:val="1D4374"/>
                <w:lang w:eastAsia="zh-CN" w:bidi="th-TH"/>
              </w:rPr>
              <w:t>1</w:t>
            </w:r>
          </w:p>
        </w:tc>
        <w:tc>
          <w:tcPr>
            <w:tcW w:w="9336" w:type="dxa"/>
            <w:tcBorders>
              <w:top w:val="single" w:sz="4" w:space="0" w:color="B3B3B3"/>
              <w:bottom w:val="nil"/>
            </w:tcBorders>
            <w:shd w:val="clear" w:color="000000" w:fill="E6E6E6"/>
            <w:hideMark/>
          </w:tcPr>
          <w:p w14:paraId="1349246A" w14:textId="27D7FF64" w:rsidR="004D2B52" w:rsidRPr="00482C5B" w:rsidRDefault="00D2550C" w:rsidP="00482C5B">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482C5B">
              <w:rPr>
                <w:rStyle w:val="Strong"/>
                <w:rFonts w:cs="Open Sans"/>
                <w:b w:val="0"/>
                <w:color w:val="000000"/>
              </w:rPr>
              <w:t>The modelling inputs</w:t>
            </w:r>
            <w:r w:rsidRPr="00482C5B">
              <w:rPr>
                <w:rFonts w:cs="Open Sans"/>
                <w:color w:val="000000"/>
              </w:rPr>
              <w:t xml:space="preserve"> for each state and arrangement, including the GST pool, assessed GST need, GST received and </w:t>
            </w:r>
            <w:proofErr w:type="spellStart"/>
            <w:r w:rsidRPr="00482C5B">
              <w:rPr>
                <w:rFonts w:cs="Open Sans"/>
                <w:color w:val="000000"/>
              </w:rPr>
              <w:t>NoWO</w:t>
            </w:r>
            <w:proofErr w:type="spellEnd"/>
            <w:r w:rsidRPr="00482C5B">
              <w:rPr>
                <w:rFonts w:cs="Open Sans"/>
                <w:color w:val="000000"/>
              </w:rPr>
              <w:t xml:space="preserve"> data from the PC GST model in</w:t>
            </w:r>
            <w:r w:rsidR="00CA4262" w:rsidRPr="00482C5B">
              <w:rPr>
                <w:rFonts w:cs="Open Sans"/>
                <w:color w:val="000000"/>
              </w:rPr>
              <w:t xml:space="preserve"> section</w:t>
            </w:r>
            <w:r w:rsidRPr="00482C5B">
              <w:rPr>
                <w:rFonts w:cs="Open Sans"/>
                <w:color w:val="000000"/>
              </w:rPr>
              <w:t xml:space="preserve"> </w:t>
            </w:r>
            <w:r w:rsidRPr="00482C5B">
              <w:rPr>
                <w:rFonts w:cs="Open Sans"/>
                <w:color w:val="000000"/>
              </w:rPr>
              <w:fldChar w:fldCharType="begin"/>
            </w:r>
            <w:r w:rsidRPr="00482C5B">
              <w:rPr>
                <w:rFonts w:cs="Open Sans"/>
                <w:color w:val="000000"/>
              </w:rPr>
              <w:instrText xml:space="preserve"> REF _Ref237342376 \r \h  \* MERGEFORMAT </w:instrText>
            </w:r>
            <w:r w:rsidRPr="00482C5B">
              <w:rPr>
                <w:rFonts w:cs="Open Sans"/>
                <w:color w:val="000000"/>
              </w:rPr>
            </w:r>
            <w:r w:rsidRPr="00482C5B">
              <w:rPr>
                <w:rFonts w:cs="Open Sans"/>
                <w:color w:val="000000"/>
              </w:rPr>
              <w:fldChar w:fldCharType="separate"/>
            </w:r>
            <w:r w:rsidR="002D76C4">
              <w:rPr>
                <w:rFonts w:cs="Open Sans"/>
                <w:color w:val="000000"/>
              </w:rPr>
              <w:t>C.3</w:t>
            </w:r>
            <w:r w:rsidRPr="00482C5B">
              <w:rPr>
                <w:rFonts w:cs="Open Sans"/>
                <w:color w:val="000000"/>
              </w:rPr>
              <w:fldChar w:fldCharType="end"/>
            </w:r>
            <w:r w:rsidRPr="00482C5B">
              <w:rPr>
                <w:rFonts w:cs="Open Sans"/>
                <w:color w:val="000000"/>
              </w:rPr>
              <w:t>, were collated.</w:t>
            </w:r>
          </w:p>
        </w:tc>
      </w:tr>
      <w:tr w:rsidR="004D2B52" w:rsidRPr="00482C5B" w14:paraId="491A54B6" w14:textId="77777777" w:rsidTr="00482C5B">
        <w:tc>
          <w:tcPr>
            <w:cnfStyle w:val="001000000000" w:firstRow="0" w:lastRow="0" w:firstColumn="1" w:lastColumn="0" w:oddVBand="0" w:evenVBand="0" w:oddHBand="0" w:evenHBand="0" w:firstRowFirstColumn="0" w:firstRowLastColumn="0" w:lastRowFirstColumn="0" w:lastRowLastColumn="0"/>
            <w:tcW w:w="302" w:type="dxa"/>
            <w:tcBorders>
              <w:top w:val="nil"/>
              <w:bottom w:val="nil"/>
            </w:tcBorders>
            <w:shd w:val="clear" w:color="000000" w:fill="auto"/>
          </w:tcPr>
          <w:p w14:paraId="33FE8B59" w14:textId="77777777" w:rsidR="004D2B52" w:rsidRPr="00482C5B" w:rsidRDefault="004D2B52" w:rsidP="00482C5B">
            <w:pPr>
              <w:pStyle w:val="TableBody"/>
              <w:spacing w:before="45" w:after="45"/>
              <w:ind w:right="108"/>
              <w:rPr>
                <w:rFonts w:cs="Open Sans"/>
                <w:color w:val="1D4374"/>
              </w:rPr>
            </w:pPr>
            <w:r w:rsidRPr="00482C5B">
              <w:rPr>
                <w:rFonts w:cs="Open Sans"/>
                <w:color w:val="1D4374"/>
              </w:rPr>
              <w:t>2</w:t>
            </w:r>
          </w:p>
        </w:tc>
        <w:tc>
          <w:tcPr>
            <w:tcW w:w="9336" w:type="dxa"/>
            <w:tcBorders>
              <w:top w:val="nil"/>
              <w:bottom w:val="nil"/>
            </w:tcBorders>
            <w:shd w:val="clear" w:color="000000" w:fill="auto"/>
          </w:tcPr>
          <w:p w14:paraId="4734A13C" w14:textId="755DBE5B" w:rsidR="004D2B52" w:rsidRPr="00482C5B" w:rsidRDefault="0089366F" w:rsidP="00482C5B">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482C5B">
              <w:rPr>
                <w:rFonts w:cs="Open Sans"/>
                <w:color w:val="000000"/>
              </w:rPr>
              <w:t xml:space="preserve">For the first </w:t>
            </w:r>
            <w:r w:rsidR="00305317" w:rsidRPr="00482C5B">
              <w:rPr>
                <w:rFonts w:cs="Open Sans"/>
                <w:color w:val="000000"/>
              </w:rPr>
              <w:t>GST distribution system in table C.</w:t>
            </w:r>
            <w:r w:rsidR="00CA4262" w:rsidRPr="00482C5B">
              <w:rPr>
                <w:rFonts w:cs="Open Sans"/>
                <w:color w:val="000000"/>
              </w:rPr>
              <w:t>3</w:t>
            </w:r>
            <w:r w:rsidR="00305317" w:rsidRPr="00482C5B">
              <w:rPr>
                <w:rFonts w:cs="Open Sans"/>
                <w:color w:val="000000"/>
              </w:rPr>
              <w:t>,</w:t>
            </w:r>
            <w:r w:rsidRPr="00482C5B">
              <w:rPr>
                <w:rFonts w:cs="Open Sans"/>
                <w:color w:val="000000"/>
              </w:rPr>
              <w:t xml:space="preserve"> </w:t>
            </w:r>
            <w:r w:rsidR="00305317" w:rsidRPr="00482C5B">
              <w:rPr>
                <w:rFonts w:cs="Open Sans"/>
                <w:color w:val="000000"/>
              </w:rPr>
              <w:t>t</w:t>
            </w:r>
            <w:r w:rsidR="00CC4D78" w:rsidRPr="00482C5B">
              <w:rPr>
                <w:rFonts w:cs="Open Sans"/>
                <w:color w:val="000000"/>
              </w:rPr>
              <w:t xml:space="preserve">he GST received </w:t>
            </w:r>
            <w:r w:rsidR="00D14181" w:rsidRPr="00482C5B">
              <w:rPr>
                <w:rFonts w:cs="Open Sans"/>
                <w:color w:val="000000"/>
              </w:rPr>
              <w:t>for each state in each year</w:t>
            </w:r>
            <w:r w:rsidR="00CC4D78" w:rsidRPr="00482C5B">
              <w:rPr>
                <w:rFonts w:cs="Open Sans"/>
                <w:color w:val="000000"/>
              </w:rPr>
              <w:t xml:space="preserve"> (inclusive of any payments under the </w:t>
            </w:r>
            <w:proofErr w:type="spellStart"/>
            <w:r w:rsidR="00CC4D78" w:rsidRPr="00482C5B">
              <w:rPr>
                <w:rFonts w:cs="Open Sans"/>
                <w:color w:val="000000"/>
              </w:rPr>
              <w:t>NoWO</w:t>
            </w:r>
            <w:proofErr w:type="spellEnd"/>
            <w:r w:rsidR="00CC4D78" w:rsidRPr="00482C5B">
              <w:rPr>
                <w:rFonts w:cs="Open Sans"/>
                <w:color w:val="000000"/>
              </w:rPr>
              <w:t xml:space="preserve"> guarantee) </w:t>
            </w:r>
            <w:r w:rsidR="00D14181" w:rsidRPr="00482C5B">
              <w:rPr>
                <w:rFonts w:cs="Open Sans"/>
                <w:color w:val="000000"/>
              </w:rPr>
              <w:t>was</w:t>
            </w:r>
            <w:r w:rsidR="004D0C63" w:rsidRPr="00482C5B">
              <w:rPr>
                <w:rFonts w:cs="Open Sans"/>
                <w:color w:val="000000"/>
              </w:rPr>
              <w:t xml:space="preserve"> converted </w:t>
            </w:r>
            <w:r w:rsidR="00D14181" w:rsidRPr="00482C5B">
              <w:rPr>
                <w:rFonts w:cs="Open Sans"/>
                <w:color w:val="000000"/>
              </w:rPr>
              <w:t>to a per capita basis, using the populations of the relevant states in the relevant years.</w:t>
            </w:r>
          </w:p>
        </w:tc>
      </w:tr>
      <w:tr w:rsidR="004D2B52" w:rsidRPr="00482C5B" w14:paraId="3F758AFD" w14:textId="77777777" w:rsidTr="00482C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 w:type="dxa"/>
            <w:tcBorders>
              <w:bottom w:val="nil"/>
            </w:tcBorders>
            <w:shd w:val="clear" w:color="000000" w:fill="E6E6E6"/>
          </w:tcPr>
          <w:p w14:paraId="1230A2C3" w14:textId="77777777" w:rsidR="004D2B52" w:rsidRPr="00482C5B" w:rsidRDefault="004D2B52" w:rsidP="00482C5B">
            <w:pPr>
              <w:pStyle w:val="TableBody"/>
              <w:spacing w:before="45" w:after="45"/>
              <w:ind w:right="108"/>
              <w:rPr>
                <w:rFonts w:cs="Open Sans"/>
                <w:color w:val="1D4374"/>
              </w:rPr>
            </w:pPr>
            <w:r w:rsidRPr="00482C5B">
              <w:rPr>
                <w:rFonts w:cs="Open Sans"/>
                <w:color w:val="1D4374"/>
              </w:rPr>
              <w:t>3</w:t>
            </w:r>
          </w:p>
        </w:tc>
        <w:tc>
          <w:tcPr>
            <w:tcW w:w="9336" w:type="dxa"/>
            <w:tcBorders>
              <w:bottom w:val="nil"/>
            </w:tcBorders>
            <w:shd w:val="clear" w:color="000000" w:fill="E6E6E6"/>
          </w:tcPr>
          <w:p w14:paraId="6EE0C1BE" w14:textId="76D2FBE8" w:rsidR="004D2B52" w:rsidRPr="00482C5B" w:rsidRDefault="000825E3" w:rsidP="00482C5B">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482C5B">
              <w:rPr>
                <w:rFonts w:cs="Open Sans"/>
                <w:color w:val="000000"/>
              </w:rPr>
              <w:t xml:space="preserve">The GST revenues per capita from step </w:t>
            </w:r>
            <w:r w:rsidR="00A51546" w:rsidRPr="00482C5B">
              <w:rPr>
                <w:rFonts w:cs="Open Sans"/>
                <w:color w:val="000000"/>
              </w:rPr>
              <w:t>2</w:t>
            </w:r>
            <w:r w:rsidRPr="00482C5B">
              <w:rPr>
                <w:rFonts w:cs="Open Sans"/>
                <w:color w:val="000000"/>
              </w:rPr>
              <w:t xml:space="preserve"> were </w:t>
            </w:r>
            <w:r w:rsidR="00BB0A1E" w:rsidRPr="00482C5B">
              <w:rPr>
                <w:rFonts w:cs="Open Sans"/>
                <w:color w:val="000000"/>
              </w:rPr>
              <w:t>adjusted to control for size in the growth of the GST pool. This adjus</w:t>
            </w:r>
            <w:r w:rsidR="00247FFC" w:rsidRPr="00482C5B">
              <w:rPr>
                <w:rFonts w:cs="Open Sans"/>
                <w:color w:val="000000"/>
              </w:rPr>
              <w:t>tment</w:t>
            </w:r>
            <w:r w:rsidR="00BB0A1E" w:rsidRPr="00482C5B">
              <w:rPr>
                <w:rFonts w:cs="Open Sans"/>
                <w:color w:val="000000"/>
              </w:rPr>
              <w:t xml:space="preserve"> </w:t>
            </w:r>
            <w:r w:rsidR="00BA3005" w:rsidRPr="00482C5B">
              <w:rPr>
                <w:rFonts w:cs="Open Sans"/>
                <w:color w:val="000000"/>
              </w:rPr>
              <w:t>was</w:t>
            </w:r>
            <w:r w:rsidR="00BB0A1E" w:rsidRPr="00482C5B">
              <w:rPr>
                <w:rFonts w:cs="Open Sans"/>
                <w:color w:val="000000"/>
              </w:rPr>
              <w:t xml:space="preserve"> made by dividing the per capita revenues by the </w:t>
            </w:r>
            <w:r w:rsidR="006C2E6C" w:rsidRPr="00482C5B">
              <w:rPr>
                <w:rFonts w:cs="Open Sans"/>
                <w:color w:val="000000"/>
              </w:rPr>
              <w:t xml:space="preserve">percentage </w:t>
            </w:r>
            <w:r w:rsidR="00BB0A1E" w:rsidRPr="00482C5B">
              <w:rPr>
                <w:rFonts w:cs="Open Sans"/>
                <w:color w:val="000000"/>
              </w:rPr>
              <w:t xml:space="preserve">growth </w:t>
            </w:r>
            <w:r w:rsidR="006C2E6C" w:rsidRPr="00482C5B">
              <w:rPr>
                <w:rFonts w:cs="Open Sans"/>
                <w:color w:val="000000"/>
              </w:rPr>
              <w:t>in</w:t>
            </w:r>
            <w:r w:rsidR="00BB0A1E" w:rsidRPr="00482C5B">
              <w:rPr>
                <w:rFonts w:cs="Open Sans"/>
                <w:color w:val="000000"/>
              </w:rPr>
              <w:t xml:space="preserve"> the GST pool </w:t>
            </w:r>
            <w:r w:rsidR="007878B0" w:rsidRPr="00482C5B">
              <w:rPr>
                <w:rFonts w:cs="Open Sans"/>
                <w:color w:val="000000"/>
              </w:rPr>
              <w:t>between the base year (</w:t>
            </w:r>
            <w:r w:rsidR="00FD28E6" w:rsidRPr="00482C5B">
              <w:rPr>
                <w:rFonts w:cs="Open Sans"/>
                <w:color w:val="000000"/>
              </w:rPr>
              <w:t>2001–02</w:t>
            </w:r>
            <w:r w:rsidR="007878B0" w:rsidRPr="00482C5B">
              <w:rPr>
                <w:rFonts w:cs="Open Sans"/>
                <w:color w:val="000000"/>
              </w:rPr>
              <w:t>) and the relevant year</w:t>
            </w:r>
            <w:r w:rsidR="009B64A6" w:rsidRPr="00482C5B">
              <w:rPr>
                <w:rFonts w:cs="Open Sans"/>
                <w:color w:val="000000"/>
              </w:rPr>
              <w:t xml:space="preserve">, </w:t>
            </w:r>
            <w:r w:rsidR="00950E37" w:rsidRPr="00482C5B">
              <w:rPr>
                <w:rFonts w:cs="Open Sans"/>
                <w:color w:val="000000"/>
              </w:rPr>
              <w:t xml:space="preserve">excluding </w:t>
            </w:r>
            <w:r w:rsidR="00AF4E7B" w:rsidRPr="00482C5B">
              <w:rPr>
                <w:rFonts w:cs="Open Sans"/>
                <w:color w:val="000000"/>
              </w:rPr>
              <w:t>the GST pool boost</w:t>
            </w:r>
            <w:r w:rsidR="00273329" w:rsidRPr="00482C5B">
              <w:rPr>
                <w:rFonts w:cs="Open Sans"/>
                <w:color w:val="000000"/>
              </w:rPr>
              <w:t>.</w:t>
            </w:r>
          </w:p>
        </w:tc>
      </w:tr>
      <w:tr w:rsidR="004D2B52" w:rsidRPr="00482C5B" w14:paraId="7A33E635" w14:textId="77777777" w:rsidTr="00482C5B">
        <w:tc>
          <w:tcPr>
            <w:cnfStyle w:val="001000000000" w:firstRow="0" w:lastRow="0" w:firstColumn="1" w:lastColumn="0" w:oddVBand="0" w:evenVBand="0" w:oddHBand="0" w:evenHBand="0" w:firstRowFirstColumn="0" w:firstRowLastColumn="0" w:lastRowFirstColumn="0" w:lastRowLastColumn="0"/>
            <w:tcW w:w="302" w:type="dxa"/>
            <w:tcBorders>
              <w:top w:val="nil"/>
              <w:bottom w:val="nil"/>
            </w:tcBorders>
            <w:shd w:val="clear" w:color="000000" w:fill="auto"/>
          </w:tcPr>
          <w:p w14:paraId="1B61D438" w14:textId="77777777" w:rsidR="004D2B52" w:rsidRPr="00482C5B" w:rsidRDefault="004D2B52" w:rsidP="00482C5B">
            <w:pPr>
              <w:pStyle w:val="TableBody"/>
              <w:spacing w:before="45" w:after="45"/>
              <w:ind w:right="108"/>
              <w:rPr>
                <w:rFonts w:cs="Open Sans"/>
                <w:color w:val="1D4374"/>
              </w:rPr>
            </w:pPr>
            <w:r w:rsidRPr="00482C5B">
              <w:rPr>
                <w:rFonts w:cs="Open Sans"/>
                <w:color w:val="1D4374"/>
              </w:rPr>
              <w:t>4</w:t>
            </w:r>
          </w:p>
        </w:tc>
        <w:tc>
          <w:tcPr>
            <w:tcW w:w="9336" w:type="dxa"/>
            <w:tcBorders>
              <w:top w:val="nil"/>
              <w:bottom w:val="nil"/>
            </w:tcBorders>
            <w:shd w:val="clear" w:color="000000" w:fill="auto"/>
          </w:tcPr>
          <w:p w14:paraId="131726B0" w14:textId="35C73F28" w:rsidR="004D2B52" w:rsidRPr="00482C5B" w:rsidRDefault="00CA5D4E" w:rsidP="00482C5B">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spacing w:val="-4"/>
              </w:rPr>
            </w:pPr>
            <w:r w:rsidRPr="00482C5B">
              <w:rPr>
                <w:rFonts w:cs="Open Sans"/>
                <w:color w:val="000000"/>
                <w:spacing w:val="-4"/>
              </w:rPr>
              <w:t>For each stat</w:t>
            </w:r>
            <w:r w:rsidR="00A51546" w:rsidRPr="00482C5B">
              <w:rPr>
                <w:rFonts w:cs="Open Sans"/>
                <w:color w:val="000000"/>
                <w:spacing w:val="-4"/>
              </w:rPr>
              <w:t>e</w:t>
            </w:r>
            <w:r w:rsidR="00D10932" w:rsidRPr="00482C5B">
              <w:rPr>
                <w:rFonts w:cs="Open Sans"/>
                <w:color w:val="000000"/>
                <w:spacing w:val="-4"/>
              </w:rPr>
              <w:t xml:space="preserve"> in each year</w:t>
            </w:r>
            <w:r w:rsidR="000D2E08" w:rsidRPr="00482C5B">
              <w:rPr>
                <w:rFonts w:cs="Open Sans"/>
                <w:color w:val="000000"/>
                <w:spacing w:val="-4"/>
              </w:rPr>
              <w:t xml:space="preserve"> after the base year, the </w:t>
            </w:r>
            <w:r w:rsidR="00660FFB" w:rsidRPr="00482C5B">
              <w:rPr>
                <w:rFonts w:cs="Open Sans"/>
                <w:color w:val="000000"/>
                <w:spacing w:val="-4"/>
              </w:rPr>
              <w:t xml:space="preserve">absolute </w:t>
            </w:r>
            <w:r w:rsidR="000D2E08" w:rsidRPr="00482C5B">
              <w:rPr>
                <w:rFonts w:cs="Open Sans"/>
                <w:color w:val="000000"/>
                <w:spacing w:val="-4"/>
              </w:rPr>
              <w:t xml:space="preserve">percentage change in the pool growth adjusted GST </w:t>
            </w:r>
            <w:r w:rsidR="00660FFB" w:rsidRPr="00482C5B">
              <w:rPr>
                <w:rFonts w:cs="Open Sans"/>
                <w:color w:val="000000"/>
                <w:spacing w:val="-4"/>
              </w:rPr>
              <w:t>revenues per capita (from step 3)</w:t>
            </w:r>
            <w:r w:rsidR="00AE22A5" w:rsidRPr="00482C5B">
              <w:rPr>
                <w:rFonts w:cs="Open Sans"/>
                <w:color w:val="000000"/>
                <w:spacing w:val="-4"/>
              </w:rPr>
              <w:t xml:space="preserve"> was calculated. </w:t>
            </w:r>
            <w:r w:rsidR="00D36B30" w:rsidRPr="00482C5B">
              <w:rPr>
                <w:rFonts w:cs="Open Sans"/>
                <w:color w:val="000000"/>
                <w:spacing w:val="-4"/>
              </w:rPr>
              <w:t xml:space="preserve">These absolute percentage changes – or volatilities – were </w:t>
            </w:r>
            <w:r w:rsidR="000C7350" w:rsidRPr="00482C5B">
              <w:rPr>
                <w:rFonts w:cs="Open Sans"/>
                <w:color w:val="000000"/>
                <w:spacing w:val="-4"/>
              </w:rPr>
              <w:t xml:space="preserve">averaged (unweighted), and this value is </w:t>
            </w:r>
            <w:r w:rsidR="004074F6" w:rsidRPr="00482C5B">
              <w:rPr>
                <w:rFonts w:cs="Open Sans"/>
                <w:color w:val="000000"/>
                <w:spacing w:val="-4"/>
              </w:rPr>
              <w:t>reported as the certainty measure for that GST distribution model.</w:t>
            </w:r>
          </w:p>
        </w:tc>
      </w:tr>
      <w:tr w:rsidR="004D2B52" w:rsidRPr="00482C5B" w14:paraId="56C33F63" w14:textId="77777777" w:rsidTr="00482C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 w:type="dxa"/>
            <w:tcBorders>
              <w:bottom w:val="single" w:sz="4" w:space="0" w:color="B3B3B3"/>
            </w:tcBorders>
            <w:shd w:val="clear" w:color="000000" w:fill="E6E6E6"/>
          </w:tcPr>
          <w:p w14:paraId="341368E7" w14:textId="77777777" w:rsidR="004D2B52" w:rsidRPr="00482C5B" w:rsidRDefault="004D2B52" w:rsidP="00482C5B">
            <w:pPr>
              <w:pStyle w:val="TableBody"/>
              <w:spacing w:before="45" w:after="45"/>
              <w:ind w:right="108"/>
              <w:rPr>
                <w:rFonts w:cs="Open Sans"/>
                <w:color w:val="1D4374"/>
              </w:rPr>
            </w:pPr>
            <w:r w:rsidRPr="00482C5B">
              <w:rPr>
                <w:rFonts w:cs="Open Sans"/>
                <w:color w:val="1D4374"/>
              </w:rPr>
              <w:t>5</w:t>
            </w:r>
          </w:p>
        </w:tc>
        <w:tc>
          <w:tcPr>
            <w:tcW w:w="9336" w:type="dxa"/>
            <w:tcBorders>
              <w:bottom w:val="single" w:sz="4" w:space="0" w:color="B3B3B3"/>
            </w:tcBorders>
            <w:shd w:val="clear" w:color="000000" w:fill="E6E6E6"/>
          </w:tcPr>
          <w:p w14:paraId="67AC4440" w14:textId="55CF7BF1" w:rsidR="004D2B52" w:rsidRPr="00482C5B" w:rsidRDefault="005D76D6" w:rsidP="00482C5B">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482C5B">
              <w:rPr>
                <w:rFonts w:cs="Open Sans"/>
                <w:color w:val="000000"/>
              </w:rPr>
              <w:t xml:space="preserve">Steps 2-4 were repeated for all remaining GST distribution </w:t>
            </w:r>
            <w:r w:rsidR="00A32780" w:rsidRPr="00482C5B">
              <w:rPr>
                <w:rFonts w:cs="Open Sans"/>
                <w:color w:val="000000"/>
              </w:rPr>
              <w:t>systems</w:t>
            </w:r>
            <w:r w:rsidRPr="00482C5B">
              <w:rPr>
                <w:rFonts w:cs="Open Sans"/>
                <w:color w:val="000000"/>
              </w:rPr>
              <w:t xml:space="preserve"> in table C.</w:t>
            </w:r>
            <w:r w:rsidR="00CA4262" w:rsidRPr="00482C5B">
              <w:rPr>
                <w:rFonts w:cs="Open Sans"/>
                <w:color w:val="000000"/>
              </w:rPr>
              <w:t>3</w:t>
            </w:r>
            <w:r w:rsidRPr="00482C5B">
              <w:rPr>
                <w:rFonts w:cs="Open Sans"/>
                <w:color w:val="000000"/>
              </w:rPr>
              <w:t>.</w:t>
            </w:r>
          </w:p>
        </w:tc>
      </w:tr>
    </w:tbl>
    <w:p w14:paraId="237DC717" w14:textId="77777777" w:rsidR="004D2B52" w:rsidRDefault="004D2B52" w:rsidP="00482C5B">
      <w:pPr>
        <w:pStyle w:val="Heading3-noTOC"/>
        <w:spacing w:before="480"/>
      </w:pPr>
      <w:r>
        <w:lastRenderedPageBreak/>
        <w:t>Data</w:t>
      </w:r>
    </w:p>
    <w:p w14:paraId="49D077EF" w14:textId="6D922137" w:rsidR="00E50CB7" w:rsidRDefault="00E50CB7" w:rsidP="00482C5B">
      <w:pPr>
        <w:pStyle w:val="FigureTableHeading"/>
        <w:keepLines/>
      </w:pPr>
      <w:r>
        <w:t>Table C.</w:t>
      </w:r>
      <w:fldSimple w:instr=" SEQ Table \* ARABIC \s 1 ">
        <w:r w:rsidR="002D76C4">
          <w:rPr>
            <w:noProof/>
          </w:rPr>
          <w:t>21</w:t>
        </w:r>
      </w:fldSimple>
      <w:r>
        <w:rPr>
          <w:noProof/>
        </w:rPr>
        <w:t xml:space="preserve"> – </w:t>
      </w:r>
      <w:r>
        <w:t xml:space="preserve">Certainty </w:t>
      </w:r>
      <w:r w:rsidR="00E42A68" w:rsidRPr="006F4CC5">
        <w:rPr>
          <w:noProof/>
        </w:rPr>
        <w:t xml:space="preserve">framework </w:t>
      </w:r>
      <w:r>
        <w:t xml:space="preserve">measure data </w:t>
      </w:r>
      <w:r w:rsidR="004D7483">
        <w:t>inputs</w:t>
      </w:r>
    </w:p>
    <w:tbl>
      <w:tblPr>
        <w:tblStyle w:val="ProductivityCommissionTable2-Dark"/>
        <w:tblW w:w="0" w:type="auto"/>
        <w:tblBorders>
          <w:insideH w:val="none" w:sz="0" w:space="0" w:color="auto"/>
        </w:tblBorders>
        <w:shd w:val="clear" w:color="000000" w:fill="auto"/>
        <w:tblLayout w:type="fixed"/>
        <w:tblCellMar>
          <w:top w:w="0" w:type="dxa"/>
          <w:left w:w="0" w:type="dxa"/>
          <w:bottom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957"/>
        <w:gridCol w:w="2840"/>
        <w:gridCol w:w="2105"/>
        <w:gridCol w:w="2003"/>
        <w:gridCol w:w="733"/>
      </w:tblGrid>
      <w:tr w:rsidR="004D2B52" w:rsidRPr="00482C5B" w14:paraId="1CBD92D3" w14:textId="77777777" w:rsidTr="00482C5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57" w:type="dxa"/>
            <w:tcBorders>
              <w:bottom w:val="single" w:sz="4" w:space="0" w:color="B3B3B3"/>
            </w:tcBorders>
            <w:shd w:val="clear" w:color="000000" w:fill="auto"/>
            <w:vAlign w:val="bottom"/>
          </w:tcPr>
          <w:p w14:paraId="2B4B7DF2" w14:textId="77777777" w:rsidR="004D2B52" w:rsidRPr="00482C5B" w:rsidRDefault="004D2B52" w:rsidP="00482C5B">
            <w:pPr>
              <w:keepNext/>
              <w:keepLines/>
              <w:spacing w:before="45" w:after="45"/>
              <w:ind w:left="57" w:right="108"/>
              <w:rPr>
                <w:rFonts w:cs="Open Sans"/>
                <w:color w:val="1D4374"/>
                <w:sz w:val="18"/>
              </w:rPr>
            </w:pPr>
            <w:r w:rsidRPr="00482C5B">
              <w:rPr>
                <w:rFonts w:cs="Open Sans"/>
                <w:color w:val="1D4374"/>
                <w:sz w:val="18"/>
              </w:rPr>
              <w:t>Dataset</w:t>
            </w:r>
          </w:p>
        </w:tc>
        <w:tc>
          <w:tcPr>
            <w:tcW w:w="2840" w:type="dxa"/>
            <w:tcBorders>
              <w:bottom w:val="single" w:sz="4" w:space="0" w:color="B3B3B3"/>
            </w:tcBorders>
            <w:shd w:val="clear" w:color="000000" w:fill="auto"/>
            <w:vAlign w:val="bottom"/>
          </w:tcPr>
          <w:p w14:paraId="0A2B766C" w14:textId="77777777" w:rsidR="004D2B52" w:rsidRPr="00482C5B" w:rsidRDefault="004D2B52" w:rsidP="00482C5B">
            <w:pPr>
              <w:keepNext/>
              <w:keepLines/>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482C5B">
              <w:rPr>
                <w:rFonts w:cs="Open Sans"/>
                <w:color w:val="1D4374"/>
                <w:sz w:val="18"/>
              </w:rPr>
              <w:t>Variables</w:t>
            </w:r>
          </w:p>
        </w:tc>
        <w:tc>
          <w:tcPr>
            <w:tcW w:w="2105" w:type="dxa"/>
            <w:tcBorders>
              <w:bottom w:val="single" w:sz="4" w:space="0" w:color="B3B3B3"/>
            </w:tcBorders>
            <w:shd w:val="clear" w:color="000000" w:fill="auto"/>
            <w:vAlign w:val="bottom"/>
          </w:tcPr>
          <w:p w14:paraId="406AC7FA" w14:textId="77777777" w:rsidR="004D2B52" w:rsidRPr="00482C5B" w:rsidRDefault="004D2B52" w:rsidP="00482C5B">
            <w:pPr>
              <w:keepNext/>
              <w:keepLines/>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482C5B">
              <w:rPr>
                <w:rFonts w:cs="Open Sans"/>
                <w:color w:val="1D4374"/>
                <w:sz w:val="18"/>
              </w:rPr>
              <w:t>Years</w:t>
            </w:r>
          </w:p>
        </w:tc>
        <w:tc>
          <w:tcPr>
            <w:tcW w:w="2003" w:type="dxa"/>
            <w:tcBorders>
              <w:bottom w:val="single" w:sz="4" w:space="0" w:color="B3B3B3"/>
            </w:tcBorders>
            <w:shd w:val="clear" w:color="000000" w:fill="auto"/>
            <w:vAlign w:val="bottom"/>
          </w:tcPr>
          <w:p w14:paraId="5B86AB3E" w14:textId="77777777" w:rsidR="004D2B52" w:rsidRPr="00482C5B" w:rsidRDefault="004D2B52" w:rsidP="00482C5B">
            <w:pPr>
              <w:keepNext/>
              <w:keepLines/>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482C5B">
              <w:rPr>
                <w:rFonts w:cs="Open Sans"/>
                <w:color w:val="1D4374"/>
                <w:sz w:val="18"/>
              </w:rPr>
              <w:t>Source</w:t>
            </w:r>
          </w:p>
        </w:tc>
        <w:tc>
          <w:tcPr>
            <w:tcW w:w="733" w:type="dxa"/>
            <w:tcBorders>
              <w:bottom w:val="single" w:sz="4" w:space="0" w:color="B3B3B3"/>
            </w:tcBorders>
            <w:shd w:val="clear" w:color="000000" w:fill="auto"/>
            <w:vAlign w:val="bottom"/>
          </w:tcPr>
          <w:p w14:paraId="5864592A" w14:textId="77777777" w:rsidR="004D2B52" w:rsidRPr="00482C5B" w:rsidRDefault="004D2B52" w:rsidP="00482C5B">
            <w:pPr>
              <w:keepNext/>
              <w:keepLines/>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482C5B">
              <w:rPr>
                <w:rFonts w:cs="Open Sans"/>
                <w:color w:val="1D4374"/>
                <w:sz w:val="18"/>
              </w:rPr>
              <w:t>Notes</w:t>
            </w:r>
          </w:p>
        </w:tc>
      </w:tr>
      <w:tr w:rsidR="004D2B52" w:rsidRPr="00482C5B" w14:paraId="7147D787" w14:textId="77777777" w:rsidTr="00482C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7" w:type="dxa"/>
            <w:tcBorders>
              <w:top w:val="single" w:sz="4" w:space="0" w:color="B3B3B3"/>
              <w:bottom w:val="nil"/>
            </w:tcBorders>
            <w:shd w:val="clear" w:color="000000" w:fill="E6E6E6"/>
          </w:tcPr>
          <w:p w14:paraId="2FB67814" w14:textId="236EC63D" w:rsidR="004D2B52" w:rsidRPr="00482C5B" w:rsidRDefault="005D76D6" w:rsidP="00482C5B">
            <w:pPr>
              <w:pStyle w:val="TableBody"/>
              <w:keepNext/>
              <w:keepLines/>
              <w:rPr>
                <w:b w:val="0"/>
                <w:bCs/>
                <w:color w:val="auto"/>
              </w:rPr>
            </w:pPr>
            <w:r w:rsidRPr="00482C5B">
              <w:rPr>
                <w:b w:val="0"/>
                <w:bCs/>
                <w:color w:val="auto"/>
              </w:rPr>
              <w:t>PC GST model outputs</w:t>
            </w:r>
          </w:p>
        </w:tc>
        <w:tc>
          <w:tcPr>
            <w:tcW w:w="2840" w:type="dxa"/>
            <w:tcBorders>
              <w:top w:val="single" w:sz="4" w:space="0" w:color="B3B3B3"/>
              <w:bottom w:val="nil"/>
            </w:tcBorders>
            <w:shd w:val="clear" w:color="000000" w:fill="E6E6E6"/>
          </w:tcPr>
          <w:p w14:paraId="6BB7CCFA" w14:textId="77777777" w:rsidR="005D76D6" w:rsidRPr="00482C5B" w:rsidRDefault="005D76D6" w:rsidP="00482C5B">
            <w:pPr>
              <w:pStyle w:val="TableBody"/>
              <w:keepNext/>
              <w:keepLines/>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482C5B">
              <w:rPr>
                <w:rFonts w:cs="Open Sans"/>
                <w:color w:val="000000"/>
              </w:rPr>
              <w:t>GST payments</w:t>
            </w:r>
          </w:p>
          <w:p w14:paraId="06295F6D" w14:textId="053F8EB8" w:rsidR="004D2B52" w:rsidRPr="00482C5B" w:rsidRDefault="005D76D6" w:rsidP="00482C5B">
            <w:pPr>
              <w:pStyle w:val="TableBody"/>
              <w:keepNext/>
              <w:keepLines/>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proofErr w:type="spellStart"/>
            <w:r w:rsidRPr="00482C5B">
              <w:rPr>
                <w:rFonts w:cs="Open Sans"/>
                <w:color w:val="000000"/>
              </w:rPr>
              <w:t>NoWO</w:t>
            </w:r>
            <w:proofErr w:type="spellEnd"/>
            <w:r w:rsidRPr="00482C5B">
              <w:rPr>
                <w:rFonts w:cs="Open Sans"/>
                <w:color w:val="000000"/>
              </w:rPr>
              <w:t xml:space="preserve"> payments</w:t>
            </w:r>
          </w:p>
        </w:tc>
        <w:tc>
          <w:tcPr>
            <w:tcW w:w="2105" w:type="dxa"/>
            <w:tcBorders>
              <w:top w:val="single" w:sz="4" w:space="0" w:color="B3B3B3"/>
              <w:bottom w:val="nil"/>
            </w:tcBorders>
            <w:shd w:val="clear" w:color="000000" w:fill="E6E6E6"/>
          </w:tcPr>
          <w:p w14:paraId="7C3E88FF" w14:textId="6CDC4C5C" w:rsidR="004D2B52" w:rsidRPr="00482C5B" w:rsidRDefault="005D76D6" w:rsidP="00482C5B">
            <w:pPr>
              <w:pStyle w:val="TableBody"/>
              <w:keepNext/>
              <w:keepLines/>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482C5B">
              <w:rPr>
                <w:rFonts w:cs="Open Sans"/>
                <w:color w:val="000000"/>
              </w:rPr>
              <w:t>2001</w:t>
            </w:r>
            <w:r w:rsidR="00A32780" w:rsidRPr="00482C5B">
              <w:rPr>
                <w:rFonts w:cs="Open Sans"/>
                <w:color w:val="000000"/>
              </w:rPr>
              <w:t xml:space="preserve"> to 2024</w:t>
            </w:r>
            <w:r w:rsidRPr="00482C5B">
              <w:rPr>
                <w:rFonts w:cs="Open Sans"/>
                <w:color w:val="000000"/>
              </w:rPr>
              <w:t xml:space="preserve"> inquiry year</w:t>
            </w:r>
            <w:r w:rsidR="00A32780" w:rsidRPr="00482C5B">
              <w:rPr>
                <w:rFonts w:cs="Open Sans"/>
                <w:color w:val="000000"/>
              </w:rPr>
              <w:t>s</w:t>
            </w:r>
          </w:p>
        </w:tc>
        <w:tc>
          <w:tcPr>
            <w:tcW w:w="2003" w:type="dxa"/>
            <w:tcBorders>
              <w:top w:val="single" w:sz="4" w:space="0" w:color="B3B3B3"/>
              <w:bottom w:val="nil"/>
            </w:tcBorders>
            <w:shd w:val="clear" w:color="000000" w:fill="E6E6E6"/>
          </w:tcPr>
          <w:p w14:paraId="061AABE1" w14:textId="6EF511CE" w:rsidR="004D2B52" w:rsidRPr="00482C5B" w:rsidRDefault="005D76D6" w:rsidP="00482C5B">
            <w:pPr>
              <w:pStyle w:val="TableBody"/>
              <w:keepNext/>
              <w:keepLines/>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482C5B">
              <w:rPr>
                <w:rFonts w:cs="Open Sans"/>
                <w:color w:val="000000"/>
              </w:rPr>
              <w:t>Internal PC calculations</w:t>
            </w:r>
          </w:p>
        </w:tc>
        <w:tc>
          <w:tcPr>
            <w:tcW w:w="733" w:type="dxa"/>
            <w:tcBorders>
              <w:top w:val="single" w:sz="4" w:space="0" w:color="B3B3B3"/>
              <w:bottom w:val="nil"/>
            </w:tcBorders>
            <w:shd w:val="clear" w:color="000000" w:fill="E6E6E6"/>
          </w:tcPr>
          <w:p w14:paraId="48409959" w14:textId="5B0B28AF" w:rsidR="004D2B52" w:rsidRPr="00482C5B" w:rsidRDefault="00093FD6" w:rsidP="00482C5B">
            <w:pPr>
              <w:pStyle w:val="TableBody"/>
              <w:keepNext/>
              <w:keepLines/>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t>–</w:t>
            </w:r>
          </w:p>
        </w:tc>
      </w:tr>
      <w:tr w:rsidR="00C11540" w:rsidRPr="00482C5B" w14:paraId="6D61EC83" w14:textId="77777777" w:rsidTr="00482C5B">
        <w:tc>
          <w:tcPr>
            <w:cnfStyle w:val="001000000000" w:firstRow="0" w:lastRow="0" w:firstColumn="1" w:lastColumn="0" w:oddVBand="0" w:evenVBand="0" w:oddHBand="0" w:evenHBand="0" w:firstRowFirstColumn="0" w:firstRowLastColumn="0" w:lastRowFirstColumn="0" w:lastRowLastColumn="0"/>
            <w:tcW w:w="1957" w:type="dxa"/>
            <w:tcBorders>
              <w:top w:val="nil"/>
            </w:tcBorders>
            <w:shd w:val="clear" w:color="000000" w:fill="auto"/>
          </w:tcPr>
          <w:p w14:paraId="66BF3CBD" w14:textId="69D24789" w:rsidR="00C11540" w:rsidRPr="00482C5B" w:rsidRDefault="00A97131" w:rsidP="00482C5B">
            <w:pPr>
              <w:pStyle w:val="TableBody"/>
              <w:keepNext/>
              <w:keepLines/>
              <w:rPr>
                <w:b w:val="0"/>
                <w:bCs/>
                <w:color w:val="auto"/>
              </w:rPr>
            </w:pPr>
            <w:r w:rsidRPr="00482C5B">
              <w:rPr>
                <w:b w:val="0"/>
                <w:bCs/>
                <w:color w:val="auto"/>
              </w:rPr>
              <w:t>GST methodology data</w:t>
            </w:r>
          </w:p>
        </w:tc>
        <w:tc>
          <w:tcPr>
            <w:tcW w:w="2840" w:type="dxa"/>
            <w:tcBorders>
              <w:top w:val="nil"/>
            </w:tcBorders>
            <w:shd w:val="clear" w:color="000000" w:fill="auto"/>
          </w:tcPr>
          <w:p w14:paraId="5189FF77" w14:textId="5E8814F4" w:rsidR="00C11540" w:rsidRPr="00482C5B" w:rsidRDefault="00C11540" w:rsidP="00482C5B">
            <w:pPr>
              <w:pStyle w:val="TableBody"/>
              <w:keepNext/>
              <w:keepLines/>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482C5B">
              <w:rPr>
                <w:rFonts w:cs="Open Sans"/>
                <w:iCs/>
                <w:color w:val="000000"/>
              </w:rPr>
              <w:t>Population</w:t>
            </w:r>
            <w:r w:rsidRPr="00482C5B">
              <w:rPr>
                <w:rFonts w:cs="Open Sans"/>
                <w:color w:val="000000"/>
              </w:rPr>
              <w:t xml:space="preserve"> by state, application year</w:t>
            </w:r>
          </w:p>
        </w:tc>
        <w:tc>
          <w:tcPr>
            <w:tcW w:w="2105" w:type="dxa"/>
            <w:tcBorders>
              <w:top w:val="nil"/>
            </w:tcBorders>
            <w:shd w:val="clear" w:color="000000" w:fill="auto"/>
          </w:tcPr>
          <w:p w14:paraId="361A6C25" w14:textId="3AFE7E3A" w:rsidR="00C11540" w:rsidRPr="00482C5B" w:rsidRDefault="00A97131" w:rsidP="00482C5B">
            <w:pPr>
              <w:pStyle w:val="TableBody"/>
              <w:keepNext/>
              <w:keepLines/>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482C5B">
              <w:rPr>
                <w:rFonts w:cs="Open Sans"/>
                <w:color w:val="000000"/>
              </w:rPr>
              <w:t>2001 to 2024 inquiry years</w:t>
            </w:r>
          </w:p>
        </w:tc>
        <w:tc>
          <w:tcPr>
            <w:tcW w:w="2003" w:type="dxa"/>
            <w:tcBorders>
              <w:top w:val="nil"/>
            </w:tcBorders>
            <w:shd w:val="clear" w:color="000000" w:fill="auto"/>
          </w:tcPr>
          <w:p w14:paraId="2EB3A135" w14:textId="5DC8AD38" w:rsidR="00C11540" w:rsidRPr="00482C5B" w:rsidRDefault="00A97131" w:rsidP="00482C5B">
            <w:pPr>
              <w:pStyle w:val="TableBody"/>
              <w:keepNext/>
              <w:keepLines/>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482C5B">
              <w:rPr>
                <w:rFonts w:cs="Open Sans"/>
                <w:color w:val="000000"/>
              </w:rPr>
              <w:t>CGC (unpublished)</w:t>
            </w:r>
          </w:p>
        </w:tc>
        <w:tc>
          <w:tcPr>
            <w:tcW w:w="733" w:type="dxa"/>
            <w:tcBorders>
              <w:top w:val="nil"/>
            </w:tcBorders>
            <w:shd w:val="clear" w:color="000000" w:fill="auto"/>
          </w:tcPr>
          <w:p w14:paraId="3C3C38F5" w14:textId="04FCE698" w:rsidR="00C11540" w:rsidRPr="00482C5B" w:rsidRDefault="00093FD6" w:rsidP="00482C5B">
            <w:pPr>
              <w:pStyle w:val="TableBody"/>
              <w:keepNext/>
              <w:keepLines/>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t>–</w:t>
            </w:r>
          </w:p>
        </w:tc>
      </w:tr>
    </w:tbl>
    <w:p w14:paraId="6C243AF8" w14:textId="77777777" w:rsidR="004D2B52" w:rsidRDefault="004D2B52" w:rsidP="00482C5B">
      <w:pPr>
        <w:keepNext/>
        <w:keepLines/>
        <w:rPr>
          <w:kern w:val="2"/>
          <w:lang w:eastAsia="zh-CN" w:bidi="th-TH"/>
          <w14:ligatures w14:val="standardContextual"/>
        </w:rPr>
      </w:pPr>
    </w:p>
    <w:p w14:paraId="44F72FB5" w14:textId="77777777" w:rsidR="004D2B52" w:rsidRDefault="004D2B52" w:rsidP="004D2B52">
      <w:pPr>
        <w:pStyle w:val="Heading3-noTOC"/>
      </w:pPr>
      <w:r>
        <w:t>Assumptions</w:t>
      </w:r>
    </w:p>
    <w:p w14:paraId="1E9F607B" w14:textId="112FC2FB" w:rsidR="007224C0" w:rsidRDefault="007224C0" w:rsidP="007224C0">
      <w:pPr>
        <w:pStyle w:val="FigureTableHeading"/>
      </w:pPr>
      <w:r>
        <w:t xml:space="preserve">Table </w:t>
      </w:r>
      <w:r w:rsidR="00E50B17">
        <w:t>C</w:t>
      </w:r>
      <w:r>
        <w:t>.</w:t>
      </w:r>
      <w:fldSimple w:instr=" SEQ Table \* ARABIC \s 1 ">
        <w:r w:rsidR="002D76C4">
          <w:rPr>
            <w:noProof/>
          </w:rPr>
          <w:t>22</w:t>
        </w:r>
      </w:fldSimple>
      <w:r>
        <w:rPr>
          <w:noProof/>
        </w:rPr>
        <w:t xml:space="preserve"> – </w:t>
      </w:r>
      <w:r w:rsidR="00E50B17">
        <w:t xml:space="preserve">Certainty </w:t>
      </w:r>
      <w:r w:rsidR="00E42A68" w:rsidRPr="006F4CC5">
        <w:rPr>
          <w:noProof/>
        </w:rPr>
        <w:t xml:space="preserve">framework </w:t>
      </w:r>
      <w:r w:rsidR="001748DD">
        <w:t xml:space="preserve">measure </w:t>
      </w:r>
      <w:r w:rsidR="00E42A68">
        <w:t xml:space="preserve">specific </w:t>
      </w:r>
      <w:r w:rsidR="001748DD">
        <w:t>assumptions</w:t>
      </w:r>
    </w:p>
    <w:tbl>
      <w:tblPr>
        <w:tblW w:w="5000" w:type="pct"/>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4678"/>
        <w:gridCol w:w="4960"/>
      </w:tblGrid>
      <w:tr w:rsidR="003F5FEB" w14:paraId="3F0C23F3" w14:textId="77777777" w:rsidTr="00D31633">
        <w:trPr>
          <w:tblHeader/>
        </w:trPr>
        <w:tc>
          <w:tcPr>
            <w:tcW w:w="2427" w:type="pct"/>
            <w:tcBorders>
              <w:bottom w:val="single" w:sz="4" w:space="0" w:color="B3B3B3"/>
            </w:tcBorders>
            <w:shd w:val="clear" w:color="000000" w:fill="auto"/>
            <w:tcMar>
              <w:top w:w="57" w:type="dxa"/>
              <w:left w:w="57" w:type="dxa"/>
              <w:bottom w:w="57" w:type="dxa"/>
              <w:right w:w="85" w:type="dxa"/>
            </w:tcMar>
            <w:vAlign w:val="bottom"/>
            <w:hideMark/>
          </w:tcPr>
          <w:p w14:paraId="2A4F0CDA" w14:textId="77777777" w:rsidR="003F5FEB" w:rsidRPr="00995D40" w:rsidRDefault="003F5FEB" w:rsidP="00894737">
            <w:pPr>
              <w:pStyle w:val="TableHeading"/>
            </w:pPr>
            <w:r w:rsidRPr="00995D40">
              <w:t>Assumption</w:t>
            </w:r>
          </w:p>
        </w:tc>
        <w:tc>
          <w:tcPr>
            <w:tcW w:w="2573" w:type="pct"/>
            <w:tcBorders>
              <w:bottom w:val="single" w:sz="4" w:space="0" w:color="B3B3B3"/>
            </w:tcBorders>
            <w:shd w:val="clear" w:color="000000" w:fill="auto"/>
            <w:tcMar>
              <w:top w:w="57" w:type="dxa"/>
              <w:left w:w="57" w:type="dxa"/>
              <w:bottom w:w="57" w:type="dxa"/>
              <w:right w:w="85" w:type="dxa"/>
            </w:tcMar>
            <w:vAlign w:val="bottom"/>
            <w:hideMark/>
          </w:tcPr>
          <w:p w14:paraId="35ACBE45" w14:textId="77777777" w:rsidR="003F5FEB" w:rsidRPr="00995D40" w:rsidRDefault="003F5FEB" w:rsidP="00894737">
            <w:pPr>
              <w:pStyle w:val="TableHeading"/>
            </w:pPr>
            <w:r w:rsidRPr="00995D40">
              <w:t>Implication</w:t>
            </w:r>
          </w:p>
        </w:tc>
      </w:tr>
      <w:tr w:rsidR="003F5FEB" w14:paraId="7B1C4AD4" w14:textId="77777777" w:rsidTr="00D31633">
        <w:tc>
          <w:tcPr>
            <w:tcW w:w="2427" w:type="pct"/>
            <w:tcBorders>
              <w:top w:val="single" w:sz="4" w:space="0" w:color="B3B3B3"/>
              <w:bottom w:val="nil"/>
            </w:tcBorders>
            <w:shd w:val="clear" w:color="000000" w:fill="E6E6E6"/>
            <w:tcMar>
              <w:top w:w="57" w:type="dxa"/>
              <w:left w:w="57" w:type="dxa"/>
              <w:bottom w:w="57" w:type="dxa"/>
              <w:right w:w="85" w:type="dxa"/>
            </w:tcMar>
          </w:tcPr>
          <w:p w14:paraId="4FCBF4AC" w14:textId="6DE40A15" w:rsidR="003F5FEB" w:rsidRPr="00894737" w:rsidRDefault="0051195D" w:rsidP="00894737">
            <w:pPr>
              <w:pStyle w:val="TableBody"/>
            </w:pPr>
            <w:r w:rsidRPr="00894737">
              <w:t xml:space="preserve">All else equal, </w:t>
            </w:r>
            <w:r w:rsidR="008D2710" w:rsidRPr="00894737">
              <w:t xml:space="preserve">more </w:t>
            </w:r>
            <w:r w:rsidRPr="00894737">
              <w:t xml:space="preserve">volatile GST revenues </w:t>
            </w:r>
            <w:r w:rsidR="008D2710" w:rsidRPr="00894737">
              <w:t>make state fiscal planning more challenging.</w:t>
            </w:r>
          </w:p>
        </w:tc>
        <w:tc>
          <w:tcPr>
            <w:tcW w:w="2573" w:type="pct"/>
            <w:tcBorders>
              <w:top w:val="single" w:sz="4" w:space="0" w:color="B3B3B3"/>
              <w:bottom w:val="nil"/>
            </w:tcBorders>
            <w:shd w:val="clear" w:color="000000" w:fill="E6E6E6"/>
            <w:tcMar>
              <w:top w:w="57" w:type="dxa"/>
              <w:left w:w="57" w:type="dxa"/>
              <w:bottom w:w="57" w:type="dxa"/>
              <w:right w:w="85" w:type="dxa"/>
            </w:tcMar>
          </w:tcPr>
          <w:p w14:paraId="5E764AB1" w14:textId="472DF5D2" w:rsidR="003F5FEB" w:rsidRPr="00995D40" w:rsidRDefault="008D2710" w:rsidP="00894737">
            <w:pPr>
              <w:pStyle w:val="TableBody"/>
              <w:rPr>
                <w:color w:val="000000"/>
              </w:rPr>
            </w:pPr>
            <w:r>
              <w:rPr>
                <w:color w:val="000000"/>
              </w:rPr>
              <w:t xml:space="preserve">The PC </w:t>
            </w:r>
            <w:r w:rsidR="009A2B85">
              <w:rPr>
                <w:color w:val="000000"/>
              </w:rPr>
              <w:t xml:space="preserve">has used this measure as an assessment of how challenging a GST distribution </w:t>
            </w:r>
            <w:r w:rsidR="00BB42C7">
              <w:rPr>
                <w:color w:val="000000"/>
              </w:rPr>
              <w:t xml:space="preserve">system </w:t>
            </w:r>
            <w:r w:rsidR="009A2B85">
              <w:rPr>
                <w:color w:val="000000"/>
              </w:rPr>
              <w:t xml:space="preserve">would make </w:t>
            </w:r>
            <w:r w:rsidR="00BB42C7">
              <w:rPr>
                <w:color w:val="000000"/>
              </w:rPr>
              <w:t>state fiscal planning.</w:t>
            </w:r>
          </w:p>
        </w:tc>
      </w:tr>
      <w:tr w:rsidR="003F5FEB" w14:paraId="03ACBD92" w14:textId="77777777" w:rsidTr="00D31633">
        <w:tc>
          <w:tcPr>
            <w:tcW w:w="2427" w:type="pct"/>
            <w:tcBorders>
              <w:top w:val="nil"/>
              <w:bottom w:val="nil"/>
            </w:tcBorders>
            <w:shd w:val="clear" w:color="000000" w:fill="auto"/>
            <w:tcMar>
              <w:top w:w="57" w:type="dxa"/>
              <w:left w:w="57" w:type="dxa"/>
              <w:bottom w:w="57" w:type="dxa"/>
              <w:right w:w="85" w:type="dxa"/>
            </w:tcMar>
          </w:tcPr>
          <w:p w14:paraId="076FA1C1" w14:textId="0520A3C5" w:rsidR="003F5FEB" w:rsidRPr="00894737" w:rsidRDefault="008A3712" w:rsidP="00894737">
            <w:pPr>
              <w:pStyle w:val="TableBody"/>
            </w:pPr>
            <w:r w:rsidRPr="00894737">
              <w:t xml:space="preserve">The </w:t>
            </w:r>
            <w:r w:rsidR="00DD3075" w:rsidRPr="00894737">
              <w:t xml:space="preserve">fiscal </w:t>
            </w:r>
            <w:r w:rsidRPr="00894737">
              <w:t xml:space="preserve">uncertainty </w:t>
            </w:r>
            <w:r w:rsidR="00DD3075" w:rsidRPr="00894737">
              <w:t>created</w:t>
            </w:r>
            <w:r w:rsidRPr="00894737">
              <w:t xml:space="preserve"> by a particular GST distribution system </w:t>
            </w:r>
            <w:r w:rsidR="00DD3075" w:rsidRPr="00894737">
              <w:t>can</w:t>
            </w:r>
            <w:r w:rsidR="00F40016" w:rsidRPr="00894737">
              <w:t xml:space="preserve"> </w:t>
            </w:r>
            <w:r w:rsidR="00411D29" w:rsidRPr="00894737">
              <w:t xml:space="preserve">be </w:t>
            </w:r>
            <w:r w:rsidR="00F40016" w:rsidRPr="00894737">
              <w:t>measured by the volatility it produces</w:t>
            </w:r>
            <w:r w:rsidR="00DD3075" w:rsidRPr="00894737">
              <w:t xml:space="preserve"> </w:t>
            </w:r>
            <w:r w:rsidR="00120A9C" w:rsidRPr="00894737">
              <w:t xml:space="preserve">separate from the </w:t>
            </w:r>
            <w:r w:rsidR="00CB0427" w:rsidRPr="00894737">
              <w:t xml:space="preserve">growth in the </w:t>
            </w:r>
            <w:r w:rsidR="00120A9C" w:rsidRPr="00894737">
              <w:t>GST</w:t>
            </w:r>
            <w:r w:rsidR="00CB0427" w:rsidRPr="00894737">
              <w:t xml:space="preserve"> pool and changes to</w:t>
            </w:r>
            <w:r w:rsidR="003E2E21" w:rsidRPr="00894737">
              <w:t xml:space="preserve"> the</w:t>
            </w:r>
            <w:r w:rsidR="00CB0427" w:rsidRPr="00894737">
              <w:t xml:space="preserve"> population distribution (which would affect all distribution systems)</w:t>
            </w:r>
            <w:r w:rsidR="00120A9C" w:rsidRPr="00894737">
              <w:t>.</w:t>
            </w:r>
          </w:p>
        </w:tc>
        <w:tc>
          <w:tcPr>
            <w:tcW w:w="2573" w:type="pct"/>
            <w:tcBorders>
              <w:top w:val="nil"/>
              <w:bottom w:val="nil"/>
            </w:tcBorders>
            <w:shd w:val="clear" w:color="000000" w:fill="auto"/>
            <w:tcMar>
              <w:top w:w="57" w:type="dxa"/>
              <w:left w:w="57" w:type="dxa"/>
              <w:bottom w:w="57" w:type="dxa"/>
              <w:right w:w="85" w:type="dxa"/>
            </w:tcMar>
          </w:tcPr>
          <w:p w14:paraId="609D0A9B" w14:textId="36C934CF" w:rsidR="003F5FEB" w:rsidRPr="00475434" w:rsidRDefault="00723B1D" w:rsidP="00894737">
            <w:pPr>
              <w:pStyle w:val="TableBody"/>
              <w:rPr>
                <w:color w:val="000000"/>
                <w:spacing w:val="2"/>
              </w:rPr>
            </w:pPr>
            <w:r w:rsidRPr="00475434">
              <w:rPr>
                <w:color w:val="000000"/>
                <w:spacing w:val="2"/>
              </w:rPr>
              <w:t xml:space="preserve">The outputs of the </w:t>
            </w:r>
            <w:r w:rsidR="009C6A15" w:rsidRPr="00475434">
              <w:rPr>
                <w:color w:val="000000"/>
                <w:spacing w:val="2"/>
              </w:rPr>
              <w:t xml:space="preserve">measure </w:t>
            </w:r>
            <w:r w:rsidRPr="00475434">
              <w:rPr>
                <w:color w:val="000000"/>
                <w:spacing w:val="2"/>
              </w:rPr>
              <w:t>do</w:t>
            </w:r>
            <w:r w:rsidR="009C6A15" w:rsidRPr="00475434">
              <w:rPr>
                <w:color w:val="000000"/>
                <w:spacing w:val="2"/>
              </w:rPr>
              <w:t xml:space="preserve"> not represent actual or expected volatilities in GST revenue for any state in any year.</w:t>
            </w:r>
          </w:p>
        </w:tc>
      </w:tr>
      <w:tr w:rsidR="00C44EF7" w:rsidRPr="00C44EF7" w14:paraId="56C2713A" w14:textId="77777777" w:rsidTr="00D31633">
        <w:tc>
          <w:tcPr>
            <w:tcW w:w="2427" w:type="pct"/>
            <w:tcBorders>
              <w:bottom w:val="nil"/>
            </w:tcBorders>
            <w:shd w:val="clear" w:color="000000" w:fill="E6E6E6"/>
            <w:tcMar>
              <w:top w:w="57" w:type="dxa"/>
              <w:left w:w="57" w:type="dxa"/>
              <w:bottom w:w="57" w:type="dxa"/>
              <w:right w:w="85" w:type="dxa"/>
            </w:tcMar>
          </w:tcPr>
          <w:p w14:paraId="055EB631" w14:textId="713CDABE" w:rsidR="00C44EF7" w:rsidRPr="00894737" w:rsidRDefault="00BA4DBC" w:rsidP="00894737">
            <w:pPr>
              <w:pStyle w:val="TableBody"/>
            </w:pPr>
            <w:r w:rsidRPr="00894737">
              <w:t xml:space="preserve">The </w:t>
            </w:r>
            <w:r w:rsidR="005C4E10" w:rsidRPr="00894737">
              <w:t xml:space="preserve">lag in CGC assessments </w:t>
            </w:r>
            <w:r w:rsidR="00E65B1E" w:rsidRPr="00894737">
              <w:t xml:space="preserve">means that any </w:t>
            </w:r>
            <w:r w:rsidR="00843FA3" w:rsidRPr="00894737">
              <w:t xml:space="preserve">exacerbating/smoothing effect GST revenue </w:t>
            </w:r>
            <w:r w:rsidR="002B7A9B" w:rsidRPr="00894737">
              <w:t>would have had</w:t>
            </w:r>
            <w:r w:rsidR="007276DA" w:rsidRPr="00894737">
              <w:t xml:space="preserve"> on total revenue volatility is </w:t>
            </w:r>
            <w:r w:rsidR="00B47D6E" w:rsidRPr="00894737">
              <w:t>not structural</w:t>
            </w:r>
            <w:r w:rsidR="00E905A3" w:rsidRPr="00894737">
              <w:t>: unanticipated</w:t>
            </w:r>
            <w:r w:rsidR="005B5028" w:rsidRPr="00894737">
              <w:t xml:space="preserve"> revenue </w:t>
            </w:r>
            <w:r w:rsidR="00E905A3" w:rsidRPr="00894737">
              <w:t xml:space="preserve">changes </w:t>
            </w:r>
            <w:r w:rsidR="00E40355" w:rsidRPr="00894737">
              <w:t>to other revenue heads</w:t>
            </w:r>
            <w:r w:rsidR="00E905A3" w:rsidRPr="00894737">
              <w:t xml:space="preserve"> do</w:t>
            </w:r>
            <w:r w:rsidR="00681FAA" w:rsidRPr="00894737">
              <w:t xml:space="preserve"> not </w:t>
            </w:r>
            <w:r w:rsidR="00E905A3" w:rsidRPr="00894737">
              <w:t>influence</w:t>
            </w:r>
            <w:r w:rsidR="008A6D1B" w:rsidRPr="00894737">
              <w:t xml:space="preserve"> the</w:t>
            </w:r>
            <w:r w:rsidR="00E905A3" w:rsidRPr="00894737">
              <w:t xml:space="preserve"> GST distribution in</w:t>
            </w:r>
            <w:r w:rsidR="00102FC0" w:rsidRPr="00894737">
              <w:t xml:space="preserve"> the </w:t>
            </w:r>
            <w:r w:rsidR="00E905A3" w:rsidRPr="00894737">
              <w:t>same year</w:t>
            </w:r>
            <w:r w:rsidR="00134D4E" w:rsidRPr="00894737">
              <w:t>.</w:t>
            </w:r>
          </w:p>
        </w:tc>
        <w:tc>
          <w:tcPr>
            <w:tcW w:w="2573" w:type="pct"/>
            <w:tcBorders>
              <w:bottom w:val="nil"/>
            </w:tcBorders>
            <w:shd w:val="clear" w:color="000000" w:fill="E6E6E6"/>
            <w:tcMar>
              <w:top w:w="57" w:type="dxa"/>
              <w:left w:w="57" w:type="dxa"/>
              <w:bottom w:w="57" w:type="dxa"/>
              <w:right w:w="85" w:type="dxa"/>
            </w:tcMar>
          </w:tcPr>
          <w:p w14:paraId="1D801C17" w14:textId="2FDF6406" w:rsidR="00C44EF7" w:rsidRPr="00C44EF7" w:rsidRDefault="00E40355" w:rsidP="00894737">
            <w:pPr>
              <w:pStyle w:val="TableBody"/>
              <w:rPr>
                <w:color w:val="000000"/>
              </w:rPr>
            </w:pPr>
            <w:r>
              <w:rPr>
                <w:color w:val="000000"/>
              </w:rPr>
              <w:t>Assessments of what total</w:t>
            </w:r>
            <w:r w:rsidR="00E905A3" w:rsidRPr="00E905A3">
              <w:rPr>
                <w:color w:val="000000"/>
              </w:rPr>
              <w:t xml:space="preserve"> revenue volatility under different GST distribution systems </w:t>
            </w:r>
            <w:r w:rsidR="007B6C04">
              <w:rPr>
                <w:color w:val="000000"/>
              </w:rPr>
              <w:t>would</w:t>
            </w:r>
            <w:r w:rsidR="00E905A3" w:rsidRPr="00E905A3">
              <w:rPr>
                <w:color w:val="000000"/>
              </w:rPr>
              <w:t xml:space="preserve"> </w:t>
            </w:r>
            <w:r>
              <w:rPr>
                <w:color w:val="000000"/>
              </w:rPr>
              <w:t xml:space="preserve">have been </w:t>
            </w:r>
            <w:r w:rsidR="00BA7192">
              <w:rPr>
                <w:color w:val="000000"/>
              </w:rPr>
              <w:t>are</w:t>
            </w:r>
            <w:r w:rsidR="007B6C04">
              <w:rPr>
                <w:color w:val="000000"/>
              </w:rPr>
              <w:t xml:space="preserve"> </w:t>
            </w:r>
            <w:r w:rsidR="00E905A3" w:rsidRPr="00E905A3">
              <w:rPr>
                <w:color w:val="000000"/>
              </w:rPr>
              <w:t xml:space="preserve">not a reliable measure of the certainty provided by a </w:t>
            </w:r>
            <w:r>
              <w:rPr>
                <w:color w:val="000000"/>
              </w:rPr>
              <w:t>particular GST</w:t>
            </w:r>
            <w:r w:rsidR="00E905A3" w:rsidRPr="00E905A3">
              <w:rPr>
                <w:color w:val="000000"/>
              </w:rPr>
              <w:t xml:space="preserve"> distribution system.</w:t>
            </w:r>
          </w:p>
        </w:tc>
      </w:tr>
      <w:tr w:rsidR="00D31633" w:rsidRPr="00D31633" w14:paraId="7AA4116D" w14:textId="77777777" w:rsidTr="00D31633">
        <w:tc>
          <w:tcPr>
            <w:tcW w:w="2427" w:type="pct"/>
            <w:tcBorders>
              <w:top w:val="nil"/>
            </w:tcBorders>
            <w:shd w:val="clear" w:color="000000" w:fill="auto"/>
            <w:tcMar>
              <w:top w:w="57" w:type="dxa"/>
              <w:left w:w="57" w:type="dxa"/>
              <w:bottom w:w="57" w:type="dxa"/>
              <w:right w:w="85" w:type="dxa"/>
            </w:tcMar>
          </w:tcPr>
          <w:p w14:paraId="386D0D8B" w14:textId="7391D87F" w:rsidR="00D31633" w:rsidRPr="00894737" w:rsidRDefault="00DB12D7" w:rsidP="00894737">
            <w:pPr>
              <w:pStyle w:val="TableBody"/>
            </w:pPr>
            <w:r w:rsidRPr="00894737">
              <w:t>The fiscal uncertainty created by a particular GST distribution</w:t>
            </w:r>
            <w:r w:rsidR="00A2317D" w:rsidRPr="00894737">
              <w:t xml:space="preserve"> system</w:t>
            </w:r>
            <w:r w:rsidRPr="00894737">
              <w:t xml:space="preserve"> is </w:t>
            </w:r>
            <w:r w:rsidR="00623F51" w:rsidRPr="00894737">
              <w:t>be</w:t>
            </w:r>
            <w:r w:rsidR="004452BE" w:rsidRPr="00894737">
              <w:t>tter</w:t>
            </w:r>
            <w:r w:rsidR="00623F51" w:rsidRPr="00894737">
              <w:t xml:space="preserve"> </w:t>
            </w:r>
            <w:r w:rsidR="00B90933" w:rsidRPr="00894737">
              <w:t>measured by year-on-year volatility</w:t>
            </w:r>
            <w:r w:rsidR="002F1880" w:rsidRPr="00894737">
              <w:t xml:space="preserve"> in </w:t>
            </w:r>
            <w:r w:rsidR="00C913CF" w:rsidRPr="00894737">
              <w:t xml:space="preserve">adjusted </w:t>
            </w:r>
            <w:r w:rsidR="002F1880" w:rsidRPr="00894737">
              <w:t>GST revenue</w:t>
            </w:r>
            <w:r w:rsidR="00AE4475" w:rsidRPr="00894737">
              <w:t xml:space="preserve"> </w:t>
            </w:r>
            <w:r w:rsidR="00950902" w:rsidRPr="00894737">
              <w:t xml:space="preserve">compared to </w:t>
            </w:r>
            <w:r w:rsidR="004452BE" w:rsidRPr="00894737">
              <w:t>other measures (such as standard deviation</w:t>
            </w:r>
            <w:r w:rsidR="001F52DB" w:rsidRPr="00894737">
              <w:t xml:space="preserve"> of adjusted GST revenues</w:t>
            </w:r>
            <w:r w:rsidR="004452BE" w:rsidRPr="00894737">
              <w:t>)</w:t>
            </w:r>
            <w:r w:rsidR="00623F51" w:rsidRPr="00894737">
              <w:t>.</w:t>
            </w:r>
          </w:p>
        </w:tc>
        <w:tc>
          <w:tcPr>
            <w:tcW w:w="2573" w:type="pct"/>
            <w:tcBorders>
              <w:top w:val="nil"/>
            </w:tcBorders>
            <w:shd w:val="clear" w:color="000000" w:fill="auto"/>
            <w:tcMar>
              <w:top w:w="57" w:type="dxa"/>
              <w:left w:w="57" w:type="dxa"/>
              <w:bottom w:w="57" w:type="dxa"/>
              <w:right w:w="85" w:type="dxa"/>
            </w:tcMar>
          </w:tcPr>
          <w:p w14:paraId="4AAD6FBA" w14:textId="11CBDA00" w:rsidR="00D31633" w:rsidRPr="00475434" w:rsidRDefault="007B6326" w:rsidP="00894737">
            <w:pPr>
              <w:pStyle w:val="TableBody"/>
              <w:rPr>
                <w:color w:val="000000"/>
                <w:spacing w:val="-4"/>
              </w:rPr>
            </w:pPr>
            <w:r w:rsidRPr="00475434">
              <w:rPr>
                <w:color w:val="000000"/>
                <w:spacing w:val="-4"/>
              </w:rPr>
              <w:t xml:space="preserve">Adjusted </w:t>
            </w:r>
            <w:r w:rsidR="005447E4" w:rsidRPr="00475434">
              <w:rPr>
                <w:color w:val="000000"/>
                <w:spacing w:val="-4"/>
              </w:rPr>
              <w:t>GST revenues which fluctuate mor</w:t>
            </w:r>
            <w:r w:rsidR="00334AC1" w:rsidRPr="00475434">
              <w:rPr>
                <w:color w:val="000000"/>
                <w:spacing w:val="-4"/>
              </w:rPr>
              <w:t xml:space="preserve">e </w:t>
            </w:r>
            <w:r w:rsidR="009D5452" w:rsidRPr="00475434">
              <w:rPr>
                <w:color w:val="000000"/>
                <w:spacing w:val="-4"/>
              </w:rPr>
              <w:t xml:space="preserve">from year-to-year are assessed as more </w:t>
            </w:r>
            <w:r w:rsidR="00EB2334" w:rsidRPr="00475434">
              <w:rPr>
                <w:color w:val="000000"/>
                <w:spacing w:val="-4"/>
              </w:rPr>
              <w:t xml:space="preserve">uncertain than </w:t>
            </w:r>
            <w:r w:rsidRPr="00475434">
              <w:rPr>
                <w:color w:val="000000"/>
                <w:spacing w:val="-4"/>
              </w:rPr>
              <w:t>adjusted</w:t>
            </w:r>
            <w:r w:rsidR="00EB2334" w:rsidRPr="00475434">
              <w:rPr>
                <w:color w:val="000000"/>
                <w:spacing w:val="-4"/>
              </w:rPr>
              <w:t xml:space="preserve"> GST revenues which follow a consistent trend</w:t>
            </w:r>
            <w:r w:rsidR="00887EAD" w:rsidRPr="00475434">
              <w:rPr>
                <w:color w:val="000000"/>
                <w:spacing w:val="-4"/>
              </w:rPr>
              <w:t xml:space="preserve"> through time</w:t>
            </w:r>
            <w:r w:rsidR="00EB2334" w:rsidRPr="00475434">
              <w:rPr>
                <w:color w:val="000000"/>
                <w:spacing w:val="-4"/>
              </w:rPr>
              <w:t>.</w:t>
            </w:r>
          </w:p>
        </w:tc>
      </w:tr>
    </w:tbl>
    <w:p w14:paraId="469C4E84" w14:textId="2FC4F2C5" w:rsidR="00BA4D21" w:rsidRDefault="00BA4D21" w:rsidP="004D2B52"/>
    <w:p w14:paraId="24D09F91" w14:textId="77777777" w:rsidR="004D7483" w:rsidRDefault="004D7483">
      <w:pPr>
        <w:spacing w:before="0" w:after="160" w:line="259" w:lineRule="auto"/>
      </w:pPr>
      <w:r>
        <w:br w:type="page"/>
      </w:r>
    </w:p>
    <w:p w14:paraId="6B1D95B6" w14:textId="7BAD5C69" w:rsidR="00807DF8" w:rsidRDefault="00E42A68" w:rsidP="00B14074">
      <w:pPr>
        <w:pStyle w:val="Heading2-Appendix"/>
      </w:pPr>
      <w:bookmarkStart w:id="11" w:name="_Ref237438488"/>
      <w:r>
        <w:lastRenderedPageBreak/>
        <w:t>Reform</w:t>
      </w:r>
      <w:r w:rsidR="00807DF8">
        <w:t xml:space="preserve"> </w:t>
      </w:r>
      <w:r w:rsidR="00A87B5C">
        <w:t>c</w:t>
      </w:r>
      <w:r w:rsidR="00807DF8">
        <w:t>ameos</w:t>
      </w:r>
      <w:bookmarkEnd w:id="11"/>
      <w:r w:rsidR="00807DF8">
        <w:t xml:space="preserve"> </w:t>
      </w:r>
    </w:p>
    <w:p w14:paraId="69055E07" w14:textId="77777777" w:rsidR="00807DF8" w:rsidRDefault="00807DF8" w:rsidP="00807DF8">
      <w:pPr>
        <w:pStyle w:val="Heading3-noTOC"/>
      </w:pPr>
      <w:r>
        <w:t>Purpose</w:t>
      </w:r>
    </w:p>
    <w:tbl>
      <w:tblPr>
        <w:tblW w:w="0" w:type="auto"/>
        <w:tblBorders>
          <w:top w:val="single" w:sz="4" w:space="0" w:color="BFBFBF" w:themeColor="background1" w:themeShade="BF"/>
          <w:bottom w:val="single" w:sz="8" w:space="0" w:color="B3B3B3"/>
          <w:insideH w:val="single" w:sz="8" w:space="0" w:color="B3B3B3"/>
        </w:tblBorders>
        <w:tblCellMar>
          <w:left w:w="0" w:type="dxa"/>
          <w:right w:w="0" w:type="dxa"/>
        </w:tblCellMar>
        <w:tblLook w:val="04A0" w:firstRow="1" w:lastRow="0" w:firstColumn="1" w:lastColumn="0" w:noHBand="0" w:noVBand="1"/>
      </w:tblPr>
      <w:tblGrid>
        <w:gridCol w:w="1501"/>
        <w:gridCol w:w="8137"/>
      </w:tblGrid>
      <w:tr w:rsidR="00807DF8" w14:paraId="71E5E0F2" w14:textId="77777777" w:rsidTr="003B0C0D">
        <w:tc>
          <w:tcPr>
            <w:tcW w:w="0" w:type="auto"/>
            <w:tcMar>
              <w:top w:w="57" w:type="dxa"/>
              <w:left w:w="57" w:type="dxa"/>
              <w:bottom w:w="57" w:type="dxa"/>
              <w:right w:w="85" w:type="dxa"/>
            </w:tcMar>
            <w:hideMark/>
          </w:tcPr>
          <w:p w14:paraId="0DF51693" w14:textId="654F9ED0" w:rsidR="00807DF8" w:rsidRDefault="00807DF8">
            <w:pPr>
              <w:pStyle w:val="TableHeading"/>
              <w:rPr>
                <w:kern w:val="2"/>
                <w:szCs w:val="18"/>
                <w:lang w:eastAsia="zh-CN" w:bidi="th-TH"/>
                <w14:ligatures w14:val="standardContextual"/>
              </w:rPr>
            </w:pPr>
            <w:r>
              <w:t xml:space="preserve">Question </w:t>
            </w:r>
            <w:r w:rsidR="004D7483">
              <w:t>addressed</w:t>
            </w:r>
          </w:p>
        </w:tc>
        <w:tc>
          <w:tcPr>
            <w:tcW w:w="0" w:type="auto"/>
            <w:tcMar>
              <w:top w:w="57" w:type="dxa"/>
              <w:left w:w="57" w:type="dxa"/>
              <w:bottom w:w="57" w:type="dxa"/>
              <w:right w:w="85" w:type="dxa"/>
            </w:tcMar>
            <w:hideMark/>
          </w:tcPr>
          <w:p w14:paraId="0E6FCBB0" w14:textId="197F8DFE" w:rsidR="00807DF8" w:rsidRDefault="00360B72">
            <w:pPr>
              <w:pStyle w:val="TableBody"/>
            </w:pPr>
            <w:r w:rsidRPr="00360B72">
              <w:t>How does the GST distribution system affect states’ incentives to undertake tax reform, and how do those effects differ under the pre-2018 system, the current system, and the current system including No Worse Off (</w:t>
            </w:r>
            <w:proofErr w:type="spellStart"/>
            <w:r w:rsidRPr="00360B72">
              <w:t>NoWO</w:t>
            </w:r>
            <w:proofErr w:type="spellEnd"/>
            <w:r w:rsidRPr="00360B72">
              <w:t>) payments?</w:t>
            </w:r>
          </w:p>
        </w:tc>
      </w:tr>
      <w:tr w:rsidR="00807DF8" w14:paraId="013FEF03" w14:textId="77777777" w:rsidTr="003B0C0D">
        <w:tc>
          <w:tcPr>
            <w:tcW w:w="0" w:type="auto"/>
            <w:tcMar>
              <w:top w:w="57" w:type="dxa"/>
              <w:left w:w="57" w:type="dxa"/>
              <w:bottom w:w="57" w:type="dxa"/>
              <w:right w:w="85" w:type="dxa"/>
            </w:tcMar>
            <w:hideMark/>
          </w:tcPr>
          <w:p w14:paraId="1AF3A518" w14:textId="77777777" w:rsidR="00807DF8" w:rsidRDefault="00807DF8">
            <w:pPr>
              <w:pStyle w:val="TableHeading"/>
            </w:pPr>
            <w:r>
              <w:t>Scope</w:t>
            </w:r>
          </w:p>
        </w:tc>
        <w:tc>
          <w:tcPr>
            <w:tcW w:w="0" w:type="auto"/>
            <w:tcMar>
              <w:top w:w="57" w:type="dxa"/>
              <w:left w:w="57" w:type="dxa"/>
              <w:bottom w:w="57" w:type="dxa"/>
              <w:right w:w="85" w:type="dxa"/>
            </w:tcMar>
          </w:tcPr>
          <w:p w14:paraId="101142E4" w14:textId="268CF006" w:rsidR="00807DF8" w:rsidRPr="00511A2F" w:rsidRDefault="00713AE5">
            <w:pPr>
              <w:pStyle w:val="TableBody"/>
            </w:pPr>
            <w:r w:rsidRPr="00511A2F">
              <w:t>Mechanical/static modelling of the GST-distribution consequences of state tax reforms, including rate effects and, where explicitly modelled, tax-base/behavioural effects. The analysis isolates GST-related payment effects rather than evaluating the reforms as a whole</w:t>
            </w:r>
          </w:p>
        </w:tc>
      </w:tr>
      <w:tr w:rsidR="00807DF8" w14:paraId="30536D5F" w14:textId="77777777" w:rsidTr="003B0C0D">
        <w:tc>
          <w:tcPr>
            <w:tcW w:w="0" w:type="auto"/>
            <w:tcMar>
              <w:top w:w="57" w:type="dxa"/>
              <w:left w:w="57" w:type="dxa"/>
              <w:bottom w:w="57" w:type="dxa"/>
              <w:right w:w="85" w:type="dxa"/>
            </w:tcMar>
            <w:hideMark/>
          </w:tcPr>
          <w:p w14:paraId="0CC0F2D3" w14:textId="77777777" w:rsidR="00807DF8" w:rsidRDefault="00807DF8">
            <w:pPr>
              <w:pStyle w:val="TableHeading"/>
            </w:pPr>
            <w:r>
              <w:t>Use in report</w:t>
            </w:r>
          </w:p>
        </w:tc>
        <w:tc>
          <w:tcPr>
            <w:tcW w:w="0" w:type="auto"/>
            <w:tcMar>
              <w:top w:w="57" w:type="dxa"/>
              <w:left w:w="57" w:type="dxa"/>
              <w:bottom w:w="57" w:type="dxa"/>
              <w:right w:w="85" w:type="dxa"/>
            </w:tcMar>
            <w:hideMark/>
          </w:tcPr>
          <w:p w14:paraId="15065E11" w14:textId="4BB98023" w:rsidR="00807DF8" w:rsidRDefault="00AA58D2">
            <w:pPr>
              <w:pStyle w:val="TableBody"/>
            </w:pPr>
            <w:r>
              <w:t>F</w:t>
            </w:r>
            <w:r w:rsidR="00807DF8" w:rsidRPr="00E763C2">
              <w:t>igure</w:t>
            </w:r>
            <w:r w:rsidR="00561B67" w:rsidRPr="00E763C2">
              <w:t xml:space="preserve"> 3.</w:t>
            </w:r>
            <w:r w:rsidR="00F56EE9">
              <w:t>4</w:t>
            </w:r>
            <w:r w:rsidR="003E54CC">
              <w:t>, figure 3.5</w:t>
            </w:r>
          </w:p>
        </w:tc>
      </w:tr>
    </w:tbl>
    <w:p w14:paraId="0B979C06" w14:textId="77777777" w:rsidR="00807DF8" w:rsidRDefault="00807DF8" w:rsidP="00807DF8">
      <w:pPr>
        <w:pStyle w:val="Heading3-noTOC"/>
      </w:pPr>
      <w:r>
        <w:t>Method</w:t>
      </w:r>
    </w:p>
    <w:p w14:paraId="70C6D83A" w14:textId="7190D7E0" w:rsidR="00340E98" w:rsidRPr="003B0C0D" w:rsidRDefault="00541093" w:rsidP="00C92545">
      <w:pPr>
        <w:pStyle w:val="BodyText"/>
        <w:rPr>
          <w:spacing w:val="-2"/>
        </w:rPr>
      </w:pPr>
      <w:r w:rsidRPr="003B0C0D">
        <w:rPr>
          <w:spacing w:val="-2"/>
        </w:rPr>
        <w:t xml:space="preserve">This modelling </w:t>
      </w:r>
      <w:r w:rsidR="00777A89" w:rsidRPr="003B0C0D">
        <w:rPr>
          <w:spacing w:val="-2"/>
        </w:rPr>
        <w:t xml:space="preserve">builds </w:t>
      </w:r>
      <w:r w:rsidR="001A4D44" w:rsidRPr="003B0C0D">
        <w:rPr>
          <w:spacing w:val="-2"/>
        </w:rPr>
        <w:t>on the PC GST model in</w:t>
      </w:r>
      <w:r w:rsidR="002457DD" w:rsidRPr="003B0C0D">
        <w:rPr>
          <w:spacing w:val="-2"/>
        </w:rPr>
        <w:t xml:space="preserve"> section</w:t>
      </w:r>
      <w:r w:rsidR="001A4D44" w:rsidRPr="003B0C0D">
        <w:rPr>
          <w:spacing w:val="-2"/>
        </w:rPr>
        <w:t xml:space="preserve"> </w:t>
      </w:r>
      <w:r w:rsidR="001A4D44" w:rsidRPr="003B0C0D">
        <w:rPr>
          <w:spacing w:val="-2"/>
        </w:rPr>
        <w:fldChar w:fldCharType="begin"/>
      </w:r>
      <w:r w:rsidR="001A4D44" w:rsidRPr="003B0C0D">
        <w:rPr>
          <w:spacing w:val="-2"/>
        </w:rPr>
        <w:instrText xml:space="preserve"> REF _Ref237342376 \r \h </w:instrText>
      </w:r>
      <w:r w:rsidR="00C92545" w:rsidRPr="003B0C0D">
        <w:rPr>
          <w:spacing w:val="-2"/>
        </w:rPr>
        <w:instrText xml:space="preserve"> \* MERGEFORMAT </w:instrText>
      </w:r>
      <w:r w:rsidR="001A4D44" w:rsidRPr="003B0C0D">
        <w:rPr>
          <w:spacing w:val="-2"/>
        </w:rPr>
      </w:r>
      <w:r w:rsidR="001A4D44" w:rsidRPr="003B0C0D">
        <w:rPr>
          <w:spacing w:val="-2"/>
        </w:rPr>
        <w:fldChar w:fldCharType="separate"/>
      </w:r>
      <w:r w:rsidR="002D76C4">
        <w:rPr>
          <w:spacing w:val="-2"/>
        </w:rPr>
        <w:t>C.3</w:t>
      </w:r>
      <w:r w:rsidR="001A4D44" w:rsidRPr="003B0C0D">
        <w:rPr>
          <w:spacing w:val="-2"/>
        </w:rPr>
        <w:fldChar w:fldCharType="end"/>
      </w:r>
      <w:r w:rsidR="008B19B7" w:rsidRPr="003B0C0D">
        <w:rPr>
          <w:spacing w:val="-2"/>
        </w:rPr>
        <w:t>,</w:t>
      </w:r>
      <w:r w:rsidR="00777A89" w:rsidRPr="003B0C0D">
        <w:rPr>
          <w:spacing w:val="-2"/>
        </w:rPr>
        <w:t xml:space="preserve"> introducing </w:t>
      </w:r>
      <w:r w:rsidR="009A77B5" w:rsidRPr="003B0C0D">
        <w:rPr>
          <w:spacing w:val="-2"/>
        </w:rPr>
        <w:t>reform scenarios that alter specified revenue, expenditure or distribution settings while other assessment inputs are held constant.</w:t>
      </w:r>
      <w:r w:rsidR="00340E98" w:rsidRPr="003B0C0D">
        <w:rPr>
          <w:spacing w:val="-2"/>
        </w:rPr>
        <w:t xml:space="preserve"> Where relevant, an explicit elasticity is applied to capture behavioural changes in the tax base. </w:t>
      </w:r>
    </w:p>
    <w:p w14:paraId="6B52E402" w14:textId="39F8120F" w:rsidR="001A4D44" w:rsidRDefault="00340E98" w:rsidP="00C92545">
      <w:pPr>
        <w:pStyle w:val="BodyText"/>
      </w:pPr>
      <w:r w:rsidRPr="00340E98">
        <w:t xml:space="preserve">Results are static comparative estimates based on </w:t>
      </w:r>
      <w:r w:rsidR="00B41D17">
        <w:t>2024–25</w:t>
      </w:r>
      <w:r w:rsidRPr="00340E98">
        <w:t xml:space="preserve"> assessment data and are reported as mature effects after the reform has entered all three assessment years; they are not forecasts. The CGC reviewed key calculations and provided technical feedback</w:t>
      </w:r>
    </w:p>
    <w:p w14:paraId="7C6E7D97" w14:textId="29AD1F84" w:rsidR="00E763C2" w:rsidRDefault="00E763C2" w:rsidP="00E763C2">
      <w:pPr>
        <w:pStyle w:val="FigureTableHeading"/>
      </w:pPr>
      <w:r>
        <w:t>Table C.</w:t>
      </w:r>
      <w:fldSimple w:instr=" SEQ Table \* ARABIC \s 1 ">
        <w:r w:rsidR="002D76C4">
          <w:rPr>
            <w:noProof/>
          </w:rPr>
          <w:t>23</w:t>
        </w:r>
      </w:fldSimple>
      <w:r>
        <w:rPr>
          <w:noProof/>
        </w:rPr>
        <w:t xml:space="preserve"> – </w:t>
      </w:r>
      <w:r>
        <w:t>Reform cameos</w:t>
      </w:r>
      <w:r w:rsidR="0057760C">
        <w:t xml:space="preserve"> modelling steps</w:t>
      </w:r>
    </w:p>
    <w:tbl>
      <w:tblPr>
        <w:tblStyle w:val="ProductivityCommissionTable2-Dark"/>
        <w:tblW w:w="0" w:type="auto"/>
        <w:tblBorders>
          <w:insideH w:val="none" w:sz="0" w:space="0" w:color="auto"/>
        </w:tblBorders>
        <w:shd w:val="clear" w:color="000000" w:fill="auto"/>
        <w:tblCellMar>
          <w:top w:w="0" w:type="dxa"/>
          <w:left w:w="0" w:type="dxa"/>
          <w:bottom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282"/>
        <w:gridCol w:w="9356"/>
      </w:tblGrid>
      <w:tr w:rsidR="00807DF8" w:rsidRPr="00AD71D5" w14:paraId="78DE9FF8" w14:textId="77777777" w:rsidTr="004D7D5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B3B3B3"/>
            </w:tcBorders>
            <w:shd w:val="clear" w:color="000000" w:fill="auto"/>
            <w:vAlign w:val="bottom"/>
          </w:tcPr>
          <w:p w14:paraId="5F91F4BF" w14:textId="77777777" w:rsidR="00807DF8" w:rsidRPr="00AD71D5" w:rsidRDefault="00807DF8" w:rsidP="00AD71D5">
            <w:pPr>
              <w:pStyle w:val="TableHeading"/>
              <w:rPr>
                <w:b/>
              </w:rPr>
            </w:pPr>
            <w:r w:rsidRPr="00AD71D5">
              <w:rPr>
                <w:b/>
              </w:rPr>
              <w:t>#</w:t>
            </w:r>
          </w:p>
        </w:tc>
        <w:tc>
          <w:tcPr>
            <w:tcW w:w="0" w:type="auto"/>
            <w:tcBorders>
              <w:bottom w:val="single" w:sz="4" w:space="0" w:color="B3B3B3"/>
            </w:tcBorders>
            <w:shd w:val="clear" w:color="000000" w:fill="auto"/>
            <w:vAlign w:val="bottom"/>
          </w:tcPr>
          <w:p w14:paraId="7D67240A" w14:textId="77777777" w:rsidR="00807DF8" w:rsidRPr="00AD71D5" w:rsidRDefault="00807DF8" w:rsidP="00AD71D5">
            <w:pPr>
              <w:pStyle w:val="TableHeading"/>
              <w:cnfStyle w:val="100000000000" w:firstRow="1" w:lastRow="0" w:firstColumn="0" w:lastColumn="0" w:oddVBand="0" w:evenVBand="0" w:oddHBand="0" w:evenHBand="0" w:firstRowFirstColumn="0" w:firstRowLastColumn="0" w:lastRowFirstColumn="0" w:lastRowLastColumn="0"/>
              <w:rPr>
                <w:b/>
                <w:bCs/>
              </w:rPr>
            </w:pPr>
            <w:r w:rsidRPr="00AD71D5">
              <w:rPr>
                <w:b/>
                <w:bCs/>
              </w:rPr>
              <w:t>Step</w:t>
            </w:r>
          </w:p>
        </w:tc>
      </w:tr>
      <w:tr w:rsidR="00807DF8" w:rsidRPr="00AE4D7A" w14:paraId="7BFB5963" w14:textId="77777777" w:rsidTr="004D7D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3B3B3"/>
              <w:bottom w:val="nil"/>
            </w:tcBorders>
            <w:shd w:val="clear" w:color="000000" w:fill="E6E6E6"/>
            <w:hideMark/>
          </w:tcPr>
          <w:p w14:paraId="0FABF58B" w14:textId="77777777" w:rsidR="00807DF8" w:rsidRPr="00AD71D5" w:rsidRDefault="00807DF8" w:rsidP="00AD71D5">
            <w:pPr>
              <w:pStyle w:val="TableHeading"/>
              <w:rPr>
                <w:rFonts w:cs="Open Sans"/>
                <w:b/>
                <w:color w:val="1D4374"/>
                <w:lang w:eastAsia="zh-CN" w:bidi="th-TH"/>
              </w:rPr>
            </w:pPr>
            <w:r w:rsidRPr="00AD71D5">
              <w:rPr>
                <w:rFonts w:cs="Open Sans"/>
                <w:b/>
                <w:color w:val="1D4374"/>
                <w:lang w:eastAsia="zh-CN" w:bidi="th-TH"/>
              </w:rPr>
              <w:t>1</w:t>
            </w:r>
          </w:p>
        </w:tc>
        <w:tc>
          <w:tcPr>
            <w:tcW w:w="0" w:type="auto"/>
            <w:tcBorders>
              <w:top w:val="single" w:sz="4" w:space="0" w:color="B3B3B3"/>
              <w:bottom w:val="nil"/>
            </w:tcBorders>
            <w:shd w:val="clear" w:color="000000" w:fill="E6E6E6"/>
            <w:hideMark/>
          </w:tcPr>
          <w:p w14:paraId="52F78021" w14:textId="5534BF15" w:rsidR="00807DF8" w:rsidRPr="00AE4D7A" w:rsidRDefault="004114C0" w:rsidP="00AE4D7A">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AE4D7A">
              <w:rPr>
                <w:rFonts w:cs="Open Sans"/>
                <w:b/>
                <w:color w:val="000000"/>
              </w:rPr>
              <w:t>Define the reform scenario.</w:t>
            </w:r>
            <w:r w:rsidRPr="00AE4D7A">
              <w:rPr>
                <w:rFonts w:cs="Open Sans"/>
                <w:color w:val="000000"/>
              </w:rPr>
              <w:t xml:space="preserve"> Specify the tax policy change to be modelled and whether it is undertaken unilaterally by one state or multilaterally by all states. For the cameos, the reforms are either 100% abolition of insurance taxes or 100% abolition of conveyance duty with replacement by a broad land tax</w:t>
            </w:r>
          </w:p>
        </w:tc>
      </w:tr>
      <w:tr w:rsidR="00807DF8" w:rsidRPr="00AE4D7A" w14:paraId="5A06EB63" w14:textId="77777777" w:rsidTr="004D7D53">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000000" w:fill="auto"/>
          </w:tcPr>
          <w:p w14:paraId="74A11E47" w14:textId="77777777" w:rsidR="00807DF8" w:rsidRPr="00AD71D5" w:rsidRDefault="00807DF8" w:rsidP="00AD71D5">
            <w:pPr>
              <w:pStyle w:val="TableHeading"/>
              <w:rPr>
                <w:rFonts w:cs="Open Sans"/>
                <w:b/>
                <w:color w:val="1D4374"/>
              </w:rPr>
            </w:pPr>
            <w:r w:rsidRPr="00AD71D5">
              <w:rPr>
                <w:rFonts w:cs="Open Sans"/>
                <w:b/>
                <w:color w:val="1D4374"/>
              </w:rPr>
              <w:t>2</w:t>
            </w:r>
          </w:p>
        </w:tc>
        <w:tc>
          <w:tcPr>
            <w:tcW w:w="0" w:type="auto"/>
            <w:tcBorders>
              <w:top w:val="nil"/>
              <w:bottom w:val="nil"/>
            </w:tcBorders>
            <w:shd w:val="clear" w:color="000000" w:fill="auto"/>
          </w:tcPr>
          <w:p w14:paraId="6413789C" w14:textId="02508EAB" w:rsidR="00807DF8" w:rsidRPr="00AE4D7A" w:rsidRDefault="00BB44C3" w:rsidP="00AE4D7A">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AE4D7A">
              <w:rPr>
                <w:rFonts w:cs="Open Sans"/>
                <w:b/>
                <w:color w:val="000000"/>
              </w:rPr>
              <w:t xml:space="preserve">Identify the affected assessed revenue base. </w:t>
            </w:r>
            <w:r w:rsidRPr="00AE4D7A">
              <w:rPr>
                <w:rFonts w:cs="Open Sans"/>
                <w:color w:val="000000"/>
              </w:rPr>
              <w:t xml:space="preserve">Map the reform to the relevant CGC tax base. For insurance tax, use the </w:t>
            </w:r>
            <w:r w:rsidR="00B41D17">
              <w:rPr>
                <w:rFonts w:cs="Open Sans"/>
                <w:color w:val="000000"/>
              </w:rPr>
              <w:t>2024–25</w:t>
            </w:r>
            <w:r w:rsidRPr="00AE4D7A">
              <w:rPr>
                <w:rFonts w:cs="Open Sans"/>
                <w:color w:val="000000"/>
              </w:rPr>
              <w:t xml:space="preserve"> assessed insurance-tax base; for the stamp-duty reform, use the </w:t>
            </w:r>
            <w:r w:rsidR="00B41D17">
              <w:rPr>
                <w:rFonts w:cs="Open Sans"/>
                <w:color w:val="000000"/>
              </w:rPr>
              <w:t>2024–25</w:t>
            </w:r>
            <w:r w:rsidRPr="00AE4D7A">
              <w:rPr>
                <w:rFonts w:cs="Open Sans"/>
                <w:color w:val="000000"/>
              </w:rPr>
              <w:t xml:space="preserve"> conveyance-duty base and proxy the broad land-tax base using ABS total land values.</w:t>
            </w:r>
          </w:p>
        </w:tc>
      </w:tr>
      <w:tr w:rsidR="00807DF8" w:rsidRPr="00AE4D7A" w14:paraId="59B6B37A" w14:textId="77777777" w:rsidTr="004D7D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000000" w:fill="E6E6E6"/>
          </w:tcPr>
          <w:p w14:paraId="56811253" w14:textId="77777777" w:rsidR="00807DF8" w:rsidRPr="00AD71D5" w:rsidRDefault="00807DF8" w:rsidP="00AD71D5">
            <w:pPr>
              <w:pStyle w:val="TableHeading"/>
              <w:rPr>
                <w:rFonts w:cs="Open Sans"/>
                <w:b/>
                <w:color w:val="1D4374"/>
              </w:rPr>
            </w:pPr>
            <w:r w:rsidRPr="00AD71D5">
              <w:rPr>
                <w:rFonts w:cs="Open Sans"/>
                <w:b/>
                <w:color w:val="1D4374"/>
              </w:rPr>
              <w:t>3</w:t>
            </w:r>
          </w:p>
        </w:tc>
        <w:tc>
          <w:tcPr>
            <w:tcW w:w="0" w:type="auto"/>
            <w:tcBorders>
              <w:bottom w:val="nil"/>
            </w:tcBorders>
            <w:shd w:val="clear" w:color="000000" w:fill="E6E6E6"/>
          </w:tcPr>
          <w:p w14:paraId="30A8E06E" w14:textId="5110EC49" w:rsidR="00807DF8" w:rsidRPr="00AE4D7A" w:rsidRDefault="00357803" w:rsidP="00AE4D7A">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AE4D7A">
              <w:rPr>
                <w:rFonts w:cs="Open Sans"/>
                <w:b/>
                <w:color w:val="000000"/>
              </w:rPr>
              <w:t xml:space="preserve">Calculate the direct policy change on the static base. </w:t>
            </w:r>
            <w:r w:rsidRPr="00AE4D7A">
              <w:rPr>
                <w:rFonts w:cs="Open Sans"/>
                <w:color w:val="000000"/>
              </w:rPr>
              <w:t xml:space="preserve">Apply the reform to the relevant tax rate or revenue item while initially holding the underlying tax base and other assessment inputs constant. For the stamp-duty-to-land-tax cameo, set the replacement broad land tax so that the reform is revenue-neutral on the static base before GST and </w:t>
            </w:r>
            <w:proofErr w:type="spellStart"/>
            <w:r w:rsidRPr="00AE4D7A">
              <w:rPr>
                <w:rFonts w:cs="Open Sans"/>
                <w:color w:val="000000"/>
              </w:rPr>
              <w:t>NoWO</w:t>
            </w:r>
            <w:proofErr w:type="spellEnd"/>
            <w:r w:rsidRPr="00AE4D7A">
              <w:rPr>
                <w:rFonts w:cs="Open Sans"/>
                <w:color w:val="000000"/>
              </w:rPr>
              <w:t xml:space="preserve"> effects</w:t>
            </w:r>
            <w:r w:rsidR="00963C12">
              <w:rPr>
                <w:rFonts w:cs="Open Sans"/>
                <w:color w:val="000000"/>
              </w:rPr>
              <w:t>.</w:t>
            </w:r>
          </w:p>
        </w:tc>
      </w:tr>
      <w:tr w:rsidR="00807DF8" w:rsidRPr="00AE4D7A" w14:paraId="62803A51" w14:textId="77777777" w:rsidTr="004D7D53">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000000" w:fill="auto"/>
          </w:tcPr>
          <w:p w14:paraId="51102F27" w14:textId="77777777" w:rsidR="00807DF8" w:rsidRPr="00AD71D5" w:rsidRDefault="00807DF8" w:rsidP="00AD71D5">
            <w:pPr>
              <w:pStyle w:val="TableHeading"/>
              <w:rPr>
                <w:rFonts w:cs="Open Sans"/>
                <w:b/>
                <w:color w:val="1D4374"/>
              </w:rPr>
            </w:pPr>
            <w:r w:rsidRPr="00AD71D5">
              <w:rPr>
                <w:rFonts w:cs="Open Sans"/>
                <w:b/>
                <w:color w:val="1D4374"/>
              </w:rPr>
              <w:t>4</w:t>
            </w:r>
          </w:p>
        </w:tc>
        <w:tc>
          <w:tcPr>
            <w:tcW w:w="0" w:type="auto"/>
            <w:tcBorders>
              <w:top w:val="nil"/>
              <w:bottom w:val="nil"/>
            </w:tcBorders>
            <w:shd w:val="clear" w:color="000000" w:fill="auto"/>
          </w:tcPr>
          <w:p w14:paraId="74EDD138" w14:textId="16A670B1" w:rsidR="00807DF8" w:rsidRPr="00963C12" w:rsidRDefault="00702AEF" w:rsidP="00AE4D7A">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spacing w:val="-2"/>
              </w:rPr>
            </w:pPr>
            <w:r w:rsidRPr="00963C12">
              <w:rPr>
                <w:rFonts w:cs="Open Sans"/>
                <w:b/>
                <w:color w:val="000000"/>
                <w:spacing w:val="-2"/>
              </w:rPr>
              <w:t xml:space="preserve">Calculate the GST rate effect. </w:t>
            </w:r>
            <w:r w:rsidRPr="00963C12">
              <w:rPr>
                <w:rFonts w:cs="Open Sans"/>
                <w:color w:val="000000"/>
                <w:spacing w:val="-2"/>
              </w:rPr>
              <w:t>Recalculate assessed revenue capacity after the reform changes the national-average policy setting. The effect depends on the reforming state's share of the relevant tax base relative to its population share, and under the current system is subsequently affected by the standard-state benchmark</w:t>
            </w:r>
            <w:r w:rsidR="00963C12" w:rsidRPr="00963C12">
              <w:rPr>
                <w:rFonts w:cs="Open Sans"/>
                <w:color w:val="000000"/>
                <w:spacing w:val="-2"/>
              </w:rPr>
              <w:t>.</w:t>
            </w:r>
          </w:p>
        </w:tc>
      </w:tr>
      <w:tr w:rsidR="00807DF8" w:rsidRPr="00AE4D7A" w14:paraId="38A57E5E" w14:textId="77777777" w:rsidTr="004D7D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000000" w:fill="E6E6E6"/>
          </w:tcPr>
          <w:p w14:paraId="6C4A21B2" w14:textId="77777777" w:rsidR="00807DF8" w:rsidRPr="00AD71D5" w:rsidRDefault="00807DF8" w:rsidP="00AD71D5">
            <w:pPr>
              <w:pStyle w:val="TableHeading"/>
              <w:rPr>
                <w:rFonts w:cs="Open Sans"/>
                <w:b/>
                <w:color w:val="1D4374"/>
              </w:rPr>
            </w:pPr>
            <w:r w:rsidRPr="00AD71D5">
              <w:rPr>
                <w:rFonts w:cs="Open Sans"/>
                <w:b/>
                <w:color w:val="1D4374"/>
              </w:rPr>
              <w:t>5</w:t>
            </w:r>
          </w:p>
        </w:tc>
        <w:tc>
          <w:tcPr>
            <w:tcW w:w="0" w:type="auto"/>
            <w:tcBorders>
              <w:bottom w:val="nil"/>
            </w:tcBorders>
            <w:shd w:val="clear" w:color="000000" w:fill="E6E6E6"/>
          </w:tcPr>
          <w:p w14:paraId="72FB958F" w14:textId="2F2C2EC6" w:rsidR="00807DF8" w:rsidRPr="00AE4D7A" w:rsidRDefault="00FA6826" w:rsidP="00AE4D7A">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AE4D7A">
              <w:rPr>
                <w:rFonts w:cs="Open Sans"/>
                <w:b/>
                <w:color w:val="000000"/>
              </w:rPr>
              <w:t xml:space="preserve">Apply the behavioural response to the tax base where relevant. </w:t>
            </w:r>
            <w:r w:rsidRPr="00AE4D7A">
              <w:rPr>
                <w:rFonts w:cs="Open Sans"/>
                <w:color w:val="000000"/>
              </w:rPr>
              <w:t>Adjust the affected base using the elasticity assumptions specified below. Apply the behavioural response with a one-year lag</w:t>
            </w:r>
            <w:r w:rsidR="00963C12">
              <w:rPr>
                <w:rFonts w:cs="Open Sans"/>
                <w:color w:val="000000"/>
              </w:rPr>
              <w:t>.</w:t>
            </w:r>
          </w:p>
        </w:tc>
      </w:tr>
      <w:tr w:rsidR="00E80F26" w:rsidRPr="00AE4D7A" w14:paraId="3C0E89B1" w14:textId="77777777" w:rsidTr="004D7D53">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000000" w:fill="auto"/>
          </w:tcPr>
          <w:p w14:paraId="54244303" w14:textId="711E6D2F" w:rsidR="00E80F26" w:rsidRPr="00AD71D5" w:rsidRDefault="00AE4D7A" w:rsidP="00AD71D5">
            <w:pPr>
              <w:pStyle w:val="TableHeading"/>
              <w:rPr>
                <w:rFonts w:cs="Open Sans"/>
                <w:b/>
                <w:color w:val="1D4374"/>
              </w:rPr>
            </w:pPr>
            <w:r w:rsidRPr="00AD71D5">
              <w:rPr>
                <w:rFonts w:cs="Open Sans"/>
                <w:b/>
                <w:color w:val="1D4374"/>
              </w:rPr>
              <w:t>6</w:t>
            </w:r>
          </w:p>
        </w:tc>
        <w:tc>
          <w:tcPr>
            <w:tcW w:w="0" w:type="auto"/>
            <w:tcBorders>
              <w:top w:val="nil"/>
              <w:bottom w:val="nil"/>
            </w:tcBorders>
            <w:shd w:val="clear" w:color="000000" w:fill="auto"/>
          </w:tcPr>
          <w:p w14:paraId="0E2BA967" w14:textId="20AFD084" w:rsidR="00E80F26" w:rsidRPr="00AE4D7A" w:rsidRDefault="00E80F26" w:rsidP="00AE4D7A">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AE4D7A">
              <w:rPr>
                <w:rFonts w:cs="Open Sans"/>
                <w:b/>
                <w:color w:val="000000"/>
              </w:rPr>
              <w:t>Recalculate the GST base effect.</w:t>
            </w:r>
            <w:r w:rsidRPr="00AE4D7A">
              <w:rPr>
                <w:rFonts w:cs="Open Sans"/>
                <w:color w:val="000000"/>
              </w:rPr>
              <w:t xml:space="preserve"> Feed the behaviourally adjusted tax base back through the GST assessment to capture the additional effect arising from changes in measured revenue capacity, rather than the tax-rate change alone. This is kept separate conceptually from the rate effect because the base effect depends on uncertain behavioural elasticities</w:t>
            </w:r>
            <w:r w:rsidR="00963C12">
              <w:rPr>
                <w:rFonts w:cs="Open Sans"/>
                <w:color w:val="000000"/>
              </w:rPr>
              <w:t>.</w:t>
            </w:r>
          </w:p>
        </w:tc>
      </w:tr>
      <w:tr w:rsidR="00766DC2" w:rsidRPr="00AE4D7A" w14:paraId="0BB86E6F" w14:textId="77777777" w:rsidTr="004D7D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000000" w:fill="E6E6E6"/>
          </w:tcPr>
          <w:p w14:paraId="64573864" w14:textId="39AE04AA" w:rsidR="00766DC2" w:rsidRPr="00AD71D5" w:rsidRDefault="00AE4D7A" w:rsidP="00AD71D5">
            <w:pPr>
              <w:pStyle w:val="TableHeading"/>
              <w:rPr>
                <w:rFonts w:cs="Open Sans"/>
                <w:b/>
                <w:color w:val="1D4374"/>
              </w:rPr>
            </w:pPr>
            <w:r w:rsidRPr="00AD71D5">
              <w:rPr>
                <w:rFonts w:cs="Open Sans"/>
                <w:b/>
                <w:color w:val="1D4374"/>
              </w:rPr>
              <w:lastRenderedPageBreak/>
              <w:t>7</w:t>
            </w:r>
          </w:p>
        </w:tc>
        <w:tc>
          <w:tcPr>
            <w:tcW w:w="0" w:type="auto"/>
            <w:tcBorders>
              <w:bottom w:val="nil"/>
            </w:tcBorders>
            <w:shd w:val="clear" w:color="000000" w:fill="E6E6E6"/>
          </w:tcPr>
          <w:p w14:paraId="011B3477" w14:textId="62B138B0" w:rsidR="00766DC2" w:rsidRPr="00AE4D7A" w:rsidRDefault="00766DC2" w:rsidP="00AE4D7A">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AE4D7A">
              <w:rPr>
                <w:rFonts w:cs="Open Sans"/>
                <w:b/>
                <w:color w:val="000000"/>
              </w:rPr>
              <w:t xml:space="preserve">Apply the reform through the three-year assessment structure. </w:t>
            </w:r>
            <w:r w:rsidRPr="00AE4D7A">
              <w:rPr>
                <w:rFonts w:cs="Open Sans"/>
                <w:color w:val="000000"/>
              </w:rPr>
              <w:t xml:space="preserve">Introduce the reform and any behavioural lag into the assessment years while continuing to hold the </w:t>
            </w:r>
            <w:r w:rsidR="00B41D17">
              <w:rPr>
                <w:rFonts w:cs="Open Sans"/>
                <w:color w:val="000000"/>
              </w:rPr>
              <w:t>2024–25</w:t>
            </w:r>
            <w:r w:rsidRPr="00AE4D7A">
              <w:rPr>
                <w:rFonts w:cs="Open Sans"/>
                <w:color w:val="000000"/>
              </w:rPr>
              <w:t xml:space="preserve"> assessment settings and other model inputs constant.</w:t>
            </w:r>
          </w:p>
        </w:tc>
      </w:tr>
      <w:tr w:rsidR="00AD1BE1" w:rsidRPr="00AE4D7A" w14:paraId="7FC5D460" w14:textId="77777777" w:rsidTr="004D7D53">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000000" w:fill="auto"/>
          </w:tcPr>
          <w:p w14:paraId="1F81D43F" w14:textId="1D987491" w:rsidR="00AD1BE1" w:rsidRPr="00AD71D5" w:rsidRDefault="00AE4D7A" w:rsidP="00AD71D5">
            <w:pPr>
              <w:pStyle w:val="TableHeading"/>
              <w:rPr>
                <w:rFonts w:cs="Open Sans"/>
                <w:b/>
                <w:color w:val="1D4374"/>
              </w:rPr>
            </w:pPr>
            <w:r w:rsidRPr="00AD71D5">
              <w:rPr>
                <w:rFonts w:cs="Open Sans"/>
                <w:b/>
                <w:color w:val="1D4374"/>
              </w:rPr>
              <w:t>8</w:t>
            </w:r>
          </w:p>
        </w:tc>
        <w:tc>
          <w:tcPr>
            <w:tcW w:w="0" w:type="auto"/>
            <w:tcBorders>
              <w:top w:val="nil"/>
              <w:bottom w:val="nil"/>
            </w:tcBorders>
            <w:shd w:val="clear" w:color="000000" w:fill="auto"/>
          </w:tcPr>
          <w:p w14:paraId="52B83493" w14:textId="7AD655AF" w:rsidR="00AD1BE1" w:rsidRPr="00AE4D7A" w:rsidRDefault="00AD1BE1" w:rsidP="00AE4D7A">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3F70B7">
              <w:rPr>
                <w:rFonts w:cs="Open Sans"/>
                <w:b/>
                <w:color w:val="000000"/>
              </w:rPr>
              <w:t xml:space="preserve">Calculate results under each GST-distribution architecture. </w:t>
            </w:r>
            <w:r w:rsidRPr="00AE4D7A">
              <w:rPr>
                <w:rFonts w:cs="Open Sans"/>
                <w:color w:val="000000"/>
              </w:rPr>
              <w:t xml:space="preserve">Estimate the change in GST payments and relativities under the pre-2018 system, the current system excluding </w:t>
            </w:r>
            <w:proofErr w:type="spellStart"/>
            <w:r w:rsidRPr="00AE4D7A">
              <w:rPr>
                <w:rFonts w:cs="Open Sans"/>
                <w:color w:val="000000"/>
              </w:rPr>
              <w:t>NoWO</w:t>
            </w:r>
            <w:proofErr w:type="spellEnd"/>
            <w:r w:rsidRPr="00AE4D7A">
              <w:rPr>
                <w:rFonts w:cs="Open Sans"/>
                <w:color w:val="000000"/>
              </w:rPr>
              <w:t xml:space="preserve">, and, where relevant, the current system including </w:t>
            </w:r>
            <w:proofErr w:type="spellStart"/>
            <w:r w:rsidRPr="00AE4D7A">
              <w:rPr>
                <w:rFonts w:cs="Open Sans"/>
                <w:color w:val="000000"/>
              </w:rPr>
              <w:t>NoWO</w:t>
            </w:r>
            <w:proofErr w:type="spellEnd"/>
            <w:r w:rsidRPr="00AE4D7A">
              <w:rPr>
                <w:rFonts w:cs="Open Sans"/>
                <w:color w:val="000000"/>
              </w:rPr>
              <w:t xml:space="preserve"> payments.</w:t>
            </w:r>
          </w:p>
        </w:tc>
      </w:tr>
      <w:tr w:rsidR="00E14CA6" w:rsidRPr="00AE4D7A" w14:paraId="0D675889" w14:textId="77777777" w:rsidTr="004D7D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B3B3B3"/>
            </w:tcBorders>
            <w:shd w:val="clear" w:color="000000" w:fill="E6E6E6"/>
          </w:tcPr>
          <w:p w14:paraId="4D863C6E" w14:textId="06FAB881" w:rsidR="00E14CA6" w:rsidRPr="00AD71D5" w:rsidRDefault="00AE4D7A" w:rsidP="00AD71D5">
            <w:pPr>
              <w:pStyle w:val="TableHeading"/>
              <w:rPr>
                <w:rFonts w:cs="Open Sans"/>
                <w:b/>
                <w:color w:val="1D4374"/>
              </w:rPr>
            </w:pPr>
            <w:r w:rsidRPr="00AD71D5">
              <w:rPr>
                <w:rFonts w:cs="Open Sans"/>
                <w:b/>
                <w:color w:val="1D4374"/>
              </w:rPr>
              <w:t>9</w:t>
            </w:r>
          </w:p>
        </w:tc>
        <w:tc>
          <w:tcPr>
            <w:tcW w:w="0" w:type="auto"/>
            <w:tcBorders>
              <w:bottom w:val="single" w:sz="4" w:space="0" w:color="B3B3B3"/>
            </w:tcBorders>
            <w:shd w:val="clear" w:color="000000" w:fill="E6E6E6"/>
          </w:tcPr>
          <w:p w14:paraId="31C92A45" w14:textId="1362222F" w:rsidR="00E14CA6" w:rsidRPr="00AE4D7A" w:rsidRDefault="00AE4D7A" w:rsidP="00AE4D7A">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bCs/>
                <w:color w:val="000000"/>
              </w:rPr>
            </w:pPr>
            <w:r w:rsidRPr="003F70B7">
              <w:rPr>
                <w:rFonts w:cs="Open Sans"/>
                <w:b/>
                <w:color w:val="000000"/>
              </w:rPr>
              <w:t xml:space="preserve">Repeat across reforming states and reform configurations. </w:t>
            </w:r>
            <w:r w:rsidRPr="00AE4D7A">
              <w:rPr>
                <w:rFonts w:cs="Open Sans"/>
                <w:color w:val="000000"/>
              </w:rPr>
              <w:t>For unilateral scenarios, run the reform separately for each state while other states' policies remain unchanged. For multilateral scenarios, apply the reform to all states simultaneously so that the resulting change in the national-average assessment is captured</w:t>
            </w:r>
            <w:r w:rsidR="00D524E2">
              <w:rPr>
                <w:rFonts w:cs="Open Sans"/>
                <w:color w:val="000000"/>
              </w:rPr>
              <w:t>.</w:t>
            </w:r>
          </w:p>
        </w:tc>
      </w:tr>
    </w:tbl>
    <w:p w14:paraId="18E0CBB6" w14:textId="77777777" w:rsidR="00D524E2" w:rsidRDefault="00D524E2" w:rsidP="00D524E2">
      <w:pPr>
        <w:pStyle w:val="NoSpacing"/>
      </w:pPr>
    </w:p>
    <w:p w14:paraId="4CAC71F6" w14:textId="774478F2" w:rsidR="00807DF8" w:rsidRDefault="00807DF8" w:rsidP="00D524E2">
      <w:pPr>
        <w:pStyle w:val="Heading3-noTOC"/>
        <w:spacing w:before="360"/>
      </w:pPr>
      <w:r>
        <w:t>Data</w:t>
      </w:r>
    </w:p>
    <w:p w14:paraId="27D9180D" w14:textId="54721C27" w:rsidR="004D7D53" w:rsidRPr="006E0396" w:rsidRDefault="004D7D53" w:rsidP="00D524E2">
      <w:pPr>
        <w:pStyle w:val="FigureTableHeading"/>
        <w:keepLines/>
      </w:pPr>
      <w:r w:rsidRPr="006E0396">
        <w:t>Table C.</w:t>
      </w:r>
      <w:fldSimple w:instr=" SEQ Table \* ARABIC \s 1 ">
        <w:r w:rsidR="002D76C4">
          <w:rPr>
            <w:noProof/>
          </w:rPr>
          <w:t>24</w:t>
        </w:r>
      </w:fldSimple>
      <w:r w:rsidR="004C4629">
        <w:rPr>
          <w:noProof/>
        </w:rPr>
        <w:t xml:space="preserve"> </w:t>
      </w:r>
      <w:r w:rsidRPr="006E0396">
        <w:rPr>
          <w:noProof/>
        </w:rPr>
        <w:t xml:space="preserve">– </w:t>
      </w:r>
      <w:r w:rsidRPr="006E0396">
        <w:t xml:space="preserve">Reform cameos </w:t>
      </w:r>
      <w:r w:rsidR="006E0396" w:rsidRPr="006E0396">
        <w:t>data in</w:t>
      </w:r>
      <w:r w:rsidR="006E0396">
        <w:t>puts</w:t>
      </w:r>
    </w:p>
    <w:tbl>
      <w:tblPr>
        <w:tblStyle w:val="ProductivityCommissionTable2-Dark"/>
        <w:tblW w:w="0" w:type="auto"/>
        <w:tblBorders>
          <w:insideH w:val="none" w:sz="0" w:space="0" w:color="auto"/>
        </w:tblBorders>
        <w:shd w:val="clear" w:color="000000" w:fill="auto"/>
        <w:tblLayout w:type="fixed"/>
        <w:tblCellMar>
          <w:top w:w="0" w:type="dxa"/>
          <w:left w:w="0" w:type="dxa"/>
          <w:bottom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985"/>
        <w:gridCol w:w="4111"/>
        <w:gridCol w:w="1104"/>
        <w:gridCol w:w="1357"/>
        <w:gridCol w:w="1081"/>
      </w:tblGrid>
      <w:tr w:rsidR="00807DF8" w:rsidRPr="00660497" w14:paraId="680B2EFE" w14:textId="77777777" w:rsidTr="0066049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tcBorders>
              <w:bottom w:val="single" w:sz="4" w:space="0" w:color="B3B3B3"/>
            </w:tcBorders>
            <w:shd w:val="clear" w:color="000000" w:fill="auto"/>
            <w:vAlign w:val="bottom"/>
          </w:tcPr>
          <w:p w14:paraId="0E9CBEAA" w14:textId="77777777" w:rsidR="00807DF8" w:rsidRPr="00660497" w:rsidRDefault="00807DF8" w:rsidP="00660497">
            <w:pPr>
              <w:keepNext/>
              <w:keepLines/>
              <w:spacing w:before="45" w:after="45"/>
              <w:ind w:left="57" w:right="108"/>
              <w:rPr>
                <w:rFonts w:cs="Open Sans"/>
                <w:color w:val="1D4374"/>
                <w:sz w:val="18"/>
              </w:rPr>
            </w:pPr>
            <w:r w:rsidRPr="00660497">
              <w:rPr>
                <w:rFonts w:cs="Open Sans"/>
                <w:color w:val="1D4374"/>
                <w:sz w:val="18"/>
              </w:rPr>
              <w:t>Dataset</w:t>
            </w:r>
          </w:p>
        </w:tc>
        <w:tc>
          <w:tcPr>
            <w:tcW w:w="4111" w:type="dxa"/>
            <w:tcBorders>
              <w:bottom w:val="single" w:sz="4" w:space="0" w:color="B3B3B3"/>
            </w:tcBorders>
            <w:shd w:val="clear" w:color="000000" w:fill="auto"/>
            <w:vAlign w:val="bottom"/>
          </w:tcPr>
          <w:p w14:paraId="2E4B407F" w14:textId="77777777" w:rsidR="00807DF8" w:rsidRPr="00660497" w:rsidRDefault="00807DF8" w:rsidP="00660497">
            <w:pPr>
              <w:keepNext/>
              <w:keepLines/>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660497">
              <w:rPr>
                <w:rFonts w:cs="Open Sans"/>
                <w:color w:val="1D4374"/>
                <w:sz w:val="18"/>
              </w:rPr>
              <w:t>Variables</w:t>
            </w:r>
          </w:p>
        </w:tc>
        <w:tc>
          <w:tcPr>
            <w:tcW w:w="1104" w:type="dxa"/>
            <w:tcBorders>
              <w:bottom w:val="single" w:sz="4" w:space="0" w:color="B3B3B3"/>
            </w:tcBorders>
            <w:shd w:val="clear" w:color="000000" w:fill="auto"/>
            <w:vAlign w:val="bottom"/>
          </w:tcPr>
          <w:p w14:paraId="17F61F95" w14:textId="77777777" w:rsidR="00807DF8" w:rsidRPr="00660497" w:rsidRDefault="00807DF8" w:rsidP="00660497">
            <w:pPr>
              <w:keepNext/>
              <w:keepLines/>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660497">
              <w:rPr>
                <w:rFonts w:cs="Open Sans"/>
                <w:color w:val="1D4374"/>
                <w:sz w:val="18"/>
              </w:rPr>
              <w:t>Years</w:t>
            </w:r>
          </w:p>
        </w:tc>
        <w:tc>
          <w:tcPr>
            <w:tcW w:w="1357" w:type="dxa"/>
            <w:tcBorders>
              <w:bottom w:val="single" w:sz="4" w:space="0" w:color="B3B3B3"/>
            </w:tcBorders>
            <w:shd w:val="clear" w:color="000000" w:fill="auto"/>
            <w:vAlign w:val="bottom"/>
          </w:tcPr>
          <w:p w14:paraId="582649A1" w14:textId="77777777" w:rsidR="00807DF8" w:rsidRPr="00660497" w:rsidRDefault="00807DF8" w:rsidP="00660497">
            <w:pPr>
              <w:keepNext/>
              <w:keepLines/>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660497">
              <w:rPr>
                <w:rFonts w:cs="Open Sans"/>
                <w:color w:val="1D4374"/>
                <w:sz w:val="18"/>
              </w:rPr>
              <w:t>Source</w:t>
            </w:r>
          </w:p>
        </w:tc>
        <w:tc>
          <w:tcPr>
            <w:tcW w:w="1081" w:type="dxa"/>
            <w:tcBorders>
              <w:bottom w:val="single" w:sz="4" w:space="0" w:color="B3B3B3"/>
            </w:tcBorders>
            <w:shd w:val="clear" w:color="000000" w:fill="auto"/>
            <w:vAlign w:val="bottom"/>
          </w:tcPr>
          <w:p w14:paraId="4FE38FA9" w14:textId="77777777" w:rsidR="00807DF8" w:rsidRPr="00660497" w:rsidRDefault="00807DF8" w:rsidP="00660497">
            <w:pPr>
              <w:keepNext/>
              <w:keepLines/>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660497">
              <w:rPr>
                <w:rFonts w:cs="Open Sans"/>
                <w:color w:val="1D4374"/>
                <w:sz w:val="18"/>
              </w:rPr>
              <w:t>Notes</w:t>
            </w:r>
          </w:p>
        </w:tc>
      </w:tr>
      <w:tr w:rsidR="00807DF8" w:rsidRPr="00660497" w14:paraId="253DCC89" w14:textId="77777777" w:rsidTr="00660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B3B3B3"/>
              <w:bottom w:val="nil"/>
            </w:tcBorders>
            <w:shd w:val="clear" w:color="000000" w:fill="E6E6E6"/>
          </w:tcPr>
          <w:p w14:paraId="1016B5FF" w14:textId="29A5FD31" w:rsidR="00807DF8" w:rsidRPr="00660497" w:rsidRDefault="003B3445" w:rsidP="00660497">
            <w:pPr>
              <w:pStyle w:val="TableBody"/>
              <w:keepNext/>
              <w:keepLines/>
              <w:spacing w:before="45" w:after="45"/>
              <w:ind w:right="108"/>
              <w:rPr>
                <w:rFonts w:cs="Open Sans"/>
                <w:b w:val="0"/>
                <w:color w:val="auto"/>
              </w:rPr>
            </w:pPr>
            <w:r w:rsidRPr="00660497">
              <w:rPr>
                <w:rFonts w:cs="Open Sans"/>
                <w:b w:val="0"/>
                <w:color w:val="auto"/>
              </w:rPr>
              <w:t xml:space="preserve">CGC assessment data </w:t>
            </w:r>
          </w:p>
        </w:tc>
        <w:tc>
          <w:tcPr>
            <w:tcW w:w="4111" w:type="dxa"/>
            <w:tcBorders>
              <w:top w:val="single" w:sz="4" w:space="0" w:color="B3B3B3"/>
              <w:bottom w:val="nil"/>
            </w:tcBorders>
            <w:shd w:val="clear" w:color="000000" w:fill="E6E6E6"/>
          </w:tcPr>
          <w:p w14:paraId="5250A471" w14:textId="7EB2A754" w:rsidR="00807DF8" w:rsidRPr="00660497" w:rsidRDefault="008C4B21" w:rsidP="00660497">
            <w:pPr>
              <w:pStyle w:val="TableBody"/>
              <w:keepNext/>
              <w:keepLines/>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660497">
              <w:rPr>
                <w:rFonts w:cs="Open Sans"/>
                <w:color w:val="000000"/>
              </w:rPr>
              <w:t>Revenue and expenditure assessments by category, state and year; tax/revenue bases; population inputs; Commonwealth payments; other inputs used to calculate assessed GST needs and relativities</w:t>
            </w:r>
            <w:r w:rsidR="00660497">
              <w:rPr>
                <w:rFonts w:cs="Open Sans"/>
                <w:color w:val="000000"/>
              </w:rPr>
              <w:t>.</w:t>
            </w:r>
          </w:p>
        </w:tc>
        <w:tc>
          <w:tcPr>
            <w:tcW w:w="1104" w:type="dxa"/>
            <w:tcBorders>
              <w:top w:val="single" w:sz="4" w:space="0" w:color="B3B3B3"/>
              <w:bottom w:val="nil"/>
            </w:tcBorders>
            <w:shd w:val="clear" w:color="000000" w:fill="E6E6E6"/>
          </w:tcPr>
          <w:p w14:paraId="7AC174B7" w14:textId="69964BD9" w:rsidR="00807DF8" w:rsidRPr="00660497" w:rsidRDefault="00B41D17" w:rsidP="00660497">
            <w:pPr>
              <w:pStyle w:val="TableBody"/>
              <w:keepNext/>
              <w:keepLines/>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660497">
              <w:rPr>
                <w:rFonts w:cs="Open Sans"/>
                <w:color w:val="000000"/>
              </w:rPr>
              <w:t>2024–25</w:t>
            </w:r>
            <w:r w:rsidR="008C4B21" w:rsidRPr="00660497">
              <w:rPr>
                <w:rFonts w:cs="Open Sans"/>
                <w:color w:val="000000"/>
              </w:rPr>
              <w:t xml:space="preserve"> </w:t>
            </w:r>
          </w:p>
        </w:tc>
        <w:tc>
          <w:tcPr>
            <w:tcW w:w="1357" w:type="dxa"/>
            <w:tcBorders>
              <w:top w:val="single" w:sz="4" w:space="0" w:color="B3B3B3"/>
              <w:bottom w:val="nil"/>
            </w:tcBorders>
            <w:shd w:val="clear" w:color="000000" w:fill="E6E6E6"/>
          </w:tcPr>
          <w:p w14:paraId="6AA77F5F" w14:textId="63A3B6A1" w:rsidR="00807DF8" w:rsidRPr="00660497" w:rsidRDefault="004B5203" w:rsidP="00660497">
            <w:pPr>
              <w:pStyle w:val="TableBody"/>
              <w:keepNext/>
              <w:keepLines/>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660497">
              <w:rPr>
                <w:rFonts w:cs="Open Sans"/>
                <w:color w:val="000000"/>
              </w:rPr>
              <w:t>CGC (unpublished)</w:t>
            </w:r>
          </w:p>
        </w:tc>
        <w:tc>
          <w:tcPr>
            <w:tcW w:w="1081" w:type="dxa"/>
            <w:tcBorders>
              <w:top w:val="single" w:sz="4" w:space="0" w:color="B3B3B3"/>
              <w:bottom w:val="nil"/>
            </w:tcBorders>
            <w:shd w:val="clear" w:color="000000" w:fill="E6E6E6"/>
          </w:tcPr>
          <w:p w14:paraId="36CE591F" w14:textId="4FB98391" w:rsidR="00807DF8" w:rsidRPr="00660497" w:rsidRDefault="00F110D1" w:rsidP="00660497">
            <w:pPr>
              <w:pStyle w:val="TableBody"/>
              <w:keepNext/>
              <w:keepLines/>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660497">
              <w:rPr>
                <w:rFonts w:cs="Open Sans"/>
                <w:color w:val="000000"/>
              </w:rPr>
              <w:t>Held constant in the static modelling.</w:t>
            </w:r>
          </w:p>
        </w:tc>
      </w:tr>
      <w:tr w:rsidR="008C4B21" w:rsidRPr="00660497" w14:paraId="06242E2E" w14:textId="77777777" w:rsidTr="00660497">
        <w:tc>
          <w:tcPr>
            <w:cnfStyle w:val="001000000000" w:firstRow="0" w:lastRow="0" w:firstColumn="1" w:lastColumn="0" w:oddVBand="0" w:evenVBand="0" w:oddHBand="0" w:evenHBand="0" w:firstRowFirstColumn="0" w:firstRowLastColumn="0" w:lastRowFirstColumn="0" w:lastRowLastColumn="0"/>
            <w:tcW w:w="1985" w:type="dxa"/>
            <w:tcBorders>
              <w:top w:val="nil"/>
            </w:tcBorders>
            <w:shd w:val="clear" w:color="000000" w:fill="auto"/>
          </w:tcPr>
          <w:p w14:paraId="0EFEC680" w14:textId="504F9640" w:rsidR="008C4B21" w:rsidRPr="00660497" w:rsidRDefault="007C5AF0" w:rsidP="00660497">
            <w:pPr>
              <w:pStyle w:val="TableBody"/>
              <w:keepNext/>
              <w:keepLines/>
              <w:spacing w:before="45" w:after="45"/>
              <w:ind w:right="108"/>
              <w:rPr>
                <w:rFonts w:cs="Open Sans"/>
                <w:b w:val="0"/>
                <w:color w:val="auto"/>
              </w:rPr>
            </w:pPr>
            <w:r w:rsidRPr="00660497">
              <w:rPr>
                <w:rFonts w:cs="Open Sans"/>
                <w:b w:val="0"/>
                <w:color w:val="auto"/>
              </w:rPr>
              <w:t>ABS Australian System of National Accounts</w:t>
            </w:r>
          </w:p>
        </w:tc>
        <w:tc>
          <w:tcPr>
            <w:tcW w:w="4111" w:type="dxa"/>
            <w:tcBorders>
              <w:top w:val="nil"/>
            </w:tcBorders>
            <w:shd w:val="clear" w:color="000000" w:fill="auto"/>
          </w:tcPr>
          <w:p w14:paraId="5F11D7C4" w14:textId="318152F5" w:rsidR="008C4B21" w:rsidRPr="00660497" w:rsidRDefault="004B5203" w:rsidP="00660497">
            <w:pPr>
              <w:pStyle w:val="TableBody"/>
              <w:keepNext/>
              <w:keepLines/>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660497">
              <w:rPr>
                <w:rFonts w:cs="Open Sans"/>
                <w:color w:val="000000"/>
              </w:rPr>
              <w:t xml:space="preserve">Table 61 </w:t>
            </w:r>
            <w:r w:rsidR="00660497">
              <w:rPr>
                <w:rFonts w:cs="Open Sans"/>
                <w:color w:val="000000"/>
              </w:rPr>
              <w:t>–</w:t>
            </w:r>
            <w:r w:rsidRPr="00660497">
              <w:rPr>
                <w:rFonts w:cs="Open Sans"/>
                <w:color w:val="000000"/>
              </w:rPr>
              <w:t xml:space="preserve"> </w:t>
            </w:r>
            <w:r w:rsidR="003061E3" w:rsidRPr="00660497">
              <w:rPr>
                <w:rFonts w:cs="Open Sans"/>
                <w:color w:val="000000"/>
              </w:rPr>
              <w:t>Total land values by state/territory,</w:t>
            </w:r>
          </w:p>
        </w:tc>
        <w:tc>
          <w:tcPr>
            <w:tcW w:w="1104" w:type="dxa"/>
            <w:tcBorders>
              <w:top w:val="nil"/>
            </w:tcBorders>
            <w:shd w:val="clear" w:color="000000" w:fill="auto"/>
          </w:tcPr>
          <w:p w14:paraId="4A8F6E0B" w14:textId="08DE76AF" w:rsidR="008C4B21" w:rsidRPr="00660497" w:rsidRDefault="00B41D17" w:rsidP="00660497">
            <w:pPr>
              <w:pStyle w:val="TableBody"/>
              <w:keepNext/>
              <w:keepLines/>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660497">
              <w:rPr>
                <w:rFonts w:cs="Open Sans"/>
                <w:color w:val="000000"/>
              </w:rPr>
              <w:t>2024–25</w:t>
            </w:r>
          </w:p>
        </w:tc>
        <w:tc>
          <w:tcPr>
            <w:tcW w:w="1357" w:type="dxa"/>
            <w:tcBorders>
              <w:top w:val="nil"/>
            </w:tcBorders>
            <w:shd w:val="clear" w:color="000000" w:fill="auto"/>
          </w:tcPr>
          <w:p w14:paraId="7B7D6ECA" w14:textId="4624B7A9" w:rsidR="008C4B21" w:rsidRPr="00660497" w:rsidRDefault="000969E7" w:rsidP="00660497">
            <w:pPr>
              <w:pStyle w:val="TableBody"/>
              <w:keepNext/>
              <w:keepLines/>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660497">
              <w:rPr>
                <w:rFonts w:cs="Open Sans"/>
                <w:color w:val="000000"/>
                <w:szCs w:val="24"/>
              </w:rPr>
              <w:t>ABS </w:t>
            </w:r>
            <w:r w:rsidR="00171868" w:rsidRPr="00660497">
              <w:rPr>
                <w:rFonts w:cs="Open Sans"/>
                <w:color w:val="000000"/>
                <w:szCs w:val="24"/>
              </w:rPr>
              <w:t>(</w:t>
            </w:r>
            <w:r w:rsidRPr="00660497">
              <w:rPr>
                <w:rFonts w:cs="Open Sans"/>
                <w:color w:val="000000"/>
                <w:szCs w:val="24"/>
              </w:rPr>
              <w:t>2026)</w:t>
            </w:r>
          </w:p>
        </w:tc>
        <w:tc>
          <w:tcPr>
            <w:tcW w:w="1081" w:type="dxa"/>
            <w:tcBorders>
              <w:top w:val="nil"/>
            </w:tcBorders>
            <w:shd w:val="clear" w:color="000000" w:fill="auto"/>
          </w:tcPr>
          <w:p w14:paraId="16103093" w14:textId="6F8154CE" w:rsidR="008C4B21" w:rsidRPr="00660497" w:rsidRDefault="006E0396" w:rsidP="00660497">
            <w:pPr>
              <w:pStyle w:val="TableBody"/>
              <w:keepNext/>
              <w:keepLines/>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660497">
              <w:rPr>
                <w:rFonts w:cs="Open Sans"/>
                <w:color w:val="000000"/>
              </w:rPr>
              <w:t>U</w:t>
            </w:r>
            <w:r w:rsidR="003061E3" w:rsidRPr="00660497">
              <w:rPr>
                <w:rFonts w:cs="Open Sans"/>
                <w:color w:val="000000"/>
              </w:rPr>
              <w:t>sed as the proxy base for the broad land tax</w:t>
            </w:r>
          </w:p>
        </w:tc>
      </w:tr>
    </w:tbl>
    <w:p w14:paraId="5FA8C084" w14:textId="77777777" w:rsidR="004D7483" w:rsidRDefault="004D7483" w:rsidP="005323F7">
      <w:pPr>
        <w:pStyle w:val="Caption"/>
        <w:keepNext/>
      </w:pPr>
    </w:p>
    <w:p w14:paraId="71C3D2D0" w14:textId="0BC513DF" w:rsidR="005323F7" w:rsidRDefault="005323F7" w:rsidP="005323F7">
      <w:pPr>
        <w:pStyle w:val="Caption"/>
        <w:keepNext/>
      </w:pPr>
      <w:r>
        <w:t>Table C</w:t>
      </w:r>
      <w:r w:rsidR="0012389C">
        <w:t>.</w:t>
      </w:r>
      <w:fldSimple w:instr=" SEQ Table \* ARABIC \s 1 ">
        <w:r w:rsidR="002D76C4">
          <w:rPr>
            <w:noProof/>
          </w:rPr>
          <w:t>25</w:t>
        </w:r>
      </w:fldSimple>
      <w:r w:rsidR="004C4629">
        <w:rPr>
          <w:noProof/>
        </w:rPr>
        <w:t xml:space="preserve"> </w:t>
      </w:r>
      <w:r w:rsidR="0012389C">
        <w:rPr>
          <w:noProof/>
        </w:rPr>
        <w:t>–</w:t>
      </w:r>
      <w:r>
        <w:t xml:space="preserve"> Summary of tax-base </w:t>
      </w:r>
      <w:r w:rsidR="0012389C">
        <w:t>elasticities</w:t>
      </w:r>
    </w:p>
    <w:p w14:paraId="1219B1F3" w14:textId="75CE2232" w:rsidR="00B717A8" w:rsidRDefault="00E200F3">
      <w:pPr>
        <w:pStyle w:val="FigureTableSubheading"/>
      </w:pPr>
      <w:r>
        <w:t xml:space="preserve">These </w:t>
      </w:r>
      <w:r w:rsidR="009500E8">
        <w:t xml:space="preserve">form the basis for behavioural effects </w:t>
      </w:r>
      <w:r w:rsidR="007224C0">
        <w:t>one tax changes are applied to given bases</w:t>
      </w:r>
    </w:p>
    <w:tbl>
      <w:tblPr>
        <w:tblW w:w="0" w:type="auto"/>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397"/>
        <w:gridCol w:w="2219"/>
        <w:gridCol w:w="3315"/>
        <w:gridCol w:w="2707"/>
      </w:tblGrid>
      <w:tr w:rsidR="00AE5CAC" w:rsidRPr="00355B84" w14:paraId="318CC382" w14:textId="00F15DD4" w:rsidTr="00355B84">
        <w:trPr>
          <w:tblHeader/>
        </w:trPr>
        <w:tc>
          <w:tcPr>
            <w:tcW w:w="1397" w:type="dxa"/>
            <w:tcBorders>
              <w:bottom w:val="single" w:sz="4" w:space="0" w:color="B3B3B3"/>
            </w:tcBorders>
            <w:shd w:val="clear" w:color="000000" w:fill="auto"/>
            <w:vAlign w:val="bottom"/>
          </w:tcPr>
          <w:p w14:paraId="7ECC6E7F" w14:textId="6C4C02A7" w:rsidR="00AE5CAC" w:rsidRPr="00355B84" w:rsidRDefault="00AE5CAC" w:rsidP="00355B84">
            <w:pPr>
              <w:spacing w:before="45" w:after="45"/>
              <w:ind w:left="57" w:right="108"/>
              <w:rPr>
                <w:rFonts w:cs="Open Sans"/>
                <w:b/>
                <w:color w:val="1D4374"/>
                <w:sz w:val="18"/>
              </w:rPr>
            </w:pPr>
            <w:r w:rsidRPr="00355B84">
              <w:rPr>
                <w:rFonts w:cs="Open Sans"/>
                <w:b/>
                <w:bCs/>
                <w:color w:val="1D4374"/>
                <w:sz w:val="18"/>
              </w:rPr>
              <w:t>Tax</w:t>
            </w:r>
          </w:p>
        </w:tc>
        <w:tc>
          <w:tcPr>
            <w:tcW w:w="2219" w:type="dxa"/>
            <w:tcBorders>
              <w:bottom w:val="single" w:sz="4" w:space="0" w:color="B3B3B3"/>
            </w:tcBorders>
            <w:shd w:val="clear" w:color="000000" w:fill="auto"/>
            <w:vAlign w:val="bottom"/>
          </w:tcPr>
          <w:p w14:paraId="03B7F953" w14:textId="3D947902" w:rsidR="00AE5CAC" w:rsidRPr="00355B84" w:rsidRDefault="00AE5CAC" w:rsidP="00355B84">
            <w:pPr>
              <w:pStyle w:val="TableHeading"/>
              <w:spacing w:before="45" w:after="45"/>
              <w:rPr>
                <w:rFonts w:cs="Open Sans"/>
                <w:color w:val="1D4374"/>
              </w:rPr>
            </w:pPr>
            <w:r w:rsidRPr="00355B84">
              <w:rPr>
                <w:rFonts w:cs="Open Sans"/>
                <w:bCs/>
                <w:color w:val="1D4374"/>
              </w:rPr>
              <w:t xml:space="preserve">Elasticity </w:t>
            </w:r>
          </w:p>
        </w:tc>
        <w:tc>
          <w:tcPr>
            <w:tcW w:w="3315" w:type="dxa"/>
            <w:tcBorders>
              <w:bottom w:val="single" w:sz="4" w:space="0" w:color="B3B3B3"/>
            </w:tcBorders>
            <w:shd w:val="clear" w:color="000000" w:fill="auto"/>
            <w:vAlign w:val="bottom"/>
          </w:tcPr>
          <w:p w14:paraId="43E489F1" w14:textId="1DA99B8D" w:rsidR="00AE5CAC" w:rsidRPr="00355B84" w:rsidRDefault="00AE5CAC" w:rsidP="00355B84">
            <w:pPr>
              <w:pStyle w:val="TableHeading"/>
              <w:spacing w:before="45" w:after="45"/>
              <w:rPr>
                <w:rFonts w:cs="Open Sans"/>
                <w:color w:val="1D4374"/>
              </w:rPr>
            </w:pPr>
            <w:r w:rsidRPr="00355B84">
              <w:rPr>
                <w:rFonts w:cs="Open Sans"/>
                <w:bCs/>
                <w:color w:val="1D4374"/>
              </w:rPr>
              <w:t>Interpretation</w:t>
            </w:r>
          </w:p>
        </w:tc>
        <w:tc>
          <w:tcPr>
            <w:tcW w:w="2707" w:type="dxa"/>
            <w:tcBorders>
              <w:bottom w:val="single" w:sz="4" w:space="0" w:color="B3B3B3"/>
            </w:tcBorders>
            <w:shd w:val="clear" w:color="000000" w:fill="auto"/>
            <w:vAlign w:val="bottom"/>
          </w:tcPr>
          <w:p w14:paraId="46A93667" w14:textId="0EC13FF3" w:rsidR="00AE5CAC" w:rsidRPr="00355B84" w:rsidRDefault="00AE5CAC" w:rsidP="00355B84">
            <w:pPr>
              <w:pStyle w:val="TableHeading"/>
              <w:spacing w:before="45" w:after="45"/>
              <w:rPr>
                <w:rFonts w:cs="Open Sans"/>
                <w:color w:val="1D4374"/>
              </w:rPr>
            </w:pPr>
            <w:r w:rsidRPr="00355B84">
              <w:rPr>
                <w:rFonts w:cs="Open Sans"/>
                <w:bCs/>
                <w:color w:val="1D4374"/>
              </w:rPr>
              <w:t>Sources</w:t>
            </w:r>
          </w:p>
        </w:tc>
      </w:tr>
      <w:tr w:rsidR="00AE5CAC" w:rsidRPr="00355B84" w14:paraId="56D79B5E" w14:textId="2E1672CF" w:rsidTr="00355B84">
        <w:tc>
          <w:tcPr>
            <w:tcW w:w="1397" w:type="dxa"/>
            <w:tcBorders>
              <w:top w:val="single" w:sz="4" w:space="0" w:color="B3B3B3"/>
              <w:bottom w:val="nil"/>
            </w:tcBorders>
            <w:shd w:val="clear" w:color="000000" w:fill="E6E6E6"/>
          </w:tcPr>
          <w:p w14:paraId="6711D0FD" w14:textId="2BD2F40C" w:rsidR="00AE5CAC" w:rsidRPr="00355B84" w:rsidRDefault="00AE5CAC" w:rsidP="00355B84">
            <w:pPr>
              <w:pStyle w:val="TableHeading"/>
              <w:spacing w:before="45" w:after="45"/>
              <w:rPr>
                <w:rFonts w:cs="Open Sans"/>
                <w:color w:val="1D4374"/>
              </w:rPr>
            </w:pPr>
            <w:r w:rsidRPr="00355B84">
              <w:rPr>
                <w:rFonts w:cs="Open Sans"/>
                <w:color w:val="1D4374"/>
              </w:rPr>
              <w:t>Payroll tax</w:t>
            </w:r>
          </w:p>
        </w:tc>
        <w:tc>
          <w:tcPr>
            <w:tcW w:w="2219" w:type="dxa"/>
            <w:tcBorders>
              <w:top w:val="single" w:sz="4" w:space="0" w:color="B3B3B3"/>
              <w:bottom w:val="nil"/>
            </w:tcBorders>
            <w:shd w:val="clear" w:color="000000" w:fill="E6E6E6"/>
          </w:tcPr>
          <w:p w14:paraId="318B650F" w14:textId="4F4BF2A3" w:rsidR="00AE5CAC" w:rsidRPr="00355B84" w:rsidRDefault="00AE5CAC" w:rsidP="00355B84">
            <w:pPr>
              <w:pStyle w:val="TableBody"/>
              <w:spacing w:before="45" w:after="45"/>
              <w:ind w:right="108"/>
              <w:rPr>
                <w:rFonts w:cs="Open Sans"/>
                <w:color w:val="000000"/>
              </w:rPr>
            </w:pPr>
            <w:r w:rsidRPr="00355B84">
              <w:rPr>
                <w:rFonts w:cs="Open Sans"/>
                <w:bCs/>
                <w:color w:val="000000"/>
              </w:rPr>
              <w:t xml:space="preserve">Effects were largely statistically insignificant in both cited papers. </w:t>
            </w:r>
          </w:p>
        </w:tc>
        <w:tc>
          <w:tcPr>
            <w:tcW w:w="3315" w:type="dxa"/>
            <w:tcBorders>
              <w:top w:val="single" w:sz="4" w:space="0" w:color="B3B3B3"/>
              <w:bottom w:val="nil"/>
            </w:tcBorders>
            <w:shd w:val="clear" w:color="000000" w:fill="E6E6E6"/>
          </w:tcPr>
          <w:p w14:paraId="4BB0C08C" w14:textId="648DFF50" w:rsidR="00AE5CAC" w:rsidRPr="00355B84" w:rsidRDefault="00AE5CAC" w:rsidP="00355B84">
            <w:pPr>
              <w:pStyle w:val="TableBody"/>
              <w:spacing w:before="45" w:after="45"/>
              <w:ind w:right="108"/>
              <w:rPr>
                <w:rFonts w:cs="Open Sans"/>
                <w:color w:val="000000"/>
              </w:rPr>
            </w:pPr>
            <w:r w:rsidRPr="00355B84">
              <w:rPr>
                <w:rFonts w:cs="Open Sans"/>
                <w:color w:val="000000"/>
              </w:rPr>
              <w:t>NA</w:t>
            </w:r>
          </w:p>
        </w:tc>
        <w:tc>
          <w:tcPr>
            <w:tcW w:w="2707" w:type="dxa"/>
            <w:tcBorders>
              <w:top w:val="single" w:sz="4" w:space="0" w:color="B3B3B3"/>
              <w:bottom w:val="nil"/>
            </w:tcBorders>
            <w:shd w:val="clear" w:color="000000" w:fill="E6E6E6"/>
          </w:tcPr>
          <w:p w14:paraId="2E3F4239" w14:textId="427743D2" w:rsidR="00AE5CAC" w:rsidRPr="00355B84" w:rsidRDefault="00AE5CAC" w:rsidP="00355B84">
            <w:pPr>
              <w:pStyle w:val="TableBody"/>
              <w:spacing w:before="45" w:after="45"/>
              <w:ind w:right="108"/>
              <w:rPr>
                <w:rFonts w:cs="Open Sans"/>
                <w:color w:val="000000"/>
              </w:rPr>
            </w:pPr>
            <w:r w:rsidRPr="00355B84">
              <w:rPr>
                <w:rFonts w:cs="Open Sans"/>
                <w:color w:val="000000"/>
                <w:szCs w:val="24"/>
              </w:rPr>
              <w:t>Majeed and Sinning (2019; Steinhauser et al. (2018)</w:t>
            </w:r>
          </w:p>
        </w:tc>
      </w:tr>
      <w:tr w:rsidR="00AE5CAC" w:rsidRPr="00355B84" w14:paraId="48F399C0" w14:textId="2D96F658" w:rsidTr="00355B84">
        <w:tc>
          <w:tcPr>
            <w:tcW w:w="1397" w:type="dxa"/>
            <w:tcBorders>
              <w:top w:val="nil"/>
              <w:bottom w:val="nil"/>
            </w:tcBorders>
            <w:shd w:val="clear" w:color="000000" w:fill="auto"/>
          </w:tcPr>
          <w:p w14:paraId="28703D31" w14:textId="11DFFDDF" w:rsidR="00AE5CAC" w:rsidRPr="00355B84" w:rsidRDefault="00AE5CAC" w:rsidP="00355B84">
            <w:pPr>
              <w:pStyle w:val="TableHeading"/>
              <w:spacing w:before="45" w:after="45"/>
              <w:rPr>
                <w:rFonts w:cs="Open Sans"/>
                <w:color w:val="1D4374"/>
              </w:rPr>
            </w:pPr>
            <w:r w:rsidRPr="00355B84">
              <w:rPr>
                <w:rFonts w:cs="Open Sans"/>
                <w:color w:val="1D4374"/>
              </w:rPr>
              <w:t>Land tax</w:t>
            </w:r>
          </w:p>
        </w:tc>
        <w:tc>
          <w:tcPr>
            <w:tcW w:w="2219" w:type="dxa"/>
            <w:tcBorders>
              <w:top w:val="nil"/>
              <w:bottom w:val="nil"/>
            </w:tcBorders>
            <w:shd w:val="clear" w:color="000000" w:fill="auto"/>
          </w:tcPr>
          <w:p w14:paraId="74E844AF" w14:textId="7DB30FCD" w:rsidR="00AE5CAC" w:rsidRPr="00355B84" w:rsidRDefault="00AE5CAC" w:rsidP="00355B84">
            <w:pPr>
              <w:pStyle w:val="TableBody"/>
              <w:spacing w:before="45" w:after="45"/>
              <w:ind w:right="108"/>
              <w:rPr>
                <w:rFonts w:cs="Open Sans"/>
                <w:color w:val="000000"/>
              </w:rPr>
            </w:pPr>
            <w:r w:rsidRPr="00355B84">
              <w:rPr>
                <w:rFonts w:cs="Open Sans"/>
                <w:bCs/>
                <w:color w:val="000000"/>
              </w:rPr>
              <w:t>-0.054 to -0.062</w:t>
            </w:r>
            <w:r w:rsidRPr="00355B84">
              <w:rPr>
                <w:rFonts w:cs="Open Sans"/>
                <w:color w:val="000000"/>
              </w:rPr>
              <w:t xml:space="preserve">. </w:t>
            </w:r>
          </w:p>
        </w:tc>
        <w:tc>
          <w:tcPr>
            <w:tcW w:w="3315" w:type="dxa"/>
            <w:tcBorders>
              <w:top w:val="nil"/>
              <w:bottom w:val="nil"/>
            </w:tcBorders>
            <w:shd w:val="clear" w:color="000000" w:fill="auto"/>
          </w:tcPr>
          <w:p w14:paraId="0D9FDD25" w14:textId="0CA91619" w:rsidR="00AE5CAC" w:rsidRPr="00355B84" w:rsidRDefault="00AE5CAC" w:rsidP="00355B84">
            <w:pPr>
              <w:pStyle w:val="TableBody"/>
              <w:spacing w:before="45" w:after="45"/>
              <w:ind w:right="108"/>
              <w:rPr>
                <w:rFonts w:cs="Open Sans"/>
                <w:color w:val="000000"/>
              </w:rPr>
            </w:pPr>
            <w:r w:rsidRPr="00355B84">
              <w:rPr>
                <w:rFonts w:cs="Open Sans"/>
                <w:color w:val="000000"/>
              </w:rPr>
              <w:t>A 10% increase in the tax rate is estimated to reduce the unimproved value of taxable properties by about 0.6%.</w:t>
            </w:r>
          </w:p>
        </w:tc>
        <w:tc>
          <w:tcPr>
            <w:tcW w:w="2707" w:type="dxa"/>
            <w:tcBorders>
              <w:top w:val="nil"/>
              <w:bottom w:val="nil"/>
            </w:tcBorders>
            <w:shd w:val="clear" w:color="000000" w:fill="auto"/>
          </w:tcPr>
          <w:p w14:paraId="13756749" w14:textId="4DC16E3C" w:rsidR="00AE5CAC" w:rsidRPr="00355B84" w:rsidRDefault="00AE5CAC" w:rsidP="00355B84">
            <w:pPr>
              <w:pStyle w:val="TableBody"/>
              <w:spacing w:before="45" w:after="45"/>
              <w:ind w:right="108"/>
              <w:rPr>
                <w:rFonts w:cs="Open Sans"/>
                <w:color w:val="000000"/>
              </w:rPr>
            </w:pPr>
            <w:r w:rsidRPr="00355B84">
              <w:rPr>
                <w:rFonts w:cs="Open Sans"/>
                <w:color w:val="000000"/>
                <w:szCs w:val="24"/>
              </w:rPr>
              <w:t>Steinhauser et al. (2018)</w:t>
            </w:r>
          </w:p>
        </w:tc>
      </w:tr>
      <w:tr w:rsidR="00AE5CAC" w:rsidRPr="00355B84" w14:paraId="546DBF96" w14:textId="77777777" w:rsidTr="00355B84">
        <w:tc>
          <w:tcPr>
            <w:tcW w:w="1397" w:type="dxa"/>
            <w:tcBorders>
              <w:bottom w:val="nil"/>
            </w:tcBorders>
            <w:shd w:val="clear" w:color="000000" w:fill="E6E6E6"/>
          </w:tcPr>
          <w:p w14:paraId="3B8D917D" w14:textId="10AED3A2" w:rsidR="00AE5CAC" w:rsidRPr="00355B84" w:rsidRDefault="00AE5CAC" w:rsidP="00355B84">
            <w:pPr>
              <w:pStyle w:val="TableHeading"/>
              <w:spacing w:before="45" w:after="45"/>
              <w:rPr>
                <w:rFonts w:cs="Open Sans"/>
                <w:color w:val="1D4374"/>
              </w:rPr>
            </w:pPr>
            <w:r w:rsidRPr="00355B84">
              <w:rPr>
                <w:rFonts w:cs="Open Sans"/>
                <w:color w:val="1D4374"/>
              </w:rPr>
              <w:t>Stamp duty on conveyances</w:t>
            </w:r>
          </w:p>
        </w:tc>
        <w:tc>
          <w:tcPr>
            <w:tcW w:w="2219" w:type="dxa"/>
            <w:tcBorders>
              <w:bottom w:val="nil"/>
            </w:tcBorders>
            <w:shd w:val="clear" w:color="000000" w:fill="E6E6E6"/>
          </w:tcPr>
          <w:p w14:paraId="1DF9AD8B" w14:textId="77777777" w:rsidR="00AE5CAC" w:rsidRPr="00355B84" w:rsidRDefault="00AE5CAC" w:rsidP="00355B84">
            <w:pPr>
              <w:spacing w:before="45" w:after="45"/>
              <w:ind w:left="57" w:right="108"/>
              <w:rPr>
                <w:rFonts w:cs="Open Sans"/>
                <w:color w:val="000000"/>
                <w:sz w:val="18"/>
              </w:rPr>
            </w:pPr>
            <w:r w:rsidRPr="00355B84">
              <w:rPr>
                <w:rFonts w:cs="Open Sans"/>
                <w:color w:val="000000"/>
                <w:sz w:val="18"/>
              </w:rPr>
              <w:t xml:space="preserve">CGC data: </w:t>
            </w:r>
            <w:r w:rsidRPr="00355B84">
              <w:rPr>
                <w:rFonts w:cs="Open Sans"/>
                <w:bCs/>
                <w:color w:val="000000"/>
                <w:sz w:val="18"/>
              </w:rPr>
              <w:t>-0.29 to -0.43</w:t>
            </w:r>
            <w:r w:rsidRPr="00355B84">
              <w:rPr>
                <w:rFonts w:cs="Open Sans"/>
                <w:color w:val="000000"/>
                <w:sz w:val="18"/>
              </w:rPr>
              <w:t xml:space="preserve">. </w:t>
            </w:r>
          </w:p>
          <w:p w14:paraId="0E83701C" w14:textId="77777777" w:rsidR="00AE5CAC" w:rsidRPr="00355B84" w:rsidRDefault="00AE5CAC" w:rsidP="00355B84">
            <w:pPr>
              <w:spacing w:before="45" w:after="45"/>
              <w:ind w:left="57" w:right="108"/>
              <w:rPr>
                <w:rFonts w:cs="Open Sans"/>
                <w:color w:val="000000"/>
                <w:sz w:val="18"/>
              </w:rPr>
            </w:pPr>
            <w:r w:rsidRPr="00355B84">
              <w:rPr>
                <w:rFonts w:cs="Open Sans"/>
                <w:color w:val="000000"/>
                <w:sz w:val="18"/>
              </w:rPr>
              <w:t xml:space="preserve">CoreLogic data: </w:t>
            </w:r>
            <w:r w:rsidRPr="00355B84">
              <w:rPr>
                <w:rFonts w:cs="Open Sans"/>
                <w:bCs/>
                <w:color w:val="000000"/>
                <w:sz w:val="18"/>
              </w:rPr>
              <w:t>-0.01 to -0.37</w:t>
            </w:r>
            <w:r w:rsidRPr="00355B84">
              <w:rPr>
                <w:rFonts w:cs="Open Sans"/>
                <w:color w:val="000000"/>
                <w:sz w:val="18"/>
              </w:rPr>
              <w:t xml:space="preserve">. </w:t>
            </w:r>
          </w:p>
          <w:p w14:paraId="41134B64" w14:textId="6370A801" w:rsidR="00AE5CAC" w:rsidRPr="00355B84" w:rsidRDefault="00AE5CAC" w:rsidP="00355B84">
            <w:pPr>
              <w:pStyle w:val="TableBody"/>
              <w:spacing w:before="45" w:after="45"/>
              <w:ind w:right="108"/>
              <w:rPr>
                <w:rFonts w:cs="Open Sans"/>
                <w:color w:val="000000"/>
              </w:rPr>
            </w:pPr>
            <w:r w:rsidRPr="00355B84">
              <w:rPr>
                <w:rFonts w:cs="Open Sans"/>
                <w:color w:val="000000"/>
              </w:rPr>
              <w:lastRenderedPageBreak/>
              <w:t>Davidoff and Leigh: -0.3 to -0.6</w:t>
            </w:r>
          </w:p>
        </w:tc>
        <w:tc>
          <w:tcPr>
            <w:tcW w:w="3315" w:type="dxa"/>
            <w:tcBorders>
              <w:bottom w:val="nil"/>
            </w:tcBorders>
            <w:shd w:val="clear" w:color="000000" w:fill="E6E6E6"/>
          </w:tcPr>
          <w:p w14:paraId="1C401326" w14:textId="04E8331E" w:rsidR="00AE5CAC" w:rsidRPr="00355B84" w:rsidRDefault="00AE5CAC" w:rsidP="00355B84">
            <w:pPr>
              <w:pStyle w:val="TableBody"/>
              <w:spacing w:before="45" w:after="45"/>
              <w:ind w:right="108"/>
              <w:rPr>
                <w:rFonts w:cs="Open Sans"/>
                <w:color w:val="000000"/>
              </w:rPr>
            </w:pPr>
            <w:r w:rsidRPr="00355B84">
              <w:rPr>
                <w:rFonts w:cs="Open Sans"/>
                <w:color w:val="000000"/>
              </w:rPr>
              <w:lastRenderedPageBreak/>
              <w:t>A 10 percent increase in the tax rate reduces the overall value of sold properties by 0.1 to 6 percent.</w:t>
            </w:r>
          </w:p>
        </w:tc>
        <w:tc>
          <w:tcPr>
            <w:tcW w:w="2707" w:type="dxa"/>
            <w:tcBorders>
              <w:bottom w:val="nil"/>
            </w:tcBorders>
            <w:shd w:val="clear" w:color="000000" w:fill="E6E6E6"/>
          </w:tcPr>
          <w:p w14:paraId="612B47C8" w14:textId="434E1D65" w:rsidR="00AE5CAC" w:rsidRPr="00355B84" w:rsidRDefault="00AE5CAC" w:rsidP="00355B84">
            <w:pPr>
              <w:pStyle w:val="TableBody"/>
              <w:spacing w:before="45" w:after="45"/>
              <w:ind w:right="108"/>
              <w:rPr>
                <w:rFonts w:cs="Open Sans"/>
                <w:color w:val="000000"/>
              </w:rPr>
            </w:pPr>
            <w:r w:rsidRPr="00355B84">
              <w:rPr>
                <w:rFonts w:cs="Open Sans"/>
                <w:color w:val="000000"/>
                <w:szCs w:val="24"/>
              </w:rPr>
              <w:t>Dachis et al. (2012); Davidoff and Leigh (2013); Productivity Commission (2018); Steinhauser et al. (2018)</w:t>
            </w:r>
          </w:p>
        </w:tc>
      </w:tr>
      <w:tr w:rsidR="00AE5CAC" w:rsidRPr="00355B84" w14:paraId="330A1C6D" w14:textId="77777777" w:rsidTr="00355B84">
        <w:tc>
          <w:tcPr>
            <w:tcW w:w="1397" w:type="dxa"/>
            <w:tcBorders>
              <w:top w:val="nil"/>
              <w:bottom w:val="nil"/>
            </w:tcBorders>
            <w:shd w:val="clear" w:color="000000" w:fill="auto"/>
          </w:tcPr>
          <w:p w14:paraId="1ADF28BF" w14:textId="042499AD" w:rsidR="00AE5CAC" w:rsidRPr="00355B84" w:rsidRDefault="00AE5CAC" w:rsidP="00355B84">
            <w:pPr>
              <w:pStyle w:val="TableHeading"/>
              <w:spacing w:before="45" w:after="45"/>
              <w:rPr>
                <w:rFonts w:cs="Open Sans"/>
                <w:color w:val="1D4374"/>
              </w:rPr>
            </w:pPr>
            <w:r w:rsidRPr="00355B84">
              <w:rPr>
                <w:rFonts w:cs="Open Sans"/>
                <w:color w:val="1D4374"/>
              </w:rPr>
              <w:t>Insurance tax</w:t>
            </w:r>
          </w:p>
        </w:tc>
        <w:tc>
          <w:tcPr>
            <w:tcW w:w="2219" w:type="dxa"/>
            <w:tcBorders>
              <w:top w:val="nil"/>
              <w:bottom w:val="nil"/>
            </w:tcBorders>
            <w:shd w:val="clear" w:color="000000" w:fill="auto"/>
          </w:tcPr>
          <w:p w14:paraId="7E2ADBD5" w14:textId="0B282272" w:rsidR="00AE5CAC" w:rsidRPr="00355B84" w:rsidRDefault="00AE5CAC" w:rsidP="00355B84">
            <w:pPr>
              <w:pStyle w:val="TableBody"/>
              <w:spacing w:before="45" w:after="45"/>
              <w:ind w:right="108"/>
              <w:rPr>
                <w:rFonts w:cs="Open Sans"/>
                <w:color w:val="000000"/>
              </w:rPr>
            </w:pPr>
            <w:r w:rsidRPr="00355B84">
              <w:rPr>
                <w:rFonts w:cs="Open Sans"/>
                <w:bCs/>
                <w:color w:val="000000"/>
              </w:rPr>
              <w:t>-0.057</w:t>
            </w:r>
          </w:p>
        </w:tc>
        <w:tc>
          <w:tcPr>
            <w:tcW w:w="3315" w:type="dxa"/>
            <w:tcBorders>
              <w:top w:val="nil"/>
              <w:bottom w:val="nil"/>
            </w:tcBorders>
            <w:shd w:val="clear" w:color="000000" w:fill="auto"/>
          </w:tcPr>
          <w:p w14:paraId="4D408046" w14:textId="1DBE236B" w:rsidR="00AE5CAC" w:rsidRPr="00355B84" w:rsidRDefault="00AE5CAC" w:rsidP="00355B84">
            <w:pPr>
              <w:pStyle w:val="TableBody"/>
              <w:spacing w:before="45" w:after="45"/>
              <w:ind w:right="108"/>
              <w:rPr>
                <w:rFonts w:cs="Open Sans"/>
                <w:color w:val="000000"/>
              </w:rPr>
            </w:pPr>
            <w:r w:rsidRPr="00355B84">
              <w:rPr>
                <w:rFonts w:cs="Open Sans"/>
                <w:color w:val="000000"/>
              </w:rPr>
              <w:t>A 1 percentage point increase in the tax rate is estimated to reduce expenditure on premiums by about 0.6%.</w:t>
            </w:r>
          </w:p>
        </w:tc>
        <w:tc>
          <w:tcPr>
            <w:tcW w:w="2707" w:type="dxa"/>
            <w:tcBorders>
              <w:top w:val="nil"/>
              <w:bottom w:val="nil"/>
            </w:tcBorders>
            <w:shd w:val="clear" w:color="000000" w:fill="auto"/>
          </w:tcPr>
          <w:p w14:paraId="3E85EE0C" w14:textId="22617599" w:rsidR="00AE5CAC" w:rsidRPr="00355B84" w:rsidRDefault="00AE5CAC" w:rsidP="00355B84">
            <w:pPr>
              <w:pStyle w:val="TableBody"/>
              <w:spacing w:before="45" w:after="45"/>
              <w:ind w:right="108"/>
              <w:rPr>
                <w:rFonts w:cs="Open Sans"/>
                <w:color w:val="000000"/>
              </w:rPr>
            </w:pPr>
            <w:r w:rsidRPr="00355B84">
              <w:rPr>
                <w:rFonts w:cs="Open Sans"/>
                <w:color w:val="000000"/>
                <w:szCs w:val="24"/>
              </w:rPr>
              <w:t>Steinhauser et al. (2018)</w:t>
            </w:r>
          </w:p>
        </w:tc>
      </w:tr>
      <w:tr w:rsidR="00AE5CAC" w:rsidRPr="00355B84" w14:paraId="512500CC" w14:textId="77777777" w:rsidTr="00355B84">
        <w:tc>
          <w:tcPr>
            <w:tcW w:w="1397" w:type="dxa"/>
            <w:tcBorders>
              <w:bottom w:val="nil"/>
            </w:tcBorders>
            <w:shd w:val="clear" w:color="000000" w:fill="E6E6E6"/>
          </w:tcPr>
          <w:p w14:paraId="27262271" w14:textId="0FE92B21" w:rsidR="00AE5CAC" w:rsidRPr="00355B84" w:rsidRDefault="00AE5CAC" w:rsidP="00355B84">
            <w:pPr>
              <w:pStyle w:val="TableHeading"/>
              <w:spacing w:before="45" w:after="45"/>
              <w:rPr>
                <w:rFonts w:cs="Open Sans"/>
                <w:color w:val="1D4374"/>
              </w:rPr>
            </w:pPr>
            <w:r w:rsidRPr="00355B84">
              <w:rPr>
                <w:rFonts w:cs="Open Sans"/>
                <w:color w:val="1D4374"/>
              </w:rPr>
              <w:t>Motor taxes</w:t>
            </w:r>
          </w:p>
        </w:tc>
        <w:tc>
          <w:tcPr>
            <w:tcW w:w="2219" w:type="dxa"/>
            <w:tcBorders>
              <w:bottom w:val="nil"/>
            </w:tcBorders>
            <w:shd w:val="clear" w:color="000000" w:fill="E6E6E6"/>
          </w:tcPr>
          <w:p w14:paraId="7F283B78" w14:textId="77777777" w:rsidR="00AE5CAC" w:rsidRPr="00355B84" w:rsidRDefault="00AE5CAC" w:rsidP="00355B84">
            <w:pPr>
              <w:spacing w:before="45" w:after="45"/>
              <w:ind w:left="57" w:right="108"/>
              <w:rPr>
                <w:rFonts w:cs="Open Sans"/>
                <w:color w:val="000000"/>
                <w:sz w:val="18"/>
              </w:rPr>
            </w:pPr>
            <w:r w:rsidRPr="00355B84">
              <w:rPr>
                <w:rFonts w:cs="Open Sans"/>
                <w:color w:val="000000"/>
                <w:sz w:val="18"/>
              </w:rPr>
              <w:t xml:space="preserve">CGC data: </w:t>
            </w:r>
            <w:r w:rsidRPr="00355B84">
              <w:rPr>
                <w:rFonts w:cs="Open Sans"/>
                <w:bCs/>
                <w:color w:val="000000"/>
                <w:sz w:val="18"/>
              </w:rPr>
              <w:t>-0.056</w:t>
            </w:r>
            <w:r w:rsidRPr="00355B84">
              <w:rPr>
                <w:rFonts w:cs="Open Sans"/>
                <w:color w:val="000000"/>
                <w:sz w:val="18"/>
              </w:rPr>
              <w:t xml:space="preserve">. </w:t>
            </w:r>
          </w:p>
          <w:p w14:paraId="7D0407EA" w14:textId="457E6A6C" w:rsidR="00AE5CAC" w:rsidRPr="00355B84" w:rsidRDefault="00AE5CAC" w:rsidP="00355B84">
            <w:pPr>
              <w:pStyle w:val="TableBody"/>
              <w:spacing w:before="45" w:after="45"/>
              <w:ind w:right="108"/>
              <w:rPr>
                <w:rFonts w:cs="Open Sans"/>
                <w:color w:val="000000"/>
              </w:rPr>
            </w:pPr>
            <w:r w:rsidRPr="00355B84">
              <w:rPr>
                <w:rFonts w:cs="Open Sans"/>
                <w:color w:val="000000"/>
              </w:rPr>
              <w:t xml:space="preserve">HILDA data: </w:t>
            </w:r>
            <w:r w:rsidRPr="00355B84">
              <w:rPr>
                <w:rFonts w:cs="Open Sans"/>
                <w:bCs/>
                <w:color w:val="000000"/>
              </w:rPr>
              <w:t>-0.035</w:t>
            </w:r>
            <w:r w:rsidRPr="00355B84">
              <w:rPr>
                <w:rFonts w:cs="Open Sans"/>
                <w:color w:val="000000"/>
              </w:rPr>
              <w:t xml:space="preserve">. </w:t>
            </w:r>
          </w:p>
        </w:tc>
        <w:tc>
          <w:tcPr>
            <w:tcW w:w="3315" w:type="dxa"/>
            <w:tcBorders>
              <w:bottom w:val="nil"/>
            </w:tcBorders>
            <w:shd w:val="clear" w:color="000000" w:fill="E6E6E6"/>
          </w:tcPr>
          <w:p w14:paraId="1EB0850F" w14:textId="1DC58695" w:rsidR="00AE5CAC" w:rsidRPr="00355B84" w:rsidRDefault="00AE5CAC" w:rsidP="00355B84">
            <w:pPr>
              <w:pStyle w:val="TableBody"/>
              <w:spacing w:before="45" w:after="45"/>
              <w:ind w:right="108"/>
              <w:rPr>
                <w:rFonts w:cs="Open Sans"/>
                <w:color w:val="000000"/>
              </w:rPr>
            </w:pPr>
            <w:r w:rsidRPr="00355B84">
              <w:rPr>
                <w:rFonts w:cs="Open Sans"/>
                <w:color w:val="000000"/>
                <w:szCs w:val="24"/>
              </w:rPr>
              <w:t>A 10 percent increase in licence fees reduces vehicle ownership by 0.4 to 0.6 percent.</w:t>
            </w:r>
          </w:p>
        </w:tc>
        <w:tc>
          <w:tcPr>
            <w:tcW w:w="2707" w:type="dxa"/>
            <w:tcBorders>
              <w:bottom w:val="nil"/>
            </w:tcBorders>
            <w:shd w:val="clear" w:color="000000" w:fill="E6E6E6"/>
          </w:tcPr>
          <w:p w14:paraId="74ED5D66" w14:textId="3DC8B156" w:rsidR="00AE5CAC" w:rsidRPr="00355B84" w:rsidRDefault="00AE5CAC" w:rsidP="00355B84">
            <w:pPr>
              <w:pStyle w:val="TableBody"/>
              <w:spacing w:before="45" w:after="45"/>
              <w:ind w:right="108"/>
              <w:rPr>
                <w:rFonts w:cs="Open Sans"/>
                <w:color w:val="000000"/>
              </w:rPr>
            </w:pPr>
            <w:r w:rsidRPr="00355B84">
              <w:rPr>
                <w:rFonts w:cs="Open Sans"/>
                <w:color w:val="000000"/>
                <w:szCs w:val="24"/>
              </w:rPr>
              <w:t>Steinhauser et al. (2018)</w:t>
            </w:r>
          </w:p>
        </w:tc>
      </w:tr>
      <w:tr w:rsidR="00AE5CAC" w:rsidRPr="00355B84" w14:paraId="20A4DFC9" w14:textId="77777777" w:rsidTr="00355B84">
        <w:tc>
          <w:tcPr>
            <w:tcW w:w="1397" w:type="dxa"/>
            <w:tcBorders>
              <w:top w:val="nil"/>
            </w:tcBorders>
            <w:shd w:val="clear" w:color="000000" w:fill="auto"/>
          </w:tcPr>
          <w:p w14:paraId="369E6D11" w14:textId="5BF0F57F" w:rsidR="00AE5CAC" w:rsidRPr="00355B84" w:rsidRDefault="00AE5CAC" w:rsidP="00355B84">
            <w:pPr>
              <w:pStyle w:val="TableHeading"/>
              <w:spacing w:before="45" w:after="45"/>
              <w:rPr>
                <w:rFonts w:cs="Open Sans"/>
                <w:color w:val="1D4374"/>
              </w:rPr>
            </w:pPr>
            <w:r w:rsidRPr="00355B84">
              <w:rPr>
                <w:rFonts w:cs="Open Sans"/>
                <w:color w:val="1D4374"/>
              </w:rPr>
              <w:t>Mining royalties</w:t>
            </w:r>
          </w:p>
        </w:tc>
        <w:tc>
          <w:tcPr>
            <w:tcW w:w="5534" w:type="dxa"/>
            <w:gridSpan w:val="2"/>
            <w:tcBorders>
              <w:top w:val="nil"/>
            </w:tcBorders>
            <w:shd w:val="clear" w:color="000000" w:fill="auto"/>
          </w:tcPr>
          <w:p w14:paraId="60BADB42" w14:textId="25AA4671" w:rsidR="00AE5CAC" w:rsidRPr="00355B84" w:rsidRDefault="00AE5CAC" w:rsidP="00355B84">
            <w:pPr>
              <w:pStyle w:val="TableBody"/>
              <w:spacing w:before="45" w:after="45"/>
              <w:ind w:right="108"/>
              <w:rPr>
                <w:rFonts w:cs="Open Sans"/>
                <w:color w:val="000000"/>
                <w:szCs w:val="24"/>
              </w:rPr>
            </w:pPr>
            <w:r w:rsidRPr="00355B84">
              <w:rPr>
                <w:rFonts w:cs="Open Sans"/>
                <w:bCs/>
                <w:color w:val="000000"/>
              </w:rPr>
              <w:t>The geographic distribution of different minerals, as well as their quality and value, preclude the calculation of a</w:t>
            </w:r>
            <w:r w:rsidRPr="00355B84">
              <w:rPr>
                <w:rFonts w:cs="Open Sans"/>
                <w:color w:val="000000"/>
              </w:rPr>
              <w:t xml:space="preserve"> </w:t>
            </w:r>
            <w:r w:rsidRPr="00355B84">
              <w:rPr>
                <w:rFonts w:cs="Open Sans"/>
                <w:bCs/>
                <w:color w:val="000000"/>
              </w:rPr>
              <w:t xml:space="preserve">robust elasticity capturing the demand for minerals in Australia in response to changes in mining royalty rate. A range of </w:t>
            </w:r>
            <w:r w:rsidR="00E6666D" w:rsidRPr="00355B84">
              <w:rPr>
                <w:rFonts w:cs="Open Sans"/>
                <w:bCs/>
                <w:color w:val="000000"/>
              </w:rPr>
              <w:t xml:space="preserve">global mineral-specific rates can be found in </w:t>
            </w:r>
            <w:proofErr w:type="spellStart"/>
            <w:r w:rsidR="00762E00" w:rsidRPr="00355B84">
              <w:rPr>
                <w:rFonts w:cs="Open Sans"/>
                <w:color w:val="000000"/>
                <w:szCs w:val="24"/>
              </w:rPr>
              <w:t>Shojaeddini</w:t>
            </w:r>
            <w:proofErr w:type="spellEnd"/>
            <w:r w:rsidR="00762E00" w:rsidRPr="00355B84">
              <w:rPr>
                <w:rFonts w:cs="Open Sans"/>
                <w:color w:val="000000"/>
                <w:szCs w:val="24"/>
              </w:rPr>
              <w:t xml:space="preserve"> et al. (2025);</w:t>
            </w:r>
          </w:p>
        </w:tc>
        <w:tc>
          <w:tcPr>
            <w:tcW w:w="2707" w:type="dxa"/>
            <w:tcBorders>
              <w:top w:val="nil"/>
            </w:tcBorders>
            <w:shd w:val="clear" w:color="000000" w:fill="auto"/>
          </w:tcPr>
          <w:p w14:paraId="7B7A5F3F" w14:textId="553FAC60" w:rsidR="00AE5CAC" w:rsidRPr="00355B84" w:rsidRDefault="00762E00" w:rsidP="00355B84">
            <w:pPr>
              <w:pStyle w:val="TableBody"/>
              <w:spacing w:before="45" w:after="45"/>
              <w:ind w:right="108"/>
              <w:rPr>
                <w:rFonts w:cs="Open Sans"/>
                <w:color w:val="000000"/>
                <w:szCs w:val="24"/>
              </w:rPr>
            </w:pPr>
            <w:r w:rsidRPr="00D6338D">
              <w:rPr>
                <w:rFonts w:cs="Open Sans"/>
                <w:color w:val="000000"/>
                <w:szCs w:val="24"/>
                <w:lang w:val="fr-CA"/>
              </w:rPr>
              <w:t>Shojaeddini et al. (2025); Steinhauser et al. </w:t>
            </w:r>
            <w:r w:rsidRPr="00355B84">
              <w:rPr>
                <w:rFonts w:cs="Open Sans"/>
                <w:color w:val="000000"/>
                <w:szCs w:val="24"/>
              </w:rPr>
              <w:t>(2018)</w:t>
            </w:r>
          </w:p>
        </w:tc>
      </w:tr>
    </w:tbl>
    <w:p w14:paraId="59CC09E4" w14:textId="77777777" w:rsidR="00770236" w:rsidRDefault="00770236" w:rsidP="00770236">
      <w:pPr>
        <w:pStyle w:val="BodyText"/>
      </w:pPr>
    </w:p>
    <w:p w14:paraId="78958054" w14:textId="56176009" w:rsidR="00807DF8" w:rsidRDefault="00807DF8" w:rsidP="00807DF8">
      <w:pPr>
        <w:pStyle w:val="Heading3-noTOC"/>
      </w:pPr>
      <w:r>
        <w:t>Assumptions</w:t>
      </w:r>
    </w:p>
    <w:p w14:paraId="690F3E9B" w14:textId="37721878" w:rsidR="005B427B" w:rsidRPr="001C515C" w:rsidRDefault="005B427B" w:rsidP="005B427B">
      <w:pPr>
        <w:rPr>
          <w:spacing w:val="-2"/>
        </w:rPr>
      </w:pPr>
      <w:r w:rsidRPr="001C515C">
        <w:rPr>
          <w:spacing w:val="-2"/>
        </w:rPr>
        <w:t>While we use evidence to model the expected effects of tax reform, the results can be highly sensitive to key assumptions, particularly those relating to behavioural responses and broader economy-wide effects.</w:t>
      </w:r>
    </w:p>
    <w:p w14:paraId="5B8DFF09" w14:textId="1E2ECCD3" w:rsidR="005B427B" w:rsidRPr="005B427B" w:rsidRDefault="005B427B" w:rsidP="005B427B">
      <w:pPr>
        <w:pStyle w:val="FigureTableHeading"/>
      </w:pPr>
      <w:r>
        <w:t>Table C.</w:t>
      </w:r>
      <w:fldSimple w:instr=" SEQ Table \* ARABIC \s 1 ">
        <w:r w:rsidR="002D76C4">
          <w:rPr>
            <w:noProof/>
          </w:rPr>
          <w:t>26</w:t>
        </w:r>
      </w:fldSimple>
      <w:r>
        <w:rPr>
          <w:noProof/>
        </w:rPr>
        <w:t xml:space="preserve">– </w:t>
      </w:r>
      <w:r w:rsidR="0012389C">
        <w:t xml:space="preserve">Reform </w:t>
      </w:r>
      <w:r>
        <w:t>cameo</w:t>
      </w:r>
      <w:r w:rsidR="0012389C">
        <w:t xml:space="preserve">s specific </w:t>
      </w:r>
      <w:r>
        <w:t>assumptions</w:t>
      </w:r>
    </w:p>
    <w:tbl>
      <w:tblPr>
        <w:tblW w:w="0" w:type="auto"/>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3521"/>
        <w:gridCol w:w="6117"/>
      </w:tblGrid>
      <w:tr w:rsidR="00A96558" w:rsidRPr="00F40FC3" w14:paraId="53CA7913" w14:textId="77777777" w:rsidTr="00F40FC3">
        <w:trPr>
          <w:tblHeader/>
        </w:trPr>
        <w:tc>
          <w:tcPr>
            <w:tcW w:w="3521" w:type="dxa"/>
            <w:tcBorders>
              <w:bottom w:val="single" w:sz="4" w:space="0" w:color="B3B3B3"/>
            </w:tcBorders>
            <w:shd w:val="clear" w:color="000000" w:fill="auto"/>
            <w:tcMar>
              <w:top w:w="57" w:type="dxa"/>
              <w:left w:w="57" w:type="dxa"/>
              <w:bottom w:w="57" w:type="dxa"/>
              <w:right w:w="85" w:type="dxa"/>
            </w:tcMar>
            <w:vAlign w:val="bottom"/>
            <w:hideMark/>
          </w:tcPr>
          <w:p w14:paraId="1A690BA2" w14:textId="77777777" w:rsidR="00A96558" w:rsidRPr="00F40FC3" w:rsidRDefault="00A96558" w:rsidP="00F40FC3">
            <w:pPr>
              <w:spacing w:before="45" w:after="45"/>
              <w:ind w:left="57" w:right="108"/>
              <w:rPr>
                <w:rFonts w:cs="Open Sans"/>
                <w:b/>
                <w:color w:val="1D4374"/>
                <w:sz w:val="18"/>
              </w:rPr>
            </w:pPr>
            <w:r w:rsidRPr="00F40FC3">
              <w:rPr>
                <w:rFonts w:cs="Open Sans"/>
                <w:b/>
                <w:color w:val="1D4374"/>
                <w:sz w:val="18"/>
              </w:rPr>
              <w:t>Assumption</w:t>
            </w:r>
          </w:p>
        </w:tc>
        <w:tc>
          <w:tcPr>
            <w:tcW w:w="6117" w:type="dxa"/>
            <w:tcBorders>
              <w:bottom w:val="single" w:sz="4" w:space="0" w:color="B3B3B3"/>
            </w:tcBorders>
            <w:shd w:val="clear" w:color="000000" w:fill="auto"/>
            <w:tcMar>
              <w:top w:w="57" w:type="dxa"/>
              <w:left w:w="57" w:type="dxa"/>
              <w:bottom w:w="57" w:type="dxa"/>
              <w:right w:w="85" w:type="dxa"/>
            </w:tcMar>
            <w:vAlign w:val="bottom"/>
            <w:hideMark/>
          </w:tcPr>
          <w:p w14:paraId="72B2E364" w14:textId="77777777" w:rsidR="00A96558" w:rsidRPr="00F40FC3" w:rsidRDefault="00A96558" w:rsidP="00F40FC3">
            <w:pPr>
              <w:spacing w:before="45" w:after="45"/>
              <w:ind w:left="57" w:right="108"/>
              <w:rPr>
                <w:rFonts w:cs="Open Sans"/>
                <w:b/>
                <w:color w:val="1D4374"/>
                <w:sz w:val="18"/>
              </w:rPr>
            </w:pPr>
            <w:r w:rsidRPr="00F40FC3">
              <w:rPr>
                <w:rFonts w:cs="Open Sans"/>
                <w:b/>
                <w:color w:val="1D4374"/>
                <w:sz w:val="18"/>
              </w:rPr>
              <w:t>Implication</w:t>
            </w:r>
          </w:p>
        </w:tc>
      </w:tr>
      <w:tr w:rsidR="00A96558" w:rsidRPr="00F40FC3" w14:paraId="5FE2EA3C" w14:textId="77777777" w:rsidTr="00F40FC3">
        <w:tc>
          <w:tcPr>
            <w:tcW w:w="3521" w:type="dxa"/>
            <w:tcBorders>
              <w:top w:val="single" w:sz="4" w:space="0" w:color="B3B3B3"/>
              <w:bottom w:val="nil"/>
            </w:tcBorders>
            <w:shd w:val="clear" w:color="000000" w:fill="E6E6E6"/>
            <w:tcMar>
              <w:top w:w="57" w:type="dxa"/>
              <w:left w:w="57" w:type="dxa"/>
              <w:bottom w:w="57" w:type="dxa"/>
              <w:right w:w="85" w:type="dxa"/>
            </w:tcMar>
          </w:tcPr>
          <w:p w14:paraId="1993B096" w14:textId="7ED01061" w:rsidR="00A96558" w:rsidRPr="002A6C32" w:rsidRDefault="00B41D17" w:rsidP="002A6C32">
            <w:pPr>
              <w:pStyle w:val="TableBody"/>
            </w:pPr>
            <w:r w:rsidRPr="002A6C32">
              <w:t>2024–25</w:t>
            </w:r>
            <w:r w:rsidR="005E6FC4" w:rsidRPr="002A6C32">
              <w:t xml:space="preserve"> assessment data are held constant.</w:t>
            </w:r>
          </w:p>
        </w:tc>
        <w:tc>
          <w:tcPr>
            <w:tcW w:w="6117" w:type="dxa"/>
            <w:tcBorders>
              <w:top w:val="single" w:sz="4" w:space="0" w:color="B3B3B3"/>
              <w:bottom w:val="nil"/>
            </w:tcBorders>
            <w:shd w:val="clear" w:color="000000" w:fill="E6E6E6"/>
            <w:tcMar>
              <w:top w:w="57" w:type="dxa"/>
              <w:left w:w="57" w:type="dxa"/>
              <w:bottom w:w="57" w:type="dxa"/>
              <w:right w:w="85" w:type="dxa"/>
            </w:tcMar>
          </w:tcPr>
          <w:p w14:paraId="1ED15627" w14:textId="30227786" w:rsidR="00A96558" w:rsidRPr="00F40FC3" w:rsidRDefault="005E6FC4" w:rsidP="002A6C32">
            <w:pPr>
              <w:pStyle w:val="TableBody"/>
              <w:rPr>
                <w:color w:val="000000"/>
              </w:rPr>
            </w:pPr>
            <w:r w:rsidRPr="00F40FC3">
              <w:rPr>
                <w:color w:val="000000"/>
              </w:rPr>
              <w:t>Results are mechanical comparative estimates, not forecasts of future GST pools, tax bases, populations, assessment values or future CGC methodology.</w:t>
            </w:r>
          </w:p>
        </w:tc>
      </w:tr>
      <w:tr w:rsidR="00A96558" w:rsidRPr="00F40FC3" w14:paraId="6A0A46EA" w14:textId="77777777" w:rsidTr="00F40FC3">
        <w:tc>
          <w:tcPr>
            <w:tcW w:w="3521" w:type="dxa"/>
            <w:tcBorders>
              <w:top w:val="nil"/>
              <w:bottom w:val="nil"/>
            </w:tcBorders>
            <w:shd w:val="clear" w:color="000000" w:fill="auto"/>
            <w:tcMar>
              <w:top w:w="57" w:type="dxa"/>
              <w:left w:w="57" w:type="dxa"/>
              <w:bottom w:w="57" w:type="dxa"/>
              <w:right w:w="85" w:type="dxa"/>
            </w:tcMar>
          </w:tcPr>
          <w:p w14:paraId="1F40F85C" w14:textId="29B68F0C" w:rsidR="00A96558" w:rsidRPr="002A6C32" w:rsidRDefault="00087094" w:rsidP="002A6C32">
            <w:pPr>
              <w:pStyle w:val="TableBody"/>
            </w:pPr>
            <w:r w:rsidRPr="002A6C32">
              <w:t>Results are reported as “mature static effects” with dat</w:t>
            </w:r>
            <w:r w:rsidR="00F93B76" w:rsidRPr="002A6C32">
              <w:t xml:space="preserve">es </w:t>
            </w:r>
            <w:r w:rsidR="00207DCD" w:rsidRPr="002A6C32">
              <w:t xml:space="preserve">only used to reflect the </w:t>
            </w:r>
            <w:r w:rsidRPr="002A6C32">
              <w:t>assessment structure.</w:t>
            </w:r>
          </w:p>
        </w:tc>
        <w:tc>
          <w:tcPr>
            <w:tcW w:w="6117" w:type="dxa"/>
            <w:tcBorders>
              <w:top w:val="nil"/>
              <w:bottom w:val="nil"/>
            </w:tcBorders>
            <w:shd w:val="clear" w:color="000000" w:fill="auto"/>
            <w:tcMar>
              <w:top w:w="57" w:type="dxa"/>
              <w:left w:w="57" w:type="dxa"/>
              <w:bottom w:w="57" w:type="dxa"/>
              <w:right w:w="85" w:type="dxa"/>
            </w:tcMar>
          </w:tcPr>
          <w:p w14:paraId="6CCF5C06" w14:textId="1C8CB024" w:rsidR="00A96558" w:rsidRPr="00F40FC3" w:rsidRDefault="00F37946" w:rsidP="002A6C32">
            <w:pPr>
              <w:pStyle w:val="TableBody"/>
              <w:rPr>
                <w:color w:val="000000"/>
              </w:rPr>
            </w:pPr>
            <w:r w:rsidRPr="00F40FC3">
              <w:rPr>
                <w:color w:val="000000"/>
              </w:rPr>
              <w:t>The reported result represents the effect once the reform is reflected in all three assessment years; it should not be interpreted as a forecast for a particular future financial year.</w:t>
            </w:r>
          </w:p>
        </w:tc>
      </w:tr>
      <w:tr w:rsidR="00207DCD" w:rsidRPr="00F40FC3" w14:paraId="50DF72C6" w14:textId="77777777" w:rsidTr="00F40FC3">
        <w:tc>
          <w:tcPr>
            <w:tcW w:w="3521" w:type="dxa"/>
            <w:tcBorders>
              <w:bottom w:val="nil"/>
            </w:tcBorders>
            <w:shd w:val="clear" w:color="000000" w:fill="E6E6E6"/>
            <w:tcMar>
              <w:top w:w="57" w:type="dxa"/>
              <w:left w:w="57" w:type="dxa"/>
              <w:bottom w:w="57" w:type="dxa"/>
              <w:right w:w="85" w:type="dxa"/>
            </w:tcMar>
          </w:tcPr>
          <w:p w14:paraId="4E2A7E36" w14:textId="772F0683" w:rsidR="00207DCD" w:rsidRPr="002A6C32" w:rsidRDefault="00207DCD" w:rsidP="002A6C32">
            <w:pPr>
              <w:pStyle w:val="TableBody"/>
            </w:pPr>
            <w:r w:rsidRPr="002A6C32">
              <w:t>Broader fiscal and economic effects are excluded.</w:t>
            </w:r>
          </w:p>
        </w:tc>
        <w:tc>
          <w:tcPr>
            <w:tcW w:w="6117" w:type="dxa"/>
            <w:tcBorders>
              <w:bottom w:val="nil"/>
            </w:tcBorders>
            <w:shd w:val="clear" w:color="000000" w:fill="E6E6E6"/>
            <w:tcMar>
              <w:top w:w="57" w:type="dxa"/>
              <w:left w:w="57" w:type="dxa"/>
              <w:bottom w:w="57" w:type="dxa"/>
              <w:right w:w="85" w:type="dxa"/>
            </w:tcMar>
          </w:tcPr>
          <w:p w14:paraId="4F38CB63" w14:textId="6219C659" w:rsidR="00207DCD" w:rsidRPr="00F40FC3" w:rsidRDefault="00207DCD" w:rsidP="002A6C32">
            <w:pPr>
              <w:pStyle w:val="TableBody"/>
              <w:rPr>
                <w:color w:val="000000"/>
              </w:rPr>
            </w:pPr>
            <w:r w:rsidRPr="00F40FC3">
              <w:rPr>
                <w:color w:val="000000"/>
              </w:rPr>
              <w:t>Results measure GST-related payment effects only and does not reflect potential broader housing-market, insurance-market, distributional or transition effects. As such, results should not be interpreted as the net benefit or cost of the underlying reform.</w:t>
            </w:r>
          </w:p>
        </w:tc>
      </w:tr>
      <w:tr w:rsidR="00207DCD" w:rsidRPr="00F40FC3" w14:paraId="179EE7A8" w14:textId="77777777" w:rsidTr="00F40FC3">
        <w:tc>
          <w:tcPr>
            <w:tcW w:w="3521" w:type="dxa"/>
            <w:tcBorders>
              <w:top w:val="nil"/>
              <w:bottom w:val="nil"/>
            </w:tcBorders>
            <w:shd w:val="clear" w:color="000000" w:fill="auto"/>
            <w:tcMar>
              <w:top w:w="57" w:type="dxa"/>
              <w:left w:w="57" w:type="dxa"/>
              <w:bottom w:w="57" w:type="dxa"/>
              <w:right w:w="85" w:type="dxa"/>
            </w:tcMar>
          </w:tcPr>
          <w:p w14:paraId="274F7F36" w14:textId="718B93DC" w:rsidR="00207DCD" w:rsidRPr="002A6C32" w:rsidRDefault="00207DCD" w:rsidP="002A6C32">
            <w:pPr>
              <w:pStyle w:val="TableBody"/>
            </w:pPr>
            <w:r w:rsidRPr="002A6C32">
              <w:t>Insurance-tax reform is modelled as 100% abolition</w:t>
            </w:r>
          </w:p>
        </w:tc>
        <w:tc>
          <w:tcPr>
            <w:tcW w:w="6117" w:type="dxa"/>
            <w:tcBorders>
              <w:top w:val="nil"/>
              <w:bottom w:val="nil"/>
            </w:tcBorders>
            <w:shd w:val="clear" w:color="000000" w:fill="auto"/>
            <w:tcMar>
              <w:top w:w="57" w:type="dxa"/>
              <w:left w:w="57" w:type="dxa"/>
              <w:bottom w:w="57" w:type="dxa"/>
              <w:right w:w="85" w:type="dxa"/>
            </w:tcMar>
          </w:tcPr>
          <w:p w14:paraId="5B744C45" w14:textId="3505780E" w:rsidR="00207DCD" w:rsidRPr="00F40FC3" w:rsidRDefault="00207DCD" w:rsidP="002A6C32">
            <w:pPr>
              <w:pStyle w:val="TableBody"/>
              <w:rPr>
                <w:color w:val="000000"/>
              </w:rPr>
            </w:pPr>
            <w:r w:rsidRPr="00F40FC3">
              <w:rPr>
                <w:color w:val="000000"/>
              </w:rPr>
              <w:t>GST effects vary with the assumed behavioural increase in the insurance-premium base; ranges should be reported where the two elasticity assumptions produce different results.</w:t>
            </w:r>
          </w:p>
        </w:tc>
      </w:tr>
      <w:tr w:rsidR="00207DCD" w:rsidRPr="00F40FC3" w14:paraId="5655404E" w14:textId="77777777" w:rsidTr="00F40FC3">
        <w:tc>
          <w:tcPr>
            <w:tcW w:w="3521" w:type="dxa"/>
            <w:tcBorders>
              <w:bottom w:val="nil"/>
            </w:tcBorders>
            <w:shd w:val="clear" w:color="000000" w:fill="E6E6E6"/>
            <w:tcMar>
              <w:top w:w="57" w:type="dxa"/>
              <w:left w:w="57" w:type="dxa"/>
              <w:bottom w:w="57" w:type="dxa"/>
              <w:right w:w="85" w:type="dxa"/>
            </w:tcMar>
          </w:tcPr>
          <w:p w14:paraId="54BF5EB4" w14:textId="29F472F7" w:rsidR="00207DCD" w:rsidRPr="002A6C32" w:rsidRDefault="00207DCD" w:rsidP="002A6C32">
            <w:pPr>
              <w:pStyle w:val="TableBody"/>
            </w:pPr>
            <w:r w:rsidRPr="002A6C32">
              <w:t>Stamp-duty reform is modelled as 100% abolition of conveyance duty, replaced by a broad land tax that is revenue-neutral.</w:t>
            </w:r>
          </w:p>
        </w:tc>
        <w:tc>
          <w:tcPr>
            <w:tcW w:w="6117" w:type="dxa"/>
            <w:tcBorders>
              <w:bottom w:val="nil"/>
            </w:tcBorders>
            <w:shd w:val="clear" w:color="000000" w:fill="E6E6E6"/>
            <w:tcMar>
              <w:top w:w="57" w:type="dxa"/>
              <w:left w:w="57" w:type="dxa"/>
              <w:bottom w:w="57" w:type="dxa"/>
              <w:right w:w="85" w:type="dxa"/>
            </w:tcMar>
          </w:tcPr>
          <w:p w14:paraId="4CA0F7F5" w14:textId="1392C04A" w:rsidR="00207DCD" w:rsidRPr="002A6C32" w:rsidRDefault="00207DCD" w:rsidP="002A6C32">
            <w:pPr>
              <w:pStyle w:val="TableBody"/>
              <w:rPr>
                <w:color w:val="000000"/>
                <w:spacing w:val="-2"/>
              </w:rPr>
            </w:pPr>
            <w:r w:rsidRPr="002A6C32">
              <w:rPr>
                <w:color w:val="000000"/>
                <w:spacing w:val="-2"/>
              </w:rPr>
              <w:t>The results can be highly sensitive to the behavioural assumption. The ABS total-land-value measure is a proxy for the broad land-tax base rather than necessarily the base a future CGC assessment would adopt.</w:t>
            </w:r>
          </w:p>
        </w:tc>
      </w:tr>
      <w:tr w:rsidR="00207DCD" w:rsidRPr="00F40FC3" w14:paraId="07FD2FE8" w14:textId="77777777" w:rsidTr="00F40FC3">
        <w:tc>
          <w:tcPr>
            <w:tcW w:w="3521" w:type="dxa"/>
            <w:tcBorders>
              <w:top w:val="nil"/>
            </w:tcBorders>
            <w:shd w:val="clear" w:color="000000" w:fill="auto"/>
            <w:tcMar>
              <w:top w:w="57" w:type="dxa"/>
              <w:left w:w="57" w:type="dxa"/>
              <w:bottom w:w="57" w:type="dxa"/>
              <w:right w:w="85" w:type="dxa"/>
            </w:tcMar>
          </w:tcPr>
          <w:p w14:paraId="6898E6B5" w14:textId="17555131" w:rsidR="00207DCD" w:rsidRPr="002A6C32" w:rsidRDefault="00207DCD" w:rsidP="002A6C32">
            <w:pPr>
              <w:pStyle w:val="TableBody"/>
            </w:pPr>
            <w:r w:rsidRPr="002A6C32">
              <w:lastRenderedPageBreak/>
              <w:t>Future CGC treatment is assumed rather than predicted.</w:t>
            </w:r>
          </w:p>
        </w:tc>
        <w:tc>
          <w:tcPr>
            <w:tcW w:w="6117" w:type="dxa"/>
            <w:tcBorders>
              <w:top w:val="nil"/>
            </w:tcBorders>
            <w:shd w:val="clear" w:color="000000" w:fill="auto"/>
            <w:tcMar>
              <w:top w:w="57" w:type="dxa"/>
              <w:left w:w="57" w:type="dxa"/>
              <w:bottom w:w="57" w:type="dxa"/>
              <w:right w:w="85" w:type="dxa"/>
            </w:tcMar>
          </w:tcPr>
          <w:p w14:paraId="4CD7A5B7" w14:textId="550DE035" w:rsidR="00207DCD" w:rsidRPr="002A6C32" w:rsidRDefault="00207DCD" w:rsidP="002A6C32">
            <w:pPr>
              <w:pStyle w:val="TableBody"/>
              <w:rPr>
                <w:color w:val="000000"/>
                <w:spacing w:val="-4"/>
              </w:rPr>
            </w:pPr>
            <w:r w:rsidRPr="002A6C32">
              <w:rPr>
                <w:color w:val="000000"/>
                <w:spacing w:val="-4"/>
              </w:rPr>
              <w:t>The modelling does not imply that the CGC would use the same tax base, elasticity, reform classification or methodology in a future assessment.</w:t>
            </w:r>
          </w:p>
        </w:tc>
      </w:tr>
    </w:tbl>
    <w:p w14:paraId="1E6922DE" w14:textId="68D36850" w:rsidR="00807DF8" w:rsidRDefault="00EA1C85" w:rsidP="00B14074">
      <w:pPr>
        <w:pStyle w:val="Heading2-Appendix"/>
        <w:tabs>
          <w:tab w:val="left" w:pos="851"/>
          <w:tab w:val="left" w:pos="5246"/>
        </w:tabs>
      </w:pPr>
      <w:r>
        <w:t>C</w:t>
      </w:r>
      <w:r w:rsidR="00807DF8">
        <w:t>ommodit</w:t>
      </w:r>
      <w:r w:rsidR="00650EE3">
        <w:t xml:space="preserve">y price </w:t>
      </w:r>
      <w:r w:rsidR="00FF5F54">
        <w:t xml:space="preserve">hypotheticals </w:t>
      </w:r>
    </w:p>
    <w:p w14:paraId="426B6F0C" w14:textId="77777777" w:rsidR="00807DF8" w:rsidRDefault="00807DF8" w:rsidP="00807DF8">
      <w:pPr>
        <w:pStyle w:val="Heading3-noTOC"/>
      </w:pPr>
      <w:r>
        <w:t>Purpose</w:t>
      </w:r>
    </w:p>
    <w:tbl>
      <w:tblPr>
        <w:tblW w:w="0" w:type="auto"/>
        <w:tblBorders>
          <w:top w:val="single" w:sz="8" w:space="0" w:color="B3B3B3"/>
          <w:bottom w:val="single" w:sz="8" w:space="0" w:color="B3B3B3"/>
          <w:insideH w:val="single" w:sz="8" w:space="0" w:color="B3B3B3"/>
        </w:tblBorders>
        <w:tblCellMar>
          <w:left w:w="0" w:type="dxa"/>
          <w:right w:w="0" w:type="dxa"/>
        </w:tblCellMar>
        <w:tblLook w:val="04A0" w:firstRow="1" w:lastRow="0" w:firstColumn="1" w:lastColumn="0" w:noHBand="0" w:noVBand="1"/>
      </w:tblPr>
      <w:tblGrid>
        <w:gridCol w:w="1989"/>
        <w:gridCol w:w="7649"/>
      </w:tblGrid>
      <w:tr w:rsidR="00807DF8" w14:paraId="4316D2C6" w14:textId="77777777" w:rsidTr="006B7021">
        <w:tc>
          <w:tcPr>
            <w:tcW w:w="0" w:type="auto"/>
            <w:tcMar>
              <w:top w:w="57" w:type="dxa"/>
              <w:left w:w="57" w:type="dxa"/>
              <w:bottom w:w="57" w:type="dxa"/>
              <w:right w:w="85" w:type="dxa"/>
            </w:tcMar>
            <w:hideMark/>
          </w:tcPr>
          <w:p w14:paraId="2E9000E1" w14:textId="271B414E" w:rsidR="00807DF8" w:rsidRDefault="004D7483" w:rsidP="00A46A19">
            <w:pPr>
              <w:pStyle w:val="TableHeading"/>
              <w:ind w:left="0"/>
              <w:rPr>
                <w:kern w:val="2"/>
                <w:szCs w:val="18"/>
                <w:lang w:eastAsia="zh-CN" w:bidi="th-TH"/>
                <w14:ligatures w14:val="standardContextual"/>
              </w:rPr>
            </w:pPr>
            <w:r>
              <w:t>Question addressed</w:t>
            </w:r>
          </w:p>
        </w:tc>
        <w:tc>
          <w:tcPr>
            <w:tcW w:w="0" w:type="auto"/>
            <w:tcMar>
              <w:top w:w="57" w:type="dxa"/>
              <w:left w:w="57" w:type="dxa"/>
              <w:bottom w:w="57" w:type="dxa"/>
              <w:right w:w="85" w:type="dxa"/>
            </w:tcMar>
            <w:hideMark/>
          </w:tcPr>
          <w:p w14:paraId="657E8DE7" w14:textId="00F93505" w:rsidR="00807DF8" w:rsidRPr="00D1187D" w:rsidRDefault="00D1187D" w:rsidP="00D1187D">
            <w:pPr>
              <w:pStyle w:val="TableBody"/>
              <w:rPr>
                <w:kern w:val="2"/>
                <w:szCs w:val="18"/>
                <w:lang w:eastAsia="zh-CN" w:bidi="th-TH"/>
                <w14:ligatures w14:val="standardContextual"/>
              </w:rPr>
            </w:pPr>
            <w:r>
              <w:t xml:space="preserve">What commodity price paths are plausible under </w:t>
            </w:r>
            <w:r w:rsidR="00A46A19">
              <w:t>different</w:t>
            </w:r>
            <w:r>
              <w:t xml:space="preserve"> hypothetical scenario</w:t>
            </w:r>
            <w:r w:rsidR="00A46A19">
              <w:t>s</w:t>
            </w:r>
            <w:r>
              <w:t>?</w:t>
            </w:r>
          </w:p>
        </w:tc>
      </w:tr>
      <w:tr w:rsidR="00807DF8" w14:paraId="00F27B73" w14:textId="77777777" w:rsidTr="006B7021">
        <w:tc>
          <w:tcPr>
            <w:tcW w:w="0" w:type="auto"/>
            <w:tcMar>
              <w:top w:w="57" w:type="dxa"/>
              <w:left w:w="57" w:type="dxa"/>
              <w:bottom w:w="57" w:type="dxa"/>
              <w:right w:w="85" w:type="dxa"/>
            </w:tcMar>
            <w:hideMark/>
          </w:tcPr>
          <w:p w14:paraId="5DA0D96F" w14:textId="77777777" w:rsidR="00807DF8" w:rsidRDefault="00807DF8">
            <w:pPr>
              <w:pStyle w:val="TableHeading"/>
            </w:pPr>
            <w:r>
              <w:t>Scope</w:t>
            </w:r>
          </w:p>
        </w:tc>
        <w:tc>
          <w:tcPr>
            <w:tcW w:w="0" w:type="auto"/>
            <w:tcMar>
              <w:top w:w="57" w:type="dxa"/>
              <w:left w:w="57" w:type="dxa"/>
              <w:bottom w:w="57" w:type="dxa"/>
              <w:right w:w="85" w:type="dxa"/>
            </w:tcMar>
          </w:tcPr>
          <w:p w14:paraId="7EC2598D" w14:textId="7A4C3EA6" w:rsidR="00BC1B0D" w:rsidRPr="00D04F47" w:rsidRDefault="00D04F47" w:rsidP="00D04F47">
            <w:pPr>
              <w:pStyle w:val="TableBody"/>
              <w:rPr>
                <w:kern w:val="2"/>
                <w:szCs w:val="18"/>
                <w:lang w:eastAsia="zh-CN" w:bidi="th-TH"/>
                <w14:ligatures w14:val="standardContextual"/>
              </w:rPr>
            </w:pPr>
            <w:r>
              <w:rPr>
                <w:color w:val="000000"/>
              </w:rPr>
              <w:t>Price and production scenarios for iron ore, metallurgical coal and thermal coal, 2025 to 2035.</w:t>
            </w:r>
          </w:p>
        </w:tc>
      </w:tr>
      <w:tr w:rsidR="00807DF8" w14:paraId="747882F8" w14:textId="77777777" w:rsidTr="006B7021">
        <w:tc>
          <w:tcPr>
            <w:tcW w:w="0" w:type="auto"/>
            <w:tcMar>
              <w:top w:w="57" w:type="dxa"/>
              <w:left w:w="57" w:type="dxa"/>
              <w:bottom w:w="57" w:type="dxa"/>
              <w:right w:w="85" w:type="dxa"/>
            </w:tcMar>
            <w:hideMark/>
          </w:tcPr>
          <w:p w14:paraId="71769CC0" w14:textId="7806D20F" w:rsidR="00807DF8" w:rsidRDefault="00807DF8">
            <w:pPr>
              <w:pStyle w:val="TableHeading"/>
            </w:pPr>
            <w:r>
              <w:t>Use</w:t>
            </w:r>
            <w:r w:rsidR="00622A4C">
              <w:t>d in</w:t>
            </w:r>
          </w:p>
        </w:tc>
        <w:tc>
          <w:tcPr>
            <w:tcW w:w="0" w:type="auto"/>
            <w:tcMar>
              <w:top w:w="57" w:type="dxa"/>
              <w:left w:w="57" w:type="dxa"/>
              <w:bottom w:w="57" w:type="dxa"/>
              <w:right w:w="85" w:type="dxa"/>
            </w:tcMar>
            <w:hideMark/>
          </w:tcPr>
          <w:p w14:paraId="38CB90A3" w14:textId="46ED35B0" w:rsidR="00807DF8" w:rsidRDefault="00077650" w:rsidP="0000334D">
            <w:pPr>
              <w:pStyle w:val="TableBody"/>
            </w:pPr>
            <w:r>
              <w:t>Table 3.</w:t>
            </w:r>
            <w:r w:rsidR="00E958C9">
              <w:t>4</w:t>
            </w:r>
          </w:p>
        </w:tc>
      </w:tr>
    </w:tbl>
    <w:p w14:paraId="4E45686B" w14:textId="77777777" w:rsidR="00807DF8" w:rsidRDefault="00807DF8" w:rsidP="00807DF8">
      <w:pPr>
        <w:pStyle w:val="Heading3-noTOC"/>
      </w:pPr>
      <w:r>
        <w:t>Method</w:t>
      </w:r>
    </w:p>
    <w:p w14:paraId="57C3A251" w14:textId="63939375" w:rsidR="00807DF8" w:rsidRDefault="001442D8" w:rsidP="00807DF8">
      <w:r>
        <w:t xml:space="preserve">Hypothetical prices are </w:t>
      </w:r>
      <w:r w:rsidR="00CF3D82">
        <w:t xml:space="preserve">derived </w:t>
      </w:r>
      <w:r w:rsidR="00CF3D82" w:rsidRPr="00EA1C85">
        <w:t xml:space="preserve">using </w:t>
      </w:r>
      <w:r w:rsidRPr="00EA1C85">
        <w:t>scenario-based structural market approach. For</w:t>
      </w:r>
      <w:r w:rsidRPr="001442D8">
        <w:t xml:space="preserve"> iron ore and metallurgical coal, </w:t>
      </w:r>
      <w:r w:rsidR="00F10173">
        <w:t>the model</w:t>
      </w:r>
      <w:r w:rsidRPr="001442D8">
        <w:t xml:space="preserve"> flexes</w:t>
      </w:r>
      <w:r w:rsidR="003867C1">
        <w:t xml:space="preserve"> </w:t>
      </w:r>
      <w:r w:rsidRPr="001442D8">
        <w:t>key assumptions around steel demand, steelmaking technology, domestic production and competing seaborne supply to estimate the residual call on Australian supply. For thermal coal, it adjusts the seaborne market balance more directly. These market outcomes are then mapped onto global cost curves to identify the marginal producer and derive indicative benchmark prices for each scenario.</w:t>
      </w:r>
    </w:p>
    <w:p w14:paraId="43EB6398" w14:textId="2B80A8B3" w:rsidR="000B74BF" w:rsidRDefault="000B74BF" w:rsidP="000B74BF">
      <w:pPr>
        <w:pStyle w:val="FigureTableHeading"/>
      </w:pPr>
      <w:bookmarkStart w:id="12" w:name="_Ref237431828"/>
      <w:bookmarkStart w:id="13" w:name="_Ref237431781"/>
      <w:r>
        <w:t xml:space="preserve">Table </w:t>
      </w:r>
      <w:r w:rsidR="009F5DAA">
        <w:t>C</w:t>
      </w:r>
      <w:r>
        <w:t>.</w:t>
      </w:r>
      <w:bookmarkEnd w:id="12"/>
      <w:r w:rsidR="00117B96">
        <w:fldChar w:fldCharType="begin"/>
      </w:r>
      <w:r w:rsidR="00117B96">
        <w:instrText xml:space="preserve"> SEQ Table \* ARABIC \s 1 </w:instrText>
      </w:r>
      <w:r w:rsidR="00117B96">
        <w:fldChar w:fldCharType="separate"/>
      </w:r>
      <w:r w:rsidR="002D76C4">
        <w:rPr>
          <w:noProof/>
        </w:rPr>
        <w:t>27</w:t>
      </w:r>
      <w:r w:rsidR="00117B96">
        <w:rPr>
          <w:noProof/>
        </w:rPr>
        <w:fldChar w:fldCharType="end"/>
      </w:r>
      <w:r>
        <w:rPr>
          <w:noProof/>
        </w:rPr>
        <w:t xml:space="preserve">– </w:t>
      </w:r>
      <w:r>
        <w:t xml:space="preserve">Commodity </w:t>
      </w:r>
      <w:r w:rsidR="00650EE3">
        <w:t xml:space="preserve">price </w:t>
      </w:r>
      <w:bookmarkEnd w:id="13"/>
      <w:r w:rsidR="00FF5F54">
        <w:t xml:space="preserve">hypotheticals </w:t>
      </w:r>
      <w:r w:rsidR="00650EE3">
        <w:t>steps</w:t>
      </w:r>
    </w:p>
    <w:tbl>
      <w:tblPr>
        <w:tblStyle w:val="ProductivityCommissionTable2-Dark"/>
        <w:tblW w:w="0" w:type="auto"/>
        <w:tblBorders>
          <w:insideH w:val="none" w:sz="0" w:space="0" w:color="auto"/>
        </w:tblBorders>
        <w:shd w:val="clear" w:color="000000" w:fill="auto"/>
        <w:tblCellMar>
          <w:top w:w="0" w:type="dxa"/>
          <w:left w:w="0" w:type="dxa"/>
          <w:bottom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282"/>
        <w:gridCol w:w="9356"/>
      </w:tblGrid>
      <w:tr w:rsidR="005D0EB3" w:rsidRPr="002C0EFF" w14:paraId="34FCAA72" w14:textId="77777777" w:rsidTr="002C0E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B3B3B3"/>
            </w:tcBorders>
            <w:shd w:val="clear" w:color="000000" w:fill="auto"/>
            <w:vAlign w:val="bottom"/>
          </w:tcPr>
          <w:p w14:paraId="0736E847" w14:textId="0796C9F2" w:rsidR="005D0EB3" w:rsidRPr="005D0EB3" w:rsidRDefault="000B74BF" w:rsidP="005D0EB3">
            <w:pPr>
              <w:spacing w:before="45" w:after="45"/>
              <w:ind w:left="57" w:right="108"/>
              <w:rPr>
                <w:rFonts w:cs="Open Sans"/>
                <w:color w:val="1D4374"/>
                <w:sz w:val="18"/>
              </w:rPr>
            </w:pPr>
            <w:r>
              <w:rPr>
                <w:rFonts w:cs="Open Sans"/>
                <w:bCs/>
                <w:color w:val="1D4374"/>
                <w:sz w:val="18"/>
              </w:rPr>
              <w:t>#</w:t>
            </w:r>
          </w:p>
        </w:tc>
        <w:tc>
          <w:tcPr>
            <w:tcW w:w="0" w:type="auto"/>
            <w:tcBorders>
              <w:bottom w:val="single" w:sz="4" w:space="0" w:color="B3B3B3"/>
            </w:tcBorders>
            <w:shd w:val="clear" w:color="000000" w:fill="auto"/>
            <w:vAlign w:val="bottom"/>
          </w:tcPr>
          <w:p w14:paraId="6079A004" w14:textId="000D71DB" w:rsidR="005D0EB3" w:rsidRPr="005D0EB3" w:rsidRDefault="000B74BF" w:rsidP="005D0EB3">
            <w:pPr>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Pr>
                <w:rFonts w:cs="Open Sans"/>
                <w:bCs/>
                <w:color w:val="1D4374"/>
                <w:sz w:val="18"/>
              </w:rPr>
              <w:t>Step</w:t>
            </w:r>
          </w:p>
        </w:tc>
      </w:tr>
      <w:tr w:rsidR="005D0EB3" w:rsidRPr="002C0EFF" w14:paraId="181C82B9" w14:textId="77777777" w:rsidTr="002C0E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3B3B3"/>
              <w:bottom w:val="nil"/>
            </w:tcBorders>
            <w:shd w:val="clear" w:color="000000" w:fill="E6E6E6"/>
            <w:hideMark/>
          </w:tcPr>
          <w:p w14:paraId="5C23ADF4" w14:textId="03950655" w:rsidR="005D0EB3" w:rsidRPr="002C0EFF" w:rsidRDefault="005D0EB3" w:rsidP="005D0EB3">
            <w:pPr>
              <w:pStyle w:val="TableBody"/>
              <w:spacing w:before="45" w:after="45"/>
              <w:ind w:right="108"/>
              <w:rPr>
                <w:rFonts w:cs="Open Sans"/>
                <w:color w:val="1D4374"/>
                <w:lang w:eastAsia="zh-CN" w:bidi="th-TH"/>
              </w:rPr>
            </w:pPr>
            <w:r w:rsidRPr="002C0EFF">
              <w:rPr>
                <w:rFonts w:cs="Open Sans"/>
                <w:color w:val="1D4374"/>
                <w:lang w:bidi="th-TH"/>
              </w:rPr>
              <w:t>1</w:t>
            </w:r>
          </w:p>
        </w:tc>
        <w:tc>
          <w:tcPr>
            <w:tcW w:w="0" w:type="auto"/>
            <w:tcBorders>
              <w:top w:val="single" w:sz="4" w:space="0" w:color="B3B3B3"/>
              <w:bottom w:val="nil"/>
            </w:tcBorders>
            <w:shd w:val="clear" w:color="000000" w:fill="E6E6E6"/>
            <w:hideMark/>
          </w:tcPr>
          <w:p w14:paraId="5FD561F9" w14:textId="0A95AD28" w:rsidR="005D0EB3" w:rsidRPr="005D0EB3" w:rsidRDefault="002C0EFF" w:rsidP="005D0EB3">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2C0EFF">
              <w:rPr>
                <w:rFonts w:cs="Open Sans"/>
                <w:bCs/>
                <w:color w:val="000000"/>
              </w:rPr>
              <w:t>Establish the baseline market outlook</w:t>
            </w:r>
            <w:r w:rsidRPr="002C0EFF">
              <w:rPr>
                <w:rFonts w:cs="Open Sans"/>
                <w:color w:val="000000"/>
              </w:rPr>
              <w:t xml:space="preserve"> using underlying assumptions for steel demand, steel production, steelmaking technology, domestic commodity production, seaborne trade and global supply for iron ore, metallurgical coal and thermal coal.</w:t>
            </w:r>
          </w:p>
        </w:tc>
      </w:tr>
      <w:tr w:rsidR="005D0EB3" w:rsidRPr="002C0EFF" w14:paraId="6A2D4A4B" w14:textId="77777777" w:rsidTr="002C0EFF">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000000" w:fill="auto"/>
          </w:tcPr>
          <w:p w14:paraId="18CFB0F3" w14:textId="18D550AC" w:rsidR="005D0EB3" w:rsidRPr="002C0EFF" w:rsidRDefault="005D0EB3" w:rsidP="005D0EB3">
            <w:pPr>
              <w:pStyle w:val="TableBody"/>
              <w:spacing w:before="45" w:after="45"/>
              <w:ind w:right="108"/>
              <w:rPr>
                <w:rFonts w:cs="Open Sans"/>
                <w:color w:val="1D4374"/>
              </w:rPr>
            </w:pPr>
            <w:r w:rsidRPr="002C0EFF">
              <w:rPr>
                <w:rFonts w:cs="Open Sans"/>
                <w:color w:val="1D4374"/>
              </w:rPr>
              <w:t>2</w:t>
            </w:r>
          </w:p>
        </w:tc>
        <w:tc>
          <w:tcPr>
            <w:tcW w:w="0" w:type="auto"/>
            <w:tcBorders>
              <w:top w:val="nil"/>
              <w:bottom w:val="nil"/>
            </w:tcBorders>
            <w:shd w:val="clear" w:color="000000" w:fill="auto"/>
          </w:tcPr>
          <w:p w14:paraId="72C42787" w14:textId="59A4D46D" w:rsidR="005D0EB3" w:rsidRPr="005D0EB3" w:rsidRDefault="002C0EFF" w:rsidP="005D0EB3">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2C0EFF">
              <w:rPr>
                <w:rFonts w:cs="Open Sans"/>
                <w:bCs/>
                <w:color w:val="000000"/>
              </w:rPr>
              <w:t>Define alternative structural scenarios</w:t>
            </w:r>
            <w:r w:rsidRPr="002C0EFF">
              <w:rPr>
                <w:rFonts w:cs="Open Sans"/>
                <w:color w:val="000000"/>
              </w:rPr>
              <w:t xml:space="preserve"> by varying the key long-run drivers of commodity demand and supply, including Chinese and Indian steel demand, steel exports, blast furnace penetration, scrap use and the timing or scale of competing supply.</w:t>
            </w:r>
          </w:p>
        </w:tc>
      </w:tr>
      <w:tr w:rsidR="005D0EB3" w:rsidRPr="002C0EFF" w14:paraId="293A6AFB" w14:textId="77777777" w:rsidTr="002C0E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000000" w:fill="E6E6E6"/>
          </w:tcPr>
          <w:p w14:paraId="668820F2" w14:textId="0A692CCD" w:rsidR="005D0EB3" w:rsidRPr="002C0EFF" w:rsidRDefault="005D0EB3" w:rsidP="005D0EB3">
            <w:pPr>
              <w:pStyle w:val="TableBody"/>
              <w:spacing w:before="45" w:after="45"/>
              <w:ind w:right="108"/>
              <w:rPr>
                <w:rFonts w:cs="Open Sans"/>
                <w:color w:val="1D4374"/>
              </w:rPr>
            </w:pPr>
            <w:r w:rsidRPr="002C0EFF">
              <w:rPr>
                <w:rFonts w:cs="Open Sans"/>
                <w:color w:val="1D4374"/>
              </w:rPr>
              <w:t>3</w:t>
            </w:r>
          </w:p>
        </w:tc>
        <w:tc>
          <w:tcPr>
            <w:tcW w:w="0" w:type="auto"/>
            <w:tcBorders>
              <w:bottom w:val="nil"/>
            </w:tcBorders>
            <w:shd w:val="clear" w:color="000000" w:fill="E6E6E6"/>
          </w:tcPr>
          <w:p w14:paraId="0F64CDDE" w14:textId="71C97E64" w:rsidR="005D0EB3" w:rsidRPr="005D0EB3" w:rsidRDefault="002C0EFF" w:rsidP="005D0EB3">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2C0EFF">
              <w:rPr>
                <w:rFonts w:cs="Open Sans"/>
                <w:bCs/>
                <w:color w:val="000000"/>
              </w:rPr>
              <w:t>Translate the scenario assumptions into commodity demand requirements</w:t>
            </w:r>
            <w:r w:rsidRPr="002C0EFF">
              <w:rPr>
                <w:rFonts w:cs="Open Sans"/>
                <w:color w:val="000000"/>
              </w:rPr>
              <w:t xml:space="preserve"> by estimating the effect of changes in steel production and steelmaking technology on iron ore and metallurgical coal consumption, including the amount of demand that must be met through seaborne markets.</w:t>
            </w:r>
          </w:p>
        </w:tc>
      </w:tr>
      <w:tr w:rsidR="005D0EB3" w:rsidRPr="002C0EFF" w14:paraId="7BA0C098" w14:textId="77777777" w:rsidTr="002C0EFF">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000000" w:fill="auto"/>
          </w:tcPr>
          <w:p w14:paraId="4126F4E7" w14:textId="5D3641AF" w:rsidR="005D0EB3" w:rsidRPr="002C0EFF" w:rsidRDefault="005D0EB3" w:rsidP="005D0EB3">
            <w:pPr>
              <w:pStyle w:val="TableBody"/>
              <w:spacing w:before="45" w:after="45"/>
              <w:ind w:right="108"/>
              <w:rPr>
                <w:rFonts w:cs="Open Sans"/>
                <w:color w:val="1D4374"/>
              </w:rPr>
            </w:pPr>
            <w:r w:rsidRPr="002C0EFF">
              <w:rPr>
                <w:rFonts w:cs="Open Sans"/>
                <w:color w:val="1D4374"/>
              </w:rPr>
              <w:t>4</w:t>
            </w:r>
          </w:p>
        </w:tc>
        <w:tc>
          <w:tcPr>
            <w:tcW w:w="0" w:type="auto"/>
            <w:tcBorders>
              <w:top w:val="nil"/>
              <w:bottom w:val="nil"/>
            </w:tcBorders>
            <w:shd w:val="clear" w:color="000000" w:fill="auto"/>
          </w:tcPr>
          <w:p w14:paraId="0E8E13F8" w14:textId="068AAC93" w:rsidR="005D0EB3" w:rsidRPr="005D0EB3" w:rsidRDefault="002C0EFF" w:rsidP="005D0EB3">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2C0EFF">
              <w:rPr>
                <w:rFonts w:cs="Open Sans"/>
                <w:bCs/>
                <w:color w:val="000000"/>
              </w:rPr>
              <w:t>Adjust competing domestic and seaborne supply</w:t>
            </w:r>
            <w:r w:rsidRPr="002C0EFF">
              <w:rPr>
                <w:rFonts w:cs="Open Sans"/>
                <w:color w:val="000000"/>
              </w:rPr>
              <w:t xml:space="preserve"> for iron ore and metallurgical coal, including production from major suppliers such as China, India, Brazil, Guinea, Mongolia, Russia and North America, to determine how much of global demand remains available to Australian producers.</w:t>
            </w:r>
          </w:p>
        </w:tc>
      </w:tr>
      <w:tr w:rsidR="005D0EB3" w:rsidRPr="002C0EFF" w14:paraId="076F6794" w14:textId="77777777" w:rsidTr="002C0E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000000" w:fill="E6E6E6"/>
          </w:tcPr>
          <w:p w14:paraId="61098D90" w14:textId="751A34DB" w:rsidR="005D0EB3" w:rsidRPr="002C0EFF" w:rsidRDefault="005D0EB3" w:rsidP="005D0EB3">
            <w:pPr>
              <w:pStyle w:val="TableBody"/>
              <w:spacing w:before="45" w:after="45"/>
              <w:ind w:right="108"/>
              <w:rPr>
                <w:rFonts w:cs="Open Sans"/>
                <w:color w:val="1D4374"/>
              </w:rPr>
            </w:pPr>
            <w:r w:rsidRPr="002C0EFF">
              <w:rPr>
                <w:rFonts w:cs="Open Sans"/>
                <w:color w:val="1D4374"/>
              </w:rPr>
              <w:t>5</w:t>
            </w:r>
          </w:p>
        </w:tc>
        <w:tc>
          <w:tcPr>
            <w:tcW w:w="0" w:type="auto"/>
            <w:tcBorders>
              <w:bottom w:val="nil"/>
            </w:tcBorders>
            <w:shd w:val="clear" w:color="000000" w:fill="E6E6E6"/>
          </w:tcPr>
          <w:p w14:paraId="4688C160" w14:textId="5EB780FB" w:rsidR="005D0EB3" w:rsidRPr="005D0EB3" w:rsidRDefault="002C0EFF" w:rsidP="005D0EB3">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2C0EFF">
              <w:rPr>
                <w:rFonts w:cs="Open Sans"/>
                <w:bCs/>
                <w:color w:val="000000"/>
              </w:rPr>
              <w:t>Estimate the residual call on Australian iron ore and metallurgical coal supply</w:t>
            </w:r>
            <w:r w:rsidRPr="002C0EFF">
              <w:rPr>
                <w:rFonts w:cs="Open Sans"/>
                <w:color w:val="000000"/>
              </w:rPr>
              <w:t xml:space="preserve"> after accounting for global demand, domestic production and competing exports. This determines the volume of Australian production required to balance the market under each scenario.</w:t>
            </w:r>
          </w:p>
        </w:tc>
      </w:tr>
      <w:tr w:rsidR="005D0EB3" w:rsidRPr="002C0EFF" w14:paraId="5460DB43" w14:textId="77777777" w:rsidTr="002C0EFF">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000000" w:fill="auto"/>
          </w:tcPr>
          <w:p w14:paraId="08B0124F" w14:textId="53B43AED" w:rsidR="005D0EB3" w:rsidRPr="002C0EFF" w:rsidRDefault="005D0EB3" w:rsidP="005D0EB3">
            <w:pPr>
              <w:pStyle w:val="TableBody"/>
              <w:spacing w:before="45" w:after="45"/>
              <w:ind w:right="108"/>
              <w:rPr>
                <w:rFonts w:cs="Open Sans"/>
                <w:color w:val="1D4374"/>
              </w:rPr>
            </w:pPr>
            <w:r w:rsidRPr="002C0EFF">
              <w:rPr>
                <w:rFonts w:cs="Open Sans"/>
                <w:color w:val="1D4374"/>
              </w:rPr>
              <w:lastRenderedPageBreak/>
              <w:t>6</w:t>
            </w:r>
          </w:p>
        </w:tc>
        <w:tc>
          <w:tcPr>
            <w:tcW w:w="0" w:type="auto"/>
            <w:tcBorders>
              <w:top w:val="nil"/>
              <w:bottom w:val="nil"/>
            </w:tcBorders>
            <w:shd w:val="clear" w:color="000000" w:fill="auto"/>
          </w:tcPr>
          <w:p w14:paraId="65BB0FFA" w14:textId="378DB43B" w:rsidR="005D0EB3" w:rsidRPr="005D0EB3" w:rsidRDefault="002C0EFF" w:rsidP="005D0EB3">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bCs/>
                <w:color w:val="000000"/>
              </w:rPr>
            </w:pPr>
            <w:r w:rsidRPr="002C0EFF">
              <w:rPr>
                <w:rFonts w:cs="Open Sans"/>
                <w:bCs/>
                <w:color w:val="000000"/>
              </w:rPr>
              <w:t>Model thermal coal separately through the seaborne market balance</w:t>
            </w:r>
            <w:r w:rsidRPr="002C0EFF">
              <w:rPr>
                <w:rFonts w:cs="Open Sans"/>
                <w:color w:val="000000"/>
              </w:rPr>
              <w:t>, applying scenario assumptions to the size of the contestable seaborne market and the supply required to meet it, rather than using the detailed steel-production framework applied to iron ore and metallurgical coal.</w:t>
            </w:r>
          </w:p>
        </w:tc>
      </w:tr>
      <w:tr w:rsidR="005D0EB3" w:rsidRPr="002C0EFF" w14:paraId="065667DD" w14:textId="77777777" w:rsidTr="002C0E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000000" w:fill="E6E6E6"/>
          </w:tcPr>
          <w:p w14:paraId="541EC5C5" w14:textId="30626741" w:rsidR="005D0EB3" w:rsidRPr="002C0EFF" w:rsidRDefault="005D0EB3" w:rsidP="005D0EB3">
            <w:pPr>
              <w:pStyle w:val="TableBody"/>
              <w:spacing w:before="45" w:after="45"/>
              <w:ind w:right="108"/>
              <w:rPr>
                <w:rFonts w:cs="Open Sans"/>
                <w:color w:val="1D4374"/>
              </w:rPr>
            </w:pPr>
            <w:r w:rsidRPr="002C0EFF">
              <w:rPr>
                <w:rFonts w:cs="Open Sans"/>
                <w:color w:val="1D4374"/>
              </w:rPr>
              <w:t>7</w:t>
            </w:r>
          </w:p>
        </w:tc>
        <w:tc>
          <w:tcPr>
            <w:tcW w:w="0" w:type="auto"/>
            <w:tcBorders>
              <w:bottom w:val="nil"/>
            </w:tcBorders>
            <w:shd w:val="clear" w:color="000000" w:fill="E6E6E6"/>
          </w:tcPr>
          <w:p w14:paraId="3B960BFB" w14:textId="448A41AC" w:rsidR="005D0EB3" w:rsidRPr="005D0EB3" w:rsidRDefault="002C0EFF" w:rsidP="005D0EB3">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bCs/>
                <w:color w:val="000000"/>
              </w:rPr>
            </w:pPr>
            <w:r w:rsidRPr="002C0EFF">
              <w:rPr>
                <w:rFonts w:cs="Open Sans"/>
                <w:bCs/>
                <w:color w:val="000000"/>
              </w:rPr>
              <w:t>Map required production onto global supply cost curves</w:t>
            </w:r>
            <w:r w:rsidRPr="002C0EFF">
              <w:rPr>
                <w:rFonts w:cs="Open Sans"/>
                <w:color w:val="000000"/>
              </w:rPr>
              <w:t xml:space="preserve"> to identify the marginal producer or relevant cost percentile under each scenario. Higher or lower demand for marginal supply changes the point at which each market clears.</w:t>
            </w:r>
          </w:p>
        </w:tc>
      </w:tr>
      <w:tr w:rsidR="005D0EB3" w:rsidRPr="002C0EFF" w14:paraId="308F9C40" w14:textId="77777777" w:rsidTr="002C0EFF">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000000" w:fill="auto"/>
          </w:tcPr>
          <w:p w14:paraId="1581DA41" w14:textId="15CA468F" w:rsidR="005D0EB3" w:rsidRPr="002C0EFF" w:rsidRDefault="005D0EB3" w:rsidP="005D0EB3">
            <w:pPr>
              <w:pStyle w:val="TableBody"/>
              <w:spacing w:before="45" w:after="45"/>
              <w:ind w:right="108"/>
              <w:rPr>
                <w:rFonts w:cs="Open Sans"/>
                <w:color w:val="1D4374"/>
              </w:rPr>
            </w:pPr>
            <w:r w:rsidRPr="002C0EFF">
              <w:rPr>
                <w:rFonts w:cs="Open Sans"/>
                <w:color w:val="1D4374"/>
              </w:rPr>
              <w:t>8</w:t>
            </w:r>
          </w:p>
        </w:tc>
        <w:tc>
          <w:tcPr>
            <w:tcW w:w="0" w:type="auto"/>
            <w:tcBorders>
              <w:top w:val="nil"/>
            </w:tcBorders>
            <w:shd w:val="clear" w:color="000000" w:fill="auto"/>
          </w:tcPr>
          <w:p w14:paraId="319EB4EC" w14:textId="35749CEA" w:rsidR="005D0EB3" w:rsidRPr="005D0EB3" w:rsidRDefault="002C0EFF" w:rsidP="005D0EB3">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bCs/>
                <w:color w:val="000000"/>
              </w:rPr>
            </w:pPr>
            <w:r w:rsidRPr="002C0EFF">
              <w:rPr>
                <w:rFonts w:cs="Open Sans"/>
                <w:bCs/>
                <w:color w:val="000000"/>
              </w:rPr>
              <w:t>Derive and reconcile the scenario outcomes</w:t>
            </w:r>
            <w:r w:rsidRPr="002C0EFF">
              <w:rPr>
                <w:rFonts w:cs="Open Sans"/>
                <w:color w:val="000000"/>
              </w:rPr>
              <w:t>, converting the marginal cost-curve position into indicative benchmark commodity prices and summarising the corresponding price and Australian production outcomes for 2030 and 2035.</w:t>
            </w:r>
          </w:p>
        </w:tc>
      </w:tr>
    </w:tbl>
    <w:p w14:paraId="3C4F0506" w14:textId="628B9905" w:rsidR="00FF410A" w:rsidRDefault="00FF410A" w:rsidP="008D2253">
      <w:pPr>
        <w:pStyle w:val="BodyText"/>
      </w:pPr>
      <w:r>
        <w:t xml:space="preserve">The </w:t>
      </w:r>
      <w:r w:rsidR="00DC392E">
        <w:t>key</w:t>
      </w:r>
      <w:r>
        <w:t xml:space="preserve"> flex variables </w:t>
      </w:r>
      <w:r w:rsidR="00F213A5">
        <w:t xml:space="preserve">used in </w:t>
      </w:r>
      <w:r w:rsidR="001D551E">
        <w:t xml:space="preserve">steps </w:t>
      </w:r>
      <w:r w:rsidR="00E14327">
        <w:t>3-</w:t>
      </w:r>
      <w:r w:rsidR="00C51FF0">
        <w:t xml:space="preserve">6 </w:t>
      </w:r>
      <w:r w:rsidR="00F213A5">
        <w:t xml:space="preserve">of </w:t>
      </w:r>
      <w:r w:rsidR="008D2253">
        <w:t>t</w:t>
      </w:r>
      <w:r w:rsidR="00810A11">
        <w:t>able C.</w:t>
      </w:r>
      <w:r w:rsidR="008D2253">
        <w:t>28</w:t>
      </w:r>
      <w:r w:rsidR="00F213A5">
        <w:t xml:space="preserve"> </w:t>
      </w:r>
      <w:r w:rsidR="001024A3">
        <w:t>are listed below</w:t>
      </w:r>
      <w:r w:rsidR="00C51FF0">
        <w:t xml:space="preserve">. </w:t>
      </w:r>
      <w:r w:rsidR="00486B97" w:rsidRPr="00486B97">
        <w:t>These variables were identified through expert advice and validated through consultation.</w:t>
      </w:r>
    </w:p>
    <w:p w14:paraId="6C25075C" w14:textId="1BF5A9D4" w:rsidR="00472B1E" w:rsidRDefault="00472B1E" w:rsidP="00A46A19">
      <w:pPr>
        <w:pStyle w:val="FigureTableHeading"/>
      </w:pPr>
      <w:r>
        <w:t xml:space="preserve">Table </w:t>
      </w:r>
      <w:r w:rsidR="00A46A19">
        <w:t>C</w:t>
      </w:r>
      <w:r>
        <w:t>.</w:t>
      </w:r>
      <w:fldSimple w:instr=" SEQ Table \* ARABIC \s 1 ">
        <w:r w:rsidR="002D76C4">
          <w:rPr>
            <w:noProof/>
          </w:rPr>
          <w:t>28</w:t>
        </w:r>
      </w:fldSimple>
      <w:r w:rsidR="00461EED">
        <w:rPr>
          <w:noProof/>
        </w:rPr>
        <w:t xml:space="preserve"> </w:t>
      </w:r>
      <w:r>
        <w:rPr>
          <w:noProof/>
        </w:rPr>
        <w:t xml:space="preserve">– </w:t>
      </w:r>
      <w:r w:rsidR="004A2B74">
        <w:t>Commodity</w:t>
      </w:r>
      <w:r>
        <w:t xml:space="preserve"> </w:t>
      </w:r>
      <w:r w:rsidR="00C875A9">
        <w:t xml:space="preserve">price </w:t>
      </w:r>
      <w:r w:rsidR="00FF5F54">
        <w:t xml:space="preserve">hypotheticals </w:t>
      </w:r>
      <w:r>
        <w:t xml:space="preserve">key </w:t>
      </w:r>
      <w:r w:rsidR="001024A3">
        <w:t xml:space="preserve">flex </w:t>
      </w:r>
      <w:r>
        <w:t>variables</w:t>
      </w:r>
      <w:r w:rsidR="005D52F1">
        <w:t xml:space="preserve"> </w:t>
      </w:r>
    </w:p>
    <w:tbl>
      <w:tblPr>
        <w:tblW w:w="0" w:type="auto"/>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971"/>
        <w:gridCol w:w="3416"/>
        <w:gridCol w:w="2126"/>
      </w:tblGrid>
      <w:tr w:rsidR="00077688" w:rsidRPr="008D2253" w14:paraId="1E250423" w14:textId="77777777" w:rsidTr="008D2253">
        <w:trPr>
          <w:tblHeader/>
        </w:trPr>
        <w:tc>
          <w:tcPr>
            <w:tcW w:w="1971" w:type="dxa"/>
            <w:tcBorders>
              <w:bottom w:val="single" w:sz="4" w:space="0" w:color="B3B3B3"/>
            </w:tcBorders>
            <w:shd w:val="clear" w:color="000000" w:fill="auto"/>
            <w:vAlign w:val="bottom"/>
          </w:tcPr>
          <w:p w14:paraId="60018BA5" w14:textId="2D4BE3C6" w:rsidR="00077688" w:rsidRPr="008D2253" w:rsidRDefault="00A31FA0" w:rsidP="008D2253">
            <w:pPr>
              <w:spacing w:before="45" w:after="45"/>
              <w:ind w:left="57" w:right="108"/>
              <w:rPr>
                <w:rFonts w:cs="Open Sans"/>
                <w:b/>
                <w:color w:val="1D4374"/>
                <w:sz w:val="18"/>
              </w:rPr>
            </w:pPr>
            <w:r w:rsidRPr="008D2253">
              <w:rPr>
                <w:rFonts w:cs="Open Sans"/>
                <w:b/>
                <w:color w:val="1D4374"/>
                <w:sz w:val="18"/>
              </w:rPr>
              <w:t>Domain</w:t>
            </w:r>
          </w:p>
        </w:tc>
        <w:tc>
          <w:tcPr>
            <w:tcW w:w="3416" w:type="dxa"/>
            <w:tcBorders>
              <w:bottom w:val="single" w:sz="4" w:space="0" w:color="B3B3B3"/>
            </w:tcBorders>
            <w:shd w:val="clear" w:color="000000" w:fill="auto"/>
            <w:vAlign w:val="bottom"/>
          </w:tcPr>
          <w:p w14:paraId="365725D0" w14:textId="37A427BD" w:rsidR="00077688" w:rsidRPr="008D2253" w:rsidRDefault="00077688" w:rsidP="008D2253">
            <w:pPr>
              <w:pStyle w:val="TableHeading"/>
              <w:spacing w:before="45" w:after="45"/>
              <w:rPr>
                <w:rFonts w:cs="Open Sans"/>
                <w:color w:val="1D4374"/>
              </w:rPr>
            </w:pPr>
            <w:r w:rsidRPr="008D2253">
              <w:rPr>
                <w:rFonts w:cs="Open Sans"/>
                <w:color w:val="1D4374"/>
              </w:rPr>
              <w:t>Key</w:t>
            </w:r>
            <w:r w:rsidR="00F078D4" w:rsidRPr="008D2253">
              <w:rPr>
                <w:rFonts w:cs="Open Sans"/>
                <w:color w:val="1D4374"/>
              </w:rPr>
              <w:t xml:space="preserve"> flex</w:t>
            </w:r>
            <w:r w:rsidRPr="008D2253">
              <w:rPr>
                <w:rFonts w:cs="Open Sans"/>
                <w:color w:val="1D4374"/>
              </w:rPr>
              <w:t xml:space="preserve"> variable</w:t>
            </w:r>
            <w:r w:rsidR="004534CC" w:rsidRPr="008D2253">
              <w:rPr>
                <w:rFonts w:cs="Open Sans"/>
                <w:color w:val="1D4374"/>
              </w:rPr>
              <w:t>s</w:t>
            </w:r>
          </w:p>
        </w:tc>
        <w:tc>
          <w:tcPr>
            <w:tcW w:w="2126" w:type="dxa"/>
            <w:tcBorders>
              <w:bottom w:val="single" w:sz="4" w:space="0" w:color="B3B3B3"/>
            </w:tcBorders>
            <w:shd w:val="clear" w:color="000000" w:fill="auto"/>
            <w:vAlign w:val="bottom"/>
          </w:tcPr>
          <w:p w14:paraId="4852737B" w14:textId="4F6143A3" w:rsidR="00077688" w:rsidRPr="008D2253" w:rsidRDefault="00A31FA0" w:rsidP="008D2253">
            <w:pPr>
              <w:pStyle w:val="TableHeading"/>
              <w:spacing w:before="45" w:after="45"/>
              <w:rPr>
                <w:rFonts w:cs="Open Sans"/>
                <w:color w:val="1D4374"/>
              </w:rPr>
            </w:pPr>
            <w:r w:rsidRPr="008D2253">
              <w:rPr>
                <w:rFonts w:cs="Open Sans"/>
                <w:color w:val="1D4374"/>
              </w:rPr>
              <w:t>C</w:t>
            </w:r>
            <w:r w:rsidR="00077688" w:rsidRPr="008D2253">
              <w:rPr>
                <w:rFonts w:cs="Open Sans"/>
                <w:color w:val="1D4374"/>
              </w:rPr>
              <w:t>ommodit</w:t>
            </w:r>
            <w:r w:rsidRPr="008D2253">
              <w:rPr>
                <w:rFonts w:cs="Open Sans"/>
                <w:color w:val="1D4374"/>
              </w:rPr>
              <w:t xml:space="preserve">ies </w:t>
            </w:r>
            <w:r w:rsidR="00077688" w:rsidRPr="008D2253">
              <w:rPr>
                <w:rFonts w:cs="Open Sans"/>
                <w:color w:val="1D4374"/>
              </w:rPr>
              <w:t>impact</w:t>
            </w:r>
            <w:r w:rsidRPr="008D2253">
              <w:rPr>
                <w:rFonts w:cs="Open Sans"/>
                <w:color w:val="1D4374"/>
              </w:rPr>
              <w:t>ed</w:t>
            </w:r>
          </w:p>
        </w:tc>
      </w:tr>
      <w:tr w:rsidR="002D3390" w:rsidRPr="008D2253" w14:paraId="7A150501" w14:textId="77777777" w:rsidTr="008D2253">
        <w:trPr>
          <w:tblHeader/>
        </w:trPr>
        <w:tc>
          <w:tcPr>
            <w:tcW w:w="1971" w:type="dxa"/>
            <w:vMerge w:val="restart"/>
            <w:tcBorders>
              <w:top w:val="single" w:sz="4" w:space="0" w:color="B3B3B3"/>
              <w:bottom w:val="nil"/>
            </w:tcBorders>
            <w:shd w:val="clear" w:color="000000" w:fill="E6E6E6"/>
          </w:tcPr>
          <w:p w14:paraId="0D1C6D03" w14:textId="77777777" w:rsidR="002D3390" w:rsidRPr="008D2253" w:rsidRDefault="002D3390" w:rsidP="008D2253">
            <w:pPr>
              <w:spacing w:before="45" w:after="45"/>
              <w:ind w:left="57" w:right="108"/>
              <w:rPr>
                <w:rFonts w:cs="Open Sans"/>
                <w:b/>
                <w:color w:val="1D4374"/>
                <w:sz w:val="18"/>
              </w:rPr>
            </w:pPr>
            <w:r w:rsidRPr="008D2253">
              <w:rPr>
                <w:rFonts w:cs="Open Sans"/>
                <w:b/>
                <w:color w:val="1D4374"/>
                <w:sz w:val="18"/>
              </w:rPr>
              <w:t>Steel demand</w:t>
            </w:r>
          </w:p>
        </w:tc>
        <w:tc>
          <w:tcPr>
            <w:tcW w:w="3416" w:type="dxa"/>
            <w:tcBorders>
              <w:top w:val="single" w:sz="4" w:space="0" w:color="B3B3B3"/>
              <w:bottom w:val="nil"/>
            </w:tcBorders>
            <w:shd w:val="clear" w:color="000000" w:fill="E6E6E6"/>
          </w:tcPr>
          <w:p w14:paraId="168ECBB5"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Chinese steel production / demand</w:t>
            </w:r>
          </w:p>
        </w:tc>
        <w:tc>
          <w:tcPr>
            <w:tcW w:w="2126" w:type="dxa"/>
            <w:tcBorders>
              <w:top w:val="single" w:sz="4" w:space="0" w:color="B3B3B3"/>
              <w:bottom w:val="nil"/>
            </w:tcBorders>
            <w:shd w:val="clear" w:color="000000" w:fill="E6E6E6"/>
          </w:tcPr>
          <w:p w14:paraId="7F299A65"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Iron ore, met coal</w:t>
            </w:r>
          </w:p>
        </w:tc>
      </w:tr>
      <w:tr w:rsidR="002D3390" w:rsidRPr="008D2253" w14:paraId="4272E0AC" w14:textId="77777777" w:rsidTr="008D2253">
        <w:trPr>
          <w:tblHeader/>
        </w:trPr>
        <w:tc>
          <w:tcPr>
            <w:tcW w:w="1971" w:type="dxa"/>
            <w:vMerge/>
            <w:tcBorders>
              <w:top w:val="nil"/>
              <w:bottom w:val="nil"/>
            </w:tcBorders>
            <w:shd w:val="clear" w:color="000000" w:fill="auto"/>
          </w:tcPr>
          <w:p w14:paraId="136E025C" w14:textId="77777777" w:rsidR="002D3390" w:rsidRPr="008D2253" w:rsidRDefault="002D3390" w:rsidP="008D2253">
            <w:pPr>
              <w:spacing w:before="45" w:after="45"/>
              <w:ind w:left="57" w:right="108"/>
              <w:rPr>
                <w:rFonts w:cs="Open Sans"/>
                <w:color w:val="000000"/>
                <w:sz w:val="18"/>
              </w:rPr>
            </w:pPr>
          </w:p>
        </w:tc>
        <w:tc>
          <w:tcPr>
            <w:tcW w:w="3416" w:type="dxa"/>
            <w:tcBorders>
              <w:top w:val="nil"/>
              <w:bottom w:val="nil"/>
            </w:tcBorders>
            <w:shd w:val="clear" w:color="000000" w:fill="auto"/>
          </w:tcPr>
          <w:p w14:paraId="7E5D34CC"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Chinese net steel exports</w:t>
            </w:r>
          </w:p>
        </w:tc>
        <w:tc>
          <w:tcPr>
            <w:tcW w:w="2126" w:type="dxa"/>
            <w:tcBorders>
              <w:top w:val="nil"/>
              <w:bottom w:val="nil"/>
            </w:tcBorders>
            <w:shd w:val="clear" w:color="000000" w:fill="auto"/>
          </w:tcPr>
          <w:p w14:paraId="58BF6AD9"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Iron ore, met coal</w:t>
            </w:r>
          </w:p>
        </w:tc>
      </w:tr>
      <w:tr w:rsidR="002D3390" w:rsidRPr="008D2253" w14:paraId="2402EF1F" w14:textId="77777777" w:rsidTr="008D2253">
        <w:trPr>
          <w:tblHeader/>
        </w:trPr>
        <w:tc>
          <w:tcPr>
            <w:tcW w:w="1971" w:type="dxa"/>
            <w:vMerge/>
            <w:tcBorders>
              <w:bottom w:val="nil"/>
            </w:tcBorders>
            <w:shd w:val="clear" w:color="000000" w:fill="E6E6E6"/>
          </w:tcPr>
          <w:p w14:paraId="4C21F828" w14:textId="77777777" w:rsidR="002D3390" w:rsidRPr="008D2253" w:rsidRDefault="002D3390" w:rsidP="008D2253">
            <w:pPr>
              <w:spacing w:before="45" w:after="45"/>
              <w:ind w:left="57" w:right="108"/>
              <w:rPr>
                <w:rFonts w:cs="Open Sans"/>
                <w:color w:val="000000"/>
                <w:sz w:val="18"/>
              </w:rPr>
            </w:pPr>
          </w:p>
        </w:tc>
        <w:tc>
          <w:tcPr>
            <w:tcW w:w="3416" w:type="dxa"/>
            <w:tcBorders>
              <w:bottom w:val="nil"/>
            </w:tcBorders>
            <w:shd w:val="clear" w:color="000000" w:fill="E6E6E6"/>
          </w:tcPr>
          <w:p w14:paraId="4E39EFEC"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Chinese construction demand</w:t>
            </w:r>
          </w:p>
        </w:tc>
        <w:tc>
          <w:tcPr>
            <w:tcW w:w="2126" w:type="dxa"/>
            <w:tcBorders>
              <w:bottom w:val="nil"/>
            </w:tcBorders>
            <w:shd w:val="clear" w:color="000000" w:fill="E6E6E6"/>
          </w:tcPr>
          <w:p w14:paraId="1FB5FEF6"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Iron ore, met coal</w:t>
            </w:r>
          </w:p>
        </w:tc>
      </w:tr>
      <w:tr w:rsidR="002D3390" w:rsidRPr="008D2253" w14:paraId="15A73099" w14:textId="77777777" w:rsidTr="008D2253">
        <w:trPr>
          <w:tblHeader/>
        </w:trPr>
        <w:tc>
          <w:tcPr>
            <w:tcW w:w="1971" w:type="dxa"/>
            <w:vMerge/>
            <w:tcBorders>
              <w:top w:val="nil"/>
              <w:bottom w:val="nil"/>
            </w:tcBorders>
            <w:shd w:val="clear" w:color="000000" w:fill="auto"/>
          </w:tcPr>
          <w:p w14:paraId="1F9C443E" w14:textId="77777777" w:rsidR="002D3390" w:rsidRPr="008D2253" w:rsidRDefault="002D3390" w:rsidP="008D2253">
            <w:pPr>
              <w:spacing w:before="45" w:after="45"/>
              <w:ind w:left="57" w:right="108"/>
              <w:rPr>
                <w:rFonts w:cs="Open Sans"/>
                <w:color w:val="000000"/>
                <w:sz w:val="18"/>
              </w:rPr>
            </w:pPr>
          </w:p>
        </w:tc>
        <w:tc>
          <w:tcPr>
            <w:tcW w:w="3416" w:type="dxa"/>
            <w:tcBorders>
              <w:top w:val="nil"/>
              <w:bottom w:val="nil"/>
            </w:tcBorders>
            <w:shd w:val="clear" w:color="000000" w:fill="auto"/>
          </w:tcPr>
          <w:p w14:paraId="48F2B90B"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Chinese manufacturing demand</w:t>
            </w:r>
          </w:p>
        </w:tc>
        <w:tc>
          <w:tcPr>
            <w:tcW w:w="2126" w:type="dxa"/>
            <w:tcBorders>
              <w:top w:val="nil"/>
              <w:bottom w:val="nil"/>
            </w:tcBorders>
            <w:shd w:val="clear" w:color="000000" w:fill="auto"/>
          </w:tcPr>
          <w:p w14:paraId="22B1AF84"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Iron ore, met coal</w:t>
            </w:r>
          </w:p>
        </w:tc>
      </w:tr>
      <w:tr w:rsidR="002D3390" w:rsidRPr="008D2253" w14:paraId="27C4F8C5" w14:textId="77777777" w:rsidTr="008D2253">
        <w:trPr>
          <w:tblHeader/>
        </w:trPr>
        <w:tc>
          <w:tcPr>
            <w:tcW w:w="1971" w:type="dxa"/>
            <w:vMerge/>
            <w:tcBorders>
              <w:bottom w:val="nil"/>
            </w:tcBorders>
            <w:shd w:val="clear" w:color="000000" w:fill="E6E6E6"/>
          </w:tcPr>
          <w:p w14:paraId="4A0028A9" w14:textId="77777777" w:rsidR="002D3390" w:rsidRPr="008D2253" w:rsidRDefault="002D3390" w:rsidP="008D2253">
            <w:pPr>
              <w:spacing w:before="45" w:after="45"/>
              <w:ind w:left="57" w:right="108"/>
              <w:rPr>
                <w:rFonts w:cs="Open Sans"/>
                <w:color w:val="000000"/>
                <w:sz w:val="18"/>
              </w:rPr>
            </w:pPr>
          </w:p>
        </w:tc>
        <w:tc>
          <w:tcPr>
            <w:tcW w:w="3416" w:type="dxa"/>
            <w:tcBorders>
              <w:bottom w:val="nil"/>
            </w:tcBorders>
            <w:shd w:val="clear" w:color="000000" w:fill="E6E6E6"/>
          </w:tcPr>
          <w:p w14:paraId="0324B563"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Indian steel production</w:t>
            </w:r>
          </w:p>
        </w:tc>
        <w:tc>
          <w:tcPr>
            <w:tcW w:w="2126" w:type="dxa"/>
            <w:tcBorders>
              <w:bottom w:val="nil"/>
            </w:tcBorders>
            <w:shd w:val="clear" w:color="000000" w:fill="E6E6E6"/>
          </w:tcPr>
          <w:p w14:paraId="324F5036"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Iron ore, met coal</w:t>
            </w:r>
          </w:p>
        </w:tc>
      </w:tr>
      <w:tr w:rsidR="002D3390" w:rsidRPr="008D2253" w14:paraId="308329BD" w14:textId="77777777" w:rsidTr="008D2253">
        <w:trPr>
          <w:tblHeader/>
        </w:trPr>
        <w:tc>
          <w:tcPr>
            <w:tcW w:w="1971" w:type="dxa"/>
            <w:vMerge w:val="restart"/>
            <w:tcBorders>
              <w:top w:val="nil"/>
              <w:bottom w:val="nil"/>
            </w:tcBorders>
            <w:shd w:val="clear" w:color="000000" w:fill="auto"/>
          </w:tcPr>
          <w:p w14:paraId="4A885D2E" w14:textId="77777777" w:rsidR="002D3390" w:rsidRPr="008D2253" w:rsidRDefault="002D3390" w:rsidP="008D2253">
            <w:pPr>
              <w:spacing w:before="45" w:after="45"/>
              <w:ind w:left="57" w:right="108"/>
              <w:rPr>
                <w:rFonts w:cs="Open Sans"/>
                <w:b/>
                <w:color w:val="1D4374"/>
                <w:sz w:val="18"/>
              </w:rPr>
            </w:pPr>
            <w:r w:rsidRPr="008D2253">
              <w:rPr>
                <w:rFonts w:cs="Open Sans"/>
                <w:b/>
                <w:color w:val="1D4374"/>
                <w:sz w:val="18"/>
              </w:rPr>
              <w:t>Steel technology</w:t>
            </w:r>
          </w:p>
        </w:tc>
        <w:tc>
          <w:tcPr>
            <w:tcW w:w="3416" w:type="dxa"/>
            <w:tcBorders>
              <w:top w:val="nil"/>
              <w:bottom w:val="nil"/>
            </w:tcBorders>
            <w:shd w:val="clear" w:color="000000" w:fill="auto"/>
          </w:tcPr>
          <w:p w14:paraId="6C6B8FB7" w14:textId="13115D3C" w:rsidR="002D3390" w:rsidRPr="008D2253" w:rsidRDefault="002D3390" w:rsidP="008D2253">
            <w:pPr>
              <w:pStyle w:val="TableHeading"/>
              <w:spacing w:before="45" w:after="45"/>
              <w:rPr>
                <w:rFonts w:cs="Open Sans"/>
                <w:b w:val="0"/>
                <w:color w:val="000000"/>
              </w:rPr>
            </w:pPr>
            <w:r w:rsidRPr="008D2253">
              <w:rPr>
                <w:rFonts w:cs="Open Sans"/>
                <w:b w:val="0"/>
                <w:color w:val="000000"/>
              </w:rPr>
              <w:t xml:space="preserve">Blast furnace share </w:t>
            </w:r>
            <w:r w:rsidR="008D2253">
              <w:rPr>
                <w:rFonts w:cs="Open Sans"/>
                <w:b w:val="0"/>
                <w:color w:val="000000"/>
              </w:rPr>
              <w:t>–</w:t>
            </w:r>
            <w:r w:rsidRPr="008D2253">
              <w:rPr>
                <w:rFonts w:cs="Open Sans"/>
                <w:b w:val="0"/>
                <w:color w:val="000000"/>
              </w:rPr>
              <w:t xml:space="preserve"> China</w:t>
            </w:r>
          </w:p>
        </w:tc>
        <w:tc>
          <w:tcPr>
            <w:tcW w:w="2126" w:type="dxa"/>
            <w:tcBorders>
              <w:top w:val="nil"/>
              <w:bottom w:val="nil"/>
            </w:tcBorders>
            <w:shd w:val="clear" w:color="000000" w:fill="auto"/>
          </w:tcPr>
          <w:p w14:paraId="75754FCC"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Iron ore, met coal</w:t>
            </w:r>
          </w:p>
        </w:tc>
      </w:tr>
      <w:tr w:rsidR="002D3390" w:rsidRPr="008D2253" w14:paraId="5A79CD6C" w14:textId="77777777" w:rsidTr="008D2253">
        <w:trPr>
          <w:tblHeader/>
        </w:trPr>
        <w:tc>
          <w:tcPr>
            <w:tcW w:w="1971" w:type="dxa"/>
            <w:vMerge/>
            <w:tcBorders>
              <w:bottom w:val="nil"/>
            </w:tcBorders>
            <w:shd w:val="clear" w:color="000000" w:fill="E6E6E6"/>
          </w:tcPr>
          <w:p w14:paraId="32E50F67" w14:textId="77777777" w:rsidR="002D3390" w:rsidRPr="008D2253" w:rsidRDefault="002D3390" w:rsidP="008D2253">
            <w:pPr>
              <w:spacing w:before="45" w:after="45"/>
              <w:ind w:left="57" w:right="108"/>
              <w:rPr>
                <w:rFonts w:cs="Open Sans"/>
                <w:color w:val="000000"/>
                <w:sz w:val="18"/>
              </w:rPr>
            </w:pPr>
          </w:p>
        </w:tc>
        <w:tc>
          <w:tcPr>
            <w:tcW w:w="3416" w:type="dxa"/>
            <w:tcBorders>
              <w:bottom w:val="nil"/>
            </w:tcBorders>
            <w:shd w:val="clear" w:color="000000" w:fill="E6E6E6"/>
          </w:tcPr>
          <w:p w14:paraId="188CB0CC" w14:textId="71509FCA" w:rsidR="002D3390" w:rsidRPr="008D2253" w:rsidRDefault="002D3390" w:rsidP="008D2253">
            <w:pPr>
              <w:pStyle w:val="TableHeading"/>
              <w:spacing w:before="45" w:after="45"/>
              <w:rPr>
                <w:rFonts w:cs="Open Sans"/>
                <w:b w:val="0"/>
                <w:color w:val="000000"/>
              </w:rPr>
            </w:pPr>
            <w:r w:rsidRPr="008D2253">
              <w:rPr>
                <w:rFonts w:cs="Open Sans"/>
                <w:b w:val="0"/>
                <w:color w:val="000000"/>
              </w:rPr>
              <w:t xml:space="preserve">Blast furnace share </w:t>
            </w:r>
            <w:r w:rsidR="008D2253">
              <w:rPr>
                <w:rFonts w:cs="Open Sans"/>
                <w:b w:val="0"/>
                <w:color w:val="000000"/>
              </w:rPr>
              <w:t>–</w:t>
            </w:r>
            <w:r w:rsidRPr="008D2253">
              <w:rPr>
                <w:rFonts w:cs="Open Sans"/>
                <w:b w:val="0"/>
                <w:color w:val="000000"/>
              </w:rPr>
              <w:t xml:space="preserve"> India</w:t>
            </w:r>
          </w:p>
        </w:tc>
        <w:tc>
          <w:tcPr>
            <w:tcW w:w="2126" w:type="dxa"/>
            <w:tcBorders>
              <w:bottom w:val="nil"/>
            </w:tcBorders>
            <w:shd w:val="clear" w:color="000000" w:fill="E6E6E6"/>
          </w:tcPr>
          <w:p w14:paraId="6867356F"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Iron ore, met coal</w:t>
            </w:r>
          </w:p>
        </w:tc>
      </w:tr>
      <w:tr w:rsidR="002D3390" w:rsidRPr="008D2253" w14:paraId="416A330F" w14:textId="77777777" w:rsidTr="008D2253">
        <w:trPr>
          <w:tblHeader/>
        </w:trPr>
        <w:tc>
          <w:tcPr>
            <w:tcW w:w="1971" w:type="dxa"/>
            <w:vMerge/>
            <w:tcBorders>
              <w:top w:val="nil"/>
              <w:bottom w:val="nil"/>
            </w:tcBorders>
            <w:shd w:val="clear" w:color="000000" w:fill="auto"/>
          </w:tcPr>
          <w:p w14:paraId="0DCA89DF" w14:textId="77777777" w:rsidR="002D3390" w:rsidRPr="008D2253" w:rsidRDefault="002D3390" w:rsidP="008D2253">
            <w:pPr>
              <w:spacing w:before="45" w:after="45"/>
              <w:ind w:left="57" w:right="108"/>
              <w:rPr>
                <w:rFonts w:cs="Open Sans"/>
                <w:color w:val="000000"/>
                <w:sz w:val="18"/>
              </w:rPr>
            </w:pPr>
          </w:p>
        </w:tc>
        <w:tc>
          <w:tcPr>
            <w:tcW w:w="3416" w:type="dxa"/>
            <w:tcBorders>
              <w:top w:val="nil"/>
              <w:bottom w:val="nil"/>
            </w:tcBorders>
            <w:shd w:val="clear" w:color="000000" w:fill="auto"/>
          </w:tcPr>
          <w:p w14:paraId="2E17D720"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Chinese scrap use</w:t>
            </w:r>
          </w:p>
        </w:tc>
        <w:tc>
          <w:tcPr>
            <w:tcW w:w="2126" w:type="dxa"/>
            <w:tcBorders>
              <w:top w:val="nil"/>
              <w:bottom w:val="nil"/>
            </w:tcBorders>
            <w:shd w:val="clear" w:color="000000" w:fill="auto"/>
          </w:tcPr>
          <w:p w14:paraId="63A4B96B"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Iron ore</w:t>
            </w:r>
          </w:p>
        </w:tc>
      </w:tr>
      <w:tr w:rsidR="002D3390" w:rsidRPr="008D2253" w14:paraId="0C8EF60C" w14:textId="77777777" w:rsidTr="008D2253">
        <w:trPr>
          <w:tblHeader/>
        </w:trPr>
        <w:tc>
          <w:tcPr>
            <w:tcW w:w="1971" w:type="dxa"/>
            <w:vMerge/>
            <w:tcBorders>
              <w:bottom w:val="nil"/>
            </w:tcBorders>
            <w:shd w:val="clear" w:color="000000" w:fill="E6E6E6"/>
          </w:tcPr>
          <w:p w14:paraId="2235A396" w14:textId="77777777" w:rsidR="002D3390" w:rsidRPr="008D2253" w:rsidRDefault="002D3390" w:rsidP="008D2253">
            <w:pPr>
              <w:spacing w:before="45" w:after="45"/>
              <w:ind w:left="57" w:right="108"/>
              <w:rPr>
                <w:rFonts w:cs="Open Sans"/>
                <w:color w:val="000000"/>
                <w:sz w:val="18"/>
              </w:rPr>
            </w:pPr>
          </w:p>
        </w:tc>
        <w:tc>
          <w:tcPr>
            <w:tcW w:w="3416" w:type="dxa"/>
            <w:tcBorders>
              <w:bottom w:val="nil"/>
            </w:tcBorders>
            <w:shd w:val="clear" w:color="000000" w:fill="E6E6E6"/>
          </w:tcPr>
          <w:p w14:paraId="7ED182DC"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Indian scrap use</w:t>
            </w:r>
          </w:p>
        </w:tc>
        <w:tc>
          <w:tcPr>
            <w:tcW w:w="2126" w:type="dxa"/>
            <w:tcBorders>
              <w:bottom w:val="nil"/>
            </w:tcBorders>
            <w:shd w:val="clear" w:color="000000" w:fill="E6E6E6"/>
          </w:tcPr>
          <w:p w14:paraId="46963C2A"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Iron ore</w:t>
            </w:r>
          </w:p>
        </w:tc>
      </w:tr>
      <w:tr w:rsidR="002D3390" w:rsidRPr="008D2253" w14:paraId="211FB977" w14:textId="77777777" w:rsidTr="008D2253">
        <w:trPr>
          <w:tblHeader/>
        </w:trPr>
        <w:tc>
          <w:tcPr>
            <w:tcW w:w="1971" w:type="dxa"/>
            <w:vMerge w:val="restart"/>
            <w:tcBorders>
              <w:top w:val="nil"/>
              <w:bottom w:val="nil"/>
            </w:tcBorders>
            <w:shd w:val="clear" w:color="auto" w:fill="E6E6E6"/>
          </w:tcPr>
          <w:p w14:paraId="6381D537" w14:textId="77777777" w:rsidR="002D3390" w:rsidRPr="008D2253" w:rsidRDefault="002D3390" w:rsidP="008D2253">
            <w:pPr>
              <w:spacing w:before="45" w:after="45"/>
              <w:ind w:left="57" w:right="108"/>
              <w:rPr>
                <w:rFonts w:cs="Open Sans"/>
                <w:b/>
                <w:color w:val="1D4374"/>
                <w:sz w:val="18"/>
              </w:rPr>
            </w:pPr>
            <w:r w:rsidRPr="008D2253">
              <w:rPr>
                <w:rFonts w:cs="Open Sans"/>
                <w:b/>
                <w:color w:val="1D4374"/>
                <w:sz w:val="18"/>
              </w:rPr>
              <w:t>Iron ore supply</w:t>
            </w:r>
          </w:p>
        </w:tc>
        <w:tc>
          <w:tcPr>
            <w:tcW w:w="3416" w:type="dxa"/>
            <w:tcBorders>
              <w:top w:val="nil"/>
              <w:bottom w:val="nil"/>
            </w:tcBorders>
            <w:shd w:val="clear" w:color="000000" w:fill="auto"/>
          </w:tcPr>
          <w:p w14:paraId="06DD9B4A"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Chinese domestic iron ore supply</w:t>
            </w:r>
          </w:p>
        </w:tc>
        <w:tc>
          <w:tcPr>
            <w:tcW w:w="2126" w:type="dxa"/>
            <w:tcBorders>
              <w:top w:val="nil"/>
              <w:bottom w:val="nil"/>
            </w:tcBorders>
            <w:shd w:val="clear" w:color="000000" w:fill="auto"/>
          </w:tcPr>
          <w:p w14:paraId="7E9B2678"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Iron ore</w:t>
            </w:r>
          </w:p>
        </w:tc>
      </w:tr>
      <w:tr w:rsidR="002D3390" w:rsidRPr="008D2253" w14:paraId="134E0C16" w14:textId="77777777" w:rsidTr="008D2253">
        <w:trPr>
          <w:trHeight w:val="579"/>
          <w:tblHeader/>
        </w:trPr>
        <w:tc>
          <w:tcPr>
            <w:tcW w:w="1971" w:type="dxa"/>
            <w:vMerge/>
            <w:tcBorders>
              <w:bottom w:val="nil"/>
            </w:tcBorders>
            <w:shd w:val="clear" w:color="auto" w:fill="E6E6E6"/>
          </w:tcPr>
          <w:p w14:paraId="591AC50C" w14:textId="77777777" w:rsidR="002D3390" w:rsidRPr="008D2253" w:rsidRDefault="002D3390" w:rsidP="008D2253">
            <w:pPr>
              <w:spacing w:before="45" w:after="45"/>
              <w:ind w:left="57" w:right="108"/>
              <w:rPr>
                <w:rFonts w:cs="Open Sans"/>
                <w:color w:val="000000"/>
                <w:sz w:val="18"/>
              </w:rPr>
            </w:pPr>
          </w:p>
        </w:tc>
        <w:tc>
          <w:tcPr>
            <w:tcW w:w="3416" w:type="dxa"/>
            <w:tcBorders>
              <w:bottom w:val="nil"/>
            </w:tcBorders>
            <w:shd w:val="clear" w:color="auto" w:fill="E6E6E6"/>
          </w:tcPr>
          <w:p w14:paraId="73064DC0"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Indian domestic iron ore supply / import requirement</w:t>
            </w:r>
          </w:p>
        </w:tc>
        <w:tc>
          <w:tcPr>
            <w:tcW w:w="2126" w:type="dxa"/>
            <w:tcBorders>
              <w:bottom w:val="nil"/>
            </w:tcBorders>
            <w:shd w:val="clear" w:color="auto" w:fill="E6E6E6"/>
          </w:tcPr>
          <w:p w14:paraId="53E1AA45"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Iron ore</w:t>
            </w:r>
          </w:p>
        </w:tc>
      </w:tr>
      <w:tr w:rsidR="002D3390" w:rsidRPr="008D2253" w14:paraId="03CDA217" w14:textId="77777777" w:rsidTr="008D2253">
        <w:trPr>
          <w:tblHeader/>
        </w:trPr>
        <w:tc>
          <w:tcPr>
            <w:tcW w:w="1971" w:type="dxa"/>
            <w:vMerge/>
            <w:tcBorders>
              <w:top w:val="nil"/>
              <w:bottom w:val="nil"/>
            </w:tcBorders>
            <w:shd w:val="clear" w:color="auto" w:fill="E6E6E6"/>
          </w:tcPr>
          <w:p w14:paraId="34325480" w14:textId="77777777" w:rsidR="002D3390" w:rsidRPr="008D2253" w:rsidRDefault="002D3390" w:rsidP="008D2253">
            <w:pPr>
              <w:spacing w:before="45" w:after="45"/>
              <w:ind w:left="57" w:right="108"/>
              <w:rPr>
                <w:rFonts w:cs="Open Sans"/>
                <w:color w:val="000000"/>
                <w:sz w:val="18"/>
              </w:rPr>
            </w:pPr>
          </w:p>
        </w:tc>
        <w:tc>
          <w:tcPr>
            <w:tcW w:w="3416" w:type="dxa"/>
            <w:tcBorders>
              <w:top w:val="nil"/>
              <w:bottom w:val="nil"/>
            </w:tcBorders>
            <w:shd w:val="clear" w:color="000000" w:fill="auto"/>
          </w:tcPr>
          <w:p w14:paraId="09E0884C"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Vale exports</w:t>
            </w:r>
          </w:p>
        </w:tc>
        <w:tc>
          <w:tcPr>
            <w:tcW w:w="2126" w:type="dxa"/>
            <w:tcBorders>
              <w:top w:val="nil"/>
              <w:bottom w:val="nil"/>
            </w:tcBorders>
            <w:shd w:val="clear" w:color="000000" w:fill="auto"/>
          </w:tcPr>
          <w:p w14:paraId="05D97E44"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Iron ore</w:t>
            </w:r>
          </w:p>
        </w:tc>
      </w:tr>
      <w:tr w:rsidR="002D3390" w:rsidRPr="008D2253" w14:paraId="5B99FB66" w14:textId="77777777" w:rsidTr="008D2253">
        <w:trPr>
          <w:tblHeader/>
        </w:trPr>
        <w:tc>
          <w:tcPr>
            <w:tcW w:w="1971" w:type="dxa"/>
            <w:vMerge/>
            <w:tcBorders>
              <w:bottom w:val="nil"/>
            </w:tcBorders>
            <w:shd w:val="clear" w:color="auto" w:fill="E6E6E6"/>
          </w:tcPr>
          <w:p w14:paraId="02D0065B" w14:textId="77777777" w:rsidR="002D3390" w:rsidRPr="008D2253" w:rsidRDefault="002D3390" w:rsidP="008D2253">
            <w:pPr>
              <w:spacing w:before="45" w:after="45"/>
              <w:ind w:left="57" w:right="108"/>
              <w:rPr>
                <w:rFonts w:cs="Open Sans"/>
                <w:color w:val="000000"/>
                <w:sz w:val="18"/>
              </w:rPr>
            </w:pPr>
          </w:p>
        </w:tc>
        <w:tc>
          <w:tcPr>
            <w:tcW w:w="3416" w:type="dxa"/>
            <w:tcBorders>
              <w:bottom w:val="nil"/>
            </w:tcBorders>
            <w:shd w:val="clear" w:color="000000" w:fill="E6E6E6"/>
          </w:tcPr>
          <w:p w14:paraId="019074CE" w14:textId="0D3DDA4C" w:rsidR="002D3390" w:rsidRPr="008D2253" w:rsidRDefault="002D3390" w:rsidP="008D2253">
            <w:pPr>
              <w:pStyle w:val="TableHeading"/>
              <w:spacing w:before="45" w:after="45"/>
              <w:rPr>
                <w:rFonts w:cs="Open Sans"/>
                <w:b w:val="0"/>
                <w:color w:val="000000"/>
              </w:rPr>
            </w:pPr>
            <w:proofErr w:type="spellStart"/>
            <w:r w:rsidRPr="008D2253">
              <w:rPr>
                <w:rFonts w:cs="Open Sans"/>
                <w:b w:val="0"/>
                <w:color w:val="000000"/>
              </w:rPr>
              <w:t>Simandou</w:t>
            </w:r>
            <w:proofErr w:type="spellEnd"/>
            <w:r w:rsidRPr="008D2253">
              <w:rPr>
                <w:rFonts w:cs="Open Sans"/>
                <w:b w:val="0"/>
                <w:color w:val="000000"/>
              </w:rPr>
              <w:t xml:space="preserve"> output</w:t>
            </w:r>
          </w:p>
        </w:tc>
        <w:tc>
          <w:tcPr>
            <w:tcW w:w="2126" w:type="dxa"/>
            <w:tcBorders>
              <w:bottom w:val="nil"/>
            </w:tcBorders>
            <w:shd w:val="clear" w:color="000000" w:fill="E6E6E6"/>
          </w:tcPr>
          <w:p w14:paraId="1DDDA89B"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Iron ore</w:t>
            </w:r>
          </w:p>
        </w:tc>
      </w:tr>
      <w:tr w:rsidR="002D3390" w:rsidRPr="008D2253" w14:paraId="508B1B0B" w14:textId="77777777" w:rsidTr="008D2253">
        <w:trPr>
          <w:tblHeader/>
        </w:trPr>
        <w:tc>
          <w:tcPr>
            <w:tcW w:w="1971" w:type="dxa"/>
            <w:vMerge w:val="restart"/>
            <w:tcBorders>
              <w:top w:val="nil"/>
              <w:bottom w:val="nil"/>
            </w:tcBorders>
            <w:shd w:val="clear" w:color="000000" w:fill="auto"/>
          </w:tcPr>
          <w:p w14:paraId="681BECA6" w14:textId="77777777" w:rsidR="002D3390" w:rsidRPr="008D2253" w:rsidRDefault="002D3390" w:rsidP="008D2253">
            <w:pPr>
              <w:spacing w:before="45" w:after="45"/>
              <w:ind w:left="57" w:right="108"/>
              <w:rPr>
                <w:rFonts w:cs="Open Sans"/>
                <w:b/>
                <w:color w:val="1D4374"/>
                <w:sz w:val="18"/>
              </w:rPr>
            </w:pPr>
            <w:r w:rsidRPr="008D2253">
              <w:rPr>
                <w:rFonts w:cs="Open Sans"/>
                <w:b/>
                <w:color w:val="1D4374"/>
                <w:sz w:val="18"/>
              </w:rPr>
              <w:t>Met coal supply</w:t>
            </w:r>
          </w:p>
        </w:tc>
        <w:tc>
          <w:tcPr>
            <w:tcW w:w="3416" w:type="dxa"/>
            <w:tcBorders>
              <w:top w:val="nil"/>
              <w:bottom w:val="nil"/>
            </w:tcBorders>
            <w:shd w:val="clear" w:color="000000" w:fill="auto"/>
          </w:tcPr>
          <w:p w14:paraId="12528941"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Chinese domestic HCC supply</w:t>
            </w:r>
          </w:p>
        </w:tc>
        <w:tc>
          <w:tcPr>
            <w:tcW w:w="2126" w:type="dxa"/>
            <w:tcBorders>
              <w:top w:val="nil"/>
              <w:bottom w:val="nil"/>
            </w:tcBorders>
            <w:shd w:val="clear" w:color="000000" w:fill="auto"/>
          </w:tcPr>
          <w:p w14:paraId="03683A24"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Met coal</w:t>
            </w:r>
          </w:p>
        </w:tc>
      </w:tr>
      <w:tr w:rsidR="002D3390" w:rsidRPr="008D2253" w14:paraId="6CC3093E" w14:textId="77777777" w:rsidTr="008D2253">
        <w:trPr>
          <w:tblHeader/>
        </w:trPr>
        <w:tc>
          <w:tcPr>
            <w:tcW w:w="1971" w:type="dxa"/>
            <w:vMerge/>
            <w:tcBorders>
              <w:bottom w:val="nil"/>
            </w:tcBorders>
            <w:shd w:val="clear" w:color="000000" w:fill="E6E6E6"/>
          </w:tcPr>
          <w:p w14:paraId="03995608" w14:textId="77777777" w:rsidR="002D3390" w:rsidRPr="008D2253" w:rsidRDefault="002D3390" w:rsidP="008D2253">
            <w:pPr>
              <w:spacing w:before="45" w:after="45"/>
              <w:ind w:left="57" w:right="108"/>
              <w:rPr>
                <w:rFonts w:cs="Open Sans"/>
                <w:color w:val="000000"/>
                <w:sz w:val="18"/>
              </w:rPr>
            </w:pPr>
          </w:p>
        </w:tc>
        <w:tc>
          <w:tcPr>
            <w:tcW w:w="3416" w:type="dxa"/>
            <w:tcBorders>
              <w:bottom w:val="nil"/>
            </w:tcBorders>
            <w:shd w:val="clear" w:color="000000" w:fill="E6E6E6"/>
          </w:tcPr>
          <w:p w14:paraId="2C862D00" w14:textId="77777777" w:rsidR="002D3390" w:rsidRPr="008D2253" w:rsidRDefault="002D3390" w:rsidP="008D2253">
            <w:pPr>
              <w:pStyle w:val="TableHeading"/>
              <w:spacing w:before="45" w:after="45"/>
              <w:rPr>
                <w:rFonts w:cs="Open Sans"/>
                <w:b w:val="0"/>
                <w:color w:val="000000"/>
                <w:lang w:bidi="th-TH"/>
              </w:rPr>
            </w:pPr>
            <w:r w:rsidRPr="008D2253">
              <w:rPr>
                <w:rFonts w:cs="Open Sans"/>
                <w:b w:val="0"/>
                <w:color w:val="000000"/>
                <w:lang w:bidi="th-TH"/>
              </w:rPr>
              <w:t>Mongolian exports</w:t>
            </w:r>
          </w:p>
        </w:tc>
        <w:tc>
          <w:tcPr>
            <w:tcW w:w="2126" w:type="dxa"/>
            <w:tcBorders>
              <w:bottom w:val="nil"/>
            </w:tcBorders>
            <w:shd w:val="clear" w:color="000000" w:fill="E6E6E6"/>
          </w:tcPr>
          <w:p w14:paraId="32792667"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Met coal</w:t>
            </w:r>
          </w:p>
        </w:tc>
      </w:tr>
      <w:tr w:rsidR="002D3390" w:rsidRPr="008D2253" w14:paraId="39FEF178" w14:textId="77777777" w:rsidTr="008D2253">
        <w:trPr>
          <w:tblHeader/>
        </w:trPr>
        <w:tc>
          <w:tcPr>
            <w:tcW w:w="1971" w:type="dxa"/>
            <w:vMerge/>
            <w:tcBorders>
              <w:top w:val="nil"/>
              <w:bottom w:val="nil"/>
            </w:tcBorders>
            <w:shd w:val="clear" w:color="000000" w:fill="auto"/>
          </w:tcPr>
          <w:p w14:paraId="114688D6" w14:textId="77777777" w:rsidR="002D3390" w:rsidRPr="008D2253" w:rsidRDefault="002D3390" w:rsidP="008D2253">
            <w:pPr>
              <w:spacing w:before="45" w:after="45"/>
              <w:ind w:left="57" w:right="108"/>
              <w:rPr>
                <w:rFonts w:cs="Open Sans"/>
                <w:color w:val="000000"/>
                <w:sz w:val="18"/>
              </w:rPr>
            </w:pPr>
          </w:p>
        </w:tc>
        <w:tc>
          <w:tcPr>
            <w:tcW w:w="3416" w:type="dxa"/>
            <w:tcBorders>
              <w:top w:val="nil"/>
              <w:bottom w:val="nil"/>
            </w:tcBorders>
            <w:shd w:val="clear" w:color="000000" w:fill="auto"/>
          </w:tcPr>
          <w:p w14:paraId="59FC3037" w14:textId="77777777" w:rsidR="002D3390" w:rsidRPr="008D2253" w:rsidRDefault="002D3390" w:rsidP="008D2253">
            <w:pPr>
              <w:pStyle w:val="TableHeading"/>
              <w:spacing w:before="45" w:after="45"/>
              <w:rPr>
                <w:rFonts w:cs="Open Sans"/>
                <w:b w:val="0"/>
                <w:color w:val="000000"/>
                <w:lang w:bidi="th-TH"/>
              </w:rPr>
            </w:pPr>
            <w:r w:rsidRPr="008D2253">
              <w:rPr>
                <w:rFonts w:cs="Open Sans"/>
                <w:b w:val="0"/>
                <w:color w:val="000000"/>
                <w:lang w:bidi="th-TH"/>
              </w:rPr>
              <w:t>Russian exports</w:t>
            </w:r>
          </w:p>
        </w:tc>
        <w:tc>
          <w:tcPr>
            <w:tcW w:w="2126" w:type="dxa"/>
            <w:tcBorders>
              <w:top w:val="nil"/>
              <w:bottom w:val="nil"/>
            </w:tcBorders>
            <w:shd w:val="clear" w:color="000000" w:fill="auto"/>
          </w:tcPr>
          <w:p w14:paraId="3AD289D8"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Met coal</w:t>
            </w:r>
          </w:p>
        </w:tc>
      </w:tr>
      <w:tr w:rsidR="002D3390" w:rsidRPr="008D2253" w14:paraId="3386F8E5" w14:textId="77777777" w:rsidTr="008D2253">
        <w:trPr>
          <w:tblHeader/>
        </w:trPr>
        <w:tc>
          <w:tcPr>
            <w:tcW w:w="1971" w:type="dxa"/>
            <w:vMerge/>
            <w:tcBorders>
              <w:bottom w:val="nil"/>
            </w:tcBorders>
            <w:shd w:val="clear" w:color="000000" w:fill="E6E6E6"/>
          </w:tcPr>
          <w:p w14:paraId="048265CF" w14:textId="77777777" w:rsidR="002D3390" w:rsidRPr="008D2253" w:rsidRDefault="002D3390" w:rsidP="008D2253">
            <w:pPr>
              <w:spacing w:before="45" w:after="45"/>
              <w:ind w:left="57" w:right="108"/>
              <w:rPr>
                <w:rFonts w:cs="Open Sans"/>
                <w:color w:val="000000"/>
                <w:sz w:val="18"/>
              </w:rPr>
            </w:pPr>
          </w:p>
        </w:tc>
        <w:tc>
          <w:tcPr>
            <w:tcW w:w="3416" w:type="dxa"/>
            <w:tcBorders>
              <w:bottom w:val="nil"/>
            </w:tcBorders>
            <w:shd w:val="clear" w:color="000000" w:fill="E6E6E6"/>
          </w:tcPr>
          <w:p w14:paraId="1988682E" w14:textId="77777777" w:rsidR="002D3390" w:rsidRPr="008D2253" w:rsidRDefault="002D3390" w:rsidP="008D2253">
            <w:pPr>
              <w:pStyle w:val="TableHeading"/>
              <w:spacing w:before="45" w:after="45"/>
              <w:rPr>
                <w:rFonts w:cs="Open Sans"/>
                <w:b w:val="0"/>
                <w:color w:val="000000"/>
                <w:lang w:bidi="th-TH"/>
              </w:rPr>
            </w:pPr>
            <w:r w:rsidRPr="008D2253">
              <w:rPr>
                <w:rFonts w:cs="Open Sans"/>
                <w:b w:val="0"/>
                <w:color w:val="000000"/>
                <w:lang w:bidi="th-TH"/>
              </w:rPr>
              <w:t>North American exports</w:t>
            </w:r>
          </w:p>
        </w:tc>
        <w:tc>
          <w:tcPr>
            <w:tcW w:w="2126" w:type="dxa"/>
            <w:tcBorders>
              <w:bottom w:val="nil"/>
            </w:tcBorders>
            <w:shd w:val="clear" w:color="000000" w:fill="E6E6E6"/>
          </w:tcPr>
          <w:p w14:paraId="2111661C" w14:textId="77777777" w:rsidR="002D3390" w:rsidRPr="008D2253" w:rsidRDefault="002D3390" w:rsidP="008D2253">
            <w:pPr>
              <w:pStyle w:val="TableHeading"/>
              <w:spacing w:before="45" w:after="45"/>
              <w:rPr>
                <w:rFonts w:cs="Open Sans"/>
                <w:b w:val="0"/>
                <w:color w:val="000000"/>
              </w:rPr>
            </w:pPr>
            <w:r w:rsidRPr="008D2253">
              <w:rPr>
                <w:rFonts w:cs="Open Sans"/>
                <w:b w:val="0"/>
                <w:color w:val="000000"/>
              </w:rPr>
              <w:t>Met coal</w:t>
            </w:r>
          </w:p>
        </w:tc>
      </w:tr>
      <w:tr w:rsidR="008841E0" w:rsidRPr="008D2253" w14:paraId="3081523B" w14:textId="77777777" w:rsidTr="008D2253">
        <w:trPr>
          <w:tblHeader/>
        </w:trPr>
        <w:tc>
          <w:tcPr>
            <w:tcW w:w="1971" w:type="dxa"/>
            <w:tcBorders>
              <w:top w:val="nil"/>
            </w:tcBorders>
            <w:shd w:val="clear" w:color="auto" w:fill="E6E6E6"/>
          </w:tcPr>
          <w:p w14:paraId="4D129B86" w14:textId="544365F3" w:rsidR="008841E0" w:rsidRPr="008D2253" w:rsidRDefault="008841E0" w:rsidP="008D2253">
            <w:pPr>
              <w:spacing w:before="45" w:after="45"/>
              <w:ind w:left="57" w:right="108"/>
              <w:rPr>
                <w:rFonts w:cs="Open Sans"/>
                <w:b/>
                <w:color w:val="1D4374"/>
                <w:sz w:val="18"/>
              </w:rPr>
            </w:pPr>
            <w:r w:rsidRPr="008D2253">
              <w:rPr>
                <w:rFonts w:cs="Open Sans"/>
                <w:b/>
                <w:color w:val="1D4374"/>
                <w:sz w:val="18"/>
              </w:rPr>
              <w:t xml:space="preserve">Thermal coal </w:t>
            </w:r>
            <w:r w:rsidR="00A20F5E" w:rsidRPr="008D2253">
              <w:rPr>
                <w:rFonts w:cs="Open Sans"/>
                <w:b/>
                <w:color w:val="1D4374"/>
                <w:sz w:val="18"/>
              </w:rPr>
              <w:t>supply</w:t>
            </w:r>
          </w:p>
        </w:tc>
        <w:tc>
          <w:tcPr>
            <w:tcW w:w="3416" w:type="dxa"/>
            <w:tcBorders>
              <w:top w:val="nil"/>
            </w:tcBorders>
            <w:shd w:val="clear" w:color="000000" w:fill="auto"/>
          </w:tcPr>
          <w:p w14:paraId="5DE54D54" w14:textId="40927753" w:rsidR="008841E0" w:rsidRPr="008D2253" w:rsidRDefault="00DB2128" w:rsidP="008D2253">
            <w:pPr>
              <w:pStyle w:val="TableHeading"/>
              <w:spacing w:before="45" w:after="45"/>
              <w:rPr>
                <w:rFonts w:cs="Open Sans"/>
                <w:b w:val="0"/>
                <w:color w:val="000000"/>
                <w:lang w:bidi="th-TH"/>
              </w:rPr>
            </w:pPr>
            <w:r w:rsidRPr="008D2253">
              <w:rPr>
                <w:rFonts w:cs="Open Sans"/>
                <w:b w:val="0"/>
                <w:color w:val="000000"/>
                <w:lang w:bidi="th-TH"/>
              </w:rPr>
              <w:t xml:space="preserve">Global seaborne </w:t>
            </w:r>
            <w:r w:rsidR="00B23EB6" w:rsidRPr="008D2253">
              <w:rPr>
                <w:rFonts w:cs="Open Sans"/>
                <w:b w:val="0"/>
                <w:color w:val="000000"/>
                <w:lang w:bidi="th-TH"/>
              </w:rPr>
              <w:t>supply</w:t>
            </w:r>
          </w:p>
        </w:tc>
        <w:tc>
          <w:tcPr>
            <w:tcW w:w="2126" w:type="dxa"/>
            <w:tcBorders>
              <w:top w:val="nil"/>
            </w:tcBorders>
            <w:shd w:val="clear" w:color="000000" w:fill="auto"/>
          </w:tcPr>
          <w:p w14:paraId="40D46DB3" w14:textId="23648BF8" w:rsidR="008841E0" w:rsidRPr="008D2253" w:rsidRDefault="00B23EB6" w:rsidP="008D2253">
            <w:pPr>
              <w:pStyle w:val="TableHeading"/>
              <w:spacing w:before="45" w:after="45"/>
              <w:rPr>
                <w:rFonts w:cs="Open Sans"/>
                <w:b w:val="0"/>
                <w:color w:val="000000"/>
              </w:rPr>
            </w:pPr>
            <w:r w:rsidRPr="008D2253">
              <w:rPr>
                <w:rFonts w:cs="Open Sans"/>
                <w:b w:val="0"/>
                <w:color w:val="000000"/>
              </w:rPr>
              <w:t>Thermal coal</w:t>
            </w:r>
          </w:p>
        </w:tc>
      </w:tr>
    </w:tbl>
    <w:p w14:paraId="3C26535C" w14:textId="29ED71D3" w:rsidR="00807DF8" w:rsidRPr="00AA4525" w:rsidRDefault="00472B1E" w:rsidP="00CF020F">
      <w:pPr>
        <w:pStyle w:val="Source"/>
      </w:pPr>
      <w:r w:rsidRPr="00696447">
        <w:t xml:space="preserve">Source: </w:t>
      </w:r>
      <w:r w:rsidR="009F5002" w:rsidRPr="009F5002">
        <w:rPr>
          <w:rFonts w:cs="Open Sans"/>
          <w:szCs w:val="24"/>
        </w:rPr>
        <w:t>Wood Mackenzie </w:t>
      </w:r>
      <w:r w:rsidR="000B74BF">
        <w:rPr>
          <w:rFonts w:cs="Open Sans"/>
          <w:szCs w:val="24"/>
        </w:rPr>
        <w:t>(</w:t>
      </w:r>
      <w:r w:rsidR="009F5002" w:rsidRPr="009F5002">
        <w:rPr>
          <w:rFonts w:cs="Open Sans"/>
          <w:szCs w:val="24"/>
        </w:rPr>
        <w:t>2025a, 2025b, 2026b, 2026c, 2026a, 2026d)</w:t>
      </w:r>
      <w:r w:rsidR="000A59DD">
        <w:rPr>
          <w:rFonts w:cs="Open Sans"/>
          <w:szCs w:val="24"/>
        </w:rPr>
        <w:t>.</w:t>
      </w:r>
    </w:p>
    <w:p w14:paraId="2558BF53" w14:textId="77777777" w:rsidR="00807DF8" w:rsidRDefault="00807DF8" w:rsidP="00807DF8">
      <w:pPr>
        <w:pStyle w:val="Heading3-noTOC"/>
      </w:pPr>
      <w:r>
        <w:lastRenderedPageBreak/>
        <w:t>Data</w:t>
      </w:r>
    </w:p>
    <w:p w14:paraId="741D5551" w14:textId="74AF9465" w:rsidR="001024A3" w:rsidRPr="000A59DD" w:rsidRDefault="00177090" w:rsidP="000A59DD">
      <w:pPr>
        <w:pStyle w:val="BodyText"/>
        <w:rPr>
          <w:spacing w:val="-4"/>
        </w:rPr>
      </w:pPr>
      <w:r w:rsidRPr="000A59DD">
        <w:rPr>
          <w:spacing w:val="-4"/>
        </w:rPr>
        <w:t xml:space="preserve">This modelling used Wood Mackenzie </w:t>
      </w:r>
      <w:r w:rsidR="00BB333A" w:rsidRPr="000A59DD">
        <w:rPr>
          <w:spacing w:val="-4"/>
        </w:rPr>
        <w:t xml:space="preserve">global trade and mine-level cost curve </w:t>
      </w:r>
      <w:r w:rsidRPr="000A59DD">
        <w:rPr>
          <w:spacing w:val="-4"/>
        </w:rPr>
        <w:t xml:space="preserve">data as the base case, which was then shocked using the assumptions outlined above. </w:t>
      </w:r>
      <w:r w:rsidR="00A13219" w:rsidRPr="000A59DD">
        <w:rPr>
          <w:spacing w:val="-4"/>
        </w:rPr>
        <w:t xml:space="preserve">All data is Wood Mackenzie </w:t>
      </w:r>
      <w:r w:rsidR="00A13219" w:rsidRPr="000A59DD">
        <w:rPr>
          <w:rFonts w:cs="Open Sans"/>
          <w:color w:val="000000"/>
          <w:spacing w:val="-4"/>
          <w:sz w:val="18"/>
        </w:rPr>
        <w:t>proprietary</w:t>
      </w:r>
      <w:r w:rsidR="00A13219" w:rsidRPr="000A59DD">
        <w:rPr>
          <w:rFonts w:cs="Open Sans"/>
          <w:color w:val="000000"/>
          <w:spacing w:val="-4"/>
        </w:rPr>
        <w:t xml:space="preserve"> property</w:t>
      </w:r>
      <w:r w:rsidR="00903FF7" w:rsidRPr="000A59DD">
        <w:rPr>
          <w:rFonts w:cs="Open Sans"/>
          <w:color w:val="000000"/>
          <w:spacing w:val="-4"/>
        </w:rPr>
        <w:t>.</w:t>
      </w:r>
    </w:p>
    <w:p w14:paraId="486A494E" w14:textId="367413F3" w:rsidR="007E5544" w:rsidRDefault="007E5544" w:rsidP="00307C76">
      <w:pPr>
        <w:pStyle w:val="FigureTableHeading"/>
      </w:pPr>
      <w:r>
        <w:t xml:space="preserve">Table </w:t>
      </w:r>
      <w:r w:rsidR="00307C76">
        <w:t>C</w:t>
      </w:r>
      <w:r>
        <w:t>.</w:t>
      </w:r>
      <w:fldSimple w:instr=" SEQ Table \* ARABIC \s 1 ">
        <w:r w:rsidR="002D76C4">
          <w:rPr>
            <w:noProof/>
          </w:rPr>
          <w:t>29</w:t>
        </w:r>
      </w:fldSimple>
      <w:r w:rsidR="00461EED">
        <w:rPr>
          <w:noProof/>
        </w:rPr>
        <w:t xml:space="preserve"> </w:t>
      </w:r>
      <w:r>
        <w:rPr>
          <w:noProof/>
        </w:rPr>
        <w:t>–</w:t>
      </w:r>
      <w:r w:rsidR="00461EED">
        <w:rPr>
          <w:noProof/>
        </w:rPr>
        <w:t xml:space="preserve"> </w:t>
      </w:r>
      <w:r w:rsidR="00681B97">
        <w:t>C</w:t>
      </w:r>
      <w:r w:rsidR="00307C76">
        <w:t>ommodity price</w:t>
      </w:r>
      <w:r w:rsidR="00681B97">
        <w:t xml:space="preserve"> </w:t>
      </w:r>
      <w:r w:rsidR="00FF5F54">
        <w:t xml:space="preserve">hypotheticals </w:t>
      </w:r>
      <w:r w:rsidR="00307C76">
        <w:t xml:space="preserve">data </w:t>
      </w:r>
      <w:r w:rsidR="00681B97">
        <w:t>inputs</w:t>
      </w:r>
    </w:p>
    <w:tbl>
      <w:tblPr>
        <w:tblStyle w:val="ProductivityCommissionTable2-Dark"/>
        <w:tblW w:w="0" w:type="auto"/>
        <w:tblBorders>
          <w:insideH w:val="none" w:sz="0" w:space="0" w:color="auto"/>
        </w:tblBorders>
        <w:shd w:val="clear" w:color="000000" w:fill="auto"/>
        <w:tblLayout w:type="fixed"/>
        <w:tblCellMar>
          <w:top w:w="0" w:type="dxa"/>
          <w:left w:w="0" w:type="dxa"/>
          <w:bottom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921"/>
        <w:gridCol w:w="3359"/>
        <w:gridCol w:w="773"/>
        <w:gridCol w:w="1842"/>
        <w:gridCol w:w="1743"/>
      </w:tblGrid>
      <w:tr w:rsidR="007E5544" w:rsidRPr="006A721C" w14:paraId="61A60037" w14:textId="77777777" w:rsidTr="006A72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21" w:type="dxa"/>
            <w:tcBorders>
              <w:bottom w:val="single" w:sz="4" w:space="0" w:color="B3B3B3"/>
            </w:tcBorders>
            <w:shd w:val="clear" w:color="000000" w:fill="auto"/>
            <w:vAlign w:val="bottom"/>
          </w:tcPr>
          <w:p w14:paraId="24C97208" w14:textId="77777777" w:rsidR="007E5544" w:rsidRPr="006A721C" w:rsidRDefault="007E5544" w:rsidP="006A721C">
            <w:pPr>
              <w:spacing w:before="45" w:after="45"/>
              <w:ind w:left="57" w:right="108"/>
              <w:rPr>
                <w:rFonts w:cs="Open Sans"/>
                <w:color w:val="1D4374"/>
                <w:sz w:val="18"/>
              </w:rPr>
            </w:pPr>
            <w:r w:rsidRPr="006A721C">
              <w:rPr>
                <w:rFonts w:cs="Open Sans"/>
                <w:color w:val="1D4374"/>
                <w:sz w:val="18"/>
              </w:rPr>
              <w:t>Dataset</w:t>
            </w:r>
          </w:p>
        </w:tc>
        <w:tc>
          <w:tcPr>
            <w:tcW w:w="3359" w:type="dxa"/>
            <w:tcBorders>
              <w:bottom w:val="single" w:sz="4" w:space="0" w:color="B3B3B3"/>
            </w:tcBorders>
            <w:shd w:val="clear" w:color="000000" w:fill="auto"/>
            <w:vAlign w:val="bottom"/>
          </w:tcPr>
          <w:p w14:paraId="5F2862F6" w14:textId="77777777" w:rsidR="007E5544" w:rsidRPr="006A721C" w:rsidRDefault="007E5544" w:rsidP="006A721C">
            <w:pPr>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6A721C">
              <w:rPr>
                <w:rFonts w:cs="Open Sans"/>
                <w:color w:val="1D4374"/>
                <w:sz w:val="18"/>
              </w:rPr>
              <w:t>Variables</w:t>
            </w:r>
          </w:p>
        </w:tc>
        <w:tc>
          <w:tcPr>
            <w:tcW w:w="773" w:type="dxa"/>
            <w:tcBorders>
              <w:bottom w:val="single" w:sz="4" w:space="0" w:color="B3B3B3"/>
            </w:tcBorders>
            <w:shd w:val="clear" w:color="000000" w:fill="auto"/>
            <w:vAlign w:val="bottom"/>
          </w:tcPr>
          <w:p w14:paraId="2B697134" w14:textId="4E90F60F" w:rsidR="007E5544" w:rsidRPr="006A721C" w:rsidRDefault="00075915" w:rsidP="006A721C">
            <w:pPr>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6A721C">
              <w:rPr>
                <w:rFonts w:cs="Open Sans"/>
                <w:color w:val="1D4374"/>
                <w:sz w:val="18"/>
              </w:rPr>
              <w:t>Y</w:t>
            </w:r>
            <w:r w:rsidR="007E5544" w:rsidRPr="006A721C">
              <w:rPr>
                <w:rFonts w:cs="Open Sans"/>
                <w:color w:val="1D4374"/>
                <w:sz w:val="18"/>
              </w:rPr>
              <w:t>ears</w:t>
            </w:r>
          </w:p>
        </w:tc>
        <w:tc>
          <w:tcPr>
            <w:tcW w:w="1842" w:type="dxa"/>
            <w:tcBorders>
              <w:bottom w:val="single" w:sz="4" w:space="0" w:color="B3B3B3"/>
            </w:tcBorders>
            <w:shd w:val="clear" w:color="000000" w:fill="auto"/>
            <w:vAlign w:val="bottom"/>
          </w:tcPr>
          <w:p w14:paraId="072898B5" w14:textId="77777777" w:rsidR="007E5544" w:rsidRPr="006A721C" w:rsidRDefault="007E5544" w:rsidP="006A721C">
            <w:pPr>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6A721C">
              <w:rPr>
                <w:rFonts w:cs="Open Sans"/>
                <w:color w:val="1D4374"/>
                <w:sz w:val="18"/>
              </w:rPr>
              <w:t>Source</w:t>
            </w:r>
          </w:p>
        </w:tc>
        <w:tc>
          <w:tcPr>
            <w:tcW w:w="1743" w:type="dxa"/>
            <w:tcBorders>
              <w:bottom w:val="single" w:sz="4" w:space="0" w:color="B3B3B3"/>
            </w:tcBorders>
            <w:shd w:val="clear" w:color="000000" w:fill="auto"/>
            <w:vAlign w:val="bottom"/>
          </w:tcPr>
          <w:p w14:paraId="3B770FCD" w14:textId="77777777" w:rsidR="007E5544" w:rsidRPr="006A721C" w:rsidRDefault="007E5544" w:rsidP="006A721C">
            <w:pPr>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6A721C">
              <w:rPr>
                <w:rFonts w:cs="Open Sans"/>
                <w:color w:val="1D4374"/>
                <w:sz w:val="18"/>
              </w:rPr>
              <w:t>Notes</w:t>
            </w:r>
          </w:p>
        </w:tc>
      </w:tr>
      <w:tr w:rsidR="007E5544" w:rsidRPr="006A721C" w14:paraId="6A67828D" w14:textId="77777777" w:rsidTr="006A721C">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921" w:type="dxa"/>
            <w:tcBorders>
              <w:top w:val="single" w:sz="4" w:space="0" w:color="B3B3B3"/>
              <w:bottom w:val="nil"/>
            </w:tcBorders>
            <w:shd w:val="clear" w:color="000000" w:fill="E6E6E6"/>
          </w:tcPr>
          <w:p w14:paraId="38632887" w14:textId="2FE07CAE" w:rsidR="007E5544" w:rsidRPr="00C32D67" w:rsidRDefault="00AD1D17" w:rsidP="006A721C">
            <w:pPr>
              <w:pStyle w:val="TableBody"/>
              <w:spacing w:before="45" w:after="45"/>
              <w:ind w:right="108"/>
              <w:rPr>
                <w:rFonts w:cs="Open Sans"/>
                <w:b w:val="0"/>
                <w:bCs/>
                <w:color w:val="auto"/>
              </w:rPr>
            </w:pPr>
            <w:r w:rsidRPr="00C32D67">
              <w:rPr>
                <w:rFonts w:cs="Open Sans"/>
                <w:b w:val="0"/>
                <w:bCs/>
                <w:color w:val="auto"/>
              </w:rPr>
              <w:t>Global steel market forecasts</w:t>
            </w:r>
          </w:p>
        </w:tc>
        <w:tc>
          <w:tcPr>
            <w:tcW w:w="3359" w:type="dxa"/>
            <w:tcBorders>
              <w:top w:val="single" w:sz="4" w:space="0" w:color="B3B3B3"/>
              <w:bottom w:val="nil"/>
            </w:tcBorders>
            <w:shd w:val="clear" w:color="000000" w:fill="E6E6E6"/>
          </w:tcPr>
          <w:p w14:paraId="4F16A81F" w14:textId="1540361E" w:rsidR="007E5544" w:rsidRPr="00190B62" w:rsidRDefault="00075915" w:rsidP="00190B62">
            <w:pPr>
              <w:pStyle w:val="TableListBullet"/>
              <w:cnfStyle w:val="000000100000" w:firstRow="0" w:lastRow="0" w:firstColumn="0" w:lastColumn="0" w:oddVBand="0" w:evenVBand="0" w:oddHBand="1" w:evenHBand="0" w:firstRowFirstColumn="0" w:firstRowLastColumn="0" w:lastRowFirstColumn="0" w:lastRowLastColumn="0"/>
            </w:pPr>
            <w:r w:rsidRPr="00190B62">
              <w:t>Crude steel production</w:t>
            </w:r>
            <w:r w:rsidR="00573B22" w:rsidRPr="00190B62">
              <w:t>; p</w:t>
            </w:r>
            <w:r w:rsidRPr="00190B62">
              <w:t>ig iron production</w:t>
            </w:r>
            <w:r w:rsidR="00573B22" w:rsidRPr="00190B62">
              <w:t>; i</w:t>
            </w:r>
            <w:r w:rsidRPr="00190B62">
              <w:t>mplied BF share</w:t>
            </w:r>
            <w:r w:rsidR="00573B22" w:rsidRPr="00190B62">
              <w:t>; e</w:t>
            </w:r>
            <w:r w:rsidRPr="00190B62">
              <w:t>lectric steelmaking</w:t>
            </w:r>
            <w:r w:rsidR="00573B22" w:rsidRPr="00190B62">
              <w:t>; s</w:t>
            </w:r>
            <w:r w:rsidRPr="00190B62">
              <w:t>crap inputs</w:t>
            </w:r>
            <w:r w:rsidR="00573B22" w:rsidRPr="00190B62">
              <w:t>; n</w:t>
            </w:r>
            <w:r w:rsidRPr="00190B62">
              <w:t>et exports (direct)</w:t>
            </w:r>
          </w:p>
        </w:tc>
        <w:tc>
          <w:tcPr>
            <w:tcW w:w="773" w:type="dxa"/>
            <w:tcBorders>
              <w:top w:val="single" w:sz="4" w:space="0" w:color="B3B3B3"/>
              <w:bottom w:val="nil"/>
            </w:tcBorders>
            <w:shd w:val="clear" w:color="000000" w:fill="E6E6E6"/>
          </w:tcPr>
          <w:p w14:paraId="333C8860" w14:textId="7A4A94F3" w:rsidR="007E5544" w:rsidRPr="006A721C" w:rsidRDefault="007E5544" w:rsidP="006A721C">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6A721C">
              <w:rPr>
                <w:rFonts w:cs="Open Sans"/>
                <w:color w:val="000000"/>
              </w:rPr>
              <w:t>20</w:t>
            </w:r>
            <w:r w:rsidR="00075915" w:rsidRPr="006A721C">
              <w:rPr>
                <w:rFonts w:cs="Open Sans"/>
                <w:color w:val="000000"/>
              </w:rPr>
              <w:t>25</w:t>
            </w:r>
            <w:r w:rsidRPr="006A721C">
              <w:rPr>
                <w:rFonts w:cs="Open Sans"/>
                <w:color w:val="000000"/>
              </w:rPr>
              <w:t xml:space="preserve"> </w:t>
            </w:r>
            <w:r w:rsidR="00930E00" w:rsidRPr="006A721C">
              <w:rPr>
                <w:rFonts w:cs="Open Sans"/>
                <w:color w:val="000000"/>
              </w:rPr>
              <w:t>–</w:t>
            </w:r>
            <w:r w:rsidRPr="006A721C">
              <w:rPr>
                <w:rFonts w:cs="Open Sans"/>
                <w:color w:val="000000"/>
              </w:rPr>
              <w:t xml:space="preserve"> 20</w:t>
            </w:r>
            <w:r w:rsidR="00930E00" w:rsidRPr="006A721C">
              <w:rPr>
                <w:rFonts w:cs="Open Sans"/>
                <w:color w:val="000000"/>
              </w:rPr>
              <w:t>35</w:t>
            </w:r>
          </w:p>
        </w:tc>
        <w:tc>
          <w:tcPr>
            <w:tcW w:w="1842" w:type="dxa"/>
            <w:tcBorders>
              <w:top w:val="single" w:sz="4" w:space="0" w:color="B3B3B3"/>
              <w:bottom w:val="nil"/>
            </w:tcBorders>
            <w:shd w:val="clear" w:color="000000" w:fill="E6E6E6"/>
          </w:tcPr>
          <w:p w14:paraId="34489FEB" w14:textId="26875131" w:rsidR="007E5544" w:rsidRPr="006A721C" w:rsidRDefault="00DF7B5E" w:rsidP="006A721C">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6A721C">
              <w:rPr>
                <w:rFonts w:cs="Open Sans"/>
                <w:color w:val="000000"/>
                <w:szCs w:val="24"/>
              </w:rPr>
              <w:t>Wood Mackenzie </w:t>
            </w:r>
            <w:r w:rsidR="00307C76" w:rsidRPr="006A721C">
              <w:rPr>
                <w:rFonts w:cs="Open Sans"/>
                <w:color w:val="000000"/>
                <w:szCs w:val="24"/>
              </w:rPr>
              <w:t>(</w:t>
            </w:r>
            <w:r w:rsidRPr="006A721C">
              <w:rPr>
                <w:rFonts w:cs="Open Sans"/>
                <w:color w:val="000000"/>
                <w:szCs w:val="24"/>
              </w:rPr>
              <w:t>2026c)</w:t>
            </w:r>
          </w:p>
        </w:tc>
        <w:tc>
          <w:tcPr>
            <w:tcW w:w="1743" w:type="dxa"/>
            <w:tcBorders>
              <w:top w:val="single" w:sz="4" w:space="0" w:color="B3B3B3"/>
              <w:bottom w:val="nil"/>
            </w:tcBorders>
            <w:shd w:val="clear" w:color="000000" w:fill="E6E6E6"/>
          </w:tcPr>
          <w:p w14:paraId="612BDA6D" w14:textId="200E6659" w:rsidR="007E5544" w:rsidRPr="006A721C" w:rsidRDefault="00002520" w:rsidP="006A721C">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6A721C">
              <w:rPr>
                <w:rFonts w:cs="Open Sans"/>
                <w:color w:val="000000"/>
              </w:rPr>
              <w:t xml:space="preserve">Data is </w:t>
            </w:r>
            <w:r w:rsidR="00725CEA" w:rsidRPr="006A721C">
              <w:rPr>
                <w:rFonts w:cs="Open Sans"/>
                <w:color w:val="000000"/>
              </w:rPr>
              <w:t>Wood Mackenzie proprietary</w:t>
            </w:r>
            <w:r w:rsidRPr="006A721C">
              <w:rPr>
                <w:rFonts w:cs="Open Sans"/>
                <w:color w:val="000000"/>
              </w:rPr>
              <w:t xml:space="preserve"> property</w:t>
            </w:r>
            <w:r w:rsidR="00FC5A79" w:rsidRPr="006A721C">
              <w:rPr>
                <w:rFonts w:cs="Open Sans"/>
                <w:color w:val="000000"/>
              </w:rPr>
              <w:t>.</w:t>
            </w:r>
          </w:p>
        </w:tc>
      </w:tr>
      <w:tr w:rsidR="008D2FC3" w:rsidRPr="006A721C" w14:paraId="031998E6" w14:textId="77777777" w:rsidTr="006A721C">
        <w:trPr>
          <w:trHeight w:val="565"/>
        </w:trPr>
        <w:tc>
          <w:tcPr>
            <w:cnfStyle w:val="001000000000" w:firstRow="0" w:lastRow="0" w:firstColumn="1" w:lastColumn="0" w:oddVBand="0" w:evenVBand="0" w:oddHBand="0" w:evenHBand="0" w:firstRowFirstColumn="0" w:firstRowLastColumn="0" w:lastRowFirstColumn="0" w:lastRowLastColumn="0"/>
            <w:tcW w:w="1921" w:type="dxa"/>
            <w:tcBorders>
              <w:top w:val="nil"/>
              <w:bottom w:val="nil"/>
            </w:tcBorders>
            <w:shd w:val="clear" w:color="000000" w:fill="auto"/>
          </w:tcPr>
          <w:p w14:paraId="0BB74503" w14:textId="5006CBD0" w:rsidR="008D2FC3" w:rsidRPr="00C32D67" w:rsidRDefault="00F2662B" w:rsidP="006A721C">
            <w:pPr>
              <w:pStyle w:val="TableBody"/>
              <w:spacing w:before="45" w:after="45"/>
              <w:ind w:right="108"/>
              <w:rPr>
                <w:rFonts w:cs="Open Sans"/>
                <w:b w:val="0"/>
                <w:bCs/>
                <w:color w:val="auto"/>
              </w:rPr>
            </w:pPr>
            <w:r w:rsidRPr="00C32D67">
              <w:rPr>
                <w:rFonts w:cs="Open Sans"/>
                <w:b w:val="0"/>
                <w:bCs/>
                <w:color w:val="auto"/>
              </w:rPr>
              <w:t>Global i</w:t>
            </w:r>
            <w:r w:rsidR="008F1EB1" w:rsidRPr="00C32D67">
              <w:rPr>
                <w:rFonts w:cs="Open Sans"/>
                <w:b w:val="0"/>
                <w:bCs/>
                <w:color w:val="auto"/>
              </w:rPr>
              <w:t xml:space="preserve">ron </w:t>
            </w:r>
            <w:r w:rsidRPr="00C32D67">
              <w:rPr>
                <w:rFonts w:cs="Open Sans"/>
                <w:b w:val="0"/>
                <w:bCs/>
                <w:color w:val="auto"/>
              </w:rPr>
              <w:t>o</w:t>
            </w:r>
            <w:r w:rsidR="008F1EB1" w:rsidRPr="00C32D67">
              <w:rPr>
                <w:rFonts w:cs="Open Sans"/>
                <w:b w:val="0"/>
                <w:bCs/>
                <w:color w:val="auto"/>
              </w:rPr>
              <w:t xml:space="preserve">re </w:t>
            </w:r>
            <w:r w:rsidR="00AD1D17" w:rsidRPr="00C32D67">
              <w:rPr>
                <w:rFonts w:cs="Open Sans"/>
                <w:b w:val="0"/>
                <w:bCs/>
                <w:color w:val="auto"/>
              </w:rPr>
              <w:t>market forecasts</w:t>
            </w:r>
          </w:p>
        </w:tc>
        <w:tc>
          <w:tcPr>
            <w:tcW w:w="3359" w:type="dxa"/>
            <w:tcBorders>
              <w:top w:val="nil"/>
              <w:bottom w:val="nil"/>
            </w:tcBorders>
            <w:shd w:val="clear" w:color="000000" w:fill="auto"/>
          </w:tcPr>
          <w:p w14:paraId="10DF2D61" w14:textId="32E783EF" w:rsidR="008D2FC3" w:rsidRPr="00190B62" w:rsidRDefault="00557A25" w:rsidP="00190B62">
            <w:pPr>
              <w:pStyle w:val="TableListBullet"/>
              <w:cnfStyle w:val="000000000000" w:firstRow="0" w:lastRow="0" w:firstColumn="0" w:lastColumn="0" w:oddVBand="0" w:evenVBand="0" w:oddHBand="0" w:evenHBand="0" w:firstRowFirstColumn="0" w:firstRowLastColumn="0" w:lastRowFirstColumn="0" w:lastRowLastColumn="0"/>
            </w:pPr>
            <w:r w:rsidRPr="00190B62">
              <w:t xml:space="preserve">Seaborne </w:t>
            </w:r>
            <w:r w:rsidR="003C5C34" w:rsidRPr="00190B62">
              <w:t>i</w:t>
            </w:r>
            <w:r w:rsidRPr="00190B62">
              <w:t>mports</w:t>
            </w:r>
            <w:r w:rsidR="008E66AD" w:rsidRPr="00190B62">
              <w:t>; s</w:t>
            </w:r>
            <w:r w:rsidRPr="00190B62">
              <w:t xml:space="preserve">eaborne </w:t>
            </w:r>
            <w:r w:rsidR="003C5C34" w:rsidRPr="00190B62">
              <w:t>e</w:t>
            </w:r>
            <w:r w:rsidRPr="00190B62">
              <w:t>xports</w:t>
            </w:r>
            <w:r w:rsidR="008E66AD" w:rsidRPr="00190B62">
              <w:t>; s</w:t>
            </w:r>
            <w:r w:rsidRPr="00190B62">
              <w:t xml:space="preserve">eaborne </w:t>
            </w:r>
            <w:r w:rsidR="003C5C34" w:rsidRPr="00190B62">
              <w:t>e</w:t>
            </w:r>
            <w:r w:rsidRPr="00190B62">
              <w:t>xports by company</w:t>
            </w:r>
            <w:r w:rsidR="008E66AD" w:rsidRPr="00190B62">
              <w:t>; d</w:t>
            </w:r>
            <w:r w:rsidRPr="00190B62">
              <w:t>omestic production</w:t>
            </w:r>
          </w:p>
        </w:tc>
        <w:tc>
          <w:tcPr>
            <w:tcW w:w="773" w:type="dxa"/>
            <w:tcBorders>
              <w:top w:val="nil"/>
              <w:bottom w:val="nil"/>
            </w:tcBorders>
            <w:shd w:val="clear" w:color="000000" w:fill="auto"/>
          </w:tcPr>
          <w:p w14:paraId="5CDC98EF" w14:textId="061918EB" w:rsidR="008D2FC3" w:rsidRPr="006A721C" w:rsidRDefault="00725CEA" w:rsidP="006A721C">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6A721C">
              <w:rPr>
                <w:rFonts w:cs="Open Sans"/>
                <w:color w:val="000000"/>
              </w:rPr>
              <w:t xml:space="preserve">2025 </w:t>
            </w:r>
            <w:r w:rsidR="00930E00" w:rsidRPr="006A721C">
              <w:rPr>
                <w:rFonts w:cs="Open Sans"/>
                <w:color w:val="000000"/>
              </w:rPr>
              <w:t>–</w:t>
            </w:r>
            <w:r w:rsidRPr="006A721C">
              <w:rPr>
                <w:rFonts w:cs="Open Sans"/>
                <w:color w:val="000000"/>
              </w:rPr>
              <w:t xml:space="preserve"> 20</w:t>
            </w:r>
            <w:r w:rsidR="00930E00" w:rsidRPr="006A721C">
              <w:rPr>
                <w:rFonts w:cs="Open Sans"/>
                <w:color w:val="000000"/>
              </w:rPr>
              <w:t>35</w:t>
            </w:r>
          </w:p>
        </w:tc>
        <w:tc>
          <w:tcPr>
            <w:tcW w:w="1842" w:type="dxa"/>
            <w:tcBorders>
              <w:top w:val="nil"/>
              <w:bottom w:val="nil"/>
            </w:tcBorders>
            <w:shd w:val="clear" w:color="000000" w:fill="auto"/>
          </w:tcPr>
          <w:p w14:paraId="15E3F998" w14:textId="1C7A4CC7" w:rsidR="008D2FC3" w:rsidRPr="006A721C" w:rsidRDefault="006D56D3" w:rsidP="006A721C">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6A721C">
              <w:rPr>
                <w:rFonts w:cs="Open Sans"/>
                <w:color w:val="000000"/>
                <w:szCs w:val="24"/>
              </w:rPr>
              <w:t>Wood Mackenzie </w:t>
            </w:r>
            <w:r w:rsidR="00307C76" w:rsidRPr="006A721C">
              <w:rPr>
                <w:rFonts w:cs="Open Sans"/>
                <w:color w:val="000000"/>
                <w:szCs w:val="24"/>
              </w:rPr>
              <w:t>(</w:t>
            </w:r>
            <w:r w:rsidRPr="006A721C">
              <w:rPr>
                <w:rFonts w:cs="Open Sans"/>
                <w:color w:val="000000"/>
                <w:szCs w:val="24"/>
              </w:rPr>
              <w:t>2026b)</w:t>
            </w:r>
          </w:p>
        </w:tc>
        <w:tc>
          <w:tcPr>
            <w:tcW w:w="1743" w:type="dxa"/>
            <w:tcBorders>
              <w:top w:val="nil"/>
              <w:bottom w:val="nil"/>
            </w:tcBorders>
            <w:shd w:val="clear" w:color="000000" w:fill="auto"/>
          </w:tcPr>
          <w:p w14:paraId="65EAFDDB" w14:textId="40A63D12" w:rsidR="008D2FC3" w:rsidRPr="006A721C" w:rsidRDefault="007634D1" w:rsidP="006A721C">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6A721C">
              <w:rPr>
                <w:rFonts w:cs="Open Sans"/>
                <w:color w:val="000000"/>
              </w:rPr>
              <w:t>Data is Wood Mackenzie proprietary property.</w:t>
            </w:r>
          </w:p>
        </w:tc>
      </w:tr>
      <w:tr w:rsidR="00980076" w:rsidRPr="006A721C" w14:paraId="5D283946" w14:textId="77777777" w:rsidTr="006A721C">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921" w:type="dxa"/>
            <w:tcBorders>
              <w:bottom w:val="nil"/>
            </w:tcBorders>
            <w:shd w:val="clear" w:color="000000" w:fill="E6E6E6"/>
          </w:tcPr>
          <w:p w14:paraId="020A495C" w14:textId="0C256A4C" w:rsidR="00980076" w:rsidRPr="00C32D67" w:rsidRDefault="00BE6455" w:rsidP="006A721C">
            <w:pPr>
              <w:pStyle w:val="TableBody"/>
              <w:spacing w:before="45" w:after="45"/>
              <w:ind w:right="108"/>
              <w:rPr>
                <w:rFonts w:cs="Open Sans"/>
                <w:b w:val="0"/>
                <w:bCs/>
                <w:color w:val="auto"/>
              </w:rPr>
            </w:pPr>
            <w:r w:rsidRPr="00C32D67">
              <w:rPr>
                <w:rFonts w:cs="Open Sans"/>
                <w:b w:val="0"/>
                <w:bCs/>
                <w:color w:val="auto"/>
              </w:rPr>
              <w:t xml:space="preserve">Global metallurgical coal </w:t>
            </w:r>
            <w:r w:rsidR="001E7A0A" w:rsidRPr="00C32D67">
              <w:rPr>
                <w:rFonts w:cs="Open Sans"/>
                <w:b w:val="0"/>
                <w:bCs/>
                <w:color w:val="auto"/>
              </w:rPr>
              <w:t xml:space="preserve">market </w:t>
            </w:r>
            <w:r w:rsidR="00E35148" w:rsidRPr="00C32D67">
              <w:rPr>
                <w:rFonts w:cs="Open Sans"/>
                <w:b w:val="0"/>
                <w:bCs/>
                <w:color w:val="auto"/>
              </w:rPr>
              <w:t>forecasts</w:t>
            </w:r>
          </w:p>
        </w:tc>
        <w:tc>
          <w:tcPr>
            <w:tcW w:w="3359" w:type="dxa"/>
            <w:tcBorders>
              <w:bottom w:val="nil"/>
            </w:tcBorders>
            <w:shd w:val="clear" w:color="000000" w:fill="E6E6E6"/>
          </w:tcPr>
          <w:p w14:paraId="5FAD01F9" w14:textId="73CF1414" w:rsidR="00980076" w:rsidRPr="00190B62" w:rsidRDefault="00E35148" w:rsidP="00190B62">
            <w:pPr>
              <w:pStyle w:val="TableListBullet"/>
              <w:cnfStyle w:val="000000100000" w:firstRow="0" w:lastRow="0" w:firstColumn="0" w:lastColumn="0" w:oddVBand="0" w:evenVBand="0" w:oddHBand="1" w:evenHBand="0" w:firstRowFirstColumn="0" w:firstRowLastColumn="0" w:lastRowFirstColumn="0" w:lastRowLastColumn="0"/>
            </w:pPr>
            <w:r w:rsidRPr="00190B62">
              <w:t xml:space="preserve">Seaborne </w:t>
            </w:r>
            <w:r w:rsidR="006231A4" w:rsidRPr="00190B62">
              <w:t>i</w:t>
            </w:r>
            <w:r w:rsidRPr="00190B62">
              <w:t>mports</w:t>
            </w:r>
            <w:r w:rsidR="008E66AD" w:rsidRPr="00190B62">
              <w:t xml:space="preserve">; </w:t>
            </w:r>
            <w:proofErr w:type="spellStart"/>
            <w:r w:rsidR="008E66AD" w:rsidRPr="00190B62">
              <w:t>l</w:t>
            </w:r>
            <w:r w:rsidRPr="00190B62">
              <w:t>andborne</w:t>
            </w:r>
            <w:proofErr w:type="spellEnd"/>
            <w:r w:rsidRPr="00190B62">
              <w:t xml:space="preserve"> imports</w:t>
            </w:r>
            <w:r w:rsidR="008E66AD" w:rsidRPr="00190B62">
              <w:t>; s</w:t>
            </w:r>
            <w:r w:rsidRPr="00190B62">
              <w:t>eaborne exports</w:t>
            </w:r>
            <w:r w:rsidR="008E66AD" w:rsidRPr="00190B62">
              <w:t xml:space="preserve">; </w:t>
            </w:r>
            <w:proofErr w:type="spellStart"/>
            <w:r w:rsidR="008E66AD" w:rsidRPr="00190B62">
              <w:t>l</w:t>
            </w:r>
            <w:r w:rsidRPr="00190B62">
              <w:t>andborne</w:t>
            </w:r>
            <w:proofErr w:type="spellEnd"/>
            <w:r w:rsidRPr="00190B62">
              <w:t xml:space="preserve"> imports</w:t>
            </w:r>
            <w:r w:rsidR="008E66AD" w:rsidRPr="00190B62">
              <w:t>; s</w:t>
            </w:r>
            <w:r w:rsidRPr="00190B62">
              <w:t>eaborne exports by company</w:t>
            </w:r>
            <w:r w:rsidR="008E66AD" w:rsidRPr="00190B62">
              <w:t>; d</w:t>
            </w:r>
            <w:r w:rsidRPr="00190B62">
              <w:t>omestic production</w:t>
            </w:r>
          </w:p>
        </w:tc>
        <w:tc>
          <w:tcPr>
            <w:tcW w:w="773" w:type="dxa"/>
            <w:tcBorders>
              <w:bottom w:val="nil"/>
            </w:tcBorders>
            <w:shd w:val="clear" w:color="000000" w:fill="E6E6E6"/>
          </w:tcPr>
          <w:p w14:paraId="0B31861A" w14:textId="40B282C8" w:rsidR="00980076" w:rsidRPr="006A721C" w:rsidRDefault="006231A4" w:rsidP="006A721C">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6A721C">
              <w:rPr>
                <w:rFonts w:cs="Open Sans"/>
                <w:color w:val="000000"/>
              </w:rPr>
              <w:t xml:space="preserve">2025 </w:t>
            </w:r>
            <w:r w:rsidR="00930E00" w:rsidRPr="006A721C">
              <w:rPr>
                <w:rFonts w:cs="Open Sans"/>
                <w:color w:val="000000"/>
              </w:rPr>
              <w:t>–</w:t>
            </w:r>
            <w:r w:rsidRPr="006A721C">
              <w:rPr>
                <w:rFonts w:cs="Open Sans"/>
                <w:color w:val="000000"/>
              </w:rPr>
              <w:t xml:space="preserve"> 20</w:t>
            </w:r>
            <w:r w:rsidR="00930E00" w:rsidRPr="006A721C">
              <w:rPr>
                <w:rFonts w:cs="Open Sans"/>
                <w:color w:val="000000"/>
              </w:rPr>
              <w:t>35</w:t>
            </w:r>
          </w:p>
        </w:tc>
        <w:tc>
          <w:tcPr>
            <w:tcW w:w="1842" w:type="dxa"/>
            <w:tcBorders>
              <w:bottom w:val="nil"/>
            </w:tcBorders>
            <w:shd w:val="clear" w:color="000000" w:fill="E6E6E6"/>
          </w:tcPr>
          <w:p w14:paraId="05F2595B" w14:textId="0E452277" w:rsidR="00980076" w:rsidRPr="006A721C" w:rsidRDefault="006231A4" w:rsidP="006A721C">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6A721C">
              <w:rPr>
                <w:rFonts w:cs="Open Sans"/>
                <w:color w:val="000000"/>
                <w:szCs w:val="24"/>
              </w:rPr>
              <w:t>Wood Mackenzie </w:t>
            </w:r>
            <w:r w:rsidR="00307C76" w:rsidRPr="006A721C">
              <w:rPr>
                <w:rFonts w:cs="Open Sans"/>
                <w:color w:val="000000"/>
                <w:szCs w:val="24"/>
              </w:rPr>
              <w:t>(</w:t>
            </w:r>
            <w:r w:rsidRPr="006A721C">
              <w:rPr>
                <w:rFonts w:cs="Open Sans"/>
                <w:color w:val="000000"/>
                <w:szCs w:val="24"/>
              </w:rPr>
              <w:t>2025a)</w:t>
            </w:r>
          </w:p>
        </w:tc>
        <w:tc>
          <w:tcPr>
            <w:tcW w:w="1743" w:type="dxa"/>
            <w:tcBorders>
              <w:bottom w:val="nil"/>
            </w:tcBorders>
            <w:shd w:val="clear" w:color="000000" w:fill="E6E6E6"/>
          </w:tcPr>
          <w:p w14:paraId="3D5ABD98" w14:textId="6A7CA309" w:rsidR="00980076" w:rsidRPr="006A721C" w:rsidRDefault="007634D1" w:rsidP="006A721C">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6A721C">
              <w:rPr>
                <w:rFonts w:cs="Open Sans"/>
                <w:color w:val="000000"/>
              </w:rPr>
              <w:t>Data is Wood Mackenzie proprietary property.</w:t>
            </w:r>
          </w:p>
        </w:tc>
      </w:tr>
      <w:tr w:rsidR="001B0E0C" w:rsidRPr="006A721C" w14:paraId="1BF8BC0E" w14:textId="77777777" w:rsidTr="006A721C">
        <w:trPr>
          <w:trHeight w:val="565"/>
        </w:trPr>
        <w:tc>
          <w:tcPr>
            <w:cnfStyle w:val="001000000000" w:firstRow="0" w:lastRow="0" w:firstColumn="1" w:lastColumn="0" w:oddVBand="0" w:evenVBand="0" w:oddHBand="0" w:evenHBand="0" w:firstRowFirstColumn="0" w:firstRowLastColumn="0" w:lastRowFirstColumn="0" w:lastRowLastColumn="0"/>
            <w:tcW w:w="1921" w:type="dxa"/>
            <w:tcBorders>
              <w:top w:val="nil"/>
              <w:bottom w:val="nil"/>
            </w:tcBorders>
            <w:shd w:val="clear" w:color="000000" w:fill="auto"/>
          </w:tcPr>
          <w:p w14:paraId="071853F2" w14:textId="61082D4E" w:rsidR="001B0E0C" w:rsidRPr="00C32D67" w:rsidRDefault="001B0E0C" w:rsidP="006A721C">
            <w:pPr>
              <w:pStyle w:val="TableBody"/>
              <w:spacing w:before="45" w:after="45"/>
              <w:ind w:right="108"/>
              <w:rPr>
                <w:rFonts w:cs="Open Sans"/>
                <w:b w:val="0"/>
                <w:bCs/>
                <w:color w:val="auto"/>
              </w:rPr>
            </w:pPr>
            <w:r w:rsidRPr="00C32D67">
              <w:rPr>
                <w:rFonts w:cs="Open Sans"/>
                <w:b w:val="0"/>
                <w:bCs/>
                <w:color w:val="auto"/>
              </w:rPr>
              <w:t xml:space="preserve">Global </w:t>
            </w:r>
            <w:r w:rsidR="00002C61" w:rsidRPr="00C32D67">
              <w:rPr>
                <w:rFonts w:cs="Open Sans"/>
                <w:b w:val="0"/>
                <w:bCs/>
                <w:color w:val="auto"/>
              </w:rPr>
              <w:t xml:space="preserve">thermal </w:t>
            </w:r>
            <w:r w:rsidRPr="00C32D67">
              <w:rPr>
                <w:rFonts w:cs="Open Sans"/>
                <w:b w:val="0"/>
                <w:bCs/>
                <w:color w:val="auto"/>
              </w:rPr>
              <w:t>coal market forecasts</w:t>
            </w:r>
          </w:p>
        </w:tc>
        <w:tc>
          <w:tcPr>
            <w:tcW w:w="3359" w:type="dxa"/>
            <w:tcBorders>
              <w:top w:val="nil"/>
              <w:bottom w:val="nil"/>
            </w:tcBorders>
            <w:shd w:val="clear" w:color="000000" w:fill="auto"/>
          </w:tcPr>
          <w:p w14:paraId="4B5921FC" w14:textId="614E0CC2" w:rsidR="001B0E0C" w:rsidRPr="00190B62" w:rsidRDefault="008E66AD" w:rsidP="00190B62">
            <w:pPr>
              <w:pStyle w:val="TableListBullet"/>
              <w:cnfStyle w:val="000000000000" w:firstRow="0" w:lastRow="0" w:firstColumn="0" w:lastColumn="0" w:oddVBand="0" w:evenVBand="0" w:oddHBand="0" w:evenHBand="0" w:firstRowFirstColumn="0" w:firstRowLastColumn="0" w:lastRowFirstColumn="0" w:lastRowLastColumn="0"/>
            </w:pPr>
            <w:r w:rsidRPr="00190B62">
              <w:t xml:space="preserve">Seaborne imports; </w:t>
            </w:r>
            <w:proofErr w:type="spellStart"/>
            <w:r w:rsidRPr="00190B62">
              <w:t>landborne</w:t>
            </w:r>
            <w:proofErr w:type="spellEnd"/>
            <w:r w:rsidRPr="00190B62">
              <w:t xml:space="preserve"> imports; seaborne exports; </w:t>
            </w:r>
            <w:proofErr w:type="spellStart"/>
            <w:r w:rsidRPr="00190B62">
              <w:t>landborne</w:t>
            </w:r>
            <w:proofErr w:type="spellEnd"/>
            <w:r w:rsidRPr="00190B62">
              <w:t xml:space="preserve"> imports; seaborne exports by company; domestic production</w:t>
            </w:r>
          </w:p>
        </w:tc>
        <w:tc>
          <w:tcPr>
            <w:tcW w:w="773" w:type="dxa"/>
            <w:tcBorders>
              <w:top w:val="nil"/>
              <w:bottom w:val="nil"/>
            </w:tcBorders>
            <w:shd w:val="clear" w:color="000000" w:fill="auto"/>
          </w:tcPr>
          <w:p w14:paraId="3579ADCB" w14:textId="45C28206" w:rsidR="001B0E0C" w:rsidRPr="006A721C" w:rsidRDefault="001B0E0C" w:rsidP="006A721C">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6A721C">
              <w:rPr>
                <w:rFonts w:cs="Open Sans"/>
                <w:color w:val="000000"/>
              </w:rPr>
              <w:t xml:space="preserve">2025 </w:t>
            </w:r>
            <w:r w:rsidR="00930E00" w:rsidRPr="006A721C">
              <w:rPr>
                <w:rFonts w:cs="Open Sans"/>
                <w:color w:val="000000"/>
              </w:rPr>
              <w:t>–</w:t>
            </w:r>
            <w:r w:rsidRPr="006A721C">
              <w:rPr>
                <w:rFonts w:cs="Open Sans"/>
                <w:color w:val="000000"/>
              </w:rPr>
              <w:t xml:space="preserve"> 20</w:t>
            </w:r>
            <w:r w:rsidR="00930E00" w:rsidRPr="006A721C">
              <w:rPr>
                <w:rFonts w:cs="Open Sans"/>
                <w:color w:val="000000"/>
              </w:rPr>
              <w:t>35</w:t>
            </w:r>
          </w:p>
        </w:tc>
        <w:tc>
          <w:tcPr>
            <w:tcW w:w="1842" w:type="dxa"/>
            <w:tcBorders>
              <w:top w:val="nil"/>
              <w:bottom w:val="nil"/>
            </w:tcBorders>
            <w:shd w:val="clear" w:color="000000" w:fill="auto"/>
          </w:tcPr>
          <w:p w14:paraId="180D1825" w14:textId="779FA803" w:rsidR="001B0E0C" w:rsidRPr="006A721C" w:rsidRDefault="001E7A0A" w:rsidP="006A721C">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6A721C">
              <w:rPr>
                <w:rFonts w:cs="Open Sans"/>
                <w:color w:val="000000"/>
                <w:szCs w:val="24"/>
              </w:rPr>
              <w:t>Wood Mackenzie </w:t>
            </w:r>
            <w:r w:rsidR="00307C76" w:rsidRPr="006A721C">
              <w:rPr>
                <w:rFonts w:cs="Open Sans"/>
                <w:color w:val="000000"/>
                <w:szCs w:val="24"/>
              </w:rPr>
              <w:t>(</w:t>
            </w:r>
            <w:r w:rsidRPr="006A721C">
              <w:rPr>
                <w:rFonts w:cs="Open Sans"/>
                <w:color w:val="000000"/>
                <w:szCs w:val="24"/>
              </w:rPr>
              <w:t>2025b)</w:t>
            </w:r>
          </w:p>
        </w:tc>
        <w:tc>
          <w:tcPr>
            <w:tcW w:w="1743" w:type="dxa"/>
            <w:tcBorders>
              <w:top w:val="nil"/>
              <w:bottom w:val="nil"/>
            </w:tcBorders>
            <w:shd w:val="clear" w:color="000000" w:fill="auto"/>
          </w:tcPr>
          <w:p w14:paraId="4963FD49" w14:textId="70AC3ABA" w:rsidR="001B0E0C" w:rsidRPr="006A721C" w:rsidRDefault="007634D1" w:rsidP="006A721C">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6A721C">
              <w:rPr>
                <w:rFonts w:cs="Open Sans"/>
                <w:color w:val="000000"/>
              </w:rPr>
              <w:t>Data is Wood Mackenzie proprietary property.</w:t>
            </w:r>
          </w:p>
        </w:tc>
      </w:tr>
      <w:tr w:rsidR="00BE6455" w:rsidRPr="006A721C" w14:paraId="0C6F6BF8" w14:textId="77777777" w:rsidTr="006A721C">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921" w:type="dxa"/>
            <w:tcBorders>
              <w:bottom w:val="nil"/>
            </w:tcBorders>
            <w:shd w:val="clear" w:color="000000" w:fill="E6E6E6"/>
          </w:tcPr>
          <w:p w14:paraId="1281B135" w14:textId="1944BF0E" w:rsidR="00BE6455" w:rsidRPr="00C32D67" w:rsidRDefault="008E66AD" w:rsidP="006A721C">
            <w:pPr>
              <w:pStyle w:val="TableBody"/>
              <w:spacing w:before="45" w:after="45"/>
              <w:ind w:right="108"/>
              <w:rPr>
                <w:rFonts w:cs="Open Sans"/>
                <w:b w:val="0"/>
                <w:bCs/>
                <w:color w:val="auto"/>
              </w:rPr>
            </w:pPr>
            <w:r w:rsidRPr="00C32D67">
              <w:rPr>
                <w:rFonts w:cs="Open Sans"/>
                <w:b w:val="0"/>
                <w:bCs/>
                <w:color w:val="auto"/>
              </w:rPr>
              <w:t>I</w:t>
            </w:r>
            <w:r w:rsidR="00C941D9" w:rsidRPr="00C32D67">
              <w:rPr>
                <w:rFonts w:cs="Open Sans"/>
                <w:b w:val="0"/>
                <w:bCs/>
                <w:color w:val="auto"/>
              </w:rPr>
              <w:t xml:space="preserve">ron ore </w:t>
            </w:r>
            <w:r w:rsidR="001D762B" w:rsidRPr="00C32D67">
              <w:rPr>
                <w:rFonts w:cs="Open Sans"/>
                <w:b w:val="0"/>
                <w:bCs/>
                <w:color w:val="auto"/>
              </w:rPr>
              <w:t xml:space="preserve">mine-level </w:t>
            </w:r>
            <w:r w:rsidR="004A20ED" w:rsidRPr="00C32D67">
              <w:rPr>
                <w:rFonts w:cs="Open Sans"/>
                <w:b w:val="0"/>
                <w:bCs/>
                <w:color w:val="auto"/>
              </w:rPr>
              <w:t>cost curve</w:t>
            </w:r>
            <w:r w:rsidR="0004771F" w:rsidRPr="00C32D67">
              <w:rPr>
                <w:rFonts w:cs="Open Sans"/>
                <w:b w:val="0"/>
                <w:bCs/>
                <w:color w:val="auto"/>
              </w:rPr>
              <w:t xml:space="preserve"> forecasts</w:t>
            </w:r>
          </w:p>
        </w:tc>
        <w:tc>
          <w:tcPr>
            <w:tcW w:w="3359" w:type="dxa"/>
            <w:tcBorders>
              <w:bottom w:val="nil"/>
            </w:tcBorders>
            <w:shd w:val="clear" w:color="000000" w:fill="E6E6E6"/>
          </w:tcPr>
          <w:p w14:paraId="1477FB66" w14:textId="7C65AE10" w:rsidR="00BE6455" w:rsidRPr="00190B62" w:rsidRDefault="00C941D9" w:rsidP="00190B62">
            <w:pPr>
              <w:pStyle w:val="TableListBullet"/>
              <w:cnfStyle w:val="000000100000" w:firstRow="0" w:lastRow="0" w:firstColumn="0" w:lastColumn="0" w:oddVBand="0" w:evenVBand="0" w:oddHBand="1" w:evenHBand="0" w:firstRowFirstColumn="0" w:firstRowLastColumn="0" w:lastRowFirstColumn="0" w:lastRowLastColumn="0"/>
            </w:pPr>
            <w:r w:rsidRPr="00190B62">
              <w:t>Supply costs by mine</w:t>
            </w:r>
            <w:r w:rsidR="008E66AD" w:rsidRPr="00190B62">
              <w:t>; s</w:t>
            </w:r>
            <w:r w:rsidR="00760870" w:rsidRPr="00190B62">
              <w:t>upply quantity by mine</w:t>
            </w:r>
          </w:p>
        </w:tc>
        <w:tc>
          <w:tcPr>
            <w:tcW w:w="773" w:type="dxa"/>
            <w:tcBorders>
              <w:bottom w:val="nil"/>
            </w:tcBorders>
            <w:shd w:val="clear" w:color="000000" w:fill="E6E6E6"/>
          </w:tcPr>
          <w:p w14:paraId="59F433EC" w14:textId="4EB18D20" w:rsidR="00BE6455" w:rsidRPr="006A721C" w:rsidRDefault="00760870" w:rsidP="006A721C">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6A721C">
              <w:rPr>
                <w:rFonts w:cs="Open Sans"/>
                <w:color w:val="000000"/>
              </w:rPr>
              <w:t xml:space="preserve">2025 </w:t>
            </w:r>
            <w:r w:rsidR="00930E00" w:rsidRPr="006A721C">
              <w:rPr>
                <w:rFonts w:cs="Open Sans"/>
                <w:color w:val="000000"/>
              </w:rPr>
              <w:t>–</w:t>
            </w:r>
            <w:r w:rsidRPr="006A721C">
              <w:rPr>
                <w:rFonts w:cs="Open Sans"/>
                <w:color w:val="000000"/>
              </w:rPr>
              <w:t xml:space="preserve"> 20</w:t>
            </w:r>
            <w:r w:rsidR="00930E00" w:rsidRPr="006A721C">
              <w:rPr>
                <w:rFonts w:cs="Open Sans"/>
                <w:color w:val="000000"/>
              </w:rPr>
              <w:t>35</w:t>
            </w:r>
          </w:p>
        </w:tc>
        <w:tc>
          <w:tcPr>
            <w:tcW w:w="1842" w:type="dxa"/>
            <w:tcBorders>
              <w:bottom w:val="nil"/>
            </w:tcBorders>
            <w:shd w:val="clear" w:color="000000" w:fill="E6E6E6"/>
          </w:tcPr>
          <w:p w14:paraId="0878C399" w14:textId="5A49D65B" w:rsidR="00BE6455" w:rsidRPr="006A721C" w:rsidRDefault="00760870" w:rsidP="006A721C">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6A721C">
              <w:rPr>
                <w:rFonts w:cs="Open Sans"/>
                <w:color w:val="000000"/>
                <w:szCs w:val="24"/>
              </w:rPr>
              <w:t>Wood Mackenzie </w:t>
            </w:r>
            <w:r w:rsidR="00307C76" w:rsidRPr="006A721C">
              <w:rPr>
                <w:rFonts w:cs="Open Sans"/>
                <w:color w:val="000000"/>
                <w:szCs w:val="24"/>
              </w:rPr>
              <w:t>(</w:t>
            </w:r>
            <w:r w:rsidRPr="006A721C">
              <w:rPr>
                <w:rFonts w:cs="Open Sans"/>
                <w:color w:val="000000"/>
                <w:szCs w:val="24"/>
              </w:rPr>
              <w:t>2026d)</w:t>
            </w:r>
          </w:p>
        </w:tc>
        <w:tc>
          <w:tcPr>
            <w:tcW w:w="1743" w:type="dxa"/>
            <w:tcBorders>
              <w:bottom w:val="nil"/>
            </w:tcBorders>
            <w:shd w:val="clear" w:color="000000" w:fill="E6E6E6"/>
          </w:tcPr>
          <w:p w14:paraId="1BF47669" w14:textId="243058BD" w:rsidR="00BE6455" w:rsidRPr="006A721C" w:rsidRDefault="007634D1" w:rsidP="006A721C">
            <w:pPr>
              <w:pStyle w:val="TableBody"/>
              <w:spacing w:before="45"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6A721C">
              <w:rPr>
                <w:rFonts w:cs="Open Sans"/>
                <w:color w:val="000000"/>
              </w:rPr>
              <w:t>Data is Wood Mackenzie proprietary property.</w:t>
            </w:r>
          </w:p>
        </w:tc>
      </w:tr>
      <w:tr w:rsidR="007634D1" w:rsidRPr="006A721C" w14:paraId="61A43EC5" w14:textId="77777777" w:rsidTr="006A721C">
        <w:trPr>
          <w:trHeight w:val="565"/>
        </w:trPr>
        <w:tc>
          <w:tcPr>
            <w:cnfStyle w:val="001000000000" w:firstRow="0" w:lastRow="0" w:firstColumn="1" w:lastColumn="0" w:oddVBand="0" w:evenVBand="0" w:oddHBand="0" w:evenHBand="0" w:firstRowFirstColumn="0" w:firstRowLastColumn="0" w:lastRowFirstColumn="0" w:lastRowLastColumn="0"/>
            <w:tcW w:w="1921" w:type="dxa"/>
            <w:tcBorders>
              <w:top w:val="nil"/>
            </w:tcBorders>
            <w:shd w:val="clear" w:color="000000" w:fill="auto"/>
          </w:tcPr>
          <w:p w14:paraId="272D1F42" w14:textId="1B2EA486" w:rsidR="007634D1" w:rsidRPr="00C32D67" w:rsidRDefault="00FC35B7" w:rsidP="006A721C">
            <w:pPr>
              <w:pStyle w:val="TableBody"/>
              <w:spacing w:before="45" w:after="45"/>
              <w:ind w:right="108"/>
              <w:rPr>
                <w:rFonts w:cs="Open Sans"/>
                <w:b w:val="0"/>
                <w:bCs/>
                <w:color w:val="auto"/>
              </w:rPr>
            </w:pPr>
            <w:r w:rsidRPr="00C32D67">
              <w:rPr>
                <w:rFonts w:cs="Open Sans"/>
                <w:b w:val="0"/>
                <w:bCs/>
                <w:color w:val="auto"/>
              </w:rPr>
              <w:t>Coal mine-level cost curve forecasts</w:t>
            </w:r>
          </w:p>
        </w:tc>
        <w:tc>
          <w:tcPr>
            <w:tcW w:w="3359" w:type="dxa"/>
            <w:tcBorders>
              <w:top w:val="nil"/>
            </w:tcBorders>
            <w:shd w:val="clear" w:color="000000" w:fill="auto"/>
          </w:tcPr>
          <w:p w14:paraId="0914EED6" w14:textId="4565AF7E" w:rsidR="007634D1" w:rsidRPr="00190B62" w:rsidRDefault="00FC35B7" w:rsidP="00190B62">
            <w:pPr>
              <w:pStyle w:val="TableListBullet"/>
              <w:cnfStyle w:val="000000000000" w:firstRow="0" w:lastRow="0" w:firstColumn="0" w:lastColumn="0" w:oddVBand="0" w:evenVBand="0" w:oddHBand="0" w:evenHBand="0" w:firstRowFirstColumn="0" w:firstRowLastColumn="0" w:lastRowFirstColumn="0" w:lastRowLastColumn="0"/>
            </w:pPr>
            <w:r w:rsidRPr="00190B62">
              <w:t>Supply costs by mine; supply quantity by mine</w:t>
            </w:r>
          </w:p>
        </w:tc>
        <w:tc>
          <w:tcPr>
            <w:tcW w:w="773" w:type="dxa"/>
            <w:tcBorders>
              <w:top w:val="nil"/>
            </w:tcBorders>
            <w:shd w:val="clear" w:color="000000" w:fill="auto"/>
          </w:tcPr>
          <w:p w14:paraId="031B42A4" w14:textId="76E5561F" w:rsidR="007634D1" w:rsidRPr="006A721C" w:rsidRDefault="00FC35B7" w:rsidP="006A721C">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6A721C">
              <w:rPr>
                <w:rFonts w:cs="Open Sans"/>
                <w:color w:val="000000"/>
              </w:rPr>
              <w:t>2025 - 2035</w:t>
            </w:r>
          </w:p>
        </w:tc>
        <w:tc>
          <w:tcPr>
            <w:tcW w:w="1842" w:type="dxa"/>
            <w:tcBorders>
              <w:top w:val="nil"/>
            </w:tcBorders>
            <w:shd w:val="clear" w:color="000000" w:fill="auto"/>
          </w:tcPr>
          <w:p w14:paraId="47D83836" w14:textId="4CF0989F" w:rsidR="007634D1" w:rsidRPr="006A721C" w:rsidRDefault="00FC35B7" w:rsidP="006A721C">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6A721C">
              <w:rPr>
                <w:rFonts w:cs="Open Sans"/>
                <w:color w:val="000000"/>
                <w:szCs w:val="24"/>
              </w:rPr>
              <w:t>Wood Mackenzie (2026a)</w:t>
            </w:r>
          </w:p>
        </w:tc>
        <w:tc>
          <w:tcPr>
            <w:tcW w:w="1743" w:type="dxa"/>
            <w:tcBorders>
              <w:top w:val="nil"/>
            </w:tcBorders>
            <w:shd w:val="clear" w:color="000000" w:fill="auto"/>
          </w:tcPr>
          <w:p w14:paraId="4CF15705" w14:textId="633B01E9" w:rsidR="007634D1" w:rsidRPr="006A721C" w:rsidRDefault="00FC35B7" w:rsidP="006A721C">
            <w:pPr>
              <w:pStyle w:val="TableBody"/>
              <w:spacing w:before="45"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6A721C">
              <w:rPr>
                <w:rFonts w:cs="Open Sans"/>
                <w:color w:val="000000"/>
              </w:rPr>
              <w:t>Data is Wood Mackenzie proprietary property.</w:t>
            </w:r>
          </w:p>
        </w:tc>
      </w:tr>
    </w:tbl>
    <w:p w14:paraId="270D6D71" w14:textId="77777777" w:rsidR="00807DF8" w:rsidRDefault="00807DF8" w:rsidP="00807DF8">
      <w:pPr>
        <w:pStyle w:val="Heading3-noTOC"/>
      </w:pPr>
      <w:r>
        <w:lastRenderedPageBreak/>
        <w:t>Assumptions</w:t>
      </w:r>
    </w:p>
    <w:p w14:paraId="0CEB5AE1" w14:textId="6E6F5438" w:rsidR="00C11A67" w:rsidRDefault="00C11A67" w:rsidP="00C11A67">
      <w:pPr>
        <w:pStyle w:val="FigureTableHeading"/>
      </w:pPr>
      <w:r>
        <w:t>Table C.</w:t>
      </w:r>
      <w:fldSimple w:instr=" SEQ Table \* ARABIC \s 1 ">
        <w:r w:rsidR="002D76C4">
          <w:rPr>
            <w:noProof/>
          </w:rPr>
          <w:t>30</w:t>
        </w:r>
      </w:fldSimple>
      <w:r w:rsidR="00461EED">
        <w:rPr>
          <w:noProof/>
        </w:rPr>
        <w:t xml:space="preserve"> </w:t>
      </w:r>
      <w:r>
        <w:rPr>
          <w:noProof/>
        </w:rPr>
        <w:t xml:space="preserve">– </w:t>
      </w:r>
      <w:r>
        <w:t xml:space="preserve">Commodity price </w:t>
      </w:r>
      <w:r w:rsidR="00FF5F54">
        <w:t xml:space="preserve">hypotheticals </w:t>
      </w:r>
      <w:r w:rsidR="00681B97">
        <w:t>specific</w:t>
      </w:r>
      <w:r>
        <w:t xml:space="preserve"> assumptions</w:t>
      </w:r>
    </w:p>
    <w:tbl>
      <w:tblPr>
        <w:tblW w:w="0" w:type="auto"/>
        <w:tblBorders>
          <w:bottom w:val="single" w:sz="4" w:space="0" w:color="B3B3B3"/>
        </w:tblBorders>
        <w:shd w:val="clear" w:color="000000" w:fill="auto"/>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2893"/>
        <w:gridCol w:w="6745"/>
      </w:tblGrid>
      <w:tr w:rsidR="0094617A" w:rsidRPr="00752778" w14:paraId="046057B2" w14:textId="77777777" w:rsidTr="00E00A1D">
        <w:trPr>
          <w:tblHeader/>
        </w:trPr>
        <w:tc>
          <w:tcPr>
            <w:tcW w:w="0" w:type="auto"/>
            <w:tcBorders>
              <w:bottom w:val="single" w:sz="4" w:space="0" w:color="B3B3B3"/>
            </w:tcBorders>
            <w:shd w:val="clear" w:color="000000" w:fill="auto"/>
            <w:vAlign w:val="bottom"/>
          </w:tcPr>
          <w:p w14:paraId="5EEF7867" w14:textId="65A8EDF5" w:rsidR="0094617A" w:rsidRPr="00BB2726" w:rsidRDefault="0094617A" w:rsidP="00BB2726">
            <w:pPr>
              <w:spacing w:before="45" w:after="45" w:line="259" w:lineRule="auto"/>
              <w:ind w:left="57" w:right="108"/>
              <w:rPr>
                <w:rFonts w:cs="Open Sans"/>
                <w:b/>
                <w:bCs/>
                <w:color w:val="1D4374"/>
                <w:sz w:val="18"/>
              </w:rPr>
            </w:pPr>
            <w:r w:rsidRPr="00BB2726">
              <w:rPr>
                <w:rFonts w:cs="Open Sans"/>
                <w:b/>
                <w:bCs/>
                <w:color w:val="1D4374"/>
                <w:sz w:val="18"/>
              </w:rPr>
              <w:t>Assumption</w:t>
            </w:r>
          </w:p>
        </w:tc>
        <w:tc>
          <w:tcPr>
            <w:tcW w:w="0" w:type="auto"/>
            <w:tcBorders>
              <w:bottom w:val="single" w:sz="4" w:space="0" w:color="B3B3B3"/>
            </w:tcBorders>
            <w:shd w:val="clear" w:color="000000" w:fill="auto"/>
            <w:vAlign w:val="bottom"/>
          </w:tcPr>
          <w:p w14:paraId="23EADE56" w14:textId="406B0B03" w:rsidR="0094617A" w:rsidRPr="00BB2726" w:rsidRDefault="0094617A" w:rsidP="00BB2726">
            <w:pPr>
              <w:spacing w:before="45" w:after="45" w:line="259" w:lineRule="auto"/>
              <w:ind w:left="57" w:right="108"/>
              <w:rPr>
                <w:rFonts w:cs="Open Sans"/>
                <w:b/>
                <w:bCs/>
                <w:color w:val="1D4374"/>
                <w:sz w:val="18"/>
              </w:rPr>
            </w:pPr>
            <w:r w:rsidRPr="00BB2726">
              <w:rPr>
                <w:rFonts w:cs="Open Sans"/>
                <w:b/>
                <w:bCs/>
                <w:color w:val="1D4374"/>
                <w:sz w:val="18"/>
              </w:rPr>
              <w:t>Implication</w:t>
            </w:r>
          </w:p>
        </w:tc>
      </w:tr>
      <w:tr w:rsidR="00BB2726" w:rsidRPr="00752778" w14:paraId="793DF47A" w14:textId="77777777" w:rsidTr="00E00A1D">
        <w:trPr>
          <w:tblHeader/>
        </w:trPr>
        <w:tc>
          <w:tcPr>
            <w:tcW w:w="0" w:type="auto"/>
            <w:tcBorders>
              <w:top w:val="single" w:sz="4" w:space="0" w:color="B3B3B3"/>
              <w:bottom w:val="nil"/>
            </w:tcBorders>
            <w:shd w:val="clear" w:color="000000" w:fill="E6E6E6"/>
          </w:tcPr>
          <w:p w14:paraId="233D0978" w14:textId="65E45911" w:rsidR="00BB2726" w:rsidRPr="00F96F9C" w:rsidRDefault="00BB2726" w:rsidP="00BB2726">
            <w:pPr>
              <w:spacing w:before="45" w:after="45" w:line="259" w:lineRule="auto"/>
              <w:ind w:left="57" w:right="108"/>
              <w:rPr>
                <w:rFonts w:cs="Open Sans"/>
                <w:bCs/>
                <w:sz w:val="18"/>
              </w:rPr>
            </w:pPr>
            <w:r w:rsidRPr="00F96F9C">
              <w:rPr>
                <w:rFonts w:cs="Open Sans"/>
                <w:bCs/>
                <w:sz w:val="18"/>
              </w:rPr>
              <w:t>Scenarios represent alternative structural worlds, not ranked forecasts.</w:t>
            </w:r>
          </w:p>
        </w:tc>
        <w:tc>
          <w:tcPr>
            <w:tcW w:w="0" w:type="auto"/>
            <w:tcBorders>
              <w:top w:val="single" w:sz="4" w:space="0" w:color="B3B3B3"/>
              <w:bottom w:val="nil"/>
            </w:tcBorders>
            <w:shd w:val="clear" w:color="000000" w:fill="E6E6E6"/>
          </w:tcPr>
          <w:p w14:paraId="77A1120A" w14:textId="0963534E" w:rsidR="00BB2726" w:rsidRPr="00BB2726" w:rsidRDefault="0043037A" w:rsidP="00BB2726">
            <w:pPr>
              <w:spacing w:before="45" w:after="45" w:line="259" w:lineRule="auto"/>
              <w:ind w:left="57" w:right="108"/>
              <w:rPr>
                <w:rFonts w:cs="Open Sans"/>
                <w:color w:val="000000"/>
                <w:sz w:val="18"/>
              </w:rPr>
            </w:pPr>
            <w:r>
              <w:rPr>
                <w:rFonts w:cs="Open Sans"/>
                <w:color w:val="000000"/>
                <w:sz w:val="18"/>
              </w:rPr>
              <w:t xml:space="preserve">Hypothetical </w:t>
            </w:r>
            <w:r w:rsidR="009F3D63">
              <w:rPr>
                <w:rFonts w:cs="Open Sans"/>
                <w:color w:val="000000"/>
                <w:sz w:val="18"/>
              </w:rPr>
              <w:t xml:space="preserve">prices </w:t>
            </w:r>
            <w:r w:rsidR="00BB2726" w:rsidRPr="00BB2726">
              <w:rPr>
                <w:rFonts w:cs="Open Sans"/>
                <w:color w:val="000000"/>
                <w:sz w:val="18"/>
              </w:rPr>
              <w:t>should be interpreted through their underlying mechanisms; scenario 2 does not necessarily generate a lower</w:t>
            </w:r>
            <w:r w:rsidR="003163A0">
              <w:rPr>
                <w:rFonts w:cs="Open Sans"/>
                <w:color w:val="000000"/>
                <w:sz w:val="18"/>
              </w:rPr>
              <w:t>/higher</w:t>
            </w:r>
            <w:r w:rsidR="00BB2726" w:rsidRPr="00BB2726">
              <w:rPr>
                <w:rFonts w:cs="Open Sans"/>
                <w:color w:val="000000"/>
                <w:sz w:val="18"/>
              </w:rPr>
              <w:t xml:space="preserve"> price than </w:t>
            </w:r>
            <w:r w:rsidR="003163A0">
              <w:rPr>
                <w:rFonts w:cs="Open Sans"/>
                <w:color w:val="000000"/>
                <w:sz w:val="18"/>
              </w:rPr>
              <w:t xml:space="preserve">scenario </w:t>
            </w:r>
            <w:r w:rsidR="00BB2726" w:rsidRPr="00BB2726">
              <w:rPr>
                <w:rFonts w:cs="Open Sans"/>
                <w:color w:val="000000"/>
                <w:sz w:val="18"/>
              </w:rPr>
              <w:t>1 for every commodity.</w:t>
            </w:r>
          </w:p>
        </w:tc>
      </w:tr>
      <w:tr w:rsidR="00BB2726" w:rsidRPr="00752778" w14:paraId="6A76F443" w14:textId="77777777" w:rsidTr="00E00A1D">
        <w:trPr>
          <w:tblHeader/>
        </w:trPr>
        <w:tc>
          <w:tcPr>
            <w:tcW w:w="0" w:type="auto"/>
            <w:tcBorders>
              <w:top w:val="nil"/>
              <w:bottom w:val="nil"/>
            </w:tcBorders>
            <w:shd w:val="clear" w:color="000000" w:fill="auto"/>
          </w:tcPr>
          <w:p w14:paraId="7F1101F4" w14:textId="77777777" w:rsidR="00BB2726" w:rsidRPr="00F96F9C" w:rsidRDefault="00BB2726" w:rsidP="00BB2726">
            <w:pPr>
              <w:spacing w:before="45" w:after="45" w:line="259" w:lineRule="auto"/>
              <w:ind w:left="57" w:right="108"/>
              <w:rPr>
                <w:rFonts w:cs="Open Sans"/>
                <w:sz w:val="18"/>
              </w:rPr>
            </w:pPr>
            <w:r w:rsidRPr="00F96F9C">
              <w:rPr>
                <w:rFonts w:cs="Open Sans"/>
                <w:sz w:val="18"/>
              </w:rPr>
              <w:t>Commodity prices are determined by the marginal tonne on the global cost curve.</w:t>
            </w:r>
          </w:p>
        </w:tc>
        <w:tc>
          <w:tcPr>
            <w:tcW w:w="0" w:type="auto"/>
            <w:tcBorders>
              <w:top w:val="nil"/>
              <w:bottom w:val="nil"/>
            </w:tcBorders>
            <w:shd w:val="clear" w:color="000000" w:fill="auto"/>
          </w:tcPr>
          <w:p w14:paraId="4A84F9FB" w14:textId="04B3FF43" w:rsidR="00BB2726" w:rsidRPr="00BB2726" w:rsidRDefault="00624901" w:rsidP="00BB2726">
            <w:pPr>
              <w:spacing w:before="45" w:after="45" w:line="259" w:lineRule="auto"/>
              <w:ind w:left="57" w:right="108"/>
              <w:rPr>
                <w:rFonts w:cs="Open Sans"/>
                <w:color w:val="000000"/>
                <w:sz w:val="18"/>
              </w:rPr>
            </w:pPr>
            <w:r w:rsidRPr="00624901">
              <w:rPr>
                <w:rFonts w:cs="Open Sans"/>
                <w:color w:val="000000"/>
                <w:sz w:val="18"/>
              </w:rPr>
              <w:t xml:space="preserve">Linear increases in demand can produce nonlinear price effects because the short-run supply curve is often nonlinear: as demand rises, increasingly higher-cost suppliers become </w:t>
            </w:r>
            <w:r w:rsidR="00497003">
              <w:rPr>
                <w:rFonts w:cs="Open Sans"/>
                <w:color w:val="000000"/>
                <w:sz w:val="18"/>
              </w:rPr>
              <w:t xml:space="preserve">the </w:t>
            </w:r>
            <w:r w:rsidRPr="00624901">
              <w:rPr>
                <w:rFonts w:cs="Open Sans"/>
                <w:color w:val="000000"/>
                <w:sz w:val="18"/>
              </w:rPr>
              <w:t>marginal</w:t>
            </w:r>
            <w:r w:rsidR="00497003">
              <w:rPr>
                <w:rFonts w:cs="Open Sans"/>
                <w:color w:val="000000"/>
                <w:sz w:val="18"/>
              </w:rPr>
              <w:t xml:space="preserve"> supplier</w:t>
            </w:r>
            <w:r w:rsidRPr="00624901">
              <w:rPr>
                <w:rFonts w:cs="Open Sans"/>
                <w:color w:val="000000"/>
                <w:sz w:val="18"/>
              </w:rPr>
              <w:t xml:space="preserve">, supporting </w:t>
            </w:r>
            <w:r w:rsidR="00497003">
              <w:rPr>
                <w:rFonts w:cs="Open Sans"/>
                <w:color w:val="000000"/>
                <w:sz w:val="18"/>
              </w:rPr>
              <w:t xml:space="preserve">increasingly </w:t>
            </w:r>
            <w:r w:rsidRPr="00624901">
              <w:rPr>
                <w:rFonts w:cs="Open Sans"/>
                <w:color w:val="000000"/>
                <w:sz w:val="18"/>
              </w:rPr>
              <w:t>higher market prices.</w:t>
            </w:r>
          </w:p>
        </w:tc>
      </w:tr>
      <w:tr w:rsidR="00BB2726" w:rsidRPr="00752778" w14:paraId="0EA0FE1A" w14:textId="77777777" w:rsidTr="00E00A1D">
        <w:tc>
          <w:tcPr>
            <w:tcW w:w="0" w:type="auto"/>
            <w:tcBorders>
              <w:bottom w:val="nil"/>
            </w:tcBorders>
            <w:shd w:val="clear" w:color="000000" w:fill="E6E6E6"/>
          </w:tcPr>
          <w:p w14:paraId="7085A59F" w14:textId="77777777" w:rsidR="00BB2726" w:rsidRPr="00F96F9C" w:rsidRDefault="00BB2726" w:rsidP="00BB2726">
            <w:pPr>
              <w:spacing w:before="45" w:after="45" w:line="259" w:lineRule="auto"/>
              <w:ind w:left="57" w:right="108"/>
              <w:rPr>
                <w:rFonts w:cs="Open Sans"/>
                <w:sz w:val="18"/>
              </w:rPr>
            </w:pPr>
            <w:r w:rsidRPr="00F96F9C">
              <w:rPr>
                <w:rFonts w:cs="Open Sans"/>
                <w:sz w:val="18"/>
              </w:rPr>
              <w:t>Australia is largely a price taker.</w:t>
            </w:r>
          </w:p>
        </w:tc>
        <w:tc>
          <w:tcPr>
            <w:tcW w:w="0" w:type="auto"/>
            <w:tcBorders>
              <w:bottom w:val="nil"/>
            </w:tcBorders>
            <w:shd w:val="clear" w:color="000000" w:fill="E6E6E6"/>
          </w:tcPr>
          <w:p w14:paraId="522FCB8F" w14:textId="77777777" w:rsidR="00BB2726" w:rsidRPr="00BB2726" w:rsidRDefault="00BB2726" w:rsidP="00BB2726">
            <w:pPr>
              <w:spacing w:before="45" w:after="45" w:line="259" w:lineRule="auto"/>
              <w:ind w:left="57" w:right="108"/>
              <w:rPr>
                <w:rFonts w:cs="Open Sans"/>
                <w:color w:val="000000"/>
                <w:sz w:val="18"/>
              </w:rPr>
            </w:pPr>
            <w:r w:rsidRPr="00BB2726">
              <w:rPr>
                <w:rFonts w:cs="Open Sans"/>
                <w:color w:val="000000"/>
                <w:sz w:val="18"/>
              </w:rPr>
              <w:t>Australian producers respond to global market conditions rather than setting the benchmark price.</w:t>
            </w:r>
          </w:p>
        </w:tc>
      </w:tr>
      <w:tr w:rsidR="00BB2726" w:rsidRPr="00752778" w14:paraId="289E9FED" w14:textId="77777777" w:rsidTr="00E00A1D">
        <w:tc>
          <w:tcPr>
            <w:tcW w:w="0" w:type="auto"/>
            <w:tcBorders>
              <w:top w:val="nil"/>
              <w:bottom w:val="nil"/>
            </w:tcBorders>
            <w:shd w:val="clear" w:color="000000" w:fill="auto"/>
          </w:tcPr>
          <w:p w14:paraId="08E488D0" w14:textId="77777777" w:rsidR="00BB2726" w:rsidRPr="00F96F9C" w:rsidRDefault="00BB2726" w:rsidP="00BB2726">
            <w:pPr>
              <w:spacing w:before="45" w:after="45" w:line="259" w:lineRule="auto"/>
              <w:ind w:left="57" w:right="108"/>
              <w:rPr>
                <w:rFonts w:cs="Open Sans"/>
                <w:sz w:val="18"/>
              </w:rPr>
            </w:pPr>
            <w:r w:rsidRPr="00F96F9C">
              <w:rPr>
                <w:rFonts w:cs="Open Sans"/>
                <w:sz w:val="18"/>
              </w:rPr>
              <w:t>The key variable is the residual call on seaborne supply.</w:t>
            </w:r>
          </w:p>
        </w:tc>
        <w:tc>
          <w:tcPr>
            <w:tcW w:w="0" w:type="auto"/>
            <w:tcBorders>
              <w:top w:val="nil"/>
              <w:bottom w:val="nil"/>
            </w:tcBorders>
            <w:shd w:val="clear" w:color="000000" w:fill="auto"/>
          </w:tcPr>
          <w:p w14:paraId="426144F1" w14:textId="77777777" w:rsidR="00BB2726" w:rsidRPr="00BB2726" w:rsidRDefault="00BB2726" w:rsidP="00BB2726">
            <w:pPr>
              <w:spacing w:before="45" w:after="45" w:line="259" w:lineRule="auto"/>
              <w:ind w:left="57" w:right="108"/>
              <w:rPr>
                <w:rFonts w:cs="Open Sans"/>
                <w:color w:val="000000"/>
                <w:sz w:val="18"/>
              </w:rPr>
            </w:pPr>
            <w:r w:rsidRPr="00BB2726">
              <w:rPr>
                <w:rFonts w:cs="Open Sans"/>
                <w:color w:val="000000"/>
                <w:sz w:val="18"/>
              </w:rPr>
              <w:t>Domestic production in China and India, and supply from other exporters, can materially change demand for Australian exports even if global consumption changes only modestly.</w:t>
            </w:r>
          </w:p>
        </w:tc>
      </w:tr>
      <w:tr w:rsidR="00BB2726" w:rsidRPr="00752778" w14:paraId="11FCC588" w14:textId="77777777" w:rsidTr="00E00A1D">
        <w:tc>
          <w:tcPr>
            <w:tcW w:w="0" w:type="auto"/>
            <w:tcBorders>
              <w:bottom w:val="nil"/>
            </w:tcBorders>
            <w:shd w:val="clear" w:color="000000" w:fill="E6E6E6"/>
          </w:tcPr>
          <w:p w14:paraId="686A20C9" w14:textId="77777777" w:rsidR="00BB2726" w:rsidRPr="00F96F9C" w:rsidRDefault="00BB2726" w:rsidP="00BB2726">
            <w:pPr>
              <w:spacing w:before="45" w:after="45" w:line="259" w:lineRule="auto"/>
              <w:ind w:left="57" w:right="108"/>
              <w:rPr>
                <w:rFonts w:cs="Open Sans"/>
                <w:sz w:val="18"/>
              </w:rPr>
            </w:pPr>
            <w:r w:rsidRPr="00F96F9C">
              <w:rPr>
                <w:rFonts w:cs="Open Sans"/>
                <w:sz w:val="18"/>
              </w:rPr>
              <w:t>China remains the dominant structural demand driver.</w:t>
            </w:r>
          </w:p>
        </w:tc>
        <w:tc>
          <w:tcPr>
            <w:tcW w:w="0" w:type="auto"/>
            <w:tcBorders>
              <w:bottom w:val="nil"/>
            </w:tcBorders>
            <w:shd w:val="clear" w:color="000000" w:fill="E6E6E6"/>
          </w:tcPr>
          <w:p w14:paraId="4A78A91E" w14:textId="77777777" w:rsidR="00BB2726" w:rsidRPr="00BB2726" w:rsidRDefault="00BB2726" w:rsidP="00BB2726">
            <w:pPr>
              <w:spacing w:before="45" w:after="45" w:line="259" w:lineRule="auto"/>
              <w:ind w:left="57" w:right="108"/>
              <w:rPr>
                <w:rFonts w:cs="Open Sans"/>
                <w:color w:val="000000"/>
                <w:sz w:val="18"/>
              </w:rPr>
            </w:pPr>
            <w:r w:rsidRPr="00BB2726">
              <w:rPr>
                <w:rFonts w:cs="Open Sans"/>
                <w:color w:val="000000"/>
                <w:sz w:val="18"/>
              </w:rPr>
              <w:t>Changes in Chinese steel demand, exports, scrap use and steelmaking technology have disproportionate effects on iron ore and metallurgical coal.</w:t>
            </w:r>
          </w:p>
        </w:tc>
      </w:tr>
      <w:tr w:rsidR="00BB2726" w:rsidRPr="00752778" w14:paraId="3A202D61" w14:textId="77777777" w:rsidTr="00E00A1D">
        <w:tc>
          <w:tcPr>
            <w:tcW w:w="0" w:type="auto"/>
            <w:tcBorders>
              <w:top w:val="nil"/>
              <w:bottom w:val="nil"/>
            </w:tcBorders>
            <w:shd w:val="clear" w:color="000000" w:fill="auto"/>
          </w:tcPr>
          <w:p w14:paraId="2932BFE2" w14:textId="026AFCA5" w:rsidR="00BB2726" w:rsidRPr="00F96F9C" w:rsidRDefault="00BB2726" w:rsidP="00BB2726">
            <w:pPr>
              <w:spacing w:before="45" w:after="45" w:line="259" w:lineRule="auto"/>
              <w:ind w:left="57" w:right="108"/>
              <w:rPr>
                <w:rFonts w:cs="Open Sans"/>
                <w:sz w:val="18"/>
              </w:rPr>
            </w:pPr>
            <w:r w:rsidRPr="00F96F9C">
              <w:rPr>
                <w:rFonts w:cs="Open Sans"/>
                <w:sz w:val="18"/>
              </w:rPr>
              <w:t>India becomes increasingly important at the margin in some scenarios.</w:t>
            </w:r>
          </w:p>
        </w:tc>
        <w:tc>
          <w:tcPr>
            <w:tcW w:w="0" w:type="auto"/>
            <w:tcBorders>
              <w:top w:val="nil"/>
              <w:bottom w:val="nil"/>
            </w:tcBorders>
            <w:shd w:val="clear" w:color="000000" w:fill="auto"/>
          </w:tcPr>
          <w:p w14:paraId="1AF813E6" w14:textId="77777777" w:rsidR="00BB2726" w:rsidRPr="00BB2726" w:rsidRDefault="00BB2726" w:rsidP="00BB2726">
            <w:pPr>
              <w:spacing w:before="45" w:after="45" w:line="259" w:lineRule="auto"/>
              <w:ind w:left="57" w:right="108"/>
              <w:rPr>
                <w:rFonts w:cs="Open Sans"/>
                <w:color w:val="000000"/>
                <w:sz w:val="18"/>
              </w:rPr>
            </w:pPr>
            <w:r w:rsidRPr="00BB2726">
              <w:rPr>
                <w:rFonts w:cs="Open Sans"/>
                <w:color w:val="000000"/>
                <w:sz w:val="18"/>
              </w:rPr>
              <w:t>Faster or slower Indian industrialisation can materially alter long-run demand, particularly as Chinese demand matures.</w:t>
            </w:r>
          </w:p>
        </w:tc>
      </w:tr>
      <w:tr w:rsidR="00BB2726" w:rsidRPr="00752778" w14:paraId="774A2FEA" w14:textId="77777777" w:rsidTr="00E00A1D">
        <w:tc>
          <w:tcPr>
            <w:tcW w:w="0" w:type="auto"/>
            <w:tcBorders>
              <w:bottom w:val="nil"/>
            </w:tcBorders>
            <w:shd w:val="clear" w:color="000000" w:fill="E6E6E6"/>
          </w:tcPr>
          <w:p w14:paraId="7F79BF5F" w14:textId="77777777" w:rsidR="00BB2726" w:rsidRPr="00F96F9C" w:rsidRDefault="00BB2726" w:rsidP="00BB2726">
            <w:pPr>
              <w:spacing w:before="45" w:after="45" w:line="259" w:lineRule="auto"/>
              <w:ind w:left="57" w:right="108"/>
              <w:rPr>
                <w:rFonts w:cs="Open Sans"/>
                <w:sz w:val="18"/>
              </w:rPr>
            </w:pPr>
            <w:r w:rsidRPr="00F96F9C">
              <w:rPr>
                <w:rFonts w:cs="Open Sans"/>
                <w:sz w:val="18"/>
              </w:rPr>
              <w:t>Steelmaking technology matters independently of total steel demand.</w:t>
            </w:r>
          </w:p>
        </w:tc>
        <w:tc>
          <w:tcPr>
            <w:tcW w:w="0" w:type="auto"/>
            <w:tcBorders>
              <w:bottom w:val="nil"/>
            </w:tcBorders>
            <w:shd w:val="clear" w:color="000000" w:fill="E6E6E6"/>
          </w:tcPr>
          <w:p w14:paraId="7CAF973E" w14:textId="7BA2A02A" w:rsidR="00BB2726" w:rsidRPr="00BB2726" w:rsidRDefault="00BB2726" w:rsidP="00BB2726">
            <w:pPr>
              <w:spacing w:before="45" w:after="45" w:line="259" w:lineRule="auto"/>
              <w:ind w:left="57" w:right="108"/>
              <w:rPr>
                <w:rFonts w:cs="Open Sans"/>
                <w:color w:val="000000"/>
                <w:sz w:val="18"/>
              </w:rPr>
            </w:pPr>
            <w:r w:rsidRPr="00BB2726">
              <w:rPr>
                <w:rFonts w:cs="Open Sans"/>
                <w:color w:val="000000"/>
                <w:sz w:val="18"/>
              </w:rPr>
              <w:t>Greater scrap and electric-arc-furnace use reduces seaborne demand for iron ore and metallurgical coal even if total steel production remains relatively strong.</w:t>
            </w:r>
          </w:p>
        </w:tc>
      </w:tr>
      <w:tr w:rsidR="00BB2726" w:rsidRPr="00752778" w14:paraId="173B2DA6" w14:textId="77777777" w:rsidTr="00E00A1D">
        <w:tc>
          <w:tcPr>
            <w:tcW w:w="0" w:type="auto"/>
            <w:tcBorders>
              <w:top w:val="nil"/>
              <w:bottom w:val="nil"/>
            </w:tcBorders>
            <w:shd w:val="clear" w:color="000000" w:fill="auto"/>
          </w:tcPr>
          <w:p w14:paraId="741D10BA" w14:textId="77777777" w:rsidR="00BB2726" w:rsidRPr="00F96F9C" w:rsidRDefault="00BB2726" w:rsidP="00BB2726">
            <w:pPr>
              <w:spacing w:before="45" w:after="45" w:line="259" w:lineRule="auto"/>
              <w:ind w:left="57" w:right="108"/>
              <w:rPr>
                <w:rFonts w:cs="Open Sans"/>
                <w:sz w:val="18"/>
              </w:rPr>
            </w:pPr>
            <w:r w:rsidRPr="00F96F9C">
              <w:rPr>
                <w:rFonts w:cs="Open Sans"/>
                <w:sz w:val="18"/>
              </w:rPr>
              <w:t>Supply timing matters as much as ultimate resource availability.</w:t>
            </w:r>
          </w:p>
        </w:tc>
        <w:tc>
          <w:tcPr>
            <w:tcW w:w="0" w:type="auto"/>
            <w:tcBorders>
              <w:top w:val="nil"/>
              <w:bottom w:val="nil"/>
            </w:tcBorders>
            <w:shd w:val="clear" w:color="000000" w:fill="auto"/>
          </w:tcPr>
          <w:p w14:paraId="1A179EFE" w14:textId="6E6059FD" w:rsidR="00BB2726" w:rsidRPr="00BB2726" w:rsidRDefault="00BB2726" w:rsidP="00BB2726">
            <w:pPr>
              <w:spacing w:before="45" w:after="45" w:line="259" w:lineRule="auto"/>
              <w:ind w:left="57" w:right="108"/>
              <w:rPr>
                <w:rFonts w:cs="Open Sans"/>
                <w:color w:val="000000"/>
                <w:sz w:val="18"/>
              </w:rPr>
            </w:pPr>
            <w:r w:rsidRPr="00BB2726">
              <w:rPr>
                <w:rFonts w:cs="Open Sans"/>
                <w:color w:val="000000"/>
                <w:sz w:val="18"/>
              </w:rPr>
              <w:t xml:space="preserve">Delays or acceleration in projects such as </w:t>
            </w:r>
            <w:proofErr w:type="spellStart"/>
            <w:r w:rsidRPr="00BB2726">
              <w:rPr>
                <w:rFonts w:cs="Open Sans"/>
                <w:color w:val="000000"/>
                <w:sz w:val="18"/>
              </w:rPr>
              <w:t>Simandou</w:t>
            </w:r>
            <w:proofErr w:type="spellEnd"/>
            <w:r w:rsidRPr="00BB2726">
              <w:rPr>
                <w:rFonts w:cs="Open Sans"/>
                <w:color w:val="000000"/>
                <w:sz w:val="18"/>
              </w:rPr>
              <w:t xml:space="preserve"> or Vale expansion can materially change the market-clearing price over the modelled horizon.</w:t>
            </w:r>
          </w:p>
        </w:tc>
      </w:tr>
      <w:tr w:rsidR="00BB2726" w:rsidRPr="00752778" w14:paraId="17B356E6" w14:textId="77777777" w:rsidTr="00E00A1D">
        <w:tc>
          <w:tcPr>
            <w:tcW w:w="0" w:type="auto"/>
            <w:tcBorders>
              <w:bottom w:val="nil"/>
            </w:tcBorders>
            <w:shd w:val="clear" w:color="000000" w:fill="E6E6E6"/>
          </w:tcPr>
          <w:p w14:paraId="5452F5B2" w14:textId="77777777" w:rsidR="00BB2726" w:rsidRPr="00F96F9C" w:rsidRDefault="00BB2726" w:rsidP="00BB2726">
            <w:pPr>
              <w:spacing w:before="45" w:after="45" w:line="259" w:lineRule="auto"/>
              <w:ind w:left="57" w:right="108"/>
              <w:rPr>
                <w:rFonts w:cs="Open Sans"/>
                <w:sz w:val="18"/>
              </w:rPr>
            </w:pPr>
            <w:r w:rsidRPr="00F96F9C">
              <w:rPr>
                <w:rFonts w:cs="Open Sans"/>
                <w:sz w:val="18"/>
              </w:rPr>
              <w:t>Volume adjustment precedes or accompanies price adjustment.</w:t>
            </w:r>
          </w:p>
        </w:tc>
        <w:tc>
          <w:tcPr>
            <w:tcW w:w="0" w:type="auto"/>
            <w:tcBorders>
              <w:bottom w:val="nil"/>
            </w:tcBorders>
            <w:shd w:val="clear" w:color="000000" w:fill="E6E6E6"/>
          </w:tcPr>
          <w:p w14:paraId="0DA896F1" w14:textId="77777777" w:rsidR="00BB2726" w:rsidRPr="00BB2726" w:rsidRDefault="00BB2726" w:rsidP="00BB2726">
            <w:pPr>
              <w:spacing w:before="45" w:after="45" w:line="259" w:lineRule="auto"/>
              <w:ind w:left="57" w:right="108"/>
              <w:rPr>
                <w:rFonts w:cs="Open Sans"/>
                <w:color w:val="000000"/>
                <w:sz w:val="18"/>
              </w:rPr>
            </w:pPr>
            <w:r w:rsidRPr="00BB2726">
              <w:rPr>
                <w:rFonts w:cs="Open Sans"/>
                <w:color w:val="000000"/>
                <w:sz w:val="18"/>
              </w:rPr>
              <w:t>Downside scenarios can reduce both Australian prices and production volumes; fiscal exposure is therefore not purely a price effect.</w:t>
            </w:r>
          </w:p>
        </w:tc>
      </w:tr>
      <w:tr w:rsidR="00BB2726" w:rsidRPr="00752778" w14:paraId="337D2407" w14:textId="77777777" w:rsidTr="00E00A1D">
        <w:tc>
          <w:tcPr>
            <w:tcW w:w="0" w:type="auto"/>
            <w:tcBorders>
              <w:top w:val="nil"/>
              <w:bottom w:val="nil"/>
            </w:tcBorders>
            <w:shd w:val="clear" w:color="000000" w:fill="auto"/>
          </w:tcPr>
          <w:p w14:paraId="561963A2" w14:textId="77777777" w:rsidR="00BB2726" w:rsidRPr="00F96F9C" w:rsidRDefault="00BB2726" w:rsidP="00BB2726">
            <w:pPr>
              <w:spacing w:before="45" w:after="45" w:line="259" w:lineRule="auto"/>
              <w:ind w:left="57" w:right="108"/>
              <w:rPr>
                <w:rFonts w:cs="Open Sans"/>
                <w:sz w:val="18"/>
              </w:rPr>
            </w:pPr>
            <w:r w:rsidRPr="00F96F9C">
              <w:rPr>
                <w:rFonts w:cs="Open Sans"/>
                <w:sz w:val="18"/>
              </w:rPr>
              <w:t>Iron ore and metallurgical coal are modelled through explicit structural balances.</w:t>
            </w:r>
          </w:p>
        </w:tc>
        <w:tc>
          <w:tcPr>
            <w:tcW w:w="0" w:type="auto"/>
            <w:tcBorders>
              <w:top w:val="nil"/>
              <w:bottom w:val="nil"/>
            </w:tcBorders>
            <w:shd w:val="clear" w:color="000000" w:fill="auto"/>
          </w:tcPr>
          <w:p w14:paraId="271032E4" w14:textId="77777777" w:rsidR="00BB2726" w:rsidRPr="00BB2726" w:rsidRDefault="00BB2726" w:rsidP="00BB2726">
            <w:pPr>
              <w:spacing w:before="45" w:after="45" w:line="259" w:lineRule="auto"/>
              <w:ind w:left="57" w:right="108"/>
              <w:rPr>
                <w:rFonts w:cs="Open Sans"/>
                <w:color w:val="000000"/>
                <w:sz w:val="18"/>
              </w:rPr>
            </w:pPr>
            <w:r w:rsidRPr="00BB2726">
              <w:rPr>
                <w:rFonts w:cs="Open Sans"/>
                <w:color w:val="000000"/>
                <w:sz w:val="18"/>
              </w:rPr>
              <w:t>Scenario outcomes reflect detailed changes in steel demand, technology and competing supply rather than arbitrary price assumptions.</w:t>
            </w:r>
          </w:p>
        </w:tc>
      </w:tr>
      <w:tr w:rsidR="00BB2726" w:rsidRPr="00752778" w14:paraId="4AB14026" w14:textId="77777777" w:rsidTr="00E00A1D">
        <w:tc>
          <w:tcPr>
            <w:tcW w:w="0" w:type="auto"/>
            <w:tcBorders>
              <w:bottom w:val="single" w:sz="4" w:space="0" w:color="B3B3B3"/>
            </w:tcBorders>
            <w:shd w:val="clear" w:color="000000" w:fill="E6E6E6"/>
          </w:tcPr>
          <w:p w14:paraId="62DBFA28" w14:textId="77777777" w:rsidR="00BB2726" w:rsidRPr="00F96F9C" w:rsidRDefault="00BB2726" w:rsidP="00BB2726">
            <w:pPr>
              <w:spacing w:before="45" w:after="45" w:line="259" w:lineRule="auto"/>
              <w:ind w:left="57" w:right="108"/>
              <w:rPr>
                <w:rFonts w:cs="Open Sans"/>
                <w:sz w:val="18"/>
              </w:rPr>
            </w:pPr>
            <w:r w:rsidRPr="00F96F9C">
              <w:rPr>
                <w:rFonts w:cs="Open Sans"/>
                <w:sz w:val="18"/>
              </w:rPr>
              <w:t>Thermal coal is treated more simply as a seaborne market balance.</w:t>
            </w:r>
          </w:p>
        </w:tc>
        <w:tc>
          <w:tcPr>
            <w:tcW w:w="0" w:type="auto"/>
            <w:tcBorders>
              <w:bottom w:val="single" w:sz="4" w:space="0" w:color="B3B3B3"/>
            </w:tcBorders>
            <w:shd w:val="clear" w:color="000000" w:fill="E6E6E6"/>
          </w:tcPr>
          <w:p w14:paraId="2C18B3AA" w14:textId="77777777" w:rsidR="00BB2726" w:rsidRPr="00BB2726" w:rsidRDefault="00BB2726" w:rsidP="00BB2726">
            <w:pPr>
              <w:spacing w:before="45" w:after="45" w:line="259" w:lineRule="auto"/>
              <w:ind w:left="57" w:right="108"/>
              <w:rPr>
                <w:rFonts w:cs="Open Sans"/>
                <w:color w:val="000000"/>
                <w:sz w:val="18"/>
              </w:rPr>
            </w:pPr>
            <w:r w:rsidRPr="00BB2726">
              <w:rPr>
                <w:rFonts w:cs="Open Sans"/>
                <w:color w:val="000000"/>
                <w:sz w:val="18"/>
              </w:rPr>
              <w:t>Thermal coal prices are driven by alternative assumptions about the overall size of the contestable seaborne market rather than the same detailed steel-sector mechanics.</w:t>
            </w:r>
          </w:p>
        </w:tc>
      </w:tr>
    </w:tbl>
    <w:p w14:paraId="3915110B" w14:textId="77777777" w:rsidR="008553B6" w:rsidRDefault="008553B6">
      <w:pPr>
        <w:spacing w:before="0" w:after="160" w:line="259" w:lineRule="auto"/>
      </w:pPr>
      <w:r>
        <w:br w:type="page"/>
      </w:r>
    </w:p>
    <w:p w14:paraId="7A1A2AC5" w14:textId="71B7CBCE" w:rsidR="00807DF8" w:rsidRDefault="00807DF8" w:rsidP="00526255">
      <w:pPr>
        <w:pStyle w:val="Heading2-Appendix"/>
      </w:pPr>
      <w:bookmarkStart w:id="14" w:name="_Ref237358616"/>
      <w:bookmarkStart w:id="15" w:name="_Ref237441188"/>
      <w:proofErr w:type="spellStart"/>
      <w:r>
        <w:lastRenderedPageBreak/>
        <w:t>NoWO</w:t>
      </w:r>
      <w:proofErr w:type="spellEnd"/>
      <w:r>
        <w:t xml:space="preserve"> estimates</w:t>
      </w:r>
      <w:bookmarkEnd w:id="14"/>
      <w:r w:rsidR="008B4650">
        <w:t xml:space="preserve"> under </w:t>
      </w:r>
      <w:r w:rsidR="0025170A">
        <w:t xml:space="preserve">different </w:t>
      </w:r>
      <w:r w:rsidR="00792067">
        <w:t>commodity scenarios</w:t>
      </w:r>
      <w:bookmarkEnd w:id="15"/>
    </w:p>
    <w:p w14:paraId="58E7C8F7" w14:textId="77777777" w:rsidR="00807DF8" w:rsidRDefault="00807DF8" w:rsidP="00807DF8">
      <w:pPr>
        <w:pStyle w:val="Heading3-noTOC"/>
      </w:pPr>
      <w:r>
        <w:t>Purpose</w:t>
      </w:r>
    </w:p>
    <w:tbl>
      <w:tblPr>
        <w:tblW w:w="5000" w:type="pct"/>
        <w:tblBorders>
          <w:top w:val="single" w:sz="8" w:space="0" w:color="B3B3B3"/>
          <w:bottom w:val="single" w:sz="8" w:space="0" w:color="B3B3B3"/>
          <w:insideH w:val="single" w:sz="8" w:space="0" w:color="B3B3B3"/>
        </w:tblBorders>
        <w:tblCellMar>
          <w:left w:w="0" w:type="dxa"/>
          <w:right w:w="0" w:type="dxa"/>
        </w:tblCellMar>
        <w:tblLook w:val="04A0" w:firstRow="1" w:lastRow="0" w:firstColumn="1" w:lastColumn="0" w:noHBand="0" w:noVBand="1"/>
      </w:tblPr>
      <w:tblGrid>
        <w:gridCol w:w="1637"/>
        <w:gridCol w:w="8001"/>
      </w:tblGrid>
      <w:tr w:rsidR="00807DF8" w14:paraId="2D307796" w14:textId="77777777" w:rsidTr="00F96F9C">
        <w:tc>
          <w:tcPr>
            <w:tcW w:w="849" w:type="pct"/>
            <w:tcMar>
              <w:top w:w="57" w:type="dxa"/>
              <w:left w:w="57" w:type="dxa"/>
              <w:bottom w:w="57" w:type="dxa"/>
              <w:right w:w="85" w:type="dxa"/>
            </w:tcMar>
            <w:hideMark/>
          </w:tcPr>
          <w:p w14:paraId="4F15A03E" w14:textId="38BC6969" w:rsidR="00807DF8" w:rsidRDefault="00A765AD">
            <w:pPr>
              <w:pStyle w:val="TableHeading"/>
              <w:rPr>
                <w:kern w:val="2"/>
                <w:szCs w:val="18"/>
                <w:lang w:eastAsia="zh-CN" w:bidi="th-TH"/>
                <w14:ligatures w14:val="standardContextual"/>
              </w:rPr>
            </w:pPr>
            <w:r>
              <w:t>Key question</w:t>
            </w:r>
            <w:r w:rsidR="00681B97">
              <w:t xml:space="preserve"> </w:t>
            </w:r>
          </w:p>
        </w:tc>
        <w:tc>
          <w:tcPr>
            <w:tcW w:w="4151" w:type="pct"/>
            <w:tcMar>
              <w:top w:w="57" w:type="dxa"/>
              <w:left w:w="57" w:type="dxa"/>
              <w:bottom w:w="57" w:type="dxa"/>
              <w:right w:w="85" w:type="dxa"/>
            </w:tcMar>
            <w:hideMark/>
          </w:tcPr>
          <w:p w14:paraId="0BB155AD" w14:textId="39CCB4A4" w:rsidR="00807DF8" w:rsidRDefault="00C707E4">
            <w:pPr>
              <w:pStyle w:val="TableBody"/>
            </w:pPr>
            <w:r>
              <w:t xml:space="preserve">What is the amount the Commonwealth should expect to pay in </w:t>
            </w:r>
            <w:proofErr w:type="spellStart"/>
            <w:r>
              <w:t>NoWO</w:t>
            </w:r>
            <w:proofErr w:type="spellEnd"/>
            <w:r>
              <w:t xml:space="preserve"> for given commodity prices?</w:t>
            </w:r>
          </w:p>
        </w:tc>
      </w:tr>
      <w:tr w:rsidR="00807DF8" w14:paraId="6BD0DFDC" w14:textId="77777777" w:rsidTr="00F96F9C">
        <w:tc>
          <w:tcPr>
            <w:tcW w:w="849" w:type="pct"/>
            <w:tcMar>
              <w:top w:w="57" w:type="dxa"/>
              <w:left w:w="57" w:type="dxa"/>
              <w:bottom w:w="57" w:type="dxa"/>
              <w:right w:w="85" w:type="dxa"/>
            </w:tcMar>
            <w:hideMark/>
          </w:tcPr>
          <w:p w14:paraId="37686FA3" w14:textId="77777777" w:rsidR="00807DF8" w:rsidRDefault="00807DF8">
            <w:pPr>
              <w:pStyle w:val="TableHeading"/>
            </w:pPr>
            <w:r>
              <w:t>Scope</w:t>
            </w:r>
          </w:p>
        </w:tc>
        <w:tc>
          <w:tcPr>
            <w:tcW w:w="4151" w:type="pct"/>
            <w:tcMar>
              <w:top w:w="57" w:type="dxa"/>
              <w:left w:w="57" w:type="dxa"/>
              <w:bottom w:w="57" w:type="dxa"/>
              <w:right w:w="85" w:type="dxa"/>
            </w:tcMar>
          </w:tcPr>
          <w:p w14:paraId="3C8F9842" w14:textId="28C368AA" w:rsidR="00807DF8" w:rsidRDefault="00A30615">
            <w:pPr>
              <w:pStyle w:val="TableBody"/>
            </w:pPr>
            <w:r>
              <w:t xml:space="preserve">CGC </w:t>
            </w:r>
            <w:r w:rsidR="00107CE0">
              <w:t>GST distribution</w:t>
            </w:r>
            <w:r w:rsidR="00BD222E">
              <w:t>,</w:t>
            </w:r>
            <w:r w:rsidR="00107CE0">
              <w:t xml:space="preserve"> </w:t>
            </w:r>
            <w:r w:rsidR="00B41D17">
              <w:t>2024–25</w:t>
            </w:r>
            <w:r w:rsidR="003D7CF5">
              <w:t xml:space="preserve">, varying </w:t>
            </w:r>
            <w:r w:rsidR="00E25DED">
              <w:t>iron ore, metallurgical and thermal coal prices.</w:t>
            </w:r>
          </w:p>
        </w:tc>
      </w:tr>
      <w:tr w:rsidR="00807DF8" w14:paraId="4BA4001A" w14:textId="77777777" w:rsidTr="00F96F9C">
        <w:tc>
          <w:tcPr>
            <w:tcW w:w="849" w:type="pct"/>
            <w:tcMar>
              <w:top w:w="57" w:type="dxa"/>
              <w:left w:w="57" w:type="dxa"/>
              <w:bottom w:w="57" w:type="dxa"/>
              <w:right w:w="85" w:type="dxa"/>
            </w:tcMar>
            <w:hideMark/>
          </w:tcPr>
          <w:p w14:paraId="4728EA7D" w14:textId="1020ED01" w:rsidR="00807DF8" w:rsidRDefault="00807DF8">
            <w:pPr>
              <w:pStyle w:val="TableHeading"/>
            </w:pPr>
            <w:r>
              <w:t>Use</w:t>
            </w:r>
            <w:r w:rsidR="00A765AD">
              <w:t>d</w:t>
            </w:r>
            <w:r>
              <w:t xml:space="preserve"> in</w:t>
            </w:r>
          </w:p>
        </w:tc>
        <w:tc>
          <w:tcPr>
            <w:tcW w:w="4151" w:type="pct"/>
            <w:tcMar>
              <w:top w:w="57" w:type="dxa"/>
              <w:left w:w="57" w:type="dxa"/>
              <w:bottom w:w="57" w:type="dxa"/>
              <w:right w:w="85" w:type="dxa"/>
            </w:tcMar>
            <w:hideMark/>
          </w:tcPr>
          <w:p w14:paraId="523B6524" w14:textId="6940C68C" w:rsidR="00807DF8" w:rsidRDefault="0083187B" w:rsidP="001B2CBB">
            <w:pPr>
              <w:pStyle w:val="TableBody"/>
            </w:pPr>
            <w:r w:rsidRPr="0083187B">
              <w:t>Figure</w:t>
            </w:r>
            <w:r w:rsidR="00146646">
              <w:t xml:space="preserve"> 3.7, f</w:t>
            </w:r>
            <w:r w:rsidRPr="0083187B">
              <w:t>igure 3.8</w:t>
            </w:r>
            <w:r w:rsidR="001B2CBB">
              <w:t xml:space="preserve">; </w:t>
            </w:r>
            <w:r w:rsidR="000D7D60">
              <w:t>t</w:t>
            </w:r>
            <w:r w:rsidR="00FA1CBA">
              <w:t>able 3.</w:t>
            </w:r>
            <w:r w:rsidR="00C24B28">
              <w:t>4</w:t>
            </w:r>
          </w:p>
        </w:tc>
      </w:tr>
    </w:tbl>
    <w:p w14:paraId="6DA4C01B" w14:textId="77777777" w:rsidR="00807DF8" w:rsidRDefault="00807DF8" w:rsidP="00807DF8">
      <w:pPr>
        <w:pStyle w:val="Heading3-noTOC"/>
      </w:pPr>
      <w:r>
        <w:t>Method</w:t>
      </w:r>
    </w:p>
    <w:p w14:paraId="41599AB9" w14:textId="7A5D9CC4" w:rsidR="001B2CBB" w:rsidRDefault="001B2CBB" w:rsidP="00E845E2">
      <w:pPr>
        <w:pStyle w:val="BodyText"/>
      </w:pPr>
      <w:r>
        <w:t xml:space="preserve">This </w:t>
      </w:r>
      <w:r w:rsidR="005870C4">
        <w:t xml:space="preserve">modelling is a reduced form of the PC GST Model, </w:t>
      </w:r>
      <w:r w:rsidR="003320E8">
        <w:t xml:space="preserve">isolating </w:t>
      </w:r>
      <w:r w:rsidR="005870C4">
        <w:t xml:space="preserve">the </w:t>
      </w:r>
      <w:r w:rsidR="00303C70">
        <w:t xml:space="preserve">effects that price </w:t>
      </w:r>
      <w:r w:rsidR="009C0981">
        <w:t xml:space="preserve">changes </w:t>
      </w:r>
      <w:r w:rsidR="00303C70">
        <w:t xml:space="preserve">of </w:t>
      </w:r>
      <w:r w:rsidR="009C0981">
        <w:t xml:space="preserve">key commodity </w:t>
      </w:r>
      <w:r w:rsidR="00303C70">
        <w:t xml:space="preserve">will have on GST distributions, </w:t>
      </w:r>
      <w:r w:rsidR="00A54B4C">
        <w:t>under both pre-2018 and current systems</w:t>
      </w:r>
      <w:r w:rsidR="00E96D90">
        <w:t>.</w:t>
      </w:r>
    </w:p>
    <w:p w14:paraId="2AF88E30" w14:textId="13CA4BFF" w:rsidR="0099308D" w:rsidRDefault="0099308D" w:rsidP="00E845E2">
      <w:pPr>
        <w:pStyle w:val="BodyText"/>
      </w:pPr>
      <w:r>
        <w:t>This modelling uses a combination of data sources to infer commodity prices</w:t>
      </w:r>
      <w:r w:rsidR="00C6364E">
        <w:t xml:space="preserve">, </w:t>
      </w:r>
      <w:r>
        <w:t xml:space="preserve">quantities </w:t>
      </w:r>
      <w:r w:rsidR="00C6364E">
        <w:t xml:space="preserve">and royalty rates </w:t>
      </w:r>
      <w:r>
        <w:t xml:space="preserve">from CGC assessed revenue data. </w:t>
      </w:r>
      <w:r w:rsidR="00876D10">
        <w:t>Quantity</w:t>
      </w:r>
      <w:r w:rsidR="00C6364E">
        <w:t xml:space="preserve"> and </w:t>
      </w:r>
      <w:r w:rsidR="00A01BBB">
        <w:t xml:space="preserve">rates are then held constant to isolate the effects </w:t>
      </w:r>
      <w:r w:rsidR="00403B30">
        <w:t xml:space="preserve">that a range of </w:t>
      </w:r>
      <w:r w:rsidR="008A2858">
        <w:t xml:space="preserve">commodity prices would have on the GST distribution, all else constant. </w:t>
      </w:r>
    </w:p>
    <w:p w14:paraId="762AB77E" w14:textId="2DBB3398" w:rsidR="00C875A9" w:rsidRDefault="00C875A9" w:rsidP="00C875A9">
      <w:pPr>
        <w:pStyle w:val="FigureTableHeading"/>
      </w:pPr>
      <w:r w:rsidRPr="00443130">
        <w:t xml:space="preserve">Table </w:t>
      </w:r>
      <w:r>
        <w:t>C</w:t>
      </w:r>
      <w:r w:rsidRPr="00443130">
        <w:t>.</w:t>
      </w:r>
      <w:fldSimple w:instr=" SEQ Table \* ARABIC \s 1 ">
        <w:r w:rsidR="002D76C4">
          <w:rPr>
            <w:noProof/>
          </w:rPr>
          <w:t>31</w:t>
        </w:r>
      </w:fldSimple>
      <w:r w:rsidR="003460DA">
        <w:rPr>
          <w:noProof/>
        </w:rPr>
        <w:t xml:space="preserve"> </w:t>
      </w:r>
      <w:r w:rsidRPr="00443130">
        <w:rPr>
          <w:noProof/>
        </w:rPr>
        <w:t xml:space="preserve">– </w:t>
      </w:r>
      <w:proofErr w:type="spellStart"/>
      <w:r>
        <w:t>NoWO</w:t>
      </w:r>
      <w:proofErr w:type="spellEnd"/>
      <w:r>
        <w:t xml:space="preserve"> commodity price estimates</w:t>
      </w:r>
      <w:r w:rsidRPr="00443130">
        <w:t xml:space="preserve"> </w:t>
      </w:r>
      <w:r>
        <w:t>modelling steps</w:t>
      </w:r>
    </w:p>
    <w:tbl>
      <w:tblPr>
        <w:tblStyle w:val="ProductivityCommissionTable2-Dark"/>
        <w:tblW w:w="0" w:type="auto"/>
        <w:tblBorders>
          <w:insideH w:val="none" w:sz="0" w:space="0" w:color="auto"/>
        </w:tblBorders>
        <w:shd w:val="clear" w:color="000000" w:fill="auto"/>
        <w:tblLayout w:type="fixed"/>
        <w:tblCellMar>
          <w:top w:w="0" w:type="dxa"/>
          <w:left w:w="0" w:type="dxa"/>
          <w:bottom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282"/>
        <w:gridCol w:w="9356"/>
      </w:tblGrid>
      <w:tr w:rsidR="00807DF8" w:rsidRPr="003F7A4A" w14:paraId="694B5220" w14:textId="77777777" w:rsidTr="003F7A4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2" w:type="dxa"/>
            <w:tcBorders>
              <w:bottom w:val="single" w:sz="4" w:space="0" w:color="B3B3B3"/>
            </w:tcBorders>
            <w:shd w:val="clear" w:color="000000" w:fill="auto"/>
            <w:vAlign w:val="bottom"/>
          </w:tcPr>
          <w:p w14:paraId="646AC3C4" w14:textId="77777777" w:rsidR="00807DF8" w:rsidRPr="00681B97" w:rsidRDefault="00807DF8" w:rsidP="00681B97">
            <w:pPr>
              <w:pStyle w:val="TableHeading"/>
              <w:spacing w:before="45" w:after="45"/>
              <w:rPr>
                <w:rFonts w:cs="Open Sans"/>
                <w:b/>
                <w:color w:val="1D4374"/>
              </w:rPr>
            </w:pPr>
            <w:r w:rsidRPr="00681B97">
              <w:rPr>
                <w:rFonts w:cs="Open Sans"/>
                <w:b/>
                <w:color w:val="1D4374"/>
              </w:rPr>
              <w:t>#</w:t>
            </w:r>
          </w:p>
        </w:tc>
        <w:tc>
          <w:tcPr>
            <w:tcW w:w="9356" w:type="dxa"/>
            <w:tcBorders>
              <w:bottom w:val="single" w:sz="4" w:space="0" w:color="B3B3B3"/>
            </w:tcBorders>
            <w:shd w:val="clear" w:color="000000" w:fill="auto"/>
            <w:vAlign w:val="bottom"/>
          </w:tcPr>
          <w:p w14:paraId="6EE52F0F" w14:textId="77777777" w:rsidR="00807DF8" w:rsidRPr="00681B97" w:rsidRDefault="00807DF8" w:rsidP="00681B97">
            <w:pPr>
              <w:pStyle w:val="TableHeading"/>
              <w:spacing w:before="45" w:after="45"/>
              <w:cnfStyle w:val="100000000000" w:firstRow="1" w:lastRow="0" w:firstColumn="0" w:lastColumn="0" w:oddVBand="0" w:evenVBand="0" w:oddHBand="0" w:evenHBand="0" w:firstRowFirstColumn="0" w:firstRowLastColumn="0" w:lastRowFirstColumn="0" w:lastRowLastColumn="0"/>
              <w:rPr>
                <w:rFonts w:cs="Open Sans"/>
                <w:b/>
                <w:color w:val="1D4374"/>
              </w:rPr>
            </w:pPr>
            <w:r w:rsidRPr="00681B97">
              <w:rPr>
                <w:rFonts w:cs="Open Sans"/>
                <w:b/>
                <w:color w:val="1D4374"/>
              </w:rPr>
              <w:t>Step</w:t>
            </w:r>
          </w:p>
        </w:tc>
      </w:tr>
      <w:tr w:rsidR="00AD47AC" w:rsidRPr="003F7A4A" w14:paraId="19C71F72" w14:textId="77777777" w:rsidTr="003F7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 w:type="dxa"/>
            <w:tcBorders>
              <w:top w:val="single" w:sz="4" w:space="0" w:color="B3B3B3"/>
              <w:bottom w:val="nil"/>
            </w:tcBorders>
            <w:shd w:val="clear" w:color="000000" w:fill="E6E6E6"/>
            <w:hideMark/>
          </w:tcPr>
          <w:p w14:paraId="099A8340" w14:textId="77777777" w:rsidR="00AD47AC" w:rsidRPr="00681B97" w:rsidRDefault="00AD47AC" w:rsidP="00681B97">
            <w:pPr>
              <w:pStyle w:val="TableBody"/>
              <w:spacing w:before="45" w:after="45"/>
              <w:ind w:right="108"/>
              <w:rPr>
                <w:rFonts w:cs="Open Sans"/>
                <w:color w:val="1D4374"/>
                <w:lang w:eastAsia="zh-CN" w:bidi="th-TH"/>
              </w:rPr>
            </w:pPr>
            <w:r w:rsidRPr="00681B97">
              <w:rPr>
                <w:rFonts w:cs="Open Sans"/>
                <w:color w:val="1D4374"/>
                <w:lang w:eastAsia="zh-CN" w:bidi="th-TH"/>
              </w:rPr>
              <w:t>1</w:t>
            </w:r>
          </w:p>
        </w:tc>
        <w:tc>
          <w:tcPr>
            <w:tcW w:w="9356" w:type="dxa"/>
            <w:tcBorders>
              <w:top w:val="single" w:sz="4" w:space="0" w:color="B3B3B3"/>
              <w:bottom w:val="nil"/>
            </w:tcBorders>
            <w:shd w:val="clear" w:color="000000" w:fill="E6E6E6"/>
            <w:hideMark/>
          </w:tcPr>
          <w:p w14:paraId="07A9D7C4" w14:textId="7D470ED0" w:rsidR="00AD47AC" w:rsidRPr="00E00A1D" w:rsidRDefault="00DB43FE" w:rsidP="00E00A1D">
            <w:pPr>
              <w:pStyle w:val="TableBody"/>
              <w:cnfStyle w:val="000000100000" w:firstRow="0" w:lastRow="0" w:firstColumn="0" w:lastColumn="0" w:oddVBand="0" w:evenVBand="0" w:oddHBand="1" w:evenHBand="0" w:firstRowFirstColumn="0" w:firstRowLastColumn="0" w:lastRowFirstColumn="0" w:lastRowLastColumn="0"/>
            </w:pPr>
            <w:r w:rsidRPr="00E00A1D">
              <w:rPr>
                <w:lang w:bidi="th-TH"/>
              </w:rPr>
              <w:t>I</w:t>
            </w:r>
            <w:r w:rsidR="00AD47AC" w:rsidRPr="00E00A1D">
              <w:rPr>
                <w:lang w:bidi="th-TH"/>
              </w:rPr>
              <w:t>dentify mining revenue and value of production by state</w:t>
            </w:r>
            <w:r w:rsidRPr="00E00A1D">
              <w:rPr>
                <w:lang w:bidi="th-TH"/>
              </w:rPr>
              <w:t xml:space="preserve"> using CGC </w:t>
            </w:r>
            <w:r w:rsidR="000C6CAC" w:rsidRPr="00E00A1D">
              <w:rPr>
                <w:lang w:bidi="th-TH"/>
              </w:rPr>
              <w:t xml:space="preserve">supplied mining revenue </w:t>
            </w:r>
            <w:r w:rsidRPr="00E00A1D">
              <w:rPr>
                <w:lang w:bidi="th-TH"/>
              </w:rPr>
              <w:t>data.</w:t>
            </w:r>
          </w:p>
        </w:tc>
      </w:tr>
      <w:tr w:rsidR="00AD47AC" w:rsidRPr="003F7A4A" w14:paraId="4E878979" w14:textId="77777777" w:rsidTr="003F7A4A">
        <w:tc>
          <w:tcPr>
            <w:cnfStyle w:val="001000000000" w:firstRow="0" w:lastRow="0" w:firstColumn="1" w:lastColumn="0" w:oddVBand="0" w:evenVBand="0" w:oddHBand="0" w:evenHBand="0" w:firstRowFirstColumn="0" w:firstRowLastColumn="0" w:lastRowFirstColumn="0" w:lastRowLastColumn="0"/>
            <w:tcW w:w="282" w:type="dxa"/>
            <w:tcBorders>
              <w:top w:val="nil"/>
              <w:bottom w:val="nil"/>
            </w:tcBorders>
            <w:shd w:val="clear" w:color="000000" w:fill="auto"/>
          </w:tcPr>
          <w:p w14:paraId="070E1675" w14:textId="77777777" w:rsidR="00AD47AC" w:rsidRPr="00681B97" w:rsidRDefault="00AD47AC" w:rsidP="00681B97">
            <w:pPr>
              <w:pStyle w:val="TableBody"/>
              <w:spacing w:before="45" w:after="45"/>
              <w:ind w:right="108"/>
              <w:rPr>
                <w:rFonts w:cs="Open Sans"/>
                <w:color w:val="1D4374"/>
              </w:rPr>
            </w:pPr>
            <w:r w:rsidRPr="00681B97">
              <w:rPr>
                <w:rFonts w:cs="Open Sans"/>
                <w:color w:val="1D4374"/>
              </w:rPr>
              <w:t>2</w:t>
            </w:r>
          </w:p>
        </w:tc>
        <w:tc>
          <w:tcPr>
            <w:tcW w:w="9356" w:type="dxa"/>
            <w:tcBorders>
              <w:top w:val="nil"/>
              <w:bottom w:val="nil"/>
            </w:tcBorders>
            <w:shd w:val="clear" w:color="000000" w:fill="auto"/>
          </w:tcPr>
          <w:p w14:paraId="42804944" w14:textId="0F403403" w:rsidR="00AD47AC" w:rsidRPr="00E00A1D" w:rsidRDefault="00DB43FE" w:rsidP="00E00A1D">
            <w:pPr>
              <w:pStyle w:val="TableBody"/>
              <w:cnfStyle w:val="000000000000" w:firstRow="0" w:lastRow="0" w:firstColumn="0" w:lastColumn="0" w:oddVBand="0" w:evenVBand="0" w:oddHBand="0" w:evenHBand="0" w:firstRowFirstColumn="0" w:firstRowLastColumn="0" w:lastRowFirstColumn="0" w:lastRowLastColumn="0"/>
            </w:pPr>
            <w:r w:rsidRPr="00E00A1D">
              <w:rPr>
                <w:lang w:bidi="th-TH"/>
              </w:rPr>
              <w:t>A</w:t>
            </w:r>
            <w:r w:rsidR="00AD47AC" w:rsidRPr="00E00A1D">
              <w:rPr>
                <w:lang w:bidi="th-TH"/>
              </w:rPr>
              <w:t>llocate commodity production quantities across states</w:t>
            </w:r>
            <w:r w:rsidRPr="00E00A1D">
              <w:rPr>
                <w:lang w:bidi="th-TH"/>
              </w:rPr>
              <w:t xml:space="preserve"> using DISR production data.</w:t>
            </w:r>
          </w:p>
        </w:tc>
      </w:tr>
      <w:tr w:rsidR="00AD47AC" w:rsidRPr="003F7A4A" w14:paraId="0F6340E5" w14:textId="77777777" w:rsidTr="003F7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 w:type="dxa"/>
            <w:tcBorders>
              <w:bottom w:val="nil"/>
            </w:tcBorders>
            <w:shd w:val="clear" w:color="000000" w:fill="E6E6E6"/>
          </w:tcPr>
          <w:p w14:paraId="40B1C3A5" w14:textId="77777777" w:rsidR="00AD47AC" w:rsidRPr="00681B97" w:rsidRDefault="00AD47AC" w:rsidP="00681B97">
            <w:pPr>
              <w:pStyle w:val="TableBody"/>
              <w:spacing w:before="45" w:after="45"/>
              <w:ind w:right="108"/>
              <w:rPr>
                <w:rFonts w:cs="Open Sans"/>
                <w:color w:val="1D4374"/>
              </w:rPr>
            </w:pPr>
            <w:r w:rsidRPr="00681B97">
              <w:rPr>
                <w:rFonts w:cs="Open Sans"/>
                <w:color w:val="1D4374"/>
              </w:rPr>
              <w:t>3</w:t>
            </w:r>
          </w:p>
        </w:tc>
        <w:tc>
          <w:tcPr>
            <w:tcW w:w="9356" w:type="dxa"/>
            <w:tcBorders>
              <w:bottom w:val="nil"/>
            </w:tcBorders>
            <w:shd w:val="clear" w:color="000000" w:fill="E6E6E6"/>
          </w:tcPr>
          <w:p w14:paraId="7EAB5EDD" w14:textId="0A04FFC5" w:rsidR="00AD47AC" w:rsidRPr="00E00A1D" w:rsidRDefault="00DB43FE" w:rsidP="00E00A1D">
            <w:pPr>
              <w:pStyle w:val="TableBody"/>
              <w:cnfStyle w:val="000000100000" w:firstRow="0" w:lastRow="0" w:firstColumn="0" w:lastColumn="0" w:oddVBand="0" w:evenVBand="0" w:oddHBand="1" w:evenHBand="0" w:firstRowFirstColumn="0" w:firstRowLastColumn="0" w:lastRowFirstColumn="0" w:lastRowLastColumn="0"/>
            </w:pPr>
            <w:r w:rsidRPr="00E00A1D">
              <w:rPr>
                <w:lang w:bidi="th-TH"/>
              </w:rPr>
              <w:t>S</w:t>
            </w:r>
            <w:r w:rsidR="00AD47AC" w:rsidRPr="00E00A1D">
              <w:rPr>
                <w:lang w:bidi="th-TH"/>
              </w:rPr>
              <w:t>plit the CGC coal category into metallurgical and thermal coal</w:t>
            </w:r>
            <w:r w:rsidRPr="00E00A1D">
              <w:rPr>
                <w:lang w:bidi="th-TH"/>
              </w:rPr>
              <w:t xml:space="preserve"> using </w:t>
            </w:r>
            <w:r w:rsidR="00ED28F5" w:rsidRPr="00E00A1D">
              <w:rPr>
                <w:lang w:bidi="th-TH"/>
              </w:rPr>
              <w:t>Wood Mackenzie production data.</w:t>
            </w:r>
          </w:p>
        </w:tc>
      </w:tr>
      <w:tr w:rsidR="00AD47AC" w:rsidRPr="003F7A4A" w14:paraId="4F9D9A59" w14:textId="77777777" w:rsidTr="003F7A4A">
        <w:tc>
          <w:tcPr>
            <w:cnfStyle w:val="001000000000" w:firstRow="0" w:lastRow="0" w:firstColumn="1" w:lastColumn="0" w:oddVBand="0" w:evenVBand="0" w:oddHBand="0" w:evenHBand="0" w:firstRowFirstColumn="0" w:firstRowLastColumn="0" w:lastRowFirstColumn="0" w:lastRowLastColumn="0"/>
            <w:tcW w:w="282" w:type="dxa"/>
            <w:tcBorders>
              <w:top w:val="nil"/>
              <w:bottom w:val="nil"/>
            </w:tcBorders>
            <w:shd w:val="clear" w:color="000000" w:fill="auto"/>
          </w:tcPr>
          <w:p w14:paraId="6DBD475D" w14:textId="77777777" w:rsidR="00AD47AC" w:rsidRPr="00681B97" w:rsidRDefault="00AD47AC" w:rsidP="00681B97">
            <w:pPr>
              <w:pStyle w:val="TableBody"/>
              <w:spacing w:before="45" w:after="45"/>
              <w:ind w:right="108"/>
              <w:rPr>
                <w:rFonts w:cs="Open Sans"/>
                <w:color w:val="1D4374"/>
              </w:rPr>
            </w:pPr>
            <w:r w:rsidRPr="00681B97">
              <w:rPr>
                <w:rFonts w:cs="Open Sans"/>
                <w:color w:val="1D4374"/>
              </w:rPr>
              <w:t>4</w:t>
            </w:r>
          </w:p>
        </w:tc>
        <w:tc>
          <w:tcPr>
            <w:tcW w:w="9356" w:type="dxa"/>
            <w:tcBorders>
              <w:top w:val="nil"/>
              <w:bottom w:val="nil"/>
            </w:tcBorders>
            <w:shd w:val="clear" w:color="000000" w:fill="auto"/>
          </w:tcPr>
          <w:p w14:paraId="1167A124" w14:textId="252D20EE" w:rsidR="00AD47AC" w:rsidRPr="00E00A1D" w:rsidRDefault="00AD47AC" w:rsidP="00E00A1D">
            <w:pPr>
              <w:pStyle w:val="TableBody"/>
              <w:cnfStyle w:val="000000000000" w:firstRow="0" w:lastRow="0" w:firstColumn="0" w:lastColumn="0" w:oddVBand="0" w:evenVBand="0" w:oddHBand="0" w:evenHBand="0" w:firstRowFirstColumn="0" w:firstRowLastColumn="0" w:lastRowFirstColumn="0" w:lastRowLastColumn="0"/>
            </w:pPr>
            <w:r w:rsidRPr="00E00A1D">
              <w:rPr>
                <w:lang w:bidi="th-TH"/>
              </w:rPr>
              <w:t xml:space="preserve">Combine these datasets to </w:t>
            </w:r>
            <w:r w:rsidR="00867DD4" w:rsidRPr="00E00A1D">
              <w:rPr>
                <w:lang w:bidi="th-TH"/>
              </w:rPr>
              <w:t xml:space="preserve">infer </w:t>
            </w:r>
            <w:r w:rsidRPr="00E00A1D">
              <w:rPr>
                <w:lang w:bidi="th-TH"/>
              </w:rPr>
              <w:t>production quantity, commodity price and effective royalty/tax rate</w:t>
            </w:r>
            <w:r w:rsidR="009960AB" w:rsidRPr="00E00A1D">
              <w:rPr>
                <w:lang w:bidi="th-TH"/>
              </w:rPr>
              <w:t xml:space="preserve"> from CGC</w:t>
            </w:r>
            <w:r w:rsidR="000A56A3" w:rsidRPr="00E00A1D">
              <w:rPr>
                <w:lang w:bidi="th-TH"/>
              </w:rPr>
              <w:t xml:space="preserve"> revenue data</w:t>
            </w:r>
            <w:r w:rsidRPr="00E00A1D">
              <w:rPr>
                <w:lang w:bidi="th-TH"/>
              </w:rPr>
              <w:t>, by state and commodity.</w:t>
            </w:r>
          </w:p>
        </w:tc>
      </w:tr>
      <w:tr w:rsidR="00AD47AC" w:rsidRPr="003F7A4A" w14:paraId="4036246D" w14:textId="77777777" w:rsidTr="003F7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 w:type="dxa"/>
            <w:tcBorders>
              <w:bottom w:val="nil"/>
            </w:tcBorders>
            <w:shd w:val="clear" w:color="000000" w:fill="E6E6E6"/>
          </w:tcPr>
          <w:p w14:paraId="6C3731FB" w14:textId="77777777" w:rsidR="00AD47AC" w:rsidRPr="00681B97" w:rsidRDefault="00AD47AC" w:rsidP="00681B97">
            <w:pPr>
              <w:pStyle w:val="TableBody"/>
              <w:spacing w:before="45" w:after="45"/>
              <w:ind w:right="108"/>
              <w:rPr>
                <w:rFonts w:cs="Open Sans"/>
                <w:color w:val="1D4374"/>
              </w:rPr>
            </w:pPr>
            <w:r w:rsidRPr="00681B97">
              <w:rPr>
                <w:rFonts w:cs="Open Sans"/>
                <w:color w:val="1D4374"/>
              </w:rPr>
              <w:t>5</w:t>
            </w:r>
          </w:p>
        </w:tc>
        <w:tc>
          <w:tcPr>
            <w:tcW w:w="9356" w:type="dxa"/>
            <w:tcBorders>
              <w:bottom w:val="nil"/>
            </w:tcBorders>
            <w:shd w:val="clear" w:color="000000" w:fill="E6E6E6"/>
          </w:tcPr>
          <w:p w14:paraId="1C85485F" w14:textId="108064CB" w:rsidR="00AD47AC" w:rsidRPr="00E00A1D" w:rsidRDefault="00AD47AC" w:rsidP="00E00A1D">
            <w:pPr>
              <w:pStyle w:val="TableBody"/>
              <w:cnfStyle w:val="000000100000" w:firstRow="0" w:lastRow="0" w:firstColumn="0" w:lastColumn="0" w:oddVBand="0" w:evenVBand="0" w:oddHBand="1" w:evenHBand="0" w:firstRowFirstColumn="0" w:firstRowLastColumn="0" w:lastRowFirstColumn="0" w:lastRowLastColumn="0"/>
            </w:pPr>
            <w:r w:rsidRPr="00E00A1D">
              <w:rPr>
                <w:lang w:bidi="th-TH"/>
              </w:rPr>
              <w:t>Hold production quantities and effective royalty/tax rates constant, so the scenario exercise isolates commodity price effects.</w:t>
            </w:r>
          </w:p>
        </w:tc>
      </w:tr>
      <w:tr w:rsidR="00AD47AC" w:rsidRPr="003F7A4A" w14:paraId="3FEBFD2A" w14:textId="77777777" w:rsidTr="003F7A4A">
        <w:tc>
          <w:tcPr>
            <w:cnfStyle w:val="001000000000" w:firstRow="0" w:lastRow="0" w:firstColumn="1" w:lastColumn="0" w:oddVBand="0" w:evenVBand="0" w:oddHBand="0" w:evenHBand="0" w:firstRowFirstColumn="0" w:firstRowLastColumn="0" w:lastRowFirstColumn="0" w:lastRowLastColumn="0"/>
            <w:tcW w:w="282" w:type="dxa"/>
            <w:tcBorders>
              <w:top w:val="nil"/>
              <w:bottom w:val="nil"/>
            </w:tcBorders>
            <w:shd w:val="clear" w:color="000000" w:fill="auto"/>
          </w:tcPr>
          <w:p w14:paraId="4F60587D" w14:textId="7CD4C513" w:rsidR="00AD47AC" w:rsidRPr="00681B97" w:rsidRDefault="00E96D90" w:rsidP="00681B97">
            <w:pPr>
              <w:pStyle w:val="TableBody"/>
              <w:spacing w:before="45" w:after="45"/>
              <w:ind w:right="108"/>
              <w:rPr>
                <w:rFonts w:cs="Open Sans"/>
                <w:color w:val="1D4374"/>
              </w:rPr>
            </w:pPr>
            <w:r w:rsidRPr="00681B97">
              <w:rPr>
                <w:rFonts w:cs="Open Sans"/>
                <w:color w:val="1D4374"/>
              </w:rPr>
              <w:t>6</w:t>
            </w:r>
          </w:p>
        </w:tc>
        <w:tc>
          <w:tcPr>
            <w:tcW w:w="9356" w:type="dxa"/>
            <w:tcBorders>
              <w:top w:val="nil"/>
              <w:bottom w:val="nil"/>
            </w:tcBorders>
            <w:shd w:val="clear" w:color="000000" w:fill="auto"/>
          </w:tcPr>
          <w:p w14:paraId="3E2F841C" w14:textId="12EA45DB" w:rsidR="00AD47AC" w:rsidRPr="00E00A1D" w:rsidRDefault="00AD47AC" w:rsidP="00E00A1D">
            <w:pPr>
              <w:pStyle w:val="TableBody"/>
              <w:cnfStyle w:val="000000000000" w:firstRow="0" w:lastRow="0" w:firstColumn="0" w:lastColumn="0" w:oddVBand="0" w:evenVBand="0" w:oddHBand="0" w:evenHBand="0" w:firstRowFirstColumn="0" w:firstRowLastColumn="0" w:lastRowFirstColumn="0" w:lastRowLastColumn="0"/>
            </w:pPr>
            <w:r w:rsidRPr="00E00A1D">
              <w:rPr>
                <w:lang w:bidi="th-TH"/>
              </w:rPr>
              <w:t>Re-estimate state mining revenue for each commodity price combination scenario</w:t>
            </w:r>
            <w:r w:rsidR="00402F9F" w:rsidRPr="00E00A1D">
              <w:rPr>
                <w:lang w:bidi="th-TH"/>
              </w:rPr>
              <w:t xml:space="preserve"> identified in</w:t>
            </w:r>
            <w:r w:rsidR="000A3BAD" w:rsidRPr="00E00A1D">
              <w:rPr>
                <w:lang w:bidi="th-TH"/>
              </w:rPr>
              <w:t xml:space="preserve"> </w:t>
            </w:r>
            <w:r w:rsidR="00FF5F54" w:rsidRPr="00E00A1D">
              <w:rPr>
                <w:lang w:bidi="th-TH"/>
              </w:rPr>
              <w:t>Commodity</w:t>
            </w:r>
            <w:r w:rsidR="000A3BAD" w:rsidRPr="00E00A1D">
              <w:rPr>
                <w:lang w:bidi="th-TH"/>
              </w:rPr>
              <w:t xml:space="preserve"> price </w:t>
            </w:r>
            <w:r w:rsidR="00FF5F54" w:rsidRPr="00E00A1D">
              <w:rPr>
                <w:lang w:bidi="th-TH"/>
              </w:rPr>
              <w:t xml:space="preserve">hypotheticals </w:t>
            </w:r>
            <w:r w:rsidR="00402F9F" w:rsidRPr="00E00A1D">
              <w:rPr>
                <w:lang w:bidi="th-TH"/>
              </w:rPr>
              <w:t>(</w:t>
            </w:r>
            <w:r w:rsidR="006641E4">
              <w:rPr>
                <w:lang w:bidi="th-TH"/>
              </w:rPr>
              <w:t>section</w:t>
            </w:r>
            <w:r w:rsidR="001B1D33">
              <w:rPr>
                <w:lang w:bidi="th-TH"/>
              </w:rPr>
              <w:t xml:space="preserve"> C.9)</w:t>
            </w:r>
            <w:r w:rsidR="00F677E9" w:rsidRPr="00E00A1D">
              <w:rPr>
                <w:lang w:bidi="th-TH"/>
              </w:rPr>
              <w:t>.</w:t>
            </w:r>
          </w:p>
        </w:tc>
      </w:tr>
      <w:tr w:rsidR="00AD47AC" w:rsidRPr="003F7A4A" w14:paraId="7F64D8D8" w14:textId="77777777" w:rsidTr="003F7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 w:type="dxa"/>
            <w:tcBorders>
              <w:bottom w:val="nil"/>
            </w:tcBorders>
            <w:shd w:val="clear" w:color="000000" w:fill="E6E6E6"/>
          </w:tcPr>
          <w:p w14:paraId="5AA35785" w14:textId="38D962A3" w:rsidR="00AD47AC" w:rsidRPr="00681B97" w:rsidRDefault="00E96D90" w:rsidP="00681B97">
            <w:pPr>
              <w:pStyle w:val="TableBody"/>
              <w:spacing w:before="45" w:after="45"/>
              <w:ind w:right="108"/>
              <w:rPr>
                <w:rFonts w:cs="Open Sans"/>
                <w:color w:val="1D4374"/>
              </w:rPr>
            </w:pPr>
            <w:r w:rsidRPr="00681B97">
              <w:rPr>
                <w:rFonts w:cs="Open Sans"/>
                <w:color w:val="1D4374"/>
              </w:rPr>
              <w:t>7</w:t>
            </w:r>
          </w:p>
        </w:tc>
        <w:tc>
          <w:tcPr>
            <w:tcW w:w="9356" w:type="dxa"/>
            <w:tcBorders>
              <w:bottom w:val="nil"/>
            </w:tcBorders>
            <w:shd w:val="clear" w:color="000000" w:fill="E6E6E6"/>
          </w:tcPr>
          <w:p w14:paraId="47616B79" w14:textId="5B7E4D17" w:rsidR="00AD47AC" w:rsidRPr="00E00A1D" w:rsidRDefault="008724DB" w:rsidP="00E00A1D">
            <w:pPr>
              <w:pStyle w:val="TableBody"/>
              <w:cnfStyle w:val="000000100000" w:firstRow="0" w:lastRow="0" w:firstColumn="0" w:lastColumn="0" w:oddVBand="0" w:evenVBand="0" w:oddHBand="1" w:evenHBand="0" w:firstRowFirstColumn="0" w:firstRowLastColumn="0" w:lastRowFirstColumn="0" w:lastRowLastColumn="0"/>
            </w:pPr>
            <w:r w:rsidRPr="00E00A1D">
              <w:rPr>
                <w:lang w:bidi="th-TH"/>
              </w:rPr>
              <w:t xml:space="preserve">Parse </w:t>
            </w:r>
            <w:r w:rsidR="00AD47AC" w:rsidRPr="00E00A1D">
              <w:rPr>
                <w:lang w:bidi="th-TH"/>
              </w:rPr>
              <w:t xml:space="preserve">the resulting revenue changes through </w:t>
            </w:r>
            <w:r w:rsidRPr="00E00A1D">
              <w:rPr>
                <w:lang w:bidi="th-TH"/>
              </w:rPr>
              <w:t xml:space="preserve">reduced form </w:t>
            </w:r>
            <w:r w:rsidR="00AD47AC" w:rsidRPr="00E00A1D">
              <w:rPr>
                <w:lang w:bidi="th-TH"/>
              </w:rPr>
              <w:t xml:space="preserve">PC GST model </w:t>
            </w:r>
            <w:r w:rsidRPr="00E00A1D">
              <w:rPr>
                <w:lang w:bidi="th-TH"/>
              </w:rPr>
              <w:t>(</w:t>
            </w:r>
            <w:r w:rsidR="006641E4">
              <w:rPr>
                <w:lang w:bidi="th-TH"/>
              </w:rPr>
              <w:t xml:space="preserve">section </w:t>
            </w:r>
            <w:r w:rsidRPr="00E00A1D">
              <w:rPr>
                <w:lang w:bidi="th-TH"/>
              </w:rPr>
              <w:fldChar w:fldCharType="begin"/>
            </w:r>
            <w:r w:rsidRPr="00E00A1D">
              <w:rPr>
                <w:lang w:bidi="th-TH"/>
              </w:rPr>
              <w:instrText xml:space="preserve"> REF _Ref237342376 \r \h </w:instrText>
            </w:r>
            <w:r w:rsidR="00E00A1D">
              <w:rPr>
                <w:lang w:bidi="th-TH"/>
              </w:rPr>
              <w:instrText xml:space="preserve"> \* MERGEFORMAT </w:instrText>
            </w:r>
            <w:r w:rsidRPr="00E00A1D">
              <w:rPr>
                <w:lang w:bidi="th-TH"/>
              </w:rPr>
            </w:r>
            <w:r w:rsidRPr="00E00A1D">
              <w:rPr>
                <w:lang w:bidi="th-TH"/>
              </w:rPr>
              <w:fldChar w:fldCharType="separate"/>
            </w:r>
            <w:r w:rsidR="002D76C4">
              <w:rPr>
                <w:lang w:bidi="th-TH"/>
              </w:rPr>
              <w:t>C.3</w:t>
            </w:r>
            <w:r w:rsidRPr="00E00A1D">
              <w:rPr>
                <w:lang w:bidi="th-TH"/>
              </w:rPr>
              <w:fldChar w:fldCharType="end"/>
            </w:r>
            <w:r w:rsidRPr="00E00A1D">
              <w:rPr>
                <w:lang w:bidi="th-TH"/>
              </w:rPr>
              <w:t xml:space="preserve">) </w:t>
            </w:r>
            <w:r w:rsidR="00AD47AC" w:rsidRPr="00E00A1D">
              <w:rPr>
                <w:lang w:bidi="th-TH"/>
              </w:rPr>
              <w:t xml:space="preserve">to estimate distributional </w:t>
            </w:r>
            <w:r w:rsidR="00A23752" w:rsidRPr="00E00A1D">
              <w:rPr>
                <w:lang w:bidi="th-TH"/>
              </w:rPr>
              <w:t xml:space="preserve">GST </w:t>
            </w:r>
            <w:r w:rsidR="00AD47AC" w:rsidRPr="00E00A1D">
              <w:rPr>
                <w:lang w:bidi="th-TH"/>
              </w:rPr>
              <w:t>impacts.</w:t>
            </w:r>
          </w:p>
        </w:tc>
      </w:tr>
      <w:tr w:rsidR="00AD47AC" w:rsidRPr="003F7A4A" w14:paraId="7329D6AC" w14:textId="77777777" w:rsidTr="003F7A4A">
        <w:tc>
          <w:tcPr>
            <w:cnfStyle w:val="001000000000" w:firstRow="0" w:lastRow="0" w:firstColumn="1" w:lastColumn="0" w:oddVBand="0" w:evenVBand="0" w:oddHBand="0" w:evenHBand="0" w:firstRowFirstColumn="0" w:firstRowLastColumn="0" w:lastRowFirstColumn="0" w:lastRowLastColumn="0"/>
            <w:tcW w:w="282" w:type="dxa"/>
            <w:tcBorders>
              <w:top w:val="nil"/>
              <w:bottom w:val="nil"/>
            </w:tcBorders>
            <w:shd w:val="clear" w:color="000000" w:fill="auto"/>
          </w:tcPr>
          <w:p w14:paraId="19724419" w14:textId="23CEB5C1" w:rsidR="00AD47AC" w:rsidRPr="00681B97" w:rsidRDefault="00E96D90" w:rsidP="00681B97">
            <w:pPr>
              <w:pStyle w:val="TableBody"/>
              <w:spacing w:before="45" w:after="45"/>
              <w:ind w:right="108"/>
              <w:rPr>
                <w:rFonts w:cs="Open Sans"/>
                <w:color w:val="1D4374"/>
              </w:rPr>
            </w:pPr>
            <w:r w:rsidRPr="00681B97">
              <w:rPr>
                <w:rFonts w:cs="Open Sans"/>
                <w:color w:val="1D4374"/>
              </w:rPr>
              <w:t>8</w:t>
            </w:r>
          </w:p>
        </w:tc>
        <w:tc>
          <w:tcPr>
            <w:tcW w:w="9356" w:type="dxa"/>
            <w:tcBorders>
              <w:top w:val="nil"/>
              <w:bottom w:val="nil"/>
            </w:tcBorders>
            <w:shd w:val="clear" w:color="000000" w:fill="auto"/>
          </w:tcPr>
          <w:p w14:paraId="4FAB2150" w14:textId="10392B67" w:rsidR="00AD47AC" w:rsidRPr="00E00A1D" w:rsidRDefault="00AD47AC" w:rsidP="00E00A1D">
            <w:pPr>
              <w:pStyle w:val="TableBody"/>
              <w:cnfStyle w:val="000000000000" w:firstRow="0" w:lastRow="0" w:firstColumn="0" w:lastColumn="0" w:oddVBand="0" w:evenVBand="0" w:oddHBand="0" w:evenHBand="0" w:firstRowFirstColumn="0" w:firstRowLastColumn="0" w:lastRowFirstColumn="0" w:lastRowLastColumn="0"/>
            </w:pPr>
            <w:r w:rsidRPr="00E00A1D">
              <w:rPr>
                <w:lang w:bidi="th-TH"/>
              </w:rPr>
              <w:t xml:space="preserve">Calculate the resulting </w:t>
            </w:r>
            <w:proofErr w:type="spellStart"/>
            <w:r w:rsidRPr="00E00A1D">
              <w:rPr>
                <w:lang w:bidi="th-TH"/>
              </w:rPr>
              <w:t>NoWO</w:t>
            </w:r>
            <w:proofErr w:type="spellEnd"/>
            <w:r w:rsidRPr="00E00A1D">
              <w:rPr>
                <w:lang w:bidi="th-TH"/>
              </w:rPr>
              <w:t xml:space="preserve"> payments under each commodity scenario by taking difference between modelled pre-2018 GST and current system distributions.</w:t>
            </w:r>
          </w:p>
        </w:tc>
      </w:tr>
      <w:tr w:rsidR="00752778" w:rsidRPr="003F7A4A" w14:paraId="1A425600" w14:textId="77777777" w:rsidTr="003F7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 w:type="dxa"/>
            <w:tcBorders>
              <w:bottom w:val="single" w:sz="4" w:space="0" w:color="B3B3B3"/>
            </w:tcBorders>
            <w:shd w:val="clear" w:color="000000" w:fill="E6E6E6"/>
          </w:tcPr>
          <w:p w14:paraId="7E0F3716" w14:textId="21BC81F5" w:rsidR="00752778" w:rsidRPr="00681B97" w:rsidRDefault="00752778" w:rsidP="00681B97">
            <w:pPr>
              <w:pStyle w:val="TableBody"/>
              <w:spacing w:before="45" w:after="45"/>
              <w:ind w:right="108"/>
              <w:rPr>
                <w:rFonts w:cs="Open Sans"/>
                <w:color w:val="1D4374"/>
              </w:rPr>
            </w:pPr>
            <w:r>
              <w:rPr>
                <w:rFonts w:cs="Open Sans"/>
                <w:color w:val="1D4374"/>
              </w:rPr>
              <w:t>9</w:t>
            </w:r>
          </w:p>
        </w:tc>
        <w:tc>
          <w:tcPr>
            <w:tcW w:w="9356" w:type="dxa"/>
            <w:tcBorders>
              <w:bottom w:val="single" w:sz="4" w:space="0" w:color="B3B3B3"/>
            </w:tcBorders>
            <w:shd w:val="clear" w:color="000000" w:fill="E6E6E6"/>
          </w:tcPr>
          <w:p w14:paraId="28C14A0B" w14:textId="249D8047" w:rsidR="00752778" w:rsidRPr="00E00A1D" w:rsidRDefault="003F7A4A" w:rsidP="00E00A1D">
            <w:pPr>
              <w:pStyle w:val="TableBody"/>
              <w:cnfStyle w:val="000000100000" w:firstRow="0" w:lastRow="0" w:firstColumn="0" w:lastColumn="0" w:oddVBand="0" w:evenVBand="0" w:oddHBand="1" w:evenHBand="0" w:firstRowFirstColumn="0" w:firstRowLastColumn="0" w:lastRowFirstColumn="0" w:lastRowLastColumn="0"/>
              <w:rPr>
                <w:lang w:bidi="th-TH"/>
              </w:rPr>
            </w:pPr>
            <w:r w:rsidRPr="00E00A1D">
              <w:rPr>
                <w:lang w:bidi="th-TH"/>
              </w:rPr>
              <w:t>Separate commodity-</w:t>
            </w:r>
            <w:r w:rsidR="00752778" w:rsidRPr="00E00A1D">
              <w:rPr>
                <w:lang w:bidi="th-TH"/>
              </w:rPr>
              <w:t xml:space="preserve">specific scenarios are </w:t>
            </w:r>
            <w:r w:rsidRPr="00E00A1D">
              <w:rPr>
                <w:lang w:bidi="th-TH"/>
              </w:rPr>
              <w:t>modelled</w:t>
            </w:r>
            <w:r w:rsidR="00752778" w:rsidRPr="00E00A1D">
              <w:rPr>
                <w:lang w:bidi="th-TH"/>
              </w:rPr>
              <w:t xml:space="preserve"> </w:t>
            </w:r>
            <w:r w:rsidR="008F3AF9" w:rsidRPr="00E00A1D">
              <w:rPr>
                <w:lang w:bidi="th-TH"/>
              </w:rPr>
              <w:t xml:space="preserve">to isolate the </w:t>
            </w:r>
            <w:r w:rsidRPr="00E00A1D">
              <w:rPr>
                <w:lang w:bidi="th-TH"/>
              </w:rPr>
              <w:t>impact</w:t>
            </w:r>
            <w:r w:rsidR="008F3AF9" w:rsidRPr="00E00A1D">
              <w:rPr>
                <w:lang w:bidi="th-TH"/>
              </w:rPr>
              <w:t xml:space="preserve"> of </w:t>
            </w:r>
            <w:r w:rsidR="001A4237" w:rsidRPr="00E00A1D">
              <w:rPr>
                <w:lang w:bidi="th-TH"/>
              </w:rPr>
              <w:t xml:space="preserve">price </w:t>
            </w:r>
            <w:r w:rsidRPr="00E00A1D">
              <w:rPr>
                <w:lang w:bidi="th-TH"/>
              </w:rPr>
              <w:t>changes for each</w:t>
            </w:r>
            <w:r w:rsidR="008F3AF9" w:rsidRPr="00E00A1D">
              <w:rPr>
                <w:lang w:bidi="th-TH"/>
              </w:rPr>
              <w:t xml:space="preserve"> </w:t>
            </w:r>
            <w:r w:rsidR="00B37F8C" w:rsidRPr="00E00A1D">
              <w:rPr>
                <w:lang w:bidi="th-TH"/>
              </w:rPr>
              <w:t xml:space="preserve">commodity </w:t>
            </w:r>
            <w:r w:rsidR="003E1A1F" w:rsidRPr="00E00A1D">
              <w:rPr>
                <w:lang w:bidi="th-TH"/>
              </w:rPr>
              <w:t>(see figure 3.7 and figure 3.8)</w:t>
            </w:r>
          </w:p>
        </w:tc>
      </w:tr>
    </w:tbl>
    <w:p w14:paraId="086ED55F" w14:textId="77777777" w:rsidR="00807DF8" w:rsidRDefault="00807DF8" w:rsidP="00482C5B">
      <w:pPr>
        <w:pStyle w:val="Heading3-noTOC"/>
      </w:pPr>
      <w:r>
        <w:lastRenderedPageBreak/>
        <w:t>Data</w:t>
      </w:r>
    </w:p>
    <w:p w14:paraId="0CB47A44" w14:textId="54D0179E" w:rsidR="00CB2712" w:rsidRPr="00443130" w:rsidRDefault="00CB2712" w:rsidP="00482C5B">
      <w:pPr>
        <w:pStyle w:val="FigureTableHeading"/>
        <w:keepLines/>
      </w:pPr>
      <w:r w:rsidRPr="00443130">
        <w:t xml:space="preserve">Table </w:t>
      </w:r>
      <w:r w:rsidR="00443130">
        <w:t>C</w:t>
      </w:r>
      <w:r w:rsidRPr="00443130">
        <w:t>.</w:t>
      </w:r>
      <w:fldSimple w:instr=" SEQ Table \* ARABIC \s 1 ">
        <w:r w:rsidR="002D76C4">
          <w:rPr>
            <w:noProof/>
          </w:rPr>
          <w:t>32</w:t>
        </w:r>
      </w:fldSimple>
      <w:r w:rsidR="001715F7">
        <w:rPr>
          <w:noProof/>
        </w:rPr>
        <w:t xml:space="preserve"> </w:t>
      </w:r>
      <w:r w:rsidRPr="00443130">
        <w:rPr>
          <w:noProof/>
        </w:rPr>
        <w:t xml:space="preserve">– </w:t>
      </w:r>
      <w:proofErr w:type="spellStart"/>
      <w:r w:rsidR="00E761B8">
        <w:t>NoWO</w:t>
      </w:r>
      <w:proofErr w:type="spellEnd"/>
      <w:r w:rsidR="00E761B8">
        <w:t xml:space="preserve"> commodity price estimates</w:t>
      </w:r>
      <w:r w:rsidR="00443130" w:rsidRPr="00443130">
        <w:t xml:space="preserve"> data sources</w:t>
      </w:r>
    </w:p>
    <w:tbl>
      <w:tblPr>
        <w:tblStyle w:val="ProductivityCommissionTable2-Dark"/>
        <w:tblW w:w="0" w:type="auto"/>
        <w:tblBorders>
          <w:insideH w:val="none" w:sz="0" w:space="0" w:color="auto"/>
        </w:tblBorders>
        <w:shd w:val="clear" w:color="000000" w:fill="auto"/>
        <w:tblLayout w:type="fixed"/>
        <w:tblCellMar>
          <w:top w:w="0" w:type="dxa"/>
          <w:left w:w="0" w:type="dxa"/>
          <w:bottom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964"/>
        <w:gridCol w:w="2832"/>
        <w:gridCol w:w="664"/>
        <w:gridCol w:w="1972"/>
        <w:gridCol w:w="2206"/>
      </w:tblGrid>
      <w:tr w:rsidR="00293803" w:rsidRPr="00E00A1D" w14:paraId="12FD5037" w14:textId="77777777" w:rsidTr="00E00A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64" w:type="dxa"/>
            <w:tcBorders>
              <w:bottom w:val="single" w:sz="4" w:space="0" w:color="B3B3B3"/>
            </w:tcBorders>
            <w:shd w:val="clear" w:color="000000" w:fill="auto"/>
            <w:vAlign w:val="bottom"/>
          </w:tcPr>
          <w:p w14:paraId="51EEAB30" w14:textId="77777777" w:rsidR="00293803" w:rsidRPr="00293803" w:rsidRDefault="00293803" w:rsidP="00482C5B">
            <w:pPr>
              <w:keepNext/>
              <w:keepLines/>
              <w:spacing w:before="45" w:after="45"/>
              <w:ind w:left="57" w:right="108"/>
              <w:rPr>
                <w:rFonts w:cs="Open Sans"/>
                <w:color w:val="1D4374"/>
                <w:sz w:val="18"/>
              </w:rPr>
            </w:pPr>
            <w:r w:rsidRPr="00293803">
              <w:rPr>
                <w:rFonts w:cs="Open Sans"/>
                <w:color w:val="1D4374"/>
                <w:sz w:val="18"/>
              </w:rPr>
              <w:t>Dataset</w:t>
            </w:r>
          </w:p>
        </w:tc>
        <w:tc>
          <w:tcPr>
            <w:tcW w:w="2832" w:type="dxa"/>
            <w:tcBorders>
              <w:bottom w:val="single" w:sz="4" w:space="0" w:color="B3B3B3"/>
            </w:tcBorders>
            <w:shd w:val="clear" w:color="000000" w:fill="auto"/>
            <w:vAlign w:val="bottom"/>
          </w:tcPr>
          <w:p w14:paraId="4C2A3AD6" w14:textId="77777777" w:rsidR="00293803" w:rsidRPr="00293803" w:rsidRDefault="00293803" w:rsidP="00482C5B">
            <w:pPr>
              <w:keepNext/>
              <w:keepLines/>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293803">
              <w:rPr>
                <w:rFonts w:cs="Open Sans"/>
                <w:color w:val="1D4374"/>
                <w:sz w:val="18"/>
              </w:rPr>
              <w:t>Variables</w:t>
            </w:r>
          </w:p>
        </w:tc>
        <w:tc>
          <w:tcPr>
            <w:tcW w:w="664" w:type="dxa"/>
            <w:tcBorders>
              <w:bottom w:val="single" w:sz="4" w:space="0" w:color="B3B3B3"/>
            </w:tcBorders>
            <w:shd w:val="clear" w:color="000000" w:fill="auto"/>
            <w:vAlign w:val="bottom"/>
          </w:tcPr>
          <w:p w14:paraId="0B1FFAE3" w14:textId="77777777" w:rsidR="00293803" w:rsidRPr="00293803" w:rsidRDefault="00293803" w:rsidP="00482C5B">
            <w:pPr>
              <w:keepNext/>
              <w:keepLines/>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293803">
              <w:rPr>
                <w:rFonts w:cs="Open Sans"/>
                <w:color w:val="1D4374"/>
                <w:sz w:val="18"/>
              </w:rPr>
              <w:t>Years</w:t>
            </w:r>
          </w:p>
        </w:tc>
        <w:tc>
          <w:tcPr>
            <w:tcW w:w="1972" w:type="dxa"/>
            <w:tcBorders>
              <w:bottom w:val="single" w:sz="4" w:space="0" w:color="B3B3B3"/>
            </w:tcBorders>
            <w:shd w:val="clear" w:color="000000" w:fill="auto"/>
            <w:vAlign w:val="bottom"/>
          </w:tcPr>
          <w:p w14:paraId="64E89374" w14:textId="77777777" w:rsidR="00293803" w:rsidRPr="00293803" w:rsidRDefault="00293803" w:rsidP="00482C5B">
            <w:pPr>
              <w:keepNext/>
              <w:keepLines/>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293803">
              <w:rPr>
                <w:rFonts w:cs="Open Sans"/>
                <w:color w:val="1D4374"/>
                <w:sz w:val="18"/>
              </w:rPr>
              <w:t>Source</w:t>
            </w:r>
          </w:p>
        </w:tc>
        <w:tc>
          <w:tcPr>
            <w:tcW w:w="2206" w:type="dxa"/>
            <w:tcBorders>
              <w:bottom w:val="single" w:sz="4" w:space="0" w:color="B3B3B3"/>
            </w:tcBorders>
            <w:shd w:val="clear" w:color="000000" w:fill="auto"/>
            <w:vAlign w:val="bottom"/>
          </w:tcPr>
          <w:p w14:paraId="496DC3CC" w14:textId="77777777" w:rsidR="00293803" w:rsidRPr="00293803" w:rsidRDefault="00293803" w:rsidP="00482C5B">
            <w:pPr>
              <w:keepNext/>
              <w:keepLines/>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293803">
              <w:rPr>
                <w:rFonts w:cs="Open Sans"/>
                <w:color w:val="1D4374"/>
                <w:sz w:val="18"/>
              </w:rPr>
              <w:t>Notes</w:t>
            </w:r>
          </w:p>
        </w:tc>
      </w:tr>
      <w:tr w:rsidR="00293803" w:rsidRPr="00E00A1D" w14:paraId="4A05D2A1" w14:textId="77777777" w:rsidTr="00E00A1D">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964" w:type="dxa"/>
            <w:tcBorders>
              <w:top w:val="single" w:sz="4" w:space="0" w:color="B3B3B3"/>
              <w:bottom w:val="nil"/>
            </w:tcBorders>
            <w:shd w:val="clear" w:color="000000" w:fill="E6E6E6"/>
          </w:tcPr>
          <w:p w14:paraId="1AFAFF10" w14:textId="205AB31D" w:rsidR="00293803" w:rsidRPr="00482C5B" w:rsidRDefault="00293803" w:rsidP="00482C5B">
            <w:pPr>
              <w:pStyle w:val="TableBody"/>
              <w:keepNext/>
              <w:keepLines/>
              <w:spacing w:before="45" w:after="45"/>
              <w:ind w:right="108"/>
              <w:rPr>
                <w:rFonts w:cs="Open Sans"/>
                <w:b w:val="0"/>
                <w:bCs/>
                <w:color w:val="auto"/>
              </w:rPr>
            </w:pPr>
            <w:r w:rsidRPr="00482C5B">
              <w:rPr>
                <w:rFonts w:cs="Open Sans"/>
                <w:b w:val="0"/>
                <w:bCs/>
                <w:color w:val="auto"/>
              </w:rPr>
              <w:t xml:space="preserve">CGC mining assessment </w:t>
            </w:r>
          </w:p>
        </w:tc>
        <w:tc>
          <w:tcPr>
            <w:tcW w:w="2832" w:type="dxa"/>
            <w:tcBorders>
              <w:top w:val="single" w:sz="4" w:space="0" w:color="B3B3B3"/>
              <w:bottom w:val="nil"/>
            </w:tcBorders>
            <w:shd w:val="clear" w:color="000000" w:fill="E6E6E6"/>
          </w:tcPr>
          <w:p w14:paraId="5AB637BA" w14:textId="3025BE45" w:rsidR="00293803" w:rsidRPr="00E00A1D" w:rsidRDefault="00293803" w:rsidP="00482C5B">
            <w:pPr>
              <w:pStyle w:val="TableBody"/>
              <w:keepNext/>
              <w:keepLines/>
              <w:cnfStyle w:val="000000100000" w:firstRow="0" w:lastRow="0" w:firstColumn="0" w:lastColumn="0" w:oddVBand="0" w:evenVBand="0" w:oddHBand="1" w:evenHBand="0" w:firstRowFirstColumn="0" w:firstRowLastColumn="0" w:lastRowFirstColumn="0" w:lastRowLastColumn="0"/>
            </w:pPr>
            <w:r w:rsidRPr="00E00A1D">
              <w:t>Assessed</w:t>
            </w:r>
            <w:r w:rsidR="008C352E" w:rsidRPr="00E00A1D">
              <w:t xml:space="preserve"> iron ore and coal</w:t>
            </w:r>
            <w:r w:rsidRPr="00E00A1D">
              <w:t xml:space="preserve"> revenue and value </w:t>
            </w:r>
            <w:r w:rsidR="008C352E" w:rsidRPr="00E00A1D">
              <w:t xml:space="preserve">by state </w:t>
            </w:r>
          </w:p>
        </w:tc>
        <w:tc>
          <w:tcPr>
            <w:tcW w:w="664" w:type="dxa"/>
            <w:tcBorders>
              <w:top w:val="single" w:sz="4" w:space="0" w:color="B3B3B3"/>
              <w:bottom w:val="nil"/>
            </w:tcBorders>
            <w:shd w:val="clear" w:color="000000" w:fill="E6E6E6"/>
          </w:tcPr>
          <w:p w14:paraId="1B84C977" w14:textId="28202750" w:rsidR="00293803" w:rsidRPr="00E00A1D" w:rsidRDefault="00293803" w:rsidP="00482C5B">
            <w:pPr>
              <w:pStyle w:val="TableBody"/>
              <w:keepNext/>
              <w:keepLines/>
              <w:cnfStyle w:val="000000100000" w:firstRow="0" w:lastRow="0" w:firstColumn="0" w:lastColumn="0" w:oddVBand="0" w:evenVBand="0" w:oddHBand="1" w:evenHBand="0" w:firstRowFirstColumn="0" w:firstRowLastColumn="0" w:lastRowFirstColumn="0" w:lastRowLastColumn="0"/>
            </w:pPr>
            <w:r w:rsidRPr="00E00A1D">
              <w:t>202</w:t>
            </w:r>
            <w:r w:rsidR="00F51B0F" w:rsidRPr="00E00A1D">
              <w:t>5</w:t>
            </w:r>
            <w:r w:rsidRPr="00E00A1D">
              <w:t xml:space="preserve"> </w:t>
            </w:r>
          </w:p>
        </w:tc>
        <w:tc>
          <w:tcPr>
            <w:tcW w:w="1972" w:type="dxa"/>
            <w:tcBorders>
              <w:top w:val="single" w:sz="4" w:space="0" w:color="B3B3B3"/>
              <w:bottom w:val="nil"/>
            </w:tcBorders>
            <w:shd w:val="clear" w:color="000000" w:fill="E6E6E6"/>
          </w:tcPr>
          <w:p w14:paraId="5031AD7A" w14:textId="730346FC" w:rsidR="00293803" w:rsidRPr="00E00A1D" w:rsidRDefault="008C352E" w:rsidP="00482C5B">
            <w:pPr>
              <w:pStyle w:val="TableBody"/>
              <w:keepNext/>
              <w:keepLines/>
              <w:cnfStyle w:val="000000100000" w:firstRow="0" w:lastRow="0" w:firstColumn="0" w:lastColumn="0" w:oddVBand="0" w:evenVBand="0" w:oddHBand="1" w:evenHBand="0" w:firstRowFirstColumn="0" w:firstRowLastColumn="0" w:lastRowFirstColumn="0" w:lastRowLastColumn="0"/>
            </w:pPr>
            <w:r w:rsidRPr="00E00A1D">
              <w:t>CGC</w:t>
            </w:r>
            <w:r w:rsidR="00230380" w:rsidRPr="00E00A1D">
              <w:t xml:space="preserve"> (unpublished data)</w:t>
            </w:r>
          </w:p>
        </w:tc>
        <w:tc>
          <w:tcPr>
            <w:tcW w:w="2206" w:type="dxa"/>
            <w:tcBorders>
              <w:top w:val="single" w:sz="4" w:space="0" w:color="B3B3B3"/>
              <w:bottom w:val="nil"/>
            </w:tcBorders>
            <w:shd w:val="clear" w:color="000000" w:fill="E6E6E6"/>
          </w:tcPr>
          <w:p w14:paraId="1CD8F398" w14:textId="2C4719F3" w:rsidR="00293803" w:rsidRPr="00E00A1D" w:rsidRDefault="00093FD6" w:rsidP="00482C5B">
            <w:pPr>
              <w:pStyle w:val="TableBody"/>
              <w:keepNext/>
              <w:keepLines/>
              <w:cnfStyle w:val="000000100000" w:firstRow="0" w:lastRow="0" w:firstColumn="0" w:lastColumn="0" w:oddVBand="0" w:evenVBand="0" w:oddHBand="1" w:evenHBand="0" w:firstRowFirstColumn="0" w:firstRowLastColumn="0" w:lastRowFirstColumn="0" w:lastRowLastColumn="0"/>
            </w:pPr>
            <w:r>
              <w:t>–</w:t>
            </w:r>
          </w:p>
        </w:tc>
      </w:tr>
      <w:tr w:rsidR="00293803" w:rsidRPr="00E00A1D" w14:paraId="20201C09" w14:textId="77777777" w:rsidTr="00E00A1D">
        <w:trPr>
          <w:trHeight w:val="565"/>
        </w:trPr>
        <w:tc>
          <w:tcPr>
            <w:cnfStyle w:val="001000000000" w:firstRow="0" w:lastRow="0" w:firstColumn="1" w:lastColumn="0" w:oddVBand="0" w:evenVBand="0" w:oddHBand="0" w:evenHBand="0" w:firstRowFirstColumn="0" w:firstRowLastColumn="0" w:lastRowFirstColumn="0" w:lastRowLastColumn="0"/>
            <w:tcW w:w="1964" w:type="dxa"/>
            <w:tcBorders>
              <w:top w:val="nil"/>
              <w:bottom w:val="nil"/>
            </w:tcBorders>
            <w:shd w:val="clear" w:color="000000" w:fill="auto"/>
          </w:tcPr>
          <w:p w14:paraId="5C6E3E1B" w14:textId="15FDBB63" w:rsidR="00293803" w:rsidRPr="00482C5B" w:rsidRDefault="00F372C1" w:rsidP="00482C5B">
            <w:pPr>
              <w:pStyle w:val="TableBody"/>
              <w:keepNext/>
              <w:keepLines/>
              <w:spacing w:before="45" w:after="45"/>
              <w:ind w:right="108"/>
              <w:rPr>
                <w:rFonts w:cs="Open Sans"/>
                <w:b w:val="0"/>
                <w:bCs/>
                <w:color w:val="auto"/>
              </w:rPr>
            </w:pPr>
            <w:r w:rsidRPr="00482C5B">
              <w:rPr>
                <w:rFonts w:cs="Open Sans"/>
                <w:b w:val="0"/>
                <w:bCs/>
                <w:color w:val="auto"/>
              </w:rPr>
              <w:t>Resources and Energy Quarterly</w:t>
            </w:r>
          </w:p>
        </w:tc>
        <w:tc>
          <w:tcPr>
            <w:tcW w:w="2832" w:type="dxa"/>
            <w:tcBorders>
              <w:top w:val="nil"/>
              <w:bottom w:val="nil"/>
            </w:tcBorders>
            <w:shd w:val="clear" w:color="000000" w:fill="auto"/>
          </w:tcPr>
          <w:p w14:paraId="62320FA6" w14:textId="2461E1BB" w:rsidR="00293803" w:rsidRPr="00E00A1D" w:rsidRDefault="00933907" w:rsidP="00482C5B">
            <w:pPr>
              <w:pStyle w:val="TableBody"/>
              <w:keepNext/>
              <w:keepLines/>
              <w:cnfStyle w:val="000000000000" w:firstRow="0" w:lastRow="0" w:firstColumn="0" w:lastColumn="0" w:oddVBand="0" w:evenVBand="0" w:oddHBand="0" w:evenHBand="0" w:firstRowFirstColumn="0" w:firstRowLastColumn="0" w:lastRowFirstColumn="0" w:lastRowLastColumn="0"/>
            </w:pPr>
            <w:r w:rsidRPr="00E00A1D">
              <w:t xml:space="preserve">Annual </w:t>
            </w:r>
            <w:r w:rsidR="00D9110B" w:rsidRPr="00E00A1D">
              <w:t xml:space="preserve">iron ore and coal </w:t>
            </w:r>
            <w:r w:rsidRPr="00E00A1D">
              <w:t>production quantities by state</w:t>
            </w:r>
          </w:p>
        </w:tc>
        <w:tc>
          <w:tcPr>
            <w:tcW w:w="664" w:type="dxa"/>
            <w:tcBorders>
              <w:top w:val="nil"/>
              <w:bottom w:val="nil"/>
            </w:tcBorders>
            <w:shd w:val="clear" w:color="000000" w:fill="auto"/>
          </w:tcPr>
          <w:p w14:paraId="358F3589" w14:textId="235EA1DC" w:rsidR="00293803" w:rsidRPr="00E00A1D" w:rsidRDefault="00256558" w:rsidP="00482C5B">
            <w:pPr>
              <w:pStyle w:val="TableBody"/>
              <w:keepNext/>
              <w:keepLines/>
              <w:cnfStyle w:val="000000000000" w:firstRow="0" w:lastRow="0" w:firstColumn="0" w:lastColumn="0" w:oddVBand="0" w:evenVBand="0" w:oddHBand="0" w:evenHBand="0" w:firstRowFirstColumn="0" w:firstRowLastColumn="0" w:lastRowFirstColumn="0" w:lastRowLastColumn="0"/>
            </w:pPr>
            <w:r w:rsidRPr="00E00A1D">
              <w:t>202</w:t>
            </w:r>
            <w:r w:rsidR="00F51B0F" w:rsidRPr="00E00A1D">
              <w:t>5</w:t>
            </w:r>
          </w:p>
        </w:tc>
        <w:tc>
          <w:tcPr>
            <w:tcW w:w="1972" w:type="dxa"/>
            <w:tcBorders>
              <w:top w:val="nil"/>
              <w:bottom w:val="nil"/>
            </w:tcBorders>
            <w:shd w:val="clear" w:color="000000" w:fill="auto"/>
          </w:tcPr>
          <w:p w14:paraId="5205A7A1" w14:textId="2E25D554" w:rsidR="00293803" w:rsidRPr="00E00A1D" w:rsidRDefault="00256558" w:rsidP="00482C5B">
            <w:pPr>
              <w:pStyle w:val="TableBody"/>
              <w:keepNext/>
              <w:keepLines/>
              <w:cnfStyle w:val="000000000000" w:firstRow="0" w:lastRow="0" w:firstColumn="0" w:lastColumn="0" w:oddVBand="0" w:evenVBand="0" w:oddHBand="0" w:evenHBand="0" w:firstRowFirstColumn="0" w:firstRowLastColumn="0" w:lastRowFirstColumn="0" w:lastRowLastColumn="0"/>
            </w:pPr>
            <w:r w:rsidRPr="00E00A1D">
              <w:t>DISR </w:t>
            </w:r>
            <w:r w:rsidR="00E756C3" w:rsidRPr="00E00A1D">
              <w:t>(</w:t>
            </w:r>
            <w:r w:rsidRPr="00E00A1D">
              <w:t>2025)</w:t>
            </w:r>
          </w:p>
        </w:tc>
        <w:tc>
          <w:tcPr>
            <w:tcW w:w="2206" w:type="dxa"/>
            <w:tcBorders>
              <w:top w:val="nil"/>
              <w:bottom w:val="nil"/>
            </w:tcBorders>
            <w:shd w:val="clear" w:color="000000" w:fill="auto"/>
          </w:tcPr>
          <w:p w14:paraId="3DFCA3AE" w14:textId="4450B623" w:rsidR="00293803" w:rsidRPr="00E00A1D" w:rsidRDefault="00093FD6" w:rsidP="00482C5B">
            <w:pPr>
              <w:pStyle w:val="TableBody"/>
              <w:keepNext/>
              <w:keepLines/>
              <w:cnfStyle w:val="000000000000" w:firstRow="0" w:lastRow="0" w:firstColumn="0" w:lastColumn="0" w:oddVBand="0" w:evenVBand="0" w:oddHBand="0" w:evenHBand="0" w:firstRowFirstColumn="0" w:firstRowLastColumn="0" w:lastRowFirstColumn="0" w:lastRowLastColumn="0"/>
            </w:pPr>
            <w:r>
              <w:t>–</w:t>
            </w:r>
          </w:p>
        </w:tc>
      </w:tr>
      <w:tr w:rsidR="0073096E" w:rsidRPr="00E00A1D" w14:paraId="72FA736E" w14:textId="77777777" w:rsidTr="00E00A1D">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964" w:type="dxa"/>
            <w:tcBorders>
              <w:bottom w:val="single" w:sz="4" w:space="0" w:color="B3B3B3"/>
            </w:tcBorders>
            <w:shd w:val="clear" w:color="000000" w:fill="E6E6E6"/>
          </w:tcPr>
          <w:p w14:paraId="0AE0463C" w14:textId="0BAFAAE6" w:rsidR="0073096E" w:rsidRPr="00482C5B" w:rsidRDefault="00F9048C" w:rsidP="00482C5B">
            <w:pPr>
              <w:pStyle w:val="TableBody"/>
              <w:keepNext/>
              <w:keepLines/>
              <w:spacing w:before="45" w:after="45"/>
              <w:ind w:right="108"/>
              <w:rPr>
                <w:rFonts w:cs="Open Sans"/>
                <w:b w:val="0"/>
                <w:bCs/>
                <w:color w:val="auto"/>
              </w:rPr>
            </w:pPr>
            <w:r w:rsidRPr="00482C5B">
              <w:rPr>
                <w:rFonts w:cs="Open Sans"/>
                <w:b w:val="0"/>
                <w:bCs/>
                <w:color w:val="auto"/>
              </w:rPr>
              <w:t>Coal m</w:t>
            </w:r>
            <w:r w:rsidR="0073096E" w:rsidRPr="00482C5B">
              <w:rPr>
                <w:rFonts w:cs="Open Sans"/>
                <w:b w:val="0"/>
                <w:bCs/>
                <w:color w:val="auto"/>
              </w:rPr>
              <w:t>ine-level</w:t>
            </w:r>
            <w:r w:rsidRPr="00482C5B">
              <w:rPr>
                <w:rFonts w:cs="Open Sans"/>
                <w:b w:val="0"/>
                <w:bCs/>
                <w:color w:val="auto"/>
              </w:rPr>
              <w:t xml:space="preserve"> </w:t>
            </w:r>
            <w:r w:rsidR="0073096E" w:rsidRPr="00482C5B">
              <w:rPr>
                <w:rFonts w:cs="Open Sans"/>
                <w:b w:val="0"/>
                <w:bCs/>
                <w:color w:val="auto"/>
              </w:rPr>
              <w:t>cost curves</w:t>
            </w:r>
          </w:p>
        </w:tc>
        <w:tc>
          <w:tcPr>
            <w:tcW w:w="2832" w:type="dxa"/>
            <w:tcBorders>
              <w:bottom w:val="single" w:sz="4" w:space="0" w:color="B3B3B3"/>
            </w:tcBorders>
            <w:shd w:val="clear" w:color="000000" w:fill="E6E6E6"/>
          </w:tcPr>
          <w:p w14:paraId="23A5DEB4" w14:textId="73974C9F" w:rsidR="0073096E" w:rsidRPr="00E00A1D" w:rsidRDefault="00F51B0F" w:rsidP="00482C5B">
            <w:pPr>
              <w:pStyle w:val="TableBody"/>
              <w:keepNext/>
              <w:keepLines/>
              <w:cnfStyle w:val="000000100000" w:firstRow="0" w:lastRow="0" w:firstColumn="0" w:lastColumn="0" w:oddVBand="0" w:evenVBand="0" w:oddHBand="1" w:evenHBand="0" w:firstRowFirstColumn="0" w:firstRowLastColumn="0" w:lastRowFirstColumn="0" w:lastRowLastColumn="0"/>
            </w:pPr>
            <w:r w:rsidRPr="00E00A1D">
              <w:t xml:space="preserve">Production </w:t>
            </w:r>
            <w:r w:rsidR="0073096E" w:rsidRPr="00E00A1D">
              <w:t>by mine</w:t>
            </w:r>
          </w:p>
        </w:tc>
        <w:tc>
          <w:tcPr>
            <w:tcW w:w="664" w:type="dxa"/>
            <w:tcBorders>
              <w:bottom w:val="single" w:sz="4" w:space="0" w:color="B3B3B3"/>
            </w:tcBorders>
            <w:shd w:val="clear" w:color="000000" w:fill="E6E6E6"/>
          </w:tcPr>
          <w:p w14:paraId="2D5D5C3C" w14:textId="4855FCAF" w:rsidR="0073096E" w:rsidRPr="00E00A1D" w:rsidRDefault="0073096E" w:rsidP="00482C5B">
            <w:pPr>
              <w:pStyle w:val="TableBody"/>
              <w:keepNext/>
              <w:keepLines/>
              <w:cnfStyle w:val="000000100000" w:firstRow="0" w:lastRow="0" w:firstColumn="0" w:lastColumn="0" w:oddVBand="0" w:evenVBand="0" w:oddHBand="1" w:evenHBand="0" w:firstRowFirstColumn="0" w:firstRowLastColumn="0" w:lastRowFirstColumn="0" w:lastRowLastColumn="0"/>
            </w:pPr>
            <w:r w:rsidRPr="00E00A1D">
              <w:t>202</w:t>
            </w:r>
            <w:r w:rsidR="00F51B0F" w:rsidRPr="00E00A1D">
              <w:t>5</w:t>
            </w:r>
            <w:r w:rsidRPr="00E00A1D">
              <w:t xml:space="preserve"> </w:t>
            </w:r>
          </w:p>
        </w:tc>
        <w:tc>
          <w:tcPr>
            <w:tcW w:w="1972" w:type="dxa"/>
            <w:tcBorders>
              <w:bottom w:val="single" w:sz="4" w:space="0" w:color="B3B3B3"/>
            </w:tcBorders>
            <w:shd w:val="clear" w:color="000000" w:fill="E6E6E6"/>
          </w:tcPr>
          <w:p w14:paraId="71A83027" w14:textId="1C7006AB" w:rsidR="0073096E" w:rsidRPr="00E00A1D" w:rsidRDefault="0073096E" w:rsidP="00482C5B">
            <w:pPr>
              <w:pStyle w:val="TableBody"/>
              <w:keepNext/>
              <w:keepLines/>
              <w:cnfStyle w:val="000000100000" w:firstRow="0" w:lastRow="0" w:firstColumn="0" w:lastColumn="0" w:oddVBand="0" w:evenVBand="0" w:oddHBand="1" w:evenHBand="0" w:firstRowFirstColumn="0" w:firstRowLastColumn="0" w:lastRowFirstColumn="0" w:lastRowLastColumn="0"/>
            </w:pPr>
            <w:r w:rsidRPr="00E00A1D">
              <w:t>Wood Mackenzie (2026a)</w:t>
            </w:r>
          </w:p>
        </w:tc>
        <w:tc>
          <w:tcPr>
            <w:tcW w:w="2206" w:type="dxa"/>
            <w:tcBorders>
              <w:bottom w:val="single" w:sz="4" w:space="0" w:color="B3B3B3"/>
            </w:tcBorders>
            <w:shd w:val="clear" w:color="000000" w:fill="E6E6E6"/>
          </w:tcPr>
          <w:p w14:paraId="5C4C3783" w14:textId="5A912BD8" w:rsidR="0073096E" w:rsidRPr="00E00A1D" w:rsidRDefault="0073096E" w:rsidP="00482C5B">
            <w:pPr>
              <w:pStyle w:val="TableBody"/>
              <w:keepNext/>
              <w:keepLines/>
              <w:cnfStyle w:val="000000100000" w:firstRow="0" w:lastRow="0" w:firstColumn="0" w:lastColumn="0" w:oddVBand="0" w:evenVBand="0" w:oddHBand="1" w:evenHBand="0" w:firstRowFirstColumn="0" w:firstRowLastColumn="0" w:lastRowFirstColumn="0" w:lastRowLastColumn="0"/>
            </w:pPr>
            <w:r w:rsidRPr="00E00A1D">
              <w:t xml:space="preserve">Wood Mackenzie proprietary </w:t>
            </w:r>
            <w:r w:rsidR="00443130" w:rsidRPr="00E00A1D">
              <w:t>property.</w:t>
            </w:r>
          </w:p>
        </w:tc>
      </w:tr>
    </w:tbl>
    <w:p w14:paraId="28770912" w14:textId="77777777" w:rsidR="00807DF8" w:rsidRDefault="00807DF8" w:rsidP="00807DF8">
      <w:pPr>
        <w:pStyle w:val="Heading3-noTOC"/>
      </w:pPr>
      <w:r>
        <w:t>Assumptions</w:t>
      </w:r>
    </w:p>
    <w:p w14:paraId="52CA856A" w14:textId="1BDFAF5C" w:rsidR="00C3552A" w:rsidRDefault="00C3552A" w:rsidP="00C3552A">
      <w:r w:rsidRPr="00C3552A">
        <w:t xml:space="preserve">The </w:t>
      </w:r>
      <w:proofErr w:type="spellStart"/>
      <w:r w:rsidRPr="00C3552A">
        <w:t>NoWO</w:t>
      </w:r>
      <w:proofErr w:type="spellEnd"/>
      <w:r w:rsidRPr="00C3552A">
        <w:t xml:space="preserve"> commodity price estimates presented in this report rely on a range of key assumptions. </w:t>
      </w:r>
      <w:r w:rsidR="003E5EC8" w:rsidRPr="003E5EC8">
        <w:t>Variations in these assumptions or unforeseen developments may result in outcomes that differ from those estimated.</w:t>
      </w:r>
    </w:p>
    <w:p w14:paraId="4A8DAD29" w14:textId="14A7C5F2" w:rsidR="00E761B8" w:rsidRPr="00C3552A" w:rsidRDefault="00E761B8" w:rsidP="00E761B8">
      <w:pPr>
        <w:pStyle w:val="FigureTableHeading"/>
      </w:pPr>
      <w:r>
        <w:t>Table C.</w:t>
      </w:r>
      <w:fldSimple w:instr=" SEQ Table \* ARABIC \s 1 ">
        <w:r w:rsidR="002D76C4">
          <w:rPr>
            <w:noProof/>
          </w:rPr>
          <w:t>33</w:t>
        </w:r>
      </w:fldSimple>
      <w:r w:rsidR="001715F7">
        <w:rPr>
          <w:noProof/>
        </w:rPr>
        <w:t xml:space="preserve"> </w:t>
      </w:r>
      <w:r>
        <w:rPr>
          <w:noProof/>
        </w:rPr>
        <w:t xml:space="preserve">– </w:t>
      </w:r>
      <w:proofErr w:type="spellStart"/>
      <w:r>
        <w:t>NoWO</w:t>
      </w:r>
      <w:proofErr w:type="spellEnd"/>
      <w:r>
        <w:t xml:space="preserve"> commodity price estimates </w:t>
      </w:r>
      <w:r w:rsidR="00C875A9">
        <w:t xml:space="preserve">specific </w:t>
      </w:r>
      <w:r>
        <w:t>assumptions</w:t>
      </w:r>
    </w:p>
    <w:tbl>
      <w:tblPr>
        <w:tblW w:w="0" w:type="auto"/>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2728"/>
        <w:gridCol w:w="6910"/>
      </w:tblGrid>
      <w:tr w:rsidR="003D3365" w:rsidRPr="00053653" w14:paraId="1E8748D6" w14:textId="77777777" w:rsidTr="00053653">
        <w:trPr>
          <w:tblHeader/>
        </w:trPr>
        <w:tc>
          <w:tcPr>
            <w:tcW w:w="2728" w:type="dxa"/>
            <w:tcBorders>
              <w:bottom w:val="single" w:sz="4" w:space="0" w:color="B3B3B3"/>
            </w:tcBorders>
            <w:shd w:val="clear" w:color="000000" w:fill="auto"/>
            <w:tcMar>
              <w:top w:w="57" w:type="dxa"/>
              <w:left w:w="57" w:type="dxa"/>
              <w:bottom w:w="57" w:type="dxa"/>
              <w:right w:w="85" w:type="dxa"/>
            </w:tcMar>
            <w:vAlign w:val="bottom"/>
            <w:hideMark/>
          </w:tcPr>
          <w:p w14:paraId="79A3AD56" w14:textId="77777777" w:rsidR="003D3365" w:rsidRPr="00053653" w:rsidRDefault="003D3365" w:rsidP="00053653">
            <w:pPr>
              <w:pStyle w:val="TableHeading"/>
              <w:spacing w:before="45" w:after="45"/>
              <w:rPr>
                <w:rFonts w:cs="Open Sans"/>
                <w:color w:val="1D4374"/>
              </w:rPr>
            </w:pPr>
            <w:r w:rsidRPr="00053653">
              <w:rPr>
                <w:rFonts w:cs="Open Sans"/>
                <w:color w:val="1D4374"/>
              </w:rPr>
              <w:t>Assumption</w:t>
            </w:r>
          </w:p>
        </w:tc>
        <w:tc>
          <w:tcPr>
            <w:tcW w:w="6910" w:type="dxa"/>
            <w:tcBorders>
              <w:bottom w:val="single" w:sz="4" w:space="0" w:color="B3B3B3"/>
            </w:tcBorders>
            <w:shd w:val="clear" w:color="000000" w:fill="auto"/>
            <w:tcMar>
              <w:top w:w="57" w:type="dxa"/>
              <w:left w:w="57" w:type="dxa"/>
              <w:bottom w:w="57" w:type="dxa"/>
              <w:right w:w="85" w:type="dxa"/>
            </w:tcMar>
            <w:vAlign w:val="bottom"/>
            <w:hideMark/>
          </w:tcPr>
          <w:p w14:paraId="331A99B3" w14:textId="77777777" w:rsidR="003D3365" w:rsidRPr="00053653" w:rsidRDefault="003D3365" w:rsidP="00053653">
            <w:pPr>
              <w:pStyle w:val="TableHeading"/>
              <w:spacing w:before="45" w:after="45"/>
              <w:rPr>
                <w:rFonts w:cs="Open Sans"/>
                <w:color w:val="1D4374"/>
              </w:rPr>
            </w:pPr>
            <w:r w:rsidRPr="00053653">
              <w:rPr>
                <w:rFonts w:cs="Open Sans"/>
                <w:color w:val="1D4374"/>
              </w:rPr>
              <w:t>Implication</w:t>
            </w:r>
          </w:p>
        </w:tc>
      </w:tr>
      <w:tr w:rsidR="005350CB" w:rsidRPr="00053653" w14:paraId="5B6FA441" w14:textId="77777777" w:rsidTr="00053653">
        <w:tc>
          <w:tcPr>
            <w:tcW w:w="2728" w:type="dxa"/>
            <w:tcBorders>
              <w:top w:val="single" w:sz="4" w:space="0" w:color="B3B3B3"/>
              <w:bottom w:val="nil"/>
            </w:tcBorders>
            <w:shd w:val="clear" w:color="000000" w:fill="E6E6E6"/>
            <w:tcMar>
              <w:top w:w="57" w:type="dxa"/>
              <w:left w:w="57" w:type="dxa"/>
              <w:bottom w:w="57" w:type="dxa"/>
              <w:right w:w="85" w:type="dxa"/>
            </w:tcMar>
          </w:tcPr>
          <w:p w14:paraId="4702074B" w14:textId="1B3533FA" w:rsidR="005350CB" w:rsidRPr="00053653" w:rsidRDefault="00AF34AC" w:rsidP="00053653">
            <w:pPr>
              <w:pStyle w:val="TableBody"/>
            </w:pPr>
            <w:r w:rsidRPr="00053653">
              <w:t>The pre-2018 system</w:t>
            </w:r>
            <w:r w:rsidR="005350CB" w:rsidRPr="00053653">
              <w:t xml:space="preserve"> is the </w:t>
            </w:r>
            <w:proofErr w:type="spellStart"/>
            <w:r w:rsidR="005350CB" w:rsidRPr="00053653">
              <w:t>NoWO</w:t>
            </w:r>
            <w:proofErr w:type="spellEnd"/>
            <w:r w:rsidR="005350CB" w:rsidRPr="00053653">
              <w:t xml:space="preserve"> benchmark</w:t>
            </w:r>
            <w:r w:rsidR="001715F7">
              <w:t>.</w:t>
            </w:r>
          </w:p>
        </w:tc>
        <w:tc>
          <w:tcPr>
            <w:tcW w:w="6910" w:type="dxa"/>
            <w:tcBorders>
              <w:top w:val="single" w:sz="4" w:space="0" w:color="B3B3B3"/>
              <w:bottom w:val="nil"/>
            </w:tcBorders>
            <w:shd w:val="clear" w:color="000000" w:fill="E6E6E6"/>
            <w:tcMar>
              <w:top w:w="57" w:type="dxa"/>
              <w:left w:w="57" w:type="dxa"/>
              <w:bottom w:w="57" w:type="dxa"/>
              <w:right w:w="85" w:type="dxa"/>
            </w:tcMar>
          </w:tcPr>
          <w:p w14:paraId="7EFA17CA" w14:textId="472BD26F" w:rsidR="005350CB" w:rsidRPr="00053653" w:rsidRDefault="005350CB" w:rsidP="00053653">
            <w:pPr>
              <w:pStyle w:val="TableBody"/>
              <w:rPr>
                <w:color w:val="000000"/>
              </w:rPr>
            </w:pPr>
            <w:r w:rsidRPr="00053653">
              <w:rPr>
                <w:color w:val="000000"/>
              </w:rPr>
              <w:t xml:space="preserve">Each scenario is first evaluated under </w:t>
            </w:r>
            <w:r w:rsidR="008B2549" w:rsidRPr="00053653">
              <w:rPr>
                <w:color w:val="000000"/>
              </w:rPr>
              <w:t>the pre-2018 system</w:t>
            </w:r>
            <w:r w:rsidRPr="00053653">
              <w:rPr>
                <w:color w:val="000000"/>
              </w:rPr>
              <w:t>; states are protected against receiving less than this benchmark under the alternative system.</w:t>
            </w:r>
          </w:p>
        </w:tc>
      </w:tr>
      <w:tr w:rsidR="005350CB" w:rsidRPr="00053653" w14:paraId="629BFC3D" w14:textId="77777777" w:rsidTr="00053653">
        <w:tc>
          <w:tcPr>
            <w:tcW w:w="2728" w:type="dxa"/>
            <w:tcBorders>
              <w:top w:val="nil"/>
              <w:bottom w:val="nil"/>
            </w:tcBorders>
            <w:shd w:val="clear" w:color="000000" w:fill="auto"/>
            <w:tcMar>
              <w:top w:w="57" w:type="dxa"/>
              <w:left w:w="57" w:type="dxa"/>
              <w:bottom w:w="57" w:type="dxa"/>
              <w:right w:w="85" w:type="dxa"/>
            </w:tcMar>
          </w:tcPr>
          <w:p w14:paraId="64FD45D3" w14:textId="77A0BCA9" w:rsidR="005350CB" w:rsidRPr="00053653" w:rsidRDefault="005350CB" w:rsidP="00053653">
            <w:pPr>
              <w:pStyle w:val="TableBody"/>
            </w:pPr>
            <w:r w:rsidRPr="00053653">
              <w:t>The alternative system applies a “standard state” relativity floor</w:t>
            </w:r>
            <w:r w:rsidR="001715F7">
              <w:t>.</w:t>
            </w:r>
          </w:p>
        </w:tc>
        <w:tc>
          <w:tcPr>
            <w:tcW w:w="6910" w:type="dxa"/>
            <w:tcBorders>
              <w:top w:val="nil"/>
              <w:bottom w:val="nil"/>
            </w:tcBorders>
            <w:shd w:val="clear" w:color="000000" w:fill="auto"/>
            <w:tcMar>
              <w:top w:w="57" w:type="dxa"/>
              <w:left w:w="57" w:type="dxa"/>
              <w:bottom w:w="57" w:type="dxa"/>
              <w:right w:w="85" w:type="dxa"/>
            </w:tcMar>
          </w:tcPr>
          <w:p w14:paraId="5A0DE877" w14:textId="78870F39" w:rsidR="005350CB" w:rsidRPr="00053653" w:rsidRDefault="007F7BC3" w:rsidP="00053653">
            <w:pPr>
              <w:pStyle w:val="TableBody"/>
              <w:rPr>
                <w:color w:val="000000"/>
              </w:rPr>
            </w:pPr>
            <w:r w:rsidRPr="00053653">
              <w:rPr>
                <w:color w:val="000000"/>
              </w:rPr>
              <w:t>T</w:t>
            </w:r>
            <w:r w:rsidR="0053510B" w:rsidRPr="00053653">
              <w:rPr>
                <w:color w:val="000000"/>
              </w:rPr>
              <w:t xml:space="preserve">he equalisation benchmark </w:t>
            </w:r>
            <w:r w:rsidRPr="00053653">
              <w:rPr>
                <w:color w:val="000000"/>
              </w:rPr>
              <w:t xml:space="preserve">is set to </w:t>
            </w:r>
            <w:r w:rsidR="005350CB" w:rsidRPr="00053653">
              <w:rPr>
                <w:color w:val="000000"/>
              </w:rPr>
              <w:t xml:space="preserve">the </w:t>
            </w:r>
            <w:r w:rsidR="005350CB" w:rsidRPr="00053653">
              <w:rPr>
                <w:bCs/>
                <w:color w:val="000000"/>
              </w:rPr>
              <w:t xml:space="preserve">lower </w:t>
            </w:r>
            <w:r w:rsidRPr="00053653">
              <w:rPr>
                <w:bCs/>
                <w:color w:val="000000"/>
              </w:rPr>
              <w:t xml:space="preserve">pre-2018 relativities </w:t>
            </w:r>
            <w:r w:rsidR="005350CB" w:rsidRPr="00053653">
              <w:rPr>
                <w:bCs/>
                <w:color w:val="000000"/>
              </w:rPr>
              <w:t xml:space="preserve">of the </w:t>
            </w:r>
            <w:r w:rsidR="00466B7D" w:rsidRPr="00053653">
              <w:rPr>
                <w:bCs/>
                <w:color w:val="000000"/>
              </w:rPr>
              <w:t>New South Wales</w:t>
            </w:r>
            <w:r w:rsidR="005350CB" w:rsidRPr="00053653">
              <w:rPr>
                <w:bCs/>
                <w:color w:val="000000"/>
              </w:rPr>
              <w:t xml:space="preserve"> </w:t>
            </w:r>
            <w:r w:rsidRPr="00053653">
              <w:rPr>
                <w:bCs/>
                <w:color w:val="000000"/>
              </w:rPr>
              <w:t xml:space="preserve">or </w:t>
            </w:r>
            <w:r w:rsidR="005350CB" w:rsidRPr="00053653">
              <w:rPr>
                <w:bCs/>
                <w:color w:val="000000"/>
              </w:rPr>
              <w:t>Victoria</w:t>
            </w:r>
            <w:r w:rsidRPr="00053653">
              <w:rPr>
                <w:color w:val="000000"/>
              </w:rPr>
              <w:t>.</w:t>
            </w:r>
            <w:r w:rsidR="009A056B" w:rsidRPr="00053653">
              <w:rPr>
                <w:color w:val="000000"/>
              </w:rPr>
              <w:t xml:space="preserve"> After applying the standard state floor, relativities are uniformly adjusted so that the population-weighted average relativity returns to 1 and the GST pool remains fully distributed.</w:t>
            </w:r>
          </w:p>
        </w:tc>
      </w:tr>
      <w:tr w:rsidR="00BF7F5A" w:rsidRPr="00053653" w14:paraId="04B09901" w14:textId="77777777" w:rsidTr="00053653">
        <w:tc>
          <w:tcPr>
            <w:tcW w:w="2728" w:type="dxa"/>
            <w:tcBorders>
              <w:bottom w:val="nil"/>
            </w:tcBorders>
            <w:shd w:val="clear" w:color="000000" w:fill="E6E6E6"/>
            <w:tcMar>
              <w:top w:w="57" w:type="dxa"/>
              <w:left w:w="57" w:type="dxa"/>
              <w:bottom w:w="57" w:type="dxa"/>
              <w:right w:w="85" w:type="dxa"/>
            </w:tcMar>
          </w:tcPr>
          <w:p w14:paraId="6DA76096" w14:textId="55E2B715" w:rsidR="00BF7F5A" w:rsidRPr="00053653" w:rsidRDefault="00BF7F5A" w:rsidP="00053653">
            <w:pPr>
              <w:pStyle w:val="TableBody"/>
              <w:rPr>
                <w:bCs/>
              </w:rPr>
            </w:pPr>
            <w:proofErr w:type="spellStart"/>
            <w:r w:rsidRPr="00053653">
              <w:rPr>
                <w:bCs/>
              </w:rPr>
              <w:t>NoWO</w:t>
            </w:r>
            <w:proofErr w:type="spellEnd"/>
            <w:r w:rsidRPr="00053653">
              <w:rPr>
                <w:bCs/>
              </w:rPr>
              <w:t xml:space="preserve"> compensates losses only</w:t>
            </w:r>
            <w:r w:rsidR="001715F7">
              <w:rPr>
                <w:bCs/>
              </w:rPr>
              <w:t>.</w:t>
            </w:r>
          </w:p>
        </w:tc>
        <w:tc>
          <w:tcPr>
            <w:tcW w:w="6910" w:type="dxa"/>
            <w:tcBorders>
              <w:bottom w:val="nil"/>
            </w:tcBorders>
            <w:shd w:val="clear" w:color="000000" w:fill="E6E6E6"/>
            <w:tcMar>
              <w:top w:w="57" w:type="dxa"/>
              <w:left w:w="57" w:type="dxa"/>
              <w:bottom w:w="57" w:type="dxa"/>
              <w:right w:w="85" w:type="dxa"/>
            </w:tcMar>
          </w:tcPr>
          <w:p w14:paraId="493155AD" w14:textId="42D5D0EF" w:rsidR="00BF7F5A" w:rsidRPr="00053653" w:rsidRDefault="00BF7F5A" w:rsidP="00053653">
            <w:pPr>
              <w:pStyle w:val="TableBody"/>
              <w:rPr>
                <w:color w:val="000000"/>
              </w:rPr>
            </w:pPr>
            <w:r w:rsidRPr="00053653">
              <w:rPr>
                <w:color w:val="000000"/>
              </w:rPr>
              <w:t xml:space="preserve">For each state, </w:t>
            </w:r>
            <w:proofErr w:type="spellStart"/>
            <w:r w:rsidRPr="00053653">
              <w:rPr>
                <w:color w:val="000000"/>
              </w:rPr>
              <w:t>NoWO</w:t>
            </w:r>
            <w:proofErr w:type="spellEnd"/>
            <w:r w:rsidRPr="00053653">
              <w:rPr>
                <w:color w:val="000000"/>
              </w:rPr>
              <w:t xml:space="preserve"> is the amount by which its GST allocation under the standard-state-floor system is below its full-HFE allocation. States that gain under the floor do not make offsetting payments.</w:t>
            </w:r>
          </w:p>
        </w:tc>
      </w:tr>
      <w:tr w:rsidR="00BF7F5A" w:rsidRPr="00053653" w14:paraId="60F8DE6D" w14:textId="77777777" w:rsidTr="00053653">
        <w:tc>
          <w:tcPr>
            <w:tcW w:w="2728" w:type="dxa"/>
            <w:tcBorders>
              <w:top w:val="nil"/>
              <w:bottom w:val="nil"/>
            </w:tcBorders>
            <w:shd w:val="clear" w:color="000000" w:fill="auto"/>
            <w:tcMar>
              <w:top w:w="57" w:type="dxa"/>
              <w:left w:w="57" w:type="dxa"/>
              <w:bottom w:w="57" w:type="dxa"/>
              <w:right w:w="85" w:type="dxa"/>
            </w:tcMar>
          </w:tcPr>
          <w:p w14:paraId="5DFE3022" w14:textId="1F61FE12" w:rsidR="00BF7F5A" w:rsidRPr="00053653" w:rsidRDefault="00BF7F5A" w:rsidP="00053653">
            <w:pPr>
              <w:pStyle w:val="TableBody"/>
            </w:pPr>
            <w:r w:rsidRPr="00053653">
              <w:rPr>
                <w:bCs/>
              </w:rPr>
              <w:t>Commodity revenue shocks are applied through mining revenue assessments</w:t>
            </w:r>
            <w:r w:rsidR="001715F7">
              <w:rPr>
                <w:bCs/>
              </w:rPr>
              <w:t>.</w:t>
            </w:r>
          </w:p>
        </w:tc>
        <w:tc>
          <w:tcPr>
            <w:tcW w:w="6910" w:type="dxa"/>
            <w:tcBorders>
              <w:top w:val="nil"/>
              <w:bottom w:val="nil"/>
            </w:tcBorders>
            <w:shd w:val="clear" w:color="000000" w:fill="auto"/>
            <w:tcMar>
              <w:top w:w="57" w:type="dxa"/>
              <w:left w:w="57" w:type="dxa"/>
              <w:bottom w:w="57" w:type="dxa"/>
              <w:right w:w="85" w:type="dxa"/>
            </w:tcMar>
          </w:tcPr>
          <w:p w14:paraId="7B89651C" w14:textId="5D2F0DEB" w:rsidR="00BF7F5A" w:rsidRPr="00053653" w:rsidRDefault="00BF7F5A" w:rsidP="00053653">
            <w:pPr>
              <w:pStyle w:val="TableBody"/>
              <w:rPr>
                <w:color w:val="000000"/>
              </w:rPr>
            </w:pPr>
            <w:r w:rsidRPr="00053653">
              <w:rPr>
                <w:color w:val="000000"/>
              </w:rPr>
              <w:t>Changes in iron ore, metallurgical coal and thermal coal revenues are added to the relevant states’ assessed mining revenue.</w:t>
            </w:r>
          </w:p>
        </w:tc>
      </w:tr>
      <w:tr w:rsidR="00BF7F5A" w:rsidRPr="00053653" w14:paraId="328EDFA6" w14:textId="77777777" w:rsidTr="00053653">
        <w:tc>
          <w:tcPr>
            <w:tcW w:w="2728" w:type="dxa"/>
            <w:tcBorders>
              <w:bottom w:val="nil"/>
            </w:tcBorders>
            <w:shd w:val="clear" w:color="000000" w:fill="E6E6E6"/>
            <w:tcMar>
              <w:top w:w="57" w:type="dxa"/>
              <w:left w:w="57" w:type="dxa"/>
              <w:bottom w:w="57" w:type="dxa"/>
              <w:right w:w="85" w:type="dxa"/>
            </w:tcMar>
          </w:tcPr>
          <w:p w14:paraId="5D5F8E02" w14:textId="41A73252" w:rsidR="00BF7F5A" w:rsidRPr="00053653" w:rsidRDefault="00BF7F5A" w:rsidP="00053653">
            <w:pPr>
              <w:pStyle w:val="TableBody"/>
              <w:rPr>
                <w:bCs/>
              </w:rPr>
            </w:pPr>
            <w:r w:rsidRPr="00053653">
              <w:rPr>
                <w:bCs/>
              </w:rPr>
              <w:t>Commodity revenue shocks are balanced on an equal per-capita basis</w:t>
            </w:r>
            <w:r w:rsidR="001715F7">
              <w:rPr>
                <w:bCs/>
              </w:rPr>
              <w:t>.</w:t>
            </w:r>
          </w:p>
        </w:tc>
        <w:tc>
          <w:tcPr>
            <w:tcW w:w="6910" w:type="dxa"/>
            <w:tcBorders>
              <w:bottom w:val="nil"/>
            </w:tcBorders>
            <w:shd w:val="clear" w:color="000000" w:fill="E6E6E6"/>
            <w:tcMar>
              <w:top w:w="57" w:type="dxa"/>
              <w:left w:w="57" w:type="dxa"/>
              <w:bottom w:w="57" w:type="dxa"/>
              <w:right w:w="85" w:type="dxa"/>
            </w:tcMar>
          </w:tcPr>
          <w:p w14:paraId="35D7CAE1" w14:textId="752A61FA" w:rsidR="00BF7F5A" w:rsidRPr="00053653" w:rsidRDefault="00BF7F5A" w:rsidP="00053653">
            <w:pPr>
              <w:pStyle w:val="TableBody"/>
              <w:rPr>
                <w:color w:val="000000"/>
              </w:rPr>
            </w:pPr>
            <w:r w:rsidRPr="00053653">
              <w:rPr>
                <w:color w:val="000000"/>
              </w:rPr>
              <w:t xml:space="preserve">As per CGC methodological advice, the aggregate change in commodity revenue is offset by a balancing expenditure item distributed across states according to population share. </w:t>
            </w:r>
          </w:p>
        </w:tc>
      </w:tr>
      <w:tr w:rsidR="00BF7F5A" w:rsidRPr="00053653" w14:paraId="58DCD85E" w14:textId="77777777" w:rsidTr="00053653">
        <w:tc>
          <w:tcPr>
            <w:tcW w:w="2728" w:type="dxa"/>
            <w:tcBorders>
              <w:top w:val="nil"/>
            </w:tcBorders>
            <w:shd w:val="clear" w:color="000000" w:fill="auto"/>
            <w:tcMar>
              <w:top w:w="57" w:type="dxa"/>
              <w:left w:w="57" w:type="dxa"/>
              <w:bottom w:w="57" w:type="dxa"/>
              <w:right w:w="85" w:type="dxa"/>
            </w:tcMar>
          </w:tcPr>
          <w:p w14:paraId="5E5D2A93" w14:textId="0B0D7ADD" w:rsidR="00BF7F5A" w:rsidRPr="00053653" w:rsidRDefault="00BF7F5A" w:rsidP="00053653">
            <w:pPr>
              <w:pStyle w:val="TableBody"/>
              <w:rPr>
                <w:bCs/>
              </w:rPr>
            </w:pPr>
            <w:r w:rsidRPr="00053653">
              <w:rPr>
                <w:bCs/>
              </w:rPr>
              <w:t>Other underlying CGC revenue and expenditure assessments are held fixed</w:t>
            </w:r>
            <w:r w:rsidR="001715F7">
              <w:rPr>
                <w:bCs/>
              </w:rPr>
              <w:t>.</w:t>
            </w:r>
          </w:p>
        </w:tc>
        <w:tc>
          <w:tcPr>
            <w:tcW w:w="6910" w:type="dxa"/>
            <w:tcBorders>
              <w:top w:val="nil"/>
            </w:tcBorders>
            <w:shd w:val="clear" w:color="000000" w:fill="auto"/>
            <w:tcMar>
              <w:top w:w="57" w:type="dxa"/>
              <w:left w:w="57" w:type="dxa"/>
              <w:bottom w:w="57" w:type="dxa"/>
              <w:right w:w="85" w:type="dxa"/>
            </w:tcMar>
          </w:tcPr>
          <w:p w14:paraId="3737203F" w14:textId="2940EE43" w:rsidR="00BF7F5A" w:rsidRPr="00053653" w:rsidRDefault="00BF7F5A" w:rsidP="00053653">
            <w:pPr>
              <w:pStyle w:val="TableBody"/>
              <w:rPr>
                <w:color w:val="000000"/>
              </w:rPr>
            </w:pPr>
            <w:r w:rsidRPr="00053653">
              <w:rPr>
                <w:color w:val="000000"/>
              </w:rPr>
              <w:t>Aside from the commodity revenue shock and the associated equal per-capita balancing expenditure adjustment, baseline assessed revenues, expenditures, investment, Commonwealth payments and net borrowing are unchanged.</w:t>
            </w:r>
          </w:p>
        </w:tc>
      </w:tr>
    </w:tbl>
    <w:p w14:paraId="03B26254" w14:textId="3844591A" w:rsidR="007C1CB6" w:rsidRDefault="007C1CB6" w:rsidP="53F1241B">
      <w:pPr>
        <w:spacing w:before="0" w:after="160" w:line="259" w:lineRule="auto"/>
        <w:ind w:left="720"/>
      </w:pPr>
    </w:p>
    <w:p w14:paraId="311AFC62" w14:textId="77777777" w:rsidR="007C1CB6" w:rsidRDefault="007C1CB6">
      <w:pPr>
        <w:spacing w:before="0" w:after="160" w:line="259" w:lineRule="auto"/>
      </w:pPr>
      <w:r>
        <w:br w:type="page"/>
      </w:r>
    </w:p>
    <w:p w14:paraId="5245F0CE" w14:textId="5DDDD54A" w:rsidR="00B60EB5" w:rsidRDefault="00B60EB5" w:rsidP="00B60EB5">
      <w:pPr>
        <w:pStyle w:val="Heading1-nobackground"/>
      </w:pPr>
      <w:r>
        <w:lastRenderedPageBreak/>
        <w:t>Reference</w:t>
      </w:r>
      <w:r w:rsidR="00FE5844">
        <w:t>s</w:t>
      </w:r>
    </w:p>
    <w:p w14:paraId="753290A8" w14:textId="77777777" w:rsidR="00FB7023" w:rsidRDefault="00FB7023" w:rsidP="00657E33">
      <w:pPr>
        <w:pStyle w:val="Reference"/>
        <w:sectPr w:rsidR="00FB7023" w:rsidSect="002E3F19">
          <w:pgSz w:w="11906" w:h="16838" w:code="9"/>
          <w:pgMar w:top="1134" w:right="1134" w:bottom="1134" w:left="1134" w:header="794" w:footer="510" w:gutter="0"/>
          <w:cols w:space="708"/>
          <w:docGrid w:linePitch="360"/>
        </w:sectPr>
      </w:pPr>
    </w:p>
    <w:p w14:paraId="79AE13A3" w14:textId="2868A2B6" w:rsidR="008E60AB" w:rsidRPr="008E60AB" w:rsidRDefault="008E60AB" w:rsidP="00657E33">
      <w:pPr>
        <w:pStyle w:val="Reference"/>
      </w:pPr>
      <w:r w:rsidRPr="008E60AB">
        <w:t xml:space="preserve">ABS (Australian Bureau of Statistics) 2015, </w:t>
      </w:r>
      <w:r w:rsidRPr="008E60AB">
        <w:rPr>
          <w:i/>
          <w:iCs/>
        </w:rPr>
        <w:t>Australian System of Government Finance Statistics: Concepts, Sources and Methods</w:t>
      </w:r>
      <w:r w:rsidRPr="008E60AB">
        <w:t>, https://www.abs.gov.au/statistics/detailed-methodology-information/concepts-sources-methods/</w:t>
      </w:r>
      <w:r w:rsidR="00A6059D">
        <w:br/>
      </w:r>
      <w:r w:rsidRPr="008E60AB">
        <w:t>australian-system-government-finance-statistics-concepts-sources-and-methods/2015 (accessed 17 July 2026).</w:t>
      </w:r>
    </w:p>
    <w:p w14:paraId="26344549" w14:textId="259E9714" w:rsidR="008E60AB" w:rsidRPr="008E60AB" w:rsidRDefault="008E60AB" w:rsidP="00657E33">
      <w:pPr>
        <w:pStyle w:val="Reference"/>
      </w:pPr>
      <w:r w:rsidRPr="008E60AB">
        <w:t>——</w:t>
      </w:r>
      <w:r w:rsidR="00A6059D">
        <w:t> </w:t>
      </w:r>
      <w:r w:rsidRPr="008E60AB">
        <w:t xml:space="preserve">2025, </w:t>
      </w:r>
      <w:r w:rsidRPr="008E60AB">
        <w:rPr>
          <w:i/>
          <w:iCs/>
        </w:rPr>
        <w:t>Australian National Accounts: National Income, Expenditure and Product</w:t>
      </w:r>
      <w:r w:rsidRPr="008E60AB">
        <w:t>, Expenditure on Gross Domestic Product (GDP), Chain volume measures and current prices, https://www.abs.gov.au/statistics/economy/national-accounts/australian-national-accounts-national-income-expenditure-and-product/latest-release (accessed 18 November 2025).</w:t>
      </w:r>
    </w:p>
    <w:p w14:paraId="3E52B8BE" w14:textId="432403F5" w:rsidR="008E60AB" w:rsidRPr="008E60AB" w:rsidRDefault="008E60AB" w:rsidP="00657E33">
      <w:pPr>
        <w:pStyle w:val="Reference"/>
      </w:pPr>
      <w:r w:rsidRPr="008E60AB">
        <w:t>——</w:t>
      </w:r>
      <w:r w:rsidR="00A6059D">
        <w:t> </w:t>
      </w:r>
      <w:r w:rsidRPr="008E60AB">
        <w:t xml:space="preserve">2026, </w:t>
      </w:r>
      <w:r w:rsidRPr="008E60AB">
        <w:rPr>
          <w:i/>
          <w:iCs/>
        </w:rPr>
        <w:t>Australian System of National Accounts</w:t>
      </w:r>
      <w:r w:rsidRPr="008E60AB">
        <w:t>.</w:t>
      </w:r>
    </w:p>
    <w:p w14:paraId="068625D9" w14:textId="77777777" w:rsidR="008E60AB" w:rsidRPr="008E60AB" w:rsidRDefault="008E60AB" w:rsidP="00657E33">
      <w:pPr>
        <w:pStyle w:val="Reference"/>
      </w:pPr>
      <w:r w:rsidRPr="008E60AB">
        <w:t xml:space="preserve">Batchelor, S and Roberts, M 2024, </w:t>
      </w:r>
      <w:r w:rsidRPr="008E60AB">
        <w:rPr>
          <w:i/>
          <w:iCs/>
        </w:rPr>
        <w:t>Recent Developments in the Semi government Bond Market</w:t>
      </w:r>
      <w:r w:rsidRPr="008E60AB">
        <w:t>, RBA Bulletin, 25 January, Reserve Bank of Australia.</w:t>
      </w:r>
    </w:p>
    <w:p w14:paraId="63669A9F" w14:textId="77777777" w:rsidR="008E60AB" w:rsidRPr="008E60AB" w:rsidRDefault="008E60AB" w:rsidP="00657E33">
      <w:pPr>
        <w:pStyle w:val="Reference"/>
      </w:pPr>
      <w:r w:rsidRPr="008E60AB">
        <w:t xml:space="preserve">CGC (Commonwealth Grants Commission) 2024, </w:t>
      </w:r>
      <w:r w:rsidRPr="008E60AB">
        <w:rPr>
          <w:i/>
          <w:iCs/>
        </w:rPr>
        <w:t>The Assessed Budget</w:t>
      </w:r>
      <w:r w:rsidRPr="008E60AB">
        <w:t>.</w:t>
      </w:r>
    </w:p>
    <w:p w14:paraId="7246A6B7" w14:textId="4D124202" w:rsidR="008E60AB" w:rsidRPr="008E60AB" w:rsidRDefault="008E60AB" w:rsidP="00657E33">
      <w:pPr>
        <w:pStyle w:val="Reference"/>
      </w:pPr>
      <w:r w:rsidRPr="008E60AB">
        <w:t xml:space="preserve">Commonwealth of Australia 2002, </w:t>
      </w:r>
      <w:r w:rsidRPr="008E60AB">
        <w:rPr>
          <w:i/>
          <w:iCs/>
        </w:rPr>
        <w:t xml:space="preserve">Budget </w:t>
      </w:r>
      <w:r w:rsidR="00FD28E6">
        <w:rPr>
          <w:i/>
          <w:iCs/>
        </w:rPr>
        <w:t>2001–02</w:t>
      </w:r>
      <w:r w:rsidRPr="008E60AB">
        <w:rPr>
          <w:i/>
          <w:iCs/>
        </w:rPr>
        <w:t xml:space="preserve"> - Final Budget Outcome </w:t>
      </w:r>
      <w:r w:rsidR="00FD28E6">
        <w:rPr>
          <w:i/>
          <w:iCs/>
        </w:rPr>
        <w:t>2001–02</w:t>
      </w:r>
      <w:r w:rsidRPr="008E60AB">
        <w:t>, Canberra.</w:t>
      </w:r>
    </w:p>
    <w:p w14:paraId="1B76BC55" w14:textId="40F2EEE7" w:rsidR="008E60AB" w:rsidRPr="008E60AB" w:rsidRDefault="008E60AB" w:rsidP="00657E33">
      <w:pPr>
        <w:pStyle w:val="Reference"/>
      </w:pPr>
      <w:r w:rsidRPr="008E60AB">
        <w:t>——</w:t>
      </w:r>
      <w:r w:rsidR="00A6059D">
        <w:t> </w:t>
      </w:r>
      <w:r w:rsidRPr="008E60AB">
        <w:t xml:space="preserve">2003, </w:t>
      </w:r>
      <w:r w:rsidRPr="008E60AB">
        <w:rPr>
          <w:i/>
          <w:iCs/>
        </w:rPr>
        <w:t>Budget 2002-03 - Final Budget Outcome 2002-03</w:t>
      </w:r>
      <w:r w:rsidRPr="008E60AB">
        <w:t>, Canberra.</w:t>
      </w:r>
    </w:p>
    <w:p w14:paraId="3523DA7A" w14:textId="4C0C2A8A" w:rsidR="008E60AB" w:rsidRPr="008E60AB" w:rsidRDefault="008E60AB" w:rsidP="00657E33">
      <w:pPr>
        <w:pStyle w:val="Reference"/>
      </w:pPr>
      <w:r w:rsidRPr="008E60AB">
        <w:t>——</w:t>
      </w:r>
      <w:r w:rsidR="00A6059D">
        <w:t> </w:t>
      </w:r>
      <w:r w:rsidRPr="008E60AB">
        <w:t xml:space="preserve">2004, </w:t>
      </w:r>
      <w:r w:rsidRPr="008E60AB">
        <w:rPr>
          <w:i/>
          <w:iCs/>
        </w:rPr>
        <w:t>Budget 2003-04 - Final Budget Outcome 2003-04</w:t>
      </w:r>
      <w:r w:rsidRPr="008E60AB">
        <w:t>, Canberra.</w:t>
      </w:r>
    </w:p>
    <w:p w14:paraId="3B814CBE" w14:textId="16F48BF7" w:rsidR="008E60AB" w:rsidRPr="008E60AB" w:rsidRDefault="008E60AB" w:rsidP="00657E33">
      <w:pPr>
        <w:pStyle w:val="Reference"/>
      </w:pPr>
      <w:r w:rsidRPr="008E60AB">
        <w:t>——</w:t>
      </w:r>
      <w:r w:rsidR="00A6059D">
        <w:t> </w:t>
      </w:r>
      <w:r w:rsidRPr="008E60AB">
        <w:t xml:space="preserve">2005, </w:t>
      </w:r>
      <w:r w:rsidRPr="008E60AB">
        <w:rPr>
          <w:i/>
          <w:iCs/>
        </w:rPr>
        <w:t>Budget 2004-05 - Final Budget Outcome 2004-05</w:t>
      </w:r>
      <w:r w:rsidRPr="008E60AB">
        <w:t>, Canberra.</w:t>
      </w:r>
    </w:p>
    <w:p w14:paraId="6A69E75E" w14:textId="3E9974FA" w:rsidR="008E60AB" w:rsidRPr="008E60AB" w:rsidRDefault="008E60AB" w:rsidP="00657E33">
      <w:pPr>
        <w:pStyle w:val="Reference"/>
      </w:pPr>
      <w:r w:rsidRPr="008E60AB">
        <w:t>——</w:t>
      </w:r>
      <w:r w:rsidR="00A6059D">
        <w:t> </w:t>
      </w:r>
      <w:r w:rsidRPr="008E60AB">
        <w:t xml:space="preserve">2006, </w:t>
      </w:r>
      <w:r w:rsidRPr="008E60AB">
        <w:rPr>
          <w:i/>
          <w:iCs/>
        </w:rPr>
        <w:t>Budget 2005-06 - Final Budget Outcome 2005-06</w:t>
      </w:r>
      <w:r w:rsidRPr="008E60AB">
        <w:t>, Canberra.</w:t>
      </w:r>
    </w:p>
    <w:p w14:paraId="7BDDF2E3" w14:textId="24AA1F92" w:rsidR="008E60AB" w:rsidRPr="008E60AB" w:rsidRDefault="008E60AB" w:rsidP="00657E33">
      <w:pPr>
        <w:pStyle w:val="Reference"/>
      </w:pPr>
      <w:r w:rsidRPr="008E60AB">
        <w:t>——</w:t>
      </w:r>
      <w:r w:rsidR="00A6059D">
        <w:t> </w:t>
      </w:r>
      <w:r w:rsidRPr="008E60AB">
        <w:t xml:space="preserve">2007, </w:t>
      </w:r>
      <w:r w:rsidRPr="008E60AB">
        <w:rPr>
          <w:i/>
          <w:iCs/>
        </w:rPr>
        <w:t>Budget 2006-07 - Final Budget Outcome 2006-07</w:t>
      </w:r>
      <w:r w:rsidRPr="008E60AB">
        <w:t>, Canberra.</w:t>
      </w:r>
    </w:p>
    <w:p w14:paraId="0CBBE455" w14:textId="56905864" w:rsidR="008E60AB" w:rsidRPr="008E60AB" w:rsidRDefault="008E60AB" w:rsidP="00657E33">
      <w:pPr>
        <w:pStyle w:val="Reference"/>
      </w:pPr>
      <w:r w:rsidRPr="008E60AB">
        <w:t>——</w:t>
      </w:r>
      <w:r w:rsidR="00A6059D">
        <w:t> </w:t>
      </w:r>
      <w:r w:rsidRPr="008E60AB">
        <w:t xml:space="preserve">2008, </w:t>
      </w:r>
      <w:r w:rsidRPr="008E60AB">
        <w:rPr>
          <w:i/>
          <w:iCs/>
        </w:rPr>
        <w:t>Budget 2007-08 - Final Budget Outcome 2007-08</w:t>
      </w:r>
      <w:r w:rsidRPr="008E60AB">
        <w:t>, Canberra.</w:t>
      </w:r>
    </w:p>
    <w:p w14:paraId="1F3339B8" w14:textId="38FA6A76" w:rsidR="008E60AB" w:rsidRPr="008E60AB" w:rsidRDefault="008E60AB" w:rsidP="00657E33">
      <w:pPr>
        <w:pStyle w:val="Reference"/>
      </w:pPr>
      <w:r w:rsidRPr="008E60AB">
        <w:t>——</w:t>
      </w:r>
      <w:r w:rsidR="00A6059D">
        <w:t> </w:t>
      </w:r>
      <w:r w:rsidRPr="008E60AB">
        <w:t xml:space="preserve">2009, </w:t>
      </w:r>
      <w:r w:rsidRPr="008E60AB">
        <w:rPr>
          <w:i/>
          <w:iCs/>
        </w:rPr>
        <w:t>Budget 2008-09 - Final Budget Outcome 2008-09</w:t>
      </w:r>
      <w:r w:rsidRPr="008E60AB">
        <w:t>, Canberra.</w:t>
      </w:r>
    </w:p>
    <w:p w14:paraId="0B39FB19" w14:textId="41007393" w:rsidR="008E60AB" w:rsidRPr="008E60AB" w:rsidRDefault="008E60AB" w:rsidP="00657E33">
      <w:pPr>
        <w:pStyle w:val="Reference"/>
      </w:pPr>
      <w:r w:rsidRPr="008E60AB">
        <w:t>——</w:t>
      </w:r>
      <w:r w:rsidR="00A6059D">
        <w:t> </w:t>
      </w:r>
      <w:r w:rsidRPr="008E60AB">
        <w:t xml:space="preserve">2010, </w:t>
      </w:r>
      <w:r w:rsidRPr="008E60AB">
        <w:rPr>
          <w:i/>
          <w:iCs/>
        </w:rPr>
        <w:t>Budget 2009-10 - Final Budget Outcome 2009-10</w:t>
      </w:r>
      <w:r w:rsidRPr="008E60AB">
        <w:t>, Canberra.</w:t>
      </w:r>
    </w:p>
    <w:p w14:paraId="4A62AAD9" w14:textId="55C51704" w:rsidR="008E60AB" w:rsidRPr="008E60AB" w:rsidRDefault="008E60AB" w:rsidP="00657E33">
      <w:pPr>
        <w:pStyle w:val="Reference"/>
      </w:pPr>
      <w:r w:rsidRPr="008E60AB">
        <w:t>——</w:t>
      </w:r>
      <w:r w:rsidR="00A6059D">
        <w:t> </w:t>
      </w:r>
      <w:r w:rsidRPr="008E60AB">
        <w:t xml:space="preserve">2011, </w:t>
      </w:r>
      <w:r w:rsidRPr="008E60AB">
        <w:rPr>
          <w:i/>
          <w:iCs/>
        </w:rPr>
        <w:t>Budget 2010-11 - Final Budget Outcome 2010-11</w:t>
      </w:r>
      <w:r w:rsidRPr="008E60AB">
        <w:t>, Canberra.</w:t>
      </w:r>
    </w:p>
    <w:p w14:paraId="46412C96" w14:textId="3CCF71F7" w:rsidR="008E60AB" w:rsidRPr="008E60AB" w:rsidRDefault="008E60AB" w:rsidP="00657E33">
      <w:pPr>
        <w:pStyle w:val="Reference"/>
      </w:pPr>
      <w:r w:rsidRPr="008E60AB">
        <w:t>——</w:t>
      </w:r>
      <w:r w:rsidR="00A6059D">
        <w:t> </w:t>
      </w:r>
      <w:r w:rsidRPr="008E60AB">
        <w:t xml:space="preserve">2012, </w:t>
      </w:r>
      <w:r w:rsidRPr="008E60AB">
        <w:rPr>
          <w:i/>
          <w:iCs/>
        </w:rPr>
        <w:t>Budget 2011-12 - Final Budget Outcome 2011-12</w:t>
      </w:r>
      <w:r w:rsidRPr="008E60AB">
        <w:t>, Canberra.</w:t>
      </w:r>
    </w:p>
    <w:p w14:paraId="4D584398" w14:textId="2770230C" w:rsidR="008E60AB" w:rsidRPr="008E60AB" w:rsidRDefault="008E60AB" w:rsidP="00657E33">
      <w:pPr>
        <w:pStyle w:val="Reference"/>
      </w:pPr>
      <w:r w:rsidRPr="008E60AB">
        <w:t>——</w:t>
      </w:r>
      <w:r w:rsidR="00A6059D">
        <w:t> </w:t>
      </w:r>
      <w:r w:rsidRPr="008E60AB">
        <w:t xml:space="preserve">2013, </w:t>
      </w:r>
      <w:r w:rsidRPr="008E60AB">
        <w:rPr>
          <w:i/>
          <w:iCs/>
        </w:rPr>
        <w:t>Budget 2012-13 - Final Budget Outcome 2012-13</w:t>
      </w:r>
      <w:r w:rsidRPr="008E60AB">
        <w:t>, Canberra.</w:t>
      </w:r>
    </w:p>
    <w:p w14:paraId="4E25F489" w14:textId="3859EBC0" w:rsidR="008E60AB" w:rsidRPr="008E60AB" w:rsidRDefault="008E60AB" w:rsidP="00657E33">
      <w:pPr>
        <w:pStyle w:val="Reference"/>
      </w:pPr>
      <w:r w:rsidRPr="008E60AB">
        <w:t>——</w:t>
      </w:r>
      <w:r w:rsidR="00A6059D">
        <w:t> </w:t>
      </w:r>
      <w:r w:rsidRPr="008E60AB">
        <w:t xml:space="preserve">2014, </w:t>
      </w:r>
      <w:r w:rsidRPr="008E60AB">
        <w:rPr>
          <w:i/>
          <w:iCs/>
        </w:rPr>
        <w:t>Budget 2013-14 - Final Budget Outcome 2013-14</w:t>
      </w:r>
      <w:r w:rsidRPr="008E60AB">
        <w:t>, Canberra.</w:t>
      </w:r>
    </w:p>
    <w:p w14:paraId="21230F34" w14:textId="68D3179C" w:rsidR="008E60AB" w:rsidRPr="008E60AB" w:rsidRDefault="008E60AB" w:rsidP="00657E33">
      <w:pPr>
        <w:pStyle w:val="Reference"/>
      </w:pPr>
      <w:r w:rsidRPr="008E60AB">
        <w:t>——</w:t>
      </w:r>
      <w:r w:rsidR="00A6059D">
        <w:t> </w:t>
      </w:r>
      <w:r w:rsidRPr="008E60AB">
        <w:t xml:space="preserve">2015, </w:t>
      </w:r>
      <w:r w:rsidRPr="008E60AB">
        <w:rPr>
          <w:i/>
          <w:iCs/>
        </w:rPr>
        <w:t>Budget 2014-15 - Final Budget Outcome 2014-15</w:t>
      </w:r>
      <w:r w:rsidRPr="008E60AB">
        <w:t>, Canberra.</w:t>
      </w:r>
    </w:p>
    <w:p w14:paraId="590AF2CA" w14:textId="2E30889E" w:rsidR="008E60AB" w:rsidRPr="008E60AB" w:rsidRDefault="008E60AB" w:rsidP="00657E33">
      <w:pPr>
        <w:pStyle w:val="Reference"/>
      </w:pPr>
      <w:r w:rsidRPr="008E60AB">
        <w:t>——</w:t>
      </w:r>
      <w:r w:rsidR="00A6059D">
        <w:t> </w:t>
      </w:r>
      <w:r w:rsidRPr="008E60AB">
        <w:t xml:space="preserve">2017, </w:t>
      </w:r>
      <w:r w:rsidRPr="008E60AB">
        <w:rPr>
          <w:i/>
          <w:iCs/>
        </w:rPr>
        <w:t>Budget 2016-17 - Final Budget Outcome 2016-17</w:t>
      </w:r>
      <w:r w:rsidRPr="008E60AB">
        <w:t>, Canberra.</w:t>
      </w:r>
    </w:p>
    <w:p w14:paraId="1411125E" w14:textId="79F709BE" w:rsidR="008E60AB" w:rsidRPr="008E60AB" w:rsidRDefault="008E60AB" w:rsidP="00657E33">
      <w:pPr>
        <w:pStyle w:val="Reference"/>
      </w:pPr>
      <w:r w:rsidRPr="008E60AB">
        <w:t>——</w:t>
      </w:r>
      <w:r w:rsidR="00A6059D">
        <w:t> </w:t>
      </w:r>
      <w:r w:rsidRPr="008E60AB">
        <w:t xml:space="preserve">2018, </w:t>
      </w:r>
      <w:r w:rsidRPr="008E60AB">
        <w:rPr>
          <w:i/>
          <w:iCs/>
        </w:rPr>
        <w:t>Budget 2017-18 - Final Budget Outcome 2017-18</w:t>
      </w:r>
      <w:r w:rsidRPr="008E60AB">
        <w:t>, Canberra.</w:t>
      </w:r>
    </w:p>
    <w:p w14:paraId="6DFA5199" w14:textId="11E0EDB7" w:rsidR="008E60AB" w:rsidRPr="008E60AB" w:rsidRDefault="008E60AB" w:rsidP="00657E33">
      <w:pPr>
        <w:pStyle w:val="Reference"/>
      </w:pPr>
      <w:r w:rsidRPr="008E60AB">
        <w:t>——</w:t>
      </w:r>
      <w:r w:rsidR="00A6059D">
        <w:t> </w:t>
      </w:r>
      <w:r w:rsidRPr="008E60AB">
        <w:t xml:space="preserve">2019, </w:t>
      </w:r>
      <w:r w:rsidRPr="008E60AB">
        <w:rPr>
          <w:i/>
          <w:iCs/>
        </w:rPr>
        <w:t>Budget 2018-19 - Final Budget Outcome 2018-19</w:t>
      </w:r>
      <w:r w:rsidRPr="008E60AB">
        <w:t>, Canberra.</w:t>
      </w:r>
    </w:p>
    <w:p w14:paraId="3719564A" w14:textId="4B00B8D1" w:rsidR="008E60AB" w:rsidRPr="008E60AB" w:rsidRDefault="008E60AB" w:rsidP="00657E33">
      <w:pPr>
        <w:pStyle w:val="Reference"/>
      </w:pPr>
      <w:r w:rsidRPr="008E60AB">
        <w:t>——</w:t>
      </w:r>
      <w:r w:rsidR="00A6059D">
        <w:t> </w:t>
      </w:r>
      <w:r w:rsidRPr="008E60AB">
        <w:t xml:space="preserve">2020, </w:t>
      </w:r>
      <w:r w:rsidRPr="008E60AB">
        <w:rPr>
          <w:i/>
          <w:iCs/>
        </w:rPr>
        <w:t>Budget 2019-20 - Final Budget Outcome 2019-20</w:t>
      </w:r>
      <w:r w:rsidRPr="008E60AB">
        <w:t>, Canberra.</w:t>
      </w:r>
    </w:p>
    <w:p w14:paraId="62102A86" w14:textId="50758EA0" w:rsidR="008E60AB" w:rsidRPr="008E60AB" w:rsidRDefault="008E60AB" w:rsidP="00657E33">
      <w:pPr>
        <w:pStyle w:val="Reference"/>
      </w:pPr>
      <w:r w:rsidRPr="008E60AB">
        <w:t>——</w:t>
      </w:r>
      <w:r w:rsidR="00A6059D">
        <w:t> </w:t>
      </w:r>
      <w:r w:rsidRPr="008E60AB">
        <w:t xml:space="preserve">2021, </w:t>
      </w:r>
      <w:r w:rsidRPr="008E60AB">
        <w:rPr>
          <w:i/>
          <w:iCs/>
        </w:rPr>
        <w:t>Budget 2020-21 - Final Budget Outcome 2020-21</w:t>
      </w:r>
      <w:r w:rsidRPr="008E60AB">
        <w:t>, Canberra.</w:t>
      </w:r>
    </w:p>
    <w:p w14:paraId="213C4820" w14:textId="70D02F46" w:rsidR="008E60AB" w:rsidRPr="008E60AB" w:rsidRDefault="008E60AB" w:rsidP="00657E33">
      <w:pPr>
        <w:pStyle w:val="Reference"/>
      </w:pPr>
      <w:r w:rsidRPr="008E60AB">
        <w:t>——</w:t>
      </w:r>
      <w:r w:rsidR="00A6059D">
        <w:t> </w:t>
      </w:r>
      <w:r w:rsidRPr="008E60AB">
        <w:t xml:space="preserve">2022, </w:t>
      </w:r>
      <w:r w:rsidRPr="008E60AB">
        <w:rPr>
          <w:i/>
          <w:iCs/>
        </w:rPr>
        <w:t>Budget 2021-22 - Final Budget Outcome 2021-22</w:t>
      </w:r>
      <w:r w:rsidRPr="008E60AB">
        <w:t>, Canberra.</w:t>
      </w:r>
    </w:p>
    <w:p w14:paraId="20A7A741" w14:textId="716C2DC6" w:rsidR="008E60AB" w:rsidRPr="008E60AB" w:rsidRDefault="008E60AB" w:rsidP="00657E33">
      <w:pPr>
        <w:pStyle w:val="Reference"/>
      </w:pPr>
      <w:r w:rsidRPr="008E60AB">
        <w:t>——</w:t>
      </w:r>
      <w:r w:rsidR="00A6059D">
        <w:t> </w:t>
      </w:r>
      <w:r w:rsidRPr="008E60AB">
        <w:t xml:space="preserve">2023, </w:t>
      </w:r>
      <w:r w:rsidRPr="008E60AB">
        <w:rPr>
          <w:i/>
          <w:iCs/>
        </w:rPr>
        <w:t>Budget 2022-23 - Final Budget Outcome 2022-23</w:t>
      </w:r>
      <w:r w:rsidRPr="008E60AB">
        <w:t>, Canberra.</w:t>
      </w:r>
    </w:p>
    <w:p w14:paraId="5AC821DB" w14:textId="183D734D" w:rsidR="008E60AB" w:rsidRPr="008E60AB" w:rsidRDefault="008E60AB" w:rsidP="00657E33">
      <w:pPr>
        <w:pStyle w:val="Reference"/>
      </w:pPr>
      <w:r w:rsidRPr="008E60AB">
        <w:t>——</w:t>
      </w:r>
      <w:r w:rsidR="00A6059D">
        <w:t> </w:t>
      </w:r>
      <w:r w:rsidRPr="008E60AB">
        <w:t xml:space="preserve">2024, </w:t>
      </w:r>
      <w:r w:rsidRPr="008E60AB">
        <w:rPr>
          <w:i/>
          <w:iCs/>
        </w:rPr>
        <w:t>Budget 2023-24 - Final Budget Outcome 2023-24</w:t>
      </w:r>
      <w:r w:rsidRPr="008E60AB">
        <w:t>, Canberra.</w:t>
      </w:r>
    </w:p>
    <w:p w14:paraId="4AC7C612" w14:textId="13EA3457" w:rsidR="008E60AB" w:rsidRPr="008E60AB" w:rsidRDefault="008E60AB" w:rsidP="00657E33">
      <w:pPr>
        <w:pStyle w:val="Reference"/>
      </w:pPr>
      <w:r w:rsidRPr="008E60AB">
        <w:t>——</w:t>
      </w:r>
      <w:r w:rsidR="00A6059D">
        <w:t> </w:t>
      </w:r>
      <w:r w:rsidRPr="008E60AB">
        <w:t xml:space="preserve">2025, </w:t>
      </w:r>
      <w:r w:rsidRPr="008E60AB">
        <w:rPr>
          <w:i/>
          <w:iCs/>
        </w:rPr>
        <w:t xml:space="preserve">Budget </w:t>
      </w:r>
      <w:r w:rsidR="00B41D17">
        <w:rPr>
          <w:i/>
          <w:iCs/>
        </w:rPr>
        <w:t>2024–25</w:t>
      </w:r>
      <w:r w:rsidRPr="008E60AB">
        <w:rPr>
          <w:i/>
          <w:iCs/>
        </w:rPr>
        <w:t xml:space="preserve"> - final budget outcome </w:t>
      </w:r>
      <w:r w:rsidR="00B41D17">
        <w:rPr>
          <w:i/>
          <w:iCs/>
        </w:rPr>
        <w:t>2024–25</w:t>
      </w:r>
      <w:r w:rsidRPr="008E60AB">
        <w:t>, Canberra.</w:t>
      </w:r>
    </w:p>
    <w:p w14:paraId="6D066F83" w14:textId="77777777" w:rsidR="008E60AB" w:rsidRPr="008E60AB" w:rsidRDefault="008E60AB" w:rsidP="00657E33">
      <w:pPr>
        <w:pStyle w:val="Reference"/>
      </w:pPr>
      <w:r w:rsidRPr="008E60AB">
        <w:t xml:space="preserve">Dachis, B, </w:t>
      </w:r>
      <w:proofErr w:type="spellStart"/>
      <w:r w:rsidRPr="008E60AB">
        <w:t>Duranton</w:t>
      </w:r>
      <w:proofErr w:type="spellEnd"/>
      <w:r w:rsidRPr="008E60AB">
        <w:t xml:space="preserve">, G and Turner, MA 2012, ‘The effects of land transfer taxes on real estate markets: evidence from a natural experiment in Toronto’, </w:t>
      </w:r>
      <w:r w:rsidRPr="008E60AB">
        <w:rPr>
          <w:i/>
          <w:iCs/>
        </w:rPr>
        <w:t>Journal of Economic Geography</w:t>
      </w:r>
      <w:r w:rsidRPr="008E60AB">
        <w:t>, vol. 12, no. 2, pp. 327–354.</w:t>
      </w:r>
    </w:p>
    <w:p w14:paraId="2AF0DFAA" w14:textId="77777777" w:rsidR="008E60AB" w:rsidRPr="008E60AB" w:rsidRDefault="008E60AB" w:rsidP="00657E33">
      <w:pPr>
        <w:pStyle w:val="Reference"/>
      </w:pPr>
      <w:r w:rsidRPr="008E60AB">
        <w:t xml:space="preserve">Davidoff, I and Leigh, A 2013, </w:t>
      </w:r>
      <w:r w:rsidRPr="008E60AB">
        <w:rPr>
          <w:i/>
          <w:iCs/>
        </w:rPr>
        <w:t xml:space="preserve">How Do Stamp Duties Affect the Housing </w:t>
      </w:r>
      <w:proofErr w:type="gramStart"/>
      <w:r w:rsidRPr="008E60AB">
        <w:rPr>
          <w:i/>
          <w:iCs/>
        </w:rPr>
        <w:t>Market?</w:t>
      </w:r>
      <w:r w:rsidRPr="008E60AB">
        <w:t>,</w:t>
      </w:r>
      <w:proofErr w:type="gramEnd"/>
      <w:r w:rsidRPr="008E60AB">
        <w:t xml:space="preserve"> IZA Discussion Paper, June, 7463, Institute of Labor Economics (IZA), Bonn.</w:t>
      </w:r>
    </w:p>
    <w:p w14:paraId="75C145F6" w14:textId="77777777" w:rsidR="008E60AB" w:rsidRPr="000B3AD8" w:rsidRDefault="008E60AB" w:rsidP="00657E33">
      <w:pPr>
        <w:pStyle w:val="Reference"/>
        <w:rPr>
          <w:spacing w:val="-2"/>
        </w:rPr>
      </w:pPr>
      <w:r w:rsidRPr="000B3AD8">
        <w:rPr>
          <w:spacing w:val="-2"/>
        </w:rPr>
        <w:t xml:space="preserve">DISR (Department of Industry, Science and Resources) 2025, </w:t>
      </w:r>
      <w:r w:rsidRPr="000B3AD8">
        <w:rPr>
          <w:i/>
          <w:iCs/>
          <w:spacing w:val="-2"/>
        </w:rPr>
        <w:t>Resource and energy outlook, December 2025</w:t>
      </w:r>
      <w:r w:rsidRPr="000B3AD8">
        <w:rPr>
          <w:spacing w:val="-2"/>
        </w:rPr>
        <w:t>, December.</w:t>
      </w:r>
    </w:p>
    <w:p w14:paraId="12A5D9F8" w14:textId="77777777" w:rsidR="008E60AB" w:rsidRPr="008E60AB" w:rsidRDefault="008E60AB" w:rsidP="00657E33">
      <w:pPr>
        <w:pStyle w:val="Reference"/>
      </w:pPr>
      <w:r w:rsidRPr="008E60AB">
        <w:t xml:space="preserve">Majeed, O and Sinning, M 2019, </w:t>
      </w:r>
      <w:r w:rsidRPr="008E60AB">
        <w:rPr>
          <w:i/>
          <w:iCs/>
        </w:rPr>
        <w:t xml:space="preserve">Do Payroll Tax Cuts for Australian Firms Affect Their Use of Capital and </w:t>
      </w:r>
      <w:proofErr w:type="gramStart"/>
      <w:r w:rsidRPr="008E60AB">
        <w:rPr>
          <w:i/>
          <w:iCs/>
        </w:rPr>
        <w:t>Labor?</w:t>
      </w:r>
      <w:r w:rsidRPr="008E60AB">
        <w:t>,</w:t>
      </w:r>
      <w:proofErr w:type="gramEnd"/>
      <w:r w:rsidRPr="008E60AB">
        <w:t xml:space="preserve"> Working Paper, 30 </w:t>
      </w:r>
      <w:proofErr w:type="gramStart"/>
      <w:r w:rsidRPr="008E60AB">
        <w:t>September,</w:t>
      </w:r>
      <w:proofErr w:type="gramEnd"/>
      <w:r w:rsidRPr="008E60AB">
        <w:t xml:space="preserve"> 8/2019, Tax and Transfer Policy Institute.</w:t>
      </w:r>
    </w:p>
    <w:p w14:paraId="7FA7AC46" w14:textId="77777777" w:rsidR="008E60AB" w:rsidRPr="008E60AB" w:rsidRDefault="008E60AB" w:rsidP="00657E33">
      <w:pPr>
        <w:pStyle w:val="Reference"/>
      </w:pPr>
      <w:r w:rsidRPr="008E60AB">
        <w:t xml:space="preserve">Productivity Commission (ed) 2018, </w:t>
      </w:r>
      <w:r w:rsidRPr="008E60AB">
        <w:rPr>
          <w:i/>
          <w:iCs/>
        </w:rPr>
        <w:t>Horizontal fiscal equalisation</w:t>
      </w:r>
      <w:r w:rsidRPr="008E60AB">
        <w:t>, no. 88 (15 May 2018), Canberra.</w:t>
      </w:r>
    </w:p>
    <w:p w14:paraId="5E88E793" w14:textId="77777777" w:rsidR="008E60AB" w:rsidRPr="008E60AB" w:rsidRDefault="008E60AB" w:rsidP="00657E33">
      <w:pPr>
        <w:pStyle w:val="Reference"/>
      </w:pPr>
      <w:proofErr w:type="spellStart"/>
      <w:r w:rsidRPr="008E60AB">
        <w:t>Shojaeddini</w:t>
      </w:r>
      <w:proofErr w:type="spellEnd"/>
      <w:r w:rsidRPr="008E60AB">
        <w:t xml:space="preserve">, E, Alonso, E, Nassar, NT, Pineault, DG, Allen, SM, Brainard, JL, McCaffrey, DM, O’Brien, TM, Padilla, AJ and Ryter, JW 2025, ‘Understanding market sensitivity: estimation of supply and demand elasticities for non-fuel minerals’, </w:t>
      </w:r>
      <w:r w:rsidRPr="008E60AB">
        <w:rPr>
          <w:i/>
          <w:iCs/>
        </w:rPr>
        <w:t>Mineral Economics</w:t>
      </w:r>
      <w:r w:rsidRPr="008E60AB">
        <w:t>, vol. 38, no. 4, pp. 985–996.</w:t>
      </w:r>
    </w:p>
    <w:p w14:paraId="4528CCD7" w14:textId="77777777" w:rsidR="008E60AB" w:rsidRPr="008E60AB" w:rsidRDefault="008E60AB" w:rsidP="00657E33">
      <w:pPr>
        <w:pStyle w:val="Reference"/>
      </w:pPr>
      <w:r w:rsidRPr="008E60AB">
        <w:t xml:space="preserve">Steinhauser, R, Sinning, M and Sobeck, K 2018, </w:t>
      </w:r>
      <w:r w:rsidRPr="008E60AB">
        <w:rPr>
          <w:i/>
          <w:iCs/>
        </w:rPr>
        <w:t>State tax elasticities of revenue bases</w:t>
      </w:r>
      <w:r w:rsidRPr="008E60AB">
        <w:t xml:space="preserve">, Tax and Transfer Policy Institute, Crawford School of Public </w:t>
      </w:r>
      <w:proofErr w:type="gramStart"/>
      <w:r w:rsidRPr="008E60AB">
        <w:t>Policy ,</w:t>
      </w:r>
      <w:proofErr w:type="gramEnd"/>
      <w:r w:rsidRPr="008E60AB">
        <w:t xml:space="preserve"> The Australian National University.</w:t>
      </w:r>
    </w:p>
    <w:p w14:paraId="49473729" w14:textId="77777777" w:rsidR="008E60AB" w:rsidRPr="008E60AB" w:rsidRDefault="008E60AB" w:rsidP="00657E33">
      <w:pPr>
        <w:pStyle w:val="Reference"/>
      </w:pPr>
      <w:r w:rsidRPr="008E60AB">
        <w:t xml:space="preserve">Wood Mackenzie 2025a, </w:t>
      </w:r>
      <w:r w:rsidRPr="008E60AB">
        <w:rPr>
          <w:i/>
          <w:iCs/>
        </w:rPr>
        <w:t>Global Metallurgical Coal Strategic Planning Outlook 2025</w:t>
      </w:r>
      <w:r w:rsidRPr="008E60AB">
        <w:t>, May.</w:t>
      </w:r>
    </w:p>
    <w:p w14:paraId="4C1BFEAE" w14:textId="1FF9925C" w:rsidR="008E60AB" w:rsidRPr="008E60AB" w:rsidRDefault="008E60AB" w:rsidP="00657E33">
      <w:pPr>
        <w:pStyle w:val="Reference"/>
      </w:pPr>
      <w:r w:rsidRPr="008E60AB">
        <w:t>——</w:t>
      </w:r>
      <w:r w:rsidR="00A6059D">
        <w:t> </w:t>
      </w:r>
      <w:r w:rsidRPr="008E60AB">
        <w:t xml:space="preserve">2025b, </w:t>
      </w:r>
      <w:r w:rsidRPr="008E60AB">
        <w:rPr>
          <w:i/>
          <w:iCs/>
        </w:rPr>
        <w:t>Global Thermal Coal Strategic Planning Outlook 2025</w:t>
      </w:r>
      <w:r w:rsidRPr="008E60AB">
        <w:t>, May.</w:t>
      </w:r>
    </w:p>
    <w:p w14:paraId="69062A6E" w14:textId="56357A5B" w:rsidR="008E60AB" w:rsidRPr="008E60AB" w:rsidRDefault="008E60AB" w:rsidP="00657E33">
      <w:pPr>
        <w:pStyle w:val="Reference"/>
      </w:pPr>
      <w:r w:rsidRPr="008E60AB">
        <w:t>——</w:t>
      </w:r>
      <w:r w:rsidR="00A6059D">
        <w:t> </w:t>
      </w:r>
      <w:r w:rsidRPr="008E60AB">
        <w:t xml:space="preserve">2026a, </w:t>
      </w:r>
      <w:r w:rsidRPr="008E60AB">
        <w:rPr>
          <w:i/>
          <w:iCs/>
        </w:rPr>
        <w:t>Coal Cost Curve Tool</w:t>
      </w:r>
      <w:r w:rsidRPr="008E60AB">
        <w:t>, https://camc.woodmac.com/Home.aspx (accessed 9 April 2026).</w:t>
      </w:r>
    </w:p>
    <w:p w14:paraId="2C96BA45" w14:textId="24A601C7" w:rsidR="008E60AB" w:rsidRPr="008E60AB" w:rsidRDefault="008E60AB" w:rsidP="00657E33">
      <w:pPr>
        <w:pStyle w:val="Reference"/>
      </w:pPr>
      <w:r w:rsidRPr="008E60AB">
        <w:t>——</w:t>
      </w:r>
      <w:r w:rsidR="00A6059D">
        <w:t> </w:t>
      </w:r>
      <w:r w:rsidRPr="008E60AB">
        <w:t xml:space="preserve">2026b, </w:t>
      </w:r>
      <w:r w:rsidRPr="008E60AB">
        <w:rPr>
          <w:i/>
          <w:iCs/>
        </w:rPr>
        <w:t>Global Iron Ore Strategic Planning Outlook - Q1 2026</w:t>
      </w:r>
      <w:r w:rsidRPr="008E60AB">
        <w:t>, 26 March.</w:t>
      </w:r>
    </w:p>
    <w:p w14:paraId="2D74A9A8" w14:textId="29A0172F" w:rsidR="008E60AB" w:rsidRPr="008E60AB" w:rsidRDefault="008E60AB" w:rsidP="00657E33">
      <w:pPr>
        <w:pStyle w:val="Reference"/>
      </w:pPr>
      <w:r w:rsidRPr="008E60AB">
        <w:t>——</w:t>
      </w:r>
      <w:r w:rsidR="00A6059D">
        <w:t> </w:t>
      </w:r>
      <w:r w:rsidRPr="008E60AB">
        <w:t xml:space="preserve">2026c, </w:t>
      </w:r>
      <w:r w:rsidRPr="008E60AB">
        <w:rPr>
          <w:i/>
          <w:iCs/>
        </w:rPr>
        <w:t>Global Steel Strategic Planning Outlook – Q1 2026</w:t>
      </w:r>
      <w:r w:rsidRPr="008E60AB">
        <w:t>, March.</w:t>
      </w:r>
    </w:p>
    <w:p w14:paraId="6F9D5B89" w14:textId="010A9719" w:rsidR="008E60AB" w:rsidRPr="008E60AB" w:rsidRDefault="008E60AB" w:rsidP="00657E33">
      <w:pPr>
        <w:pStyle w:val="Reference"/>
      </w:pPr>
      <w:r w:rsidRPr="008E60AB">
        <w:t>——</w:t>
      </w:r>
      <w:r w:rsidR="00A6059D">
        <w:t> </w:t>
      </w:r>
      <w:r w:rsidRPr="008E60AB">
        <w:t xml:space="preserve">2026d, </w:t>
      </w:r>
      <w:r w:rsidRPr="008E60AB">
        <w:rPr>
          <w:i/>
          <w:iCs/>
        </w:rPr>
        <w:t>Metals Cost Curve Tool</w:t>
      </w:r>
      <w:r w:rsidRPr="008E60AB">
        <w:t>, Wood Mackenzie, https://metalcosts.woodmac.com/Home.aspx (accessed 9 April 2026).</w:t>
      </w:r>
    </w:p>
    <w:p w14:paraId="2FE47E95" w14:textId="77777777" w:rsidR="00FB7023" w:rsidRDefault="00FB7023" w:rsidP="00B60EB5">
      <w:pPr>
        <w:pStyle w:val="BodyText"/>
        <w:sectPr w:rsidR="00FB7023" w:rsidSect="00FB7023">
          <w:type w:val="continuous"/>
          <w:pgSz w:w="11906" w:h="16838" w:code="9"/>
          <w:pgMar w:top="1134" w:right="1134" w:bottom="1134" w:left="1134" w:header="794" w:footer="510" w:gutter="0"/>
          <w:cols w:num="2" w:space="708"/>
          <w:docGrid w:linePitch="360"/>
        </w:sectPr>
      </w:pPr>
    </w:p>
    <w:p w14:paraId="41529374" w14:textId="41E1AC46" w:rsidR="00427CAF" w:rsidRPr="00BB5C22" w:rsidRDefault="00427CAF" w:rsidP="007F336E">
      <w:pPr>
        <w:pStyle w:val="BodyText"/>
      </w:pPr>
    </w:p>
    <w:sectPr w:rsidR="00427CAF" w:rsidRPr="00BB5C22" w:rsidSect="00FB7023">
      <w:type w:val="continuous"/>
      <w:pgSz w:w="11906" w:h="16838" w:code="9"/>
      <w:pgMar w:top="1134" w:right="1134" w:bottom="1134" w:left="1134" w:header="79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6E951" w14:textId="77777777" w:rsidR="00374156" w:rsidRDefault="00374156" w:rsidP="008017BC">
      <w:r>
        <w:separator/>
      </w:r>
    </w:p>
    <w:p w14:paraId="37319527" w14:textId="77777777" w:rsidR="00374156" w:rsidRDefault="00374156"/>
  </w:endnote>
  <w:endnote w:type="continuationSeparator" w:id="0">
    <w:p w14:paraId="5332C566" w14:textId="77777777" w:rsidR="00374156" w:rsidRDefault="00374156" w:rsidP="008017BC">
      <w:r>
        <w:continuationSeparator/>
      </w:r>
    </w:p>
    <w:p w14:paraId="5DCBB371" w14:textId="77777777" w:rsidR="00374156" w:rsidRDefault="003741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Open Sans Extrabold">
    <w:panose1 w:val="020B0906030804020204"/>
    <w:charset w:val="00"/>
    <w:family w:val="swiss"/>
    <w:pitch w:val="variable"/>
    <w:sig w:usb0="E00002EF" w:usb1="4000205B" w:usb2="00000028" w:usb3="00000000" w:csb0="0000019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7AA6"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579166"/>
      <w:docPartObj>
        <w:docPartGallery w:val="Page Numbers (Bottom of Page)"/>
        <w:docPartUnique/>
      </w:docPartObj>
    </w:sdtPr>
    <w:sdtContent>
      <w:sdt>
        <w:sdtPr>
          <w:id w:val="-535506845"/>
          <w:docPartObj>
            <w:docPartGallery w:val="Page Numbers (Top of Page)"/>
            <w:docPartUnique/>
          </w:docPartObj>
        </w:sdtPr>
        <w:sdtContent>
          <w:p w14:paraId="393E1B75"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C776A" w14:textId="77777777" w:rsidR="00374156" w:rsidRPr="00C238D1" w:rsidRDefault="00374156" w:rsidP="00273E86">
      <w:pPr>
        <w:spacing w:after="0" w:line="240" w:lineRule="auto"/>
        <w:rPr>
          <w:rStyle w:val="ColourDarkBlue"/>
        </w:rPr>
      </w:pPr>
      <w:r w:rsidRPr="00C238D1">
        <w:rPr>
          <w:rStyle w:val="ColourDarkBlue"/>
        </w:rPr>
        <w:continuationSeparator/>
      </w:r>
    </w:p>
  </w:footnote>
  <w:footnote w:type="continuationSeparator" w:id="0">
    <w:p w14:paraId="7DFAA6D3" w14:textId="77777777" w:rsidR="00374156" w:rsidRPr="001D7D9B" w:rsidRDefault="00374156" w:rsidP="001D7D9B">
      <w:pPr>
        <w:spacing w:after="0" w:line="240" w:lineRule="auto"/>
        <w:rPr>
          <w:color w:val="265A9A" w:themeColor="background2"/>
        </w:rPr>
      </w:pPr>
      <w:r w:rsidRPr="00C238D1">
        <w:rPr>
          <w:rStyle w:val="ColourDarkBlue"/>
        </w:rPr>
        <w:continuationSeparator/>
      </w:r>
    </w:p>
  </w:footnote>
  <w:footnote w:type="continuationNotice" w:id="1">
    <w:p w14:paraId="68B8D02C" w14:textId="77777777" w:rsidR="00374156" w:rsidRDefault="00374156"/>
  </w:footnote>
  <w:footnote w:id="2">
    <w:p w14:paraId="48E1E040" w14:textId="2295F6BF" w:rsidR="009E229C" w:rsidRPr="009E229C" w:rsidRDefault="009E229C">
      <w:pPr>
        <w:pStyle w:val="FootnoteText"/>
        <w:rPr>
          <w:lang w:val="en-US"/>
        </w:rPr>
      </w:pPr>
      <w:r>
        <w:rPr>
          <w:rStyle w:val="FootnoteReference"/>
        </w:rPr>
        <w:footnoteRef/>
      </w:r>
      <w:r>
        <w:t xml:space="preserve"> The effect is identical regardless of which state is assessed the shock.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AEBC" w14:textId="7DF73E08" w:rsidR="00BB5C22" w:rsidRDefault="00A22198" w:rsidP="00BB5C22">
    <w:pPr>
      <w:pStyle w:val="Header-Keyline"/>
    </w:pPr>
    <w:r w:rsidRPr="00A22198">
      <w:rPr>
        <w:b/>
        <w:bCs/>
      </w:rPr>
      <w:t>GST distribution reforms</w:t>
    </w:r>
    <w:r>
      <w:t xml:space="preserve"> Interim r</w:t>
    </w:r>
    <w:r w:rsidR="00BB5C22">
      <w:t>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68B94" w14:textId="0218E220" w:rsidR="00BB5C22" w:rsidRDefault="001B1D33" w:rsidP="00BB5C22">
    <w:pPr>
      <w:pStyle w:val="Header-KeylineRight"/>
    </w:pPr>
    <w:fldSimple w:instr=" STYLEREF  Heading-Appendix  \* MERGEFORMAT ">
      <w:r w:rsidR="00D6338D">
        <w:rPr>
          <w:noProof/>
        </w:rPr>
        <w:t>Productivity Commission modelling</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74A6380"/>
    <w:multiLevelType w:val="multilevel"/>
    <w:tmpl w:val="C47EA3E6"/>
    <w:styleLink w:val="TableList"/>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C1734A"/>
    <w:multiLevelType w:val="multilevel"/>
    <w:tmpl w:val="72768BCE"/>
    <w:styleLink w:val="AppendixHeadingList"/>
    <w:lvl w:ilvl="0">
      <w:start w:val="1"/>
      <w:numFmt w:val="upperLetter"/>
      <w:lvlText w:val="%1."/>
      <w:lvlJc w:val="left"/>
      <w:pPr>
        <w:ind w:left="1418" w:hanging="851"/>
      </w:pPr>
      <w:rPr>
        <w:rFonts w:hint="default"/>
      </w:rPr>
    </w:lvl>
    <w:lvl w:ilvl="1">
      <w:start w:val="1"/>
      <w:numFmt w:val="decimal"/>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2735F"/>
    <w:multiLevelType w:val="multilevel"/>
    <w:tmpl w:val="EE6A07A2"/>
    <w:styleLink w:val="ListHeadings"/>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F6F37EA"/>
    <w:multiLevelType w:val="multilevel"/>
    <w:tmpl w:val="A984D820"/>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5" w15:restartNumberingAfterBreak="0">
    <w:nsid w:val="12377B66"/>
    <w:multiLevelType w:val="multilevel"/>
    <w:tmpl w:val="4F48000A"/>
    <w:styleLink w:val="Alpha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6" w15:restartNumberingAfterBreak="0">
    <w:nsid w:val="16155739"/>
    <w:multiLevelType w:val="multilevel"/>
    <w:tmpl w:val="55366B42"/>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7"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15905EC"/>
    <w:multiLevelType w:val="multilevel"/>
    <w:tmpl w:val="14F2CE60"/>
    <w:styleLink w:val="Headings"/>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D665246"/>
    <w:multiLevelType w:val="multilevel"/>
    <w:tmpl w:val="55366B42"/>
    <w:numStyleLink w:val="LetteredList"/>
  </w:abstractNum>
  <w:abstractNum w:abstractNumId="10" w15:restartNumberingAfterBreak="0">
    <w:nsid w:val="2DFE29AF"/>
    <w:multiLevelType w:val="multilevel"/>
    <w:tmpl w:val="773C95D2"/>
    <w:lvl w:ilvl="0">
      <w:start w:val="3"/>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945759"/>
    <w:multiLevelType w:val="multilevel"/>
    <w:tmpl w:val="EDDA6002"/>
    <w:styleLink w:val="TOCList"/>
    <w:lvl w:ilvl="0">
      <w:start w:val="1"/>
      <w:numFmt w:val="decimal"/>
      <w:lvlText w:val="%1"/>
      <w:lvlJc w:val="left"/>
      <w:pPr>
        <w:ind w:left="567" w:hanging="567"/>
      </w:pPr>
      <w:rPr>
        <w:rFonts w:hint="default"/>
        <w:b/>
        <w:i w:val="0"/>
        <w:color w:val="265A9A"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0E1502C"/>
    <w:multiLevelType w:val="multilevel"/>
    <w:tmpl w:val="CF4896DA"/>
    <w:styleLink w:val="Bullets"/>
    <w:lvl w:ilvl="0">
      <w:start w:val="1"/>
      <w:numFmt w:val="bullet"/>
      <w:pStyle w:val="ListBullet"/>
      <w:lvlText w:val="•"/>
      <w:lvlJc w:val="left"/>
      <w:pPr>
        <w:ind w:left="227" w:hanging="227"/>
      </w:pPr>
      <w:rPr>
        <w:rFonts w:ascii="Open Sans" w:hAnsi="Open Sans"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15" w15:restartNumberingAfterBreak="0">
    <w:nsid w:val="67EB6AB0"/>
    <w:multiLevelType w:val="multilevel"/>
    <w:tmpl w:val="CF4896DA"/>
    <w:numStyleLink w:val="Bullets"/>
  </w:abstractNum>
  <w:abstractNum w:abstractNumId="16" w15:restartNumberingAfterBreak="0">
    <w:nsid w:val="761B4A1B"/>
    <w:multiLevelType w:val="multilevel"/>
    <w:tmpl w:val="4F48000A"/>
    <w:numStyleLink w:val="Alphalist"/>
  </w:abstractNum>
  <w:num w:numId="1" w16cid:durableId="416827280">
    <w:abstractNumId w:val="8"/>
  </w:num>
  <w:num w:numId="2" w16cid:durableId="1492061629">
    <w:abstractNumId w:val="5"/>
  </w:num>
  <w:num w:numId="3" w16cid:durableId="1666085201">
    <w:abstractNumId w:val="2"/>
  </w:num>
  <w:num w:numId="4" w16cid:durableId="1270311821">
    <w:abstractNumId w:val="8"/>
  </w:num>
  <w:num w:numId="5" w16cid:durableId="1077901734">
    <w:abstractNumId w:val="13"/>
  </w:num>
  <w:num w:numId="6" w16cid:durableId="468673367">
    <w:abstractNumId w:val="14"/>
  </w:num>
  <w:num w:numId="7" w16cid:durableId="1324819304">
    <w:abstractNumId w:val="12"/>
  </w:num>
  <w:num w:numId="8" w16cid:durableId="1012072833">
    <w:abstractNumId w:val="10"/>
  </w:num>
  <w:num w:numId="9" w16cid:durableId="2108232130">
    <w:abstractNumId w:val="6"/>
  </w:num>
  <w:num w:numId="10" w16cid:durableId="887882389">
    <w:abstractNumId w:val="9"/>
  </w:num>
  <w:num w:numId="11" w16cid:durableId="668873478">
    <w:abstractNumId w:val="16"/>
  </w:num>
  <w:num w:numId="12" w16cid:durableId="2139913423">
    <w:abstractNumId w:val="0"/>
  </w:num>
  <w:num w:numId="13" w16cid:durableId="1399128222">
    <w:abstractNumId w:val="3"/>
  </w:num>
  <w:num w:numId="14" w16cid:durableId="668093312">
    <w:abstractNumId w:val="7"/>
  </w:num>
  <w:num w:numId="15" w16cid:durableId="763575999">
    <w:abstractNumId w:val="4"/>
  </w:num>
  <w:num w:numId="16" w16cid:durableId="369260169">
    <w:abstractNumId w:val="15"/>
  </w:num>
  <w:num w:numId="17" w16cid:durableId="1230724641">
    <w:abstractNumId w:val="1"/>
  </w:num>
  <w:num w:numId="18" w16cid:durableId="1751074320">
    <w:abstractNumId w:val="11"/>
  </w:num>
  <w:num w:numId="19" w16cid:durableId="101262977">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34F"/>
    <w:rsid w:val="00000075"/>
    <w:rsid w:val="000002AA"/>
    <w:rsid w:val="000006A9"/>
    <w:rsid w:val="000007F8"/>
    <w:rsid w:val="00000C47"/>
    <w:rsid w:val="00000F3C"/>
    <w:rsid w:val="00002393"/>
    <w:rsid w:val="00002520"/>
    <w:rsid w:val="00002886"/>
    <w:rsid w:val="00002C4B"/>
    <w:rsid w:val="00002C61"/>
    <w:rsid w:val="000031BD"/>
    <w:rsid w:val="00003241"/>
    <w:rsid w:val="0000334D"/>
    <w:rsid w:val="000036F5"/>
    <w:rsid w:val="000039F3"/>
    <w:rsid w:val="000040FF"/>
    <w:rsid w:val="000041F8"/>
    <w:rsid w:val="00004477"/>
    <w:rsid w:val="00004489"/>
    <w:rsid w:val="0000461E"/>
    <w:rsid w:val="00004E20"/>
    <w:rsid w:val="00005302"/>
    <w:rsid w:val="00005767"/>
    <w:rsid w:val="000058B0"/>
    <w:rsid w:val="00005A19"/>
    <w:rsid w:val="00005C79"/>
    <w:rsid w:val="00005CD6"/>
    <w:rsid w:val="00005D94"/>
    <w:rsid w:val="00005E79"/>
    <w:rsid w:val="00006C07"/>
    <w:rsid w:val="000079F4"/>
    <w:rsid w:val="00007DF8"/>
    <w:rsid w:val="00007E6C"/>
    <w:rsid w:val="00007EA6"/>
    <w:rsid w:val="00010285"/>
    <w:rsid w:val="00010552"/>
    <w:rsid w:val="000105AE"/>
    <w:rsid w:val="000108F2"/>
    <w:rsid w:val="00010928"/>
    <w:rsid w:val="00010AC8"/>
    <w:rsid w:val="00010B02"/>
    <w:rsid w:val="00010E6A"/>
    <w:rsid w:val="00010E7B"/>
    <w:rsid w:val="00010F86"/>
    <w:rsid w:val="0001130E"/>
    <w:rsid w:val="00011341"/>
    <w:rsid w:val="000113B1"/>
    <w:rsid w:val="000114FA"/>
    <w:rsid w:val="0001172A"/>
    <w:rsid w:val="000117CC"/>
    <w:rsid w:val="00011CD4"/>
    <w:rsid w:val="00011D7D"/>
    <w:rsid w:val="00011DD5"/>
    <w:rsid w:val="00012588"/>
    <w:rsid w:val="00012CE4"/>
    <w:rsid w:val="00012DB6"/>
    <w:rsid w:val="00012FF0"/>
    <w:rsid w:val="00013496"/>
    <w:rsid w:val="000136C6"/>
    <w:rsid w:val="00013A0E"/>
    <w:rsid w:val="00013D99"/>
    <w:rsid w:val="00013F09"/>
    <w:rsid w:val="00013F77"/>
    <w:rsid w:val="0001451B"/>
    <w:rsid w:val="00014EA7"/>
    <w:rsid w:val="00014F44"/>
    <w:rsid w:val="000153CC"/>
    <w:rsid w:val="00015551"/>
    <w:rsid w:val="000155E1"/>
    <w:rsid w:val="000157EC"/>
    <w:rsid w:val="00015CFD"/>
    <w:rsid w:val="00015D89"/>
    <w:rsid w:val="0001617B"/>
    <w:rsid w:val="00016E7E"/>
    <w:rsid w:val="00017211"/>
    <w:rsid w:val="000173B5"/>
    <w:rsid w:val="000174CA"/>
    <w:rsid w:val="00017554"/>
    <w:rsid w:val="0001767F"/>
    <w:rsid w:val="00017B17"/>
    <w:rsid w:val="00020279"/>
    <w:rsid w:val="000202C4"/>
    <w:rsid w:val="0002037F"/>
    <w:rsid w:val="000203EF"/>
    <w:rsid w:val="000207D6"/>
    <w:rsid w:val="0002089B"/>
    <w:rsid w:val="00020935"/>
    <w:rsid w:val="000210CA"/>
    <w:rsid w:val="000211D5"/>
    <w:rsid w:val="000214B8"/>
    <w:rsid w:val="00021687"/>
    <w:rsid w:val="000218C5"/>
    <w:rsid w:val="00021D61"/>
    <w:rsid w:val="0002206D"/>
    <w:rsid w:val="00022524"/>
    <w:rsid w:val="000228CC"/>
    <w:rsid w:val="00023359"/>
    <w:rsid w:val="00023ADE"/>
    <w:rsid w:val="00023BB1"/>
    <w:rsid w:val="000244D4"/>
    <w:rsid w:val="0002466F"/>
    <w:rsid w:val="00024818"/>
    <w:rsid w:val="00024865"/>
    <w:rsid w:val="000248FF"/>
    <w:rsid w:val="00024B59"/>
    <w:rsid w:val="00024E69"/>
    <w:rsid w:val="0002508E"/>
    <w:rsid w:val="0002597C"/>
    <w:rsid w:val="00025DA1"/>
    <w:rsid w:val="000264DB"/>
    <w:rsid w:val="000265E1"/>
    <w:rsid w:val="00026731"/>
    <w:rsid w:val="00026BBA"/>
    <w:rsid w:val="00026C04"/>
    <w:rsid w:val="000270BF"/>
    <w:rsid w:val="00027650"/>
    <w:rsid w:val="00027895"/>
    <w:rsid w:val="000278E2"/>
    <w:rsid w:val="00027B12"/>
    <w:rsid w:val="00027F25"/>
    <w:rsid w:val="000300AF"/>
    <w:rsid w:val="000303BA"/>
    <w:rsid w:val="00030514"/>
    <w:rsid w:val="00030A46"/>
    <w:rsid w:val="00030B6F"/>
    <w:rsid w:val="00030DD6"/>
    <w:rsid w:val="00030E4B"/>
    <w:rsid w:val="00030E74"/>
    <w:rsid w:val="00030F03"/>
    <w:rsid w:val="00031344"/>
    <w:rsid w:val="00031724"/>
    <w:rsid w:val="00031995"/>
    <w:rsid w:val="00031C58"/>
    <w:rsid w:val="00031F10"/>
    <w:rsid w:val="00031F55"/>
    <w:rsid w:val="00032082"/>
    <w:rsid w:val="0003215E"/>
    <w:rsid w:val="000321BE"/>
    <w:rsid w:val="000326D9"/>
    <w:rsid w:val="000326FD"/>
    <w:rsid w:val="00032EC0"/>
    <w:rsid w:val="00032F4E"/>
    <w:rsid w:val="00033089"/>
    <w:rsid w:val="000331E4"/>
    <w:rsid w:val="0003338D"/>
    <w:rsid w:val="0003352A"/>
    <w:rsid w:val="00033619"/>
    <w:rsid w:val="000338D1"/>
    <w:rsid w:val="0003395E"/>
    <w:rsid w:val="00033BB9"/>
    <w:rsid w:val="00033C1A"/>
    <w:rsid w:val="0003429E"/>
    <w:rsid w:val="00034970"/>
    <w:rsid w:val="00034EF2"/>
    <w:rsid w:val="00035528"/>
    <w:rsid w:val="000366DB"/>
    <w:rsid w:val="00036B77"/>
    <w:rsid w:val="00036CF9"/>
    <w:rsid w:val="000374BB"/>
    <w:rsid w:val="00037B72"/>
    <w:rsid w:val="00037E71"/>
    <w:rsid w:val="0004020D"/>
    <w:rsid w:val="0004046D"/>
    <w:rsid w:val="00040EBC"/>
    <w:rsid w:val="00041106"/>
    <w:rsid w:val="0004136B"/>
    <w:rsid w:val="0004173A"/>
    <w:rsid w:val="000419C6"/>
    <w:rsid w:val="000419DC"/>
    <w:rsid w:val="000423DA"/>
    <w:rsid w:val="00042590"/>
    <w:rsid w:val="00042682"/>
    <w:rsid w:val="000426D1"/>
    <w:rsid w:val="0004294A"/>
    <w:rsid w:val="00042DAF"/>
    <w:rsid w:val="00042F84"/>
    <w:rsid w:val="00043266"/>
    <w:rsid w:val="00043DA5"/>
    <w:rsid w:val="00043FB6"/>
    <w:rsid w:val="00044587"/>
    <w:rsid w:val="00044775"/>
    <w:rsid w:val="000449D7"/>
    <w:rsid w:val="00044F36"/>
    <w:rsid w:val="0004514B"/>
    <w:rsid w:val="000463E2"/>
    <w:rsid w:val="000465A6"/>
    <w:rsid w:val="0004664D"/>
    <w:rsid w:val="00046667"/>
    <w:rsid w:val="00046745"/>
    <w:rsid w:val="00046810"/>
    <w:rsid w:val="00046D94"/>
    <w:rsid w:val="00046FB5"/>
    <w:rsid w:val="00047077"/>
    <w:rsid w:val="00047386"/>
    <w:rsid w:val="00047483"/>
    <w:rsid w:val="0004771F"/>
    <w:rsid w:val="00047894"/>
    <w:rsid w:val="00047F27"/>
    <w:rsid w:val="0005012E"/>
    <w:rsid w:val="0005065B"/>
    <w:rsid w:val="00050B9A"/>
    <w:rsid w:val="00050F52"/>
    <w:rsid w:val="0005151B"/>
    <w:rsid w:val="00051B4A"/>
    <w:rsid w:val="00051CD4"/>
    <w:rsid w:val="00051F3C"/>
    <w:rsid w:val="000521F1"/>
    <w:rsid w:val="000522DD"/>
    <w:rsid w:val="000523C0"/>
    <w:rsid w:val="00052602"/>
    <w:rsid w:val="00052A2F"/>
    <w:rsid w:val="00052A53"/>
    <w:rsid w:val="000530D4"/>
    <w:rsid w:val="00053252"/>
    <w:rsid w:val="00053653"/>
    <w:rsid w:val="00053A53"/>
    <w:rsid w:val="00053B5E"/>
    <w:rsid w:val="00053B6F"/>
    <w:rsid w:val="000548D8"/>
    <w:rsid w:val="000549AF"/>
    <w:rsid w:val="00054C3F"/>
    <w:rsid w:val="00054C95"/>
    <w:rsid w:val="00054E33"/>
    <w:rsid w:val="000551A6"/>
    <w:rsid w:val="00055288"/>
    <w:rsid w:val="00055970"/>
    <w:rsid w:val="00055B6B"/>
    <w:rsid w:val="000561CF"/>
    <w:rsid w:val="0005646C"/>
    <w:rsid w:val="00056761"/>
    <w:rsid w:val="00056D01"/>
    <w:rsid w:val="00056DB0"/>
    <w:rsid w:val="00056E45"/>
    <w:rsid w:val="00056EC4"/>
    <w:rsid w:val="00056F1E"/>
    <w:rsid w:val="00057112"/>
    <w:rsid w:val="0005774F"/>
    <w:rsid w:val="000577B3"/>
    <w:rsid w:val="000577C5"/>
    <w:rsid w:val="0005781E"/>
    <w:rsid w:val="00057DC2"/>
    <w:rsid w:val="00057F4F"/>
    <w:rsid w:val="000600E0"/>
    <w:rsid w:val="00060CCA"/>
    <w:rsid w:val="00060EF5"/>
    <w:rsid w:val="00061B50"/>
    <w:rsid w:val="00062432"/>
    <w:rsid w:val="00062708"/>
    <w:rsid w:val="0006290A"/>
    <w:rsid w:val="00062A44"/>
    <w:rsid w:val="00062C05"/>
    <w:rsid w:val="00062FEE"/>
    <w:rsid w:val="0006341C"/>
    <w:rsid w:val="0006349B"/>
    <w:rsid w:val="000634BD"/>
    <w:rsid w:val="000639E6"/>
    <w:rsid w:val="00063A3B"/>
    <w:rsid w:val="00063A74"/>
    <w:rsid w:val="00063B7B"/>
    <w:rsid w:val="00063BD3"/>
    <w:rsid w:val="00063F40"/>
    <w:rsid w:val="00064078"/>
    <w:rsid w:val="00064114"/>
    <w:rsid w:val="00064251"/>
    <w:rsid w:val="00064A94"/>
    <w:rsid w:val="00064BF2"/>
    <w:rsid w:val="000656B1"/>
    <w:rsid w:val="00065DBC"/>
    <w:rsid w:val="0006613E"/>
    <w:rsid w:val="000665F0"/>
    <w:rsid w:val="000666CB"/>
    <w:rsid w:val="0006683B"/>
    <w:rsid w:val="0006688E"/>
    <w:rsid w:val="0006693B"/>
    <w:rsid w:val="00066BB9"/>
    <w:rsid w:val="00066F1B"/>
    <w:rsid w:val="00067A9B"/>
    <w:rsid w:val="00067D1B"/>
    <w:rsid w:val="00067F40"/>
    <w:rsid w:val="0007022F"/>
    <w:rsid w:val="00070A1A"/>
    <w:rsid w:val="00070DE9"/>
    <w:rsid w:val="00070E46"/>
    <w:rsid w:val="0007100B"/>
    <w:rsid w:val="00071084"/>
    <w:rsid w:val="000711C0"/>
    <w:rsid w:val="00071554"/>
    <w:rsid w:val="0007176F"/>
    <w:rsid w:val="000718D9"/>
    <w:rsid w:val="00071B1B"/>
    <w:rsid w:val="00071BFA"/>
    <w:rsid w:val="00071C9A"/>
    <w:rsid w:val="00071D6F"/>
    <w:rsid w:val="0007230C"/>
    <w:rsid w:val="000724AE"/>
    <w:rsid w:val="00072520"/>
    <w:rsid w:val="00072AA3"/>
    <w:rsid w:val="00072AE5"/>
    <w:rsid w:val="00072E94"/>
    <w:rsid w:val="00072F09"/>
    <w:rsid w:val="00072FD6"/>
    <w:rsid w:val="000732AF"/>
    <w:rsid w:val="00073788"/>
    <w:rsid w:val="00073908"/>
    <w:rsid w:val="0007465A"/>
    <w:rsid w:val="0007489A"/>
    <w:rsid w:val="00074BC9"/>
    <w:rsid w:val="00074CE6"/>
    <w:rsid w:val="00074E15"/>
    <w:rsid w:val="00074EA7"/>
    <w:rsid w:val="00075069"/>
    <w:rsid w:val="000751E6"/>
    <w:rsid w:val="00075261"/>
    <w:rsid w:val="000752E2"/>
    <w:rsid w:val="000755A2"/>
    <w:rsid w:val="00075679"/>
    <w:rsid w:val="000756C7"/>
    <w:rsid w:val="00075730"/>
    <w:rsid w:val="00075915"/>
    <w:rsid w:val="000759C9"/>
    <w:rsid w:val="00075A00"/>
    <w:rsid w:val="00075EDD"/>
    <w:rsid w:val="0007604A"/>
    <w:rsid w:val="00076313"/>
    <w:rsid w:val="000764E6"/>
    <w:rsid w:val="000768B1"/>
    <w:rsid w:val="00076920"/>
    <w:rsid w:val="00076B7D"/>
    <w:rsid w:val="00076BD8"/>
    <w:rsid w:val="00076C01"/>
    <w:rsid w:val="00076DD0"/>
    <w:rsid w:val="00076ECA"/>
    <w:rsid w:val="00076FBE"/>
    <w:rsid w:val="00077028"/>
    <w:rsid w:val="000775C5"/>
    <w:rsid w:val="000775EC"/>
    <w:rsid w:val="00077650"/>
    <w:rsid w:val="00077688"/>
    <w:rsid w:val="0007776A"/>
    <w:rsid w:val="000777A9"/>
    <w:rsid w:val="00077946"/>
    <w:rsid w:val="00077A76"/>
    <w:rsid w:val="00077D22"/>
    <w:rsid w:val="00077FFA"/>
    <w:rsid w:val="0008037D"/>
    <w:rsid w:val="0008038F"/>
    <w:rsid w:val="0008072D"/>
    <w:rsid w:val="00080ADC"/>
    <w:rsid w:val="00080C89"/>
    <w:rsid w:val="00080EA4"/>
    <w:rsid w:val="000811FC"/>
    <w:rsid w:val="00081392"/>
    <w:rsid w:val="00081438"/>
    <w:rsid w:val="0008186C"/>
    <w:rsid w:val="000819F5"/>
    <w:rsid w:val="00081AAD"/>
    <w:rsid w:val="00082291"/>
    <w:rsid w:val="000824FF"/>
    <w:rsid w:val="000825C5"/>
    <w:rsid w:val="000825E3"/>
    <w:rsid w:val="000825E5"/>
    <w:rsid w:val="00082949"/>
    <w:rsid w:val="00082B1F"/>
    <w:rsid w:val="00082BB2"/>
    <w:rsid w:val="00082BCE"/>
    <w:rsid w:val="00082EFA"/>
    <w:rsid w:val="00083499"/>
    <w:rsid w:val="0008353C"/>
    <w:rsid w:val="000837F0"/>
    <w:rsid w:val="0008383D"/>
    <w:rsid w:val="00083F6D"/>
    <w:rsid w:val="00083F8D"/>
    <w:rsid w:val="00083FCE"/>
    <w:rsid w:val="00084328"/>
    <w:rsid w:val="00084660"/>
    <w:rsid w:val="000847F0"/>
    <w:rsid w:val="000850FA"/>
    <w:rsid w:val="0008533C"/>
    <w:rsid w:val="00085466"/>
    <w:rsid w:val="000854D2"/>
    <w:rsid w:val="00085907"/>
    <w:rsid w:val="00085ECE"/>
    <w:rsid w:val="00085FB9"/>
    <w:rsid w:val="00086706"/>
    <w:rsid w:val="000867BD"/>
    <w:rsid w:val="00087094"/>
    <w:rsid w:val="0008773A"/>
    <w:rsid w:val="000878E3"/>
    <w:rsid w:val="00087B31"/>
    <w:rsid w:val="0009009C"/>
    <w:rsid w:val="000907BF"/>
    <w:rsid w:val="000908A5"/>
    <w:rsid w:val="000909FC"/>
    <w:rsid w:val="00090BD1"/>
    <w:rsid w:val="000910CB"/>
    <w:rsid w:val="000910FD"/>
    <w:rsid w:val="000911CE"/>
    <w:rsid w:val="00091286"/>
    <w:rsid w:val="00091667"/>
    <w:rsid w:val="000916D9"/>
    <w:rsid w:val="0009175E"/>
    <w:rsid w:val="0009177A"/>
    <w:rsid w:val="000919D6"/>
    <w:rsid w:val="000926DC"/>
    <w:rsid w:val="00092EFA"/>
    <w:rsid w:val="0009308A"/>
    <w:rsid w:val="0009369F"/>
    <w:rsid w:val="00093BF7"/>
    <w:rsid w:val="00093E8B"/>
    <w:rsid w:val="00093EDF"/>
    <w:rsid w:val="00093FD6"/>
    <w:rsid w:val="00093FEB"/>
    <w:rsid w:val="00094414"/>
    <w:rsid w:val="00094D28"/>
    <w:rsid w:val="00094FFE"/>
    <w:rsid w:val="000955EE"/>
    <w:rsid w:val="000956B7"/>
    <w:rsid w:val="00095777"/>
    <w:rsid w:val="00095892"/>
    <w:rsid w:val="00095C32"/>
    <w:rsid w:val="00095E76"/>
    <w:rsid w:val="00095F76"/>
    <w:rsid w:val="000961CF"/>
    <w:rsid w:val="00096877"/>
    <w:rsid w:val="000969E7"/>
    <w:rsid w:val="00096E60"/>
    <w:rsid w:val="00096F80"/>
    <w:rsid w:val="00097545"/>
    <w:rsid w:val="00097786"/>
    <w:rsid w:val="000978BB"/>
    <w:rsid w:val="00097C7B"/>
    <w:rsid w:val="00097F90"/>
    <w:rsid w:val="000A0204"/>
    <w:rsid w:val="000A02DC"/>
    <w:rsid w:val="000A0A80"/>
    <w:rsid w:val="000A0F08"/>
    <w:rsid w:val="000A0FF2"/>
    <w:rsid w:val="000A109D"/>
    <w:rsid w:val="000A122D"/>
    <w:rsid w:val="000A1957"/>
    <w:rsid w:val="000A1B93"/>
    <w:rsid w:val="000A1CBE"/>
    <w:rsid w:val="000A23B7"/>
    <w:rsid w:val="000A2623"/>
    <w:rsid w:val="000A29A2"/>
    <w:rsid w:val="000A2D96"/>
    <w:rsid w:val="000A3037"/>
    <w:rsid w:val="000A3568"/>
    <w:rsid w:val="000A35C5"/>
    <w:rsid w:val="000A35C8"/>
    <w:rsid w:val="000A38AA"/>
    <w:rsid w:val="000A3926"/>
    <w:rsid w:val="000A399D"/>
    <w:rsid w:val="000A39DC"/>
    <w:rsid w:val="000A3AF8"/>
    <w:rsid w:val="000A3BAD"/>
    <w:rsid w:val="000A422F"/>
    <w:rsid w:val="000A4AC7"/>
    <w:rsid w:val="000A4E6B"/>
    <w:rsid w:val="000A503B"/>
    <w:rsid w:val="000A536F"/>
    <w:rsid w:val="000A5503"/>
    <w:rsid w:val="000A56A3"/>
    <w:rsid w:val="000A59DD"/>
    <w:rsid w:val="000A5BCD"/>
    <w:rsid w:val="000A5CA9"/>
    <w:rsid w:val="000A5D54"/>
    <w:rsid w:val="000A660E"/>
    <w:rsid w:val="000A6675"/>
    <w:rsid w:val="000A6A31"/>
    <w:rsid w:val="000A6E27"/>
    <w:rsid w:val="000A705D"/>
    <w:rsid w:val="000A777A"/>
    <w:rsid w:val="000A78CA"/>
    <w:rsid w:val="000A79D1"/>
    <w:rsid w:val="000A7A79"/>
    <w:rsid w:val="000A7CD5"/>
    <w:rsid w:val="000B051A"/>
    <w:rsid w:val="000B06F4"/>
    <w:rsid w:val="000B1049"/>
    <w:rsid w:val="000B1798"/>
    <w:rsid w:val="000B17C7"/>
    <w:rsid w:val="000B1CA7"/>
    <w:rsid w:val="000B1F4D"/>
    <w:rsid w:val="000B2143"/>
    <w:rsid w:val="000B21B8"/>
    <w:rsid w:val="000B2439"/>
    <w:rsid w:val="000B2449"/>
    <w:rsid w:val="000B25D2"/>
    <w:rsid w:val="000B2AF8"/>
    <w:rsid w:val="000B2B13"/>
    <w:rsid w:val="000B2E7F"/>
    <w:rsid w:val="000B307E"/>
    <w:rsid w:val="000B330E"/>
    <w:rsid w:val="000B3493"/>
    <w:rsid w:val="000B39EF"/>
    <w:rsid w:val="000B3A01"/>
    <w:rsid w:val="000B3A84"/>
    <w:rsid w:val="000B3AD8"/>
    <w:rsid w:val="000B3C95"/>
    <w:rsid w:val="000B3E16"/>
    <w:rsid w:val="000B414B"/>
    <w:rsid w:val="000B41B4"/>
    <w:rsid w:val="000B4271"/>
    <w:rsid w:val="000B44B3"/>
    <w:rsid w:val="000B497F"/>
    <w:rsid w:val="000B4A72"/>
    <w:rsid w:val="000B4DEF"/>
    <w:rsid w:val="000B4F0D"/>
    <w:rsid w:val="000B4F60"/>
    <w:rsid w:val="000B5105"/>
    <w:rsid w:val="000B5177"/>
    <w:rsid w:val="000B5199"/>
    <w:rsid w:val="000B557B"/>
    <w:rsid w:val="000B558D"/>
    <w:rsid w:val="000B5775"/>
    <w:rsid w:val="000B59DE"/>
    <w:rsid w:val="000B5A9C"/>
    <w:rsid w:val="000B5EF5"/>
    <w:rsid w:val="000B64BE"/>
    <w:rsid w:val="000B64C0"/>
    <w:rsid w:val="000B6611"/>
    <w:rsid w:val="000B69A7"/>
    <w:rsid w:val="000B6CA2"/>
    <w:rsid w:val="000B6F81"/>
    <w:rsid w:val="000B74BF"/>
    <w:rsid w:val="000B7ABC"/>
    <w:rsid w:val="000B7DF4"/>
    <w:rsid w:val="000C0206"/>
    <w:rsid w:val="000C0396"/>
    <w:rsid w:val="000C0523"/>
    <w:rsid w:val="000C07DA"/>
    <w:rsid w:val="000C0882"/>
    <w:rsid w:val="000C0C5E"/>
    <w:rsid w:val="000C0E1A"/>
    <w:rsid w:val="000C1277"/>
    <w:rsid w:val="000C1AF0"/>
    <w:rsid w:val="000C1E5A"/>
    <w:rsid w:val="000C1EBF"/>
    <w:rsid w:val="000C1F90"/>
    <w:rsid w:val="000C23AD"/>
    <w:rsid w:val="000C2465"/>
    <w:rsid w:val="000C2565"/>
    <w:rsid w:val="000C26C8"/>
    <w:rsid w:val="000C27D0"/>
    <w:rsid w:val="000C287B"/>
    <w:rsid w:val="000C28F2"/>
    <w:rsid w:val="000C2B8D"/>
    <w:rsid w:val="000C330D"/>
    <w:rsid w:val="000C3310"/>
    <w:rsid w:val="000C340C"/>
    <w:rsid w:val="000C3560"/>
    <w:rsid w:val="000C4878"/>
    <w:rsid w:val="000C4A60"/>
    <w:rsid w:val="000C4C0B"/>
    <w:rsid w:val="000C51F0"/>
    <w:rsid w:val="000C55DB"/>
    <w:rsid w:val="000C567F"/>
    <w:rsid w:val="000C57FD"/>
    <w:rsid w:val="000C59CD"/>
    <w:rsid w:val="000C5B1B"/>
    <w:rsid w:val="000C5E66"/>
    <w:rsid w:val="000C5EE7"/>
    <w:rsid w:val="000C60BB"/>
    <w:rsid w:val="000C626C"/>
    <w:rsid w:val="000C6B77"/>
    <w:rsid w:val="000C6CAC"/>
    <w:rsid w:val="000C6D32"/>
    <w:rsid w:val="000C6D33"/>
    <w:rsid w:val="000C7350"/>
    <w:rsid w:val="000C7359"/>
    <w:rsid w:val="000C7496"/>
    <w:rsid w:val="000C763D"/>
    <w:rsid w:val="000C7820"/>
    <w:rsid w:val="000C784F"/>
    <w:rsid w:val="000C79A2"/>
    <w:rsid w:val="000C7DE5"/>
    <w:rsid w:val="000D00C0"/>
    <w:rsid w:val="000D0194"/>
    <w:rsid w:val="000D022D"/>
    <w:rsid w:val="000D08FB"/>
    <w:rsid w:val="000D0932"/>
    <w:rsid w:val="000D0AA6"/>
    <w:rsid w:val="000D0FE0"/>
    <w:rsid w:val="000D15C5"/>
    <w:rsid w:val="000D1A55"/>
    <w:rsid w:val="000D1CFB"/>
    <w:rsid w:val="000D216F"/>
    <w:rsid w:val="000D24CA"/>
    <w:rsid w:val="000D2526"/>
    <w:rsid w:val="000D25E8"/>
    <w:rsid w:val="000D27C1"/>
    <w:rsid w:val="000D2D08"/>
    <w:rsid w:val="000D2DB6"/>
    <w:rsid w:val="000D2E08"/>
    <w:rsid w:val="000D3128"/>
    <w:rsid w:val="000D3291"/>
    <w:rsid w:val="000D33D8"/>
    <w:rsid w:val="000D340E"/>
    <w:rsid w:val="000D37B2"/>
    <w:rsid w:val="000D39DA"/>
    <w:rsid w:val="000D3A0E"/>
    <w:rsid w:val="000D3C7B"/>
    <w:rsid w:val="000D3D43"/>
    <w:rsid w:val="000D4F29"/>
    <w:rsid w:val="000D5084"/>
    <w:rsid w:val="000D55BD"/>
    <w:rsid w:val="000D58CB"/>
    <w:rsid w:val="000D5F29"/>
    <w:rsid w:val="000D606D"/>
    <w:rsid w:val="000D61D5"/>
    <w:rsid w:val="000D62A2"/>
    <w:rsid w:val="000D6761"/>
    <w:rsid w:val="000D6877"/>
    <w:rsid w:val="000D68B7"/>
    <w:rsid w:val="000D6AD0"/>
    <w:rsid w:val="000D710B"/>
    <w:rsid w:val="000D722A"/>
    <w:rsid w:val="000D78E2"/>
    <w:rsid w:val="000D7BC6"/>
    <w:rsid w:val="000D7D60"/>
    <w:rsid w:val="000D7D9F"/>
    <w:rsid w:val="000D7FBA"/>
    <w:rsid w:val="000D7FC6"/>
    <w:rsid w:val="000E0F12"/>
    <w:rsid w:val="000E1161"/>
    <w:rsid w:val="000E1D4B"/>
    <w:rsid w:val="000E1F50"/>
    <w:rsid w:val="000E2128"/>
    <w:rsid w:val="000E222F"/>
    <w:rsid w:val="000E2608"/>
    <w:rsid w:val="000E268C"/>
    <w:rsid w:val="000E27EE"/>
    <w:rsid w:val="000E326B"/>
    <w:rsid w:val="000E32AA"/>
    <w:rsid w:val="000E32C0"/>
    <w:rsid w:val="000E3435"/>
    <w:rsid w:val="000E3491"/>
    <w:rsid w:val="000E3673"/>
    <w:rsid w:val="000E3758"/>
    <w:rsid w:val="000E4120"/>
    <w:rsid w:val="000E432B"/>
    <w:rsid w:val="000E43B0"/>
    <w:rsid w:val="000E456B"/>
    <w:rsid w:val="000E4810"/>
    <w:rsid w:val="000E481B"/>
    <w:rsid w:val="000E487C"/>
    <w:rsid w:val="000E48C4"/>
    <w:rsid w:val="000E52DD"/>
    <w:rsid w:val="000E5B91"/>
    <w:rsid w:val="000E5CE5"/>
    <w:rsid w:val="000E653D"/>
    <w:rsid w:val="000E6579"/>
    <w:rsid w:val="000E65D1"/>
    <w:rsid w:val="000E6799"/>
    <w:rsid w:val="000E68B8"/>
    <w:rsid w:val="000E731F"/>
    <w:rsid w:val="000E73E0"/>
    <w:rsid w:val="000E759C"/>
    <w:rsid w:val="000E7A4D"/>
    <w:rsid w:val="000E7A63"/>
    <w:rsid w:val="000E7E09"/>
    <w:rsid w:val="000E7EEC"/>
    <w:rsid w:val="000F0595"/>
    <w:rsid w:val="000F07C7"/>
    <w:rsid w:val="000F105A"/>
    <w:rsid w:val="000F1196"/>
    <w:rsid w:val="000F15DD"/>
    <w:rsid w:val="000F1802"/>
    <w:rsid w:val="000F1E7B"/>
    <w:rsid w:val="000F2194"/>
    <w:rsid w:val="000F2E4C"/>
    <w:rsid w:val="000F35DB"/>
    <w:rsid w:val="000F3784"/>
    <w:rsid w:val="000F3A7C"/>
    <w:rsid w:val="000F3B6D"/>
    <w:rsid w:val="000F3D23"/>
    <w:rsid w:val="000F3E50"/>
    <w:rsid w:val="000F3E53"/>
    <w:rsid w:val="000F4338"/>
    <w:rsid w:val="000F4488"/>
    <w:rsid w:val="000F48A1"/>
    <w:rsid w:val="000F4C1D"/>
    <w:rsid w:val="000F4E0B"/>
    <w:rsid w:val="000F4FBA"/>
    <w:rsid w:val="000F5501"/>
    <w:rsid w:val="000F5707"/>
    <w:rsid w:val="000F618C"/>
    <w:rsid w:val="000F61C0"/>
    <w:rsid w:val="000F61FC"/>
    <w:rsid w:val="000F6267"/>
    <w:rsid w:val="000F63A4"/>
    <w:rsid w:val="000F666E"/>
    <w:rsid w:val="000F6AD2"/>
    <w:rsid w:val="000F6C87"/>
    <w:rsid w:val="000F6F1F"/>
    <w:rsid w:val="000F6FB1"/>
    <w:rsid w:val="000F72C6"/>
    <w:rsid w:val="000F730D"/>
    <w:rsid w:val="000F7630"/>
    <w:rsid w:val="000F7690"/>
    <w:rsid w:val="000F7863"/>
    <w:rsid w:val="000F7C7B"/>
    <w:rsid w:val="000F7D5C"/>
    <w:rsid w:val="00100175"/>
    <w:rsid w:val="001005D6"/>
    <w:rsid w:val="00100648"/>
    <w:rsid w:val="001009CF"/>
    <w:rsid w:val="00100B45"/>
    <w:rsid w:val="00100C4A"/>
    <w:rsid w:val="00100CF7"/>
    <w:rsid w:val="00100EA8"/>
    <w:rsid w:val="00100FAB"/>
    <w:rsid w:val="0010111D"/>
    <w:rsid w:val="001013D1"/>
    <w:rsid w:val="00101952"/>
    <w:rsid w:val="0010211D"/>
    <w:rsid w:val="001024A3"/>
    <w:rsid w:val="00102595"/>
    <w:rsid w:val="001027D3"/>
    <w:rsid w:val="00102EB0"/>
    <w:rsid w:val="00102FC0"/>
    <w:rsid w:val="001030E1"/>
    <w:rsid w:val="00103294"/>
    <w:rsid w:val="00103622"/>
    <w:rsid w:val="00103CAD"/>
    <w:rsid w:val="00103EAB"/>
    <w:rsid w:val="0010427B"/>
    <w:rsid w:val="00104330"/>
    <w:rsid w:val="001045D3"/>
    <w:rsid w:val="00104715"/>
    <w:rsid w:val="001048D6"/>
    <w:rsid w:val="00104A62"/>
    <w:rsid w:val="00104D1C"/>
    <w:rsid w:val="00105406"/>
    <w:rsid w:val="00105731"/>
    <w:rsid w:val="00105A57"/>
    <w:rsid w:val="00105AC5"/>
    <w:rsid w:val="00105ACB"/>
    <w:rsid w:val="00105BD2"/>
    <w:rsid w:val="00105EDC"/>
    <w:rsid w:val="00106430"/>
    <w:rsid w:val="001068E2"/>
    <w:rsid w:val="00106F72"/>
    <w:rsid w:val="00107394"/>
    <w:rsid w:val="001077B7"/>
    <w:rsid w:val="00107CE0"/>
    <w:rsid w:val="00107E02"/>
    <w:rsid w:val="00107F48"/>
    <w:rsid w:val="00107F5F"/>
    <w:rsid w:val="001107C2"/>
    <w:rsid w:val="00111082"/>
    <w:rsid w:val="00111307"/>
    <w:rsid w:val="00111949"/>
    <w:rsid w:val="00111BF6"/>
    <w:rsid w:val="00111EE2"/>
    <w:rsid w:val="00111F3E"/>
    <w:rsid w:val="00111F4E"/>
    <w:rsid w:val="0011217E"/>
    <w:rsid w:val="00112931"/>
    <w:rsid w:val="00112955"/>
    <w:rsid w:val="001129E7"/>
    <w:rsid w:val="00112B36"/>
    <w:rsid w:val="00112E8F"/>
    <w:rsid w:val="00113134"/>
    <w:rsid w:val="00113906"/>
    <w:rsid w:val="00113927"/>
    <w:rsid w:val="00113BE2"/>
    <w:rsid w:val="0011472E"/>
    <w:rsid w:val="00114EAF"/>
    <w:rsid w:val="00115001"/>
    <w:rsid w:val="001152A3"/>
    <w:rsid w:val="00115A13"/>
    <w:rsid w:val="00115B61"/>
    <w:rsid w:val="00115FA6"/>
    <w:rsid w:val="001169B5"/>
    <w:rsid w:val="001169F3"/>
    <w:rsid w:val="00116A18"/>
    <w:rsid w:val="00116FDC"/>
    <w:rsid w:val="001173AA"/>
    <w:rsid w:val="0011743A"/>
    <w:rsid w:val="00117660"/>
    <w:rsid w:val="00117929"/>
    <w:rsid w:val="00117AF5"/>
    <w:rsid w:val="00117B96"/>
    <w:rsid w:val="00120792"/>
    <w:rsid w:val="00120A9C"/>
    <w:rsid w:val="00120EC9"/>
    <w:rsid w:val="0012105E"/>
    <w:rsid w:val="001211D9"/>
    <w:rsid w:val="0012155B"/>
    <w:rsid w:val="0012191D"/>
    <w:rsid w:val="00121C36"/>
    <w:rsid w:val="00121D85"/>
    <w:rsid w:val="001228A9"/>
    <w:rsid w:val="001228FD"/>
    <w:rsid w:val="00122F94"/>
    <w:rsid w:val="00123035"/>
    <w:rsid w:val="00123279"/>
    <w:rsid w:val="001233FC"/>
    <w:rsid w:val="00123873"/>
    <w:rsid w:val="0012389C"/>
    <w:rsid w:val="00123922"/>
    <w:rsid w:val="00123B84"/>
    <w:rsid w:val="00124AE2"/>
    <w:rsid w:val="00124AF6"/>
    <w:rsid w:val="0012513F"/>
    <w:rsid w:val="001256CD"/>
    <w:rsid w:val="00125871"/>
    <w:rsid w:val="00125C1A"/>
    <w:rsid w:val="00125FD0"/>
    <w:rsid w:val="0012677A"/>
    <w:rsid w:val="001267AD"/>
    <w:rsid w:val="001268BC"/>
    <w:rsid w:val="00126979"/>
    <w:rsid w:val="00126B41"/>
    <w:rsid w:val="00126C23"/>
    <w:rsid w:val="00126CDC"/>
    <w:rsid w:val="00126F0B"/>
    <w:rsid w:val="00127313"/>
    <w:rsid w:val="001274C4"/>
    <w:rsid w:val="00127AF8"/>
    <w:rsid w:val="00127DFD"/>
    <w:rsid w:val="00127E1E"/>
    <w:rsid w:val="001300CE"/>
    <w:rsid w:val="00130700"/>
    <w:rsid w:val="001309F6"/>
    <w:rsid w:val="00130C64"/>
    <w:rsid w:val="00130E73"/>
    <w:rsid w:val="001313D8"/>
    <w:rsid w:val="00131449"/>
    <w:rsid w:val="00131D42"/>
    <w:rsid w:val="00131FA0"/>
    <w:rsid w:val="0013217D"/>
    <w:rsid w:val="001325BC"/>
    <w:rsid w:val="00132B6A"/>
    <w:rsid w:val="00132B7C"/>
    <w:rsid w:val="00132C34"/>
    <w:rsid w:val="00132CC7"/>
    <w:rsid w:val="00133084"/>
    <w:rsid w:val="001330CD"/>
    <w:rsid w:val="00134331"/>
    <w:rsid w:val="00134539"/>
    <w:rsid w:val="00134564"/>
    <w:rsid w:val="00134CB8"/>
    <w:rsid w:val="00134D4E"/>
    <w:rsid w:val="00134E29"/>
    <w:rsid w:val="001351E3"/>
    <w:rsid w:val="001352DA"/>
    <w:rsid w:val="00135325"/>
    <w:rsid w:val="001353A8"/>
    <w:rsid w:val="001355A7"/>
    <w:rsid w:val="001355B1"/>
    <w:rsid w:val="001359D9"/>
    <w:rsid w:val="00135A65"/>
    <w:rsid w:val="00135E43"/>
    <w:rsid w:val="00135EB2"/>
    <w:rsid w:val="001363AF"/>
    <w:rsid w:val="00136557"/>
    <w:rsid w:val="00136632"/>
    <w:rsid w:val="00136A00"/>
    <w:rsid w:val="00136E9F"/>
    <w:rsid w:val="0013722E"/>
    <w:rsid w:val="0013736A"/>
    <w:rsid w:val="0013748E"/>
    <w:rsid w:val="001375DE"/>
    <w:rsid w:val="0013781E"/>
    <w:rsid w:val="001379AA"/>
    <w:rsid w:val="00137CB9"/>
    <w:rsid w:val="00137CC3"/>
    <w:rsid w:val="00137FAB"/>
    <w:rsid w:val="00140093"/>
    <w:rsid w:val="001401D7"/>
    <w:rsid w:val="001401E0"/>
    <w:rsid w:val="0014020B"/>
    <w:rsid w:val="00140FA4"/>
    <w:rsid w:val="00141A31"/>
    <w:rsid w:val="00141A3E"/>
    <w:rsid w:val="00141E4F"/>
    <w:rsid w:val="00142043"/>
    <w:rsid w:val="0014238E"/>
    <w:rsid w:val="00142555"/>
    <w:rsid w:val="001426F6"/>
    <w:rsid w:val="0014280C"/>
    <w:rsid w:val="00142C0B"/>
    <w:rsid w:val="0014342E"/>
    <w:rsid w:val="00143A46"/>
    <w:rsid w:val="001440DF"/>
    <w:rsid w:val="001441F2"/>
    <w:rsid w:val="001442D8"/>
    <w:rsid w:val="001446DB"/>
    <w:rsid w:val="00144767"/>
    <w:rsid w:val="001447FA"/>
    <w:rsid w:val="001448DF"/>
    <w:rsid w:val="00144FD2"/>
    <w:rsid w:val="00145BF3"/>
    <w:rsid w:val="00145EDB"/>
    <w:rsid w:val="00146145"/>
    <w:rsid w:val="00146646"/>
    <w:rsid w:val="00146AA5"/>
    <w:rsid w:val="00146AAC"/>
    <w:rsid w:val="00146ED3"/>
    <w:rsid w:val="00147137"/>
    <w:rsid w:val="00147571"/>
    <w:rsid w:val="00147C6C"/>
    <w:rsid w:val="00147E64"/>
    <w:rsid w:val="00147EBD"/>
    <w:rsid w:val="00147F8C"/>
    <w:rsid w:val="00147FD1"/>
    <w:rsid w:val="001500EA"/>
    <w:rsid w:val="00150AE2"/>
    <w:rsid w:val="00150C90"/>
    <w:rsid w:val="00150ED2"/>
    <w:rsid w:val="001516CB"/>
    <w:rsid w:val="00151763"/>
    <w:rsid w:val="0015185C"/>
    <w:rsid w:val="00151B48"/>
    <w:rsid w:val="00151CD1"/>
    <w:rsid w:val="0015203E"/>
    <w:rsid w:val="00152085"/>
    <w:rsid w:val="00152155"/>
    <w:rsid w:val="0015238F"/>
    <w:rsid w:val="00152921"/>
    <w:rsid w:val="001529DB"/>
    <w:rsid w:val="00152C96"/>
    <w:rsid w:val="001530FC"/>
    <w:rsid w:val="00153539"/>
    <w:rsid w:val="00153BEC"/>
    <w:rsid w:val="00153D6D"/>
    <w:rsid w:val="00153E67"/>
    <w:rsid w:val="00154320"/>
    <w:rsid w:val="00154BF7"/>
    <w:rsid w:val="00154E0D"/>
    <w:rsid w:val="0015500E"/>
    <w:rsid w:val="00155098"/>
    <w:rsid w:val="00155396"/>
    <w:rsid w:val="00155405"/>
    <w:rsid w:val="001558C2"/>
    <w:rsid w:val="00155C22"/>
    <w:rsid w:val="001561C7"/>
    <w:rsid w:val="001563AF"/>
    <w:rsid w:val="00156B7B"/>
    <w:rsid w:val="00157121"/>
    <w:rsid w:val="001576F0"/>
    <w:rsid w:val="00157B73"/>
    <w:rsid w:val="0016001B"/>
    <w:rsid w:val="001600E9"/>
    <w:rsid w:val="00160FEC"/>
    <w:rsid w:val="001610E5"/>
    <w:rsid w:val="00161328"/>
    <w:rsid w:val="001619EB"/>
    <w:rsid w:val="00161A00"/>
    <w:rsid w:val="00161BC8"/>
    <w:rsid w:val="00161EB7"/>
    <w:rsid w:val="00161FB9"/>
    <w:rsid w:val="00162114"/>
    <w:rsid w:val="001623A7"/>
    <w:rsid w:val="0016260D"/>
    <w:rsid w:val="00162D9B"/>
    <w:rsid w:val="0016346F"/>
    <w:rsid w:val="001636DE"/>
    <w:rsid w:val="001637CB"/>
    <w:rsid w:val="00163C26"/>
    <w:rsid w:val="00164288"/>
    <w:rsid w:val="001648F4"/>
    <w:rsid w:val="00164AFE"/>
    <w:rsid w:val="00164C88"/>
    <w:rsid w:val="00165012"/>
    <w:rsid w:val="0016502F"/>
    <w:rsid w:val="001656EC"/>
    <w:rsid w:val="00165F3F"/>
    <w:rsid w:val="001663D2"/>
    <w:rsid w:val="00166648"/>
    <w:rsid w:val="00166AFB"/>
    <w:rsid w:val="00166D39"/>
    <w:rsid w:val="001670C6"/>
    <w:rsid w:val="0016740F"/>
    <w:rsid w:val="0016774F"/>
    <w:rsid w:val="00167A85"/>
    <w:rsid w:val="00167EFB"/>
    <w:rsid w:val="001701ED"/>
    <w:rsid w:val="00170414"/>
    <w:rsid w:val="001706D3"/>
    <w:rsid w:val="00170AE5"/>
    <w:rsid w:val="0017112D"/>
    <w:rsid w:val="001713BC"/>
    <w:rsid w:val="001714F3"/>
    <w:rsid w:val="001715F7"/>
    <w:rsid w:val="00171868"/>
    <w:rsid w:val="00171C95"/>
    <w:rsid w:val="00171E06"/>
    <w:rsid w:val="001721F9"/>
    <w:rsid w:val="00172298"/>
    <w:rsid w:val="00172F20"/>
    <w:rsid w:val="0017321B"/>
    <w:rsid w:val="0017354D"/>
    <w:rsid w:val="00173D55"/>
    <w:rsid w:val="0017447F"/>
    <w:rsid w:val="00174669"/>
    <w:rsid w:val="001748DD"/>
    <w:rsid w:val="00174938"/>
    <w:rsid w:val="00174C2C"/>
    <w:rsid w:val="00174C44"/>
    <w:rsid w:val="00174DD3"/>
    <w:rsid w:val="00174E53"/>
    <w:rsid w:val="00174E87"/>
    <w:rsid w:val="00175257"/>
    <w:rsid w:val="00175397"/>
    <w:rsid w:val="001753FF"/>
    <w:rsid w:val="00175476"/>
    <w:rsid w:val="0017559D"/>
    <w:rsid w:val="00175BD4"/>
    <w:rsid w:val="00175D80"/>
    <w:rsid w:val="00175F98"/>
    <w:rsid w:val="00175FDA"/>
    <w:rsid w:val="00176071"/>
    <w:rsid w:val="001769E3"/>
    <w:rsid w:val="00176C32"/>
    <w:rsid w:val="00176E0C"/>
    <w:rsid w:val="00177090"/>
    <w:rsid w:val="0017733D"/>
    <w:rsid w:val="00177BD9"/>
    <w:rsid w:val="00177CE7"/>
    <w:rsid w:val="00177EAE"/>
    <w:rsid w:val="00180135"/>
    <w:rsid w:val="00180906"/>
    <w:rsid w:val="00180DA1"/>
    <w:rsid w:val="00181062"/>
    <w:rsid w:val="00181943"/>
    <w:rsid w:val="00181B47"/>
    <w:rsid w:val="00181B63"/>
    <w:rsid w:val="00181F33"/>
    <w:rsid w:val="0018219B"/>
    <w:rsid w:val="0018235D"/>
    <w:rsid w:val="00182388"/>
    <w:rsid w:val="00182529"/>
    <w:rsid w:val="001829BE"/>
    <w:rsid w:val="00182C6D"/>
    <w:rsid w:val="00182D40"/>
    <w:rsid w:val="0018322B"/>
    <w:rsid w:val="001832A1"/>
    <w:rsid w:val="00183373"/>
    <w:rsid w:val="00183484"/>
    <w:rsid w:val="00183581"/>
    <w:rsid w:val="001837C0"/>
    <w:rsid w:val="001839F6"/>
    <w:rsid w:val="00183BF9"/>
    <w:rsid w:val="00184307"/>
    <w:rsid w:val="00184FE2"/>
    <w:rsid w:val="0018502C"/>
    <w:rsid w:val="00185141"/>
    <w:rsid w:val="0018550F"/>
    <w:rsid w:val="0018565C"/>
    <w:rsid w:val="00185A34"/>
    <w:rsid w:val="00185C9B"/>
    <w:rsid w:val="00185CAB"/>
    <w:rsid w:val="00185F54"/>
    <w:rsid w:val="00186121"/>
    <w:rsid w:val="00186676"/>
    <w:rsid w:val="001868CE"/>
    <w:rsid w:val="00186A47"/>
    <w:rsid w:val="00186C77"/>
    <w:rsid w:val="00186EE8"/>
    <w:rsid w:val="001873A7"/>
    <w:rsid w:val="00187F05"/>
    <w:rsid w:val="001901C5"/>
    <w:rsid w:val="00190344"/>
    <w:rsid w:val="001905B9"/>
    <w:rsid w:val="00190687"/>
    <w:rsid w:val="00190843"/>
    <w:rsid w:val="00190B62"/>
    <w:rsid w:val="00190DB4"/>
    <w:rsid w:val="00191025"/>
    <w:rsid w:val="001910BD"/>
    <w:rsid w:val="0019182D"/>
    <w:rsid w:val="00191C10"/>
    <w:rsid w:val="0019280A"/>
    <w:rsid w:val="00192817"/>
    <w:rsid w:val="001928CC"/>
    <w:rsid w:val="00192EFC"/>
    <w:rsid w:val="00193722"/>
    <w:rsid w:val="00193998"/>
    <w:rsid w:val="00193ACC"/>
    <w:rsid w:val="00193DAF"/>
    <w:rsid w:val="00193ED9"/>
    <w:rsid w:val="00194206"/>
    <w:rsid w:val="0019441F"/>
    <w:rsid w:val="00194680"/>
    <w:rsid w:val="00194BAC"/>
    <w:rsid w:val="00194E51"/>
    <w:rsid w:val="00194F1D"/>
    <w:rsid w:val="001951E5"/>
    <w:rsid w:val="001957BF"/>
    <w:rsid w:val="00195B23"/>
    <w:rsid w:val="00195D71"/>
    <w:rsid w:val="00195E00"/>
    <w:rsid w:val="00195FB1"/>
    <w:rsid w:val="00196169"/>
    <w:rsid w:val="00196BD8"/>
    <w:rsid w:val="00196DDE"/>
    <w:rsid w:val="0019716F"/>
    <w:rsid w:val="001979F8"/>
    <w:rsid w:val="00197B8B"/>
    <w:rsid w:val="00197C2A"/>
    <w:rsid w:val="00197C32"/>
    <w:rsid w:val="001A0191"/>
    <w:rsid w:val="001A01BE"/>
    <w:rsid w:val="001A0673"/>
    <w:rsid w:val="001A0A15"/>
    <w:rsid w:val="001A0B1E"/>
    <w:rsid w:val="001A0CC5"/>
    <w:rsid w:val="001A0D77"/>
    <w:rsid w:val="001A108D"/>
    <w:rsid w:val="001A10EE"/>
    <w:rsid w:val="001A1792"/>
    <w:rsid w:val="001A196A"/>
    <w:rsid w:val="001A19F2"/>
    <w:rsid w:val="001A1D91"/>
    <w:rsid w:val="001A1D95"/>
    <w:rsid w:val="001A23AA"/>
    <w:rsid w:val="001A2565"/>
    <w:rsid w:val="001A25BD"/>
    <w:rsid w:val="001A2789"/>
    <w:rsid w:val="001A29B7"/>
    <w:rsid w:val="001A2F03"/>
    <w:rsid w:val="001A2F9C"/>
    <w:rsid w:val="001A3310"/>
    <w:rsid w:val="001A37E4"/>
    <w:rsid w:val="001A3CED"/>
    <w:rsid w:val="001A41DB"/>
    <w:rsid w:val="001A4237"/>
    <w:rsid w:val="001A43E0"/>
    <w:rsid w:val="001A4C6D"/>
    <w:rsid w:val="001A4D1C"/>
    <w:rsid w:val="001A4D40"/>
    <w:rsid w:val="001A4D44"/>
    <w:rsid w:val="001A52FF"/>
    <w:rsid w:val="001A535A"/>
    <w:rsid w:val="001A5826"/>
    <w:rsid w:val="001A583E"/>
    <w:rsid w:val="001A5B5A"/>
    <w:rsid w:val="001A61C4"/>
    <w:rsid w:val="001A630E"/>
    <w:rsid w:val="001A66A9"/>
    <w:rsid w:val="001A678A"/>
    <w:rsid w:val="001A67D3"/>
    <w:rsid w:val="001A68D6"/>
    <w:rsid w:val="001A6A34"/>
    <w:rsid w:val="001A6F89"/>
    <w:rsid w:val="001A7138"/>
    <w:rsid w:val="001A7435"/>
    <w:rsid w:val="001A7CE7"/>
    <w:rsid w:val="001A7EAF"/>
    <w:rsid w:val="001B0683"/>
    <w:rsid w:val="001B0A88"/>
    <w:rsid w:val="001B0D13"/>
    <w:rsid w:val="001B0DD2"/>
    <w:rsid w:val="001B0E0C"/>
    <w:rsid w:val="001B0F08"/>
    <w:rsid w:val="001B12BA"/>
    <w:rsid w:val="001B137E"/>
    <w:rsid w:val="001B1406"/>
    <w:rsid w:val="001B1475"/>
    <w:rsid w:val="001B1762"/>
    <w:rsid w:val="001B17AC"/>
    <w:rsid w:val="001B1AB1"/>
    <w:rsid w:val="001B1C76"/>
    <w:rsid w:val="001B1CF7"/>
    <w:rsid w:val="001B1D28"/>
    <w:rsid w:val="001B1D33"/>
    <w:rsid w:val="001B1E6C"/>
    <w:rsid w:val="001B2200"/>
    <w:rsid w:val="001B241F"/>
    <w:rsid w:val="001B2557"/>
    <w:rsid w:val="001B2B10"/>
    <w:rsid w:val="001B2BAC"/>
    <w:rsid w:val="001B2CBB"/>
    <w:rsid w:val="001B2F21"/>
    <w:rsid w:val="001B3124"/>
    <w:rsid w:val="001B336C"/>
    <w:rsid w:val="001B35FB"/>
    <w:rsid w:val="001B395C"/>
    <w:rsid w:val="001B3BC1"/>
    <w:rsid w:val="001B3DAD"/>
    <w:rsid w:val="001B42EA"/>
    <w:rsid w:val="001B4555"/>
    <w:rsid w:val="001B47DF"/>
    <w:rsid w:val="001B4B56"/>
    <w:rsid w:val="001B4FFE"/>
    <w:rsid w:val="001B5351"/>
    <w:rsid w:val="001B5563"/>
    <w:rsid w:val="001B5755"/>
    <w:rsid w:val="001B588D"/>
    <w:rsid w:val="001B5AE5"/>
    <w:rsid w:val="001B6197"/>
    <w:rsid w:val="001B6B02"/>
    <w:rsid w:val="001B6B9E"/>
    <w:rsid w:val="001B6C6A"/>
    <w:rsid w:val="001B6DF7"/>
    <w:rsid w:val="001B6F7E"/>
    <w:rsid w:val="001B7404"/>
    <w:rsid w:val="001B7512"/>
    <w:rsid w:val="001B7527"/>
    <w:rsid w:val="001B759D"/>
    <w:rsid w:val="001B767E"/>
    <w:rsid w:val="001B7BDC"/>
    <w:rsid w:val="001B7D1E"/>
    <w:rsid w:val="001C0BBE"/>
    <w:rsid w:val="001C1775"/>
    <w:rsid w:val="001C179E"/>
    <w:rsid w:val="001C1A4A"/>
    <w:rsid w:val="001C20F4"/>
    <w:rsid w:val="001C246E"/>
    <w:rsid w:val="001C28BC"/>
    <w:rsid w:val="001C2952"/>
    <w:rsid w:val="001C2A6C"/>
    <w:rsid w:val="001C30AF"/>
    <w:rsid w:val="001C34C5"/>
    <w:rsid w:val="001C399C"/>
    <w:rsid w:val="001C3F48"/>
    <w:rsid w:val="001C4258"/>
    <w:rsid w:val="001C4594"/>
    <w:rsid w:val="001C468D"/>
    <w:rsid w:val="001C50AB"/>
    <w:rsid w:val="001C515C"/>
    <w:rsid w:val="001C643C"/>
    <w:rsid w:val="001C6A1A"/>
    <w:rsid w:val="001C6A46"/>
    <w:rsid w:val="001C702D"/>
    <w:rsid w:val="001C759E"/>
    <w:rsid w:val="001C77A4"/>
    <w:rsid w:val="001C7835"/>
    <w:rsid w:val="001C7ECF"/>
    <w:rsid w:val="001D013E"/>
    <w:rsid w:val="001D0228"/>
    <w:rsid w:val="001D0240"/>
    <w:rsid w:val="001D0300"/>
    <w:rsid w:val="001D046C"/>
    <w:rsid w:val="001D11BD"/>
    <w:rsid w:val="001D1494"/>
    <w:rsid w:val="001D14A3"/>
    <w:rsid w:val="001D171B"/>
    <w:rsid w:val="001D1912"/>
    <w:rsid w:val="001D1F2B"/>
    <w:rsid w:val="001D2318"/>
    <w:rsid w:val="001D2C5A"/>
    <w:rsid w:val="001D2F54"/>
    <w:rsid w:val="001D3168"/>
    <w:rsid w:val="001D36E9"/>
    <w:rsid w:val="001D3701"/>
    <w:rsid w:val="001D3B5C"/>
    <w:rsid w:val="001D3F65"/>
    <w:rsid w:val="001D3F98"/>
    <w:rsid w:val="001D4050"/>
    <w:rsid w:val="001D40EC"/>
    <w:rsid w:val="001D53A8"/>
    <w:rsid w:val="001D5429"/>
    <w:rsid w:val="001D54FF"/>
    <w:rsid w:val="001D551E"/>
    <w:rsid w:val="001D590A"/>
    <w:rsid w:val="001D5993"/>
    <w:rsid w:val="001D5FAA"/>
    <w:rsid w:val="001D6179"/>
    <w:rsid w:val="001D65B5"/>
    <w:rsid w:val="001D6E7F"/>
    <w:rsid w:val="001D7385"/>
    <w:rsid w:val="001D74A0"/>
    <w:rsid w:val="001D75F6"/>
    <w:rsid w:val="001D762B"/>
    <w:rsid w:val="001D7B81"/>
    <w:rsid w:val="001D7D9B"/>
    <w:rsid w:val="001D7E8A"/>
    <w:rsid w:val="001E052C"/>
    <w:rsid w:val="001E05BA"/>
    <w:rsid w:val="001E0BBB"/>
    <w:rsid w:val="001E0ED7"/>
    <w:rsid w:val="001E12DD"/>
    <w:rsid w:val="001E14CE"/>
    <w:rsid w:val="001E17B9"/>
    <w:rsid w:val="001E181B"/>
    <w:rsid w:val="001E194F"/>
    <w:rsid w:val="001E19B1"/>
    <w:rsid w:val="001E23E2"/>
    <w:rsid w:val="001E29B6"/>
    <w:rsid w:val="001E2BED"/>
    <w:rsid w:val="001E3633"/>
    <w:rsid w:val="001E37F1"/>
    <w:rsid w:val="001E386A"/>
    <w:rsid w:val="001E393E"/>
    <w:rsid w:val="001E3AB3"/>
    <w:rsid w:val="001E3BC7"/>
    <w:rsid w:val="001E424D"/>
    <w:rsid w:val="001E4334"/>
    <w:rsid w:val="001E4371"/>
    <w:rsid w:val="001E43DE"/>
    <w:rsid w:val="001E4795"/>
    <w:rsid w:val="001E47F0"/>
    <w:rsid w:val="001E4941"/>
    <w:rsid w:val="001E4DA2"/>
    <w:rsid w:val="001E4FB2"/>
    <w:rsid w:val="001E55E4"/>
    <w:rsid w:val="001E560B"/>
    <w:rsid w:val="001E6BB5"/>
    <w:rsid w:val="001E6CF6"/>
    <w:rsid w:val="001E75A6"/>
    <w:rsid w:val="001E765E"/>
    <w:rsid w:val="001E79E3"/>
    <w:rsid w:val="001E7A0A"/>
    <w:rsid w:val="001F00E9"/>
    <w:rsid w:val="001F0199"/>
    <w:rsid w:val="001F0232"/>
    <w:rsid w:val="001F0393"/>
    <w:rsid w:val="001F07A6"/>
    <w:rsid w:val="001F0939"/>
    <w:rsid w:val="001F0A81"/>
    <w:rsid w:val="001F0AF7"/>
    <w:rsid w:val="001F1288"/>
    <w:rsid w:val="001F13C1"/>
    <w:rsid w:val="001F16EF"/>
    <w:rsid w:val="001F1781"/>
    <w:rsid w:val="001F1E9A"/>
    <w:rsid w:val="001F1F19"/>
    <w:rsid w:val="001F1F71"/>
    <w:rsid w:val="001F2592"/>
    <w:rsid w:val="001F29AC"/>
    <w:rsid w:val="001F2B98"/>
    <w:rsid w:val="001F2C4C"/>
    <w:rsid w:val="001F2E12"/>
    <w:rsid w:val="001F2F79"/>
    <w:rsid w:val="001F34F1"/>
    <w:rsid w:val="001F3572"/>
    <w:rsid w:val="001F3590"/>
    <w:rsid w:val="001F36AF"/>
    <w:rsid w:val="001F3820"/>
    <w:rsid w:val="001F3B5A"/>
    <w:rsid w:val="001F3BA5"/>
    <w:rsid w:val="001F41D3"/>
    <w:rsid w:val="001F446D"/>
    <w:rsid w:val="001F477B"/>
    <w:rsid w:val="001F478E"/>
    <w:rsid w:val="001F4A1C"/>
    <w:rsid w:val="001F4B3E"/>
    <w:rsid w:val="001F4BD0"/>
    <w:rsid w:val="001F4DBB"/>
    <w:rsid w:val="001F4E2D"/>
    <w:rsid w:val="001F4FC3"/>
    <w:rsid w:val="001F500D"/>
    <w:rsid w:val="001F5118"/>
    <w:rsid w:val="001F52DB"/>
    <w:rsid w:val="001F5FB6"/>
    <w:rsid w:val="001F625B"/>
    <w:rsid w:val="001F62A5"/>
    <w:rsid w:val="001F6649"/>
    <w:rsid w:val="001F6662"/>
    <w:rsid w:val="001F6696"/>
    <w:rsid w:val="001F67B4"/>
    <w:rsid w:val="001F6B0A"/>
    <w:rsid w:val="001F6CB0"/>
    <w:rsid w:val="001F6E3D"/>
    <w:rsid w:val="001F6F44"/>
    <w:rsid w:val="001F702B"/>
    <w:rsid w:val="001F7089"/>
    <w:rsid w:val="001F70FC"/>
    <w:rsid w:val="001F717D"/>
    <w:rsid w:val="001F7B41"/>
    <w:rsid w:val="001F7D26"/>
    <w:rsid w:val="002000E5"/>
    <w:rsid w:val="002000F5"/>
    <w:rsid w:val="00200594"/>
    <w:rsid w:val="0020068E"/>
    <w:rsid w:val="0020085E"/>
    <w:rsid w:val="0020091F"/>
    <w:rsid w:val="002009FA"/>
    <w:rsid w:val="00200A29"/>
    <w:rsid w:val="00200A7D"/>
    <w:rsid w:val="00200EAE"/>
    <w:rsid w:val="00201024"/>
    <w:rsid w:val="002010C8"/>
    <w:rsid w:val="0020116F"/>
    <w:rsid w:val="00201320"/>
    <w:rsid w:val="00201851"/>
    <w:rsid w:val="00201993"/>
    <w:rsid w:val="00201AFA"/>
    <w:rsid w:val="00201B84"/>
    <w:rsid w:val="00201C1B"/>
    <w:rsid w:val="00201F78"/>
    <w:rsid w:val="0020204A"/>
    <w:rsid w:val="00202156"/>
    <w:rsid w:val="00202349"/>
    <w:rsid w:val="0020283E"/>
    <w:rsid w:val="002028D4"/>
    <w:rsid w:val="00202E32"/>
    <w:rsid w:val="00203D10"/>
    <w:rsid w:val="00203FE8"/>
    <w:rsid w:val="00204178"/>
    <w:rsid w:val="002042A2"/>
    <w:rsid w:val="002044C0"/>
    <w:rsid w:val="00204642"/>
    <w:rsid w:val="00204A9A"/>
    <w:rsid w:val="00204C47"/>
    <w:rsid w:val="00204C88"/>
    <w:rsid w:val="00204F1D"/>
    <w:rsid w:val="00204F3A"/>
    <w:rsid w:val="00205196"/>
    <w:rsid w:val="0020534D"/>
    <w:rsid w:val="00206530"/>
    <w:rsid w:val="00206F95"/>
    <w:rsid w:val="00207099"/>
    <w:rsid w:val="002070F7"/>
    <w:rsid w:val="002079DA"/>
    <w:rsid w:val="00207A14"/>
    <w:rsid w:val="00207C95"/>
    <w:rsid w:val="00207DCD"/>
    <w:rsid w:val="002102E0"/>
    <w:rsid w:val="002102E1"/>
    <w:rsid w:val="0021030C"/>
    <w:rsid w:val="002107A8"/>
    <w:rsid w:val="00210D91"/>
    <w:rsid w:val="00210DC3"/>
    <w:rsid w:val="00211072"/>
    <w:rsid w:val="002112EC"/>
    <w:rsid w:val="002114D6"/>
    <w:rsid w:val="00211611"/>
    <w:rsid w:val="002116FE"/>
    <w:rsid w:val="002117E6"/>
    <w:rsid w:val="00211F2F"/>
    <w:rsid w:val="002127CE"/>
    <w:rsid w:val="00212DC7"/>
    <w:rsid w:val="002134AB"/>
    <w:rsid w:val="00213594"/>
    <w:rsid w:val="002136B8"/>
    <w:rsid w:val="0021372C"/>
    <w:rsid w:val="0021404B"/>
    <w:rsid w:val="002141B5"/>
    <w:rsid w:val="002145E8"/>
    <w:rsid w:val="0021462A"/>
    <w:rsid w:val="002146FA"/>
    <w:rsid w:val="00214EBE"/>
    <w:rsid w:val="00214F09"/>
    <w:rsid w:val="00215255"/>
    <w:rsid w:val="002152D0"/>
    <w:rsid w:val="002159EE"/>
    <w:rsid w:val="00215B64"/>
    <w:rsid w:val="00215C99"/>
    <w:rsid w:val="00215CDB"/>
    <w:rsid w:val="00215CFE"/>
    <w:rsid w:val="00215FD8"/>
    <w:rsid w:val="002161C2"/>
    <w:rsid w:val="0021620D"/>
    <w:rsid w:val="00216372"/>
    <w:rsid w:val="002163DD"/>
    <w:rsid w:val="0021661D"/>
    <w:rsid w:val="0021674D"/>
    <w:rsid w:val="00217522"/>
    <w:rsid w:val="00217B86"/>
    <w:rsid w:val="0022027D"/>
    <w:rsid w:val="002203EB"/>
    <w:rsid w:val="00220755"/>
    <w:rsid w:val="002209B5"/>
    <w:rsid w:val="00220A50"/>
    <w:rsid w:val="00220ED9"/>
    <w:rsid w:val="00220F67"/>
    <w:rsid w:val="0022120D"/>
    <w:rsid w:val="00221800"/>
    <w:rsid w:val="0022181A"/>
    <w:rsid w:val="00221AB7"/>
    <w:rsid w:val="002222B0"/>
    <w:rsid w:val="0022263D"/>
    <w:rsid w:val="00222749"/>
    <w:rsid w:val="00222A98"/>
    <w:rsid w:val="00222F4C"/>
    <w:rsid w:val="002237AD"/>
    <w:rsid w:val="002239DF"/>
    <w:rsid w:val="002240DE"/>
    <w:rsid w:val="00224204"/>
    <w:rsid w:val="0022423A"/>
    <w:rsid w:val="0022428D"/>
    <w:rsid w:val="00224766"/>
    <w:rsid w:val="00224ED1"/>
    <w:rsid w:val="00225897"/>
    <w:rsid w:val="00225BA5"/>
    <w:rsid w:val="00225ECC"/>
    <w:rsid w:val="00225F42"/>
    <w:rsid w:val="00225F77"/>
    <w:rsid w:val="00226087"/>
    <w:rsid w:val="002275B4"/>
    <w:rsid w:val="002275CB"/>
    <w:rsid w:val="0022764D"/>
    <w:rsid w:val="002276E8"/>
    <w:rsid w:val="00227712"/>
    <w:rsid w:val="00227759"/>
    <w:rsid w:val="00227C07"/>
    <w:rsid w:val="00227E21"/>
    <w:rsid w:val="00227E63"/>
    <w:rsid w:val="00227F05"/>
    <w:rsid w:val="00230380"/>
    <w:rsid w:val="00230423"/>
    <w:rsid w:val="0023089B"/>
    <w:rsid w:val="00230992"/>
    <w:rsid w:val="00230EFF"/>
    <w:rsid w:val="002313EC"/>
    <w:rsid w:val="00231522"/>
    <w:rsid w:val="00231784"/>
    <w:rsid w:val="0023201A"/>
    <w:rsid w:val="00232170"/>
    <w:rsid w:val="00232496"/>
    <w:rsid w:val="002328AA"/>
    <w:rsid w:val="00232911"/>
    <w:rsid w:val="00232B63"/>
    <w:rsid w:val="0023310D"/>
    <w:rsid w:val="0023389D"/>
    <w:rsid w:val="002341C6"/>
    <w:rsid w:val="002344B7"/>
    <w:rsid w:val="0023465E"/>
    <w:rsid w:val="002346DB"/>
    <w:rsid w:val="00235346"/>
    <w:rsid w:val="0023588B"/>
    <w:rsid w:val="00235975"/>
    <w:rsid w:val="00235AB4"/>
    <w:rsid w:val="00235B50"/>
    <w:rsid w:val="0023698E"/>
    <w:rsid w:val="00236B37"/>
    <w:rsid w:val="00236CAA"/>
    <w:rsid w:val="00236EA1"/>
    <w:rsid w:val="0023702C"/>
    <w:rsid w:val="00237058"/>
    <w:rsid w:val="00237681"/>
    <w:rsid w:val="0023789C"/>
    <w:rsid w:val="00237A1C"/>
    <w:rsid w:val="00237AE6"/>
    <w:rsid w:val="00237FA8"/>
    <w:rsid w:val="00240A7E"/>
    <w:rsid w:val="00240F09"/>
    <w:rsid w:val="002417A9"/>
    <w:rsid w:val="00241A1C"/>
    <w:rsid w:val="00242F97"/>
    <w:rsid w:val="002435D4"/>
    <w:rsid w:val="00243797"/>
    <w:rsid w:val="0024386D"/>
    <w:rsid w:val="00243CED"/>
    <w:rsid w:val="00244208"/>
    <w:rsid w:val="00244392"/>
    <w:rsid w:val="00244984"/>
    <w:rsid w:val="0024498C"/>
    <w:rsid w:val="002449D3"/>
    <w:rsid w:val="00244BF5"/>
    <w:rsid w:val="00244C21"/>
    <w:rsid w:val="00244CED"/>
    <w:rsid w:val="0024541A"/>
    <w:rsid w:val="002457CD"/>
    <w:rsid w:val="002457DD"/>
    <w:rsid w:val="002457DE"/>
    <w:rsid w:val="00245D35"/>
    <w:rsid w:val="00245EC2"/>
    <w:rsid w:val="00245F4A"/>
    <w:rsid w:val="00245F72"/>
    <w:rsid w:val="0024601E"/>
    <w:rsid w:val="002460B5"/>
    <w:rsid w:val="00246242"/>
    <w:rsid w:val="00246320"/>
    <w:rsid w:val="00246435"/>
    <w:rsid w:val="00246661"/>
    <w:rsid w:val="00246A27"/>
    <w:rsid w:val="00246BCF"/>
    <w:rsid w:val="00247445"/>
    <w:rsid w:val="00247484"/>
    <w:rsid w:val="00247FFC"/>
    <w:rsid w:val="002501A9"/>
    <w:rsid w:val="00250C18"/>
    <w:rsid w:val="00251138"/>
    <w:rsid w:val="00251224"/>
    <w:rsid w:val="00251245"/>
    <w:rsid w:val="002514A6"/>
    <w:rsid w:val="0025170A"/>
    <w:rsid w:val="00251A00"/>
    <w:rsid w:val="00251C79"/>
    <w:rsid w:val="00251CA2"/>
    <w:rsid w:val="00251D3E"/>
    <w:rsid w:val="00252307"/>
    <w:rsid w:val="00252964"/>
    <w:rsid w:val="00252B0A"/>
    <w:rsid w:val="00252E92"/>
    <w:rsid w:val="00253973"/>
    <w:rsid w:val="00254806"/>
    <w:rsid w:val="00254BEF"/>
    <w:rsid w:val="00254F01"/>
    <w:rsid w:val="002551D7"/>
    <w:rsid w:val="002553FD"/>
    <w:rsid w:val="002554CA"/>
    <w:rsid w:val="00255614"/>
    <w:rsid w:val="0025562B"/>
    <w:rsid w:val="002556D8"/>
    <w:rsid w:val="002558AC"/>
    <w:rsid w:val="00256558"/>
    <w:rsid w:val="002565B1"/>
    <w:rsid w:val="00256637"/>
    <w:rsid w:val="002567DA"/>
    <w:rsid w:val="00256CC9"/>
    <w:rsid w:val="00256ED2"/>
    <w:rsid w:val="00256FE9"/>
    <w:rsid w:val="00257CC7"/>
    <w:rsid w:val="00260078"/>
    <w:rsid w:val="002601BB"/>
    <w:rsid w:val="002606AC"/>
    <w:rsid w:val="00260829"/>
    <w:rsid w:val="00260A1A"/>
    <w:rsid w:val="00260D7F"/>
    <w:rsid w:val="0026213F"/>
    <w:rsid w:val="002621C8"/>
    <w:rsid w:val="00262467"/>
    <w:rsid w:val="002625EC"/>
    <w:rsid w:val="00262764"/>
    <w:rsid w:val="00262DAF"/>
    <w:rsid w:val="00263331"/>
    <w:rsid w:val="002636AF"/>
    <w:rsid w:val="00263891"/>
    <w:rsid w:val="002638ED"/>
    <w:rsid w:val="00263A6E"/>
    <w:rsid w:val="00263A83"/>
    <w:rsid w:val="00263BA1"/>
    <w:rsid w:val="00264350"/>
    <w:rsid w:val="00264714"/>
    <w:rsid w:val="00264E7E"/>
    <w:rsid w:val="00264EA4"/>
    <w:rsid w:val="00265069"/>
    <w:rsid w:val="00265159"/>
    <w:rsid w:val="00265380"/>
    <w:rsid w:val="00265918"/>
    <w:rsid w:val="00265ED6"/>
    <w:rsid w:val="0026627D"/>
    <w:rsid w:val="00266C70"/>
    <w:rsid w:val="002671AF"/>
    <w:rsid w:val="00267345"/>
    <w:rsid w:val="00267475"/>
    <w:rsid w:val="00267544"/>
    <w:rsid w:val="0026769E"/>
    <w:rsid w:val="002679CD"/>
    <w:rsid w:val="00267BAA"/>
    <w:rsid w:val="002706CD"/>
    <w:rsid w:val="00270706"/>
    <w:rsid w:val="00270834"/>
    <w:rsid w:val="002709E2"/>
    <w:rsid w:val="00270A26"/>
    <w:rsid w:val="002715E3"/>
    <w:rsid w:val="00271667"/>
    <w:rsid w:val="00271BBF"/>
    <w:rsid w:val="0027208A"/>
    <w:rsid w:val="00272CA1"/>
    <w:rsid w:val="00272FFD"/>
    <w:rsid w:val="00273329"/>
    <w:rsid w:val="00273523"/>
    <w:rsid w:val="0027363A"/>
    <w:rsid w:val="002736BC"/>
    <w:rsid w:val="00273703"/>
    <w:rsid w:val="002737AF"/>
    <w:rsid w:val="00273850"/>
    <w:rsid w:val="0027398F"/>
    <w:rsid w:val="00273D0C"/>
    <w:rsid w:val="00273DB1"/>
    <w:rsid w:val="00273E86"/>
    <w:rsid w:val="00273EDE"/>
    <w:rsid w:val="00273F87"/>
    <w:rsid w:val="00273FA9"/>
    <w:rsid w:val="002740E4"/>
    <w:rsid w:val="002745C6"/>
    <w:rsid w:val="002745EA"/>
    <w:rsid w:val="002746B0"/>
    <w:rsid w:val="002747BA"/>
    <w:rsid w:val="00274B73"/>
    <w:rsid w:val="00274DA2"/>
    <w:rsid w:val="0027511C"/>
    <w:rsid w:val="00276020"/>
    <w:rsid w:val="0027618C"/>
    <w:rsid w:val="002761EA"/>
    <w:rsid w:val="002762D0"/>
    <w:rsid w:val="0027637D"/>
    <w:rsid w:val="0027645A"/>
    <w:rsid w:val="00276576"/>
    <w:rsid w:val="002766C4"/>
    <w:rsid w:val="00276B06"/>
    <w:rsid w:val="00276D45"/>
    <w:rsid w:val="00276E0F"/>
    <w:rsid w:val="00277028"/>
    <w:rsid w:val="002779D6"/>
    <w:rsid w:val="00277BE5"/>
    <w:rsid w:val="0028015C"/>
    <w:rsid w:val="00280356"/>
    <w:rsid w:val="002804D0"/>
    <w:rsid w:val="00280A5E"/>
    <w:rsid w:val="00280DF9"/>
    <w:rsid w:val="00280F0E"/>
    <w:rsid w:val="00281015"/>
    <w:rsid w:val="00281054"/>
    <w:rsid w:val="00281085"/>
    <w:rsid w:val="00281102"/>
    <w:rsid w:val="0028119E"/>
    <w:rsid w:val="002814E6"/>
    <w:rsid w:val="0028174E"/>
    <w:rsid w:val="002817E5"/>
    <w:rsid w:val="00281A54"/>
    <w:rsid w:val="00281B31"/>
    <w:rsid w:val="00281C79"/>
    <w:rsid w:val="00281D0C"/>
    <w:rsid w:val="00281FEF"/>
    <w:rsid w:val="00282152"/>
    <w:rsid w:val="00282724"/>
    <w:rsid w:val="00282AE5"/>
    <w:rsid w:val="00282D24"/>
    <w:rsid w:val="00282E24"/>
    <w:rsid w:val="00282E40"/>
    <w:rsid w:val="00282F64"/>
    <w:rsid w:val="002830BF"/>
    <w:rsid w:val="00283339"/>
    <w:rsid w:val="00283574"/>
    <w:rsid w:val="00283686"/>
    <w:rsid w:val="00283C21"/>
    <w:rsid w:val="0028401D"/>
    <w:rsid w:val="00284122"/>
    <w:rsid w:val="00284B1A"/>
    <w:rsid w:val="00284EEA"/>
    <w:rsid w:val="0028509A"/>
    <w:rsid w:val="002851E1"/>
    <w:rsid w:val="002852FB"/>
    <w:rsid w:val="00285527"/>
    <w:rsid w:val="00286168"/>
    <w:rsid w:val="00286172"/>
    <w:rsid w:val="0028662A"/>
    <w:rsid w:val="00286AE2"/>
    <w:rsid w:val="00287114"/>
    <w:rsid w:val="00287225"/>
    <w:rsid w:val="0028729E"/>
    <w:rsid w:val="00287424"/>
    <w:rsid w:val="00287D3E"/>
    <w:rsid w:val="00290E73"/>
    <w:rsid w:val="00290EA8"/>
    <w:rsid w:val="00290F30"/>
    <w:rsid w:val="00291555"/>
    <w:rsid w:val="002919E0"/>
    <w:rsid w:val="00291B0E"/>
    <w:rsid w:val="00291CA5"/>
    <w:rsid w:val="00291E37"/>
    <w:rsid w:val="00291E6A"/>
    <w:rsid w:val="00292A0E"/>
    <w:rsid w:val="00292B15"/>
    <w:rsid w:val="00292D65"/>
    <w:rsid w:val="00292F7B"/>
    <w:rsid w:val="0029361A"/>
    <w:rsid w:val="002936B4"/>
    <w:rsid w:val="00293803"/>
    <w:rsid w:val="002942C6"/>
    <w:rsid w:val="00294347"/>
    <w:rsid w:val="002943D8"/>
    <w:rsid w:val="0029449E"/>
    <w:rsid w:val="002944EA"/>
    <w:rsid w:val="00294B57"/>
    <w:rsid w:val="00294BA4"/>
    <w:rsid w:val="002950C4"/>
    <w:rsid w:val="002951E6"/>
    <w:rsid w:val="00295257"/>
    <w:rsid w:val="00295330"/>
    <w:rsid w:val="0029547D"/>
    <w:rsid w:val="0029549D"/>
    <w:rsid w:val="00295508"/>
    <w:rsid w:val="002956EE"/>
    <w:rsid w:val="0029574D"/>
    <w:rsid w:val="00295A0D"/>
    <w:rsid w:val="00295E98"/>
    <w:rsid w:val="00296030"/>
    <w:rsid w:val="00296061"/>
    <w:rsid w:val="002966E1"/>
    <w:rsid w:val="002968A7"/>
    <w:rsid w:val="00296B25"/>
    <w:rsid w:val="0029701F"/>
    <w:rsid w:val="002970DB"/>
    <w:rsid w:val="0029730D"/>
    <w:rsid w:val="00297B83"/>
    <w:rsid w:val="00297D37"/>
    <w:rsid w:val="002A0307"/>
    <w:rsid w:val="002A030F"/>
    <w:rsid w:val="002A0557"/>
    <w:rsid w:val="002A06D1"/>
    <w:rsid w:val="002A0761"/>
    <w:rsid w:val="002A08FA"/>
    <w:rsid w:val="002A0BD4"/>
    <w:rsid w:val="002A0E73"/>
    <w:rsid w:val="002A10AE"/>
    <w:rsid w:val="002A1419"/>
    <w:rsid w:val="002A17BD"/>
    <w:rsid w:val="002A1F2C"/>
    <w:rsid w:val="002A2103"/>
    <w:rsid w:val="002A220A"/>
    <w:rsid w:val="002A233F"/>
    <w:rsid w:val="002A24A9"/>
    <w:rsid w:val="002A273A"/>
    <w:rsid w:val="002A293D"/>
    <w:rsid w:val="002A2B04"/>
    <w:rsid w:val="002A2C73"/>
    <w:rsid w:val="002A2CC8"/>
    <w:rsid w:val="002A3117"/>
    <w:rsid w:val="002A32B4"/>
    <w:rsid w:val="002A3327"/>
    <w:rsid w:val="002A33EC"/>
    <w:rsid w:val="002A3726"/>
    <w:rsid w:val="002A3940"/>
    <w:rsid w:val="002A402B"/>
    <w:rsid w:val="002A4B70"/>
    <w:rsid w:val="002A4C24"/>
    <w:rsid w:val="002A4ED7"/>
    <w:rsid w:val="002A4FE5"/>
    <w:rsid w:val="002A4FF2"/>
    <w:rsid w:val="002A5283"/>
    <w:rsid w:val="002A52CC"/>
    <w:rsid w:val="002A5980"/>
    <w:rsid w:val="002A640B"/>
    <w:rsid w:val="002A6A28"/>
    <w:rsid w:val="002A6BAF"/>
    <w:rsid w:val="002A6C32"/>
    <w:rsid w:val="002A6ED9"/>
    <w:rsid w:val="002A71E9"/>
    <w:rsid w:val="002A7644"/>
    <w:rsid w:val="002A7CC5"/>
    <w:rsid w:val="002B04F1"/>
    <w:rsid w:val="002B0577"/>
    <w:rsid w:val="002B0A3C"/>
    <w:rsid w:val="002B1369"/>
    <w:rsid w:val="002B264B"/>
    <w:rsid w:val="002B2BB6"/>
    <w:rsid w:val="002B2BDA"/>
    <w:rsid w:val="002B2C5D"/>
    <w:rsid w:val="002B2EB0"/>
    <w:rsid w:val="002B3B72"/>
    <w:rsid w:val="002B41FF"/>
    <w:rsid w:val="002B476E"/>
    <w:rsid w:val="002B493B"/>
    <w:rsid w:val="002B4B11"/>
    <w:rsid w:val="002B4E45"/>
    <w:rsid w:val="002B4FF0"/>
    <w:rsid w:val="002B575E"/>
    <w:rsid w:val="002B5769"/>
    <w:rsid w:val="002B5956"/>
    <w:rsid w:val="002B68CA"/>
    <w:rsid w:val="002B6F72"/>
    <w:rsid w:val="002B7036"/>
    <w:rsid w:val="002B7151"/>
    <w:rsid w:val="002B71B1"/>
    <w:rsid w:val="002B7916"/>
    <w:rsid w:val="002B7A9B"/>
    <w:rsid w:val="002C04B8"/>
    <w:rsid w:val="002C0721"/>
    <w:rsid w:val="002C080A"/>
    <w:rsid w:val="002C087E"/>
    <w:rsid w:val="002C0BB2"/>
    <w:rsid w:val="002C0EFF"/>
    <w:rsid w:val="002C109B"/>
    <w:rsid w:val="002C13E7"/>
    <w:rsid w:val="002C18B7"/>
    <w:rsid w:val="002C19E1"/>
    <w:rsid w:val="002C1DAC"/>
    <w:rsid w:val="002C2560"/>
    <w:rsid w:val="002C28B8"/>
    <w:rsid w:val="002C2AC6"/>
    <w:rsid w:val="002C2B08"/>
    <w:rsid w:val="002C314C"/>
    <w:rsid w:val="002C3466"/>
    <w:rsid w:val="002C35A2"/>
    <w:rsid w:val="002C3AAE"/>
    <w:rsid w:val="002C3DF8"/>
    <w:rsid w:val="002C3FFF"/>
    <w:rsid w:val="002C46AA"/>
    <w:rsid w:val="002C471A"/>
    <w:rsid w:val="002C474C"/>
    <w:rsid w:val="002C482B"/>
    <w:rsid w:val="002C485D"/>
    <w:rsid w:val="002C48B0"/>
    <w:rsid w:val="002C491B"/>
    <w:rsid w:val="002C4A16"/>
    <w:rsid w:val="002C4C54"/>
    <w:rsid w:val="002C4FE7"/>
    <w:rsid w:val="002C5263"/>
    <w:rsid w:val="002C58A7"/>
    <w:rsid w:val="002C59DF"/>
    <w:rsid w:val="002C5D28"/>
    <w:rsid w:val="002C61EE"/>
    <w:rsid w:val="002C62E3"/>
    <w:rsid w:val="002C6493"/>
    <w:rsid w:val="002C6A74"/>
    <w:rsid w:val="002C6E76"/>
    <w:rsid w:val="002C7032"/>
    <w:rsid w:val="002C7516"/>
    <w:rsid w:val="002C7689"/>
    <w:rsid w:val="002C7701"/>
    <w:rsid w:val="002C797E"/>
    <w:rsid w:val="002C7D2E"/>
    <w:rsid w:val="002C7F04"/>
    <w:rsid w:val="002C7F73"/>
    <w:rsid w:val="002D0426"/>
    <w:rsid w:val="002D044B"/>
    <w:rsid w:val="002D06C8"/>
    <w:rsid w:val="002D09CE"/>
    <w:rsid w:val="002D0D6B"/>
    <w:rsid w:val="002D0ECC"/>
    <w:rsid w:val="002D0F22"/>
    <w:rsid w:val="002D11A6"/>
    <w:rsid w:val="002D132B"/>
    <w:rsid w:val="002D1EB1"/>
    <w:rsid w:val="002D1FB7"/>
    <w:rsid w:val="002D1FEE"/>
    <w:rsid w:val="002D2239"/>
    <w:rsid w:val="002D244D"/>
    <w:rsid w:val="002D2B73"/>
    <w:rsid w:val="002D3157"/>
    <w:rsid w:val="002D32F4"/>
    <w:rsid w:val="002D3390"/>
    <w:rsid w:val="002D33C2"/>
    <w:rsid w:val="002D3767"/>
    <w:rsid w:val="002D3799"/>
    <w:rsid w:val="002D3834"/>
    <w:rsid w:val="002D4C3F"/>
    <w:rsid w:val="002D4DFA"/>
    <w:rsid w:val="002D4F0A"/>
    <w:rsid w:val="002D505B"/>
    <w:rsid w:val="002D50CB"/>
    <w:rsid w:val="002D5233"/>
    <w:rsid w:val="002D55B2"/>
    <w:rsid w:val="002D57D0"/>
    <w:rsid w:val="002D5A2C"/>
    <w:rsid w:val="002D5A3A"/>
    <w:rsid w:val="002D5E25"/>
    <w:rsid w:val="002D6AC2"/>
    <w:rsid w:val="002D743E"/>
    <w:rsid w:val="002D763B"/>
    <w:rsid w:val="002D7648"/>
    <w:rsid w:val="002D76C4"/>
    <w:rsid w:val="002D77CE"/>
    <w:rsid w:val="002D7997"/>
    <w:rsid w:val="002D79B6"/>
    <w:rsid w:val="002D7A21"/>
    <w:rsid w:val="002D7C1B"/>
    <w:rsid w:val="002D7C96"/>
    <w:rsid w:val="002E04ED"/>
    <w:rsid w:val="002E0801"/>
    <w:rsid w:val="002E0EDB"/>
    <w:rsid w:val="002E113D"/>
    <w:rsid w:val="002E11E2"/>
    <w:rsid w:val="002E1AEA"/>
    <w:rsid w:val="002E223A"/>
    <w:rsid w:val="002E290F"/>
    <w:rsid w:val="002E2DC6"/>
    <w:rsid w:val="002E3115"/>
    <w:rsid w:val="002E3984"/>
    <w:rsid w:val="002E3CF1"/>
    <w:rsid w:val="002E3D6B"/>
    <w:rsid w:val="002E3F19"/>
    <w:rsid w:val="002E3FDE"/>
    <w:rsid w:val="002E48F3"/>
    <w:rsid w:val="002E49BC"/>
    <w:rsid w:val="002E4AF9"/>
    <w:rsid w:val="002E4BB5"/>
    <w:rsid w:val="002E51D2"/>
    <w:rsid w:val="002E51EE"/>
    <w:rsid w:val="002E5302"/>
    <w:rsid w:val="002E5319"/>
    <w:rsid w:val="002E5414"/>
    <w:rsid w:val="002E5509"/>
    <w:rsid w:val="002E5655"/>
    <w:rsid w:val="002E5B63"/>
    <w:rsid w:val="002E5DAB"/>
    <w:rsid w:val="002E6163"/>
    <w:rsid w:val="002E6A34"/>
    <w:rsid w:val="002E6AF0"/>
    <w:rsid w:val="002E6E2E"/>
    <w:rsid w:val="002E7283"/>
    <w:rsid w:val="002E7679"/>
    <w:rsid w:val="002E7A0E"/>
    <w:rsid w:val="002E7AE6"/>
    <w:rsid w:val="002E7DC7"/>
    <w:rsid w:val="002E7EFA"/>
    <w:rsid w:val="002F036B"/>
    <w:rsid w:val="002F0540"/>
    <w:rsid w:val="002F0555"/>
    <w:rsid w:val="002F0856"/>
    <w:rsid w:val="002F0994"/>
    <w:rsid w:val="002F0A61"/>
    <w:rsid w:val="002F0B20"/>
    <w:rsid w:val="002F0B87"/>
    <w:rsid w:val="002F0BCF"/>
    <w:rsid w:val="002F107D"/>
    <w:rsid w:val="002F10E1"/>
    <w:rsid w:val="002F14F3"/>
    <w:rsid w:val="002F16B5"/>
    <w:rsid w:val="002F1739"/>
    <w:rsid w:val="002F1880"/>
    <w:rsid w:val="002F1881"/>
    <w:rsid w:val="002F19BE"/>
    <w:rsid w:val="002F1B1C"/>
    <w:rsid w:val="002F1BD0"/>
    <w:rsid w:val="002F1BEA"/>
    <w:rsid w:val="002F1E51"/>
    <w:rsid w:val="002F1EB4"/>
    <w:rsid w:val="002F1FD4"/>
    <w:rsid w:val="002F2268"/>
    <w:rsid w:val="002F2585"/>
    <w:rsid w:val="002F2A77"/>
    <w:rsid w:val="002F2A79"/>
    <w:rsid w:val="002F2BFD"/>
    <w:rsid w:val="002F2CDE"/>
    <w:rsid w:val="002F2F41"/>
    <w:rsid w:val="002F2FB0"/>
    <w:rsid w:val="002F30E5"/>
    <w:rsid w:val="002F389B"/>
    <w:rsid w:val="002F39C3"/>
    <w:rsid w:val="002F3AC8"/>
    <w:rsid w:val="002F3B3C"/>
    <w:rsid w:val="002F3D00"/>
    <w:rsid w:val="002F4357"/>
    <w:rsid w:val="002F4668"/>
    <w:rsid w:val="002F4A9B"/>
    <w:rsid w:val="002F4AF7"/>
    <w:rsid w:val="002F5032"/>
    <w:rsid w:val="002F519B"/>
    <w:rsid w:val="002F521D"/>
    <w:rsid w:val="002F5550"/>
    <w:rsid w:val="002F559B"/>
    <w:rsid w:val="002F587B"/>
    <w:rsid w:val="002F5D97"/>
    <w:rsid w:val="002F61FE"/>
    <w:rsid w:val="002F6386"/>
    <w:rsid w:val="002F63EB"/>
    <w:rsid w:val="002F6C28"/>
    <w:rsid w:val="002F7120"/>
    <w:rsid w:val="002F713F"/>
    <w:rsid w:val="002F7142"/>
    <w:rsid w:val="002F7211"/>
    <w:rsid w:val="002F732F"/>
    <w:rsid w:val="002F77A8"/>
    <w:rsid w:val="002F7B54"/>
    <w:rsid w:val="002F7F0D"/>
    <w:rsid w:val="00300568"/>
    <w:rsid w:val="003005D4"/>
    <w:rsid w:val="003013BE"/>
    <w:rsid w:val="0030183B"/>
    <w:rsid w:val="003019EB"/>
    <w:rsid w:val="003028C6"/>
    <w:rsid w:val="00302902"/>
    <w:rsid w:val="00302ADC"/>
    <w:rsid w:val="00302FE8"/>
    <w:rsid w:val="0030306F"/>
    <w:rsid w:val="00303125"/>
    <w:rsid w:val="00303298"/>
    <w:rsid w:val="00303704"/>
    <w:rsid w:val="0030374E"/>
    <w:rsid w:val="00303908"/>
    <w:rsid w:val="00303BBA"/>
    <w:rsid w:val="00303C70"/>
    <w:rsid w:val="00303DDE"/>
    <w:rsid w:val="00304B78"/>
    <w:rsid w:val="00304D8D"/>
    <w:rsid w:val="00304FE8"/>
    <w:rsid w:val="0030502F"/>
    <w:rsid w:val="00305171"/>
    <w:rsid w:val="00305263"/>
    <w:rsid w:val="00305317"/>
    <w:rsid w:val="00305332"/>
    <w:rsid w:val="00305501"/>
    <w:rsid w:val="003055E8"/>
    <w:rsid w:val="0030568A"/>
    <w:rsid w:val="00305D10"/>
    <w:rsid w:val="00306145"/>
    <w:rsid w:val="003061E3"/>
    <w:rsid w:val="0030710E"/>
    <w:rsid w:val="0030720E"/>
    <w:rsid w:val="00307718"/>
    <w:rsid w:val="00307A11"/>
    <w:rsid w:val="00307C76"/>
    <w:rsid w:val="00310231"/>
    <w:rsid w:val="0031028B"/>
    <w:rsid w:val="00310B79"/>
    <w:rsid w:val="00310D50"/>
    <w:rsid w:val="0031126A"/>
    <w:rsid w:val="003119E0"/>
    <w:rsid w:val="00311C84"/>
    <w:rsid w:val="00311E68"/>
    <w:rsid w:val="003124D0"/>
    <w:rsid w:val="00313347"/>
    <w:rsid w:val="0031372C"/>
    <w:rsid w:val="00313A7A"/>
    <w:rsid w:val="00313AFD"/>
    <w:rsid w:val="00313F23"/>
    <w:rsid w:val="00314576"/>
    <w:rsid w:val="00314837"/>
    <w:rsid w:val="00314BDB"/>
    <w:rsid w:val="00314C49"/>
    <w:rsid w:val="00315987"/>
    <w:rsid w:val="00315A3C"/>
    <w:rsid w:val="003160D7"/>
    <w:rsid w:val="003163A0"/>
    <w:rsid w:val="003166E8"/>
    <w:rsid w:val="0031690F"/>
    <w:rsid w:val="00316947"/>
    <w:rsid w:val="0031695B"/>
    <w:rsid w:val="00316A55"/>
    <w:rsid w:val="00316CDA"/>
    <w:rsid w:val="00317295"/>
    <w:rsid w:val="003173FF"/>
    <w:rsid w:val="003175CE"/>
    <w:rsid w:val="00317606"/>
    <w:rsid w:val="00317AC9"/>
    <w:rsid w:val="00317C27"/>
    <w:rsid w:val="00317EA4"/>
    <w:rsid w:val="003204AC"/>
    <w:rsid w:val="00320515"/>
    <w:rsid w:val="003205F7"/>
    <w:rsid w:val="00320D79"/>
    <w:rsid w:val="00321074"/>
    <w:rsid w:val="003214BF"/>
    <w:rsid w:val="003217BA"/>
    <w:rsid w:val="00321F19"/>
    <w:rsid w:val="00321F97"/>
    <w:rsid w:val="00321FCF"/>
    <w:rsid w:val="0032246B"/>
    <w:rsid w:val="003224C8"/>
    <w:rsid w:val="003226ED"/>
    <w:rsid w:val="003226F4"/>
    <w:rsid w:val="003229D8"/>
    <w:rsid w:val="00322C62"/>
    <w:rsid w:val="00322DD2"/>
    <w:rsid w:val="00322ECC"/>
    <w:rsid w:val="0032321B"/>
    <w:rsid w:val="00323400"/>
    <w:rsid w:val="003235F8"/>
    <w:rsid w:val="0032370C"/>
    <w:rsid w:val="00323988"/>
    <w:rsid w:val="00323E94"/>
    <w:rsid w:val="00323F40"/>
    <w:rsid w:val="003240C3"/>
    <w:rsid w:val="00324139"/>
    <w:rsid w:val="003246BD"/>
    <w:rsid w:val="003248FE"/>
    <w:rsid w:val="003249F0"/>
    <w:rsid w:val="00324B05"/>
    <w:rsid w:val="00324B6A"/>
    <w:rsid w:val="00324DA0"/>
    <w:rsid w:val="00324E1E"/>
    <w:rsid w:val="00325234"/>
    <w:rsid w:val="003253E8"/>
    <w:rsid w:val="003254D6"/>
    <w:rsid w:val="00325511"/>
    <w:rsid w:val="00325A98"/>
    <w:rsid w:val="00325BAE"/>
    <w:rsid w:val="00325DDD"/>
    <w:rsid w:val="0032635C"/>
    <w:rsid w:val="003265F3"/>
    <w:rsid w:val="003266B6"/>
    <w:rsid w:val="0032688F"/>
    <w:rsid w:val="003268CF"/>
    <w:rsid w:val="00326A36"/>
    <w:rsid w:val="00326C3F"/>
    <w:rsid w:val="00326FF3"/>
    <w:rsid w:val="00327012"/>
    <w:rsid w:val="003271F4"/>
    <w:rsid w:val="0032734D"/>
    <w:rsid w:val="0032737B"/>
    <w:rsid w:val="00327891"/>
    <w:rsid w:val="00327C20"/>
    <w:rsid w:val="00327E8B"/>
    <w:rsid w:val="00330B5E"/>
    <w:rsid w:val="00330CD6"/>
    <w:rsid w:val="00330F4C"/>
    <w:rsid w:val="003311AA"/>
    <w:rsid w:val="00331654"/>
    <w:rsid w:val="00331808"/>
    <w:rsid w:val="0033190E"/>
    <w:rsid w:val="00331A97"/>
    <w:rsid w:val="00331AF8"/>
    <w:rsid w:val="00331DE1"/>
    <w:rsid w:val="00331F20"/>
    <w:rsid w:val="003320E8"/>
    <w:rsid w:val="003322B6"/>
    <w:rsid w:val="0033252E"/>
    <w:rsid w:val="0033257E"/>
    <w:rsid w:val="003325E6"/>
    <w:rsid w:val="003326DC"/>
    <w:rsid w:val="003329B0"/>
    <w:rsid w:val="0033333B"/>
    <w:rsid w:val="003336C4"/>
    <w:rsid w:val="00333787"/>
    <w:rsid w:val="003338E8"/>
    <w:rsid w:val="00334169"/>
    <w:rsid w:val="003348F6"/>
    <w:rsid w:val="00334948"/>
    <w:rsid w:val="00334AC1"/>
    <w:rsid w:val="00334AC9"/>
    <w:rsid w:val="00335314"/>
    <w:rsid w:val="00335660"/>
    <w:rsid w:val="00335EEE"/>
    <w:rsid w:val="00335F87"/>
    <w:rsid w:val="00335FB1"/>
    <w:rsid w:val="00335FD7"/>
    <w:rsid w:val="0033612E"/>
    <w:rsid w:val="00336319"/>
    <w:rsid w:val="00336418"/>
    <w:rsid w:val="00336729"/>
    <w:rsid w:val="003367AB"/>
    <w:rsid w:val="003367E4"/>
    <w:rsid w:val="00336951"/>
    <w:rsid w:val="00336D2D"/>
    <w:rsid w:val="00336E69"/>
    <w:rsid w:val="00336ECB"/>
    <w:rsid w:val="00336F08"/>
    <w:rsid w:val="003371C1"/>
    <w:rsid w:val="003375EC"/>
    <w:rsid w:val="0033797F"/>
    <w:rsid w:val="00337CE6"/>
    <w:rsid w:val="00337F55"/>
    <w:rsid w:val="00340320"/>
    <w:rsid w:val="00340374"/>
    <w:rsid w:val="0034056E"/>
    <w:rsid w:val="0034057D"/>
    <w:rsid w:val="00340892"/>
    <w:rsid w:val="00340928"/>
    <w:rsid w:val="0034092F"/>
    <w:rsid w:val="00340DB4"/>
    <w:rsid w:val="00340E98"/>
    <w:rsid w:val="003410A9"/>
    <w:rsid w:val="00341240"/>
    <w:rsid w:val="0034126A"/>
    <w:rsid w:val="0034171B"/>
    <w:rsid w:val="00341906"/>
    <w:rsid w:val="00341B27"/>
    <w:rsid w:val="00341B96"/>
    <w:rsid w:val="00341DAB"/>
    <w:rsid w:val="003426EF"/>
    <w:rsid w:val="003428F7"/>
    <w:rsid w:val="00342C8C"/>
    <w:rsid w:val="0034300F"/>
    <w:rsid w:val="003432E4"/>
    <w:rsid w:val="0034365D"/>
    <w:rsid w:val="00343668"/>
    <w:rsid w:val="00343731"/>
    <w:rsid w:val="0034376B"/>
    <w:rsid w:val="003437F4"/>
    <w:rsid w:val="003439F4"/>
    <w:rsid w:val="00343B8F"/>
    <w:rsid w:val="00343C51"/>
    <w:rsid w:val="003442CD"/>
    <w:rsid w:val="00344972"/>
    <w:rsid w:val="00344B54"/>
    <w:rsid w:val="00344C7A"/>
    <w:rsid w:val="00344CA5"/>
    <w:rsid w:val="00344CD4"/>
    <w:rsid w:val="00344CE4"/>
    <w:rsid w:val="003460DA"/>
    <w:rsid w:val="0034628B"/>
    <w:rsid w:val="0034680A"/>
    <w:rsid w:val="00346D23"/>
    <w:rsid w:val="00346F4C"/>
    <w:rsid w:val="003470EA"/>
    <w:rsid w:val="0034732E"/>
    <w:rsid w:val="003473D4"/>
    <w:rsid w:val="00347B39"/>
    <w:rsid w:val="00347E21"/>
    <w:rsid w:val="00350098"/>
    <w:rsid w:val="00350914"/>
    <w:rsid w:val="00350FCA"/>
    <w:rsid w:val="003510B5"/>
    <w:rsid w:val="0035111C"/>
    <w:rsid w:val="00351179"/>
    <w:rsid w:val="0035249A"/>
    <w:rsid w:val="00352517"/>
    <w:rsid w:val="00352D59"/>
    <w:rsid w:val="00352E8E"/>
    <w:rsid w:val="003531E0"/>
    <w:rsid w:val="00353347"/>
    <w:rsid w:val="00353586"/>
    <w:rsid w:val="00353AAC"/>
    <w:rsid w:val="00353AE3"/>
    <w:rsid w:val="00353DDB"/>
    <w:rsid w:val="00353FD7"/>
    <w:rsid w:val="0035436A"/>
    <w:rsid w:val="00354696"/>
    <w:rsid w:val="00354738"/>
    <w:rsid w:val="00354AD1"/>
    <w:rsid w:val="00354D4F"/>
    <w:rsid w:val="0035519A"/>
    <w:rsid w:val="00355350"/>
    <w:rsid w:val="00355353"/>
    <w:rsid w:val="00355640"/>
    <w:rsid w:val="00355B84"/>
    <w:rsid w:val="00355B9E"/>
    <w:rsid w:val="00355BD0"/>
    <w:rsid w:val="00355CFD"/>
    <w:rsid w:val="0035612D"/>
    <w:rsid w:val="003561CD"/>
    <w:rsid w:val="0035644B"/>
    <w:rsid w:val="003564D3"/>
    <w:rsid w:val="003566AA"/>
    <w:rsid w:val="0035673C"/>
    <w:rsid w:val="00356B06"/>
    <w:rsid w:val="00357193"/>
    <w:rsid w:val="00357354"/>
    <w:rsid w:val="00357482"/>
    <w:rsid w:val="003574A2"/>
    <w:rsid w:val="003575F4"/>
    <w:rsid w:val="003576E1"/>
    <w:rsid w:val="00357803"/>
    <w:rsid w:val="00357AA5"/>
    <w:rsid w:val="0036015D"/>
    <w:rsid w:val="003602DF"/>
    <w:rsid w:val="003603FE"/>
    <w:rsid w:val="00360547"/>
    <w:rsid w:val="0036059A"/>
    <w:rsid w:val="00360709"/>
    <w:rsid w:val="00360B72"/>
    <w:rsid w:val="00360DBA"/>
    <w:rsid w:val="00360DED"/>
    <w:rsid w:val="003613DA"/>
    <w:rsid w:val="00361519"/>
    <w:rsid w:val="00361657"/>
    <w:rsid w:val="003618F1"/>
    <w:rsid w:val="00361F76"/>
    <w:rsid w:val="0036239C"/>
    <w:rsid w:val="0036242E"/>
    <w:rsid w:val="003625D4"/>
    <w:rsid w:val="00362F2A"/>
    <w:rsid w:val="003631AC"/>
    <w:rsid w:val="003634D0"/>
    <w:rsid w:val="00363B07"/>
    <w:rsid w:val="00363D4A"/>
    <w:rsid w:val="00363FF8"/>
    <w:rsid w:val="003640E1"/>
    <w:rsid w:val="00364182"/>
    <w:rsid w:val="0036423F"/>
    <w:rsid w:val="0036490C"/>
    <w:rsid w:val="003649F9"/>
    <w:rsid w:val="00364CC4"/>
    <w:rsid w:val="00364F77"/>
    <w:rsid w:val="0036529B"/>
    <w:rsid w:val="0036531B"/>
    <w:rsid w:val="00365810"/>
    <w:rsid w:val="00366268"/>
    <w:rsid w:val="00366475"/>
    <w:rsid w:val="00366659"/>
    <w:rsid w:val="00366D1D"/>
    <w:rsid w:val="0036712D"/>
    <w:rsid w:val="003672F2"/>
    <w:rsid w:val="0036742E"/>
    <w:rsid w:val="00367E7B"/>
    <w:rsid w:val="00370168"/>
    <w:rsid w:val="00370701"/>
    <w:rsid w:val="0037098B"/>
    <w:rsid w:val="003713C2"/>
    <w:rsid w:val="003714AF"/>
    <w:rsid w:val="00371C19"/>
    <w:rsid w:val="00371DEC"/>
    <w:rsid w:val="00371E19"/>
    <w:rsid w:val="00372186"/>
    <w:rsid w:val="00372495"/>
    <w:rsid w:val="00372539"/>
    <w:rsid w:val="00372584"/>
    <w:rsid w:val="00372934"/>
    <w:rsid w:val="0037364A"/>
    <w:rsid w:val="003737DF"/>
    <w:rsid w:val="00373A6D"/>
    <w:rsid w:val="00373A99"/>
    <w:rsid w:val="00373AB9"/>
    <w:rsid w:val="00373D4A"/>
    <w:rsid w:val="00373DB3"/>
    <w:rsid w:val="00373F20"/>
    <w:rsid w:val="0037410C"/>
    <w:rsid w:val="00374156"/>
    <w:rsid w:val="003745D6"/>
    <w:rsid w:val="003747A4"/>
    <w:rsid w:val="00374A61"/>
    <w:rsid w:val="00375141"/>
    <w:rsid w:val="0037528F"/>
    <w:rsid w:val="00375504"/>
    <w:rsid w:val="00375637"/>
    <w:rsid w:val="003759C0"/>
    <w:rsid w:val="00375A03"/>
    <w:rsid w:val="0037610D"/>
    <w:rsid w:val="00376178"/>
    <w:rsid w:val="00376491"/>
    <w:rsid w:val="003765E7"/>
    <w:rsid w:val="0037685A"/>
    <w:rsid w:val="003769D6"/>
    <w:rsid w:val="0037721D"/>
    <w:rsid w:val="00377616"/>
    <w:rsid w:val="0037774B"/>
    <w:rsid w:val="003777A4"/>
    <w:rsid w:val="00377B58"/>
    <w:rsid w:val="00377C37"/>
    <w:rsid w:val="00377CB5"/>
    <w:rsid w:val="00380125"/>
    <w:rsid w:val="003807B0"/>
    <w:rsid w:val="003807FA"/>
    <w:rsid w:val="00380A0D"/>
    <w:rsid w:val="0038102A"/>
    <w:rsid w:val="00381056"/>
    <w:rsid w:val="00381063"/>
    <w:rsid w:val="00381271"/>
    <w:rsid w:val="0038143A"/>
    <w:rsid w:val="00382046"/>
    <w:rsid w:val="00382106"/>
    <w:rsid w:val="003824B9"/>
    <w:rsid w:val="003826DB"/>
    <w:rsid w:val="0038275A"/>
    <w:rsid w:val="0038281E"/>
    <w:rsid w:val="00382C28"/>
    <w:rsid w:val="00382E71"/>
    <w:rsid w:val="0038311C"/>
    <w:rsid w:val="003832DE"/>
    <w:rsid w:val="003833B4"/>
    <w:rsid w:val="003836C1"/>
    <w:rsid w:val="00383F6E"/>
    <w:rsid w:val="00384428"/>
    <w:rsid w:val="0038472C"/>
    <w:rsid w:val="00384A4C"/>
    <w:rsid w:val="00384F57"/>
    <w:rsid w:val="003850EA"/>
    <w:rsid w:val="003858FA"/>
    <w:rsid w:val="00385BC9"/>
    <w:rsid w:val="00385DDA"/>
    <w:rsid w:val="00385F74"/>
    <w:rsid w:val="00386220"/>
    <w:rsid w:val="00386397"/>
    <w:rsid w:val="00386461"/>
    <w:rsid w:val="00386721"/>
    <w:rsid w:val="003867C1"/>
    <w:rsid w:val="00386A4E"/>
    <w:rsid w:val="003871E9"/>
    <w:rsid w:val="0038763B"/>
    <w:rsid w:val="00387B67"/>
    <w:rsid w:val="0039019D"/>
    <w:rsid w:val="00390210"/>
    <w:rsid w:val="00390244"/>
    <w:rsid w:val="003904AE"/>
    <w:rsid w:val="00390537"/>
    <w:rsid w:val="00390871"/>
    <w:rsid w:val="003908BC"/>
    <w:rsid w:val="00390D33"/>
    <w:rsid w:val="00391024"/>
    <w:rsid w:val="00391386"/>
    <w:rsid w:val="00391425"/>
    <w:rsid w:val="003914EE"/>
    <w:rsid w:val="0039161B"/>
    <w:rsid w:val="003916C5"/>
    <w:rsid w:val="00392037"/>
    <w:rsid w:val="00392216"/>
    <w:rsid w:val="003922F5"/>
    <w:rsid w:val="00392375"/>
    <w:rsid w:val="00392797"/>
    <w:rsid w:val="003929CD"/>
    <w:rsid w:val="00392F14"/>
    <w:rsid w:val="00392FC3"/>
    <w:rsid w:val="00393268"/>
    <w:rsid w:val="00393B52"/>
    <w:rsid w:val="00393B7A"/>
    <w:rsid w:val="00394724"/>
    <w:rsid w:val="00394BC3"/>
    <w:rsid w:val="00394D53"/>
    <w:rsid w:val="003955FB"/>
    <w:rsid w:val="00395790"/>
    <w:rsid w:val="0039619D"/>
    <w:rsid w:val="0039626F"/>
    <w:rsid w:val="00396869"/>
    <w:rsid w:val="003968C1"/>
    <w:rsid w:val="00396B08"/>
    <w:rsid w:val="00397525"/>
    <w:rsid w:val="00397924"/>
    <w:rsid w:val="003A02FE"/>
    <w:rsid w:val="003A04CA"/>
    <w:rsid w:val="003A0790"/>
    <w:rsid w:val="003A0BC9"/>
    <w:rsid w:val="003A0F7B"/>
    <w:rsid w:val="003A10C1"/>
    <w:rsid w:val="003A11D0"/>
    <w:rsid w:val="003A12A1"/>
    <w:rsid w:val="003A16EF"/>
    <w:rsid w:val="003A174B"/>
    <w:rsid w:val="003A187F"/>
    <w:rsid w:val="003A255F"/>
    <w:rsid w:val="003A2BE2"/>
    <w:rsid w:val="003A2C99"/>
    <w:rsid w:val="003A33E8"/>
    <w:rsid w:val="003A3A13"/>
    <w:rsid w:val="003A3EED"/>
    <w:rsid w:val="003A42E2"/>
    <w:rsid w:val="003A4E80"/>
    <w:rsid w:val="003A5061"/>
    <w:rsid w:val="003A5188"/>
    <w:rsid w:val="003A5217"/>
    <w:rsid w:val="003A52A9"/>
    <w:rsid w:val="003A53C4"/>
    <w:rsid w:val="003A5449"/>
    <w:rsid w:val="003A564B"/>
    <w:rsid w:val="003A5799"/>
    <w:rsid w:val="003A5B51"/>
    <w:rsid w:val="003A5CC9"/>
    <w:rsid w:val="003A5DF3"/>
    <w:rsid w:val="003A60DA"/>
    <w:rsid w:val="003A620A"/>
    <w:rsid w:val="003A6BA1"/>
    <w:rsid w:val="003A6BDA"/>
    <w:rsid w:val="003A6C06"/>
    <w:rsid w:val="003A743E"/>
    <w:rsid w:val="003A79D7"/>
    <w:rsid w:val="003A7ADE"/>
    <w:rsid w:val="003A7BFD"/>
    <w:rsid w:val="003A7CBE"/>
    <w:rsid w:val="003B07B7"/>
    <w:rsid w:val="003B0825"/>
    <w:rsid w:val="003B0C0D"/>
    <w:rsid w:val="003B0C3C"/>
    <w:rsid w:val="003B0ED0"/>
    <w:rsid w:val="003B148D"/>
    <w:rsid w:val="003B1888"/>
    <w:rsid w:val="003B18FE"/>
    <w:rsid w:val="003B196D"/>
    <w:rsid w:val="003B1DA5"/>
    <w:rsid w:val="003B1F6A"/>
    <w:rsid w:val="003B2182"/>
    <w:rsid w:val="003B244C"/>
    <w:rsid w:val="003B2626"/>
    <w:rsid w:val="003B2731"/>
    <w:rsid w:val="003B2A15"/>
    <w:rsid w:val="003B2A34"/>
    <w:rsid w:val="003B300A"/>
    <w:rsid w:val="003B3445"/>
    <w:rsid w:val="003B3E7E"/>
    <w:rsid w:val="003B3FCB"/>
    <w:rsid w:val="003B4FD4"/>
    <w:rsid w:val="003B5146"/>
    <w:rsid w:val="003B52AE"/>
    <w:rsid w:val="003B56CE"/>
    <w:rsid w:val="003B6484"/>
    <w:rsid w:val="003B69ED"/>
    <w:rsid w:val="003B6AB4"/>
    <w:rsid w:val="003B6AB7"/>
    <w:rsid w:val="003B6CB8"/>
    <w:rsid w:val="003B6E2C"/>
    <w:rsid w:val="003B7327"/>
    <w:rsid w:val="003B74C2"/>
    <w:rsid w:val="003B7DB1"/>
    <w:rsid w:val="003B7E6D"/>
    <w:rsid w:val="003B7EB7"/>
    <w:rsid w:val="003B7FB1"/>
    <w:rsid w:val="003C0033"/>
    <w:rsid w:val="003C00AA"/>
    <w:rsid w:val="003C01D4"/>
    <w:rsid w:val="003C0A38"/>
    <w:rsid w:val="003C0C8F"/>
    <w:rsid w:val="003C0DF3"/>
    <w:rsid w:val="003C1279"/>
    <w:rsid w:val="003C15F1"/>
    <w:rsid w:val="003C15FD"/>
    <w:rsid w:val="003C178D"/>
    <w:rsid w:val="003C1AB0"/>
    <w:rsid w:val="003C1CBA"/>
    <w:rsid w:val="003C1E4F"/>
    <w:rsid w:val="003C2074"/>
    <w:rsid w:val="003C2536"/>
    <w:rsid w:val="003C2766"/>
    <w:rsid w:val="003C2B99"/>
    <w:rsid w:val="003C2C11"/>
    <w:rsid w:val="003C2CC3"/>
    <w:rsid w:val="003C2E9A"/>
    <w:rsid w:val="003C2F5D"/>
    <w:rsid w:val="003C307A"/>
    <w:rsid w:val="003C3A87"/>
    <w:rsid w:val="003C3B75"/>
    <w:rsid w:val="003C3CD6"/>
    <w:rsid w:val="003C488B"/>
    <w:rsid w:val="003C4D04"/>
    <w:rsid w:val="003C4DC6"/>
    <w:rsid w:val="003C4E00"/>
    <w:rsid w:val="003C506D"/>
    <w:rsid w:val="003C5547"/>
    <w:rsid w:val="003C5573"/>
    <w:rsid w:val="003C5AB1"/>
    <w:rsid w:val="003C5B7D"/>
    <w:rsid w:val="003C5C34"/>
    <w:rsid w:val="003C5CA2"/>
    <w:rsid w:val="003C6678"/>
    <w:rsid w:val="003C685B"/>
    <w:rsid w:val="003C69BF"/>
    <w:rsid w:val="003C6E7A"/>
    <w:rsid w:val="003C7751"/>
    <w:rsid w:val="003C780D"/>
    <w:rsid w:val="003C7ADD"/>
    <w:rsid w:val="003C7FC7"/>
    <w:rsid w:val="003D03D5"/>
    <w:rsid w:val="003D0591"/>
    <w:rsid w:val="003D09EE"/>
    <w:rsid w:val="003D0BBE"/>
    <w:rsid w:val="003D0C2D"/>
    <w:rsid w:val="003D13E8"/>
    <w:rsid w:val="003D13F9"/>
    <w:rsid w:val="003D1935"/>
    <w:rsid w:val="003D1AD2"/>
    <w:rsid w:val="003D1DCF"/>
    <w:rsid w:val="003D2137"/>
    <w:rsid w:val="003D23A3"/>
    <w:rsid w:val="003D24F4"/>
    <w:rsid w:val="003D2862"/>
    <w:rsid w:val="003D28E9"/>
    <w:rsid w:val="003D2C09"/>
    <w:rsid w:val="003D2CFD"/>
    <w:rsid w:val="003D2EF9"/>
    <w:rsid w:val="003D30D0"/>
    <w:rsid w:val="003D31A4"/>
    <w:rsid w:val="003D32B4"/>
    <w:rsid w:val="003D3365"/>
    <w:rsid w:val="003D33BA"/>
    <w:rsid w:val="003D34F4"/>
    <w:rsid w:val="003D35C3"/>
    <w:rsid w:val="003D37E4"/>
    <w:rsid w:val="003D390D"/>
    <w:rsid w:val="003D3AFF"/>
    <w:rsid w:val="003D3DF4"/>
    <w:rsid w:val="003D41B9"/>
    <w:rsid w:val="003D49BC"/>
    <w:rsid w:val="003D4AB2"/>
    <w:rsid w:val="003D4D62"/>
    <w:rsid w:val="003D531E"/>
    <w:rsid w:val="003D54FE"/>
    <w:rsid w:val="003D5856"/>
    <w:rsid w:val="003D58F8"/>
    <w:rsid w:val="003D59ED"/>
    <w:rsid w:val="003D5E06"/>
    <w:rsid w:val="003D65EF"/>
    <w:rsid w:val="003D6670"/>
    <w:rsid w:val="003D6A61"/>
    <w:rsid w:val="003D6AC0"/>
    <w:rsid w:val="003D6CA1"/>
    <w:rsid w:val="003D769D"/>
    <w:rsid w:val="003D77BA"/>
    <w:rsid w:val="003D7AA7"/>
    <w:rsid w:val="003D7B55"/>
    <w:rsid w:val="003D7CF5"/>
    <w:rsid w:val="003D7E7E"/>
    <w:rsid w:val="003E01B7"/>
    <w:rsid w:val="003E0609"/>
    <w:rsid w:val="003E06E4"/>
    <w:rsid w:val="003E0B31"/>
    <w:rsid w:val="003E0DB0"/>
    <w:rsid w:val="003E128D"/>
    <w:rsid w:val="003E1A1F"/>
    <w:rsid w:val="003E1E32"/>
    <w:rsid w:val="003E1F52"/>
    <w:rsid w:val="003E2043"/>
    <w:rsid w:val="003E20C5"/>
    <w:rsid w:val="003E2239"/>
    <w:rsid w:val="003E2262"/>
    <w:rsid w:val="003E2E21"/>
    <w:rsid w:val="003E3157"/>
    <w:rsid w:val="003E333F"/>
    <w:rsid w:val="003E3476"/>
    <w:rsid w:val="003E35E3"/>
    <w:rsid w:val="003E3E99"/>
    <w:rsid w:val="003E4191"/>
    <w:rsid w:val="003E434C"/>
    <w:rsid w:val="003E48D0"/>
    <w:rsid w:val="003E4AE2"/>
    <w:rsid w:val="003E503C"/>
    <w:rsid w:val="003E5448"/>
    <w:rsid w:val="003E54CC"/>
    <w:rsid w:val="003E58F3"/>
    <w:rsid w:val="003E590D"/>
    <w:rsid w:val="003E5BAA"/>
    <w:rsid w:val="003E5BC3"/>
    <w:rsid w:val="003E5CB8"/>
    <w:rsid w:val="003E5EC8"/>
    <w:rsid w:val="003E6055"/>
    <w:rsid w:val="003E6410"/>
    <w:rsid w:val="003E65DA"/>
    <w:rsid w:val="003E691D"/>
    <w:rsid w:val="003E6EBC"/>
    <w:rsid w:val="003E70CA"/>
    <w:rsid w:val="003E719C"/>
    <w:rsid w:val="003E7850"/>
    <w:rsid w:val="003E7C11"/>
    <w:rsid w:val="003E7E31"/>
    <w:rsid w:val="003F0BC5"/>
    <w:rsid w:val="003F0D01"/>
    <w:rsid w:val="003F0E77"/>
    <w:rsid w:val="003F12E7"/>
    <w:rsid w:val="003F1B29"/>
    <w:rsid w:val="003F1CA7"/>
    <w:rsid w:val="003F1D96"/>
    <w:rsid w:val="003F1FA4"/>
    <w:rsid w:val="003F23F2"/>
    <w:rsid w:val="003F24A2"/>
    <w:rsid w:val="003F283E"/>
    <w:rsid w:val="003F290E"/>
    <w:rsid w:val="003F29BC"/>
    <w:rsid w:val="003F2E89"/>
    <w:rsid w:val="003F3493"/>
    <w:rsid w:val="003F3CDA"/>
    <w:rsid w:val="003F3E6A"/>
    <w:rsid w:val="003F3F0C"/>
    <w:rsid w:val="003F40EE"/>
    <w:rsid w:val="003F42CB"/>
    <w:rsid w:val="003F465F"/>
    <w:rsid w:val="003F4790"/>
    <w:rsid w:val="003F4A67"/>
    <w:rsid w:val="003F4E3F"/>
    <w:rsid w:val="003F4E9A"/>
    <w:rsid w:val="003F4F35"/>
    <w:rsid w:val="003F5298"/>
    <w:rsid w:val="003F56BF"/>
    <w:rsid w:val="003F57EB"/>
    <w:rsid w:val="003F5D83"/>
    <w:rsid w:val="003F5E3E"/>
    <w:rsid w:val="003F5FEB"/>
    <w:rsid w:val="003F6366"/>
    <w:rsid w:val="003F6464"/>
    <w:rsid w:val="003F6479"/>
    <w:rsid w:val="003F6B61"/>
    <w:rsid w:val="003F6E2B"/>
    <w:rsid w:val="003F6F1A"/>
    <w:rsid w:val="003F70B7"/>
    <w:rsid w:val="003F73E1"/>
    <w:rsid w:val="003F7A4A"/>
    <w:rsid w:val="003F7D3B"/>
    <w:rsid w:val="003F7E7C"/>
    <w:rsid w:val="003F7FF8"/>
    <w:rsid w:val="0040051A"/>
    <w:rsid w:val="0040060F"/>
    <w:rsid w:val="00400650"/>
    <w:rsid w:val="00400BE3"/>
    <w:rsid w:val="00400D5C"/>
    <w:rsid w:val="00401537"/>
    <w:rsid w:val="004016A5"/>
    <w:rsid w:val="004017AF"/>
    <w:rsid w:val="004019DE"/>
    <w:rsid w:val="00401C4E"/>
    <w:rsid w:val="0040200A"/>
    <w:rsid w:val="00402056"/>
    <w:rsid w:val="00402301"/>
    <w:rsid w:val="004023EF"/>
    <w:rsid w:val="0040285E"/>
    <w:rsid w:val="00402E2E"/>
    <w:rsid w:val="00402F9F"/>
    <w:rsid w:val="00403299"/>
    <w:rsid w:val="004033E5"/>
    <w:rsid w:val="00403B30"/>
    <w:rsid w:val="00403EEC"/>
    <w:rsid w:val="00404238"/>
    <w:rsid w:val="004043C7"/>
    <w:rsid w:val="0040454B"/>
    <w:rsid w:val="0040457D"/>
    <w:rsid w:val="004048A3"/>
    <w:rsid w:val="00404DF8"/>
    <w:rsid w:val="00404E4F"/>
    <w:rsid w:val="00405607"/>
    <w:rsid w:val="00405FF7"/>
    <w:rsid w:val="004060D3"/>
    <w:rsid w:val="004064F7"/>
    <w:rsid w:val="00406BF3"/>
    <w:rsid w:val="00406D03"/>
    <w:rsid w:val="00406DE6"/>
    <w:rsid w:val="0040733A"/>
    <w:rsid w:val="004074F6"/>
    <w:rsid w:val="00407561"/>
    <w:rsid w:val="004077A2"/>
    <w:rsid w:val="00407B91"/>
    <w:rsid w:val="00407C3D"/>
    <w:rsid w:val="004100D8"/>
    <w:rsid w:val="004105E4"/>
    <w:rsid w:val="0041066C"/>
    <w:rsid w:val="00410710"/>
    <w:rsid w:val="00410D94"/>
    <w:rsid w:val="00410F5C"/>
    <w:rsid w:val="0041136C"/>
    <w:rsid w:val="00411397"/>
    <w:rsid w:val="004114C0"/>
    <w:rsid w:val="00411843"/>
    <w:rsid w:val="00411CF5"/>
    <w:rsid w:val="00411D29"/>
    <w:rsid w:val="004121C9"/>
    <w:rsid w:val="00412203"/>
    <w:rsid w:val="0041246A"/>
    <w:rsid w:val="004124EE"/>
    <w:rsid w:val="004125BE"/>
    <w:rsid w:val="00412692"/>
    <w:rsid w:val="004126D9"/>
    <w:rsid w:val="00412AB4"/>
    <w:rsid w:val="004131D6"/>
    <w:rsid w:val="004131F1"/>
    <w:rsid w:val="00413404"/>
    <w:rsid w:val="0041344E"/>
    <w:rsid w:val="00413C60"/>
    <w:rsid w:val="0041404F"/>
    <w:rsid w:val="004141BA"/>
    <w:rsid w:val="00414721"/>
    <w:rsid w:val="00414ABA"/>
    <w:rsid w:val="004151CA"/>
    <w:rsid w:val="004156DF"/>
    <w:rsid w:val="00415A24"/>
    <w:rsid w:val="00415D99"/>
    <w:rsid w:val="00415DE2"/>
    <w:rsid w:val="004160CC"/>
    <w:rsid w:val="00416EF3"/>
    <w:rsid w:val="00417009"/>
    <w:rsid w:val="00417F24"/>
    <w:rsid w:val="0042024B"/>
    <w:rsid w:val="004204DF"/>
    <w:rsid w:val="0042053B"/>
    <w:rsid w:val="00420680"/>
    <w:rsid w:val="00420B84"/>
    <w:rsid w:val="00420CC8"/>
    <w:rsid w:val="00420F0E"/>
    <w:rsid w:val="00421235"/>
    <w:rsid w:val="004212D1"/>
    <w:rsid w:val="00421675"/>
    <w:rsid w:val="004217D1"/>
    <w:rsid w:val="004218DA"/>
    <w:rsid w:val="00421A7F"/>
    <w:rsid w:val="00421CBA"/>
    <w:rsid w:val="00421F90"/>
    <w:rsid w:val="00421FED"/>
    <w:rsid w:val="004222FF"/>
    <w:rsid w:val="00422464"/>
    <w:rsid w:val="004227E2"/>
    <w:rsid w:val="00422911"/>
    <w:rsid w:val="0042339A"/>
    <w:rsid w:val="00423B15"/>
    <w:rsid w:val="00423F6D"/>
    <w:rsid w:val="00424326"/>
    <w:rsid w:val="00424868"/>
    <w:rsid w:val="004248F9"/>
    <w:rsid w:val="00424CB8"/>
    <w:rsid w:val="00424D40"/>
    <w:rsid w:val="00424EA0"/>
    <w:rsid w:val="0042508F"/>
    <w:rsid w:val="0042563D"/>
    <w:rsid w:val="004258D4"/>
    <w:rsid w:val="004259D7"/>
    <w:rsid w:val="00425CDC"/>
    <w:rsid w:val="00425F1E"/>
    <w:rsid w:val="00425F47"/>
    <w:rsid w:val="0042614C"/>
    <w:rsid w:val="00426171"/>
    <w:rsid w:val="004262CE"/>
    <w:rsid w:val="0042646A"/>
    <w:rsid w:val="00426699"/>
    <w:rsid w:val="004268AB"/>
    <w:rsid w:val="00426BAC"/>
    <w:rsid w:val="00427256"/>
    <w:rsid w:val="00427B48"/>
    <w:rsid w:val="00427CAF"/>
    <w:rsid w:val="004301D2"/>
    <w:rsid w:val="0043037A"/>
    <w:rsid w:val="004304DF"/>
    <w:rsid w:val="00430605"/>
    <w:rsid w:val="00430643"/>
    <w:rsid w:val="00430CE6"/>
    <w:rsid w:val="00430D47"/>
    <w:rsid w:val="004313AA"/>
    <w:rsid w:val="004315D4"/>
    <w:rsid w:val="0043161C"/>
    <w:rsid w:val="004318AF"/>
    <w:rsid w:val="00431E8C"/>
    <w:rsid w:val="0043220B"/>
    <w:rsid w:val="00432BB4"/>
    <w:rsid w:val="00432C6A"/>
    <w:rsid w:val="00432D45"/>
    <w:rsid w:val="00433146"/>
    <w:rsid w:val="0043326D"/>
    <w:rsid w:val="0043389E"/>
    <w:rsid w:val="004346EB"/>
    <w:rsid w:val="00434700"/>
    <w:rsid w:val="00434776"/>
    <w:rsid w:val="00434AD0"/>
    <w:rsid w:val="00434E74"/>
    <w:rsid w:val="00435743"/>
    <w:rsid w:val="0043578F"/>
    <w:rsid w:val="00435B00"/>
    <w:rsid w:val="00435D92"/>
    <w:rsid w:val="0043626F"/>
    <w:rsid w:val="004368CD"/>
    <w:rsid w:val="00436C3E"/>
    <w:rsid w:val="0043714F"/>
    <w:rsid w:val="004371AC"/>
    <w:rsid w:val="00437383"/>
    <w:rsid w:val="0043756B"/>
    <w:rsid w:val="004376A7"/>
    <w:rsid w:val="004379C2"/>
    <w:rsid w:val="00437E55"/>
    <w:rsid w:val="00437FAE"/>
    <w:rsid w:val="004400E8"/>
    <w:rsid w:val="0044035C"/>
    <w:rsid w:val="00440479"/>
    <w:rsid w:val="00440C68"/>
    <w:rsid w:val="00440DA6"/>
    <w:rsid w:val="00441820"/>
    <w:rsid w:val="00441855"/>
    <w:rsid w:val="00441CEA"/>
    <w:rsid w:val="004421DC"/>
    <w:rsid w:val="0044254F"/>
    <w:rsid w:val="004425E5"/>
    <w:rsid w:val="00442C30"/>
    <w:rsid w:val="00442CB8"/>
    <w:rsid w:val="004430AD"/>
    <w:rsid w:val="00443130"/>
    <w:rsid w:val="004433BA"/>
    <w:rsid w:val="00443532"/>
    <w:rsid w:val="00443BC3"/>
    <w:rsid w:val="00443C23"/>
    <w:rsid w:val="00443DCB"/>
    <w:rsid w:val="0044432E"/>
    <w:rsid w:val="0044468F"/>
    <w:rsid w:val="00444DCC"/>
    <w:rsid w:val="004452BE"/>
    <w:rsid w:val="004455D9"/>
    <w:rsid w:val="00445C34"/>
    <w:rsid w:val="00445DA0"/>
    <w:rsid w:val="0044628A"/>
    <w:rsid w:val="0044638D"/>
    <w:rsid w:val="0044743C"/>
    <w:rsid w:val="004475B5"/>
    <w:rsid w:val="004476E2"/>
    <w:rsid w:val="004478B6"/>
    <w:rsid w:val="00447D42"/>
    <w:rsid w:val="00447F7B"/>
    <w:rsid w:val="0045030E"/>
    <w:rsid w:val="00450B9E"/>
    <w:rsid w:val="00450C80"/>
    <w:rsid w:val="00450E74"/>
    <w:rsid w:val="00451351"/>
    <w:rsid w:val="00451644"/>
    <w:rsid w:val="00451FF8"/>
    <w:rsid w:val="00452008"/>
    <w:rsid w:val="0045200B"/>
    <w:rsid w:val="00452107"/>
    <w:rsid w:val="00452486"/>
    <w:rsid w:val="004530E2"/>
    <w:rsid w:val="004531DA"/>
    <w:rsid w:val="004534CC"/>
    <w:rsid w:val="00453BC9"/>
    <w:rsid w:val="004541F4"/>
    <w:rsid w:val="004542DA"/>
    <w:rsid w:val="004543BC"/>
    <w:rsid w:val="004544D6"/>
    <w:rsid w:val="004549AD"/>
    <w:rsid w:val="00454EA5"/>
    <w:rsid w:val="00455883"/>
    <w:rsid w:val="00455897"/>
    <w:rsid w:val="004559C4"/>
    <w:rsid w:val="00455AB7"/>
    <w:rsid w:val="00455D88"/>
    <w:rsid w:val="0045600B"/>
    <w:rsid w:val="0045633E"/>
    <w:rsid w:val="004565BC"/>
    <w:rsid w:val="004566C6"/>
    <w:rsid w:val="004566F2"/>
    <w:rsid w:val="004567E0"/>
    <w:rsid w:val="00456B0E"/>
    <w:rsid w:val="00456D66"/>
    <w:rsid w:val="00456DA0"/>
    <w:rsid w:val="00456ED0"/>
    <w:rsid w:val="00456F63"/>
    <w:rsid w:val="0045701A"/>
    <w:rsid w:val="004570C6"/>
    <w:rsid w:val="00457166"/>
    <w:rsid w:val="00457320"/>
    <w:rsid w:val="00457377"/>
    <w:rsid w:val="00457663"/>
    <w:rsid w:val="00457CC4"/>
    <w:rsid w:val="0046000B"/>
    <w:rsid w:val="00460031"/>
    <w:rsid w:val="00460531"/>
    <w:rsid w:val="00460784"/>
    <w:rsid w:val="00460BFC"/>
    <w:rsid w:val="00460E09"/>
    <w:rsid w:val="00461103"/>
    <w:rsid w:val="0046134A"/>
    <w:rsid w:val="004613B4"/>
    <w:rsid w:val="004615F0"/>
    <w:rsid w:val="00461638"/>
    <w:rsid w:val="00461CE9"/>
    <w:rsid w:val="00461D9E"/>
    <w:rsid w:val="00461E11"/>
    <w:rsid w:val="00461EED"/>
    <w:rsid w:val="0046203A"/>
    <w:rsid w:val="0046210D"/>
    <w:rsid w:val="0046225A"/>
    <w:rsid w:val="004622BB"/>
    <w:rsid w:val="00462407"/>
    <w:rsid w:val="00462AD6"/>
    <w:rsid w:val="00462E50"/>
    <w:rsid w:val="00462F78"/>
    <w:rsid w:val="004631DD"/>
    <w:rsid w:val="00463228"/>
    <w:rsid w:val="00463357"/>
    <w:rsid w:val="004635FD"/>
    <w:rsid w:val="00463919"/>
    <w:rsid w:val="00463A6C"/>
    <w:rsid w:val="00463A6D"/>
    <w:rsid w:val="00463C5A"/>
    <w:rsid w:val="0046428C"/>
    <w:rsid w:val="00464331"/>
    <w:rsid w:val="0046450D"/>
    <w:rsid w:val="00464732"/>
    <w:rsid w:val="0046479B"/>
    <w:rsid w:val="00464C0E"/>
    <w:rsid w:val="00465910"/>
    <w:rsid w:val="00465A47"/>
    <w:rsid w:val="00465AB5"/>
    <w:rsid w:val="00465ADC"/>
    <w:rsid w:val="004667E2"/>
    <w:rsid w:val="00466959"/>
    <w:rsid w:val="004669FA"/>
    <w:rsid w:val="00466A52"/>
    <w:rsid w:val="00466B7D"/>
    <w:rsid w:val="00466CC4"/>
    <w:rsid w:val="00466F6E"/>
    <w:rsid w:val="00466FBE"/>
    <w:rsid w:val="00467279"/>
    <w:rsid w:val="00467335"/>
    <w:rsid w:val="004674D7"/>
    <w:rsid w:val="00467C13"/>
    <w:rsid w:val="0047000A"/>
    <w:rsid w:val="00470074"/>
    <w:rsid w:val="00470129"/>
    <w:rsid w:val="0047013E"/>
    <w:rsid w:val="00470215"/>
    <w:rsid w:val="00470534"/>
    <w:rsid w:val="004708C5"/>
    <w:rsid w:val="0047093C"/>
    <w:rsid w:val="00470A86"/>
    <w:rsid w:val="00470B6F"/>
    <w:rsid w:val="00471B43"/>
    <w:rsid w:val="00471D72"/>
    <w:rsid w:val="00471EE9"/>
    <w:rsid w:val="004728A0"/>
    <w:rsid w:val="00472AB1"/>
    <w:rsid w:val="00472B1E"/>
    <w:rsid w:val="00472C54"/>
    <w:rsid w:val="00473209"/>
    <w:rsid w:val="004736F2"/>
    <w:rsid w:val="0047389C"/>
    <w:rsid w:val="00473904"/>
    <w:rsid w:val="00473ACC"/>
    <w:rsid w:val="00473B8F"/>
    <w:rsid w:val="00474103"/>
    <w:rsid w:val="00474250"/>
    <w:rsid w:val="004742DD"/>
    <w:rsid w:val="0047458F"/>
    <w:rsid w:val="00474E5B"/>
    <w:rsid w:val="00474EAF"/>
    <w:rsid w:val="00474EF7"/>
    <w:rsid w:val="00475231"/>
    <w:rsid w:val="00475318"/>
    <w:rsid w:val="0047539C"/>
    <w:rsid w:val="00475434"/>
    <w:rsid w:val="004757D8"/>
    <w:rsid w:val="0047581D"/>
    <w:rsid w:val="00475A5C"/>
    <w:rsid w:val="00475D6C"/>
    <w:rsid w:val="00476298"/>
    <w:rsid w:val="004763C9"/>
    <w:rsid w:val="004766DE"/>
    <w:rsid w:val="00476C1B"/>
    <w:rsid w:val="00477098"/>
    <w:rsid w:val="004772E8"/>
    <w:rsid w:val="0047740E"/>
    <w:rsid w:val="004774E6"/>
    <w:rsid w:val="00477585"/>
    <w:rsid w:val="004775AE"/>
    <w:rsid w:val="00477E7E"/>
    <w:rsid w:val="0048028C"/>
    <w:rsid w:val="004802BC"/>
    <w:rsid w:val="0048049B"/>
    <w:rsid w:val="004806AA"/>
    <w:rsid w:val="00480958"/>
    <w:rsid w:val="00480AD2"/>
    <w:rsid w:val="00480AD4"/>
    <w:rsid w:val="00480EBC"/>
    <w:rsid w:val="004813AA"/>
    <w:rsid w:val="00481919"/>
    <w:rsid w:val="004819BF"/>
    <w:rsid w:val="004828DD"/>
    <w:rsid w:val="00482C5B"/>
    <w:rsid w:val="00482C6C"/>
    <w:rsid w:val="00482F71"/>
    <w:rsid w:val="0048301F"/>
    <w:rsid w:val="004833EB"/>
    <w:rsid w:val="00483604"/>
    <w:rsid w:val="00483749"/>
    <w:rsid w:val="0048381C"/>
    <w:rsid w:val="00483B6C"/>
    <w:rsid w:val="00483CB9"/>
    <w:rsid w:val="00483D40"/>
    <w:rsid w:val="00484100"/>
    <w:rsid w:val="00484828"/>
    <w:rsid w:val="00484E96"/>
    <w:rsid w:val="00484EF7"/>
    <w:rsid w:val="00485A02"/>
    <w:rsid w:val="004867E4"/>
    <w:rsid w:val="00486944"/>
    <w:rsid w:val="00486B97"/>
    <w:rsid w:val="00486BF4"/>
    <w:rsid w:val="00486D84"/>
    <w:rsid w:val="00486DB7"/>
    <w:rsid w:val="004873BD"/>
    <w:rsid w:val="004875D9"/>
    <w:rsid w:val="00490240"/>
    <w:rsid w:val="00490669"/>
    <w:rsid w:val="004908FA"/>
    <w:rsid w:val="004909BB"/>
    <w:rsid w:val="00490A46"/>
    <w:rsid w:val="00490CDB"/>
    <w:rsid w:val="0049163D"/>
    <w:rsid w:val="004925EC"/>
    <w:rsid w:val="00492694"/>
    <w:rsid w:val="00492713"/>
    <w:rsid w:val="00492911"/>
    <w:rsid w:val="00492AC9"/>
    <w:rsid w:val="00492B38"/>
    <w:rsid w:val="00492EE6"/>
    <w:rsid w:val="00493827"/>
    <w:rsid w:val="00493945"/>
    <w:rsid w:val="004948C2"/>
    <w:rsid w:val="004957B3"/>
    <w:rsid w:val="00495B3F"/>
    <w:rsid w:val="00496130"/>
    <w:rsid w:val="004962C9"/>
    <w:rsid w:val="0049657D"/>
    <w:rsid w:val="00496700"/>
    <w:rsid w:val="00496984"/>
    <w:rsid w:val="0049699F"/>
    <w:rsid w:val="00496AAC"/>
    <w:rsid w:val="00496AF0"/>
    <w:rsid w:val="00496E00"/>
    <w:rsid w:val="00496E90"/>
    <w:rsid w:val="00497003"/>
    <w:rsid w:val="004974FA"/>
    <w:rsid w:val="004976C0"/>
    <w:rsid w:val="00497DCD"/>
    <w:rsid w:val="004A03E3"/>
    <w:rsid w:val="004A075D"/>
    <w:rsid w:val="004A07A0"/>
    <w:rsid w:val="004A0B9D"/>
    <w:rsid w:val="004A0C29"/>
    <w:rsid w:val="004A0DCA"/>
    <w:rsid w:val="004A106B"/>
    <w:rsid w:val="004A1231"/>
    <w:rsid w:val="004A1284"/>
    <w:rsid w:val="004A187D"/>
    <w:rsid w:val="004A1938"/>
    <w:rsid w:val="004A1A3B"/>
    <w:rsid w:val="004A1B7D"/>
    <w:rsid w:val="004A1DA4"/>
    <w:rsid w:val="004A1F72"/>
    <w:rsid w:val="004A1FCD"/>
    <w:rsid w:val="004A20ED"/>
    <w:rsid w:val="004A212E"/>
    <w:rsid w:val="004A24D8"/>
    <w:rsid w:val="004A2B74"/>
    <w:rsid w:val="004A2CCB"/>
    <w:rsid w:val="004A2FB8"/>
    <w:rsid w:val="004A3213"/>
    <w:rsid w:val="004A3A87"/>
    <w:rsid w:val="004A3B0F"/>
    <w:rsid w:val="004A3B5E"/>
    <w:rsid w:val="004A3B78"/>
    <w:rsid w:val="004A3EC5"/>
    <w:rsid w:val="004A41A0"/>
    <w:rsid w:val="004A437F"/>
    <w:rsid w:val="004A44F4"/>
    <w:rsid w:val="004A48E0"/>
    <w:rsid w:val="004A507F"/>
    <w:rsid w:val="004A50D8"/>
    <w:rsid w:val="004A5382"/>
    <w:rsid w:val="004A53D4"/>
    <w:rsid w:val="004A54B4"/>
    <w:rsid w:val="004A554C"/>
    <w:rsid w:val="004A5586"/>
    <w:rsid w:val="004A5921"/>
    <w:rsid w:val="004A5967"/>
    <w:rsid w:val="004A5B27"/>
    <w:rsid w:val="004A5E83"/>
    <w:rsid w:val="004A5F18"/>
    <w:rsid w:val="004A6921"/>
    <w:rsid w:val="004A7042"/>
    <w:rsid w:val="004A7470"/>
    <w:rsid w:val="004A7AB0"/>
    <w:rsid w:val="004B0163"/>
    <w:rsid w:val="004B053D"/>
    <w:rsid w:val="004B0864"/>
    <w:rsid w:val="004B0AB5"/>
    <w:rsid w:val="004B0BB1"/>
    <w:rsid w:val="004B0DB8"/>
    <w:rsid w:val="004B0F88"/>
    <w:rsid w:val="004B1531"/>
    <w:rsid w:val="004B15B2"/>
    <w:rsid w:val="004B1692"/>
    <w:rsid w:val="004B1DBB"/>
    <w:rsid w:val="004B1E86"/>
    <w:rsid w:val="004B2487"/>
    <w:rsid w:val="004B2957"/>
    <w:rsid w:val="004B2AA9"/>
    <w:rsid w:val="004B2E1E"/>
    <w:rsid w:val="004B34BE"/>
    <w:rsid w:val="004B3E28"/>
    <w:rsid w:val="004B4054"/>
    <w:rsid w:val="004B448A"/>
    <w:rsid w:val="004B4837"/>
    <w:rsid w:val="004B4B84"/>
    <w:rsid w:val="004B4D63"/>
    <w:rsid w:val="004B4F2D"/>
    <w:rsid w:val="004B5111"/>
    <w:rsid w:val="004B5203"/>
    <w:rsid w:val="004B561C"/>
    <w:rsid w:val="004B5659"/>
    <w:rsid w:val="004B587F"/>
    <w:rsid w:val="004B5E69"/>
    <w:rsid w:val="004B609E"/>
    <w:rsid w:val="004B6213"/>
    <w:rsid w:val="004B6358"/>
    <w:rsid w:val="004B6CB4"/>
    <w:rsid w:val="004B6E7D"/>
    <w:rsid w:val="004B6EE1"/>
    <w:rsid w:val="004B6F2F"/>
    <w:rsid w:val="004B7819"/>
    <w:rsid w:val="004B7A45"/>
    <w:rsid w:val="004B7AE5"/>
    <w:rsid w:val="004C0412"/>
    <w:rsid w:val="004C06EA"/>
    <w:rsid w:val="004C0C82"/>
    <w:rsid w:val="004C0C9C"/>
    <w:rsid w:val="004C0F13"/>
    <w:rsid w:val="004C1376"/>
    <w:rsid w:val="004C15FB"/>
    <w:rsid w:val="004C162B"/>
    <w:rsid w:val="004C1B3A"/>
    <w:rsid w:val="004C1FCB"/>
    <w:rsid w:val="004C2548"/>
    <w:rsid w:val="004C2743"/>
    <w:rsid w:val="004C2936"/>
    <w:rsid w:val="004C2957"/>
    <w:rsid w:val="004C29D1"/>
    <w:rsid w:val="004C2D9A"/>
    <w:rsid w:val="004C2DE8"/>
    <w:rsid w:val="004C2DE9"/>
    <w:rsid w:val="004C2F72"/>
    <w:rsid w:val="004C322E"/>
    <w:rsid w:val="004C34D2"/>
    <w:rsid w:val="004C37A5"/>
    <w:rsid w:val="004C38BA"/>
    <w:rsid w:val="004C3AD3"/>
    <w:rsid w:val="004C4629"/>
    <w:rsid w:val="004C4823"/>
    <w:rsid w:val="004C4AC2"/>
    <w:rsid w:val="004C4B1C"/>
    <w:rsid w:val="004C4CA1"/>
    <w:rsid w:val="004C4D88"/>
    <w:rsid w:val="004C4DC3"/>
    <w:rsid w:val="004C4E1F"/>
    <w:rsid w:val="004C51EF"/>
    <w:rsid w:val="004C53B3"/>
    <w:rsid w:val="004C5A24"/>
    <w:rsid w:val="004C5B98"/>
    <w:rsid w:val="004C6113"/>
    <w:rsid w:val="004C629E"/>
    <w:rsid w:val="004C6485"/>
    <w:rsid w:val="004C6EE1"/>
    <w:rsid w:val="004C700D"/>
    <w:rsid w:val="004C7018"/>
    <w:rsid w:val="004C72E1"/>
    <w:rsid w:val="004C756C"/>
    <w:rsid w:val="004C796C"/>
    <w:rsid w:val="004C7A80"/>
    <w:rsid w:val="004C7E26"/>
    <w:rsid w:val="004D0457"/>
    <w:rsid w:val="004D071B"/>
    <w:rsid w:val="004D077F"/>
    <w:rsid w:val="004D09A0"/>
    <w:rsid w:val="004D0C63"/>
    <w:rsid w:val="004D13DA"/>
    <w:rsid w:val="004D18A6"/>
    <w:rsid w:val="004D1C90"/>
    <w:rsid w:val="004D1F58"/>
    <w:rsid w:val="004D1F62"/>
    <w:rsid w:val="004D1F8E"/>
    <w:rsid w:val="004D2B52"/>
    <w:rsid w:val="004D305D"/>
    <w:rsid w:val="004D32C9"/>
    <w:rsid w:val="004D33D6"/>
    <w:rsid w:val="004D34AE"/>
    <w:rsid w:val="004D382B"/>
    <w:rsid w:val="004D3A60"/>
    <w:rsid w:val="004D41D1"/>
    <w:rsid w:val="004D4E2B"/>
    <w:rsid w:val="004D4EB3"/>
    <w:rsid w:val="004D4F55"/>
    <w:rsid w:val="004D5786"/>
    <w:rsid w:val="004D5AE4"/>
    <w:rsid w:val="004D5BDB"/>
    <w:rsid w:val="004D5C77"/>
    <w:rsid w:val="004D5E49"/>
    <w:rsid w:val="004D5EC7"/>
    <w:rsid w:val="004D6093"/>
    <w:rsid w:val="004D629D"/>
    <w:rsid w:val="004D67CC"/>
    <w:rsid w:val="004D6A26"/>
    <w:rsid w:val="004D6C30"/>
    <w:rsid w:val="004D6DA2"/>
    <w:rsid w:val="004D6E4C"/>
    <w:rsid w:val="004D70A2"/>
    <w:rsid w:val="004D7281"/>
    <w:rsid w:val="004D7350"/>
    <w:rsid w:val="004D73BE"/>
    <w:rsid w:val="004D7483"/>
    <w:rsid w:val="004D797A"/>
    <w:rsid w:val="004D79B2"/>
    <w:rsid w:val="004D7C71"/>
    <w:rsid w:val="004D7D53"/>
    <w:rsid w:val="004D7E41"/>
    <w:rsid w:val="004D7EBC"/>
    <w:rsid w:val="004E0083"/>
    <w:rsid w:val="004E0945"/>
    <w:rsid w:val="004E0F8C"/>
    <w:rsid w:val="004E117E"/>
    <w:rsid w:val="004E11D6"/>
    <w:rsid w:val="004E1233"/>
    <w:rsid w:val="004E1400"/>
    <w:rsid w:val="004E1409"/>
    <w:rsid w:val="004E1CA0"/>
    <w:rsid w:val="004E1CE1"/>
    <w:rsid w:val="004E2160"/>
    <w:rsid w:val="004E2768"/>
    <w:rsid w:val="004E28C6"/>
    <w:rsid w:val="004E2B2C"/>
    <w:rsid w:val="004E2E2B"/>
    <w:rsid w:val="004E3006"/>
    <w:rsid w:val="004E32D6"/>
    <w:rsid w:val="004E3953"/>
    <w:rsid w:val="004E3B70"/>
    <w:rsid w:val="004E3DCE"/>
    <w:rsid w:val="004E4494"/>
    <w:rsid w:val="004E4DE6"/>
    <w:rsid w:val="004E4F51"/>
    <w:rsid w:val="004E4F75"/>
    <w:rsid w:val="004E511F"/>
    <w:rsid w:val="004E5177"/>
    <w:rsid w:val="004E5478"/>
    <w:rsid w:val="004E55C6"/>
    <w:rsid w:val="004E5725"/>
    <w:rsid w:val="004E5839"/>
    <w:rsid w:val="004E59AD"/>
    <w:rsid w:val="004E5C4F"/>
    <w:rsid w:val="004E60D4"/>
    <w:rsid w:val="004E698E"/>
    <w:rsid w:val="004E6DE1"/>
    <w:rsid w:val="004E6F45"/>
    <w:rsid w:val="004E6F95"/>
    <w:rsid w:val="004E7BE9"/>
    <w:rsid w:val="004E7D64"/>
    <w:rsid w:val="004F0928"/>
    <w:rsid w:val="004F0952"/>
    <w:rsid w:val="004F0D68"/>
    <w:rsid w:val="004F0DB3"/>
    <w:rsid w:val="004F0EA1"/>
    <w:rsid w:val="004F0EC9"/>
    <w:rsid w:val="004F0EF9"/>
    <w:rsid w:val="004F10E0"/>
    <w:rsid w:val="004F138F"/>
    <w:rsid w:val="004F1623"/>
    <w:rsid w:val="004F1A1C"/>
    <w:rsid w:val="004F1E44"/>
    <w:rsid w:val="004F231B"/>
    <w:rsid w:val="004F2D0A"/>
    <w:rsid w:val="004F300C"/>
    <w:rsid w:val="004F361D"/>
    <w:rsid w:val="004F3EDA"/>
    <w:rsid w:val="004F420C"/>
    <w:rsid w:val="004F540F"/>
    <w:rsid w:val="004F5428"/>
    <w:rsid w:val="004F5D08"/>
    <w:rsid w:val="004F5DC0"/>
    <w:rsid w:val="004F6083"/>
    <w:rsid w:val="004F6A48"/>
    <w:rsid w:val="004F6ABA"/>
    <w:rsid w:val="004F6AC1"/>
    <w:rsid w:val="004F7041"/>
    <w:rsid w:val="004F718A"/>
    <w:rsid w:val="004F7523"/>
    <w:rsid w:val="004F7597"/>
    <w:rsid w:val="004F778B"/>
    <w:rsid w:val="004F7B1F"/>
    <w:rsid w:val="004F7DBA"/>
    <w:rsid w:val="00500123"/>
    <w:rsid w:val="00500709"/>
    <w:rsid w:val="00500DD4"/>
    <w:rsid w:val="00500EAA"/>
    <w:rsid w:val="00500F1E"/>
    <w:rsid w:val="005016BB"/>
    <w:rsid w:val="005019D1"/>
    <w:rsid w:val="00501C94"/>
    <w:rsid w:val="00501D12"/>
    <w:rsid w:val="00501D8B"/>
    <w:rsid w:val="00501F7E"/>
    <w:rsid w:val="0050214D"/>
    <w:rsid w:val="005021C4"/>
    <w:rsid w:val="00502FF4"/>
    <w:rsid w:val="005032F0"/>
    <w:rsid w:val="00503452"/>
    <w:rsid w:val="00503A06"/>
    <w:rsid w:val="00503CDD"/>
    <w:rsid w:val="00504408"/>
    <w:rsid w:val="00504525"/>
    <w:rsid w:val="00504770"/>
    <w:rsid w:val="0050507D"/>
    <w:rsid w:val="005055B3"/>
    <w:rsid w:val="0050565C"/>
    <w:rsid w:val="005059C8"/>
    <w:rsid w:val="00505A4F"/>
    <w:rsid w:val="00505AB7"/>
    <w:rsid w:val="00505EAB"/>
    <w:rsid w:val="0050670B"/>
    <w:rsid w:val="00506934"/>
    <w:rsid w:val="00506A68"/>
    <w:rsid w:val="00506A83"/>
    <w:rsid w:val="00506DE8"/>
    <w:rsid w:val="00506FF4"/>
    <w:rsid w:val="0050709C"/>
    <w:rsid w:val="005070F8"/>
    <w:rsid w:val="005077EE"/>
    <w:rsid w:val="00507ACB"/>
    <w:rsid w:val="00510344"/>
    <w:rsid w:val="0051035F"/>
    <w:rsid w:val="0051062B"/>
    <w:rsid w:val="005106BC"/>
    <w:rsid w:val="00511623"/>
    <w:rsid w:val="0051195D"/>
    <w:rsid w:val="00511A2F"/>
    <w:rsid w:val="00511A9D"/>
    <w:rsid w:val="00511AEB"/>
    <w:rsid w:val="00511B29"/>
    <w:rsid w:val="00511B37"/>
    <w:rsid w:val="005124C6"/>
    <w:rsid w:val="005124ED"/>
    <w:rsid w:val="00512633"/>
    <w:rsid w:val="0051285B"/>
    <w:rsid w:val="005129EF"/>
    <w:rsid w:val="00512C68"/>
    <w:rsid w:val="00512E57"/>
    <w:rsid w:val="005139BF"/>
    <w:rsid w:val="00513A4E"/>
    <w:rsid w:val="00514103"/>
    <w:rsid w:val="005141E8"/>
    <w:rsid w:val="005141ED"/>
    <w:rsid w:val="00514649"/>
    <w:rsid w:val="00514B2D"/>
    <w:rsid w:val="00514B41"/>
    <w:rsid w:val="0051574E"/>
    <w:rsid w:val="00515C0A"/>
    <w:rsid w:val="00515CAD"/>
    <w:rsid w:val="00515CF1"/>
    <w:rsid w:val="00516584"/>
    <w:rsid w:val="00516A89"/>
    <w:rsid w:val="00516DB5"/>
    <w:rsid w:val="005170B3"/>
    <w:rsid w:val="00517257"/>
    <w:rsid w:val="00517609"/>
    <w:rsid w:val="00517654"/>
    <w:rsid w:val="005179C6"/>
    <w:rsid w:val="00517EF7"/>
    <w:rsid w:val="0052099E"/>
    <w:rsid w:val="005209BB"/>
    <w:rsid w:val="00520C37"/>
    <w:rsid w:val="00521A9E"/>
    <w:rsid w:val="00521C66"/>
    <w:rsid w:val="005228AE"/>
    <w:rsid w:val="00522A17"/>
    <w:rsid w:val="00522EBF"/>
    <w:rsid w:val="005230FA"/>
    <w:rsid w:val="005231E4"/>
    <w:rsid w:val="005232AF"/>
    <w:rsid w:val="0052335B"/>
    <w:rsid w:val="005233EC"/>
    <w:rsid w:val="00523667"/>
    <w:rsid w:val="00523836"/>
    <w:rsid w:val="00523855"/>
    <w:rsid w:val="005239D5"/>
    <w:rsid w:val="00523C21"/>
    <w:rsid w:val="00524577"/>
    <w:rsid w:val="00524E29"/>
    <w:rsid w:val="00525094"/>
    <w:rsid w:val="00525745"/>
    <w:rsid w:val="00525AC4"/>
    <w:rsid w:val="00526214"/>
    <w:rsid w:val="00526255"/>
    <w:rsid w:val="005267D7"/>
    <w:rsid w:val="0052729A"/>
    <w:rsid w:val="00527570"/>
    <w:rsid w:val="00527751"/>
    <w:rsid w:val="00527A18"/>
    <w:rsid w:val="00527F11"/>
    <w:rsid w:val="00530295"/>
    <w:rsid w:val="0053101F"/>
    <w:rsid w:val="00531316"/>
    <w:rsid w:val="00531733"/>
    <w:rsid w:val="005318EF"/>
    <w:rsid w:val="00531B8D"/>
    <w:rsid w:val="00531F61"/>
    <w:rsid w:val="00532361"/>
    <w:rsid w:val="005323F7"/>
    <w:rsid w:val="00532EC0"/>
    <w:rsid w:val="00532FBE"/>
    <w:rsid w:val="005333C8"/>
    <w:rsid w:val="00533498"/>
    <w:rsid w:val="0053388A"/>
    <w:rsid w:val="00533AFA"/>
    <w:rsid w:val="00533D90"/>
    <w:rsid w:val="005344E7"/>
    <w:rsid w:val="00534616"/>
    <w:rsid w:val="00534734"/>
    <w:rsid w:val="005347B8"/>
    <w:rsid w:val="00534BDE"/>
    <w:rsid w:val="00534C5C"/>
    <w:rsid w:val="00534EC6"/>
    <w:rsid w:val="005350CB"/>
    <w:rsid w:val="005350D3"/>
    <w:rsid w:val="00535101"/>
    <w:rsid w:val="0053510B"/>
    <w:rsid w:val="005352A2"/>
    <w:rsid w:val="00535B05"/>
    <w:rsid w:val="00535DEB"/>
    <w:rsid w:val="00535F04"/>
    <w:rsid w:val="00535F3E"/>
    <w:rsid w:val="00535FF3"/>
    <w:rsid w:val="0053623F"/>
    <w:rsid w:val="0053640A"/>
    <w:rsid w:val="00536556"/>
    <w:rsid w:val="0053681E"/>
    <w:rsid w:val="005369DD"/>
    <w:rsid w:val="00536DF5"/>
    <w:rsid w:val="0053726E"/>
    <w:rsid w:val="005375A2"/>
    <w:rsid w:val="00537A44"/>
    <w:rsid w:val="00537F41"/>
    <w:rsid w:val="00540109"/>
    <w:rsid w:val="00540381"/>
    <w:rsid w:val="00540566"/>
    <w:rsid w:val="005405E9"/>
    <w:rsid w:val="005409C8"/>
    <w:rsid w:val="00540B70"/>
    <w:rsid w:val="00540BE7"/>
    <w:rsid w:val="00541093"/>
    <w:rsid w:val="0054118B"/>
    <w:rsid w:val="00541498"/>
    <w:rsid w:val="005416EA"/>
    <w:rsid w:val="00541865"/>
    <w:rsid w:val="00541941"/>
    <w:rsid w:val="00541CED"/>
    <w:rsid w:val="00541F2A"/>
    <w:rsid w:val="0054217E"/>
    <w:rsid w:val="005423DF"/>
    <w:rsid w:val="00542419"/>
    <w:rsid w:val="00542565"/>
    <w:rsid w:val="005427A5"/>
    <w:rsid w:val="005429AF"/>
    <w:rsid w:val="00542EAC"/>
    <w:rsid w:val="0054323A"/>
    <w:rsid w:val="00543270"/>
    <w:rsid w:val="0054407C"/>
    <w:rsid w:val="0054423D"/>
    <w:rsid w:val="0054437E"/>
    <w:rsid w:val="00544672"/>
    <w:rsid w:val="00544706"/>
    <w:rsid w:val="005447E4"/>
    <w:rsid w:val="00544979"/>
    <w:rsid w:val="00544C54"/>
    <w:rsid w:val="00544F3A"/>
    <w:rsid w:val="00544F7B"/>
    <w:rsid w:val="005450DB"/>
    <w:rsid w:val="005457CB"/>
    <w:rsid w:val="00545B0F"/>
    <w:rsid w:val="0054642E"/>
    <w:rsid w:val="0054645E"/>
    <w:rsid w:val="005465A3"/>
    <w:rsid w:val="00546662"/>
    <w:rsid w:val="00546B41"/>
    <w:rsid w:val="00547336"/>
    <w:rsid w:val="005476A4"/>
    <w:rsid w:val="00547804"/>
    <w:rsid w:val="00547982"/>
    <w:rsid w:val="00547D5D"/>
    <w:rsid w:val="00547F62"/>
    <w:rsid w:val="0055024D"/>
    <w:rsid w:val="005502C7"/>
    <w:rsid w:val="00550969"/>
    <w:rsid w:val="005509BC"/>
    <w:rsid w:val="005509DB"/>
    <w:rsid w:val="00550B56"/>
    <w:rsid w:val="00550C88"/>
    <w:rsid w:val="00550C99"/>
    <w:rsid w:val="00551018"/>
    <w:rsid w:val="0055114B"/>
    <w:rsid w:val="00551296"/>
    <w:rsid w:val="005515C8"/>
    <w:rsid w:val="005515F5"/>
    <w:rsid w:val="00551646"/>
    <w:rsid w:val="005516FC"/>
    <w:rsid w:val="00551A28"/>
    <w:rsid w:val="00551BEA"/>
    <w:rsid w:val="00551D67"/>
    <w:rsid w:val="005521FE"/>
    <w:rsid w:val="00552327"/>
    <w:rsid w:val="00552417"/>
    <w:rsid w:val="005524F3"/>
    <w:rsid w:val="00552517"/>
    <w:rsid w:val="00552682"/>
    <w:rsid w:val="005526C1"/>
    <w:rsid w:val="00552B0A"/>
    <w:rsid w:val="00553027"/>
    <w:rsid w:val="005530A0"/>
    <w:rsid w:val="005530AC"/>
    <w:rsid w:val="00553413"/>
    <w:rsid w:val="005535A0"/>
    <w:rsid w:val="005535CF"/>
    <w:rsid w:val="00553683"/>
    <w:rsid w:val="00553752"/>
    <w:rsid w:val="005537AA"/>
    <w:rsid w:val="00553BB2"/>
    <w:rsid w:val="00553E2F"/>
    <w:rsid w:val="00553E71"/>
    <w:rsid w:val="0055414C"/>
    <w:rsid w:val="00554777"/>
    <w:rsid w:val="00554786"/>
    <w:rsid w:val="005550FB"/>
    <w:rsid w:val="005556AC"/>
    <w:rsid w:val="005558D2"/>
    <w:rsid w:val="00555AB2"/>
    <w:rsid w:val="00555E70"/>
    <w:rsid w:val="0055611A"/>
    <w:rsid w:val="00556BD0"/>
    <w:rsid w:val="00557830"/>
    <w:rsid w:val="00557A21"/>
    <w:rsid w:val="00557A25"/>
    <w:rsid w:val="00557E14"/>
    <w:rsid w:val="00557FCA"/>
    <w:rsid w:val="00560455"/>
    <w:rsid w:val="00560898"/>
    <w:rsid w:val="00560EBF"/>
    <w:rsid w:val="00561129"/>
    <w:rsid w:val="005611DB"/>
    <w:rsid w:val="005614B5"/>
    <w:rsid w:val="005619B2"/>
    <w:rsid w:val="00561A57"/>
    <w:rsid w:val="00561B67"/>
    <w:rsid w:val="00561CF2"/>
    <w:rsid w:val="00562037"/>
    <w:rsid w:val="0056231F"/>
    <w:rsid w:val="005623A4"/>
    <w:rsid w:val="00562410"/>
    <w:rsid w:val="00562562"/>
    <w:rsid w:val="005625D1"/>
    <w:rsid w:val="0056262D"/>
    <w:rsid w:val="0056265D"/>
    <w:rsid w:val="0056284D"/>
    <w:rsid w:val="0056285C"/>
    <w:rsid w:val="00562A91"/>
    <w:rsid w:val="00562DE0"/>
    <w:rsid w:val="00563130"/>
    <w:rsid w:val="00563153"/>
    <w:rsid w:val="00563157"/>
    <w:rsid w:val="0056328F"/>
    <w:rsid w:val="0056334E"/>
    <w:rsid w:val="005634DB"/>
    <w:rsid w:val="0056357E"/>
    <w:rsid w:val="005635EB"/>
    <w:rsid w:val="00563657"/>
    <w:rsid w:val="00563846"/>
    <w:rsid w:val="005640ED"/>
    <w:rsid w:val="00564B53"/>
    <w:rsid w:val="0056512F"/>
    <w:rsid w:val="0056534D"/>
    <w:rsid w:val="005656BD"/>
    <w:rsid w:val="005657D3"/>
    <w:rsid w:val="00565AE9"/>
    <w:rsid w:val="00565AED"/>
    <w:rsid w:val="00565BA9"/>
    <w:rsid w:val="00566326"/>
    <w:rsid w:val="005664ED"/>
    <w:rsid w:val="00566730"/>
    <w:rsid w:val="0056679B"/>
    <w:rsid w:val="00566996"/>
    <w:rsid w:val="00566CD1"/>
    <w:rsid w:val="005670FD"/>
    <w:rsid w:val="005673B9"/>
    <w:rsid w:val="005673CF"/>
    <w:rsid w:val="00567D1C"/>
    <w:rsid w:val="00567D93"/>
    <w:rsid w:val="005700A3"/>
    <w:rsid w:val="00570337"/>
    <w:rsid w:val="00570394"/>
    <w:rsid w:val="005708B7"/>
    <w:rsid w:val="00570D26"/>
    <w:rsid w:val="00571059"/>
    <w:rsid w:val="00571371"/>
    <w:rsid w:val="00571697"/>
    <w:rsid w:val="00571734"/>
    <w:rsid w:val="00571C34"/>
    <w:rsid w:val="00571C54"/>
    <w:rsid w:val="00571DB7"/>
    <w:rsid w:val="00571DD5"/>
    <w:rsid w:val="00571FFE"/>
    <w:rsid w:val="0057233C"/>
    <w:rsid w:val="00572443"/>
    <w:rsid w:val="005726F4"/>
    <w:rsid w:val="00572755"/>
    <w:rsid w:val="00572FD4"/>
    <w:rsid w:val="005736A2"/>
    <w:rsid w:val="00573A77"/>
    <w:rsid w:val="00573AF9"/>
    <w:rsid w:val="00573B22"/>
    <w:rsid w:val="00573D25"/>
    <w:rsid w:val="005743FE"/>
    <w:rsid w:val="005744A1"/>
    <w:rsid w:val="005745BC"/>
    <w:rsid w:val="0057468F"/>
    <w:rsid w:val="005748BC"/>
    <w:rsid w:val="00574998"/>
    <w:rsid w:val="00574DBA"/>
    <w:rsid w:val="0057545C"/>
    <w:rsid w:val="005754AB"/>
    <w:rsid w:val="005758D3"/>
    <w:rsid w:val="00575CC9"/>
    <w:rsid w:val="00575CEC"/>
    <w:rsid w:val="00575DD1"/>
    <w:rsid w:val="00576874"/>
    <w:rsid w:val="005770FC"/>
    <w:rsid w:val="0057760C"/>
    <w:rsid w:val="005779C6"/>
    <w:rsid w:val="00577DFC"/>
    <w:rsid w:val="00580134"/>
    <w:rsid w:val="00580150"/>
    <w:rsid w:val="005802CD"/>
    <w:rsid w:val="00580360"/>
    <w:rsid w:val="00580553"/>
    <w:rsid w:val="00580A0F"/>
    <w:rsid w:val="00580C39"/>
    <w:rsid w:val="00580D4E"/>
    <w:rsid w:val="00580E32"/>
    <w:rsid w:val="0058118F"/>
    <w:rsid w:val="005811F7"/>
    <w:rsid w:val="00581441"/>
    <w:rsid w:val="00581CA0"/>
    <w:rsid w:val="00581CB1"/>
    <w:rsid w:val="00581D98"/>
    <w:rsid w:val="00581DBE"/>
    <w:rsid w:val="00581E1B"/>
    <w:rsid w:val="005820BF"/>
    <w:rsid w:val="005825A3"/>
    <w:rsid w:val="005826F4"/>
    <w:rsid w:val="00582973"/>
    <w:rsid w:val="00582A1B"/>
    <w:rsid w:val="00582A54"/>
    <w:rsid w:val="0058369E"/>
    <w:rsid w:val="00583755"/>
    <w:rsid w:val="00583F19"/>
    <w:rsid w:val="00584211"/>
    <w:rsid w:val="0058446C"/>
    <w:rsid w:val="005845F1"/>
    <w:rsid w:val="00584C5A"/>
    <w:rsid w:val="00584CCC"/>
    <w:rsid w:val="00584E35"/>
    <w:rsid w:val="00584F65"/>
    <w:rsid w:val="00584FC4"/>
    <w:rsid w:val="00585395"/>
    <w:rsid w:val="005853E3"/>
    <w:rsid w:val="00585771"/>
    <w:rsid w:val="00586426"/>
    <w:rsid w:val="00586483"/>
    <w:rsid w:val="00586708"/>
    <w:rsid w:val="00586770"/>
    <w:rsid w:val="00586CCF"/>
    <w:rsid w:val="00586E47"/>
    <w:rsid w:val="00586FB0"/>
    <w:rsid w:val="005870C4"/>
    <w:rsid w:val="00587141"/>
    <w:rsid w:val="00587493"/>
    <w:rsid w:val="00587B5E"/>
    <w:rsid w:val="00587C07"/>
    <w:rsid w:val="005901CB"/>
    <w:rsid w:val="00590477"/>
    <w:rsid w:val="00590D09"/>
    <w:rsid w:val="00590DEB"/>
    <w:rsid w:val="00591524"/>
    <w:rsid w:val="0059156A"/>
    <w:rsid w:val="00591994"/>
    <w:rsid w:val="00591BA8"/>
    <w:rsid w:val="005920ED"/>
    <w:rsid w:val="005920F1"/>
    <w:rsid w:val="00592398"/>
    <w:rsid w:val="00592471"/>
    <w:rsid w:val="0059299C"/>
    <w:rsid w:val="00592B21"/>
    <w:rsid w:val="00592D3B"/>
    <w:rsid w:val="005931E6"/>
    <w:rsid w:val="00593314"/>
    <w:rsid w:val="0059368E"/>
    <w:rsid w:val="005936CE"/>
    <w:rsid w:val="00593BF5"/>
    <w:rsid w:val="00594006"/>
    <w:rsid w:val="0059425C"/>
    <w:rsid w:val="005943F6"/>
    <w:rsid w:val="00594496"/>
    <w:rsid w:val="00594848"/>
    <w:rsid w:val="005949BB"/>
    <w:rsid w:val="00595090"/>
    <w:rsid w:val="005951C9"/>
    <w:rsid w:val="005954A5"/>
    <w:rsid w:val="00595550"/>
    <w:rsid w:val="005956D3"/>
    <w:rsid w:val="00595773"/>
    <w:rsid w:val="00595FCF"/>
    <w:rsid w:val="00596206"/>
    <w:rsid w:val="005962A2"/>
    <w:rsid w:val="00596365"/>
    <w:rsid w:val="00596573"/>
    <w:rsid w:val="005965BC"/>
    <w:rsid w:val="00597262"/>
    <w:rsid w:val="00597F45"/>
    <w:rsid w:val="005A0598"/>
    <w:rsid w:val="005A0A19"/>
    <w:rsid w:val="005A0C78"/>
    <w:rsid w:val="005A11A7"/>
    <w:rsid w:val="005A169D"/>
    <w:rsid w:val="005A1E71"/>
    <w:rsid w:val="005A1FB1"/>
    <w:rsid w:val="005A20E8"/>
    <w:rsid w:val="005A22DB"/>
    <w:rsid w:val="005A27BA"/>
    <w:rsid w:val="005A28BE"/>
    <w:rsid w:val="005A35F6"/>
    <w:rsid w:val="005A3BF2"/>
    <w:rsid w:val="005A3CB5"/>
    <w:rsid w:val="005A3EB8"/>
    <w:rsid w:val="005A425A"/>
    <w:rsid w:val="005A4551"/>
    <w:rsid w:val="005A45E4"/>
    <w:rsid w:val="005A48A1"/>
    <w:rsid w:val="005A4D57"/>
    <w:rsid w:val="005A4FB1"/>
    <w:rsid w:val="005A5A35"/>
    <w:rsid w:val="005A5EFD"/>
    <w:rsid w:val="005A6014"/>
    <w:rsid w:val="005A6194"/>
    <w:rsid w:val="005A63F8"/>
    <w:rsid w:val="005A65AC"/>
    <w:rsid w:val="005A6CF1"/>
    <w:rsid w:val="005A70BC"/>
    <w:rsid w:val="005A7268"/>
    <w:rsid w:val="005A7510"/>
    <w:rsid w:val="005A77B8"/>
    <w:rsid w:val="005A77F1"/>
    <w:rsid w:val="005A77F9"/>
    <w:rsid w:val="005A7897"/>
    <w:rsid w:val="005A78BB"/>
    <w:rsid w:val="005A7DA0"/>
    <w:rsid w:val="005A7E78"/>
    <w:rsid w:val="005A7F52"/>
    <w:rsid w:val="005B00A2"/>
    <w:rsid w:val="005B0106"/>
    <w:rsid w:val="005B0179"/>
    <w:rsid w:val="005B03C3"/>
    <w:rsid w:val="005B03ED"/>
    <w:rsid w:val="005B05C0"/>
    <w:rsid w:val="005B108E"/>
    <w:rsid w:val="005B10FC"/>
    <w:rsid w:val="005B1609"/>
    <w:rsid w:val="005B1776"/>
    <w:rsid w:val="005B1BA3"/>
    <w:rsid w:val="005B210B"/>
    <w:rsid w:val="005B24F8"/>
    <w:rsid w:val="005B28E8"/>
    <w:rsid w:val="005B2953"/>
    <w:rsid w:val="005B2999"/>
    <w:rsid w:val="005B3192"/>
    <w:rsid w:val="005B32FB"/>
    <w:rsid w:val="005B35D9"/>
    <w:rsid w:val="005B3794"/>
    <w:rsid w:val="005B379A"/>
    <w:rsid w:val="005B3E9E"/>
    <w:rsid w:val="005B427B"/>
    <w:rsid w:val="005B46BC"/>
    <w:rsid w:val="005B4C06"/>
    <w:rsid w:val="005B5028"/>
    <w:rsid w:val="005B521B"/>
    <w:rsid w:val="005B5431"/>
    <w:rsid w:val="005B54B6"/>
    <w:rsid w:val="005B5644"/>
    <w:rsid w:val="005B56D0"/>
    <w:rsid w:val="005B5B8A"/>
    <w:rsid w:val="005B63C1"/>
    <w:rsid w:val="005B6762"/>
    <w:rsid w:val="005B6995"/>
    <w:rsid w:val="005B71AD"/>
    <w:rsid w:val="005B72C7"/>
    <w:rsid w:val="005B7373"/>
    <w:rsid w:val="005B76A1"/>
    <w:rsid w:val="005B76CC"/>
    <w:rsid w:val="005B7982"/>
    <w:rsid w:val="005B79F4"/>
    <w:rsid w:val="005B7A58"/>
    <w:rsid w:val="005B7C2D"/>
    <w:rsid w:val="005B7FE4"/>
    <w:rsid w:val="005C05E0"/>
    <w:rsid w:val="005C0E0D"/>
    <w:rsid w:val="005C0E59"/>
    <w:rsid w:val="005C121E"/>
    <w:rsid w:val="005C1550"/>
    <w:rsid w:val="005C1771"/>
    <w:rsid w:val="005C1C9E"/>
    <w:rsid w:val="005C1F7A"/>
    <w:rsid w:val="005C203C"/>
    <w:rsid w:val="005C2516"/>
    <w:rsid w:val="005C2E81"/>
    <w:rsid w:val="005C2F61"/>
    <w:rsid w:val="005C3744"/>
    <w:rsid w:val="005C37E0"/>
    <w:rsid w:val="005C3BFB"/>
    <w:rsid w:val="005C4440"/>
    <w:rsid w:val="005C45E3"/>
    <w:rsid w:val="005C4617"/>
    <w:rsid w:val="005C4B56"/>
    <w:rsid w:val="005C4DF4"/>
    <w:rsid w:val="005C4E10"/>
    <w:rsid w:val="005C517C"/>
    <w:rsid w:val="005C528F"/>
    <w:rsid w:val="005C54B9"/>
    <w:rsid w:val="005C5753"/>
    <w:rsid w:val="005C59FD"/>
    <w:rsid w:val="005C5A1C"/>
    <w:rsid w:val="005C5B06"/>
    <w:rsid w:val="005C5BCD"/>
    <w:rsid w:val="005C5ED8"/>
    <w:rsid w:val="005C6140"/>
    <w:rsid w:val="005C61D9"/>
    <w:rsid w:val="005C62EB"/>
    <w:rsid w:val="005C64E0"/>
    <w:rsid w:val="005C64F6"/>
    <w:rsid w:val="005C6564"/>
    <w:rsid w:val="005C65F9"/>
    <w:rsid w:val="005C6618"/>
    <w:rsid w:val="005C6ABE"/>
    <w:rsid w:val="005C6B29"/>
    <w:rsid w:val="005C6DBB"/>
    <w:rsid w:val="005C7A6F"/>
    <w:rsid w:val="005C7B10"/>
    <w:rsid w:val="005C7DC9"/>
    <w:rsid w:val="005D0189"/>
    <w:rsid w:val="005D076B"/>
    <w:rsid w:val="005D0B7B"/>
    <w:rsid w:val="005D0EB3"/>
    <w:rsid w:val="005D0F01"/>
    <w:rsid w:val="005D10E4"/>
    <w:rsid w:val="005D1470"/>
    <w:rsid w:val="005D1485"/>
    <w:rsid w:val="005D1596"/>
    <w:rsid w:val="005D16C9"/>
    <w:rsid w:val="005D1990"/>
    <w:rsid w:val="005D1A09"/>
    <w:rsid w:val="005D1F36"/>
    <w:rsid w:val="005D22B4"/>
    <w:rsid w:val="005D2435"/>
    <w:rsid w:val="005D320C"/>
    <w:rsid w:val="005D3A7F"/>
    <w:rsid w:val="005D3D5D"/>
    <w:rsid w:val="005D3EFD"/>
    <w:rsid w:val="005D3F6B"/>
    <w:rsid w:val="005D41B1"/>
    <w:rsid w:val="005D4586"/>
    <w:rsid w:val="005D49A9"/>
    <w:rsid w:val="005D4C34"/>
    <w:rsid w:val="005D504E"/>
    <w:rsid w:val="005D52F1"/>
    <w:rsid w:val="005D5426"/>
    <w:rsid w:val="005D627A"/>
    <w:rsid w:val="005D6432"/>
    <w:rsid w:val="005D6750"/>
    <w:rsid w:val="005D6DF5"/>
    <w:rsid w:val="005D6EFB"/>
    <w:rsid w:val="005D6FD7"/>
    <w:rsid w:val="005D7050"/>
    <w:rsid w:val="005D7060"/>
    <w:rsid w:val="005D7234"/>
    <w:rsid w:val="005D7364"/>
    <w:rsid w:val="005D76D6"/>
    <w:rsid w:val="005D7FAC"/>
    <w:rsid w:val="005E00D4"/>
    <w:rsid w:val="005E0287"/>
    <w:rsid w:val="005E0509"/>
    <w:rsid w:val="005E087B"/>
    <w:rsid w:val="005E0ABE"/>
    <w:rsid w:val="005E0CA8"/>
    <w:rsid w:val="005E0DD8"/>
    <w:rsid w:val="005E10DC"/>
    <w:rsid w:val="005E14A1"/>
    <w:rsid w:val="005E1534"/>
    <w:rsid w:val="005E1687"/>
    <w:rsid w:val="005E16B0"/>
    <w:rsid w:val="005E195D"/>
    <w:rsid w:val="005E1EFF"/>
    <w:rsid w:val="005E1F32"/>
    <w:rsid w:val="005E2649"/>
    <w:rsid w:val="005E264D"/>
    <w:rsid w:val="005E2922"/>
    <w:rsid w:val="005E2E0A"/>
    <w:rsid w:val="005E2F0A"/>
    <w:rsid w:val="005E3458"/>
    <w:rsid w:val="005E36E3"/>
    <w:rsid w:val="005E3A7B"/>
    <w:rsid w:val="005E3CD3"/>
    <w:rsid w:val="005E3E7D"/>
    <w:rsid w:val="005E3F4B"/>
    <w:rsid w:val="005E40EC"/>
    <w:rsid w:val="005E4470"/>
    <w:rsid w:val="005E4809"/>
    <w:rsid w:val="005E4A2C"/>
    <w:rsid w:val="005E4B70"/>
    <w:rsid w:val="005E529E"/>
    <w:rsid w:val="005E53E3"/>
    <w:rsid w:val="005E5794"/>
    <w:rsid w:val="005E5D26"/>
    <w:rsid w:val="005E6660"/>
    <w:rsid w:val="005E6C5B"/>
    <w:rsid w:val="005E6C79"/>
    <w:rsid w:val="005E6FC4"/>
    <w:rsid w:val="005E70EB"/>
    <w:rsid w:val="005E71AE"/>
    <w:rsid w:val="005E755D"/>
    <w:rsid w:val="005E7609"/>
    <w:rsid w:val="005E77B8"/>
    <w:rsid w:val="005E7830"/>
    <w:rsid w:val="005E78BC"/>
    <w:rsid w:val="005E78E1"/>
    <w:rsid w:val="005E79D2"/>
    <w:rsid w:val="005E7A96"/>
    <w:rsid w:val="005E7C92"/>
    <w:rsid w:val="005E7EEB"/>
    <w:rsid w:val="005E7FAE"/>
    <w:rsid w:val="005F00E4"/>
    <w:rsid w:val="005F02B3"/>
    <w:rsid w:val="005F03BA"/>
    <w:rsid w:val="005F0ABC"/>
    <w:rsid w:val="005F0AD9"/>
    <w:rsid w:val="005F0B0F"/>
    <w:rsid w:val="005F0DB8"/>
    <w:rsid w:val="005F141E"/>
    <w:rsid w:val="005F1606"/>
    <w:rsid w:val="005F17D3"/>
    <w:rsid w:val="005F17D6"/>
    <w:rsid w:val="005F2349"/>
    <w:rsid w:val="005F23BA"/>
    <w:rsid w:val="005F2CC3"/>
    <w:rsid w:val="005F2D9C"/>
    <w:rsid w:val="005F2FBA"/>
    <w:rsid w:val="005F3289"/>
    <w:rsid w:val="005F39A0"/>
    <w:rsid w:val="005F402B"/>
    <w:rsid w:val="005F40ED"/>
    <w:rsid w:val="005F4132"/>
    <w:rsid w:val="005F449F"/>
    <w:rsid w:val="005F465D"/>
    <w:rsid w:val="005F4662"/>
    <w:rsid w:val="005F479D"/>
    <w:rsid w:val="005F49F1"/>
    <w:rsid w:val="005F4BF5"/>
    <w:rsid w:val="005F537E"/>
    <w:rsid w:val="005F57A4"/>
    <w:rsid w:val="005F59D1"/>
    <w:rsid w:val="005F5A4B"/>
    <w:rsid w:val="005F615D"/>
    <w:rsid w:val="005F6465"/>
    <w:rsid w:val="005F64F3"/>
    <w:rsid w:val="005F6691"/>
    <w:rsid w:val="005F6B7F"/>
    <w:rsid w:val="005F6BA7"/>
    <w:rsid w:val="005F7EAB"/>
    <w:rsid w:val="0060015D"/>
    <w:rsid w:val="006001A8"/>
    <w:rsid w:val="00600563"/>
    <w:rsid w:val="00600C7D"/>
    <w:rsid w:val="006014F5"/>
    <w:rsid w:val="00601E49"/>
    <w:rsid w:val="00602314"/>
    <w:rsid w:val="006025F8"/>
    <w:rsid w:val="00602CDC"/>
    <w:rsid w:val="00602D61"/>
    <w:rsid w:val="00602DE7"/>
    <w:rsid w:val="00602E92"/>
    <w:rsid w:val="00602FA3"/>
    <w:rsid w:val="00603061"/>
    <w:rsid w:val="0060317E"/>
    <w:rsid w:val="00603536"/>
    <w:rsid w:val="0060374F"/>
    <w:rsid w:val="006039EA"/>
    <w:rsid w:val="00603E29"/>
    <w:rsid w:val="00603FD5"/>
    <w:rsid w:val="00604448"/>
    <w:rsid w:val="00604535"/>
    <w:rsid w:val="006047F6"/>
    <w:rsid w:val="00604A47"/>
    <w:rsid w:val="006052C7"/>
    <w:rsid w:val="006056B9"/>
    <w:rsid w:val="00605754"/>
    <w:rsid w:val="006063A2"/>
    <w:rsid w:val="006065A3"/>
    <w:rsid w:val="00606951"/>
    <w:rsid w:val="00606A73"/>
    <w:rsid w:val="00606D0A"/>
    <w:rsid w:val="00606E5C"/>
    <w:rsid w:val="00606F66"/>
    <w:rsid w:val="006074F7"/>
    <w:rsid w:val="0060770B"/>
    <w:rsid w:val="00607DDC"/>
    <w:rsid w:val="00607E93"/>
    <w:rsid w:val="00607F03"/>
    <w:rsid w:val="00607F08"/>
    <w:rsid w:val="00607F4C"/>
    <w:rsid w:val="006102BF"/>
    <w:rsid w:val="00610627"/>
    <w:rsid w:val="00610D48"/>
    <w:rsid w:val="00610F6C"/>
    <w:rsid w:val="006110D3"/>
    <w:rsid w:val="00611836"/>
    <w:rsid w:val="0061211D"/>
    <w:rsid w:val="006123F3"/>
    <w:rsid w:val="0061269D"/>
    <w:rsid w:val="0061278B"/>
    <w:rsid w:val="00612B60"/>
    <w:rsid w:val="00612C7D"/>
    <w:rsid w:val="00613020"/>
    <w:rsid w:val="00613046"/>
    <w:rsid w:val="00613868"/>
    <w:rsid w:val="00613991"/>
    <w:rsid w:val="00613CE3"/>
    <w:rsid w:val="00613F81"/>
    <w:rsid w:val="0061455A"/>
    <w:rsid w:val="00614755"/>
    <w:rsid w:val="00614E85"/>
    <w:rsid w:val="006150E0"/>
    <w:rsid w:val="00615A45"/>
    <w:rsid w:val="00615B8E"/>
    <w:rsid w:val="00616AFF"/>
    <w:rsid w:val="00616C77"/>
    <w:rsid w:val="00616DC8"/>
    <w:rsid w:val="006171A4"/>
    <w:rsid w:val="00617237"/>
    <w:rsid w:val="00617302"/>
    <w:rsid w:val="006176B5"/>
    <w:rsid w:val="0061786E"/>
    <w:rsid w:val="0061799C"/>
    <w:rsid w:val="00617A75"/>
    <w:rsid w:val="00617ADF"/>
    <w:rsid w:val="00617B3E"/>
    <w:rsid w:val="00620171"/>
    <w:rsid w:val="006201AE"/>
    <w:rsid w:val="00620548"/>
    <w:rsid w:val="00620AA2"/>
    <w:rsid w:val="00620C99"/>
    <w:rsid w:val="00620E9B"/>
    <w:rsid w:val="006213F7"/>
    <w:rsid w:val="006215D4"/>
    <w:rsid w:val="00621673"/>
    <w:rsid w:val="00621E83"/>
    <w:rsid w:val="0062213F"/>
    <w:rsid w:val="006221C8"/>
    <w:rsid w:val="006224EF"/>
    <w:rsid w:val="006224FE"/>
    <w:rsid w:val="0062290E"/>
    <w:rsid w:val="00622A32"/>
    <w:rsid w:val="00622A4C"/>
    <w:rsid w:val="00622C2E"/>
    <w:rsid w:val="00622E8F"/>
    <w:rsid w:val="00622F14"/>
    <w:rsid w:val="006231A4"/>
    <w:rsid w:val="00623537"/>
    <w:rsid w:val="00623EAA"/>
    <w:rsid w:val="00623F51"/>
    <w:rsid w:val="00624136"/>
    <w:rsid w:val="00624901"/>
    <w:rsid w:val="00624B90"/>
    <w:rsid w:val="00624D94"/>
    <w:rsid w:val="00625333"/>
    <w:rsid w:val="0062535B"/>
    <w:rsid w:val="00625493"/>
    <w:rsid w:val="00625854"/>
    <w:rsid w:val="00625BC8"/>
    <w:rsid w:val="00625C11"/>
    <w:rsid w:val="006260A0"/>
    <w:rsid w:val="006261D7"/>
    <w:rsid w:val="0062648D"/>
    <w:rsid w:val="00626582"/>
    <w:rsid w:val="006267E3"/>
    <w:rsid w:val="00626BB4"/>
    <w:rsid w:val="0062711F"/>
    <w:rsid w:val="0062758F"/>
    <w:rsid w:val="00627A51"/>
    <w:rsid w:val="00627C53"/>
    <w:rsid w:val="00627DAA"/>
    <w:rsid w:val="00630065"/>
    <w:rsid w:val="006307C8"/>
    <w:rsid w:val="00630929"/>
    <w:rsid w:val="00630991"/>
    <w:rsid w:val="00630B02"/>
    <w:rsid w:val="00630E49"/>
    <w:rsid w:val="00630E4F"/>
    <w:rsid w:val="00630E87"/>
    <w:rsid w:val="00630F02"/>
    <w:rsid w:val="00631187"/>
    <w:rsid w:val="006317A8"/>
    <w:rsid w:val="006319DE"/>
    <w:rsid w:val="00631D10"/>
    <w:rsid w:val="00632359"/>
    <w:rsid w:val="006323C1"/>
    <w:rsid w:val="00632C04"/>
    <w:rsid w:val="00633274"/>
    <w:rsid w:val="00633523"/>
    <w:rsid w:val="00633821"/>
    <w:rsid w:val="00633F46"/>
    <w:rsid w:val="00633F5F"/>
    <w:rsid w:val="0063400D"/>
    <w:rsid w:val="00634097"/>
    <w:rsid w:val="00634157"/>
    <w:rsid w:val="00634973"/>
    <w:rsid w:val="006349C2"/>
    <w:rsid w:val="00634ADD"/>
    <w:rsid w:val="00634EE6"/>
    <w:rsid w:val="00634FD8"/>
    <w:rsid w:val="0063511D"/>
    <w:rsid w:val="0063559B"/>
    <w:rsid w:val="00635A60"/>
    <w:rsid w:val="00635FA6"/>
    <w:rsid w:val="006366C7"/>
    <w:rsid w:val="006367DF"/>
    <w:rsid w:val="006367F6"/>
    <w:rsid w:val="00636AC0"/>
    <w:rsid w:val="00637162"/>
    <w:rsid w:val="006372AE"/>
    <w:rsid w:val="006401A4"/>
    <w:rsid w:val="006405CD"/>
    <w:rsid w:val="006409B9"/>
    <w:rsid w:val="00640BFF"/>
    <w:rsid w:val="00640C70"/>
    <w:rsid w:val="00640E71"/>
    <w:rsid w:val="00640F25"/>
    <w:rsid w:val="00641250"/>
    <w:rsid w:val="00641BDC"/>
    <w:rsid w:val="00641CF7"/>
    <w:rsid w:val="0064203F"/>
    <w:rsid w:val="006421CB"/>
    <w:rsid w:val="0064279C"/>
    <w:rsid w:val="00642D4D"/>
    <w:rsid w:val="00643512"/>
    <w:rsid w:val="006437DD"/>
    <w:rsid w:val="0064391A"/>
    <w:rsid w:val="00643C59"/>
    <w:rsid w:val="00643E96"/>
    <w:rsid w:val="00643EAD"/>
    <w:rsid w:val="00643EF5"/>
    <w:rsid w:val="006447B9"/>
    <w:rsid w:val="00644AC5"/>
    <w:rsid w:val="00644AE0"/>
    <w:rsid w:val="00644FC5"/>
    <w:rsid w:val="006453F0"/>
    <w:rsid w:val="00645538"/>
    <w:rsid w:val="006456A9"/>
    <w:rsid w:val="00645AE3"/>
    <w:rsid w:val="00645AE8"/>
    <w:rsid w:val="00645DAC"/>
    <w:rsid w:val="00645E38"/>
    <w:rsid w:val="00645ED6"/>
    <w:rsid w:val="00645ED9"/>
    <w:rsid w:val="006462F0"/>
    <w:rsid w:val="00646454"/>
    <w:rsid w:val="006464F7"/>
    <w:rsid w:val="00646B91"/>
    <w:rsid w:val="0064717D"/>
    <w:rsid w:val="006475B6"/>
    <w:rsid w:val="006475BD"/>
    <w:rsid w:val="00647887"/>
    <w:rsid w:val="00647920"/>
    <w:rsid w:val="00647DD9"/>
    <w:rsid w:val="00647E51"/>
    <w:rsid w:val="00647FB4"/>
    <w:rsid w:val="0065001F"/>
    <w:rsid w:val="006502FD"/>
    <w:rsid w:val="00650D78"/>
    <w:rsid w:val="00650EE2"/>
    <w:rsid w:val="00650EE3"/>
    <w:rsid w:val="00651073"/>
    <w:rsid w:val="006515F8"/>
    <w:rsid w:val="006519FD"/>
    <w:rsid w:val="00651BFF"/>
    <w:rsid w:val="00652550"/>
    <w:rsid w:val="006527FF"/>
    <w:rsid w:val="00652964"/>
    <w:rsid w:val="00652DB1"/>
    <w:rsid w:val="00652E42"/>
    <w:rsid w:val="0065339F"/>
    <w:rsid w:val="00653466"/>
    <w:rsid w:val="006534A6"/>
    <w:rsid w:val="00653794"/>
    <w:rsid w:val="00653C1B"/>
    <w:rsid w:val="00654A18"/>
    <w:rsid w:val="00654CF7"/>
    <w:rsid w:val="00654E80"/>
    <w:rsid w:val="00655105"/>
    <w:rsid w:val="006551A0"/>
    <w:rsid w:val="0065536F"/>
    <w:rsid w:val="006553D0"/>
    <w:rsid w:val="0065559D"/>
    <w:rsid w:val="00655B47"/>
    <w:rsid w:val="00655DE4"/>
    <w:rsid w:val="00655F80"/>
    <w:rsid w:val="0065637B"/>
    <w:rsid w:val="0065643C"/>
    <w:rsid w:val="00656A8A"/>
    <w:rsid w:val="00656AD9"/>
    <w:rsid w:val="00657353"/>
    <w:rsid w:val="00657B8A"/>
    <w:rsid w:val="00657E33"/>
    <w:rsid w:val="00657F74"/>
    <w:rsid w:val="00660497"/>
    <w:rsid w:val="00660527"/>
    <w:rsid w:val="00660613"/>
    <w:rsid w:val="006606DB"/>
    <w:rsid w:val="0066095D"/>
    <w:rsid w:val="00660B4F"/>
    <w:rsid w:val="00660BA3"/>
    <w:rsid w:val="00660C13"/>
    <w:rsid w:val="00660FFB"/>
    <w:rsid w:val="006616EA"/>
    <w:rsid w:val="00661DB1"/>
    <w:rsid w:val="00662209"/>
    <w:rsid w:val="006623D7"/>
    <w:rsid w:val="00662472"/>
    <w:rsid w:val="00662F81"/>
    <w:rsid w:val="00663BE8"/>
    <w:rsid w:val="00663E00"/>
    <w:rsid w:val="00663E79"/>
    <w:rsid w:val="006641E4"/>
    <w:rsid w:val="00664804"/>
    <w:rsid w:val="00664848"/>
    <w:rsid w:val="00664903"/>
    <w:rsid w:val="00664BFC"/>
    <w:rsid w:val="00664CD0"/>
    <w:rsid w:val="00664DA3"/>
    <w:rsid w:val="00665459"/>
    <w:rsid w:val="006655F7"/>
    <w:rsid w:val="00665918"/>
    <w:rsid w:val="0066598B"/>
    <w:rsid w:val="00665BCA"/>
    <w:rsid w:val="00665E47"/>
    <w:rsid w:val="00666567"/>
    <w:rsid w:val="00666A0D"/>
    <w:rsid w:val="00666DB8"/>
    <w:rsid w:val="00666FD8"/>
    <w:rsid w:val="00667088"/>
    <w:rsid w:val="006670A6"/>
    <w:rsid w:val="006670FB"/>
    <w:rsid w:val="00667135"/>
    <w:rsid w:val="006673FB"/>
    <w:rsid w:val="006674F4"/>
    <w:rsid w:val="00667626"/>
    <w:rsid w:val="006703AE"/>
    <w:rsid w:val="00670AB1"/>
    <w:rsid w:val="00670AC6"/>
    <w:rsid w:val="00670C8E"/>
    <w:rsid w:val="006714F2"/>
    <w:rsid w:val="006715AB"/>
    <w:rsid w:val="0067180E"/>
    <w:rsid w:val="00671F64"/>
    <w:rsid w:val="00672092"/>
    <w:rsid w:val="006726F3"/>
    <w:rsid w:val="0067293C"/>
    <w:rsid w:val="00672A76"/>
    <w:rsid w:val="00672ECB"/>
    <w:rsid w:val="0067363C"/>
    <w:rsid w:val="00673AA2"/>
    <w:rsid w:val="00673B7E"/>
    <w:rsid w:val="006742E6"/>
    <w:rsid w:val="00674398"/>
    <w:rsid w:val="0067445B"/>
    <w:rsid w:val="006745EC"/>
    <w:rsid w:val="00674654"/>
    <w:rsid w:val="006748DE"/>
    <w:rsid w:val="00674D47"/>
    <w:rsid w:val="00674F6C"/>
    <w:rsid w:val="00675172"/>
    <w:rsid w:val="006754B9"/>
    <w:rsid w:val="00675A3F"/>
    <w:rsid w:val="00675B41"/>
    <w:rsid w:val="00675C5A"/>
    <w:rsid w:val="00675E6C"/>
    <w:rsid w:val="00676383"/>
    <w:rsid w:val="006764E0"/>
    <w:rsid w:val="006769AF"/>
    <w:rsid w:val="00676C16"/>
    <w:rsid w:val="00677092"/>
    <w:rsid w:val="00677343"/>
    <w:rsid w:val="0068021D"/>
    <w:rsid w:val="00680289"/>
    <w:rsid w:val="00680868"/>
    <w:rsid w:val="006808A8"/>
    <w:rsid w:val="00680C5C"/>
    <w:rsid w:val="00680F8E"/>
    <w:rsid w:val="00681434"/>
    <w:rsid w:val="00681462"/>
    <w:rsid w:val="00681553"/>
    <w:rsid w:val="00681876"/>
    <w:rsid w:val="00681B97"/>
    <w:rsid w:val="00681FAA"/>
    <w:rsid w:val="00682364"/>
    <w:rsid w:val="0068243B"/>
    <w:rsid w:val="006824F4"/>
    <w:rsid w:val="00682BC4"/>
    <w:rsid w:val="00682EAF"/>
    <w:rsid w:val="00683084"/>
    <w:rsid w:val="006831D6"/>
    <w:rsid w:val="0068325C"/>
    <w:rsid w:val="006839DB"/>
    <w:rsid w:val="00683F95"/>
    <w:rsid w:val="006847AB"/>
    <w:rsid w:val="006854E1"/>
    <w:rsid w:val="0068575B"/>
    <w:rsid w:val="006858B8"/>
    <w:rsid w:val="00685C3B"/>
    <w:rsid w:val="00685E95"/>
    <w:rsid w:val="00685F89"/>
    <w:rsid w:val="00686360"/>
    <w:rsid w:val="00686445"/>
    <w:rsid w:val="00686575"/>
    <w:rsid w:val="00686CF6"/>
    <w:rsid w:val="0068707E"/>
    <w:rsid w:val="00687156"/>
    <w:rsid w:val="0068724F"/>
    <w:rsid w:val="0068727D"/>
    <w:rsid w:val="006875C3"/>
    <w:rsid w:val="00687DC7"/>
    <w:rsid w:val="00687EE7"/>
    <w:rsid w:val="00687F3A"/>
    <w:rsid w:val="006904BA"/>
    <w:rsid w:val="0069056E"/>
    <w:rsid w:val="006909D2"/>
    <w:rsid w:val="00690A97"/>
    <w:rsid w:val="00690C4A"/>
    <w:rsid w:val="00690CF8"/>
    <w:rsid w:val="00691119"/>
    <w:rsid w:val="00691587"/>
    <w:rsid w:val="00691821"/>
    <w:rsid w:val="0069193D"/>
    <w:rsid w:val="006919C9"/>
    <w:rsid w:val="00691AD0"/>
    <w:rsid w:val="00691C39"/>
    <w:rsid w:val="00691D42"/>
    <w:rsid w:val="00691D9B"/>
    <w:rsid w:val="006920D4"/>
    <w:rsid w:val="0069221B"/>
    <w:rsid w:val="006923D6"/>
    <w:rsid w:val="00692440"/>
    <w:rsid w:val="00692B03"/>
    <w:rsid w:val="00693393"/>
    <w:rsid w:val="00693CCF"/>
    <w:rsid w:val="00693D02"/>
    <w:rsid w:val="006945A6"/>
    <w:rsid w:val="006948C5"/>
    <w:rsid w:val="00694A7E"/>
    <w:rsid w:val="00694AE7"/>
    <w:rsid w:val="00694D41"/>
    <w:rsid w:val="0069586D"/>
    <w:rsid w:val="006959C1"/>
    <w:rsid w:val="00695C7E"/>
    <w:rsid w:val="00695C91"/>
    <w:rsid w:val="00696B5C"/>
    <w:rsid w:val="00697246"/>
    <w:rsid w:val="0069752F"/>
    <w:rsid w:val="0069775C"/>
    <w:rsid w:val="00697878"/>
    <w:rsid w:val="00697960"/>
    <w:rsid w:val="00697A38"/>
    <w:rsid w:val="00697FFB"/>
    <w:rsid w:val="006A0090"/>
    <w:rsid w:val="006A06C8"/>
    <w:rsid w:val="006A08EE"/>
    <w:rsid w:val="006A0B6D"/>
    <w:rsid w:val="006A0E45"/>
    <w:rsid w:val="006A10CB"/>
    <w:rsid w:val="006A1192"/>
    <w:rsid w:val="006A1698"/>
    <w:rsid w:val="006A1DEF"/>
    <w:rsid w:val="006A2300"/>
    <w:rsid w:val="006A2303"/>
    <w:rsid w:val="006A25A3"/>
    <w:rsid w:val="006A2B7C"/>
    <w:rsid w:val="006A2F77"/>
    <w:rsid w:val="006A305D"/>
    <w:rsid w:val="006A316B"/>
    <w:rsid w:val="006A391B"/>
    <w:rsid w:val="006A3997"/>
    <w:rsid w:val="006A3CA1"/>
    <w:rsid w:val="006A40B4"/>
    <w:rsid w:val="006A423C"/>
    <w:rsid w:val="006A52AE"/>
    <w:rsid w:val="006A5650"/>
    <w:rsid w:val="006A587C"/>
    <w:rsid w:val="006A5A73"/>
    <w:rsid w:val="006A5C96"/>
    <w:rsid w:val="006A62F1"/>
    <w:rsid w:val="006A64F5"/>
    <w:rsid w:val="006A6677"/>
    <w:rsid w:val="006A6742"/>
    <w:rsid w:val="006A680A"/>
    <w:rsid w:val="006A6BD8"/>
    <w:rsid w:val="006A6DD2"/>
    <w:rsid w:val="006A7069"/>
    <w:rsid w:val="006A7101"/>
    <w:rsid w:val="006A721C"/>
    <w:rsid w:val="006A726C"/>
    <w:rsid w:val="006A7529"/>
    <w:rsid w:val="006A7690"/>
    <w:rsid w:val="006A7889"/>
    <w:rsid w:val="006A7C3A"/>
    <w:rsid w:val="006B004C"/>
    <w:rsid w:val="006B02AC"/>
    <w:rsid w:val="006B0441"/>
    <w:rsid w:val="006B0A0F"/>
    <w:rsid w:val="006B0B02"/>
    <w:rsid w:val="006B0E3A"/>
    <w:rsid w:val="006B10CE"/>
    <w:rsid w:val="006B1611"/>
    <w:rsid w:val="006B17EB"/>
    <w:rsid w:val="006B18D1"/>
    <w:rsid w:val="006B1A2D"/>
    <w:rsid w:val="006B1A5A"/>
    <w:rsid w:val="006B1E91"/>
    <w:rsid w:val="006B25ED"/>
    <w:rsid w:val="006B2632"/>
    <w:rsid w:val="006B2677"/>
    <w:rsid w:val="006B2953"/>
    <w:rsid w:val="006B3984"/>
    <w:rsid w:val="006B3A20"/>
    <w:rsid w:val="006B3E86"/>
    <w:rsid w:val="006B3F08"/>
    <w:rsid w:val="006B3F5B"/>
    <w:rsid w:val="006B414D"/>
    <w:rsid w:val="006B45B2"/>
    <w:rsid w:val="006B45F7"/>
    <w:rsid w:val="006B46C0"/>
    <w:rsid w:val="006B543E"/>
    <w:rsid w:val="006B5778"/>
    <w:rsid w:val="006B57EE"/>
    <w:rsid w:val="006B5C56"/>
    <w:rsid w:val="006B5E66"/>
    <w:rsid w:val="006B5ECC"/>
    <w:rsid w:val="006B632B"/>
    <w:rsid w:val="006B6534"/>
    <w:rsid w:val="006B6679"/>
    <w:rsid w:val="006B7021"/>
    <w:rsid w:val="006B7205"/>
    <w:rsid w:val="006B7702"/>
    <w:rsid w:val="006B787E"/>
    <w:rsid w:val="006B7B90"/>
    <w:rsid w:val="006B7E26"/>
    <w:rsid w:val="006C06BA"/>
    <w:rsid w:val="006C0B51"/>
    <w:rsid w:val="006C1148"/>
    <w:rsid w:val="006C1341"/>
    <w:rsid w:val="006C1547"/>
    <w:rsid w:val="006C1D39"/>
    <w:rsid w:val="006C20CE"/>
    <w:rsid w:val="006C211A"/>
    <w:rsid w:val="006C2165"/>
    <w:rsid w:val="006C26C0"/>
    <w:rsid w:val="006C2785"/>
    <w:rsid w:val="006C2E09"/>
    <w:rsid w:val="006C2E6C"/>
    <w:rsid w:val="006C340A"/>
    <w:rsid w:val="006C36D5"/>
    <w:rsid w:val="006C36E3"/>
    <w:rsid w:val="006C413A"/>
    <w:rsid w:val="006C4157"/>
    <w:rsid w:val="006C4483"/>
    <w:rsid w:val="006C4983"/>
    <w:rsid w:val="006C4AF4"/>
    <w:rsid w:val="006C4BC2"/>
    <w:rsid w:val="006C4C82"/>
    <w:rsid w:val="006C5313"/>
    <w:rsid w:val="006C57AB"/>
    <w:rsid w:val="006C58B3"/>
    <w:rsid w:val="006C58F2"/>
    <w:rsid w:val="006C59F7"/>
    <w:rsid w:val="006C5AC0"/>
    <w:rsid w:val="006C5B26"/>
    <w:rsid w:val="006C5DD6"/>
    <w:rsid w:val="006C6435"/>
    <w:rsid w:val="006C64F0"/>
    <w:rsid w:val="006C6697"/>
    <w:rsid w:val="006C66F4"/>
    <w:rsid w:val="006C68BB"/>
    <w:rsid w:val="006C69F0"/>
    <w:rsid w:val="006C6D8D"/>
    <w:rsid w:val="006C7089"/>
    <w:rsid w:val="006C755B"/>
    <w:rsid w:val="006C7911"/>
    <w:rsid w:val="006C7D38"/>
    <w:rsid w:val="006D00C6"/>
    <w:rsid w:val="006D05D4"/>
    <w:rsid w:val="006D0787"/>
    <w:rsid w:val="006D092D"/>
    <w:rsid w:val="006D095B"/>
    <w:rsid w:val="006D0A8A"/>
    <w:rsid w:val="006D0CBE"/>
    <w:rsid w:val="006D0D11"/>
    <w:rsid w:val="006D0DD3"/>
    <w:rsid w:val="006D1841"/>
    <w:rsid w:val="006D23DD"/>
    <w:rsid w:val="006D2580"/>
    <w:rsid w:val="006D262C"/>
    <w:rsid w:val="006D26AC"/>
    <w:rsid w:val="006D2757"/>
    <w:rsid w:val="006D2851"/>
    <w:rsid w:val="006D28E6"/>
    <w:rsid w:val="006D315C"/>
    <w:rsid w:val="006D3202"/>
    <w:rsid w:val="006D3640"/>
    <w:rsid w:val="006D3A2E"/>
    <w:rsid w:val="006D3F2F"/>
    <w:rsid w:val="006D4111"/>
    <w:rsid w:val="006D4878"/>
    <w:rsid w:val="006D4F09"/>
    <w:rsid w:val="006D5069"/>
    <w:rsid w:val="006D5214"/>
    <w:rsid w:val="006D56D3"/>
    <w:rsid w:val="006D57CE"/>
    <w:rsid w:val="006D59F4"/>
    <w:rsid w:val="006D5C64"/>
    <w:rsid w:val="006D5D6E"/>
    <w:rsid w:val="006D5DB3"/>
    <w:rsid w:val="006D5F4F"/>
    <w:rsid w:val="006D656A"/>
    <w:rsid w:val="006D6660"/>
    <w:rsid w:val="006D6AA4"/>
    <w:rsid w:val="006D6F05"/>
    <w:rsid w:val="006D7162"/>
    <w:rsid w:val="006D74E3"/>
    <w:rsid w:val="006D7551"/>
    <w:rsid w:val="006D78C1"/>
    <w:rsid w:val="006D7924"/>
    <w:rsid w:val="006D79A8"/>
    <w:rsid w:val="006D79AD"/>
    <w:rsid w:val="006D7EE0"/>
    <w:rsid w:val="006D7F7A"/>
    <w:rsid w:val="006E0396"/>
    <w:rsid w:val="006E0699"/>
    <w:rsid w:val="006E0AD8"/>
    <w:rsid w:val="006E0BAE"/>
    <w:rsid w:val="006E0E6C"/>
    <w:rsid w:val="006E1036"/>
    <w:rsid w:val="006E13C7"/>
    <w:rsid w:val="006E13DD"/>
    <w:rsid w:val="006E16D5"/>
    <w:rsid w:val="006E1726"/>
    <w:rsid w:val="006E199C"/>
    <w:rsid w:val="006E1AE6"/>
    <w:rsid w:val="006E2432"/>
    <w:rsid w:val="006E2948"/>
    <w:rsid w:val="006E2CE2"/>
    <w:rsid w:val="006E2CE7"/>
    <w:rsid w:val="006E3536"/>
    <w:rsid w:val="006E42FF"/>
    <w:rsid w:val="006E4686"/>
    <w:rsid w:val="006E4A82"/>
    <w:rsid w:val="006E4C51"/>
    <w:rsid w:val="006E51AA"/>
    <w:rsid w:val="006E5AAA"/>
    <w:rsid w:val="006E5B66"/>
    <w:rsid w:val="006E5F10"/>
    <w:rsid w:val="006E6572"/>
    <w:rsid w:val="006E6F4B"/>
    <w:rsid w:val="006E7C99"/>
    <w:rsid w:val="006F073E"/>
    <w:rsid w:val="006F07A9"/>
    <w:rsid w:val="006F0A69"/>
    <w:rsid w:val="006F109D"/>
    <w:rsid w:val="006F1120"/>
    <w:rsid w:val="006F1368"/>
    <w:rsid w:val="006F15AD"/>
    <w:rsid w:val="006F19C6"/>
    <w:rsid w:val="006F1A0D"/>
    <w:rsid w:val="006F1B08"/>
    <w:rsid w:val="006F1B50"/>
    <w:rsid w:val="006F1B7C"/>
    <w:rsid w:val="006F1BF7"/>
    <w:rsid w:val="006F217A"/>
    <w:rsid w:val="006F22E5"/>
    <w:rsid w:val="006F2681"/>
    <w:rsid w:val="006F2685"/>
    <w:rsid w:val="006F28AB"/>
    <w:rsid w:val="006F293A"/>
    <w:rsid w:val="006F352E"/>
    <w:rsid w:val="006F3921"/>
    <w:rsid w:val="006F3A18"/>
    <w:rsid w:val="006F42DC"/>
    <w:rsid w:val="006F4435"/>
    <w:rsid w:val="006F4875"/>
    <w:rsid w:val="006F4CC5"/>
    <w:rsid w:val="006F52A8"/>
    <w:rsid w:val="006F52D8"/>
    <w:rsid w:val="006F56A4"/>
    <w:rsid w:val="006F5872"/>
    <w:rsid w:val="006F597C"/>
    <w:rsid w:val="006F5A37"/>
    <w:rsid w:val="006F5A4D"/>
    <w:rsid w:val="006F5B38"/>
    <w:rsid w:val="006F5B91"/>
    <w:rsid w:val="006F5D66"/>
    <w:rsid w:val="006F690F"/>
    <w:rsid w:val="006F6DD2"/>
    <w:rsid w:val="006F6DDF"/>
    <w:rsid w:val="006F6F2F"/>
    <w:rsid w:val="006F74B6"/>
    <w:rsid w:val="006F76F1"/>
    <w:rsid w:val="006F78CC"/>
    <w:rsid w:val="007002CA"/>
    <w:rsid w:val="007004E0"/>
    <w:rsid w:val="00700BCB"/>
    <w:rsid w:val="00700EF7"/>
    <w:rsid w:val="00701100"/>
    <w:rsid w:val="00701D51"/>
    <w:rsid w:val="00701F56"/>
    <w:rsid w:val="00702040"/>
    <w:rsid w:val="00702177"/>
    <w:rsid w:val="0070222B"/>
    <w:rsid w:val="007024B9"/>
    <w:rsid w:val="007024E5"/>
    <w:rsid w:val="00702781"/>
    <w:rsid w:val="0070287B"/>
    <w:rsid w:val="007029B4"/>
    <w:rsid w:val="00702AEF"/>
    <w:rsid w:val="00702E3C"/>
    <w:rsid w:val="007033A7"/>
    <w:rsid w:val="00703695"/>
    <w:rsid w:val="00703849"/>
    <w:rsid w:val="007038B6"/>
    <w:rsid w:val="007038FE"/>
    <w:rsid w:val="007039AB"/>
    <w:rsid w:val="00703AFA"/>
    <w:rsid w:val="00703C93"/>
    <w:rsid w:val="00704102"/>
    <w:rsid w:val="007041D7"/>
    <w:rsid w:val="00704322"/>
    <w:rsid w:val="007047F5"/>
    <w:rsid w:val="00704883"/>
    <w:rsid w:val="00704C12"/>
    <w:rsid w:val="00704D4F"/>
    <w:rsid w:val="00704EDD"/>
    <w:rsid w:val="00704F25"/>
    <w:rsid w:val="007053EB"/>
    <w:rsid w:val="007057FE"/>
    <w:rsid w:val="00705F9C"/>
    <w:rsid w:val="00706050"/>
    <w:rsid w:val="007064E4"/>
    <w:rsid w:val="007067AE"/>
    <w:rsid w:val="00706A20"/>
    <w:rsid w:val="00706B7C"/>
    <w:rsid w:val="00706C72"/>
    <w:rsid w:val="00707401"/>
    <w:rsid w:val="007074D1"/>
    <w:rsid w:val="007077BF"/>
    <w:rsid w:val="00707829"/>
    <w:rsid w:val="0071014C"/>
    <w:rsid w:val="007103FF"/>
    <w:rsid w:val="007105FE"/>
    <w:rsid w:val="00710755"/>
    <w:rsid w:val="00710794"/>
    <w:rsid w:val="00710AE6"/>
    <w:rsid w:val="0071100F"/>
    <w:rsid w:val="007111F3"/>
    <w:rsid w:val="00711311"/>
    <w:rsid w:val="0071205E"/>
    <w:rsid w:val="00712331"/>
    <w:rsid w:val="00712584"/>
    <w:rsid w:val="00712593"/>
    <w:rsid w:val="007125D2"/>
    <w:rsid w:val="0071268A"/>
    <w:rsid w:val="007129A1"/>
    <w:rsid w:val="00712C4D"/>
    <w:rsid w:val="0071349E"/>
    <w:rsid w:val="007134BF"/>
    <w:rsid w:val="007138A0"/>
    <w:rsid w:val="00713ADA"/>
    <w:rsid w:val="00713AE5"/>
    <w:rsid w:val="007141C1"/>
    <w:rsid w:val="00714250"/>
    <w:rsid w:val="00714404"/>
    <w:rsid w:val="00714488"/>
    <w:rsid w:val="00714BB2"/>
    <w:rsid w:val="00714C48"/>
    <w:rsid w:val="00714D0A"/>
    <w:rsid w:val="0071566A"/>
    <w:rsid w:val="007158C6"/>
    <w:rsid w:val="00715950"/>
    <w:rsid w:val="00715E30"/>
    <w:rsid w:val="00715F1D"/>
    <w:rsid w:val="007160A9"/>
    <w:rsid w:val="007163D7"/>
    <w:rsid w:val="00717065"/>
    <w:rsid w:val="007178AF"/>
    <w:rsid w:val="00720005"/>
    <w:rsid w:val="007203E3"/>
    <w:rsid w:val="00720507"/>
    <w:rsid w:val="00720679"/>
    <w:rsid w:val="007206D6"/>
    <w:rsid w:val="0072081B"/>
    <w:rsid w:val="0072092E"/>
    <w:rsid w:val="00720D52"/>
    <w:rsid w:val="007211F4"/>
    <w:rsid w:val="007212AD"/>
    <w:rsid w:val="00721400"/>
    <w:rsid w:val="00721552"/>
    <w:rsid w:val="007215EF"/>
    <w:rsid w:val="0072192F"/>
    <w:rsid w:val="007219E1"/>
    <w:rsid w:val="00721BB4"/>
    <w:rsid w:val="00721D5B"/>
    <w:rsid w:val="00721DB5"/>
    <w:rsid w:val="00721F8E"/>
    <w:rsid w:val="00722000"/>
    <w:rsid w:val="00722351"/>
    <w:rsid w:val="007224C0"/>
    <w:rsid w:val="00722507"/>
    <w:rsid w:val="00722E5B"/>
    <w:rsid w:val="00723243"/>
    <w:rsid w:val="007234BD"/>
    <w:rsid w:val="00723530"/>
    <w:rsid w:val="0072356C"/>
    <w:rsid w:val="007236AA"/>
    <w:rsid w:val="007236D9"/>
    <w:rsid w:val="00723B1D"/>
    <w:rsid w:val="00723D7D"/>
    <w:rsid w:val="00723EFA"/>
    <w:rsid w:val="0072484C"/>
    <w:rsid w:val="00724E13"/>
    <w:rsid w:val="00724FA2"/>
    <w:rsid w:val="0072556F"/>
    <w:rsid w:val="0072565E"/>
    <w:rsid w:val="0072574B"/>
    <w:rsid w:val="007257B3"/>
    <w:rsid w:val="0072585E"/>
    <w:rsid w:val="00725985"/>
    <w:rsid w:val="00725CEA"/>
    <w:rsid w:val="00725CF0"/>
    <w:rsid w:val="00725DE0"/>
    <w:rsid w:val="00725F25"/>
    <w:rsid w:val="00726208"/>
    <w:rsid w:val="00726393"/>
    <w:rsid w:val="00726429"/>
    <w:rsid w:val="0072661D"/>
    <w:rsid w:val="00726B7B"/>
    <w:rsid w:val="00726C74"/>
    <w:rsid w:val="007276DA"/>
    <w:rsid w:val="00727746"/>
    <w:rsid w:val="00727890"/>
    <w:rsid w:val="0072790E"/>
    <w:rsid w:val="00727A45"/>
    <w:rsid w:val="00727F2A"/>
    <w:rsid w:val="00727FD8"/>
    <w:rsid w:val="00730157"/>
    <w:rsid w:val="0073016C"/>
    <w:rsid w:val="007301C9"/>
    <w:rsid w:val="00730689"/>
    <w:rsid w:val="0073096E"/>
    <w:rsid w:val="00730DF8"/>
    <w:rsid w:val="0073112E"/>
    <w:rsid w:val="00731141"/>
    <w:rsid w:val="007311A2"/>
    <w:rsid w:val="007316B2"/>
    <w:rsid w:val="00731EAC"/>
    <w:rsid w:val="00732235"/>
    <w:rsid w:val="0073227D"/>
    <w:rsid w:val="00732697"/>
    <w:rsid w:val="00732F58"/>
    <w:rsid w:val="00733BDB"/>
    <w:rsid w:val="00733D2E"/>
    <w:rsid w:val="0073407E"/>
    <w:rsid w:val="007341CE"/>
    <w:rsid w:val="007342CA"/>
    <w:rsid w:val="007346AA"/>
    <w:rsid w:val="00734B18"/>
    <w:rsid w:val="00734F64"/>
    <w:rsid w:val="0073500F"/>
    <w:rsid w:val="007352B5"/>
    <w:rsid w:val="00735744"/>
    <w:rsid w:val="00735C02"/>
    <w:rsid w:val="00735D3A"/>
    <w:rsid w:val="00735E29"/>
    <w:rsid w:val="00735EB1"/>
    <w:rsid w:val="0073603E"/>
    <w:rsid w:val="00736744"/>
    <w:rsid w:val="00736867"/>
    <w:rsid w:val="0073694F"/>
    <w:rsid w:val="007369F1"/>
    <w:rsid w:val="00737008"/>
    <w:rsid w:val="007373F6"/>
    <w:rsid w:val="00737CED"/>
    <w:rsid w:val="00737F7B"/>
    <w:rsid w:val="0074001B"/>
    <w:rsid w:val="007404AE"/>
    <w:rsid w:val="0074093E"/>
    <w:rsid w:val="00740A29"/>
    <w:rsid w:val="00740B24"/>
    <w:rsid w:val="00740ED3"/>
    <w:rsid w:val="007410AB"/>
    <w:rsid w:val="007414F2"/>
    <w:rsid w:val="00741810"/>
    <w:rsid w:val="00741C83"/>
    <w:rsid w:val="0074200E"/>
    <w:rsid w:val="00742CC4"/>
    <w:rsid w:val="00742D59"/>
    <w:rsid w:val="00742F0D"/>
    <w:rsid w:val="00742F10"/>
    <w:rsid w:val="0074301A"/>
    <w:rsid w:val="00743548"/>
    <w:rsid w:val="0074367A"/>
    <w:rsid w:val="00744120"/>
    <w:rsid w:val="007442CA"/>
    <w:rsid w:val="007448E1"/>
    <w:rsid w:val="00744D05"/>
    <w:rsid w:val="00744FFF"/>
    <w:rsid w:val="00745026"/>
    <w:rsid w:val="0074535F"/>
    <w:rsid w:val="007454B8"/>
    <w:rsid w:val="00745701"/>
    <w:rsid w:val="00745A38"/>
    <w:rsid w:val="00745B05"/>
    <w:rsid w:val="00745B0F"/>
    <w:rsid w:val="00745CD0"/>
    <w:rsid w:val="007467ED"/>
    <w:rsid w:val="00746B52"/>
    <w:rsid w:val="00746EB5"/>
    <w:rsid w:val="00747456"/>
    <w:rsid w:val="00747469"/>
    <w:rsid w:val="007478F1"/>
    <w:rsid w:val="00747E6F"/>
    <w:rsid w:val="0075036F"/>
    <w:rsid w:val="007506E1"/>
    <w:rsid w:val="00750AC7"/>
    <w:rsid w:val="00750B9F"/>
    <w:rsid w:val="00750E62"/>
    <w:rsid w:val="00750E9A"/>
    <w:rsid w:val="007510C3"/>
    <w:rsid w:val="00751496"/>
    <w:rsid w:val="007517C1"/>
    <w:rsid w:val="00751928"/>
    <w:rsid w:val="007519FF"/>
    <w:rsid w:val="00751B00"/>
    <w:rsid w:val="007520C3"/>
    <w:rsid w:val="0075236E"/>
    <w:rsid w:val="0075271E"/>
    <w:rsid w:val="00752778"/>
    <w:rsid w:val="00752A6C"/>
    <w:rsid w:val="00752EF1"/>
    <w:rsid w:val="00753006"/>
    <w:rsid w:val="0075329C"/>
    <w:rsid w:val="007532C2"/>
    <w:rsid w:val="0075386F"/>
    <w:rsid w:val="00753BA3"/>
    <w:rsid w:val="00754106"/>
    <w:rsid w:val="0075433A"/>
    <w:rsid w:val="007544F7"/>
    <w:rsid w:val="007549D9"/>
    <w:rsid w:val="00754AB5"/>
    <w:rsid w:val="00754D77"/>
    <w:rsid w:val="00754E09"/>
    <w:rsid w:val="00754FE6"/>
    <w:rsid w:val="0075532D"/>
    <w:rsid w:val="0075556F"/>
    <w:rsid w:val="00755669"/>
    <w:rsid w:val="00755A42"/>
    <w:rsid w:val="00755C0B"/>
    <w:rsid w:val="00755C32"/>
    <w:rsid w:val="00755F30"/>
    <w:rsid w:val="00755F8B"/>
    <w:rsid w:val="00756899"/>
    <w:rsid w:val="00756DE7"/>
    <w:rsid w:val="00756E6E"/>
    <w:rsid w:val="00756E96"/>
    <w:rsid w:val="00757231"/>
    <w:rsid w:val="007572ED"/>
    <w:rsid w:val="0075767B"/>
    <w:rsid w:val="007578CA"/>
    <w:rsid w:val="00760287"/>
    <w:rsid w:val="00760304"/>
    <w:rsid w:val="0076058A"/>
    <w:rsid w:val="00760870"/>
    <w:rsid w:val="00760AD4"/>
    <w:rsid w:val="00760BF3"/>
    <w:rsid w:val="00760DB9"/>
    <w:rsid w:val="00760DC7"/>
    <w:rsid w:val="00760E1B"/>
    <w:rsid w:val="00761663"/>
    <w:rsid w:val="00761ABC"/>
    <w:rsid w:val="00761B81"/>
    <w:rsid w:val="007622C5"/>
    <w:rsid w:val="00762322"/>
    <w:rsid w:val="00762334"/>
    <w:rsid w:val="0076235F"/>
    <w:rsid w:val="00762454"/>
    <w:rsid w:val="0076278E"/>
    <w:rsid w:val="00762B80"/>
    <w:rsid w:val="00762E00"/>
    <w:rsid w:val="00762F69"/>
    <w:rsid w:val="0076326F"/>
    <w:rsid w:val="007634D1"/>
    <w:rsid w:val="007638C6"/>
    <w:rsid w:val="00763AD1"/>
    <w:rsid w:val="00763DCB"/>
    <w:rsid w:val="00763F2F"/>
    <w:rsid w:val="00764343"/>
    <w:rsid w:val="0076465A"/>
    <w:rsid w:val="00764876"/>
    <w:rsid w:val="0076496C"/>
    <w:rsid w:val="00764FE1"/>
    <w:rsid w:val="007655B2"/>
    <w:rsid w:val="00765D74"/>
    <w:rsid w:val="0076692D"/>
    <w:rsid w:val="007669DE"/>
    <w:rsid w:val="00766B57"/>
    <w:rsid w:val="00766D27"/>
    <w:rsid w:val="00766D31"/>
    <w:rsid w:val="00766DC2"/>
    <w:rsid w:val="0076761A"/>
    <w:rsid w:val="00767EAE"/>
    <w:rsid w:val="00770236"/>
    <w:rsid w:val="007709F9"/>
    <w:rsid w:val="00770DB0"/>
    <w:rsid w:val="00771320"/>
    <w:rsid w:val="007713F8"/>
    <w:rsid w:val="007716AF"/>
    <w:rsid w:val="007718B8"/>
    <w:rsid w:val="00771A93"/>
    <w:rsid w:val="00771F58"/>
    <w:rsid w:val="00772259"/>
    <w:rsid w:val="00772769"/>
    <w:rsid w:val="007729DA"/>
    <w:rsid w:val="00772C51"/>
    <w:rsid w:val="00772C57"/>
    <w:rsid w:val="00772DFE"/>
    <w:rsid w:val="00773310"/>
    <w:rsid w:val="007733B2"/>
    <w:rsid w:val="007734F7"/>
    <w:rsid w:val="007735AD"/>
    <w:rsid w:val="00773AF6"/>
    <w:rsid w:val="007742E1"/>
    <w:rsid w:val="00774B6C"/>
    <w:rsid w:val="007750CB"/>
    <w:rsid w:val="00775165"/>
    <w:rsid w:val="00775A0C"/>
    <w:rsid w:val="00776577"/>
    <w:rsid w:val="0077672C"/>
    <w:rsid w:val="0077693E"/>
    <w:rsid w:val="00776949"/>
    <w:rsid w:val="00776FF3"/>
    <w:rsid w:val="0077763C"/>
    <w:rsid w:val="00777726"/>
    <w:rsid w:val="0077773B"/>
    <w:rsid w:val="00777800"/>
    <w:rsid w:val="007778EE"/>
    <w:rsid w:val="00777A89"/>
    <w:rsid w:val="00777BAF"/>
    <w:rsid w:val="00780673"/>
    <w:rsid w:val="0078067B"/>
    <w:rsid w:val="00780970"/>
    <w:rsid w:val="00780D1B"/>
    <w:rsid w:val="0078100E"/>
    <w:rsid w:val="00781371"/>
    <w:rsid w:val="007813FF"/>
    <w:rsid w:val="0078169F"/>
    <w:rsid w:val="007818D0"/>
    <w:rsid w:val="00781944"/>
    <w:rsid w:val="00781A93"/>
    <w:rsid w:val="00781B33"/>
    <w:rsid w:val="00781C84"/>
    <w:rsid w:val="00781EE2"/>
    <w:rsid w:val="0078259F"/>
    <w:rsid w:val="00782816"/>
    <w:rsid w:val="00782A60"/>
    <w:rsid w:val="00782C3D"/>
    <w:rsid w:val="00782DB8"/>
    <w:rsid w:val="00782E97"/>
    <w:rsid w:val="00783104"/>
    <w:rsid w:val="00783454"/>
    <w:rsid w:val="007837E0"/>
    <w:rsid w:val="007837FC"/>
    <w:rsid w:val="00783826"/>
    <w:rsid w:val="00783B10"/>
    <w:rsid w:val="00783E2C"/>
    <w:rsid w:val="00783EF4"/>
    <w:rsid w:val="00783F01"/>
    <w:rsid w:val="00783F93"/>
    <w:rsid w:val="0078420E"/>
    <w:rsid w:val="00784221"/>
    <w:rsid w:val="007844A7"/>
    <w:rsid w:val="0078533C"/>
    <w:rsid w:val="00785A30"/>
    <w:rsid w:val="00785B14"/>
    <w:rsid w:val="00785C27"/>
    <w:rsid w:val="00785D7F"/>
    <w:rsid w:val="00786AE4"/>
    <w:rsid w:val="00786B4F"/>
    <w:rsid w:val="00786DED"/>
    <w:rsid w:val="007871B5"/>
    <w:rsid w:val="0078737E"/>
    <w:rsid w:val="00787501"/>
    <w:rsid w:val="0078757F"/>
    <w:rsid w:val="00787582"/>
    <w:rsid w:val="007878B0"/>
    <w:rsid w:val="007878F2"/>
    <w:rsid w:val="00787C1B"/>
    <w:rsid w:val="00787E67"/>
    <w:rsid w:val="00787FAC"/>
    <w:rsid w:val="00790096"/>
    <w:rsid w:val="00790477"/>
    <w:rsid w:val="0079075F"/>
    <w:rsid w:val="00790C77"/>
    <w:rsid w:val="00791267"/>
    <w:rsid w:val="0079175E"/>
    <w:rsid w:val="00791900"/>
    <w:rsid w:val="00791A8F"/>
    <w:rsid w:val="00791B72"/>
    <w:rsid w:val="00791C02"/>
    <w:rsid w:val="00791DBF"/>
    <w:rsid w:val="00791DC3"/>
    <w:rsid w:val="00792067"/>
    <w:rsid w:val="007924A5"/>
    <w:rsid w:val="00792936"/>
    <w:rsid w:val="00792CB6"/>
    <w:rsid w:val="00792E97"/>
    <w:rsid w:val="0079395C"/>
    <w:rsid w:val="00793ED2"/>
    <w:rsid w:val="00793ED8"/>
    <w:rsid w:val="00794054"/>
    <w:rsid w:val="007941F1"/>
    <w:rsid w:val="0079431B"/>
    <w:rsid w:val="0079468F"/>
    <w:rsid w:val="007946E1"/>
    <w:rsid w:val="00794EA6"/>
    <w:rsid w:val="007951EB"/>
    <w:rsid w:val="0079524D"/>
    <w:rsid w:val="00795423"/>
    <w:rsid w:val="00795431"/>
    <w:rsid w:val="00795928"/>
    <w:rsid w:val="007959EA"/>
    <w:rsid w:val="00795A44"/>
    <w:rsid w:val="00795A62"/>
    <w:rsid w:val="00795CC2"/>
    <w:rsid w:val="00795F5B"/>
    <w:rsid w:val="00796188"/>
    <w:rsid w:val="007963A9"/>
    <w:rsid w:val="00796B48"/>
    <w:rsid w:val="00796C33"/>
    <w:rsid w:val="00796D71"/>
    <w:rsid w:val="00796DC8"/>
    <w:rsid w:val="007970AD"/>
    <w:rsid w:val="0079764C"/>
    <w:rsid w:val="00797676"/>
    <w:rsid w:val="007979D1"/>
    <w:rsid w:val="00797B14"/>
    <w:rsid w:val="00797C2E"/>
    <w:rsid w:val="00797C43"/>
    <w:rsid w:val="007A0363"/>
    <w:rsid w:val="007A036D"/>
    <w:rsid w:val="007A048C"/>
    <w:rsid w:val="007A05E0"/>
    <w:rsid w:val="007A0649"/>
    <w:rsid w:val="007A07A9"/>
    <w:rsid w:val="007A07D6"/>
    <w:rsid w:val="007A0A1E"/>
    <w:rsid w:val="007A0A75"/>
    <w:rsid w:val="007A0B93"/>
    <w:rsid w:val="007A1994"/>
    <w:rsid w:val="007A1A72"/>
    <w:rsid w:val="007A1B83"/>
    <w:rsid w:val="007A1D84"/>
    <w:rsid w:val="007A1EFB"/>
    <w:rsid w:val="007A2063"/>
    <w:rsid w:val="007A2276"/>
    <w:rsid w:val="007A26E1"/>
    <w:rsid w:val="007A2833"/>
    <w:rsid w:val="007A29A5"/>
    <w:rsid w:val="007A31E3"/>
    <w:rsid w:val="007A344A"/>
    <w:rsid w:val="007A3671"/>
    <w:rsid w:val="007A37A9"/>
    <w:rsid w:val="007A385A"/>
    <w:rsid w:val="007A3F4C"/>
    <w:rsid w:val="007A413F"/>
    <w:rsid w:val="007A431C"/>
    <w:rsid w:val="007A45A3"/>
    <w:rsid w:val="007A4AFE"/>
    <w:rsid w:val="007A4CD9"/>
    <w:rsid w:val="007A4E40"/>
    <w:rsid w:val="007A53D2"/>
    <w:rsid w:val="007A57B0"/>
    <w:rsid w:val="007A5A5F"/>
    <w:rsid w:val="007A5D7D"/>
    <w:rsid w:val="007A617A"/>
    <w:rsid w:val="007A61A3"/>
    <w:rsid w:val="007A6649"/>
    <w:rsid w:val="007A70B4"/>
    <w:rsid w:val="007A71ED"/>
    <w:rsid w:val="007A73DD"/>
    <w:rsid w:val="007A7413"/>
    <w:rsid w:val="007A7D2C"/>
    <w:rsid w:val="007B0057"/>
    <w:rsid w:val="007B016C"/>
    <w:rsid w:val="007B017A"/>
    <w:rsid w:val="007B02D3"/>
    <w:rsid w:val="007B03C7"/>
    <w:rsid w:val="007B04FA"/>
    <w:rsid w:val="007B087F"/>
    <w:rsid w:val="007B0910"/>
    <w:rsid w:val="007B0D89"/>
    <w:rsid w:val="007B0E0C"/>
    <w:rsid w:val="007B13D1"/>
    <w:rsid w:val="007B1650"/>
    <w:rsid w:val="007B1810"/>
    <w:rsid w:val="007B1CF3"/>
    <w:rsid w:val="007B1F91"/>
    <w:rsid w:val="007B202B"/>
    <w:rsid w:val="007B24F5"/>
    <w:rsid w:val="007B2922"/>
    <w:rsid w:val="007B2A43"/>
    <w:rsid w:val="007B2AC2"/>
    <w:rsid w:val="007B2F0A"/>
    <w:rsid w:val="007B322F"/>
    <w:rsid w:val="007B324F"/>
    <w:rsid w:val="007B3841"/>
    <w:rsid w:val="007B3894"/>
    <w:rsid w:val="007B38F2"/>
    <w:rsid w:val="007B3AC0"/>
    <w:rsid w:val="007B3D97"/>
    <w:rsid w:val="007B3EAA"/>
    <w:rsid w:val="007B4454"/>
    <w:rsid w:val="007B46F7"/>
    <w:rsid w:val="007B4788"/>
    <w:rsid w:val="007B52E5"/>
    <w:rsid w:val="007B53C6"/>
    <w:rsid w:val="007B5714"/>
    <w:rsid w:val="007B592F"/>
    <w:rsid w:val="007B5C0E"/>
    <w:rsid w:val="007B5F8B"/>
    <w:rsid w:val="007B6326"/>
    <w:rsid w:val="007B649F"/>
    <w:rsid w:val="007B682A"/>
    <w:rsid w:val="007B6C04"/>
    <w:rsid w:val="007B7063"/>
    <w:rsid w:val="007B763D"/>
    <w:rsid w:val="007B7771"/>
    <w:rsid w:val="007B782F"/>
    <w:rsid w:val="007B7AAD"/>
    <w:rsid w:val="007B7BA5"/>
    <w:rsid w:val="007B7C28"/>
    <w:rsid w:val="007C002B"/>
    <w:rsid w:val="007C0333"/>
    <w:rsid w:val="007C0C00"/>
    <w:rsid w:val="007C0C91"/>
    <w:rsid w:val="007C0F9D"/>
    <w:rsid w:val="007C0FA4"/>
    <w:rsid w:val="007C105D"/>
    <w:rsid w:val="007C10DE"/>
    <w:rsid w:val="007C1205"/>
    <w:rsid w:val="007C159D"/>
    <w:rsid w:val="007C1917"/>
    <w:rsid w:val="007C1CB6"/>
    <w:rsid w:val="007C1E52"/>
    <w:rsid w:val="007C1EC5"/>
    <w:rsid w:val="007C2081"/>
    <w:rsid w:val="007C21E2"/>
    <w:rsid w:val="007C2960"/>
    <w:rsid w:val="007C2A7E"/>
    <w:rsid w:val="007C2CD3"/>
    <w:rsid w:val="007C2E81"/>
    <w:rsid w:val="007C30B8"/>
    <w:rsid w:val="007C313E"/>
    <w:rsid w:val="007C338B"/>
    <w:rsid w:val="007C33AC"/>
    <w:rsid w:val="007C3475"/>
    <w:rsid w:val="007C394B"/>
    <w:rsid w:val="007C3D66"/>
    <w:rsid w:val="007C3F4B"/>
    <w:rsid w:val="007C3F86"/>
    <w:rsid w:val="007C441B"/>
    <w:rsid w:val="007C445D"/>
    <w:rsid w:val="007C4A9A"/>
    <w:rsid w:val="007C4C53"/>
    <w:rsid w:val="007C4FF5"/>
    <w:rsid w:val="007C5AEB"/>
    <w:rsid w:val="007C5AF0"/>
    <w:rsid w:val="007C5AF4"/>
    <w:rsid w:val="007C6513"/>
    <w:rsid w:val="007C6F40"/>
    <w:rsid w:val="007C6F7C"/>
    <w:rsid w:val="007C774C"/>
    <w:rsid w:val="007C7A60"/>
    <w:rsid w:val="007C7B04"/>
    <w:rsid w:val="007C7CC7"/>
    <w:rsid w:val="007C7F77"/>
    <w:rsid w:val="007D0355"/>
    <w:rsid w:val="007D07D5"/>
    <w:rsid w:val="007D0AEE"/>
    <w:rsid w:val="007D0B7B"/>
    <w:rsid w:val="007D0D0A"/>
    <w:rsid w:val="007D1569"/>
    <w:rsid w:val="007D15FA"/>
    <w:rsid w:val="007D1ACC"/>
    <w:rsid w:val="007D1B44"/>
    <w:rsid w:val="007D1C07"/>
    <w:rsid w:val="007D1C26"/>
    <w:rsid w:val="007D21FB"/>
    <w:rsid w:val="007D2388"/>
    <w:rsid w:val="007D25EB"/>
    <w:rsid w:val="007D2AA4"/>
    <w:rsid w:val="007D2F4B"/>
    <w:rsid w:val="007D36D5"/>
    <w:rsid w:val="007D419D"/>
    <w:rsid w:val="007D42DA"/>
    <w:rsid w:val="007D432A"/>
    <w:rsid w:val="007D4355"/>
    <w:rsid w:val="007D4678"/>
    <w:rsid w:val="007D4F5D"/>
    <w:rsid w:val="007D4F6E"/>
    <w:rsid w:val="007D507D"/>
    <w:rsid w:val="007D5167"/>
    <w:rsid w:val="007D566C"/>
    <w:rsid w:val="007D57AE"/>
    <w:rsid w:val="007D5CC5"/>
    <w:rsid w:val="007D5E00"/>
    <w:rsid w:val="007D606C"/>
    <w:rsid w:val="007D6340"/>
    <w:rsid w:val="007D6767"/>
    <w:rsid w:val="007D6A4B"/>
    <w:rsid w:val="007D6D99"/>
    <w:rsid w:val="007D7392"/>
    <w:rsid w:val="007D74A6"/>
    <w:rsid w:val="007D77BB"/>
    <w:rsid w:val="007D786A"/>
    <w:rsid w:val="007E0484"/>
    <w:rsid w:val="007E066D"/>
    <w:rsid w:val="007E0E89"/>
    <w:rsid w:val="007E12D5"/>
    <w:rsid w:val="007E1A38"/>
    <w:rsid w:val="007E1C9B"/>
    <w:rsid w:val="007E2185"/>
    <w:rsid w:val="007E270A"/>
    <w:rsid w:val="007E2768"/>
    <w:rsid w:val="007E29B8"/>
    <w:rsid w:val="007E2B0F"/>
    <w:rsid w:val="007E2B3C"/>
    <w:rsid w:val="007E32C8"/>
    <w:rsid w:val="007E3564"/>
    <w:rsid w:val="007E3EF8"/>
    <w:rsid w:val="007E467B"/>
    <w:rsid w:val="007E468F"/>
    <w:rsid w:val="007E46AB"/>
    <w:rsid w:val="007E4DCE"/>
    <w:rsid w:val="007E5408"/>
    <w:rsid w:val="007E5544"/>
    <w:rsid w:val="007E596D"/>
    <w:rsid w:val="007E6041"/>
    <w:rsid w:val="007E61B0"/>
    <w:rsid w:val="007E63C6"/>
    <w:rsid w:val="007E65B2"/>
    <w:rsid w:val="007E65F4"/>
    <w:rsid w:val="007E6728"/>
    <w:rsid w:val="007E6814"/>
    <w:rsid w:val="007E6A06"/>
    <w:rsid w:val="007E6B60"/>
    <w:rsid w:val="007E6C65"/>
    <w:rsid w:val="007E6F77"/>
    <w:rsid w:val="007E775D"/>
    <w:rsid w:val="007E7B95"/>
    <w:rsid w:val="007E7CC7"/>
    <w:rsid w:val="007E7E09"/>
    <w:rsid w:val="007F0153"/>
    <w:rsid w:val="007F038C"/>
    <w:rsid w:val="007F0445"/>
    <w:rsid w:val="007F05AD"/>
    <w:rsid w:val="007F05ED"/>
    <w:rsid w:val="007F08FA"/>
    <w:rsid w:val="007F0969"/>
    <w:rsid w:val="007F09F1"/>
    <w:rsid w:val="007F0B69"/>
    <w:rsid w:val="007F13AA"/>
    <w:rsid w:val="007F17B7"/>
    <w:rsid w:val="007F1A99"/>
    <w:rsid w:val="007F2464"/>
    <w:rsid w:val="007F2BCC"/>
    <w:rsid w:val="007F317C"/>
    <w:rsid w:val="007F336E"/>
    <w:rsid w:val="007F3733"/>
    <w:rsid w:val="007F3CC8"/>
    <w:rsid w:val="007F4022"/>
    <w:rsid w:val="007F40D1"/>
    <w:rsid w:val="007F42D1"/>
    <w:rsid w:val="007F465A"/>
    <w:rsid w:val="007F4BA1"/>
    <w:rsid w:val="007F50CD"/>
    <w:rsid w:val="007F5275"/>
    <w:rsid w:val="007F54B4"/>
    <w:rsid w:val="007F553E"/>
    <w:rsid w:val="007F55A6"/>
    <w:rsid w:val="007F55C9"/>
    <w:rsid w:val="007F5AE1"/>
    <w:rsid w:val="007F5BD0"/>
    <w:rsid w:val="007F5EC0"/>
    <w:rsid w:val="007F61C1"/>
    <w:rsid w:val="007F63CB"/>
    <w:rsid w:val="007F6844"/>
    <w:rsid w:val="007F6901"/>
    <w:rsid w:val="007F6A5D"/>
    <w:rsid w:val="007F6DA5"/>
    <w:rsid w:val="007F711C"/>
    <w:rsid w:val="007F72F7"/>
    <w:rsid w:val="007F753F"/>
    <w:rsid w:val="007F7556"/>
    <w:rsid w:val="007F779F"/>
    <w:rsid w:val="007F77A3"/>
    <w:rsid w:val="007F7BC3"/>
    <w:rsid w:val="007F7D35"/>
    <w:rsid w:val="007F7DF5"/>
    <w:rsid w:val="007F7EDD"/>
    <w:rsid w:val="00800055"/>
    <w:rsid w:val="00800B06"/>
    <w:rsid w:val="00800B5F"/>
    <w:rsid w:val="008016BF"/>
    <w:rsid w:val="008017BC"/>
    <w:rsid w:val="00801809"/>
    <w:rsid w:val="00801BF6"/>
    <w:rsid w:val="00802104"/>
    <w:rsid w:val="00802688"/>
    <w:rsid w:val="00802F15"/>
    <w:rsid w:val="008031B4"/>
    <w:rsid w:val="00803227"/>
    <w:rsid w:val="0080322B"/>
    <w:rsid w:val="008035C3"/>
    <w:rsid w:val="00803932"/>
    <w:rsid w:val="00803984"/>
    <w:rsid w:val="00803A2F"/>
    <w:rsid w:val="00803D5F"/>
    <w:rsid w:val="00803F26"/>
    <w:rsid w:val="008049E1"/>
    <w:rsid w:val="00804B8B"/>
    <w:rsid w:val="008054D5"/>
    <w:rsid w:val="008057FC"/>
    <w:rsid w:val="00805D69"/>
    <w:rsid w:val="00805EFB"/>
    <w:rsid w:val="00806968"/>
    <w:rsid w:val="00806B2F"/>
    <w:rsid w:val="00806F63"/>
    <w:rsid w:val="00806FAA"/>
    <w:rsid w:val="00807316"/>
    <w:rsid w:val="008075B3"/>
    <w:rsid w:val="008079DE"/>
    <w:rsid w:val="00807C49"/>
    <w:rsid w:val="00807D0F"/>
    <w:rsid w:val="00807DF8"/>
    <w:rsid w:val="00807F06"/>
    <w:rsid w:val="008107EB"/>
    <w:rsid w:val="00810998"/>
    <w:rsid w:val="00810A11"/>
    <w:rsid w:val="00810D85"/>
    <w:rsid w:val="00811196"/>
    <w:rsid w:val="008111AA"/>
    <w:rsid w:val="008113FB"/>
    <w:rsid w:val="0081156E"/>
    <w:rsid w:val="00811CFB"/>
    <w:rsid w:val="00811F93"/>
    <w:rsid w:val="0081287B"/>
    <w:rsid w:val="00812AB8"/>
    <w:rsid w:val="00812AFD"/>
    <w:rsid w:val="00812FEB"/>
    <w:rsid w:val="008131AB"/>
    <w:rsid w:val="00813320"/>
    <w:rsid w:val="0081375E"/>
    <w:rsid w:val="00813773"/>
    <w:rsid w:val="00813AE9"/>
    <w:rsid w:val="00813D3B"/>
    <w:rsid w:val="008146E7"/>
    <w:rsid w:val="0081471F"/>
    <w:rsid w:val="0081499F"/>
    <w:rsid w:val="00814B81"/>
    <w:rsid w:val="00814FD6"/>
    <w:rsid w:val="00815033"/>
    <w:rsid w:val="0081533C"/>
    <w:rsid w:val="008155D5"/>
    <w:rsid w:val="008155F3"/>
    <w:rsid w:val="0081564A"/>
    <w:rsid w:val="008156CE"/>
    <w:rsid w:val="00815C03"/>
    <w:rsid w:val="00815D67"/>
    <w:rsid w:val="00815DCC"/>
    <w:rsid w:val="008161D7"/>
    <w:rsid w:val="00816479"/>
    <w:rsid w:val="00816675"/>
    <w:rsid w:val="00816683"/>
    <w:rsid w:val="008167B7"/>
    <w:rsid w:val="0081722F"/>
    <w:rsid w:val="0081725A"/>
    <w:rsid w:val="008175E8"/>
    <w:rsid w:val="00817920"/>
    <w:rsid w:val="008179F5"/>
    <w:rsid w:val="00817BF6"/>
    <w:rsid w:val="00817C11"/>
    <w:rsid w:val="00817D4B"/>
    <w:rsid w:val="00820073"/>
    <w:rsid w:val="0082016F"/>
    <w:rsid w:val="0082027C"/>
    <w:rsid w:val="00820661"/>
    <w:rsid w:val="00820899"/>
    <w:rsid w:val="00820B12"/>
    <w:rsid w:val="0082142C"/>
    <w:rsid w:val="008219DB"/>
    <w:rsid w:val="008221EE"/>
    <w:rsid w:val="00822779"/>
    <w:rsid w:val="00822C4A"/>
    <w:rsid w:val="0082332B"/>
    <w:rsid w:val="0082379A"/>
    <w:rsid w:val="00823AD3"/>
    <w:rsid w:val="00823B92"/>
    <w:rsid w:val="00823DA1"/>
    <w:rsid w:val="00823FEB"/>
    <w:rsid w:val="00824300"/>
    <w:rsid w:val="00824322"/>
    <w:rsid w:val="0082437F"/>
    <w:rsid w:val="0082444C"/>
    <w:rsid w:val="008247ED"/>
    <w:rsid w:val="00824F04"/>
    <w:rsid w:val="008250A3"/>
    <w:rsid w:val="00825144"/>
    <w:rsid w:val="008256B5"/>
    <w:rsid w:val="00825C98"/>
    <w:rsid w:val="0082603C"/>
    <w:rsid w:val="008261EB"/>
    <w:rsid w:val="0082666C"/>
    <w:rsid w:val="00826679"/>
    <w:rsid w:val="0082679B"/>
    <w:rsid w:val="008269C8"/>
    <w:rsid w:val="00826C88"/>
    <w:rsid w:val="00827202"/>
    <w:rsid w:val="00827431"/>
    <w:rsid w:val="00827686"/>
    <w:rsid w:val="00827C63"/>
    <w:rsid w:val="00830298"/>
    <w:rsid w:val="00830365"/>
    <w:rsid w:val="0083037E"/>
    <w:rsid w:val="008304E5"/>
    <w:rsid w:val="008305AC"/>
    <w:rsid w:val="0083078E"/>
    <w:rsid w:val="00830983"/>
    <w:rsid w:val="00830F7E"/>
    <w:rsid w:val="00831300"/>
    <w:rsid w:val="00831831"/>
    <w:rsid w:val="0083187B"/>
    <w:rsid w:val="00831966"/>
    <w:rsid w:val="00831C18"/>
    <w:rsid w:val="00831C23"/>
    <w:rsid w:val="00831E86"/>
    <w:rsid w:val="0083201E"/>
    <w:rsid w:val="00832525"/>
    <w:rsid w:val="00832715"/>
    <w:rsid w:val="00832D6C"/>
    <w:rsid w:val="00832EE3"/>
    <w:rsid w:val="00832F3C"/>
    <w:rsid w:val="00833111"/>
    <w:rsid w:val="00833EE1"/>
    <w:rsid w:val="00834070"/>
    <w:rsid w:val="008340FF"/>
    <w:rsid w:val="00834605"/>
    <w:rsid w:val="00834A45"/>
    <w:rsid w:val="00834C7D"/>
    <w:rsid w:val="00834FF4"/>
    <w:rsid w:val="00835236"/>
    <w:rsid w:val="008355B1"/>
    <w:rsid w:val="00835CA3"/>
    <w:rsid w:val="00836262"/>
    <w:rsid w:val="00836488"/>
    <w:rsid w:val="00836550"/>
    <w:rsid w:val="0083664B"/>
    <w:rsid w:val="00836BDC"/>
    <w:rsid w:val="00836E3A"/>
    <w:rsid w:val="00837210"/>
    <w:rsid w:val="0083747D"/>
    <w:rsid w:val="008378B2"/>
    <w:rsid w:val="00837D55"/>
    <w:rsid w:val="00837DAA"/>
    <w:rsid w:val="008408C2"/>
    <w:rsid w:val="00840D82"/>
    <w:rsid w:val="008418C1"/>
    <w:rsid w:val="0084190B"/>
    <w:rsid w:val="00841EF9"/>
    <w:rsid w:val="0084238D"/>
    <w:rsid w:val="0084255A"/>
    <w:rsid w:val="00842F6D"/>
    <w:rsid w:val="008431AC"/>
    <w:rsid w:val="008436B9"/>
    <w:rsid w:val="0084389D"/>
    <w:rsid w:val="008439CE"/>
    <w:rsid w:val="00843C83"/>
    <w:rsid w:val="00843F59"/>
    <w:rsid w:val="00843FA3"/>
    <w:rsid w:val="00844137"/>
    <w:rsid w:val="00844305"/>
    <w:rsid w:val="0084433D"/>
    <w:rsid w:val="00844593"/>
    <w:rsid w:val="00844884"/>
    <w:rsid w:val="00844A7E"/>
    <w:rsid w:val="00844AA3"/>
    <w:rsid w:val="00844B64"/>
    <w:rsid w:val="00844EE3"/>
    <w:rsid w:val="00845048"/>
    <w:rsid w:val="00845098"/>
    <w:rsid w:val="00845AA8"/>
    <w:rsid w:val="00845DAD"/>
    <w:rsid w:val="00845DAE"/>
    <w:rsid w:val="00846331"/>
    <w:rsid w:val="00846691"/>
    <w:rsid w:val="008466F6"/>
    <w:rsid w:val="00846828"/>
    <w:rsid w:val="008468CE"/>
    <w:rsid w:val="00846B13"/>
    <w:rsid w:val="00846C50"/>
    <w:rsid w:val="008471D7"/>
    <w:rsid w:val="008471DF"/>
    <w:rsid w:val="008472B8"/>
    <w:rsid w:val="008472F7"/>
    <w:rsid w:val="008474BB"/>
    <w:rsid w:val="00847B78"/>
    <w:rsid w:val="008507E9"/>
    <w:rsid w:val="008508D4"/>
    <w:rsid w:val="00850994"/>
    <w:rsid w:val="0085099C"/>
    <w:rsid w:val="00850BD6"/>
    <w:rsid w:val="00850D0F"/>
    <w:rsid w:val="0085124B"/>
    <w:rsid w:val="00851327"/>
    <w:rsid w:val="0085147E"/>
    <w:rsid w:val="0085186B"/>
    <w:rsid w:val="00851A98"/>
    <w:rsid w:val="00851B6C"/>
    <w:rsid w:val="00851D89"/>
    <w:rsid w:val="00851E58"/>
    <w:rsid w:val="008520E6"/>
    <w:rsid w:val="0085242F"/>
    <w:rsid w:val="008526C9"/>
    <w:rsid w:val="008526FD"/>
    <w:rsid w:val="00852720"/>
    <w:rsid w:val="00852885"/>
    <w:rsid w:val="008529A2"/>
    <w:rsid w:val="00852A81"/>
    <w:rsid w:val="008530B2"/>
    <w:rsid w:val="00853181"/>
    <w:rsid w:val="00853553"/>
    <w:rsid w:val="008535B5"/>
    <w:rsid w:val="00853705"/>
    <w:rsid w:val="0085376D"/>
    <w:rsid w:val="0085439B"/>
    <w:rsid w:val="008543B2"/>
    <w:rsid w:val="00854E96"/>
    <w:rsid w:val="00855235"/>
    <w:rsid w:val="008553B6"/>
    <w:rsid w:val="008555DF"/>
    <w:rsid w:val="008555FD"/>
    <w:rsid w:val="00855D68"/>
    <w:rsid w:val="008564A4"/>
    <w:rsid w:val="00856C8D"/>
    <w:rsid w:val="0085707C"/>
    <w:rsid w:val="0085781E"/>
    <w:rsid w:val="0085788E"/>
    <w:rsid w:val="008579B4"/>
    <w:rsid w:val="00857E66"/>
    <w:rsid w:val="00860001"/>
    <w:rsid w:val="0086003E"/>
    <w:rsid w:val="00860062"/>
    <w:rsid w:val="00860716"/>
    <w:rsid w:val="008607E7"/>
    <w:rsid w:val="00860B79"/>
    <w:rsid w:val="0086120A"/>
    <w:rsid w:val="0086126A"/>
    <w:rsid w:val="00861315"/>
    <w:rsid w:val="0086136A"/>
    <w:rsid w:val="0086140A"/>
    <w:rsid w:val="00861694"/>
    <w:rsid w:val="00861749"/>
    <w:rsid w:val="00861B32"/>
    <w:rsid w:val="00861B87"/>
    <w:rsid w:val="008621A9"/>
    <w:rsid w:val="00862FF6"/>
    <w:rsid w:val="00863091"/>
    <w:rsid w:val="008630B4"/>
    <w:rsid w:val="00863225"/>
    <w:rsid w:val="00863293"/>
    <w:rsid w:val="00863610"/>
    <w:rsid w:val="0086413B"/>
    <w:rsid w:val="0086474B"/>
    <w:rsid w:val="00864A11"/>
    <w:rsid w:val="00864CC0"/>
    <w:rsid w:val="00865110"/>
    <w:rsid w:val="00865611"/>
    <w:rsid w:val="008658C8"/>
    <w:rsid w:val="008662F2"/>
    <w:rsid w:val="008668D1"/>
    <w:rsid w:val="00867003"/>
    <w:rsid w:val="008670A4"/>
    <w:rsid w:val="008670C5"/>
    <w:rsid w:val="008671FD"/>
    <w:rsid w:val="008673F1"/>
    <w:rsid w:val="00867456"/>
    <w:rsid w:val="008674E4"/>
    <w:rsid w:val="008677DB"/>
    <w:rsid w:val="00867BB5"/>
    <w:rsid w:val="00867DD4"/>
    <w:rsid w:val="00867F06"/>
    <w:rsid w:val="00870326"/>
    <w:rsid w:val="0087056B"/>
    <w:rsid w:val="00870943"/>
    <w:rsid w:val="00870DE6"/>
    <w:rsid w:val="00870DE9"/>
    <w:rsid w:val="00870F1F"/>
    <w:rsid w:val="0087117F"/>
    <w:rsid w:val="008718B8"/>
    <w:rsid w:val="00871A6C"/>
    <w:rsid w:val="00871A9E"/>
    <w:rsid w:val="008721D7"/>
    <w:rsid w:val="008724CF"/>
    <w:rsid w:val="008724DB"/>
    <w:rsid w:val="00872634"/>
    <w:rsid w:val="00872865"/>
    <w:rsid w:val="00872890"/>
    <w:rsid w:val="00872988"/>
    <w:rsid w:val="00872A6F"/>
    <w:rsid w:val="00872DEA"/>
    <w:rsid w:val="00873195"/>
    <w:rsid w:val="0087320D"/>
    <w:rsid w:val="008737C1"/>
    <w:rsid w:val="00873C7C"/>
    <w:rsid w:val="00873D45"/>
    <w:rsid w:val="00873EFA"/>
    <w:rsid w:val="008743D0"/>
    <w:rsid w:val="0087473F"/>
    <w:rsid w:val="00874FDF"/>
    <w:rsid w:val="008751E2"/>
    <w:rsid w:val="00875459"/>
    <w:rsid w:val="008757ED"/>
    <w:rsid w:val="00875CCB"/>
    <w:rsid w:val="00875F0F"/>
    <w:rsid w:val="0087613A"/>
    <w:rsid w:val="00876543"/>
    <w:rsid w:val="00876562"/>
    <w:rsid w:val="00876BB1"/>
    <w:rsid w:val="00876CC7"/>
    <w:rsid w:val="00876D10"/>
    <w:rsid w:val="00876D57"/>
    <w:rsid w:val="00876D74"/>
    <w:rsid w:val="00876E70"/>
    <w:rsid w:val="0087757D"/>
    <w:rsid w:val="008775F3"/>
    <w:rsid w:val="0087773B"/>
    <w:rsid w:val="008777E1"/>
    <w:rsid w:val="008800AE"/>
    <w:rsid w:val="0088017B"/>
    <w:rsid w:val="00880683"/>
    <w:rsid w:val="008806C5"/>
    <w:rsid w:val="00880925"/>
    <w:rsid w:val="008813DE"/>
    <w:rsid w:val="0088146C"/>
    <w:rsid w:val="008819DB"/>
    <w:rsid w:val="00881A71"/>
    <w:rsid w:val="00881AF4"/>
    <w:rsid w:val="00881C9D"/>
    <w:rsid w:val="008829BC"/>
    <w:rsid w:val="00882D1A"/>
    <w:rsid w:val="008833F3"/>
    <w:rsid w:val="00883755"/>
    <w:rsid w:val="00883B8B"/>
    <w:rsid w:val="00883EBB"/>
    <w:rsid w:val="00883FDA"/>
    <w:rsid w:val="00884178"/>
    <w:rsid w:val="008841E0"/>
    <w:rsid w:val="008842DD"/>
    <w:rsid w:val="008848FB"/>
    <w:rsid w:val="00884AE2"/>
    <w:rsid w:val="00884F75"/>
    <w:rsid w:val="00885434"/>
    <w:rsid w:val="00885B7B"/>
    <w:rsid w:val="00885BB8"/>
    <w:rsid w:val="00885C3C"/>
    <w:rsid w:val="00885C8B"/>
    <w:rsid w:val="00885CC7"/>
    <w:rsid w:val="00886969"/>
    <w:rsid w:val="00886B40"/>
    <w:rsid w:val="00887596"/>
    <w:rsid w:val="008875D4"/>
    <w:rsid w:val="0088778F"/>
    <w:rsid w:val="00887849"/>
    <w:rsid w:val="00887AD8"/>
    <w:rsid w:val="00887EAD"/>
    <w:rsid w:val="00887EFC"/>
    <w:rsid w:val="00887F0D"/>
    <w:rsid w:val="00887FC8"/>
    <w:rsid w:val="00890493"/>
    <w:rsid w:val="00890815"/>
    <w:rsid w:val="00890D43"/>
    <w:rsid w:val="00890E82"/>
    <w:rsid w:val="00891074"/>
    <w:rsid w:val="00891406"/>
    <w:rsid w:val="0089158F"/>
    <w:rsid w:val="008919D0"/>
    <w:rsid w:val="00891D4D"/>
    <w:rsid w:val="00891EC9"/>
    <w:rsid w:val="0089290E"/>
    <w:rsid w:val="00892956"/>
    <w:rsid w:val="00892B59"/>
    <w:rsid w:val="00892E37"/>
    <w:rsid w:val="00892FB3"/>
    <w:rsid w:val="008932A2"/>
    <w:rsid w:val="0089366F"/>
    <w:rsid w:val="00893D7A"/>
    <w:rsid w:val="00893F40"/>
    <w:rsid w:val="008941EA"/>
    <w:rsid w:val="008942B7"/>
    <w:rsid w:val="008944A4"/>
    <w:rsid w:val="008946E3"/>
    <w:rsid w:val="00894737"/>
    <w:rsid w:val="00894A4A"/>
    <w:rsid w:val="008951B1"/>
    <w:rsid w:val="00895461"/>
    <w:rsid w:val="00895634"/>
    <w:rsid w:val="00895668"/>
    <w:rsid w:val="00895676"/>
    <w:rsid w:val="00895766"/>
    <w:rsid w:val="00895BCA"/>
    <w:rsid w:val="00896035"/>
    <w:rsid w:val="008960D4"/>
    <w:rsid w:val="008960D9"/>
    <w:rsid w:val="0089630A"/>
    <w:rsid w:val="00896320"/>
    <w:rsid w:val="008964A9"/>
    <w:rsid w:val="00896D13"/>
    <w:rsid w:val="00896FDB"/>
    <w:rsid w:val="00897209"/>
    <w:rsid w:val="0089742A"/>
    <w:rsid w:val="0089743A"/>
    <w:rsid w:val="008976D8"/>
    <w:rsid w:val="008976E7"/>
    <w:rsid w:val="00897793"/>
    <w:rsid w:val="00897A72"/>
    <w:rsid w:val="00897BA2"/>
    <w:rsid w:val="00897BFD"/>
    <w:rsid w:val="00897E54"/>
    <w:rsid w:val="008A0316"/>
    <w:rsid w:val="008A04F9"/>
    <w:rsid w:val="008A0C0D"/>
    <w:rsid w:val="008A0C43"/>
    <w:rsid w:val="008A0D65"/>
    <w:rsid w:val="008A0FC1"/>
    <w:rsid w:val="008A1036"/>
    <w:rsid w:val="008A127B"/>
    <w:rsid w:val="008A162A"/>
    <w:rsid w:val="008A1632"/>
    <w:rsid w:val="008A1684"/>
    <w:rsid w:val="008A19D0"/>
    <w:rsid w:val="008A1D1F"/>
    <w:rsid w:val="008A1E6E"/>
    <w:rsid w:val="008A2423"/>
    <w:rsid w:val="008A258E"/>
    <w:rsid w:val="008A266A"/>
    <w:rsid w:val="008A2858"/>
    <w:rsid w:val="008A2D19"/>
    <w:rsid w:val="008A3308"/>
    <w:rsid w:val="008A3615"/>
    <w:rsid w:val="008A3712"/>
    <w:rsid w:val="008A38BD"/>
    <w:rsid w:val="008A3A27"/>
    <w:rsid w:val="008A3C97"/>
    <w:rsid w:val="008A3EA7"/>
    <w:rsid w:val="008A3FB3"/>
    <w:rsid w:val="008A45CB"/>
    <w:rsid w:val="008A49E1"/>
    <w:rsid w:val="008A4B73"/>
    <w:rsid w:val="008A4FFD"/>
    <w:rsid w:val="008A5010"/>
    <w:rsid w:val="008A50A0"/>
    <w:rsid w:val="008A5108"/>
    <w:rsid w:val="008A5389"/>
    <w:rsid w:val="008A53E3"/>
    <w:rsid w:val="008A5AEC"/>
    <w:rsid w:val="008A60C1"/>
    <w:rsid w:val="008A613C"/>
    <w:rsid w:val="008A61EB"/>
    <w:rsid w:val="008A6330"/>
    <w:rsid w:val="008A640C"/>
    <w:rsid w:val="008A6D1B"/>
    <w:rsid w:val="008A6D36"/>
    <w:rsid w:val="008A6E75"/>
    <w:rsid w:val="008A6F83"/>
    <w:rsid w:val="008A75E3"/>
    <w:rsid w:val="008A7B26"/>
    <w:rsid w:val="008A7BCF"/>
    <w:rsid w:val="008A7D19"/>
    <w:rsid w:val="008A7DA9"/>
    <w:rsid w:val="008A7F10"/>
    <w:rsid w:val="008B023E"/>
    <w:rsid w:val="008B05C3"/>
    <w:rsid w:val="008B09AE"/>
    <w:rsid w:val="008B09FC"/>
    <w:rsid w:val="008B0AC4"/>
    <w:rsid w:val="008B0E97"/>
    <w:rsid w:val="008B1033"/>
    <w:rsid w:val="008B14AC"/>
    <w:rsid w:val="008B14FB"/>
    <w:rsid w:val="008B1612"/>
    <w:rsid w:val="008B16FD"/>
    <w:rsid w:val="008B19B7"/>
    <w:rsid w:val="008B1B4D"/>
    <w:rsid w:val="008B2076"/>
    <w:rsid w:val="008B2252"/>
    <w:rsid w:val="008B2549"/>
    <w:rsid w:val="008B259B"/>
    <w:rsid w:val="008B2D64"/>
    <w:rsid w:val="008B2EEC"/>
    <w:rsid w:val="008B2F38"/>
    <w:rsid w:val="008B2FD8"/>
    <w:rsid w:val="008B3080"/>
    <w:rsid w:val="008B310F"/>
    <w:rsid w:val="008B31C5"/>
    <w:rsid w:val="008B322F"/>
    <w:rsid w:val="008B39CB"/>
    <w:rsid w:val="008B3B0F"/>
    <w:rsid w:val="008B3D21"/>
    <w:rsid w:val="008B3FF4"/>
    <w:rsid w:val="008B42F1"/>
    <w:rsid w:val="008B461F"/>
    <w:rsid w:val="008B4650"/>
    <w:rsid w:val="008B4965"/>
    <w:rsid w:val="008B4EF5"/>
    <w:rsid w:val="008B5F5D"/>
    <w:rsid w:val="008B606D"/>
    <w:rsid w:val="008B6514"/>
    <w:rsid w:val="008B6946"/>
    <w:rsid w:val="008B6AC7"/>
    <w:rsid w:val="008B6AEB"/>
    <w:rsid w:val="008B6BFA"/>
    <w:rsid w:val="008B74BD"/>
    <w:rsid w:val="008B78B1"/>
    <w:rsid w:val="008B78C4"/>
    <w:rsid w:val="008B791B"/>
    <w:rsid w:val="008B79EF"/>
    <w:rsid w:val="008B7A2D"/>
    <w:rsid w:val="008C0811"/>
    <w:rsid w:val="008C0899"/>
    <w:rsid w:val="008C09E0"/>
    <w:rsid w:val="008C0AE3"/>
    <w:rsid w:val="008C0D10"/>
    <w:rsid w:val="008C1025"/>
    <w:rsid w:val="008C1134"/>
    <w:rsid w:val="008C13A2"/>
    <w:rsid w:val="008C15B3"/>
    <w:rsid w:val="008C1762"/>
    <w:rsid w:val="008C17B4"/>
    <w:rsid w:val="008C1978"/>
    <w:rsid w:val="008C1B29"/>
    <w:rsid w:val="008C1CCF"/>
    <w:rsid w:val="008C1CDF"/>
    <w:rsid w:val="008C295A"/>
    <w:rsid w:val="008C2EE2"/>
    <w:rsid w:val="008C304E"/>
    <w:rsid w:val="008C305A"/>
    <w:rsid w:val="008C322A"/>
    <w:rsid w:val="008C323B"/>
    <w:rsid w:val="008C352E"/>
    <w:rsid w:val="008C386B"/>
    <w:rsid w:val="008C3CDB"/>
    <w:rsid w:val="008C3D71"/>
    <w:rsid w:val="008C44D7"/>
    <w:rsid w:val="008C4828"/>
    <w:rsid w:val="008C4A56"/>
    <w:rsid w:val="008C4A76"/>
    <w:rsid w:val="008C4B21"/>
    <w:rsid w:val="008C4DC6"/>
    <w:rsid w:val="008C4FBA"/>
    <w:rsid w:val="008C550E"/>
    <w:rsid w:val="008C5677"/>
    <w:rsid w:val="008C5B57"/>
    <w:rsid w:val="008C6379"/>
    <w:rsid w:val="008C6428"/>
    <w:rsid w:val="008C6C9F"/>
    <w:rsid w:val="008C7112"/>
    <w:rsid w:val="008C72E2"/>
    <w:rsid w:val="008C7396"/>
    <w:rsid w:val="008C7671"/>
    <w:rsid w:val="008C76E1"/>
    <w:rsid w:val="008C7AB1"/>
    <w:rsid w:val="008C7F37"/>
    <w:rsid w:val="008D02A3"/>
    <w:rsid w:val="008D04E7"/>
    <w:rsid w:val="008D06B2"/>
    <w:rsid w:val="008D081F"/>
    <w:rsid w:val="008D0823"/>
    <w:rsid w:val="008D139C"/>
    <w:rsid w:val="008D170A"/>
    <w:rsid w:val="008D1817"/>
    <w:rsid w:val="008D197C"/>
    <w:rsid w:val="008D19FD"/>
    <w:rsid w:val="008D1ABD"/>
    <w:rsid w:val="008D2206"/>
    <w:rsid w:val="008D2253"/>
    <w:rsid w:val="008D2710"/>
    <w:rsid w:val="008D2A2E"/>
    <w:rsid w:val="008D2FC3"/>
    <w:rsid w:val="008D34BA"/>
    <w:rsid w:val="008D369F"/>
    <w:rsid w:val="008D383F"/>
    <w:rsid w:val="008D3A0D"/>
    <w:rsid w:val="008D3CE5"/>
    <w:rsid w:val="008D3D88"/>
    <w:rsid w:val="008D3E19"/>
    <w:rsid w:val="008D3FDC"/>
    <w:rsid w:val="008D417E"/>
    <w:rsid w:val="008D455F"/>
    <w:rsid w:val="008D463E"/>
    <w:rsid w:val="008D4FFE"/>
    <w:rsid w:val="008D505F"/>
    <w:rsid w:val="008D534F"/>
    <w:rsid w:val="008D546A"/>
    <w:rsid w:val="008D54E6"/>
    <w:rsid w:val="008D5B1E"/>
    <w:rsid w:val="008D5C27"/>
    <w:rsid w:val="008D5FAA"/>
    <w:rsid w:val="008D693F"/>
    <w:rsid w:val="008D6B57"/>
    <w:rsid w:val="008D7D76"/>
    <w:rsid w:val="008E05F1"/>
    <w:rsid w:val="008E07A0"/>
    <w:rsid w:val="008E0958"/>
    <w:rsid w:val="008E0A12"/>
    <w:rsid w:val="008E0B80"/>
    <w:rsid w:val="008E0BE1"/>
    <w:rsid w:val="008E0CAF"/>
    <w:rsid w:val="008E0CCD"/>
    <w:rsid w:val="008E0D6B"/>
    <w:rsid w:val="008E0FE5"/>
    <w:rsid w:val="008E14AD"/>
    <w:rsid w:val="008E190D"/>
    <w:rsid w:val="008E19F6"/>
    <w:rsid w:val="008E25D6"/>
    <w:rsid w:val="008E2CDC"/>
    <w:rsid w:val="008E2F83"/>
    <w:rsid w:val="008E32A4"/>
    <w:rsid w:val="008E3307"/>
    <w:rsid w:val="008E3728"/>
    <w:rsid w:val="008E38E9"/>
    <w:rsid w:val="008E3C91"/>
    <w:rsid w:val="008E42EE"/>
    <w:rsid w:val="008E4596"/>
    <w:rsid w:val="008E4922"/>
    <w:rsid w:val="008E4CBE"/>
    <w:rsid w:val="008E4FAB"/>
    <w:rsid w:val="008E5134"/>
    <w:rsid w:val="008E5583"/>
    <w:rsid w:val="008E5654"/>
    <w:rsid w:val="008E5E03"/>
    <w:rsid w:val="008E6088"/>
    <w:rsid w:val="008E60AB"/>
    <w:rsid w:val="008E6101"/>
    <w:rsid w:val="008E61A2"/>
    <w:rsid w:val="008E625B"/>
    <w:rsid w:val="008E6265"/>
    <w:rsid w:val="008E64E2"/>
    <w:rsid w:val="008E66AD"/>
    <w:rsid w:val="008E6AD6"/>
    <w:rsid w:val="008E6BCC"/>
    <w:rsid w:val="008E6F4D"/>
    <w:rsid w:val="008E6F6D"/>
    <w:rsid w:val="008E709A"/>
    <w:rsid w:val="008E71DD"/>
    <w:rsid w:val="008E72A2"/>
    <w:rsid w:val="008E7A27"/>
    <w:rsid w:val="008E7BD4"/>
    <w:rsid w:val="008F0024"/>
    <w:rsid w:val="008F051F"/>
    <w:rsid w:val="008F0A0E"/>
    <w:rsid w:val="008F0A95"/>
    <w:rsid w:val="008F17D6"/>
    <w:rsid w:val="008F1AE7"/>
    <w:rsid w:val="008F1EB1"/>
    <w:rsid w:val="008F1F7A"/>
    <w:rsid w:val="008F2481"/>
    <w:rsid w:val="008F282D"/>
    <w:rsid w:val="008F2F94"/>
    <w:rsid w:val="008F326A"/>
    <w:rsid w:val="008F3437"/>
    <w:rsid w:val="008F3542"/>
    <w:rsid w:val="008F3983"/>
    <w:rsid w:val="008F3AF9"/>
    <w:rsid w:val="008F3CA4"/>
    <w:rsid w:val="008F3D19"/>
    <w:rsid w:val="008F3DD8"/>
    <w:rsid w:val="008F3E71"/>
    <w:rsid w:val="008F4658"/>
    <w:rsid w:val="008F48FA"/>
    <w:rsid w:val="008F498C"/>
    <w:rsid w:val="008F4CF4"/>
    <w:rsid w:val="008F51B5"/>
    <w:rsid w:val="008F567D"/>
    <w:rsid w:val="008F56C0"/>
    <w:rsid w:val="008F5DD0"/>
    <w:rsid w:val="008F5F15"/>
    <w:rsid w:val="008F5F53"/>
    <w:rsid w:val="008F5FCE"/>
    <w:rsid w:val="008F662B"/>
    <w:rsid w:val="008F6884"/>
    <w:rsid w:val="008F6890"/>
    <w:rsid w:val="008F6C14"/>
    <w:rsid w:val="008F6CDC"/>
    <w:rsid w:val="008F6F1A"/>
    <w:rsid w:val="008F72BA"/>
    <w:rsid w:val="008F7897"/>
    <w:rsid w:val="008F7B12"/>
    <w:rsid w:val="008F7DFC"/>
    <w:rsid w:val="008F7F25"/>
    <w:rsid w:val="009003D6"/>
    <w:rsid w:val="00900799"/>
    <w:rsid w:val="009009C0"/>
    <w:rsid w:val="00900E96"/>
    <w:rsid w:val="00901134"/>
    <w:rsid w:val="0090137A"/>
    <w:rsid w:val="00902497"/>
    <w:rsid w:val="0090256A"/>
    <w:rsid w:val="00902A22"/>
    <w:rsid w:val="00902B19"/>
    <w:rsid w:val="00902CC8"/>
    <w:rsid w:val="00902E6C"/>
    <w:rsid w:val="00903259"/>
    <w:rsid w:val="00903370"/>
    <w:rsid w:val="009037C5"/>
    <w:rsid w:val="0090393E"/>
    <w:rsid w:val="00903965"/>
    <w:rsid w:val="00903A8A"/>
    <w:rsid w:val="00903AA2"/>
    <w:rsid w:val="00903C10"/>
    <w:rsid w:val="00903CD6"/>
    <w:rsid w:val="00903FB9"/>
    <w:rsid w:val="00903FF7"/>
    <w:rsid w:val="009050C4"/>
    <w:rsid w:val="00905193"/>
    <w:rsid w:val="00905A98"/>
    <w:rsid w:val="009069A9"/>
    <w:rsid w:val="00906B15"/>
    <w:rsid w:val="00906DAA"/>
    <w:rsid w:val="00906E1D"/>
    <w:rsid w:val="009073AF"/>
    <w:rsid w:val="009075C9"/>
    <w:rsid w:val="00907652"/>
    <w:rsid w:val="0090779F"/>
    <w:rsid w:val="00907A3A"/>
    <w:rsid w:val="00907A95"/>
    <w:rsid w:val="00907D27"/>
    <w:rsid w:val="00907E09"/>
    <w:rsid w:val="009103F4"/>
    <w:rsid w:val="0091047D"/>
    <w:rsid w:val="0091053B"/>
    <w:rsid w:val="0091090A"/>
    <w:rsid w:val="00910C4A"/>
    <w:rsid w:val="00910EAC"/>
    <w:rsid w:val="009112D1"/>
    <w:rsid w:val="00911D41"/>
    <w:rsid w:val="00912180"/>
    <w:rsid w:val="0091251C"/>
    <w:rsid w:val="00912994"/>
    <w:rsid w:val="00912A6B"/>
    <w:rsid w:val="00912BA5"/>
    <w:rsid w:val="00912D02"/>
    <w:rsid w:val="00912DAB"/>
    <w:rsid w:val="00912E99"/>
    <w:rsid w:val="00912EEF"/>
    <w:rsid w:val="00913329"/>
    <w:rsid w:val="0091349A"/>
    <w:rsid w:val="009137E9"/>
    <w:rsid w:val="0091397D"/>
    <w:rsid w:val="00913D06"/>
    <w:rsid w:val="00913E34"/>
    <w:rsid w:val="00913E68"/>
    <w:rsid w:val="009140A4"/>
    <w:rsid w:val="00914399"/>
    <w:rsid w:val="00914418"/>
    <w:rsid w:val="009146B8"/>
    <w:rsid w:val="00914ACD"/>
    <w:rsid w:val="00914ADE"/>
    <w:rsid w:val="0091530C"/>
    <w:rsid w:val="00915642"/>
    <w:rsid w:val="009158BF"/>
    <w:rsid w:val="009160BE"/>
    <w:rsid w:val="00916399"/>
    <w:rsid w:val="009163D3"/>
    <w:rsid w:val="00916508"/>
    <w:rsid w:val="0091651C"/>
    <w:rsid w:val="0091666F"/>
    <w:rsid w:val="009168AC"/>
    <w:rsid w:val="00916B04"/>
    <w:rsid w:val="0091711B"/>
    <w:rsid w:val="0091755B"/>
    <w:rsid w:val="00917A03"/>
    <w:rsid w:val="00917B52"/>
    <w:rsid w:val="009201E7"/>
    <w:rsid w:val="00920298"/>
    <w:rsid w:val="00920715"/>
    <w:rsid w:val="00920A71"/>
    <w:rsid w:val="00920B10"/>
    <w:rsid w:val="00920C5C"/>
    <w:rsid w:val="009210F9"/>
    <w:rsid w:val="00921137"/>
    <w:rsid w:val="009216BE"/>
    <w:rsid w:val="00921816"/>
    <w:rsid w:val="00921E56"/>
    <w:rsid w:val="00922105"/>
    <w:rsid w:val="00922185"/>
    <w:rsid w:val="009223F2"/>
    <w:rsid w:val="00922428"/>
    <w:rsid w:val="00922531"/>
    <w:rsid w:val="009228CE"/>
    <w:rsid w:val="00922A5F"/>
    <w:rsid w:val="0092327D"/>
    <w:rsid w:val="009233A3"/>
    <w:rsid w:val="0092340A"/>
    <w:rsid w:val="009234EC"/>
    <w:rsid w:val="00923AAB"/>
    <w:rsid w:val="00923BD3"/>
    <w:rsid w:val="00923F92"/>
    <w:rsid w:val="00924578"/>
    <w:rsid w:val="009245EC"/>
    <w:rsid w:val="00924682"/>
    <w:rsid w:val="0092475A"/>
    <w:rsid w:val="00925089"/>
    <w:rsid w:val="0092543E"/>
    <w:rsid w:val="009254AF"/>
    <w:rsid w:val="0092579F"/>
    <w:rsid w:val="00925F4F"/>
    <w:rsid w:val="0092635C"/>
    <w:rsid w:val="0092671E"/>
    <w:rsid w:val="00926924"/>
    <w:rsid w:val="00926D23"/>
    <w:rsid w:val="00926F97"/>
    <w:rsid w:val="00927035"/>
    <w:rsid w:val="009271A4"/>
    <w:rsid w:val="009271D0"/>
    <w:rsid w:val="009276E3"/>
    <w:rsid w:val="009301FD"/>
    <w:rsid w:val="00930340"/>
    <w:rsid w:val="0093037D"/>
    <w:rsid w:val="009303C6"/>
    <w:rsid w:val="009303D8"/>
    <w:rsid w:val="009308CF"/>
    <w:rsid w:val="00930982"/>
    <w:rsid w:val="00930A0B"/>
    <w:rsid w:val="00930D4F"/>
    <w:rsid w:val="00930E00"/>
    <w:rsid w:val="00930E41"/>
    <w:rsid w:val="00931A76"/>
    <w:rsid w:val="00931DA0"/>
    <w:rsid w:val="00931DA5"/>
    <w:rsid w:val="00931DDE"/>
    <w:rsid w:val="00932224"/>
    <w:rsid w:val="00932688"/>
    <w:rsid w:val="0093290F"/>
    <w:rsid w:val="00932A99"/>
    <w:rsid w:val="00932CAC"/>
    <w:rsid w:val="00932F57"/>
    <w:rsid w:val="009331C8"/>
    <w:rsid w:val="00933270"/>
    <w:rsid w:val="009332A9"/>
    <w:rsid w:val="00933571"/>
    <w:rsid w:val="009335D6"/>
    <w:rsid w:val="00933907"/>
    <w:rsid w:val="00933975"/>
    <w:rsid w:val="00933BFF"/>
    <w:rsid w:val="00933E08"/>
    <w:rsid w:val="00933EBA"/>
    <w:rsid w:val="00933F9C"/>
    <w:rsid w:val="009342FC"/>
    <w:rsid w:val="00934488"/>
    <w:rsid w:val="009344D6"/>
    <w:rsid w:val="00934586"/>
    <w:rsid w:val="00934615"/>
    <w:rsid w:val="00934C79"/>
    <w:rsid w:val="009353FD"/>
    <w:rsid w:val="0093547C"/>
    <w:rsid w:val="009356F4"/>
    <w:rsid w:val="00935848"/>
    <w:rsid w:val="00936068"/>
    <w:rsid w:val="009364AC"/>
    <w:rsid w:val="009364E0"/>
    <w:rsid w:val="0093650E"/>
    <w:rsid w:val="00936665"/>
    <w:rsid w:val="009370D2"/>
    <w:rsid w:val="00937734"/>
    <w:rsid w:val="00937E21"/>
    <w:rsid w:val="00937E32"/>
    <w:rsid w:val="0094033A"/>
    <w:rsid w:val="009407B5"/>
    <w:rsid w:val="00940900"/>
    <w:rsid w:val="00940A4A"/>
    <w:rsid w:val="00940B82"/>
    <w:rsid w:val="0094128F"/>
    <w:rsid w:val="0094131F"/>
    <w:rsid w:val="00941551"/>
    <w:rsid w:val="009419F2"/>
    <w:rsid w:val="00941C22"/>
    <w:rsid w:val="00941E09"/>
    <w:rsid w:val="0094200E"/>
    <w:rsid w:val="009421F7"/>
    <w:rsid w:val="00942286"/>
    <w:rsid w:val="009422A9"/>
    <w:rsid w:val="00942386"/>
    <w:rsid w:val="009423C4"/>
    <w:rsid w:val="00942597"/>
    <w:rsid w:val="00942CC2"/>
    <w:rsid w:val="00942ED8"/>
    <w:rsid w:val="00942EDD"/>
    <w:rsid w:val="00942F25"/>
    <w:rsid w:val="00942F27"/>
    <w:rsid w:val="00943041"/>
    <w:rsid w:val="0094318A"/>
    <w:rsid w:val="00943303"/>
    <w:rsid w:val="009436CA"/>
    <w:rsid w:val="00943806"/>
    <w:rsid w:val="00943BBD"/>
    <w:rsid w:val="00943BE0"/>
    <w:rsid w:val="00943CDC"/>
    <w:rsid w:val="00943E14"/>
    <w:rsid w:val="00944377"/>
    <w:rsid w:val="00944556"/>
    <w:rsid w:val="00944821"/>
    <w:rsid w:val="0094482F"/>
    <w:rsid w:val="00944939"/>
    <w:rsid w:val="009449E8"/>
    <w:rsid w:val="00944D0B"/>
    <w:rsid w:val="00944DCF"/>
    <w:rsid w:val="00944EB8"/>
    <w:rsid w:val="00945155"/>
    <w:rsid w:val="009458E6"/>
    <w:rsid w:val="0094617A"/>
    <w:rsid w:val="00946351"/>
    <w:rsid w:val="00946531"/>
    <w:rsid w:val="00946608"/>
    <w:rsid w:val="009468E3"/>
    <w:rsid w:val="009469B1"/>
    <w:rsid w:val="00946F18"/>
    <w:rsid w:val="00946F49"/>
    <w:rsid w:val="009470C9"/>
    <w:rsid w:val="00947994"/>
    <w:rsid w:val="00947B64"/>
    <w:rsid w:val="00947C46"/>
    <w:rsid w:val="00947DA7"/>
    <w:rsid w:val="009500E8"/>
    <w:rsid w:val="009501A3"/>
    <w:rsid w:val="009501DB"/>
    <w:rsid w:val="009505F9"/>
    <w:rsid w:val="00950795"/>
    <w:rsid w:val="00950835"/>
    <w:rsid w:val="00950902"/>
    <w:rsid w:val="00950E37"/>
    <w:rsid w:val="00950F04"/>
    <w:rsid w:val="00951068"/>
    <w:rsid w:val="009517CC"/>
    <w:rsid w:val="009518C4"/>
    <w:rsid w:val="00951B08"/>
    <w:rsid w:val="009524EF"/>
    <w:rsid w:val="00952A0F"/>
    <w:rsid w:val="00952B1E"/>
    <w:rsid w:val="00952BEF"/>
    <w:rsid w:val="00952F4A"/>
    <w:rsid w:val="009531DE"/>
    <w:rsid w:val="00953393"/>
    <w:rsid w:val="009539E0"/>
    <w:rsid w:val="009544A4"/>
    <w:rsid w:val="0095489C"/>
    <w:rsid w:val="0095495E"/>
    <w:rsid w:val="00954B60"/>
    <w:rsid w:val="00954BEF"/>
    <w:rsid w:val="00954CC2"/>
    <w:rsid w:val="00954F63"/>
    <w:rsid w:val="00955368"/>
    <w:rsid w:val="00955463"/>
    <w:rsid w:val="0095550B"/>
    <w:rsid w:val="00955A82"/>
    <w:rsid w:val="00955D8C"/>
    <w:rsid w:val="00955E33"/>
    <w:rsid w:val="009562E3"/>
    <w:rsid w:val="00956332"/>
    <w:rsid w:val="00956341"/>
    <w:rsid w:val="009564AE"/>
    <w:rsid w:val="0095678D"/>
    <w:rsid w:val="00956801"/>
    <w:rsid w:val="00956A00"/>
    <w:rsid w:val="00956A96"/>
    <w:rsid w:val="00956CC0"/>
    <w:rsid w:val="00956CFB"/>
    <w:rsid w:val="009570B7"/>
    <w:rsid w:val="00957ABB"/>
    <w:rsid w:val="009601C1"/>
    <w:rsid w:val="00960A9C"/>
    <w:rsid w:val="00960BB9"/>
    <w:rsid w:val="00960F5B"/>
    <w:rsid w:val="009610A9"/>
    <w:rsid w:val="0096129F"/>
    <w:rsid w:val="009615D4"/>
    <w:rsid w:val="00961C5A"/>
    <w:rsid w:val="00961CB6"/>
    <w:rsid w:val="00961F48"/>
    <w:rsid w:val="009620AB"/>
    <w:rsid w:val="009620F4"/>
    <w:rsid w:val="00962318"/>
    <w:rsid w:val="00962418"/>
    <w:rsid w:val="00962905"/>
    <w:rsid w:val="00962A51"/>
    <w:rsid w:val="00962B47"/>
    <w:rsid w:val="00963127"/>
    <w:rsid w:val="00963C12"/>
    <w:rsid w:val="00963FAE"/>
    <w:rsid w:val="0096441D"/>
    <w:rsid w:val="00964C6F"/>
    <w:rsid w:val="009650AB"/>
    <w:rsid w:val="0096527F"/>
    <w:rsid w:val="009655D1"/>
    <w:rsid w:val="0096560A"/>
    <w:rsid w:val="00965F2E"/>
    <w:rsid w:val="0096635A"/>
    <w:rsid w:val="00966A16"/>
    <w:rsid w:val="00967269"/>
    <w:rsid w:val="009676F7"/>
    <w:rsid w:val="00967C36"/>
    <w:rsid w:val="00967D40"/>
    <w:rsid w:val="00970191"/>
    <w:rsid w:val="009701B3"/>
    <w:rsid w:val="00970381"/>
    <w:rsid w:val="009703BB"/>
    <w:rsid w:val="0097089E"/>
    <w:rsid w:val="00970A20"/>
    <w:rsid w:val="00970F23"/>
    <w:rsid w:val="009710A3"/>
    <w:rsid w:val="00971620"/>
    <w:rsid w:val="0097163D"/>
    <w:rsid w:val="00971F22"/>
    <w:rsid w:val="00971FCA"/>
    <w:rsid w:val="009721F8"/>
    <w:rsid w:val="009722A7"/>
    <w:rsid w:val="00972656"/>
    <w:rsid w:val="009727B4"/>
    <w:rsid w:val="009727C2"/>
    <w:rsid w:val="009728F9"/>
    <w:rsid w:val="00972D31"/>
    <w:rsid w:val="0097324C"/>
    <w:rsid w:val="009734CD"/>
    <w:rsid w:val="0097378B"/>
    <w:rsid w:val="00973E9B"/>
    <w:rsid w:val="00974677"/>
    <w:rsid w:val="00974A2A"/>
    <w:rsid w:val="0097517F"/>
    <w:rsid w:val="0097519A"/>
    <w:rsid w:val="00975402"/>
    <w:rsid w:val="00975569"/>
    <w:rsid w:val="00975686"/>
    <w:rsid w:val="009756A7"/>
    <w:rsid w:val="00975B5D"/>
    <w:rsid w:val="00975E75"/>
    <w:rsid w:val="00975F10"/>
    <w:rsid w:val="00976023"/>
    <w:rsid w:val="00976120"/>
    <w:rsid w:val="00976221"/>
    <w:rsid w:val="0097629C"/>
    <w:rsid w:val="0097632D"/>
    <w:rsid w:val="00976458"/>
    <w:rsid w:val="00976675"/>
    <w:rsid w:val="009768D6"/>
    <w:rsid w:val="00976A4B"/>
    <w:rsid w:val="00976A5D"/>
    <w:rsid w:val="00976B2B"/>
    <w:rsid w:val="00976C72"/>
    <w:rsid w:val="009773F8"/>
    <w:rsid w:val="009774AB"/>
    <w:rsid w:val="009774FD"/>
    <w:rsid w:val="00977A3B"/>
    <w:rsid w:val="00977AB6"/>
    <w:rsid w:val="00977DAD"/>
    <w:rsid w:val="00980076"/>
    <w:rsid w:val="009802E6"/>
    <w:rsid w:val="00980461"/>
    <w:rsid w:val="009808AF"/>
    <w:rsid w:val="00980A54"/>
    <w:rsid w:val="00980A8C"/>
    <w:rsid w:val="00981002"/>
    <w:rsid w:val="0098105A"/>
    <w:rsid w:val="00981296"/>
    <w:rsid w:val="00981C77"/>
    <w:rsid w:val="00981D76"/>
    <w:rsid w:val="00981FB4"/>
    <w:rsid w:val="00982269"/>
    <w:rsid w:val="00982358"/>
    <w:rsid w:val="00982AEA"/>
    <w:rsid w:val="00982C7D"/>
    <w:rsid w:val="00983239"/>
    <w:rsid w:val="0098338A"/>
    <w:rsid w:val="0098352A"/>
    <w:rsid w:val="0098385A"/>
    <w:rsid w:val="00983912"/>
    <w:rsid w:val="0098391B"/>
    <w:rsid w:val="009839F4"/>
    <w:rsid w:val="00983E21"/>
    <w:rsid w:val="009846AB"/>
    <w:rsid w:val="009847B4"/>
    <w:rsid w:val="0098491E"/>
    <w:rsid w:val="00984A80"/>
    <w:rsid w:val="00984BBD"/>
    <w:rsid w:val="00984D9C"/>
    <w:rsid w:val="00985124"/>
    <w:rsid w:val="0098528D"/>
    <w:rsid w:val="009856FA"/>
    <w:rsid w:val="00985953"/>
    <w:rsid w:val="00985CE3"/>
    <w:rsid w:val="00985F31"/>
    <w:rsid w:val="0098604A"/>
    <w:rsid w:val="009860B0"/>
    <w:rsid w:val="0098616A"/>
    <w:rsid w:val="009864AF"/>
    <w:rsid w:val="00987548"/>
    <w:rsid w:val="00987711"/>
    <w:rsid w:val="009901F4"/>
    <w:rsid w:val="00990711"/>
    <w:rsid w:val="00990DF6"/>
    <w:rsid w:val="00991032"/>
    <w:rsid w:val="00991116"/>
    <w:rsid w:val="009914D6"/>
    <w:rsid w:val="00991544"/>
    <w:rsid w:val="00991960"/>
    <w:rsid w:val="00992541"/>
    <w:rsid w:val="00992567"/>
    <w:rsid w:val="00992AF9"/>
    <w:rsid w:val="00992E6F"/>
    <w:rsid w:val="0099308D"/>
    <w:rsid w:val="009930B8"/>
    <w:rsid w:val="009933E8"/>
    <w:rsid w:val="0099346D"/>
    <w:rsid w:val="00993C0B"/>
    <w:rsid w:val="0099406C"/>
    <w:rsid w:val="00994174"/>
    <w:rsid w:val="0099430C"/>
    <w:rsid w:val="00994B5D"/>
    <w:rsid w:val="009950FF"/>
    <w:rsid w:val="00995582"/>
    <w:rsid w:val="00995600"/>
    <w:rsid w:val="009958F4"/>
    <w:rsid w:val="00995C2D"/>
    <w:rsid w:val="00995D40"/>
    <w:rsid w:val="009960AB"/>
    <w:rsid w:val="00996435"/>
    <w:rsid w:val="009964E2"/>
    <w:rsid w:val="009969C3"/>
    <w:rsid w:val="00996E49"/>
    <w:rsid w:val="00997545"/>
    <w:rsid w:val="009978BE"/>
    <w:rsid w:val="00997AFB"/>
    <w:rsid w:val="00997B57"/>
    <w:rsid w:val="00997BB8"/>
    <w:rsid w:val="00997F3F"/>
    <w:rsid w:val="009A04B4"/>
    <w:rsid w:val="009A056B"/>
    <w:rsid w:val="009A0C53"/>
    <w:rsid w:val="009A0CAE"/>
    <w:rsid w:val="009A0CF6"/>
    <w:rsid w:val="009A0DD0"/>
    <w:rsid w:val="009A139A"/>
    <w:rsid w:val="009A16E7"/>
    <w:rsid w:val="009A19BD"/>
    <w:rsid w:val="009A1C1E"/>
    <w:rsid w:val="009A1D22"/>
    <w:rsid w:val="009A23F7"/>
    <w:rsid w:val="009A254F"/>
    <w:rsid w:val="009A2857"/>
    <w:rsid w:val="009A298D"/>
    <w:rsid w:val="009A2B85"/>
    <w:rsid w:val="009A2F17"/>
    <w:rsid w:val="009A2FEF"/>
    <w:rsid w:val="009A33CE"/>
    <w:rsid w:val="009A34C8"/>
    <w:rsid w:val="009A36C4"/>
    <w:rsid w:val="009A3B9B"/>
    <w:rsid w:val="009A3C2B"/>
    <w:rsid w:val="009A3DAB"/>
    <w:rsid w:val="009A3F1F"/>
    <w:rsid w:val="009A425F"/>
    <w:rsid w:val="009A433B"/>
    <w:rsid w:val="009A4863"/>
    <w:rsid w:val="009A49B6"/>
    <w:rsid w:val="009A4B30"/>
    <w:rsid w:val="009A5807"/>
    <w:rsid w:val="009A5AFC"/>
    <w:rsid w:val="009A645B"/>
    <w:rsid w:val="009A6AF4"/>
    <w:rsid w:val="009A6D94"/>
    <w:rsid w:val="009A6D9A"/>
    <w:rsid w:val="009A6EB7"/>
    <w:rsid w:val="009A74A6"/>
    <w:rsid w:val="009A7552"/>
    <w:rsid w:val="009A77B5"/>
    <w:rsid w:val="009A7886"/>
    <w:rsid w:val="009A7C21"/>
    <w:rsid w:val="009A7CD3"/>
    <w:rsid w:val="009B00E6"/>
    <w:rsid w:val="009B0DCD"/>
    <w:rsid w:val="009B1370"/>
    <w:rsid w:val="009B199F"/>
    <w:rsid w:val="009B1BC3"/>
    <w:rsid w:val="009B1CC1"/>
    <w:rsid w:val="009B1CC4"/>
    <w:rsid w:val="009B1E69"/>
    <w:rsid w:val="009B25FD"/>
    <w:rsid w:val="009B2852"/>
    <w:rsid w:val="009B2B4A"/>
    <w:rsid w:val="009B389F"/>
    <w:rsid w:val="009B3B17"/>
    <w:rsid w:val="009B3BDC"/>
    <w:rsid w:val="009B3E18"/>
    <w:rsid w:val="009B3ECC"/>
    <w:rsid w:val="009B4087"/>
    <w:rsid w:val="009B42E6"/>
    <w:rsid w:val="009B4312"/>
    <w:rsid w:val="009B436F"/>
    <w:rsid w:val="009B4426"/>
    <w:rsid w:val="009B46C3"/>
    <w:rsid w:val="009B487D"/>
    <w:rsid w:val="009B4A2A"/>
    <w:rsid w:val="009B4B66"/>
    <w:rsid w:val="009B4B8D"/>
    <w:rsid w:val="009B4C2A"/>
    <w:rsid w:val="009B4D02"/>
    <w:rsid w:val="009B4F9A"/>
    <w:rsid w:val="009B4FD0"/>
    <w:rsid w:val="009B52D5"/>
    <w:rsid w:val="009B5621"/>
    <w:rsid w:val="009B583F"/>
    <w:rsid w:val="009B5849"/>
    <w:rsid w:val="009B5BBE"/>
    <w:rsid w:val="009B5D24"/>
    <w:rsid w:val="009B5D79"/>
    <w:rsid w:val="009B5F68"/>
    <w:rsid w:val="009B64A6"/>
    <w:rsid w:val="009B64BD"/>
    <w:rsid w:val="009B6814"/>
    <w:rsid w:val="009B6852"/>
    <w:rsid w:val="009B6AF2"/>
    <w:rsid w:val="009B6ECE"/>
    <w:rsid w:val="009B7086"/>
    <w:rsid w:val="009B7A4A"/>
    <w:rsid w:val="009B7BFB"/>
    <w:rsid w:val="009B7C05"/>
    <w:rsid w:val="009C040B"/>
    <w:rsid w:val="009C0981"/>
    <w:rsid w:val="009C0997"/>
    <w:rsid w:val="009C0D5E"/>
    <w:rsid w:val="009C0FEA"/>
    <w:rsid w:val="009C1C6B"/>
    <w:rsid w:val="009C201C"/>
    <w:rsid w:val="009C2281"/>
    <w:rsid w:val="009C252C"/>
    <w:rsid w:val="009C29F4"/>
    <w:rsid w:val="009C2A89"/>
    <w:rsid w:val="009C2DFD"/>
    <w:rsid w:val="009C36BA"/>
    <w:rsid w:val="009C3C30"/>
    <w:rsid w:val="009C3CBC"/>
    <w:rsid w:val="009C4843"/>
    <w:rsid w:val="009C4883"/>
    <w:rsid w:val="009C48A4"/>
    <w:rsid w:val="009C4D1F"/>
    <w:rsid w:val="009C5DBB"/>
    <w:rsid w:val="009C5E68"/>
    <w:rsid w:val="009C6075"/>
    <w:rsid w:val="009C66CF"/>
    <w:rsid w:val="009C6727"/>
    <w:rsid w:val="009C6A15"/>
    <w:rsid w:val="009C6A6F"/>
    <w:rsid w:val="009C6F21"/>
    <w:rsid w:val="009C725F"/>
    <w:rsid w:val="009C7894"/>
    <w:rsid w:val="009C7C68"/>
    <w:rsid w:val="009C7F8C"/>
    <w:rsid w:val="009D055C"/>
    <w:rsid w:val="009D0637"/>
    <w:rsid w:val="009D065B"/>
    <w:rsid w:val="009D0922"/>
    <w:rsid w:val="009D09F2"/>
    <w:rsid w:val="009D0FD9"/>
    <w:rsid w:val="009D11F7"/>
    <w:rsid w:val="009D133B"/>
    <w:rsid w:val="009D19AC"/>
    <w:rsid w:val="009D19EF"/>
    <w:rsid w:val="009D1EFD"/>
    <w:rsid w:val="009D22DB"/>
    <w:rsid w:val="009D24F5"/>
    <w:rsid w:val="009D28D5"/>
    <w:rsid w:val="009D328E"/>
    <w:rsid w:val="009D3A6B"/>
    <w:rsid w:val="009D3B15"/>
    <w:rsid w:val="009D3BCE"/>
    <w:rsid w:val="009D3FBC"/>
    <w:rsid w:val="009D40CE"/>
    <w:rsid w:val="009D4201"/>
    <w:rsid w:val="009D4222"/>
    <w:rsid w:val="009D427F"/>
    <w:rsid w:val="009D4335"/>
    <w:rsid w:val="009D43EE"/>
    <w:rsid w:val="009D470D"/>
    <w:rsid w:val="009D4A6C"/>
    <w:rsid w:val="009D5080"/>
    <w:rsid w:val="009D5452"/>
    <w:rsid w:val="009D562B"/>
    <w:rsid w:val="009D5753"/>
    <w:rsid w:val="009D5827"/>
    <w:rsid w:val="009D5A97"/>
    <w:rsid w:val="009D5BAA"/>
    <w:rsid w:val="009D5C7D"/>
    <w:rsid w:val="009D603A"/>
    <w:rsid w:val="009D68DF"/>
    <w:rsid w:val="009D6978"/>
    <w:rsid w:val="009D6C15"/>
    <w:rsid w:val="009D6C65"/>
    <w:rsid w:val="009D7456"/>
    <w:rsid w:val="009D7567"/>
    <w:rsid w:val="009D79B5"/>
    <w:rsid w:val="009D7DC5"/>
    <w:rsid w:val="009D7EAB"/>
    <w:rsid w:val="009D7F9A"/>
    <w:rsid w:val="009D7FBD"/>
    <w:rsid w:val="009E0465"/>
    <w:rsid w:val="009E0792"/>
    <w:rsid w:val="009E0FAE"/>
    <w:rsid w:val="009E11D9"/>
    <w:rsid w:val="009E12D3"/>
    <w:rsid w:val="009E13E2"/>
    <w:rsid w:val="009E150E"/>
    <w:rsid w:val="009E170C"/>
    <w:rsid w:val="009E19A3"/>
    <w:rsid w:val="009E19AA"/>
    <w:rsid w:val="009E1C23"/>
    <w:rsid w:val="009E1E1F"/>
    <w:rsid w:val="009E229C"/>
    <w:rsid w:val="009E297F"/>
    <w:rsid w:val="009E2BF5"/>
    <w:rsid w:val="009E3032"/>
    <w:rsid w:val="009E37C9"/>
    <w:rsid w:val="009E3BE9"/>
    <w:rsid w:val="009E3C40"/>
    <w:rsid w:val="009E3D17"/>
    <w:rsid w:val="009E404E"/>
    <w:rsid w:val="009E40EE"/>
    <w:rsid w:val="009E429D"/>
    <w:rsid w:val="009E46B5"/>
    <w:rsid w:val="009E48F7"/>
    <w:rsid w:val="009E49C7"/>
    <w:rsid w:val="009E4B1C"/>
    <w:rsid w:val="009E4C6F"/>
    <w:rsid w:val="009E4DC0"/>
    <w:rsid w:val="009E5234"/>
    <w:rsid w:val="009E5549"/>
    <w:rsid w:val="009E594B"/>
    <w:rsid w:val="009E5D38"/>
    <w:rsid w:val="009E5DAE"/>
    <w:rsid w:val="009E5F67"/>
    <w:rsid w:val="009E6545"/>
    <w:rsid w:val="009E66B8"/>
    <w:rsid w:val="009E6781"/>
    <w:rsid w:val="009E6ACA"/>
    <w:rsid w:val="009E6B9C"/>
    <w:rsid w:val="009E6CB5"/>
    <w:rsid w:val="009E733D"/>
    <w:rsid w:val="009E7386"/>
    <w:rsid w:val="009E7D23"/>
    <w:rsid w:val="009E7E11"/>
    <w:rsid w:val="009F009A"/>
    <w:rsid w:val="009F0120"/>
    <w:rsid w:val="009F092E"/>
    <w:rsid w:val="009F0C5B"/>
    <w:rsid w:val="009F10A9"/>
    <w:rsid w:val="009F1322"/>
    <w:rsid w:val="009F1325"/>
    <w:rsid w:val="009F166D"/>
    <w:rsid w:val="009F174F"/>
    <w:rsid w:val="009F1830"/>
    <w:rsid w:val="009F192A"/>
    <w:rsid w:val="009F1CDF"/>
    <w:rsid w:val="009F1DCE"/>
    <w:rsid w:val="009F2129"/>
    <w:rsid w:val="009F221F"/>
    <w:rsid w:val="009F2494"/>
    <w:rsid w:val="009F24F8"/>
    <w:rsid w:val="009F2541"/>
    <w:rsid w:val="009F3270"/>
    <w:rsid w:val="009F3468"/>
    <w:rsid w:val="009F3827"/>
    <w:rsid w:val="009F38F9"/>
    <w:rsid w:val="009F3A25"/>
    <w:rsid w:val="009F3D4E"/>
    <w:rsid w:val="009F3D63"/>
    <w:rsid w:val="009F3E12"/>
    <w:rsid w:val="009F412F"/>
    <w:rsid w:val="009F414D"/>
    <w:rsid w:val="009F4441"/>
    <w:rsid w:val="009F5002"/>
    <w:rsid w:val="009F5097"/>
    <w:rsid w:val="009F5335"/>
    <w:rsid w:val="009F57C6"/>
    <w:rsid w:val="009F5890"/>
    <w:rsid w:val="009F5B05"/>
    <w:rsid w:val="009F5BD5"/>
    <w:rsid w:val="009F5DAA"/>
    <w:rsid w:val="009F5E84"/>
    <w:rsid w:val="009F60B2"/>
    <w:rsid w:val="009F610F"/>
    <w:rsid w:val="009F6BBA"/>
    <w:rsid w:val="009F6C90"/>
    <w:rsid w:val="009F6D1B"/>
    <w:rsid w:val="009F6E1F"/>
    <w:rsid w:val="009F7019"/>
    <w:rsid w:val="009F7051"/>
    <w:rsid w:val="009F72E8"/>
    <w:rsid w:val="009F77FA"/>
    <w:rsid w:val="009F7AB4"/>
    <w:rsid w:val="009F7D0B"/>
    <w:rsid w:val="009F7F41"/>
    <w:rsid w:val="00A0006C"/>
    <w:rsid w:val="00A001D1"/>
    <w:rsid w:val="00A00248"/>
    <w:rsid w:val="00A00425"/>
    <w:rsid w:val="00A00ABC"/>
    <w:rsid w:val="00A00F61"/>
    <w:rsid w:val="00A01122"/>
    <w:rsid w:val="00A01398"/>
    <w:rsid w:val="00A015EE"/>
    <w:rsid w:val="00A01BBB"/>
    <w:rsid w:val="00A0220C"/>
    <w:rsid w:val="00A02A9B"/>
    <w:rsid w:val="00A02B45"/>
    <w:rsid w:val="00A02C28"/>
    <w:rsid w:val="00A02CFB"/>
    <w:rsid w:val="00A02DE0"/>
    <w:rsid w:val="00A03044"/>
    <w:rsid w:val="00A03259"/>
    <w:rsid w:val="00A0331E"/>
    <w:rsid w:val="00A0347D"/>
    <w:rsid w:val="00A03533"/>
    <w:rsid w:val="00A03CE0"/>
    <w:rsid w:val="00A0467C"/>
    <w:rsid w:val="00A0480C"/>
    <w:rsid w:val="00A0484F"/>
    <w:rsid w:val="00A04930"/>
    <w:rsid w:val="00A04F75"/>
    <w:rsid w:val="00A0534B"/>
    <w:rsid w:val="00A05816"/>
    <w:rsid w:val="00A058AF"/>
    <w:rsid w:val="00A05D44"/>
    <w:rsid w:val="00A05F3C"/>
    <w:rsid w:val="00A060F0"/>
    <w:rsid w:val="00A064CA"/>
    <w:rsid w:val="00A06525"/>
    <w:rsid w:val="00A0670B"/>
    <w:rsid w:val="00A067CA"/>
    <w:rsid w:val="00A0683F"/>
    <w:rsid w:val="00A06B00"/>
    <w:rsid w:val="00A06C28"/>
    <w:rsid w:val="00A073C4"/>
    <w:rsid w:val="00A0757A"/>
    <w:rsid w:val="00A07626"/>
    <w:rsid w:val="00A07660"/>
    <w:rsid w:val="00A0797A"/>
    <w:rsid w:val="00A079B7"/>
    <w:rsid w:val="00A07A9D"/>
    <w:rsid w:val="00A07B83"/>
    <w:rsid w:val="00A07E4D"/>
    <w:rsid w:val="00A07F3A"/>
    <w:rsid w:val="00A07F56"/>
    <w:rsid w:val="00A1062A"/>
    <w:rsid w:val="00A10973"/>
    <w:rsid w:val="00A10A9F"/>
    <w:rsid w:val="00A10BCE"/>
    <w:rsid w:val="00A10CCD"/>
    <w:rsid w:val="00A10D32"/>
    <w:rsid w:val="00A117BC"/>
    <w:rsid w:val="00A119E0"/>
    <w:rsid w:val="00A11D29"/>
    <w:rsid w:val="00A12851"/>
    <w:rsid w:val="00A128B7"/>
    <w:rsid w:val="00A12CD4"/>
    <w:rsid w:val="00A12EE3"/>
    <w:rsid w:val="00A13219"/>
    <w:rsid w:val="00A1334D"/>
    <w:rsid w:val="00A13664"/>
    <w:rsid w:val="00A13722"/>
    <w:rsid w:val="00A141CD"/>
    <w:rsid w:val="00A145B9"/>
    <w:rsid w:val="00A147A1"/>
    <w:rsid w:val="00A148F3"/>
    <w:rsid w:val="00A1509F"/>
    <w:rsid w:val="00A15C33"/>
    <w:rsid w:val="00A15DBA"/>
    <w:rsid w:val="00A16A19"/>
    <w:rsid w:val="00A16E74"/>
    <w:rsid w:val="00A171E3"/>
    <w:rsid w:val="00A172A0"/>
    <w:rsid w:val="00A177EA"/>
    <w:rsid w:val="00A17A47"/>
    <w:rsid w:val="00A17F05"/>
    <w:rsid w:val="00A20626"/>
    <w:rsid w:val="00A20837"/>
    <w:rsid w:val="00A208BB"/>
    <w:rsid w:val="00A20B40"/>
    <w:rsid w:val="00A20F1E"/>
    <w:rsid w:val="00A20F5E"/>
    <w:rsid w:val="00A2105E"/>
    <w:rsid w:val="00A21220"/>
    <w:rsid w:val="00A21433"/>
    <w:rsid w:val="00A2170C"/>
    <w:rsid w:val="00A219DF"/>
    <w:rsid w:val="00A21AAB"/>
    <w:rsid w:val="00A21AF4"/>
    <w:rsid w:val="00A21F3C"/>
    <w:rsid w:val="00A22198"/>
    <w:rsid w:val="00A22204"/>
    <w:rsid w:val="00A222C5"/>
    <w:rsid w:val="00A22894"/>
    <w:rsid w:val="00A2317D"/>
    <w:rsid w:val="00A2319A"/>
    <w:rsid w:val="00A2348C"/>
    <w:rsid w:val="00A235FF"/>
    <w:rsid w:val="00A23752"/>
    <w:rsid w:val="00A23A92"/>
    <w:rsid w:val="00A23B4F"/>
    <w:rsid w:val="00A2454D"/>
    <w:rsid w:val="00A2473F"/>
    <w:rsid w:val="00A24964"/>
    <w:rsid w:val="00A24A53"/>
    <w:rsid w:val="00A24AC5"/>
    <w:rsid w:val="00A251C0"/>
    <w:rsid w:val="00A2547D"/>
    <w:rsid w:val="00A258A5"/>
    <w:rsid w:val="00A2599E"/>
    <w:rsid w:val="00A25CEE"/>
    <w:rsid w:val="00A26669"/>
    <w:rsid w:val="00A2693A"/>
    <w:rsid w:val="00A26AAE"/>
    <w:rsid w:val="00A27409"/>
    <w:rsid w:val="00A274CC"/>
    <w:rsid w:val="00A27AA9"/>
    <w:rsid w:val="00A27BF6"/>
    <w:rsid w:val="00A27E2E"/>
    <w:rsid w:val="00A30477"/>
    <w:rsid w:val="00A30615"/>
    <w:rsid w:val="00A3065A"/>
    <w:rsid w:val="00A311F5"/>
    <w:rsid w:val="00A31216"/>
    <w:rsid w:val="00A3136C"/>
    <w:rsid w:val="00A3138E"/>
    <w:rsid w:val="00A31538"/>
    <w:rsid w:val="00A3154B"/>
    <w:rsid w:val="00A31711"/>
    <w:rsid w:val="00A31A35"/>
    <w:rsid w:val="00A31BF5"/>
    <w:rsid w:val="00A31FA0"/>
    <w:rsid w:val="00A32202"/>
    <w:rsid w:val="00A325E6"/>
    <w:rsid w:val="00A32677"/>
    <w:rsid w:val="00A32780"/>
    <w:rsid w:val="00A32CE9"/>
    <w:rsid w:val="00A33039"/>
    <w:rsid w:val="00A3309E"/>
    <w:rsid w:val="00A336B2"/>
    <w:rsid w:val="00A33738"/>
    <w:rsid w:val="00A337B9"/>
    <w:rsid w:val="00A337C3"/>
    <w:rsid w:val="00A3394B"/>
    <w:rsid w:val="00A33C9A"/>
    <w:rsid w:val="00A3425D"/>
    <w:rsid w:val="00A34A35"/>
    <w:rsid w:val="00A34A86"/>
    <w:rsid w:val="00A34AC1"/>
    <w:rsid w:val="00A34BC5"/>
    <w:rsid w:val="00A35069"/>
    <w:rsid w:val="00A35177"/>
    <w:rsid w:val="00A353B0"/>
    <w:rsid w:val="00A357BA"/>
    <w:rsid w:val="00A35E5C"/>
    <w:rsid w:val="00A36A8E"/>
    <w:rsid w:val="00A36AFC"/>
    <w:rsid w:val="00A36B66"/>
    <w:rsid w:val="00A373F9"/>
    <w:rsid w:val="00A374EE"/>
    <w:rsid w:val="00A37756"/>
    <w:rsid w:val="00A379D7"/>
    <w:rsid w:val="00A4052D"/>
    <w:rsid w:val="00A40DB5"/>
    <w:rsid w:val="00A40E58"/>
    <w:rsid w:val="00A415B1"/>
    <w:rsid w:val="00A415D5"/>
    <w:rsid w:val="00A416AD"/>
    <w:rsid w:val="00A41C16"/>
    <w:rsid w:val="00A41CBF"/>
    <w:rsid w:val="00A41EF3"/>
    <w:rsid w:val="00A424B5"/>
    <w:rsid w:val="00A425BB"/>
    <w:rsid w:val="00A426F6"/>
    <w:rsid w:val="00A4285E"/>
    <w:rsid w:val="00A42BF2"/>
    <w:rsid w:val="00A42F2C"/>
    <w:rsid w:val="00A4308B"/>
    <w:rsid w:val="00A436E9"/>
    <w:rsid w:val="00A43C8B"/>
    <w:rsid w:val="00A4401A"/>
    <w:rsid w:val="00A440B2"/>
    <w:rsid w:val="00A442C1"/>
    <w:rsid w:val="00A445FF"/>
    <w:rsid w:val="00A446E4"/>
    <w:rsid w:val="00A44954"/>
    <w:rsid w:val="00A44F9A"/>
    <w:rsid w:val="00A4529F"/>
    <w:rsid w:val="00A45334"/>
    <w:rsid w:val="00A45716"/>
    <w:rsid w:val="00A457F9"/>
    <w:rsid w:val="00A45B16"/>
    <w:rsid w:val="00A45CC3"/>
    <w:rsid w:val="00A45E10"/>
    <w:rsid w:val="00A46010"/>
    <w:rsid w:val="00A464C9"/>
    <w:rsid w:val="00A4653E"/>
    <w:rsid w:val="00A4671B"/>
    <w:rsid w:val="00A46A19"/>
    <w:rsid w:val="00A46C69"/>
    <w:rsid w:val="00A46E1B"/>
    <w:rsid w:val="00A47057"/>
    <w:rsid w:val="00A471AE"/>
    <w:rsid w:val="00A47251"/>
    <w:rsid w:val="00A472AD"/>
    <w:rsid w:val="00A47891"/>
    <w:rsid w:val="00A479EB"/>
    <w:rsid w:val="00A479F3"/>
    <w:rsid w:val="00A47B18"/>
    <w:rsid w:val="00A47F41"/>
    <w:rsid w:val="00A47F73"/>
    <w:rsid w:val="00A501B8"/>
    <w:rsid w:val="00A50270"/>
    <w:rsid w:val="00A505FF"/>
    <w:rsid w:val="00A50620"/>
    <w:rsid w:val="00A50654"/>
    <w:rsid w:val="00A506AF"/>
    <w:rsid w:val="00A50C7C"/>
    <w:rsid w:val="00A50CD9"/>
    <w:rsid w:val="00A50D0D"/>
    <w:rsid w:val="00A50D39"/>
    <w:rsid w:val="00A51374"/>
    <w:rsid w:val="00A51537"/>
    <w:rsid w:val="00A51546"/>
    <w:rsid w:val="00A51748"/>
    <w:rsid w:val="00A51A3B"/>
    <w:rsid w:val="00A51FCC"/>
    <w:rsid w:val="00A527E9"/>
    <w:rsid w:val="00A528CA"/>
    <w:rsid w:val="00A52AE8"/>
    <w:rsid w:val="00A52BAE"/>
    <w:rsid w:val="00A52E09"/>
    <w:rsid w:val="00A52F7A"/>
    <w:rsid w:val="00A530F7"/>
    <w:rsid w:val="00A53123"/>
    <w:rsid w:val="00A537BB"/>
    <w:rsid w:val="00A538FA"/>
    <w:rsid w:val="00A53B03"/>
    <w:rsid w:val="00A53F4B"/>
    <w:rsid w:val="00A54273"/>
    <w:rsid w:val="00A54509"/>
    <w:rsid w:val="00A54732"/>
    <w:rsid w:val="00A548A8"/>
    <w:rsid w:val="00A54908"/>
    <w:rsid w:val="00A54960"/>
    <w:rsid w:val="00A549D4"/>
    <w:rsid w:val="00A54B40"/>
    <w:rsid w:val="00A54B4C"/>
    <w:rsid w:val="00A54F16"/>
    <w:rsid w:val="00A5529A"/>
    <w:rsid w:val="00A554BD"/>
    <w:rsid w:val="00A557E4"/>
    <w:rsid w:val="00A55A7C"/>
    <w:rsid w:val="00A55C5D"/>
    <w:rsid w:val="00A55CAF"/>
    <w:rsid w:val="00A55D9C"/>
    <w:rsid w:val="00A560B0"/>
    <w:rsid w:val="00A56720"/>
    <w:rsid w:val="00A56BF2"/>
    <w:rsid w:val="00A5703F"/>
    <w:rsid w:val="00A57072"/>
    <w:rsid w:val="00A572BA"/>
    <w:rsid w:val="00A576A1"/>
    <w:rsid w:val="00A57B30"/>
    <w:rsid w:val="00A57BE2"/>
    <w:rsid w:val="00A57EEF"/>
    <w:rsid w:val="00A60015"/>
    <w:rsid w:val="00A60154"/>
    <w:rsid w:val="00A6052B"/>
    <w:rsid w:val="00A6059D"/>
    <w:rsid w:val="00A605DA"/>
    <w:rsid w:val="00A60EF1"/>
    <w:rsid w:val="00A617B7"/>
    <w:rsid w:val="00A617DD"/>
    <w:rsid w:val="00A61DD3"/>
    <w:rsid w:val="00A6267A"/>
    <w:rsid w:val="00A62759"/>
    <w:rsid w:val="00A62867"/>
    <w:rsid w:val="00A62AB1"/>
    <w:rsid w:val="00A62CD0"/>
    <w:rsid w:val="00A6302D"/>
    <w:rsid w:val="00A63657"/>
    <w:rsid w:val="00A6367E"/>
    <w:rsid w:val="00A6368C"/>
    <w:rsid w:val="00A636E7"/>
    <w:rsid w:val="00A63825"/>
    <w:rsid w:val="00A638D9"/>
    <w:rsid w:val="00A63BCA"/>
    <w:rsid w:val="00A64082"/>
    <w:rsid w:val="00A64173"/>
    <w:rsid w:val="00A641E4"/>
    <w:rsid w:val="00A642D4"/>
    <w:rsid w:val="00A642F7"/>
    <w:rsid w:val="00A646CE"/>
    <w:rsid w:val="00A647E1"/>
    <w:rsid w:val="00A649AA"/>
    <w:rsid w:val="00A64D31"/>
    <w:rsid w:val="00A64DFE"/>
    <w:rsid w:val="00A64FBC"/>
    <w:rsid w:val="00A64FF8"/>
    <w:rsid w:val="00A65151"/>
    <w:rsid w:val="00A653A4"/>
    <w:rsid w:val="00A65668"/>
    <w:rsid w:val="00A65BCD"/>
    <w:rsid w:val="00A65CB8"/>
    <w:rsid w:val="00A65CC1"/>
    <w:rsid w:val="00A65DCB"/>
    <w:rsid w:val="00A65FD6"/>
    <w:rsid w:val="00A6654F"/>
    <w:rsid w:val="00A6655D"/>
    <w:rsid w:val="00A66ADB"/>
    <w:rsid w:val="00A66E45"/>
    <w:rsid w:val="00A671DC"/>
    <w:rsid w:val="00A67893"/>
    <w:rsid w:val="00A67B6D"/>
    <w:rsid w:val="00A67BF9"/>
    <w:rsid w:val="00A67D74"/>
    <w:rsid w:val="00A704D8"/>
    <w:rsid w:val="00A709DB"/>
    <w:rsid w:val="00A7126F"/>
    <w:rsid w:val="00A7134E"/>
    <w:rsid w:val="00A7151C"/>
    <w:rsid w:val="00A716D5"/>
    <w:rsid w:val="00A71B8C"/>
    <w:rsid w:val="00A71BB1"/>
    <w:rsid w:val="00A71E82"/>
    <w:rsid w:val="00A72163"/>
    <w:rsid w:val="00A72256"/>
    <w:rsid w:val="00A723C9"/>
    <w:rsid w:val="00A72796"/>
    <w:rsid w:val="00A72C42"/>
    <w:rsid w:val="00A72DCF"/>
    <w:rsid w:val="00A73094"/>
    <w:rsid w:val="00A7311F"/>
    <w:rsid w:val="00A73454"/>
    <w:rsid w:val="00A738DA"/>
    <w:rsid w:val="00A73D22"/>
    <w:rsid w:val="00A74048"/>
    <w:rsid w:val="00A746FF"/>
    <w:rsid w:val="00A753C2"/>
    <w:rsid w:val="00A75980"/>
    <w:rsid w:val="00A75DCB"/>
    <w:rsid w:val="00A76048"/>
    <w:rsid w:val="00A7631E"/>
    <w:rsid w:val="00A765AD"/>
    <w:rsid w:val="00A766F7"/>
    <w:rsid w:val="00A76973"/>
    <w:rsid w:val="00A76B6C"/>
    <w:rsid w:val="00A76CA9"/>
    <w:rsid w:val="00A76E5A"/>
    <w:rsid w:val="00A76F07"/>
    <w:rsid w:val="00A77367"/>
    <w:rsid w:val="00A80040"/>
    <w:rsid w:val="00A804DC"/>
    <w:rsid w:val="00A805D2"/>
    <w:rsid w:val="00A80729"/>
    <w:rsid w:val="00A807EA"/>
    <w:rsid w:val="00A80C43"/>
    <w:rsid w:val="00A80DBB"/>
    <w:rsid w:val="00A80DD2"/>
    <w:rsid w:val="00A80F5A"/>
    <w:rsid w:val="00A81079"/>
    <w:rsid w:val="00A8183A"/>
    <w:rsid w:val="00A81919"/>
    <w:rsid w:val="00A81E27"/>
    <w:rsid w:val="00A81E41"/>
    <w:rsid w:val="00A81FD5"/>
    <w:rsid w:val="00A82195"/>
    <w:rsid w:val="00A821AA"/>
    <w:rsid w:val="00A82299"/>
    <w:rsid w:val="00A82508"/>
    <w:rsid w:val="00A829B5"/>
    <w:rsid w:val="00A82A11"/>
    <w:rsid w:val="00A83478"/>
    <w:rsid w:val="00A8431E"/>
    <w:rsid w:val="00A8472A"/>
    <w:rsid w:val="00A84C0D"/>
    <w:rsid w:val="00A84E93"/>
    <w:rsid w:val="00A85135"/>
    <w:rsid w:val="00A852F3"/>
    <w:rsid w:val="00A854B0"/>
    <w:rsid w:val="00A8553F"/>
    <w:rsid w:val="00A85799"/>
    <w:rsid w:val="00A86051"/>
    <w:rsid w:val="00A860E4"/>
    <w:rsid w:val="00A8621C"/>
    <w:rsid w:val="00A8625F"/>
    <w:rsid w:val="00A86323"/>
    <w:rsid w:val="00A8671C"/>
    <w:rsid w:val="00A86C27"/>
    <w:rsid w:val="00A86EF4"/>
    <w:rsid w:val="00A87A25"/>
    <w:rsid w:val="00A87AB4"/>
    <w:rsid w:val="00A87B5C"/>
    <w:rsid w:val="00A87C27"/>
    <w:rsid w:val="00A87F92"/>
    <w:rsid w:val="00A90151"/>
    <w:rsid w:val="00A901B5"/>
    <w:rsid w:val="00A90256"/>
    <w:rsid w:val="00A9072A"/>
    <w:rsid w:val="00A90878"/>
    <w:rsid w:val="00A90933"/>
    <w:rsid w:val="00A91000"/>
    <w:rsid w:val="00A913CD"/>
    <w:rsid w:val="00A91845"/>
    <w:rsid w:val="00A91A08"/>
    <w:rsid w:val="00A91A2C"/>
    <w:rsid w:val="00A91EC6"/>
    <w:rsid w:val="00A91F1D"/>
    <w:rsid w:val="00A929AC"/>
    <w:rsid w:val="00A92F71"/>
    <w:rsid w:val="00A9359B"/>
    <w:rsid w:val="00A937CA"/>
    <w:rsid w:val="00A938FD"/>
    <w:rsid w:val="00A940F1"/>
    <w:rsid w:val="00A94370"/>
    <w:rsid w:val="00A9456D"/>
    <w:rsid w:val="00A947BC"/>
    <w:rsid w:val="00A947BD"/>
    <w:rsid w:val="00A94950"/>
    <w:rsid w:val="00A94A8E"/>
    <w:rsid w:val="00A94AC6"/>
    <w:rsid w:val="00A94B0D"/>
    <w:rsid w:val="00A9545C"/>
    <w:rsid w:val="00A954D0"/>
    <w:rsid w:val="00A95988"/>
    <w:rsid w:val="00A9611B"/>
    <w:rsid w:val="00A961A8"/>
    <w:rsid w:val="00A9646B"/>
    <w:rsid w:val="00A96558"/>
    <w:rsid w:val="00A969CE"/>
    <w:rsid w:val="00A96D72"/>
    <w:rsid w:val="00A96E84"/>
    <w:rsid w:val="00A96F3C"/>
    <w:rsid w:val="00A96FBB"/>
    <w:rsid w:val="00A970A6"/>
    <w:rsid w:val="00A97131"/>
    <w:rsid w:val="00A971BA"/>
    <w:rsid w:val="00A97440"/>
    <w:rsid w:val="00A976E8"/>
    <w:rsid w:val="00A97900"/>
    <w:rsid w:val="00A97F05"/>
    <w:rsid w:val="00AA010C"/>
    <w:rsid w:val="00AA02CA"/>
    <w:rsid w:val="00AA03C1"/>
    <w:rsid w:val="00AA03DC"/>
    <w:rsid w:val="00AA0A23"/>
    <w:rsid w:val="00AA0B8A"/>
    <w:rsid w:val="00AA0DF8"/>
    <w:rsid w:val="00AA163B"/>
    <w:rsid w:val="00AA179E"/>
    <w:rsid w:val="00AA17B0"/>
    <w:rsid w:val="00AA1A0A"/>
    <w:rsid w:val="00AA1FD1"/>
    <w:rsid w:val="00AA25FA"/>
    <w:rsid w:val="00AA26C1"/>
    <w:rsid w:val="00AA279A"/>
    <w:rsid w:val="00AA288E"/>
    <w:rsid w:val="00AA290F"/>
    <w:rsid w:val="00AA2B88"/>
    <w:rsid w:val="00AA2DA9"/>
    <w:rsid w:val="00AA2DE9"/>
    <w:rsid w:val="00AA2F24"/>
    <w:rsid w:val="00AA2FF7"/>
    <w:rsid w:val="00AA3569"/>
    <w:rsid w:val="00AA3B18"/>
    <w:rsid w:val="00AA3B6F"/>
    <w:rsid w:val="00AA3E97"/>
    <w:rsid w:val="00AA3F18"/>
    <w:rsid w:val="00AA3F1C"/>
    <w:rsid w:val="00AA439D"/>
    <w:rsid w:val="00AA43F8"/>
    <w:rsid w:val="00AA4525"/>
    <w:rsid w:val="00AA48B3"/>
    <w:rsid w:val="00AA4F64"/>
    <w:rsid w:val="00AA5117"/>
    <w:rsid w:val="00AA53CA"/>
    <w:rsid w:val="00AA58D2"/>
    <w:rsid w:val="00AA59B2"/>
    <w:rsid w:val="00AA61E1"/>
    <w:rsid w:val="00AA6659"/>
    <w:rsid w:val="00AA6CB4"/>
    <w:rsid w:val="00AA6DD2"/>
    <w:rsid w:val="00AA7006"/>
    <w:rsid w:val="00AA7719"/>
    <w:rsid w:val="00AA77F1"/>
    <w:rsid w:val="00AA7959"/>
    <w:rsid w:val="00AB018D"/>
    <w:rsid w:val="00AB0456"/>
    <w:rsid w:val="00AB0638"/>
    <w:rsid w:val="00AB0A0A"/>
    <w:rsid w:val="00AB10F4"/>
    <w:rsid w:val="00AB13B3"/>
    <w:rsid w:val="00AB140A"/>
    <w:rsid w:val="00AB16AF"/>
    <w:rsid w:val="00AB1774"/>
    <w:rsid w:val="00AB18DD"/>
    <w:rsid w:val="00AB1B0E"/>
    <w:rsid w:val="00AB1E5D"/>
    <w:rsid w:val="00AB1F63"/>
    <w:rsid w:val="00AB23E4"/>
    <w:rsid w:val="00AB2645"/>
    <w:rsid w:val="00AB2D17"/>
    <w:rsid w:val="00AB2E7E"/>
    <w:rsid w:val="00AB2F58"/>
    <w:rsid w:val="00AB3063"/>
    <w:rsid w:val="00AB3135"/>
    <w:rsid w:val="00AB32B6"/>
    <w:rsid w:val="00AB34AD"/>
    <w:rsid w:val="00AB372E"/>
    <w:rsid w:val="00AB37ED"/>
    <w:rsid w:val="00AB3A13"/>
    <w:rsid w:val="00AB3D01"/>
    <w:rsid w:val="00AB432A"/>
    <w:rsid w:val="00AB46E2"/>
    <w:rsid w:val="00AB4A91"/>
    <w:rsid w:val="00AB5063"/>
    <w:rsid w:val="00AB5081"/>
    <w:rsid w:val="00AB5234"/>
    <w:rsid w:val="00AB535A"/>
    <w:rsid w:val="00AB5440"/>
    <w:rsid w:val="00AB55FF"/>
    <w:rsid w:val="00AB560D"/>
    <w:rsid w:val="00AB5E55"/>
    <w:rsid w:val="00AB61C8"/>
    <w:rsid w:val="00AB620A"/>
    <w:rsid w:val="00AB6655"/>
    <w:rsid w:val="00AB675F"/>
    <w:rsid w:val="00AB68CA"/>
    <w:rsid w:val="00AB6950"/>
    <w:rsid w:val="00AB6C31"/>
    <w:rsid w:val="00AB6C62"/>
    <w:rsid w:val="00AB6CDB"/>
    <w:rsid w:val="00AB6D4F"/>
    <w:rsid w:val="00AB70E5"/>
    <w:rsid w:val="00AB7288"/>
    <w:rsid w:val="00AB731D"/>
    <w:rsid w:val="00AB733C"/>
    <w:rsid w:val="00AB7514"/>
    <w:rsid w:val="00AB7972"/>
    <w:rsid w:val="00AB7A60"/>
    <w:rsid w:val="00AB7B36"/>
    <w:rsid w:val="00AB7B4F"/>
    <w:rsid w:val="00AB7CF3"/>
    <w:rsid w:val="00AC0198"/>
    <w:rsid w:val="00AC0235"/>
    <w:rsid w:val="00AC02D0"/>
    <w:rsid w:val="00AC0496"/>
    <w:rsid w:val="00AC1126"/>
    <w:rsid w:val="00AC12D3"/>
    <w:rsid w:val="00AC1576"/>
    <w:rsid w:val="00AC19C5"/>
    <w:rsid w:val="00AC1A24"/>
    <w:rsid w:val="00AC1B9F"/>
    <w:rsid w:val="00AC1BCE"/>
    <w:rsid w:val="00AC1D17"/>
    <w:rsid w:val="00AC1D87"/>
    <w:rsid w:val="00AC20C5"/>
    <w:rsid w:val="00AC2170"/>
    <w:rsid w:val="00AC244B"/>
    <w:rsid w:val="00AC26B3"/>
    <w:rsid w:val="00AC28F5"/>
    <w:rsid w:val="00AC2B92"/>
    <w:rsid w:val="00AC2D2A"/>
    <w:rsid w:val="00AC3118"/>
    <w:rsid w:val="00AC3FAB"/>
    <w:rsid w:val="00AC41AA"/>
    <w:rsid w:val="00AC4CF0"/>
    <w:rsid w:val="00AC4D8C"/>
    <w:rsid w:val="00AC4F7C"/>
    <w:rsid w:val="00AC5142"/>
    <w:rsid w:val="00AC536E"/>
    <w:rsid w:val="00AC5408"/>
    <w:rsid w:val="00AC5526"/>
    <w:rsid w:val="00AC5544"/>
    <w:rsid w:val="00AC569D"/>
    <w:rsid w:val="00AC587D"/>
    <w:rsid w:val="00AC5915"/>
    <w:rsid w:val="00AC5A14"/>
    <w:rsid w:val="00AC5BE5"/>
    <w:rsid w:val="00AC60A7"/>
    <w:rsid w:val="00AC6746"/>
    <w:rsid w:val="00AC6A16"/>
    <w:rsid w:val="00AC6E5E"/>
    <w:rsid w:val="00AC6E87"/>
    <w:rsid w:val="00AC6EDB"/>
    <w:rsid w:val="00AC7250"/>
    <w:rsid w:val="00AD0575"/>
    <w:rsid w:val="00AD06B3"/>
    <w:rsid w:val="00AD0E5B"/>
    <w:rsid w:val="00AD0EA2"/>
    <w:rsid w:val="00AD13DA"/>
    <w:rsid w:val="00AD1AA2"/>
    <w:rsid w:val="00AD1B45"/>
    <w:rsid w:val="00AD1BE1"/>
    <w:rsid w:val="00AD1C1F"/>
    <w:rsid w:val="00AD1D17"/>
    <w:rsid w:val="00AD21FA"/>
    <w:rsid w:val="00AD2824"/>
    <w:rsid w:val="00AD2A78"/>
    <w:rsid w:val="00AD2CB9"/>
    <w:rsid w:val="00AD2F09"/>
    <w:rsid w:val="00AD31B3"/>
    <w:rsid w:val="00AD3726"/>
    <w:rsid w:val="00AD386E"/>
    <w:rsid w:val="00AD4277"/>
    <w:rsid w:val="00AD47AC"/>
    <w:rsid w:val="00AD4C86"/>
    <w:rsid w:val="00AD4E19"/>
    <w:rsid w:val="00AD5243"/>
    <w:rsid w:val="00AD5337"/>
    <w:rsid w:val="00AD57A3"/>
    <w:rsid w:val="00AD57AE"/>
    <w:rsid w:val="00AD5C5F"/>
    <w:rsid w:val="00AD64F3"/>
    <w:rsid w:val="00AD6971"/>
    <w:rsid w:val="00AD69C5"/>
    <w:rsid w:val="00AD6A87"/>
    <w:rsid w:val="00AD6F34"/>
    <w:rsid w:val="00AD7152"/>
    <w:rsid w:val="00AD71D5"/>
    <w:rsid w:val="00AD71DC"/>
    <w:rsid w:val="00AD72F1"/>
    <w:rsid w:val="00AD761F"/>
    <w:rsid w:val="00AD763D"/>
    <w:rsid w:val="00AD7988"/>
    <w:rsid w:val="00AD7A30"/>
    <w:rsid w:val="00AE0231"/>
    <w:rsid w:val="00AE02B1"/>
    <w:rsid w:val="00AE0320"/>
    <w:rsid w:val="00AE06AB"/>
    <w:rsid w:val="00AE07DA"/>
    <w:rsid w:val="00AE08BD"/>
    <w:rsid w:val="00AE08C8"/>
    <w:rsid w:val="00AE0AB4"/>
    <w:rsid w:val="00AE0AF1"/>
    <w:rsid w:val="00AE1CC4"/>
    <w:rsid w:val="00AE2082"/>
    <w:rsid w:val="00AE22A5"/>
    <w:rsid w:val="00AE2313"/>
    <w:rsid w:val="00AE2427"/>
    <w:rsid w:val="00AE2A79"/>
    <w:rsid w:val="00AE2C18"/>
    <w:rsid w:val="00AE330B"/>
    <w:rsid w:val="00AE33A3"/>
    <w:rsid w:val="00AE34E8"/>
    <w:rsid w:val="00AE3A38"/>
    <w:rsid w:val="00AE3E49"/>
    <w:rsid w:val="00AE3EF1"/>
    <w:rsid w:val="00AE3F1C"/>
    <w:rsid w:val="00AE3F3E"/>
    <w:rsid w:val="00AE3F84"/>
    <w:rsid w:val="00AE40AD"/>
    <w:rsid w:val="00AE42BE"/>
    <w:rsid w:val="00AE435D"/>
    <w:rsid w:val="00AE4475"/>
    <w:rsid w:val="00AE44BC"/>
    <w:rsid w:val="00AE497B"/>
    <w:rsid w:val="00AE4A61"/>
    <w:rsid w:val="00AE4C31"/>
    <w:rsid w:val="00AE4CE1"/>
    <w:rsid w:val="00AE4D7A"/>
    <w:rsid w:val="00AE502E"/>
    <w:rsid w:val="00AE577B"/>
    <w:rsid w:val="00AE579E"/>
    <w:rsid w:val="00AE5CAC"/>
    <w:rsid w:val="00AE5CCD"/>
    <w:rsid w:val="00AE624E"/>
    <w:rsid w:val="00AE676D"/>
    <w:rsid w:val="00AE6C0B"/>
    <w:rsid w:val="00AE6F6C"/>
    <w:rsid w:val="00AE71FD"/>
    <w:rsid w:val="00AE73C1"/>
    <w:rsid w:val="00AE7A20"/>
    <w:rsid w:val="00AE7E4A"/>
    <w:rsid w:val="00AE7E7A"/>
    <w:rsid w:val="00AE7EDE"/>
    <w:rsid w:val="00AE7F62"/>
    <w:rsid w:val="00AF0135"/>
    <w:rsid w:val="00AF04D3"/>
    <w:rsid w:val="00AF07AB"/>
    <w:rsid w:val="00AF08A1"/>
    <w:rsid w:val="00AF09D6"/>
    <w:rsid w:val="00AF0D0E"/>
    <w:rsid w:val="00AF0D6E"/>
    <w:rsid w:val="00AF120A"/>
    <w:rsid w:val="00AF169C"/>
    <w:rsid w:val="00AF1838"/>
    <w:rsid w:val="00AF19B3"/>
    <w:rsid w:val="00AF1B58"/>
    <w:rsid w:val="00AF1CA1"/>
    <w:rsid w:val="00AF28A2"/>
    <w:rsid w:val="00AF2D10"/>
    <w:rsid w:val="00AF2F3C"/>
    <w:rsid w:val="00AF3171"/>
    <w:rsid w:val="00AF3191"/>
    <w:rsid w:val="00AF3460"/>
    <w:rsid w:val="00AF34AC"/>
    <w:rsid w:val="00AF368D"/>
    <w:rsid w:val="00AF37FD"/>
    <w:rsid w:val="00AF398D"/>
    <w:rsid w:val="00AF3A63"/>
    <w:rsid w:val="00AF3BD9"/>
    <w:rsid w:val="00AF3FA5"/>
    <w:rsid w:val="00AF42A4"/>
    <w:rsid w:val="00AF479F"/>
    <w:rsid w:val="00AF486D"/>
    <w:rsid w:val="00AF4E7B"/>
    <w:rsid w:val="00AF53A3"/>
    <w:rsid w:val="00AF5F0B"/>
    <w:rsid w:val="00AF5FD3"/>
    <w:rsid w:val="00AF625D"/>
    <w:rsid w:val="00AF66A9"/>
    <w:rsid w:val="00AF6759"/>
    <w:rsid w:val="00AF6805"/>
    <w:rsid w:val="00AF6D7E"/>
    <w:rsid w:val="00AF6FC3"/>
    <w:rsid w:val="00AF713D"/>
    <w:rsid w:val="00AF72D4"/>
    <w:rsid w:val="00AF7A44"/>
    <w:rsid w:val="00AF7A91"/>
    <w:rsid w:val="00AF7C18"/>
    <w:rsid w:val="00B00044"/>
    <w:rsid w:val="00B00415"/>
    <w:rsid w:val="00B005F6"/>
    <w:rsid w:val="00B0097F"/>
    <w:rsid w:val="00B00CE1"/>
    <w:rsid w:val="00B00E26"/>
    <w:rsid w:val="00B02179"/>
    <w:rsid w:val="00B0227D"/>
    <w:rsid w:val="00B02353"/>
    <w:rsid w:val="00B02477"/>
    <w:rsid w:val="00B024E2"/>
    <w:rsid w:val="00B02562"/>
    <w:rsid w:val="00B02664"/>
    <w:rsid w:val="00B028E7"/>
    <w:rsid w:val="00B02AC5"/>
    <w:rsid w:val="00B02C03"/>
    <w:rsid w:val="00B02CC3"/>
    <w:rsid w:val="00B0315B"/>
    <w:rsid w:val="00B03EDE"/>
    <w:rsid w:val="00B04055"/>
    <w:rsid w:val="00B04162"/>
    <w:rsid w:val="00B044BC"/>
    <w:rsid w:val="00B04870"/>
    <w:rsid w:val="00B048D0"/>
    <w:rsid w:val="00B049B8"/>
    <w:rsid w:val="00B04A97"/>
    <w:rsid w:val="00B04AF3"/>
    <w:rsid w:val="00B04BA7"/>
    <w:rsid w:val="00B04C3D"/>
    <w:rsid w:val="00B04E1C"/>
    <w:rsid w:val="00B04F68"/>
    <w:rsid w:val="00B05097"/>
    <w:rsid w:val="00B05472"/>
    <w:rsid w:val="00B05AE9"/>
    <w:rsid w:val="00B05D19"/>
    <w:rsid w:val="00B05DA9"/>
    <w:rsid w:val="00B05F4E"/>
    <w:rsid w:val="00B0622A"/>
    <w:rsid w:val="00B06327"/>
    <w:rsid w:val="00B063CA"/>
    <w:rsid w:val="00B06569"/>
    <w:rsid w:val="00B066D5"/>
    <w:rsid w:val="00B069A1"/>
    <w:rsid w:val="00B06A14"/>
    <w:rsid w:val="00B07306"/>
    <w:rsid w:val="00B07442"/>
    <w:rsid w:val="00B07667"/>
    <w:rsid w:val="00B0796F"/>
    <w:rsid w:val="00B07A43"/>
    <w:rsid w:val="00B1013F"/>
    <w:rsid w:val="00B104B3"/>
    <w:rsid w:val="00B108B7"/>
    <w:rsid w:val="00B10929"/>
    <w:rsid w:val="00B109A1"/>
    <w:rsid w:val="00B11011"/>
    <w:rsid w:val="00B11B3F"/>
    <w:rsid w:val="00B11F80"/>
    <w:rsid w:val="00B127F6"/>
    <w:rsid w:val="00B1285D"/>
    <w:rsid w:val="00B129C8"/>
    <w:rsid w:val="00B12B0F"/>
    <w:rsid w:val="00B12C19"/>
    <w:rsid w:val="00B12FA5"/>
    <w:rsid w:val="00B1311B"/>
    <w:rsid w:val="00B131EB"/>
    <w:rsid w:val="00B13203"/>
    <w:rsid w:val="00B13492"/>
    <w:rsid w:val="00B138E6"/>
    <w:rsid w:val="00B13AA9"/>
    <w:rsid w:val="00B13B51"/>
    <w:rsid w:val="00B13C8C"/>
    <w:rsid w:val="00B13EE0"/>
    <w:rsid w:val="00B14074"/>
    <w:rsid w:val="00B14318"/>
    <w:rsid w:val="00B1439A"/>
    <w:rsid w:val="00B148AF"/>
    <w:rsid w:val="00B14944"/>
    <w:rsid w:val="00B14BD1"/>
    <w:rsid w:val="00B14CFD"/>
    <w:rsid w:val="00B14FC5"/>
    <w:rsid w:val="00B155C3"/>
    <w:rsid w:val="00B158C3"/>
    <w:rsid w:val="00B15BEB"/>
    <w:rsid w:val="00B16058"/>
    <w:rsid w:val="00B16897"/>
    <w:rsid w:val="00B17096"/>
    <w:rsid w:val="00B17464"/>
    <w:rsid w:val="00B17542"/>
    <w:rsid w:val="00B175AB"/>
    <w:rsid w:val="00B17821"/>
    <w:rsid w:val="00B17D35"/>
    <w:rsid w:val="00B17D95"/>
    <w:rsid w:val="00B20018"/>
    <w:rsid w:val="00B21192"/>
    <w:rsid w:val="00B2135B"/>
    <w:rsid w:val="00B21AFC"/>
    <w:rsid w:val="00B21B1B"/>
    <w:rsid w:val="00B21C44"/>
    <w:rsid w:val="00B21FA3"/>
    <w:rsid w:val="00B221E7"/>
    <w:rsid w:val="00B22408"/>
    <w:rsid w:val="00B224E5"/>
    <w:rsid w:val="00B2255B"/>
    <w:rsid w:val="00B2294D"/>
    <w:rsid w:val="00B22C69"/>
    <w:rsid w:val="00B22D50"/>
    <w:rsid w:val="00B23258"/>
    <w:rsid w:val="00B23441"/>
    <w:rsid w:val="00B23603"/>
    <w:rsid w:val="00B23717"/>
    <w:rsid w:val="00B237DE"/>
    <w:rsid w:val="00B239E0"/>
    <w:rsid w:val="00B23B50"/>
    <w:rsid w:val="00B23C7F"/>
    <w:rsid w:val="00B23EB6"/>
    <w:rsid w:val="00B244CA"/>
    <w:rsid w:val="00B24D37"/>
    <w:rsid w:val="00B25069"/>
    <w:rsid w:val="00B252A8"/>
    <w:rsid w:val="00B25327"/>
    <w:rsid w:val="00B25675"/>
    <w:rsid w:val="00B25700"/>
    <w:rsid w:val="00B258E8"/>
    <w:rsid w:val="00B258F4"/>
    <w:rsid w:val="00B2688C"/>
    <w:rsid w:val="00B26A97"/>
    <w:rsid w:val="00B26D55"/>
    <w:rsid w:val="00B2775B"/>
    <w:rsid w:val="00B27AB2"/>
    <w:rsid w:val="00B27AB5"/>
    <w:rsid w:val="00B302FA"/>
    <w:rsid w:val="00B303A7"/>
    <w:rsid w:val="00B30449"/>
    <w:rsid w:val="00B304AF"/>
    <w:rsid w:val="00B30F4B"/>
    <w:rsid w:val="00B30FA3"/>
    <w:rsid w:val="00B31138"/>
    <w:rsid w:val="00B3134C"/>
    <w:rsid w:val="00B31576"/>
    <w:rsid w:val="00B3182B"/>
    <w:rsid w:val="00B3195F"/>
    <w:rsid w:val="00B31A3F"/>
    <w:rsid w:val="00B31A69"/>
    <w:rsid w:val="00B31DB7"/>
    <w:rsid w:val="00B320CC"/>
    <w:rsid w:val="00B32D6C"/>
    <w:rsid w:val="00B3302C"/>
    <w:rsid w:val="00B33068"/>
    <w:rsid w:val="00B331A0"/>
    <w:rsid w:val="00B33DF4"/>
    <w:rsid w:val="00B34048"/>
    <w:rsid w:val="00B342A1"/>
    <w:rsid w:val="00B345CA"/>
    <w:rsid w:val="00B34754"/>
    <w:rsid w:val="00B34775"/>
    <w:rsid w:val="00B34991"/>
    <w:rsid w:val="00B349CB"/>
    <w:rsid w:val="00B34A36"/>
    <w:rsid w:val="00B35215"/>
    <w:rsid w:val="00B35345"/>
    <w:rsid w:val="00B35541"/>
    <w:rsid w:val="00B3554C"/>
    <w:rsid w:val="00B35900"/>
    <w:rsid w:val="00B35905"/>
    <w:rsid w:val="00B3590A"/>
    <w:rsid w:val="00B35F4E"/>
    <w:rsid w:val="00B363DF"/>
    <w:rsid w:val="00B3662A"/>
    <w:rsid w:val="00B36D23"/>
    <w:rsid w:val="00B36EB7"/>
    <w:rsid w:val="00B3718D"/>
    <w:rsid w:val="00B3749D"/>
    <w:rsid w:val="00B3768E"/>
    <w:rsid w:val="00B378B0"/>
    <w:rsid w:val="00B37900"/>
    <w:rsid w:val="00B37915"/>
    <w:rsid w:val="00B37A64"/>
    <w:rsid w:val="00B37D5E"/>
    <w:rsid w:val="00B37F16"/>
    <w:rsid w:val="00B37F8C"/>
    <w:rsid w:val="00B40BE0"/>
    <w:rsid w:val="00B40BFC"/>
    <w:rsid w:val="00B40F33"/>
    <w:rsid w:val="00B41489"/>
    <w:rsid w:val="00B4162E"/>
    <w:rsid w:val="00B41900"/>
    <w:rsid w:val="00B41D17"/>
    <w:rsid w:val="00B424ED"/>
    <w:rsid w:val="00B425B2"/>
    <w:rsid w:val="00B42669"/>
    <w:rsid w:val="00B42AA6"/>
    <w:rsid w:val="00B42BF5"/>
    <w:rsid w:val="00B42DA5"/>
    <w:rsid w:val="00B4300C"/>
    <w:rsid w:val="00B433A6"/>
    <w:rsid w:val="00B439AD"/>
    <w:rsid w:val="00B43A0C"/>
    <w:rsid w:val="00B43AF6"/>
    <w:rsid w:val="00B43CD0"/>
    <w:rsid w:val="00B43D31"/>
    <w:rsid w:val="00B443CC"/>
    <w:rsid w:val="00B449C7"/>
    <w:rsid w:val="00B44D4D"/>
    <w:rsid w:val="00B44EE1"/>
    <w:rsid w:val="00B4511C"/>
    <w:rsid w:val="00B45140"/>
    <w:rsid w:val="00B45171"/>
    <w:rsid w:val="00B45590"/>
    <w:rsid w:val="00B456D1"/>
    <w:rsid w:val="00B46090"/>
    <w:rsid w:val="00B46237"/>
    <w:rsid w:val="00B46654"/>
    <w:rsid w:val="00B46B07"/>
    <w:rsid w:val="00B46BA8"/>
    <w:rsid w:val="00B4720D"/>
    <w:rsid w:val="00B476CE"/>
    <w:rsid w:val="00B47D6E"/>
    <w:rsid w:val="00B47E70"/>
    <w:rsid w:val="00B500D5"/>
    <w:rsid w:val="00B50135"/>
    <w:rsid w:val="00B5020B"/>
    <w:rsid w:val="00B504B8"/>
    <w:rsid w:val="00B506B8"/>
    <w:rsid w:val="00B508F0"/>
    <w:rsid w:val="00B50A16"/>
    <w:rsid w:val="00B50C43"/>
    <w:rsid w:val="00B50CE8"/>
    <w:rsid w:val="00B5123E"/>
    <w:rsid w:val="00B5147F"/>
    <w:rsid w:val="00B516B5"/>
    <w:rsid w:val="00B51A06"/>
    <w:rsid w:val="00B51BDA"/>
    <w:rsid w:val="00B51C6C"/>
    <w:rsid w:val="00B51CA5"/>
    <w:rsid w:val="00B521E5"/>
    <w:rsid w:val="00B5224D"/>
    <w:rsid w:val="00B5278A"/>
    <w:rsid w:val="00B52D25"/>
    <w:rsid w:val="00B52DAE"/>
    <w:rsid w:val="00B531DC"/>
    <w:rsid w:val="00B53260"/>
    <w:rsid w:val="00B533A9"/>
    <w:rsid w:val="00B53463"/>
    <w:rsid w:val="00B534A7"/>
    <w:rsid w:val="00B536D4"/>
    <w:rsid w:val="00B53720"/>
    <w:rsid w:val="00B5393B"/>
    <w:rsid w:val="00B53B75"/>
    <w:rsid w:val="00B53B89"/>
    <w:rsid w:val="00B542C7"/>
    <w:rsid w:val="00B544EE"/>
    <w:rsid w:val="00B5457C"/>
    <w:rsid w:val="00B54DF5"/>
    <w:rsid w:val="00B54E20"/>
    <w:rsid w:val="00B55233"/>
    <w:rsid w:val="00B5531F"/>
    <w:rsid w:val="00B55746"/>
    <w:rsid w:val="00B5578D"/>
    <w:rsid w:val="00B5616D"/>
    <w:rsid w:val="00B56295"/>
    <w:rsid w:val="00B5646B"/>
    <w:rsid w:val="00B5662F"/>
    <w:rsid w:val="00B56654"/>
    <w:rsid w:val="00B5689E"/>
    <w:rsid w:val="00B568EB"/>
    <w:rsid w:val="00B569C2"/>
    <w:rsid w:val="00B56B44"/>
    <w:rsid w:val="00B56FB4"/>
    <w:rsid w:val="00B57165"/>
    <w:rsid w:val="00B57C8A"/>
    <w:rsid w:val="00B57D9D"/>
    <w:rsid w:val="00B60131"/>
    <w:rsid w:val="00B60EAB"/>
    <w:rsid w:val="00B60EB5"/>
    <w:rsid w:val="00B60F67"/>
    <w:rsid w:val="00B613AF"/>
    <w:rsid w:val="00B61784"/>
    <w:rsid w:val="00B618D4"/>
    <w:rsid w:val="00B61A9D"/>
    <w:rsid w:val="00B61AB2"/>
    <w:rsid w:val="00B61AD1"/>
    <w:rsid w:val="00B620C4"/>
    <w:rsid w:val="00B6240C"/>
    <w:rsid w:val="00B62569"/>
    <w:rsid w:val="00B62743"/>
    <w:rsid w:val="00B62A70"/>
    <w:rsid w:val="00B62B80"/>
    <w:rsid w:val="00B62D3D"/>
    <w:rsid w:val="00B62EA4"/>
    <w:rsid w:val="00B62EEA"/>
    <w:rsid w:val="00B632C3"/>
    <w:rsid w:val="00B633CD"/>
    <w:rsid w:val="00B6367F"/>
    <w:rsid w:val="00B6375E"/>
    <w:rsid w:val="00B63899"/>
    <w:rsid w:val="00B63B3B"/>
    <w:rsid w:val="00B63FA1"/>
    <w:rsid w:val="00B641FB"/>
    <w:rsid w:val="00B6425B"/>
    <w:rsid w:val="00B6432C"/>
    <w:rsid w:val="00B649D0"/>
    <w:rsid w:val="00B64C37"/>
    <w:rsid w:val="00B64D6B"/>
    <w:rsid w:val="00B651DC"/>
    <w:rsid w:val="00B65202"/>
    <w:rsid w:val="00B6536D"/>
    <w:rsid w:val="00B6579F"/>
    <w:rsid w:val="00B65AC9"/>
    <w:rsid w:val="00B65B0D"/>
    <w:rsid w:val="00B65DAA"/>
    <w:rsid w:val="00B6605E"/>
    <w:rsid w:val="00B6657A"/>
    <w:rsid w:val="00B66B2F"/>
    <w:rsid w:val="00B66C01"/>
    <w:rsid w:val="00B66C21"/>
    <w:rsid w:val="00B672FE"/>
    <w:rsid w:val="00B67A59"/>
    <w:rsid w:val="00B702F4"/>
    <w:rsid w:val="00B7071A"/>
    <w:rsid w:val="00B70962"/>
    <w:rsid w:val="00B709DA"/>
    <w:rsid w:val="00B70C4C"/>
    <w:rsid w:val="00B70E36"/>
    <w:rsid w:val="00B7169E"/>
    <w:rsid w:val="00B71799"/>
    <w:rsid w:val="00B717A8"/>
    <w:rsid w:val="00B71D4B"/>
    <w:rsid w:val="00B71E69"/>
    <w:rsid w:val="00B71EC0"/>
    <w:rsid w:val="00B71FC9"/>
    <w:rsid w:val="00B71FE6"/>
    <w:rsid w:val="00B720EC"/>
    <w:rsid w:val="00B72106"/>
    <w:rsid w:val="00B726C2"/>
    <w:rsid w:val="00B7298D"/>
    <w:rsid w:val="00B739AB"/>
    <w:rsid w:val="00B73A1B"/>
    <w:rsid w:val="00B74E31"/>
    <w:rsid w:val="00B74E70"/>
    <w:rsid w:val="00B74F7F"/>
    <w:rsid w:val="00B75B08"/>
    <w:rsid w:val="00B75C93"/>
    <w:rsid w:val="00B76160"/>
    <w:rsid w:val="00B7654B"/>
    <w:rsid w:val="00B7663C"/>
    <w:rsid w:val="00B76704"/>
    <w:rsid w:val="00B76753"/>
    <w:rsid w:val="00B76AA2"/>
    <w:rsid w:val="00B770AD"/>
    <w:rsid w:val="00B770FF"/>
    <w:rsid w:val="00B7714E"/>
    <w:rsid w:val="00B7725D"/>
    <w:rsid w:val="00B7738D"/>
    <w:rsid w:val="00B7781B"/>
    <w:rsid w:val="00B77A5A"/>
    <w:rsid w:val="00B77AD5"/>
    <w:rsid w:val="00B77BCD"/>
    <w:rsid w:val="00B77BF5"/>
    <w:rsid w:val="00B77EE3"/>
    <w:rsid w:val="00B80274"/>
    <w:rsid w:val="00B802E0"/>
    <w:rsid w:val="00B8043A"/>
    <w:rsid w:val="00B80933"/>
    <w:rsid w:val="00B80968"/>
    <w:rsid w:val="00B80B2A"/>
    <w:rsid w:val="00B80C58"/>
    <w:rsid w:val="00B80D2C"/>
    <w:rsid w:val="00B80E7B"/>
    <w:rsid w:val="00B81768"/>
    <w:rsid w:val="00B82294"/>
    <w:rsid w:val="00B82CBD"/>
    <w:rsid w:val="00B832E4"/>
    <w:rsid w:val="00B83442"/>
    <w:rsid w:val="00B83B22"/>
    <w:rsid w:val="00B83CB0"/>
    <w:rsid w:val="00B83D15"/>
    <w:rsid w:val="00B84186"/>
    <w:rsid w:val="00B84869"/>
    <w:rsid w:val="00B849A1"/>
    <w:rsid w:val="00B84DD7"/>
    <w:rsid w:val="00B84E05"/>
    <w:rsid w:val="00B856A1"/>
    <w:rsid w:val="00B85706"/>
    <w:rsid w:val="00B85D98"/>
    <w:rsid w:val="00B85E7B"/>
    <w:rsid w:val="00B8607B"/>
    <w:rsid w:val="00B8622B"/>
    <w:rsid w:val="00B86262"/>
    <w:rsid w:val="00B86340"/>
    <w:rsid w:val="00B863B1"/>
    <w:rsid w:val="00B86607"/>
    <w:rsid w:val="00B86A43"/>
    <w:rsid w:val="00B86CF5"/>
    <w:rsid w:val="00B86FDF"/>
    <w:rsid w:val="00B8700D"/>
    <w:rsid w:val="00B8717E"/>
    <w:rsid w:val="00B87401"/>
    <w:rsid w:val="00B87859"/>
    <w:rsid w:val="00B901AE"/>
    <w:rsid w:val="00B901B9"/>
    <w:rsid w:val="00B90434"/>
    <w:rsid w:val="00B905DF"/>
    <w:rsid w:val="00B9078B"/>
    <w:rsid w:val="00B90933"/>
    <w:rsid w:val="00B90C7B"/>
    <w:rsid w:val="00B914BF"/>
    <w:rsid w:val="00B915C1"/>
    <w:rsid w:val="00B919D6"/>
    <w:rsid w:val="00B91AEB"/>
    <w:rsid w:val="00B91CE9"/>
    <w:rsid w:val="00B91D47"/>
    <w:rsid w:val="00B92312"/>
    <w:rsid w:val="00B9241B"/>
    <w:rsid w:val="00B92AEA"/>
    <w:rsid w:val="00B932AA"/>
    <w:rsid w:val="00B93B1C"/>
    <w:rsid w:val="00B93FD1"/>
    <w:rsid w:val="00B942EA"/>
    <w:rsid w:val="00B943B2"/>
    <w:rsid w:val="00B945D9"/>
    <w:rsid w:val="00B948F2"/>
    <w:rsid w:val="00B949DA"/>
    <w:rsid w:val="00B94B0C"/>
    <w:rsid w:val="00B94FBA"/>
    <w:rsid w:val="00B953E2"/>
    <w:rsid w:val="00B95AC9"/>
    <w:rsid w:val="00B95AFA"/>
    <w:rsid w:val="00B96437"/>
    <w:rsid w:val="00B96A8B"/>
    <w:rsid w:val="00B96AAE"/>
    <w:rsid w:val="00B9723C"/>
    <w:rsid w:val="00B972EE"/>
    <w:rsid w:val="00B978F5"/>
    <w:rsid w:val="00B97C38"/>
    <w:rsid w:val="00B97D38"/>
    <w:rsid w:val="00BA0477"/>
    <w:rsid w:val="00BA0585"/>
    <w:rsid w:val="00BA06EB"/>
    <w:rsid w:val="00BA077D"/>
    <w:rsid w:val="00BA078C"/>
    <w:rsid w:val="00BA11FA"/>
    <w:rsid w:val="00BA18FC"/>
    <w:rsid w:val="00BA202C"/>
    <w:rsid w:val="00BA20B5"/>
    <w:rsid w:val="00BA210D"/>
    <w:rsid w:val="00BA23AE"/>
    <w:rsid w:val="00BA2404"/>
    <w:rsid w:val="00BA2450"/>
    <w:rsid w:val="00BA2B27"/>
    <w:rsid w:val="00BA2CBF"/>
    <w:rsid w:val="00BA2DFC"/>
    <w:rsid w:val="00BA3005"/>
    <w:rsid w:val="00BA36B6"/>
    <w:rsid w:val="00BA3B18"/>
    <w:rsid w:val="00BA3BC2"/>
    <w:rsid w:val="00BA3CB8"/>
    <w:rsid w:val="00BA3DCC"/>
    <w:rsid w:val="00BA3E03"/>
    <w:rsid w:val="00BA45EA"/>
    <w:rsid w:val="00BA4648"/>
    <w:rsid w:val="00BA475D"/>
    <w:rsid w:val="00BA485C"/>
    <w:rsid w:val="00BA4D21"/>
    <w:rsid w:val="00BA4DBC"/>
    <w:rsid w:val="00BA5016"/>
    <w:rsid w:val="00BA5359"/>
    <w:rsid w:val="00BA53D9"/>
    <w:rsid w:val="00BA5565"/>
    <w:rsid w:val="00BA5570"/>
    <w:rsid w:val="00BA60D3"/>
    <w:rsid w:val="00BA60E7"/>
    <w:rsid w:val="00BA6345"/>
    <w:rsid w:val="00BA6416"/>
    <w:rsid w:val="00BA65ED"/>
    <w:rsid w:val="00BA6A6B"/>
    <w:rsid w:val="00BA6C82"/>
    <w:rsid w:val="00BA6EA2"/>
    <w:rsid w:val="00BA7192"/>
    <w:rsid w:val="00BA730E"/>
    <w:rsid w:val="00BA7623"/>
    <w:rsid w:val="00BA77B0"/>
    <w:rsid w:val="00BA7842"/>
    <w:rsid w:val="00BA79A6"/>
    <w:rsid w:val="00BA79EC"/>
    <w:rsid w:val="00BA7ABE"/>
    <w:rsid w:val="00BA7B51"/>
    <w:rsid w:val="00BA7CB7"/>
    <w:rsid w:val="00BA7F23"/>
    <w:rsid w:val="00BB03EB"/>
    <w:rsid w:val="00BB0787"/>
    <w:rsid w:val="00BB08F4"/>
    <w:rsid w:val="00BB0A1E"/>
    <w:rsid w:val="00BB1302"/>
    <w:rsid w:val="00BB1307"/>
    <w:rsid w:val="00BB18B9"/>
    <w:rsid w:val="00BB256D"/>
    <w:rsid w:val="00BB2726"/>
    <w:rsid w:val="00BB2AEA"/>
    <w:rsid w:val="00BB2D98"/>
    <w:rsid w:val="00BB32A7"/>
    <w:rsid w:val="00BB333A"/>
    <w:rsid w:val="00BB336C"/>
    <w:rsid w:val="00BB33B8"/>
    <w:rsid w:val="00BB35EA"/>
    <w:rsid w:val="00BB3634"/>
    <w:rsid w:val="00BB3A78"/>
    <w:rsid w:val="00BB3B5C"/>
    <w:rsid w:val="00BB3FE7"/>
    <w:rsid w:val="00BB4155"/>
    <w:rsid w:val="00BB42C7"/>
    <w:rsid w:val="00BB44C3"/>
    <w:rsid w:val="00BB4506"/>
    <w:rsid w:val="00BB476E"/>
    <w:rsid w:val="00BB4797"/>
    <w:rsid w:val="00BB47B6"/>
    <w:rsid w:val="00BB4B73"/>
    <w:rsid w:val="00BB4C51"/>
    <w:rsid w:val="00BB4FF3"/>
    <w:rsid w:val="00BB5212"/>
    <w:rsid w:val="00BB52BD"/>
    <w:rsid w:val="00BB56B2"/>
    <w:rsid w:val="00BB56E5"/>
    <w:rsid w:val="00BB5712"/>
    <w:rsid w:val="00BB5AB3"/>
    <w:rsid w:val="00BB5C22"/>
    <w:rsid w:val="00BB5C85"/>
    <w:rsid w:val="00BB5F50"/>
    <w:rsid w:val="00BB6101"/>
    <w:rsid w:val="00BB62C9"/>
    <w:rsid w:val="00BB6313"/>
    <w:rsid w:val="00BB6331"/>
    <w:rsid w:val="00BB6494"/>
    <w:rsid w:val="00BB64C6"/>
    <w:rsid w:val="00BB6526"/>
    <w:rsid w:val="00BB6C9A"/>
    <w:rsid w:val="00BB6D41"/>
    <w:rsid w:val="00BB716C"/>
    <w:rsid w:val="00BB73A2"/>
    <w:rsid w:val="00BB774B"/>
    <w:rsid w:val="00BB776C"/>
    <w:rsid w:val="00BB7AB4"/>
    <w:rsid w:val="00BB7AC1"/>
    <w:rsid w:val="00BC0863"/>
    <w:rsid w:val="00BC0BDC"/>
    <w:rsid w:val="00BC0DCE"/>
    <w:rsid w:val="00BC104C"/>
    <w:rsid w:val="00BC127C"/>
    <w:rsid w:val="00BC1593"/>
    <w:rsid w:val="00BC1753"/>
    <w:rsid w:val="00BC17DC"/>
    <w:rsid w:val="00BC19B4"/>
    <w:rsid w:val="00BC1B0D"/>
    <w:rsid w:val="00BC1D72"/>
    <w:rsid w:val="00BC227F"/>
    <w:rsid w:val="00BC2C17"/>
    <w:rsid w:val="00BC2CE2"/>
    <w:rsid w:val="00BC3163"/>
    <w:rsid w:val="00BC3363"/>
    <w:rsid w:val="00BC354E"/>
    <w:rsid w:val="00BC3855"/>
    <w:rsid w:val="00BC38DD"/>
    <w:rsid w:val="00BC4205"/>
    <w:rsid w:val="00BC42E0"/>
    <w:rsid w:val="00BC4843"/>
    <w:rsid w:val="00BC484B"/>
    <w:rsid w:val="00BC4AF6"/>
    <w:rsid w:val="00BC4B4C"/>
    <w:rsid w:val="00BC4C51"/>
    <w:rsid w:val="00BC5181"/>
    <w:rsid w:val="00BC529E"/>
    <w:rsid w:val="00BC52B5"/>
    <w:rsid w:val="00BC5363"/>
    <w:rsid w:val="00BC5398"/>
    <w:rsid w:val="00BC54F4"/>
    <w:rsid w:val="00BC5B35"/>
    <w:rsid w:val="00BC5C6A"/>
    <w:rsid w:val="00BC6124"/>
    <w:rsid w:val="00BC6287"/>
    <w:rsid w:val="00BC62F7"/>
    <w:rsid w:val="00BC63BA"/>
    <w:rsid w:val="00BC6606"/>
    <w:rsid w:val="00BC67D8"/>
    <w:rsid w:val="00BC7C1B"/>
    <w:rsid w:val="00BC7DB2"/>
    <w:rsid w:val="00BC7E2B"/>
    <w:rsid w:val="00BC7E95"/>
    <w:rsid w:val="00BD034E"/>
    <w:rsid w:val="00BD0426"/>
    <w:rsid w:val="00BD07CC"/>
    <w:rsid w:val="00BD08D4"/>
    <w:rsid w:val="00BD0940"/>
    <w:rsid w:val="00BD0ABB"/>
    <w:rsid w:val="00BD0CB6"/>
    <w:rsid w:val="00BD1060"/>
    <w:rsid w:val="00BD119C"/>
    <w:rsid w:val="00BD128E"/>
    <w:rsid w:val="00BD190D"/>
    <w:rsid w:val="00BD1964"/>
    <w:rsid w:val="00BD1C35"/>
    <w:rsid w:val="00BD1D4B"/>
    <w:rsid w:val="00BD1EB5"/>
    <w:rsid w:val="00BD1EE9"/>
    <w:rsid w:val="00BD222E"/>
    <w:rsid w:val="00BD27DE"/>
    <w:rsid w:val="00BD2867"/>
    <w:rsid w:val="00BD2891"/>
    <w:rsid w:val="00BD2C07"/>
    <w:rsid w:val="00BD2C19"/>
    <w:rsid w:val="00BD2CC7"/>
    <w:rsid w:val="00BD32A4"/>
    <w:rsid w:val="00BD37DD"/>
    <w:rsid w:val="00BD37E0"/>
    <w:rsid w:val="00BD470B"/>
    <w:rsid w:val="00BD4C5C"/>
    <w:rsid w:val="00BD4CB4"/>
    <w:rsid w:val="00BD4FAA"/>
    <w:rsid w:val="00BD51D0"/>
    <w:rsid w:val="00BD56CF"/>
    <w:rsid w:val="00BD5E49"/>
    <w:rsid w:val="00BD5FE9"/>
    <w:rsid w:val="00BD60C7"/>
    <w:rsid w:val="00BD6473"/>
    <w:rsid w:val="00BD6762"/>
    <w:rsid w:val="00BD6A82"/>
    <w:rsid w:val="00BD799D"/>
    <w:rsid w:val="00BD7E1F"/>
    <w:rsid w:val="00BE019A"/>
    <w:rsid w:val="00BE086D"/>
    <w:rsid w:val="00BE0BF2"/>
    <w:rsid w:val="00BE0E73"/>
    <w:rsid w:val="00BE0F36"/>
    <w:rsid w:val="00BE1089"/>
    <w:rsid w:val="00BE181F"/>
    <w:rsid w:val="00BE1A1A"/>
    <w:rsid w:val="00BE2137"/>
    <w:rsid w:val="00BE24B5"/>
    <w:rsid w:val="00BE31EC"/>
    <w:rsid w:val="00BE3298"/>
    <w:rsid w:val="00BE32C0"/>
    <w:rsid w:val="00BE3678"/>
    <w:rsid w:val="00BE367B"/>
    <w:rsid w:val="00BE3BF7"/>
    <w:rsid w:val="00BE3F73"/>
    <w:rsid w:val="00BE4518"/>
    <w:rsid w:val="00BE47D9"/>
    <w:rsid w:val="00BE484A"/>
    <w:rsid w:val="00BE4A97"/>
    <w:rsid w:val="00BE4B86"/>
    <w:rsid w:val="00BE4CF8"/>
    <w:rsid w:val="00BE4DA5"/>
    <w:rsid w:val="00BE4F22"/>
    <w:rsid w:val="00BE50F6"/>
    <w:rsid w:val="00BE5507"/>
    <w:rsid w:val="00BE59A7"/>
    <w:rsid w:val="00BE5BD9"/>
    <w:rsid w:val="00BE6026"/>
    <w:rsid w:val="00BE6253"/>
    <w:rsid w:val="00BE62FF"/>
    <w:rsid w:val="00BE6313"/>
    <w:rsid w:val="00BE6455"/>
    <w:rsid w:val="00BE6580"/>
    <w:rsid w:val="00BE65CE"/>
    <w:rsid w:val="00BE68D5"/>
    <w:rsid w:val="00BE6D0F"/>
    <w:rsid w:val="00BE6DC1"/>
    <w:rsid w:val="00BE70FB"/>
    <w:rsid w:val="00BE7BF4"/>
    <w:rsid w:val="00BE7D1D"/>
    <w:rsid w:val="00BE7D67"/>
    <w:rsid w:val="00BE7DAC"/>
    <w:rsid w:val="00BF0868"/>
    <w:rsid w:val="00BF0991"/>
    <w:rsid w:val="00BF0B3A"/>
    <w:rsid w:val="00BF0DCC"/>
    <w:rsid w:val="00BF0E8C"/>
    <w:rsid w:val="00BF0EF2"/>
    <w:rsid w:val="00BF107C"/>
    <w:rsid w:val="00BF10D0"/>
    <w:rsid w:val="00BF10D7"/>
    <w:rsid w:val="00BF11A0"/>
    <w:rsid w:val="00BF1799"/>
    <w:rsid w:val="00BF1921"/>
    <w:rsid w:val="00BF1B05"/>
    <w:rsid w:val="00BF1C49"/>
    <w:rsid w:val="00BF1EAD"/>
    <w:rsid w:val="00BF253A"/>
    <w:rsid w:val="00BF28A1"/>
    <w:rsid w:val="00BF2933"/>
    <w:rsid w:val="00BF296D"/>
    <w:rsid w:val="00BF2C5E"/>
    <w:rsid w:val="00BF37AC"/>
    <w:rsid w:val="00BF3CB3"/>
    <w:rsid w:val="00BF3F88"/>
    <w:rsid w:val="00BF43C0"/>
    <w:rsid w:val="00BF47BD"/>
    <w:rsid w:val="00BF4DFC"/>
    <w:rsid w:val="00BF4EA2"/>
    <w:rsid w:val="00BF50F0"/>
    <w:rsid w:val="00BF5359"/>
    <w:rsid w:val="00BF536C"/>
    <w:rsid w:val="00BF5E00"/>
    <w:rsid w:val="00BF5FB5"/>
    <w:rsid w:val="00BF6059"/>
    <w:rsid w:val="00BF615D"/>
    <w:rsid w:val="00BF636B"/>
    <w:rsid w:val="00BF64A6"/>
    <w:rsid w:val="00BF65E6"/>
    <w:rsid w:val="00BF68C8"/>
    <w:rsid w:val="00BF741B"/>
    <w:rsid w:val="00BF7639"/>
    <w:rsid w:val="00BF7832"/>
    <w:rsid w:val="00BF7A7F"/>
    <w:rsid w:val="00BF7F5A"/>
    <w:rsid w:val="00C003BF"/>
    <w:rsid w:val="00C004F3"/>
    <w:rsid w:val="00C00811"/>
    <w:rsid w:val="00C0081A"/>
    <w:rsid w:val="00C00931"/>
    <w:rsid w:val="00C00C1F"/>
    <w:rsid w:val="00C00D16"/>
    <w:rsid w:val="00C00EBC"/>
    <w:rsid w:val="00C016A3"/>
    <w:rsid w:val="00C01A5B"/>
    <w:rsid w:val="00C01AD5"/>
    <w:rsid w:val="00C01C6D"/>
    <w:rsid w:val="00C01D9E"/>
    <w:rsid w:val="00C01E68"/>
    <w:rsid w:val="00C01F30"/>
    <w:rsid w:val="00C02F40"/>
    <w:rsid w:val="00C0323B"/>
    <w:rsid w:val="00C03527"/>
    <w:rsid w:val="00C03AEC"/>
    <w:rsid w:val="00C03EC3"/>
    <w:rsid w:val="00C0435F"/>
    <w:rsid w:val="00C046BA"/>
    <w:rsid w:val="00C051C7"/>
    <w:rsid w:val="00C05374"/>
    <w:rsid w:val="00C056A1"/>
    <w:rsid w:val="00C05818"/>
    <w:rsid w:val="00C05B49"/>
    <w:rsid w:val="00C06835"/>
    <w:rsid w:val="00C06AE5"/>
    <w:rsid w:val="00C06F8C"/>
    <w:rsid w:val="00C07099"/>
    <w:rsid w:val="00C071CE"/>
    <w:rsid w:val="00C07295"/>
    <w:rsid w:val="00C07313"/>
    <w:rsid w:val="00C0754F"/>
    <w:rsid w:val="00C078A2"/>
    <w:rsid w:val="00C07C51"/>
    <w:rsid w:val="00C07D89"/>
    <w:rsid w:val="00C07FD1"/>
    <w:rsid w:val="00C100BB"/>
    <w:rsid w:val="00C1046A"/>
    <w:rsid w:val="00C10608"/>
    <w:rsid w:val="00C10681"/>
    <w:rsid w:val="00C10894"/>
    <w:rsid w:val="00C1090D"/>
    <w:rsid w:val="00C10E4F"/>
    <w:rsid w:val="00C10ED2"/>
    <w:rsid w:val="00C11397"/>
    <w:rsid w:val="00C114FC"/>
    <w:rsid w:val="00C11540"/>
    <w:rsid w:val="00C11557"/>
    <w:rsid w:val="00C11628"/>
    <w:rsid w:val="00C11924"/>
    <w:rsid w:val="00C11A67"/>
    <w:rsid w:val="00C11DCA"/>
    <w:rsid w:val="00C1211C"/>
    <w:rsid w:val="00C13284"/>
    <w:rsid w:val="00C13A31"/>
    <w:rsid w:val="00C13A92"/>
    <w:rsid w:val="00C13C5D"/>
    <w:rsid w:val="00C13FF2"/>
    <w:rsid w:val="00C14016"/>
    <w:rsid w:val="00C14468"/>
    <w:rsid w:val="00C14541"/>
    <w:rsid w:val="00C1486B"/>
    <w:rsid w:val="00C1495D"/>
    <w:rsid w:val="00C14E3D"/>
    <w:rsid w:val="00C14FB9"/>
    <w:rsid w:val="00C15C46"/>
    <w:rsid w:val="00C15E0E"/>
    <w:rsid w:val="00C1692F"/>
    <w:rsid w:val="00C16E6B"/>
    <w:rsid w:val="00C16F51"/>
    <w:rsid w:val="00C16FA3"/>
    <w:rsid w:val="00C176D2"/>
    <w:rsid w:val="00C17783"/>
    <w:rsid w:val="00C179C7"/>
    <w:rsid w:val="00C17A63"/>
    <w:rsid w:val="00C17B40"/>
    <w:rsid w:val="00C17C28"/>
    <w:rsid w:val="00C17C7E"/>
    <w:rsid w:val="00C17CF3"/>
    <w:rsid w:val="00C17E09"/>
    <w:rsid w:val="00C17F5E"/>
    <w:rsid w:val="00C201FA"/>
    <w:rsid w:val="00C20A04"/>
    <w:rsid w:val="00C20BE3"/>
    <w:rsid w:val="00C20E60"/>
    <w:rsid w:val="00C21555"/>
    <w:rsid w:val="00C215FD"/>
    <w:rsid w:val="00C22025"/>
    <w:rsid w:val="00C22031"/>
    <w:rsid w:val="00C221A0"/>
    <w:rsid w:val="00C2249D"/>
    <w:rsid w:val="00C226C6"/>
    <w:rsid w:val="00C226CC"/>
    <w:rsid w:val="00C22F07"/>
    <w:rsid w:val="00C23656"/>
    <w:rsid w:val="00C237B5"/>
    <w:rsid w:val="00C238D1"/>
    <w:rsid w:val="00C23948"/>
    <w:rsid w:val="00C23AAA"/>
    <w:rsid w:val="00C249CC"/>
    <w:rsid w:val="00C24B28"/>
    <w:rsid w:val="00C24B49"/>
    <w:rsid w:val="00C24D71"/>
    <w:rsid w:val="00C24DD5"/>
    <w:rsid w:val="00C24E09"/>
    <w:rsid w:val="00C24F83"/>
    <w:rsid w:val="00C24FE9"/>
    <w:rsid w:val="00C251B5"/>
    <w:rsid w:val="00C2520C"/>
    <w:rsid w:val="00C253DA"/>
    <w:rsid w:val="00C2561D"/>
    <w:rsid w:val="00C25C46"/>
    <w:rsid w:val="00C25E80"/>
    <w:rsid w:val="00C264CB"/>
    <w:rsid w:val="00C265EA"/>
    <w:rsid w:val="00C267EB"/>
    <w:rsid w:val="00C26906"/>
    <w:rsid w:val="00C26E17"/>
    <w:rsid w:val="00C26F61"/>
    <w:rsid w:val="00C271E0"/>
    <w:rsid w:val="00C27249"/>
    <w:rsid w:val="00C27E1A"/>
    <w:rsid w:val="00C301D9"/>
    <w:rsid w:val="00C309D9"/>
    <w:rsid w:val="00C30A06"/>
    <w:rsid w:val="00C30CAB"/>
    <w:rsid w:val="00C30FDB"/>
    <w:rsid w:val="00C3107F"/>
    <w:rsid w:val="00C31514"/>
    <w:rsid w:val="00C3158B"/>
    <w:rsid w:val="00C317A4"/>
    <w:rsid w:val="00C3182A"/>
    <w:rsid w:val="00C318EB"/>
    <w:rsid w:val="00C31978"/>
    <w:rsid w:val="00C31E23"/>
    <w:rsid w:val="00C31F28"/>
    <w:rsid w:val="00C32003"/>
    <w:rsid w:val="00C32051"/>
    <w:rsid w:val="00C321E1"/>
    <w:rsid w:val="00C322DC"/>
    <w:rsid w:val="00C326F9"/>
    <w:rsid w:val="00C32700"/>
    <w:rsid w:val="00C32C5A"/>
    <w:rsid w:val="00C32D67"/>
    <w:rsid w:val="00C33183"/>
    <w:rsid w:val="00C33388"/>
    <w:rsid w:val="00C336A0"/>
    <w:rsid w:val="00C33CCF"/>
    <w:rsid w:val="00C33D34"/>
    <w:rsid w:val="00C33D3D"/>
    <w:rsid w:val="00C33FD6"/>
    <w:rsid w:val="00C3419A"/>
    <w:rsid w:val="00C342A7"/>
    <w:rsid w:val="00C344FC"/>
    <w:rsid w:val="00C34E03"/>
    <w:rsid w:val="00C35170"/>
    <w:rsid w:val="00C35246"/>
    <w:rsid w:val="00C3534F"/>
    <w:rsid w:val="00C3552A"/>
    <w:rsid w:val="00C358D1"/>
    <w:rsid w:val="00C360D1"/>
    <w:rsid w:val="00C36D1B"/>
    <w:rsid w:val="00C36FFC"/>
    <w:rsid w:val="00C3724B"/>
    <w:rsid w:val="00C3735D"/>
    <w:rsid w:val="00C37863"/>
    <w:rsid w:val="00C379A4"/>
    <w:rsid w:val="00C379B1"/>
    <w:rsid w:val="00C37A29"/>
    <w:rsid w:val="00C40273"/>
    <w:rsid w:val="00C40467"/>
    <w:rsid w:val="00C4080D"/>
    <w:rsid w:val="00C40B37"/>
    <w:rsid w:val="00C40B5A"/>
    <w:rsid w:val="00C40F27"/>
    <w:rsid w:val="00C412C2"/>
    <w:rsid w:val="00C412CE"/>
    <w:rsid w:val="00C412DF"/>
    <w:rsid w:val="00C419CA"/>
    <w:rsid w:val="00C41DFC"/>
    <w:rsid w:val="00C41E94"/>
    <w:rsid w:val="00C41F52"/>
    <w:rsid w:val="00C4236E"/>
    <w:rsid w:val="00C423D8"/>
    <w:rsid w:val="00C425D3"/>
    <w:rsid w:val="00C429F2"/>
    <w:rsid w:val="00C42BB0"/>
    <w:rsid w:val="00C42DAD"/>
    <w:rsid w:val="00C43008"/>
    <w:rsid w:val="00C436EE"/>
    <w:rsid w:val="00C439C6"/>
    <w:rsid w:val="00C43C6E"/>
    <w:rsid w:val="00C43F99"/>
    <w:rsid w:val="00C44722"/>
    <w:rsid w:val="00C44869"/>
    <w:rsid w:val="00C4495F"/>
    <w:rsid w:val="00C44B0C"/>
    <w:rsid w:val="00C44D35"/>
    <w:rsid w:val="00C44EF7"/>
    <w:rsid w:val="00C451F1"/>
    <w:rsid w:val="00C4524B"/>
    <w:rsid w:val="00C452CF"/>
    <w:rsid w:val="00C45638"/>
    <w:rsid w:val="00C4575C"/>
    <w:rsid w:val="00C458D1"/>
    <w:rsid w:val="00C459C1"/>
    <w:rsid w:val="00C45AFA"/>
    <w:rsid w:val="00C45EC4"/>
    <w:rsid w:val="00C46307"/>
    <w:rsid w:val="00C46E80"/>
    <w:rsid w:val="00C46F06"/>
    <w:rsid w:val="00C46F75"/>
    <w:rsid w:val="00C4719C"/>
    <w:rsid w:val="00C477EA"/>
    <w:rsid w:val="00C47B03"/>
    <w:rsid w:val="00C47F8C"/>
    <w:rsid w:val="00C507D6"/>
    <w:rsid w:val="00C5093D"/>
    <w:rsid w:val="00C5194F"/>
    <w:rsid w:val="00C5199B"/>
    <w:rsid w:val="00C519E1"/>
    <w:rsid w:val="00C51AF4"/>
    <w:rsid w:val="00C51E0D"/>
    <w:rsid w:val="00C51FF0"/>
    <w:rsid w:val="00C522D4"/>
    <w:rsid w:val="00C524C1"/>
    <w:rsid w:val="00C52A04"/>
    <w:rsid w:val="00C52E51"/>
    <w:rsid w:val="00C52F7A"/>
    <w:rsid w:val="00C52FA5"/>
    <w:rsid w:val="00C53028"/>
    <w:rsid w:val="00C53152"/>
    <w:rsid w:val="00C531C6"/>
    <w:rsid w:val="00C53B87"/>
    <w:rsid w:val="00C543B0"/>
    <w:rsid w:val="00C5451E"/>
    <w:rsid w:val="00C54A09"/>
    <w:rsid w:val="00C54C04"/>
    <w:rsid w:val="00C54C91"/>
    <w:rsid w:val="00C55543"/>
    <w:rsid w:val="00C558C6"/>
    <w:rsid w:val="00C55A38"/>
    <w:rsid w:val="00C55BD6"/>
    <w:rsid w:val="00C55E88"/>
    <w:rsid w:val="00C55ED0"/>
    <w:rsid w:val="00C5603B"/>
    <w:rsid w:val="00C5617C"/>
    <w:rsid w:val="00C56299"/>
    <w:rsid w:val="00C56344"/>
    <w:rsid w:val="00C567B4"/>
    <w:rsid w:val="00C56F8D"/>
    <w:rsid w:val="00C572B4"/>
    <w:rsid w:val="00C573AE"/>
    <w:rsid w:val="00C574F1"/>
    <w:rsid w:val="00C57533"/>
    <w:rsid w:val="00C5785B"/>
    <w:rsid w:val="00C57A9A"/>
    <w:rsid w:val="00C57B83"/>
    <w:rsid w:val="00C60064"/>
    <w:rsid w:val="00C60185"/>
    <w:rsid w:val="00C6025C"/>
    <w:rsid w:val="00C60590"/>
    <w:rsid w:val="00C60BF1"/>
    <w:rsid w:val="00C60C6E"/>
    <w:rsid w:val="00C61160"/>
    <w:rsid w:val="00C6118E"/>
    <w:rsid w:val="00C611C0"/>
    <w:rsid w:val="00C61618"/>
    <w:rsid w:val="00C61997"/>
    <w:rsid w:val="00C624D6"/>
    <w:rsid w:val="00C62855"/>
    <w:rsid w:val="00C62927"/>
    <w:rsid w:val="00C62B23"/>
    <w:rsid w:val="00C62CB5"/>
    <w:rsid w:val="00C62D06"/>
    <w:rsid w:val="00C62E4E"/>
    <w:rsid w:val="00C62E92"/>
    <w:rsid w:val="00C62EF8"/>
    <w:rsid w:val="00C6348B"/>
    <w:rsid w:val="00C6364E"/>
    <w:rsid w:val="00C63884"/>
    <w:rsid w:val="00C63AE7"/>
    <w:rsid w:val="00C63DDC"/>
    <w:rsid w:val="00C63F84"/>
    <w:rsid w:val="00C6455B"/>
    <w:rsid w:val="00C6462D"/>
    <w:rsid w:val="00C64CAF"/>
    <w:rsid w:val="00C64FC4"/>
    <w:rsid w:val="00C65153"/>
    <w:rsid w:val="00C65374"/>
    <w:rsid w:val="00C65E0C"/>
    <w:rsid w:val="00C6604F"/>
    <w:rsid w:val="00C66849"/>
    <w:rsid w:val="00C66C43"/>
    <w:rsid w:val="00C67093"/>
    <w:rsid w:val="00C6772B"/>
    <w:rsid w:val="00C67B14"/>
    <w:rsid w:val="00C67D7F"/>
    <w:rsid w:val="00C67EBF"/>
    <w:rsid w:val="00C702A5"/>
    <w:rsid w:val="00C70495"/>
    <w:rsid w:val="00C707E4"/>
    <w:rsid w:val="00C709E9"/>
    <w:rsid w:val="00C70A4A"/>
    <w:rsid w:val="00C70D80"/>
    <w:rsid w:val="00C70EFC"/>
    <w:rsid w:val="00C7117F"/>
    <w:rsid w:val="00C713EC"/>
    <w:rsid w:val="00C714CE"/>
    <w:rsid w:val="00C71688"/>
    <w:rsid w:val="00C717FA"/>
    <w:rsid w:val="00C72473"/>
    <w:rsid w:val="00C726E2"/>
    <w:rsid w:val="00C72733"/>
    <w:rsid w:val="00C72A07"/>
    <w:rsid w:val="00C72AB5"/>
    <w:rsid w:val="00C7377A"/>
    <w:rsid w:val="00C73C48"/>
    <w:rsid w:val="00C73F99"/>
    <w:rsid w:val="00C7430F"/>
    <w:rsid w:val="00C75227"/>
    <w:rsid w:val="00C7525C"/>
    <w:rsid w:val="00C754E9"/>
    <w:rsid w:val="00C75539"/>
    <w:rsid w:val="00C75759"/>
    <w:rsid w:val="00C75C56"/>
    <w:rsid w:val="00C75E58"/>
    <w:rsid w:val="00C76068"/>
    <w:rsid w:val="00C76099"/>
    <w:rsid w:val="00C762A2"/>
    <w:rsid w:val="00C763F0"/>
    <w:rsid w:val="00C7668F"/>
    <w:rsid w:val="00C76A04"/>
    <w:rsid w:val="00C76CD4"/>
    <w:rsid w:val="00C76FAD"/>
    <w:rsid w:val="00C773BB"/>
    <w:rsid w:val="00C774A6"/>
    <w:rsid w:val="00C7762D"/>
    <w:rsid w:val="00C776D5"/>
    <w:rsid w:val="00C7795F"/>
    <w:rsid w:val="00C77972"/>
    <w:rsid w:val="00C80341"/>
    <w:rsid w:val="00C80FC9"/>
    <w:rsid w:val="00C8115A"/>
    <w:rsid w:val="00C812E3"/>
    <w:rsid w:val="00C81429"/>
    <w:rsid w:val="00C814B1"/>
    <w:rsid w:val="00C815AA"/>
    <w:rsid w:val="00C8161D"/>
    <w:rsid w:val="00C81B4C"/>
    <w:rsid w:val="00C81D30"/>
    <w:rsid w:val="00C81DAB"/>
    <w:rsid w:val="00C81E73"/>
    <w:rsid w:val="00C81FB9"/>
    <w:rsid w:val="00C81FD3"/>
    <w:rsid w:val="00C82140"/>
    <w:rsid w:val="00C82624"/>
    <w:rsid w:val="00C82914"/>
    <w:rsid w:val="00C82C21"/>
    <w:rsid w:val="00C82D5D"/>
    <w:rsid w:val="00C83554"/>
    <w:rsid w:val="00C83A2B"/>
    <w:rsid w:val="00C83C03"/>
    <w:rsid w:val="00C83EE0"/>
    <w:rsid w:val="00C83F7B"/>
    <w:rsid w:val="00C8427C"/>
    <w:rsid w:val="00C8457C"/>
    <w:rsid w:val="00C847DC"/>
    <w:rsid w:val="00C84C2C"/>
    <w:rsid w:val="00C84ECB"/>
    <w:rsid w:val="00C85060"/>
    <w:rsid w:val="00C852CA"/>
    <w:rsid w:val="00C8535F"/>
    <w:rsid w:val="00C8545E"/>
    <w:rsid w:val="00C85654"/>
    <w:rsid w:val="00C856BA"/>
    <w:rsid w:val="00C85956"/>
    <w:rsid w:val="00C85A86"/>
    <w:rsid w:val="00C85C8E"/>
    <w:rsid w:val="00C863A6"/>
    <w:rsid w:val="00C86B0A"/>
    <w:rsid w:val="00C86C4D"/>
    <w:rsid w:val="00C87359"/>
    <w:rsid w:val="00C87392"/>
    <w:rsid w:val="00C875A9"/>
    <w:rsid w:val="00C87628"/>
    <w:rsid w:val="00C877AE"/>
    <w:rsid w:val="00C87933"/>
    <w:rsid w:val="00C87DA6"/>
    <w:rsid w:val="00C87DDE"/>
    <w:rsid w:val="00C90681"/>
    <w:rsid w:val="00C9092F"/>
    <w:rsid w:val="00C90CAA"/>
    <w:rsid w:val="00C90FB0"/>
    <w:rsid w:val="00C9102B"/>
    <w:rsid w:val="00C911DA"/>
    <w:rsid w:val="00C9136F"/>
    <w:rsid w:val="00C913CF"/>
    <w:rsid w:val="00C9183D"/>
    <w:rsid w:val="00C91E1B"/>
    <w:rsid w:val="00C92478"/>
    <w:rsid w:val="00C92545"/>
    <w:rsid w:val="00C92854"/>
    <w:rsid w:val="00C928D1"/>
    <w:rsid w:val="00C928E4"/>
    <w:rsid w:val="00C92CA6"/>
    <w:rsid w:val="00C932F3"/>
    <w:rsid w:val="00C9371E"/>
    <w:rsid w:val="00C93E4C"/>
    <w:rsid w:val="00C94169"/>
    <w:rsid w:val="00C941D9"/>
    <w:rsid w:val="00C94223"/>
    <w:rsid w:val="00C942CE"/>
    <w:rsid w:val="00C943C0"/>
    <w:rsid w:val="00C94645"/>
    <w:rsid w:val="00C94716"/>
    <w:rsid w:val="00C9482E"/>
    <w:rsid w:val="00C94A23"/>
    <w:rsid w:val="00C94B75"/>
    <w:rsid w:val="00C94CAB"/>
    <w:rsid w:val="00C9546A"/>
    <w:rsid w:val="00C95839"/>
    <w:rsid w:val="00C95854"/>
    <w:rsid w:val="00C95A92"/>
    <w:rsid w:val="00C95E4E"/>
    <w:rsid w:val="00C9689B"/>
    <w:rsid w:val="00C96B4E"/>
    <w:rsid w:val="00C971C8"/>
    <w:rsid w:val="00C97278"/>
    <w:rsid w:val="00C97470"/>
    <w:rsid w:val="00C9747C"/>
    <w:rsid w:val="00CA0B3F"/>
    <w:rsid w:val="00CA0D61"/>
    <w:rsid w:val="00CA1B9F"/>
    <w:rsid w:val="00CA1E90"/>
    <w:rsid w:val="00CA260A"/>
    <w:rsid w:val="00CA2618"/>
    <w:rsid w:val="00CA2ECA"/>
    <w:rsid w:val="00CA2F5A"/>
    <w:rsid w:val="00CA346B"/>
    <w:rsid w:val="00CA3619"/>
    <w:rsid w:val="00CA4262"/>
    <w:rsid w:val="00CA4538"/>
    <w:rsid w:val="00CA458C"/>
    <w:rsid w:val="00CA4B72"/>
    <w:rsid w:val="00CA4F1D"/>
    <w:rsid w:val="00CA4FA4"/>
    <w:rsid w:val="00CA5121"/>
    <w:rsid w:val="00CA5232"/>
    <w:rsid w:val="00CA545C"/>
    <w:rsid w:val="00CA54A9"/>
    <w:rsid w:val="00CA5B64"/>
    <w:rsid w:val="00CA5C91"/>
    <w:rsid w:val="00CA5D4E"/>
    <w:rsid w:val="00CA5E19"/>
    <w:rsid w:val="00CA610B"/>
    <w:rsid w:val="00CA689A"/>
    <w:rsid w:val="00CA69EB"/>
    <w:rsid w:val="00CA6A89"/>
    <w:rsid w:val="00CA6BD2"/>
    <w:rsid w:val="00CA70B6"/>
    <w:rsid w:val="00CA7144"/>
    <w:rsid w:val="00CA7500"/>
    <w:rsid w:val="00CA769D"/>
    <w:rsid w:val="00CA774C"/>
    <w:rsid w:val="00CB00FD"/>
    <w:rsid w:val="00CB0427"/>
    <w:rsid w:val="00CB06F9"/>
    <w:rsid w:val="00CB0D0B"/>
    <w:rsid w:val="00CB13F5"/>
    <w:rsid w:val="00CB1941"/>
    <w:rsid w:val="00CB1CC2"/>
    <w:rsid w:val="00CB1D18"/>
    <w:rsid w:val="00CB1D23"/>
    <w:rsid w:val="00CB1DC4"/>
    <w:rsid w:val="00CB1E0E"/>
    <w:rsid w:val="00CB1EFD"/>
    <w:rsid w:val="00CB1FDF"/>
    <w:rsid w:val="00CB2232"/>
    <w:rsid w:val="00CB2712"/>
    <w:rsid w:val="00CB286A"/>
    <w:rsid w:val="00CB2B78"/>
    <w:rsid w:val="00CB2CE3"/>
    <w:rsid w:val="00CB2E32"/>
    <w:rsid w:val="00CB39B1"/>
    <w:rsid w:val="00CB3EA3"/>
    <w:rsid w:val="00CB44C9"/>
    <w:rsid w:val="00CB4837"/>
    <w:rsid w:val="00CB48F9"/>
    <w:rsid w:val="00CB4C5B"/>
    <w:rsid w:val="00CB5068"/>
    <w:rsid w:val="00CB50EF"/>
    <w:rsid w:val="00CB540C"/>
    <w:rsid w:val="00CB5B73"/>
    <w:rsid w:val="00CB6253"/>
    <w:rsid w:val="00CB658F"/>
    <w:rsid w:val="00CB6A17"/>
    <w:rsid w:val="00CB72C3"/>
    <w:rsid w:val="00CB7439"/>
    <w:rsid w:val="00CB762E"/>
    <w:rsid w:val="00CB76EA"/>
    <w:rsid w:val="00CB7858"/>
    <w:rsid w:val="00CB7F44"/>
    <w:rsid w:val="00CC01A7"/>
    <w:rsid w:val="00CC02BB"/>
    <w:rsid w:val="00CC09C4"/>
    <w:rsid w:val="00CC0B7D"/>
    <w:rsid w:val="00CC0E64"/>
    <w:rsid w:val="00CC0F38"/>
    <w:rsid w:val="00CC0FFC"/>
    <w:rsid w:val="00CC13CA"/>
    <w:rsid w:val="00CC1477"/>
    <w:rsid w:val="00CC1542"/>
    <w:rsid w:val="00CC17D0"/>
    <w:rsid w:val="00CC188E"/>
    <w:rsid w:val="00CC18EC"/>
    <w:rsid w:val="00CC1A93"/>
    <w:rsid w:val="00CC1F7A"/>
    <w:rsid w:val="00CC241A"/>
    <w:rsid w:val="00CC2508"/>
    <w:rsid w:val="00CC277C"/>
    <w:rsid w:val="00CC27B9"/>
    <w:rsid w:val="00CC2802"/>
    <w:rsid w:val="00CC29FD"/>
    <w:rsid w:val="00CC2A88"/>
    <w:rsid w:val="00CC2E6C"/>
    <w:rsid w:val="00CC2F96"/>
    <w:rsid w:val="00CC3061"/>
    <w:rsid w:val="00CC327C"/>
    <w:rsid w:val="00CC3417"/>
    <w:rsid w:val="00CC3575"/>
    <w:rsid w:val="00CC3578"/>
    <w:rsid w:val="00CC38A7"/>
    <w:rsid w:val="00CC3C6F"/>
    <w:rsid w:val="00CC3DE4"/>
    <w:rsid w:val="00CC459B"/>
    <w:rsid w:val="00CC4689"/>
    <w:rsid w:val="00CC4735"/>
    <w:rsid w:val="00CC48D6"/>
    <w:rsid w:val="00CC4BF6"/>
    <w:rsid w:val="00CC4D78"/>
    <w:rsid w:val="00CC4EFF"/>
    <w:rsid w:val="00CC5137"/>
    <w:rsid w:val="00CC51A2"/>
    <w:rsid w:val="00CC5AAD"/>
    <w:rsid w:val="00CC5B8F"/>
    <w:rsid w:val="00CC5EEF"/>
    <w:rsid w:val="00CC5F5B"/>
    <w:rsid w:val="00CC6105"/>
    <w:rsid w:val="00CC6620"/>
    <w:rsid w:val="00CC6974"/>
    <w:rsid w:val="00CC698A"/>
    <w:rsid w:val="00CC6B77"/>
    <w:rsid w:val="00CC6BD5"/>
    <w:rsid w:val="00CC6CBD"/>
    <w:rsid w:val="00CC7465"/>
    <w:rsid w:val="00CC7755"/>
    <w:rsid w:val="00CC776D"/>
    <w:rsid w:val="00CC7D01"/>
    <w:rsid w:val="00CC7DEA"/>
    <w:rsid w:val="00CC7E89"/>
    <w:rsid w:val="00CD03C4"/>
    <w:rsid w:val="00CD0873"/>
    <w:rsid w:val="00CD0ECA"/>
    <w:rsid w:val="00CD1117"/>
    <w:rsid w:val="00CD15CA"/>
    <w:rsid w:val="00CD17AC"/>
    <w:rsid w:val="00CD185E"/>
    <w:rsid w:val="00CD1E31"/>
    <w:rsid w:val="00CD1EAD"/>
    <w:rsid w:val="00CD1FA3"/>
    <w:rsid w:val="00CD201A"/>
    <w:rsid w:val="00CD2103"/>
    <w:rsid w:val="00CD27F9"/>
    <w:rsid w:val="00CD2895"/>
    <w:rsid w:val="00CD28BC"/>
    <w:rsid w:val="00CD299E"/>
    <w:rsid w:val="00CD3414"/>
    <w:rsid w:val="00CD3A36"/>
    <w:rsid w:val="00CD4A5A"/>
    <w:rsid w:val="00CD538A"/>
    <w:rsid w:val="00CD54E3"/>
    <w:rsid w:val="00CD5701"/>
    <w:rsid w:val="00CD5BD9"/>
    <w:rsid w:val="00CD5C2F"/>
    <w:rsid w:val="00CD61EB"/>
    <w:rsid w:val="00CD6378"/>
    <w:rsid w:val="00CD6763"/>
    <w:rsid w:val="00CD69F7"/>
    <w:rsid w:val="00CD6D88"/>
    <w:rsid w:val="00CD6E3D"/>
    <w:rsid w:val="00CD708B"/>
    <w:rsid w:val="00CD7292"/>
    <w:rsid w:val="00CD72B9"/>
    <w:rsid w:val="00CD752E"/>
    <w:rsid w:val="00CD78A0"/>
    <w:rsid w:val="00CD796A"/>
    <w:rsid w:val="00CD7CFE"/>
    <w:rsid w:val="00CD7DCC"/>
    <w:rsid w:val="00CD7E84"/>
    <w:rsid w:val="00CD7F44"/>
    <w:rsid w:val="00CE018C"/>
    <w:rsid w:val="00CE043B"/>
    <w:rsid w:val="00CE066E"/>
    <w:rsid w:val="00CE0C86"/>
    <w:rsid w:val="00CE0CB1"/>
    <w:rsid w:val="00CE1249"/>
    <w:rsid w:val="00CE1263"/>
    <w:rsid w:val="00CE1D0D"/>
    <w:rsid w:val="00CE20FA"/>
    <w:rsid w:val="00CE222F"/>
    <w:rsid w:val="00CE26E3"/>
    <w:rsid w:val="00CE2780"/>
    <w:rsid w:val="00CE2BAC"/>
    <w:rsid w:val="00CE30F7"/>
    <w:rsid w:val="00CE32BF"/>
    <w:rsid w:val="00CE34D6"/>
    <w:rsid w:val="00CE3536"/>
    <w:rsid w:val="00CE3BA6"/>
    <w:rsid w:val="00CE3D67"/>
    <w:rsid w:val="00CE3ED0"/>
    <w:rsid w:val="00CE4353"/>
    <w:rsid w:val="00CE43AF"/>
    <w:rsid w:val="00CE4411"/>
    <w:rsid w:val="00CE476C"/>
    <w:rsid w:val="00CE4D3A"/>
    <w:rsid w:val="00CE4DE3"/>
    <w:rsid w:val="00CE5068"/>
    <w:rsid w:val="00CE50CE"/>
    <w:rsid w:val="00CE51FF"/>
    <w:rsid w:val="00CE55E1"/>
    <w:rsid w:val="00CE5A16"/>
    <w:rsid w:val="00CE5A1E"/>
    <w:rsid w:val="00CE5FCA"/>
    <w:rsid w:val="00CE6215"/>
    <w:rsid w:val="00CE6249"/>
    <w:rsid w:val="00CE64D4"/>
    <w:rsid w:val="00CE64F1"/>
    <w:rsid w:val="00CE64FD"/>
    <w:rsid w:val="00CE6A61"/>
    <w:rsid w:val="00CE7236"/>
    <w:rsid w:val="00CE7869"/>
    <w:rsid w:val="00CE7A51"/>
    <w:rsid w:val="00CE7A68"/>
    <w:rsid w:val="00CE7B20"/>
    <w:rsid w:val="00CE7B94"/>
    <w:rsid w:val="00CE7C45"/>
    <w:rsid w:val="00CE7EF8"/>
    <w:rsid w:val="00CE7FAC"/>
    <w:rsid w:val="00CF020F"/>
    <w:rsid w:val="00CF02F0"/>
    <w:rsid w:val="00CF08C8"/>
    <w:rsid w:val="00CF0A0B"/>
    <w:rsid w:val="00CF0A65"/>
    <w:rsid w:val="00CF0AC0"/>
    <w:rsid w:val="00CF0CC2"/>
    <w:rsid w:val="00CF0FDB"/>
    <w:rsid w:val="00CF1528"/>
    <w:rsid w:val="00CF2301"/>
    <w:rsid w:val="00CF241D"/>
    <w:rsid w:val="00CF2DC0"/>
    <w:rsid w:val="00CF2E25"/>
    <w:rsid w:val="00CF2E40"/>
    <w:rsid w:val="00CF2F13"/>
    <w:rsid w:val="00CF3D82"/>
    <w:rsid w:val="00CF43A5"/>
    <w:rsid w:val="00CF43DA"/>
    <w:rsid w:val="00CF4878"/>
    <w:rsid w:val="00CF4879"/>
    <w:rsid w:val="00CF4A79"/>
    <w:rsid w:val="00CF4BC6"/>
    <w:rsid w:val="00CF4DEA"/>
    <w:rsid w:val="00CF4FED"/>
    <w:rsid w:val="00CF518E"/>
    <w:rsid w:val="00CF5CB8"/>
    <w:rsid w:val="00CF6224"/>
    <w:rsid w:val="00CF6356"/>
    <w:rsid w:val="00CF69E3"/>
    <w:rsid w:val="00CF6BA7"/>
    <w:rsid w:val="00CF6DFA"/>
    <w:rsid w:val="00CF6F3B"/>
    <w:rsid w:val="00CF7724"/>
    <w:rsid w:val="00CF7EF3"/>
    <w:rsid w:val="00CF7F06"/>
    <w:rsid w:val="00D00025"/>
    <w:rsid w:val="00D002D3"/>
    <w:rsid w:val="00D004BD"/>
    <w:rsid w:val="00D0059F"/>
    <w:rsid w:val="00D0076D"/>
    <w:rsid w:val="00D00B38"/>
    <w:rsid w:val="00D00C21"/>
    <w:rsid w:val="00D0116B"/>
    <w:rsid w:val="00D01615"/>
    <w:rsid w:val="00D019C1"/>
    <w:rsid w:val="00D02251"/>
    <w:rsid w:val="00D02433"/>
    <w:rsid w:val="00D02479"/>
    <w:rsid w:val="00D0259A"/>
    <w:rsid w:val="00D02F86"/>
    <w:rsid w:val="00D02FFC"/>
    <w:rsid w:val="00D03011"/>
    <w:rsid w:val="00D0352E"/>
    <w:rsid w:val="00D036B1"/>
    <w:rsid w:val="00D03860"/>
    <w:rsid w:val="00D038E5"/>
    <w:rsid w:val="00D03A14"/>
    <w:rsid w:val="00D03A1B"/>
    <w:rsid w:val="00D03AF5"/>
    <w:rsid w:val="00D03CE7"/>
    <w:rsid w:val="00D03E01"/>
    <w:rsid w:val="00D04115"/>
    <w:rsid w:val="00D04196"/>
    <w:rsid w:val="00D042B3"/>
    <w:rsid w:val="00D042C9"/>
    <w:rsid w:val="00D04F29"/>
    <w:rsid w:val="00D04F47"/>
    <w:rsid w:val="00D04F5C"/>
    <w:rsid w:val="00D050AE"/>
    <w:rsid w:val="00D05169"/>
    <w:rsid w:val="00D05669"/>
    <w:rsid w:val="00D05DC9"/>
    <w:rsid w:val="00D05F86"/>
    <w:rsid w:val="00D06000"/>
    <w:rsid w:val="00D06413"/>
    <w:rsid w:val="00D066EC"/>
    <w:rsid w:val="00D06711"/>
    <w:rsid w:val="00D0677A"/>
    <w:rsid w:val="00D06B03"/>
    <w:rsid w:val="00D06CBA"/>
    <w:rsid w:val="00D06D72"/>
    <w:rsid w:val="00D06DCE"/>
    <w:rsid w:val="00D073A6"/>
    <w:rsid w:val="00D077B6"/>
    <w:rsid w:val="00D07A23"/>
    <w:rsid w:val="00D07B9F"/>
    <w:rsid w:val="00D07E95"/>
    <w:rsid w:val="00D101B2"/>
    <w:rsid w:val="00D107FE"/>
    <w:rsid w:val="00D10932"/>
    <w:rsid w:val="00D10F14"/>
    <w:rsid w:val="00D113C8"/>
    <w:rsid w:val="00D1187D"/>
    <w:rsid w:val="00D11C7A"/>
    <w:rsid w:val="00D12568"/>
    <w:rsid w:val="00D125E7"/>
    <w:rsid w:val="00D1267A"/>
    <w:rsid w:val="00D128BE"/>
    <w:rsid w:val="00D13539"/>
    <w:rsid w:val="00D13A64"/>
    <w:rsid w:val="00D13C8C"/>
    <w:rsid w:val="00D14029"/>
    <w:rsid w:val="00D14181"/>
    <w:rsid w:val="00D145FF"/>
    <w:rsid w:val="00D14C2C"/>
    <w:rsid w:val="00D150C3"/>
    <w:rsid w:val="00D15113"/>
    <w:rsid w:val="00D15136"/>
    <w:rsid w:val="00D151BD"/>
    <w:rsid w:val="00D152E7"/>
    <w:rsid w:val="00D156CA"/>
    <w:rsid w:val="00D15A9D"/>
    <w:rsid w:val="00D15B11"/>
    <w:rsid w:val="00D15B7C"/>
    <w:rsid w:val="00D15B7D"/>
    <w:rsid w:val="00D162DB"/>
    <w:rsid w:val="00D16492"/>
    <w:rsid w:val="00D166D2"/>
    <w:rsid w:val="00D16747"/>
    <w:rsid w:val="00D1681C"/>
    <w:rsid w:val="00D168E4"/>
    <w:rsid w:val="00D16CC3"/>
    <w:rsid w:val="00D16EDA"/>
    <w:rsid w:val="00D16F74"/>
    <w:rsid w:val="00D173FB"/>
    <w:rsid w:val="00D17B69"/>
    <w:rsid w:val="00D17E36"/>
    <w:rsid w:val="00D2025D"/>
    <w:rsid w:val="00D204CB"/>
    <w:rsid w:val="00D20509"/>
    <w:rsid w:val="00D20516"/>
    <w:rsid w:val="00D206E6"/>
    <w:rsid w:val="00D20757"/>
    <w:rsid w:val="00D20CBC"/>
    <w:rsid w:val="00D217FC"/>
    <w:rsid w:val="00D2217D"/>
    <w:rsid w:val="00D2232D"/>
    <w:rsid w:val="00D22476"/>
    <w:rsid w:val="00D22D8D"/>
    <w:rsid w:val="00D22E6E"/>
    <w:rsid w:val="00D23197"/>
    <w:rsid w:val="00D23367"/>
    <w:rsid w:val="00D23601"/>
    <w:rsid w:val="00D239B2"/>
    <w:rsid w:val="00D245D0"/>
    <w:rsid w:val="00D248AF"/>
    <w:rsid w:val="00D24A22"/>
    <w:rsid w:val="00D24C04"/>
    <w:rsid w:val="00D24E60"/>
    <w:rsid w:val="00D24FFE"/>
    <w:rsid w:val="00D2507A"/>
    <w:rsid w:val="00D25271"/>
    <w:rsid w:val="00D2550C"/>
    <w:rsid w:val="00D25BA8"/>
    <w:rsid w:val="00D2607E"/>
    <w:rsid w:val="00D26365"/>
    <w:rsid w:val="00D265A0"/>
    <w:rsid w:val="00D26BB8"/>
    <w:rsid w:val="00D26DB3"/>
    <w:rsid w:val="00D26DF4"/>
    <w:rsid w:val="00D26E70"/>
    <w:rsid w:val="00D26F04"/>
    <w:rsid w:val="00D26F05"/>
    <w:rsid w:val="00D2721E"/>
    <w:rsid w:val="00D274BF"/>
    <w:rsid w:val="00D277F9"/>
    <w:rsid w:val="00D2799F"/>
    <w:rsid w:val="00D27B16"/>
    <w:rsid w:val="00D30315"/>
    <w:rsid w:val="00D305B8"/>
    <w:rsid w:val="00D30686"/>
    <w:rsid w:val="00D30791"/>
    <w:rsid w:val="00D30A28"/>
    <w:rsid w:val="00D30CC0"/>
    <w:rsid w:val="00D31633"/>
    <w:rsid w:val="00D3188E"/>
    <w:rsid w:val="00D31E3E"/>
    <w:rsid w:val="00D325D8"/>
    <w:rsid w:val="00D32713"/>
    <w:rsid w:val="00D32D02"/>
    <w:rsid w:val="00D32D5A"/>
    <w:rsid w:val="00D3302D"/>
    <w:rsid w:val="00D330CA"/>
    <w:rsid w:val="00D3316D"/>
    <w:rsid w:val="00D334E4"/>
    <w:rsid w:val="00D3354C"/>
    <w:rsid w:val="00D3356C"/>
    <w:rsid w:val="00D337A6"/>
    <w:rsid w:val="00D339E9"/>
    <w:rsid w:val="00D33AA2"/>
    <w:rsid w:val="00D33BAD"/>
    <w:rsid w:val="00D33BBA"/>
    <w:rsid w:val="00D33E0D"/>
    <w:rsid w:val="00D34857"/>
    <w:rsid w:val="00D34F66"/>
    <w:rsid w:val="00D35079"/>
    <w:rsid w:val="00D35471"/>
    <w:rsid w:val="00D35475"/>
    <w:rsid w:val="00D3557F"/>
    <w:rsid w:val="00D357DA"/>
    <w:rsid w:val="00D358D0"/>
    <w:rsid w:val="00D35B35"/>
    <w:rsid w:val="00D35BFC"/>
    <w:rsid w:val="00D35E79"/>
    <w:rsid w:val="00D36062"/>
    <w:rsid w:val="00D366BB"/>
    <w:rsid w:val="00D367C6"/>
    <w:rsid w:val="00D368EB"/>
    <w:rsid w:val="00D36B30"/>
    <w:rsid w:val="00D36B4C"/>
    <w:rsid w:val="00D3735A"/>
    <w:rsid w:val="00D3735C"/>
    <w:rsid w:val="00D37450"/>
    <w:rsid w:val="00D374A4"/>
    <w:rsid w:val="00D37514"/>
    <w:rsid w:val="00D375FA"/>
    <w:rsid w:val="00D37882"/>
    <w:rsid w:val="00D37B0D"/>
    <w:rsid w:val="00D40113"/>
    <w:rsid w:val="00D401C2"/>
    <w:rsid w:val="00D4029C"/>
    <w:rsid w:val="00D402CD"/>
    <w:rsid w:val="00D40465"/>
    <w:rsid w:val="00D40613"/>
    <w:rsid w:val="00D4078C"/>
    <w:rsid w:val="00D407E0"/>
    <w:rsid w:val="00D4141D"/>
    <w:rsid w:val="00D4146A"/>
    <w:rsid w:val="00D41661"/>
    <w:rsid w:val="00D419A3"/>
    <w:rsid w:val="00D41C32"/>
    <w:rsid w:val="00D4219D"/>
    <w:rsid w:val="00D4284D"/>
    <w:rsid w:val="00D42A64"/>
    <w:rsid w:val="00D42D52"/>
    <w:rsid w:val="00D42F34"/>
    <w:rsid w:val="00D43060"/>
    <w:rsid w:val="00D4309F"/>
    <w:rsid w:val="00D432AB"/>
    <w:rsid w:val="00D43C5E"/>
    <w:rsid w:val="00D44337"/>
    <w:rsid w:val="00D44591"/>
    <w:rsid w:val="00D445ED"/>
    <w:rsid w:val="00D4486B"/>
    <w:rsid w:val="00D4492F"/>
    <w:rsid w:val="00D44AD0"/>
    <w:rsid w:val="00D451B7"/>
    <w:rsid w:val="00D4533A"/>
    <w:rsid w:val="00D45737"/>
    <w:rsid w:val="00D4573F"/>
    <w:rsid w:val="00D45BA3"/>
    <w:rsid w:val="00D46186"/>
    <w:rsid w:val="00D46594"/>
    <w:rsid w:val="00D46860"/>
    <w:rsid w:val="00D469D9"/>
    <w:rsid w:val="00D46FD9"/>
    <w:rsid w:val="00D4744E"/>
    <w:rsid w:val="00D476B1"/>
    <w:rsid w:val="00D47E6C"/>
    <w:rsid w:val="00D5014C"/>
    <w:rsid w:val="00D5046F"/>
    <w:rsid w:val="00D506E4"/>
    <w:rsid w:val="00D50942"/>
    <w:rsid w:val="00D50B27"/>
    <w:rsid w:val="00D51150"/>
    <w:rsid w:val="00D5170E"/>
    <w:rsid w:val="00D51BB8"/>
    <w:rsid w:val="00D51DDD"/>
    <w:rsid w:val="00D51F86"/>
    <w:rsid w:val="00D524E2"/>
    <w:rsid w:val="00D529A8"/>
    <w:rsid w:val="00D52DAC"/>
    <w:rsid w:val="00D53051"/>
    <w:rsid w:val="00D531DB"/>
    <w:rsid w:val="00D538E1"/>
    <w:rsid w:val="00D53FB8"/>
    <w:rsid w:val="00D54285"/>
    <w:rsid w:val="00D54541"/>
    <w:rsid w:val="00D54699"/>
    <w:rsid w:val="00D5478C"/>
    <w:rsid w:val="00D54C71"/>
    <w:rsid w:val="00D55065"/>
    <w:rsid w:val="00D55557"/>
    <w:rsid w:val="00D55E2B"/>
    <w:rsid w:val="00D55E9A"/>
    <w:rsid w:val="00D5614D"/>
    <w:rsid w:val="00D5618D"/>
    <w:rsid w:val="00D56AF7"/>
    <w:rsid w:val="00D56B7D"/>
    <w:rsid w:val="00D56C1E"/>
    <w:rsid w:val="00D56DD9"/>
    <w:rsid w:val="00D56F4B"/>
    <w:rsid w:val="00D570C0"/>
    <w:rsid w:val="00D5727F"/>
    <w:rsid w:val="00D574C6"/>
    <w:rsid w:val="00D577BB"/>
    <w:rsid w:val="00D577E3"/>
    <w:rsid w:val="00D578AB"/>
    <w:rsid w:val="00D57B96"/>
    <w:rsid w:val="00D603EF"/>
    <w:rsid w:val="00D604B7"/>
    <w:rsid w:val="00D605A5"/>
    <w:rsid w:val="00D60649"/>
    <w:rsid w:val="00D608A3"/>
    <w:rsid w:val="00D60AE4"/>
    <w:rsid w:val="00D60CAD"/>
    <w:rsid w:val="00D60F19"/>
    <w:rsid w:val="00D61290"/>
    <w:rsid w:val="00D612B3"/>
    <w:rsid w:val="00D61522"/>
    <w:rsid w:val="00D6198E"/>
    <w:rsid w:val="00D61A48"/>
    <w:rsid w:val="00D61A67"/>
    <w:rsid w:val="00D61A91"/>
    <w:rsid w:val="00D61E88"/>
    <w:rsid w:val="00D62175"/>
    <w:rsid w:val="00D625E3"/>
    <w:rsid w:val="00D62A47"/>
    <w:rsid w:val="00D62BDF"/>
    <w:rsid w:val="00D6338D"/>
    <w:rsid w:val="00D6374D"/>
    <w:rsid w:val="00D6387B"/>
    <w:rsid w:val="00D63A6D"/>
    <w:rsid w:val="00D63B12"/>
    <w:rsid w:val="00D63F06"/>
    <w:rsid w:val="00D64312"/>
    <w:rsid w:val="00D644A2"/>
    <w:rsid w:val="00D645FD"/>
    <w:rsid w:val="00D6472A"/>
    <w:rsid w:val="00D647C5"/>
    <w:rsid w:val="00D6494A"/>
    <w:rsid w:val="00D64A61"/>
    <w:rsid w:val="00D64CF3"/>
    <w:rsid w:val="00D64E30"/>
    <w:rsid w:val="00D6521D"/>
    <w:rsid w:val="00D6528D"/>
    <w:rsid w:val="00D6533B"/>
    <w:rsid w:val="00D659EF"/>
    <w:rsid w:val="00D65A3A"/>
    <w:rsid w:val="00D66123"/>
    <w:rsid w:val="00D66818"/>
    <w:rsid w:val="00D66881"/>
    <w:rsid w:val="00D66909"/>
    <w:rsid w:val="00D66A5A"/>
    <w:rsid w:val="00D66B8D"/>
    <w:rsid w:val="00D66CB2"/>
    <w:rsid w:val="00D66E53"/>
    <w:rsid w:val="00D670D2"/>
    <w:rsid w:val="00D6754B"/>
    <w:rsid w:val="00D6757D"/>
    <w:rsid w:val="00D67A55"/>
    <w:rsid w:val="00D67CBD"/>
    <w:rsid w:val="00D67FC1"/>
    <w:rsid w:val="00D70218"/>
    <w:rsid w:val="00D7043B"/>
    <w:rsid w:val="00D7060E"/>
    <w:rsid w:val="00D70879"/>
    <w:rsid w:val="00D70C9E"/>
    <w:rsid w:val="00D70D01"/>
    <w:rsid w:val="00D70EBE"/>
    <w:rsid w:val="00D71078"/>
    <w:rsid w:val="00D7132D"/>
    <w:rsid w:val="00D71351"/>
    <w:rsid w:val="00D714A7"/>
    <w:rsid w:val="00D7191A"/>
    <w:rsid w:val="00D71924"/>
    <w:rsid w:val="00D71D62"/>
    <w:rsid w:val="00D721C0"/>
    <w:rsid w:val="00D723EE"/>
    <w:rsid w:val="00D7275E"/>
    <w:rsid w:val="00D72E60"/>
    <w:rsid w:val="00D72E8C"/>
    <w:rsid w:val="00D72FCF"/>
    <w:rsid w:val="00D738FD"/>
    <w:rsid w:val="00D73941"/>
    <w:rsid w:val="00D73991"/>
    <w:rsid w:val="00D739A8"/>
    <w:rsid w:val="00D73B52"/>
    <w:rsid w:val="00D73DEC"/>
    <w:rsid w:val="00D742BD"/>
    <w:rsid w:val="00D747D2"/>
    <w:rsid w:val="00D749D6"/>
    <w:rsid w:val="00D74B60"/>
    <w:rsid w:val="00D74FB6"/>
    <w:rsid w:val="00D751B4"/>
    <w:rsid w:val="00D752D5"/>
    <w:rsid w:val="00D753EC"/>
    <w:rsid w:val="00D75471"/>
    <w:rsid w:val="00D75551"/>
    <w:rsid w:val="00D75984"/>
    <w:rsid w:val="00D75C73"/>
    <w:rsid w:val="00D75DF6"/>
    <w:rsid w:val="00D76B7C"/>
    <w:rsid w:val="00D76F30"/>
    <w:rsid w:val="00D76FCF"/>
    <w:rsid w:val="00D7776A"/>
    <w:rsid w:val="00D77795"/>
    <w:rsid w:val="00D80357"/>
    <w:rsid w:val="00D8055D"/>
    <w:rsid w:val="00D806AF"/>
    <w:rsid w:val="00D806F4"/>
    <w:rsid w:val="00D80A1E"/>
    <w:rsid w:val="00D80C13"/>
    <w:rsid w:val="00D80D20"/>
    <w:rsid w:val="00D80E81"/>
    <w:rsid w:val="00D81023"/>
    <w:rsid w:val="00D811C8"/>
    <w:rsid w:val="00D812C2"/>
    <w:rsid w:val="00D8161F"/>
    <w:rsid w:val="00D8188E"/>
    <w:rsid w:val="00D820C4"/>
    <w:rsid w:val="00D82362"/>
    <w:rsid w:val="00D825E8"/>
    <w:rsid w:val="00D828D5"/>
    <w:rsid w:val="00D82AAF"/>
    <w:rsid w:val="00D82B00"/>
    <w:rsid w:val="00D82ECE"/>
    <w:rsid w:val="00D82FB3"/>
    <w:rsid w:val="00D8312C"/>
    <w:rsid w:val="00D833A4"/>
    <w:rsid w:val="00D835E5"/>
    <w:rsid w:val="00D83923"/>
    <w:rsid w:val="00D83A38"/>
    <w:rsid w:val="00D83B27"/>
    <w:rsid w:val="00D83EBE"/>
    <w:rsid w:val="00D84023"/>
    <w:rsid w:val="00D84190"/>
    <w:rsid w:val="00D846A1"/>
    <w:rsid w:val="00D84BD6"/>
    <w:rsid w:val="00D84CFB"/>
    <w:rsid w:val="00D84E1C"/>
    <w:rsid w:val="00D85368"/>
    <w:rsid w:val="00D8587C"/>
    <w:rsid w:val="00D85883"/>
    <w:rsid w:val="00D85E82"/>
    <w:rsid w:val="00D8624A"/>
    <w:rsid w:val="00D86505"/>
    <w:rsid w:val="00D866EE"/>
    <w:rsid w:val="00D8672F"/>
    <w:rsid w:val="00D86753"/>
    <w:rsid w:val="00D86AA4"/>
    <w:rsid w:val="00D86B91"/>
    <w:rsid w:val="00D86F5B"/>
    <w:rsid w:val="00D8705D"/>
    <w:rsid w:val="00D872D7"/>
    <w:rsid w:val="00D87511"/>
    <w:rsid w:val="00D87559"/>
    <w:rsid w:val="00D8769F"/>
    <w:rsid w:val="00D87751"/>
    <w:rsid w:val="00D87902"/>
    <w:rsid w:val="00D87AF1"/>
    <w:rsid w:val="00D87B0C"/>
    <w:rsid w:val="00D87B6E"/>
    <w:rsid w:val="00D87F37"/>
    <w:rsid w:val="00D906AE"/>
    <w:rsid w:val="00D90A77"/>
    <w:rsid w:val="00D91002"/>
    <w:rsid w:val="00D9110B"/>
    <w:rsid w:val="00D91A13"/>
    <w:rsid w:val="00D91CF5"/>
    <w:rsid w:val="00D9213C"/>
    <w:rsid w:val="00D923D2"/>
    <w:rsid w:val="00D92783"/>
    <w:rsid w:val="00D93226"/>
    <w:rsid w:val="00D933B6"/>
    <w:rsid w:val="00D9395F"/>
    <w:rsid w:val="00D93BD8"/>
    <w:rsid w:val="00D93D3B"/>
    <w:rsid w:val="00D9419D"/>
    <w:rsid w:val="00D941D7"/>
    <w:rsid w:val="00D94519"/>
    <w:rsid w:val="00D94DC3"/>
    <w:rsid w:val="00D94F3E"/>
    <w:rsid w:val="00D95052"/>
    <w:rsid w:val="00D9509A"/>
    <w:rsid w:val="00D951BC"/>
    <w:rsid w:val="00D9527E"/>
    <w:rsid w:val="00D955DE"/>
    <w:rsid w:val="00D95743"/>
    <w:rsid w:val="00D957D2"/>
    <w:rsid w:val="00D957FF"/>
    <w:rsid w:val="00D95A4B"/>
    <w:rsid w:val="00D95B57"/>
    <w:rsid w:val="00D95DDF"/>
    <w:rsid w:val="00D95ECC"/>
    <w:rsid w:val="00D95F70"/>
    <w:rsid w:val="00D96111"/>
    <w:rsid w:val="00D9614E"/>
    <w:rsid w:val="00D96329"/>
    <w:rsid w:val="00D96450"/>
    <w:rsid w:val="00D9670C"/>
    <w:rsid w:val="00D96F65"/>
    <w:rsid w:val="00D96FBA"/>
    <w:rsid w:val="00D972C2"/>
    <w:rsid w:val="00D9748F"/>
    <w:rsid w:val="00D97541"/>
    <w:rsid w:val="00D97785"/>
    <w:rsid w:val="00DA08AD"/>
    <w:rsid w:val="00DA0BAA"/>
    <w:rsid w:val="00DA0BD2"/>
    <w:rsid w:val="00DA1152"/>
    <w:rsid w:val="00DA1354"/>
    <w:rsid w:val="00DA136C"/>
    <w:rsid w:val="00DA1404"/>
    <w:rsid w:val="00DA143C"/>
    <w:rsid w:val="00DA17BB"/>
    <w:rsid w:val="00DA18A8"/>
    <w:rsid w:val="00DA19C5"/>
    <w:rsid w:val="00DA1D14"/>
    <w:rsid w:val="00DA22A9"/>
    <w:rsid w:val="00DA22BE"/>
    <w:rsid w:val="00DA2C05"/>
    <w:rsid w:val="00DA2CC4"/>
    <w:rsid w:val="00DA2D29"/>
    <w:rsid w:val="00DA3017"/>
    <w:rsid w:val="00DA30F0"/>
    <w:rsid w:val="00DA32A4"/>
    <w:rsid w:val="00DA3434"/>
    <w:rsid w:val="00DA38E9"/>
    <w:rsid w:val="00DA3C03"/>
    <w:rsid w:val="00DA3CCC"/>
    <w:rsid w:val="00DA3D28"/>
    <w:rsid w:val="00DA3D3A"/>
    <w:rsid w:val="00DA4025"/>
    <w:rsid w:val="00DA436B"/>
    <w:rsid w:val="00DA51C3"/>
    <w:rsid w:val="00DA5293"/>
    <w:rsid w:val="00DA5484"/>
    <w:rsid w:val="00DA54CC"/>
    <w:rsid w:val="00DA5500"/>
    <w:rsid w:val="00DA57F8"/>
    <w:rsid w:val="00DA5B81"/>
    <w:rsid w:val="00DA5FFE"/>
    <w:rsid w:val="00DA6532"/>
    <w:rsid w:val="00DA6C47"/>
    <w:rsid w:val="00DA6C4E"/>
    <w:rsid w:val="00DA70A5"/>
    <w:rsid w:val="00DA7111"/>
    <w:rsid w:val="00DA74BD"/>
    <w:rsid w:val="00DA750C"/>
    <w:rsid w:val="00DA7735"/>
    <w:rsid w:val="00DA7B91"/>
    <w:rsid w:val="00DB021D"/>
    <w:rsid w:val="00DB0862"/>
    <w:rsid w:val="00DB0B27"/>
    <w:rsid w:val="00DB12D7"/>
    <w:rsid w:val="00DB1C3B"/>
    <w:rsid w:val="00DB1D55"/>
    <w:rsid w:val="00DB1F25"/>
    <w:rsid w:val="00DB204B"/>
    <w:rsid w:val="00DB2128"/>
    <w:rsid w:val="00DB23C4"/>
    <w:rsid w:val="00DB24A7"/>
    <w:rsid w:val="00DB2737"/>
    <w:rsid w:val="00DB280C"/>
    <w:rsid w:val="00DB2816"/>
    <w:rsid w:val="00DB2A0D"/>
    <w:rsid w:val="00DB2C4E"/>
    <w:rsid w:val="00DB2D82"/>
    <w:rsid w:val="00DB312C"/>
    <w:rsid w:val="00DB3498"/>
    <w:rsid w:val="00DB3598"/>
    <w:rsid w:val="00DB3601"/>
    <w:rsid w:val="00DB3664"/>
    <w:rsid w:val="00DB3CF9"/>
    <w:rsid w:val="00DB3CFA"/>
    <w:rsid w:val="00DB3E7F"/>
    <w:rsid w:val="00DB4246"/>
    <w:rsid w:val="00DB433B"/>
    <w:rsid w:val="00DB43FE"/>
    <w:rsid w:val="00DB4605"/>
    <w:rsid w:val="00DB4B20"/>
    <w:rsid w:val="00DB5765"/>
    <w:rsid w:val="00DB5B9F"/>
    <w:rsid w:val="00DB5CE3"/>
    <w:rsid w:val="00DB5EF3"/>
    <w:rsid w:val="00DB662F"/>
    <w:rsid w:val="00DB6A00"/>
    <w:rsid w:val="00DB6BD1"/>
    <w:rsid w:val="00DB6D0C"/>
    <w:rsid w:val="00DB6F90"/>
    <w:rsid w:val="00DB710E"/>
    <w:rsid w:val="00DB76C6"/>
    <w:rsid w:val="00DB790D"/>
    <w:rsid w:val="00DB7B96"/>
    <w:rsid w:val="00DB7CCF"/>
    <w:rsid w:val="00DB7E8D"/>
    <w:rsid w:val="00DB7F3B"/>
    <w:rsid w:val="00DC049E"/>
    <w:rsid w:val="00DC0C33"/>
    <w:rsid w:val="00DC1012"/>
    <w:rsid w:val="00DC117E"/>
    <w:rsid w:val="00DC1185"/>
    <w:rsid w:val="00DC11CD"/>
    <w:rsid w:val="00DC15D4"/>
    <w:rsid w:val="00DC1753"/>
    <w:rsid w:val="00DC18D8"/>
    <w:rsid w:val="00DC1B37"/>
    <w:rsid w:val="00DC1BB0"/>
    <w:rsid w:val="00DC1CD4"/>
    <w:rsid w:val="00DC2A6D"/>
    <w:rsid w:val="00DC309A"/>
    <w:rsid w:val="00DC31CB"/>
    <w:rsid w:val="00DC392E"/>
    <w:rsid w:val="00DC3BE0"/>
    <w:rsid w:val="00DC3F30"/>
    <w:rsid w:val="00DC3F67"/>
    <w:rsid w:val="00DC4738"/>
    <w:rsid w:val="00DC4819"/>
    <w:rsid w:val="00DC4840"/>
    <w:rsid w:val="00DC4A24"/>
    <w:rsid w:val="00DC5606"/>
    <w:rsid w:val="00DC58E3"/>
    <w:rsid w:val="00DC5C4E"/>
    <w:rsid w:val="00DC5DFF"/>
    <w:rsid w:val="00DC60F6"/>
    <w:rsid w:val="00DC6148"/>
    <w:rsid w:val="00DC6257"/>
    <w:rsid w:val="00DC65EC"/>
    <w:rsid w:val="00DC6906"/>
    <w:rsid w:val="00DC6961"/>
    <w:rsid w:val="00DC6B00"/>
    <w:rsid w:val="00DC6BF0"/>
    <w:rsid w:val="00DC6EF7"/>
    <w:rsid w:val="00DC7370"/>
    <w:rsid w:val="00DC74CB"/>
    <w:rsid w:val="00DC7642"/>
    <w:rsid w:val="00DC7764"/>
    <w:rsid w:val="00DC793E"/>
    <w:rsid w:val="00DD0C50"/>
    <w:rsid w:val="00DD0CBA"/>
    <w:rsid w:val="00DD129F"/>
    <w:rsid w:val="00DD134A"/>
    <w:rsid w:val="00DD13E6"/>
    <w:rsid w:val="00DD1EC2"/>
    <w:rsid w:val="00DD245B"/>
    <w:rsid w:val="00DD291B"/>
    <w:rsid w:val="00DD2EF8"/>
    <w:rsid w:val="00DD3075"/>
    <w:rsid w:val="00DD41F6"/>
    <w:rsid w:val="00DD43E5"/>
    <w:rsid w:val="00DD49E1"/>
    <w:rsid w:val="00DD4C93"/>
    <w:rsid w:val="00DD4EC0"/>
    <w:rsid w:val="00DD507A"/>
    <w:rsid w:val="00DD5224"/>
    <w:rsid w:val="00DD5293"/>
    <w:rsid w:val="00DD5529"/>
    <w:rsid w:val="00DD57A6"/>
    <w:rsid w:val="00DD5D35"/>
    <w:rsid w:val="00DD5EE2"/>
    <w:rsid w:val="00DD6124"/>
    <w:rsid w:val="00DD63F3"/>
    <w:rsid w:val="00DD6473"/>
    <w:rsid w:val="00DD66D8"/>
    <w:rsid w:val="00DD6BF2"/>
    <w:rsid w:val="00DD6C7A"/>
    <w:rsid w:val="00DD6CF4"/>
    <w:rsid w:val="00DD7C9A"/>
    <w:rsid w:val="00DD7FCC"/>
    <w:rsid w:val="00DE08C7"/>
    <w:rsid w:val="00DE20C5"/>
    <w:rsid w:val="00DE262B"/>
    <w:rsid w:val="00DE2B2A"/>
    <w:rsid w:val="00DE2C38"/>
    <w:rsid w:val="00DE322C"/>
    <w:rsid w:val="00DE34BA"/>
    <w:rsid w:val="00DE39BA"/>
    <w:rsid w:val="00DE3E5C"/>
    <w:rsid w:val="00DE3F6F"/>
    <w:rsid w:val="00DE432C"/>
    <w:rsid w:val="00DE47F4"/>
    <w:rsid w:val="00DE5F62"/>
    <w:rsid w:val="00DE6688"/>
    <w:rsid w:val="00DE6BA3"/>
    <w:rsid w:val="00DE6E94"/>
    <w:rsid w:val="00DE70AA"/>
    <w:rsid w:val="00DE72FC"/>
    <w:rsid w:val="00DE771B"/>
    <w:rsid w:val="00DE7E4C"/>
    <w:rsid w:val="00DF03BB"/>
    <w:rsid w:val="00DF0566"/>
    <w:rsid w:val="00DF0DC0"/>
    <w:rsid w:val="00DF0DCB"/>
    <w:rsid w:val="00DF0FB0"/>
    <w:rsid w:val="00DF10BD"/>
    <w:rsid w:val="00DF12C1"/>
    <w:rsid w:val="00DF1703"/>
    <w:rsid w:val="00DF1767"/>
    <w:rsid w:val="00DF1794"/>
    <w:rsid w:val="00DF18AE"/>
    <w:rsid w:val="00DF1CC7"/>
    <w:rsid w:val="00DF1F2E"/>
    <w:rsid w:val="00DF2BD8"/>
    <w:rsid w:val="00DF2D2A"/>
    <w:rsid w:val="00DF2EAD"/>
    <w:rsid w:val="00DF2F88"/>
    <w:rsid w:val="00DF41BD"/>
    <w:rsid w:val="00DF4371"/>
    <w:rsid w:val="00DF43B3"/>
    <w:rsid w:val="00DF4432"/>
    <w:rsid w:val="00DF449B"/>
    <w:rsid w:val="00DF44C6"/>
    <w:rsid w:val="00DF4754"/>
    <w:rsid w:val="00DF4854"/>
    <w:rsid w:val="00DF49AA"/>
    <w:rsid w:val="00DF4AD9"/>
    <w:rsid w:val="00DF4E3E"/>
    <w:rsid w:val="00DF4F40"/>
    <w:rsid w:val="00DF51C5"/>
    <w:rsid w:val="00DF5402"/>
    <w:rsid w:val="00DF550A"/>
    <w:rsid w:val="00DF558A"/>
    <w:rsid w:val="00DF55AC"/>
    <w:rsid w:val="00DF55BE"/>
    <w:rsid w:val="00DF57D9"/>
    <w:rsid w:val="00DF598A"/>
    <w:rsid w:val="00DF60B9"/>
    <w:rsid w:val="00DF63B7"/>
    <w:rsid w:val="00DF6791"/>
    <w:rsid w:val="00DF6992"/>
    <w:rsid w:val="00DF6BB8"/>
    <w:rsid w:val="00DF6C96"/>
    <w:rsid w:val="00DF6D76"/>
    <w:rsid w:val="00DF768E"/>
    <w:rsid w:val="00DF7815"/>
    <w:rsid w:val="00DF7886"/>
    <w:rsid w:val="00DF78C2"/>
    <w:rsid w:val="00DF7B5E"/>
    <w:rsid w:val="00DF7DB3"/>
    <w:rsid w:val="00E003AC"/>
    <w:rsid w:val="00E009C3"/>
    <w:rsid w:val="00E00A1D"/>
    <w:rsid w:val="00E00AE7"/>
    <w:rsid w:val="00E00C4D"/>
    <w:rsid w:val="00E00DF8"/>
    <w:rsid w:val="00E00F56"/>
    <w:rsid w:val="00E010CD"/>
    <w:rsid w:val="00E0164C"/>
    <w:rsid w:val="00E017AE"/>
    <w:rsid w:val="00E01828"/>
    <w:rsid w:val="00E01C73"/>
    <w:rsid w:val="00E01F84"/>
    <w:rsid w:val="00E02013"/>
    <w:rsid w:val="00E02181"/>
    <w:rsid w:val="00E023CB"/>
    <w:rsid w:val="00E024F8"/>
    <w:rsid w:val="00E028A4"/>
    <w:rsid w:val="00E02C6A"/>
    <w:rsid w:val="00E03493"/>
    <w:rsid w:val="00E034AA"/>
    <w:rsid w:val="00E0366D"/>
    <w:rsid w:val="00E037B5"/>
    <w:rsid w:val="00E03BD0"/>
    <w:rsid w:val="00E03BEB"/>
    <w:rsid w:val="00E03E97"/>
    <w:rsid w:val="00E04093"/>
    <w:rsid w:val="00E0433F"/>
    <w:rsid w:val="00E0453D"/>
    <w:rsid w:val="00E047CD"/>
    <w:rsid w:val="00E0483A"/>
    <w:rsid w:val="00E05445"/>
    <w:rsid w:val="00E05837"/>
    <w:rsid w:val="00E059A6"/>
    <w:rsid w:val="00E05B1A"/>
    <w:rsid w:val="00E05B4E"/>
    <w:rsid w:val="00E05C38"/>
    <w:rsid w:val="00E05DE4"/>
    <w:rsid w:val="00E05FA6"/>
    <w:rsid w:val="00E062C1"/>
    <w:rsid w:val="00E06377"/>
    <w:rsid w:val="00E065DC"/>
    <w:rsid w:val="00E069D5"/>
    <w:rsid w:val="00E07026"/>
    <w:rsid w:val="00E07396"/>
    <w:rsid w:val="00E074B0"/>
    <w:rsid w:val="00E07879"/>
    <w:rsid w:val="00E07C01"/>
    <w:rsid w:val="00E07C35"/>
    <w:rsid w:val="00E1080F"/>
    <w:rsid w:val="00E1090F"/>
    <w:rsid w:val="00E10C41"/>
    <w:rsid w:val="00E10CAE"/>
    <w:rsid w:val="00E12380"/>
    <w:rsid w:val="00E12756"/>
    <w:rsid w:val="00E12940"/>
    <w:rsid w:val="00E12AE6"/>
    <w:rsid w:val="00E12B37"/>
    <w:rsid w:val="00E12B5F"/>
    <w:rsid w:val="00E1323C"/>
    <w:rsid w:val="00E13742"/>
    <w:rsid w:val="00E139F3"/>
    <w:rsid w:val="00E1402E"/>
    <w:rsid w:val="00E1427D"/>
    <w:rsid w:val="00E14327"/>
    <w:rsid w:val="00E14549"/>
    <w:rsid w:val="00E146EA"/>
    <w:rsid w:val="00E14782"/>
    <w:rsid w:val="00E147C5"/>
    <w:rsid w:val="00E14BE5"/>
    <w:rsid w:val="00E14C60"/>
    <w:rsid w:val="00E14CA6"/>
    <w:rsid w:val="00E150FD"/>
    <w:rsid w:val="00E152A4"/>
    <w:rsid w:val="00E157A2"/>
    <w:rsid w:val="00E1580E"/>
    <w:rsid w:val="00E15A2F"/>
    <w:rsid w:val="00E15B31"/>
    <w:rsid w:val="00E15E32"/>
    <w:rsid w:val="00E16252"/>
    <w:rsid w:val="00E163C4"/>
    <w:rsid w:val="00E1641E"/>
    <w:rsid w:val="00E166B6"/>
    <w:rsid w:val="00E167CE"/>
    <w:rsid w:val="00E1705D"/>
    <w:rsid w:val="00E17431"/>
    <w:rsid w:val="00E174AB"/>
    <w:rsid w:val="00E1770A"/>
    <w:rsid w:val="00E17732"/>
    <w:rsid w:val="00E17BC0"/>
    <w:rsid w:val="00E200F3"/>
    <w:rsid w:val="00E201D9"/>
    <w:rsid w:val="00E203D1"/>
    <w:rsid w:val="00E2064E"/>
    <w:rsid w:val="00E206DF"/>
    <w:rsid w:val="00E20CC2"/>
    <w:rsid w:val="00E20CF6"/>
    <w:rsid w:val="00E213C7"/>
    <w:rsid w:val="00E21443"/>
    <w:rsid w:val="00E215F8"/>
    <w:rsid w:val="00E21729"/>
    <w:rsid w:val="00E21A97"/>
    <w:rsid w:val="00E21B3A"/>
    <w:rsid w:val="00E21DC6"/>
    <w:rsid w:val="00E22099"/>
    <w:rsid w:val="00E224D4"/>
    <w:rsid w:val="00E22AE8"/>
    <w:rsid w:val="00E22B0A"/>
    <w:rsid w:val="00E22C9F"/>
    <w:rsid w:val="00E22D78"/>
    <w:rsid w:val="00E23141"/>
    <w:rsid w:val="00E237D8"/>
    <w:rsid w:val="00E23C66"/>
    <w:rsid w:val="00E23EB2"/>
    <w:rsid w:val="00E2447A"/>
    <w:rsid w:val="00E24C0A"/>
    <w:rsid w:val="00E25371"/>
    <w:rsid w:val="00E25474"/>
    <w:rsid w:val="00E254C5"/>
    <w:rsid w:val="00E25712"/>
    <w:rsid w:val="00E25A67"/>
    <w:rsid w:val="00E25A9F"/>
    <w:rsid w:val="00E25D85"/>
    <w:rsid w:val="00E25DED"/>
    <w:rsid w:val="00E26279"/>
    <w:rsid w:val="00E26349"/>
    <w:rsid w:val="00E263A0"/>
    <w:rsid w:val="00E26416"/>
    <w:rsid w:val="00E26F85"/>
    <w:rsid w:val="00E27552"/>
    <w:rsid w:val="00E278C3"/>
    <w:rsid w:val="00E300DE"/>
    <w:rsid w:val="00E30708"/>
    <w:rsid w:val="00E30848"/>
    <w:rsid w:val="00E30901"/>
    <w:rsid w:val="00E30AF7"/>
    <w:rsid w:val="00E314FB"/>
    <w:rsid w:val="00E3188F"/>
    <w:rsid w:val="00E3195E"/>
    <w:rsid w:val="00E31CB5"/>
    <w:rsid w:val="00E32253"/>
    <w:rsid w:val="00E324CF"/>
    <w:rsid w:val="00E325ED"/>
    <w:rsid w:val="00E32A6F"/>
    <w:rsid w:val="00E32B86"/>
    <w:rsid w:val="00E32EE5"/>
    <w:rsid w:val="00E32F7A"/>
    <w:rsid w:val="00E32F93"/>
    <w:rsid w:val="00E332AA"/>
    <w:rsid w:val="00E336B7"/>
    <w:rsid w:val="00E3384C"/>
    <w:rsid w:val="00E338C5"/>
    <w:rsid w:val="00E33ADE"/>
    <w:rsid w:val="00E342DC"/>
    <w:rsid w:val="00E34398"/>
    <w:rsid w:val="00E34E94"/>
    <w:rsid w:val="00E34FAC"/>
    <w:rsid w:val="00E35030"/>
    <w:rsid w:val="00E35148"/>
    <w:rsid w:val="00E35681"/>
    <w:rsid w:val="00E35CC2"/>
    <w:rsid w:val="00E35DFD"/>
    <w:rsid w:val="00E36643"/>
    <w:rsid w:val="00E36855"/>
    <w:rsid w:val="00E36C97"/>
    <w:rsid w:val="00E36E82"/>
    <w:rsid w:val="00E36F80"/>
    <w:rsid w:val="00E37267"/>
    <w:rsid w:val="00E37389"/>
    <w:rsid w:val="00E37785"/>
    <w:rsid w:val="00E3796D"/>
    <w:rsid w:val="00E379F7"/>
    <w:rsid w:val="00E37A84"/>
    <w:rsid w:val="00E37C9D"/>
    <w:rsid w:val="00E37D17"/>
    <w:rsid w:val="00E37ED3"/>
    <w:rsid w:val="00E37EF5"/>
    <w:rsid w:val="00E37F7A"/>
    <w:rsid w:val="00E4011A"/>
    <w:rsid w:val="00E40355"/>
    <w:rsid w:val="00E40862"/>
    <w:rsid w:val="00E40C77"/>
    <w:rsid w:val="00E40F74"/>
    <w:rsid w:val="00E41188"/>
    <w:rsid w:val="00E4120C"/>
    <w:rsid w:val="00E41272"/>
    <w:rsid w:val="00E41408"/>
    <w:rsid w:val="00E41444"/>
    <w:rsid w:val="00E41794"/>
    <w:rsid w:val="00E4179F"/>
    <w:rsid w:val="00E41CB6"/>
    <w:rsid w:val="00E42119"/>
    <w:rsid w:val="00E42236"/>
    <w:rsid w:val="00E42437"/>
    <w:rsid w:val="00E426E1"/>
    <w:rsid w:val="00E428B5"/>
    <w:rsid w:val="00E428D0"/>
    <w:rsid w:val="00E42A34"/>
    <w:rsid w:val="00E42A54"/>
    <w:rsid w:val="00E42A68"/>
    <w:rsid w:val="00E42B7D"/>
    <w:rsid w:val="00E4302A"/>
    <w:rsid w:val="00E4345D"/>
    <w:rsid w:val="00E43B56"/>
    <w:rsid w:val="00E43BF1"/>
    <w:rsid w:val="00E43CF7"/>
    <w:rsid w:val="00E43DDF"/>
    <w:rsid w:val="00E441E3"/>
    <w:rsid w:val="00E44315"/>
    <w:rsid w:val="00E4471D"/>
    <w:rsid w:val="00E449FC"/>
    <w:rsid w:val="00E44AF2"/>
    <w:rsid w:val="00E44DD1"/>
    <w:rsid w:val="00E44EBC"/>
    <w:rsid w:val="00E45025"/>
    <w:rsid w:val="00E4534C"/>
    <w:rsid w:val="00E46110"/>
    <w:rsid w:val="00E461BE"/>
    <w:rsid w:val="00E47107"/>
    <w:rsid w:val="00E47555"/>
    <w:rsid w:val="00E47561"/>
    <w:rsid w:val="00E4759C"/>
    <w:rsid w:val="00E47A1C"/>
    <w:rsid w:val="00E47D6C"/>
    <w:rsid w:val="00E47FAD"/>
    <w:rsid w:val="00E50011"/>
    <w:rsid w:val="00E500AB"/>
    <w:rsid w:val="00E50186"/>
    <w:rsid w:val="00E507DF"/>
    <w:rsid w:val="00E50A35"/>
    <w:rsid w:val="00E50A45"/>
    <w:rsid w:val="00E50B17"/>
    <w:rsid w:val="00E50CB7"/>
    <w:rsid w:val="00E50E7B"/>
    <w:rsid w:val="00E51186"/>
    <w:rsid w:val="00E512E3"/>
    <w:rsid w:val="00E514F7"/>
    <w:rsid w:val="00E5154F"/>
    <w:rsid w:val="00E5197D"/>
    <w:rsid w:val="00E51A15"/>
    <w:rsid w:val="00E51B97"/>
    <w:rsid w:val="00E51D5D"/>
    <w:rsid w:val="00E51F07"/>
    <w:rsid w:val="00E52CAE"/>
    <w:rsid w:val="00E53274"/>
    <w:rsid w:val="00E5374C"/>
    <w:rsid w:val="00E53898"/>
    <w:rsid w:val="00E53E16"/>
    <w:rsid w:val="00E541FF"/>
    <w:rsid w:val="00E5440C"/>
    <w:rsid w:val="00E54846"/>
    <w:rsid w:val="00E54881"/>
    <w:rsid w:val="00E54985"/>
    <w:rsid w:val="00E54ABA"/>
    <w:rsid w:val="00E54ACD"/>
    <w:rsid w:val="00E54B2B"/>
    <w:rsid w:val="00E54C18"/>
    <w:rsid w:val="00E54F1A"/>
    <w:rsid w:val="00E54FE3"/>
    <w:rsid w:val="00E55048"/>
    <w:rsid w:val="00E550A2"/>
    <w:rsid w:val="00E55A04"/>
    <w:rsid w:val="00E55C9A"/>
    <w:rsid w:val="00E55E4D"/>
    <w:rsid w:val="00E56399"/>
    <w:rsid w:val="00E568CE"/>
    <w:rsid w:val="00E57040"/>
    <w:rsid w:val="00E60321"/>
    <w:rsid w:val="00E60B48"/>
    <w:rsid w:val="00E60B8A"/>
    <w:rsid w:val="00E614A5"/>
    <w:rsid w:val="00E61632"/>
    <w:rsid w:val="00E61874"/>
    <w:rsid w:val="00E61C40"/>
    <w:rsid w:val="00E61FFB"/>
    <w:rsid w:val="00E622B8"/>
    <w:rsid w:val="00E626D5"/>
    <w:rsid w:val="00E62C4E"/>
    <w:rsid w:val="00E62CC1"/>
    <w:rsid w:val="00E62E3C"/>
    <w:rsid w:val="00E62EFE"/>
    <w:rsid w:val="00E632D2"/>
    <w:rsid w:val="00E63323"/>
    <w:rsid w:val="00E6332E"/>
    <w:rsid w:val="00E63725"/>
    <w:rsid w:val="00E63C98"/>
    <w:rsid w:val="00E64543"/>
    <w:rsid w:val="00E646AC"/>
    <w:rsid w:val="00E64913"/>
    <w:rsid w:val="00E64B77"/>
    <w:rsid w:val="00E64B7D"/>
    <w:rsid w:val="00E64B97"/>
    <w:rsid w:val="00E64C52"/>
    <w:rsid w:val="00E64C59"/>
    <w:rsid w:val="00E64C68"/>
    <w:rsid w:val="00E64C6C"/>
    <w:rsid w:val="00E653B9"/>
    <w:rsid w:val="00E65B1E"/>
    <w:rsid w:val="00E65E08"/>
    <w:rsid w:val="00E65E57"/>
    <w:rsid w:val="00E66004"/>
    <w:rsid w:val="00E660BB"/>
    <w:rsid w:val="00E66344"/>
    <w:rsid w:val="00E66456"/>
    <w:rsid w:val="00E665BE"/>
    <w:rsid w:val="00E6666D"/>
    <w:rsid w:val="00E66806"/>
    <w:rsid w:val="00E66865"/>
    <w:rsid w:val="00E66B8C"/>
    <w:rsid w:val="00E67024"/>
    <w:rsid w:val="00E6716F"/>
    <w:rsid w:val="00E672AF"/>
    <w:rsid w:val="00E672ED"/>
    <w:rsid w:val="00E672F5"/>
    <w:rsid w:val="00E676A1"/>
    <w:rsid w:val="00E676C5"/>
    <w:rsid w:val="00E676F9"/>
    <w:rsid w:val="00E67748"/>
    <w:rsid w:val="00E67BAE"/>
    <w:rsid w:val="00E67C2D"/>
    <w:rsid w:val="00E67C8D"/>
    <w:rsid w:val="00E67FE9"/>
    <w:rsid w:val="00E7075B"/>
    <w:rsid w:val="00E70833"/>
    <w:rsid w:val="00E7084E"/>
    <w:rsid w:val="00E70B43"/>
    <w:rsid w:val="00E70C19"/>
    <w:rsid w:val="00E70D8D"/>
    <w:rsid w:val="00E70DD7"/>
    <w:rsid w:val="00E70E76"/>
    <w:rsid w:val="00E71B80"/>
    <w:rsid w:val="00E71EE6"/>
    <w:rsid w:val="00E721B9"/>
    <w:rsid w:val="00E72254"/>
    <w:rsid w:val="00E723EE"/>
    <w:rsid w:val="00E724B7"/>
    <w:rsid w:val="00E728EC"/>
    <w:rsid w:val="00E72EE0"/>
    <w:rsid w:val="00E7301B"/>
    <w:rsid w:val="00E73A52"/>
    <w:rsid w:val="00E73CD0"/>
    <w:rsid w:val="00E74054"/>
    <w:rsid w:val="00E741FB"/>
    <w:rsid w:val="00E74856"/>
    <w:rsid w:val="00E74AF9"/>
    <w:rsid w:val="00E74E15"/>
    <w:rsid w:val="00E75479"/>
    <w:rsid w:val="00E75528"/>
    <w:rsid w:val="00E756C3"/>
    <w:rsid w:val="00E7593F"/>
    <w:rsid w:val="00E75AFA"/>
    <w:rsid w:val="00E761B8"/>
    <w:rsid w:val="00E761BD"/>
    <w:rsid w:val="00E762B8"/>
    <w:rsid w:val="00E763C2"/>
    <w:rsid w:val="00E764EC"/>
    <w:rsid w:val="00E7692E"/>
    <w:rsid w:val="00E769FD"/>
    <w:rsid w:val="00E771AC"/>
    <w:rsid w:val="00E771FD"/>
    <w:rsid w:val="00E77783"/>
    <w:rsid w:val="00E777B0"/>
    <w:rsid w:val="00E77A7A"/>
    <w:rsid w:val="00E77C62"/>
    <w:rsid w:val="00E801B5"/>
    <w:rsid w:val="00E8029D"/>
    <w:rsid w:val="00E802DD"/>
    <w:rsid w:val="00E80407"/>
    <w:rsid w:val="00E80924"/>
    <w:rsid w:val="00E80F26"/>
    <w:rsid w:val="00E80FDF"/>
    <w:rsid w:val="00E81385"/>
    <w:rsid w:val="00E813D0"/>
    <w:rsid w:val="00E814F0"/>
    <w:rsid w:val="00E815BB"/>
    <w:rsid w:val="00E81625"/>
    <w:rsid w:val="00E816F5"/>
    <w:rsid w:val="00E818CD"/>
    <w:rsid w:val="00E81911"/>
    <w:rsid w:val="00E81A9D"/>
    <w:rsid w:val="00E81BC7"/>
    <w:rsid w:val="00E821E6"/>
    <w:rsid w:val="00E8230B"/>
    <w:rsid w:val="00E823C6"/>
    <w:rsid w:val="00E83188"/>
    <w:rsid w:val="00E83287"/>
    <w:rsid w:val="00E834B3"/>
    <w:rsid w:val="00E83AF7"/>
    <w:rsid w:val="00E83C77"/>
    <w:rsid w:val="00E8402D"/>
    <w:rsid w:val="00E840B9"/>
    <w:rsid w:val="00E843EC"/>
    <w:rsid w:val="00E845E2"/>
    <w:rsid w:val="00E847C1"/>
    <w:rsid w:val="00E84E7E"/>
    <w:rsid w:val="00E85047"/>
    <w:rsid w:val="00E85576"/>
    <w:rsid w:val="00E855E4"/>
    <w:rsid w:val="00E85762"/>
    <w:rsid w:val="00E859D1"/>
    <w:rsid w:val="00E859F3"/>
    <w:rsid w:val="00E85A38"/>
    <w:rsid w:val="00E85A7C"/>
    <w:rsid w:val="00E85B39"/>
    <w:rsid w:val="00E85B48"/>
    <w:rsid w:val="00E85F31"/>
    <w:rsid w:val="00E86089"/>
    <w:rsid w:val="00E863C5"/>
    <w:rsid w:val="00E867C2"/>
    <w:rsid w:val="00E86E40"/>
    <w:rsid w:val="00E86E99"/>
    <w:rsid w:val="00E86EBF"/>
    <w:rsid w:val="00E86F3E"/>
    <w:rsid w:val="00E87773"/>
    <w:rsid w:val="00E87B8B"/>
    <w:rsid w:val="00E905A3"/>
    <w:rsid w:val="00E91182"/>
    <w:rsid w:val="00E916BB"/>
    <w:rsid w:val="00E916E8"/>
    <w:rsid w:val="00E9196C"/>
    <w:rsid w:val="00E91A7E"/>
    <w:rsid w:val="00E91AD0"/>
    <w:rsid w:val="00E91BD2"/>
    <w:rsid w:val="00E91FD5"/>
    <w:rsid w:val="00E91FED"/>
    <w:rsid w:val="00E9318A"/>
    <w:rsid w:val="00E93246"/>
    <w:rsid w:val="00E93416"/>
    <w:rsid w:val="00E9341B"/>
    <w:rsid w:val="00E93750"/>
    <w:rsid w:val="00E938F9"/>
    <w:rsid w:val="00E93C9D"/>
    <w:rsid w:val="00E93F35"/>
    <w:rsid w:val="00E945A8"/>
    <w:rsid w:val="00E94AE4"/>
    <w:rsid w:val="00E94CE6"/>
    <w:rsid w:val="00E94E62"/>
    <w:rsid w:val="00E94F36"/>
    <w:rsid w:val="00E9546B"/>
    <w:rsid w:val="00E9549D"/>
    <w:rsid w:val="00E9552B"/>
    <w:rsid w:val="00E9585A"/>
    <w:rsid w:val="00E958C9"/>
    <w:rsid w:val="00E95FF3"/>
    <w:rsid w:val="00E9637B"/>
    <w:rsid w:val="00E96CF3"/>
    <w:rsid w:val="00E96D90"/>
    <w:rsid w:val="00E970ED"/>
    <w:rsid w:val="00E97B22"/>
    <w:rsid w:val="00E97DB5"/>
    <w:rsid w:val="00E97F0D"/>
    <w:rsid w:val="00EA0AF3"/>
    <w:rsid w:val="00EA0C50"/>
    <w:rsid w:val="00EA0E9A"/>
    <w:rsid w:val="00EA121F"/>
    <w:rsid w:val="00EA160F"/>
    <w:rsid w:val="00EA17CD"/>
    <w:rsid w:val="00EA1943"/>
    <w:rsid w:val="00EA19C0"/>
    <w:rsid w:val="00EA19F1"/>
    <w:rsid w:val="00EA1C72"/>
    <w:rsid w:val="00EA1C85"/>
    <w:rsid w:val="00EA1CEA"/>
    <w:rsid w:val="00EA1CFF"/>
    <w:rsid w:val="00EA1EC3"/>
    <w:rsid w:val="00EA21DC"/>
    <w:rsid w:val="00EA22A0"/>
    <w:rsid w:val="00EA259D"/>
    <w:rsid w:val="00EA2D9C"/>
    <w:rsid w:val="00EA2DD4"/>
    <w:rsid w:val="00EA317A"/>
    <w:rsid w:val="00EA3434"/>
    <w:rsid w:val="00EA3898"/>
    <w:rsid w:val="00EA390E"/>
    <w:rsid w:val="00EA3983"/>
    <w:rsid w:val="00EA3AF3"/>
    <w:rsid w:val="00EA3FE9"/>
    <w:rsid w:val="00EA4058"/>
    <w:rsid w:val="00EA457A"/>
    <w:rsid w:val="00EA4812"/>
    <w:rsid w:val="00EA481B"/>
    <w:rsid w:val="00EA4D87"/>
    <w:rsid w:val="00EA4EF2"/>
    <w:rsid w:val="00EA4F14"/>
    <w:rsid w:val="00EA4F72"/>
    <w:rsid w:val="00EA540D"/>
    <w:rsid w:val="00EA5466"/>
    <w:rsid w:val="00EA5789"/>
    <w:rsid w:val="00EA5B4F"/>
    <w:rsid w:val="00EA5B69"/>
    <w:rsid w:val="00EA5D05"/>
    <w:rsid w:val="00EA5D5C"/>
    <w:rsid w:val="00EA68A5"/>
    <w:rsid w:val="00EA6AF6"/>
    <w:rsid w:val="00EA6C95"/>
    <w:rsid w:val="00EA7318"/>
    <w:rsid w:val="00EA747A"/>
    <w:rsid w:val="00EA7AAE"/>
    <w:rsid w:val="00EA7FC9"/>
    <w:rsid w:val="00EB0047"/>
    <w:rsid w:val="00EB04DA"/>
    <w:rsid w:val="00EB0585"/>
    <w:rsid w:val="00EB0860"/>
    <w:rsid w:val="00EB0A81"/>
    <w:rsid w:val="00EB0B3A"/>
    <w:rsid w:val="00EB0D25"/>
    <w:rsid w:val="00EB0D30"/>
    <w:rsid w:val="00EB0E14"/>
    <w:rsid w:val="00EB10D9"/>
    <w:rsid w:val="00EB10DD"/>
    <w:rsid w:val="00EB1384"/>
    <w:rsid w:val="00EB1566"/>
    <w:rsid w:val="00EB172B"/>
    <w:rsid w:val="00EB1980"/>
    <w:rsid w:val="00EB19FB"/>
    <w:rsid w:val="00EB1CB1"/>
    <w:rsid w:val="00EB2334"/>
    <w:rsid w:val="00EB2397"/>
    <w:rsid w:val="00EB2A6E"/>
    <w:rsid w:val="00EB2FDF"/>
    <w:rsid w:val="00EB336C"/>
    <w:rsid w:val="00EB3645"/>
    <w:rsid w:val="00EB3F9D"/>
    <w:rsid w:val="00EB440B"/>
    <w:rsid w:val="00EB45CC"/>
    <w:rsid w:val="00EB4E17"/>
    <w:rsid w:val="00EB5227"/>
    <w:rsid w:val="00EB5404"/>
    <w:rsid w:val="00EB543A"/>
    <w:rsid w:val="00EB5654"/>
    <w:rsid w:val="00EB5CE9"/>
    <w:rsid w:val="00EB5DC6"/>
    <w:rsid w:val="00EB5FB1"/>
    <w:rsid w:val="00EB673F"/>
    <w:rsid w:val="00EB6749"/>
    <w:rsid w:val="00EB676E"/>
    <w:rsid w:val="00EB6AA0"/>
    <w:rsid w:val="00EB6AC5"/>
    <w:rsid w:val="00EB6CDF"/>
    <w:rsid w:val="00EB6CFB"/>
    <w:rsid w:val="00EB6EB3"/>
    <w:rsid w:val="00EB7111"/>
    <w:rsid w:val="00EB71D6"/>
    <w:rsid w:val="00EB72F5"/>
    <w:rsid w:val="00EB746C"/>
    <w:rsid w:val="00EB7476"/>
    <w:rsid w:val="00EB7B94"/>
    <w:rsid w:val="00EB7C00"/>
    <w:rsid w:val="00EC0075"/>
    <w:rsid w:val="00EC0150"/>
    <w:rsid w:val="00EC0346"/>
    <w:rsid w:val="00EC0A73"/>
    <w:rsid w:val="00EC0AF1"/>
    <w:rsid w:val="00EC0B5F"/>
    <w:rsid w:val="00EC0D72"/>
    <w:rsid w:val="00EC0DCE"/>
    <w:rsid w:val="00EC0E35"/>
    <w:rsid w:val="00EC13ED"/>
    <w:rsid w:val="00EC15F8"/>
    <w:rsid w:val="00EC16C5"/>
    <w:rsid w:val="00EC1D01"/>
    <w:rsid w:val="00EC1DF3"/>
    <w:rsid w:val="00EC239C"/>
    <w:rsid w:val="00EC253C"/>
    <w:rsid w:val="00EC291F"/>
    <w:rsid w:val="00EC2956"/>
    <w:rsid w:val="00EC2980"/>
    <w:rsid w:val="00EC30EF"/>
    <w:rsid w:val="00EC338D"/>
    <w:rsid w:val="00EC33AE"/>
    <w:rsid w:val="00EC3454"/>
    <w:rsid w:val="00EC37B4"/>
    <w:rsid w:val="00EC3D80"/>
    <w:rsid w:val="00EC4389"/>
    <w:rsid w:val="00EC439D"/>
    <w:rsid w:val="00EC444E"/>
    <w:rsid w:val="00EC4641"/>
    <w:rsid w:val="00EC4652"/>
    <w:rsid w:val="00EC46B2"/>
    <w:rsid w:val="00EC4876"/>
    <w:rsid w:val="00EC4ED6"/>
    <w:rsid w:val="00EC4FB7"/>
    <w:rsid w:val="00EC507A"/>
    <w:rsid w:val="00EC5839"/>
    <w:rsid w:val="00EC5D31"/>
    <w:rsid w:val="00EC5DB5"/>
    <w:rsid w:val="00EC5E0B"/>
    <w:rsid w:val="00EC613C"/>
    <w:rsid w:val="00EC625C"/>
    <w:rsid w:val="00EC6678"/>
    <w:rsid w:val="00EC66F1"/>
    <w:rsid w:val="00EC678C"/>
    <w:rsid w:val="00EC6B70"/>
    <w:rsid w:val="00EC6E6E"/>
    <w:rsid w:val="00EC7AE0"/>
    <w:rsid w:val="00EC7EF1"/>
    <w:rsid w:val="00ED023D"/>
    <w:rsid w:val="00ED02EF"/>
    <w:rsid w:val="00ED043A"/>
    <w:rsid w:val="00ED077E"/>
    <w:rsid w:val="00ED0E00"/>
    <w:rsid w:val="00ED0F30"/>
    <w:rsid w:val="00ED174D"/>
    <w:rsid w:val="00ED2344"/>
    <w:rsid w:val="00ED23D9"/>
    <w:rsid w:val="00ED28F5"/>
    <w:rsid w:val="00ED29CA"/>
    <w:rsid w:val="00ED2AD4"/>
    <w:rsid w:val="00ED2D21"/>
    <w:rsid w:val="00ED2E7E"/>
    <w:rsid w:val="00ED2F12"/>
    <w:rsid w:val="00ED3504"/>
    <w:rsid w:val="00ED35BF"/>
    <w:rsid w:val="00ED374C"/>
    <w:rsid w:val="00ED3943"/>
    <w:rsid w:val="00ED3ADA"/>
    <w:rsid w:val="00ED3AF3"/>
    <w:rsid w:val="00ED3DC8"/>
    <w:rsid w:val="00ED4983"/>
    <w:rsid w:val="00ED4A01"/>
    <w:rsid w:val="00ED4B76"/>
    <w:rsid w:val="00ED4CD5"/>
    <w:rsid w:val="00ED5079"/>
    <w:rsid w:val="00ED57E2"/>
    <w:rsid w:val="00ED5DEE"/>
    <w:rsid w:val="00ED6221"/>
    <w:rsid w:val="00ED6236"/>
    <w:rsid w:val="00ED63D2"/>
    <w:rsid w:val="00ED6A72"/>
    <w:rsid w:val="00ED6D4C"/>
    <w:rsid w:val="00ED6E4E"/>
    <w:rsid w:val="00ED704E"/>
    <w:rsid w:val="00ED7161"/>
    <w:rsid w:val="00ED7175"/>
    <w:rsid w:val="00ED7A1F"/>
    <w:rsid w:val="00EE00C7"/>
    <w:rsid w:val="00EE0D3D"/>
    <w:rsid w:val="00EE1794"/>
    <w:rsid w:val="00EE1CD2"/>
    <w:rsid w:val="00EE1EB2"/>
    <w:rsid w:val="00EE23B0"/>
    <w:rsid w:val="00EE27BC"/>
    <w:rsid w:val="00EE29D4"/>
    <w:rsid w:val="00EE2A2F"/>
    <w:rsid w:val="00EE2ADE"/>
    <w:rsid w:val="00EE2D0D"/>
    <w:rsid w:val="00EE325D"/>
    <w:rsid w:val="00EE32CB"/>
    <w:rsid w:val="00EE3939"/>
    <w:rsid w:val="00EE3940"/>
    <w:rsid w:val="00EE3B36"/>
    <w:rsid w:val="00EE3DE6"/>
    <w:rsid w:val="00EE3FEB"/>
    <w:rsid w:val="00EE4240"/>
    <w:rsid w:val="00EE4392"/>
    <w:rsid w:val="00EE4E18"/>
    <w:rsid w:val="00EE541E"/>
    <w:rsid w:val="00EE5559"/>
    <w:rsid w:val="00EE56EE"/>
    <w:rsid w:val="00EE58B9"/>
    <w:rsid w:val="00EE600F"/>
    <w:rsid w:val="00EE643B"/>
    <w:rsid w:val="00EE68AC"/>
    <w:rsid w:val="00EE6B7B"/>
    <w:rsid w:val="00EE6BC0"/>
    <w:rsid w:val="00EE6C26"/>
    <w:rsid w:val="00EE6D7D"/>
    <w:rsid w:val="00EE6F14"/>
    <w:rsid w:val="00EE6F8C"/>
    <w:rsid w:val="00EE7682"/>
    <w:rsid w:val="00EE78A7"/>
    <w:rsid w:val="00EE7F13"/>
    <w:rsid w:val="00EF0194"/>
    <w:rsid w:val="00EF064E"/>
    <w:rsid w:val="00EF07CA"/>
    <w:rsid w:val="00EF1091"/>
    <w:rsid w:val="00EF14BB"/>
    <w:rsid w:val="00EF1E89"/>
    <w:rsid w:val="00EF20AB"/>
    <w:rsid w:val="00EF20C0"/>
    <w:rsid w:val="00EF2316"/>
    <w:rsid w:val="00EF235B"/>
    <w:rsid w:val="00EF2A76"/>
    <w:rsid w:val="00EF2AC2"/>
    <w:rsid w:val="00EF2C99"/>
    <w:rsid w:val="00EF3A7B"/>
    <w:rsid w:val="00EF3CD6"/>
    <w:rsid w:val="00EF3F23"/>
    <w:rsid w:val="00EF3F35"/>
    <w:rsid w:val="00EF4980"/>
    <w:rsid w:val="00EF4B98"/>
    <w:rsid w:val="00EF4C28"/>
    <w:rsid w:val="00EF4D06"/>
    <w:rsid w:val="00EF4F15"/>
    <w:rsid w:val="00EF518D"/>
    <w:rsid w:val="00EF5A5A"/>
    <w:rsid w:val="00EF5A62"/>
    <w:rsid w:val="00EF5EAD"/>
    <w:rsid w:val="00EF6554"/>
    <w:rsid w:val="00EF67C4"/>
    <w:rsid w:val="00EF6841"/>
    <w:rsid w:val="00EF6B72"/>
    <w:rsid w:val="00EF6D52"/>
    <w:rsid w:val="00EF780D"/>
    <w:rsid w:val="00EF79F2"/>
    <w:rsid w:val="00F0024A"/>
    <w:rsid w:val="00F005DB"/>
    <w:rsid w:val="00F006B7"/>
    <w:rsid w:val="00F0070D"/>
    <w:rsid w:val="00F00BF3"/>
    <w:rsid w:val="00F00CB8"/>
    <w:rsid w:val="00F01193"/>
    <w:rsid w:val="00F01400"/>
    <w:rsid w:val="00F01A69"/>
    <w:rsid w:val="00F01D6B"/>
    <w:rsid w:val="00F02013"/>
    <w:rsid w:val="00F020F1"/>
    <w:rsid w:val="00F02A2D"/>
    <w:rsid w:val="00F03555"/>
    <w:rsid w:val="00F03852"/>
    <w:rsid w:val="00F03979"/>
    <w:rsid w:val="00F03AED"/>
    <w:rsid w:val="00F03DD5"/>
    <w:rsid w:val="00F0442E"/>
    <w:rsid w:val="00F04774"/>
    <w:rsid w:val="00F048A9"/>
    <w:rsid w:val="00F04A7D"/>
    <w:rsid w:val="00F04AE3"/>
    <w:rsid w:val="00F04EA7"/>
    <w:rsid w:val="00F04FFD"/>
    <w:rsid w:val="00F05004"/>
    <w:rsid w:val="00F05128"/>
    <w:rsid w:val="00F05343"/>
    <w:rsid w:val="00F05589"/>
    <w:rsid w:val="00F055FD"/>
    <w:rsid w:val="00F057CA"/>
    <w:rsid w:val="00F05900"/>
    <w:rsid w:val="00F05DE9"/>
    <w:rsid w:val="00F06237"/>
    <w:rsid w:val="00F0623B"/>
    <w:rsid w:val="00F064BF"/>
    <w:rsid w:val="00F0691D"/>
    <w:rsid w:val="00F06B47"/>
    <w:rsid w:val="00F06CFB"/>
    <w:rsid w:val="00F06D5B"/>
    <w:rsid w:val="00F06E60"/>
    <w:rsid w:val="00F06EB4"/>
    <w:rsid w:val="00F073A1"/>
    <w:rsid w:val="00F078D4"/>
    <w:rsid w:val="00F07B8D"/>
    <w:rsid w:val="00F07BE7"/>
    <w:rsid w:val="00F07ECF"/>
    <w:rsid w:val="00F10173"/>
    <w:rsid w:val="00F101EF"/>
    <w:rsid w:val="00F10249"/>
    <w:rsid w:val="00F10B06"/>
    <w:rsid w:val="00F10D49"/>
    <w:rsid w:val="00F110D1"/>
    <w:rsid w:val="00F116F6"/>
    <w:rsid w:val="00F11896"/>
    <w:rsid w:val="00F11BF2"/>
    <w:rsid w:val="00F11F26"/>
    <w:rsid w:val="00F12186"/>
    <w:rsid w:val="00F12795"/>
    <w:rsid w:val="00F129B5"/>
    <w:rsid w:val="00F12BFF"/>
    <w:rsid w:val="00F12CC9"/>
    <w:rsid w:val="00F12D01"/>
    <w:rsid w:val="00F12DEB"/>
    <w:rsid w:val="00F13155"/>
    <w:rsid w:val="00F13548"/>
    <w:rsid w:val="00F135BE"/>
    <w:rsid w:val="00F13685"/>
    <w:rsid w:val="00F13C3E"/>
    <w:rsid w:val="00F142B7"/>
    <w:rsid w:val="00F142B9"/>
    <w:rsid w:val="00F14BB6"/>
    <w:rsid w:val="00F14FD3"/>
    <w:rsid w:val="00F153D1"/>
    <w:rsid w:val="00F1582E"/>
    <w:rsid w:val="00F159CA"/>
    <w:rsid w:val="00F15CCD"/>
    <w:rsid w:val="00F15D5E"/>
    <w:rsid w:val="00F15F9C"/>
    <w:rsid w:val="00F162D4"/>
    <w:rsid w:val="00F165C6"/>
    <w:rsid w:val="00F168EB"/>
    <w:rsid w:val="00F16E79"/>
    <w:rsid w:val="00F16ECF"/>
    <w:rsid w:val="00F17330"/>
    <w:rsid w:val="00F17AFD"/>
    <w:rsid w:val="00F17B5D"/>
    <w:rsid w:val="00F17CF8"/>
    <w:rsid w:val="00F17E1B"/>
    <w:rsid w:val="00F20054"/>
    <w:rsid w:val="00F203E6"/>
    <w:rsid w:val="00F2058B"/>
    <w:rsid w:val="00F2065F"/>
    <w:rsid w:val="00F20AF3"/>
    <w:rsid w:val="00F20B5E"/>
    <w:rsid w:val="00F20ECB"/>
    <w:rsid w:val="00F20EE7"/>
    <w:rsid w:val="00F2114A"/>
    <w:rsid w:val="00F213A5"/>
    <w:rsid w:val="00F21523"/>
    <w:rsid w:val="00F2159A"/>
    <w:rsid w:val="00F216BC"/>
    <w:rsid w:val="00F21712"/>
    <w:rsid w:val="00F21A19"/>
    <w:rsid w:val="00F21D92"/>
    <w:rsid w:val="00F22704"/>
    <w:rsid w:val="00F22CBD"/>
    <w:rsid w:val="00F22CFA"/>
    <w:rsid w:val="00F22FE1"/>
    <w:rsid w:val="00F235A4"/>
    <w:rsid w:val="00F23604"/>
    <w:rsid w:val="00F23D63"/>
    <w:rsid w:val="00F2408C"/>
    <w:rsid w:val="00F24424"/>
    <w:rsid w:val="00F24448"/>
    <w:rsid w:val="00F24592"/>
    <w:rsid w:val="00F24690"/>
    <w:rsid w:val="00F24DDB"/>
    <w:rsid w:val="00F251A7"/>
    <w:rsid w:val="00F251AA"/>
    <w:rsid w:val="00F25840"/>
    <w:rsid w:val="00F25AE6"/>
    <w:rsid w:val="00F25C41"/>
    <w:rsid w:val="00F25DF3"/>
    <w:rsid w:val="00F26319"/>
    <w:rsid w:val="00F2662B"/>
    <w:rsid w:val="00F26AE6"/>
    <w:rsid w:val="00F26B35"/>
    <w:rsid w:val="00F26C3B"/>
    <w:rsid w:val="00F26FAF"/>
    <w:rsid w:val="00F274C1"/>
    <w:rsid w:val="00F27640"/>
    <w:rsid w:val="00F277B0"/>
    <w:rsid w:val="00F27BEF"/>
    <w:rsid w:val="00F27C09"/>
    <w:rsid w:val="00F27CEB"/>
    <w:rsid w:val="00F30034"/>
    <w:rsid w:val="00F303EA"/>
    <w:rsid w:val="00F3052B"/>
    <w:rsid w:val="00F30674"/>
    <w:rsid w:val="00F30971"/>
    <w:rsid w:val="00F30C00"/>
    <w:rsid w:val="00F30C9D"/>
    <w:rsid w:val="00F30EF4"/>
    <w:rsid w:val="00F311ED"/>
    <w:rsid w:val="00F313C0"/>
    <w:rsid w:val="00F3209B"/>
    <w:rsid w:val="00F3209D"/>
    <w:rsid w:val="00F3214C"/>
    <w:rsid w:val="00F32358"/>
    <w:rsid w:val="00F32461"/>
    <w:rsid w:val="00F329EF"/>
    <w:rsid w:val="00F32B2C"/>
    <w:rsid w:val="00F32C7D"/>
    <w:rsid w:val="00F32C8A"/>
    <w:rsid w:val="00F32EF2"/>
    <w:rsid w:val="00F333FE"/>
    <w:rsid w:val="00F3397D"/>
    <w:rsid w:val="00F33B18"/>
    <w:rsid w:val="00F33B65"/>
    <w:rsid w:val="00F33F2D"/>
    <w:rsid w:val="00F33F8D"/>
    <w:rsid w:val="00F33FD4"/>
    <w:rsid w:val="00F34553"/>
    <w:rsid w:val="00F345C3"/>
    <w:rsid w:val="00F34A82"/>
    <w:rsid w:val="00F34A8D"/>
    <w:rsid w:val="00F34F6D"/>
    <w:rsid w:val="00F350AA"/>
    <w:rsid w:val="00F35707"/>
    <w:rsid w:val="00F357CB"/>
    <w:rsid w:val="00F3596B"/>
    <w:rsid w:val="00F35B08"/>
    <w:rsid w:val="00F36251"/>
    <w:rsid w:val="00F3639A"/>
    <w:rsid w:val="00F3659D"/>
    <w:rsid w:val="00F3690F"/>
    <w:rsid w:val="00F36B98"/>
    <w:rsid w:val="00F3712C"/>
    <w:rsid w:val="00F372C1"/>
    <w:rsid w:val="00F374A8"/>
    <w:rsid w:val="00F3787E"/>
    <w:rsid w:val="00F37946"/>
    <w:rsid w:val="00F379A7"/>
    <w:rsid w:val="00F37CB6"/>
    <w:rsid w:val="00F37F65"/>
    <w:rsid w:val="00F37F73"/>
    <w:rsid w:val="00F37F8D"/>
    <w:rsid w:val="00F40016"/>
    <w:rsid w:val="00F4010B"/>
    <w:rsid w:val="00F4014B"/>
    <w:rsid w:val="00F403B8"/>
    <w:rsid w:val="00F40B5D"/>
    <w:rsid w:val="00F40FC3"/>
    <w:rsid w:val="00F41178"/>
    <w:rsid w:val="00F41281"/>
    <w:rsid w:val="00F41614"/>
    <w:rsid w:val="00F4167C"/>
    <w:rsid w:val="00F41A2A"/>
    <w:rsid w:val="00F41B3F"/>
    <w:rsid w:val="00F41CB8"/>
    <w:rsid w:val="00F4237F"/>
    <w:rsid w:val="00F4240B"/>
    <w:rsid w:val="00F4297F"/>
    <w:rsid w:val="00F42D77"/>
    <w:rsid w:val="00F42E86"/>
    <w:rsid w:val="00F43137"/>
    <w:rsid w:val="00F43191"/>
    <w:rsid w:val="00F43A3E"/>
    <w:rsid w:val="00F4400B"/>
    <w:rsid w:val="00F444A9"/>
    <w:rsid w:val="00F45907"/>
    <w:rsid w:val="00F46180"/>
    <w:rsid w:val="00F46612"/>
    <w:rsid w:val="00F466A5"/>
    <w:rsid w:val="00F46AA9"/>
    <w:rsid w:val="00F46D96"/>
    <w:rsid w:val="00F46E1C"/>
    <w:rsid w:val="00F46E42"/>
    <w:rsid w:val="00F4702C"/>
    <w:rsid w:val="00F472F7"/>
    <w:rsid w:val="00F475C2"/>
    <w:rsid w:val="00F4769E"/>
    <w:rsid w:val="00F47725"/>
    <w:rsid w:val="00F477DF"/>
    <w:rsid w:val="00F47822"/>
    <w:rsid w:val="00F47AA3"/>
    <w:rsid w:val="00F47ADF"/>
    <w:rsid w:val="00F47EAC"/>
    <w:rsid w:val="00F50186"/>
    <w:rsid w:val="00F50346"/>
    <w:rsid w:val="00F505B8"/>
    <w:rsid w:val="00F5065A"/>
    <w:rsid w:val="00F50A67"/>
    <w:rsid w:val="00F51AC7"/>
    <w:rsid w:val="00F51B0F"/>
    <w:rsid w:val="00F52388"/>
    <w:rsid w:val="00F523B9"/>
    <w:rsid w:val="00F52956"/>
    <w:rsid w:val="00F530BA"/>
    <w:rsid w:val="00F53241"/>
    <w:rsid w:val="00F532CC"/>
    <w:rsid w:val="00F53E10"/>
    <w:rsid w:val="00F53EFE"/>
    <w:rsid w:val="00F54B1F"/>
    <w:rsid w:val="00F54C3F"/>
    <w:rsid w:val="00F55A66"/>
    <w:rsid w:val="00F5611F"/>
    <w:rsid w:val="00F565B9"/>
    <w:rsid w:val="00F5665C"/>
    <w:rsid w:val="00F56C76"/>
    <w:rsid w:val="00F56EE9"/>
    <w:rsid w:val="00F56FE6"/>
    <w:rsid w:val="00F573CA"/>
    <w:rsid w:val="00F57858"/>
    <w:rsid w:val="00F5787B"/>
    <w:rsid w:val="00F5794F"/>
    <w:rsid w:val="00F57CF2"/>
    <w:rsid w:val="00F57E3C"/>
    <w:rsid w:val="00F6025A"/>
    <w:rsid w:val="00F60985"/>
    <w:rsid w:val="00F609EC"/>
    <w:rsid w:val="00F60B5F"/>
    <w:rsid w:val="00F60BA2"/>
    <w:rsid w:val="00F60D45"/>
    <w:rsid w:val="00F61210"/>
    <w:rsid w:val="00F61353"/>
    <w:rsid w:val="00F61BF4"/>
    <w:rsid w:val="00F622D8"/>
    <w:rsid w:val="00F62305"/>
    <w:rsid w:val="00F62A96"/>
    <w:rsid w:val="00F62F00"/>
    <w:rsid w:val="00F6317B"/>
    <w:rsid w:val="00F632FA"/>
    <w:rsid w:val="00F634F6"/>
    <w:rsid w:val="00F63774"/>
    <w:rsid w:val="00F6402D"/>
    <w:rsid w:val="00F64046"/>
    <w:rsid w:val="00F64146"/>
    <w:rsid w:val="00F6423A"/>
    <w:rsid w:val="00F64A32"/>
    <w:rsid w:val="00F64F89"/>
    <w:rsid w:val="00F64FC1"/>
    <w:rsid w:val="00F65345"/>
    <w:rsid w:val="00F65644"/>
    <w:rsid w:val="00F65D3D"/>
    <w:rsid w:val="00F65DBD"/>
    <w:rsid w:val="00F65E02"/>
    <w:rsid w:val="00F668D3"/>
    <w:rsid w:val="00F66C89"/>
    <w:rsid w:val="00F66DA2"/>
    <w:rsid w:val="00F66EA2"/>
    <w:rsid w:val="00F66FB4"/>
    <w:rsid w:val="00F6715A"/>
    <w:rsid w:val="00F672A9"/>
    <w:rsid w:val="00F673DD"/>
    <w:rsid w:val="00F67409"/>
    <w:rsid w:val="00F67740"/>
    <w:rsid w:val="00F677E9"/>
    <w:rsid w:val="00F67F00"/>
    <w:rsid w:val="00F70287"/>
    <w:rsid w:val="00F70BDE"/>
    <w:rsid w:val="00F714BD"/>
    <w:rsid w:val="00F71893"/>
    <w:rsid w:val="00F71DC0"/>
    <w:rsid w:val="00F71E4A"/>
    <w:rsid w:val="00F71EA5"/>
    <w:rsid w:val="00F723A2"/>
    <w:rsid w:val="00F7275C"/>
    <w:rsid w:val="00F72C46"/>
    <w:rsid w:val="00F72CA4"/>
    <w:rsid w:val="00F7301C"/>
    <w:rsid w:val="00F730D8"/>
    <w:rsid w:val="00F73A10"/>
    <w:rsid w:val="00F73D00"/>
    <w:rsid w:val="00F73F24"/>
    <w:rsid w:val="00F74292"/>
    <w:rsid w:val="00F7436B"/>
    <w:rsid w:val="00F743C0"/>
    <w:rsid w:val="00F747CE"/>
    <w:rsid w:val="00F74DFB"/>
    <w:rsid w:val="00F75D2D"/>
    <w:rsid w:val="00F75DA1"/>
    <w:rsid w:val="00F766E0"/>
    <w:rsid w:val="00F777BD"/>
    <w:rsid w:val="00F77802"/>
    <w:rsid w:val="00F77879"/>
    <w:rsid w:val="00F77B4D"/>
    <w:rsid w:val="00F80570"/>
    <w:rsid w:val="00F80B0B"/>
    <w:rsid w:val="00F8124C"/>
    <w:rsid w:val="00F8185A"/>
    <w:rsid w:val="00F81905"/>
    <w:rsid w:val="00F81E8F"/>
    <w:rsid w:val="00F81FB1"/>
    <w:rsid w:val="00F8218D"/>
    <w:rsid w:val="00F8250E"/>
    <w:rsid w:val="00F827EB"/>
    <w:rsid w:val="00F82998"/>
    <w:rsid w:val="00F83159"/>
    <w:rsid w:val="00F8360F"/>
    <w:rsid w:val="00F838F3"/>
    <w:rsid w:val="00F839CD"/>
    <w:rsid w:val="00F83EAA"/>
    <w:rsid w:val="00F83EC4"/>
    <w:rsid w:val="00F83F1D"/>
    <w:rsid w:val="00F83FE5"/>
    <w:rsid w:val="00F8452F"/>
    <w:rsid w:val="00F84822"/>
    <w:rsid w:val="00F84A6F"/>
    <w:rsid w:val="00F84CA8"/>
    <w:rsid w:val="00F84E86"/>
    <w:rsid w:val="00F85635"/>
    <w:rsid w:val="00F8568F"/>
    <w:rsid w:val="00F85927"/>
    <w:rsid w:val="00F85B71"/>
    <w:rsid w:val="00F86402"/>
    <w:rsid w:val="00F8643E"/>
    <w:rsid w:val="00F86492"/>
    <w:rsid w:val="00F869C0"/>
    <w:rsid w:val="00F86D5A"/>
    <w:rsid w:val="00F87007"/>
    <w:rsid w:val="00F8725F"/>
    <w:rsid w:val="00F876BD"/>
    <w:rsid w:val="00F878A6"/>
    <w:rsid w:val="00F87B07"/>
    <w:rsid w:val="00F87BB4"/>
    <w:rsid w:val="00F87F74"/>
    <w:rsid w:val="00F90143"/>
    <w:rsid w:val="00F9048C"/>
    <w:rsid w:val="00F907E0"/>
    <w:rsid w:val="00F90AC4"/>
    <w:rsid w:val="00F90B74"/>
    <w:rsid w:val="00F90CC0"/>
    <w:rsid w:val="00F90D1D"/>
    <w:rsid w:val="00F90ECA"/>
    <w:rsid w:val="00F912EF"/>
    <w:rsid w:val="00F914C8"/>
    <w:rsid w:val="00F915BB"/>
    <w:rsid w:val="00F917EF"/>
    <w:rsid w:val="00F91A83"/>
    <w:rsid w:val="00F91D36"/>
    <w:rsid w:val="00F91D5B"/>
    <w:rsid w:val="00F9261D"/>
    <w:rsid w:val="00F927E7"/>
    <w:rsid w:val="00F92855"/>
    <w:rsid w:val="00F936B8"/>
    <w:rsid w:val="00F93880"/>
    <w:rsid w:val="00F93AE5"/>
    <w:rsid w:val="00F93B76"/>
    <w:rsid w:val="00F945D6"/>
    <w:rsid w:val="00F94880"/>
    <w:rsid w:val="00F94EC8"/>
    <w:rsid w:val="00F9587F"/>
    <w:rsid w:val="00F9596E"/>
    <w:rsid w:val="00F95C0C"/>
    <w:rsid w:val="00F95D72"/>
    <w:rsid w:val="00F95DB9"/>
    <w:rsid w:val="00F95E78"/>
    <w:rsid w:val="00F95F77"/>
    <w:rsid w:val="00F96410"/>
    <w:rsid w:val="00F96F9C"/>
    <w:rsid w:val="00F973E4"/>
    <w:rsid w:val="00FA014F"/>
    <w:rsid w:val="00FA04B4"/>
    <w:rsid w:val="00FA06A3"/>
    <w:rsid w:val="00FA0A30"/>
    <w:rsid w:val="00FA0AFA"/>
    <w:rsid w:val="00FA0C6B"/>
    <w:rsid w:val="00FA135F"/>
    <w:rsid w:val="00FA15D9"/>
    <w:rsid w:val="00FA16F2"/>
    <w:rsid w:val="00FA16FE"/>
    <w:rsid w:val="00FA1779"/>
    <w:rsid w:val="00FA1CBA"/>
    <w:rsid w:val="00FA1F21"/>
    <w:rsid w:val="00FA231A"/>
    <w:rsid w:val="00FA2341"/>
    <w:rsid w:val="00FA2608"/>
    <w:rsid w:val="00FA2770"/>
    <w:rsid w:val="00FA291C"/>
    <w:rsid w:val="00FA2B9C"/>
    <w:rsid w:val="00FA2F6A"/>
    <w:rsid w:val="00FA2FE5"/>
    <w:rsid w:val="00FA33D2"/>
    <w:rsid w:val="00FA352E"/>
    <w:rsid w:val="00FA38F7"/>
    <w:rsid w:val="00FA3B80"/>
    <w:rsid w:val="00FA3EB4"/>
    <w:rsid w:val="00FA41D4"/>
    <w:rsid w:val="00FA456C"/>
    <w:rsid w:val="00FA47C6"/>
    <w:rsid w:val="00FA508E"/>
    <w:rsid w:val="00FA57B0"/>
    <w:rsid w:val="00FA5C3B"/>
    <w:rsid w:val="00FA5E6E"/>
    <w:rsid w:val="00FA5E80"/>
    <w:rsid w:val="00FA6401"/>
    <w:rsid w:val="00FA6446"/>
    <w:rsid w:val="00FA6826"/>
    <w:rsid w:val="00FA6972"/>
    <w:rsid w:val="00FA6BB3"/>
    <w:rsid w:val="00FA7141"/>
    <w:rsid w:val="00FA76B4"/>
    <w:rsid w:val="00FA7BAE"/>
    <w:rsid w:val="00FA7D10"/>
    <w:rsid w:val="00FA7E8E"/>
    <w:rsid w:val="00FB00BA"/>
    <w:rsid w:val="00FB016C"/>
    <w:rsid w:val="00FB04F6"/>
    <w:rsid w:val="00FB084D"/>
    <w:rsid w:val="00FB0A89"/>
    <w:rsid w:val="00FB12C3"/>
    <w:rsid w:val="00FB16F1"/>
    <w:rsid w:val="00FB16F7"/>
    <w:rsid w:val="00FB1777"/>
    <w:rsid w:val="00FB197F"/>
    <w:rsid w:val="00FB1B1A"/>
    <w:rsid w:val="00FB1BF9"/>
    <w:rsid w:val="00FB1F55"/>
    <w:rsid w:val="00FB2716"/>
    <w:rsid w:val="00FB2990"/>
    <w:rsid w:val="00FB2B58"/>
    <w:rsid w:val="00FB2F61"/>
    <w:rsid w:val="00FB30FE"/>
    <w:rsid w:val="00FB39D4"/>
    <w:rsid w:val="00FB4415"/>
    <w:rsid w:val="00FB4708"/>
    <w:rsid w:val="00FB49FD"/>
    <w:rsid w:val="00FB4E51"/>
    <w:rsid w:val="00FB4E93"/>
    <w:rsid w:val="00FB4FE1"/>
    <w:rsid w:val="00FB54EB"/>
    <w:rsid w:val="00FB564D"/>
    <w:rsid w:val="00FB57FE"/>
    <w:rsid w:val="00FB5F94"/>
    <w:rsid w:val="00FB625F"/>
    <w:rsid w:val="00FB62D4"/>
    <w:rsid w:val="00FB667D"/>
    <w:rsid w:val="00FB6870"/>
    <w:rsid w:val="00FB6943"/>
    <w:rsid w:val="00FB6B07"/>
    <w:rsid w:val="00FB6CE2"/>
    <w:rsid w:val="00FB7023"/>
    <w:rsid w:val="00FB710A"/>
    <w:rsid w:val="00FB74A8"/>
    <w:rsid w:val="00FB7B81"/>
    <w:rsid w:val="00FB7D59"/>
    <w:rsid w:val="00FC0394"/>
    <w:rsid w:val="00FC08BE"/>
    <w:rsid w:val="00FC108B"/>
    <w:rsid w:val="00FC1299"/>
    <w:rsid w:val="00FC1434"/>
    <w:rsid w:val="00FC16CA"/>
    <w:rsid w:val="00FC1850"/>
    <w:rsid w:val="00FC1A33"/>
    <w:rsid w:val="00FC1A59"/>
    <w:rsid w:val="00FC1B47"/>
    <w:rsid w:val="00FC1DB3"/>
    <w:rsid w:val="00FC2598"/>
    <w:rsid w:val="00FC2A4C"/>
    <w:rsid w:val="00FC2ADB"/>
    <w:rsid w:val="00FC2B1D"/>
    <w:rsid w:val="00FC2D44"/>
    <w:rsid w:val="00FC2D8B"/>
    <w:rsid w:val="00FC2FE1"/>
    <w:rsid w:val="00FC31E8"/>
    <w:rsid w:val="00FC3337"/>
    <w:rsid w:val="00FC33CD"/>
    <w:rsid w:val="00FC35B7"/>
    <w:rsid w:val="00FC3978"/>
    <w:rsid w:val="00FC3C5B"/>
    <w:rsid w:val="00FC3EB4"/>
    <w:rsid w:val="00FC3F37"/>
    <w:rsid w:val="00FC3F7D"/>
    <w:rsid w:val="00FC41F9"/>
    <w:rsid w:val="00FC44E4"/>
    <w:rsid w:val="00FC4637"/>
    <w:rsid w:val="00FC4867"/>
    <w:rsid w:val="00FC48A3"/>
    <w:rsid w:val="00FC4921"/>
    <w:rsid w:val="00FC4BE8"/>
    <w:rsid w:val="00FC4F58"/>
    <w:rsid w:val="00FC4F80"/>
    <w:rsid w:val="00FC4F88"/>
    <w:rsid w:val="00FC5031"/>
    <w:rsid w:val="00FC5155"/>
    <w:rsid w:val="00FC545D"/>
    <w:rsid w:val="00FC5526"/>
    <w:rsid w:val="00FC59BB"/>
    <w:rsid w:val="00FC5A79"/>
    <w:rsid w:val="00FC63D6"/>
    <w:rsid w:val="00FC6674"/>
    <w:rsid w:val="00FC66C7"/>
    <w:rsid w:val="00FC6755"/>
    <w:rsid w:val="00FC6B35"/>
    <w:rsid w:val="00FC6C90"/>
    <w:rsid w:val="00FC73AE"/>
    <w:rsid w:val="00FC7626"/>
    <w:rsid w:val="00FC7984"/>
    <w:rsid w:val="00FC7C4F"/>
    <w:rsid w:val="00FC7DFC"/>
    <w:rsid w:val="00FC7E15"/>
    <w:rsid w:val="00FD0603"/>
    <w:rsid w:val="00FD0B1E"/>
    <w:rsid w:val="00FD1599"/>
    <w:rsid w:val="00FD17CE"/>
    <w:rsid w:val="00FD1D94"/>
    <w:rsid w:val="00FD25FA"/>
    <w:rsid w:val="00FD2657"/>
    <w:rsid w:val="00FD28E6"/>
    <w:rsid w:val="00FD2D27"/>
    <w:rsid w:val="00FD3306"/>
    <w:rsid w:val="00FD36B1"/>
    <w:rsid w:val="00FD3D78"/>
    <w:rsid w:val="00FD407A"/>
    <w:rsid w:val="00FD40D6"/>
    <w:rsid w:val="00FD4B81"/>
    <w:rsid w:val="00FD4B85"/>
    <w:rsid w:val="00FD4D38"/>
    <w:rsid w:val="00FD4F3F"/>
    <w:rsid w:val="00FD500C"/>
    <w:rsid w:val="00FD51D9"/>
    <w:rsid w:val="00FD564D"/>
    <w:rsid w:val="00FD56B1"/>
    <w:rsid w:val="00FD5E97"/>
    <w:rsid w:val="00FD5EBA"/>
    <w:rsid w:val="00FD605A"/>
    <w:rsid w:val="00FD63F6"/>
    <w:rsid w:val="00FD659F"/>
    <w:rsid w:val="00FD674E"/>
    <w:rsid w:val="00FD683A"/>
    <w:rsid w:val="00FD6A87"/>
    <w:rsid w:val="00FD73A1"/>
    <w:rsid w:val="00FD7443"/>
    <w:rsid w:val="00FD76B8"/>
    <w:rsid w:val="00FD7710"/>
    <w:rsid w:val="00FD795B"/>
    <w:rsid w:val="00FD7FB4"/>
    <w:rsid w:val="00FE0002"/>
    <w:rsid w:val="00FE019B"/>
    <w:rsid w:val="00FE0305"/>
    <w:rsid w:val="00FE0579"/>
    <w:rsid w:val="00FE075D"/>
    <w:rsid w:val="00FE09C4"/>
    <w:rsid w:val="00FE0B84"/>
    <w:rsid w:val="00FE0E6E"/>
    <w:rsid w:val="00FE0FE5"/>
    <w:rsid w:val="00FE105A"/>
    <w:rsid w:val="00FE111F"/>
    <w:rsid w:val="00FE1227"/>
    <w:rsid w:val="00FE142E"/>
    <w:rsid w:val="00FE2508"/>
    <w:rsid w:val="00FE25E4"/>
    <w:rsid w:val="00FE2FDE"/>
    <w:rsid w:val="00FE300E"/>
    <w:rsid w:val="00FE325D"/>
    <w:rsid w:val="00FE33C6"/>
    <w:rsid w:val="00FE33CB"/>
    <w:rsid w:val="00FE33EC"/>
    <w:rsid w:val="00FE3575"/>
    <w:rsid w:val="00FE3EE3"/>
    <w:rsid w:val="00FE443C"/>
    <w:rsid w:val="00FE46B2"/>
    <w:rsid w:val="00FE46DB"/>
    <w:rsid w:val="00FE492B"/>
    <w:rsid w:val="00FE4E45"/>
    <w:rsid w:val="00FE4F9D"/>
    <w:rsid w:val="00FE5210"/>
    <w:rsid w:val="00FE5844"/>
    <w:rsid w:val="00FE5968"/>
    <w:rsid w:val="00FE59FD"/>
    <w:rsid w:val="00FE5AF5"/>
    <w:rsid w:val="00FE64AE"/>
    <w:rsid w:val="00FE65AB"/>
    <w:rsid w:val="00FE666E"/>
    <w:rsid w:val="00FE68AD"/>
    <w:rsid w:val="00FE6993"/>
    <w:rsid w:val="00FE6AA6"/>
    <w:rsid w:val="00FE6E91"/>
    <w:rsid w:val="00FE7083"/>
    <w:rsid w:val="00FE7A42"/>
    <w:rsid w:val="00FE7DCD"/>
    <w:rsid w:val="00FE7F82"/>
    <w:rsid w:val="00FE7F98"/>
    <w:rsid w:val="00FF03ED"/>
    <w:rsid w:val="00FF0D5A"/>
    <w:rsid w:val="00FF0E7B"/>
    <w:rsid w:val="00FF19DB"/>
    <w:rsid w:val="00FF1C88"/>
    <w:rsid w:val="00FF1D14"/>
    <w:rsid w:val="00FF1EB0"/>
    <w:rsid w:val="00FF1F35"/>
    <w:rsid w:val="00FF1FA0"/>
    <w:rsid w:val="00FF2999"/>
    <w:rsid w:val="00FF2A07"/>
    <w:rsid w:val="00FF2E7F"/>
    <w:rsid w:val="00FF306D"/>
    <w:rsid w:val="00FF336B"/>
    <w:rsid w:val="00FF33F0"/>
    <w:rsid w:val="00FF356D"/>
    <w:rsid w:val="00FF3585"/>
    <w:rsid w:val="00FF410A"/>
    <w:rsid w:val="00FF44A0"/>
    <w:rsid w:val="00FF471A"/>
    <w:rsid w:val="00FF4781"/>
    <w:rsid w:val="00FF489F"/>
    <w:rsid w:val="00FF4910"/>
    <w:rsid w:val="00FF4A35"/>
    <w:rsid w:val="00FF4AC6"/>
    <w:rsid w:val="00FF4C71"/>
    <w:rsid w:val="00FF4D60"/>
    <w:rsid w:val="00FF4EC8"/>
    <w:rsid w:val="00FF51A8"/>
    <w:rsid w:val="00FF5C84"/>
    <w:rsid w:val="00FF5E94"/>
    <w:rsid w:val="00FF5F54"/>
    <w:rsid w:val="00FF609C"/>
    <w:rsid w:val="00FF61D8"/>
    <w:rsid w:val="00FF6813"/>
    <w:rsid w:val="00FF6A33"/>
    <w:rsid w:val="00FF6BF1"/>
    <w:rsid w:val="00FF6C7B"/>
    <w:rsid w:val="00FF7175"/>
    <w:rsid w:val="00FF745E"/>
    <w:rsid w:val="00FF792C"/>
    <w:rsid w:val="00FF7A90"/>
    <w:rsid w:val="00FF7D1B"/>
    <w:rsid w:val="00FF7D74"/>
    <w:rsid w:val="00FF7ED0"/>
    <w:rsid w:val="0209DB0B"/>
    <w:rsid w:val="07B5D01D"/>
    <w:rsid w:val="0A927AEF"/>
    <w:rsid w:val="0C529B79"/>
    <w:rsid w:val="0E56C1E7"/>
    <w:rsid w:val="1203AC03"/>
    <w:rsid w:val="12487450"/>
    <w:rsid w:val="14C70DEB"/>
    <w:rsid w:val="17B0E088"/>
    <w:rsid w:val="1FE68E77"/>
    <w:rsid w:val="213AA37F"/>
    <w:rsid w:val="22BC6F1B"/>
    <w:rsid w:val="242E1191"/>
    <w:rsid w:val="28A8FDB1"/>
    <w:rsid w:val="2AF9C9E3"/>
    <w:rsid w:val="2BF3C7EA"/>
    <w:rsid w:val="2E4B9AD1"/>
    <w:rsid w:val="3591CFDA"/>
    <w:rsid w:val="3D690E8F"/>
    <w:rsid w:val="41E17510"/>
    <w:rsid w:val="44158E66"/>
    <w:rsid w:val="4CF40389"/>
    <w:rsid w:val="4D1230C2"/>
    <w:rsid w:val="4D77895A"/>
    <w:rsid w:val="4FF8B381"/>
    <w:rsid w:val="50B5F40C"/>
    <w:rsid w:val="520E2304"/>
    <w:rsid w:val="53F1241B"/>
    <w:rsid w:val="55BA4DB4"/>
    <w:rsid w:val="564ECEE5"/>
    <w:rsid w:val="58DBCA9D"/>
    <w:rsid w:val="5CD63628"/>
    <w:rsid w:val="5DABABCD"/>
    <w:rsid w:val="5F3336EC"/>
    <w:rsid w:val="5F49DEE1"/>
    <w:rsid w:val="650CA6AD"/>
    <w:rsid w:val="651185B2"/>
    <w:rsid w:val="65A46DA4"/>
    <w:rsid w:val="7185DADA"/>
    <w:rsid w:val="74B987D9"/>
    <w:rsid w:val="75CC892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E95BB"/>
  <w15:chartTrackingRefBased/>
  <w15:docId w15:val="{BC303B15-C970-463B-AD84-62F700FF9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1" w:unhideWhenUsed="1" w:qFormat="1"/>
    <w:lsdException w:name="List Number" w:semiHidden="1" w:uiPriority="2"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iPriority="1" w:unhideWhenUsed="1" w:qFormat="1"/>
    <w:lsdException w:name="List Bullet 3" w:semiHidden="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2"/>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190B62"/>
    <w:pPr>
      <w:spacing w:before="120" w:after="120" w:line="280" w:lineRule="atLeast"/>
    </w:pPr>
    <w:rPr>
      <w:rFonts w:ascii="Open Sans" w:hAnsi="Open Sans"/>
      <w:sz w:val="20"/>
      <w:szCs w:val="20"/>
    </w:rPr>
  </w:style>
  <w:style w:type="paragraph" w:styleId="Heading1">
    <w:name w:val="heading 1"/>
    <w:basedOn w:val="Normal"/>
    <w:next w:val="BodyText"/>
    <w:link w:val="Heading1Char"/>
    <w:uiPriority w:val="9"/>
    <w:qFormat/>
    <w:rsid w:val="00190B62"/>
    <w:pPr>
      <w:numPr>
        <w:numId w:val="14"/>
      </w:numPr>
      <w:pBdr>
        <w:top w:val="single" w:sz="4" w:space="31" w:color="E7F6FD"/>
        <w:left w:val="single" w:sz="4" w:space="26" w:color="E7F6FD"/>
        <w:bottom w:val="single" w:sz="4" w:space="26" w:color="E7F6FD"/>
        <w:right w:val="single" w:sz="4" w:space="26" w:color="E7F6FD"/>
      </w:pBdr>
      <w:shd w:val="clear" w:color="auto" w:fill="E7F6FD"/>
      <w:spacing w:before="240" w:after="480" w:line="504" w:lineRule="atLeast"/>
      <w:ind w:right="567"/>
      <w:outlineLvl w:val="0"/>
    </w:pPr>
    <w:rPr>
      <w:rFonts w:ascii="Open Sans Extrabold" w:hAnsi="Open Sans Extrabold"/>
      <w:color w:val="1C4373" w:themeColor="background2" w:themeShade="BF"/>
      <w:sz w:val="42"/>
    </w:rPr>
  </w:style>
  <w:style w:type="paragraph" w:styleId="Heading2">
    <w:name w:val="heading 2"/>
    <w:basedOn w:val="Normal"/>
    <w:next w:val="BodyText"/>
    <w:link w:val="Heading2Char"/>
    <w:uiPriority w:val="9"/>
    <w:qFormat/>
    <w:rsid w:val="00190B62"/>
    <w:pPr>
      <w:keepNext/>
      <w:keepLines/>
      <w:numPr>
        <w:ilvl w:val="2"/>
        <w:numId w:val="14"/>
      </w:numPr>
      <w:spacing w:before="480" w:line="340" w:lineRule="atLeast"/>
      <w:outlineLvl w:val="1"/>
    </w:pPr>
    <w:rPr>
      <w:rFonts w:ascii="Open Sans Extrabold" w:eastAsiaTheme="majorEastAsia" w:hAnsi="Open Sans Extrabold" w:cstheme="majorBidi"/>
      <w:color w:val="1C4373" w:themeColor="background2" w:themeShade="BF"/>
      <w:sz w:val="30"/>
      <w:szCs w:val="60"/>
    </w:rPr>
  </w:style>
  <w:style w:type="paragraph" w:styleId="Heading3">
    <w:name w:val="heading 3"/>
    <w:basedOn w:val="Normal"/>
    <w:next w:val="BodyText"/>
    <w:link w:val="Heading3Char"/>
    <w:uiPriority w:val="9"/>
    <w:qFormat/>
    <w:rsid w:val="00190B62"/>
    <w:pPr>
      <w:keepNext/>
      <w:keepLines/>
      <w:spacing w:before="240" w:line="300" w:lineRule="atLeast"/>
      <w:outlineLvl w:val="2"/>
    </w:pPr>
    <w:rPr>
      <w:rFonts w:ascii="Open Sans Extrabold" w:eastAsiaTheme="majorEastAsia" w:hAnsi="Open Sans Extrabold" w:cstheme="majorBidi"/>
      <w:color w:val="207291" w:themeColor="text2" w:themeShade="BF"/>
      <w:sz w:val="26"/>
      <w:szCs w:val="37"/>
    </w:rPr>
  </w:style>
  <w:style w:type="paragraph" w:styleId="Heading4">
    <w:name w:val="heading 4"/>
    <w:basedOn w:val="Normal"/>
    <w:next w:val="BodyText"/>
    <w:link w:val="Heading4Char"/>
    <w:uiPriority w:val="9"/>
    <w:qFormat/>
    <w:rsid w:val="00190B62"/>
    <w:pPr>
      <w:keepNext/>
      <w:keepLines/>
      <w:spacing w:before="240" w:line="264" w:lineRule="atLeast"/>
      <w:outlineLvl w:val="3"/>
    </w:pPr>
    <w:rPr>
      <w:rFonts w:ascii="Open Sans Extrabold" w:eastAsiaTheme="majorEastAsia" w:hAnsi="Open Sans Extrabold" w:cstheme="majorBidi"/>
      <w:iCs/>
      <w:color w:val="1C4373" w:themeColor="background2" w:themeShade="BF"/>
      <w:sz w:val="22"/>
      <w:szCs w:val="33"/>
    </w:rPr>
  </w:style>
  <w:style w:type="paragraph" w:styleId="Heading5">
    <w:name w:val="heading 5"/>
    <w:basedOn w:val="Normal"/>
    <w:next w:val="BodyText"/>
    <w:link w:val="Heading5Char"/>
    <w:uiPriority w:val="9"/>
    <w:qFormat/>
    <w:rsid w:val="00190B62"/>
    <w:pPr>
      <w:keepNext/>
      <w:keepLines/>
      <w:spacing w:before="240"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190B62"/>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190B62"/>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190B62"/>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190B62"/>
    <w:pPr>
      <w:spacing w:line="240" w:lineRule="auto"/>
      <w:outlineLvl w:val="8"/>
    </w:pPr>
    <w:rPr>
      <w:rFonts w:asciiTheme="majorHAnsi" w:hAnsiTheme="majorHAnsi"/>
      <w:color w:val="8956A3" w:themeColor="accen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0B62"/>
    <w:rPr>
      <w:color w:val="808080"/>
    </w:rPr>
  </w:style>
  <w:style w:type="paragraph" w:styleId="Date">
    <w:name w:val="Date"/>
    <w:basedOn w:val="Normal"/>
    <w:next w:val="Normal"/>
    <w:link w:val="DateChar"/>
    <w:uiPriority w:val="99"/>
    <w:unhideWhenUsed/>
    <w:rsid w:val="00190B62"/>
    <w:pPr>
      <w:spacing w:after="360" w:line="293" w:lineRule="auto"/>
    </w:pPr>
  </w:style>
  <w:style w:type="character" w:customStyle="1" w:styleId="DateChar">
    <w:name w:val="Date Char"/>
    <w:basedOn w:val="DefaultParagraphFont"/>
    <w:link w:val="Date"/>
    <w:uiPriority w:val="99"/>
    <w:rsid w:val="00190B62"/>
    <w:rPr>
      <w:rFonts w:ascii="Open Sans" w:hAnsi="Open Sans"/>
      <w:sz w:val="20"/>
      <w:szCs w:val="20"/>
    </w:rPr>
  </w:style>
  <w:style w:type="paragraph" w:styleId="NoSpacing">
    <w:name w:val="No Spacing"/>
    <w:basedOn w:val="Normal"/>
    <w:link w:val="NoSpacingChar"/>
    <w:uiPriority w:val="10"/>
    <w:qFormat/>
    <w:rsid w:val="00190B62"/>
    <w:pPr>
      <w:spacing w:before="0" w:after="0"/>
    </w:pPr>
  </w:style>
  <w:style w:type="paragraph" w:styleId="ListBullet">
    <w:name w:val="List Bullet"/>
    <w:basedOn w:val="Normal"/>
    <w:link w:val="ListBulletChar"/>
    <w:uiPriority w:val="1"/>
    <w:qFormat/>
    <w:rsid w:val="00190B62"/>
    <w:pPr>
      <w:numPr>
        <w:numId w:val="19"/>
      </w:numPr>
      <w:contextualSpacing/>
    </w:pPr>
  </w:style>
  <w:style w:type="paragraph" w:styleId="ListBullet2">
    <w:name w:val="List Bullet 2"/>
    <w:basedOn w:val="Normal"/>
    <w:uiPriority w:val="1"/>
    <w:qFormat/>
    <w:rsid w:val="00190B62"/>
    <w:pPr>
      <w:numPr>
        <w:ilvl w:val="1"/>
        <w:numId w:val="19"/>
      </w:numPr>
      <w:contextualSpacing/>
    </w:pPr>
  </w:style>
  <w:style w:type="paragraph" w:styleId="ListNumber">
    <w:name w:val="List Number"/>
    <w:basedOn w:val="Normal"/>
    <w:uiPriority w:val="2"/>
    <w:qFormat/>
    <w:rsid w:val="00190B62"/>
    <w:pPr>
      <w:numPr>
        <w:numId w:val="15"/>
      </w:numPr>
      <w:spacing w:before="60"/>
      <w:contextualSpacing/>
    </w:pPr>
  </w:style>
  <w:style w:type="numbering" w:customStyle="1" w:styleId="Bullets">
    <w:name w:val="Bullets"/>
    <w:uiPriority w:val="99"/>
    <w:rsid w:val="00190B62"/>
    <w:pPr>
      <w:numPr>
        <w:numId w:val="6"/>
      </w:numPr>
    </w:pPr>
  </w:style>
  <w:style w:type="character" w:customStyle="1" w:styleId="Heading1Char">
    <w:name w:val="Heading 1 Char"/>
    <w:basedOn w:val="DefaultParagraphFont"/>
    <w:link w:val="Heading1"/>
    <w:uiPriority w:val="9"/>
    <w:rsid w:val="00190B62"/>
    <w:rPr>
      <w:rFonts w:ascii="Open Sans Extrabold" w:hAnsi="Open Sans Extrabold"/>
      <w:color w:val="1C4373" w:themeColor="background2" w:themeShade="BF"/>
      <w:sz w:val="42"/>
      <w:szCs w:val="20"/>
      <w:shd w:val="clear" w:color="auto" w:fill="E7F6FD"/>
    </w:rPr>
  </w:style>
  <w:style w:type="paragraph" w:styleId="ListNumber2">
    <w:name w:val="List Number 2"/>
    <w:basedOn w:val="Normal"/>
    <w:uiPriority w:val="13"/>
    <w:semiHidden/>
    <w:qFormat/>
    <w:rsid w:val="00190B62"/>
    <w:pPr>
      <w:numPr>
        <w:ilvl w:val="1"/>
        <w:numId w:val="15"/>
      </w:numPr>
      <w:spacing w:before="60"/>
      <w:contextualSpacing/>
    </w:pPr>
  </w:style>
  <w:style w:type="character" w:customStyle="1" w:styleId="Heading2Char">
    <w:name w:val="Heading 2 Char"/>
    <w:basedOn w:val="DefaultParagraphFont"/>
    <w:link w:val="Heading2"/>
    <w:uiPriority w:val="9"/>
    <w:rsid w:val="00190B62"/>
    <w:rPr>
      <w:rFonts w:ascii="Open Sans Extrabold" w:eastAsiaTheme="majorEastAsia" w:hAnsi="Open Sans Extrabold" w:cstheme="majorBidi"/>
      <w:color w:val="1C4373" w:themeColor="background2" w:themeShade="BF"/>
      <w:sz w:val="30"/>
      <w:szCs w:val="60"/>
    </w:rPr>
  </w:style>
  <w:style w:type="paragraph" w:styleId="ListParagraph">
    <w:name w:val="List Paragraph"/>
    <w:basedOn w:val="Normal"/>
    <w:uiPriority w:val="34"/>
    <w:rsid w:val="00190B62"/>
    <w:pPr>
      <w:spacing w:line="293" w:lineRule="auto"/>
      <w:ind w:left="284"/>
      <w:contextualSpacing/>
    </w:pPr>
  </w:style>
  <w:style w:type="paragraph" w:styleId="Header">
    <w:name w:val="header"/>
    <w:basedOn w:val="Normal"/>
    <w:link w:val="HeaderChar"/>
    <w:uiPriority w:val="99"/>
    <w:unhideWhenUsed/>
    <w:rsid w:val="00190B62"/>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190B62"/>
    <w:rPr>
      <w:rFonts w:ascii="Open Sans" w:hAnsi="Open Sans"/>
      <w:sz w:val="16"/>
      <w:szCs w:val="20"/>
    </w:rPr>
  </w:style>
  <w:style w:type="paragraph" w:styleId="Footer">
    <w:name w:val="footer"/>
    <w:basedOn w:val="Normal"/>
    <w:link w:val="FooterChar"/>
    <w:uiPriority w:val="11"/>
    <w:rsid w:val="00190B62"/>
    <w:pPr>
      <w:tabs>
        <w:tab w:val="center" w:pos="4513"/>
        <w:tab w:val="right" w:pos="9026"/>
      </w:tabs>
      <w:spacing w:after="0" w:line="240" w:lineRule="auto"/>
      <w:contextualSpacing/>
    </w:pPr>
    <w:rPr>
      <w:rFonts w:ascii="Open Sans Extrabold" w:hAnsi="Open Sans Extrabold"/>
      <w:sz w:val="17"/>
      <w:szCs w:val="22"/>
    </w:rPr>
  </w:style>
  <w:style w:type="character" w:customStyle="1" w:styleId="FooterChar">
    <w:name w:val="Footer Char"/>
    <w:basedOn w:val="DefaultParagraphFont"/>
    <w:link w:val="Footer"/>
    <w:uiPriority w:val="11"/>
    <w:rsid w:val="00190B62"/>
    <w:rPr>
      <w:rFonts w:ascii="Open Sans Extrabold" w:hAnsi="Open Sans Extrabold"/>
      <w:sz w:val="17"/>
    </w:rPr>
  </w:style>
  <w:style w:type="numbering" w:customStyle="1" w:styleId="Numbering">
    <w:name w:val="Numbering"/>
    <w:uiPriority w:val="99"/>
    <w:rsid w:val="00190B62"/>
    <w:pPr>
      <w:numPr>
        <w:numId w:val="15"/>
      </w:numPr>
    </w:pPr>
  </w:style>
  <w:style w:type="paragraph" w:styleId="ListBullet3">
    <w:name w:val="List Bullet 3"/>
    <w:basedOn w:val="Normal"/>
    <w:uiPriority w:val="1"/>
    <w:qFormat/>
    <w:rsid w:val="00190B62"/>
    <w:pPr>
      <w:numPr>
        <w:ilvl w:val="2"/>
        <w:numId w:val="19"/>
      </w:numPr>
      <w:contextualSpacing/>
    </w:pPr>
  </w:style>
  <w:style w:type="paragraph" w:styleId="ListContinue2">
    <w:name w:val="List Continue 2"/>
    <w:basedOn w:val="Normal"/>
    <w:uiPriority w:val="3"/>
    <w:unhideWhenUsed/>
    <w:qFormat/>
    <w:rsid w:val="00190B62"/>
    <w:pPr>
      <w:spacing w:before="60"/>
      <w:ind w:left="454"/>
    </w:pPr>
  </w:style>
  <w:style w:type="paragraph" w:styleId="ListNumber3">
    <w:name w:val="List Number 3"/>
    <w:basedOn w:val="Normal"/>
    <w:uiPriority w:val="13"/>
    <w:semiHidden/>
    <w:qFormat/>
    <w:rsid w:val="00190B62"/>
    <w:pPr>
      <w:numPr>
        <w:ilvl w:val="2"/>
        <w:numId w:val="15"/>
      </w:numPr>
      <w:spacing w:before="60"/>
      <w:contextualSpacing/>
    </w:pPr>
  </w:style>
  <w:style w:type="paragraph" w:styleId="ListNumber4">
    <w:name w:val="List Number 4"/>
    <w:basedOn w:val="Normal"/>
    <w:uiPriority w:val="13"/>
    <w:semiHidden/>
    <w:qFormat/>
    <w:rsid w:val="00190B62"/>
    <w:pPr>
      <w:numPr>
        <w:ilvl w:val="3"/>
        <w:numId w:val="15"/>
      </w:numPr>
      <w:spacing w:after="200" w:line="293" w:lineRule="auto"/>
      <w:contextualSpacing/>
    </w:pPr>
  </w:style>
  <w:style w:type="paragraph" w:styleId="ListNumber5">
    <w:name w:val="List Number 5"/>
    <w:basedOn w:val="Normal"/>
    <w:uiPriority w:val="13"/>
    <w:semiHidden/>
    <w:rsid w:val="00190B62"/>
    <w:pPr>
      <w:numPr>
        <w:ilvl w:val="4"/>
        <w:numId w:val="15"/>
      </w:numPr>
      <w:spacing w:after="200" w:line="293" w:lineRule="auto"/>
      <w:contextualSpacing/>
    </w:pPr>
  </w:style>
  <w:style w:type="paragraph" w:styleId="ListContinue">
    <w:name w:val="List Continue"/>
    <w:basedOn w:val="Normal"/>
    <w:uiPriority w:val="3"/>
    <w:unhideWhenUsed/>
    <w:qFormat/>
    <w:rsid w:val="00190B62"/>
    <w:pPr>
      <w:spacing w:before="60"/>
      <w:ind w:left="227"/>
    </w:pPr>
  </w:style>
  <w:style w:type="paragraph" w:styleId="ListContinue3">
    <w:name w:val="List Continue 3"/>
    <w:basedOn w:val="Normal"/>
    <w:uiPriority w:val="3"/>
    <w:unhideWhenUsed/>
    <w:qFormat/>
    <w:rsid w:val="00190B62"/>
    <w:pPr>
      <w:spacing w:before="60"/>
      <w:ind w:left="907"/>
    </w:pPr>
  </w:style>
  <w:style w:type="paragraph" w:styleId="ListContinue4">
    <w:name w:val="List Continue 4"/>
    <w:basedOn w:val="Normal"/>
    <w:uiPriority w:val="3"/>
    <w:unhideWhenUsed/>
    <w:qFormat/>
    <w:rsid w:val="00190B62"/>
    <w:pPr>
      <w:spacing w:line="293" w:lineRule="auto"/>
      <w:ind w:left="907"/>
      <w:contextualSpacing/>
    </w:pPr>
  </w:style>
  <w:style w:type="character" w:customStyle="1" w:styleId="Heading3Char">
    <w:name w:val="Heading 3 Char"/>
    <w:basedOn w:val="DefaultParagraphFont"/>
    <w:link w:val="Heading3"/>
    <w:uiPriority w:val="9"/>
    <w:rsid w:val="00190B62"/>
    <w:rPr>
      <w:rFonts w:ascii="Open Sans Extrabold" w:eastAsiaTheme="majorEastAsia" w:hAnsi="Open Sans Extrabold" w:cstheme="majorBidi"/>
      <w:color w:val="207291" w:themeColor="text2" w:themeShade="BF"/>
      <w:sz w:val="26"/>
      <w:szCs w:val="37"/>
    </w:rPr>
  </w:style>
  <w:style w:type="character" w:customStyle="1" w:styleId="Heading4Char">
    <w:name w:val="Heading 4 Char"/>
    <w:basedOn w:val="DefaultParagraphFont"/>
    <w:link w:val="Heading4"/>
    <w:uiPriority w:val="9"/>
    <w:rsid w:val="00190B62"/>
    <w:rPr>
      <w:rFonts w:ascii="Open Sans Extrabold" w:eastAsiaTheme="majorEastAsia" w:hAnsi="Open Sans Extrabold" w:cstheme="majorBidi"/>
      <w:iCs/>
      <w:color w:val="1C4373" w:themeColor="background2" w:themeShade="BF"/>
      <w:szCs w:val="33"/>
    </w:rPr>
  </w:style>
  <w:style w:type="character" w:customStyle="1" w:styleId="Heading5Char">
    <w:name w:val="Heading 5 Char"/>
    <w:basedOn w:val="DefaultParagraphFont"/>
    <w:link w:val="Heading5"/>
    <w:uiPriority w:val="9"/>
    <w:rsid w:val="00190B62"/>
    <w:rPr>
      <w:rFonts w:ascii="Open Sans" w:eastAsiaTheme="majorEastAsia" w:hAnsi="Open Sans" w:cstheme="majorBidi"/>
      <w:b/>
      <w:color w:val="265A9A" w:themeColor="background2"/>
      <w:szCs w:val="29"/>
    </w:rPr>
  </w:style>
  <w:style w:type="numbering" w:customStyle="1" w:styleId="ListHeadings">
    <w:name w:val="List Headings"/>
    <w:uiPriority w:val="99"/>
    <w:rsid w:val="00190B62"/>
    <w:pPr>
      <w:numPr>
        <w:numId w:val="13"/>
      </w:numPr>
    </w:pPr>
  </w:style>
  <w:style w:type="paragraph" w:styleId="Title">
    <w:name w:val="Title"/>
    <w:basedOn w:val="Heading1"/>
    <w:next w:val="Normal"/>
    <w:link w:val="TitleChar"/>
    <w:uiPriority w:val="39"/>
    <w:rsid w:val="00190B62"/>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6"/>
      <w:szCs w:val="56"/>
    </w:rPr>
  </w:style>
  <w:style w:type="character" w:customStyle="1" w:styleId="TitleChar">
    <w:name w:val="Title Char"/>
    <w:basedOn w:val="DefaultParagraphFont"/>
    <w:link w:val="Title"/>
    <w:uiPriority w:val="39"/>
    <w:rsid w:val="00190B62"/>
    <w:rPr>
      <w:rFonts w:ascii="Open Sans Extrabold" w:eastAsiaTheme="majorEastAsia" w:hAnsi="Open Sans Extrabold" w:cstheme="majorBidi"/>
      <w:color w:val="1C4373" w:themeColor="background2" w:themeShade="BF"/>
      <w:kern w:val="28"/>
      <w:sz w:val="56"/>
      <w:szCs w:val="56"/>
    </w:rPr>
  </w:style>
  <w:style w:type="paragraph" w:customStyle="1" w:styleId="Pull-outQuote">
    <w:name w:val="Pull-out Quote"/>
    <w:basedOn w:val="Normal"/>
    <w:link w:val="Pull-outQuoteChar"/>
    <w:uiPriority w:val="99"/>
    <w:semiHidden/>
    <w:rsid w:val="00190B62"/>
    <w:pPr>
      <w:pBdr>
        <w:top w:val="single" w:sz="4" w:space="4" w:color="2B9AC2" w:themeColor="text2"/>
        <w:left w:val="single" w:sz="4" w:space="4" w:color="2B9AC2" w:themeColor="text2"/>
        <w:bottom w:val="single" w:sz="4" w:space="4" w:color="2B9AC2" w:themeColor="text2"/>
        <w:right w:val="single" w:sz="4" w:space="4" w:color="2B9AC2" w:themeColor="text2"/>
      </w:pBdr>
      <w:shd w:val="clear" w:color="auto" w:fill="2B9AC2"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190B62"/>
    <w:rPr>
      <w:b/>
    </w:rPr>
  </w:style>
  <w:style w:type="character" w:customStyle="1" w:styleId="Pull-outQuoteChar">
    <w:name w:val="Pull-out Quote Char"/>
    <w:basedOn w:val="DefaultParagraphFont"/>
    <w:link w:val="Pull-outQuote"/>
    <w:uiPriority w:val="99"/>
    <w:semiHidden/>
    <w:rsid w:val="00190B62"/>
    <w:rPr>
      <w:rFonts w:ascii="Open Sans" w:hAnsi="Open Sans"/>
      <w:color w:val="FFFFFF" w:themeColor="background1"/>
      <w:sz w:val="20"/>
      <w:szCs w:val="20"/>
      <w:shd w:val="clear" w:color="auto" w:fill="2B9AC2" w:themeFill="text2"/>
    </w:rPr>
  </w:style>
  <w:style w:type="character" w:customStyle="1" w:styleId="Pull-outQuoteHeadingChar">
    <w:name w:val="Pull-out Quote Heading Char"/>
    <w:basedOn w:val="Pull-outQuoteChar"/>
    <w:link w:val="Pull-outQuoteHeading"/>
    <w:uiPriority w:val="99"/>
    <w:semiHidden/>
    <w:rsid w:val="00190B62"/>
    <w:rPr>
      <w:rFonts w:ascii="Open Sans" w:hAnsi="Open Sans"/>
      <w:b/>
      <w:color w:val="FFFFFF" w:themeColor="background1"/>
      <w:sz w:val="20"/>
      <w:szCs w:val="20"/>
      <w:shd w:val="clear" w:color="auto" w:fill="2B9AC2" w:themeFill="text2"/>
    </w:rPr>
  </w:style>
  <w:style w:type="paragraph" w:customStyle="1" w:styleId="NumberedHeading1">
    <w:name w:val="Numbered Heading 1"/>
    <w:basedOn w:val="Heading1"/>
    <w:next w:val="Normal"/>
    <w:link w:val="NumberedHeading1Char"/>
    <w:uiPriority w:val="9"/>
    <w:semiHidden/>
    <w:rsid w:val="00190B62"/>
  </w:style>
  <w:style w:type="paragraph" w:customStyle="1" w:styleId="NumberedHeading2">
    <w:name w:val="Numbered Heading 2"/>
    <w:basedOn w:val="Heading2"/>
    <w:next w:val="Normal"/>
    <w:link w:val="NumberedHeading2Char"/>
    <w:uiPriority w:val="9"/>
    <w:semiHidden/>
    <w:rsid w:val="00190B62"/>
  </w:style>
  <w:style w:type="character" w:customStyle="1" w:styleId="NumberedHeading1Char">
    <w:name w:val="Numbered Heading 1 Char"/>
    <w:basedOn w:val="Heading1Char"/>
    <w:link w:val="NumberedHeading1"/>
    <w:uiPriority w:val="9"/>
    <w:semiHidden/>
    <w:rsid w:val="00190B62"/>
    <w:rPr>
      <w:rFonts w:ascii="Open Sans Extrabold" w:hAnsi="Open Sans Extrabold"/>
      <w:color w:val="1C4373" w:themeColor="background2" w:themeShade="BF"/>
      <w:sz w:val="42"/>
      <w:szCs w:val="20"/>
      <w:shd w:val="clear" w:color="auto" w:fill="E7F6FD"/>
    </w:rPr>
  </w:style>
  <w:style w:type="character" w:customStyle="1" w:styleId="NumberedHeading2Char">
    <w:name w:val="Numbered Heading 2 Char"/>
    <w:basedOn w:val="Heading2Char"/>
    <w:link w:val="NumberedHeading2"/>
    <w:uiPriority w:val="9"/>
    <w:semiHidden/>
    <w:rsid w:val="00190B62"/>
    <w:rPr>
      <w:rFonts w:ascii="Open Sans Extrabold" w:eastAsiaTheme="majorEastAsia" w:hAnsi="Open Sans Extrabold" w:cstheme="majorBidi"/>
      <w:color w:val="1C4373" w:themeColor="background2" w:themeShade="BF"/>
      <w:sz w:val="30"/>
      <w:szCs w:val="60"/>
    </w:rPr>
  </w:style>
  <w:style w:type="paragraph" w:styleId="ListContinue5">
    <w:name w:val="List Continue 5"/>
    <w:basedOn w:val="Normal"/>
    <w:uiPriority w:val="3"/>
    <w:unhideWhenUsed/>
    <w:qFormat/>
    <w:rsid w:val="00190B62"/>
    <w:pPr>
      <w:ind w:left="1134"/>
      <w:contextualSpacing/>
    </w:pPr>
  </w:style>
  <w:style w:type="table" w:styleId="TableGrid">
    <w:name w:val="Table Grid"/>
    <w:basedOn w:val="TableNormal"/>
    <w:uiPriority w:val="3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190B62"/>
    <w:pPr>
      <w:spacing w:before="0" w:after="40"/>
    </w:pPr>
    <w:rPr>
      <w:rFonts w:ascii="Open Sans Extrabold" w:hAnsi="Open Sans Extrabold"/>
      <w:iCs/>
      <w:color w:val="000000" w:themeColor="text1"/>
      <w:szCs w:val="18"/>
    </w:rPr>
  </w:style>
  <w:style w:type="paragraph" w:styleId="List">
    <w:name w:val="List"/>
    <w:basedOn w:val="Normal"/>
    <w:uiPriority w:val="99"/>
    <w:semiHidden/>
    <w:qFormat/>
    <w:rsid w:val="00190B62"/>
    <w:pPr>
      <w:numPr>
        <w:numId w:val="10"/>
      </w:numPr>
      <w:spacing w:before="60"/>
    </w:pPr>
  </w:style>
  <w:style w:type="paragraph" w:styleId="List2">
    <w:name w:val="List 2"/>
    <w:basedOn w:val="Normal"/>
    <w:uiPriority w:val="99"/>
    <w:semiHidden/>
    <w:qFormat/>
    <w:rsid w:val="00190B62"/>
    <w:pPr>
      <w:numPr>
        <w:ilvl w:val="1"/>
        <w:numId w:val="10"/>
      </w:numPr>
      <w:spacing w:before="60"/>
    </w:pPr>
  </w:style>
  <w:style w:type="numbering" w:customStyle="1" w:styleId="LetteredList">
    <w:name w:val="Lettered List"/>
    <w:uiPriority w:val="99"/>
    <w:rsid w:val="00190B62"/>
    <w:pPr>
      <w:numPr>
        <w:numId w:val="9"/>
      </w:numPr>
    </w:pPr>
  </w:style>
  <w:style w:type="paragraph" w:styleId="Subtitle">
    <w:name w:val="Subtitle"/>
    <w:basedOn w:val="Normal"/>
    <w:next w:val="Normal"/>
    <w:link w:val="SubtitleChar"/>
    <w:uiPriority w:val="39"/>
    <w:rsid w:val="00190B62"/>
    <w:pPr>
      <w:numPr>
        <w:ilvl w:val="1"/>
      </w:numPr>
      <w:spacing w:before="240" w:after="240" w:line="240" w:lineRule="auto"/>
    </w:pPr>
    <w:rPr>
      <w:rFonts w:eastAsiaTheme="minorEastAsia"/>
      <w:color w:val="1C4373" w:themeColor="background2" w:themeShade="BF"/>
      <w:sz w:val="48"/>
    </w:rPr>
  </w:style>
  <w:style w:type="character" w:customStyle="1" w:styleId="SubtitleChar">
    <w:name w:val="Subtitle Char"/>
    <w:basedOn w:val="DefaultParagraphFont"/>
    <w:link w:val="Subtitle"/>
    <w:uiPriority w:val="39"/>
    <w:rsid w:val="00190B62"/>
    <w:rPr>
      <w:rFonts w:ascii="Open Sans" w:eastAsiaTheme="minorEastAsia" w:hAnsi="Open Sans"/>
      <w:color w:val="1C4373" w:themeColor="background2" w:themeShade="BF"/>
      <w:sz w:val="48"/>
      <w:szCs w:val="20"/>
    </w:rPr>
  </w:style>
  <w:style w:type="character" w:styleId="Strong">
    <w:name w:val="Strong"/>
    <w:basedOn w:val="DefaultParagraphFont"/>
    <w:uiPriority w:val="22"/>
    <w:qFormat/>
    <w:rsid w:val="00190B62"/>
    <w:rPr>
      <w:rFonts w:ascii="Open Sans" w:hAnsi="Open Sans"/>
      <w:b/>
      <w:bCs/>
    </w:rPr>
  </w:style>
  <w:style w:type="paragraph" w:customStyle="1" w:styleId="Header-Keyline">
    <w:name w:val="Header - Keyline"/>
    <w:basedOn w:val="Header"/>
    <w:link w:val="Header-KeylineChar"/>
    <w:uiPriority w:val="99"/>
    <w:rsid w:val="00190B62"/>
    <w:pPr>
      <w:pBdr>
        <w:bottom w:val="single" w:sz="4" w:space="31" w:color="2B9AC2" w:themeColor="text2"/>
      </w:pBdr>
      <w:spacing w:after="600"/>
    </w:pPr>
  </w:style>
  <w:style w:type="character" w:customStyle="1" w:styleId="Heading6Char">
    <w:name w:val="Heading 6 Char"/>
    <w:basedOn w:val="DefaultParagraphFont"/>
    <w:link w:val="Heading6"/>
    <w:uiPriority w:val="9"/>
    <w:rsid w:val="00190B62"/>
    <w:rPr>
      <w:rFonts w:ascii="Open Sans" w:eastAsiaTheme="majorEastAsia" w:hAnsi="Open Sans"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190B62"/>
    <w:rPr>
      <w:rFonts w:ascii="Open Sans" w:hAnsi="Open Sans"/>
      <w:sz w:val="16"/>
      <w:szCs w:val="20"/>
    </w:rPr>
  </w:style>
  <w:style w:type="character" w:customStyle="1" w:styleId="Heading7Char">
    <w:name w:val="Heading 7 Char"/>
    <w:basedOn w:val="DefaultParagraphFont"/>
    <w:link w:val="Heading7"/>
    <w:uiPriority w:val="9"/>
    <w:semiHidden/>
    <w:rsid w:val="00190B62"/>
    <w:rPr>
      <w:rFonts w:ascii="Open Sans" w:eastAsiaTheme="majorEastAsia" w:hAnsi="Open Sans" w:cstheme="minorHAnsi"/>
      <w:b/>
      <w:bCs/>
      <w:i/>
      <w:iCs/>
      <w:color w:val="265A9A" w:themeColor="background2"/>
      <w:sz w:val="20"/>
    </w:rPr>
  </w:style>
  <w:style w:type="character" w:customStyle="1" w:styleId="Heading8Char">
    <w:name w:val="Heading 8 Char"/>
    <w:basedOn w:val="DefaultParagraphFont"/>
    <w:link w:val="Heading8"/>
    <w:uiPriority w:val="9"/>
    <w:semiHidden/>
    <w:rsid w:val="00190B62"/>
    <w:rPr>
      <w:rFonts w:ascii="Open Sans" w:eastAsiaTheme="majorEastAsia" w:hAnsi="Open Sans" w:cstheme="majorBidi"/>
      <w:b/>
      <w:sz w:val="18"/>
      <w:szCs w:val="21"/>
    </w:rPr>
  </w:style>
  <w:style w:type="table" w:customStyle="1" w:styleId="ProductivityCommissionTable1">
    <w:name w:val="Productivity Commission Table 1"/>
    <w:basedOn w:val="TableNormal"/>
    <w:uiPriority w:val="99"/>
    <w:rsid w:val="00190B62"/>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190B62"/>
    <w:rPr>
      <w:rFonts w:asciiTheme="majorHAnsi" w:hAnsiTheme="majorHAnsi"/>
      <w:color w:val="8956A3" w:themeColor="accent2"/>
      <w:sz w:val="18"/>
      <w:szCs w:val="18"/>
    </w:rPr>
  </w:style>
  <w:style w:type="table" w:customStyle="1" w:styleId="ProductivityCommissionTable3">
    <w:name w:val="Productivity Commission Table 3"/>
    <w:basedOn w:val="TableNormal"/>
    <w:uiPriority w:val="99"/>
    <w:rsid w:val="00190B62"/>
    <w:pPr>
      <w:spacing w:after="0" w:line="240" w:lineRule="auto"/>
      <w:jc w:val="right"/>
    </w:pPr>
    <w:tblPr>
      <w:tblCellMar>
        <w:top w:w="45" w:type="dxa"/>
        <w:left w:w="0" w:type="dxa"/>
        <w:bottom w:w="45" w:type="dxa"/>
        <w:right w:w="28" w:type="dxa"/>
      </w:tblCellMar>
    </w:tblPr>
    <w:tblStylePr w:type="firstRow">
      <w:rPr>
        <w:b/>
        <w:color w:val="2B9AC2" w:themeColor="text2"/>
      </w:rPr>
      <w:tblPr/>
      <w:tcPr>
        <w:tcBorders>
          <w:top w:val="nil"/>
          <w:left w:val="nil"/>
          <w:bottom w:val="single" w:sz="4" w:space="0" w:color="71CBD5" w:themeColor="accent3"/>
          <w:right w:val="nil"/>
          <w:insideH w:val="nil"/>
          <w:insideV w:val="nil"/>
          <w:tl2br w:val="nil"/>
          <w:tr2bl w:val="nil"/>
        </w:tcBorders>
      </w:tcPr>
    </w:tblStylePr>
    <w:tblStylePr w:type="lastRow">
      <w:rPr>
        <w:b/>
      </w:rPr>
      <w:tblPr/>
      <w:tcPr>
        <w:tcBorders>
          <w:top w:val="single" w:sz="4" w:space="0" w:color="71CBD5" w:themeColor="accent3"/>
          <w:left w:val="nil"/>
          <w:bottom w:val="single" w:sz="4" w:space="0" w:color="71CBD5"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190B62"/>
    <w:pPr>
      <w:spacing w:before="240" w:after="240" w:line="500" w:lineRule="atLeast"/>
      <w:outlineLvl w:val="0"/>
    </w:pPr>
    <w:rPr>
      <w:rFonts w:ascii="Open Sans Extrabold" w:hAnsi="Open Sans Extrabold"/>
      <w:color w:val="1C4373" w:themeColor="background2" w:themeShade="BF"/>
      <w:sz w:val="42"/>
      <w:szCs w:val="20"/>
    </w:rPr>
  </w:style>
  <w:style w:type="paragraph" w:styleId="FootnoteText">
    <w:name w:val="footnote text"/>
    <w:basedOn w:val="Normal"/>
    <w:link w:val="FootnoteTextChar"/>
    <w:uiPriority w:val="99"/>
    <w:rsid w:val="00190B62"/>
    <w:pPr>
      <w:spacing w:before="60" w:after="60" w:line="293" w:lineRule="auto"/>
      <w:contextualSpacing/>
    </w:pPr>
    <w:rPr>
      <w:sz w:val="18"/>
    </w:rPr>
  </w:style>
  <w:style w:type="paragraph" w:styleId="TOC1">
    <w:name w:val="toc 1"/>
    <w:basedOn w:val="Normal"/>
    <w:next w:val="BodyText"/>
    <w:autoRedefine/>
    <w:uiPriority w:val="39"/>
    <w:unhideWhenUsed/>
    <w:rsid w:val="00190B62"/>
    <w:pPr>
      <w:tabs>
        <w:tab w:val="left" w:pos="567"/>
        <w:tab w:val="right" w:pos="7938"/>
      </w:tabs>
      <w:spacing w:after="100" w:line="293" w:lineRule="auto"/>
      <w:ind w:left="567" w:right="1701" w:hanging="567"/>
    </w:pPr>
    <w:rPr>
      <w:rFonts w:ascii="Open Sans Extrabold" w:hAnsi="Open Sans Extrabold"/>
      <w:color w:val="1C4373" w:themeColor="background2" w:themeShade="BF"/>
    </w:rPr>
  </w:style>
  <w:style w:type="character" w:customStyle="1" w:styleId="FootnoteTextChar">
    <w:name w:val="Footnote Text Char"/>
    <w:basedOn w:val="DefaultParagraphFont"/>
    <w:link w:val="FootnoteText"/>
    <w:uiPriority w:val="99"/>
    <w:rsid w:val="00190B62"/>
    <w:rPr>
      <w:rFonts w:ascii="Open Sans" w:hAnsi="Open Sans"/>
      <w:sz w:val="18"/>
      <w:szCs w:val="20"/>
    </w:rPr>
  </w:style>
  <w:style w:type="character" w:styleId="FootnoteReference">
    <w:name w:val="footnote reference"/>
    <w:basedOn w:val="DefaultParagraphFont"/>
    <w:uiPriority w:val="99"/>
    <w:semiHidden/>
    <w:unhideWhenUsed/>
    <w:rsid w:val="00190B62"/>
    <w:rPr>
      <w:vertAlign w:val="superscript"/>
    </w:rPr>
  </w:style>
  <w:style w:type="character" w:styleId="Hyperlink">
    <w:name w:val="Hyperlink"/>
    <w:basedOn w:val="DefaultParagraphFont"/>
    <w:uiPriority w:val="99"/>
    <w:unhideWhenUsed/>
    <w:rsid w:val="00190B62"/>
    <w:rPr>
      <w:color w:val="000000" w:themeColor="hyperlink"/>
      <w:u w:val="single"/>
    </w:rPr>
  </w:style>
  <w:style w:type="character" w:styleId="HTMLVariable">
    <w:name w:val="HTML Variable"/>
    <w:basedOn w:val="DefaultParagraphFont"/>
    <w:uiPriority w:val="99"/>
    <w:unhideWhenUsed/>
    <w:rsid w:val="00190B62"/>
    <w:rPr>
      <w:i/>
      <w:iCs/>
    </w:rPr>
  </w:style>
  <w:style w:type="paragraph" w:styleId="TOC2">
    <w:name w:val="toc 2"/>
    <w:basedOn w:val="Normal"/>
    <w:next w:val="Normal"/>
    <w:autoRedefine/>
    <w:uiPriority w:val="39"/>
    <w:unhideWhenUsed/>
    <w:rsid w:val="00190B62"/>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190B62"/>
    <w:pPr>
      <w:tabs>
        <w:tab w:val="right" w:pos="7938"/>
      </w:tabs>
      <w:spacing w:after="100" w:line="293" w:lineRule="auto"/>
      <w:ind w:right="1701"/>
    </w:pPr>
    <w:rPr>
      <w:rFonts w:asciiTheme="majorHAnsi" w:hAnsiTheme="majorHAnsi"/>
      <w:color w:val="1C4373" w:themeColor="background2" w:themeShade="BF"/>
    </w:rPr>
  </w:style>
  <w:style w:type="paragraph" w:customStyle="1" w:styleId="Subtitle2">
    <w:name w:val="Subtitle 2"/>
    <w:basedOn w:val="Normal"/>
    <w:link w:val="Subtitle2Char"/>
    <w:uiPriority w:val="39"/>
    <w:rsid w:val="00190B62"/>
    <w:pPr>
      <w:spacing w:before="0" w:after="160" w:line="259" w:lineRule="auto"/>
    </w:pPr>
    <w:rPr>
      <w:color w:val="1C4373" w:themeColor="background2" w:themeShade="BF"/>
      <w:sz w:val="28"/>
      <w:szCs w:val="36"/>
    </w:rPr>
  </w:style>
  <w:style w:type="paragraph" w:customStyle="1" w:styleId="Copyrightpage-Heading2">
    <w:name w:val="Copyright page-Heading 2"/>
    <w:basedOn w:val="NoSpacing"/>
    <w:link w:val="Copyrightpage-Heading2Char"/>
    <w:uiPriority w:val="19"/>
    <w:rsid w:val="00190B62"/>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190B62"/>
    <w:rPr>
      <w:rFonts w:ascii="Open Sans" w:hAnsi="Open Sans"/>
      <w:color w:val="1C4373" w:themeColor="background2" w:themeShade="BF"/>
      <w:sz w:val="28"/>
      <w:szCs w:val="36"/>
    </w:rPr>
  </w:style>
  <w:style w:type="paragraph" w:customStyle="1" w:styleId="Copyrightpage-BodyText">
    <w:name w:val="Copyright page-Body Text"/>
    <w:basedOn w:val="Normal"/>
    <w:link w:val="Copyrightpage-BodyTextChar"/>
    <w:uiPriority w:val="19"/>
    <w:rsid w:val="00190B62"/>
    <w:pPr>
      <w:spacing w:before="80" w:line="250" w:lineRule="atLeast"/>
    </w:pPr>
    <w:rPr>
      <w:color w:val="000000" w:themeColor="text1"/>
      <w:sz w:val="16"/>
    </w:rPr>
  </w:style>
  <w:style w:type="character" w:customStyle="1" w:styleId="NoSpacingChar">
    <w:name w:val="No Spacing Char"/>
    <w:basedOn w:val="DefaultParagraphFont"/>
    <w:link w:val="NoSpacing"/>
    <w:uiPriority w:val="10"/>
    <w:rsid w:val="00190B62"/>
    <w:rPr>
      <w:rFonts w:ascii="Open Sans" w:hAnsi="Open Sans"/>
      <w:sz w:val="20"/>
      <w:szCs w:val="20"/>
    </w:rPr>
  </w:style>
  <w:style w:type="character" w:customStyle="1" w:styleId="Copyrightpage-Heading2Char">
    <w:name w:val="Copyright page-Heading 2 Char"/>
    <w:basedOn w:val="NoSpacingChar"/>
    <w:link w:val="Copyrightpage-Heading2"/>
    <w:uiPriority w:val="19"/>
    <w:rsid w:val="00190B62"/>
    <w:rPr>
      <w:rFonts w:ascii="Open Sans" w:hAnsi="Open Sans"/>
      <w:b/>
      <w:color w:val="FFFFFF" w:themeColor="background1"/>
      <w:sz w:val="16"/>
      <w:szCs w:val="16"/>
    </w:rPr>
  </w:style>
  <w:style w:type="paragraph" w:customStyle="1" w:styleId="Copyrightpage-Heading">
    <w:name w:val="Copyright page-Heading"/>
    <w:basedOn w:val="Subtitle2"/>
    <w:link w:val="Copyrightpage-HeadingChar"/>
    <w:uiPriority w:val="19"/>
    <w:rsid w:val="00190B62"/>
    <w:pPr>
      <w:spacing w:line="240" w:lineRule="auto"/>
    </w:pPr>
    <w:rPr>
      <w:rFonts w:ascii="Open Sans Semibold" w:hAnsi="Open Sans Semibold"/>
      <w:spacing w:val="4"/>
      <w:sz w:val="19"/>
      <w:szCs w:val="18"/>
    </w:rPr>
  </w:style>
  <w:style w:type="character" w:customStyle="1" w:styleId="Copyrightpage-BodyTextChar">
    <w:name w:val="Copyright page-Body Text Char"/>
    <w:basedOn w:val="DefaultParagraphFont"/>
    <w:link w:val="Copyrightpage-BodyText"/>
    <w:uiPriority w:val="19"/>
    <w:rsid w:val="00190B62"/>
    <w:rPr>
      <w:rFonts w:ascii="Open Sans" w:hAnsi="Open Sans"/>
      <w:color w:val="000000" w:themeColor="text1"/>
      <w:sz w:val="16"/>
      <w:szCs w:val="20"/>
    </w:rPr>
  </w:style>
  <w:style w:type="paragraph" w:customStyle="1" w:styleId="Subtitle4">
    <w:name w:val="Subtitle 4"/>
    <w:basedOn w:val="Copyrightpage-Heading"/>
    <w:link w:val="Subtitle4Char"/>
    <w:uiPriority w:val="39"/>
    <w:rsid w:val="00C0754F"/>
    <w:pPr>
      <w:spacing w:after="40"/>
    </w:pPr>
    <w:rPr>
      <w:b/>
      <w:sz w:val="16"/>
    </w:rPr>
  </w:style>
  <w:style w:type="character" w:customStyle="1" w:styleId="Copyrightpage-HeadingChar">
    <w:name w:val="Copyright page-Heading Char"/>
    <w:basedOn w:val="Subtitle2Char"/>
    <w:link w:val="Copyrightpage-Heading"/>
    <w:uiPriority w:val="19"/>
    <w:rsid w:val="00190B62"/>
    <w:rPr>
      <w:rFonts w:ascii="Open Sans Semibold" w:hAnsi="Open Sans Semibold"/>
      <w:color w:val="1C4373" w:themeColor="background2" w:themeShade="BF"/>
      <w:spacing w:val="4"/>
      <w:sz w:val="19"/>
      <w:szCs w:val="18"/>
    </w:rPr>
  </w:style>
  <w:style w:type="paragraph" w:customStyle="1" w:styleId="Heading1-noTOC">
    <w:name w:val="Heading 1-no TOC"/>
    <w:next w:val="BodyText"/>
    <w:uiPriority w:val="9"/>
    <w:qFormat/>
    <w:rsid w:val="00190B62"/>
    <w:pPr>
      <w:spacing w:before="600" w:after="480" w:line="504" w:lineRule="atLeast"/>
    </w:pPr>
    <w:rPr>
      <w:rFonts w:ascii="Open Sans Extrabold" w:eastAsiaTheme="majorEastAsia" w:hAnsi="Open Sans Extrabold" w:cstheme="majorBidi"/>
      <w:b/>
      <w:color w:val="1C4373" w:themeColor="background2" w:themeShade="BF"/>
      <w:sz w:val="42"/>
      <w:szCs w:val="68"/>
    </w:rPr>
  </w:style>
  <w:style w:type="character" w:customStyle="1" w:styleId="Subtitle4Char">
    <w:name w:val="Subtitle 4 Char"/>
    <w:basedOn w:val="Copyrightpage-HeadingChar"/>
    <w:link w:val="Subtitle4"/>
    <w:uiPriority w:val="39"/>
    <w:rsid w:val="00C0754F"/>
    <w:rPr>
      <w:rFonts w:ascii="Open Sans Semibold" w:hAnsi="Open Sans Semibold"/>
      <w:b/>
      <w:color w:val="132D4D" w:themeColor="background2" w:themeShade="80"/>
      <w:spacing w:val="4"/>
      <w:sz w:val="16"/>
      <w:szCs w:val="18"/>
    </w:rPr>
  </w:style>
  <w:style w:type="paragraph" w:customStyle="1" w:styleId="Heading2-noTOC">
    <w:name w:val="Heading 2-no TOC"/>
    <w:next w:val="BodyText"/>
    <w:uiPriority w:val="9"/>
    <w:unhideWhenUsed/>
    <w:qFormat/>
    <w:rsid w:val="00190B62"/>
    <w:pPr>
      <w:spacing w:before="240" w:after="120" w:line="360" w:lineRule="atLeast"/>
    </w:pPr>
    <w:rPr>
      <w:rFonts w:ascii="Open Sans Extrabold" w:eastAsiaTheme="majorEastAsia" w:hAnsi="Open Sans Extrabold" w:cstheme="majorBidi"/>
      <w:color w:val="1C4373" w:themeColor="background2" w:themeShade="BF"/>
      <w:sz w:val="30"/>
      <w:szCs w:val="60"/>
    </w:rPr>
  </w:style>
  <w:style w:type="paragraph" w:styleId="TOC4">
    <w:name w:val="toc 4"/>
    <w:basedOn w:val="Normal"/>
    <w:next w:val="Normal"/>
    <w:autoRedefine/>
    <w:uiPriority w:val="39"/>
    <w:unhideWhenUsed/>
    <w:rsid w:val="00190B62"/>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190B62"/>
    <w:pPr>
      <w:spacing w:line="360" w:lineRule="auto"/>
      <w:jc w:val="right"/>
    </w:pPr>
    <w:rPr>
      <w:sz w:val="16"/>
    </w:rPr>
  </w:style>
  <w:style w:type="paragraph" w:customStyle="1" w:styleId="Letterlogo">
    <w:name w:val="Letter logo"/>
    <w:basedOn w:val="LetterRight"/>
    <w:uiPriority w:val="99"/>
    <w:rsid w:val="00190B62"/>
    <w:pPr>
      <w:spacing w:after="320"/>
    </w:pPr>
  </w:style>
  <w:style w:type="character" w:customStyle="1" w:styleId="LetterRightChar">
    <w:name w:val="Letter Right Char"/>
    <w:basedOn w:val="DefaultParagraphFont"/>
    <w:link w:val="LetterRight"/>
    <w:uiPriority w:val="99"/>
    <w:rsid w:val="00190B62"/>
    <w:rPr>
      <w:rFonts w:ascii="Open Sans" w:hAnsi="Open Sans"/>
      <w:sz w:val="16"/>
      <w:szCs w:val="20"/>
    </w:rPr>
  </w:style>
  <w:style w:type="character" w:styleId="UnresolvedMention">
    <w:name w:val="Unresolved Mention"/>
    <w:basedOn w:val="DefaultParagraphFont"/>
    <w:uiPriority w:val="99"/>
    <w:semiHidden/>
    <w:unhideWhenUsed/>
    <w:rsid w:val="00190B62"/>
    <w:rPr>
      <w:color w:val="605E5C"/>
      <w:shd w:val="clear" w:color="auto" w:fill="E1DFDD"/>
    </w:rPr>
  </w:style>
  <w:style w:type="paragraph" w:customStyle="1" w:styleId="LetterRight-NoSpace">
    <w:name w:val="Letter Right-No Space"/>
    <w:basedOn w:val="LetterRight"/>
    <w:uiPriority w:val="99"/>
    <w:rsid w:val="00190B62"/>
    <w:pPr>
      <w:spacing w:after="0"/>
    </w:pPr>
  </w:style>
  <w:style w:type="table" w:customStyle="1" w:styleId="Blank">
    <w:name w:val="Blank"/>
    <w:basedOn w:val="TableNormal"/>
    <w:uiPriority w:val="99"/>
    <w:rsid w:val="00190B62"/>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190B62"/>
    <w:pPr>
      <w:numPr>
        <w:numId w:val="12"/>
      </w:numPr>
      <w:contextualSpacing/>
    </w:pPr>
  </w:style>
  <w:style w:type="paragraph" w:customStyle="1" w:styleId="Coverdate">
    <w:name w:val="Cover date"/>
    <w:basedOn w:val="Normal"/>
    <w:uiPriority w:val="29"/>
    <w:rsid w:val="00190B62"/>
    <w:pPr>
      <w:framePr w:wrap="around" w:vAnchor="page" w:hAnchor="margin" w:xAlign="right" w:y="1135" w:anchorLock="1"/>
      <w:spacing w:before="0" w:after="0"/>
      <w:jc w:val="right"/>
    </w:pPr>
    <w:rPr>
      <w:rFonts w:ascii="Open Sans Semibold" w:hAnsi="Open Sans Semibold"/>
      <w:sz w:val="18"/>
    </w:rPr>
  </w:style>
  <w:style w:type="table" w:customStyle="1" w:styleId="ProductivityCommissionTable2">
    <w:name w:val="Productivity Commission Table 2"/>
    <w:basedOn w:val="ProductivityCommissionTable1"/>
    <w:uiPriority w:val="99"/>
    <w:rsid w:val="00190B62"/>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190B62"/>
    <w:rPr>
      <w:color w:val="FFFFFF" w:themeColor="background1"/>
    </w:rPr>
  </w:style>
  <w:style w:type="paragraph" w:customStyle="1" w:styleId="Copyrightpage-Keylinenotext">
    <w:name w:val="Copyright page-Keyline (no text)"/>
    <w:basedOn w:val="Copyrightpage-Heading2"/>
    <w:uiPriority w:val="19"/>
    <w:rsid w:val="00190B62"/>
    <w:pPr>
      <w:pBdr>
        <w:top w:val="single" w:sz="4" w:space="8" w:color="2B9AC2"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190B62"/>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190B62"/>
    <w:pPr>
      <w:spacing w:before="46" w:after="46"/>
      <w:ind w:left="57" w:right="108"/>
    </w:pPr>
    <w:rPr>
      <w:b/>
      <w:sz w:val="18"/>
    </w:rPr>
  </w:style>
  <w:style w:type="paragraph" w:customStyle="1" w:styleId="CoverImage">
    <w:name w:val="Cover Image"/>
    <w:basedOn w:val="Normal"/>
    <w:uiPriority w:val="29"/>
    <w:rsid w:val="00190B62"/>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190B62"/>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190B62"/>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190B62"/>
    <w:pPr>
      <w:spacing w:before="60"/>
      <w:ind w:left="113" w:right="851"/>
    </w:pPr>
    <w:rPr>
      <w:color w:val="58585B"/>
    </w:rPr>
  </w:style>
  <w:style w:type="numbering" w:customStyle="1" w:styleId="TOCList">
    <w:name w:val="TOC List"/>
    <w:uiPriority w:val="99"/>
    <w:rsid w:val="00190B62"/>
    <w:pPr>
      <w:numPr>
        <w:numId w:val="18"/>
      </w:numPr>
    </w:pPr>
  </w:style>
  <w:style w:type="paragraph" w:customStyle="1" w:styleId="Heading1-Section-fullpage">
    <w:name w:val="Heading 1-Section-full page"/>
    <w:basedOn w:val="Heading1-nobackground"/>
    <w:uiPriority w:val="9"/>
    <w:qFormat/>
    <w:rsid w:val="00190B62"/>
    <w:pPr>
      <w:framePr w:w="9639" w:h="13041" w:hRule="exact" w:wrap="around" w:vAnchor="text" w:hAnchor="text" w:y="1" w:anchorLock="1"/>
      <w:pBdr>
        <w:top w:val="single" w:sz="4" w:space="31" w:color="E7F6FD"/>
        <w:left w:val="single" w:sz="4" w:space="26" w:color="E7F6FD"/>
        <w:bottom w:val="single" w:sz="4" w:space="26" w:color="E7F6FD"/>
        <w:right w:val="single" w:sz="4" w:space="26" w:color="E7F6FD"/>
      </w:pBdr>
      <w:shd w:val="clear" w:color="auto" w:fill="E7F6FD"/>
      <w:spacing w:before="0"/>
      <w:ind w:left="567" w:right="567"/>
    </w:pPr>
  </w:style>
  <w:style w:type="table" w:customStyle="1" w:styleId="Texttable-Paleblue">
    <w:name w:val="Text table-Pale blue"/>
    <w:basedOn w:val="TableNormal"/>
    <w:uiPriority w:val="99"/>
    <w:rsid w:val="00190B62"/>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190B62"/>
    <w:pPr>
      <w:keepNext/>
      <w:spacing w:before="240"/>
    </w:pPr>
  </w:style>
  <w:style w:type="paragraph" w:customStyle="1" w:styleId="Source">
    <w:name w:val="Source"/>
    <w:basedOn w:val="Normal"/>
    <w:uiPriority w:val="9"/>
    <w:qFormat/>
    <w:rsid w:val="00190B62"/>
    <w:pPr>
      <w:spacing w:before="80" w:after="240" w:line="216" w:lineRule="atLeast"/>
    </w:pPr>
    <w:rPr>
      <w:sz w:val="18"/>
    </w:rPr>
  </w:style>
  <w:style w:type="paragraph" w:customStyle="1" w:styleId="Note">
    <w:name w:val="Note"/>
    <w:basedOn w:val="Source"/>
    <w:uiPriority w:val="9"/>
    <w:qFormat/>
    <w:rsid w:val="00190B62"/>
    <w:pPr>
      <w:spacing w:after="20"/>
    </w:pPr>
  </w:style>
  <w:style w:type="numbering" w:customStyle="1" w:styleId="Figure">
    <w:name w:val="Figure"/>
    <w:uiPriority w:val="99"/>
    <w:rsid w:val="00190B62"/>
    <w:pPr>
      <w:numPr>
        <w:numId w:val="7"/>
      </w:numPr>
    </w:pPr>
  </w:style>
  <w:style w:type="table" w:customStyle="1" w:styleId="Boxtable">
    <w:name w:val="Box table"/>
    <w:basedOn w:val="Texttable-Paleblue"/>
    <w:uiPriority w:val="99"/>
    <w:rsid w:val="00190B62"/>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190B62"/>
    <w:pPr>
      <w:numPr>
        <w:numId w:val="5"/>
      </w:numPr>
    </w:pPr>
  </w:style>
  <w:style w:type="paragraph" w:customStyle="1" w:styleId="BoxHeading2">
    <w:name w:val="Box Heading 2"/>
    <w:basedOn w:val="Normal"/>
    <w:next w:val="BodyText"/>
    <w:uiPriority w:val="4"/>
    <w:qFormat/>
    <w:rsid w:val="00190B62"/>
    <w:rPr>
      <w:b/>
    </w:rPr>
  </w:style>
  <w:style w:type="table" w:customStyle="1" w:styleId="ProductivityCommissionTable2-Dark">
    <w:name w:val="Productivity Commission Table 2 - Dark"/>
    <w:basedOn w:val="ProductivityCommissionTable2"/>
    <w:uiPriority w:val="99"/>
    <w:rsid w:val="00190B62"/>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190B62"/>
    <w:rPr>
      <w:i/>
    </w:rPr>
  </w:style>
  <w:style w:type="paragraph" w:customStyle="1" w:styleId="TableHeading">
    <w:name w:val="Table Heading"/>
    <w:basedOn w:val="NoSpacing"/>
    <w:link w:val="TableHeadingChar"/>
    <w:uiPriority w:val="4"/>
    <w:qFormat/>
    <w:rsid w:val="00190B62"/>
    <w:pPr>
      <w:spacing w:before="46" w:after="46"/>
      <w:ind w:left="57" w:right="108"/>
    </w:pPr>
    <w:rPr>
      <w:b/>
      <w:color w:val="132D4D" w:themeColor="background2" w:themeShade="80"/>
      <w:sz w:val="18"/>
    </w:rPr>
  </w:style>
  <w:style w:type="paragraph" w:customStyle="1" w:styleId="BodyText-Blue">
    <w:name w:val="Body Text-Blue"/>
    <w:basedOn w:val="BodyText"/>
    <w:link w:val="BodyText-BlueChar"/>
    <w:semiHidden/>
    <w:qFormat/>
    <w:rsid w:val="00190B62"/>
    <w:rPr>
      <w:color w:val="265A9A" w:themeColor="background2"/>
    </w:rPr>
  </w:style>
  <w:style w:type="table" w:customStyle="1" w:styleId="Texttable-Keyline">
    <w:name w:val="Text table-Keyline"/>
    <w:basedOn w:val="Texttable-Paleblue"/>
    <w:uiPriority w:val="99"/>
    <w:rsid w:val="00190B62"/>
    <w:tblPr>
      <w:tblBorders>
        <w:top w:val="single" w:sz="4" w:space="0" w:color="2B9AC2" w:themeColor="text2"/>
        <w:left w:val="single" w:sz="4" w:space="0" w:color="2B9AC2" w:themeColor="text2"/>
        <w:bottom w:val="single" w:sz="4" w:space="0" w:color="2B9AC2" w:themeColor="text2"/>
        <w:right w:val="single" w:sz="4" w:space="0" w:color="2B9AC2" w:themeColor="text2"/>
      </w:tblBorders>
    </w:tblPr>
    <w:tcPr>
      <w:shd w:val="clear" w:color="auto" w:fill="auto"/>
    </w:tcPr>
  </w:style>
  <w:style w:type="paragraph" w:customStyle="1" w:styleId="Header-KeylineRight">
    <w:name w:val="Header - Keyline Right"/>
    <w:basedOn w:val="Header-Keyline"/>
    <w:uiPriority w:val="99"/>
    <w:rsid w:val="00190B62"/>
    <w:pPr>
      <w:jc w:val="right"/>
    </w:pPr>
  </w:style>
  <w:style w:type="table" w:customStyle="1" w:styleId="CopyrightPage">
    <w:name w:val="Copyright Page"/>
    <w:basedOn w:val="OverviewPageBannerTableStyle"/>
    <w:uiPriority w:val="99"/>
    <w:rsid w:val="00190B62"/>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190B62"/>
    <w:pPr>
      <w:spacing w:line="312" w:lineRule="atLeast"/>
    </w:pPr>
  </w:style>
  <w:style w:type="paragraph" w:styleId="BodyText">
    <w:name w:val="Body Text"/>
    <w:basedOn w:val="Normal"/>
    <w:link w:val="BodyTextChar"/>
    <w:qFormat/>
    <w:rsid w:val="00190B62"/>
  </w:style>
  <w:style w:type="character" w:customStyle="1" w:styleId="BodyTextChar">
    <w:name w:val="Body Text Char"/>
    <w:basedOn w:val="DefaultParagraphFont"/>
    <w:link w:val="BodyText"/>
    <w:rsid w:val="00190B62"/>
    <w:rPr>
      <w:rFonts w:ascii="Open Sans" w:hAnsi="Open Sans"/>
      <w:sz w:val="20"/>
      <w:szCs w:val="20"/>
    </w:rPr>
  </w:style>
  <w:style w:type="paragraph" w:styleId="List4">
    <w:name w:val="List 4"/>
    <w:basedOn w:val="Normal"/>
    <w:uiPriority w:val="99"/>
    <w:semiHidden/>
    <w:rsid w:val="00190B62"/>
    <w:pPr>
      <w:numPr>
        <w:ilvl w:val="3"/>
        <w:numId w:val="10"/>
      </w:numPr>
      <w:contextualSpacing/>
    </w:pPr>
  </w:style>
  <w:style w:type="paragraph" w:styleId="List3">
    <w:name w:val="List 3"/>
    <w:basedOn w:val="Normal"/>
    <w:uiPriority w:val="99"/>
    <w:semiHidden/>
    <w:rsid w:val="00190B62"/>
    <w:pPr>
      <w:numPr>
        <w:ilvl w:val="2"/>
        <w:numId w:val="10"/>
      </w:numPr>
      <w:contextualSpacing/>
    </w:pPr>
  </w:style>
  <w:style w:type="paragraph" w:customStyle="1" w:styleId="Heading1-nonumber">
    <w:name w:val="Heading 1-no number"/>
    <w:basedOn w:val="Heading1"/>
    <w:next w:val="BodyText"/>
    <w:uiPriority w:val="9"/>
    <w:qFormat/>
    <w:rsid w:val="00190B62"/>
    <w:pPr>
      <w:numPr>
        <w:numId w:val="0"/>
      </w:numPr>
      <w:ind w:left="567"/>
    </w:pPr>
  </w:style>
  <w:style w:type="paragraph" w:customStyle="1" w:styleId="ListAlpha1">
    <w:name w:val="List Alpha 1"/>
    <w:basedOn w:val="Normal"/>
    <w:uiPriority w:val="3"/>
    <w:qFormat/>
    <w:rsid w:val="00190B62"/>
    <w:pPr>
      <w:numPr>
        <w:numId w:val="11"/>
      </w:numPr>
      <w:spacing w:before="60"/>
      <w:contextualSpacing/>
    </w:pPr>
  </w:style>
  <w:style w:type="paragraph" w:customStyle="1" w:styleId="ListAlpha2">
    <w:name w:val="List Alpha 2"/>
    <w:basedOn w:val="ListAlpha1"/>
    <w:uiPriority w:val="3"/>
    <w:qFormat/>
    <w:rsid w:val="00190B62"/>
    <w:pPr>
      <w:numPr>
        <w:ilvl w:val="1"/>
      </w:numPr>
    </w:pPr>
  </w:style>
  <w:style w:type="paragraph" w:customStyle="1" w:styleId="ListAlpha3">
    <w:name w:val="List Alpha 3"/>
    <w:basedOn w:val="ListAlpha2"/>
    <w:uiPriority w:val="3"/>
    <w:qFormat/>
    <w:rsid w:val="00190B62"/>
    <w:pPr>
      <w:numPr>
        <w:ilvl w:val="2"/>
      </w:numPr>
    </w:pPr>
  </w:style>
  <w:style w:type="paragraph" w:customStyle="1" w:styleId="ListAlpha4">
    <w:name w:val="List Alpha 4"/>
    <w:basedOn w:val="ListAlpha3"/>
    <w:uiPriority w:val="3"/>
    <w:semiHidden/>
    <w:qFormat/>
    <w:rsid w:val="00190B62"/>
    <w:pPr>
      <w:numPr>
        <w:ilvl w:val="3"/>
      </w:numPr>
    </w:pPr>
  </w:style>
  <w:style w:type="numbering" w:customStyle="1" w:styleId="Alphalist">
    <w:name w:val="Alpha list"/>
    <w:uiPriority w:val="99"/>
    <w:rsid w:val="00190B62"/>
    <w:pPr>
      <w:numPr>
        <w:numId w:val="2"/>
      </w:numPr>
    </w:pPr>
  </w:style>
  <w:style w:type="paragraph" w:customStyle="1" w:styleId="KeyPoints-Bold">
    <w:name w:val="Key Points-Bold"/>
    <w:basedOn w:val="Normal"/>
    <w:uiPriority w:val="10"/>
    <w:qFormat/>
    <w:rsid w:val="00190B62"/>
    <w:pPr>
      <w:spacing w:before="40" w:after="60" w:line="274" w:lineRule="atLeast"/>
    </w:pPr>
    <w:rPr>
      <w:b/>
      <w:sz w:val="18"/>
    </w:rPr>
  </w:style>
  <w:style w:type="paragraph" w:customStyle="1" w:styleId="Copyrightpage-BodyBold">
    <w:name w:val="Copyright page-Body Bold"/>
    <w:basedOn w:val="Copyrightpage-BodyText"/>
    <w:uiPriority w:val="19"/>
    <w:rsid w:val="00190B62"/>
    <w:rPr>
      <w:b/>
    </w:rPr>
  </w:style>
  <w:style w:type="paragraph" w:customStyle="1" w:styleId="KeyPoints-Bullet">
    <w:name w:val="Key Points-Bullet"/>
    <w:basedOn w:val="ListBullet"/>
    <w:uiPriority w:val="10"/>
    <w:qFormat/>
    <w:rsid w:val="00190B62"/>
    <w:pPr>
      <w:spacing w:after="60" w:line="274" w:lineRule="atLeast"/>
    </w:pPr>
    <w:rPr>
      <w:sz w:val="18"/>
    </w:rPr>
  </w:style>
  <w:style w:type="paragraph" w:customStyle="1" w:styleId="BodyText-Grey">
    <w:name w:val="Body Text-Grey"/>
    <w:basedOn w:val="BodyText"/>
    <w:link w:val="BodyText-GreyChar"/>
    <w:semiHidden/>
    <w:qFormat/>
    <w:rsid w:val="00190B62"/>
    <w:rPr>
      <w:color w:val="58585B"/>
    </w:rPr>
  </w:style>
  <w:style w:type="character" w:customStyle="1" w:styleId="BodyText-GreyChar">
    <w:name w:val="Body Text-Grey Char"/>
    <w:basedOn w:val="BodyTextChar"/>
    <w:link w:val="BodyText-Grey"/>
    <w:semiHidden/>
    <w:rsid w:val="00190B62"/>
    <w:rPr>
      <w:rFonts w:ascii="Open Sans" w:hAnsi="Open Sans"/>
      <w:color w:val="58585B"/>
      <w:sz w:val="20"/>
      <w:szCs w:val="20"/>
    </w:rPr>
  </w:style>
  <w:style w:type="paragraph" w:styleId="BalloonText">
    <w:name w:val="Balloon Text"/>
    <w:basedOn w:val="Normal"/>
    <w:link w:val="BalloonTextChar"/>
    <w:uiPriority w:val="99"/>
    <w:semiHidden/>
    <w:unhideWhenUsed/>
    <w:rsid w:val="00190B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0B62"/>
    <w:rPr>
      <w:rFonts w:ascii="Segoe UI" w:hAnsi="Segoe UI" w:cs="Segoe UI"/>
      <w:sz w:val="18"/>
      <w:szCs w:val="18"/>
    </w:rPr>
  </w:style>
  <w:style w:type="character" w:styleId="CommentReference">
    <w:name w:val="annotation reference"/>
    <w:basedOn w:val="DefaultParagraphFont"/>
    <w:uiPriority w:val="99"/>
    <w:semiHidden/>
    <w:unhideWhenUsed/>
    <w:rsid w:val="00190B62"/>
    <w:rPr>
      <w:sz w:val="16"/>
      <w:szCs w:val="16"/>
    </w:rPr>
  </w:style>
  <w:style w:type="paragraph" w:styleId="CommentText">
    <w:name w:val="annotation text"/>
    <w:basedOn w:val="Normal"/>
    <w:link w:val="CommentTextChar"/>
    <w:uiPriority w:val="99"/>
    <w:unhideWhenUsed/>
    <w:rsid w:val="00190B62"/>
    <w:pPr>
      <w:spacing w:line="240" w:lineRule="auto"/>
    </w:pPr>
  </w:style>
  <w:style w:type="character" w:customStyle="1" w:styleId="CommentTextChar">
    <w:name w:val="Comment Text Char"/>
    <w:basedOn w:val="DefaultParagraphFont"/>
    <w:link w:val="CommentText"/>
    <w:uiPriority w:val="99"/>
    <w:rsid w:val="00190B62"/>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190B62"/>
    <w:rPr>
      <w:b/>
      <w:bCs/>
    </w:rPr>
  </w:style>
  <w:style w:type="character" w:customStyle="1" w:styleId="CommentSubjectChar">
    <w:name w:val="Comment Subject Char"/>
    <w:basedOn w:val="CommentTextChar"/>
    <w:link w:val="CommentSubject"/>
    <w:uiPriority w:val="99"/>
    <w:semiHidden/>
    <w:rsid w:val="00190B62"/>
    <w:rPr>
      <w:rFonts w:ascii="Open Sans" w:hAnsi="Open Sans"/>
      <w:b/>
      <w:bCs/>
      <w:sz w:val="20"/>
      <w:szCs w:val="20"/>
    </w:rPr>
  </w:style>
  <w:style w:type="character" w:customStyle="1" w:styleId="ColourBlue">
    <w:name w:val="Colour Blue"/>
    <w:basedOn w:val="DefaultParagraphFont"/>
    <w:uiPriority w:val="22"/>
    <w:qFormat/>
    <w:rsid w:val="00190B62"/>
    <w:rPr>
      <w:color w:val="2B9AC2" w:themeColor="text2"/>
    </w:rPr>
  </w:style>
  <w:style w:type="character" w:customStyle="1" w:styleId="ColourDarkBlue">
    <w:name w:val="Colour Dark Blue"/>
    <w:basedOn w:val="ColourBlue"/>
    <w:uiPriority w:val="22"/>
    <w:qFormat/>
    <w:rsid w:val="00190B62"/>
    <w:rPr>
      <w:color w:val="265A9A" w:themeColor="background2"/>
    </w:rPr>
  </w:style>
  <w:style w:type="paragraph" w:customStyle="1" w:styleId="BodyText-Beforebullet">
    <w:name w:val="Body Text-Before bullet"/>
    <w:basedOn w:val="BodyText"/>
    <w:link w:val="BodyText-BeforebulletChar"/>
    <w:semiHidden/>
    <w:unhideWhenUsed/>
    <w:rsid w:val="00190B62"/>
    <w:pPr>
      <w:spacing w:after="20"/>
    </w:pPr>
  </w:style>
  <w:style w:type="paragraph" w:customStyle="1" w:styleId="PullQuote">
    <w:name w:val="Pull Quote"/>
    <w:basedOn w:val="BodyText"/>
    <w:next w:val="BodyText"/>
    <w:uiPriority w:val="10"/>
    <w:qFormat/>
    <w:rsid w:val="00190B62"/>
    <w:pPr>
      <w:spacing w:before="60"/>
      <w:ind w:left="113" w:right="1134"/>
    </w:pPr>
    <w:rPr>
      <w:rFonts w:ascii="Open Sans Extrabold" w:hAnsi="Open Sans Extrabold"/>
      <w:color w:val="207291" w:themeColor="text2" w:themeShade="BF"/>
      <w:sz w:val="24"/>
    </w:rPr>
  </w:style>
  <w:style w:type="character" w:customStyle="1" w:styleId="BodyText-BeforebulletChar">
    <w:name w:val="Body Text-Before bullet Char"/>
    <w:basedOn w:val="BodyTextChar"/>
    <w:link w:val="BodyText-Beforebullet"/>
    <w:semiHidden/>
    <w:rsid w:val="00190B62"/>
    <w:rPr>
      <w:rFonts w:ascii="Open Sans" w:hAnsi="Open Sans"/>
      <w:sz w:val="20"/>
      <w:szCs w:val="20"/>
    </w:rPr>
  </w:style>
  <w:style w:type="paragraph" w:customStyle="1" w:styleId="TableBodyHeading">
    <w:name w:val="Table Body Heading"/>
    <w:basedOn w:val="NoSpacing"/>
    <w:uiPriority w:val="4"/>
    <w:qFormat/>
    <w:rsid w:val="00C0754F"/>
    <w:pPr>
      <w:spacing w:after="20"/>
      <w:ind w:left="57"/>
    </w:pPr>
    <w:rPr>
      <w:b/>
      <w:color w:val="265A9A" w:themeColor="background2"/>
      <w:sz w:val="18"/>
    </w:rPr>
  </w:style>
  <w:style w:type="paragraph" w:customStyle="1" w:styleId="TableBody">
    <w:name w:val="Table Body"/>
    <w:basedOn w:val="NoSpacing"/>
    <w:uiPriority w:val="4"/>
    <w:qFormat/>
    <w:rsid w:val="00190B62"/>
    <w:pPr>
      <w:spacing w:before="46" w:after="46"/>
      <w:ind w:left="57"/>
    </w:pPr>
    <w:rPr>
      <w:sz w:val="18"/>
    </w:rPr>
  </w:style>
  <w:style w:type="paragraph" w:styleId="Revision">
    <w:name w:val="Revision"/>
    <w:hidden/>
    <w:uiPriority w:val="99"/>
    <w:semiHidden/>
    <w:rsid w:val="008D19FD"/>
    <w:pPr>
      <w:spacing w:after="0" w:line="240" w:lineRule="auto"/>
    </w:pPr>
    <w:rPr>
      <w:sz w:val="20"/>
      <w:szCs w:val="20"/>
    </w:rPr>
  </w:style>
  <w:style w:type="paragraph" w:customStyle="1" w:styleId="KeyPointsicon">
    <w:name w:val="Key Points icon"/>
    <w:basedOn w:val="Normal"/>
    <w:uiPriority w:val="10"/>
    <w:qFormat/>
    <w:rsid w:val="00190B62"/>
    <w:pPr>
      <w:spacing w:before="60"/>
      <w:jc w:val="right"/>
    </w:pPr>
  </w:style>
  <w:style w:type="paragraph" w:customStyle="1" w:styleId="FigureTableSubheading">
    <w:name w:val="Figure/Table Subheading"/>
    <w:basedOn w:val="FigureTableHeading"/>
    <w:uiPriority w:val="4"/>
    <w:qFormat/>
    <w:rsid w:val="00190B62"/>
    <w:pPr>
      <w:spacing w:before="40"/>
    </w:pPr>
    <w:rPr>
      <w:color w:val="58585B"/>
    </w:rPr>
  </w:style>
  <w:style w:type="table" w:customStyle="1" w:styleId="TextTable-Grey">
    <w:name w:val="Text Table-Grey"/>
    <w:basedOn w:val="Texttable-Paleblue"/>
    <w:uiPriority w:val="99"/>
    <w:rsid w:val="00190B62"/>
    <w:rPr>
      <w:color w:val="265A9A" w:themeColor="background2"/>
    </w:rPr>
    <w:tblPr/>
    <w:tcPr>
      <w:shd w:val="clear" w:color="auto" w:fill="F2F2F2"/>
    </w:tcPr>
  </w:style>
  <w:style w:type="character" w:customStyle="1" w:styleId="BodyText-BlueChar">
    <w:name w:val="Body Text-Blue Char"/>
    <w:basedOn w:val="BodyTextChar"/>
    <w:link w:val="BodyText-Blue"/>
    <w:semiHidden/>
    <w:rsid w:val="00190B62"/>
    <w:rPr>
      <w:rFonts w:ascii="Open Sans" w:hAnsi="Open Sans"/>
      <w:color w:val="265A9A" w:themeColor="background2"/>
      <w:sz w:val="20"/>
      <w:szCs w:val="20"/>
    </w:rPr>
  </w:style>
  <w:style w:type="paragraph" w:customStyle="1" w:styleId="Heading3-nonumber">
    <w:name w:val="Heading 3-no number"/>
    <w:basedOn w:val="Heading3"/>
    <w:uiPriority w:val="9"/>
    <w:semiHidden/>
    <w:qFormat/>
    <w:rsid w:val="00190B62"/>
  </w:style>
  <w:style w:type="paragraph" w:customStyle="1" w:styleId="Heading1-nobackground">
    <w:name w:val="Heading 1-no background"/>
    <w:basedOn w:val="Heading1"/>
    <w:next w:val="BodyText"/>
    <w:uiPriority w:val="9"/>
    <w:qFormat/>
    <w:rsid w:val="00190B62"/>
    <w:pPr>
      <w:numPr>
        <w:numId w:val="0"/>
      </w:numPr>
      <w:pBdr>
        <w:top w:val="none" w:sz="0" w:space="0" w:color="auto"/>
        <w:left w:val="none" w:sz="0" w:space="0" w:color="auto"/>
        <w:bottom w:val="none" w:sz="0" w:space="0" w:color="auto"/>
        <w:right w:val="none" w:sz="0" w:space="0" w:color="auto"/>
      </w:pBdr>
      <w:shd w:val="clear" w:color="auto" w:fill="auto"/>
      <w:spacing w:before="600"/>
      <w:ind w:right="0"/>
    </w:pPr>
  </w:style>
  <w:style w:type="character" w:customStyle="1" w:styleId="QuoteChar">
    <w:name w:val="Quote Char"/>
    <w:basedOn w:val="DefaultParagraphFont"/>
    <w:link w:val="Quote"/>
    <w:uiPriority w:val="1"/>
    <w:rsid w:val="00190B62"/>
    <w:rPr>
      <w:rFonts w:ascii="Open Sans" w:hAnsi="Open Sans"/>
      <w:color w:val="58585B"/>
      <w:sz w:val="20"/>
      <w:szCs w:val="20"/>
    </w:rPr>
  </w:style>
  <w:style w:type="paragraph" w:customStyle="1" w:styleId="TableHeading-numbered">
    <w:name w:val="Table Heading-numbered"/>
    <w:basedOn w:val="Normal"/>
    <w:semiHidden/>
    <w:qFormat/>
    <w:rsid w:val="00190B62"/>
    <w:pPr>
      <w:numPr>
        <w:numId w:val="17"/>
      </w:numPr>
      <w:spacing w:before="60"/>
      <w:contextualSpacing/>
    </w:pPr>
    <w:rPr>
      <w:b/>
      <w:color w:val="265A9A" w:themeColor="background2"/>
    </w:rPr>
  </w:style>
  <w:style w:type="numbering" w:customStyle="1" w:styleId="TableList">
    <w:name w:val="TableList"/>
    <w:uiPriority w:val="99"/>
    <w:rsid w:val="00190B62"/>
    <w:pPr>
      <w:numPr>
        <w:numId w:val="17"/>
      </w:numPr>
    </w:pPr>
  </w:style>
  <w:style w:type="paragraph" w:customStyle="1" w:styleId="Footer-right">
    <w:name w:val="Footer-right"/>
    <w:basedOn w:val="Footer"/>
    <w:uiPriority w:val="11"/>
    <w:rsid w:val="00190B62"/>
    <w:pPr>
      <w:jc w:val="right"/>
    </w:pPr>
    <w:rPr>
      <w:szCs w:val="24"/>
    </w:rPr>
  </w:style>
  <w:style w:type="paragraph" w:customStyle="1" w:styleId="Heading2-nonumber">
    <w:name w:val="Heading 2-no number"/>
    <w:basedOn w:val="Heading2"/>
    <w:uiPriority w:val="9"/>
    <w:qFormat/>
    <w:rsid w:val="00190B62"/>
    <w:pPr>
      <w:numPr>
        <w:ilvl w:val="0"/>
        <w:numId w:val="0"/>
      </w:numPr>
    </w:pPr>
  </w:style>
  <w:style w:type="paragraph" w:customStyle="1" w:styleId="Heading-Appendix">
    <w:name w:val="Heading-Appendix"/>
    <w:basedOn w:val="Heading1-nonumber"/>
    <w:next w:val="BodyText"/>
    <w:uiPriority w:val="9"/>
    <w:qFormat/>
    <w:rsid w:val="00190B62"/>
    <w:pPr>
      <w:numPr>
        <w:numId w:val="8"/>
      </w:numPr>
    </w:pPr>
  </w:style>
  <w:style w:type="numbering" w:customStyle="1" w:styleId="AppendixHeading">
    <w:name w:val="AppendixHeading"/>
    <w:uiPriority w:val="99"/>
    <w:rsid w:val="00190B62"/>
  </w:style>
  <w:style w:type="paragraph" w:customStyle="1" w:styleId="DraftingNote">
    <w:name w:val="Drafting Note"/>
    <w:basedOn w:val="BodyText"/>
    <w:link w:val="DraftingNoteChar"/>
    <w:qFormat/>
    <w:rsid w:val="00190B62"/>
    <w:pPr>
      <w:contextualSpacing/>
    </w:pPr>
    <w:rPr>
      <w:color w:val="A22D2B"/>
      <w:sz w:val="24"/>
      <w:u w:val="dotted"/>
    </w:rPr>
  </w:style>
  <w:style w:type="character" w:customStyle="1" w:styleId="DraftingNoteChar">
    <w:name w:val="Drafting Note Char"/>
    <w:basedOn w:val="BodyTextChar"/>
    <w:link w:val="DraftingNote"/>
    <w:rsid w:val="00190B62"/>
    <w:rPr>
      <w:rFonts w:ascii="Open Sans" w:hAnsi="Open Sans"/>
      <w:color w:val="A22D2B"/>
      <w:sz w:val="24"/>
      <w:szCs w:val="20"/>
      <w:u w:val="dotted"/>
    </w:rPr>
  </w:style>
  <w:style w:type="paragraph" w:customStyle="1" w:styleId="BoxHeading1">
    <w:name w:val="Box Heading 1"/>
    <w:basedOn w:val="FigureTableHeading"/>
    <w:next w:val="BodyText"/>
    <w:uiPriority w:val="4"/>
    <w:qFormat/>
    <w:rsid w:val="00190B62"/>
    <w:pPr>
      <w:spacing w:after="0"/>
    </w:pPr>
  </w:style>
  <w:style w:type="character" w:styleId="Emphasis">
    <w:name w:val="Emphasis"/>
    <w:basedOn w:val="DefaultParagraphFont"/>
    <w:uiPriority w:val="22"/>
    <w:qFormat/>
    <w:rsid w:val="00190B62"/>
    <w:rPr>
      <w:i/>
      <w:iCs/>
    </w:rPr>
  </w:style>
  <w:style w:type="paragraph" w:customStyle="1" w:styleId="Reference">
    <w:name w:val="Reference"/>
    <w:basedOn w:val="BodyText"/>
    <w:qFormat/>
    <w:rsid w:val="00190B62"/>
    <w:pPr>
      <w:spacing w:before="0" w:after="60" w:line="200" w:lineRule="exact"/>
    </w:pPr>
    <w:rPr>
      <w:sz w:val="16"/>
    </w:rPr>
  </w:style>
  <w:style w:type="paragraph" w:customStyle="1" w:styleId="Keypoints-heading">
    <w:name w:val="Key points-heading"/>
    <w:basedOn w:val="Heading3"/>
    <w:uiPriority w:val="10"/>
    <w:qFormat/>
    <w:rsid w:val="00190B62"/>
    <w:rPr>
      <w:color w:val="auto"/>
    </w:rPr>
  </w:style>
  <w:style w:type="paragraph" w:customStyle="1" w:styleId="Heading2-Appendix">
    <w:name w:val="Heading 2-Appendix"/>
    <w:basedOn w:val="Heading2-nonumber"/>
    <w:next w:val="Normal"/>
    <w:uiPriority w:val="10"/>
    <w:qFormat/>
    <w:rsid w:val="00190B62"/>
    <w:pPr>
      <w:numPr>
        <w:ilvl w:val="1"/>
        <w:numId w:val="8"/>
      </w:numPr>
    </w:pPr>
  </w:style>
  <w:style w:type="numbering" w:customStyle="1" w:styleId="AppendixHeadingList">
    <w:name w:val="Appendix Heading List"/>
    <w:uiPriority w:val="99"/>
    <w:rsid w:val="00190B62"/>
    <w:pPr>
      <w:numPr>
        <w:numId w:val="3"/>
      </w:numPr>
    </w:pPr>
  </w:style>
  <w:style w:type="paragraph" w:customStyle="1" w:styleId="Space">
    <w:name w:val="Space"/>
    <w:basedOn w:val="BodyText"/>
    <w:uiPriority w:val="1"/>
    <w:rsid w:val="00190B62"/>
    <w:pPr>
      <w:spacing w:before="0" w:after="0"/>
    </w:pPr>
  </w:style>
  <w:style w:type="paragraph" w:customStyle="1" w:styleId="QuoteBullet">
    <w:name w:val="Quote Bullet"/>
    <w:basedOn w:val="ListBullet"/>
    <w:link w:val="QuoteBulletChar"/>
    <w:uiPriority w:val="1"/>
    <w:qFormat/>
    <w:rsid w:val="00190B62"/>
    <w:pPr>
      <w:spacing w:before="60"/>
      <w:ind w:left="340" w:right="851"/>
    </w:pPr>
    <w:rPr>
      <w:color w:val="58585B"/>
    </w:rPr>
  </w:style>
  <w:style w:type="character" w:customStyle="1" w:styleId="ListBulletChar">
    <w:name w:val="List Bullet Char"/>
    <w:basedOn w:val="DefaultParagraphFont"/>
    <w:link w:val="ListBullet"/>
    <w:uiPriority w:val="1"/>
    <w:rsid w:val="00190B62"/>
    <w:rPr>
      <w:rFonts w:ascii="Open Sans" w:hAnsi="Open Sans"/>
      <w:sz w:val="20"/>
      <w:szCs w:val="20"/>
    </w:rPr>
  </w:style>
  <w:style w:type="character" w:customStyle="1" w:styleId="QuoteBulletChar">
    <w:name w:val="Quote Bullet Char"/>
    <w:basedOn w:val="ListBulletChar"/>
    <w:link w:val="QuoteBullet"/>
    <w:uiPriority w:val="1"/>
    <w:rsid w:val="00190B62"/>
    <w:rPr>
      <w:rFonts w:ascii="Open Sans" w:hAnsi="Open Sans"/>
      <w:color w:val="58585B"/>
      <w:sz w:val="20"/>
      <w:szCs w:val="20"/>
    </w:rPr>
  </w:style>
  <w:style w:type="paragraph" w:customStyle="1" w:styleId="Figurecharttitle">
    <w:name w:val="Figure chart title"/>
    <w:basedOn w:val="BodyText"/>
    <w:uiPriority w:val="10"/>
    <w:qFormat/>
    <w:rsid w:val="00190B62"/>
    <w:pPr>
      <w:spacing w:before="0" w:after="0"/>
      <w:ind w:left="284" w:hanging="284"/>
    </w:pPr>
    <w:rPr>
      <w:sz w:val="18"/>
      <w:szCs w:val="18"/>
    </w:rPr>
  </w:style>
  <w:style w:type="paragraph" w:customStyle="1" w:styleId="TableListBullet">
    <w:name w:val="Table List Bullet"/>
    <w:basedOn w:val="ListBullet"/>
    <w:uiPriority w:val="10"/>
    <w:qFormat/>
    <w:rsid w:val="00461EED"/>
    <w:pPr>
      <w:spacing w:before="46" w:after="46"/>
      <w:ind w:left="170" w:hanging="113"/>
    </w:pPr>
    <w:rPr>
      <w:sz w:val="18"/>
    </w:rPr>
  </w:style>
  <w:style w:type="numbering" w:customStyle="1" w:styleId="Headings">
    <w:name w:val="Headings"/>
    <w:uiPriority w:val="99"/>
    <w:rsid w:val="003618F1"/>
    <w:pPr>
      <w:numPr>
        <w:numId w:val="1"/>
      </w:numPr>
    </w:pPr>
  </w:style>
  <w:style w:type="paragraph" w:customStyle="1" w:styleId="Findingtitle">
    <w:name w:val="Finding title"/>
    <w:basedOn w:val="TableHeading"/>
    <w:link w:val="FindingtitleChar"/>
    <w:uiPriority w:val="10"/>
    <w:qFormat/>
    <w:rsid w:val="007C4FF5"/>
    <w:pPr>
      <w:keepNext/>
      <w:keepLines/>
      <w:spacing w:before="120" w:after="120"/>
      <w:contextualSpacing/>
    </w:pPr>
    <w:rPr>
      <w:sz w:val="20"/>
    </w:rPr>
  </w:style>
  <w:style w:type="character" w:customStyle="1" w:styleId="FindingtitleChar">
    <w:name w:val="Finding title Char"/>
    <w:basedOn w:val="DefaultParagraphFont"/>
    <w:link w:val="Findingtitle"/>
    <w:uiPriority w:val="10"/>
    <w:rsid w:val="007C4FF5"/>
    <w:rPr>
      <w:rFonts w:ascii="Open Sans" w:hAnsi="Open Sans"/>
      <w:b/>
      <w:color w:val="132D4D" w:themeColor="background2" w:themeShade="80"/>
      <w:sz w:val="20"/>
      <w:szCs w:val="20"/>
    </w:rPr>
  </w:style>
  <w:style w:type="paragraph" w:styleId="NormalWeb">
    <w:name w:val="Normal (Web)"/>
    <w:basedOn w:val="Normal"/>
    <w:uiPriority w:val="99"/>
    <w:semiHidden/>
    <w:unhideWhenUsed/>
    <w:rsid w:val="008408C2"/>
    <w:rPr>
      <w:rFonts w:ascii="Times New Roman" w:hAnsi="Times New Roman" w:cs="Times New Roman"/>
      <w:sz w:val="24"/>
      <w:szCs w:val="24"/>
    </w:rPr>
  </w:style>
  <w:style w:type="paragraph" w:customStyle="1" w:styleId="CoverdisclaimerwhiteCover">
    <w:name w:val="Cover – disclaimer (white) (Cover)"/>
    <w:basedOn w:val="Normal"/>
    <w:uiPriority w:val="99"/>
    <w:rsid w:val="00190B62"/>
    <w:pPr>
      <w:tabs>
        <w:tab w:val="left" w:pos="170"/>
        <w:tab w:val="left" w:pos="6236"/>
      </w:tabs>
      <w:suppressAutoHyphens/>
      <w:autoSpaceDE w:val="0"/>
      <w:autoSpaceDN w:val="0"/>
      <w:adjustRightInd w:val="0"/>
      <w:spacing w:before="0" w:after="0" w:line="288" w:lineRule="auto"/>
      <w:textAlignment w:val="center"/>
    </w:pPr>
    <w:rPr>
      <w:rFonts w:cs="Open Sans"/>
      <w:color w:val="FFFFFF" w:themeColor="background1"/>
      <w:sz w:val="18"/>
      <w:szCs w:val="18"/>
      <w:lang w:val="en-US"/>
    </w:rPr>
  </w:style>
  <w:style w:type="character" w:customStyle="1" w:styleId="TableHeadingChar">
    <w:name w:val="Table Heading Char"/>
    <w:basedOn w:val="NoSpacingChar"/>
    <w:link w:val="TableHeading"/>
    <w:uiPriority w:val="4"/>
    <w:rsid w:val="00190B62"/>
    <w:rPr>
      <w:rFonts w:ascii="Open Sans" w:hAnsi="Open Sans"/>
      <w:b/>
      <w:color w:val="132D4D" w:themeColor="background2" w:themeShade="80"/>
      <w:sz w:val="18"/>
      <w:szCs w:val="20"/>
    </w:rPr>
  </w:style>
  <w:style w:type="paragraph" w:customStyle="1" w:styleId="FindingRecRequesttitle">
    <w:name w:val="Finding/Rec/Request title"/>
    <w:basedOn w:val="TableHeading"/>
    <w:link w:val="FindingRecRequesttitleChar"/>
    <w:uiPriority w:val="10"/>
    <w:qFormat/>
    <w:rsid w:val="00190B62"/>
    <w:pPr>
      <w:keepNext/>
      <w:keepLines/>
      <w:spacing w:before="120" w:after="120"/>
      <w:contextualSpacing/>
    </w:pPr>
    <w:rPr>
      <w:color w:val="265A9A" w:themeColor="background2"/>
      <w:sz w:val="20"/>
    </w:rPr>
  </w:style>
  <w:style w:type="character" w:customStyle="1" w:styleId="FindingRecRequesttitleChar">
    <w:name w:val="Finding/Rec/Request title Char"/>
    <w:basedOn w:val="TableHeadingChar"/>
    <w:link w:val="FindingRecRequesttitle"/>
    <w:uiPriority w:val="10"/>
    <w:rsid w:val="00190B62"/>
    <w:rPr>
      <w:rFonts w:ascii="Open Sans" w:hAnsi="Open Sans"/>
      <w:b/>
      <w:color w:val="265A9A" w:themeColor="background2"/>
      <w:sz w:val="20"/>
      <w:szCs w:val="20"/>
    </w:rPr>
  </w:style>
  <w:style w:type="paragraph" w:customStyle="1" w:styleId="PullQuoteNoSpacing">
    <w:name w:val="Pull Quote No Spacing"/>
    <w:basedOn w:val="NoSpacing"/>
    <w:link w:val="PullQuoteNoSpacingChar"/>
    <w:uiPriority w:val="10"/>
    <w:qFormat/>
    <w:rsid w:val="00190B62"/>
    <w:pPr>
      <w:spacing w:line="160" w:lineRule="exact"/>
    </w:pPr>
  </w:style>
  <w:style w:type="character" w:customStyle="1" w:styleId="PullQuoteNoSpacingChar">
    <w:name w:val="Pull Quote No Spacing Char"/>
    <w:basedOn w:val="NoSpacingChar"/>
    <w:link w:val="PullQuoteNoSpacing"/>
    <w:uiPriority w:val="10"/>
    <w:rsid w:val="00190B62"/>
    <w:rPr>
      <w:rFonts w:ascii="Open Sans" w:hAnsi="Open Sans"/>
      <w:sz w:val="20"/>
      <w:szCs w:val="20"/>
    </w:rPr>
  </w:style>
  <w:style w:type="paragraph" w:customStyle="1" w:styleId="PullQuote-Indigenous">
    <w:name w:val="Pull Quote-Indigenous"/>
    <w:basedOn w:val="PullQuote"/>
    <w:uiPriority w:val="10"/>
    <w:qFormat/>
    <w:rsid w:val="00190B62"/>
    <w:pPr>
      <w:ind w:right="680"/>
    </w:pPr>
    <w:rPr>
      <w:rFonts w:ascii="Open Sans" w:hAnsi="Open Sans" w:cs="Arial"/>
      <w:color w:val="auto"/>
      <w:spacing w:val="6"/>
      <w:sz w:val="22"/>
      <w:szCs w:val="22"/>
    </w:rPr>
  </w:style>
  <w:style w:type="paragraph" w:customStyle="1" w:styleId="pdq2pgselectionanchorcontainer">
    <w:name w:val="pdq2pg_selectionanchorcontainer"/>
    <w:basedOn w:val="Normal"/>
    <w:rsid w:val="009B3BD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191025"/>
    <w:rPr>
      <w:color w:val="BFBFBF" w:themeColor="followedHyperlink"/>
      <w:u w:val="single"/>
    </w:rPr>
  </w:style>
  <w:style w:type="paragraph" w:styleId="Bibliography">
    <w:name w:val="Bibliography"/>
    <w:basedOn w:val="Normal"/>
    <w:next w:val="Normal"/>
    <w:uiPriority w:val="37"/>
    <w:unhideWhenUsed/>
    <w:rsid w:val="00E2447A"/>
    <w:pPr>
      <w:spacing w:after="240" w:line="240" w:lineRule="atLeast"/>
      <w:ind w:left="720" w:hanging="720"/>
    </w:pPr>
  </w:style>
  <w:style w:type="table" w:styleId="PlainTable1">
    <w:name w:val="Plain Table 1"/>
    <w:basedOn w:val="TableNormal"/>
    <w:uiPriority w:val="41"/>
    <w:rsid w:val="00196BD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
    <w:name w:val="Mention"/>
    <w:basedOn w:val="DefaultParagraphFont"/>
    <w:uiPriority w:val="99"/>
    <w:unhideWhenUsed/>
    <w:rsid w:val="00410710"/>
    <w:rPr>
      <w:color w:val="2B579A"/>
      <w:shd w:val="clear" w:color="auto" w:fill="E1DFDD"/>
    </w:rPr>
  </w:style>
  <w:style w:type="table" w:styleId="GridTable4-Accent1">
    <w:name w:val="Grid Table 4 Accent 1"/>
    <w:basedOn w:val="TableNormal"/>
    <w:uiPriority w:val="49"/>
    <w:rsid w:val="00410710"/>
    <w:pPr>
      <w:spacing w:after="0" w:line="240" w:lineRule="auto"/>
    </w:pPr>
    <w:rPr>
      <w:kern w:val="2"/>
      <w:sz w:val="24"/>
      <w:szCs w:val="24"/>
      <w14:ligatures w14:val="standardContextual"/>
    </w:rPr>
    <w:tblPr>
      <w:tblStyleRowBandSize w:val="1"/>
      <w:tblStyleColBandSize w:val="1"/>
      <w:tblInd w:w="0" w:type="nil"/>
      <w:tblBorders>
        <w:top w:val="single" w:sz="4" w:space="0" w:color="A2D6E9" w:themeColor="accent1" w:themeTint="99"/>
        <w:left w:val="single" w:sz="4" w:space="0" w:color="A2D6E9" w:themeColor="accent1" w:themeTint="99"/>
        <w:bottom w:val="single" w:sz="4" w:space="0" w:color="A2D6E9" w:themeColor="accent1" w:themeTint="99"/>
        <w:right w:val="single" w:sz="4" w:space="0" w:color="A2D6E9" w:themeColor="accent1" w:themeTint="99"/>
        <w:insideH w:val="single" w:sz="4" w:space="0" w:color="A2D6E9" w:themeColor="accent1" w:themeTint="99"/>
        <w:insideV w:val="single" w:sz="4" w:space="0" w:color="A2D6E9"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32076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pcgov.sharepoint.com/sites/sce/FormServerTemplates/PC-report-template.dotx" TargetMode="External"/></Relationships>
</file>

<file path=word/theme/theme1.xml><?xml version="1.0" encoding="utf-8"?>
<a:theme xmlns:a="http://schemas.openxmlformats.org/drawingml/2006/main" name="Office Theme">
  <a:themeElements>
    <a:clrScheme name="PC colour scheme 2025">
      <a:dk1>
        <a:srgbClr val="000000"/>
      </a:dk1>
      <a:lt1>
        <a:srgbClr val="FFFFFF"/>
      </a:lt1>
      <a:dk2>
        <a:srgbClr val="2B9AC2"/>
      </a:dk2>
      <a:lt2>
        <a:srgbClr val="265A9A"/>
      </a:lt2>
      <a:accent1>
        <a:srgbClr val="66BCDB"/>
      </a:accent1>
      <a:accent2>
        <a:srgbClr val="8956A3"/>
      </a:accent2>
      <a:accent3>
        <a:srgbClr val="71CBD5"/>
      </a:accent3>
      <a:accent4>
        <a:srgbClr val="90D8F7"/>
      </a:accent4>
      <a:accent5>
        <a:srgbClr val="14315B"/>
      </a:accent5>
      <a:accent6>
        <a:srgbClr val="542972"/>
      </a:accent6>
      <a:hlink>
        <a:srgbClr val="000000"/>
      </a:hlink>
      <a:folHlink>
        <a:srgbClr val="BFBFBF"/>
      </a:folHlink>
    </a:clrScheme>
    <a:fontScheme name="ACDC">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TemplateConfiguration><![CDATA[{"elementsMetadata":[],"transformationConfigurations":[],"templateName":"appendix","templateDescription":"","enableDocumentContentUpdater":false,"version":"2.0"}]]></TemplafyTemplateConfiguration>
</file>

<file path=customXml/item3.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0" ma:contentTypeDescription="" ma:contentTypeScope="" ma:versionID="c23251bed3d0ef9404a49a41843dcf41">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7898c787e18e6c7779e8f1c3e93452b9"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emplafyFormConfiguration><![CDATA[{"formFields":[],"formDataEntries":[]}]]></TemplafyFormConfigura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20393cdf-440a-4521-8f19-00ba43423d00">
      <Value>1</Value>
    </TaxCatchAll>
    <lcf76f155ced4ddcb4097134ff3c332f xmlns="3d385984-9344-419b-a80b-49c06a2bdab8">
      <Terms xmlns="http://schemas.microsoft.com/office/infopath/2007/PartnerControls"/>
    </lcf76f155ced4ddcb4097134ff3c332f>
    <thumbnail xmlns="3d385984-9344-419b-a80b-49c06a2bdab8" xsi:nil="true"/>
    <Status xmlns="3d385984-9344-419b-a80b-49c06a2bdab8" xsi:nil="true"/>
    <_Flow_SignoffStatus xmlns="3d385984-9344-419b-a80b-49c06a2bdab8" xsi:nil="true"/>
    <_dlc_DocId xmlns="20393cdf-440a-4521-8f19-00ba43423d00">MPWT-2140667901-109700</_dlc_DocId>
    <_dlc_DocIdUrl xmlns="20393cdf-440a-4521-8f19-00ba43423d00">
      <Url>https://pcgov.sharepoint.com/sites/sceteam/_layouts/15/DocIdRedir.aspx?ID=MPWT-2140667901-109700</Url>
      <Description>MPWT-2140667901-109700</Description>
    </_dlc_DocIdUrl>
  </documentManagement>
</p: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2.xml><?xml version="1.0" encoding="utf-8"?>
<ds:datastoreItem xmlns:ds="http://schemas.openxmlformats.org/officeDocument/2006/customXml" ds:itemID="{5CCDCE8C-2FF2-479D-91C1-79A7A7683D3C}">
  <ds:schemaRefs/>
</ds:datastoreItem>
</file>

<file path=customXml/itemProps3.xml><?xml version="1.0" encoding="utf-8"?>
<ds:datastoreItem xmlns:ds="http://schemas.openxmlformats.org/officeDocument/2006/customXml" ds:itemID="{229A4031-F9A5-4159-A59B-5184AD182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97F752-2238-441E-ABA5-DB8C10DEA577}">
  <ds:schemaRefs/>
</ds:datastoreItem>
</file>

<file path=customXml/itemProps5.xml><?xml version="1.0" encoding="utf-8"?>
<ds:datastoreItem xmlns:ds="http://schemas.openxmlformats.org/officeDocument/2006/customXml" ds:itemID="{C203C0A9-8800-4241-BB25-89D17CAC9BA9}">
  <ds:schemaRefs>
    <ds:schemaRef ds:uri="http://schemas.microsoft.com/sharepoint/v3/contenttype/forms"/>
  </ds:schemaRefs>
</ds:datastoreItem>
</file>

<file path=customXml/itemProps6.xml><?xml version="1.0" encoding="utf-8"?>
<ds:datastoreItem xmlns:ds="http://schemas.openxmlformats.org/officeDocument/2006/customXml" ds:itemID="{0C3248D4-F94D-4E3A-B191-1740E26CEAB8}">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customXml/itemProps7.xml><?xml version="1.0" encoding="utf-8"?>
<ds:datastoreItem xmlns:ds="http://schemas.openxmlformats.org/officeDocument/2006/customXml" ds:itemID="{BE626FE4-D62A-4F79-BA54-6A4084D5FB1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PC-report-template.dotx</Template>
  <TotalTime>38</TotalTime>
  <Pages>29</Pages>
  <Words>9452</Words>
  <Characters>57568</Characters>
  <Application>Microsoft Office Word</Application>
  <DocSecurity>0</DocSecurity>
  <Lines>1046</Lines>
  <Paragraphs>413</Paragraphs>
  <ScaleCrop>false</ScaleCrop>
  <HeadingPairs>
    <vt:vector size="2" baseType="variant">
      <vt:variant>
        <vt:lpstr>Title</vt:lpstr>
      </vt:variant>
      <vt:variant>
        <vt:i4>1</vt:i4>
      </vt:variant>
    </vt:vector>
  </HeadingPairs>
  <TitlesOfParts>
    <vt:vector size="1" baseType="lpstr">
      <vt:lpstr>Appendix C: Productivity Commission modelling - Interim report - GST distribution reforms</vt:lpstr>
    </vt:vector>
  </TitlesOfParts>
  <Company>Productivity Commission</Company>
  <LinksUpToDate>false</LinksUpToDate>
  <CharactersWithSpaces>66607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C: Productivity Commission modelling - Interim report - GST distribution reforms</dc:title>
  <dc:subject>GST distribution reforms – interim report</dc:subject>
  <dc:creator>Productivity Commission</dc:creator>
  <cp:keywords/>
  <dc:description/>
  <cp:lastModifiedBy>Chris Alston</cp:lastModifiedBy>
  <cp:revision>31</cp:revision>
  <cp:lastPrinted>2026-08-13T22:02:00Z</cp:lastPrinted>
  <dcterms:created xsi:type="dcterms:W3CDTF">2026-08-13T13:35:00Z</dcterms:created>
  <dcterms:modified xsi:type="dcterms:W3CDTF">2026-08-14T01:11:00Z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0x0101006C0B5E815648EF46B6FA6D42F17E5E9F000C963E276195B04F83BC027CFDC94A8D</vt:lpwstr>
  </property>
  <property fmtid="{D5CDD505-2E9C-101B-9397-08002B2CF9AE}" pid="3" name="RevIMBCS">
    <vt:lpwstr>1;#Unclassified|3955eeb1-2d18-4582-aeb2-00144ec3aaf5</vt:lpwstr>
  </property>
  <property fmtid="{D5CDD505-2E9C-101B-9397-08002B2CF9AE}" pid="4" name="_dlc_DocIdItemGuid">
    <vt:lpwstr>6773ab1d-67d2-4550-8fed-413a0fd056d0</vt:lpwstr>
  </property>
  <property fmtid="{D5CDD505-2E9C-101B-9397-08002B2CF9AE}" pid="5" name="MediaServiceImageTags">
    <vt:lpwstr/>
  </property>
  <property fmtid="{D5CDD505-2E9C-101B-9397-08002B2CF9AE}" pid="6" name="TemplafyTenantId">
    <vt:lpwstr>productivitycommission</vt:lpwstr>
  </property>
  <property fmtid="{D5CDD505-2E9C-101B-9397-08002B2CF9AE}" pid="7" name="TemplafyTemplateId">
    <vt:lpwstr>637629323571087762</vt:lpwstr>
  </property>
  <property fmtid="{D5CDD505-2E9C-101B-9397-08002B2CF9AE}" pid="8" name="TemplafyUserProfileId">
    <vt:lpwstr>762985813498658835</vt:lpwstr>
  </property>
  <property fmtid="{D5CDD505-2E9C-101B-9397-08002B2CF9AE}" pid="9" name="TemplafyFromBlank">
    <vt:bool>false</vt:bool>
  </property>
  <property fmtid="{D5CDD505-2E9C-101B-9397-08002B2CF9AE}" pid="10" name="ZOTERO_PREF_2">
    <vt:lpwstr>ournalAbbreviations" value="true"/&gt;&lt;/prefs&gt;&lt;/data&gt;</vt:lpwstr>
  </property>
  <property fmtid="{D5CDD505-2E9C-101B-9397-08002B2CF9AE}" pid="11" name="docLang">
    <vt:lpwstr>en</vt:lpwstr>
  </property>
  <property fmtid="{D5CDD505-2E9C-101B-9397-08002B2CF9AE}" pid="12" name="MSIP_Label_c1f2b1ce-4212-46db-a901-dd8453f57141_Enabled">
    <vt:lpwstr>true</vt:lpwstr>
  </property>
  <property fmtid="{D5CDD505-2E9C-101B-9397-08002B2CF9AE}" pid="13" name="MSIP_Label_c1f2b1ce-4212-46db-a901-dd8453f57141_SetDate">
    <vt:lpwstr>2026-08-10T05:40:19Z</vt:lpwstr>
  </property>
  <property fmtid="{D5CDD505-2E9C-101B-9397-08002B2CF9AE}" pid="14" name="MSIP_Label_c1f2b1ce-4212-46db-a901-dd8453f57141_Method">
    <vt:lpwstr>Standard</vt:lpwstr>
  </property>
  <property fmtid="{D5CDD505-2E9C-101B-9397-08002B2CF9AE}" pid="15" name="MSIP_Label_c1f2b1ce-4212-46db-a901-dd8453f57141_Name">
    <vt:lpwstr>Publish</vt:lpwstr>
  </property>
  <property fmtid="{D5CDD505-2E9C-101B-9397-08002B2CF9AE}" pid="16" name="MSIP_Label_c1f2b1ce-4212-46db-a901-dd8453f57141_SiteId">
    <vt:lpwstr>29f9330b-c0fe-4244-830e-ba9f275d6c34</vt:lpwstr>
  </property>
  <property fmtid="{D5CDD505-2E9C-101B-9397-08002B2CF9AE}" pid="17" name="MSIP_Label_c1f2b1ce-4212-46db-a901-dd8453f57141_ActionId">
    <vt:lpwstr>d8aa7191-e149-4808-a5b4-d19aa6ab8a46</vt:lpwstr>
  </property>
  <property fmtid="{D5CDD505-2E9C-101B-9397-08002B2CF9AE}" pid="18" name="MSIP_Label_c1f2b1ce-4212-46db-a901-dd8453f57141_ContentBits">
    <vt:lpwstr>0</vt:lpwstr>
  </property>
  <property fmtid="{D5CDD505-2E9C-101B-9397-08002B2CF9AE}" pid="19" name="MSIP_Label_c1f2b1ce-4212-46db-a901-dd8453f57141_Tag">
    <vt:lpwstr>10, 1, 2, 1</vt:lpwstr>
  </property>
  <property fmtid="{D5CDD505-2E9C-101B-9397-08002B2CF9AE}" pid="20" name="ZOTERO_PREF_1">
    <vt:lpwstr>&lt;data data-version="3" zotero-version="9.0.6"&gt;&lt;session id="ENp8v6Aw"/&gt;&lt;style id="http://www.zotero.org/styles/Productivity-Commission" hasBibliography="1" bibliographyStyleHasBeenSet="1"/&gt;&lt;prefs&gt;&lt;pref name="fieldType" value="Field"/&gt;&lt;pref name="automaticJ</vt:lpwstr>
  </property>
</Properties>
</file>