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5D7DD" w14:textId="4C1468E0" w:rsidR="00FD3FE4" w:rsidRDefault="009E470F" w:rsidP="00A62B9F">
      <w:pPr>
        <w:pStyle w:val="Heading-Appendix"/>
      </w:pPr>
      <w:r>
        <w:t>State fiscal sustainability</w:t>
      </w:r>
    </w:p>
    <w:p w14:paraId="1F1C7532" w14:textId="58D58291" w:rsidR="00C9023F" w:rsidRDefault="0020728E" w:rsidP="00A62B9F">
      <w:pPr>
        <w:pStyle w:val="Heading2-Appendix"/>
      </w:pPr>
      <w:r w:rsidRPr="00003709">
        <w:t>What</w:t>
      </w:r>
      <w:r>
        <w:t xml:space="preserve"> </w:t>
      </w:r>
      <w:r w:rsidR="002D0232">
        <w:t>does fiscal sustainability mean for states</w:t>
      </w:r>
      <w:r>
        <w:t>?</w:t>
      </w:r>
    </w:p>
    <w:p w14:paraId="5D52FDD4" w14:textId="097277E8" w:rsidR="00D11253" w:rsidRDefault="00D11253" w:rsidP="00D11253">
      <w:pPr>
        <w:pStyle w:val="BodyText"/>
      </w:pPr>
      <w:r>
        <w:t xml:space="preserve">A government’s fiscal sustainability can be defined as its ability to maintain its current spending, tax and other related policies into the long term, without a threat to its solvency or the need for large and sudden adjustments to policy settings </w:t>
      </w:r>
      <w:r w:rsidR="00F90EF1" w:rsidRPr="00F90EF1">
        <w:rPr>
          <w:rFonts w:cs="Open Sans"/>
        </w:rPr>
        <w:t>(Commonwealth of Australia 2023, p. 224; European Commission 2017, p. 1)</w:t>
      </w:r>
      <w:r>
        <w:t xml:space="preserve">. </w:t>
      </w:r>
      <w:r w:rsidR="00825D2C">
        <w:t xml:space="preserve">Fiscal sustainability is important because it facilitates the ongoing delivery of essential services and infrastructure, </w:t>
      </w:r>
      <w:r w:rsidR="00D907D3">
        <w:t>promotes</w:t>
      </w:r>
      <w:r w:rsidR="00392C82">
        <w:t xml:space="preserve"> </w:t>
      </w:r>
      <w:r w:rsidR="00825D2C">
        <w:t xml:space="preserve">intergenerational equity by preventing the accumulation of unsustainable debt burdens, minimises the risk that debt-servicing expenses ‘crowd out’ other spending priorities and gives governments the capacity to manage unforeseen fiscal shocks </w:t>
      </w:r>
      <w:r w:rsidR="00825D2C" w:rsidRPr="00915968">
        <w:rPr>
          <w:rFonts w:cs="Open Sans"/>
        </w:rPr>
        <w:t>(Government of Tasmania 2026, p. 9)</w:t>
      </w:r>
      <w:r w:rsidR="00825D2C">
        <w:t xml:space="preserve">. </w:t>
      </w:r>
    </w:p>
    <w:p w14:paraId="72E13034" w14:textId="721E08C4" w:rsidR="0087348A" w:rsidRDefault="00423A04" w:rsidP="00D11253">
      <w:pPr>
        <w:pStyle w:val="BodyText"/>
      </w:pPr>
      <w:r>
        <w:t xml:space="preserve">Understanding </w:t>
      </w:r>
      <w:r w:rsidR="006740B6">
        <w:t xml:space="preserve">state and territory (hereafter </w:t>
      </w:r>
      <w:r w:rsidR="00CC4996">
        <w:t xml:space="preserve">‘state’) </w:t>
      </w:r>
      <w:r w:rsidR="00387466">
        <w:t>fiscal sustainability</w:t>
      </w:r>
      <w:r w:rsidR="00FE42C3">
        <w:t xml:space="preserve"> is </w:t>
      </w:r>
      <w:r w:rsidR="000A6070">
        <w:t xml:space="preserve">important </w:t>
      </w:r>
      <w:r w:rsidR="00FE42C3">
        <w:t xml:space="preserve">when comparing different GST distribution </w:t>
      </w:r>
      <w:r w:rsidR="00575EA4">
        <w:t>systems</w:t>
      </w:r>
      <w:r w:rsidR="00FE42C3">
        <w:t xml:space="preserve">, </w:t>
      </w:r>
      <w:r w:rsidR="00D230E9">
        <w:t xml:space="preserve">because </w:t>
      </w:r>
      <w:r w:rsidR="00387466">
        <w:t>GST</w:t>
      </w:r>
      <w:r w:rsidR="002002D4">
        <w:t xml:space="preserve"> revenue</w:t>
      </w:r>
      <w:r w:rsidR="00387466">
        <w:t xml:space="preserve"> accounts for a significant proportion of</w:t>
      </w:r>
      <w:r w:rsidR="002002D4">
        <w:t xml:space="preserve"> total</w:t>
      </w:r>
      <w:r w:rsidR="00387466">
        <w:t xml:space="preserve"> state revenue</w:t>
      </w:r>
      <w:r w:rsidR="002002D4">
        <w:t xml:space="preserve"> – </w:t>
      </w:r>
      <w:r w:rsidR="00387466">
        <w:t xml:space="preserve">23% in </w:t>
      </w:r>
      <w:r w:rsidR="004F7A80">
        <w:t>2024–25</w:t>
      </w:r>
      <w:r w:rsidR="00387466">
        <w:t xml:space="preserve"> </w:t>
      </w:r>
      <w:r w:rsidR="00973D85" w:rsidRPr="00973D85">
        <w:rPr>
          <w:rFonts w:cs="Open Sans"/>
        </w:rPr>
        <w:t>(PC estimates using ABS 2025a, unpublished data; Commonwealth of Australia 2025, p. 86)</w:t>
      </w:r>
      <w:r w:rsidR="00E357FE">
        <w:t>.</w:t>
      </w:r>
      <w:r w:rsidR="00FA0332">
        <w:t xml:space="preserve"> </w:t>
      </w:r>
      <w:r w:rsidR="00D230E9">
        <w:t xml:space="preserve">Therefore, changes to how </w:t>
      </w:r>
      <w:r w:rsidR="002505C8">
        <w:t xml:space="preserve">GST </w:t>
      </w:r>
      <w:r w:rsidR="00271638">
        <w:t xml:space="preserve">revenue </w:t>
      </w:r>
      <w:r w:rsidR="00D230E9">
        <w:t xml:space="preserve">is distributed </w:t>
      </w:r>
      <w:r w:rsidR="002505C8">
        <w:t xml:space="preserve">can </w:t>
      </w:r>
      <w:r w:rsidR="00D230E9">
        <w:t>have material impacts on state governments’ fiscal positions</w:t>
      </w:r>
      <w:r w:rsidR="00B72C51">
        <w:t xml:space="preserve"> and </w:t>
      </w:r>
      <w:r w:rsidR="00947ADA">
        <w:t xml:space="preserve">can </w:t>
      </w:r>
      <w:r w:rsidR="00B72C51">
        <w:t xml:space="preserve">strengthen or </w:t>
      </w:r>
      <w:r w:rsidR="00592A7E">
        <w:t>put pressure on</w:t>
      </w:r>
      <w:r w:rsidR="00B72C51">
        <w:t xml:space="preserve"> </w:t>
      </w:r>
      <w:r w:rsidR="00FA0332">
        <w:t>their</w:t>
      </w:r>
      <w:r w:rsidR="00592A7E">
        <w:t xml:space="preserve"> </w:t>
      </w:r>
      <w:r w:rsidR="00B72C51">
        <w:t xml:space="preserve">fiscal </w:t>
      </w:r>
      <w:r w:rsidR="00592A7E">
        <w:t>sustainability.</w:t>
      </w:r>
      <w:r w:rsidR="0087348A">
        <w:t xml:space="preserve"> </w:t>
      </w:r>
    </w:p>
    <w:p w14:paraId="598529EC" w14:textId="5C8A4116" w:rsidR="00387466" w:rsidRDefault="0087348A" w:rsidP="00D11253">
      <w:pPr>
        <w:pStyle w:val="BodyText"/>
      </w:pPr>
      <w:r>
        <w:t xml:space="preserve">It is not the goal of </w:t>
      </w:r>
      <w:r w:rsidR="00D73672">
        <w:t xml:space="preserve">this </w:t>
      </w:r>
      <w:r>
        <w:t xml:space="preserve">inquiry to determine </w:t>
      </w:r>
      <w:r w:rsidR="0041432F">
        <w:t xml:space="preserve">the fiscal sustainability of </w:t>
      </w:r>
      <w:r w:rsidR="00AE37F3">
        <w:t xml:space="preserve">each </w:t>
      </w:r>
      <w:r w:rsidR="0041432F">
        <w:t>individual state</w:t>
      </w:r>
      <w:r>
        <w:t xml:space="preserve">. Rather, the </w:t>
      </w:r>
      <w:r w:rsidR="00DA5F5E">
        <w:t>Productivity Commission</w:t>
      </w:r>
      <w:r>
        <w:t xml:space="preserve"> aims to understand trends in state’s current fiscal positions to contextualise its assessment of different GST distribution systems</w:t>
      </w:r>
      <w:r w:rsidR="00E70A71">
        <w:t>, including</w:t>
      </w:r>
      <w:r w:rsidR="00270896">
        <w:t xml:space="preserve"> the</w:t>
      </w:r>
      <w:r w:rsidR="00E70A71">
        <w:t xml:space="preserve"> current </w:t>
      </w:r>
      <w:r w:rsidR="001201EA">
        <w:t>system</w:t>
      </w:r>
      <w:r>
        <w:t>.</w:t>
      </w:r>
      <w:r w:rsidR="0066544B">
        <w:rPr>
          <w:rStyle w:val="FootnoteReference"/>
        </w:rPr>
        <w:footnoteReference w:id="2"/>
      </w:r>
      <w:r>
        <w:t xml:space="preserve"> </w:t>
      </w:r>
    </w:p>
    <w:p w14:paraId="09BEAB63" w14:textId="48B44F14" w:rsidR="009D0E4F" w:rsidRDefault="008D145A" w:rsidP="00A5351E">
      <w:pPr>
        <w:pStyle w:val="BodyText"/>
      </w:pPr>
      <w:r>
        <w:t xml:space="preserve">There is no single measure that captures whether a government is fiscally sustainable. </w:t>
      </w:r>
      <w:r w:rsidR="00F413F1">
        <w:t>However</w:t>
      </w:r>
      <w:r w:rsidR="007B530C">
        <w:t>,</w:t>
      </w:r>
      <w:r w:rsidR="00F413F1">
        <w:t xml:space="preserve"> different</w:t>
      </w:r>
      <w:r>
        <w:t xml:space="preserve"> </w:t>
      </w:r>
      <w:r w:rsidR="00F413F1">
        <w:t xml:space="preserve">quantitative </w:t>
      </w:r>
      <w:r>
        <w:t xml:space="preserve">indicators </w:t>
      </w:r>
      <w:r w:rsidR="009D0E4F">
        <w:t xml:space="preserve">can </w:t>
      </w:r>
      <w:r>
        <w:t>capture different aspects of a government</w:t>
      </w:r>
      <w:r w:rsidR="00D33311">
        <w:t>’</w:t>
      </w:r>
      <w:r>
        <w:t>s fiscal position at a point in time</w:t>
      </w:r>
      <w:r w:rsidR="003D498D">
        <w:t xml:space="preserve">, including </w:t>
      </w:r>
      <w:r w:rsidR="00755308">
        <w:t>its fiscal pressure, capacity and flexibility, operating performance and debt burden</w:t>
      </w:r>
      <w:r>
        <w:t xml:space="preserve"> (</w:t>
      </w:r>
      <w:r w:rsidR="0019480D">
        <w:t xml:space="preserve">table </w:t>
      </w:r>
      <w:r w:rsidR="008452D3">
        <w:t>D</w:t>
      </w:r>
      <w:r w:rsidR="0019480D">
        <w:t>.1</w:t>
      </w:r>
      <w:r>
        <w:t xml:space="preserve">). </w:t>
      </w:r>
    </w:p>
    <w:p w14:paraId="3BF8B034" w14:textId="36025261" w:rsidR="00422FE6" w:rsidRDefault="006460D8" w:rsidP="00422FE6">
      <w:pPr>
        <w:pStyle w:val="BodyText"/>
      </w:pPr>
      <w:r>
        <w:t>These</w:t>
      </w:r>
      <w:r w:rsidR="00CB6319">
        <w:t xml:space="preserve"> quantitative</w:t>
      </w:r>
      <w:r>
        <w:t xml:space="preserve"> indicators </w:t>
      </w:r>
      <w:r w:rsidR="00BC61C5">
        <w:t xml:space="preserve">also </w:t>
      </w:r>
      <w:r w:rsidR="00084508">
        <w:t xml:space="preserve">should not </w:t>
      </w:r>
      <w:r>
        <w:t>be interpreted in isolation</w:t>
      </w:r>
      <w:r w:rsidR="00A42607">
        <w:t xml:space="preserve"> – </w:t>
      </w:r>
      <w:r w:rsidR="00CB6319">
        <w:t xml:space="preserve">a government’s fiscal sustainability will also be affected by </w:t>
      </w:r>
      <w:r w:rsidR="0098468D">
        <w:t xml:space="preserve">factors such </w:t>
      </w:r>
      <w:r w:rsidR="003478FD">
        <w:t xml:space="preserve">as </w:t>
      </w:r>
      <w:r w:rsidR="00BE4A4C">
        <w:t>their</w:t>
      </w:r>
      <w:r w:rsidR="003478FD">
        <w:t xml:space="preserve"> state</w:t>
      </w:r>
      <w:r w:rsidR="00A42607">
        <w:t>’s</w:t>
      </w:r>
      <w:r w:rsidR="003478FD">
        <w:t xml:space="preserve"> </w:t>
      </w:r>
      <w:r w:rsidR="0098271F">
        <w:t xml:space="preserve">broader economic situation, </w:t>
      </w:r>
      <w:r w:rsidR="008E1416">
        <w:t>the strength</w:t>
      </w:r>
      <w:r w:rsidR="009D5F93">
        <w:t xml:space="preserve"> and stability</w:t>
      </w:r>
      <w:r w:rsidR="008E1416">
        <w:t xml:space="preserve"> of its institutions</w:t>
      </w:r>
      <w:r w:rsidR="00A42607">
        <w:t>,</w:t>
      </w:r>
      <w:r w:rsidR="009503C2">
        <w:t xml:space="preserve"> and</w:t>
      </w:r>
      <w:r w:rsidR="00A42607">
        <w:t xml:space="preserve"> its</w:t>
      </w:r>
      <w:r w:rsidR="009503C2">
        <w:t xml:space="preserve"> </w:t>
      </w:r>
      <w:r w:rsidR="009D5F93">
        <w:t xml:space="preserve">exposure to </w:t>
      </w:r>
      <w:r w:rsidR="00AC4F88">
        <w:t xml:space="preserve">environmental </w:t>
      </w:r>
      <w:r w:rsidR="009503C2">
        <w:t xml:space="preserve">and social risks. </w:t>
      </w:r>
    </w:p>
    <w:p w14:paraId="35D5B4FD" w14:textId="60347C4B" w:rsidR="00F26AE2" w:rsidRDefault="00F26AE2" w:rsidP="00422FE6">
      <w:pPr>
        <w:pStyle w:val="BodyText"/>
      </w:pPr>
      <w:r>
        <w:t xml:space="preserve">Over the longer term, the </w:t>
      </w:r>
      <w:r w:rsidRPr="006D0B7B">
        <w:t>trajectory of</w:t>
      </w:r>
      <w:r>
        <w:t xml:space="preserve"> the ratio of</w:t>
      </w:r>
      <w:r w:rsidRPr="006D0B7B">
        <w:t xml:space="preserve"> debt</w:t>
      </w:r>
      <w:r>
        <w:t>-</w:t>
      </w:r>
      <w:r w:rsidRPr="006D0B7B">
        <w:t>to</w:t>
      </w:r>
      <w:r>
        <w:t>-GDP (or GSP) is often used as a simple measure of fiscal sustainability, capturing the government’s expected debt burden. A</w:t>
      </w:r>
      <w:r w:rsidRPr="006D0B7B">
        <w:t xml:space="preserve"> government’s fiscal position </w:t>
      </w:r>
      <w:r>
        <w:t>is</w:t>
      </w:r>
      <w:r w:rsidRPr="006D0B7B">
        <w:t xml:space="preserve"> generally considered more sustainable if</w:t>
      </w:r>
      <w:r>
        <w:t xml:space="preserve">, on average, </w:t>
      </w:r>
      <w:r w:rsidRPr="006D0B7B">
        <w:t xml:space="preserve">this ratio is </w:t>
      </w:r>
      <w:r>
        <w:t xml:space="preserve">expected to remain </w:t>
      </w:r>
      <w:r w:rsidRPr="006D0B7B">
        <w:t>stable or trend downwards over t</w:t>
      </w:r>
      <w:r>
        <w:t xml:space="preserve">he medium and long term </w:t>
      </w:r>
      <w:r w:rsidRPr="00840AF9">
        <w:rPr>
          <w:rFonts w:cs="Open Sans"/>
        </w:rPr>
        <w:t>(PBO 2025a, p. 11)</w:t>
      </w:r>
      <w:r>
        <w:t xml:space="preserve">. </w:t>
      </w:r>
      <w:r w:rsidRPr="00952940">
        <w:t>The trajectory of the debt ratio is often characterised by ‘r–g’</w:t>
      </w:r>
      <w:r>
        <w:t xml:space="preserve"> – that is,</w:t>
      </w:r>
      <w:r w:rsidRPr="00952940">
        <w:t xml:space="preserve"> the differential between </w:t>
      </w:r>
      <w:r>
        <w:t>a</w:t>
      </w:r>
      <w:r w:rsidRPr="00952940">
        <w:t xml:space="preserve"> government’s </w:t>
      </w:r>
      <w:r>
        <w:t>nominal</w:t>
      </w:r>
      <w:r w:rsidRPr="00952940">
        <w:t xml:space="preserve"> interest rate on debt </w:t>
      </w:r>
      <w:r>
        <w:t>(</w:t>
      </w:r>
      <w:r w:rsidRPr="00952940">
        <w:t>r</w:t>
      </w:r>
      <w:r>
        <w:t>)</w:t>
      </w:r>
      <w:r w:rsidRPr="00952940">
        <w:t xml:space="preserve"> and the nominal growth rate of the economy </w:t>
      </w:r>
      <w:r>
        <w:t>(</w:t>
      </w:r>
      <w:r w:rsidRPr="00952940">
        <w:t>g</w:t>
      </w:r>
      <w:r>
        <w:t>)</w:t>
      </w:r>
      <w:r w:rsidRPr="00952940">
        <w:t xml:space="preserve">. </w:t>
      </w:r>
      <w:r>
        <w:t>I</w:t>
      </w:r>
      <w:r w:rsidRPr="00952940">
        <w:t>f r &gt; g</w:t>
      </w:r>
      <w:r>
        <w:t>,</w:t>
      </w:r>
      <w:r w:rsidRPr="00952940">
        <w:t xml:space="preserve"> the trajectory of debt to GDP will be positive (that is, there will be upward pressure on the debt ratio), </w:t>
      </w:r>
      <w:r>
        <w:t xml:space="preserve">unless sufficiently </w:t>
      </w:r>
      <w:r>
        <w:lastRenderedPageBreak/>
        <w:t>offset by budget surpluses. Similarly,</w:t>
      </w:r>
      <w:r w:rsidRPr="00952940">
        <w:t xml:space="preserve"> if r &lt; g</w:t>
      </w:r>
      <w:r>
        <w:t>,</w:t>
      </w:r>
      <w:r w:rsidRPr="00952940">
        <w:t xml:space="preserve"> the trajectory of debt to GDP will be </w:t>
      </w:r>
      <w:r>
        <w:t xml:space="preserve">downward, unless offset by budget deficits. For state governments, total revenue is used instead of GDP or GSP because state revenue streams are not as directly linked to states’ economic outcomes as they are for the Australian Government </w:t>
      </w:r>
      <w:r w:rsidRPr="0028699E">
        <w:rPr>
          <w:rFonts w:cs="Open Sans"/>
        </w:rPr>
        <w:t>(Government of Tasmania 2021, p. 40)</w:t>
      </w:r>
      <w:r>
        <w:t>.</w:t>
      </w:r>
      <w:r w:rsidRPr="000658CD">
        <w:rPr>
          <w:rFonts w:ascii="Segoe UI" w:eastAsia="Times New Roman" w:hAnsi="Segoe UI" w:cs="Segoe UI"/>
          <w:sz w:val="18"/>
          <w:szCs w:val="18"/>
          <w:lang w:eastAsia="en-AU"/>
        </w:rPr>
        <w:t xml:space="preserve"> </w:t>
      </w:r>
    </w:p>
    <w:p w14:paraId="4E8C8572" w14:textId="02A1269F" w:rsidR="00422FE6" w:rsidRDefault="00422FE6" w:rsidP="00422FE6">
      <w:pPr>
        <w:pStyle w:val="FigureTableHeading"/>
      </w:pPr>
      <w:r>
        <w:t xml:space="preserve">Table </w:t>
      </w:r>
      <w:r w:rsidR="00EC6025">
        <w:rPr>
          <w:noProof/>
        </w:rPr>
        <w:t>D</w:t>
      </w:r>
      <w:r>
        <w:t>.</w:t>
      </w:r>
      <w:r w:rsidR="00EC6025">
        <w:rPr>
          <w:noProof/>
        </w:rPr>
        <w:t>1</w:t>
      </w:r>
      <w:r>
        <w:rPr>
          <w:noProof/>
        </w:rPr>
        <w:t xml:space="preserve"> – </w:t>
      </w:r>
      <w:r>
        <w:t xml:space="preserve">Quantitative indicators for </w:t>
      </w:r>
      <w:r w:rsidR="000B0B58">
        <w:t>state government fiscal sustainability analysis</w:t>
      </w:r>
      <w:r>
        <w:t xml:space="preserve"> </w:t>
      </w:r>
    </w:p>
    <w:tbl>
      <w:tblPr>
        <w:tblStyle w:val="PlainTable1"/>
        <w:tblW w:w="9750" w:type="dxa"/>
        <w:tblBorders>
          <w:top w:val="none" w:sz="0" w:space="0" w:color="auto"/>
          <w:left w:val="none" w:sz="0" w:space="0" w:color="auto"/>
          <w:bottom w:val="single" w:sz="4" w:space="0" w:color="B3B3B3"/>
          <w:right w:val="none" w:sz="0" w:space="0" w:color="auto"/>
          <w:insideH w:val="single" w:sz="4" w:space="0" w:color="B3B3B3"/>
          <w:insideV w:val="none" w:sz="0" w:space="0" w:color="auto"/>
        </w:tblBorders>
        <w:shd w:val="clear" w:color="000000" w:fill="auto"/>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3525"/>
        <w:gridCol w:w="6225"/>
      </w:tblGrid>
      <w:tr w:rsidR="00422FE6" w:rsidRPr="00CA6A6B" w14:paraId="6C6F51F6" w14:textId="77777777" w:rsidTr="001B0B6C">
        <w:trPr>
          <w:cnfStyle w:val="100000000000" w:firstRow="1" w:lastRow="0" w:firstColumn="0" w:lastColumn="0" w:oddVBand="0" w:evenVBand="0" w:oddHBand="0" w:evenHBand="0" w:firstRowFirstColumn="0" w:firstRowLastColumn="0" w:lastRowFirstColumn="0" w:lastRowLastColumn="0"/>
          <w:trHeight w:val="406"/>
          <w:tblHeader/>
        </w:trPr>
        <w:tc>
          <w:tcPr>
            <w:cnfStyle w:val="001000000000" w:firstRow="0" w:lastRow="0" w:firstColumn="1" w:lastColumn="0" w:oddVBand="0" w:evenVBand="0" w:oddHBand="0" w:evenHBand="0" w:firstRowFirstColumn="0" w:firstRowLastColumn="0" w:lastRowFirstColumn="0" w:lastRowLastColumn="0"/>
            <w:tcW w:w="3525" w:type="dxa"/>
            <w:shd w:val="clear" w:color="000000" w:fill="auto"/>
            <w:vAlign w:val="bottom"/>
          </w:tcPr>
          <w:p w14:paraId="7FE835FC" w14:textId="77777777" w:rsidR="00422FE6" w:rsidRPr="00CA6A6B" w:rsidRDefault="00422FE6" w:rsidP="001B0B6C">
            <w:pPr>
              <w:spacing w:before="45" w:after="45"/>
              <w:ind w:left="57" w:right="108"/>
              <w:rPr>
                <w:rFonts w:cs="Open Sans"/>
                <w:color w:val="1D4374"/>
                <w:sz w:val="18"/>
              </w:rPr>
            </w:pPr>
            <w:r w:rsidRPr="00CA6A6B">
              <w:rPr>
                <w:rFonts w:cs="Open Sans"/>
                <w:color w:val="1D4374"/>
                <w:sz w:val="18"/>
              </w:rPr>
              <w:t>Dimension</w:t>
            </w:r>
          </w:p>
        </w:tc>
        <w:tc>
          <w:tcPr>
            <w:tcW w:w="6225" w:type="dxa"/>
            <w:shd w:val="clear" w:color="000000" w:fill="auto"/>
            <w:vAlign w:val="bottom"/>
          </w:tcPr>
          <w:p w14:paraId="0A6C0102" w14:textId="77777777" w:rsidR="00422FE6" w:rsidRPr="00CA6A6B" w:rsidRDefault="00422FE6" w:rsidP="001B0B6C">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Pr>
                <w:rFonts w:cs="Open Sans"/>
                <w:color w:val="1D4374"/>
                <w:sz w:val="18"/>
              </w:rPr>
              <w:t>Indicator</w:t>
            </w:r>
          </w:p>
        </w:tc>
      </w:tr>
      <w:tr w:rsidR="00422FE6" w:rsidRPr="00CA6A6B" w14:paraId="5E9CB923" w14:textId="77777777" w:rsidTr="001B0B6C">
        <w:trPr>
          <w:trHeight w:val="223"/>
        </w:trPr>
        <w:tc>
          <w:tcPr>
            <w:cnfStyle w:val="001000000000" w:firstRow="0" w:lastRow="0" w:firstColumn="1" w:lastColumn="0" w:oddVBand="0" w:evenVBand="0" w:oddHBand="0" w:evenHBand="0" w:firstRowFirstColumn="0" w:firstRowLastColumn="0" w:lastRowFirstColumn="0" w:lastRowLastColumn="0"/>
            <w:tcW w:w="3525" w:type="dxa"/>
            <w:vMerge w:val="restart"/>
            <w:shd w:val="clear" w:color="000000" w:fill="auto"/>
          </w:tcPr>
          <w:p w14:paraId="5428AF52" w14:textId="7A7ED71F" w:rsidR="00422FE6" w:rsidRPr="00CA6A6B" w:rsidRDefault="00422FE6" w:rsidP="001B0B6C">
            <w:pPr>
              <w:spacing w:before="45" w:after="45"/>
              <w:ind w:left="57" w:right="108"/>
              <w:rPr>
                <w:rFonts w:cs="Open Sans"/>
                <w:color w:val="1D4374"/>
                <w:sz w:val="18"/>
                <w:szCs w:val="18"/>
              </w:rPr>
            </w:pPr>
            <w:r>
              <w:rPr>
                <w:rFonts w:cs="Open Sans"/>
                <w:color w:val="1D4374"/>
                <w:sz w:val="18"/>
                <w:szCs w:val="18"/>
              </w:rPr>
              <w:t>F</w:t>
            </w:r>
            <w:r w:rsidRPr="00CA6A6B">
              <w:rPr>
                <w:rFonts w:cs="Open Sans"/>
                <w:color w:val="1D4374"/>
                <w:sz w:val="18"/>
                <w:szCs w:val="18"/>
              </w:rPr>
              <w:t>iscal pressure, capacity and flexibility</w:t>
            </w:r>
          </w:p>
        </w:tc>
        <w:tc>
          <w:tcPr>
            <w:tcW w:w="6225" w:type="dxa"/>
            <w:shd w:val="clear" w:color="000000" w:fill="auto"/>
          </w:tcPr>
          <w:p w14:paraId="37DAC3F7" w14:textId="77777777" w:rsidR="00422FE6" w:rsidRPr="00CA6A6B" w:rsidRDefault="00422FE6" w:rsidP="001B0B6C">
            <w:pPr>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CA6A6B">
              <w:rPr>
                <w:rFonts w:cs="Open Sans"/>
                <w:color w:val="000000"/>
                <w:sz w:val="18"/>
              </w:rPr>
              <w:t>Expenditure per capita</w:t>
            </w:r>
          </w:p>
        </w:tc>
      </w:tr>
      <w:tr w:rsidR="00422FE6" w:rsidRPr="00CA6A6B" w14:paraId="11D3EED3" w14:textId="77777777" w:rsidTr="001B0B6C">
        <w:trPr>
          <w:trHeight w:val="223"/>
        </w:trPr>
        <w:tc>
          <w:tcPr>
            <w:cnfStyle w:val="001000000000" w:firstRow="0" w:lastRow="0" w:firstColumn="1" w:lastColumn="0" w:oddVBand="0" w:evenVBand="0" w:oddHBand="0" w:evenHBand="0" w:firstRowFirstColumn="0" w:firstRowLastColumn="0" w:lastRowFirstColumn="0" w:lastRowLastColumn="0"/>
            <w:tcW w:w="3525" w:type="dxa"/>
            <w:vMerge/>
            <w:shd w:val="clear" w:color="000000" w:fill="auto"/>
          </w:tcPr>
          <w:p w14:paraId="3D776ED3" w14:textId="77777777" w:rsidR="00422FE6" w:rsidRPr="00CA6A6B" w:rsidRDefault="00422FE6" w:rsidP="001B0B6C">
            <w:pPr>
              <w:spacing w:before="45" w:after="45"/>
              <w:ind w:left="57" w:right="108"/>
              <w:rPr>
                <w:rFonts w:cs="Open Sans"/>
                <w:b w:val="0"/>
                <w:color w:val="000000"/>
                <w:sz w:val="18"/>
                <w:szCs w:val="18"/>
              </w:rPr>
            </w:pPr>
          </w:p>
        </w:tc>
        <w:tc>
          <w:tcPr>
            <w:tcW w:w="6225" w:type="dxa"/>
            <w:shd w:val="clear" w:color="000000" w:fill="auto"/>
          </w:tcPr>
          <w:p w14:paraId="29E358D7" w14:textId="77777777" w:rsidR="00422FE6" w:rsidRPr="00CA6A6B" w:rsidRDefault="00422FE6" w:rsidP="001B0B6C">
            <w:pPr>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CA6A6B">
              <w:rPr>
                <w:rFonts w:cs="Open Sans"/>
                <w:color w:val="000000"/>
                <w:sz w:val="18"/>
              </w:rPr>
              <w:t>Total revenue per capita</w:t>
            </w:r>
          </w:p>
        </w:tc>
      </w:tr>
      <w:tr w:rsidR="00422FE6" w:rsidRPr="00CA6A6B" w14:paraId="37A313ED" w14:textId="77777777" w:rsidTr="001B0B6C">
        <w:trPr>
          <w:trHeight w:val="88"/>
        </w:trPr>
        <w:tc>
          <w:tcPr>
            <w:cnfStyle w:val="001000000000" w:firstRow="0" w:lastRow="0" w:firstColumn="1" w:lastColumn="0" w:oddVBand="0" w:evenVBand="0" w:oddHBand="0" w:evenHBand="0" w:firstRowFirstColumn="0" w:firstRowLastColumn="0" w:lastRowFirstColumn="0" w:lastRowLastColumn="0"/>
            <w:tcW w:w="3525" w:type="dxa"/>
            <w:vMerge/>
            <w:shd w:val="clear" w:color="000000" w:fill="auto"/>
          </w:tcPr>
          <w:p w14:paraId="0A7DC968" w14:textId="77777777" w:rsidR="00422FE6" w:rsidRPr="00CA6A6B" w:rsidRDefault="00422FE6" w:rsidP="001B0B6C">
            <w:pPr>
              <w:spacing w:before="45" w:after="45"/>
              <w:ind w:left="57" w:right="108"/>
              <w:rPr>
                <w:rFonts w:cs="Open Sans"/>
                <w:b w:val="0"/>
                <w:color w:val="000000"/>
                <w:sz w:val="18"/>
              </w:rPr>
            </w:pPr>
          </w:p>
        </w:tc>
        <w:tc>
          <w:tcPr>
            <w:tcW w:w="6225" w:type="dxa"/>
            <w:shd w:val="clear" w:color="000000" w:fill="auto"/>
          </w:tcPr>
          <w:p w14:paraId="16A44977" w14:textId="77777777" w:rsidR="00422FE6" w:rsidRPr="00CA6A6B" w:rsidRDefault="00422FE6" w:rsidP="001B0B6C">
            <w:pPr>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CA6A6B">
              <w:rPr>
                <w:rFonts w:cs="Open Sans"/>
                <w:color w:val="000000"/>
                <w:sz w:val="18"/>
              </w:rPr>
              <w:t>Own-source revenue / total revenue</w:t>
            </w:r>
          </w:p>
        </w:tc>
      </w:tr>
      <w:tr w:rsidR="00392074" w:rsidRPr="00CA6A6B" w14:paraId="7CBA3265" w14:textId="77777777" w:rsidTr="001B0B6C">
        <w:trPr>
          <w:trHeight w:val="88"/>
        </w:trPr>
        <w:tc>
          <w:tcPr>
            <w:cnfStyle w:val="001000000000" w:firstRow="0" w:lastRow="0" w:firstColumn="1" w:lastColumn="0" w:oddVBand="0" w:evenVBand="0" w:oddHBand="0" w:evenHBand="0" w:firstRowFirstColumn="0" w:firstRowLastColumn="0" w:lastRowFirstColumn="0" w:lastRowLastColumn="0"/>
            <w:tcW w:w="3525" w:type="dxa"/>
            <w:vMerge w:val="restart"/>
            <w:shd w:val="clear" w:color="000000" w:fill="auto"/>
          </w:tcPr>
          <w:p w14:paraId="6530E09B" w14:textId="3A42C0B6" w:rsidR="00392074" w:rsidRDefault="00392074" w:rsidP="00392074">
            <w:pPr>
              <w:spacing w:before="45" w:after="45"/>
              <w:ind w:left="57" w:right="108"/>
              <w:rPr>
                <w:rFonts w:cs="Open Sans"/>
                <w:bCs w:val="0"/>
                <w:color w:val="1D4374"/>
                <w:sz w:val="18"/>
                <w:szCs w:val="18"/>
              </w:rPr>
            </w:pPr>
            <w:r>
              <w:rPr>
                <w:rFonts w:cs="Open Sans"/>
                <w:color w:val="1D4374"/>
                <w:sz w:val="18"/>
                <w:szCs w:val="18"/>
              </w:rPr>
              <w:t>O</w:t>
            </w:r>
            <w:r w:rsidRPr="00CA6A6B">
              <w:rPr>
                <w:rFonts w:cs="Open Sans"/>
                <w:color w:val="1D4374"/>
                <w:sz w:val="18"/>
                <w:szCs w:val="18"/>
              </w:rPr>
              <w:t>perating performance</w:t>
            </w:r>
          </w:p>
        </w:tc>
        <w:tc>
          <w:tcPr>
            <w:tcW w:w="6225" w:type="dxa"/>
            <w:shd w:val="clear" w:color="000000" w:fill="auto"/>
          </w:tcPr>
          <w:p w14:paraId="1F25805D" w14:textId="100D7D30" w:rsidR="00392074" w:rsidRPr="00CA6A6B" w:rsidRDefault="00392074" w:rsidP="00392074">
            <w:pPr>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CA6A6B">
              <w:rPr>
                <w:rFonts w:cs="Open Sans"/>
                <w:color w:val="000000"/>
                <w:sz w:val="18"/>
              </w:rPr>
              <w:t>Net operating balance / total revenue</w:t>
            </w:r>
          </w:p>
        </w:tc>
      </w:tr>
      <w:tr w:rsidR="00392074" w:rsidRPr="00CA6A6B" w14:paraId="1F446A18" w14:textId="77777777" w:rsidTr="001B0B6C">
        <w:trPr>
          <w:trHeight w:val="88"/>
        </w:trPr>
        <w:tc>
          <w:tcPr>
            <w:cnfStyle w:val="001000000000" w:firstRow="0" w:lastRow="0" w:firstColumn="1" w:lastColumn="0" w:oddVBand="0" w:evenVBand="0" w:oddHBand="0" w:evenHBand="0" w:firstRowFirstColumn="0" w:firstRowLastColumn="0" w:lastRowFirstColumn="0" w:lastRowLastColumn="0"/>
            <w:tcW w:w="3525" w:type="dxa"/>
            <w:vMerge/>
            <w:shd w:val="clear" w:color="000000" w:fill="auto"/>
          </w:tcPr>
          <w:p w14:paraId="35635A53" w14:textId="77777777" w:rsidR="00392074" w:rsidRDefault="00392074" w:rsidP="00392074">
            <w:pPr>
              <w:spacing w:before="45" w:after="45"/>
              <w:ind w:left="57" w:right="108"/>
              <w:rPr>
                <w:rFonts w:cs="Open Sans"/>
                <w:bCs w:val="0"/>
                <w:color w:val="1D4374"/>
                <w:sz w:val="18"/>
                <w:szCs w:val="18"/>
              </w:rPr>
            </w:pPr>
          </w:p>
        </w:tc>
        <w:tc>
          <w:tcPr>
            <w:tcW w:w="6225" w:type="dxa"/>
            <w:shd w:val="clear" w:color="000000" w:fill="auto"/>
          </w:tcPr>
          <w:p w14:paraId="3F8CFFF7" w14:textId="708844B2" w:rsidR="00392074" w:rsidRPr="00CA6A6B" w:rsidRDefault="00392074" w:rsidP="00392074">
            <w:pPr>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CA6A6B">
              <w:rPr>
                <w:rFonts w:cs="Open Sans"/>
                <w:color w:val="000000"/>
                <w:sz w:val="18"/>
              </w:rPr>
              <w:t>Fiscal balance / total revenue</w:t>
            </w:r>
          </w:p>
        </w:tc>
      </w:tr>
      <w:tr w:rsidR="00392074" w:rsidRPr="00CA6A6B" w14:paraId="3E7E0172" w14:textId="77777777" w:rsidTr="001B0B6C">
        <w:trPr>
          <w:trHeight w:val="88"/>
        </w:trPr>
        <w:tc>
          <w:tcPr>
            <w:cnfStyle w:val="001000000000" w:firstRow="0" w:lastRow="0" w:firstColumn="1" w:lastColumn="0" w:oddVBand="0" w:evenVBand="0" w:oddHBand="0" w:evenHBand="0" w:firstRowFirstColumn="0" w:firstRowLastColumn="0" w:lastRowFirstColumn="0" w:lastRowLastColumn="0"/>
            <w:tcW w:w="3525" w:type="dxa"/>
            <w:vMerge w:val="restart"/>
            <w:shd w:val="clear" w:color="000000" w:fill="auto"/>
          </w:tcPr>
          <w:p w14:paraId="689A920A" w14:textId="051E89A5" w:rsidR="00392074" w:rsidRPr="00CA6A6B" w:rsidRDefault="00392074" w:rsidP="00392074">
            <w:pPr>
              <w:spacing w:before="45" w:after="45"/>
              <w:ind w:left="57" w:right="108"/>
              <w:rPr>
                <w:rFonts w:cs="Open Sans"/>
                <w:b w:val="0"/>
                <w:color w:val="000000"/>
                <w:sz w:val="18"/>
              </w:rPr>
            </w:pPr>
            <w:r>
              <w:rPr>
                <w:rFonts w:cs="Open Sans"/>
                <w:bCs w:val="0"/>
                <w:color w:val="1D4374"/>
                <w:sz w:val="18"/>
                <w:szCs w:val="18"/>
              </w:rPr>
              <w:t>D</w:t>
            </w:r>
            <w:r w:rsidRPr="00CA6A6B">
              <w:rPr>
                <w:rFonts w:cs="Open Sans"/>
                <w:bCs w:val="0"/>
                <w:color w:val="1D4374"/>
                <w:sz w:val="18"/>
                <w:szCs w:val="18"/>
              </w:rPr>
              <w:t xml:space="preserve">ebt </w:t>
            </w:r>
            <w:r>
              <w:rPr>
                <w:rFonts w:cs="Open Sans"/>
                <w:bCs w:val="0"/>
                <w:color w:val="1D4374"/>
                <w:sz w:val="18"/>
                <w:szCs w:val="18"/>
              </w:rPr>
              <w:t>burden</w:t>
            </w:r>
          </w:p>
        </w:tc>
        <w:tc>
          <w:tcPr>
            <w:tcW w:w="6225" w:type="dxa"/>
            <w:shd w:val="clear" w:color="000000" w:fill="auto"/>
          </w:tcPr>
          <w:p w14:paraId="0CE168CC" w14:textId="0DBAE5C6" w:rsidR="00392074" w:rsidRPr="00CA6A6B" w:rsidRDefault="00392074" w:rsidP="00392074">
            <w:pPr>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CA6A6B">
              <w:rPr>
                <w:rFonts w:cs="Open Sans"/>
                <w:color w:val="000000"/>
                <w:sz w:val="18"/>
              </w:rPr>
              <w:t xml:space="preserve">Net debt / total revenue </w:t>
            </w:r>
          </w:p>
        </w:tc>
      </w:tr>
      <w:tr w:rsidR="00392074" w:rsidRPr="00CA6A6B" w14:paraId="63EF50BC" w14:textId="77777777" w:rsidTr="001B0B6C">
        <w:trPr>
          <w:trHeight w:val="88"/>
        </w:trPr>
        <w:tc>
          <w:tcPr>
            <w:cnfStyle w:val="001000000000" w:firstRow="0" w:lastRow="0" w:firstColumn="1" w:lastColumn="0" w:oddVBand="0" w:evenVBand="0" w:oddHBand="0" w:evenHBand="0" w:firstRowFirstColumn="0" w:firstRowLastColumn="0" w:lastRowFirstColumn="0" w:lastRowLastColumn="0"/>
            <w:tcW w:w="3525" w:type="dxa"/>
            <w:vMerge/>
            <w:shd w:val="clear" w:color="000000" w:fill="auto"/>
          </w:tcPr>
          <w:p w14:paraId="0C6156C1" w14:textId="77777777" w:rsidR="00392074" w:rsidRPr="00CA6A6B" w:rsidRDefault="00392074" w:rsidP="00392074">
            <w:pPr>
              <w:spacing w:before="45" w:after="45"/>
              <w:ind w:left="57" w:right="108"/>
              <w:rPr>
                <w:rFonts w:cs="Open Sans"/>
                <w:b w:val="0"/>
                <w:color w:val="000000"/>
                <w:sz w:val="18"/>
              </w:rPr>
            </w:pPr>
          </w:p>
        </w:tc>
        <w:tc>
          <w:tcPr>
            <w:tcW w:w="6225" w:type="dxa"/>
            <w:shd w:val="clear" w:color="000000" w:fill="auto"/>
          </w:tcPr>
          <w:p w14:paraId="0D49D14E" w14:textId="5C4AEB83" w:rsidR="00392074" w:rsidRPr="00CA6A6B" w:rsidRDefault="00392074" w:rsidP="00392074">
            <w:pPr>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CA6A6B">
              <w:rPr>
                <w:rFonts w:cs="Open Sans"/>
                <w:color w:val="000000"/>
                <w:sz w:val="18"/>
              </w:rPr>
              <w:t xml:space="preserve">Interest expense / total revenue </w:t>
            </w:r>
          </w:p>
        </w:tc>
      </w:tr>
    </w:tbl>
    <w:p w14:paraId="2A0C13C4" w14:textId="77777777" w:rsidR="00972CF4" w:rsidRDefault="00422FE6" w:rsidP="00F67332">
      <w:pPr>
        <w:pStyle w:val="Note"/>
      </w:pPr>
      <w:r>
        <w:t>This is a non-exhaustive set of quantitative fiscal sustainability indicators that are commonly used across Australia</w:t>
      </w:r>
      <w:r w:rsidR="004049EF">
        <w:t>’s</w:t>
      </w:r>
      <w:r>
        <w:t xml:space="preserve"> state governments in their fiscal strategies</w:t>
      </w:r>
      <w:r w:rsidR="00930E90">
        <w:t>,</w:t>
      </w:r>
      <w:r>
        <w:t xml:space="preserve"> by international institutions and credit ratings agencies, while having regard to the data consistently available across state governments. </w:t>
      </w:r>
    </w:p>
    <w:p w14:paraId="6EF9193B" w14:textId="50D582E9" w:rsidR="00422FE6" w:rsidRPr="00972CF4" w:rsidRDefault="00422FE6" w:rsidP="00972CF4">
      <w:pPr>
        <w:pStyle w:val="Source"/>
        <w:rPr>
          <w:spacing w:val="-4"/>
        </w:rPr>
      </w:pPr>
      <w:r w:rsidRPr="00972CF4">
        <w:rPr>
          <w:spacing w:val="-4"/>
        </w:rPr>
        <w:t xml:space="preserve">Source: Saxena </w:t>
      </w:r>
      <w:r w:rsidRPr="00972CF4">
        <w:rPr>
          <w:rFonts w:cs="Open Sans"/>
          <w:spacing w:val="-4"/>
        </w:rPr>
        <w:t>(2022, p. 21)</w:t>
      </w:r>
      <w:r w:rsidRPr="00972CF4">
        <w:rPr>
          <w:spacing w:val="-4"/>
        </w:rPr>
        <w:t xml:space="preserve">, Moody’s Ratings </w:t>
      </w:r>
      <w:r w:rsidR="00BA3B96" w:rsidRPr="00972CF4">
        <w:rPr>
          <w:rFonts w:cs="Open Sans"/>
          <w:spacing w:val="-4"/>
        </w:rPr>
        <w:t>(2026a)</w:t>
      </w:r>
      <w:r w:rsidRPr="00972CF4">
        <w:rPr>
          <w:spacing w:val="-4"/>
        </w:rPr>
        <w:t xml:space="preserve">, S&amp;P Global </w:t>
      </w:r>
      <w:r w:rsidRPr="00972CF4">
        <w:rPr>
          <w:rFonts w:cs="Open Sans"/>
          <w:spacing w:val="-4"/>
        </w:rPr>
        <w:t>(2019)</w:t>
      </w:r>
      <w:r w:rsidRPr="00972CF4">
        <w:rPr>
          <w:spacing w:val="-4"/>
        </w:rPr>
        <w:t xml:space="preserve">; </w:t>
      </w:r>
      <w:r w:rsidR="003713D7" w:rsidRPr="00972CF4">
        <w:rPr>
          <w:spacing w:val="-4"/>
        </w:rPr>
        <w:t>VAGO</w:t>
      </w:r>
      <w:r w:rsidR="001D7A76" w:rsidRPr="00972CF4">
        <w:rPr>
          <w:spacing w:val="-4"/>
        </w:rPr>
        <w:t xml:space="preserve"> </w:t>
      </w:r>
      <w:r w:rsidR="003713D7" w:rsidRPr="00972CF4">
        <w:rPr>
          <w:rFonts w:cs="Open Sans"/>
          <w:spacing w:val="-4"/>
        </w:rPr>
        <w:t>(2025, pp. 21–22)</w:t>
      </w:r>
      <w:r w:rsidR="003713D7" w:rsidRPr="00972CF4">
        <w:rPr>
          <w:spacing w:val="-4"/>
        </w:rPr>
        <w:t xml:space="preserve">, </w:t>
      </w:r>
      <w:r w:rsidR="001D7A76" w:rsidRPr="00972CF4">
        <w:rPr>
          <w:spacing w:val="-4"/>
        </w:rPr>
        <w:t xml:space="preserve">NSW Government </w:t>
      </w:r>
      <w:r w:rsidR="003713D7" w:rsidRPr="00972CF4">
        <w:rPr>
          <w:rFonts w:cs="Open Sans"/>
          <w:spacing w:val="-4"/>
        </w:rPr>
        <w:t>(2024)</w:t>
      </w:r>
      <w:r w:rsidR="0093057A" w:rsidRPr="00972CF4">
        <w:rPr>
          <w:spacing w:val="-4"/>
        </w:rPr>
        <w:t xml:space="preserve">; Queensland Government </w:t>
      </w:r>
      <w:r w:rsidR="0093057A" w:rsidRPr="00972CF4">
        <w:rPr>
          <w:rFonts w:cs="Open Sans"/>
          <w:spacing w:val="-4"/>
        </w:rPr>
        <w:t>(2025, pp. 3–4)</w:t>
      </w:r>
      <w:r w:rsidR="006173BA" w:rsidRPr="00972CF4">
        <w:rPr>
          <w:spacing w:val="-4"/>
        </w:rPr>
        <w:t xml:space="preserve">; WA Government </w:t>
      </w:r>
      <w:r w:rsidR="006173BA" w:rsidRPr="00972CF4">
        <w:rPr>
          <w:rFonts w:cs="Open Sans"/>
          <w:spacing w:val="-4"/>
        </w:rPr>
        <w:t>(2025, p. 20)</w:t>
      </w:r>
      <w:r w:rsidR="00C101B8" w:rsidRPr="00972CF4">
        <w:rPr>
          <w:spacing w:val="-4"/>
        </w:rPr>
        <w:t xml:space="preserve">; SA Government </w:t>
      </w:r>
      <w:r w:rsidR="00C101B8" w:rsidRPr="00972CF4">
        <w:rPr>
          <w:rFonts w:cs="Open Sans"/>
          <w:spacing w:val="-4"/>
        </w:rPr>
        <w:t>(2025, pp. 36–45)</w:t>
      </w:r>
      <w:r w:rsidRPr="00972CF4">
        <w:rPr>
          <w:spacing w:val="-4"/>
        </w:rPr>
        <w:t>.</w:t>
      </w:r>
    </w:p>
    <w:p w14:paraId="0B5286A2" w14:textId="43BBA99C" w:rsidR="0080194A" w:rsidRDefault="0054131F" w:rsidP="00A62B9F">
      <w:pPr>
        <w:pStyle w:val="Heading2-Appendix"/>
      </w:pPr>
      <w:r>
        <w:t>What parts of government should be considered w</w:t>
      </w:r>
      <w:r w:rsidR="000E6226">
        <w:t>hen</w:t>
      </w:r>
      <w:r>
        <w:t xml:space="preserve"> looking at sustainability?</w:t>
      </w:r>
    </w:p>
    <w:p w14:paraId="09B49858" w14:textId="7B7467C4" w:rsidR="00A93D34" w:rsidRDefault="006D4961" w:rsidP="00A93D34">
      <w:pPr>
        <w:pStyle w:val="BodyText"/>
      </w:pPr>
      <w:r>
        <w:t xml:space="preserve">Government entities </w:t>
      </w:r>
      <w:r w:rsidR="00B753BA">
        <w:t xml:space="preserve">can be </w:t>
      </w:r>
      <w:r>
        <w:t xml:space="preserve">classified into </w:t>
      </w:r>
      <w:r w:rsidR="00AA2C4A">
        <w:t>3</w:t>
      </w:r>
      <w:r>
        <w:t xml:space="preserve"> categories</w:t>
      </w:r>
      <w:r w:rsidR="00B753BA">
        <w:t>, depending on their characteristics:</w:t>
      </w:r>
    </w:p>
    <w:p w14:paraId="281155BB" w14:textId="26BF11E7" w:rsidR="00B753BA" w:rsidRDefault="00076B4C" w:rsidP="00142441">
      <w:pPr>
        <w:pStyle w:val="ListBullet"/>
      </w:pPr>
      <w:r>
        <w:t>g</w:t>
      </w:r>
      <w:r w:rsidR="00B753BA">
        <w:t>eneral government</w:t>
      </w:r>
      <w:r w:rsidR="004D1181">
        <w:t xml:space="preserve"> </w:t>
      </w:r>
      <w:r w:rsidR="00522EC1">
        <w:t>(GG)</w:t>
      </w:r>
      <w:r w:rsidR="00B753BA">
        <w:t xml:space="preserve"> </w:t>
      </w:r>
      <w:r w:rsidR="00200DD0">
        <w:t>–</w:t>
      </w:r>
      <w:r w:rsidR="00B753BA">
        <w:t xml:space="preserve"> </w:t>
      </w:r>
      <w:r w:rsidR="00200DD0">
        <w:t>institutions</w:t>
      </w:r>
      <w:r>
        <w:t xml:space="preserve"> (such as government departments)</w:t>
      </w:r>
      <w:r w:rsidR="00200DD0">
        <w:t xml:space="preserve"> that </w:t>
      </w:r>
      <w:r w:rsidR="00707F21">
        <w:t>provide non-market goods and services (for example, hospitals</w:t>
      </w:r>
      <w:r w:rsidR="00017453">
        <w:t>, schools,</w:t>
      </w:r>
      <w:r w:rsidR="00F150B6" w:rsidDel="00FE361A">
        <w:t xml:space="preserve"> </w:t>
      </w:r>
      <w:r w:rsidR="00F150B6">
        <w:t>or police services</w:t>
      </w:r>
      <w:r>
        <w:t xml:space="preserve">) </w:t>
      </w:r>
      <w:r w:rsidR="001600AA">
        <w:t xml:space="preserve">that </w:t>
      </w:r>
      <w:r>
        <w:t xml:space="preserve">are </w:t>
      </w:r>
      <w:r w:rsidR="0097477B">
        <w:t>primarily funded by taxes</w:t>
      </w:r>
      <w:r w:rsidR="00066DCB">
        <w:t>,</w:t>
      </w:r>
      <w:r w:rsidR="000E27F4">
        <w:t xml:space="preserve"> and transfers from other levels of government</w:t>
      </w:r>
    </w:p>
    <w:p w14:paraId="256CDF3E" w14:textId="7A9F361A" w:rsidR="00DC1510" w:rsidRDefault="00076B4C" w:rsidP="00142441">
      <w:pPr>
        <w:pStyle w:val="ListBullet"/>
      </w:pPr>
      <w:r>
        <w:t xml:space="preserve">public </w:t>
      </w:r>
      <w:r w:rsidR="009A020A">
        <w:t>non-financial</w:t>
      </w:r>
      <w:r>
        <w:t xml:space="preserve"> corporations (PNFC</w:t>
      </w:r>
      <w:r w:rsidR="009A020A">
        <w:t xml:space="preserve">s) </w:t>
      </w:r>
      <w:r w:rsidR="00851E3F">
        <w:t>–</w:t>
      </w:r>
      <w:r w:rsidR="00B75E75">
        <w:t xml:space="preserve"> </w:t>
      </w:r>
      <w:r w:rsidR="00DC1510">
        <w:t>government-controlled entities that</w:t>
      </w:r>
      <w:r w:rsidR="00A32744">
        <w:t xml:space="preserve"> provide goods and services in competitive markets</w:t>
      </w:r>
      <w:r w:rsidR="00FD3843">
        <w:t xml:space="preserve"> (such as water utilities, electricity providers and railway authorities) </w:t>
      </w:r>
      <w:r w:rsidR="00646D30">
        <w:t xml:space="preserve">which </w:t>
      </w:r>
      <w:r w:rsidR="00FD3843">
        <w:t>are primarily funded</w:t>
      </w:r>
      <w:r w:rsidR="00DC1510">
        <w:t xml:space="preserve"> through the sale of goods and services </w:t>
      </w:r>
      <w:r w:rsidR="00DC1510" w:rsidRPr="00142441">
        <w:t>(Vic. PBO 2026)</w:t>
      </w:r>
    </w:p>
    <w:p w14:paraId="7FDEC33A" w14:textId="14C4C45D" w:rsidR="00171BDC" w:rsidRDefault="00B75E75" w:rsidP="00142441">
      <w:pPr>
        <w:pStyle w:val="ListBullet"/>
      </w:pPr>
      <w:r>
        <w:t xml:space="preserve">public financial corporations </w:t>
      </w:r>
      <w:r w:rsidR="004D588A">
        <w:t>–</w:t>
      </w:r>
      <w:r>
        <w:t xml:space="preserve"> </w:t>
      </w:r>
      <w:r w:rsidR="00646D30">
        <w:t xml:space="preserve">entities that </w:t>
      </w:r>
      <w:r w:rsidR="004D588A">
        <w:t xml:space="preserve">perform purely financial functions, such as state Treasury corporations. </w:t>
      </w:r>
      <w:r w:rsidR="00D5272B">
        <w:t>Conceptually</w:t>
      </w:r>
      <w:r w:rsidR="004B4193">
        <w:t>,</w:t>
      </w:r>
      <w:r w:rsidR="00D5272B">
        <w:t xml:space="preserve"> this sector is operated</w:t>
      </w:r>
      <w:r w:rsidR="002B2690">
        <w:t xml:space="preserve"> at arm’s length </w:t>
      </w:r>
      <w:r w:rsidR="00B232FC">
        <w:t>from the executive.</w:t>
      </w:r>
      <w:r w:rsidR="00BC1D80">
        <w:t xml:space="preserve"> </w:t>
      </w:r>
    </w:p>
    <w:p w14:paraId="42D431F0" w14:textId="6F38B554" w:rsidR="000F5648" w:rsidRPr="00972CF4" w:rsidRDefault="006A1F8F" w:rsidP="00142441">
      <w:pPr>
        <w:pStyle w:val="BodyText"/>
        <w:rPr>
          <w:spacing w:val="-4"/>
        </w:rPr>
      </w:pPr>
      <w:r w:rsidRPr="00972CF4">
        <w:rPr>
          <w:spacing w:val="-4"/>
        </w:rPr>
        <w:t>C</w:t>
      </w:r>
      <w:r w:rsidR="0052061D" w:rsidRPr="00972CF4">
        <w:rPr>
          <w:spacing w:val="-4"/>
        </w:rPr>
        <w:t xml:space="preserve">ommentary and analysis of state governments’ financial positions, particularly in state government budgets, </w:t>
      </w:r>
      <w:r w:rsidRPr="00972CF4">
        <w:rPr>
          <w:spacing w:val="-4"/>
        </w:rPr>
        <w:t xml:space="preserve">often </w:t>
      </w:r>
      <w:r w:rsidR="0052061D" w:rsidRPr="00972CF4">
        <w:rPr>
          <w:spacing w:val="-4"/>
        </w:rPr>
        <w:t>focuses on the ‘general government’. However, when considering a state’s overall fiscal sustainability, a broader scope may be necessary.</w:t>
      </w:r>
      <w:r w:rsidR="000046A2" w:rsidRPr="00972CF4">
        <w:rPr>
          <w:spacing w:val="-4"/>
        </w:rPr>
        <w:t xml:space="preserve"> </w:t>
      </w:r>
      <w:proofErr w:type="gramStart"/>
      <w:r w:rsidR="00A114BF" w:rsidRPr="00972CF4">
        <w:rPr>
          <w:spacing w:val="-4"/>
        </w:rPr>
        <w:t>In particular, it</w:t>
      </w:r>
      <w:proofErr w:type="gramEnd"/>
      <w:r w:rsidR="00A114BF" w:rsidRPr="00972CF4">
        <w:rPr>
          <w:spacing w:val="-4"/>
        </w:rPr>
        <w:t xml:space="preserve"> is often useful to combine</w:t>
      </w:r>
      <w:r w:rsidR="00901E8E" w:rsidRPr="00972CF4">
        <w:rPr>
          <w:spacing w:val="-4"/>
        </w:rPr>
        <w:t xml:space="preserve"> </w:t>
      </w:r>
      <w:r w:rsidR="00341A10" w:rsidRPr="00972CF4">
        <w:rPr>
          <w:spacing w:val="-4"/>
        </w:rPr>
        <w:t>GG</w:t>
      </w:r>
      <w:r w:rsidR="004A4852" w:rsidRPr="00972CF4">
        <w:rPr>
          <w:spacing w:val="-4"/>
        </w:rPr>
        <w:t xml:space="preserve"> and PNFC </w:t>
      </w:r>
      <w:r w:rsidR="00235116" w:rsidRPr="00972CF4">
        <w:rPr>
          <w:spacing w:val="-4"/>
        </w:rPr>
        <w:t>budget aggregates</w:t>
      </w:r>
      <w:r w:rsidR="00F2786C" w:rsidRPr="00972CF4">
        <w:rPr>
          <w:spacing w:val="-4"/>
        </w:rPr>
        <w:t xml:space="preserve"> </w:t>
      </w:r>
      <w:r w:rsidR="000046A2" w:rsidRPr="00972CF4">
        <w:rPr>
          <w:spacing w:val="-4"/>
        </w:rPr>
        <w:t>–</w:t>
      </w:r>
      <w:r w:rsidR="007351C8" w:rsidRPr="00972CF4">
        <w:rPr>
          <w:spacing w:val="-4"/>
        </w:rPr>
        <w:t xml:space="preserve"> </w:t>
      </w:r>
      <w:r w:rsidR="00082720" w:rsidRPr="00972CF4">
        <w:rPr>
          <w:spacing w:val="-4"/>
        </w:rPr>
        <w:t xml:space="preserve">this combined </w:t>
      </w:r>
      <w:r w:rsidR="007351C8" w:rsidRPr="00972CF4">
        <w:rPr>
          <w:spacing w:val="-4"/>
        </w:rPr>
        <w:t>view is referred</w:t>
      </w:r>
      <w:r w:rsidR="001D670F" w:rsidRPr="00972CF4">
        <w:rPr>
          <w:spacing w:val="-4"/>
        </w:rPr>
        <w:t xml:space="preserve"> to as the total non-financial public sector</w:t>
      </w:r>
      <w:r w:rsidR="002231A3" w:rsidRPr="00972CF4">
        <w:rPr>
          <w:spacing w:val="-4"/>
        </w:rPr>
        <w:t xml:space="preserve"> (TNFPS)</w:t>
      </w:r>
      <w:r w:rsidR="00A33532" w:rsidRPr="00972CF4">
        <w:rPr>
          <w:spacing w:val="-4"/>
        </w:rPr>
        <w:t>.</w:t>
      </w:r>
      <w:r w:rsidR="00294FFD" w:rsidRPr="00972CF4">
        <w:rPr>
          <w:rStyle w:val="FootnoteReference"/>
          <w:spacing w:val="-4"/>
        </w:rPr>
        <w:footnoteReference w:id="3"/>
      </w:r>
      <w:r w:rsidR="00A33532" w:rsidRPr="00972CF4">
        <w:rPr>
          <w:spacing w:val="-4"/>
        </w:rPr>
        <w:t xml:space="preserve"> </w:t>
      </w:r>
    </w:p>
    <w:p w14:paraId="4F92B7B6" w14:textId="28244535" w:rsidR="003175F1" w:rsidRPr="006A1F8F" w:rsidRDefault="00FD027A" w:rsidP="00142441">
      <w:pPr>
        <w:pStyle w:val="BodyText"/>
      </w:pPr>
      <w:r>
        <w:t>There</w:t>
      </w:r>
      <w:r w:rsidR="00FA5474">
        <w:t xml:space="preserve"> </w:t>
      </w:r>
      <w:r>
        <w:t>are</w:t>
      </w:r>
      <w:r w:rsidR="00FA5474">
        <w:t xml:space="preserve"> significant financial interrelationship</w:t>
      </w:r>
      <w:r>
        <w:t>s</w:t>
      </w:r>
      <w:r w:rsidR="00FA5474">
        <w:t xml:space="preserve"> between the </w:t>
      </w:r>
      <w:r w:rsidR="00341A10">
        <w:t>GG</w:t>
      </w:r>
      <w:r>
        <w:t xml:space="preserve"> and PNFC </w:t>
      </w:r>
      <w:r w:rsidR="00FA5474">
        <w:t>sectors</w:t>
      </w:r>
      <w:r w:rsidR="00BC0399">
        <w:t xml:space="preserve">. </w:t>
      </w:r>
      <w:r w:rsidR="004563F1">
        <w:t>Funding can flow from the GG sector to PNFC</w:t>
      </w:r>
      <w:r w:rsidR="00491D63">
        <w:t>s</w:t>
      </w:r>
      <w:r w:rsidR="004563F1">
        <w:t xml:space="preserve"> </w:t>
      </w:r>
      <w:r w:rsidR="00FA5474">
        <w:t>in a variety of ways</w:t>
      </w:r>
      <w:r w:rsidR="00182912">
        <w:t xml:space="preserve"> – for example, </w:t>
      </w:r>
      <w:r w:rsidR="006D7D51">
        <w:t>by</w:t>
      </w:r>
      <w:r w:rsidR="00182912">
        <w:t xml:space="preserve"> a government </w:t>
      </w:r>
      <w:r w:rsidR="00716D25">
        <w:t>acquir</w:t>
      </w:r>
      <w:r w:rsidR="006D7D51">
        <w:t>ing</w:t>
      </w:r>
      <w:r w:rsidR="00716D25">
        <w:t xml:space="preserve"> additional</w:t>
      </w:r>
      <w:r w:rsidR="00FA5474">
        <w:t xml:space="preserve"> </w:t>
      </w:r>
      <w:r w:rsidR="00FA5474">
        <w:lastRenderedPageBreak/>
        <w:t xml:space="preserve">equity in </w:t>
      </w:r>
      <w:r w:rsidR="008E0F96">
        <w:t xml:space="preserve">PNFCs </w:t>
      </w:r>
      <w:r w:rsidR="00FA5474">
        <w:t xml:space="preserve">or </w:t>
      </w:r>
      <w:r w:rsidR="006D7D51">
        <w:t>providing</w:t>
      </w:r>
      <w:r w:rsidR="00716D25">
        <w:t xml:space="preserve"> </w:t>
      </w:r>
      <w:r w:rsidR="001F7FA9">
        <w:t>them</w:t>
      </w:r>
      <w:r w:rsidR="00716D25">
        <w:t xml:space="preserve"> </w:t>
      </w:r>
      <w:r w:rsidR="00FA5474">
        <w:t xml:space="preserve">grants. PNFCs, in turn, </w:t>
      </w:r>
      <w:r w:rsidR="008D7D15">
        <w:t>can</w:t>
      </w:r>
      <w:r w:rsidR="00FA5474">
        <w:t xml:space="preserve"> provide returns to the </w:t>
      </w:r>
      <w:r w:rsidR="00341A10">
        <w:t xml:space="preserve">GG </w:t>
      </w:r>
      <w:r w:rsidR="00FA5474">
        <w:t xml:space="preserve">sector through payments such as dividends. </w:t>
      </w:r>
      <w:r w:rsidR="003E1D44">
        <w:t xml:space="preserve">States also vary in terms of </w:t>
      </w:r>
      <w:r w:rsidR="007759C3">
        <w:t xml:space="preserve">what services are provided through </w:t>
      </w:r>
      <w:r w:rsidR="001E470B">
        <w:t>the</w:t>
      </w:r>
      <w:r w:rsidR="00B266EB">
        <w:t>ir</w:t>
      </w:r>
      <w:r w:rsidR="001E470B">
        <w:t xml:space="preserve"> </w:t>
      </w:r>
      <w:r w:rsidR="00D53049">
        <w:t>GG</w:t>
      </w:r>
      <w:r w:rsidR="001E470B">
        <w:t xml:space="preserve"> </w:t>
      </w:r>
      <w:r w:rsidR="00B266EB">
        <w:t>sector</w:t>
      </w:r>
      <w:r w:rsidR="001E470B">
        <w:t xml:space="preserve"> </w:t>
      </w:r>
      <w:r w:rsidR="00826BE9">
        <w:t>or</w:t>
      </w:r>
      <w:r w:rsidR="00B266EB">
        <w:t xml:space="preserve"> through</w:t>
      </w:r>
      <w:r w:rsidR="001E470B">
        <w:t xml:space="preserve"> PNFCs, </w:t>
      </w:r>
      <w:r w:rsidR="00826BE9">
        <w:t xml:space="preserve">and this can change over time. For example, </w:t>
      </w:r>
      <w:r w:rsidR="008D1C45">
        <w:t xml:space="preserve">in </w:t>
      </w:r>
      <w:r w:rsidR="004D1181">
        <w:t>2022-23 Tasmania abolished the Department of Communities Tasmania (</w:t>
      </w:r>
      <w:r w:rsidR="00645F79">
        <w:t xml:space="preserve">which was categorised as </w:t>
      </w:r>
      <w:r w:rsidR="004D1181">
        <w:t xml:space="preserve">GG) </w:t>
      </w:r>
      <w:r w:rsidR="00522EC1">
        <w:t xml:space="preserve">and moved the portion of </w:t>
      </w:r>
      <w:r w:rsidR="00EA4046">
        <w:t>activities</w:t>
      </w:r>
      <w:r w:rsidR="00433C79">
        <w:t xml:space="preserve"> </w:t>
      </w:r>
      <w:r w:rsidR="00E9304D">
        <w:t xml:space="preserve">related </w:t>
      </w:r>
      <w:r w:rsidR="00522EC1">
        <w:t>to housing to Homes Tasmania, a PNFC</w:t>
      </w:r>
      <w:r w:rsidR="001A7702">
        <w:t xml:space="preserve"> </w:t>
      </w:r>
      <w:r w:rsidR="00725D85" w:rsidRPr="00725D85">
        <w:rPr>
          <w:rFonts w:cs="Open Sans"/>
        </w:rPr>
        <w:t>(Tasmanian Government 2023, p. 6)</w:t>
      </w:r>
      <w:r w:rsidR="002F5ADF">
        <w:t>.</w:t>
      </w:r>
    </w:p>
    <w:p w14:paraId="7898B8ED" w14:textId="0C6653FE" w:rsidR="00901E8E" w:rsidRPr="000524C7" w:rsidRDefault="00035D3C" w:rsidP="0034544B">
      <w:pPr>
        <w:pStyle w:val="BodyText"/>
        <w:rPr>
          <w:spacing w:val="-2"/>
        </w:rPr>
      </w:pPr>
      <w:r w:rsidRPr="000524C7">
        <w:rPr>
          <w:spacing w:val="-2"/>
        </w:rPr>
        <w:t>The</w:t>
      </w:r>
      <w:r w:rsidR="003175F1" w:rsidRPr="000524C7">
        <w:rPr>
          <w:spacing w:val="-2"/>
        </w:rPr>
        <w:t xml:space="preserve"> PNFC</w:t>
      </w:r>
      <w:r w:rsidRPr="000524C7">
        <w:rPr>
          <w:spacing w:val="-2"/>
        </w:rPr>
        <w:t xml:space="preserve"> sector is particularly relevant</w:t>
      </w:r>
      <w:r w:rsidR="003175F1" w:rsidRPr="000524C7">
        <w:rPr>
          <w:spacing w:val="-2"/>
        </w:rPr>
        <w:t xml:space="preserve"> when </w:t>
      </w:r>
      <w:r w:rsidR="00BD7367" w:rsidRPr="000524C7">
        <w:rPr>
          <w:spacing w:val="-2"/>
        </w:rPr>
        <w:t>analysing</w:t>
      </w:r>
      <w:r w:rsidR="003175F1" w:rsidRPr="000524C7">
        <w:rPr>
          <w:spacing w:val="-2"/>
        </w:rPr>
        <w:t xml:space="preserve"> state capital investment</w:t>
      </w:r>
      <w:r w:rsidR="00664490" w:rsidRPr="000524C7">
        <w:rPr>
          <w:spacing w:val="-2"/>
        </w:rPr>
        <w:t xml:space="preserve"> and debt. PNFCs</w:t>
      </w:r>
      <w:r w:rsidR="007E04B4" w:rsidRPr="000524C7">
        <w:rPr>
          <w:spacing w:val="-2"/>
        </w:rPr>
        <w:t xml:space="preserve"> manage and operate large-scale, asset-heavy public enterprises </w:t>
      </w:r>
      <w:r w:rsidR="00CD45E4" w:rsidRPr="000524C7">
        <w:rPr>
          <w:spacing w:val="-2"/>
        </w:rPr>
        <w:t xml:space="preserve">such as </w:t>
      </w:r>
      <w:r w:rsidR="007E04B4" w:rsidRPr="000524C7">
        <w:rPr>
          <w:spacing w:val="-2"/>
        </w:rPr>
        <w:t>utilities and transport</w:t>
      </w:r>
      <w:r w:rsidR="00664490" w:rsidRPr="000524C7">
        <w:rPr>
          <w:spacing w:val="-2"/>
        </w:rPr>
        <w:t xml:space="preserve">, </w:t>
      </w:r>
      <w:r w:rsidR="00BD7367" w:rsidRPr="000524C7">
        <w:rPr>
          <w:spacing w:val="-2"/>
        </w:rPr>
        <w:t xml:space="preserve">meaning </w:t>
      </w:r>
      <w:r w:rsidR="00664490" w:rsidRPr="000524C7">
        <w:rPr>
          <w:spacing w:val="-2"/>
        </w:rPr>
        <w:t xml:space="preserve">they </w:t>
      </w:r>
      <w:r w:rsidR="00E21044" w:rsidRPr="000524C7">
        <w:rPr>
          <w:spacing w:val="-2"/>
        </w:rPr>
        <w:t>account for a significant proportion of state capital investment</w:t>
      </w:r>
      <w:r w:rsidR="007E04B4" w:rsidRPr="000524C7">
        <w:rPr>
          <w:spacing w:val="-2"/>
        </w:rPr>
        <w:t xml:space="preserve">. In </w:t>
      </w:r>
      <w:r w:rsidR="004F7A80">
        <w:rPr>
          <w:spacing w:val="-2"/>
        </w:rPr>
        <w:t>2024–25</w:t>
      </w:r>
      <w:r w:rsidR="007E04B4" w:rsidRPr="000524C7">
        <w:rPr>
          <w:spacing w:val="-2"/>
        </w:rPr>
        <w:t xml:space="preserve">, </w:t>
      </w:r>
      <w:r w:rsidR="00415AA2" w:rsidRPr="000524C7">
        <w:rPr>
          <w:spacing w:val="-2"/>
        </w:rPr>
        <w:t>37</w:t>
      </w:r>
      <w:r w:rsidR="00E21044" w:rsidRPr="000524C7">
        <w:rPr>
          <w:spacing w:val="-2"/>
        </w:rPr>
        <w:t xml:space="preserve">% of </w:t>
      </w:r>
      <w:r w:rsidR="00465FBF" w:rsidRPr="000524C7">
        <w:rPr>
          <w:spacing w:val="-2"/>
        </w:rPr>
        <w:t xml:space="preserve">total </w:t>
      </w:r>
      <w:r w:rsidR="00E21044" w:rsidRPr="000524C7">
        <w:rPr>
          <w:spacing w:val="-2"/>
        </w:rPr>
        <w:t xml:space="preserve">state </w:t>
      </w:r>
      <w:r w:rsidR="00EE1220" w:rsidRPr="000524C7">
        <w:rPr>
          <w:spacing w:val="-2"/>
        </w:rPr>
        <w:t xml:space="preserve">TNFPS </w:t>
      </w:r>
      <w:r w:rsidR="007E04B4" w:rsidRPr="000524C7">
        <w:rPr>
          <w:spacing w:val="-2"/>
        </w:rPr>
        <w:t xml:space="preserve">capital investment </w:t>
      </w:r>
      <w:r w:rsidR="00E21044" w:rsidRPr="000524C7">
        <w:rPr>
          <w:spacing w:val="-2"/>
        </w:rPr>
        <w:t>was in the PNFC sector.</w:t>
      </w:r>
      <w:r w:rsidR="00EE1220" w:rsidRPr="000524C7">
        <w:rPr>
          <w:rStyle w:val="FootnoteReference"/>
          <w:spacing w:val="-2"/>
        </w:rPr>
        <w:footnoteReference w:id="4"/>
      </w:r>
      <w:r w:rsidR="00E21044" w:rsidRPr="000524C7">
        <w:rPr>
          <w:spacing w:val="-2"/>
        </w:rPr>
        <w:t xml:space="preserve"> </w:t>
      </w:r>
      <w:r w:rsidR="00827889" w:rsidRPr="000524C7">
        <w:rPr>
          <w:spacing w:val="-2"/>
        </w:rPr>
        <w:t>State PNFCs can raise significant debt</w:t>
      </w:r>
      <w:r w:rsidR="006B2931" w:rsidRPr="000524C7">
        <w:rPr>
          <w:spacing w:val="-2"/>
        </w:rPr>
        <w:t>. In</w:t>
      </w:r>
      <w:r w:rsidR="00210231" w:rsidRPr="000524C7">
        <w:rPr>
          <w:spacing w:val="-2"/>
        </w:rPr>
        <w:t xml:space="preserve"> </w:t>
      </w:r>
      <w:r w:rsidR="004F7A80">
        <w:rPr>
          <w:spacing w:val="-2"/>
        </w:rPr>
        <w:t>2024–25</w:t>
      </w:r>
      <w:r w:rsidR="00210231" w:rsidRPr="000524C7">
        <w:rPr>
          <w:spacing w:val="-2"/>
        </w:rPr>
        <w:t xml:space="preserve">, </w:t>
      </w:r>
      <w:r w:rsidR="003F6A13" w:rsidRPr="000524C7">
        <w:rPr>
          <w:spacing w:val="-2"/>
        </w:rPr>
        <w:t>28</w:t>
      </w:r>
      <w:r w:rsidR="00080E7A" w:rsidRPr="000524C7">
        <w:rPr>
          <w:spacing w:val="-2"/>
        </w:rPr>
        <w:t xml:space="preserve">% of </w:t>
      </w:r>
      <w:r w:rsidR="00DC52AE" w:rsidRPr="000524C7">
        <w:rPr>
          <w:spacing w:val="-2"/>
        </w:rPr>
        <w:t>total</w:t>
      </w:r>
      <w:r w:rsidR="00080E7A" w:rsidRPr="000524C7">
        <w:rPr>
          <w:spacing w:val="-2"/>
        </w:rPr>
        <w:t xml:space="preserve"> </w:t>
      </w:r>
      <w:r w:rsidR="00693223" w:rsidRPr="000524C7">
        <w:rPr>
          <w:spacing w:val="-2"/>
        </w:rPr>
        <w:t>state TNFPS</w:t>
      </w:r>
      <w:r w:rsidR="00080E7A" w:rsidRPr="000524C7">
        <w:rPr>
          <w:spacing w:val="-2"/>
        </w:rPr>
        <w:t xml:space="preserve"> net debt was held in the PNFC sector</w:t>
      </w:r>
      <w:r w:rsidR="00366648" w:rsidRPr="000524C7">
        <w:rPr>
          <w:spacing w:val="-2"/>
        </w:rPr>
        <w:t xml:space="preserve">, </w:t>
      </w:r>
      <w:r w:rsidR="00D13122" w:rsidRPr="000524C7">
        <w:rPr>
          <w:spacing w:val="-2"/>
        </w:rPr>
        <w:t>with</w:t>
      </w:r>
      <w:r w:rsidR="00366648" w:rsidRPr="000524C7">
        <w:rPr>
          <w:spacing w:val="-2"/>
        </w:rPr>
        <w:t xml:space="preserve"> </w:t>
      </w:r>
      <w:r w:rsidR="001A6178" w:rsidRPr="000524C7">
        <w:rPr>
          <w:spacing w:val="-2"/>
        </w:rPr>
        <w:t xml:space="preserve">this proportion </w:t>
      </w:r>
      <w:r w:rsidR="00535754" w:rsidRPr="000524C7">
        <w:rPr>
          <w:spacing w:val="-2"/>
        </w:rPr>
        <w:t>highest</w:t>
      </w:r>
      <w:r w:rsidR="001A6178" w:rsidRPr="000524C7">
        <w:rPr>
          <w:spacing w:val="-2"/>
        </w:rPr>
        <w:t xml:space="preserve"> for Queensland </w:t>
      </w:r>
      <w:r w:rsidR="00345147" w:rsidRPr="000524C7">
        <w:rPr>
          <w:spacing w:val="-2"/>
        </w:rPr>
        <w:t>(</w:t>
      </w:r>
      <w:r w:rsidR="00C70F88" w:rsidRPr="000524C7">
        <w:rPr>
          <w:spacing w:val="-2"/>
        </w:rPr>
        <w:t>75</w:t>
      </w:r>
      <w:r w:rsidR="001A6178" w:rsidRPr="000524C7">
        <w:rPr>
          <w:spacing w:val="-2"/>
        </w:rPr>
        <w:t>%</w:t>
      </w:r>
      <w:r w:rsidR="00796A0F" w:rsidRPr="000524C7">
        <w:rPr>
          <w:spacing w:val="-2"/>
        </w:rPr>
        <w:t xml:space="preserve"> of </w:t>
      </w:r>
      <w:r w:rsidR="00DC52AE" w:rsidRPr="000524C7">
        <w:rPr>
          <w:spacing w:val="-2"/>
        </w:rPr>
        <w:t xml:space="preserve">the </w:t>
      </w:r>
      <w:r w:rsidR="00796A0F" w:rsidRPr="000524C7">
        <w:rPr>
          <w:spacing w:val="-2"/>
        </w:rPr>
        <w:t>state</w:t>
      </w:r>
      <w:r w:rsidR="00DC52AE" w:rsidRPr="000524C7">
        <w:rPr>
          <w:spacing w:val="-2"/>
        </w:rPr>
        <w:t>’s</w:t>
      </w:r>
      <w:r w:rsidR="00796A0F" w:rsidRPr="000524C7">
        <w:rPr>
          <w:spacing w:val="-2"/>
        </w:rPr>
        <w:t xml:space="preserve"> TNFPS net debt</w:t>
      </w:r>
      <w:r w:rsidR="001A6178" w:rsidRPr="000524C7">
        <w:rPr>
          <w:spacing w:val="-2"/>
        </w:rPr>
        <w:t>) and Tasmania (</w:t>
      </w:r>
      <w:r w:rsidR="002C021C" w:rsidRPr="000524C7">
        <w:rPr>
          <w:spacing w:val="-2"/>
        </w:rPr>
        <w:t>52</w:t>
      </w:r>
      <w:r w:rsidR="001A6178" w:rsidRPr="000524C7">
        <w:rPr>
          <w:spacing w:val="-2"/>
        </w:rPr>
        <w:t>%</w:t>
      </w:r>
      <w:r w:rsidR="00796A0F" w:rsidRPr="000524C7">
        <w:rPr>
          <w:spacing w:val="-2"/>
        </w:rPr>
        <w:t xml:space="preserve"> of </w:t>
      </w:r>
      <w:r w:rsidR="00DC52AE" w:rsidRPr="000524C7">
        <w:rPr>
          <w:spacing w:val="-2"/>
        </w:rPr>
        <w:t xml:space="preserve">the </w:t>
      </w:r>
      <w:r w:rsidR="00796A0F" w:rsidRPr="000524C7">
        <w:rPr>
          <w:spacing w:val="-2"/>
        </w:rPr>
        <w:t>state</w:t>
      </w:r>
      <w:r w:rsidR="00DC52AE" w:rsidRPr="000524C7">
        <w:rPr>
          <w:spacing w:val="-2"/>
        </w:rPr>
        <w:t>’s</w:t>
      </w:r>
      <w:r w:rsidR="00796A0F" w:rsidRPr="000524C7">
        <w:rPr>
          <w:spacing w:val="-2"/>
        </w:rPr>
        <w:t xml:space="preserve"> TNFPS net debt</w:t>
      </w:r>
      <w:r w:rsidR="001A6178" w:rsidRPr="000524C7">
        <w:rPr>
          <w:spacing w:val="-2"/>
        </w:rPr>
        <w:t>).</w:t>
      </w:r>
      <w:r w:rsidR="00F722D0" w:rsidRPr="000524C7">
        <w:rPr>
          <w:spacing w:val="-2"/>
        </w:rPr>
        <w:t xml:space="preserve"> </w:t>
      </w:r>
      <w:r w:rsidR="00A2282D" w:rsidRPr="000524C7">
        <w:rPr>
          <w:spacing w:val="-2"/>
        </w:rPr>
        <w:t xml:space="preserve">Like </w:t>
      </w:r>
      <w:r w:rsidR="00F722D0" w:rsidRPr="000524C7">
        <w:rPr>
          <w:spacing w:val="-2"/>
        </w:rPr>
        <w:t xml:space="preserve">the </w:t>
      </w:r>
      <w:r w:rsidR="00D53049" w:rsidRPr="000524C7">
        <w:rPr>
          <w:spacing w:val="-2"/>
        </w:rPr>
        <w:t>GG</w:t>
      </w:r>
      <w:r w:rsidR="00F722D0" w:rsidRPr="000524C7">
        <w:rPr>
          <w:spacing w:val="-2"/>
        </w:rPr>
        <w:t xml:space="preserve"> sector, PNFCs can borrow through central state</w:t>
      </w:r>
      <w:r w:rsidR="00BA3692" w:rsidRPr="000524C7">
        <w:rPr>
          <w:spacing w:val="-2"/>
        </w:rPr>
        <w:t xml:space="preserve"> borrowing</w:t>
      </w:r>
      <w:r w:rsidR="00F722D0" w:rsidRPr="000524C7">
        <w:rPr>
          <w:spacing w:val="-2"/>
        </w:rPr>
        <w:t xml:space="preserve"> authorities</w:t>
      </w:r>
      <w:r w:rsidR="001C7072" w:rsidRPr="000524C7">
        <w:rPr>
          <w:spacing w:val="-2"/>
        </w:rPr>
        <w:t xml:space="preserve"> – with</w:t>
      </w:r>
      <w:r w:rsidR="00F722D0" w:rsidRPr="000524C7">
        <w:rPr>
          <w:spacing w:val="-2"/>
        </w:rPr>
        <w:t xml:space="preserve"> borrowings</w:t>
      </w:r>
      <w:r w:rsidR="00A808A1" w:rsidRPr="000524C7">
        <w:rPr>
          <w:spacing w:val="-2"/>
        </w:rPr>
        <w:t xml:space="preserve"> through these authorities</w:t>
      </w:r>
      <w:r w:rsidR="00F722D0" w:rsidRPr="000524C7">
        <w:rPr>
          <w:spacing w:val="-2"/>
        </w:rPr>
        <w:t xml:space="preserve"> </w:t>
      </w:r>
      <w:r w:rsidR="008A2AD3" w:rsidRPr="000524C7">
        <w:rPr>
          <w:spacing w:val="-2"/>
        </w:rPr>
        <w:t xml:space="preserve">generally </w:t>
      </w:r>
      <w:r w:rsidR="00F722D0" w:rsidRPr="000524C7">
        <w:rPr>
          <w:spacing w:val="-2"/>
        </w:rPr>
        <w:t xml:space="preserve">underpinned by guarantees from the </w:t>
      </w:r>
      <w:r w:rsidR="00A808A1" w:rsidRPr="000524C7">
        <w:rPr>
          <w:spacing w:val="-2"/>
        </w:rPr>
        <w:t xml:space="preserve">relevant </w:t>
      </w:r>
      <w:r w:rsidR="00F722D0" w:rsidRPr="000524C7">
        <w:rPr>
          <w:spacing w:val="-2"/>
        </w:rPr>
        <w:t>state government</w:t>
      </w:r>
      <w:r w:rsidR="0023597C" w:rsidRPr="000524C7">
        <w:rPr>
          <w:spacing w:val="-2"/>
        </w:rPr>
        <w:t xml:space="preserve"> </w:t>
      </w:r>
      <w:r w:rsidR="00744396" w:rsidRPr="000524C7">
        <w:rPr>
          <w:rFonts w:cs="Open Sans"/>
          <w:spacing w:val="-2"/>
        </w:rPr>
        <w:t>(NSW Government Sector Finance Act (2018), No 55, Div. 6.5; NT Government 2026c; QTC 2026a</w:t>
      </w:r>
      <w:r w:rsidR="00F1707F" w:rsidRPr="000524C7">
        <w:rPr>
          <w:rFonts w:cs="Open Sans"/>
          <w:spacing w:val="-2"/>
        </w:rPr>
        <w:t>; SA Government Financing Authority Act (1982)</w:t>
      </w:r>
      <w:r w:rsidR="00F67EE0" w:rsidRPr="000524C7">
        <w:rPr>
          <w:rFonts w:cs="Open Sans"/>
          <w:spacing w:val="-2"/>
        </w:rPr>
        <w:t>, Part 3</w:t>
      </w:r>
      <w:r w:rsidR="00744396" w:rsidRPr="000524C7">
        <w:rPr>
          <w:rFonts w:cs="Open Sans"/>
          <w:spacing w:val="-2"/>
        </w:rPr>
        <w:t>; TASCORP </w:t>
      </w:r>
      <w:proofErr w:type="spellStart"/>
      <w:r w:rsidR="00744396" w:rsidRPr="000524C7">
        <w:rPr>
          <w:rFonts w:cs="Open Sans"/>
          <w:spacing w:val="-2"/>
        </w:rPr>
        <w:t>nd</w:t>
      </w:r>
      <w:proofErr w:type="spellEnd"/>
      <w:r w:rsidR="00744396" w:rsidRPr="000524C7">
        <w:rPr>
          <w:rFonts w:cs="Open Sans"/>
          <w:spacing w:val="-2"/>
        </w:rPr>
        <w:t>; TCV 2026b; WATC 2026a</w:t>
      </w:r>
      <w:r w:rsidR="00F67EE0" w:rsidRPr="000524C7">
        <w:rPr>
          <w:rFonts w:cs="Open Sans"/>
          <w:spacing w:val="-2"/>
        </w:rPr>
        <w:t>)</w:t>
      </w:r>
      <w:r w:rsidR="00F67EE0" w:rsidRPr="000524C7">
        <w:rPr>
          <w:spacing w:val="-2"/>
        </w:rPr>
        <w:t>.</w:t>
      </w:r>
      <w:r w:rsidR="00F722D0" w:rsidRPr="000524C7">
        <w:rPr>
          <w:spacing w:val="-2"/>
        </w:rPr>
        <w:t xml:space="preserve"> </w:t>
      </w:r>
    </w:p>
    <w:p w14:paraId="58D15D3F" w14:textId="15534B3B" w:rsidR="0032239A" w:rsidRDefault="00785C63" w:rsidP="008452D3">
      <w:pPr>
        <w:spacing w:before="0" w:after="0" w:line="240" w:lineRule="auto"/>
      </w:pPr>
      <w:r>
        <w:t>G</w:t>
      </w:r>
      <w:r w:rsidR="0004532A">
        <w:t>iven G</w:t>
      </w:r>
      <w:r>
        <w:t xml:space="preserve">ST payments are a </w:t>
      </w:r>
      <w:r w:rsidR="007553B1">
        <w:t>GG</w:t>
      </w:r>
      <w:r>
        <w:t xml:space="preserve"> revenue item</w:t>
      </w:r>
      <w:r w:rsidR="00263494">
        <w:t xml:space="preserve">, </w:t>
      </w:r>
      <w:r w:rsidR="0004532A">
        <w:t>the PC</w:t>
      </w:r>
      <w:r w:rsidR="00500BA2">
        <w:t>’s analysis</w:t>
      </w:r>
      <w:r w:rsidR="0004532A">
        <w:t xml:space="preserve"> has focused most on </w:t>
      </w:r>
      <w:r w:rsidR="00E84C4A">
        <w:t xml:space="preserve">this aspect of state </w:t>
      </w:r>
      <w:r w:rsidR="0004532A">
        <w:t>government</w:t>
      </w:r>
      <w:r w:rsidR="006E7F4F">
        <w:t>s</w:t>
      </w:r>
      <w:r w:rsidR="0004532A">
        <w:t>, where</w:t>
      </w:r>
      <w:r w:rsidR="00CD56B9">
        <w:t xml:space="preserve"> changes to the</w:t>
      </w:r>
      <w:r w:rsidR="0004532A">
        <w:t xml:space="preserve"> GST</w:t>
      </w:r>
      <w:r w:rsidR="00CD56B9">
        <w:t xml:space="preserve"> distribution</w:t>
      </w:r>
      <w:r w:rsidR="0004532A">
        <w:t xml:space="preserve"> </w:t>
      </w:r>
      <w:r w:rsidR="00CD56B9">
        <w:t>would</w:t>
      </w:r>
      <w:r w:rsidR="0004532A">
        <w:t xml:space="preserve"> have the most direct effects</w:t>
      </w:r>
      <w:r w:rsidR="00DC6A75">
        <w:t>.</w:t>
      </w:r>
      <w:r w:rsidR="00263494">
        <w:t xml:space="preserve"> </w:t>
      </w:r>
      <w:r w:rsidR="00B508FE">
        <w:t xml:space="preserve">However, </w:t>
      </w:r>
      <w:r w:rsidR="00A84434">
        <w:t xml:space="preserve">the </w:t>
      </w:r>
      <w:r w:rsidR="009B3DF5">
        <w:t>TNFPS</w:t>
      </w:r>
      <w:r w:rsidR="009B3DF5" w:rsidDel="009B3DF5">
        <w:t xml:space="preserve"> </w:t>
      </w:r>
      <w:r w:rsidR="00A84434">
        <w:t xml:space="preserve">is </w:t>
      </w:r>
      <w:r w:rsidR="00183F9E">
        <w:t>included</w:t>
      </w:r>
      <w:r w:rsidR="00B03812">
        <w:t xml:space="preserve"> where </w:t>
      </w:r>
      <w:r w:rsidR="00C75C7A">
        <w:t xml:space="preserve">a more comprehensive view of state finances is </w:t>
      </w:r>
      <w:r w:rsidR="00183F9E">
        <w:t>informative</w:t>
      </w:r>
      <w:r w:rsidR="000853BF">
        <w:t>.</w:t>
      </w:r>
      <w:r w:rsidR="00FA72D4">
        <w:rPr>
          <w:rStyle w:val="FootnoteReference"/>
        </w:rPr>
        <w:footnoteReference w:id="5"/>
      </w:r>
      <w:r w:rsidR="000853BF">
        <w:t xml:space="preserve"> </w:t>
      </w:r>
      <w:r w:rsidR="002531BE">
        <w:t xml:space="preserve">Relatedly, the PC’s framework for analysing and comparing </w:t>
      </w:r>
      <w:r w:rsidR="00840F1B">
        <w:t xml:space="preserve">the impact of </w:t>
      </w:r>
      <w:r w:rsidR="002531BE">
        <w:t>different GST distribution systems</w:t>
      </w:r>
      <w:r w:rsidR="0055099C">
        <w:t xml:space="preserve"> assesses</w:t>
      </w:r>
      <w:r w:rsidR="00840F1B">
        <w:t xml:space="preserve"> fiscal sustainability</w:t>
      </w:r>
      <w:r w:rsidR="0055099C">
        <w:t xml:space="preserve"> implications for the </w:t>
      </w:r>
      <w:r w:rsidR="00626D6D">
        <w:t>TNFPS</w:t>
      </w:r>
      <w:r w:rsidR="00DD6429">
        <w:t xml:space="preserve"> (chapter </w:t>
      </w:r>
      <w:r w:rsidR="00BE1DFD">
        <w:t>3, chapter 4)</w:t>
      </w:r>
      <w:r w:rsidR="0055099C">
        <w:t>.</w:t>
      </w:r>
      <w:r w:rsidR="00611C3C">
        <w:t xml:space="preserve"> </w:t>
      </w:r>
      <w:r w:rsidR="0055099C">
        <w:t xml:space="preserve"> </w:t>
      </w:r>
    </w:p>
    <w:p w14:paraId="2009EE2C" w14:textId="5A2D63D1" w:rsidR="00811627" w:rsidRDefault="00A6455D" w:rsidP="00A62B9F">
      <w:pPr>
        <w:pStyle w:val="Heading2-Appendix"/>
      </w:pPr>
      <w:r>
        <w:t>All s</w:t>
      </w:r>
      <w:r w:rsidR="004F1728">
        <w:t xml:space="preserve">tates </w:t>
      </w:r>
      <w:r>
        <w:t xml:space="preserve">except </w:t>
      </w:r>
      <w:r w:rsidR="00C64533">
        <w:t xml:space="preserve">Western Australia </w:t>
      </w:r>
      <w:r w:rsidR="004F1728">
        <w:t xml:space="preserve">are facing deteriorating fiscal positions </w:t>
      </w:r>
    </w:p>
    <w:p w14:paraId="3667D36A" w14:textId="4F6122BA" w:rsidR="00947213" w:rsidRDefault="00CF79BC" w:rsidP="00B9640D">
      <w:pPr>
        <w:pStyle w:val="BodyText"/>
      </w:pPr>
      <w:r>
        <w:t>S</w:t>
      </w:r>
      <w:r w:rsidR="00694FD0">
        <w:t>ince the early 2000s, state</w:t>
      </w:r>
      <w:r w:rsidR="00CE7AB0">
        <w:t>s’</w:t>
      </w:r>
      <w:r w:rsidR="00694FD0">
        <w:t xml:space="preserve"> </w:t>
      </w:r>
      <w:r w:rsidR="00CE7AB0">
        <w:t>net operating balances have deteriorated on average,</w:t>
      </w:r>
      <w:r>
        <w:t xml:space="preserve"> compounded by the added fiscal pressure states have faced </w:t>
      </w:r>
      <w:r w:rsidR="00AC6F57">
        <w:t>due to the</w:t>
      </w:r>
      <w:r>
        <w:t xml:space="preserve"> COVID-19 pandemic </w:t>
      </w:r>
      <w:r w:rsidR="00041CC6" w:rsidRPr="00041CC6">
        <w:rPr>
          <w:rFonts w:cs="Open Sans"/>
        </w:rPr>
        <w:t>(PBO 2025b, p. 4)</w:t>
      </w:r>
      <w:r w:rsidR="00472768">
        <w:rPr>
          <w:rFonts w:cs="Open Sans"/>
        </w:rPr>
        <w:t>.</w:t>
      </w:r>
      <w:r w:rsidR="002B6193">
        <w:t xml:space="preserve"> </w:t>
      </w:r>
      <w:r w:rsidR="00B9640D">
        <w:t>Expenditure is growing rapidly for all states,</w:t>
      </w:r>
      <w:r w:rsidR="00D361E8">
        <w:t xml:space="preserve"> with</w:t>
      </w:r>
      <w:r w:rsidR="00B9640D">
        <w:t xml:space="preserve"> </w:t>
      </w:r>
      <w:r w:rsidR="00A91921">
        <w:t xml:space="preserve">some of </w:t>
      </w:r>
      <w:r w:rsidR="00B9640D">
        <w:t xml:space="preserve">the fastest growing areas of overall state expenditure per capita </w:t>
      </w:r>
      <w:r w:rsidR="00D361E8">
        <w:t xml:space="preserve">being </w:t>
      </w:r>
      <w:r w:rsidR="00B9640D">
        <w:t>health, capital investment</w:t>
      </w:r>
      <w:r w:rsidR="00D361E8">
        <w:t>,</w:t>
      </w:r>
      <w:r w:rsidR="00B9640D">
        <w:t xml:space="preserve"> and debt servicing costs (interest expenses). </w:t>
      </w:r>
      <w:r w:rsidR="00BD7652">
        <w:t xml:space="preserve">Growth in these expenditure lines </w:t>
      </w:r>
      <w:r w:rsidR="00AD7FAA">
        <w:t>has</w:t>
      </w:r>
      <w:r w:rsidR="00DA78EB">
        <w:t xml:space="preserve"> not </w:t>
      </w:r>
      <w:r w:rsidR="00947213">
        <w:t xml:space="preserve">been </w:t>
      </w:r>
      <w:proofErr w:type="gramStart"/>
      <w:r w:rsidR="00947213">
        <w:t>uniform</w:t>
      </w:r>
      <w:proofErr w:type="gramEnd"/>
      <w:r w:rsidR="00947213">
        <w:t xml:space="preserve"> across </w:t>
      </w:r>
      <w:r w:rsidR="00B9640D">
        <w:t>all states, reflecting a combination of states’ policy choices and their exposure to structural factors such as population ageing, which increase demand for</w:t>
      </w:r>
      <w:r w:rsidR="00AB532B">
        <w:t>,</w:t>
      </w:r>
      <w:r w:rsidR="00B9640D">
        <w:t xml:space="preserve"> and the cost of</w:t>
      </w:r>
      <w:r w:rsidR="00AB532B">
        <w:t>,</w:t>
      </w:r>
      <w:r w:rsidR="00B9640D">
        <w:t xml:space="preserve"> service delivery. </w:t>
      </w:r>
    </w:p>
    <w:p w14:paraId="5AFA34F9" w14:textId="3EC21BFD" w:rsidR="00B9640D" w:rsidRDefault="00B9640D" w:rsidP="00B9640D">
      <w:pPr>
        <w:pStyle w:val="BodyText"/>
      </w:pPr>
      <w:r>
        <w:t xml:space="preserve">For states other than </w:t>
      </w:r>
      <w:r w:rsidR="00AD7FAA">
        <w:t>Western Australia</w:t>
      </w:r>
      <w:r>
        <w:t xml:space="preserve">, </w:t>
      </w:r>
      <w:r w:rsidR="0028329B">
        <w:t xml:space="preserve">expenditure has outpaced </w:t>
      </w:r>
      <w:r>
        <w:t xml:space="preserve">revenue growth, resulting in deteriorating </w:t>
      </w:r>
      <w:r w:rsidR="00825401">
        <w:t>net operating and fiscal balances</w:t>
      </w:r>
      <w:r w:rsidR="00EA0E29">
        <w:t xml:space="preserve"> and </w:t>
      </w:r>
      <w:r>
        <w:t xml:space="preserve">repeated </w:t>
      </w:r>
      <w:r w:rsidR="00EA0E29">
        <w:t>budget</w:t>
      </w:r>
      <w:r>
        <w:t xml:space="preserve"> deficits</w:t>
      </w:r>
      <w:r w:rsidR="00D51C7C">
        <w:t xml:space="preserve"> for most states</w:t>
      </w:r>
      <w:r>
        <w:t xml:space="preserve">. By contrast, </w:t>
      </w:r>
      <w:r w:rsidR="00EA0E29">
        <w:t xml:space="preserve">Western Australia </w:t>
      </w:r>
      <w:r w:rsidR="009F222F">
        <w:t>experienced</w:t>
      </w:r>
      <w:r>
        <w:t xml:space="preserve"> </w:t>
      </w:r>
      <w:r w:rsidR="00994689">
        <w:t xml:space="preserve">operating </w:t>
      </w:r>
      <w:r>
        <w:t>surplus</w:t>
      </w:r>
      <w:r w:rsidR="009F222F">
        <w:t>es</w:t>
      </w:r>
      <w:r>
        <w:t xml:space="preserve"> </w:t>
      </w:r>
      <w:r w:rsidR="00E33ECA">
        <w:t xml:space="preserve">from </w:t>
      </w:r>
      <w:r w:rsidR="00994689">
        <w:t>2018-19</w:t>
      </w:r>
      <w:r w:rsidR="00AE7EBD">
        <w:t xml:space="preserve"> to </w:t>
      </w:r>
      <w:r w:rsidR="004F7A80">
        <w:t>2024–25</w:t>
      </w:r>
      <w:r w:rsidR="00AE7EBD">
        <w:t xml:space="preserve"> </w:t>
      </w:r>
      <w:r w:rsidR="00994689">
        <w:t xml:space="preserve">and </w:t>
      </w:r>
      <w:r w:rsidR="00195A12">
        <w:t>fiscal</w:t>
      </w:r>
      <w:r w:rsidR="003E65FE">
        <w:t xml:space="preserve"> surplus</w:t>
      </w:r>
      <w:r w:rsidR="009F222F">
        <w:t>es</w:t>
      </w:r>
      <w:r w:rsidR="003E65FE">
        <w:t xml:space="preserve"> (including acquisition of non-financial assets) </w:t>
      </w:r>
      <w:r w:rsidR="00775278">
        <w:t xml:space="preserve">from </w:t>
      </w:r>
      <w:r w:rsidR="00870185">
        <w:t>2020–21</w:t>
      </w:r>
      <w:r w:rsidR="00775278">
        <w:t xml:space="preserve"> to </w:t>
      </w:r>
      <w:r w:rsidR="004F7A80">
        <w:t>2024–25</w:t>
      </w:r>
      <w:r w:rsidR="003F1C7A">
        <w:t xml:space="preserve"> </w:t>
      </w:r>
      <w:r w:rsidR="00561E5E" w:rsidRPr="00C75350">
        <w:rPr>
          <w:rFonts w:cs="Open Sans"/>
        </w:rPr>
        <w:t>(PC estimates using ABS 2025a, unpublished data)</w:t>
      </w:r>
      <w:r w:rsidR="003E65FE">
        <w:t>.</w:t>
      </w:r>
      <w:r>
        <w:t xml:space="preserve"> </w:t>
      </w:r>
      <w:r w:rsidR="003E65FE">
        <w:t xml:space="preserve">This reflects </w:t>
      </w:r>
      <w:r>
        <w:t xml:space="preserve">strong </w:t>
      </w:r>
      <w:r w:rsidR="003506CD">
        <w:t>own-</w:t>
      </w:r>
      <w:r>
        <w:t>source revenues</w:t>
      </w:r>
      <w:r w:rsidR="00C42601">
        <w:t>, along with</w:t>
      </w:r>
      <w:r>
        <w:t xml:space="preserve"> additional GST</w:t>
      </w:r>
      <w:r w:rsidR="00935106">
        <w:t xml:space="preserve"> revenue</w:t>
      </w:r>
      <w:r w:rsidR="00273681">
        <w:t>s</w:t>
      </w:r>
      <w:r>
        <w:t xml:space="preserve"> due to the 2018 reforms </w:t>
      </w:r>
      <w:r w:rsidR="002A1E49">
        <w:t>which have</w:t>
      </w:r>
      <w:r>
        <w:t xml:space="preserve"> enabled </w:t>
      </w:r>
      <w:r w:rsidR="00273681">
        <w:t xml:space="preserve">Western Australia </w:t>
      </w:r>
      <w:r>
        <w:t xml:space="preserve">to improve its </w:t>
      </w:r>
      <w:r w:rsidR="000D5B5F">
        <w:t>relative</w:t>
      </w:r>
      <w:r>
        <w:t xml:space="preserve"> fiscal capacity</w:t>
      </w:r>
      <w:r w:rsidR="00FE1B98">
        <w:t xml:space="preserve"> (chapter 2)</w:t>
      </w:r>
      <w:r w:rsidR="007E40D6">
        <w:t xml:space="preserve">. </w:t>
      </w:r>
    </w:p>
    <w:p w14:paraId="29FDC0A7" w14:textId="6351941E" w:rsidR="003A2085" w:rsidRDefault="003A2085" w:rsidP="00B9640D">
      <w:pPr>
        <w:pStyle w:val="BodyText"/>
      </w:pPr>
      <w:r w:rsidRPr="00386BC1">
        <w:t xml:space="preserve">Only a handful of </w:t>
      </w:r>
      <w:r w:rsidR="003E3ACE">
        <w:t>states</w:t>
      </w:r>
      <w:r w:rsidR="003E3ACE" w:rsidRPr="00386BC1">
        <w:t xml:space="preserve"> </w:t>
      </w:r>
      <w:r w:rsidRPr="00386BC1">
        <w:t>have published medium</w:t>
      </w:r>
      <w:r w:rsidR="006D7E84">
        <w:t>-</w:t>
      </w:r>
      <w:r>
        <w:t xml:space="preserve"> </w:t>
      </w:r>
      <w:r w:rsidRPr="00386BC1">
        <w:t>or long-term fiscal sustainability assessments</w:t>
      </w:r>
      <w:r w:rsidR="003F6BA6">
        <w:t xml:space="preserve"> in recent years</w:t>
      </w:r>
      <w:r w:rsidRPr="00386BC1">
        <w:t xml:space="preserve">: </w:t>
      </w:r>
      <w:r w:rsidR="005401F8">
        <w:t>New South Wales</w:t>
      </w:r>
      <w:r w:rsidR="005401F8" w:rsidRPr="00386BC1">
        <w:t xml:space="preserve"> </w:t>
      </w:r>
      <w:r w:rsidRPr="00386BC1">
        <w:t>through an intergenerational report</w:t>
      </w:r>
      <w:r w:rsidR="00396023">
        <w:t xml:space="preserve"> in 2021</w:t>
      </w:r>
      <w:r w:rsidR="00E3316C">
        <w:t>;</w:t>
      </w:r>
      <w:r w:rsidR="00E3316C" w:rsidRPr="00386BC1">
        <w:t xml:space="preserve"> </w:t>
      </w:r>
      <w:r w:rsidRPr="00386BC1">
        <w:t>Tasmania through a fiscal sustainability report</w:t>
      </w:r>
      <w:r w:rsidR="0058579B">
        <w:t xml:space="preserve"> in 2026</w:t>
      </w:r>
      <w:r w:rsidR="00E3316C">
        <w:t>;</w:t>
      </w:r>
      <w:r w:rsidR="00E3316C" w:rsidRPr="00386BC1">
        <w:t xml:space="preserve"> </w:t>
      </w:r>
      <w:r w:rsidRPr="00386BC1">
        <w:t xml:space="preserve">and the </w:t>
      </w:r>
      <w:r w:rsidR="00082428" w:rsidRPr="00386BC1">
        <w:t>A</w:t>
      </w:r>
      <w:r w:rsidR="00082428">
        <w:t>ustralian Capital Territory</w:t>
      </w:r>
      <w:r w:rsidRPr="00386BC1">
        <w:t xml:space="preserve"> through a recent </w:t>
      </w:r>
      <w:r w:rsidR="0058579B">
        <w:t xml:space="preserve">(2026) </w:t>
      </w:r>
      <w:r w:rsidRPr="00386BC1">
        <w:t xml:space="preserve">parliamentary </w:t>
      </w:r>
      <w:r w:rsidRPr="00386BC1">
        <w:lastRenderedPageBreak/>
        <w:t xml:space="preserve">inquiry into fiscal sustainability. </w:t>
      </w:r>
      <w:r>
        <w:t>These assessments often frame sustainability more in terms of flexibility and resilience than short</w:t>
      </w:r>
      <w:r w:rsidR="00A43AF1">
        <w:t>-</w:t>
      </w:r>
      <w:r>
        <w:t xml:space="preserve">term solvency, but all indicate that </w:t>
      </w:r>
      <w:r w:rsidR="00A74ADB">
        <w:t xml:space="preserve">their states’ </w:t>
      </w:r>
      <w:r>
        <w:t xml:space="preserve">fiscal positions are weakening in this respect. They highlight that </w:t>
      </w:r>
      <w:r w:rsidRPr="00386BC1">
        <w:t>spending pressures, higher debt-servicing costs and growing interest payments will reduce governments’ capacity to absorb fiscal shocks, respond to future priorities and maintain service delivery over the long term</w:t>
      </w:r>
      <w:r>
        <w:t xml:space="preserve"> </w:t>
      </w:r>
      <w:r w:rsidR="001220C2" w:rsidRPr="001220C2">
        <w:rPr>
          <w:rFonts w:cs="Open Sans"/>
        </w:rPr>
        <w:t>(</w:t>
      </w:r>
      <w:proofErr w:type="spellStart"/>
      <w:r w:rsidR="001220C2" w:rsidRPr="001220C2">
        <w:rPr>
          <w:rFonts w:cs="Open Sans"/>
        </w:rPr>
        <w:t>Eslake</w:t>
      </w:r>
      <w:proofErr w:type="spellEnd"/>
      <w:r w:rsidR="001220C2" w:rsidRPr="001220C2">
        <w:rPr>
          <w:rFonts w:cs="Open Sans"/>
        </w:rPr>
        <w:t> 2026, p. 5; Government of Tasmania 2026, pp. 12–13; NSW Government 2021, p. 7)</w:t>
      </w:r>
      <w:r w:rsidR="000C1A93">
        <w:t>.</w:t>
      </w:r>
      <w:r w:rsidR="00191240">
        <w:t xml:space="preserve">  </w:t>
      </w:r>
    </w:p>
    <w:p w14:paraId="2F7D4368" w14:textId="19F416E2" w:rsidR="00FC5506" w:rsidRDefault="00FC5506" w:rsidP="00B9640D">
      <w:pPr>
        <w:pStyle w:val="BodyText"/>
      </w:pPr>
      <w:r>
        <w:t>Deterioration in states</w:t>
      </w:r>
      <w:r w:rsidR="000C43FD">
        <w:t>’</w:t>
      </w:r>
      <w:r>
        <w:t xml:space="preserve"> fiscal positions is also reflected in declining state credit quality, which according to S&amp;P</w:t>
      </w:r>
      <w:r w:rsidR="00A61C6B">
        <w:t xml:space="preserve"> Global</w:t>
      </w:r>
      <w:r>
        <w:t xml:space="preserve"> is the worst it has been since 2000</w:t>
      </w:r>
      <w:r w:rsidR="00FE2DA4">
        <w:t xml:space="preserve"> </w:t>
      </w:r>
      <w:r w:rsidR="00D03776" w:rsidRPr="00D03776">
        <w:rPr>
          <w:rFonts w:cs="Open Sans"/>
        </w:rPr>
        <w:t>(S&amp;P Global 2026c)</w:t>
      </w:r>
      <w:r w:rsidR="00FE2DA4">
        <w:t>.</w:t>
      </w:r>
      <w:r>
        <w:t xml:space="preserve"> During and post</w:t>
      </w:r>
      <w:r w:rsidR="00D634C1">
        <w:t xml:space="preserve"> the COVID-19 pandemic</w:t>
      </w:r>
      <w:r>
        <w:t>, n</w:t>
      </w:r>
      <w:r w:rsidRPr="00CC366F">
        <w:t xml:space="preserve">egative rating </w:t>
      </w:r>
      <w:r w:rsidR="00783E23">
        <w:t xml:space="preserve">decisions </w:t>
      </w:r>
      <w:r w:rsidRPr="00CC366F">
        <w:t>outnumber</w:t>
      </w:r>
      <w:r>
        <w:t>ed</w:t>
      </w:r>
      <w:r w:rsidRPr="00CC366F">
        <w:t xml:space="preserve"> positive</w:t>
      </w:r>
      <w:r w:rsidR="00D450A3">
        <w:t xml:space="preserve"> </w:t>
      </w:r>
      <w:r w:rsidR="00783E23">
        <w:t>decisions by</w:t>
      </w:r>
      <w:r w:rsidR="00783E23" w:rsidRPr="00CC366F">
        <w:t xml:space="preserve"> </w:t>
      </w:r>
      <w:r w:rsidRPr="00CC366F">
        <w:t>almost 5</w:t>
      </w:r>
      <w:r w:rsidR="00EE75B3">
        <w:t>-to-</w:t>
      </w:r>
      <w:r w:rsidRPr="00CC366F">
        <w:t>1</w:t>
      </w:r>
      <w:r>
        <w:t>, with Tasmania, the A</w:t>
      </w:r>
      <w:r w:rsidR="00082428">
        <w:t>ustralian Capital Territory</w:t>
      </w:r>
      <w:r>
        <w:t xml:space="preserve">, </w:t>
      </w:r>
      <w:r w:rsidR="00EA4DE2">
        <w:t>New South Wales</w:t>
      </w:r>
      <w:r>
        <w:t xml:space="preserve"> and Victoria all receiving credit downgrades </w:t>
      </w:r>
      <w:r w:rsidR="00D03776" w:rsidRPr="00D03776">
        <w:rPr>
          <w:rFonts w:cs="Open Sans"/>
        </w:rPr>
        <w:t>(S&amp;P Global 2026c)</w:t>
      </w:r>
      <w:r>
        <w:t>. By contrast</w:t>
      </w:r>
      <w:r w:rsidR="00D10058">
        <w:t>,</w:t>
      </w:r>
      <w:r>
        <w:t xml:space="preserve"> </w:t>
      </w:r>
      <w:r w:rsidR="0064061F">
        <w:t xml:space="preserve">Western Australia’s </w:t>
      </w:r>
      <w:r>
        <w:t>credit rating was upgraded during and just after the pandemic,</w:t>
      </w:r>
      <w:r w:rsidR="00EA4DE2">
        <w:t xml:space="preserve"> with it</w:t>
      </w:r>
      <w:r>
        <w:t xml:space="preserve"> receiving a AAA credit rating by S&amp;P (June 2022) and a </w:t>
      </w:r>
      <w:proofErr w:type="spellStart"/>
      <w:r>
        <w:t>Aaa</w:t>
      </w:r>
      <w:proofErr w:type="spellEnd"/>
      <w:r>
        <w:t xml:space="preserve"> credit rating by Moody’s (July 2023) </w:t>
      </w:r>
      <w:r w:rsidR="00D03776" w:rsidRPr="00D03776">
        <w:rPr>
          <w:rFonts w:cs="Open Sans"/>
        </w:rPr>
        <w:t>(Moody’s Ratings 2026b; S&amp;P Global 2026c)</w:t>
      </w:r>
      <w:r>
        <w:t xml:space="preserve">. </w:t>
      </w:r>
    </w:p>
    <w:p w14:paraId="5952D5C9" w14:textId="397AFC3E" w:rsidR="00B879CE" w:rsidRDefault="00B9640D" w:rsidP="00B879CE">
      <w:r>
        <w:t>The trend in states’ fiscal positions is</w:t>
      </w:r>
      <w:r w:rsidR="008141AD">
        <w:t xml:space="preserve"> reflected in the substantia</w:t>
      </w:r>
      <w:r w:rsidR="007645D5">
        <w:t>l</w:t>
      </w:r>
      <w:r w:rsidR="008141AD">
        <w:t xml:space="preserve"> growth in</w:t>
      </w:r>
      <w:r w:rsidR="00B879CE">
        <w:t xml:space="preserve"> state government </w:t>
      </w:r>
      <w:r w:rsidR="00C1509C">
        <w:t xml:space="preserve">net </w:t>
      </w:r>
      <w:r w:rsidR="00B879CE">
        <w:t xml:space="preserve">debt in the past decade, including relative to Australian Government debt (figure </w:t>
      </w:r>
      <w:r w:rsidR="00EC6025">
        <w:t>D</w:t>
      </w:r>
      <w:r w:rsidR="00B879CE">
        <w:t xml:space="preserve">.1). </w:t>
      </w:r>
    </w:p>
    <w:p w14:paraId="23638D6C" w14:textId="413E3316" w:rsidR="00BA119D" w:rsidRPr="00146382" w:rsidRDefault="00BA119D" w:rsidP="00BA119D">
      <w:pPr>
        <w:pStyle w:val="FigureTableHeading"/>
      </w:pPr>
      <w:r>
        <w:t xml:space="preserve">Figure </w:t>
      </w:r>
      <w:r w:rsidR="00EC6025">
        <w:rPr>
          <w:noProof/>
        </w:rPr>
        <w:t>D</w:t>
      </w:r>
      <w:r>
        <w:t>.</w:t>
      </w:r>
      <w:r w:rsidR="00EC6025">
        <w:rPr>
          <w:noProof/>
        </w:rPr>
        <w:t>1</w:t>
      </w:r>
      <w:r>
        <w:rPr>
          <w:noProof/>
        </w:rPr>
        <w:t xml:space="preserve"> </w:t>
      </w:r>
      <w:r>
        <w:t xml:space="preserve">– </w:t>
      </w:r>
      <w:r w:rsidR="009044ED">
        <w:t xml:space="preserve">Total state government debt is growing relative to Australian </w:t>
      </w:r>
      <w:r w:rsidR="005F0E24">
        <w:t>G</w:t>
      </w:r>
      <w:r w:rsidR="009044ED">
        <w:t>overnment debt</w:t>
      </w:r>
    </w:p>
    <w:p w14:paraId="3D351BEF" w14:textId="423BD8AF" w:rsidR="00BA119D" w:rsidRDefault="00987663" w:rsidP="00BA119D">
      <w:pPr>
        <w:pStyle w:val="FigureTableSubheading"/>
        <w:keepLines/>
      </w:pPr>
      <w:r>
        <w:t xml:space="preserve">GG, </w:t>
      </w:r>
      <w:r w:rsidR="0030569B">
        <w:t xml:space="preserve">net debt </w:t>
      </w:r>
      <w:r w:rsidR="00667179">
        <w:t>(L2)</w:t>
      </w:r>
      <w:r w:rsidR="0030569B">
        <w:t xml:space="preserve"> </w:t>
      </w:r>
      <w:r w:rsidR="00BA119D">
        <w:t xml:space="preserve">$b, </w:t>
      </w:r>
      <w:r>
        <w:t>constant</w:t>
      </w:r>
      <w:r w:rsidR="00BA119D">
        <w:t xml:space="preserve"> prices, 2024</w:t>
      </w:r>
      <w:r w:rsidR="00C1781D" w:rsidRPr="00C1781D">
        <w:t>–</w:t>
      </w:r>
      <w:r w:rsidR="00BA119D">
        <w:t>25 basis</w:t>
      </w:r>
    </w:p>
    <w:p w14:paraId="670C6401" w14:textId="26BD90A2" w:rsidR="00842BEA" w:rsidRDefault="008611A0" w:rsidP="00C1781D">
      <w:pPr>
        <w:pStyle w:val="BodyText"/>
      </w:pPr>
      <w:r w:rsidRPr="008611A0">
        <w:rPr>
          <w:noProof/>
        </w:rPr>
        <w:drawing>
          <wp:inline distT="0" distB="0" distL="0" distR="0" wp14:anchorId="019CB450" wp14:editId="5DB2FE0D">
            <wp:extent cx="6103620" cy="2769870"/>
            <wp:effectExtent l="0" t="0" r="0" b="0"/>
            <wp:docPr id="595020586" name="Picture 21" descr="Figure D.1 – a column chart of net debt for the Australian Government and total states from 2014-15 to 2024-25. Total state government net debt grows as a proportion of Australian Government net debt over the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020586" name="Picture 21" descr="Figure D.1 – a column chart of net debt for the Australian Government and total states from 2014-15 to 2024-25. Total state government net debt grows as a proportion of Australian Government net debt over the period. "/>
                    <pic:cNvPicPr>
                      <a:picLocks noChangeAspect="1" noChangeArrowheads="1"/>
                    </pic:cNvPicPr>
                  </pic:nvPicPr>
                  <pic:blipFill rotWithShape="1">
                    <a:blip r:embed="rId14">
                      <a:extLst>
                        <a:ext uri="{28A0092B-C50C-407E-A947-70E740481C1C}">
                          <a14:useLocalDpi xmlns:a14="http://schemas.microsoft.com/office/drawing/2010/main" val="0"/>
                        </a:ext>
                      </a:extLst>
                    </a:blip>
                    <a:srcRect t="4593"/>
                    <a:stretch>
                      <a:fillRect/>
                    </a:stretch>
                  </pic:blipFill>
                  <pic:spPr bwMode="auto">
                    <a:xfrm>
                      <a:off x="0" y="0"/>
                      <a:ext cx="6103620" cy="2769870"/>
                    </a:xfrm>
                    <a:prstGeom prst="rect">
                      <a:avLst/>
                    </a:prstGeom>
                    <a:noFill/>
                    <a:ln>
                      <a:noFill/>
                    </a:ln>
                    <a:extLst>
                      <a:ext uri="{53640926-AAD7-44D8-BBD7-CCE9431645EC}">
                        <a14:shadowObscured xmlns:a14="http://schemas.microsoft.com/office/drawing/2010/main"/>
                      </a:ext>
                    </a:extLst>
                  </pic:spPr>
                </pic:pic>
              </a:graphicData>
            </a:graphic>
          </wp:inline>
        </w:drawing>
      </w:r>
    </w:p>
    <w:p w14:paraId="5685C469" w14:textId="77777777" w:rsidR="0004610B" w:rsidRDefault="00842BEA" w:rsidP="0004610B">
      <w:pPr>
        <w:pStyle w:val="Note"/>
      </w:pPr>
      <w:r w:rsidRPr="000046D0">
        <w:t xml:space="preserve">Constant prices </w:t>
      </w:r>
      <w:r w:rsidR="00D03CEE" w:rsidRPr="000046D0">
        <w:t>calculated using implicit price deflator of GDP</w:t>
      </w:r>
      <w:r w:rsidR="000046D0" w:rsidRPr="000046D0">
        <w:t xml:space="preserve">. </w:t>
      </w:r>
    </w:p>
    <w:p w14:paraId="3B37C6A7" w14:textId="2183C0BD" w:rsidR="00F15AFD" w:rsidRDefault="00BA119D" w:rsidP="00F15AFD">
      <w:pPr>
        <w:pStyle w:val="Source"/>
      </w:pPr>
      <w:r w:rsidRPr="00696447">
        <w:t xml:space="preserve">Source: </w:t>
      </w:r>
      <w:r w:rsidR="000201DB" w:rsidRPr="00621391">
        <w:t xml:space="preserve">PC estimates using ABS </w:t>
      </w:r>
      <w:r w:rsidR="000201DB" w:rsidRPr="00A00660">
        <w:t>(2025a, unpublished data)</w:t>
      </w:r>
      <w:r w:rsidR="004119A2">
        <w:t>.</w:t>
      </w:r>
    </w:p>
    <w:p w14:paraId="00ACC08F" w14:textId="6D6FBD0D" w:rsidR="00E11D13" w:rsidRDefault="00E11D13" w:rsidP="00554824">
      <w:r>
        <w:t xml:space="preserve">This was also reflected in the Parliamentary Budget Office’s commentary in its most recent medium-term budget outlook, stating </w:t>
      </w:r>
      <w:r w:rsidR="00D52145" w:rsidRPr="00D52145">
        <w:rPr>
          <w:i/>
          <w:iCs/>
        </w:rPr>
        <w:t>’</w:t>
      </w:r>
      <w:r w:rsidRPr="00D52145">
        <w:rPr>
          <w:i/>
          <w:iCs/>
        </w:rPr>
        <w:t>recent</w:t>
      </w:r>
      <w:r w:rsidRPr="00D52145">
        <w:rPr>
          <w:i/>
        </w:rPr>
        <w:t xml:space="preserve"> growth in total state net debt presents an additional and emerging fiscal risk, with state debt trajectories increasing at a faster rate than Commonwealth debt</w:t>
      </w:r>
      <w:r w:rsidR="00D52145" w:rsidRPr="00D52145">
        <w:rPr>
          <w:i/>
          <w:iCs/>
        </w:rPr>
        <w:t>.</w:t>
      </w:r>
      <w:r w:rsidR="00D52145">
        <w:t xml:space="preserve">’ </w:t>
      </w:r>
      <w:r w:rsidRPr="00A15B70">
        <w:rPr>
          <w:rFonts w:cs="Open Sans"/>
        </w:rPr>
        <w:t>(PBO 2026, p. 7)</w:t>
      </w:r>
      <w:r w:rsidRPr="00E554BB">
        <w:t xml:space="preserve"> </w:t>
      </w:r>
      <w:r w:rsidR="00357F60">
        <w:t xml:space="preserve">For general government net debt, </w:t>
      </w:r>
      <w:r w:rsidR="00731086">
        <w:t xml:space="preserve">the ratio of total </w:t>
      </w:r>
      <w:r>
        <w:t xml:space="preserve">state </w:t>
      </w:r>
      <w:r w:rsidR="00731086">
        <w:t xml:space="preserve">to Australian Government </w:t>
      </w:r>
      <w:r w:rsidR="00EB3AA4">
        <w:t xml:space="preserve">was </w:t>
      </w:r>
      <w:r w:rsidR="00731086">
        <w:t>1:5</w:t>
      </w:r>
      <w:r w:rsidR="00EB3AA4">
        <w:t xml:space="preserve"> in </w:t>
      </w:r>
      <w:r w:rsidR="00854C40">
        <w:t>2014–15</w:t>
      </w:r>
      <w:r w:rsidR="00665C06">
        <w:t xml:space="preserve">, </w:t>
      </w:r>
      <w:r w:rsidR="00E527ED">
        <w:t xml:space="preserve">and </w:t>
      </w:r>
      <w:r w:rsidR="00EB3AA4">
        <w:t xml:space="preserve">by </w:t>
      </w:r>
      <w:r w:rsidR="004F7A80">
        <w:t>2024–25</w:t>
      </w:r>
      <w:r w:rsidR="002B0488">
        <w:t xml:space="preserve"> the ratio was 1:2</w:t>
      </w:r>
      <w:r w:rsidR="001142A8">
        <w:t xml:space="preserve"> </w:t>
      </w:r>
      <w:r w:rsidR="006F3974" w:rsidRPr="006F3974">
        <w:rPr>
          <w:rFonts w:cs="Open Sans"/>
        </w:rPr>
        <w:t>(PC estimates using ABS 2025a, unpublished data)</w:t>
      </w:r>
      <w:r w:rsidR="002B0488">
        <w:t>.</w:t>
      </w:r>
      <w:r>
        <w:t xml:space="preserve"> </w:t>
      </w:r>
      <w:r w:rsidR="003B54EE">
        <w:t>The</w:t>
      </w:r>
      <w:r>
        <w:t xml:space="preserve"> increase </w:t>
      </w:r>
      <w:r w:rsidR="003B54EE">
        <w:t>in total state net debt</w:t>
      </w:r>
      <w:r>
        <w:t xml:space="preserve"> </w:t>
      </w:r>
      <w:r w:rsidR="003B54EE">
        <w:t>is</w:t>
      </w:r>
      <w:r>
        <w:t xml:space="preserve"> most pronounced from 2019-20 onwards</w:t>
      </w:r>
      <w:r w:rsidR="00DA784C">
        <w:t xml:space="preserve">. </w:t>
      </w:r>
      <w:r w:rsidR="00B27D6F">
        <w:t>The</w:t>
      </w:r>
      <w:r>
        <w:t xml:space="preserve"> Reserve Bank of Australia’s (RBA’s) quantitative easing </w:t>
      </w:r>
      <w:r w:rsidR="00037B0E">
        <w:t>measures</w:t>
      </w:r>
      <w:r>
        <w:t xml:space="preserve"> during the </w:t>
      </w:r>
      <w:r w:rsidR="00D22891">
        <w:t xml:space="preserve">COVID-19 </w:t>
      </w:r>
      <w:r>
        <w:t>pandemic</w:t>
      </w:r>
      <w:r w:rsidR="00D22891">
        <w:t xml:space="preserve"> supported </w:t>
      </w:r>
      <w:r w:rsidR="0063659F">
        <w:t xml:space="preserve">this borrowing by </w:t>
      </w:r>
      <w:r w:rsidR="004B576C">
        <w:t xml:space="preserve">lowering </w:t>
      </w:r>
      <w:r w:rsidR="002539E5">
        <w:t>financing costs.</w:t>
      </w:r>
      <w:r>
        <w:t xml:space="preserve"> From </w:t>
      </w:r>
      <w:r w:rsidR="009350C8">
        <w:t>the end of Feb</w:t>
      </w:r>
      <w:r w:rsidR="00A270AD">
        <w:t xml:space="preserve">ruary </w:t>
      </w:r>
      <w:r w:rsidR="005569C7">
        <w:t xml:space="preserve">2020 </w:t>
      </w:r>
      <w:r w:rsidR="00ED44EF">
        <w:t>to the end of</w:t>
      </w:r>
      <w:r w:rsidR="005569C7">
        <w:t xml:space="preserve"> February 2022</w:t>
      </w:r>
      <w:r>
        <w:t>, RBA holdings of state government bonds increased from $2.2</w:t>
      </w:r>
      <w:r w:rsidR="006F3629">
        <w:t>b</w:t>
      </w:r>
      <w:r>
        <w:t xml:space="preserve"> to $</w:t>
      </w:r>
      <w:r w:rsidR="00DE2053">
        <w:t>67</w:t>
      </w:r>
      <w:r>
        <w:t>.</w:t>
      </w:r>
      <w:r w:rsidR="00DE2053">
        <w:t>7</w:t>
      </w:r>
      <w:r w:rsidR="006F3629">
        <w:t>b</w:t>
      </w:r>
      <w:r w:rsidR="007614F7">
        <w:t xml:space="preserve"> (nominal)</w:t>
      </w:r>
      <w:r>
        <w:t xml:space="preserve"> </w:t>
      </w:r>
      <w:r w:rsidR="00294AC7" w:rsidRPr="00294AC7">
        <w:rPr>
          <w:rFonts w:cs="Open Sans"/>
        </w:rPr>
        <w:t>(Aziz and Jackman 2022, p. 52; RBA 2026)</w:t>
      </w:r>
      <w:r w:rsidR="003C70CA">
        <w:t>.</w:t>
      </w:r>
    </w:p>
    <w:p w14:paraId="0F078C67" w14:textId="4FFA4F03" w:rsidR="005039C6" w:rsidRDefault="00B964C4" w:rsidP="00BF1A8C">
      <w:pPr>
        <w:pStyle w:val="BodyText"/>
      </w:pPr>
      <w:r>
        <w:lastRenderedPageBreak/>
        <w:t>Growing</w:t>
      </w:r>
      <w:r w:rsidR="007D531E">
        <w:t xml:space="preserve"> net debt</w:t>
      </w:r>
      <w:r w:rsidR="00180189">
        <w:t>-</w:t>
      </w:r>
      <w:r w:rsidR="007D531E">
        <w:t>to</w:t>
      </w:r>
      <w:r w:rsidR="00180189">
        <w:t>-</w:t>
      </w:r>
      <w:r w:rsidR="007D531E">
        <w:t xml:space="preserve">revenue ratios for the </w:t>
      </w:r>
      <w:r w:rsidR="001C11B0">
        <w:t xml:space="preserve">TNFPS </w:t>
      </w:r>
      <w:r w:rsidR="00526915">
        <w:t xml:space="preserve">are another indicator of </w:t>
      </w:r>
      <w:r w:rsidR="00204E66">
        <w:t xml:space="preserve">states’ </w:t>
      </w:r>
      <w:r w:rsidR="00DC0E38">
        <w:t xml:space="preserve">weakening </w:t>
      </w:r>
      <w:r w:rsidR="00204E66">
        <w:t>fiscal sustainability</w:t>
      </w:r>
      <w:r w:rsidR="00994276">
        <w:t xml:space="preserve"> (figure </w:t>
      </w:r>
      <w:r w:rsidR="00EC6025">
        <w:t>D.2</w:t>
      </w:r>
      <w:r w:rsidR="00994276">
        <w:t>)</w:t>
      </w:r>
      <w:r w:rsidR="007D531E">
        <w:t xml:space="preserve">. </w:t>
      </w:r>
      <w:r w:rsidR="00E55BAD">
        <w:t xml:space="preserve">Most states have </w:t>
      </w:r>
      <w:r w:rsidR="009F2213">
        <w:t xml:space="preserve">growing net debt to revenue </w:t>
      </w:r>
      <w:r w:rsidR="00E55BAD">
        <w:t xml:space="preserve">trajectories over the forward estimates, </w:t>
      </w:r>
      <w:r w:rsidR="000B1571">
        <w:t xml:space="preserve">with </w:t>
      </w:r>
      <w:r w:rsidR="009F2213">
        <w:t xml:space="preserve">rapid </w:t>
      </w:r>
      <w:r w:rsidR="000B1571">
        <w:t>grow</w:t>
      </w:r>
      <w:r w:rsidR="009F2213">
        <w:t>th concentrated</w:t>
      </w:r>
      <w:r w:rsidR="000B1571">
        <w:t xml:space="preserve"> in the post-</w:t>
      </w:r>
      <w:r w:rsidR="00ED1AD4">
        <w:t>p</w:t>
      </w:r>
      <w:r w:rsidR="00DA792D">
        <w:t>a</w:t>
      </w:r>
      <w:r w:rsidR="00ED1AD4">
        <w:t>nd</w:t>
      </w:r>
      <w:r w:rsidR="00DA792D">
        <w:t>e</w:t>
      </w:r>
      <w:r w:rsidR="00ED1AD4">
        <w:t xml:space="preserve">mic </w:t>
      </w:r>
      <w:r w:rsidR="000B1571">
        <w:t>period</w:t>
      </w:r>
      <w:r w:rsidR="00B91123">
        <w:t>.</w:t>
      </w:r>
    </w:p>
    <w:p w14:paraId="3EE7C12D" w14:textId="6B69F52A" w:rsidR="000E0B8A" w:rsidRPr="00CB2490" w:rsidRDefault="000E0B8A" w:rsidP="000E0B8A">
      <w:pPr>
        <w:pStyle w:val="FigureTableHeading"/>
      </w:pPr>
      <w:bookmarkStart w:id="0" w:name="_Ref236249592"/>
      <w:r w:rsidRPr="006138B9" w:rsidDel="00474065">
        <w:t xml:space="preserve">Figure </w:t>
      </w:r>
      <w:r>
        <w:rPr>
          <w:noProof/>
        </w:rPr>
        <w:t>D</w:t>
      </w:r>
      <w:r w:rsidRPr="006138B9" w:rsidDel="00474065">
        <w:t>.</w:t>
      </w:r>
      <w:r>
        <w:rPr>
          <w:noProof/>
        </w:rPr>
        <w:t>2</w:t>
      </w:r>
      <w:bookmarkEnd w:id="0"/>
      <w:r w:rsidRPr="00C90C19" w:rsidDel="00474065">
        <w:t xml:space="preserve"> </w:t>
      </w:r>
      <w:r w:rsidRPr="00CB2490">
        <w:t xml:space="preserve">– Net debt to revenue ratios are increasing for all states except </w:t>
      </w:r>
      <w:r w:rsidRPr="00740C06">
        <w:t>Western Australia</w:t>
      </w:r>
    </w:p>
    <w:p w14:paraId="5BEAAD51" w14:textId="16E8C208" w:rsidR="000E0B8A" w:rsidRDefault="000E0B8A" w:rsidP="000E0B8A">
      <w:pPr>
        <w:pStyle w:val="FigureTableSubheading"/>
        <w:keepLines/>
      </w:pPr>
      <w:r w:rsidRPr="00740C06">
        <w:t xml:space="preserve">TNFPS net debt to revenue ratios, </w:t>
      </w:r>
      <w:r w:rsidR="00854C40">
        <w:t>2014–15</w:t>
      </w:r>
      <w:r w:rsidRPr="00740C06">
        <w:t xml:space="preserve"> to </w:t>
      </w:r>
      <w:r w:rsidR="00854C40">
        <w:t>2029–30</w:t>
      </w:r>
    </w:p>
    <w:p w14:paraId="49F194EB" w14:textId="164A3F5C" w:rsidR="00815C9D" w:rsidRDefault="000E0B8A" w:rsidP="00815C9D">
      <w:pPr>
        <w:pStyle w:val="Note"/>
      </w:pPr>
      <w:r w:rsidRPr="00EA0349">
        <w:rPr>
          <w:noProof/>
        </w:rPr>
        <w:drawing>
          <wp:inline distT="0" distB="0" distL="0" distR="0" wp14:anchorId="3B93603F" wp14:editId="26103E1A">
            <wp:extent cx="6120079" cy="5013789"/>
            <wp:effectExtent l="0" t="0" r="0" b="0"/>
            <wp:docPr id="526106811" name="Picture 4" descr="Figure D.2 – a panel chart, with a panel per state. Each panel has a column chart reflecting net debt as a percentage of revenue from 2014-15 to 2029-30, with different coloured columns for actuals &amp; budget (2014-15 to 2025-26) and forward estimates (2026-2027 to 2029-30) it also has a line demonstrating the trajectory and the CAGR over the period. Tasmania has the highest CAGR over the period (11%), Western Australia the lowes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106811" name="Picture 4" descr="Figure D.2 – a panel chart, with a panel per state. Each panel has a column chart reflecting net debt as a percentage of revenue from 2014-15 to 2029-30, with different coloured columns for actuals &amp; budget (2014-15 to 2025-26) and forward estimates (2026-2027 to 2029-30) it also has a line demonstrating the trajectory and the CAGR over the period. Tasmania has the highest CAGR over the period (11%), Western Australia the lowest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079" cy="5013789"/>
                    </a:xfrm>
                    <a:prstGeom prst="rect">
                      <a:avLst/>
                    </a:prstGeom>
                    <a:noFill/>
                    <a:ln>
                      <a:noFill/>
                    </a:ln>
                  </pic:spPr>
                </pic:pic>
              </a:graphicData>
            </a:graphic>
          </wp:inline>
        </w:drawing>
      </w:r>
      <w:r>
        <w:t>The figure uses the most recent ten years of</w:t>
      </w:r>
      <w:r w:rsidRPr="00CD6C41">
        <w:t xml:space="preserve"> </w:t>
      </w:r>
      <w:r w:rsidR="00DE1191">
        <w:t xml:space="preserve">the Australian Bureau of Statistics (ABS) </w:t>
      </w:r>
      <w:r>
        <w:t>G</w:t>
      </w:r>
      <w:r w:rsidR="00A534F2">
        <w:t xml:space="preserve">overnment </w:t>
      </w:r>
      <w:r>
        <w:t>F</w:t>
      </w:r>
      <w:r w:rsidR="00A534F2">
        <w:t xml:space="preserve">inance </w:t>
      </w:r>
      <w:r>
        <w:t>S</w:t>
      </w:r>
      <w:r w:rsidR="00A534F2">
        <w:t>tatistics (</w:t>
      </w:r>
      <w:r>
        <w:t>GFS</w:t>
      </w:r>
      <w:r w:rsidR="00A534F2">
        <w:t>)</w:t>
      </w:r>
      <w:r w:rsidRPr="00CD6C41">
        <w:t xml:space="preserve"> observations </w:t>
      </w:r>
      <w:r>
        <w:t>(</w:t>
      </w:r>
      <w:r w:rsidRPr="00CD6C41">
        <w:t>2014–15 to 2024–25</w:t>
      </w:r>
      <w:r>
        <w:t xml:space="preserve">, constant prices </w:t>
      </w:r>
      <w:r w:rsidR="003B5B49" w:rsidRPr="000046D0">
        <w:t>calculated using implicit price deflator of GDP</w:t>
      </w:r>
      <w:r>
        <w:t xml:space="preserve">), state budget records for 2025-26 (revised) and 2026-27 (budget) and state budget forward estimates from 2027-28 to </w:t>
      </w:r>
      <w:r w:rsidR="00854C40">
        <w:t>2029–30</w:t>
      </w:r>
      <w:r w:rsidRPr="00CD6C41">
        <w:t xml:space="preserve">. </w:t>
      </w:r>
      <w:r w:rsidRPr="00BD0D11">
        <w:rPr>
          <w:b/>
          <w:bCs/>
        </w:rPr>
        <w:t>a</w:t>
      </w:r>
      <w:r>
        <w:t xml:space="preserve">. For the Australian Capital Territory, net debt as recorded in the GFS does not align with the net debt reported in </w:t>
      </w:r>
      <w:r w:rsidR="006E5CCD">
        <w:t>state</w:t>
      </w:r>
      <w:r>
        <w:t xml:space="preserve"> budget statements. Therefore, data from </w:t>
      </w:r>
      <w:r w:rsidRPr="00F96E74">
        <w:t xml:space="preserve">Consolidated Annual Financial Statements </w:t>
      </w:r>
      <w:r>
        <w:t xml:space="preserve">have been used for </w:t>
      </w:r>
      <w:r w:rsidR="00854C40">
        <w:t>2014–15</w:t>
      </w:r>
      <w:r>
        <w:t xml:space="preserve"> to </w:t>
      </w:r>
      <w:r w:rsidR="004F7A80">
        <w:t>2024–25</w:t>
      </w:r>
      <w:r>
        <w:t xml:space="preserve"> (inclusive) instead of GFS data, the</w:t>
      </w:r>
      <w:r w:rsidR="006E5CCD">
        <w:t>se</w:t>
      </w:r>
      <w:r>
        <w:t xml:space="preserve"> figure</w:t>
      </w:r>
      <w:r w:rsidR="006E5CCD">
        <w:t>s</w:t>
      </w:r>
      <w:r>
        <w:t xml:space="preserve"> should be interpreted with caution.</w:t>
      </w:r>
    </w:p>
    <w:p w14:paraId="2CCFD10B" w14:textId="0072C15A" w:rsidR="000E0B8A" w:rsidRPr="000851F0" w:rsidRDefault="000E0B8A" w:rsidP="000E0B8A">
      <w:pPr>
        <w:pStyle w:val="Source"/>
      </w:pPr>
      <w:r w:rsidRPr="000851F0">
        <w:t>Source</w:t>
      </w:r>
      <w:r w:rsidRPr="0042084B">
        <w:t xml:space="preserve">: PC </w:t>
      </w:r>
      <w:r>
        <w:t>estimates using:</w:t>
      </w:r>
      <w:r w:rsidRPr="0042084B">
        <w:t xml:space="preserve"> ABS </w:t>
      </w:r>
      <w:r w:rsidR="00C75350" w:rsidRPr="00CE2092">
        <w:t>(2025a, unpublished data)</w:t>
      </w:r>
      <w:r w:rsidR="007C5291">
        <w:t>;</w:t>
      </w:r>
      <w:r w:rsidRPr="000046D0">
        <w:t xml:space="preserve"> ACT Government </w:t>
      </w:r>
      <w:r w:rsidRPr="00E0090E">
        <w:rPr>
          <w:rFonts w:cs="Open Sans"/>
        </w:rPr>
        <w:t>(2016, 2017, 2019, 2021, 2023, 2025, 2026a)</w:t>
      </w:r>
      <w:r w:rsidR="007C5291">
        <w:t>;</w:t>
      </w:r>
      <w:r w:rsidRPr="000046D0">
        <w:t xml:space="preserve"> NSW Government </w:t>
      </w:r>
      <w:r w:rsidRPr="00430D08">
        <w:rPr>
          <w:rFonts w:cs="Open Sans"/>
        </w:rPr>
        <w:t>(2026b, pp. 105–107)</w:t>
      </w:r>
      <w:r w:rsidR="007C5291">
        <w:t>;</w:t>
      </w:r>
      <w:r w:rsidRPr="000046D0">
        <w:t xml:space="preserve"> NT Government </w:t>
      </w:r>
      <w:r w:rsidRPr="00D87FC5">
        <w:rPr>
          <w:rFonts w:cs="Open Sans"/>
        </w:rPr>
        <w:t>(2026a, pp. 96–97)</w:t>
      </w:r>
      <w:r w:rsidR="007C5291">
        <w:t>;</w:t>
      </w:r>
      <w:r w:rsidRPr="000046D0">
        <w:t xml:space="preserve"> Queensland</w:t>
      </w:r>
      <w:r>
        <w:t xml:space="preserve"> Government </w:t>
      </w:r>
      <w:r w:rsidRPr="00AD2A6A">
        <w:rPr>
          <w:rFonts w:cs="Open Sans"/>
        </w:rPr>
        <w:t>(2026, pp. 105–106)</w:t>
      </w:r>
      <w:r w:rsidR="00854C40">
        <w:t>;</w:t>
      </w:r>
      <w:r w:rsidRPr="00714118">
        <w:t xml:space="preserve"> </w:t>
      </w:r>
      <w:r>
        <w:t xml:space="preserve">SA Government </w:t>
      </w:r>
      <w:r w:rsidRPr="004D176E">
        <w:rPr>
          <w:rFonts w:cs="Open Sans"/>
        </w:rPr>
        <w:t>(2026, p. 156,158)</w:t>
      </w:r>
      <w:r w:rsidR="00854C40">
        <w:t>;</w:t>
      </w:r>
      <w:r w:rsidRPr="00714118">
        <w:t xml:space="preserve"> </w:t>
      </w:r>
      <w:r>
        <w:t xml:space="preserve">Tasmanian Government </w:t>
      </w:r>
      <w:r w:rsidRPr="00350239">
        <w:rPr>
          <w:rFonts w:cs="Open Sans"/>
        </w:rPr>
        <w:t>(2026, pp. 227, 230)</w:t>
      </w:r>
      <w:r w:rsidR="00854C40">
        <w:rPr>
          <w:rFonts w:cs="Open Sans"/>
        </w:rPr>
        <w:t>;</w:t>
      </w:r>
      <w:r w:rsidRPr="00714118">
        <w:t xml:space="preserve"> </w:t>
      </w:r>
      <w:r>
        <w:t xml:space="preserve">Victorian Government </w:t>
      </w:r>
      <w:r w:rsidRPr="002738FE">
        <w:rPr>
          <w:rFonts w:cs="Open Sans"/>
        </w:rPr>
        <w:t>(2026, pp. 67–69)</w:t>
      </w:r>
      <w:r w:rsidR="007C5291">
        <w:t xml:space="preserve">; </w:t>
      </w:r>
      <w:r>
        <w:t xml:space="preserve">WA Government </w:t>
      </w:r>
      <w:r w:rsidRPr="00E61D61">
        <w:rPr>
          <w:rFonts w:cs="Open Sans"/>
        </w:rPr>
        <w:t>(2026, pp. 253–254)</w:t>
      </w:r>
      <w:r>
        <w:t>.</w:t>
      </w:r>
      <w:r w:rsidDel="00714118">
        <w:t xml:space="preserve"> </w:t>
      </w:r>
    </w:p>
    <w:p w14:paraId="06D41ABA" w14:textId="40808ECD" w:rsidR="00EC6025" w:rsidRPr="00854C40" w:rsidRDefault="00EC6025" w:rsidP="003012E6">
      <w:pPr>
        <w:pStyle w:val="BodyText"/>
        <w:keepNext/>
        <w:keepLines/>
        <w:rPr>
          <w:spacing w:val="-2"/>
        </w:rPr>
      </w:pPr>
      <w:r w:rsidRPr="00854C40">
        <w:rPr>
          <w:spacing w:val="-2"/>
        </w:rPr>
        <w:lastRenderedPageBreak/>
        <w:t xml:space="preserve">Western Australia diverges from the other states with a declining net debt to revenue ratio from </w:t>
      </w:r>
      <w:r w:rsidR="00854C40" w:rsidRPr="00854C40">
        <w:rPr>
          <w:spacing w:val="-2"/>
        </w:rPr>
        <w:t>2014–15</w:t>
      </w:r>
      <w:r w:rsidRPr="00854C40">
        <w:rPr>
          <w:spacing w:val="-2"/>
        </w:rPr>
        <w:t xml:space="preserve"> to </w:t>
      </w:r>
      <w:r w:rsidR="00854C40">
        <w:rPr>
          <w:spacing w:val="-2"/>
        </w:rPr>
        <w:t>2029–30</w:t>
      </w:r>
      <w:r w:rsidR="001724B2" w:rsidRPr="00854C40">
        <w:rPr>
          <w:spacing w:val="-2"/>
        </w:rPr>
        <w:t xml:space="preserve"> and </w:t>
      </w:r>
      <w:r w:rsidR="00984E38" w:rsidRPr="00854C40">
        <w:rPr>
          <w:spacing w:val="-2"/>
        </w:rPr>
        <w:t>distinctly lower TNFPS net debt to revenue than other states towards the end of the period</w:t>
      </w:r>
      <w:r w:rsidRPr="00854C40">
        <w:rPr>
          <w:spacing w:val="-2"/>
        </w:rPr>
        <w:t xml:space="preserve">. By contrast, Tasmania’s </w:t>
      </w:r>
      <w:r w:rsidR="00DB295C" w:rsidRPr="00854C40">
        <w:rPr>
          <w:spacing w:val="-2"/>
        </w:rPr>
        <w:t xml:space="preserve">TNFPS </w:t>
      </w:r>
      <w:r w:rsidRPr="00854C40">
        <w:rPr>
          <w:spacing w:val="-2"/>
        </w:rPr>
        <w:t>net debt to revenue grew with a compound annual growth rate (CAGR)</w:t>
      </w:r>
      <w:r w:rsidRPr="00854C40">
        <w:rPr>
          <w:rStyle w:val="FootnoteReference"/>
          <w:spacing w:val="-2"/>
        </w:rPr>
        <w:footnoteReference w:id="6"/>
      </w:r>
      <w:r w:rsidRPr="00854C40">
        <w:rPr>
          <w:spacing w:val="-2"/>
        </w:rPr>
        <w:t xml:space="preserve"> of </w:t>
      </w:r>
      <w:r w:rsidR="00F3238A" w:rsidRPr="00854C40">
        <w:rPr>
          <w:spacing w:val="-2"/>
        </w:rPr>
        <w:t>11</w:t>
      </w:r>
      <w:r w:rsidRPr="00854C40">
        <w:rPr>
          <w:spacing w:val="-2"/>
        </w:rPr>
        <w:t>% (</w:t>
      </w:r>
      <w:r w:rsidR="00854C40" w:rsidRPr="00854C40">
        <w:rPr>
          <w:spacing w:val="-2"/>
        </w:rPr>
        <w:t>2014–15</w:t>
      </w:r>
      <w:r w:rsidRPr="00854C40">
        <w:rPr>
          <w:spacing w:val="-2"/>
        </w:rPr>
        <w:t xml:space="preserve"> to </w:t>
      </w:r>
      <w:r w:rsidR="00854C40">
        <w:rPr>
          <w:spacing w:val="-2"/>
        </w:rPr>
        <w:t>2029–30</w:t>
      </w:r>
      <w:r w:rsidRPr="00854C40">
        <w:rPr>
          <w:spacing w:val="-2"/>
        </w:rPr>
        <w:t xml:space="preserve">), although its level of net debt-to-revenue is lower than that of the </w:t>
      </w:r>
      <w:r w:rsidR="00082428" w:rsidRPr="00854C40">
        <w:rPr>
          <w:spacing w:val="-2"/>
        </w:rPr>
        <w:t>Australian Capital Territory</w:t>
      </w:r>
      <w:r w:rsidRPr="00854C40">
        <w:rPr>
          <w:spacing w:val="-2"/>
        </w:rPr>
        <w:t xml:space="preserve"> and the Northern Territory, for the majority of the period.</w:t>
      </w:r>
      <w:r w:rsidRPr="00854C40">
        <w:rPr>
          <w:rStyle w:val="FootnoteReference"/>
          <w:spacing w:val="-2"/>
        </w:rPr>
        <w:t xml:space="preserve"> </w:t>
      </w:r>
      <w:r w:rsidRPr="00854C40">
        <w:rPr>
          <w:rStyle w:val="FootnoteReference"/>
          <w:spacing w:val="-2"/>
        </w:rPr>
        <w:footnoteReference w:id="7"/>
      </w:r>
      <w:r w:rsidRPr="00854C40">
        <w:rPr>
          <w:spacing w:val="-2"/>
        </w:rPr>
        <w:t xml:space="preserve"> This aligns with </w:t>
      </w:r>
      <w:r w:rsidRPr="00854C40">
        <w:rPr>
          <w:i/>
          <w:iCs/>
          <w:spacing w:val="-2"/>
        </w:rPr>
        <w:t>Tasmania’s Fiscal Sustainability Report</w:t>
      </w:r>
      <w:r w:rsidRPr="00854C40">
        <w:rPr>
          <w:spacing w:val="-2"/>
        </w:rPr>
        <w:t xml:space="preserve">, which found that </w:t>
      </w:r>
      <w:r w:rsidRPr="00854C40">
        <w:rPr>
          <w:i/>
          <w:iCs/>
          <w:spacing w:val="-2"/>
        </w:rPr>
        <w:t>‘Tasmania’s finances are projected to rapidly deteriorate without a significant correction’</w:t>
      </w:r>
      <w:r w:rsidRPr="00854C40">
        <w:rPr>
          <w:spacing w:val="-2"/>
        </w:rPr>
        <w:t xml:space="preserve"> </w:t>
      </w:r>
      <w:r w:rsidR="00711098" w:rsidRPr="00854C40">
        <w:rPr>
          <w:rFonts w:cs="Open Sans"/>
          <w:spacing w:val="-2"/>
        </w:rPr>
        <w:t>(Government of Tasmania 2026, p. 9)</w:t>
      </w:r>
      <w:r w:rsidRPr="00854C40">
        <w:rPr>
          <w:spacing w:val="-2"/>
        </w:rPr>
        <w:t xml:space="preserve">. In terms of </w:t>
      </w:r>
      <w:r w:rsidR="004233F9" w:rsidRPr="00854C40">
        <w:rPr>
          <w:spacing w:val="-2"/>
        </w:rPr>
        <w:t xml:space="preserve">the </w:t>
      </w:r>
      <w:r w:rsidRPr="00854C40">
        <w:rPr>
          <w:spacing w:val="-2"/>
        </w:rPr>
        <w:t>trajectory</w:t>
      </w:r>
      <w:r w:rsidR="004233F9" w:rsidRPr="00854C40">
        <w:rPr>
          <w:spacing w:val="-2"/>
        </w:rPr>
        <w:t xml:space="preserve"> of net debt to revenue</w:t>
      </w:r>
      <w:r w:rsidRPr="00854C40">
        <w:rPr>
          <w:spacing w:val="-2"/>
        </w:rPr>
        <w:t xml:space="preserve">, the </w:t>
      </w:r>
      <w:r w:rsidR="00082428" w:rsidRPr="00854C40">
        <w:rPr>
          <w:spacing w:val="-2"/>
        </w:rPr>
        <w:t xml:space="preserve">Australian Capital Territory </w:t>
      </w:r>
      <w:r w:rsidR="00FC5D0B" w:rsidRPr="00854C40">
        <w:rPr>
          <w:spacing w:val="-2"/>
        </w:rPr>
        <w:t>ha</w:t>
      </w:r>
      <w:r w:rsidR="00B4144A" w:rsidRPr="00854C40">
        <w:rPr>
          <w:spacing w:val="-2"/>
        </w:rPr>
        <w:t>s</w:t>
      </w:r>
      <w:r w:rsidR="00FC5D0B" w:rsidRPr="00854C40">
        <w:rPr>
          <w:spacing w:val="-2"/>
        </w:rPr>
        <w:t xml:space="preserve"> the </w:t>
      </w:r>
      <w:r w:rsidR="00F737DE" w:rsidRPr="00854C40">
        <w:rPr>
          <w:spacing w:val="-2"/>
        </w:rPr>
        <w:t>largest</w:t>
      </w:r>
      <w:r w:rsidR="009219D7" w:rsidRPr="00854C40">
        <w:rPr>
          <w:spacing w:val="-2"/>
        </w:rPr>
        <w:t xml:space="preserve"> CAGR after</w:t>
      </w:r>
      <w:r w:rsidRPr="00854C40">
        <w:rPr>
          <w:spacing w:val="-2"/>
        </w:rPr>
        <w:t xml:space="preserve"> Tasmania</w:t>
      </w:r>
      <w:r w:rsidR="009219D7" w:rsidRPr="00854C40">
        <w:rPr>
          <w:spacing w:val="-2"/>
        </w:rPr>
        <w:t xml:space="preserve">, at </w:t>
      </w:r>
      <w:r w:rsidRPr="00854C40">
        <w:rPr>
          <w:spacing w:val="-2"/>
        </w:rPr>
        <w:t>8%</w:t>
      </w:r>
      <w:r w:rsidR="00322ACA" w:rsidRPr="00854C40">
        <w:rPr>
          <w:spacing w:val="-2"/>
        </w:rPr>
        <w:t xml:space="preserve">. </w:t>
      </w:r>
      <w:r w:rsidR="007D65DA" w:rsidRPr="00854C40">
        <w:rPr>
          <w:spacing w:val="-2"/>
        </w:rPr>
        <w:t>As</w:t>
      </w:r>
      <w:r w:rsidRPr="00854C40">
        <w:rPr>
          <w:spacing w:val="-2"/>
        </w:rPr>
        <w:t xml:space="preserve"> a </w:t>
      </w:r>
      <w:r w:rsidR="00F139A7" w:rsidRPr="00854C40">
        <w:rPr>
          <w:spacing w:val="-2"/>
        </w:rPr>
        <w:t>percentage,</w:t>
      </w:r>
      <w:r w:rsidRPr="00854C40">
        <w:rPr>
          <w:spacing w:val="-2"/>
        </w:rPr>
        <w:t xml:space="preserve"> Victoria has the highest net</w:t>
      </w:r>
      <w:r w:rsidR="000536C3" w:rsidRPr="00854C40">
        <w:rPr>
          <w:spacing w:val="-2"/>
        </w:rPr>
        <w:t>-</w:t>
      </w:r>
      <w:r w:rsidRPr="00854C40">
        <w:rPr>
          <w:spacing w:val="-2"/>
        </w:rPr>
        <w:t>debt</w:t>
      </w:r>
      <w:r w:rsidR="000536C3" w:rsidRPr="00854C40">
        <w:rPr>
          <w:spacing w:val="-2"/>
        </w:rPr>
        <w:t>-</w:t>
      </w:r>
      <w:r w:rsidRPr="00854C40">
        <w:rPr>
          <w:spacing w:val="-2"/>
        </w:rPr>
        <w:t xml:space="preserve">to revenue </w:t>
      </w:r>
      <w:r w:rsidR="00093048" w:rsidRPr="00854C40">
        <w:rPr>
          <w:spacing w:val="-2"/>
        </w:rPr>
        <w:t>ratio</w:t>
      </w:r>
      <w:r w:rsidRPr="00854C40">
        <w:rPr>
          <w:spacing w:val="-2"/>
        </w:rPr>
        <w:t xml:space="preserve"> </w:t>
      </w:r>
      <w:r w:rsidR="00015AD6" w:rsidRPr="00854C40">
        <w:rPr>
          <w:spacing w:val="-2"/>
        </w:rPr>
        <w:t xml:space="preserve">of any state in each year from </w:t>
      </w:r>
      <w:r w:rsidR="00870185">
        <w:rPr>
          <w:spacing w:val="-2"/>
        </w:rPr>
        <w:t>2020–21</w:t>
      </w:r>
      <w:r w:rsidR="00DC52A3" w:rsidRPr="00854C40">
        <w:rPr>
          <w:spacing w:val="-2"/>
        </w:rPr>
        <w:t xml:space="preserve"> until the end of the forward estimates period in </w:t>
      </w:r>
      <w:r w:rsidR="00854C40">
        <w:rPr>
          <w:spacing w:val="-2"/>
        </w:rPr>
        <w:t>2029–30</w:t>
      </w:r>
      <w:r w:rsidRPr="00854C40">
        <w:rPr>
          <w:spacing w:val="-2"/>
        </w:rPr>
        <w:t>.</w:t>
      </w:r>
    </w:p>
    <w:p w14:paraId="54619E81" w14:textId="2BDBB664" w:rsidR="007C0B53" w:rsidRDefault="007C0B53" w:rsidP="007C0B53">
      <w:pPr>
        <w:pStyle w:val="BodyText"/>
      </w:pPr>
      <w:r>
        <w:t>The existence of debt is not necessarily an issue – indeed</w:t>
      </w:r>
      <w:r w:rsidDel="003A02B6">
        <w:t xml:space="preserve"> </w:t>
      </w:r>
      <w:r>
        <w:t xml:space="preserve">it is often necessary </w:t>
      </w:r>
      <w:r w:rsidR="00003602">
        <w:t xml:space="preserve">and even economically desirable </w:t>
      </w:r>
      <w:r>
        <w:t xml:space="preserve">for </w:t>
      </w:r>
      <w:r w:rsidR="00003602">
        <w:t>a</w:t>
      </w:r>
      <w:r>
        <w:t xml:space="preserve"> government or government businesses to take on debt to, for example, improve infrastructure or provide </w:t>
      </w:r>
      <w:r w:rsidR="000A080A">
        <w:t>tem</w:t>
      </w:r>
      <w:r w:rsidR="00800B3B">
        <w:t xml:space="preserve">porary </w:t>
      </w:r>
      <w:r>
        <w:t xml:space="preserve">support during economic downturns. However, the compounding nature of debt </w:t>
      </w:r>
      <w:r w:rsidR="0032775B">
        <w:t xml:space="preserve">servicing </w:t>
      </w:r>
      <w:r>
        <w:t xml:space="preserve">costs also creates the risk that it will become unmanageable as it accumulates. As indicated in </w:t>
      </w:r>
      <w:r w:rsidRPr="00E527ED">
        <w:rPr>
          <w:i/>
        </w:rPr>
        <w:t>Tasmania’s Fiscal Sustainability Report</w:t>
      </w:r>
      <w:r>
        <w:t xml:space="preserve">: </w:t>
      </w:r>
    </w:p>
    <w:p w14:paraId="4D4D8717" w14:textId="433E9BF6" w:rsidR="004B4245" w:rsidRPr="004F7A80" w:rsidRDefault="007C0B53" w:rsidP="004F7A80">
      <w:pPr>
        <w:pStyle w:val="Quote"/>
      </w:pPr>
      <w:r w:rsidRPr="004F7A80">
        <w:t>… incurring debt to fund recurrent expenditure is not beneficial or sustainable in the long term. Servicing this type of debt negatively impacts the broader economy as it diverts revenue from other uses that could otherwise be used to maintain government service levels. (Government of Tasmania 2026, p. 10)</w:t>
      </w:r>
    </w:p>
    <w:p w14:paraId="6EA6B231" w14:textId="20676DED" w:rsidR="00F62F71" w:rsidRPr="006814C5" w:rsidRDefault="00002911" w:rsidP="00651DAE">
      <w:pPr>
        <w:pStyle w:val="BodyText"/>
        <w:rPr>
          <w:spacing w:val="-2"/>
        </w:rPr>
      </w:pPr>
      <w:r w:rsidRPr="006814C5">
        <w:rPr>
          <w:spacing w:val="-2"/>
        </w:rPr>
        <w:t xml:space="preserve">Growth in net debt is driven by </w:t>
      </w:r>
      <w:r w:rsidR="008F0FE2" w:rsidRPr="006814C5">
        <w:rPr>
          <w:spacing w:val="-2"/>
        </w:rPr>
        <w:t xml:space="preserve">shortfalls in states’ revenue relative to expenditures. </w:t>
      </w:r>
      <w:r w:rsidR="00B27365" w:rsidRPr="006814C5">
        <w:rPr>
          <w:spacing w:val="-2"/>
        </w:rPr>
        <w:t>Overall, e</w:t>
      </w:r>
      <w:r w:rsidR="007F7C91" w:rsidRPr="006814C5">
        <w:rPr>
          <w:spacing w:val="-2"/>
        </w:rPr>
        <w:t>xpenditure growth has outpaced r</w:t>
      </w:r>
      <w:r w:rsidR="008E033C" w:rsidRPr="006814C5">
        <w:rPr>
          <w:spacing w:val="-2"/>
        </w:rPr>
        <w:t xml:space="preserve">evenue growth, which has resulted in many states being in persistent deficit. </w:t>
      </w:r>
      <w:r w:rsidR="00F62F71" w:rsidRPr="006814C5">
        <w:rPr>
          <w:spacing w:val="-2"/>
        </w:rPr>
        <w:t xml:space="preserve">As a share of GDP, </w:t>
      </w:r>
      <w:r w:rsidR="00E607A7" w:rsidRPr="006814C5">
        <w:rPr>
          <w:spacing w:val="-2"/>
        </w:rPr>
        <w:t xml:space="preserve">total </w:t>
      </w:r>
      <w:r w:rsidR="00F62F71" w:rsidRPr="006814C5">
        <w:rPr>
          <w:spacing w:val="-2"/>
        </w:rPr>
        <w:t xml:space="preserve">state expenses have grown from 13.6% in </w:t>
      </w:r>
      <w:r w:rsidR="006814C5" w:rsidRPr="006814C5">
        <w:rPr>
          <w:spacing w:val="-2"/>
        </w:rPr>
        <w:t>2000–01</w:t>
      </w:r>
      <w:r w:rsidR="00F62F71" w:rsidRPr="006814C5">
        <w:rPr>
          <w:spacing w:val="-2"/>
        </w:rPr>
        <w:t xml:space="preserve"> to 14.7% in </w:t>
      </w:r>
      <w:r w:rsidR="004F7A80" w:rsidRPr="006814C5">
        <w:rPr>
          <w:spacing w:val="-2"/>
        </w:rPr>
        <w:t>2024–25</w:t>
      </w:r>
      <w:r w:rsidR="00F62F71" w:rsidRPr="006814C5">
        <w:rPr>
          <w:spacing w:val="-2"/>
        </w:rPr>
        <w:t xml:space="preserve">, </w:t>
      </w:r>
      <w:r w:rsidR="001067EA" w:rsidRPr="006814C5">
        <w:rPr>
          <w:spacing w:val="-2"/>
        </w:rPr>
        <w:t xml:space="preserve">and </w:t>
      </w:r>
      <w:r w:rsidR="00F62F71" w:rsidRPr="006814C5">
        <w:rPr>
          <w:spacing w:val="-2"/>
        </w:rPr>
        <w:t xml:space="preserve">this increases to 14.0% in </w:t>
      </w:r>
      <w:r w:rsidR="006814C5" w:rsidRPr="006814C5">
        <w:rPr>
          <w:spacing w:val="-2"/>
        </w:rPr>
        <w:t>2000–01</w:t>
      </w:r>
      <w:r w:rsidR="00F62F71" w:rsidRPr="006814C5">
        <w:rPr>
          <w:spacing w:val="-2"/>
        </w:rPr>
        <w:t xml:space="preserve"> to 16.1% in </w:t>
      </w:r>
      <w:r w:rsidR="004F7A80" w:rsidRPr="006814C5">
        <w:rPr>
          <w:spacing w:val="-2"/>
        </w:rPr>
        <w:t>2024–25</w:t>
      </w:r>
      <w:r w:rsidR="00F62F71" w:rsidRPr="006814C5">
        <w:rPr>
          <w:spacing w:val="-2"/>
        </w:rPr>
        <w:t xml:space="preserve"> when total expenditure is considered </w:t>
      </w:r>
      <w:r w:rsidR="00F62F71" w:rsidRPr="006814C5">
        <w:rPr>
          <w:rFonts w:cs="Open Sans"/>
          <w:spacing w:val="-2"/>
        </w:rPr>
        <w:t>(PC estimates using ABS 2025b, 2025a, unpublished data)</w:t>
      </w:r>
      <w:r w:rsidR="00F62F71" w:rsidRPr="006814C5">
        <w:rPr>
          <w:spacing w:val="-2"/>
        </w:rPr>
        <w:t>.</w:t>
      </w:r>
      <w:r w:rsidR="0081536B" w:rsidRPr="006814C5">
        <w:rPr>
          <w:rStyle w:val="FootnoteReference"/>
          <w:spacing w:val="-2"/>
        </w:rPr>
        <w:footnoteReference w:id="8"/>
      </w:r>
      <w:r w:rsidR="0081536B" w:rsidRPr="006814C5">
        <w:rPr>
          <w:spacing w:val="-2"/>
        </w:rPr>
        <w:t xml:space="preserve"> </w:t>
      </w:r>
      <w:r w:rsidR="00F62F71" w:rsidRPr="006814C5">
        <w:rPr>
          <w:spacing w:val="-2"/>
        </w:rPr>
        <w:t xml:space="preserve">By contrast, revenue growth has been significantly more limited, moving from 13.8% of GDP in </w:t>
      </w:r>
      <w:r w:rsidR="006814C5" w:rsidRPr="006814C5">
        <w:rPr>
          <w:spacing w:val="-2"/>
        </w:rPr>
        <w:t>2000–01</w:t>
      </w:r>
      <w:r w:rsidR="00F62F71" w:rsidRPr="006814C5">
        <w:rPr>
          <w:spacing w:val="-2"/>
        </w:rPr>
        <w:t xml:space="preserve"> to 14.4% in </w:t>
      </w:r>
      <w:r w:rsidR="004F7A80" w:rsidRPr="006814C5">
        <w:rPr>
          <w:spacing w:val="-2"/>
        </w:rPr>
        <w:t>2024–25</w:t>
      </w:r>
      <w:r w:rsidR="00F62F71" w:rsidRPr="006814C5">
        <w:rPr>
          <w:spacing w:val="-2"/>
        </w:rPr>
        <w:t xml:space="preserve"> </w:t>
      </w:r>
      <w:r w:rsidR="00F62F71" w:rsidRPr="006814C5">
        <w:rPr>
          <w:rFonts w:cs="Open Sans"/>
          <w:spacing w:val="-2"/>
        </w:rPr>
        <w:t>(PC estimates using ABS 2025b, 2025a, unpublished data)</w:t>
      </w:r>
      <w:r w:rsidR="00F62F71" w:rsidRPr="006814C5">
        <w:rPr>
          <w:spacing w:val="-2"/>
        </w:rPr>
        <w:t xml:space="preserve">. While population growth is one driver of increased state expenses, per capita expenses have also been increasing faster than revenue per capita. </w:t>
      </w:r>
      <w:r w:rsidR="00901365" w:rsidRPr="006814C5">
        <w:rPr>
          <w:spacing w:val="-2"/>
        </w:rPr>
        <w:t>Total s</w:t>
      </w:r>
      <w:r w:rsidR="00F62F71" w:rsidRPr="006814C5">
        <w:rPr>
          <w:spacing w:val="-2"/>
        </w:rPr>
        <w:t xml:space="preserve">tate expenditure per capita grew at an average of 1.8% each year (CAGR) between </w:t>
      </w:r>
      <w:r w:rsidR="006814C5" w:rsidRPr="006814C5">
        <w:rPr>
          <w:spacing w:val="-2"/>
        </w:rPr>
        <w:t>2000–01</w:t>
      </w:r>
      <w:r w:rsidR="00F62F71" w:rsidRPr="006814C5">
        <w:rPr>
          <w:spacing w:val="-2"/>
        </w:rPr>
        <w:t xml:space="preserve"> to </w:t>
      </w:r>
      <w:r w:rsidR="004F7A80" w:rsidRPr="006814C5">
        <w:rPr>
          <w:spacing w:val="-2"/>
        </w:rPr>
        <w:t>2024–25</w:t>
      </w:r>
      <w:r w:rsidR="00F62F71" w:rsidRPr="006814C5">
        <w:rPr>
          <w:spacing w:val="-2"/>
        </w:rPr>
        <w:t xml:space="preserve">, compared with only 1.3% per annum for </w:t>
      </w:r>
      <w:r w:rsidR="00547638" w:rsidRPr="006814C5">
        <w:rPr>
          <w:spacing w:val="-2"/>
        </w:rPr>
        <w:t xml:space="preserve">total state </w:t>
      </w:r>
      <w:r w:rsidR="00F62F71" w:rsidRPr="006814C5">
        <w:rPr>
          <w:spacing w:val="-2"/>
        </w:rPr>
        <w:t xml:space="preserve">revenue per capita over the same period (constant prices, </w:t>
      </w:r>
      <w:r w:rsidR="004F7A80" w:rsidRPr="006814C5">
        <w:rPr>
          <w:spacing w:val="-2"/>
        </w:rPr>
        <w:t>2024–25</w:t>
      </w:r>
      <w:r w:rsidR="00F62F71" w:rsidRPr="006814C5">
        <w:rPr>
          <w:spacing w:val="-2"/>
        </w:rPr>
        <w:t xml:space="preserve"> basis) </w:t>
      </w:r>
      <w:r w:rsidR="00D9183C" w:rsidRPr="006814C5">
        <w:rPr>
          <w:rFonts w:cs="Open Sans"/>
          <w:spacing w:val="-2"/>
        </w:rPr>
        <w:t>(PC</w:t>
      </w:r>
      <w:r w:rsidR="006814C5">
        <w:rPr>
          <w:rFonts w:cs="Open Sans"/>
          <w:spacing w:val="-2"/>
        </w:rPr>
        <w:t> </w:t>
      </w:r>
      <w:r w:rsidR="00D9183C" w:rsidRPr="006814C5">
        <w:rPr>
          <w:rFonts w:cs="Open Sans"/>
          <w:spacing w:val="-2"/>
        </w:rPr>
        <w:t>estimates using ABS 2025a, 2025c, unpublished data)</w:t>
      </w:r>
      <w:r w:rsidR="00F62F71" w:rsidRPr="006814C5">
        <w:rPr>
          <w:spacing w:val="-2"/>
        </w:rPr>
        <w:t xml:space="preserve">. </w:t>
      </w:r>
    </w:p>
    <w:p w14:paraId="0623DD19" w14:textId="0FF7DFDB" w:rsidR="007F18D0" w:rsidRPr="007F18D0" w:rsidRDefault="00425BB8" w:rsidP="00F62F71">
      <w:pPr>
        <w:pStyle w:val="BodyText"/>
        <w:rPr>
          <w:rFonts w:cs="Arial"/>
          <w:color w:val="000000"/>
        </w:rPr>
      </w:pPr>
      <w:r>
        <w:rPr>
          <w:rFonts w:cs="Arial"/>
          <w:color w:val="000000"/>
        </w:rPr>
        <w:t xml:space="preserve">The higher relative growth of state expenditures against revenue can be seen </w:t>
      </w:r>
      <w:r w:rsidR="006409C0">
        <w:rPr>
          <w:rFonts w:cs="Arial"/>
          <w:color w:val="000000"/>
        </w:rPr>
        <w:t>when examining states</w:t>
      </w:r>
      <w:r w:rsidR="002D3285">
        <w:rPr>
          <w:rFonts w:cs="Arial"/>
          <w:color w:val="000000"/>
        </w:rPr>
        <w:t>’</w:t>
      </w:r>
      <w:r w:rsidR="006409C0">
        <w:rPr>
          <w:rFonts w:cs="Arial"/>
          <w:color w:val="000000"/>
        </w:rPr>
        <w:t xml:space="preserve"> net operating</w:t>
      </w:r>
      <w:r w:rsidR="002D3285">
        <w:rPr>
          <w:rFonts w:cs="Arial"/>
          <w:color w:val="000000"/>
        </w:rPr>
        <w:t xml:space="preserve"> and fiscal</w:t>
      </w:r>
      <w:r w:rsidR="006409C0">
        <w:rPr>
          <w:rFonts w:cs="Arial"/>
          <w:color w:val="000000"/>
        </w:rPr>
        <w:t xml:space="preserve"> balance</w:t>
      </w:r>
      <w:r w:rsidR="002D3285">
        <w:rPr>
          <w:rFonts w:cs="Arial"/>
          <w:color w:val="000000"/>
        </w:rPr>
        <w:t>s</w:t>
      </w:r>
      <w:r w:rsidR="006A507F">
        <w:rPr>
          <w:rFonts w:cs="Arial"/>
          <w:color w:val="000000"/>
        </w:rPr>
        <w:t xml:space="preserve"> (figure </w:t>
      </w:r>
      <w:r w:rsidR="00EC6025">
        <w:rPr>
          <w:rFonts w:cs="Arial"/>
          <w:color w:val="000000"/>
        </w:rPr>
        <w:t>D.3</w:t>
      </w:r>
      <w:r w:rsidR="006A507F">
        <w:rPr>
          <w:rFonts w:cs="Arial"/>
          <w:color w:val="000000"/>
        </w:rPr>
        <w:t xml:space="preserve">). A state’s net operating balance </w:t>
      </w:r>
      <w:r w:rsidR="008E033C">
        <w:rPr>
          <w:rFonts w:cs="Arial"/>
          <w:color w:val="000000"/>
        </w:rPr>
        <w:t xml:space="preserve">reflects </w:t>
      </w:r>
      <w:r w:rsidR="006A507F">
        <w:rPr>
          <w:rFonts w:cs="Arial"/>
          <w:color w:val="000000"/>
        </w:rPr>
        <w:t>its</w:t>
      </w:r>
      <w:r w:rsidR="008E033C" w:rsidRPr="00D80FD0">
        <w:rPr>
          <w:rFonts w:cs="Arial"/>
          <w:color w:val="000000"/>
        </w:rPr>
        <w:t xml:space="preserve"> capacity to finance the current level of services</w:t>
      </w:r>
      <w:r w:rsidR="008E033C">
        <w:rPr>
          <w:rFonts w:cs="Arial"/>
          <w:color w:val="000000"/>
        </w:rPr>
        <w:t>, absent any changes to capital investment, each year</w:t>
      </w:r>
      <w:r w:rsidR="008E033C" w:rsidRPr="00D80FD0">
        <w:rPr>
          <w:rFonts w:cs="Arial"/>
          <w:color w:val="000000"/>
        </w:rPr>
        <w:t xml:space="preserve">. </w:t>
      </w:r>
      <w:r w:rsidR="007F18D0" w:rsidRPr="007F18D0">
        <w:rPr>
          <w:rFonts w:cs="Arial"/>
          <w:color w:val="000000"/>
        </w:rPr>
        <w:t xml:space="preserve">A positive </w:t>
      </w:r>
      <w:r w:rsidR="0016308C">
        <w:rPr>
          <w:rFonts w:cs="Arial"/>
          <w:color w:val="000000"/>
        </w:rPr>
        <w:t xml:space="preserve">operating </w:t>
      </w:r>
      <w:r w:rsidR="007F18D0" w:rsidRPr="007F18D0">
        <w:rPr>
          <w:rFonts w:cs="Arial"/>
          <w:color w:val="000000"/>
        </w:rPr>
        <w:t xml:space="preserve">balance (surplus) indicates that revenue exceeds the cost of providing services, whereas a negative </w:t>
      </w:r>
      <w:r w:rsidR="0016308C">
        <w:rPr>
          <w:rFonts w:cs="Arial"/>
          <w:color w:val="000000"/>
        </w:rPr>
        <w:t xml:space="preserve">operating </w:t>
      </w:r>
      <w:r w:rsidR="007F18D0" w:rsidRPr="007F18D0">
        <w:rPr>
          <w:rFonts w:cs="Arial"/>
          <w:color w:val="000000"/>
        </w:rPr>
        <w:t xml:space="preserve">balance (deficit) indicates that recurring operating costs exceed revenue and must </w:t>
      </w:r>
      <w:r w:rsidR="007F18D0" w:rsidRPr="007F18D0">
        <w:rPr>
          <w:rFonts w:cs="Arial"/>
          <w:color w:val="000000"/>
        </w:rPr>
        <w:lastRenderedPageBreak/>
        <w:t>be financed through borrowing, existing cash reserves or other funding sources.</w:t>
      </w:r>
      <w:r w:rsidR="00B27365">
        <w:rPr>
          <w:rFonts w:cs="Arial"/>
          <w:color w:val="000000"/>
        </w:rPr>
        <w:t xml:space="preserve"> The fiscal balance adds the net acquisition of non-financial assets (</w:t>
      </w:r>
      <w:proofErr w:type="spellStart"/>
      <w:r w:rsidR="00B27365">
        <w:rPr>
          <w:rFonts w:cs="Arial"/>
          <w:color w:val="000000"/>
        </w:rPr>
        <w:t>NAoNFA</w:t>
      </w:r>
      <w:proofErr w:type="spellEnd"/>
      <w:r w:rsidR="00B27365">
        <w:rPr>
          <w:rFonts w:cs="Arial"/>
          <w:color w:val="000000"/>
        </w:rPr>
        <w:t>) to operating expenses, reflecting the amount government would need to fund all its activities.</w:t>
      </w:r>
    </w:p>
    <w:p w14:paraId="1D41FDC7" w14:textId="2E764E43" w:rsidR="00B27365" w:rsidRPr="00E6132C" w:rsidRDefault="00B27365" w:rsidP="00B27365">
      <w:pPr>
        <w:rPr>
          <w:rFonts w:cs="Arial"/>
          <w:color w:val="000000"/>
          <w:spacing w:val="-2"/>
        </w:rPr>
      </w:pPr>
      <w:r w:rsidRPr="00E6132C">
        <w:rPr>
          <w:rFonts w:cs="Arial"/>
          <w:color w:val="000000"/>
          <w:spacing w:val="-2"/>
        </w:rPr>
        <w:t xml:space="preserve">Operating deficits may be of more concern than fiscal deficits, because they indicate that revenue is not sufficient to meet recurring expenses. Fiscal deficits may reflect investments in non-financial assets (such as infrastructure investments) that are expected to yield economic or social benefits into the future. </w:t>
      </w:r>
    </w:p>
    <w:p w14:paraId="15C02FC7" w14:textId="6CDA378A" w:rsidR="008E033C" w:rsidRPr="00146382" w:rsidRDefault="008E033C" w:rsidP="008E033C">
      <w:pPr>
        <w:pStyle w:val="FigureTableHeading"/>
      </w:pPr>
      <w:r>
        <w:t xml:space="preserve">Figure </w:t>
      </w:r>
      <w:r w:rsidR="00EC6025">
        <w:rPr>
          <w:noProof/>
        </w:rPr>
        <w:t>D</w:t>
      </w:r>
      <w:r>
        <w:t>.</w:t>
      </w:r>
      <w:r w:rsidR="00EC6025">
        <w:rPr>
          <w:noProof/>
        </w:rPr>
        <w:t>3</w:t>
      </w:r>
      <w:r>
        <w:rPr>
          <w:noProof/>
        </w:rPr>
        <w:t xml:space="preserve"> </w:t>
      </w:r>
      <w:r>
        <w:t xml:space="preserve">– </w:t>
      </w:r>
      <w:r w:rsidR="004C0EB0">
        <w:t xml:space="preserve">With the exception of </w:t>
      </w:r>
      <w:r w:rsidR="002B1898">
        <w:t>Western Australia</w:t>
      </w:r>
      <w:r w:rsidR="00143255">
        <w:t xml:space="preserve">, </w:t>
      </w:r>
      <w:r w:rsidR="00F07BFA">
        <w:t xml:space="preserve">all </w:t>
      </w:r>
      <w:r w:rsidR="00143255">
        <w:t xml:space="preserve">states’ </w:t>
      </w:r>
      <w:r w:rsidR="0097667B">
        <w:t xml:space="preserve">fiscal </w:t>
      </w:r>
      <w:r w:rsidR="00143255">
        <w:t>balances</w:t>
      </w:r>
      <w:r w:rsidR="007D559F">
        <w:t xml:space="preserve"> </w:t>
      </w:r>
      <w:r w:rsidR="00F07BFA">
        <w:t xml:space="preserve">have </w:t>
      </w:r>
      <w:r w:rsidR="007D559F">
        <w:t>deteriorat</w:t>
      </w:r>
      <w:r w:rsidR="00F95126">
        <w:t xml:space="preserve">ed from </w:t>
      </w:r>
      <w:r w:rsidR="006814C5">
        <w:t>2000–01</w:t>
      </w:r>
      <w:r w:rsidR="00F07BFA">
        <w:t>, as have most states’ net operating balances</w:t>
      </w:r>
    </w:p>
    <w:p w14:paraId="08F5AEF3" w14:textId="5DCAF809" w:rsidR="008E033C" w:rsidRDefault="008E033C" w:rsidP="008E033C">
      <w:pPr>
        <w:pStyle w:val="FigureTableSubheading"/>
        <w:keepLines/>
      </w:pPr>
      <w:r>
        <w:t xml:space="preserve">GG, </w:t>
      </w:r>
      <w:r w:rsidR="009C2739">
        <w:t xml:space="preserve">net operating and </w:t>
      </w:r>
      <w:r>
        <w:t>fiscal balance as a % of total revenue, constant prices (</w:t>
      </w:r>
      <w:r w:rsidR="004F7A80">
        <w:t>2024–25</w:t>
      </w:r>
      <w:r>
        <w:t xml:space="preserve"> basis)</w:t>
      </w:r>
    </w:p>
    <w:p w14:paraId="7A62242E" w14:textId="1871B30A" w:rsidR="003C359F" w:rsidRDefault="005D23A4" w:rsidP="00027375">
      <w:pPr>
        <w:pStyle w:val="Source"/>
      </w:pPr>
      <w:r w:rsidRPr="005D23A4">
        <w:rPr>
          <w:noProof/>
        </w:rPr>
        <w:drawing>
          <wp:inline distT="0" distB="0" distL="0" distR="0" wp14:anchorId="5AFB1DFD" wp14:editId="4EBD712E">
            <wp:extent cx="6120130" cy="5788025"/>
            <wp:effectExtent l="0" t="0" r="0" b="0"/>
            <wp:docPr id="1946626406" name="Picture 22" descr="Figure D.3 – a panel chart, with a panel per state. Each panel has a line chart reflecting the net operating balance and the fiscal balance as a percentage of revenue from 2000-01 to 2024-25. With the exception of Western Australia, all states’ fiscal balances have deteriorated from 2000-01, as have most states’ net operating bal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26406" name="Picture 22" descr="Figure D.3 – a panel chart, with a panel per state. Each panel has a line chart reflecting the net operating balance and the fiscal balance as a percentage of revenue from 2000-01 to 2024-25. With the exception of Western Australia, all states’ fiscal balances have deteriorated from 2000-01, as have most states’ net operating balanc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5788025"/>
                    </a:xfrm>
                    <a:prstGeom prst="rect">
                      <a:avLst/>
                    </a:prstGeom>
                    <a:noFill/>
                    <a:ln>
                      <a:noFill/>
                    </a:ln>
                  </pic:spPr>
                </pic:pic>
              </a:graphicData>
            </a:graphic>
          </wp:inline>
        </w:drawing>
      </w:r>
    </w:p>
    <w:p w14:paraId="318619B2" w14:textId="77777777" w:rsidR="00E6132C" w:rsidRDefault="003C359F" w:rsidP="00870185">
      <w:pPr>
        <w:pStyle w:val="Note"/>
        <w:rPr>
          <w:szCs w:val="22"/>
        </w:rPr>
      </w:pPr>
      <w:r>
        <w:t xml:space="preserve">Constant prices </w:t>
      </w:r>
      <w:r w:rsidRPr="000046D0">
        <w:t>calculated using implicit price deflator of GDP</w:t>
      </w:r>
      <w:r>
        <w:t>.</w:t>
      </w:r>
    </w:p>
    <w:p w14:paraId="43F889E8" w14:textId="5D055B22" w:rsidR="00F95126" w:rsidRPr="000851F0" w:rsidRDefault="008E033C" w:rsidP="00ED5D79">
      <w:pPr>
        <w:pStyle w:val="Source"/>
      </w:pPr>
      <w:r w:rsidRPr="00696447">
        <w:t xml:space="preserve">Source: </w:t>
      </w:r>
      <w:r w:rsidR="00C3250B" w:rsidRPr="00621391">
        <w:t xml:space="preserve">PC estimates using ABS </w:t>
      </w:r>
      <w:r w:rsidR="00C3250B" w:rsidRPr="00A00660">
        <w:t>(2025a, unpublished data)</w:t>
      </w:r>
      <w:r w:rsidR="004119A2">
        <w:t>.</w:t>
      </w:r>
    </w:p>
    <w:p w14:paraId="169FA39C" w14:textId="0FDEB209" w:rsidR="00812C18" w:rsidRDefault="00812C18" w:rsidP="00812C18">
      <w:pPr>
        <w:rPr>
          <w:rFonts w:cs="Arial"/>
          <w:color w:val="000000"/>
        </w:rPr>
      </w:pPr>
      <w:r>
        <w:rPr>
          <w:rFonts w:cs="Arial"/>
          <w:color w:val="000000"/>
        </w:rPr>
        <w:lastRenderedPageBreak/>
        <w:t xml:space="preserve">As the fiscal balance includes all state expenditure, a negative fiscal balance </w:t>
      </w:r>
      <w:proofErr w:type="gramStart"/>
      <w:r>
        <w:rPr>
          <w:rFonts w:cs="Arial"/>
          <w:color w:val="000000"/>
        </w:rPr>
        <w:t>in a given year</w:t>
      </w:r>
      <w:proofErr w:type="gramEnd"/>
      <w:r>
        <w:rPr>
          <w:rFonts w:cs="Arial"/>
          <w:color w:val="000000"/>
        </w:rPr>
        <w:t xml:space="preserve"> indicates the amount a state would have to borrow to make up the shortfall. Therefore, states’ fiscal balances over time provide context for their growing net debt (figure D.2). Assessing states’ operating and fiscal balances as a proportion of revenue indicates the scale of deficits or surpluses, given states’ available revenue bases. All states apart from Western Australia have larger fiscal deficits as a proportion of revenue in </w:t>
      </w:r>
      <w:r w:rsidR="004F7A80">
        <w:rPr>
          <w:rFonts w:cs="Arial"/>
          <w:color w:val="000000"/>
        </w:rPr>
        <w:t>2024–25</w:t>
      </w:r>
      <w:r>
        <w:rPr>
          <w:rFonts w:cs="Arial"/>
          <w:color w:val="000000"/>
        </w:rPr>
        <w:t xml:space="preserve"> than they did in </w:t>
      </w:r>
      <w:r w:rsidR="006814C5">
        <w:rPr>
          <w:rFonts w:cs="Arial"/>
          <w:color w:val="000000"/>
        </w:rPr>
        <w:t>2000–01</w:t>
      </w:r>
      <w:r>
        <w:rPr>
          <w:rFonts w:cs="Arial"/>
          <w:color w:val="000000"/>
        </w:rPr>
        <w:t xml:space="preserve"> (figure D.3). </w:t>
      </w:r>
    </w:p>
    <w:p w14:paraId="610F77F2" w14:textId="330A66A7" w:rsidR="00812C18" w:rsidRPr="008D1775" w:rsidRDefault="00812C18" w:rsidP="003817A2">
      <w:pPr>
        <w:rPr>
          <w:rFonts w:cs="Arial"/>
          <w:color w:val="000000"/>
        </w:rPr>
      </w:pPr>
      <w:r>
        <w:rPr>
          <w:rFonts w:cs="Arial"/>
          <w:color w:val="000000"/>
        </w:rPr>
        <w:t xml:space="preserve">Comparing net operating balance and fiscal balance reflects the impact of the </w:t>
      </w:r>
      <w:proofErr w:type="spellStart"/>
      <w:r>
        <w:rPr>
          <w:rFonts w:cs="Arial"/>
          <w:color w:val="000000"/>
        </w:rPr>
        <w:t>NAoNFA</w:t>
      </w:r>
      <w:proofErr w:type="spellEnd"/>
      <w:r>
        <w:rPr>
          <w:rFonts w:cs="Arial"/>
          <w:color w:val="000000"/>
        </w:rPr>
        <w:t xml:space="preserve"> on states’ spending positions. From </w:t>
      </w:r>
      <w:r w:rsidR="006814C5">
        <w:rPr>
          <w:rFonts w:cs="Arial"/>
          <w:color w:val="000000"/>
        </w:rPr>
        <w:t>2000–01</w:t>
      </w:r>
      <w:r>
        <w:rPr>
          <w:rFonts w:cs="Arial"/>
          <w:color w:val="000000"/>
        </w:rPr>
        <w:t xml:space="preserve"> to </w:t>
      </w:r>
      <w:r w:rsidR="004F7A80">
        <w:rPr>
          <w:rFonts w:cs="Arial"/>
          <w:color w:val="000000"/>
        </w:rPr>
        <w:t>2024–25</w:t>
      </w:r>
      <w:r>
        <w:rPr>
          <w:rFonts w:cs="Arial"/>
          <w:color w:val="000000"/>
        </w:rPr>
        <w:t xml:space="preserve">, for most states, the inclusion of </w:t>
      </w:r>
      <w:proofErr w:type="spellStart"/>
      <w:r>
        <w:rPr>
          <w:rFonts w:cs="Arial"/>
          <w:color w:val="000000"/>
        </w:rPr>
        <w:t>NAoNFA</w:t>
      </w:r>
      <w:proofErr w:type="spellEnd"/>
      <w:r>
        <w:rPr>
          <w:rFonts w:cs="Arial"/>
          <w:color w:val="000000"/>
        </w:rPr>
        <w:t xml:space="preserve"> increases their deficits, as asset acquisitions are greater than asset disposals. This is particularly significant for states that engaged in large capital investments throughout the period, such as Victoria, </w:t>
      </w:r>
      <w:r w:rsidRPr="00B53398">
        <w:rPr>
          <w:rFonts w:cs="Arial"/>
          <w:color w:val="000000"/>
        </w:rPr>
        <w:t xml:space="preserve">where the fiscal balance </w:t>
      </w:r>
      <w:r>
        <w:rPr>
          <w:rFonts w:cs="Arial"/>
          <w:color w:val="000000"/>
        </w:rPr>
        <w:t>(</w:t>
      </w:r>
      <w:r w:rsidRPr="00B53398">
        <w:rPr>
          <w:rFonts w:cs="Arial"/>
          <w:color w:val="000000"/>
        </w:rPr>
        <w:t>as a % of revenue</w:t>
      </w:r>
      <w:r>
        <w:rPr>
          <w:rFonts w:cs="Arial"/>
          <w:color w:val="000000"/>
        </w:rPr>
        <w:t>)</w:t>
      </w:r>
      <w:r w:rsidRPr="00B53398">
        <w:rPr>
          <w:rFonts w:cs="Arial"/>
          <w:color w:val="000000"/>
        </w:rPr>
        <w:t xml:space="preserve"> was 14 percentage points lower than the net operating balance </w:t>
      </w:r>
      <w:r>
        <w:rPr>
          <w:rFonts w:cs="Arial"/>
          <w:color w:val="000000"/>
        </w:rPr>
        <w:t>(</w:t>
      </w:r>
      <w:r w:rsidRPr="00B53398">
        <w:rPr>
          <w:rFonts w:cs="Arial"/>
          <w:color w:val="000000"/>
        </w:rPr>
        <w:t>as a % of revenue</w:t>
      </w:r>
      <w:r>
        <w:rPr>
          <w:rFonts w:cs="Arial"/>
          <w:color w:val="000000"/>
        </w:rPr>
        <w:t>)</w:t>
      </w:r>
      <w:r w:rsidRPr="00B53398">
        <w:rPr>
          <w:rFonts w:cs="Arial"/>
          <w:color w:val="000000"/>
        </w:rPr>
        <w:t xml:space="preserve"> in </w:t>
      </w:r>
      <w:r w:rsidR="004F7A80">
        <w:rPr>
          <w:rFonts w:cs="Arial"/>
          <w:color w:val="000000"/>
        </w:rPr>
        <w:t>2024–25</w:t>
      </w:r>
      <w:r>
        <w:rPr>
          <w:rFonts w:cs="Arial"/>
          <w:color w:val="000000"/>
        </w:rPr>
        <w:t xml:space="preserve">. In </w:t>
      </w:r>
      <w:r w:rsidR="004F7A80">
        <w:rPr>
          <w:rFonts w:cs="Arial"/>
          <w:color w:val="000000"/>
        </w:rPr>
        <w:t>2024–25</w:t>
      </w:r>
      <w:r>
        <w:rPr>
          <w:rFonts w:cs="Arial"/>
          <w:color w:val="000000"/>
        </w:rPr>
        <w:t xml:space="preserve">, both New South Wales and South Australia had a net operating balance-to-revenue of approximately zero, which would be considered a ‘balanced’ </w:t>
      </w:r>
      <w:r w:rsidR="001B45E3">
        <w:rPr>
          <w:rFonts w:cs="Arial"/>
          <w:color w:val="000000"/>
        </w:rPr>
        <w:t xml:space="preserve">operating </w:t>
      </w:r>
      <w:r>
        <w:rPr>
          <w:rFonts w:cs="Arial"/>
          <w:color w:val="000000"/>
        </w:rPr>
        <w:t xml:space="preserve">budget. However, once </w:t>
      </w:r>
      <w:proofErr w:type="spellStart"/>
      <w:r>
        <w:rPr>
          <w:rFonts w:cs="Arial"/>
          <w:color w:val="000000"/>
        </w:rPr>
        <w:t>NAoNFA</w:t>
      </w:r>
      <w:proofErr w:type="spellEnd"/>
      <w:r>
        <w:rPr>
          <w:rFonts w:cs="Arial"/>
          <w:color w:val="000000"/>
        </w:rPr>
        <w:t xml:space="preserve"> is considered, both </w:t>
      </w:r>
      <w:r w:rsidR="001B45E3">
        <w:rPr>
          <w:rFonts w:cs="Arial"/>
          <w:color w:val="000000"/>
        </w:rPr>
        <w:t xml:space="preserve">states </w:t>
      </w:r>
      <w:r>
        <w:rPr>
          <w:rFonts w:cs="Arial"/>
          <w:color w:val="000000"/>
        </w:rPr>
        <w:t xml:space="preserve">are in deficit </w:t>
      </w:r>
      <w:r w:rsidRPr="000F1CB5">
        <w:rPr>
          <w:rFonts w:cs="Open Sans"/>
        </w:rPr>
        <w:t>(PC estimates using ABS 2025a, unpublished data)</w:t>
      </w:r>
      <w:r>
        <w:rPr>
          <w:rFonts w:cs="Arial"/>
          <w:color w:val="000000"/>
        </w:rPr>
        <w:t xml:space="preserve">. </w:t>
      </w:r>
    </w:p>
    <w:p w14:paraId="55FD8B56" w14:textId="71824F6E" w:rsidR="00624990" w:rsidRPr="008B20B8" w:rsidRDefault="00304EA4" w:rsidP="008B20B8">
      <w:pPr>
        <w:pStyle w:val="Heading3"/>
      </w:pPr>
      <w:r w:rsidRPr="008B20B8">
        <w:t>State e</w:t>
      </w:r>
      <w:r w:rsidR="00624990" w:rsidRPr="008B20B8">
        <w:t>xpenses are growing rapidly</w:t>
      </w:r>
      <w:r w:rsidR="00014E82" w:rsidRPr="008B20B8">
        <w:t>, putting pressure on most states’ fiscal positions</w:t>
      </w:r>
    </w:p>
    <w:p w14:paraId="0FFEFA08" w14:textId="7B0A771E" w:rsidR="003C7BD7" w:rsidRDefault="00F26726" w:rsidP="003C7BD7">
      <w:pPr>
        <w:pStyle w:val="BodyText"/>
      </w:pPr>
      <w:r w:rsidRPr="00F26726">
        <w:t xml:space="preserve">From </w:t>
      </w:r>
      <w:r w:rsidR="006814C5">
        <w:t>2000–01</w:t>
      </w:r>
      <w:r w:rsidRPr="00F26726">
        <w:t xml:space="preserve"> to </w:t>
      </w:r>
      <w:r w:rsidR="004F7A80">
        <w:t>2024–25</w:t>
      </w:r>
      <w:r w:rsidRPr="00F26726">
        <w:t xml:space="preserve">, total state expenditure grew faster than </w:t>
      </w:r>
      <w:r w:rsidR="004E7E41">
        <w:t xml:space="preserve">total </w:t>
      </w:r>
      <w:r w:rsidRPr="00F26726">
        <w:t>revenue</w:t>
      </w:r>
      <w:r>
        <w:t xml:space="preserve"> </w:t>
      </w:r>
      <w:r w:rsidR="00792B98" w:rsidRPr="000F1CB5">
        <w:rPr>
          <w:rFonts w:cs="Open Sans"/>
        </w:rPr>
        <w:t>(PC estimates using ABS 2025a, unpublished data)</w:t>
      </w:r>
      <w:r>
        <w:t>.</w:t>
      </w:r>
      <w:r w:rsidR="002E7A6F">
        <w:t xml:space="preserve"> The resulting deterioration in most states’ net operating balances </w:t>
      </w:r>
      <w:r w:rsidR="00DC6A0C">
        <w:t xml:space="preserve">has been </w:t>
      </w:r>
      <w:r w:rsidR="002E7A6F">
        <w:t xml:space="preserve">driven largely by </w:t>
      </w:r>
      <w:r w:rsidR="009419E8">
        <w:t xml:space="preserve">steady growth in expenses </w:t>
      </w:r>
      <w:r w:rsidR="00D6652A" w:rsidRPr="00142441">
        <w:t>(PBO 2025b, p. 4)</w:t>
      </w:r>
      <w:r w:rsidR="00DC6A0C" w:rsidRPr="000A39F9">
        <w:t>.</w:t>
      </w:r>
      <w:r w:rsidR="00DC6A0C">
        <w:t xml:space="preserve"> </w:t>
      </w:r>
      <w:r w:rsidR="005F75E1" w:rsidRPr="005F75E1">
        <w:t>Total expenditure per capita has generally trended upward</w:t>
      </w:r>
      <w:r w:rsidR="004619C2">
        <w:t xml:space="preserve"> for all states</w:t>
      </w:r>
      <w:r w:rsidR="005F75E1" w:rsidRPr="005F75E1">
        <w:t>,</w:t>
      </w:r>
      <w:r w:rsidR="00DC6A0C">
        <w:t xml:space="preserve"> but </w:t>
      </w:r>
      <w:r w:rsidR="005F75E1" w:rsidRPr="005F75E1">
        <w:t>growth has been uneven</w:t>
      </w:r>
      <w:r w:rsidR="00DC6A0C">
        <w:t xml:space="preserve">, with </w:t>
      </w:r>
      <w:r w:rsidR="003C7BD7">
        <w:t xml:space="preserve">notable spikes in spending in response to the </w:t>
      </w:r>
      <w:r w:rsidR="003C7BD7" w:rsidRPr="00921DAC">
        <w:t xml:space="preserve">Global Financial Crisis around 2009-10 and </w:t>
      </w:r>
      <w:r w:rsidR="00761305">
        <w:t>the COVID-19</w:t>
      </w:r>
      <w:r w:rsidR="003C7BD7" w:rsidRPr="00921DAC">
        <w:t xml:space="preserve"> pandemic during </w:t>
      </w:r>
      <w:r w:rsidR="00870185">
        <w:t>2020–21</w:t>
      </w:r>
      <w:r w:rsidR="003C7BD7" w:rsidRPr="00921DAC">
        <w:t xml:space="preserve"> and </w:t>
      </w:r>
      <w:r w:rsidR="00870185">
        <w:t>2021–22</w:t>
      </w:r>
      <w:r w:rsidR="00DC6A0C">
        <w:t xml:space="preserve"> (figure </w:t>
      </w:r>
      <w:r w:rsidR="00EC6025">
        <w:t>D.4</w:t>
      </w:r>
      <w:r w:rsidR="00DC6A0C">
        <w:t>)</w:t>
      </w:r>
      <w:r w:rsidR="003C7BD7">
        <w:t xml:space="preserve">. </w:t>
      </w:r>
    </w:p>
    <w:p w14:paraId="71F49AF2" w14:textId="0B4F7A1C" w:rsidR="00812C18" w:rsidRDefault="00812C18" w:rsidP="00812C18">
      <w:pPr>
        <w:rPr>
          <w:rFonts w:eastAsia="Times New Roman"/>
        </w:rPr>
      </w:pPr>
      <w:r w:rsidRPr="00921DAC">
        <w:t>The A</w:t>
      </w:r>
      <w:r>
        <w:t>ustralian Capital Territory</w:t>
      </w:r>
      <w:r w:rsidRPr="00921DAC">
        <w:t xml:space="preserve"> and the Northern Territory have consistently above-average expenditure profiles (figure </w:t>
      </w:r>
      <w:r>
        <w:t>D.4</w:t>
      </w:r>
      <w:r w:rsidRPr="00921DAC">
        <w:t xml:space="preserve">). Both are small jurisdictions which may not benefit from economies of scale. The ACT government is also </w:t>
      </w:r>
      <w:r>
        <w:t xml:space="preserve">unique </w:t>
      </w:r>
      <w:r w:rsidRPr="00921DAC">
        <w:t xml:space="preserve">in that it performs the functions of a local government, limiting direct comparisons to other state governments. The variation in the </w:t>
      </w:r>
      <w:r>
        <w:t>Northern Territory’s</w:t>
      </w:r>
      <w:r w:rsidRPr="00921DAC">
        <w:t xml:space="preserve"> expenditure is linked to its structural characteristics, such as a high proportion of remote </w:t>
      </w:r>
      <w:r>
        <w:t>residents</w:t>
      </w:r>
      <w:r w:rsidRPr="00921DAC">
        <w:t>, which significantly increase the costs of service delivery.</w:t>
      </w:r>
      <w:r>
        <w:t xml:space="preserve"> It is accepted that states </w:t>
      </w:r>
      <w:r w:rsidRPr="00921DAC">
        <w:t>with widely dispersed populations or higher proportions of vulnerable groups, such as older Australians or those in remote communities</w:t>
      </w:r>
      <w:r>
        <w:t>,</w:t>
      </w:r>
      <w:r w:rsidRPr="00921DAC">
        <w:t xml:space="preserve"> face significantly elevated per-capita costs to provide critical services like healthcare (Qld sub</w:t>
      </w:r>
      <w:r w:rsidR="003C4F21">
        <w:t>.</w:t>
      </w:r>
      <w:r w:rsidRPr="00921DAC">
        <w:t xml:space="preserve">, p. 44; </w:t>
      </w:r>
      <w:r w:rsidRPr="00921DAC">
        <w:rPr>
          <w:rFonts w:eastAsia="Times New Roman"/>
        </w:rPr>
        <w:t>NSW sub, p. 21</w:t>
      </w:r>
      <w:r w:rsidRPr="00921DAC">
        <w:t>).</w:t>
      </w:r>
      <w:r>
        <w:rPr>
          <w:rFonts w:eastAsia="Times New Roman"/>
        </w:rPr>
        <w:t xml:space="preserve"> </w:t>
      </w:r>
    </w:p>
    <w:p w14:paraId="465B4959" w14:textId="7AD2C101" w:rsidR="003F0E25" w:rsidRPr="00930D89" w:rsidRDefault="003F0E25" w:rsidP="003F0E25">
      <w:pPr>
        <w:pStyle w:val="FigureTableHeading"/>
        <w:rPr>
          <w:color w:val="auto"/>
        </w:rPr>
      </w:pPr>
      <w:r w:rsidRPr="00930D89">
        <w:rPr>
          <w:color w:val="auto"/>
        </w:rPr>
        <w:lastRenderedPageBreak/>
        <w:t xml:space="preserve">Figure </w:t>
      </w:r>
      <w:r w:rsidR="00EC6025" w:rsidRPr="00930D89">
        <w:rPr>
          <w:color w:val="auto"/>
        </w:rPr>
        <w:t>D</w:t>
      </w:r>
      <w:r w:rsidRPr="00930D89">
        <w:rPr>
          <w:color w:val="auto"/>
        </w:rPr>
        <w:t>.</w:t>
      </w:r>
      <w:r w:rsidR="00EC6025" w:rsidRPr="00930D89">
        <w:rPr>
          <w:color w:val="auto"/>
        </w:rPr>
        <w:t>4</w:t>
      </w:r>
      <w:r w:rsidRPr="00930D89">
        <w:rPr>
          <w:color w:val="auto"/>
        </w:rPr>
        <w:t xml:space="preserve"> – </w:t>
      </w:r>
      <w:r w:rsidR="00D32AAE" w:rsidRPr="00930D89">
        <w:rPr>
          <w:color w:val="auto"/>
        </w:rPr>
        <w:t xml:space="preserve">Per capita expenditure has grown </w:t>
      </w:r>
      <w:r w:rsidR="00404BF0" w:rsidRPr="00930D89">
        <w:rPr>
          <w:color w:val="auto"/>
        </w:rPr>
        <w:t>for all states</w:t>
      </w:r>
      <w:r w:rsidR="00BC7D0A" w:rsidRPr="00930D89">
        <w:rPr>
          <w:color w:val="auto"/>
        </w:rPr>
        <w:t xml:space="preserve"> </w:t>
      </w:r>
      <w:r w:rsidR="00D32AAE" w:rsidRPr="00930D89">
        <w:rPr>
          <w:color w:val="auto"/>
        </w:rPr>
        <w:t xml:space="preserve">since </w:t>
      </w:r>
      <w:r w:rsidR="006814C5">
        <w:rPr>
          <w:color w:val="auto"/>
        </w:rPr>
        <w:t>2000–01</w:t>
      </w:r>
      <w:r w:rsidRPr="00930D89">
        <w:rPr>
          <w:color w:val="auto"/>
        </w:rPr>
        <w:t xml:space="preserve"> </w:t>
      </w:r>
    </w:p>
    <w:p w14:paraId="3719C582" w14:textId="3CC8D214" w:rsidR="003F0E25" w:rsidRDefault="00987663" w:rsidP="003F0E25">
      <w:pPr>
        <w:pStyle w:val="FigureTableSubheading"/>
        <w:keepLines/>
      </w:pPr>
      <w:r>
        <w:t xml:space="preserve">GG, </w:t>
      </w:r>
      <w:r w:rsidR="0044099F">
        <w:t xml:space="preserve">total expenditure </w:t>
      </w:r>
      <w:r w:rsidR="003F0E25">
        <w:t>$</w:t>
      </w:r>
      <w:r w:rsidR="0009021D">
        <w:t>’000</w:t>
      </w:r>
      <w:r w:rsidR="003F0E25">
        <w:t xml:space="preserve"> per capita, </w:t>
      </w:r>
      <w:r w:rsidR="0009021D">
        <w:t xml:space="preserve">constant </w:t>
      </w:r>
      <w:r w:rsidR="003F0E25">
        <w:t xml:space="preserve">prices, </w:t>
      </w:r>
      <w:r w:rsidR="004F7A80">
        <w:t>2024–25</w:t>
      </w:r>
      <w:r w:rsidR="003F0E25">
        <w:t xml:space="preserve"> basis</w:t>
      </w:r>
    </w:p>
    <w:p w14:paraId="10571DD7" w14:textId="77777777" w:rsidR="003C4F21" w:rsidRDefault="007155F2" w:rsidP="00494F34">
      <w:pPr>
        <w:pStyle w:val="Note"/>
        <w:keepLines/>
        <w:rPr>
          <w:szCs w:val="22"/>
        </w:rPr>
      </w:pPr>
      <w:r w:rsidRPr="007155F2">
        <w:rPr>
          <w:noProof/>
        </w:rPr>
        <w:drawing>
          <wp:inline distT="0" distB="0" distL="0" distR="0" wp14:anchorId="0FFD8C80" wp14:editId="17898DD9">
            <wp:extent cx="6120130" cy="5607050"/>
            <wp:effectExtent l="0" t="0" r="0" b="0"/>
            <wp:docPr id="1688842091" name="Picture 17" descr="Figure D.4 – a panel chart, with a panel per state. Each panel has a line chart reflecting per capita expenditure for the individual state and for all states combined from 2000-01 to 2024-25. All states have growing expenditures since 2000-01. The Northern Territory requires a different axis for presentation purposes, given the size of its per capita expend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842091" name="Picture 17" descr="Figure D.4 – a panel chart, with a panel per state. Each panel has a line chart reflecting per capita expenditure for the individual state and for all states combined from 2000-01 to 2024-25. All states have growing expenditures since 2000-01. The Northern Territory requires a different axis for presentation purposes, given the size of its per capita expendit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5607050"/>
                    </a:xfrm>
                    <a:prstGeom prst="rect">
                      <a:avLst/>
                    </a:prstGeom>
                    <a:noFill/>
                    <a:ln>
                      <a:noFill/>
                    </a:ln>
                  </pic:spPr>
                </pic:pic>
              </a:graphicData>
            </a:graphic>
          </wp:inline>
        </w:drawing>
      </w:r>
      <w:r w:rsidR="005A1A9F" w:rsidRPr="00F7104F">
        <w:t xml:space="preserve">The Northern Territory has </w:t>
      </w:r>
      <w:r w:rsidR="005A1A9F">
        <w:t xml:space="preserve">a different vertical axis to the other states for presentation purposes. </w:t>
      </w:r>
      <w:r w:rsidR="00C04166">
        <w:t>A</w:t>
      </w:r>
      <w:r w:rsidR="00C204C9">
        <w:t>ll states combined</w:t>
      </w:r>
      <w:r w:rsidR="00C04166">
        <w:t xml:space="preserve"> </w:t>
      </w:r>
      <w:r w:rsidR="003F7308">
        <w:t>refers to</w:t>
      </w:r>
      <w:r w:rsidR="00C04166">
        <w:t xml:space="preserve"> </w:t>
      </w:r>
      <w:r w:rsidR="005E7017">
        <w:t>total state GG expenditure divided by the combined state population</w:t>
      </w:r>
      <w:r w:rsidR="00BD379E">
        <w:t>s</w:t>
      </w:r>
      <w:r w:rsidR="00B32C6C">
        <w:t>.</w:t>
      </w:r>
      <w:r w:rsidR="003C359F" w:rsidRPr="00494F34">
        <w:rPr>
          <w:szCs w:val="22"/>
        </w:rPr>
        <w:t xml:space="preserve"> </w:t>
      </w:r>
      <w:r w:rsidR="003C359F">
        <w:t xml:space="preserve">Constant prices </w:t>
      </w:r>
      <w:r w:rsidR="003C359F" w:rsidRPr="000046D0">
        <w:t>calculated using implicit price deflator of GDP</w:t>
      </w:r>
      <w:r w:rsidR="00073C91">
        <w:t>.</w:t>
      </w:r>
      <w:r w:rsidR="00494F34" w:rsidRPr="00494F34">
        <w:rPr>
          <w:szCs w:val="22"/>
        </w:rPr>
        <w:t xml:space="preserve"> </w:t>
      </w:r>
    </w:p>
    <w:p w14:paraId="317871BD" w14:textId="0AB9AE0F" w:rsidR="003F0E25" w:rsidRDefault="003F0E25" w:rsidP="003C4F21">
      <w:pPr>
        <w:pStyle w:val="Source"/>
      </w:pPr>
      <w:r w:rsidRPr="00696447">
        <w:t>Source:</w:t>
      </w:r>
      <w:r w:rsidRPr="00496451">
        <w:t xml:space="preserve"> </w:t>
      </w:r>
      <w:r w:rsidR="00621391" w:rsidRPr="00621391">
        <w:t xml:space="preserve">PC estimates using ABS </w:t>
      </w:r>
      <w:r w:rsidR="003474CA" w:rsidRPr="003474CA">
        <w:rPr>
          <w:rFonts w:cs="Open Sans"/>
        </w:rPr>
        <w:t>(2025a, 2025c, unpublished data)</w:t>
      </w:r>
      <w:r w:rsidR="004119A2">
        <w:t>.</w:t>
      </w:r>
    </w:p>
    <w:p w14:paraId="406C119B" w14:textId="6DED6912" w:rsidR="001523DE" w:rsidRDefault="001523DE" w:rsidP="008B20B8">
      <w:pPr>
        <w:pStyle w:val="Heading4"/>
      </w:pPr>
      <w:r>
        <w:t>Drivers of expenditure growth</w:t>
      </w:r>
    </w:p>
    <w:p w14:paraId="34F3DB00" w14:textId="676BB0DF" w:rsidR="00812C18" w:rsidRDefault="00DB064D" w:rsidP="00152E25">
      <w:pPr>
        <w:pStyle w:val="BodyText"/>
      </w:pPr>
      <w:r>
        <w:t xml:space="preserve">Between </w:t>
      </w:r>
      <w:r w:rsidR="006814C5">
        <w:t>2000–01</w:t>
      </w:r>
      <w:r w:rsidR="007D769F">
        <w:t xml:space="preserve"> </w:t>
      </w:r>
      <w:r>
        <w:t xml:space="preserve">and </w:t>
      </w:r>
      <w:r w:rsidR="004F7A80">
        <w:t>2024–25</w:t>
      </w:r>
      <w:r w:rsidR="007D769F">
        <w:t xml:space="preserve">, </w:t>
      </w:r>
      <w:r w:rsidR="0048364F">
        <w:t xml:space="preserve">some of </w:t>
      </w:r>
      <w:r w:rsidR="007D769F">
        <w:t>the</w:t>
      </w:r>
      <w:r w:rsidR="00624990" w:rsidRPr="000851F0">
        <w:t xml:space="preserve"> fastest-growing areas of per capita state expenditure </w:t>
      </w:r>
      <w:r w:rsidR="00CF5D18">
        <w:t>were</w:t>
      </w:r>
      <w:r w:rsidR="00624990" w:rsidRPr="000851F0">
        <w:t xml:space="preserve"> capital investment</w:t>
      </w:r>
      <w:r w:rsidR="007D769F">
        <w:t xml:space="preserve"> (</w:t>
      </w:r>
      <w:r w:rsidR="00627BB0">
        <w:t xml:space="preserve">with a </w:t>
      </w:r>
      <w:r w:rsidR="007D769F">
        <w:t>CAGR</w:t>
      </w:r>
      <w:r w:rsidR="00627BB0">
        <w:t xml:space="preserve"> of</w:t>
      </w:r>
      <w:r w:rsidR="007D769F">
        <w:t xml:space="preserve"> </w:t>
      </w:r>
      <w:r w:rsidR="008727CB">
        <w:t>3.8%)</w:t>
      </w:r>
      <w:r w:rsidR="00624990" w:rsidRPr="000851F0">
        <w:t>, interest repayments</w:t>
      </w:r>
      <w:r w:rsidR="008727CB">
        <w:t xml:space="preserve"> (</w:t>
      </w:r>
      <w:r w:rsidR="00076954">
        <w:t xml:space="preserve">with a </w:t>
      </w:r>
      <w:r w:rsidR="008727CB">
        <w:t xml:space="preserve">CAGR </w:t>
      </w:r>
      <w:r w:rsidR="00076954">
        <w:t>of</w:t>
      </w:r>
      <w:r w:rsidR="008727CB">
        <w:t xml:space="preserve"> 3.5%) </w:t>
      </w:r>
      <w:r w:rsidR="00624990" w:rsidRPr="000851F0">
        <w:t>and health</w:t>
      </w:r>
      <w:r w:rsidR="008727CB">
        <w:t xml:space="preserve"> (</w:t>
      </w:r>
      <w:r w:rsidR="00076954">
        <w:t xml:space="preserve">with a </w:t>
      </w:r>
      <w:r w:rsidR="008727CB">
        <w:t>CAGR</w:t>
      </w:r>
      <w:r w:rsidR="003A1030">
        <w:t xml:space="preserve"> </w:t>
      </w:r>
      <w:r w:rsidR="00076954">
        <w:t>o</w:t>
      </w:r>
      <w:r w:rsidR="003A1030">
        <w:t>f</w:t>
      </w:r>
      <w:r w:rsidR="008727CB">
        <w:t xml:space="preserve"> 2.7%)</w:t>
      </w:r>
      <w:r w:rsidR="00624990" w:rsidRPr="000851F0">
        <w:t xml:space="preserve"> (PC based on ABS 2026). </w:t>
      </w:r>
    </w:p>
    <w:p w14:paraId="4D9DB86F" w14:textId="2749FF0C" w:rsidR="00812C18" w:rsidRDefault="00D25C2F" w:rsidP="008D1775">
      <w:pPr>
        <w:pStyle w:val="BodyText"/>
      </w:pPr>
      <w:r>
        <w:t xml:space="preserve">Increased </w:t>
      </w:r>
      <w:r w:rsidRPr="00554824">
        <w:rPr>
          <w:b/>
          <w:bCs/>
        </w:rPr>
        <w:t>capital investment</w:t>
      </w:r>
      <w:r>
        <w:t xml:space="preserve"> is a major and growing source of state government spending, but state spending profiles have differed over time</w:t>
      </w:r>
      <w:r w:rsidR="0011265D">
        <w:t xml:space="preserve"> (figure D.5)</w:t>
      </w:r>
      <w:r>
        <w:t xml:space="preserve">. </w:t>
      </w:r>
      <w:r w:rsidR="00812C18">
        <w:t xml:space="preserve">New South Wales and Victoria – which dominated infrastructure spending from the mid-2010s through the early 2020s – are expecting a plateau and a </w:t>
      </w:r>
      <w:r w:rsidR="00812C18">
        <w:lastRenderedPageBreak/>
        <w:t xml:space="preserve">decline in spend over the forward estimates period </w:t>
      </w:r>
      <w:r w:rsidR="00812C18" w:rsidRPr="00430D08">
        <w:rPr>
          <w:rFonts w:cs="Open Sans"/>
        </w:rPr>
        <w:t>(Government of Victoria 2026; NSW Government 2026a, p. 19)</w:t>
      </w:r>
      <w:r w:rsidR="00812C18">
        <w:t>. However,</w:t>
      </w:r>
      <w:r w:rsidR="00812C18" w:rsidDel="004107E3">
        <w:t xml:space="preserve"> </w:t>
      </w:r>
      <w:r w:rsidR="00812C18">
        <w:t xml:space="preserve">other states – such as Queensland and South Australia – are planning expansions in their capital investment programs </w:t>
      </w:r>
      <w:r w:rsidR="00812C18" w:rsidRPr="005A4024">
        <w:rPr>
          <w:rFonts w:cs="Open Sans"/>
        </w:rPr>
        <w:t>(Crisafulli et al. 2027; Infrastructure Partnerships Australia 2025)</w:t>
      </w:r>
      <w:r w:rsidR="00812C18">
        <w:t xml:space="preserve">. Per capita infrastructure spending, however, puts New South Wales and Victoria’s infrastructure spending in context, with smaller states such as the Northern Territory spending significantly more per capita over the </w:t>
      </w:r>
      <w:r w:rsidR="00854C40">
        <w:t>2014–15</w:t>
      </w:r>
      <w:r w:rsidR="00812C18">
        <w:t xml:space="preserve"> to </w:t>
      </w:r>
      <w:r w:rsidR="004F7A80">
        <w:t>2024–25</w:t>
      </w:r>
      <w:r w:rsidR="00812C18">
        <w:t xml:space="preserve"> period (figure D.5). </w:t>
      </w:r>
      <w:r w:rsidR="00812C18" w:rsidRPr="00B04C9E">
        <w:t xml:space="preserve">States vary in the extent to which their TNFPS capital investment is undertaken by the GG rather than by PNFCs. In </w:t>
      </w:r>
      <w:r w:rsidR="004F7A80">
        <w:t>2024–25</w:t>
      </w:r>
      <w:r w:rsidR="00812C18" w:rsidRPr="00B04C9E">
        <w:t xml:space="preserve">, Western Australia and Tasmania had the highest PNFC shares of TNFPS capital investment, at 68% and 67% respectively. In Western Australia, most of the growth in per capita TNFPS capital investment from </w:t>
      </w:r>
      <w:r w:rsidR="00870185">
        <w:t>2020–21</w:t>
      </w:r>
      <w:r w:rsidR="00812C18" w:rsidRPr="00B04C9E">
        <w:t xml:space="preserve"> to </w:t>
      </w:r>
      <w:r w:rsidR="004F7A80">
        <w:t>2024–25</w:t>
      </w:r>
      <w:r w:rsidR="00812C18" w:rsidRPr="00B04C9E">
        <w:t xml:space="preserve"> occurred through PNFCs. </w:t>
      </w:r>
    </w:p>
    <w:p w14:paraId="2A3C2BB5" w14:textId="3D6581FC" w:rsidR="00AE1122" w:rsidRPr="00146382" w:rsidRDefault="00AE1122" w:rsidP="001B0B6C">
      <w:pPr>
        <w:pStyle w:val="FigureTableHeading"/>
      </w:pPr>
      <w:r>
        <w:t xml:space="preserve">Figure </w:t>
      </w:r>
      <w:r w:rsidR="00EC6025">
        <w:rPr>
          <w:noProof/>
        </w:rPr>
        <w:t>D</w:t>
      </w:r>
      <w:r>
        <w:t>.</w:t>
      </w:r>
      <w:r w:rsidR="00EC6025">
        <w:rPr>
          <w:noProof/>
        </w:rPr>
        <w:t>5</w:t>
      </w:r>
      <w:r>
        <w:rPr>
          <w:noProof/>
        </w:rPr>
        <w:t xml:space="preserve"> </w:t>
      </w:r>
      <w:r>
        <w:t xml:space="preserve">– </w:t>
      </w:r>
      <w:r w:rsidR="00041B0E">
        <w:t>States vary regarding how capital investment is split between GG and PNFCs</w:t>
      </w:r>
    </w:p>
    <w:p w14:paraId="0B3B2DBC" w14:textId="1F1C27A6" w:rsidR="00374E5B" w:rsidRDefault="00374E5B" w:rsidP="00374E5B">
      <w:pPr>
        <w:pStyle w:val="FigureTableSubheading"/>
        <w:keepLines/>
      </w:pPr>
      <w:r>
        <w:t xml:space="preserve">TNFPS, capital investment, </w:t>
      </w:r>
      <w:r w:rsidR="009D4DB8">
        <w:t xml:space="preserve">$’000 per capita, </w:t>
      </w:r>
      <w:r>
        <w:t xml:space="preserve">constant prices, </w:t>
      </w:r>
      <w:r w:rsidR="004F7A80">
        <w:t>2024–25</w:t>
      </w:r>
      <w:r>
        <w:t xml:space="preserve"> basis</w:t>
      </w:r>
    </w:p>
    <w:p w14:paraId="0A5A7F8D" w14:textId="77777777" w:rsidR="003C4F21" w:rsidRDefault="006B7431" w:rsidP="00494F34">
      <w:pPr>
        <w:pStyle w:val="Note"/>
        <w:rPr>
          <w:szCs w:val="22"/>
        </w:rPr>
      </w:pPr>
      <w:r w:rsidRPr="006B7431">
        <w:rPr>
          <w:noProof/>
        </w:rPr>
        <w:drawing>
          <wp:inline distT="0" distB="0" distL="0" distR="0" wp14:anchorId="418E823A" wp14:editId="3864D122">
            <wp:extent cx="6120130" cy="5253355"/>
            <wp:effectExtent l="0" t="0" r="0" b="0"/>
            <wp:docPr id="2061860721" name="Picture 14" descr="Figure D.5 – a panel chart, with a panel per state. Each panel has a stacked column chart reflecting per capita capital investment from GG and PNFCs 2014-15 to 2024-25. The Northern Territory has the highest per capita capital investment. Western Australia and Tasmania have the highest proportion of capital investment undertaken by PNFCs relative to 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860721" name="Picture 14" descr="Figure D.5 – a panel chart, with a panel per state. Each panel has a stacked column chart reflecting per capita capital investment from GG and PNFCs 2014-15 to 2024-25. The Northern Territory has the highest per capita capital investment. Western Australia and Tasmania have the highest proportion of capital investment undertaken by PNFCs relative to G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5253355"/>
                    </a:xfrm>
                    <a:prstGeom prst="rect">
                      <a:avLst/>
                    </a:prstGeom>
                    <a:noFill/>
                    <a:ln>
                      <a:noFill/>
                    </a:ln>
                  </pic:spPr>
                </pic:pic>
              </a:graphicData>
            </a:graphic>
          </wp:inline>
        </w:drawing>
      </w:r>
      <w:r w:rsidR="006A5E02" w:rsidRPr="006A5E02">
        <w:t>Ca</w:t>
      </w:r>
      <w:r w:rsidR="006A5E02">
        <w:t xml:space="preserve">pital investment </w:t>
      </w:r>
      <w:r w:rsidR="004E726F">
        <w:t xml:space="preserve">refers to </w:t>
      </w:r>
      <w:r w:rsidR="006A5E02">
        <w:t>gross fixed capital formation (GFCF).</w:t>
      </w:r>
      <w:r w:rsidR="007F0F01" w:rsidRPr="00494F34">
        <w:rPr>
          <w:szCs w:val="22"/>
        </w:rPr>
        <w:t xml:space="preserve"> </w:t>
      </w:r>
      <w:r w:rsidR="007F0F01">
        <w:t xml:space="preserve">Constant prices </w:t>
      </w:r>
      <w:r w:rsidR="007F0F01" w:rsidRPr="000046D0">
        <w:t>calculated using implicit price deflator of GDP</w:t>
      </w:r>
      <w:r w:rsidR="00FE5BF0">
        <w:t>.</w:t>
      </w:r>
      <w:r w:rsidR="00494F34" w:rsidRPr="00494F34">
        <w:rPr>
          <w:szCs w:val="22"/>
        </w:rPr>
        <w:t xml:space="preserve"> </w:t>
      </w:r>
    </w:p>
    <w:p w14:paraId="371130E4" w14:textId="184E2E7F" w:rsidR="00AE1122" w:rsidRDefault="00AE1122" w:rsidP="003C4F21">
      <w:pPr>
        <w:pStyle w:val="Source"/>
      </w:pPr>
      <w:r w:rsidRPr="00696447">
        <w:t xml:space="preserve">Source: </w:t>
      </w:r>
      <w:r w:rsidR="009D4DB8" w:rsidRPr="00621391">
        <w:t xml:space="preserve">PC estimates using ABS </w:t>
      </w:r>
      <w:r w:rsidR="009D4DB8" w:rsidRPr="003474CA">
        <w:rPr>
          <w:rFonts w:cs="Open Sans"/>
        </w:rPr>
        <w:t>(2025a, 2025c, unpublished data)</w:t>
      </w:r>
      <w:r w:rsidR="00420DD7">
        <w:t>.</w:t>
      </w:r>
    </w:p>
    <w:p w14:paraId="2C1E1D0B" w14:textId="7FAADBCE" w:rsidR="0023226E" w:rsidRDefault="0023226E" w:rsidP="0023226E">
      <w:pPr>
        <w:pStyle w:val="BodyText"/>
      </w:pPr>
      <w:r w:rsidRPr="00554824">
        <w:rPr>
          <w:b/>
          <w:bCs/>
        </w:rPr>
        <w:lastRenderedPageBreak/>
        <w:t>Health</w:t>
      </w:r>
      <w:r w:rsidRPr="008237EC">
        <w:t xml:space="preserve"> is the largest </w:t>
      </w:r>
      <w:r w:rsidR="00CC6679">
        <w:t xml:space="preserve">area of </w:t>
      </w:r>
      <w:r w:rsidRPr="008237EC">
        <w:t>expense pressure on state budgets</w:t>
      </w:r>
      <w:r w:rsidR="00CC6679">
        <w:t xml:space="preserve"> (in terms of functions of government)</w:t>
      </w:r>
      <w:r w:rsidRPr="008237EC">
        <w:t xml:space="preserve"> and has increased as a proportion of overall state expenditure from 2</w:t>
      </w:r>
      <w:r w:rsidRPr="00EC2451">
        <w:t>2</w:t>
      </w:r>
      <w:r w:rsidRPr="008237EC">
        <w:t xml:space="preserve">% in </w:t>
      </w:r>
      <w:r w:rsidR="006814C5">
        <w:t>2000–01</w:t>
      </w:r>
      <w:r w:rsidRPr="008237EC">
        <w:t xml:space="preserve"> to 2</w:t>
      </w:r>
      <w:r w:rsidRPr="00EC2451">
        <w:t>8</w:t>
      </w:r>
      <w:r w:rsidRPr="008237EC">
        <w:t xml:space="preserve">% in </w:t>
      </w:r>
      <w:r w:rsidR="004F7A80">
        <w:t>2024–25</w:t>
      </w:r>
      <w:r w:rsidRPr="008237EC">
        <w:t xml:space="preserve"> </w:t>
      </w:r>
      <w:r w:rsidR="003665EB" w:rsidRPr="003665EB">
        <w:rPr>
          <w:rFonts w:cs="Open Sans"/>
        </w:rPr>
        <w:t>(PC estimates using ABS 2025a, unpublished data)</w:t>
      </w:r>
      <w:r w:rsidRPr="005C39D6">
        <w:t>.</w:t>
      </w:r>
      <w:r w:rsidRPr="0080166E">
        <w:t xml:space="preserve"> </w:t>
      </w:r>
      <w:r w:rsidRPr="000851F0">
        <w:t>Growth in health expenses is – in part – driven by population ageing, which increases demand for urgent,</w:t>
      </w:r>
      <w:r>
        <w:t xml:space="preserve"> complex and costly health services. While this is one factor, state governments have also faced broader cost increases and higher community expectations about the standard of health care provided </w:t>
      </w:r>
      <w:r w:rsidRPr="00E13C38">
        <w:rPr>
          <w:rFonts w:cs="Open Sans"/>
        </w:rPr>
        <w:t>(Government of Western Australia, sub. 37, p.</w:t>
      </w:r>
      <w:r w:rsidR="00002257">
        <w:rPr>
          <w:rFonts w:cs="Open Sans"/>
        </w:rPr>
        <w:t> </w:t>
      </w:r>
      <w:r w:rsidRPr="00E13C38">
        <w:rPr>
          <w:rFonts w:cs="Open Sans"/>
        </w:rPr>
        <w:t>110; NSW Government 2021, pp. 74, 111; Queensland Government, sub. 62, p. 28; Smith 2020, p. 32)</w:t>
      </w:r>
      <w:r>
        <w:t xml:space="preserve">. </w:t>
      </w:r>
      <w:r w:rsidRPr="00E031AD">
        <w:t xml:space="preserve">Health costs are not felt equally across </w:t>
      </w:r>
      <w:proofErr w:type="gramStart"/>
      <w:r w:rsidRPr="00E031AD">
        <w:t>states, and</w:t>
      </w:r>
      <w:proofErr w:type="gramEnd"/>
      <w:r w:rsidRPr="00E031AD">
        <w:t xml:space="preserve"> are particularly significant in South Australia and Tasmania – the states most affected by population ageing – where they account for 3</w:t>
      </w:r>
      <w:r w:rsidRPr="00EC2451">
        <w:t>2</w:t>
      </w:r>
      <w:r w:rsidRPr="00E031AD">
        <w:t>% and 3</w:t>
      </w:r>
      <w:r w:rsidRPr="00EC2451">
        <w:t>5</w:t>
      </w:r>
      <w:r w:rsidRPr="00E031AD">
        <w:t xml:space="preserve">% of expenditure respectively </w:t>
      </w:r>
      <w:r w:rsidR="000335BF" w:rsidRPr="000335BF">
        <w:rPr>
          <w:rFonts w:cs="Open Sans"/>
        </w:rPr>
        <w:t>(PC estimates using ABS 2025a, unpublished data; CGC 2026b)</w:t>
      </w:r>
      <w:r w:rsidRPr="00EC2451">
        <w:t>.</w:t>
      </w:r>
      <w:r>
        <w:t xml:space="preserve"> Population ageing is one of the key forces shaping the Australian economy, which will continue to drive health-related expenditure pressures for all Australian governments in the medium to long term </w:t>
      </w:r>
      <w:r w:rsidRPr="00BC131A">
        <w:rPr>
          <w:rFonts w:cs="Open Sans"/>
        </w:rPr>
        <w:t>(Commonwealth of Australia 2023, p. 9)</w:t>
      </w:r>
      <w:r>
        <w:t xml:space="preserve">. </w:t>
      </w:r>
    </w:p>
    <w:p w14:paraId="038521F0" w14:textId="4E99EC35" w:rsidR="00FC3021" w:rsidRPr="00270DF4" w:rsidRDefault="00712A44" w:rsidP="00692AC8">
      <w:pPr>
        <w:pStyle w:val="BodyText"/>
        <w:rPr>
          <w:spacing w:val="-4"/>
        </w:rPr>
      </w:pPr>
      <w:r w:rsidRPr="00270DF4">
        <w:rPr>
          <w:spacing w:val="-4"/>
        </w:rPr>
        <w:t>Total s</w:t>
      </w:r>
      <w:r w:rsidR="00420749" w:rsidRPr="00270DF4">
        <w:rPr>
          <w:spacing w:val="-4"/>
        </w:rPr>
        <w:t xml:space="preserve">tate </w:t>
      </w:r>
      <w:r w:rsidR="00420749" w:rsidRPr="00270DF4">
        <w:rPr>
          <w:b/>
          <w:bCs/>
          <w:spacing w:val="-4"/>
        </w:rPr>
        <w:t>i</w:t>
      </w:r>
      <w:r w:rsidR="00152E25" w:rsidRPr="00270DF4">
        <w:rPr>
          <w:b/>
          <w:bCs/>
          <w:spacing w:val="-4"/>
        </w:rPr>
        <w:t>nterest expenses</w:t>
      </w:r>
      <w:r w:rsidR="00152E25" w:rsidRPr="00270DF4">
        <w:rPr>
          <w:spacing w:val="-4"/>
        </w:rPr>
        <w:t xml:space="preserve"> </w:t>
      </w:r>
      <w:r w:rsidR="00E32B5E" w:rsidRPr="00270DF4">
        <w:rPr>
          <w:spacing w:val="-4"/>
        </w:rPr>
        <w:t xml:space="preserve">have also grown rapidly since </w:t>
      </w:r>
      <w:r w:rsidR="006814C5" w:rsidRPr="00270DF4">
        <w:rPr>
          <w:spacing w:val="-4"/>
        </w:rPr>
        <w:t>2000–01</w:t>
      </w:r>
      <w:r w:rsidR="00D9544D" w:rsidRPr="00270DF4">
        <w:rPr>
          <w:spacing w:val="-4"/>
        </w:rPr>
        <w:t xml:space="preserve"> </w:t>
      </w:r>
      <w:r w:rsidR="005D1CC4" w:rsidRPr="00270DF4">
        <w:rPr>
          <w:rFonts w:cs="Open Sans"/>
          <w:spacing w:val="-4"/>
        </w:rPr>
        <w:t>(PC estimates using ABS 2025a, unpublished data)</w:t>
      </w:r>
      <w:r w:rsidR="005D1CC4" w:rsidRPr="00270DF4">
        <w:rPr>
          <w:spacing w:val="-4"/>
        </w:rPr>
        <w:t xml:space="preserve">. From </w:t>
      </w:r>
      <w:r w:rsidR="00854C40" w:rsidRPr="00270DF4">
        <w:rPr>
          <w:spacing w:val="-4"/>
        </w:rPr>
        <w:t>2014–15</w:t>
      </w:r>
      <w:r w:rsidR="005D1CC4" w:rsidRPr="00270DF4">
        <w:rPr>
          <w:spacing w:val="-4"/>
        </w:rPr>
        <w:t xml:space="preserve"> to </w:t>
      </w:r>
      <w:r w:rsidR="004F7A80" w:rsidRPr="00270DF4">
        <w:rPr>
          <w:spacing w:val="-4"/>
        </w:rPr>
        <w:t>2024–25</w:t>
      </w:r>
      <w:r w:rsidR="005D1CC4" w:rsidRPr="00270DF4">
        <w:rPr>
          <w:spacing w:val="-4"/>
        </w:rPr>
        <w:t>,</w:t>
      </w:r>
      <w:r w:rsidR="00350312" w:rsidRPr="00270DF4">
        <w:rPr>
          <w:spacing w:val="-4"/>
        </w:rPr>
        <w:t xml:space="preserve"> </w:t>
      </w:r>
      <w:r w:rsidR="00574027" w:rsidRPr="00270DF4">
        <w:rPr>
          <w:spacing w:val="-4"/>
        </w:rPr>
        <w:t>all states except Western Australia and Queen</w:t>
      </w:r>
      <w:r w:rsidR="001867C9" w:rsidRPr="00270DF4">
        <w:rPr>
          <w:spacing w:val="-4"/>
        </w:rPr>
        <w:t>sland</w:t>
      </w:r>
      <w:r w:rsidR="00420749" w:rsidRPr="00270DF4">
        <w:rPr>
          <w:spacing w:val="-4"/>
        </w:rPr>
        <w:t>,</w:t>
      </w:r>
      <w:r w:rsidR="001867C9" w:rsidRPr="00270DF4">
        <w:rPr>
          <w:spacing w:val="-4"/>
        </w:rPr>
        <w:t xml:space="preserve"> had </w:t>
      </w:r>
      <w:r w:rsidR="00297FD4" w:rsidRPr="00270DF4">
        <w:rPr>
          <w:spacing w:val="-4"/>
        </w:rPr>
        <w:t>an increase in their</w:t>
      </w:r>
      <w:r w:rsidR="001867C9" w:rsidRPr="00270DF4">
        <w:rPr>
          <w:spacing w:val="-4"/>
        </w:rPr>
        <w:t xml:space="preserve"> interest-to-revenue ratios</w:t>
      </w:r>
      <w:r w:rsidR="009D421C" w:rsidRPr="00270DF4">
        <w:rPr>
          <w:spacing w:val="-4"/>
        </w:rPr>
        <w:t>.</w:t>
      </w:r>
      <w:r w:rsidR="00420749" w:rsidRPr="00270DF4">
        <w:rPr>
          <w:spacing w:val="-4"/>
        </w:rPr>
        <w:t xml:space="preserve"> </w:t>
      </w:r>
      <w:r w:rsidR="009D421C" w:rsidRPr="00270DF4">
        <w:rPr>
          <w:spacing w:val="-4"/>
        </w:rPr>
        <w:t>Growth</w:t>
      </w:r>
      <w:r w:rsidR="00350312" w:rsidRPr="00270DF4">
        <w:rPr>
          <w:spacing w:val="-4"/>
        </w:rPr>
        <w:t xml:space="preserve"> accelerat</w:t>
      </w:r>
      <w:r w:rsidR="009D421C" w:rsidRPr="00270DF4">
        <w:rPr>
          <w:spacing w:val="-4"/>
        </w:rPr>
        <w:t>ed</w:t>
      </w:r>
      <w:r w:rsidR="00350312" w:rsidRPr="00270DF4">
        <w:rPr>
          <w:spacing w:val="-4"/>
        </w:rPr>
        <w:t xml:space="preserve"> post</w:t>
      </w:r>
      <w:r w:rsidR="00420749" w:rsidRPr="00270DF4">
        <w:rPr>
          <w:spacing w:val="-4"/>
        </w:rPr>
        <w:t xml:space="preserve"> the </w:t>
      </w:r>
      <w:r w:rsidR="00330B7D" w:rsidRPr="00270DF4">
        <w:rPr>
          <w:spacing w:val="-4"/>
        </w:rPr>
        <w:t xml:space="preserve">COVID-19 </w:t>
      </w:r>
      <w:r w:rsidR="00420749" w:rsidRPr="00270DF4">
        <w:rPr>
          <w:spacing w:val="-4"/>
        </w:rPr>
        <w:t>pandemic</w:t>
      </w:r>
      <w:r w:rsidR="00152E25" w:rsidRPr="00270DF4">
        <w:rPr>
          <w:spacing w:val="-4"/>
        </w:rPr>
        <w:t xml:space="preserve">, reflecting </w:t>
      </w:r>
      <w:r w:rsidR="00442061" w:rsidRPr="00270DF4">
        <w:rPr>
          <w:spacing w:val="-4"/>
        </w:rPr>
        <w:t>both debt accumulation</w:t>
      </w:r>
      <w:r w:rsidR="00152E25" w:rsidRPr="00270DF4">
        <w:rPr>
          <w:spacing w:val="-4"/>
        </w:rPr>
        <w:t xml:space="preserve"> and </w:t>
      </w:r>
      <w:r w:rsidR="00442061" w:rsidRPr="00270DF4">
        <w:rPr>
          <w:spacing w:val="-4"/>
        </w:rPr>
        <w:t xml:space="preserve">exposure to </w:t>
      </w:r>
      <w:r w:rsidR="00152E25" w:rsidRPr="00270DF4">
        <w:rPr>
          <w:spacing w:val="-4"/>
        </w:rPr>
        <w:t>higher interest rates</w:t>
      </w:r>
      <w:r w:rsidR="00EA1689" w:rsidRPr="00270DF4">
        <w:rPr>
          <w:spacing w:val="-4"/>
        </w:rPr>
        <w:t xml:space="preserve"> </w:t>
      </w:r>
      <w:r w:rsidR="00492042" w:rsidRPr="00270DF4">
        <w:rPr>
          <w:spacing w:val="-4"/>
        </w:rPr>
        <w:t xml:space="preserve">on debt </w:t>
      </w:r>
      <w:r w:rsidR="00EA1689" w:rsidRPr="00270DF4">
        <w:rPr>
          <w:spacing w:val="-4"/>
        </w:rPr>
        <w:t>(</w:t>
      </w:r>
      <w:r w:rsidR="0047084C" w:rsidRPr="00270DF4">
        <w:rPr>
          <w:spacing w:val="-4"/>
        </w:rPr>
        <w:t xml:space="preserve">figure </w:t>
      </w:r>
      <w:r w:rsidR="009A3073" w:rsidRPr="00270DF4">
        <w:rPr>
          <w:spacing w:val="-4"/>
        </w:rPr>
        <w:t>D.6</w:t>
      </w:r>
      <w:r w:rsidR="0047084C" w:rsidRPr="00270DF4">
        <w:rPr>
          <w:spacing w:val="-4"/>
        </w:rPr>
        <w:t>)</w:t>
      </w:r>
      <w:r w:rsidR="00152E25" w:rsidRPr="00270DF4">
        <w:rPr>
          <w:spacing w:val="-4"/>
        </w:rPr>
        <w:t xml:space="preserve">. </w:t>
      </w:r>
      <w:r w:rsidR="00A070D7" w:rsidRPr="00270DF4">
        <w:rPr>
          <w:spacing w:val="-4"/>
        </w:rPr>
        <w:t xml:space="preserve">Considering the </w:t>
      </w:r>
      <w:r w:rsidR="00D11B26" w:rsidRPr="00270DF4">
        <w:rPr>
          <w:spacing w:val="-4"/>
        </w:rPr>
        <w:t xml:space="preserve">share of revenue used for interest repayments </w:t>
      </w:r>
      <w:r w:rsidR="004415EB" w:rsidRPr="00270DF4">
        <w:rPr>
          <w:spacing w:val="-4"/>
        </w:rPr>
        <w:t xml:space="preserve">is important for </w:t>
      </w:r>
      <w:r w:rsidR="00A070D7" w:rsidRPr="00270DF4">
        <w:rPr>
          <w:spacing w:val="-4"/>
        </w:rPr>
        <w:t xml:space="preserve">understanding </w:t>
      </w:r>
      <w:r w:rsidR="004415EB" w:rsidRPr="00270DF4">
        <w:rPr>
          <w:spacing w:val="-4"/>
        </w:rPr>
        <w:t>state fiscal sustainabilit</w:t>
      </w:r>
      <w:r w:rsidR="00A070D7" w:rsidRPr="00270DF4">
        <w:rPr>
          <w:spacing w:val="-4"/>
        </w:rPr>
        <w:t>y. H</w:t>
      </w:r>
      <w:r w:rsidR="00D11B26" w:rsidRPr="00270DF4">
        <w:rPr>
          <w:spacing w:val="-4"/>
        </w:rPr>
        <w:t>igher debt-servicing costs can crowd out other spending and, where other obligations cannot be reduced, increase the need for further borrowing. The affordability of debt also depends on interest rates: high debt can remain manageable when rates are low, while lower debt can create pressure when rates rise, with some lag as existing fixed-rate debt is refinanced</w:t>
      </w:r>
      <w:r w:rsidR="00AE721A" w:rsidRPr="00270DF4">
        <w:rPr>
          <w:spacing w:val="-4"/>
        </w:rPr>
        <w:t xml:space="preserve">. </w:t>
      </w:r>
      <w:r w:rsidR="00C35C43" w:rsidRPr="00270DF4">
        <w:rPr>
          <w:spacing w:val="-4"/>
        </w:rPr>
        <w:t>States’ i</w:t>
      </w:r>
      <w:r w:rsidR="00AE721A" w:rsidRPr="00270DF4">
        <w:rPr>
          <w:spacing w:val="-4"/>
        </w:rPr>
        <w:t xml:space="preserve">nterest expenses </w:t>
      </w:r>
      <w:r w:rsidR="00C35C43" w:rsidRPr="00270DF4">
        <w:rPr>
          <w:spacing w:val="-4"/>
        </w:rPr>
        <w:t>broadly</w:t>
      </w:r>
      <w:r w:rsidR="00AE721A" w:rsidRPr="00270DF4">
        <w:rPr>
          <w:spacing w:val="-4"/>
        </w:rPr>
        <w:t xml:space="preserve"> reflect </w:t>
      </w:r>
      <w:r w:rsidR="004E2AB7" w:rsidRPr="00270DF4">
        <w:rPr>
          <w:spacing w:val="-4"/>
        </w:rPr>
        <w:t>their</w:t>
      </w:r>
      <w:r w:rsidR="00AE721A" w:rsidRPr="00270DF4">
        <w:rPr>
          <w:spacing w:val="-4"/>
        </w:rPr>
        <w:t xml:space="preserve"> relative debt accumulation</w:t>
      </w:r>
      <w:r w:rsidR="00D74166" w:rsidRPr="00270DF4">
        <w:rPr>
          <w:spacing w:val="-4"/>
        </w:rPr>
        <w:t xml:space="preserve"> – with Victoria having the highest interest expenses to revenue and </w:t>
      </w:r>
      <w:r w:rsidR="001F0651" w:rsidRPr="00270DF4">
        <w:rPr>
          <w:spacing w:val="-4"/>
        </w:rPr>
        <w:t xml:space="preserve">Western Australia </w:t>
      </w:r>
      <w:r w:rsidR="00D74166" w:rsidRPr="00270DF4">
        <w:rPr>
          <w:spacing w:val="-4"/>
        </w:rPr>
        <w:t>having the lowest</w:t>
      </w:r>
      <w:r w:rsidR="00FA063A" w:rsidRPr="00270DF4">
        <w:rPr>
          <w:spacing w:val="-4"/>
        </w:rPr>
        <w:t xml:space="preserve"> in </w:t>
      </w:r>
      <w:r w:rsidR="004F7A80" w:rsidRPr="00270DF4">
        <w:rPr>
          <w:spacing w:val="-4"/>
        </w:rPr>
        <w:t>2024–25</w:t>
      </w:r>
      <w:r w:rsidR="00D74166" w:rsidRPr="00270DF4">
        <w:rPr>
          <w:spacing w:val="-4"/>
        </w:rPr>
        <w:t>.</w:t>
      </w:r>
      <w:r w:rsidR="00746088" w:rsidRPr="00270DF4">
        <w:rPr>
          <w:spacing w:val="-4"/>
        </w:rPr>
        <w:t xml:space="preserve"> </w:t>
      </w:r>
      <w:r w:rsidR="000275D5" w:rsidRPr="00270DF4">
        <w:rPr>
          <w:spacing w:val="-4"/>
        </w:rPr>
        <w:t xml:space="preserve">Tasmania has experienced the </w:t>
      </w:r>
      <w:r w:rsidR="00455BB7" w:rsidRPr="00270DF4">
        <w:rPr>
          <w:spacing w:val="-4"/>
        </w:rPr>
        <w:t>fastest</w:t>
      </w:r>
      <w:r w:rsidR="000275D5" w:rsidRPr="00270DF4">
        <w:rPr>
          <w:spacing w:val="-4"/>
        </w:rPr>
        <w:t xml:space="preserve"> growth </w:t>
      </w:r>
      <w:r w:rsidR="009575CD" w:rsidRPr="00270DF4">
        <w:rPr>
          <w:spacing w:val="-4"/>
        </w:rPr>
        <w:t xml:space="preserve">in interest expenses post since the COVID-19 pandemic, </w:t>
      </w:r>
      <w:r w:rsidR="00E113BD" w:rsidRPr="00270DF4">
        <w:rPr>
          <w:spacing w:val="-4"/>
        </w:rPr>
        <w:t xml:space="preserve">followed by the </w:t>
      </w:r>
      <w:r w:rsidR="00864143" w:rsidRPr="00270DF4">
        <w:rPr>
          <w:spacing w:val="-4"/>
        </w:rPr>
        <w:t>Australian Capital Territory</w:t>
      </w:r>
      <w:r w:rsidR="00DF0B5F" w:rsidRPr="00270DF4">
        <w:rPr>
          <w:spacing w:val="-4"/>
        </w:rPr>
        <w:t xml:space="preserve"> and New South Wales</w:t>
      </w:r>
      <w:r w:rsidR="00E113BD" w:rsidRPr="00270DF4">
        <w:rPr>
          <w:spacing w:val="-4"/>
        </w:rPr>
        <w:t xml:space="preserve">. </w:t>
      </w:r>
    </w:p>
    <w:p w14:paraId="5296F486" w14:textId="4C54E91A" w:rsidR="00F83E02" w:rsidRPr="00146382" w:rsidRDefault="00F83E02" w:rsidP="00F83E02">
      <w:pPr>
        <w:pStyle w:val="FigureTableHeading"/>
      </w:pPr>
      <w:r w:rsidRPr="00D847D6">
        <w:t xml:space="preserve">Figure </w:t>
      </w:r>
      <w:r w:rsidR="00EC6025" w:rsidRPr="00D847D6">
        <w:rPr>
          <w:noProof/>
        </w:rPr>
        <w:t>D</w:t>
      </w:r>
      <w:r w:rsidRPr="00D847D6">
        <w:t>.</w:t>
      </w:r>
      <w:r w:rsidR="00EC6025" w:rsidRPr="00D847D6">
        <w:rPr>
          <w:noProof/>
        </w:rPr>
        <w:t>6</w:t>
      </w:r>
      <w:r w:rsidRPr="00D847D6">
        <w:rPr>
          <w:noProof/>
        </w:rPr>
        <w:t xml:space="preserve"> </w:t>
      </w:r>
      <w:r w:rsidRPr="00D847D6">
        <w:t xml:space="preserve">– </w:t>
      </w:r>
      <w:r w:rsidR="00EB130A" w:rsidRPr="00EA4299">
        <w:t>Post-pandemic i</w:t>
      </w:r>
      <w:r w:rsidR="00E113BD" w:rsidRPr="00EA4299">
        <w:t>nterest</w:t>
      </w:r>
      <w:r w:rsidR="0071001F" w:rsidRPr="00EA4299">
        <w:t>-</w:t>
      </w:r>
      <w:r w:rsidR="00EB130A" w:rsidRPr="00EA4299">
        <w:t>to</w:t>
      </w:r>
      <w:r w:rsidR="0071001F" w:rsidRPr="00EA4299">
        <w:t>-</w:t>
      </w:r>
      <w:r w:rsidR="00EB130A" w:rsidRPr="00EA4299">
        <w:t>revenue ratios have</w:t>
      </w:r>
      <w:r w:rsidR="00BF1B10" w:rsidRPr="00EA4299">
        <w:t xml:space="preserve"> grown </w:t>
      </w:r>
      <w:r w:rsidR="00D847D6" w:rsidRPr="00EA4299">
        <w:t>rapidl</w:t>
      </w:r>
      <w:r w:rsidR="00BF1B10" w:rsidRPr="00EA4299">
        <w:t xml:space="preserve">y </w:t>
      </w:r>
      <w:r w:rsidR="00D847D6" w:rsidRPr="00D847D6">
        <w:t>for most states</w:t>
      </w:r>
      <w:r w:rsidR="003E30B0">
        <w:t xml:space="preserve"> </w:t>
      </w:r>
    </w:p>
    <w:p w14:paraId="042F93CC" w14:textId="33D5C39C" w:rsidR="00F83E02" w:rsidRDefault="00BF1B10" w:rsidP="00F83E02">
      <w:pPr>
        <w:pStyle w:val="FigureTableSubheading"/>
        <w:keepLines/>
      </w:pPr>
      <w:r>
        <w:t>TNFPS,</w:t>
      </w:r>
      <w:r w:rsidR="001B73A9">
        <w:t xml:space="preserve"> interest as a % of total revenue,</w:t>
      </w:r>
      <w:r>
        <w:t xml:space="preserve"> </w:t>
      </w:r>
      <w:r w:rsidR="00EB130A">
        <w:t>constant prices (</w:t>
      </w:r>
      <w:r w:rsidR="004F7A80">
        <w:t>2024–25</w:t>
      </w:r>
      <w:r w:rsidR="00EB130A">
        <w:t xml:space="preserve"> basis)</w:t>
      </w:r>
    </w:p>
    <w:p w14:paraId="4F9A16A1" w14:textId="77777777" w:rsidR="00E0522C" w:rsidRDefault="005D3CFA" w:rsidP="00270DF4">
      <w:pPr>
        <w:pStyle w:val="BodyText"/>
        <w:spacing w:after="0"/>
        <w:rPr>
          <w:szCs w:val="22"/>
        </w:rPr>
      </w:pPr>
      <w:r w:rsidRPr="005D3CFA">
        <w:rPr>
          <w:noProof/>
        </w:rPr>
        <w:drawing>
          <wp:inline distT="0" distB="0" distL="0" distR="0" wp14:anchorId="17E924AB" wp14:editId="1573C2BA">
            <wp:extent cx="6120130" cy="2816225"/>
            <wp:effectExtent l="0" t="0" r="0" b="0"/>
            <wp:docPr id="200517733" name="Picture 4" descr="Figure D.6 – a line chart with one line per state, communicating their interest costs as a percent of total revenue from 2014-15 to 2024-25. The COVID-19 period is marked from 2019-20 to 2021-22. In 2024-25 Victoria has the highest interest to revenue ratio and Western Australia has the lo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7733" name="Picture 4" descr="Figure D.6 – a line chart with one line per state, communicating their interest costs as a percent of total revenue from 2014-15 to 2024-25. The COVID-19 period is marked from 2019-20 to 2021-22. In 2024-25 Victoria has the highest interest to revenue ratio and Western Australia has the lowest.."/>
                    <pic:cNvPicPr>
                      <a:picLocks noChangeAspect="1" noChangeArrowheads="1"/>
                    </pic:cNvPicPr>
                  </pic:nvPicPr>
                  <pic:blipFill rotWithShape="1">
                    <a:blip r:embed="rId19">
                      <a:extLst>
                        <a:ext uri="{28A0092B-C50C-407E-A947-70E740481C1C}">
                          <a14:useLocalDpi xmlns:a14="http://schemas.microsoft.com/office/drawing/2010/main" val="0"/>
                        </a:ext>
                      </a:extLst>
                    </a:blip>
                    <a:srcRect t="2635"/>
                    <a:stretch>
                      <a:fillRect/>
                    </a:stretch>
                  </pic:blipFill>
                  <pic:spPr bwMode="auto">
                    <a:xfrm>
                      <a:off x="0" y="0"/>
                      <a:ext cx="6120130" cy="2816225"/>
                    </a:xfrm>
                    <a:prstGeom prst="rect">
                      <a:avLst/>
                    </a:prstGeom>
                    <a:noFill/>
                    <a:ln>
                      <a:noFill/>
                    </a:ln>
                    <a:extLst>
                      <a:ext uri="{53640926-AAD7-44D8-BBD7-CCE9431645EC}">
                        <a14:shadowObscured xmlns:a14="http://schemas.microsoft.com/office/drawing/2010/main"/>
                      </a:ext>
                    </a:extLst>
                  </pic:spPr>
                </pic:pic>
              </a:graphicData>
            </a:graphic>
          </wp:inline>
        </w:drawing>
      </w:r>
    </w:p>
    <w:p w14:paraId="07EF40AD" w14:textId="09565225" w:rsidR="00D73F6C" w:rsidRDefault="00EB130A" w:rsidP="00270DF4">
      <w:pPr>
        <w:pStyle w:val="Note"/>
        <w:keepLines/>
        <w:spacing w:before="0"/>
        <w:rPr>
          <w:szCs w:val="22"/>
        </w:rPr>
      </w:pPr>
      <w:r w:rsidRPr="00240AB2">
        <w:t xml:space="preserve">Interest </w:t>
      </w:r>
      <w:r w:rsidR="00752F0E">
        <w:t>expenses refer to</w:t>
      </w:r>
      <w:r w:rsidR="00752F0E" w:rsidRPr="00240AB2">
        <w:t xml:space="preserve"> </w:t>
      </w:r>
      <w:r w:rsidR="00240AB2" w:rsidRPr="00240AB2">
        <w:t xml:space="preserve">‘Interest </w:t>
      </w:r>
      <w:proofErr w:type="spellStart"/>
      <w:r w:rsidR="00240AB2" w:rsidRPr="00240AB2">
        <w:t>n.e</w:t>
      </w:r>
      <w:r w:rsidR="00240AB2">
        <w:t>.c.</w:t>
      </w:r>
      <w:proofErr w:type="spellEnd"/>
      <w:r w:rsidR="00240AB2">
        <w:t>’ in the GFS framework</w:t>
      </w:r>
      <w:r w:rsidR="004C3425">
        <w:t>. E</w:t>
      </w:r>
      <w:r w:rsidR="00240AB2">
        <w:t>xcludes interest on superannuation.</w:t>
      </w:r>
      <w:r w:rsidR="007F0F01" w:rsidRPr="00420DD7">
        <w:rPr>
          <w:szCs w:val="22"/>
        </w:rPr>
        <w:t xml:space="preserve"> </w:t>
      </w:r>
      <w:r w:rsidR="007F0F01">
        <w:t xml:space="preserve">Constant prices </w:t>
      </w:r>
      <w:r w:rsidR="007F0F01" w:rsidRPr="000046D0">
        <w:t>calculated using implicit price deflator of GDP</w:t>
      </w:r>
      <w:r w:rsidR="00D73F6C">
        <w:t>.</w:t>
      </w:r>
      <w:r w:rsidR="00420DD7" w:rsidRPr="00420DD7">
        <w:rPr>
          <w:szCs w:val="22"/>
        </w:rPr>
        <w:t xml:space="preserve"> </w:t>
      </w:r>
    </w:p>
    <w:p w14:paraId="1284831C" w14:textId="620C2B8A" w:rsidR="00FC3021" w:rsidRDefault="00F83E02" w:rsidP="00D848C2">
      <w:pPr>
        <w:pStyle w:val="Source"/>
      </w:pPr>
      <w:r w:rsidRPr="00696447">
        <w:t xml:space="preserve">Source: </w:t>
      </w:r>
      <w:r w:rsidR="00C3250B" w:rsidRPr="00621391">
        <w:t xml:space="preserve">PC estimates using ABS </w:t>
      </w:r>
      <w:r w:rsidR="00C3250B" w:rsidRPr="00A00660">
        <w:t>(2025a, unpublished data)</w:t>
      </w:r>
      <w:r w:rsidR="00420DD7">
        <w:t>.</w:t>
      </w:r>
    </w:p>
    <w:p w14:paraId="200DB9E2" w14:textId="3A2E0373" w:rsidR="00FC3021" w:rsidRDefault="00FC3021" w:rsidP="00FC3021">
      <w:pPr>
        <w:pStyle w:val="BodyText"/>
      </w:pPr>
      <w:r w:rsidRPr="00240AB2">
        <w:rPr>
          <w:b/>
          <w:bCs/>
        </w:rPr>
        <w:lastRenderedPageBreak/>
        <w:t>Interest expenses are expected to grow further</w:t>
      </w:r>
      <w:r>
        <w:t xml:space="preserve">, not only due to the accumulation of debt but because of increasing interest rates. Most state debt is </w:t>
      </w:r>
      <w:r w:rsidRPr="007161C5">
        <w:t xml:space="preserve">issued as fixed-rate semi-government bonds </w:t>
      </w:r>
      <w:r>
        <w:t>(semis)</w:t>
      </w:r>
      <w:r w:rsidRPr="007161C5">
        <w:t xml:space="preserve"> with maturities of </w:t>
      </w:r>
      <w:r>
        <w:t>5</w:t>
      </w:r>
      <w:r w:rsidRPr="007161C5">
        <w:t xml:space="preserve"> years or more</w:t>
      </w:r>
      <w:r>
        <w:t xml:space="preserve"> </w:t>
      </w:r>
      <w:r w:rsidRPr="00557781">
        <w:rPr>
          <w:rFonts w:cs="Open Sans"/>
        </w:rPr>
        <w:t>(Batchelor and Roberts 2024, p. 53)</w:t>
      </w:r>
      <w:r>
        <w:t>. Higher interest r</w:t>
      </w:r>
      <w:r w:rsidRPr="007161C5">
        <w:t xml:space="preserve">ates flow through </w:t>
      </w:r>
      <w:r>
        <w:t>gradually</w:t>
      </w:r>
      <w:r w:rsidRPr="007161C5">
        <w:t xml:space="preserve"> as older bonds mature and are refinanced</w:t>
      </w:r>
      <w:r>
        <w:t xml:space="preserve">. States issued significantly more semis during the COVID-19 pandemic, when market interest rates were historically low </w:t>
      </w:r>
      <w:r w:rsidRPr="00C75350">
        <w:rPr>
          <w:rFonts w:cs="Open Sans"/>
        </w:rPr>
        <w:t>(Batchelor and Roberts 2024, p. 52)</w:t>
      </w:r>
      <w:r>
        <w:t>.</w:t>
      </w:r>
      <w:r w:rsidRPr="00973D4B">
        <w:t xml:space="preserve"> </w:t>
      </w:r>
      <w:r>
        <w:t>Prevailing interest rates have since grown significantly.</w:t>
      </w:r>
      <w:r w:rsidRPr="00DF080F">
        <w:t xml:space="preserve"> </w:t>
      </w:r>
    </w:p>
    <w:p w14:paraId="66E1FC15" w14:textId="5EF4FB00" w:rsidR="00596EDE" w:rsidRDefault="00FC3021" w:rsidP="008041D8">
      <w:pPr>
        <w:pStyle w:val="BodyText"/>
      </w:pPr>
      <w:r>
        <w:t>States also pay different interest rates depending on the liquidity of their bond offerings (including the size and trading activity of their bond lines) and any differences in investors’ perceptions of their credit risk. During periods of market stress, there is often a widening in the ‘spread’ of yields on semis relative to Australian Government Securities, which are typically considered a lower-risk option</w:t>
      </w:r>
      <w:r w:rsidRPr="00973D4B">
        <w:t>.</w:t>
      </w:r>
      <w:r>
        <w:t xml:space="preserve"> During the pandemic, the RBA counteracted this effect by purchasing semis from state treasury authorities, which lowered long-term interest rates, but the spread of semis has since rebounded </w:t>
      </w:r>
      <w:r w:rsidRPr="00260217">
        <w:rPr>
          <w:rFonts w:cs="Open Sans"/>
        </w:rPr>
        <w:t>(Batchelor and Roberts 2024; RBA 2020, p. 56)</w:t>
      </w:r>
      <w:r w:rsidRPr="00973D4B">
        <w:t>.</w:t>
      </w:r>
      <w:r w:rsidR="007A5BC6">
        <w:t xml:space="preserve"> </w:t>
      </w:r>
    </w:p>
    <w:p w14:paraId="7480AB9E" w14:textId="40602607" w:rsidR="008041D8" w:rsidRDefault="008041D8" w:rsidP="008041D8">
      <w:pPr>
        <w:pStyle w:val="BodyText"/>
      </w:pPr>
      <w:r>
        <w:t>As a capture of states’ credit quality, credit ratings influence the cost of borrowing, as states with lower credit ratings typically need to issue bonds with higher yields to attract investors</w:t>
      </w:r>
      <w:r w:rsidR="00AF76F4">
        <w:t xml:space="preserve"> </w:t>
      </w:r>
      <w:r w:rsidR="00AF76F4" w:rsidRPr="00AF76F4">
        <w:rPr>
          <w:rFonts w:cs="Open Sans"/>
        </w:rPr>
        <w:t>(Government of Tasmania 2026, p. 11)</w:t>
      </w:r>
      <w:r>
        <w:t>. While overall, states have high credit ratings, there is variation – with Western Australia having a stronger rating and outlook, and the smallest states and Victoria having weaker rating</w:t>
      </w:r>
      <w:r w:rsidR="00AE41EA">
        <w:t>s</w:t>
      </w:r>
      <w:r>
        <w:t xml:space="preserve"> and outlook</w:t>
      </w:r>
      <w:r w:rsidR="00AE41EA">
        <w:t>s</w:t>
      </w:r>
      <w:r>
        <w:t xml:space="preserve"> (table </w:t>
      </w:r>
      <w:r w:rsidR="008452D3">
        <w:t>D</w:t>
      </w:r>
      <w:r>
        <w:t>.</w:t>
      </w:r>
      <w:r w:rsidR="008452D3">
        <w:t>2</w:t>
      </w:r>
      <w:r>
        <w:t xml:space="preserve">). </w:t>
      </w:r>
      <w:r w:rsidR="00027D47">
        <w:t>According to S&amp;P, states’ credit quality has fallen post the COVID-19 pandemic to its lowest point since 2000</w:t>
      </w:r>
      <w:r w:rsidR="00F44B83">
        <w:t xml:space="preserve"> </w:t>
      </w:r>
      <w:r w:rsidR="00D03776" w:rsidRPr="00D03776">
        <w:rPr>
          <w:rFonts w:cs="Open Sans"/>
        </w:rPr>
        <w:t>(S&amp;P Global 2026c)</w:t>
      </w:r>
      <w:r w:rsidR="00F44B83">
        <w:t>.</w:t>
      </w:r>
    </w:p>
    <w:p w14:paraId="0744CBDB" w14:textId="59712695" w:rsidR="008041D8" w:rsidRDefault="008041D8" w:rsidP="008041D8">
      <w:pPr>
        <w:pStyle w:val="FigureTableHeading"/>
      </w:pPr>
      <w:r>
        <w:t xml:space="preserve">Table </w:t>
      </w:r>
      <w:r w:rsidR="00EC6025">
        <w:rPr>
          <w:noProof/>
        </w:rPr>
        <w:t>D</w:t>
      </w:r>
      <w:r>
        <w:t>.</w:t>
      </w:r>
      <w:r w:rsidR="00EC6025">
        <w:rPr>
          <w:noProof/>
        </w:rPr>
        <w:t>2</w:t>
      </w:r>
      <w:r>
        <w:rPr>
          <w:noProof/>
        </w:rPr>
        <w:t xml:space="preserve"> – </w:t>
      </w:r>
      <w:r>
        <w:t xml:space="preserve">State government credit ratings are high overall, with </w:t>
      </w:r>
      <w:r w:rsidR="008D08F2">
        <w:t xml:space="preserve">Western Australia </w:t>
      </w:r>
      <w:r>
        <w:t>having the highest</w:t>
      </w:r>
    </w:p>
    <w:p w14:paraId="754D42FB" w14:textId="404989F6" w:rsidR="008041D8" w:rsidRDefault="008041D8" w:rsidP="008041D8">
      <w:pPr>
        <w:pStyle w:val="FigureTableSubheading"/>
      </w:pPr>
      <w:r>
        <w:t>State treasury corporations long</w:t>
      </w:r>
      <w:r w:rsidR="008D08F2">
        <w:t>-</w:t>
      </w:r>
      <w:r>
        <w:t>term credit rating and issuer outlook</w:t>
      </w:r>
      <w:r w:rsidR="00C22CAA">
        <w:t xml:space="preserve"> (last review date)</w:t>
      </w:r>
    </w:p>
    <w:tbl>
      <w:tblPr>
        <w:tblW w:w="9498" w:type="dxa"/>
        <w:tblBorders>
          <w:bottom w:val="single" w:sz="4" w:space="0" w:color="B3B3B3"/>
          <w:insideH w:val="single" w:sz="4" w:space="0" w:color="B3B3B3"/>
        </w:tblBorders>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951"/>
        <w:gridCol w:w="1068"/>
        <w:gridCol w:w="1068"/>
        <w:gridCol w:w="1069"/>
        <w:gridCol w:w="1068"/>
        <w:gridCol w:w="1068"/>
        <w:gridCol w:w="1069"/>
        <w:gridCol w:w="1068"/>
        <w:gridCol w:w="1069"/>
      </w:tblGrid>
      <w:tr w:rsidR="008041D8" w:rsidRPr="00D41A5F" w14:paraId="0071DF72" w14:textId="77777777" w:rsidTr="00142441">
        <w:trPr>
          <w:trHeight w:val="580"/>
          <w:tblHeader/>
        </w:trPr>
        <w:tc>
          <w:tcPr>
            <w:tcW w:w="951" w:type="dxa"/>
            <w:vAlign w:val="bottom"/>
            <w:hideMark/>
          </w:tcPr>
          <w:p w14:paraId="300FA0C1" w14:textId="77777777" w:rsidR="008041D8" w:rsidRPr="00D41A5F" w:rsidRDefault="008041D8" w:rsidP="001B0B6C">
            <w:pPr>
              <w:spacing w:before="45" w:after="45" w:line="240" w:lineRule="auto"/>
              <w:ind w:left="57" w:right="108"/>
              <w:rPr>
                <w:rFonts w:eastAsia="Times New Roman" w:cs="Open Sans"/>
                <w:b/>
                <w:bCs/>
                <w:color w:val="1D4374"/>
                <w:sz w:val="18"/>
                <w:lang w:eastAsia="en-AU"/>
              </w:rPr>
            </w:pPr>
          </w:p>
        </w:tc>
        <w:tc>
          <w:tcPr>
            <w:tcW w:w="1068" w:type="dxa"/>
            <w:vAlign w:val="bottom"/>
            <w:hideMark/>
          </w:tcPr>
          <w:p w14:paraId="6296D278" w14:textId="77777777" w:rsidR="008041D8" w:rsidRPr="00D41A5F" w:rsidRDefault="008041D8" w:rsidP="00142441">
            <w:pPr>
              <w:spacing w:before="45" w:after="45" w:line="240" w:lineRule="auto"/>
              <w:ind w:left="57" w:right="108"/>
              <w:jc w:val="center"/>
              <w:rPr>
                <w:rFonts w:eastAsia="Times New Roman" w:cs="Open Sans"/>
                <w:b/>
                <w:color w:val="1D4374"/>
                <w:sz w:val="18"/>
                <w:lang w:eastAsia="en-AU"/>
              </w:rPr>
            </w:pPr>
            <w:r w:rsidRPr="00D41A5F">
              <w:rPr>
                <w:rFonts w:eastAsia="Times New Roman" w:cs="Open Sans"/>
                <w:b/>
                <w:color w:val="1D4374"/>
                <w:sz w:val="18"/>
                <w:lang w:eastAsia="en-AU"/>
              </w:rPr>
              <w:t>NSW</w:t>
            </w:r>
          </w:p>
        </w:tc>
        <w:tc>
          <w:tcPr>
            <w:tcW w:w="1068" w:type="dxa"/>
            <w:vAlign w:val="bottom"/>
            <w:hideMark/>
          </w:tcPr>
          <w:p w14:paraId="4F1534F0" w14:textId="77777777" w:rsidR="008041D8" w:rsidRPr="00D41A5F" w:rsidRDefault="008041D8" w:rsidP="00142441">
            <w:pPr>
              <w:spacing w:before="45" w:after="45" w:line="240" w:lineRule="auto"/>
              <w:ind w:left="57" w:right="108"/>
              <w:jc w:val="center"/>
              <w:rPr>
                <w:rFonts w:eastAsia="Times New Roman" w:cs="Open Sans"/>
                <w:b/>
                <w:color w:val="1D4374"/>
                <w:sz w:val="18"/>
                <w:lang w:eastAsia="en-AU"/>
              </w:rPr>
            </w:pPr>
            <w:r w:rsidRPr="00D41A5F">
              <w:rPr>
                <w:rFonts w:eastAsia="Times New Roman" w:cs="Open Sans"/>
                <w:b/>
                <w:color w:val="1D4374"/>
                <w:sz w:val="18"/>
                <w:lang w:eastAsia="en-AU"/>
              </w:rPr>
              <w:t>V</w:t>
            </w:r>
            <w:r>
              <w:rPr>
                <w:rFonts w:eastAsia="Times New Roman" w:cs="Open Sans"/>
                <w:b/>
                <w:color w:val="1D4374"/>
                <w:sz w:val="18"/>
                <w:lang w:eastAsia="en-AU"/>
              </w:rPr>
              <w:t>IC</w:t>
            </w:r>
          </w:p>
        </w:tc>
        <w:tc>
          <w:tcPr>
            <w:tcW w:w="1069" w:type="dxa"/>
            <w:vAlign w:val="bottom"/>
            <w:hideMark/>
          </w:tcPr>
          <w:p w14:paraId="7B9CB1E0" w14:textId="74EB72BB" w:rsidR="008041D8" w:rsidRPr="00D41A5F" w:rsidRDefault="008041D8" w:rsidP="00142441">
            <w:pPr>
              <w:spacing w:before="45" w:after="45" w:line="240" w:lineRule="auto"/>
              <w:ind w:left="57" w:right="108"/>
              <w:jc w:val="center"/>
              <w:rPr>
                <w:rFonts w:eastAsia="Times New Roman" w:cs="Open Sans"/>
                <w:b/>
                <w:color w:val="1D4374"/>
                <w:sz w:val="18"/>
                <w:lang w:eastAsia="en-AU"/>
              </w:rPr>
            </w:pPr>
            <w:r>
              <w:rPr>
                <w:rFonts w:eastAsia="Times New Roman" w:cs="Open Sans"/>
                <w:b/>
                <w:color w:val="1D4374"/>
                <w:sz w:val="18"/>
                <w:lang w:eastAsia="en-AU"/>
              </w:rPr>
              <w:t>QLD</w:t>
            </w:r>
          </w:p>
        </w:tc>
        <w:tc>
          <w:tcPr>
            <w:tcW w:w="1068" w:type="dxa"/>
            <w:vAlign w:val="bottom"/>
            <w:hideMark/>
          </w:tcPr>
          <w:p w14:paraId="4560E4A6" w14:textId="77777777" w:rsidR="008041D8" w:rsidRPr="00D41A5F" w:rsidRDefault="008041D8" w:rsidP="00142441">
            <w:pPr>
              <w:spacing w:before="45" w:after="45" w:line="240" w:lineRule="auto"/>
              <w:ind w:left="57" w:right="108"/>
              <w:jc w:val="center"/>
              <w:rPr>
                <w:rFonts w:eastAsia="Times New Roman" w:cs="Open Sans"/>
                <w:b/>
                <w:color w:val="1D4374"/>
                <w:sz w:val="18"/>
                <w:lang w:eastAsia="en-AU"/>
              </w:rPr>
            </w:pPr>
            <w:r>
              <w:rPr>
                <w:rFonts w:eastAsia="Times New Roman" w:cs="Open Sans"/>
                <w:b/>
                <w:color w:val="1D4374"/>
                <w:sz w:val="18"/>
                <w:lang w:eastAsia="en-AU"/>
              </w:rPr>
              <w:t>WA</w:t>
            </w:r>
          </w:p>
        </w:tc>
        <w:tc>
          <w:tcPr>
            <w:tcW w:w="1068" w:type="dxa"/>
            <w:vAlign w:val="bottom"/>
            <w:hideMark/>
          </w:tcPr>
          <w:p w14:paraId="31307AF7" w14:textId="77777777" w:rsidR="008041D8" w:rsidRPr="00D41A5F" w:rsidRDefault="008041D8" w:rsidP="00142441">
            <w:pPr>
              <w:spacing w:before="45" w:after="45" w:line="240" w:lineRule="auto"/>
              <w:ind w:left="57" w:right="108"/>
              <w:jc w:val="center"/>
              <w:rPr>
                <w:rFonts w:eastAsia="Times New Roman" w:cs="Open Sans"/>
                <w:b/>
                <w:color w:val="1D4374"/>
                <w:sz w:val="18"/>
                <w:lang w:eastAsia="en-AU"/>
              </w:rPr>
            </w:pPr>
            <w:r>
              <w:rPr>
                <w:rFonts w:eastAsia="Times New Roman" w:cs="Open Sans"/>
                <w:b/>
                <w:color w:val="1D4374"/>
                <w:sz w:val="18"/>
                <w:lang w:eastAsia="en-AU"/>
              </w:rPr>
              <w:t>SA</w:t>
            </w:r>
          </w:p>
        </w:tc>
        <w:tc>
          <w:tcPr>
            <w:tcW w:w="1069" w:type="dxa"/>
            <w:vAlign w:val="bottom"/>
            <w:hideMark/>
          </w:tcPr>
          <w:p w14:paraId="2BEA1439" w14:textId="77777777" w:rsidR="008041D8" w:rsidRPr="00D41A5F" w:rsidRDefault="008041D8" w:rsidP="00142441">
            <w:pPr>
              <w:spacing w:before="45" w:after="45" w:line="240" w:lineRule="auto"/>
              <w:ind w:left="57" w:right="108"/>
              <w:jc w:val="center"/>
              <w:rPr>
                <w:rFonts w:eastAsia="Times New Roman" w:cs="Open Sans"/>
                <w:b/>
                <w:color w:val="1D4374"/>
                <w:sz w:val="18"/>
                <w:lang w:eastAsia="en-AU"/>
              </w:rPr>
            </w:pPr>
            <w:r>
              <w:rPr>
                <w:rFonts w:eastAsia="Times New Roman" w:cs="Open Sans"/>
                <w:b/>
                <w:color w:val="1D4374"/>
                <w:sz w:val="18"/>
                <w:lang w:eastAsia="en-AU"/>
              </w:rPr>
              <w:t>TAS</w:t>
            </w:r>
          </w:p>
        </w:tc>
        <w:tc>
          <w:tcPr>
            <w:tcW w:w="1068" w:type="dxa"/>
            <w:vAlign w:val="bottom"/>
            <w:hideMark/>
          </w:tcPr>
          <w:p w14:paraId="4E1694EA" w14:textId="451C9FA4" w:rsidR="008041D8" w:rsidRPr="009A4658" w:rsidRDefault="008041D8" w:rsidP="00142441">
            <w:pPr>
              <w:spacing w:before="45" w:after="45" w:line="240" w:lineRule="auto"/>
              <w:ind w:left="57" w:right="108"/>
              <w:jc w:val="center"/>
              <w:rPr>
                <w:rFonts w:eastAsia="Times New Roman" w:cs="Open Sans"/>
                <w:b/>
                <w:color w:val="1D4374"/>
                <w:sz w:val="18"/>
                <w:vertAlign w:val="superscript"/>
                <w:lang w:eastAsia="en-AU"/>
              </w:rPr>
            </w:pPr>
            <w:proofErr w:type="spellStart"/>
            <w:r w:rsidRPr="00D41A5F">
              <w:rPr>
                <w:rFonts w:eastAsia="Times New Roman" w:cs="Open Sans"/>
                <w:b/>
                <w:color w:val="1D4374"/>
                <w:sz w:val="18"/>
                <w:lang w:eastAsia="en-AU"/>
              </w:rPr>
              <w:t>ACT</w:t>
            </w:r>
            <w:r w:rsidR="00C22CAA">
              <w:rPr>
                <w:rFonts w:eastAsia="Times New Roman" w:cs="Open Sans"/>
                <w:b/>
                <w:color w:val="1D4374"/>
                <w:sz w:val="18"/>
                <w:vertAlign w:val="superscript"/>
                <w:lang w:eastAsia="en-AU"/>
              </w:rPr>
              <w:t>a</w:t>
            </w:r>
            <w:proofErr w:type="spellEnd"/>
          </w:p>
        </w:tc>
        <w:tc>
          <w:tcPr>
            <w:tcW w:w="1069" w:type="dxa"/>
            <w:vAlign w:val="bottom"/>
            <w:hideMark/>
          </w:tcPr>
          <w:p w14:paraId="535BB66A" w14:textId="77777777" w:rsidR="008041D8" w:rsidRPr="00D41A5F" w:rsidRDefault="008041D8" w:rsidP="00142441">
            <w:pPr>
              <w:spacing w:before="45" w:after="45" w:line="240" w:lineRule="auto"/>
              <w:ind w:left="57" w:right="108"/>
              <w:jc w:val="center"/>
              <w:rPr>
                <w:rFonts w:eastAsia="Times New Roman" w:cs="Open Sans"/>
                <w:b/>
                <w:color w:val="1D4374"/>
                <w:sz w:val="18"/>
                <w:lang w:eastAsia="en-AU"/>
              </w:rPr>
            </w:pPr>
            <w:r w:rsidRPr="00D41A5F">
              <w:rPr>
                <w:rFonts w:eastAsia="Times New Roman" w:cs="Open Sans"/>
                <w:b/>
                <w:color w:val="1D4374"/>
                <w:sz w:val="18"/>
                <w:lang w:eastAsia="en-AU"/>
              </w:rPr>
              <w:t>NT</w:t>
            </w:r>
          </w:p>
        </w:tc>
      </w:tr>
      <w:tr w:rsidR="008041D8" w:rsidRPr="00D41A5F" w14:paraId="3354791C" w14:textId="77777777" w:rsidTr="00142441">
        <w:trPr>
          <w:trHeight w:val="580"/>
        </w:trPr>
        <w:tc>
          <w:tcPr>
            <w:tcW w:w="951" w:type="dxa"/>
            <w:hideMark/>
          </w:tcPr>
          <w:p w14:paraId="2B95D136" w14:textId="77777777" w:rsidR="008041D8" w:rsidRPr="00D41A5F" w:rsidRDefault="008041D8" w:rsidP="001B0B6C">
            <w:pPr>
              <w:spacing w:before="45" w:after="45" w:line="240" w:lineRule="auto"/>
              <w:ind w:left="57" w:right="108"/>
              <w:rPr>
                <w:rFonts w:eastAsia="Times New Roman" w:cs="Open Sans"/>
                <w:b/>
                <w:bCs/>
                <w:color w:val="1D4374"/>
                <w:sz w:val="18"/>
                <w:lang w:eastAsia="en-AU"/>
              </w:rPr>
            </w:pPr>
            <w:r w:rsidRPr="00D41A5F">
              <w:rPr>
                <w:rFonts w:eastAsia="Times New Roman" w:cs="Open Sans"/>
                <w:b/>
                <w:bCs/>
                <w:color w:val="1D4374"/>
                <w:sz w:val="18"/>
                <w:lang w:eastAsia="en-AU"/>
              </w:rPr>
              <w:t>S&amp;P</w:t>
            </w:r>
          </w:p>
        </w:tc>
        <w:tc>
          <w:tcPr>
            <w:tcW w:w="1068" w:type="dxa"/>
            <w:hideMark/>
          </w:tcPr>
          <w:p w14:paraId="2D87D252" w14:textId="5E8ED734" w:rsidR="008041D8" w:rsidRPr="00D41A5F" w:rsidRDefault="008041D8" w:rsidP="001B0B6C">
            <w:pPr>
              <w:spacing w:before="45" w:after="45" w:line="240" w:lineRule="auto"/>
              <w:ind w:left="57" w:right="108"/>
              <w:jc w:val="center"/>
              <w:rPr>
                <w:rFonts w:eastAsia="Times New Roman" w:cs="Open Sans"/>
                <w:color w:val="000000"/>
                <w:sz w:val="18"/>
                <w:lang w:eastAsia="en-AU"/>
              </w:rPr>
            </w:pPr>
            <w:r w:rsidRPr="00D41A5F">
              <w:rPr>
                <w:rFonts w:eastAsia="Times New Roman" w:cs="Open Sans"/>
                <w:color w:val="000000"/>
                <w:sz w:val="18"/>
                <w:lang w:eastAsia="en-AU"/>
              </w:rPr>
              <w:t>AA+ / Negative</w:t>
            </w:r>
            <w:r w:rsidR="0004006A">
              <w:rPr>
                <w:rFonts w:eastAsia="Times New Roman" w:cs="Open Sans"/>
                <w:color w:val="000000"/>
                <w:sz w:val="18"/>
                <w:lang w:eastAsia="en-AU"/>
              </w:rPr>
              <w:t xml:space="preserve"> </w:t>
            </w:r>
            <w:r w:rsidR="00546332">
              <w:rPr>
                <w:rFonts w:eastAsia="Times New Roman" w:cs="Open Sans"/>
                <w:color w:val="000000"/>
                <w:sz w:val="18"/>
                <w:lang w:eastAsia="en-AU"/>
              </w:rPr>
              <w:t>(2025)</w:t>
            </w:r>
          </w:p>
        </w:tc>
        <w:tc>
          <w:tcPr>
            <w:tcW w:w="1068" w:type="dxa"/>
            <w:hideMark/>
          </w:tcPr>
          <w:p w14:paraId="4E9C60A1" w14:textId="2B3B02E2" w:rsidR="008041D8" w:rsidRPr="00D41A5F" w:rsidRDefault="008041D8" w:rsidP="001B0B6C">
            <w:pPr>
              <w:spacing w:before="45" w:after="45" w:line="240" w:lineRule="auto"/>
              <w:ind w:left="57" w:right="108"/>
              <w:jc w:val="center"/>
              <w:rPr>
                <w:rFonts w:eastAsia="Times New Roman" w:cs="Open Sans"/>
                <w:color w:val="000000"/>
                <w:sz w:val="18"/>
                <w:lang w:eastAsia="en-AU"/>
              </w:rPr>
            </w:pPr>
            <w:r w:rsidRPr="00D41A5F">
              <w:rPr>
                <w:rFonts w:eastAsia="Times New Roman" w:cs="Open Sans"/>
                <w:color w:val="000000"/>
                <w:sz w:val="18"/>
                <w:lang w:eastAsia="en-AU"/>
              </w:rPr>
              <w:t>AA / Stable</w:t>
            </w:r>
            <w:r w:rsidR="0004006A">
              <w:rPr>
                <w:rFonts w:eastAsia="Times New Roman" w:cs="Open Sans"/>
                <w:color w:val="000000"/>
                <w:sz w:val="18"/>
                <w:lang w:eastAsia="en-AU"/>
              </w:rPr>
              <w:t xml:space="preserve"> </w:t>
            </w:r>
            <w:r w:rsidR="00546332">
              <w:rPr>
                <w:rFonts w:eastAsia="Times New Roman" w:cs="Open Sans"/>
                <w:color w:val="000000"/>
                <w:sz w:val="18"/>
                <w:lang w:eastAsia="en-AU"/>
              </w:rPr>
              <w:t>(2026)</w:t>
            </w:r>
          </w:p>
        </w:tc>
        <w:tc>
          <w:tcPr>
            <w:tcW w:w="1069" w:type="dxa"/>
            <w:hideMark/>
          </w:tcPr>
          <w:p w14:paraId="6033D199" w14:textId="5CA93D60" w:rsidR="008041D8" w:rsidRPr="00D41A5F" w:rsidRDefault="008041D8" w:rsidP="001B0B6C">
            <w:pPr>
              <w:spacing w:before="45" w:after="45" w:line="240" w:lineRule="auto"/>
              <w:ind w:left="57" w:right="108"/>
              <w:jc w:val="center"/>
              <w:rPr>
                <w:rFonts w:eastAsia="Times New Roman" w:cs="Open Sans"/>
                <w:color w:val="000000"/>
                <w:sz w:val="18"/>
                <w:lang w:eastAsia="en-AU"/>
              </w:rPr>
            </w:pPr>
            <w:r w:rsidRPr="00D41A5F">
              <w:rPr>
                <w:rFonts w:eastAsia="Times New Roman" w:cs="Open Sans"/>
                <w:color w:val="000000"/>
                <w:sz w:val="18"/>
                <w:lang w:eastAsia="en-AU"/>
              </w:rPr>
              <w:t>AA+ / Negative</w:t>
            </w:r>
            <w:r w:rsidR="0004006A">
              <w:rPr>
                <w:rFonts w:eastAsia="Times New Roman" w:cs="Open Sans"/>
                <w:color w:val="000000"/>
                <w:sz w:val="18"/>
                <w:lang w:eastAsia="en-AU"/>
              </w:rPr>
              <w:t xml:space="preserve"> </w:t>
            </w:r>
            <w:r w:rsidR="00546332">
              <w:rPr>
                <w:rFonts w:eastAsia="Times New Roman" w:cs="Open Sans"/>
                <w:color w:val="000000"/>
                <w:sz w:val="18"/>
                <w:lang w:eastAsia="en-AU"/>
              </w:rPr>
              <w:t>(</w:t>
            </w:r>
            <w:r w:rsidR="00A36CB4">
              <w:rPr>
                <w:rFonts w:eastAsia="Times New Roman" w:cs="Open Sans"/>
                <w:color w:val="000000"/>
                <w:sz w:val="18"/>
                <w:lang w:eastAsia="en-AU"/>
              </w:rPr>
              <w:t>2026)</w:t>
            </w:r>
          </w:p>
        </w:tc>
        <w:tc>
          <w:tcPr>
            <w:tcW w:w="1068" w:type="dxa"/>
            <w:hideMark/>
          </w:tcPr>
          <w:p w14:paraId="3EFCB94B" w14:textId="2AA890FB" w:rsidR="008041D8" w:rsidRPr="00D41A5F" w:rsidRDefault="008041D8" w:rsidP="001B0B6C">
            <w:pPr>
              <w:spacing w:before="45" w:after="45" w:line="240" w:lineRule="auto"/>
              <w:ind w:left="57" w:right="108"/>
              <w:jc w:val="center"/>
              <w:rPr>
                <w:rFonts w:eastAsia="Times New Roman" w:cs="Open Sans"/>
                <w:color w:val="000000"/>
                <w:sz w:val="18"/>
                <w:lang w:eastAsia="en-AU"/>
              </w:rPr>
            </w:pPr>
            <w:r w:rsidRPr="00D41A5F">
              <w:rPr>
                <w:rFonts w:eastAsia="Times New Roman" w:cs="Open Sans"/>
                <w:color w:val="000000"/>
                <w:sz w:val="18"/>
                <w:lang w:eastAsia="en-AU"/>
              </w:rPr>
              <w:t>AAA / Stable</w:t>
            </w:r>
            <w:r w:rsidR="0004006A">
              <w:rPr>
                <w:rFonts w:eastAsia="Times New Roman" w:cs="Open Sans"/>
                <w:color w:val="000000"/>
                <w:sz w:val="18"/>
                <w:lang w:eastAsia="en-AU"/>
              </w:rPr>
              <w:t xml:space="preserve"> </w:t>
            </w:r>
            <w:r w:rsidR="00A36CB4">
              <w:rPr>
                <w:rFonts w:eastAsia="Times New Roman" w:cs="Open Sans"/>
                <w:color w:val="000000"/>
                <w:sz w:val="18"/>
                <w:lang w:eastAsia="en-AU"/>
              </w:rPr>
              <w:t>(2026)</w:t>
            </w:r>
          </w:p>
        </w:tc>
        <w:tc>
          <w:tcPr>
            <w:tcW w:w="1068" w:type="dxa"/>
            <w:hideMark/>
          </w:tcPr>
          <w:p w14:paraId="005D3C81" w14:textId="244EAC2D" w:rsidR="008041D8" w:rsidRPr="00D41A5F" w:rsidRDefault="008041D8" w:rsidP="001B0B6C">
            <w:pPr>
              <w:spacing w:before="45" w:after="45" w:line="240" w:lineRule="auto"/>
              <w:ind w:left="57" w:right="108"/>
              <w:jc w:val="center"/>
              <w:rPr>
                <w:rFonts w:eastAsia="Times New Roman" w:cs="Open Sans"/>
                <w:color w:val="000000"/>
                <w:sz w:val="18"/>
                <w:lang w:eastAsia="en-AU"/>
              </w:rPr>
            </w:pPr>
            <w:r w:rsidRPr="00D41A5F">
              <w:rPr>
                <w:rFonts w:eastAsia="Times New Roman" w:cs="Open Sans"/>
                <w:color w:val="000000"/>
                <w:sz w:val="18"/>
                <w:lang w:eastAsia="en-AU"/>
              </w:rPr>
              <w:t>AA+ / Stable</w:t>
            </w:r>
            <w:r w:rsidR="0004006A">
              <w:rPr>
                <w:rFonts w:eastAsia="Times New Roman" w:cs="Open Sans"/>
                <w:color w:val="000000"/>
                <w:sz w:val="18"/>
                <w:lang w:eastAsia="en-AU"/>
              </w:rPr>
              <w:t xml:space="preserve"> </w:t>
            </w:r>
            <w:r w:rsidR="00A36CB4">
              <w:rPr>
                <w:rFonts w:eastAsia="Times New Roman" w:cs="Open Sans"/>
                <w:color w:val="000000"/>
                <w:sz w:val="18"/>
                <w:lang w:eastAsia="en-AU"/>
              </w:rPr>
              <w:t>(2026)</w:t>
            </w:r>
          </w:p>
        </w:tc>
        <w:tc>
          <w:tcPr>
            <w:tcW w:w="1069" w:type="dxa"/>
            <w:hideMark/>
          </w:tcPr>
          <w:p w14:paraId="13E6D491" w14:textId="4EB00391" w:rsidR="008041D8" w:rsidRPr="00D41A5F" w:rsidRDefault="008041D8" w:rsidP="001B0B6C">
            <w:pPr>
              <w:spacing w:before="45" w:after="45" w:line="240" w:lineRule="auto"/>
              <w:ind w:left="57" w:right="108"/>
              <w:jc w:val="center"/>
              <w:rPr>
                <w:rFonts w:eastAsia="Times New Roman" w:cs="Open Sans"/>
                <w:color w:val="000000"/>
                <w:sz w:val="18"/>
                <w:lang w:eastAsia="en-AU"/>
              </w:rPr>
            </w:pPr>
            <w:r w:rsidRPr="00D41A5F">
              <w:rPr>
                <w:rFonts w:eastAsia="Times New Roman" w:cs="Open Sans"/>
                <w:color w:val="000000"/>
                <w:sz w:val="18"/>
                <w:lang w:eastAsia="en-AU"/>
              </w:rPr>
              <w:t>AA / Stable</w:t>
            </w:r>
            <w:r w:rsidR="0004006A">
              <w:rPr>
                <w:rFonts w:eastAsia="Times New Roman" w:cs="Open Sans"/>
                <w:color w:val="000000"/>
                <w:sz w:val="18"/>
                <w:lang w:eastAsia="en-AU"/>
              </w:rPr>
              <w:t xml:space="preserve"> </w:t>
            </w:r>
            <w:r w:rsidR="00A36CB4">
              <w:rPr>
                <w:rFonts w:eastAsia="Times New Roman" w:cs="Open Sans"/>
                <w:color w:val="000000"/>
                <w:sz w:val="18"/>
                <w:lang w:eastAsia="en-AU"/>
              </w:rPr>
              <w:t>(2025)</w:t>
            </w:r>
          </w:p>
        </w:tc>
        <w:tc>
          <w:tcPr>
            <w:tcW w:w="1068" w:type="dxa"/>
            <w:hideMark/>
          </w:tcPr>
          <w:p w14:paraId="19757EE5" w14:textId="41996B51" w:rsidR="008041D8" w:rsidRPr="00D41A5F" w:rsidRDefault="008041D8" w:rsidP="001B0B6C">
            <w:pPr>
              <w:spacing w:before="45" w:after="45" w:line="240" w:lineRule="auto"/>
              <w:ind w:left="57" w:right="108"/>
              <w:jc w:val="center"/>
              <w:rPr>
                <w:rFonts w:eastAsia="Times New Roman" w:cs="Open Sans"/>
                <w:color w:val="000000"/>
                <w:sz w:val="18"/>
                <w:lang w:eastAsia="en-AU"/>
              </w:rPr>
            </w:pPr>
            <w:r w:rsidRPr="00D41A5F">
              <w:rPr>
                <w:rFonts w:eastAsia="Times New Roman" w:cs="Open Sans"/>
                <w:color w:val="000000"/>
                <w:sz w:val="18"/>
                <w:lang w:eastAsia="en-AU"/>
              </w:rPr>
              <w:t>AA / Stable</w:t>
            </w:r>
            <w:r w:rsidR="0004006A">
              <w:rPr>
                <w:rFonts w:eastAsia="Times New Roman" w:cs="Open Sans"/>
                <w:color w:val="000000"/>
                <w:sz w:val="18"/>
                <w:lang w:eastAsia="en-AU"/>
              </w:rPr>
              <w:t xml:space="preserve"> </w:t>
            </w:r>
            <w:r w:rsidR="00A36CB4">
              <w:rPr>
                <w:rFonts w:eastAsia="Times New Roman" w:cs="Open Sans"/>
                <w:color w:val="000000"/>
                <w:sz w:val="18"/>
                <w:lang w:eastAsia="en-AU"/>
              </w:rPr>
              <w:t>(2025)</w:t>
            </w:r>
          </w:p>
        </w:tc>
        <w:tc>
          <w:tcPr>
            <w:tcW w:w="1069" w:type="dxa"/>
            <w:hideMark/>
          </w:tcPr>
          <w:p w14:paraId="4B91CC39" w14:textId="77777777" w:rsidR="008041D8" w:rsidRPr="00D41A5F" w:rsidRDefault="008041D8" w:rsidP="001B0B6C">
            <w:pPr>
              <w:spacing w:before="45" w:after="45" w:line="240" w:lineRule="auto"/>
              <w:ind w:left="57" w:right="108"/>
              <w:jc w:val="center"/>
              <w:rPr>
                <w:rFonts w:eastAsia="Times New Roman" w:cs="Open Sans"/>
                <w:color w:val="000000"/>
                <w:sz w:val="18"/>
                <w:lang w:eastAsia="en-AU"/>
              </w:rPr>
            </w:pPr>
            <w:r w:rsidRPr="00D41A5F">
              <w:rPr>
                <w:rFonts w:eastAsia="Times New Roman" w:cs="Open Sans"/>
                <w:color w:val="000000"/>
                <w:sz w:val="18"/>
                <w:lang w:eastAsia="en-AU"/>
              </w:rPr>
              <w:t>-</w:t>
            </w:r>
          </w:p>
        </w:tc>
      </w:tr>
      <w:tr w:rsidR="008041D8" w:rsidRPr="00D41A5F" w14:paraId="7DC27963" w14:textId="77777777" w:rsidTr="00142441">
        <w:trPr>
          <w:trHeight w:val="580"/>
        </w:trPr>
        <w:tc>
          <w:tcPr>
            <w:tcW w:w="951" w:type="dxa"/>
            <w:hideMark/>
          </w:tcPr>
          <w:p w14:paraId="4AB70163" w14:textId="77777777" w:rsidR="008041D8" w:rsidRPr="00D41A5F" w:rsidRDefault="008041D8" w:rsidP="001B0B6C">
            <w:pPr>
              <w:spacing w:before="45" w:after="45" w:line="240" w:lineRule="auto"/>
              <w:ind w:left="57" w:right="108"/>
              <w:rPr>
                <w:rFonts w:eastAsia="Times New Roman" w:cs="Open Sans"/>
                <w:b/>
                <w:bCs/>
                <w:color w:val="1D4374"/>
                <w:sz w:val="18"/>
                <w:lang w:eastAsia="en-AU"/>
              </w:rPr>
            </w:pPr>
            <w:r w:rsidRPr="00D41A5F">
              <w:rPr>
                <w:rFonts w:eastAsia="Times New Roman" w:cs="Open Sans"/>
                <w:b/>
                <w:bCs/>
                <w:color w:val="1D4374"/>
                <w:sz w:val="18"/>
                <w:lang w:eastAsia="en-AU"/>
              </w:rPr>
              <w:t>Moody’s</w:t>
            </w:r>
          </w:p>
        </w:tc>
        <w:tc>
          <w:tcPr>
            <w:tcW w:w="1068" w:type="dxa"/>
            <w:hideMark/>
          </w:tcPr>
          <w:p w14:paraId="69BD011D" w14:textId="109C829F" w:rsidR="008041D8" w:rsidRPr="00D41A5F" w:rsidRDefault="008041D8" w:rsidP="001B0B6C">
            <w:pPr>
              <w:spacing w:before="45" w:after="45" w:line="240" w:lineRule="auto"/>
              <w:ind w:left="57" w:right="108"/>
              <w:jc w:val="center"/>
              <w:rPr>
                <w:rFonts w:eastAsia="Times New Roman" w:cs="Open Sans"/>
                <w:color w:val="000000"/>
                <w:sz w:val="18"/>
                <w:lang w:eastAsia="en-AU"/>
              </w:rPr>
            </w:pPr>
            <w:proofErr w:type="spellStart"/>
            <w:r w:rsidRPr="00D41A5F">
              <w:rPr>
                <w:rFonts w:eastAsia="Times New Roman" w:cs="Open Sans"/>
                <w:color w:val="000000"/>
                <w:sz w:val="18"/>
                <w:lang w:eastAsia="en-AU"/>
              </w:rPr>
              <w:t>Aaa</w:t>
            </w:r>
            <w:proofErr w:type="spellEnd"/>
            <w:r w:rsidRPr="00D41A5F">
              <w:rPr>
                <w:rFonts w:eastAsia="Times New Roman" w:cs="Open Sans"/>
                <w:color w:val="000000"/>
                <w:sz w:val="18"/>
                <w:lang w:eastAsia="en-AU"/>
              </w:rPr>
              <w:t xml:space="preserve"> / Stable</w:t>
            </w:r>
            <w:r w:rsidR="0004006A">
              <w:rPr>
                <w:rFonts w:eastAsia="Times New Roman" w:cs="Open Sans"/>
                <w:color w:val="000000"/>
                <w:sz w:val="18"/>
                <w:lang w:eastAsia="en-AU"/>
              </w:rPr>
              <w:t xml:space="preserve"> </w:t>
            </w:r>
            <w:r w:rsidR="00A36CB4">
              <w:rPr>
                <w:rFonts w:eastAsia="Times New Roman" w:cs="Open Sans"/>
                <w:color w:val="000000"/>
                <w:sz w:val="18"/>
                <w:lang w:eastAsia="en-AU"/>
              </w:rPr>
              <w:t>(2023)</w:t>
            </w:r>
          </w:p>
        </w:tc>
        <w:tc>
          <w:tcPr>
            <w:tcW w:w="1068" w:type="dxa"/>
            <w:hideMark/>
          </w:tcPr>
          <w:p w14:paraId="12E0A0B0" w14:textId="2BBE9A31" w:rsidR="008041D8" w:rsidRPr="00D41A5F" w:rsidRDefault="008041D8" w:rsidP="001B0B6C">
            <w:pPr>
              <w:spacing w:before="45" w:after="45" w:line="240" w:lineRule="auto"/>
              <w:ind w:left="57" w:right="108"/>
              <w:jc w:val="center"/>
              <w:rPr>
                <w:rFonts w:eastAsia="Times New Roman" w:cs="Open Sans"/>
                <w:color w:val="000000"/>
                <w:sz w:val="18"/>
                <w:lang w:eastAsia="en-AU"/>
              </w:rPr>
            </w:pPr>
            <w:r w:rsidRPr="00D41A5F">
              <w:rPr>
                <w:rFonts w:eastAsia="Times New Roman" w:cs="Open Sans"/>
                <w:color w:val="000000"/>
                <w:sz w:val="18"/>
                <w:lang w:eastAsia="en-AU"/>
              </w:rPr>
              <w:t>Aa2 / Stable</w:t>
            </w:r>
            <w:r w:rsidR="0004006A">
              <w:rPr>
                <w:rFonts w:eastAsia="Times New Roman" w:cs="Open Sans"/>
                <w:color w:val="000000"/>
                <w:sz w:val="18"/>
                <w:lang w:eastAsia="en-AU"/>
              </w:rPr>
              <w:t xml:space="preserve"> (2024)</w:t>
            </w:r>
          </w:p>
        </w:tc>
        <w:tc>
          <w:tcPr>
            <w:tcW w:w="1069" w:type="dxa"/>
            <w:hideMark/>
          </w:tcPr>
          <w:p w14:paraId="4E8129AC" w14:textId="68EF54D4" w:rsidR="008041D8" w:rsidRPr="00D41A5F" w:rsidRDefault="008041D8" w:rsidP="001B0B6C">
            <w:pPr>
              <w:spacing w:before="45" w:after="45" w:line="240" w:lineRule="auto"/>
              <w:ind w:left="57" w:right="108"/>
              <w:jc w:val="center"/>
              <w:rPr>
                <w:rFonts w:eastAsia="Times New Roman" w:cs="Open Sans"/>
                <w:color w:val="000000"/>
                <w:sz w:val="18"/>
                <w:lang w:eastAsia="en-AU"/>
              </w:rPr>
            </w:pPr>
            <w:r w:rsidRPr="00D41A5F">
              <w:rPr>
                <w:rFonts w:eastAsia="Times New Roman" w:cs="Open Sans"/>
                <w:color w:val="000000"/>
                <w:sz w:val="18"/>
                <w:lang w:eastAsia="en-AU"/>
              </w:rPr>
              <w:t>Aa1 / Stable</w:t>
            </w:r>
            <w:r w:rsidR="0004006A">
              <w:rPr>
                <w:rFonts w:eastAsia="Times New Roman" w:cs="Open Sans"/>
                <w:color w:val="000000"/>
                <w:sz w:val="18"/>
                <w:lang w:eastAsia="en-AU"/>
              </w:rPr>
              <w:t xml:space="preserve"> (2024)</w:t>
            </w:r>
          </w:p>
        </w:tc>
        <w:tc>
          <w:tcPr>
            <w:tcW w:w="1068" w:type="dxa"/>
            <w:hideMark/>
          </w:tcPr>
          <w:p w14:paraId="4C288BFE" w14:textId="3A63DFDA" w:rsidR="008041D8" w:rsidRPr="00D41A5F" w:rsidRDefault="008041D8" w:rsidP="001B0B6C">
            <w:pPr>
              <w:spacing w:before="45" w:after="45" w:line="240" w:lineRule="auto"/>
              <w:ind w:left="57" w:right="108"/>
              <w:jc w:val="center"/>
              <w:rPr>
                <w:rFonts w:eastAsia="Times New Roman" w:cs="Open Sans"/>
                <w:color w:val="000000"/>
                <w:sz w:val="18"/>
                <w:lang w:eastAsia="en-AU"/>
              </w:rPr>
            </w:pPr>
            <w:proofErr w:type="spellStart"/>
            <w:r w:rsidRPr="00D41A5F">
              <w:rPr>
                <w:rFonts w:eastAsia="Times New Roman" w:cs="Open Sans"/>
                <w:color w:val="000000"/>
                <w:sz w:val="18"/>
                <w:lang w:eastAsia="en-AU"/>
              </w:rPr>
              <w:t>Aaa</w:t>
            </w:r>
            <w:proofErr w:type="spellEnd"/>
            <w:r w:rsidRPr="00D41A5F">
              <w:rPr>
                <w:rFonts w:eastAsia="Times New Roman" w:cs="Open Sans"/>
                <w:color w:val="000000"/>
                <w:sz w:val="18"/>
                <w:lang w:eastAsia="en-AU"/>
              </w:rPr>
              <w:t xml:space="preserve"> / Stable</w:t>
            </w:r>
            <w:r w:rsidR="0004006A">
              <w:rPr>
                <w:rFonts w:eastAsia="Times New Roman" w:cs="Open Sans"/>
                <w:color w:val="000000"/>
                <w:sz w:val="18"/>
                <w:lang w:eastAsia="en-AU"/>
              </w:rPr>
              <w:t xml:space="preserve"> (</w:t>
            </w:r>
            <w:r w:rsidR="00821194">
              <w:rPr>
                <w:rFonts w:eastAsia="Times New Roman" w:cs="Open Sans"/>
                <w:color w:val="000000"/>
                <w:sz w:val="18"/>
                <w:lang w:eastAsia="en-AU"/>
              </w:rPr>
              <w:t>2026)</w:t>
            </w:r>
          </w:p>
        </w:tc>
        <w:tc>
          <w:tcPr>
            <w:tcW w:w="1068" w:type="dxa"/>
            <w:hideMark/>
          </w:tcPr>
          <w:p w14:paraId="4A8F6750" w14:textId="634EA46B" w:rsidR="008041D8" w:rsidRPr="00D41A5F" w:rsidRDefault="008041D8" w:rsidP="001B0B6C">
            <w:pPr>
              <w:spacing w:before="45" w:after="45" w:line="240" w:lineRule="auto"/>
              <w:ind w:left="57" w:right="108"/>
              <w:jc w:val="center"/>
              <w:rPr>
                <w:rFonts w:eastAsia="Times New Roman" w:cs="Open Sans"/>
                <w:color w:val="000000"/>
                <w:sz w:val="18"/>
                <w:lang w:eastAsia="en-AU"/>
              </w:rPr>
            </w:pPr>
            <w:r w:rsidRPr="00D41A5F">
              <w:rPr>
                <w:rFonts w:eastAsia="Times New Roman" w:cs="Open Sans"/>
                <w:color w:val="000000"/>
                <w:sz w:val="18"/>
                <w:lang w:eastAsia="en-AU"/>
              </w:rPr>
              <w:t>Aa1 / Stable</w:t>
            </w:r>
            <w:r w:rsidR="00481C76">
              <w:rPr>
                <w:rFonts w:eastAsia="Times New Roman" w:cs="Open Sans"/>
                <w:color w:val="000000"/>
                <w:sz w:val="18"/>
                <w:lang w:eastAsia="en-AU"/>
              </w:rPr>
              <w:t xml:space="preserve"> (2024)</w:t>
            </w:r>
          </w:p>
        </w:tc>
        <w:tc>
          <w:tcPr>
            <w:tcW w:w="1069" w:type="dxa"/>
            <w:hideMark/>
          </w:tcPr>
          <w:p w14:paraId="7A7B524F" w14:textId="2CB56696" w:rsidR="008041D8" w:rsidRPr="00D41A5F" w:rsidRDefault="008041D8" w:rsidP="001B0B6C">
            <w:pPr>
              <w:spacing w:before="45" w:after="45" w:line="240" w:lineRule="auto"/>
              <w:ind w:left="57" w:right="108"/>
              <w:jc w:val="center"/>
              <w:rPr>
                <w:rFonts w:eastAsia="Times New Roman" w:cs="Open Sans"/>
                <w:color w:val="000000"/>
                <w:sz w:val="18"/>
                <w:lang w:eastAsia="en-AU"/>
              </w:rPr>
            </w:pPr>
            <w:r w:rsidRPr="00D41A5F">
              <w:rPr>
                <w:rFonts w:eastAsia="Times New Roman" w:cs="Open Sans"/>
                <w:color w:val="000000"/>
                <w:sz w:val="18"/>
                <w:lang w:eastAsia="en-AU"/>
              </w:rPr>
              <w:t>Aa3 / Stable</w:t>
            </w:r>
            <w:r w:rsidR="00481C76">
              <w:rPr>
                <w:rFonts w:eastAsia="Times New Roman" w:cs="Open Sans"/>
                <w:color w:val="000000"/>
                <w:sz w:val="18"/>
                <w:lang w:eastAsia="en-AU"/>
              </w:rPr>
              <w:t xml:space="preserve"> (2025)</w:t>
            </w:r>
          </w:p>
        </w:tc>
        <w:tc>
          <w:tcPr>
            <w:tcW w:w="1068" w:type="dxa"/>
            <w:hideMark/>
          </w:tcPr>
          <w:p w14:paraId="68119044" w14:textId="77777777" w:rsidR="008041D8" w:rsidRPr="00D41A5F" w:rsidRDefault="008041D8" w:rsidP="001B0B6C">
            <w:pPr>
              <w:spacing w:before="45" w:after="45" w:line="240" w:lineRule="auto"/>
              <w:ind w:left="57" w:right="108"/>
              <w:jc w:val="center"/>
              <w:rPr>
                <w:rFonts w:eastAsia="Times New Roman" w:cs="Open Sans"/>
                <w:color w:val="000000"/>
                <w:sz w:val="18"/>
                <w:lang w:eastAsia="en-AU"/>
              </w:rPr>
            </w:pPr>
            <w:r w:rsidRPr="00D41A5F">
              <w:rPr>
                <w:rFonts w:eastAsia="Times New Roman" w:cs="Open Sans"/>
                <w:color w:val="000000"/>
                <w:sz w:val="18"/>
                <w:lang w:eastAsia="en-AU"/>
              </w:rPr>
              <w:t>-</w:t>
            </w:r>
          </w:p>
        </w:tc>
        <w:tc>
          <w:tcPr>
            <w:tcW w:w="1069" w:type="dxa"/>
            <w:hideMark/>
          </w:tcPr>
          <w:p w14:paraId="04D86C61" w14:textId="183C20EB" w:rsidR="008041D8" w:rsidRPr="00D41A5F" w:rsidRDefault="008041D8" w:rsidP="001B0B6C">
            <w:pPr>
              <w:spacing w:before="45" w:after="45" w:line="240" w:lineRule="auto"/>
              <w:ind w:left="57" w:right="108"/>
              <w:jc w:val="center"/>
              <w:rPr>
                <w:rFonts w:eastAsia="Times New Roman" w:cs="Open Sans"/>
                <w:color w:val="000000"/>
                <w:sz w:val="18"/>
                <w:lang w:eastAsia="en-AU"/>
              </w:rPr>
            </w:pPr>
            <w:r w:rsidRPr="00D41A5F">
              <w:rPr>
                <w:rFonts w:eastAsia="Times New Roman" w:cs="Open Sans"/>
                <w:color w:val="000000"/>
                <w:sz w:val="18"/>
                <w:lang w:eastAsia="en-AU"/>
              </w:rPr>
              <w:t>Aa3 / Stable</w:t>
            </w:r>
            <w:r w:rsidR="00481C76">
              <w:rPr>
                <w:rFonts w:eastAsia="Times New Roman" w:cs="Open Sans"/>
                <w:color w:val="000000"/>
                <w:sz w:val="18"/>
                <w:lang w:eastAsia="en-AU"/>
              </w:rPr>
              <w:t xml:space="preserve"> (2025)</w:t>
            </w:r>
          </w:p>
        </w:tc>
      </w:tr>
    </w:tbl>
    <w:p w14:paraId="54AFDCB8" w14:textId="77777777" w:rsidR="00270DF4" w:rsidRDefault="008041D8" w:rsidP="00980E23">
      <w:pPr>
        <w:pStyle w:val="Note"/>
        <w:rPr>
          <w:szCs w:val="22"/>
        </w:rPr>
      </w:pPr>
      <w:r>
        <w:t xml:space="preserve">Blanks indicate where the credit rating agency has not </w:t>
      </w:r>
      <w:r w:rsidR="00C22CAA">
        <w:t>provided a recent rating</w:t>
      </w:r>
      <w:r>
        <w:t>.</w:t>
      </w:r>
      <w:r w:rsidR="00786823">
        <w:t xml:space="preserve"> </w:t>
      </w:r>
      <w:r w:rsidR="00786823" w:rsidRPr="009A4658">
        <w:rPr>
          <w:b/>
          <w:bCs/>
        </w:rPr>
        <w:t>a.</w:t>
      </w:r>
      <w:r w:rsidR="00980E23" w:rsidRPr="00980E23">
        <w:rPr>
          <w:szCs w:val="22"/>
        </w:rPr>
        <w:t xml:space="preserve"> </w:t>
      </w:r>
      <w:r w:rsidR="000A5FBD">
        <w:rPr>
          <w:szCs w:val="22"/>
        </w:rPr>
        <w:t xml:space="preserve">The </w:t>
      </w:r>
      <w:r w:rsidR="001863F4">
        <w:rPr>
          <w:szCs w:val="22"/>
        </w:rPr>
        <w:t xml:space="preserve">Australian Capital Territory </w:t>
      </w:r>
      <w:r w:rsidR="003B5082">
        <w:rPr>
          <w:szCs w:val="22"/>
        </w:rPr>
        <w:t xml:space="preserve">does not have a separate treasury </w:t>
      </w:r>
      <w:proofErr w:type="gramStart"/>
      <w:r w:rsidR="003B5082">
        <w:rPr>
          <w:szCs w:val="22"/>
        </w:rPr>
        <w:t>corporation,</w:t>
      </w:r>
      <w:proofErr w:type="gramEnd"/>
      <w:r w:rsidR="003B5082">
        <w:rPr>
          <w:szCs w:val="22"/>
        </w:rPr>
        <w:t xml:space="preserve"> accordingly the </w:t>
      </w:r>
      <w:r w:rsidR="00B834B3">
        <w:rPr>
          <w:szCs w:val="22"/>
        </w:rPr>
        <w:t xml:space="preserve">credit rating is of the </w:t>
      </w:r>
      <w:r w:rsidR="000306A0">
        <w:rPr>
          <w:szCs w:val="22"/>
        </w:rPr>
        <w:t>state</w:t>
      </w:r>
      <w:r w:rsidR="00B834B3">
        <w:rPr>
          <w:szCs w:val="22"/>
        </w:rPr>
        <w:t>.</w:t>
      </w:r>
    </w:p>
    <w:p w14:paraId="512A475F" w14:textId="38A2B2BD" w:rsidR="008041D8" w:rsidRDefault="008041D8" w:rsidP="00270DF4">
      <w:pPr>
        <w:pStyle w:val="Source"/>
      </w:pPr>
      <w:r w:rsidRPr="00696447">
        <w:t xml:space="preserve">Source: </w:t>
      </w:r>
      <w:r>
        <w:t xml:space="preserve">S&amp;P Global </w:t>
      </w:r>
      <w:r w:rsidR="00D03776" w:rsidRPr="00D03776">
        <w:t>(2025a, 2025b, 2025c, 2026c, 2026d, 2026a, 2026e, 2026b)</w:t>
      </w:r>
      <w:r>
        <w:t xml:space="preserve">, Moody’s Ratings </w:t>
      </w:r>
      <w:r w:rsidRPr="00766DFF">
        <w:t>(2023, 2024c, 2024a, 2024b, 2025a, 2025b, 2026b)</w:t>
      </w:r>
      <w:r w:rsidRPr="00696447">
        <w:t>.</w:t>
      </w:r>
    </w:p>
    <w:p w14:paraId="63FCD8E4" w14:textId="4923CDD6" w:rsidR="0018611A" w:rsidRDefault="00EE1000" w:rsidP="009C456A">
      <w:pPr>
        <w:pStyle w:val="BodyText"/>
      </w:pPr>
      <w:r w:rsidRPr="00DF080F">
        <w:t xml:space="preserve">The effect </w:t>
      </w:r>
      <w:r>
        <w:t xml:space="preserve">of increased interest rates </w:t>
      </w:r>
      <w:r w:rsidRPr="00DF080F">
        <w:t>on state budgets will flow through gradually because much state debt is fixed-rate and long-dated</w:t>
      </w:r>
      <w:r>
        <w:t xml:space="preserve">. </w:t>
      </w:r>
      <w:r w:rsidR="008C6FD9" w:rsidRPr="00511E37">
        <w:t>Around one third of state government bonds (at face value) on issue will mature between 2026–27 and 2029–30</w:t>
      </w:r>
      <w:r w:rsidR="008C6FD9" w:rsidRPr="00CF710F">
        <w:t xml:space="preserve"> </w:t>
      </w:r>
      <w:r w:rsidR="00F43C35" w:rsidRPr="00F43C35">
        <w:rPr>
          <w:rFonts w:cs="Open Sans"/>
        </w:rPr>
        <w:t>(PC estimates using ACT Government 2026b; NT Government 2026b; QTC 2026b; SAFA 2026; TASCORP 2026; TCorp 2026; TCV 2026a; WATC 2026b)</w:t>
      </w:r>
      <w:r w:rsidR="008C6FD9" w:rsidRPr="00CF710F">
        <w:t>.</w:t>
      </w:r>
      <w:r w:rsidR="005C1E5F">
        <w:t xml:space="preserve"> </w:t>
      </w:r>
      <w:r>
        <w:t xml:space="preserve">Given the expectation of </w:t>
      </w:r>
      <w:r w:rsidR="002D03CB">
        <w:t>ongoing</w:t>
      </w:r>
      <w:r>
        <w:t xml:space="preserve"> deficits and</w:t>
      </w:r>
      <w:r w:rsidR="00D80C1D">
        <w:t xml:space="preserve"> states’ </w:t>
      </w:r>
      <w:r w:rsidR="00F07814">
        <w:t>current debt position, these bonds will likely need to be refinanced at prevailing market rates</w:t>
      </w:r>
      <w:r>
        <w:t xml:space="preserve"> </w:t>
      </w:r>
      <w:r w:rsidRPr="00DF080F">
        <w:t xml:space="preserve">putting upward pressure on state interest expenses. </w:t>
      </w:r>
      <w:r w:rsidR="006725B4">
        <w:t>This is consistent with the</w:t>
      </w:r>
      <w:r w:rsidRPr="00DF080F">
        <w:t xml:space="preserve"> </w:t>
      </w:r>
      <w:r w:rsidR="00AD6C03">
        <w:t>Parliamentary Budget Office’s</w:t>
      </w:r>
      <w:r w:rsidRPr="00DF080F">
        <w:t xml:space="preserve"> </w:t>
      </w:r>
      <w:r w:rsidRPr="00142441">
        <w:rPr>
          <w:i/>
        </w:rPr>
        <w:t>National Fiscal Outlook</w:t>
      </w:r>
      <w:r w:rsidR="006725B4">
        <w:t xml:space="preserve">, which has </w:t>
      </w:r>
      <w:r w:rsidRPr="00DF080F">
        <w:t xml:space="preserve">forecast </w:t>
      </w:r>
      <w:r>
        <w:t xml:space="preserve">overall </w:t>
      </w:r>
      <w:r w:rsidRPr="00DF080F">
        <w:t xml:space="preserve">public debt interest payments </w:t>
      </w:r>
      <w:r w:rsidR="00615A00">
        <w:t>will</w:t>
      </w:r>
      <w:r w:rsidR="004501CD" w:rsidRPr="00DF080F">
        <w:t xml:space="preserve"> </w:t>
      </w:r>
      <w:r w:rsidRPr="00DF080F">
        <w:t>increase due to higher debt levels, tight monetary policy settings and global market conditions</w:t>
      </w:r>
      <w:r>
        <w:t xml:space="preserve"> </w:t>
      </w:r>
      <w:r w:rsidRPr="00605CDC">
        <w:rPr>
          <w:rFonts w:cs="Open Sans"/>
        </w:rPr>
        <w:t>(PBO 2025b, p. 1)</w:t>
      </w:r>
      <w:r w:rsidRPr="00DF080F">
        <w:t xml:space="preserve">. </w:t>
      </w:r>
    </w:p>
    <w:p w14:paraId="5B37A134" w14:textId="50B1AED9" w:rsidR="006E1AC9" w:rsidRDefault="00376259" w:rsidP="004F2A72">
      <w:pPr>
        <w:pStyle w:val="Heading3"/>
      </w:pPr>
      <w:r>
        <w:lastRenderedPageBreak/>
        <w:t>For most states, neither own</w:t>
      </w:r>
      <w:r w:rsidR="003506CD">
        <w:t>-</w:t>
      </w:r>
      <w:r>
        <w:t xml:space="preserve">source revenue nor </w:t>
      </w:r>
      <w:r w:rsidR="00B07CED">
        <w:t>Commonwealth payments</w:t>
      </w:r>
      <w:r>
        <w:t xml:space="preserve"> have kept pace with growth in expenditures</w:t>
      </w:r>
    </w:p>
    <w:p w14:paraId="33775C3D" w14:textId="35804247" w:rsidR="001A206D" w:rsidRDefault="001A206D" w:rsidP="001A206D">
      <w:r>
        <w:t>State governments collect their own</w:t>
      </w:r>
      <w:r w:rsidR="003506CD">
        <w:t>-</w:t>
      </w:r>
      <w:r>
        <w:t xml:space="preserve">source revenue through taxation and other mechanisms, including interest income and the sale of goods and services. However, </w:t>
      </w:r>
      <w:r w:rsidR="00314DFD">
        <w:t>consistent with</w:t>
      </w:r>
      <w:r>
        <w:t xml:space="preserve"> vertical fiscal imbalance, a substantial portion of state revenue comes from grants and subsidies provided by the </w:t>
      </w:r>
      <w:r w:rsidR="00DA492E">
        <w:t>Australian Government</w:t>
      </w:r>
      <w:r>
        <w:t xml:space="preserve">. The most significant </w:t>
      </w:r>
      <w:r w:rsidR="00A97C48">
        <w:t>transfer between the</w:t>
      </w:r>
      <w:r>
        <w:t xml:space="preserve"> </w:t>
      </w:r>
      <w:r w:rsidR="005847F5">
        <w:t xml:space="preserve">Australian Government </w:t>
      </w:r>
      <w:r w:rsidR="00A97C48">
        <w:t>and the states is</w:t>
      </w:r>
      <w:r>
        <w:t xml:space="preserve"> GST</w:t>
      </w:r>
      <w:r w:rsidR="00A97C48">
        <w:t xml:space="preserve"> revenue</w:t>
      </w:r>
      <w:r>
        <w:t xml:space="preserve">. For context, the importance of Commonwealth </w:t>
      </w:r>
      <w:r w:rsidR="005847F5">
        <w:t xml:space="preserve">payments </w:t>
      </w:r>
      <w:r>
        <w:t xml:space="preserve">is evident when comparing revenue </w:t>
      </w:r>
      <w:r w:rsidR="00523F62">
        <w:t>from this source</w:t>
      </w:r>
      <w:r>
        <w:t xml:space="preserve"> to total own</w:t>
      </w:r>
      <w:r w:rsidR="003506CD">
        <w:t>-</w:t>
      </w:r>
      <w:r>
        <w:t xml:space="preserve">source revenue across </w:t>
      </w:r>
      <w:r w:rsidR="00523F62">
        <w:t>the</w:t>
      </w:r>
      <w:r>
        <w:t xml:space="preserve"> states (figure </w:t>
      </w:r>
      <w:r w:rsidR="009A3073">
        <w:t>D.7</w:t>
      </w:r>
      <w:r>
        <w:t>).</w:t>
      </w:r>
    </w:p>
    <w:p w14:paraId="6B01D4AE" w14:textId="77EFFD34" w:rsidR="003D3FCA" w:rsidRDefault="00E05F2A" w:rsidP="00142441">
      <w:pPr>
        <w:pStyle w:val="BodyText"/>
      </w:pPr>
      <w:r>
        <w:t xml:space="preserve">Between </w:t>
      </w:r>
      <w:r w:rsidR="006814C5">
        <w:t>2000–01</w:t>
      </w:r>
      <w:r>
        <w:t xml:space="preserve"> and </w:t>
      </w:r>
      <w:r w:rsidR="004F7A80">
        <w:t>2024–25</w:t>
      </w:r>
      <w:r w:rsidR="00BC7A08">
        <w:t>,</w:t>
      </w:r>
      <w:r>
        <w:t xml:space="preserve"> </w:t>
      </w:r>
      <w:r w:rsidR="009D4071">
        <w:t>g</w:t>
      </w:r>
      <w:r w:rsidR="00572970">
        <w:t xml:space="preserve">rowth in </w:t>
      </w:r>
      <w:r w:rsidR="00E6578F">
        <w:t>total</w:t>
      </w:r>
      <w:r w:rsidR="00572970">
        <w:t xml:space="preserve"> per capita expenditure </w:t>
      </w:r>
      <w:r w:rsidR="00604383">
        <w:t xml:space="preserve">has outpaced growth in per capita </w:t>
      </w:r>
      <w:r w:rsidR="00572970">
        <w:t xml:space="preserve">revenue </w:t>
      </w:r>
      <w:r w:rsidR="0057075A">
        <w:t xml:space="preserve">for </w:t>
      </w:r>
      <w:r w:rsidR="00BE38A5">
        <w:t>every</w:t>
      </w:r>
      <w:r w:rsidR="0057075A">
        <w:t xml:space="preserve"> state except Western Australia </w:t>
      </w:r>
      <w:r w:rsidR="00530840">
        <w:t xml:space="preserve">(table </w:t>
      </w:r>
      <w:r w:rsidR="008452D3">
        <w:t>D.3</w:t>
      </w:r>
      <w:r w:rsidR="00530840">
        <w:t xml:space="preserve">). If </w:t>
      </w:r>
      <w:r w:rsidR="00F27EDB">
        <w:t xml:space="preserve">state government revenue is split into </w:t>
      </w:r>
      <w:r w:rsidR="00724652">
        <w:t>Commonwealth payments</w:t>
      </w:r>
      <w:r w:rsidR="00F27EDB">
        <w:t xml:space="preserve"> and state own</w:t>
      </w:r>
      <w:r w:rsidR="003506CD">
        <w:t>-</w:t>
      </w:r>
      <w:r w:rsidR="00F27EDB">
        <w:t>source revenue</w:t>
      </w:r>
      <w:r w:rsidR="00FE5C1D">
        <w:t>, neither source of revenue is growing as fast as expenditure</w:t>
      </w:r>
      <w:r w:rsidR="00E77776" w:rsidRPr="00E77776">
        <w:t xml:space="preserve"> </w:t>
      </w:r>
      <w:r w:rsidR="00E77776">
        <w:t>for most states</w:t>
      </w:r>
      <w:r w:rsidR="00FE5C1D">
        <w:t>.</w:t>
      </w:r>
      <w:r w:rsidR="00601DFB">
        <w:rPr>
          <w:rStyle w:val="FootnoteReference"/>
        </w:rPr>
        <w:footnoteReference w:id="9"/>
      </w:r>
      <w:r w:rsidR="009A4658" w:rsidRPr="009A4658">
        <w:rPr>
          <w:vertAlign w:val="superscript"/>
        </w:rPr>
        <w:t>,</w:t>
      </w:r>
      <w:r w:rsidR="00D11F16">
        <w:rPr>
          <w:rStyle w:val="FootnoteReference"/>
        </w:rPr>
        <w:footnoteReference w:id="10"/>
      </w:r>
      <w:r w:rsidR="00FE5C1D">
        <w:t xml:space="preserve"> </w:t>
      </w:r>
      <w:r w:rsidR="009A38A5">
        <w:t>The</w:t>
      </w:r>
      <w:r w:rsidR="007113CB">
        <w:t xml:space="preserve"> </w:t>
      </w:r>
      <w:proofErr w:type="gramStart"/>
      <w:r w:rsidR="007113CB">
        <w:t>most clear</w:t>
      </w:r>
      <w:proofErr w:type="gramEnd"/>
      <w:r w:rsidR="009A38A5">
        <w:t xml:space="preserve"> exception</w:t>
      </w:r>
      <w:r w:rsidR="007113CB">
        <w:t>s</w:t>
      </w:r>
      <w:r w:rsidR="009A38A5">
        <w:t xml:space="preserve"> </w:t>
      </w:r>
      <w:r w:rsidR="007113CB">
        <w:t>are f</w:t>
      </w:r>
      <w:r w:rsidR="00030F7B">
        <w:t>or</w:t>
      </w:r>
      <w:r w:rsidR="009A38A5">
        <w:t xml:space="preserve"> own</w:t>
      </w:r>
      <w:r w:rsidR="003506CD">
        <w:t>-</w:t>
      </w:r>
      <w:r w:rsidR="009A38A5">
        <w:t xml:space="preserve">source revenue </w:t>
      </w:r>
      <w:r w:rsidR="00030F7B">
        <w:t xml:space="preserve">growth </w:t>
      </w:r>
      <w:r w:rsidR="009A38A5">
        <w:t>for Western Australia</w:t>
      </w:r>
      <w:r w:rsidR="00CD73E1">
        <w:t xml:space="preserve"> </w:t>
      </w:r>
      <w:r w:rsidR="009A38A5">
        <w:t>and the Norther</w:t>
      </w:r>
      <w:r w:rsidR="00CD73E1">
        <w:t>n</w:t>
      </w:r>
      <w:r w:rsidR="009A38A5">
        <w:t xml:space="preserve"> Territory</w:t>
      </w:r>
      <w:r w:rsidR="00CD73E1">
        <w:t>, with a CAGR of 2.2% and 2.3% respectively</w:t>
      </w:r>
      <w:r w:rsidR="009A38A5">
        <w:t xml:space="preserve">. </w:t>
      </w:r>
    </w:p>
    <w:p w14:paraId="7EF8ED06" w14:textId="502B18C2" w:rsidR="00BE4DFD" w:rsidRDefault="00BE4DFD" w:rsidP="00EC7995">
      <w:pPr>
        <w:pStyle w:val="FigureTableHeading"/>
      </w:pPr>
      <w:r>
        <w:t xml:space="preserve">Table </w:t>
      </w:r>
      <w:r w:rsidR="008452D3">
        <w:rPr>
          <w:noProof/>
        </w:rPr>
        <w:t>D</w:t>
      </w:r>
      <w:r>
        <w:t>.</w:t>
      </w:r>
      <w:r w:rsidR="008452D3">
        <w:rPr>
          <w:noProof/>
        </w:rPr>
        <w:t>3</w:t>
      </w:r>
      <w:r>
        <w:rPr>
          <w:noProof/>
        </w:rPr>
        <w:t xml:space="preserve"> – </w:t>
      </w:r>
      <w:r w:rsidR="00601DFB">
        <w:t>For most states, per capita revenues have not grown as fast as expenditures</w:t>
      </w:r>
    </w:p>
    <w:p w14:paraId="2EAA000F" w14:textId="23644C11" w:rsidR="00BE4DFD" w:rsidRDefault="00153C55" w:rsidP="00EC7995">
      <w:pPr>
        <w:pStyle w:val="FigureTableSubheading"/>
      </w:pPr>
      <w:r>
        <w:t>Per capita</w:t>
      </w:r>
      <w:r w:rsidR="004B3282">
        <w:t xml:space="preserve"> </w:t>
      </w:r>
      <w:r w:rsidR="00711944">
        <w:t xml:space="preserve">CAGR </w:t>
      </w:r>
      <w:r w:rsidR="006814C5">
        <w:t>2000–01</w:t>
      </w:r>
      <w:r>
        <w:t xml:space="preserve"> to </w:t>
      </w:r>
      <w:r w:rsidR="004F7A80">
        <w:t>2024–25</w:t>
      </w:r>
      <w:r>
        <w:t xml:space="preserve">, </w:t>
      </w:r>
      <w:r w:rsidR="004B3282">
        <w:t>constant prices (</w:t>
      </w:r>
      <w:r w:rsidR="004F7A80">
        <w:t>2024–25</w:t>
      </w:r>
      <w:r w:rsidR="004B3282">
        <w:t xml:space="preserve"> basis)</w:t>
      </w:r>
    </w:p>
    <w:tbl>
      <w:tblPr>
        <w:tblW w:w="5000" w:type="pct"/>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558"/>
        <w:gridCol w:w="744"/>
        <w:gridCol w:w="744"/>
        <w:gridCol w:w="744"/>
        <w:gridCol w:w="744"/>
        <w:gridCol w:w="744"/>
        <w:gridCol w:w="744"/>
        <w:gridCol w:w="744"/>
        <w:gridCol w:w="746"/>
        <w:gridCol w:w="1126"/>
      </w:tblGrid>
      <w:tr w:rsidR="00D22EC7" w:rsidRPr="00142441" w14:paraId="36FBF532" w14:textId="77777777" w:rsidTr="007F0F01">
        <w:trPr>
          <w:tblHeader/>
        </w:trPr>
        <w:tc>
          <w:tcPr>
            <w:tcW w:w="1327" w:type="pct"/>
            <w:tcBorders>
              <w:bottom w:val="single" w:sz="4" w:space="0" w:color="B3B3B3"/>
            </w:tcBorders>
            <w:shd w:val="clear" w:color="000000" w:fill="auto"/>
            <w:vAlign w:val="bottom"/>
          </w:tcPr>
          <w:p w14:paraId="0453F7EF" w14:textId="77777777" w:rsidR="00D22EC7" w:rsidRPr="0004239F" w:rsidRDefault="00D22EC7" w:rsidP="0004239F">
            <w:pPr>
              <w:spacing w:before="45" w:after="45"/>
              <w:ind w:left="57" w:right="108"/>
              <w:rPr>
                <w:rFonts w:cs="Open Sans"/>
                <w:b/>
                <w:color w:val="1D4374"/>
                <w:sz w:val="18"/>
              </w:rPr>
            </w:pPr>
          </w:p>
        </w:tc>
        <w:tc>
          <w:tcPr>
            <w:tcW w:w="386" w:type="pct"/>
            <w:tcBorders>
              <w:bottom w:val="single" w:sz="4" w:space="0" w:color="B3B3B3"/>
            </w:tcBorders>
            <w:shd w:val="clear" w:color="000000" w:fill="auto"/>
            <w:vAlign w:val="bottom"/>
          </w:tcPr>
          <w:p w14:paraId="245B43B9" w14:textId="77777777" w:rsidR="00D22EC7" w:rsidRPr="0004239F" w:rsidRDefault="00D22EC7" w:rsidP="0041282F">
            <w:pPr>
              <w:pStyle w:val="TableHeading"/>
              <w:spacing w:before="45" w:after="45"/>
              <w:jc w:val="right"/>
              <w:rPr>
                <w:rFonts w:cs="Open Sans"/>
                <w:color w:val="1D4374"/>
              </w:rPr>
            </w:pPr>
            <w:r w:rsidRPr="00142441">
              <w:rPr>
                <w:rFonts w:cs="Open Sans"/>
                <w:color w:val="1D4374"/>
              </w:rPr>
              <w:t>NSW</w:t>
            </w:r>
          </w:p>
        </w:tc>
        <w:tc>
          <w:tcPr>
            <w:tcW w:w="386" w:type="pct"/>
            <w:tcBorders>
              <w:bottom w:val="single" w:sz="4" w:space="0" w:color="B3B3B3"/>
            </w:tcBorders>
            <w:shd w:val="clear" w:color="000000" w:fill="auto"/>
            <w:vAlign w:val="bottom"/>
          </w:tcPr>
          <w:p w14:paraId="5C41D703" w14:textId="77777777" w:rsidR="00D22EC7" w:rsidRPr="0004239F" w:rsidRDefault="00D22EC7" w:rsidP="0041282F">
            <w:pPr>
              <w:pStyle w:val="TableHeading"/>
              <w:spacing w:before="45" w:after="45"/>
              <w:jc w:val="right"/>
              <w:rPr>
                <w:rFonts w:cs="Open Sans"/>
                <w:color w:val="1D4374"/>
              </w:rPr>
            </w:pPr>
            <w:r w:rsidRPr="00142441">
              <w:rPr>
                <w:rFonts w:cs="Open Sans"/>
                <w:color w:val="1D4374"/>
              </w:rPr>
              <w:t>VIC</w:t>
            </w:r>
          </w:p>
        </w:tc>
        <w:tc>
          <w:tcPr>
            <w:tcW w:w="386" w:type="pct"/>
            <w:tcBorders>
              <w:bottom w:val="single" w:sz="4" w:space="0" w:color="B3B3B3"/>
            </w:tcBorders>
            <w:shd w:val="clear" w:color="000000" w:fill="auto"/>
            <w:vAlign w:val="bottom"/>
          </w:tcPr>
          <w:p w14:paraId="64E280E1" w14:textId="77777777" w:rsidR="00D22EC7" w:rsidRPr="0004239F" w:rsidRDefault="00D22EC7" w:rsidP="0041282F">
            <w:pPr>
              <w:pStyle w:val="TableHeading"/>
              <w:spacing w:before="45" w:after="45"/>
              <w:jc w:val="right"/>
              <w:rPr>
                <w:rFonts w:cs="Open Sans"/>
                <w:color w:val="1D4374"/>
              </w:rPr>
            </w:pPr>
            <w:r w:rsidRPr="00142441">
              <w:rPr>
                <w:rFonts w:cs="Open Sans"/>
                <w:color w:val="1D4374"/>
              </w:rPr>
              <w:t>QLD</w:t>
            </w:r>
          </w:p>
        </w:tc>
        <w:tc>
          <w:tcPr>
            <w:tcW w:w="386" w:type="pct"/>
            <w:tcBorders>
              <w:bottom w:val="single" w:sz="4" w:space="0" w:color="B3B3B3"/>
            </w:tcBorders>
            <w:shd w:val="clear" w:color="000000" w:fill="auto"/>
            <w:vAlign w:val="bottom"/>
          </w:tcPr>
          <w:p w14:paraId="60771C11" w14:textId="77777777" w:rsidR="00D22EC7" w:rsidRPr="0004239F" w:rsidRDefault="00D22EC7" w:rsidP="0041282F">
            <w:pPr>
              <w:pStyle w:val="TableHeading"/>
              <w:spacing w:before="45" w:after="45"/>
              <w:jc w:val="right"/>
              <w:rPr>
                <w:rFonts w:cs="Open Sans"/>
                <w:color w:val="1D4374"/>
              </w:rPr>
            </w:pPr>
            <w:r w:rsidRPr="00142441">
              <w:rPr>
                <w:rFonts w:cs="Open Sans"/>
                <w:color w:val="1D4374"/>
              </w:rPr>
              <w:t>WA</w:t>
            </w:r>
          </w:p>
        </w:tc>
        <w:tc>
          <w:tcPr>
            <w:tcW w:w="386" w:type="pct"/>
            <w:tcBorders>
              <w:bottom w:val="single" w:sz="4" w:space="0" w:color="B3B3B3"/>
            </w:tcBorders>
            <w:shd w:val="clear" w:color="000000" w:fill="auto"/>
            <w:vAlign w:val="bottom"/>
          </w:tcPr>
          <w:p w14:paraId="547C9A55" w14:textId="77777777" w:rsidR="00D22EC7" w:rsidRPr="0004239F" w:rsidRDefault="00D22EC7" w:rsidP="0041282F">
            <w:pPr>
              <w:pStyle w:val="TableHeading"/>
              <w:spacing w:before="45" w:after="45"/>
              <w:jc w:val="right"/>
              <w:rPr>
                <w:rFonts w:cs="Open Sans"/>
                <w:color w:val="1D4374"/>
              </w:rPr>
            </w:pPr>
            <w:r w:rsidRPr="00142441">
              <w:rPr>
                <w:rFonts w:cs="Open Sans"/>
                <w:color w:val="1D4374"/>
              </w:rPr>
              <w:t>SA</w:t>
            </w:r>
          </w:p>
        </w:tc>
        <w:tc>
          <w:tcPr>
            <w:tcW w:w="386" w:type="pct"/>
            <w:tcBorders>
              <w:bottom w:val="single" w:sz="4" w:space="0" w:color="B3B3B3"/>
            </w:tcBorders>
            <w:shd w:val="clear" w:color="000000" w:fill="auto"/>
            <w:vAlign w:val="bottom"/>
          </w:tcPr>
          <w:p w14:paraId="4B3986C5" w14:textId="77777777" w:rsidR="00D22EC7" w:rsidRPr="0004239F" w:rsidRDefault="00D22EC7" w:rsidP="0041282F">
            <w:pPr>
              <w:pStyle w:val="TableHeading"/>
              <w:spacing w:before="45" w:after="45"/>
              <w:jc w:val="right"/>
              <w:rPr>
                <w:rFonts w:cs="Open Sans"/>
                <w:color w:val="1D4374"/>
              </w:rPr>
            </w:pPr>
            <w:r w:rsidRPr="00142441">
              <w:rPr>
                <w:rFonts w:cs="Open Sans"/>
                <w:color w:val="1D4374"/>
              </w:rPr>
              <w:t>TAS</w:t>
            </w:r>
          </w:p>
        </w:tc>
        <w:tc>
          <w:tcPr>
            <w:tcW w:w="386" w:type="pct"/>
            <w:tcBorders>
              <w:bottom w:val="single" w:sz="4" w:space="0" w:color="B3B3B3"/>
            </w:tcBorders>
            <w:shd w:val="clear" w:color="000000" w:fill="auto"/>
            <w:vAlign w:val="bottom"/>
          </w:tcPr>
          <w:p w14:paraId="78F40FE0" w14:textId="77777777" w:rsidR="00D22EC7" w:rsidRPr="0004239F" w:rsidRDefault="00D22EC7" w:rsidP="0041282F">
            <w:pPr>
              <w:pStyle w:val="TableHeading"/>
              <w:spacing w:before="45" w:after="45"/>
              <w:jc w:val="right"/>
              <w:rPr>
                <w:rFonts w:cs="Open Sans"/>
                <w:color w:val="1D4374"/>
              </w:rPr>
            </w:pPr>
            <w:r w:rsidRPr="00142441">
              <w:rPr>
                <w:rFonts w:cs="Open Sans"/>
                <w:color w:val="1D4374"/>
              </w:rPr>
              <w:t>ACT</w:t>
            </w:r>
          </w:p>
        </w:tc>
        <w:tc>
          <w:tcPr>
            <w:tcW w:w="387" w:type="pct"/>
            <w:tcBorders>
              <w:bottom w:val="single" w:sz="4" w:space="0" w:color="B3B3B3"/>
            </w:tcBorders>
            <w:shd w:val="clear" w:color="000000" w:fill="auto"/>
            <w:vAlign w:val="bottom"/>
          </w:tcPr>
          <w:p w14:paraId="4611FC2F" w14:textId="77777777" w:rsidR="00D22EC7" w:rsidRPr="0004239F" w:rsidRDefault="00D22EC7" w:rsidP="0041282F">
            <w:pPr>
              <w:pStyle w:val="TableHeading"/>
              <w:spacing w:before="45" w:after="45"/>
              <w:jc w:val="right"/>
              <w:rPr>
                <w:rFonts w:cs="Open Sans"/>
                <w:color w:val="1D4374"/>
              </w:rPr>
            </w:pPr>
            <w:r w:rsidRPr="00142441">
              <w:rPr>
                <w:rFonts w:cs="Open Sans"/>
                <w:color w:val="1D4374"/>
              </w:rPr>
              <w:t>NT</w:t>
            </w:r>
          </w:p>
        </w:tc>
        <w:tc>
          <w:tcPr>
            <w:tcW w:w="584" w:type="pct"/>
            <w:tcBorders>
              <w:bottom w:val="single" w:sz="4" w:space="0" w:color="B3B3B3"/>
            </w:tcBorders>
            <w:shd w:val="clear" w:color="000000" w:fill="auto"/>
            <w:vAlign w:val="bottom"/>
          </w:tcPr>
          <w:p w14:paraId="3B0481FF" w14:textId="427E7D19" w:rsidR="00D22EC7" w:rsidRPr="00142441" w:rsidRDefault="000D0D79" w:rsidP="0041282F">
            <w:pPr>
              <w:pStyle w:val="TableHeading"/>
              <w:spacing w:before="45" w:after="45"/>
              <w:jc w:val="right"/>
              <w:rPr>
                <w:rFonts w:cs="Open Sans"/>
                <w:color w:val="1D4374"/>
              </w:rPr>
            </w:pPr>
            <w:r w:rsidRPr="00142441">
              <w:rPr>
                <w:rFonts w:cs="Open Sans"/>
                <w:color w:val="1D4374"/>
              </w:rPr>
              <w:t>All states</w:t>
            </w:r>
          </w:p>
        </w:tc>
      </w:tr>
      <w:tr w:rsidR="009F581C" w:rsidRPr="00142441" w14:paraId="1B5AD4BC" w14:textId="77777777" w:rsidTr="007F0F01">
        <w:tc>
          <w:tcPr>
            <w:tcW w:w="1327" w:type="pct"/>
            <w:tcBorders>
              <w:top w:val="single" w:sz="4" w:space="0" w:color="B3B3B3"/>
              <w:bottom w:val="nil"/>
            </w:tcBorders>
            <w:shd w:val="clear" w:color="000000" w:fill="E6E6E6"/>
          </w:tcPr>
          <w:p w14:paraId="7AFA45AB" w14:textId="474F7338" w:rsidR="009F581C" w:rsidRPr="0004239F" w:rsidRDefault="009F581C" w:rsidP="0004239F">
            <w:pPr>
              <w:pStyle w:val="TableHeading"/>
              <w:spacing w:before="45" w:after="45"/>
              <w:rPr>
                <w:rFonts w:cs="Open Sans"/>
                <w:color w:val="1D4374"/>
              </w:rPr>
            </w:pPr>
            <w:r w:rsidRPr="0004239F">
              <w:rPr>
                <w:rFonts w:cs="Open Sans"/>
                <w:color w:val="1D4374"/>
              </w:rPr>
              <w:t>Own</w:t>
            </w:r>
            <w:r w:rsidR="003506CD">
              <w:rPr>
                <w:rFonts w:cs="Open Sans"/>
                <w:color w:val="1D4374"/>
              </w:rPr>
              <w:t>-</w:t>
            </w:r>
            <w:r w:rsidRPr="0004239F">
              <w:rPr>
                <w:rFonts w:cs="Open Sans"/>
                <w:color w:val="1D4374"/>
              </w:rPr>
              <w:t>source revenue</w:t>
            </w:r>
          </w:p>
        </w:tc>
        <w:tc>
          <w:tcPr>
            <w:tcW w:w="386" w:type="pct"/>
            <w:tcBorders>
              <w:top w:val="single" w:sz="4" w:space="0" w:color="B3B3B3"/>
              <w:bottom w:val="nil"/>
            </w:tcBorders>
            <w:shd w:val="clear" w:color="000000" w:fill="E6E6E6"/>
          </w:tcPr>
          <w:p w14:paraId="6E4FAE66" w14:textId="25E2DFD7" w:rsidR="009F581C" w:rsidRPr="0004239F" w:rsidRDefault="009F581C" w:rsidP="0041282F">
            <w:pPr>
              <w:pStyle w:val="TableBody"/>
              <w:spacing w:before="45" w:after="45"/>
              <w:ind w:right="108"/>
              <w:jc w:val="right"/>
              <w:rPr>
                <w:rFonts w:cs="Open Sans"/>
                <w:color w:val="000000"/>
              </w:rPr>
            </w:pPr>
            <w:r w:rsidRPr="00142441">
              <w:rPr>
                <w:rFonts w:cs="Open Sans"/>
                <w:color w:val="000000"/>
              </w:rPr>
              <w:t>1.2%</w:t>
            </w:r>
          </w:p>
        </w:tc>
        <w:tc>
          <w:tcPr>
            <w:tcW w:w="386" w:type="pct"/>
            <w:tcBorders>
              <w:top w:val="single" w:sz="4" w:space="0" w:color="B3B3B3"/>
              <w:bottom w:val="nil"/>
            </w:tcBorders>
            <w:shd w:val="clear" w:color="000000" w:fill="E6E6E6"/>
          </w:tcPr>
          <w:p w14:paraId="01E273DF" w14:textId="0BB200F1" w:rsidR="009F581C" w:rsidRPr="0004239F" w:rsidRDefault="009F581C" w:rsidP="0041282F">
            <w:pPr>
              <w:pStyle w:val="TableBody"/>
              <w:spacing w:before="45" w:after="45"/>
              <w:ind w:right="108"/>
              <w:jc w:val="right"/>
              <w:rPr>
                <w:rFonts w:cs="Open Sans"/>
                <w:color w:val="000000"/>
              </w:rPr>
            </w:pPr>
            <w:r w:rsidRPr="00142441">
              <w:rPr>
                <w:rFonts w:cs="Open Sans"/>
                <w:color w:val="000000"/>
              </w:rPr>
              <w:t>1.2%</w:t>
            </w:r>
          </w:p>
        </w:tc>
        <w:tc>
          <w:tcPr>
            <w:tcW w:w="386" w:type="pct"/>
            <w:tcBorders>
              <w:top w:val="single" w:sz="4" w:space="0" w:color="B3B3B3"/>
              <w:bottom w:val="nil"/>
            </w:tcBorders>
            <w:shd w:val="clear" w:color="000000" w:fill="E6E6E6"/>
          </w:tcPr>
          <w:p w14:paraId="6783EC61" w14:textId="46DADC1E" w:rsidR="009F581C" w:rsidRPr="0004239F" w:rsidRDefault="009F581C" w:rsidP="0041282F">
            <w:pPr>
              <w:pStyle w:val="TableBody"/>
              <w:spacing w:before="45" w:after="45"/>
              <w:ind w:right="108"/>
              <w:jc w:val="right"/>
              <w:rPr>
                <w:rFonts w:cs="Open Sans"/>
                <w:color w:val="000000"/>
              </w:rPr>
            </w:pPr>
            <w:r w:rsidRPr="00142441">
              <w:rPr>
                <w:rFonts w:cs="Open Sans"/>
                <w:color w:val="000000"/>
              </w:rPr>
              <w:t>1.8%</w:t>
            </w:r>
          </w:p>
        </w:tc>
        <w:tc>
          <w:tcPr>
            <w:tcW w:w="386" w:type="pct"/>
            <w:tcBorders>
              <w:top w:val="single" w:sz="4" w:space="0" w:color="B3B3B3"/>
              <w:bottom w:val="nil"/>
            </w:tcBorders>
            <w:shd w:val="clear" w:color="000000" w:fill="E6E6E6"/>
          </w:tcPr>
          <w:p w14:paraId="4B103230" w14:textId="553B3813" w:rsidR="009F581C" w:rsidRPr="0004239F" w:rsidRDefault="009F581C" w:rsidP="0041282F">
            <w:pPr>
              <w:pStyle w:val="TableBody"/>
              <w:spacing w:before="45" w:after="45"/>
              <w:ind w:right="108"/>
              <w:jc w:val="right"/>
              <w:rPr>
                <w:rFonts w:cs="Open Sans"/>
                <w:color w:val="000000"/>
              </w:rPr>
            </w:pPr>
            <w:r w:rsidRPr="00142441">
              <w:rPr>
                <w:rFonts w:cs="Open Sans"/>
                <w:color w:val="000000"/>
              </w:rPr>
              <w:t>2.2%</w:t>
            </w:r>
          </w:p>
        </w:tc>
        <w:tc>
          <w:tcPr>
            <w:tcW w:w="386" w:type="pct"/>
            <w:tcBorders>
              <w:top w:val="single" w:sz="4" w:space="0" w:color="B3B3B3"/>
              <w:bottom w:val="nil"/>
            </w:tcBorders>
            <w:shd w:val="clear" w:color="000000" w:fill="E6E6E6"/>
          </w:tcPr>
          <w:p w14:paraId="476229F6" w14:textId="5BE30E30" w:rsidR="009F581C" w:rsidRPr="0004239F" w:rsidRDefault="009F581C" w:rsidP="0041282F">
            <w:pPr>
              <w:pStyle w:val="TableBody"/>
              <w:spacing w:before="45" w:after="45"/>
              <w:ind w:right="108"/>
              <w:jc w:val="right"/>
              <w:rPr>
                <w:rFonts w:cs="Open Sans"/>
                <w:color w:val="000000"/>
              </w:rPr>
            </w:pPr>
            <w:r w:rsidRPr="00142441">
              <w:rPr>
                <w:rFonts w:cs="Open Sans"/>
                <w:color w:val="000000"/>
              </w:rPr>
              <w:t>0.9%</w:t>
            </w:r>
          </w:p>
        </w:tc>
        <w:tc>
          <w:tcPr>
            <w:tcW w:w="386" w:type="pct"/>
            <w:tcBorders>
              <w:top w:val="single" w:sz="4" w:space="0" w:color="B3B3B3"/>
              <w:bottom w:val="nil"/>
            </w:tcBorders>
            <w:shd w:val="clear" w:color="000000" w:fill="E6E6E6"/>
          </w:tcPr>
          <w:p w14:paraId="1BF0A9FF" w14:textId="30A426BF" w:rsidR="009F581C" w:rsidRPr="0004239F" w:rsidRDefault="009F581C" w:rsidP="0041282F">
            <w:pPr>
              <w:pStyle w:val="TableBody"/>
              <w:spacing w:before="45" w:after="45"/>
              <w:ind w:right="108"/>
              <w:jc w:val="right"/>
              <w:rPr>
                <w:rFonts w:cs="Open Sans"/>
                <w:color w:val="000000"/>
              </w:rPr>
            </w:pPr>
            <w:r w:rsidRPr="00142441">
              <w:rPr>
                <w:rFonts w:cs="Open Sans"/>
                <w:color w:val="000000"/>
              </w:rPr>
              <w:t>0.7%</w:t>
            </w:r>
          </w:p>
        </w:tc>
        <w:tc>
          <w:tcPr>
            <w:tcW w:w="386" w:type="pct"/>
            <w:tcBorders>
              <w:top w:val="single" w:sz="4" w:space="0" w:color="B3B3B3"/>
              <w:bottom w:val="nil"/>
            </w:tcBorders>
            <w:shd w:val="clear" w:color="000000" w:fill="E6E6E6"/>
          </w:tcPr>
          <w:p w14:paraId="7AB65720" w14:textId="246F4907" w:rsidR="009F581C" w:rsidRPr="00142441" w:rsidRDefault="009F581C" w:rsidP="0041282F">
            <w:pPr>
              <w:pStyle w:val="TableBody"/>
              <w:spacing w:before="45" w:after="45"/>
              <w:ind w:right="108"/>
              <w:jc w:val="right"/>
              <w:rPr>
                <w:rFonts w:cs="Open Sans"/>
                <w:bCs/>
                <w:iCs/>
                <w:color w:val="000000"/>
              </w:rPr>
            </w:pPr>
            <w:r w:rsidRPr="00142441">
              <w:rPr>
                <w:rFonts w:cs="Open Sans"/>
                <w:color w:val="000000"/>
              </w:rPr>
              <w:t>0.6%</w:t>
            </w:r>
          </w:p>
        </w:tc>
        <w:tc>
          <w:tcPr>
            <w:tcW w:w="387" w:type="pct"/>
            <w:tcBorders>
              <w:top w:val="single" w:sz="4" w:space="0" w:color="B3B3B3"/>
              <w:bottom w:val="nil"/>
            </w:tcBorders>
            <w:shd w:val="clear" w:color="000000" w:fill="E6E6E6"/>
          </w:tcPr>
          <w:p w14:paraId="40396F5F" w14:textId="5C514AA3" w:rsidR="009F581C" w:rsidRPr="00142441" w:rsidRDefault="009F581C" w:rsidP="0041282F">
            <w:pPr>
              <w:pStyle w:val="TableBody"/>
              <w:spacing w:before="45" w:after="45"/>
              <w:ind w:right="108"/>
              <w:jc w:val="right"/>
              <w:rPr>
                <w:rFonts w:cs="Open Sans"/>
                <w:bCs/>
                <w:color w:val="000000"/>
              </w:rPr>
            </w:pPr>
            <w:r w:rsidRPr="00142441">
              <w:rPr>
                <w:rFonts w:cs="Open Sans"/>
                <w:color w:val="000000"/>
              </w:rPr>
              <w:t>2.3%</w:t>
            </w:r>
          </w:p>
        </w:tc>
        <w:tc>
          <w:tcPr>
            <w:tcW w:w="584" w:type="pct"/>
            <w:tcBorders>
              <w:top w:val="single" w:sz="4" w:space="0" w:color="B3B3B3"/>
              <w:bottom w:val="nil"/>
            </w:tcBorders>
            <w:shd w:val="clear" w:color="000000" w:fill="E6E6E6"/>
          </w:tcPr>
          <w:p w14:paraId="76725604" w14:textId="35A938CA" w:rsidR="009F581C" w:rsidRPr="008452D3" w:rsidRDefault="009F581C" w:rsidP="0041282F">
            <w:pPr>
              <w:pStyle w:val="TableBody"/>
              <w:spacing w:before="45" w:after="45"/>
              <w:ind w:right="108"/>
              <w:jc w:val="right"/>
              <w:rPr>
                <w:rFonts w:cs="Open Sans"/>
                <w:b/>
                <w:bCs/>
                <w:color w:val="000000"/>
              </w:rPr>
            </w:pPr>
            <w:r w:rsidRPr="008452D3">
              <w:rPr>
                <w:rFonts w:cs="Open Sans"/>
                <w:b/>
                <w:bCs/>
                <w:color w:val="000000"/>
              </w:rPr>
              <w:t>1.4%</w:t>
            </w:r>
          </w:p>
        </w:tc>
      </w:tr>
      <w:tr w:rsidR="005F555A" w:rsidRPr="00142441" w14:paraId="4131D369" w14:textId="77777777" w:rsidTr="007F0F01">
        <w:tc>
          <w:tcPr>
            <w:tcW w:w="1327" w:type="pct"/>
            <w:tcBorders>
              <w:top w:val="nil"/>
              <w:bottom w:val="nil"/>
            </w:tcBorders>
            <w:shd w:val="clear" w:color="000000" w:fill="auto"/>
          </w:tcPr>
          <w:p w14:paraId="069FFEC0" w14:textId="75A1CF6E" w:rsidR="005F555A" w:rsidRPr="0004239F" w:rsidRDefault="00724652" w:rsidP="0004239F">
            <w:pPr>
              <w:pStyle w:val="TableHeading"/>
              <w:spacing w:before="45" w:after="45"/>
              <w:rPr>
                <w:rFonts w:cs="Open Sans"/>
                <w:color w:val="1D4374"/>
              </w:rPr>
            </w:pPr>
            <w:r>
              <w:rPr>
                <w:rFonts w:cs="Open Sans"/>
                <w:color w:val="1D4374"/>
              </w:rPr>
              <w:t>Commonwealth payments</w:t>
            </w:r>
          </w:p>
        </w:tc>
        <w:tc>
          <w:tcPr>
            <w:tcW w:w="386" w:type="pct"/>
            <w:tcBorders>
              <w:top w:val="nil"/>
              <w:bottom w:val="nil"/>
            </w:tcBorders>
            <w:shd w:val="clear" w:color="000000" w:fill="auto"/>
          </w:tcPr>
          <w:p w14:paraId="42FCC60B" w14:textId="6D12FCFE" w:rsidR="005F555A" w:rsidRPr="0004239F" w:rsidRDefault="005F555A" w:rsidP="0041282F">
            <w:pPr>
              <w:pStyle w:val="TableBody"/>
              <w:spacing w:before="45" w:after="45"/>
              <w:ind w:right="108"/>
              <w:jc w:val="right"/>
              <w:rPr>
                <w:rFonts w:cs="Open Sans"/>
                <w:color w:val="000000"/>
              </w:rPr>
            </w:pPr>
            <w:r w:rsidRPr="00142441">
              <w:rPr>
                <w:rFonts w:cs="Open Sans"/>
                <w:color w:val="000000"/>
              </w:rPr>
              <w:t>1.2%</w:t>
            </w:r>
          </w:p>
        </w:tc>
        <w:tc>
          <w:tcPr>
            <w:tcW w:w="386" w:type="pct"/>
            <w:tcBorders>
              <w:top w:val="nil"/>
              <w:bottom w:val="nil"/>
            </w:tcBorders>
            <w:shd w:val="clear" w:color="000000" w:fill="auto"/>
          </w:tcPr>
          <w:p w14:paraId="764679F8" w14:textId="39E9498F" w:rsidR="005F555A" w:rsidRPr="0004239F" w:rsidRDefault="005F555A" w:rsidP="0041282F">
            <w:pPr>
              <w:pStyle w:val="TableBody"/>
              <w:spacing w:before="45" w:after="45"/>
              <w:ind w:right="108"/>
              <w:jc w:val="right"/>
              <w:rPr>
                <w:rFonts w:cs="Open Sans"/>
                <w:color w:val="000000"/>
              </w:rPr>
            </w:pPr>
            <w:r w:rsidRPr="00142441">
              <w:rPr>
                <w:rFonts w:cs="Open Sans"/>
                <w:color w:val="000000"/>
              </w:rPr>
              <w:t>1.3%</w:t>
            </w:r>
          </w:p>
        </w:tc>
        <w:tc>
          <w:tcPr>
            <w:tcW w:w="386" w:type="pct"/>
            <w:tcBorders>
              <w:top w:val="nil"/>
              <w:bottom w:val="nil"/>
            </w:tcBorders>
            <w:shd w:val="clear" w:color="000000" w:fill="auto"/>
          </w:tcPr>
          <w:p w14:paraId="08C22778" w14:textId="34837239" w:rsidR="005F555A" w:rsidRPr="0004239F" w:rsidRDefault="005F555A" w:rsidP="0041282F">
            <w:pPr>
              <w:pStyle w:val="TableBody"/>
              <w:spacing w:before="45" w:after="45"/>
              <w:ind w:right="108"/>
              <w:jc w:val="right"/>
              <w:rPr>
                <w:rFonts w:cs="Open Sans"/>
                <w:color w:val="000000"/>
              </w:rPr>
            </w:pPr>
            <w:r w:rsidRPr="00142441">
              <w:rPr>
                <w:rFonts w:cs="Open Sans"/>
                <w:color w:val="000000"/>
              </w:rPr>
              <w:t>1.5%</w:t>
            </w:r>
          </w:p>
        </w:tc>
        <w:tc>
          <w:tcPr>
            <w:tcW w:w="386" w:type="pct"/>
            <w:tcBorders>
              <w:top w:val="nil"/>
              <w:bottom w:val="nil"/>
            </w:tcBorders>
            <w:shd w:val="clear" w:color="000000" w:fill="auto"/>
          </w:tcPr>
          <w:p w14:paraId="1B70CA30" w14:textId="2F9D05AF" w:rsidR="005F555A" w:rsidRPr="0004239F" w:rsidRDefault="005F555A" w:rsidP="0041282F">
            <w:pPr>
              <w:pStyle w:val="TableBody"/>
              <w:spacing w:before="45" w:after="45"/>
              <w:ind w:right="108"/>
              <w:jc w:val="right"/>
              <w:rPr>
                <w:rFonts w:cs="Open Sans"/>
                <w:color w:val="000000"/>
              </w:rPr>
            </w:pPr>
            <w:r w:rsidRPr="00142441">
              <w:rPr>
                <w:rFonts w:cs="Open Sans"/>
                <w:color w:val="000000"/>
              </w:rPr>
              <w:t>0.8%</w:t>
            </w:r>
          </w:p>
        </w:tc>
        <w:tc>
          <w:tcPr>
            <w:tcW w:w="386" w:type="pct"/>
            <w:tcBorders>
              <w:top w:val="nil"/>
              <w:bottom w:val="nil"/>
            </w:tcBorders>
            <w:shd w:val="clear" w:color="000000" w:fill="auto"/>
          </w:tcPr>
          <w:p w14:paraId="510951A1" w14:textId="4F99027D" w:rsidR="005F555A" w:rsidRPr="0004239F" w:rsidRDefault="005F555A" w:rsidP="0041282F">
            <w:pPr>
              <w:pStyle w:val="TableBody"/>
              <w:spacing w:before="45" w:after="45"/>
              <w:ind w:right="108"/>
              <w:jc w:val="right"/>
              <w:rPr>
                <w:rFonts w:cs="Open Sans"/>
                <w:color w:val="000000"/>
              </w:rPr>
            </w:pPr>
            <w:r w:rsidRPr="00142441">
              <w:rPr>
                <w:rFonts w:cs="Open Sans"/>
                <w:color w:val="000000"/>
              </w:rPr>
              <w:t>1.5%</w:t>
            </w:r>
          </w:p>
        </w:tc>
        <w:tc>
          <w:tcPr>
            <w:tcW w:w="386" w:type="pct"/>
            <w:tcBorders>
              <w:top w:val="nil"/>
              <w:bottom w:val="nil"/>
            </w:tcBorders>
            <w:shd w:val="clear" w:color="000000" w:fill="auto"/>
          </w:tcPr>
          <w:p w14:paraId="6D8D5E2F" w14:textId="1ACB4A98" w:rsidR="005F555A" w:rsidRPr="0004239F" w:rsidRDefault="005F555A" w:rsidP="0041282F">
            <w:pPr>
              <w:pStyle w:val="TableBody"/>
              <w:spacing w:before="45" w:after="45"/>
              <w:ind w:right="108"/>
              <w:jc w:val="right"/>
              <w:rPr>
                <w:rFonts w:cs="Open Sans"/>
                <w:color w:val="000000"/>
              </w:rPr>
            </w:pPr>
            <w:r w:rsidRPr="00142441">
              <w:rPr>
                <w:rFonts w:cs="Open Sans"/>
                <w:color w:val="000000"/>
              </w:rPr>
              <w:t>1.2%</w:t>
            </w:r>
          </w:p>
        </w:tc>
        <w:tc>
          <w:tcPr>
            <w:tcW w:w="386" w:type="pct"/>
            <w:tcBorders>
              <w:top w:val="nil"/>
              <w:bottom w:val="nil"/>
            </w:tcBorders>
            <w:shd w:val="clear" w:color="000000" w:fill="auto"/>
          </w:tcPr>
          <w:p w14:paraId="636322F7" w14:textId="13CFC306" w:rsidR="005F555A" w:rsidRPr="0004239F" w:rsidRDefault="005F555A" w:rsidP="0041282F">
            <w:pPr>
              <w:pStyle w:val="TableBody"/>
              <w:spacing w:before="45" w:after="45"/>
              <w:ind w:right="108"/>
              <w:jc w:val="right"/>
              <w:rPr>
                <w:rFonts w:cs="Open Sans"/>
                <w:color w:val="000000"/>
              </w:rPr>
            </w:pPr>
            <w:r w:rsidRPr="00142441">
              <w:rPr>
                <w:rFonts w:cs="Open Sans"/>
                <w:color w:val="000000"/>
              </w:rPr>
              <w:t>1.2%</w:t>
            </w:r>
          </w:p>
        </w:tc>
        <w:tc>
          <w:tcPr>
            <w:tcW w:w="387" w:type="pct"/>
            <w:tcBorders>
              <w:top w:val="nil"/>
              <w:bottom w:val="nil"/>
            </w:tcBorders>
            <w:shd w:val="clear" w:color="000000" w:fill="auto"/>
          </w:tcPr>
          <w:p w14:paraId="6D413B2A" w14:textId="63CC58B7" w:rsidR="005F555A" w:rsidRPr="00142441" w:rsidRDefault="005F555A" w:rsidP="0041282F">
            <w:pPr>
              <w:pStyle w:val="TableBody"/>
              <w:spacing w:before="45" w:after="45"/>
              <w:ind w:right="108"/>
              <w:jc w:val="right"/>
              <w:rPr>
                <w:rFonts w:cs="Open Sans"/>
                <w:bCs/>
                <w:color w:val="000000"/>
              </w:rPr>
            </w:pPr>
            <w:r w:rsidRPr="00142441">
              <w:rPr>
                <w:rFonts w:cs="Open Sans"/>
                <w:color w:val="000000"/>
              </w:rPr>
              <w:t>0.9%</w:t>
            </w:r>
          </w:p>
        </w:tc>
        <w:tc>
          <w:tcPr>
            <w:tcW w:w="584" w:type="pct"/>
            <w:tcBorders>
              <w:top w:val="nil"/>
              <w:bottom w:val="nil"/>
            </w:tcBorders>
            <w:shd w:val="clear" w:color="000000" w:fill="auto"/>
          </w:tcPr>
          <w:p w14:paraId="7A87A780" w14:textId="57B4F15A" w:rsidR="005F555A" w:rsidRPr="008452D3" w:rsidRDefault="005F555A" w:rsidP="0041282F">
            <w:pPr>
              <w:pStyle w:val="TableBody"/>
              <w:spacing w:before="45" w:after="45"/>
              <w:ind w:right="108"/>
              <w:jc w:val="right"/>
              <w:rPr>
                <w:rFonts w:cs="Open Sans"/>
                <w:b/>
                <w:bCs/>
                <w:color w:val="000000"/>
              </w:rPr>
            </w:pPr>
            <w:r w:rsidRPr="008452D3">
              <w:rPr>
                <w:rFonts w:cs="Open Sans"/>
                <w:b/>
                <w:bCs/>
                <w:color w:val="000000"/>
              </w:rPr>
              <w:t>1.2%</w:t>
            </w:r>
          </w:p>
        </w:tc>
      </w:tr>
      <w:tr w:rsidR="0004239F" w:rsidRPr="00142441" w14:paraId="09275128" w14:textId="77777777" w:rsidTr="007F0F01">
        <w:tc>
          <w:tcPr>
            <w:tcW w:w="1327" w:type="pct"/>
            <w:tcBorders>
              <w:bottom w:val="nil"/>
            </w:tcBorders>
            <w:shd w:val="clear" w:color="000000" w:fill="E6E6E6"/>
          </w:tcPr>
          <w:p w14:paraId="3CF2D7C6" w14:textId="21FF4582" w:rsidR="0004239F" w:rsidRPr="0004239F" w:rsidRDefault="0004239F" w:rsidP="0004239F">
            <w:pPr>
              <w:pStyle w:val="TableHeading"/>
              <w:spacing w:before="45" w:after="45"/>
              <w:rPr>
                <w:rFonts w:cs="Open Sans"/>
                <w:color w:val="1D4374"/>
              </w:rPr>
            </w:pPr>
            <w:r w:rsidRPr="0004239F">
              <w:rPr>
                <w:rFonts w:cs="Open Sans"/>
                <w:color w:val="1D4374"/>
              </w:rPr>
              <w:t>Total revenue</w:t>
            </w:r>
          </w:p>
        </w:tc>
        <w:tc>
          <w:tcPr>
            <w:tcW w:w="386" w:type="pct"/>
            <w:tcBorders>
              <w:bottom w:val="nil"/>
            </w:tcBorders>
            <w:shd w:val="clear" w:color="000000" w:fill="E6E6E6"/>
          </w:tcPr>
          <w:p w14:paraId="4B4CAD95" w14:textId="3316A58B" w:rsidR="0004239F" w:rsidRPr="0004239F" w:rsidRDefault="0004239F" w:rsidP="0041282F">
            <w:pPr>
              <w:pStyle w:val="TableBody"/>
              <w:spacing w:before="45" w:after="45"/>
              <w:ind w:right="108"/>
              <w:jc w:val="right"/>
              <w:rPr>
                <w:rFonts w:cs="Open Sans"/>
                <w:color w:val="000000"/>
              </w:rPr>
            </w:pPr>
            <w:r w:rsidRPr="00142441">
              <w:rPr>
                <w:rFonts w:cs="Open Sans"/>
                <w:color w:val="000000"/>
              </w:rPr>
              <w:t>1.2%</w:t>
            </w:r>
          </w:p>
        </w:tc>
        <w:tc>
          <w:tcPr>
            <w:tcW w:w="386" w:type="pct"/>
            <w:tcBorders>
              <w:bottom w:val="nil"/>
            </w:tcBorders>
            <w:shd w:val="clear" w:color="000000" w:fill="E6E6E6"/>
          </w:tcPr>
          <w:p w14:paraId="57AC011F" w14:textId="06D994A0" w:rsidR="0004239F" w:rsidRPr="0004239F" w:rsidRDefault="0004239F" w:rsidP="0041282F">
            <w:pPr>
              <w:pStyle w:val="TableBody"/>
              <w:spacing w:before="45" w:after="45"/>
              <w:ind w:right="108"/>
              <w:jc w:val="right"/>
              <w:rPr>
                <w:rFonts w:cs="Open Sans"/>
                <w:color w:val="000000"/>
              </w:rPr>
            </w:pPr>
            <w:r w:rsidRPr="00142441">
              <w:rPr>
                <w:rFonts w:cs="Open Sans"/>
                <w:color w:val="000000"/>
              </w:rPr>
              <w:t>1.2%</w:t>
            </w:r>
          </w:p>
        </w:tc>
        <w:tc>
          <w:tcPr>
            <w:tcW w:w="386" w:type="pct"/>
            <w:tcBorders>
              <w:bottom w:val="nil"/>
            </w:tcBorders>
            <w:shd w:val="clear" w:color="000000" w:fill="E6E6E6"/>
          </w:tcPr>
          <w:p w14:paraId="7CB3F3DA" w14:textId="64276A68" w:rsidR="0004239F" w:rsidRPr="0004239F" w:rsidRDefault="0004239F" w:rsidP="0041282F">
            <w:pPr>
              <w:pStyle w:val="TableBody"/>
              <w:spacing w:before="45" w:after="45"/>
              <w:ind w:right="108"/>
              <w:jc w:val="right"/>
              <w:rPr>
                <w:rFonts w:cs="Open Sans"/>
                <w:color w:val="000000"/>
              </w:rPr>
            </w:pPr>
            <w:r w:rsidRPr="00142441">
              <w:rPr>
                <w:rFonts w:cs="Open Sans"/>
                <w:color w:val="000000"/>
              </w:rPr>
              <w:t>1.6%</w:t>
            </w:r>
          </w:p>
        </w:tc>
        <w:tc>
          <w:tcPr>
            <w:tcW w:w="386" w:type="pct"/>
            <w:tcBorders>
              <w:bottom w:val="nil"/>
            </w:tcBorders>
            <w:shd w:val="clear" w:color="000000" w:fill="E6E6E6"/>
          </w:tcPr>
          <w:p w14:paraId="1E9EDA20" w14:textId="5729FF08" w:rsidR="0004239F" w:rsidRPr="0004239F" w:rsidRDefault="0004239F" w:rsidP="0041282F">
            <w:pPr>
              <w:pStyle w:val="TableBody"/>
              <w:spacing w:before="45" w:after="45"/>
              <w:ind w:right="108"/>
              <w:jc w:val="right"/>
              <w:rPr>
                <w:rFonts w:cs="Open Sans"/>
                <w:color w:val="000000"/>
              </w:rPr>
            </w:pPr>
            <w:r w:rsidRPr="00142441">
              <w:rPr>
                <w:rFonts w:cs="Open Sans"/>
                <w:color w:val="000000"/>
              </w:rPr>
              <w:t>1.6%</w:t>
            </w:r>
          </w:p>
        </w:tc>
        <w:tc>
          <w:tcPr>
            <w:tcW w:w="386" w:type="pct"/>
            <w:tcBorders>
              <w:bottom w:val="nil"/>
            </w:tcBorders>
            <w:shd w:val="clear" w:color="000000" w:fill="E6E6E6"/>
          </w:tcPr>
          <w:p w14:paraId="4F22AEB4" w14:textId="0129BB4A" w:rsidR="0004239F" w:rsidRPr="0004239F" w:rsidRDefault="0004239F" w:rsidP="0041282F">
            <w:pPr>
              <w:pStyle w:val="TableBody"/>
              <w:spacing w:before="45" w:after="45"/>
              <w:ind w:right="108"/>
              <w:jc w:val="right"/>
              <w:rPr>
                <w:rFonts w:cs="Open Sans"/>
                <w:color w:val="000000"/>
              </w:rPr>
            </w:pPr>
            <w:r w:rsidRPr="00142441">
              <w:rPr>
                <w:rFonts w:cs="Open Sans"/>
                <w:color w:val="000000"/>
              </w:rPr>
              <w:t>1.2%</w:t>
            </w:r>
          </w:p>
        </w:tc>
        <w:tc>
          <w:tcPr>
            <w:tcW w:w="386" w:type="pct"/>
            <w:tcBorders>
              <w:bottom w:val="nil"/>
            </w:tcBorders>
            <w:shd w:val="clear" w:color="000000" w:fill="E6E6E6"/>
          </w:tcPr>
          <w:p w14:paraId="00950843" w14:textId="3902B025" w:rsidR="0004239F" w:rsidRPr="0004239F" w:rsidRDefault="0004239F" w:rsidP="0041282F">
            <w:pPr>
              <w:pStyle w:val="TableBody"/>
              <w:spacing w:before="45" w:after="45"/>
              <w:ind w:right="108"/>
              <w:jc w:val="right"/>
              <w:rPr>
                <w:rFonts w:cs="Open Sans"/>
                <w:color w:val="000000"/>
              </w:rPr>
            </w:pPr>
            <w:r w:rsidRPr="00142441">
              <w:rPr>
                <w:rFonts w:cs="Open Sans"/>
                <w:color w:val="000000"/>
              </w:rPr>
              <w:t>1.0%</w:t>
            </w:r>
          </w:p>
        </w:tc>
        <w:tc>
          <w:tcPr>
            <w:tcW w:w="386" w:type="pct"/>
            <w:tcBorders>
              <w:bottom w:val="nil"/>
            </w:tcBorders>
            <w:shd w:val="clear" w:color="000000" w:fill="E6E6E6"/>
          </w:tcPr>
          <w:p w14:paraId="706A8FC9" w14:textId="372C4001" w:rsidR="0004239F" w:rsidRPr="0004239F" w:rsidRDefault="0004239F" w:rsidP="0041282F">
            <w:pPr>
              <w:pStyle w:val="TableBody"/>
              <w:spacing w:before="45" w:after="45"/>
              <w:ind w:right="108"/>
              <w:jc w:val="right"/>
              <w:rPr>
                <w:rFonts w:cs="Open Sans"/>
                <w:color w:val="000000"/>
              </w:rPr>
            </w:pPr>
            <w:r w:rsidRPr="00142441">
              <w:rPr>
                <w:rFonts w:cs="Open Sans"/>
                <w:color w:val="000000"/>
              </w:rPr>
              <w:t>0.8%</w:t>
            </w:r>
          </w:p>
        </w:tc>
        <w:tc>
          <w:tcPr>
            <w:tcW w:w="387" w:type="pct"/>
            <w:tcBorders>
              <w:bottom w:val="nil"/>
            </w:tcBorders>
            <w:shd w:val="clear" w:color="000000" w:fill="E6E6E6"/>
          </w:tcPr>
          <w:p w14:paraId="431AFA9F" w14:textId="37A02D06" w:rsidR="0004239F" w:rsidRPr="0004239F" w:rsidRDefault="0004239F" w:rsidP="0041282F">
            <w:pPr>
              <w:pStyle w:val="TableBody"/>
              <w:spacing w:before="45" w:after="45"/>
              <w:ind w:right="108"/>
              <w:jc w:val="right"/>
              <w:rPr>
                <w:rFonts w:cs="Open Sans"/>
                <w:color w:val="000000"/>
              </w:rPr>
            </w:pPr>
            <w:r w:rsidRPr="00142441">
              <w:rPr>
                <w:rFonts w:cs="Open Sans"/>
                <w:color w:val="000000"/>
              </w:rPr>
              <w:t>1.2%</w:t>
            </w:r>
          </w:p>
        </w:tc>
        <w:tc>
          <w:tcPr>
            <w:tcW w:w="584" w:type="pct"/>
            <w:tcBorders>
              <w:bottom w:val="nil"/>
            </w:tcBorders>
            <w:shd w:val="clear" w:color="000000" w:fill="E6E6E6"/>
          </w:tcPr>
          <w:p w14:paraId="7D0D7AA7" w14:textId="16EBFDAC" w:rsidR="0004239F" w:rsidRPr="008452D3" w:rsidRDefault="0004239F" w:rsidP="0041282F">
            <w:pPr>
              <w:pStyle w:val="TableBody"/>
              <w:spacing w:before="45" w:after="45"/>
              <w:ind w:right="108"/>
              <w:jc w:val="right"/>
              <w:rPr>
                <w:rFonts w:cs="Open Sans"/>
                <w:b/>
                <w:bCs/>
                <w:color w:val="000000"/>
              </w:rPr>
            </w:pPr>
            <w:r w:rsidRPr="008452D3">
              <w:rPr>
                <w:rFonts w:cs="Open Sans"/>
                <w:b/>
                <w:bCs/>
                <w:color w:val="000000"/>
              </w:rPr>
              <w:t>1.3%</w:t>
            </w:r>
          </w:p>
        </w:tc>
      </w:tr>
      <w:tr w:rsidR="000D0D79" w:rsidRPr="00142441" w14:paraId="5C4C4472" w14:textId="77777777" w:rsidTr="007F0F01">
        <w:tc>
          <w:tcPr>
            <w:tcW w:w="1327" w:type="pct"/>
            <w:tcBorders>
              <w:top w:val="nil"/>
            </w:tcBorders>
            <w:shd w:val="clear" w:color="000000" w:fill="auto"/>
          </w:tcPr>
          <w:p w14:paraId="232EB7ED" w14:textId="2CBD32E5" w:rsidR="000D0D79" w:rsidRPr="0004239F" w:rsidRDefault="0004239F" w:rsidP="0004239F">
            <w:pPr>
              <w:pStyle w:val="TableHeading"/>
              <w:spacing w:before="45" w:after="45"/>
              <w:rPr>
                <w:rFonts w:cs="Open Sans"/>
                <w:color w:val="1D4374"/>
              </w:rPr>
            </w:pPr>
            <w:r w:rsidRPr="0004239F">
              <w:rPr>
                <w:rFonts w:cs="Open Sans"/>
                <w:color w:val="1D4374"/>
              </w:rPr>
              <w:t>Total e</w:t>
            </w:r>
            <w:r w:rsidR="000D0D79" w:rsidRPr="0004239F">
              <w:rPr>
                <w:rFonts w:cs="Open Sans"/>
                <w:color w:val="1D4374"/>
              </w:rPr>
              <w:t>xpenditure</w:t>
            </w:r>
          </w:p>
        </w:tc>
        <w:tc>
          <w:tcPr>
            <w:tcW w:w="386" w:type="pct"/>
            <w:tcBorders>
              <w:top w:val="nil"/>
            </w:tcBorders>
            <w:shd w:val="clear" w:color="000000" w:fill="auto"/>
          </w:tcPr>
          <w:p w14:paraId="5252C90D" w14:textId="71FF1F8F" w:rsidR="000D0D79" w:rsidRPr="00142441" w:rsidRDefault="000D0D79" w:rsidP="0041282F">
            <w:pPr>
              <w:pStyle w:val="TableBody"/>
              <w:spacing w:before="45" w:after="45"/>
              <w:ind w:right="108"/>
              <w:jc w:val="right"/>
              <w:rPr>
                <w:rFonts w:cs="Open Sans"/>
                <w:color w:val="000000"/>
              </w:rPr>
            </w:pPr>
            <w:r w:rsidRPr="00142441">
              <w:rPr>
                <w:rFonts w:cs="Open Sans"/>
                <w:color w:val="000000"/>
              </w:rPr>
              <w:t>1.7%</w:t>
            </w:r>
          </w:p>
        </w:tc>
        <w:tc>
          <w:tcPr>
            <w:tcW w:w="386" w:type="pct"/>
            <w:tcBorders>
              <w:top w:val="nil"/>
            </w:tcBorders>
            <w:shd w:val="clear" w:color="000000" w:fill="auto"/>
          </w:tcPr>
          <w:p w14:paraId="4CF7DC47" w14:textId="636AABB8" w:rsidR="000D0D79" w:rsidRPr="00142441" w:rsidRDefault="000D0D79" w:rsidP="0041282F">
            <w:pPr>
              <w:pStyle w:val="TableBody"/>
              <w:spacing w:before="45" w:after="45"/>
              <w:ind w:right="108"/>
              <w:jc w:val="right"/>
              <w:rPr>
                <w:rFonts w:cs="Open Sans"/>
                <w:color w:val="000000"/>
              </w:rPr>
            </w:pPr>
            <w:r w:rsidRPr="00142441">
              <w:rPr>
                <w:rFonts w:cs="Open Sans"/>
                <w:color w:val="000000"/>
              </w:rPr>
              <w:t>2.1%</w:t>
            </w:r>
          </w:p>
        </w:tc>
        <w:tc>
          <w:tcPr>
            <w:tcW w:w="386" w:type="pct"/>
            <w:tcBorders>
              <w:top w:val="nil"/>
            </w:tcBorders>
            <w:shd w:val="clear" w:color="000000" w:fill="auto"/>
          </w:tcPr>
          <w:p w14:paraId="5BCA607D" w14:textId="616FB737" w:rsidR="000D0D79" w:rsidRPr="00142441" w:rsidRDefault="000D0D79" w:rsidP="0041282F">
            <w:pPr>
              <w:pStyle w:val="TableBody"/>
              <w:spacing w:before="45" w:after="45"/>
              <w:ind w:right="108"/>
              <w:jc w:val="right"/>
              <w:rPr>
                <w:rFonts w:cs="Open Sans"/>
                <w:color w:val="000000"/>
              </w:rPr>
            </w:pPr>
            <w:r w:rsidRPr="00142441">
              <w:rPr>
                <w:rFonts w:cs="Open Sans"/>
                <w:color w:val="000000"/>
              </w:rPr>
              <w:t>1.</w:t>
            </w:r>
            <w:r w:rsidR="00977858">
              <w:rPr>
                <w:rFonts w:cs="Open Sans"/>
                <w:color w:val="000000"/>
              </w:rPr>
              <w:t>8</w:t>
            </w:r>
            <w:r w:rsidRPr="00142441">
              <w:rPr>
                <w:rFonts w:cs="Open Sans"/>
                <w:color w:val="000000"/>
              </w:rPr>
              <w:t>%</w:t>
            </w:r>
          </w:p>
        </w:tc>
        <w:tc>
          <w:tcPr>
            <w:tcW w:w="386" w:type="pct"/>
            <w:tcBorders>
              <w:top w:val="nil"/>
            </w:tcBorders>
            <w:shd w:val="clear" w:color="000000" w:fill="auto"/>
          </w:tcPr>
          <w:p w14:paraId="7DE48D4C" w14:textId="5D8FC23A" w:rsidR="000D0D79" w:rsidRPr="00142441" w:rsidRDefault="000D0D79" w:rsidP="0041282F">
            <w:pPr>
              <w:pStyle w:val="TableBody"/>
              <w:spacing w:before="45" w:after="45"/>
              <w:ind w:right="108"/>
              <w:jc w:val="right"/>
              <w:rPr>
                <w:rFonts w:cs="Open Sans"/>
                <w:color w:val="000000"/>
              </w:rPr>
            </w:pPr>
            <w:r w:rsidRPr="00142441">
              <w:rPr>
                <w:rFonts w:cs="Open Sans"/>
                <w:color w:val="000000"/>
              </w:rPr>
              <w:t>1.3%</w:t>
            </w:r>
          </w:p>
        </w:tc>
        <w:tc>
          <w:tcPr>
            <w:tcW w:w="386" w:type="pct"/>
            <w:tcBorders>
              <w:top w:val="nil"/>
            </w:tcBorders>
            <w:shd w:val="clear" w:color="000000" w:fill="auto"/>
          </w:tcPr>
          <w:p w14:paraId="440DA069" w14:textId="6F1B117F" w:rsidR="000D0D79" w:rsidRPr="00142441" w:rsidRDefault="000D0D79" w:rsidP="0041282F">
            <w:pPr>
              <w:pStyle w:val="TableBody"/>
              <w:spacing w:before="45" w:after="45"/>
              <w:ind w:right="108"/>
              <w:jc w:val="right"/>
              <w:rPr>
                <w:rFonts w:cs="Open Sans"/>
                <w:color w:val="000000"/>
              </w:rPr>
            </w:pPr>
            <w:r w:rsidRPr="00142441">
              <w:rPr>
                <w:rFonts w:cs="Open Sans"/>
                <w:color w:val="000000"/>
              </w:rPr>
              <w:t>1.3%</w:t>
            </w:r>
          </w:p>
        </w:tc>
        <w:tc>
          <w:tcPr>
            <w:tcW w:w="386" w:type="pct"/>
            <w:tcBorders>
              <w:top w:val="nil"/>
            </w:tcBorders>
            <w:shd w:val="clear" w:color="000000" w:fill="auto"/>
          </w:tcPr>
          <w:p w14:paraId="59CFA31A" w14:textId="718CEA0F" w:rsidR="000D0D79" w:rsidRPr="00142441" w:rsidRDefault="000D0D79" w:rsidP="0041282F">
            <w:pPr>
              <w:pStyle w:val="TableBody"/>
              <w:spacing w:before="45" w:after="45"/>
              <w:ind w:right="108"/>
              <w:jc w:val="right"/>
              <w:rPr>
                <w:rFonts w:cs="Open Sans"/>
                <w:color w:val="000000"/>
              </w:rPr>
            </w:pPr>
            <w:r w:rsidRPr="00142441">
              <w:rPr>
                <w:rFonts w:cs="Open Sans"/>
                <w:color w:val="000000"/>
              </w:rPr>
              <w:t>1.</w:t>
            </w:r>
            <w:r w:rsidR="000612E0">
              <w:rPr>
                <w:rFonts w:cs="Open Sans"/>
                <w:color w:val="000000"/>
              </w:rPr>
              <w:t>8</w:t>
            </w:r>
            <w:r w:rsidRPr="00142441">
              <w:rPr>
                <w:rFonts w:cs="Open Sans"/>
                <w:color w:val="000000"/>
              </w:rPr>
              <w:t>%</w:t>
            </w:r>
          </w:p>
        </w:tc>
        <w:tc>
          <w:tcPr>
            <w:tcW w:w="386" w:type="pct"/>
            <w:tcBorders>
              <w:top w:val="nil"/>
            </w:tcBorders>
            <w:shd w:val="clear" w:color="000000" w:fill="auto"/>
          </w:tcPr>
          <w:p w14:paraId="0DB0F6D0" w14:textId="256BF0D0" w:rsidR="000D0D79" w:rsidRPr="00142441" w:rsidRDefault="000D0D79" w:rsidP="0041282F">
            <w:pPr>
              <w:pStyle w:val="TableBody"/>
              <w:spacing w:before="45" w:after="45"/>
              <w:ind w:right="108"/>
              <w:jc w:val="right"/>
              <w:rPr>
                <w:rFonts w:cs="Open Sans"/>
                <w:color w:val="000000"/>
              </w:rPr>
            </w:pPr>
            <w:r w:rsidRPr="00142441">
              <w:rPr>
                <w:rFonts w:cs="Open Sans"/>
                <w:color w:val="000000"/>
              </w:rPr>
              <w:t>1.</w:t>
            </w:r>
            <w:r w:rsidR="000612E0">
              <w:rPr>
                <w:rFonts w:cs="Open Sans"/>
                <w:color w:val="000000"/>
              </w:rPr>
              <w:t>7</w:t>
            </w:r>
            <w:r w:rsidRPr="00142441">
              <w:rPr>
                <w:rFonts w:cs="Open Sans"/>
                <w:color w:val="000000"/>
              </w:rPr>
              <w:t>%</w:t>
            </w:r>
          </w:p>
        </w:tc>
        <w:tc>
          <w:tcPr>
            <w:tcW w:w="387" w:type="pct"/>
            <w:tcBorders>
              <w:top w:val="nil"/>
            </w:tcBorders>
            <w:shd w:val="clear" w:color="000000" w:fill="auto"/>
          </w:tcPr>
          <w:p w14:paraId="58F93F49" w14:textId="3FAFBE08" w:rsidR="000D0D79" w:rsidRPr="00142441" w:rsidRDefault="000D0D79" w:rsidP="0041282F">
            <w:pPr>
              <w:pStyle w:val="TableBody"/>
              <w:spacing w:before="45" w:after="45"/>
              <w:ind w:right="108"/>
              <w:jc w:val="right"/>
              <w:rPr>
                <w:rFonts w:cs="Open Sans"/>
                <w:color w:val="000000"/>
              </w:rPr>
            </w:pPr>
            <w:r w:rsidRPr="00142441">
              <w:rPr>
                <w:rFonts w:cs="Open Sans"/>
                <w:color w:val="000000"/>
              </w:rPr>
              <w:t>1.5%</w:t>
            </w:r>
          </w:p>
        </w:tc>
        <w:tc>
          <w:tcPr>
            <w:tcW w:w="584" w:type="pct"/>
            <w:tcBorders>
              <w:top w:val="nil"/>
            </w:tcBorders>
            <w:shd w:val="clear" w:color="000000" w:fill="auto"/>
          </w:tcPr>
          <w:p w14:paraId="6CFDB66C" w14:textId="737FE67F" w:rsidR="000D0D79" w:rsidRPr="008452D3" w:rsidRDefault="000D0D79" w:rsidP="0041282F">
            <w:pPr>
              <w:pStyle w:val="TableBody"/>
              <w:spacing w:before="45" w:after="45"/>
              <w:ind w:right="108"/>
              <w:jc w:val="right"/>
              <w:rPr>
                <w:rFonts w:cs="Open Sans"/>
                <w:b/>
                <w:bCs/>
                <w:color w:val="000000"/>
              </w:rPr>
            </w:pPr>
            <w:r w:rsidRPr="008452D3">
              <w:rPr>
                <w:rFonts w:cs="Open Sans"/>
                <w:b/>
                <w:bCs/>
                <w:color w:val="000000"/>
              </w:rPr>
              <w:t>1.</w:t>
            </w:r>
            <w:r w:rsidR="000612E0">
              <w:rPr>
                <w:rFonts w:cs="Open Sans"/>
                <w:b/>
                <w:bCs/>
                <w:color w:val="000000"/>
              </w:rPr>
              <w:t>8</w:t>
            </w:r>
            <w:r w:rsidRPr="008452D3">
              <w:rPr>
                <w:rFonts w:cs="Open Sans"/>
                <w:b/>
                <w:bCs/>
                <w:color w:val="000000"/>
              </w:rPr>
              <w:t>%</w:t>
            </w:r>
          </w:p>
        </w:tc>
      </w:tr>
    </w:tbl>
    <w:p w14:paraId="06B2D48F" w14:textId="77777777" w:rsidR="0041282F" w:rsidRDefault="007F0F01" w:rsidP="0041282F">
      <w:pPr>
        <w:pStyle w:val="Note"/>
        <w:rPr>
          <w:szCs w:val="22"/>
        </w:rPr>
      </w:pPr>
      <w:r>
        <w:t xml:space="preserve">Constant prices </w:t>
      </w:r>
      <w:r w:rsidRPr="000046D0">
        <w:t>calculated using implicit price deflator of GDP</w:t>
      </w:r>
      <w:r>
        <w:t>.</w:t>
      </w:r>
      <w:r w:rsidRPr="007F0F01">
        <w:rPr>
          <w:szCs w:val="22"/>
        </w:rPr>
        <w:t xml:space="preserve"> </w:t>
      </w:r>
    </w:p>
    <w:p w14:paraId="3435022A" w14:textId="14010894" w:rsidR="00BE4DFD" w:rsidRDefault="00BE4DFD" w:rsidP="00142441">
      <w:pPr>
        <w:pStyle w:val="Source"/>
      </w:pPr>
      <w:r w:rsidRPr="00696447">
        <w:t xml:space="preserve">Source: </w:t>
      </w:r>
      <w:r w:rsidR="00FE029E" w:rsidRPr="00621391">
        <w:t xml:space="preserve">PC estimates using ABS </w:t>
      </w:r>
      <w:r w:rsidR="00FE029E" w:rsidRPr="003474CA">
        <w:rPr>
          <w:rFonts w:cs="Open Sans"/>
        </w:rPr>
        <w:t>(2025a, 2025c, unpublished data)</w:t>
      </w:r>
      <w:r w:rsidR="00420DD7">
        <w:t>.</w:t>
      </w:r>
    </w:p>
    <w:p w14:paraId="183B7322" w14:textId="568C4718" w:rsidR="001A206D" w:rsidRPr="0004409E" w:rsidRDefault="006F474C" w:rsidP="00554824">
      <w:pPr>
        <w:pStyle w:val="BodyText"/>
        <w:rPr>
          <w:spacing w:val="-4"/>
        </w:rPr>
      </w:pPr>
      <w:r w:rsidRPr="0004409E">
        <w:rPr>
          <w:spacing w:val="-4"/>
        </w:rPr>
        <w:t>Due to states’ unique characteristics, the proportions of state revenue derived from different sou</w:t>
      </w:r>
      <w:r w:rsidR="00A63185" w:rsidRPr="0004409E">
        <w:rPr>
          <w:spacing w:val="-4"/>
        </w:rPr>
        <w:t>r</w:t>
      </w:r>
      <w:r w:rsidRPr="0004409E">
        <w:rPr>
          <w:spacing w:val="-4"/>
        </w:rPr>
        <w:t>ces</w:t>
      </w:r>
      <w:r w:rsidR="006E1AC9" w:rsidRPr="0004409E">
        <w:rPr>
          <w:spacing w:val="-4"/>
        </w:rPr>
        <w:t xml:space="preserve"> varies significantly. </w:t>
      </w:r>
      <w:r w:rsidR="00010685" w:rsidRPr="0004409E">
        <w:rPr>
          <w:spacing w:val="-4"/>
        </w:rPr>
        <w:t xml:space="preserve">For example, mining revenue can be a driver for states having an above-average capacity to raise own-source revenues, as is the case for Western Australia and to a lesser extent Queensland </w:t>
      </w:r>
      <w:r w:rsidR="00010685" w:rsidRPr="0004409E">
        <w:rPr>
          <w:rFonts w:cs="Open Sans"/>
          <w:spacing w:val="-4"/>
        </w:rPr>
        <w:t>(CGC 2026a)</w:t>
      </w:r>
      <w:r w:rsidR="00010685" w:rsidRPr="0004409E">
        <w:rPr>
          <w:spacing w:val="-4"/>
        </w:rPr>
        <w:t xml:space="preserve">. </w:t>
      </w:r>
      <w:r w:rsidR="006E1AC9" w:rsidRPr="0004409E">
        <w:rPr>
          <w:spacing w:val="-4"/>
        </w:rPr>
        <w:t xml:space="preserve">At its peak in </w:t>
      </w:r>
      <w:r w:rsidR="00870185" w:rsidRPr="0004409E">
        <w:rPr>
          <w:spacing w:val="-4"/>
        </w:rPr>
        <w:t>2020–21</w:t>
      </w:r>
      <w:r w:rsidR="006E1AC9" w:rsidRPr="0004409E">
        <w:rPr>
          <w:spacing w:val="-4"/>
        </w:rPr>
        <w:t xml:space="preserve">, </w:t>
      </w:r>
      <w:r w:rsidR="00010685" w:rsidRPr="0004409E">
        <w:rPr>
          <w:spacing w:val="-4"/>
        </w:rPr>
        <w:t xml:space="preserve">royalty </w:t>
      </w:r>
      <w:r w:rsidR="006E1AC9" w:rsidRPr="0004409E">
        <w:rPr>
          <w:spacing w:val="-4"/>
        </w:rPr>
        <w:t xml:space="preserve">revenue comprised </w:t>
      </w:r>
      <w:r w:rsidR="003D4A2A" w:rsidRPr="0004409E">
        <w:rPr>
          <w:spacing w:val="-4"/>
        </w:rPr>
        <w:t>41</w:t>
      </w:r>
      <w:r w:rsidR="006E1AC9" w:rsidRPr="0004409E">
        <w:rPr>
          <w:spacing w:val="-4"/>
        </w:rPr>
        <w:t xml:space="preserve">% of </w:t>
      </w:r>
      <w:r w:rsidR="0017545F" w:rsidRPr="0004409E">
        <w:rPr>
          <w:spacing w:val="-4"/>
        </w:rPr>
        <w:t>Western Australia's</w:t>
      </w:r>
      <w:r w:rsidR="006E1AC9" w:rsidRPr="0004409E">
        <w:rPr>
          <w:spacing w:val="-4"/>
        </w:rPr>
        <w:t xml:space="preserve"> own</w:t>
      </w:r>
      <w:r w:rsidR="003506CD" w:rsidRPr="0004409E">
        <w:rPr>
          <w:spacing w:val="-4"/>
        </w:rPr>
        <w:t>-</w:t>
      </w:r>
      <w:r w:rsidR="006E1AC9" w:rsidRPr="0004409E">
        <w:rPr>
          <w:spacing w:val="-4"/>
        </w:rPr>
        <w:t>source revenue</w:t>
      </w:r>
      <w:r w:rsidR="007757E4" w:rsidRPr="0004409E">
        <w:rPr>
          <w:spacing w:val="-4"/>
        </w:rPr>
        <w:t xml:space="preserve"> </w:t>
      </w:r>
      <w:r w:rsidR="00A96904" w:rsidRPr="0004409E">
        <w:rPr>
          <w:spacing w:val="-4"/>
        </w:rPr>
        <w:t xml:space="preserve">(25% on average </w:t>
      </w:r>
      <w:r w:rsidR="006814C5" w:rsidRPr="0004409E">
        <w:rPr>
          <w:spacing w:val="-4"/>
        </w:rPr>
        <w:t>2000–01</w:t>
      </w:r>
      <w:r w:rsidR="00A96904" w:rsidRPr="0004409E">
        <w:rPr>
          <w:spacing w:val="-4"/>
        </w:rPr>
        <w:t xml:space="preserve"> to </w:t>
      </w:r>
      <w:r w:rsidR="004F7A80" w:rsidRPr="0004409E">
        <w:rPr>
          <w:spacing w:val="-4"/>
        </w:rPr>
        <w:t>2024–25</w:t>
      </w:r>
      <w:r w:rsidR="00A96904" w:rsidRPr="0004409E">
        <w:rPr>
          <w:spacing w:val="-4"/>
        </w:rPr>
        <w:t>)</w:t>
      </w:r>
      <w:r w:rsidR="006E1AC9" w:rsidRPr="0004409E">
        <w:rPr>
          <w:spacing w:val="-4"/>
        </w:rPr>
        <w:t xml:space="preserve">. Similarly, Queensland saw </w:t>
      </w:r>
      <w:r w:rsidR="00DB60C0" w:rsidRPr="0004409E">
        <w:rPr>
          <w:spacing w:val="-4"/>
        </w:rPr>
        <w:t xml:space="preserve">royalty </w:t>
      </w:r>
      <w:r w:rsidR="006E1AC9" w:rsidRPr="0004409E">
        <w:rPr>
          <w:spacing w:val="-4"/>
        </w:rPr>
        <w:t xml:space="preserve">revenue contribute </w:t>
      </w:r>
      <w:r w:rsidR="00F069AD" w:rsidRPr="0004409E">
        <w:rPr>
          <w:spacing w:val="-4"/>
        </w:rPr>
        <w:t>35</w:t>
      </w:r>
      <w:r w:rsidR="006E1AC9" w:rsidRPr="0004409E">
        <w:rPr>
          <w:spacing w:val="-4"/>
        </w:rPr>
        <w:t>% of its own</w:t>
      </w:r>
      <w:r w:rsidR="003506CD" w:rsidRPr="0004409E">
        <w:rPr>
          <w:spacing w:val="-4"/>
        </w:rPr>
        <w:t>-</w:t>
      </w:r>
      <w:r w:rsidR="006E1AC9" w:rsidRPr="0004409E">
        <w:rPr>
          <w:spacing w:val="-4"/>
        </w:rPr>
        <w:t>source revenue at its peak in 2022-23</w:t>
      </w:r>
      <w:r w:rsidR="00A96904" w:rsidRPr="0004409E">
        <w:rPr>
          <w:spacing w:val="-4"/>
        </w:rPr>
        <w:t xml:space="preserve"> (12% on average </w:t>
      </w:r>
      <w:r w:rsidR="006814C5" w:rsidRPr="0004409E">
        <w:rPr>
          <w:spacing w:val="-4"/>
        </w:rPr>
        <w:t>2000–01</w:t>
      </w:r>
      <w:r w:rsidR="009869A3" w:rsidRPr="0004409E">
        <w:rPr>
          <w:spacing w:val="-4"/>
        </w:rPr>
        <w:t xml:space="preserve"> to </w:t>
      </w:r>
      <w:r w:rsidR="004F7A80" w:rsidRPr="0004409E">
        <w:rPr>
          <w:spacing w:val="-4"/>
        </w:rPr>
        <w:t>2024–25</w:t>
      </w:r>
      <w:r w:rsidR="00A96904" w:rsidRPr="0004409E">
        <w:rPr>
          <w:spacing w:val="-4"/>
        </w:rPr>
        <w:t xml:space="preserve">) </w:t>
      </w:r>
      <w:r w:rsidR="00F57C88" w:rsidRPr="0004409E">
        <w:rPr>
          <w:rFonts w:cs="Open Sans"/>
          <w:spacing w:val="-4"/>
        </w:rPr>
        <w:t>(PC</w:t>
      </w:r>
      <w:r w:rsidR="009869A3" w:rsidRPr="0004409E">
        <w:rPr>
          <w:rFonts w:cs="Open Sans"/>
          <w:spacing w:val="-4"/>
        </w:rPr>
        <w:t> </w:t>
      </w:r>
      <w:r w:rsidR="00F57C88" w:rsidRPr="0004409E">
        <w:rPr>
          <w:rFonts w:cs="Open Sans"/>
          <w:spacing w:val="-4"/>
        </w:rPr>
        <w:t>estimates using ABS 2025a, unpublished data)</w:t>
      </w:r>
      <w:r w:rsidR="006E1AC9" w:rsidRPr="0004409E">
        <w:rPr>
          <w:spacing w:val="-4"/>
        </w:rPr>
        <w:t>. These figures illustrate how states with significant natural resources can generate higher own</w:t>
      </w:r>
      <w:r w:rsidR="003506CD" w:rsidRPr="0004409E">
        <w:rPr>
          <w:spacing w:val="-4"/>
        </w:rPr>
        <w:t>-</w:t>
      </w:r>
      <w:r w:rsidR="006E1AC9" w:rsidRPr="0004409E">
        <w:rPr>
          <w:spacing w:val="-4"/>
        </w:rPr>
        <w:t xml:space="preserve">source revenue, which in turn affects their capacity to fund services. The </w:t>
      </w:r>
      <w:r w:rsidR="00042844" w:rsidRPr="0004409E">
        <w:rPr>
          <w:spacing w:val="-4"/>
        </w:rPr>
        <w:t xml:space="preserve">Australian Capital Territory </w:t>
      </w:r>
      <w:r w:rsidR="006E1AC9" w:rsidRPr="0004409E">
        <w:rPr>
          <w:spacing w:val="-4"/>
        </w:rPr>
        <w:t>also generates above-average own-source revenue</w:t>
      </w:r>
      <w:r w:rsidR="007459B1" w:rsidRPr="0004409E">
        <w:rPr>
          <w:spacing w:val="-4"/>
        </w:rPr>
        <w:t xml:space="preserve"> per capita</w:t>
      </w:r>
      <w:r w:rsidR="00A834C8" w:rsidRPr="0004409E">
        <w:rPr>
          <w:spacing w:val="-4"/>
        </w:rPr>
        <w:t xml:space="preserve">, </w:t>
      </w:r>
      <w:r w:rsidR="00646F43" w:rsidRPr="0004409E">
        <w:rPr>
          <w:spacing w:val="-4"/>
        </w:rPr>
        <w:t xml:space="preserve">which </w:t>
      </w:r>
      <w:r w:rsidR="00A834C8" w:rsidRPr="0004409E">
        <w:rPr>
          <w:spacing w:val="-4"/>
        </w:rPr>
        <w:t xml:space="preserve">partly reflects </w:t>
      </w:r>
      <w:r w:rsidR="00646F43" w:rsidRPr="0004409E">
        <w:rPr>
          <w:spacing w:val="-4"/>
        </w:rPr>
        <w:t>its ability to raise</w:t>
      </w:r>
      <w:r w:rsidR="006E1AC9" w:rsidRPr="0004409E">
        <w:rPr>
          <w:spacing w:val="-4"/>
        </w:rPr>
        <w:t xml:space="preserve"> municipal rates</w:t>
      </w:r>
      <w:r w:rsidR="00646F43" w:rsidRPr="0004409E">
        <w:rPr>
          <w:spacing w:val="-4"/>
        </w:rPr>
        <w:t xml:space="preserve"> </w:t>
      </w:r>
      <w:r w:rsidR="00D95DD7" w:rsidRPr="0004409E">
        <w:rPr>
          <w:spacing w:val="-4"/>
        </w:rPr>
        <w:t>(</w:t>
      </w:r>
      <w:r w:rsidR="00014B37" w:rsidRPr="0004409E">
        <w:rPr>
          <w:spacing w:val="-4"/>
        </w:rPr>
        <w:t xml:space="preserve">the Australian Capital Territory is not directly comparable to other states </w:t>
      </w:r>
      <w:r w:rsidR="00A834C8" w:rsidRPr="0004409E">
        <w:rPr>
          <w:spacing w:val="-4"/>
        </w:rPr>
        <w:t>as</w:t>
      </w:r>
      <w:r w:rsidR="00014B37" w:rsidRPr="0004409E">
        <w:rPr>
          <w:spacing w:val="-4"/>
        </w:rPr>
        <w:t xml:space="preserve"> it</w:t>
      </w:r>
      <w:r w:rsidR="00D95DD7" w:rsidRPr="0004409E">
        <w:rPr>
          <w:spacing w:val="-4"/>
        </w:rPr>
        <w:t xml:space="preserve"> carries out functions that </w:t>
      </w:r>
      <w:r w:rsidR="007F449E" w:rsidRPr="0004409E">
        <w:rPr>
          <w:spacing w:val="-4"/>
        </w:rPr>
        <w:t xml:space="preserve">in other states are the responsibility of </w:t>
      </w:r>
      <w:r w:rsidR="006E1AC9" w:rsidRPr="0004409E">
        <w:rPr>
          <w:spacing w:val="-4"/>
        </w:rPr>
        <w:t>local governmen</w:t>
      </w:r>
      <w:r w:rsidR="00D03F56" w:rsidRPr="0004409E">
        <w:rPr>
          <w:spacing w:val="-4"/>
        </w:rPr>
        <w:t>ts</w:t>
      </w:r>
      <w:r w:rsidR="00D95DD7" w:rsidRPr="0004409E">
        <w:rPr>
          <w:spacing w:val="-4"/>
        </w:rPr>
        <w:t>)</w:t>
      </w:r>
      <w:r w:rsidR="006E1AC9" w:rsidRPr="0004409E">
        <w:rPr>
          <w:spacing w:val="-4"/>
        </w:rPr>
        <w:t>.</w:t>
      </w:r>
      <w:r w:rsidR="006E1AC9" w:rsidRPr="0004409E">
        <w:rPr>
          <w:rStyle w:val="FootnoteReference"/>
          <w:spacing w:val="-4"/>
        </w:rPr>
        <w:t xml:space="preserve"> </w:t>
      </w:r>
      <w:r w:rsidR="007E5203" w:rsidRPr="0004409E">
        <w:rPr>
          <w:rStyle w:val="FootnoteReference"/>
          <w:spacing w:val="-4"/>
        </w:rPr>
        <w:footnoteReference w:id="11"/>
      </w:r>
      <w:r w:rsidR="006E1AC9" w:rsidRPr="0004409E">
        <w:rPr>
          <w:spacing w:val="-4"/>
        </w:rPr>
        <w:t xml:space="preserve"> </w:t>
      </w:r>
    </w:p>
    <w:p w14:paraId="4AFD0FA9" w14:textId="68DF8F33" w:rsidR="00A63185" w:rsidRPr="00146382" w:rsidRDefault="00A63185" w:rsidP="00A63185">
      <w:pPr>
        <w:pStyle w:val="FigureTableHeading"/>
      </w:pPr>
      <w:r>
        <w:lastRenderedPageBreak/>
        <w:t xml:space="preserve">Figure </w:t>
      </w:r>
      <w:r w:rsidR="00EC6025">
        <w:rPr>
          <w:noProof/>
        </w:rPr>
        <w:t>D</w:t>
      </w:r>
      <w:r>
        <w:t>.</w:t>
      </w:r>
      <w:r w:rsidR="00EC6025">
        <w:rPr>
          <w:noProof/>
        </w:rPr>
        <w:t>7</w:t>
      </w:r>
      <w:r>
        <w:rPr>
          <w:noProof/>
        </w:rPr>
        <w:t xml:space="preserve"> </w:t>
      </w:r>
      <w:r>
        <w:t xml:space="preserve">– Total revenue per capita is growing for all states, but </w:t>
      </w:r>
      <w:r w:rsidR="00BB5853">
        <w:t>Commonwealth payments as a</w:t>
      </w:r>
      <w:r>
        <w:t xml:space="preserve"> proportion of </w:t>
      </w:r>
      <w:r w:rsidR="00B52FA9">
        <w:t>revenue</w:t>
      </w:r>
      <w:r>
        <w:t xml:space="preserve"> varies significantly between them</w:t>
      </w:r>
    </w:p>
    <w:p w14:paraId="694E967E" w14:textId="4B7B4DAA" w:rsidR="00A63185" w:rsidRDefault="00A63185" w:rsidP="00A63185">
      <w:pPr>
        <w:pStyle w:val="FigureTableSubheading"/>
        <w:keepLines/>
      </w:pPr>
      <w:r>
        <w:t>GG, total revenue $’000 per capita, constant prices (</w:t>
      </w:r>
      <w:r w:rsidR="004F7A80">
        <w:t>2024–25</w:t>
      </w:r>
      <w:r>
        <w:t xml:space="preserve"> basis)</w:t>
      </w:r>
    </w:p>
    <w:p w14:paraId="5E12C61A" w14:textId="1E115078" w:rsidR="00F67457" w:rsidRDefault="0050435E" w:rsidP="00721865">
      <w:pPr>
        <w:pStyle w:val="BodyText"/>
      </w:pPr>
      <w:r w:rsidRPr="0050435E">
        <w:rPr>
          <w:noProof/>
        </w:rPr>
        <w:drawing>
          <wp:inline distT="0" distB="0" distL="0" distR="0" wp14:anchorId="2117A406" wp14:editId="75538163">
            <wp:extent cx="6111240" cy="5730240"/>
            <wp:effectExtent l="0" t="0" r="0" b="0"/>
            <wp:docPr id="1107692712" name="Picture 20" descr="Figure D.7 – a panel chart, with a panel per state. Each panel has a stacked area chart reflecting per capita revenue split by own source revenue, GST and non-GST Commonwealth payments from 2000-01 to 2024-25. Each chart also has a line representing all states’ own source revenue per capita. The Northern Territory requires a different axis for presentation purposes, given the size of its per capita revenue. Western Australia has the highest proportion of own-source revenue over the period, the Northern Territory has the highest proportion of Commonwealth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92712" name="Picture 20" descr="Figure D.7 – a panel chart, with a panel per state. Each panel has a stacked area chart reflecting per capita revenue split by own source revenue, GST and non-GST Commonwealth payments from 2000-01 to 2024-25. Each chart also has a line representing all states’ own source revenue per capita. The Northern Territory requires a different axis for presentation purposes, given the size of its per capita revenue. Western Australia has the highest proportion of own-source revenue over the period, the Northern Territory has the highest proportion of Commonwealth payment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1240" cy="5730240"/>
                    </a:xfrm>
                    <a:prstGeom prst="rect">
                      <a:avLst/>
                    </a:prstGeom>
                    <a:noFill/>
                    <a:ln>
                      <a:noFill/>
                    </a:ln>
                  </pic:spPr>
                </pic:pic>
              </a:graphicData>
            </a:graphic>
          </wp:inline>
        </w:drawing>
      </w:r>
    </w:p>
    <w:p w14:paraId="75B33A9B" w14:textId="77777777" w:rsidR="00721865" w:rsidRDefault="00A63185" w:rsidP="00420DD7">
      <w:pPr>
        <w:pStyle w:val="Note"/>
        <w:keepLines/>
        <w:rPr>
          <w:szCs w:val="22"/>
        </w:rPr>
      </w:pPr>
      <w:r w:rsidRPr="00F7104F">
        <w:t xml:space="preserve">The Northern Territory has </w:t>
      </w:r>
      <w:r>
        <w:t xml:space="preserve">a different vertical axis to the other states, for presentation purposes. </w:t>
      </w:r>
      <w:r w:rsidR="00354447">
        <w:t>‘</w:t>
      </w:r>
      <w:r w:rsidR="0050435E">
        <w:t>Non-GST</w:t>
      </w:r>
      <w:r w:rsidR="000B27BE">
        <w:t xml:space="preserve"> </w:t>
      </w:r>
      <w:proofErr w:type="spellStart"/>
      <w:r w:rsidR="007635CA">
        <w:t>Cth</w:t>
      </w:r>
      <w:proofErr w:type="spellEnd"/>
      <w:r w:rsidR="007635CA">
        <w:t>.’</w:t>
      </w:r>
      <w:r w:rsidR="00354447">
        <w:t xml:space="preserve"> </w:t>
      </w:r>
      <w:r w:rsidR="00B85FA4">
        <w:t>refers to</w:t>
      </w:r>
      <w:r w:rsidR="00283EF2">
        <w:t xml:space="preserve"> Commonwealth payments</w:t>
      </w:r>
      <w:r w:rsidR="00B85FA4">
        <w:t xml:space="preserve"> </w:t>
      </w:r>
      <w:r w:rsidR="00283EF2">
        <w:t>(</w:t>
      </w:r>
      <w:r w:rsidR="00B85FA4">
        <w:t xml:space="preserve">grants and subsidies </w:t>
      </w:r>
      <w:r w:rsidR="004C471E">
        <w:t xml:space="preserve">in the GFS) </w:t>
      </w:r>
      <w:r w:rsidR="00574DA2">
        <w:t>to the state</w:t>
      </w:r>
      <w:r w:rsidR="004F0AE2">
        <w:t xml:space="preserve">, </w:t>
      </w:r>
      <w:r w:rsidR="00AF01CA">
        <w:t xml:space="preserve">excluding </w:t>
      </w:r>
      <w:r w:rsidR="0091302A">
        <w:t xml:space="preserve">GST payments </w:t>
      </w:r>
      <w:r w:rsidR="0056766B">
        <w:t>as per Final Budget Outcomes.</w:t>
      </w:r>
      <w:r w:rsidR="00D539FB">
        <w:t xml:space="preserve"> </w:t>
      </w:r>
      <w:r w:rsidR="00015337">
        <w:t xml:space="preserve">State </w:t>
      </w:r>
      <w:r w:rsidR="003506CD">
        <w:t>own-source</w:t>
      </w:r>
      <w:r w:rsidR="00D539FB">
        <w:t xml:space="preserve"> revenue </w:t>
      </w:r>
      <w:r w:rsidR="00015337">
        <w:t xml:space="preserve">(OSR) </w:t>
      </w:r>
      <w:r w:rsidR="005E3568">
        <w:t xml:space="preserve">refers to </w:t>
      </w:r>
      <w:r w:rsidR="00015337">
        <w:t xml:space="preserve">a state’s total </w:t>
      </w:r>
      <w:r w:rsidR="00C23838">
        <w:t xml:space="preserve">revenue minus </w:t>
      </w:r>
      <w:r w:rsidR="00AC07E9">
        <w:t>Commonwealth payments (grants and subsidies in the GFS)</w:t>
      </w:r>
      <w:r w:rsidR="00C23838">
        <w:t xml:space="preserve">. </w:t>
      </w:r>
      <w:r w:rsidR="00564102">
        <w:t>‘</w:t>
      </w:r>
      <w:r w:rsidR="005E3568">
        <w:t>All states</w:t>
      </w:r>
      <w:r w:rsidR="008314FF">
        <w:t xml:space="preserve"> OSR</w:t>
      </w:r>
      <w:r w:rsidR="00564102">
        <w:t>’</w:t>
      </w:r>
      <w:r w:rsidR="005E3568">
        <w:t xml:space="preserve"> </w:t>
      </w:r>
      <w:r w:rsidR="002711D4">
        <w:t>refers to total state</w:t>
      </w:r>
      <w:r w:rsidR="00F625EA">
        <w:t xml:space="preserve"> own source revenue </w:t>
      </w:r>
      <w:r w:rsidR="00DF53CC">
        <w:t>divided by the combined state</w:t>
      </w:r>
      <w:r w:rsidR="00BD379E">
        <w:t xml:space="preserve"> </w:t>
      </w:r>
      <w:r w:rsidR="00DF53CC">
        <w:t>populatio</w:t>
      </w:r>
      <w:r w:rsidR="00284319">
        <w:t>ns.</w:t>
      </w:r>
      <w:r w:rsidR="007F0F01" w:rsidRPr="007F0F01">
        <w:t xml:space="preserve"> </w:t>
      </w:r>
      <w:r w:rsidR="007F0F01">
        <w:t xml:space="preserve">Constant prices </w:t>
      </w:r>
      <w:r w:rsidR="007F0F01" w:rsidRPr="000046D0">
        <w:t>calculated using implicit price deflator of GDP</w:t>
      </w:r>
      <w:r w:rsidR="007F0F01">
        <w:t>.</w:t>
      </w:r>
      <w:r w:rsidR="005E3568">
        <w:t xml:space="preserve"> </w:t>
      </w:r>
    </w:p>
    <w:p w14:paraId="79857217" w14:textId="4A7B4281" w:rsidR="00A63185" w:rsidRDefault="00A63185" w:rsidP="00721865">
      <w:pPr>
        <w:pStyle w:val="Source"/>
      </w:pPr>
      <w:r w:rsidRPr="00696447">
        <w:t xml:space="preserve">Source: </w:t>
      </w:r>
      <w:r w:rsidR="00B2614A" w:rsidRPr="00621391">
        <w:t xml:space="preserve">PC estimates using ABS </w:t>
      </w:r>
      <w:r w:rsidR="00B2614A" w:rsidRPr="003474CA">
        <w:t>(2025a, 2025c, unpublished data)</w:t>
      </w:r>
      <w:r w:rsidR="001C4B58">
        <w:t xml:space="preserve"> and </w:t>
      </w:r>
      <w:r w:rsidR="00481A31">
        <w:t xml:space="preserve">the </w:t>
      </w:r>
      <w:r w:rsidR="001C4B58">
        <w:t xml:space="preserve">Commonwealth of Australia </w:t>
      </w:r>
      <w:r w:rsidR="001C4B58" w:rsidRPr="001C4B58">
        <w:t>(ABS 2025c; 2025, p. 86 and various other years)</w:t>
      </w:r>
      <w:r w:rsidR="00B2614A">
        <w:t>.</w:t>
      </w:r>
    </w:p>
    <w:p w14:paraId="0BBD7921" w14:textId="28FED642" w:rsidR="00977E9C" w:rsidRDefault="00977E9C" w:rsidP="008F482E">
      <w:pPr>
        <w:keepNext/>
        <w:keepLines/>
      </w:pPr>
      <w:r w:rsidRPr="00B53B01">
        <w:lastRenderedPageBreak/>
        <w:t xml:space="preserve">By contrast, the Northern Territory and Tasmania rely more heavily on Commonwealth payments, </w:t>
      </w:r>
      <w:r w:rsidRPr="00AF2CAE">
        <w:t xml:space="preserve">with </w:t>
      </w:r>
      <w:r w:rsidR="005A01B7" w:rsidRPr="00AF2CAE">
        <w:t xml:space="preserve">75% </w:t>
      </w:r>
      <w:r w:rsidR="005A01B7">
        <w:t xml:space="preserve">and </w:t>
      </w:r>
      <w:r w:rsidRPr="00AF2CAE">
        <w:t xml:space="preserve">63% of total revenue respectively coming from this source in </w:t>
      </w:r>
      <w:r w:rsidR="004F7A80">
        <w:t>2024–25</w:t>
      </w:r>
      <w:r w:rsidRPr="00AF2CAE">
        <w:t xml:space="preserve"> </w:t>
      </w:r>
      <w:r w:rsidRPr="000F1CB5">
        <w:rPr>
          <w:rFonts w:cs="Open Sans"/>
        </w:rPr>
        <w:t>(PC estimates using ABS 2025a, unpublished data)</w:t>
      </w:r>
      <w:r>
        <w:t xml:space="preserve">. Despite both states’ reliance on federal funding, their ability to raise own-source revenue differs: the Northern Territory has consistently maintained near-average own-source revenue, while Tasmania has persistently generated below-average own-source revenue. In the CGC’s assessments, the ratio of actual to assessed revenue per capita can provide </w:t>
      </w:r>
      <w:r w:rsidDel="00104058">
        <w:t>an</w:t>
      </w:r>
      <w:r>
        <w:t xml:space="preserve"> indication of revenue-raising ‘effort’ (a ratio above 100 indicates a state is generating more revenue than expected given its economic base and average policy). On this metric, the Northern Territory has demonstrated greater-than-average revenue effort in recent years (</w:t>
      </w:r>
      <w:r w:rsidR="00870185">
        <w:t>2021–22</w:t>
      </w:r>
      <w:r>
        <w:t xml:space="preserve"> to </w:t>
      </w:r>
      <w:r w:rsidR="004F7A80">
        <w:t>2024–25</w:t>
      </w:r>
      <w:r>
        <w:t xml:space="preserve">), whereas Tasmania has demonstrated slightly below-average revenue effort </w:t>
      </w:r>
      <w:r w:rsidRPr="000335BF">
        <w:rPr>
          <w:rFonts w:cs="Open Sans"/>
        </w:rPr>
        <w:t>(CGC 2026c)</w:t>
      </w:r>
      <w:r>
        <w:t xml:space="preserve">. </w:t>
      </w:r>
    </w:p>
    <w:p w14:paraId="1B9252EF" w14:textId="17907155" w:rsidR="00977E9C" w:rsidRDefault="00977E9C" w:rsidP="00273222">
      <w:r>
        <w:t xml:space="preserve">Higher reliance on Commonwealth payments exposes states to fiscal pressures and risks outside of their control. For example, changes to the GST distribution methodology or pool could have significant impacts on a state’s fiscal position </w:t>
      </w:r>
      <w:r w:rsidRPr="00505AEA">
        <w:rPr>
          <w:rFonts w:cs="Open Sans"/>
        </w:rPr>
        <w:t>(Government of Tasmania 2026, p. 34)</w:t>
      </w:r>
      <w:r>
        <w:t xml:space="preserve">. In addition, a high proportion of tied payments from the Australian Government can limit a states’ fiscal flexibility, as many payments for specific purposes are provisional on the state also contributing funding.  </w:t>
      </w:r>
    </w:p>
    <w:p w14:paraId="02FE42AF" w14:textId="1C78FA9B" w:rsidR="00F01D9A" w:rsidRDefault="00062630" w:rsidP="004F2A72">
      <w:pPr>
        <w:pStyle w:val="Heading3"/>
      </w:pPr>
      <w:r>
        <w:t xml:space="preserve">The </w:t>
      </w:r>
      <w:r w:rsidR="003B6CF5">
        <w:t xml:space="preserve">2018 reforms </w:t>
      </w:r>
      <w:r w:rsidR="002C25FD">
        <w:t>have created uncertainty for states</w:t>
      </w:r>
      <w:r w:rsidR="00D0313C">
        <w:t xml:space="preserve"> other than Western Australia</w:t>
      </w:r>
    </w:p>
    <w:p w14:paraId="0FBCF89C" w14:textId="0D97A93B" w:rsidR="00C73F82" w:rsidRDefault="00A026DD" w:rsidP="00C73F82">
      <w:pPr>
        <w:pStyle w:val="BodyText"/>
      </w:pPr>
      <w:r>
        <w:t>An</w:t>
      </w:r>
      <w:r w:rsidR="00C73F82">
        <w:t xml:space="preserve"> intent of the 2018 reforms was that all states would be made better off by increasing the GST pool available to the states via ‘pool boost’ payments. However, the pool boost has </w:t>
      </w:r>
      <w:r w:rsidR="00644B14">
        <w:t>been lower than</w:t>
      </w:r>
      <w:r w:rsidR="00C73F82">
        <w:t xml:space="preserve"> the additional GST payments made to Western Australia, </w:t>
      </w:r>
      <w:r w:rsidR="004E246B">
        <w:t>and</w:t>
      </w:r>
      <w:r w:rsidR="00C73F82">
        <w:t xml:space="preserve"> other states have </w:t>
      </w:r>
      <w:r w:rsidR="001A3F30">
        <w:t xml:space="preserve">required </w:t>
      </w:r>
      <w:r w:rsidR="00DD6728">
        <w:t xml:space="preserve">payments </w:t>
      </w:r>
      <w:r w:rsidR="00A72CF5">
        <w:t xml:space="preserve">under </w:t>
      </w:r>
      <w:r w:rsidR="00C73F82">
        <w:t xml:space="preserve">the </w:t>
      </w:r>
      <w:r w:rsidR="00443C9D">
        <w:t>N</w:t>
      </w:r>
      <w:r w:rsidR="00631E42">
        <w:t xml:space="preserve">o </w:t>
      </w:r>
      <w:r w:rsidR="00443C9D">
        <w:t>W</w:t>
      </w:r>
      <w:r w:rsidR="00631E42">
        <w:t>orse-</w:t>
      </w:r>
      <w:r w:rsidR="00443C9D">
        <w:t>O</w:t>
      </w:r>
      <w:r w:rsidR="00631E42">
        <w:t>ff (</w:t>
      </w:r>
      <w:proofErr w:type="spellStart"/>
      <w:r w:rsidR="00C73F82">
        <w:t>NoWO</w:t>
      </w:r>
      <w:proofErr w:type="spellEnd"/>
      <w:r w:rsidR="00631E42">
        <w:t>)</w:t>
      </w:r>
      <w:r w:rsidR="00C73F82">
        <w:t xml:space="preserve"> guarantee to ensure their </w:t>
      </w:r>
      <w:r w:rsidR="00777177">
        <w:t xml:space="preserve">GST revenue </w:t>
      </w:r>
      <w:r w:rsidR="00C73F82">
        <w:t>remained cumulatively equivalent to what they would have received under the pre</w:t>
      </w:r>
      <w:r w:rsidR="00C73F82">
        <w:noBreakHyphen/>
        <w:t xml:space="preserve">2018 distribution system </w:t>
      </w:r>
      <w:r w:rsidR="00C73F82" w:rsidRPr="00F24161">
        <w:t>(</w:t>
      </w:r>
      <w:r w:rsidR="006420D5">
        <w:t>chapter 2</w:t>
      </w:r>
      <w:r w:rsidR="00C73F82" w:rsidRPr="00F24161">
        <w:t>)</w:t>
      </w:r>
      <w:r w:rsidR="00C73F82">
        <w:t>.</w:t>
      </w:r>
      <w:r w:rsidR="00C73F82" w:rsidRPr="001D3923">
        <w:rPr>
          <w:rStyle w:val="FootnoteReference"/>
        </w:rPr>
        <w:footnoteReference w:id="12"/>
      </w:r>
    </w:p>
    <w:p w14:paraId="137B64DE" w14:textId="5F459DF1" w:rsidR="00F01D9A" w:rsidRDefault="00344DC2" w:rsidP="00E736AA">
      <w:pPr>
        <w:pStyle w:val="BodyText"/>
      </w:pPr>
      <w:r>
        <w:t xml:space="preserve">Many inquiry participants noted that the lack of a permanent </w:t>
      </w:r>
      <w:proofErr w:type="spellStart"/>
      <w:r>
        <w:t>NoWO</w:t>
      </w:r>
      <w:proofErr w:type="spellEnd"/>
      <w:r>
        <w:t xml:space="preserve"> guarantee has created significant fiscal uncertainty for states, with some states likening the end of the guarantee to a ‘fiscal cliff’.</w:t>
      </w:r>
      <w:r w:rsidRPr="001D3923">
        <w:rPr>
          <w:rStyle w:val="FootnoteReference"/>
        </w:rPr>
        <w:footnoteReference w:id="13"/>
      </w:r>
      <w:r>
        <w:t xml:space="preserve"> </w:t>
      </w:r>
      <w:r w:rsidR="00A17DCA">
        <w:t xml:space="preserve">However, </w:t>
      </w:r>
      <w:r w:rsidR="00B86218">
        <w:t>as</w:t>
      </w:r>
      <w:r w:rsidR="00E1597A">
        <w:t xml:space="preserve"> the </w:t>
      </w:r>
      <w:proofErr w:type="spellStart"/>
      <w:r w:rsidR="00626284">
        <w:t>NoWO</w:t>
      </w:r>
      <w:proofErr w:type="spellEnd"/>
      <w:r w:rsidR="00626284">
        <w:t xml:space="preserve"> guarantee </w:t>
      </w:r>
      <w:r w:rsidR="00B96030">
        <w:t xml:space="preserve">has been extended to </w:t>
      </w:r>
      <w:r w:rsidR="00854C40">
        <w:t>2029–30</w:t>
      </w:r>
      <w:r w:rsidR="00467AC0">
        <w:t xml:space="preserve"> </w:t>
      </w:r>
      <w:r w:rsidR="003C7063" w:rsidRPr="003C7063">
        <w:rPr>
          <w:rFonts w:cs="Open Sans"/>
        </w:rPr>
        <w:t>(Australian Government Department of the Treasury 2024)</w:t>
      </w:r>
      <w:r w:rsidR="00B96030">
        <w:t xml:space="preserve">, the </w:t>
      </w:r>
      <w:r w:rsidR="00E52330">
        <w:t xml:space="preserve">effect of its removal on states’ operating balances has not </w:t>
      </w:r>
      <w:r w:rsidR="00D914F3">
        <w:t xml:space="preserve">been </w:t>
      </w:r>
      <w:r w:rsidR="00B96030">
        <w:t>capture</w:t>
      </w:r>
      <w:r w:rsidR="00D914F3">
        <w:t>d</w:t>
      </w:r>
      <w:r w:rsidR="00B96030">
        <w:t xml:space="preserve"> in states’ </w:t>
      </w:r>
      <w:r w:rsidR="00D914F3">
        <w:t xml:space="preserve">2026-27 budget </w:t>
      </w:r>
      <w:r w:rsidR="00B96030">
        <w:t xml:space="preserve">forward estimates. </w:t>
      </w:r>
    </w:p>
    <w:p w14:paraId="237F4BFD" w14:textId="7D5D4809" w:rsidR="00D827CD" w:rsidRDefault="00EB18A1" w:rsidP="000B3F28">
      <w:pPr>
        <w:pStyle w:val="BodyText"/>
      </w:pPr>
      <w:proofErr w:type="spellStart"/>
      <w:r>
        <w:t>NoWO</w:t>
      </w:r>
      <w:proofErr w:type="spellEnd"/>
      <w:r>
        <w:t xml:space="preserve"> payments are material for several states. </w:t>
      </w:r>
      <w:r w:rsidRPr="00CB2490">
        <w:t xml:space="preserve">In </w:t>
      </w:r>
      <w:r w:rsidR="004F7A80">
        <w:t>2024–25</w:t>
      </w:r>
      <w:r w:rsidRPr="00CB2490">
        <w:t>, they were equivalent to 3% of own</w:t>
      </w:r>
      <w:r w:rsidRPr="00CE78F3">
        <w:t>-</w:t>
      </w:r>
      <w:r w:rsidRPr="00CB2490">
        <w:t>source revenue on average</w:t>
      </w:r>
      <w:r w:rsidRPr="006E56C1">
        <w:t>,</w:t>
      </w:r>
      <w:r w:rsidRPr="00CB2490">
        <w:t xml:space="preserve"> for states other than Western Australia</w:t>
      </w:r>
      <w:r w:rsidR="003A7AD1">
        <w:t xml:space="preserve"> </w:t>
      </w:r>
      <w:r w:rsidR="00585280" w:rsidRPr="00973D85">
        <w:rPr>
          <w:rFonts w:cs="Open Sans"/>
        </w:rPr>
        <w:t>(PC estimates using ABS 2025a, unpublished data; Commonwealth of Australia 2025, p. 86)</w:t>
      </w:r>
      <w:r>
        <w:t xml:space="preserve">. While a small proportion in an absolute sense, it is </w:t>
      </w:r>
      <w:r w:rsidRPr="00FD44B9">
        <w:t>significant</w:t>
      </w:r>
      <w:r w:rsidR="002628EB">
        <w:t xml:space="preserve"> in the context of specific</w:t>
      </w:r>
      <w:r w:rsidRPr="00FD44B9">
        <w:t xml:space="preserve"> </w:t>
      </w:r>
      <w:r>
        <w:t xml:space="preserve">own-source </w:t>
      </w:r>
      <w:r w:rsidRPr="00FD44B9">
        <w:t>revenue</w:t>
      </w:r>
      <w:r w:rsidR="002628EB">
        <w:t xml:space="preserve"> lines</w:t>
      </w:r>
      <w:r w:rsidRPr="00FD44B9">
        <w:t xml:space="preserve">. </w:t>
      </w:r>
      <w:r w:rsidRPr="001B4AB0">
        <w:t xml:space="preserve">For example, </w:t>
      </w:r>
      <w:r w:rsidR="00BF43E1">
        <w:t xml:space="preserve">for states receiving </w:t>
      </w:r>
      <w:proofErr w:type="spellStart"/>
      <w:r w:rsidRPr="001B4AB0">
        <w:t>NoWO</w:t>
      </w:r>
      <w:proofErr w:type="spellEnd"/>
      <w:r w:rsidRPr="001B4AB0">
        <w:t xml:space="preserve"> payments </w:t>
      </w:r>
      <w:r w:rsidR="00BF43E1">
        <w:t xml:space="preserve">in </w:t>
      </w:r>
      <w:r w:rsidR="004F7A80">
        <w:t>2024–25</w:t>
      </w:r>
      <w:r w:rsidR="00BF43E1">
        <w:t xml:space="preserve">, they </w:t>
      </w:r>
      <w:r w:rsidRPr="001B4AB0">
        <w:t xml:space="preserve">were equivalent to </w:t>
      </w:r>
      <w:r w:rsidR="00303307">
        <w:t>16% of payroll tax</w:t>
      </w:r>
      <w:r w:rsidR="00177FC1">
        <w:t xml:space="preserve"> revenue</w:t>
      </w:r>
      <w:r w:rsidR="00E911A4">
        <w:t xml:space="preserve"> </w:t>
      </w:r>
      <w:r w:rsidR="0013226E">
        <w:t xml:space="preserve">or </w:t>
      </w:r>
      <w:r w:rsidR="0013226E" w:rsidRPr="001B4AB0">
        <w:t>70% of motor vehicle tax</w:t>
      </w:r>
      <w:r w:rsidR="0013226E">
        <w:t xml:space="preserve"> revenue</w:t>
      </w:r>
      <w:r w:rsidR="00855662">
        <w:t xml:space="preserve"> on average</w:t>
      </w:r>
      <w:r w:rsidR="00D07F19">
        <w:t xml:space="preserve"> </w:t>
      </w:r>
      <w:r w:rsidR="00D07F19" w:rsidRPr="00973D85">
        <w:rPr>
          <w:rFonts w:cs="Open Sans"/>
        </w:rPr>
        <w:t>(PC estimates using ABS 2025a, unpublished data; Commonwealth of Australia 2025, p. 86)</w:t>
      </w:r>
      <w:r w:rsidR="006E157A">
        <w:t>.</w:t>
      </w:r>
      <w:r>
        <w:t xml:space="preserve"> </w:t>
      </w:r>
      <w:r w:rsidR="00942483">
        <w:t>Offsetting</w:t>
      </w:r>
      <w:r w:rsidR="004D74E3">
        <w:t xml:space="preserve"> the budgetary impact</w:t>
      </w:r>
      <w:r w:rsidR="005A3CDA">
        <w:t xml:space="preserve"> </w:t>
      </w:r>
      <w:r w:rsidR="00330EA2">
        <w:t>of the</w:t>
      </w:r>
      <w:r>
        <w:t xml:space="preserve"> </w:t>
      </w:r>
      <w:proofErr w:type="spellStart"/>
      <w:r>
        <w:t>NoWO</w:t>
      </w:r>
      <w:proofErr w:type="spellEnd"/>
      <w:r>
        <w:t xml:space="preserve"> guarantee </w:t>
      </w:r>
      <w:r w:rsidR="00330EA2">
        <w:t>lapsing</w:t>
      </w:r>
      <w:r w:rsidR="00177FC1">
        <w:t xml:space="preserve"> would </w:t>
      </w:r>
      <w:r w:rsidR="00652EFA">
        <w:t>therefor</w:t>
      </w:r>
      <w:r w:rsidR="00A12C33">
        <w:t xml:space="preserve">e </w:t>
      </w:r>
      <w:r w:rsidR="005A1A73">
        <w:t xml:space="preserve">require </w:t>
      </w:r>
      <w:r w:rsidR="00482C8C">
        <w:t>relatively larg</w:t>
      </w:r>
      <w:r w:rsidR="00835CFC">
        <w:t>e</w:t>
      </w:r>
      <w:r w:rsidR="00A41FCF">
        <w:t xml:space="preserve"> </w:t>
      </w:r>
      <w:r w:rsidR="00AF00F7">
        <w:t>increases to states’</w:t>
      </w:r>
      <w:r w:rsidR="00A41FCF">
        <w:t xml:space="preserve"> </w:t>
      </w:r>
      <w:r w:rsidR="003506CD">
        <w:t>own-source</w:t>
      </w:r>
      <w:r w:rsidR="00177FC1">
        <w:t xml:space="preserve"> revenue </w:t>
      </w:r>
      <w:r w:rsidR="00A41FCF">
        <w:t>lines</w:t>
      </w:r>
      <w:r w:rsidR="00B566A2">
        <w:t>.</w:t>
      </w:r>
      <w:r w:rsidR="008564EA">
        <w:t xml:space="preserve"> </w:t>
      </w:r>
      <w:r w:rsidR="00992BF2">
        <w:t xml:space="preserve">As highlighted by the Northern Territory </w:t>
      </w:r>
      <w:r w:rsidR="00936982">
        <w:t xml:space="preserve">Government in their submission </w:t>
      </w:r>
      <w:r w:rsidR="00045D63">
        <w:t>to the inquiry</w:t>
      </w:r>
      <w:r w:rsidR="00936982">
        <w:t xml:space="preserve"> ‘</w:t>
      </w:r>
      <w:r w:rsidR="00936982" w:rsidRPr="00273222">
        <w:rPr>
          <w:i/>
        </w:rPr>
        <w:t xml:space="preserve">such changes </w:t>
      </w:r>
      <w:r w:rsidR="00E20B00">
        <w:rPr>
          <w:i/>
          <w:iCs/>
        </w:rPr>
        <w:t xml:space="preserve">[to </w:t>
      </w:r>
      <w:r w:rsidR="003506CD">
        <w:rPr>
          <w:i/>
          <w:iCs/>
        </w:rPr>
        <w:lastRenderedPageBreak/>
        <w:t>own-source</w:t>
      </w:r>
      <w:r w:rsidR="00E20B00">
        <w:rPr>
          <w:i/>
          <w:iCs/>
        </w:rPr>
        <w:t xml:space="preserve"> revenue] </w:t>
      </w:r>
      <w:r w:rsidR="00936982" w:rsidRPr="00273222">
        <w:rPr>
          <w:i/>
        </w:rPr>
        <w:t>would have major policy, economic, practical and political implications</w:t>
      </w:r>
      <w:r w:rsidR="000B3F28">
        <w:t xml:space="preserve">.’ </w:t>
      </w:r>
      <w:r w:rsidR="00716A90">
        <w:t>(</w:t>
      </w:r>
      <w:r w:rsidR="009873F2">
        <w:t>Northern Territory – Department of Treasury and Finance</w:t>
      </w:r>
      <w:r w:rsidR="00716A90">
        <w:t>, sub. 39, p.</w:t>
      </w:r>
      <w:r w:rsidR="00D85C2E">
        <w:t xml:space="preserve">9). </w:t>
      </w:r>
    </w:p>
    <w:p w14:paraId="6A7727F8" w14:textId="64718D67" w:rsidR="00EB18A1" w:rsidRDefault="00EB18A1" w:rsidP="00344DC2">
      <w:pPr>
        <w:pStyle w:val="BodyText"/>
      </w:pPr>
      <w:r>
        <w:t xml:space="preserve">The size of </w:t>
      </w:r>
      <w:proofErr w:type="spellStart"/>
      <w:r>
        <w:t>NoWO</w:t>
      </w:r>
      <w:proofErr w:type="spellEnd"/>
      <w:r>
        <w:t xml:space="preserve"> payments are also significant when measured in terms of the services they could fund (NSW Government, sub. 61, p. 35; Queensland Government, sub. 62, p. 14; Government of SA, sub. 13, p. 9). For example, the New South Wales Government indicated that the cessation of the </w:t>
      </w:r>
      <w:proofErr w:type="spellStart"/>
      <w:r>
        <w:t>NoWO</w:t>
      </w:r>
      <w:proofErr w:type="spellEnd"/>
      <w:r>
        <w:t xml:space="preserve"> guarantee is equivalent to a reduction in </w:t>
      </w:r>
      <w:r w:rsidRPr="00093BBB">
        <w:t xml:space="preserve">around </w:t>
      </w:r>
      <w:r w:rsidRPr="00CB2490">
        <w:t>13,000 nurses in the public hospital system and a reduction of over 14,000 New South Wales public school teachers</w:t>
      </w:r>
      <w:r w:rsidRPr="00093BBB">
        <w:t xml:space="preserve"> (NSW Government, sub. 61, p. 35).</w:t>
      </w:r>
      <w:r>
        <w:t xml:space="preserve"> The cost of the termination of the </w:t>
      </w:r>
      <w:proofErr w:type="spellStart"/>
      <w:r>
        <w:t>NoWO</w:t>
      </w:r>
      <w:proofErr w:type="spellEnd"/>
      <w:r>
        <w:t xml:space="preserve"> guarantee could also </w:t>
      </w:r>
      <w:r w:rsidRPr="00892ACD">
        <w:t>compound over time through higher debt and interest expenses</w:t>
      </w:r>
      <w:r w:rsidR="006B0F44">
        <w:t>.</w:t>
      </w:r>
    </w:p>
    <w:p w14:paraId="144157D5" w14:textId="4B9528C2" w:rsidR="00344DC2" w:rsidRDefault="00F01D9A" w:rsidP="004F2A72">
      <w:pPr>
        <w:pStyle w:val="Heading3"/>
      </w:pPr>
      <w:r>
        <w:t xml:space="preserve">The 2018 reforms have supported </w:t>
      </w:r>
      <w:r w:rsidR="00E5314E">
        <w:t>Western Australia</w:t>
      </w:r>
      <w:r w:rsidR="001F572E">
        <w:t>’s</w:t>
      </w:r>
      <w:r w:rsidR="00E5314E">
        <w:t xml:space="preserve"> </w:t>
      </w:r>
      <w:r>
        <w:t>relative fiscal strength</w:t>
      </w:r>
    </w:p>
    <w:p w14:paraId="7A137FE7" w14:textId="63EC259D" w:rsidR="00BA0CDD" w:rsidRDefault="005A31C9" w:rsidP="00BA0CDD">
      <w:pPr>
        <w:pStyle w:val="BodyText"/>
      </w:pPr>
      <w:r>
        <w:t xml:space="preserve">The 2018 reforms materially increased </w:t>
      </w:r>
      <w:r w:rsidR="00A6228D">
        <w:t xml:space="preserve">Western Australia’s </w:t>
      </w:r>
      <w:r>
        <w:t xml:space="preserve">fiscal capacity </w:t>
      </w:r>
      <w:r w:rsidR="00ED28E3">
        <w:t xml:space="preserve">compared </w:t>
      </w:r>
      <w:r>
        <w:t>to the previous system.</w:t>
      </w:r>
      <w:r w:rsidRPr="00906CC1">
        <w:rPr>
          <w:rStyle w:val="FootnoteReference"/>
        </w:rPr>
        <w:footnoteReference w:id="14"/>
      </w:r>
      <w:r w:rsidRPr="00F24161">
        <w:t xml:space="preserve"> </w:t>
      </w:r>
      <w:r w:rsidR="00BA0CDD" w:rsidRPr="00F24161">
        <w:t>States other than W</w:t>
      </w:r>
      <w:r w:rsidR="00BA0CDD">
        <w:t>estern</w:t>
      </w:r>
      <w:r>
        <w:t xml:space="preserve"> </w:t>
      </w:r>
      <w:r w:rsidR="00BA0CDD">
        <w:t>Australia</w:t>
      </w:r>
      <w:r>
        <w:t xml:space="preserve"> </w:t>
      </w:r>
      <w:r w:rsidR="00BA0CDD" w:rsidRPr="00F24161">
        <w:t>indicated</w:t>
      </w:r>
      <w:r>
        <w:t xml:space="preserve"> </w:t>
      </w:r>
      <w:r w:rsidR="00BA0CDD" w:rsidRPr="00F24161">
        <w:t>that the current system gives W</w:t>
      </w:r>
      <w:r w:rsidR="00BA0CDD">
        <w:t>estern</w:t>
      </w:r>
      <w:r>
        <w:t xml:space="preserve"> </w:t>
      </w:r>
      <w:r w:rsidR="00BA0CDD">
        <w:t>Australia</w:t>
      </w:r>
      <w:r>
        <w:t xml:space="preserve"> </w:t>
      </w:r>
      <w:r w:rsidR="00BA0CDD" w:rsidRPr="00F24161">
        <w:t>greater</w:t>
      </w:r>
      <w:r>
        <w:t xml:space="preserve"> </w:t>
      </w:r>
      <w:r w:rsidR="00BA0CDD" w:rsidRPr="00F24161">
        <w:t>relative</w:t>
      </w:r>
      <w:r>
        <w:t xml:space="preserve"> </w:t>
      </w:r>
      <w:r w:rsidR="00BA0CDD" w:rsidRPr="00F24161">
        <w:t>capacity to fund services, reduce taxes or debt and support stronger growth</w:t>
      </w:r>
      <w:r w:rsidR="00A6228D">
        <w:t xml:space="preserve"> </w:t>
      </w:r>
      <w:r w:rsidR="00BA0CDD" w:rsidRPr="00F24161">
        <w:t>(</w:t>
      </w:r>
      <w:r w:rsidR="00BA0CDD">
        <w:t>Government of South Australia, sub. 13, p. 9</w:t>
      </w:r>
      <w:r w:rsidR="00BA0CDD" w:rsidRPr="00F24161">
        <w:t xml:space="preserve">; </w:t>
      </w:r>
      <w:r w:rsidR="00B0380D" w:rsidRPr="00F24161">
        <w:t>N</w:t>
      </w:r>
      <w:r w:rsidR="00B0380D">
        <w:t xml:space="preserve">orthern Territory – Department of Treasury and </w:t>
      </w:r>
      <w:proofErr w:type="gramStart"/>
      <w:r w:rsidR="00B0380D">
        <w:t>Finance </w:t>
      </w:r>
      <w:r w:rsidR="00BA0CDD">
        <w:t>,</w:t>
      </w:r>
      <w:proofErr w:type="gramEnd"/>
      <w:r w:rsidR="00BA0CDD">
        <w:t xml:space="preserve"> sub. 39, p</w:t>
      </w:r>
      <w:r w:rsidR="00B0380D">
        <w:t>p</w:t>
      </w:r>
      <w:r w:rsidR="00BA0CDD">
        <w:t>. 8</w:t>
      </w:r>
      <w:r w:rsidR="00B0380D">
        <w:t>-9</w:t>
      </w:r>
      <w:r w:rsidR="00BA0CDD" w:rsidRPr="00F24161">
        <w:t>; Tas</w:t>
      </w:r>
      <w:r w:rsidR="00BA0CDD">
        <w:t>manian Government, sub. 48, pp. </w:t>
      </w:r>
      <w:r w:rsidR="00BA0CDD" w:rsidRPr="00F24161">
        <w:t>7,</w:t>
      </w:r>
      <w:r w:rsidR="00BA0CDD">
        <w:t> </w:t>
      </w:r>
      <w:r w:rsidR="00BA0CDD" w:rsidRPr="00F24161">
        <w:t>10).</w:t>
      </w:r>
      <w:r>
        <w:t xml:space="preserve"> </w:t>
      </w:r>
      <w:r w:rsidR="00BA0CDD" w:rsidRPr="00F24161">
        <w:t>These states argue</w:t>
      </w:r>
      <w:r w:rsidR="00BA0CDD">
        <w:t>d</w:t>
      </w:r>
      <w:r w:rsidR="00BA0CDD" w:rsidRPr="00F24161">
        <w:t xml:space="preserve"> that this will create an economic gap between Western Australia and other states</w:t>
      </w:r>
      <w:r w:rsidR="00BA0CDD">
        <w:t xml:space="preserve"> that represents an ‘</w:t>
      </w:r>
      <w:r w:rsidR="00BA0CDD" w:rsidRPr="00006EF6">
        <w:rPr>
          <w:i/>
        </w:rPr>
        <w:t>eros[ion]</w:t>
      </w:r>
      <w:r w:rsidR="00BA0CDD">
        <w:t>’ or ‘</w:t>
      </w:r>
      <w:r w:rsidR="00BA0CDD" w:rsidRPr="00006EF6">
        <w:rPr>
          <w:i/>
        </w:rPr>
        <w:t>weaken[</w:t>
      </w:r>
      <w:proofErr w:type="spellStart"/>
      <w:r w:rsidR="00BA0CDD" w:rsidRPr="00006EF6">
        <w:rPr>
          <w:i/>
        </w:rPr>
        <w:t>ing</w:t>
      </w:r>
      <w:proofErr w:type="spellEnd"/>
      <w:r w:rsidR="00BA0CDD" w:rsidRPr="00006EF6">
        <w:rPr>
          <w:i/>
        </w:rPr>
        <w:t>]</w:t>
      </w:r>
      <w:r w:rsidR="00BA0CDD">
        <w:t>’ of the level of equalisation achieved in Australia.</w:t>
      </w:r>
      <w:r w:rsidR="00BA0CDD" w:rsidRPr="00906CC1">
        <w:rPr>
          <w:rStyle w:val="FootnoteReference"/>
        </w:rPr>
        <w:footnoteReference w:id="15"/>
      </w:r>
      <w:r w:rsidR="00BA0CDD">
        <w:t xml:space="preserve"> By contrast, the Government of </w:t>
      </w:r>
      <w:r w:rsidR="00BA0CDD" w:rsidRPr="00F24161">
        <w:t>Western</w:t>
      </w:r>
      <w:r w:rsidR="00BA0CDD">
        <w:t> </w:t>
      </w:r>
      <w:r w:rsidR="00BA0CDD" w:rsidRPr="00F24161">
        <w:t>Australia</w:t>
      </w:r>
      <w:r w:rsidR="00BA0CDD">
        <w:t xml:space="preserve"> </w:t>
      </w:r>
      <w:r w:rsidR="00BA0CDD" w:rsidRPr="00F24161">
        <w:t xml:space="preserve">submitted that additional funding has supported infrastructure investment that benefits the national economy through supply chains, labour mobility and higher </w:t>
      </w:r>
      <w:r w:rsidR="001B1E46">
        <w:t>Australian Government</w:t>
      </w:r>
      <w:r w:rsidR="001B1E46" w:rsidRPr="00F24161">
        <w:t xml:space="preserve"> </w:t>
      </w:r>
      <w:r w:rsidR="00BA0CDD" w:rsidRPr="00F24161">
        <w:t>tax receipts</w:t>
      </w:r>
      <w:r w:rsidR="00BA0CDD">
        <w:t xml:space="preserve"> (sub. 37, p. 73</w:t>
      </w:r>
      <w:r w:rsidR="00BA0CDD" w:rsidRPr="00F24161">
        <w:t>).</w:t>
      </w:r>
    </w:p>
    <w:p w14:paraId="30947015" w14:textId="04D24F55" w:rsidR="00CD7C09" w:rsidRDefault="00CD7C09" w:rsidP="00CD7C09">
      <w:pPr>
        <w:pStyle w:val="BodyText"/>
      </w:pPr>
      <w:r>
        <w:t>Addi</w:t>
      </w:r>
      <w:r w:rsidR="005A31C9">
        <w:t xml:space="preserve">tional </w:t>
      </w:r>
      <w:r>
        <w:t xml:space="preserve">state revenue can be spent in </w:t>
      </w:r>
      <w:r w:rsidR="005A31C9">
        <w:t>several</w:t>
      </w:r>
      <w:r>
        <w:t xml:space="preserve"> ways, such as through </w:t>
      </w:r>
      <w:r w:rsidR="005A556B">
        <w:t xml:space="preserve">reducing </w:t>
      </w:r>
      <w:r>
        <w:t xml:space="preserve">debt, increasing infrastructure investment, higher spending on service delivery, or funding a reduction in state tax rates. The PC cannot determine whether </w:t>
      </w:r>
      <w:proofErr w:type="gramStart"/>
      <w:r>
        <w:t>particular spending</w:t>
      </w:r>
      <w:proofErr w:type="gramEnd"/>
      <w:r>
        <w:t xml:space="preserve"> or tax decisions would have occurred without the reforms, because government revenue is generally fungible and the reforms are relatively recent. However, observing aggregate changes to </w:t>
      </w:r>
      <w:r w:rsidR="00990877">
        <w:t xml:space="preserve">Western Australia’s </w:t>
      </w:r>
      <w:r>
        <w:t>spending decisions relative to other jurisdictions since 2018-19, and their own spending patterns prior to 2018</w:t>
      </w:r>
      <w:r w:rsidR="00F9215C">
        <w:t>-19</w:t>
      </w:r>
      <w:r>
        <w:t>, can illustrate where Western Australia’s improved fiscal position is most visible</w:t>
      </w:r>
      <w:r w:rsidR="001D4CEC">
        <w:t xml:space="preserve"> (figure D.8)</w:t>
      </w:r>
      <w:r>
        <w:t xml:space="preserve">. </w:t>
      </w:r>
    </w:p>
    <w:p w14:paraId="106C6A65" w14:textId="15584C0D" w:rsidR="00516581" w:rsidRPr="00F46349" w:rsidRDefault="00516581" w:rsidP="00CD7C09">
      <w:pPr>
        <w:pStyle w:val="BodyText"/>
        <w:rPr>
          <w:spacing w:val="-4"/>
        </w:rPr>
      </w:pPr>
      <w:r w:rsidRPr="00F46349">
        <w:rPr>
          <w:spacing w:val="-4"/>
        </w:rPr>
        <w:t xml:space="preserve">From 2018-19 to </w:t>
      </w:r>
      <w:r w:rsidR="004F7A80" w:rsidRPr="00F46349">
        <w:rPr>
          <w:spacing w:val="-4"/>
        </w:rPr>
        <w:t>2024–25</w:t>
      </w:r>
      <w:r w:rsidRPr="00F46349">
        <w:rPr>
          <w:spacing w:val="-4"/>
        </w:rPr>
        <w:t>, Western Australia’s clearest divergence from other jurisdictions has been a significant reduction in net debt and moderate growth in capital investment. By contrast, higher revenues in Western Australia have not coincided with significant growth in recurrent service delivery spending, or significantly slower growth in tax revenue relative to other jurisdictions (figure D.8).</w:t>
      </w:r>
      <w:r w:rsidRPr="00F46349">
        <w:rPr>
          <w:rStyle w:val="FootnoteReference"/>
          <w:spacing w:val="-4"/>
        </w:rPr>
        <w:footnoteReference w:id="16"/>
      </w:r>
      <w:r w:rsidRPr="00F46349">
        <w:rPr>
          <w:spacing w:val="-4"/>
        </w:rPr>
        <w:t xml:space="preserve"> This is aligned with Western Australia establishing a Debt Reduction Account in 2017-18, to apply windfall receipts to reducing </w:t>
      </w:r>
      <w:r w:rsidRPr="00F46349">
        <w:rPr>
          <w:spacing w:val="-4"/>
        </w:rPr>
        <w:lastRenderedPageBreak/>
        <w:t xml:space="preserve">borrowings. The 2026-27 Western Australian Budget indicates that $8.2b has flowed through the account from 2017-18 to 2026-27. However, in its 2026-27 Budget, the Western Australian Government indicated it would be allocating future operating surpluses to infrastructure investment, reducing the need to fund this program via debt </w:t>
      </w:r>
      <w:r w:rsidRPr="00F46349">
        <w:rPr>
          <w:rFonts w:cs="Open Sans"/>
          <w:spacing w:val="-4"/>
        </w:rPr>
        <w:t>(Government of Western Australia 2026, p. 300)</w:t>
      </w:r>
      <w:r w:rsidRPr="00F46349">
        <w:rPr>
          <w:spacing w:val="-4"/>
        </w:rPr>
        <w:t>.</w:t>
      </w:r>
    </w:p>
    <w:p w14:paraId="1949B42F" w14:textId="70F962F0" w:rsidR="00CD7C09" w:rsidRPr="004248BB" w:rsidRDefault="00CD7C09" w:rsidP="00CD7C09">
      <w:pPr>
        <w:pStyle w:val="FigureTableHeading"/>
      </w:pPr>
      <w:r>
        <w:t xml:space="preserve">Figure </w:t>
      </w:r>
      <w:r w:rsidR="00EC6025">
        <w:rPr>
          <w:noProof/>
        </w:rPr>
        <w:t>D</w:t>
      </w:r>
      <w:r>
        <w:t>.</w:t>
      </w:r>
      <w:r w:rsidR="009E470F">
        <w:rPr>
          <w:noProof/>
        </w:rPr>
        <w:t>8</w:t>
      </w:r>
      <w:r>
        <w:rPr>
          <w:noProof/>
        </w:rPr>
        <w:t xml:space="preserve"> </w:t>
      </w:r>
      <w:r>
        <w:t xml:space="preserve">– Changes to </w:t>
      </w:r>
      <w:r w:rsidR="0001692B">
        <w:t>Western Australia’s fiscal position</w:t>
      </w:r>
      <w:r>
        <w:t xml:space="preserve"> are </w:t>
      </w:r>
      <w:r w:rsidR="009B7765">
        <w:t xml:space="preserve">most evident </w:t>
      </w:r>
      <w:r>
        <w:t>in net debt levels and capital investment</w:t>
      </w:r>
    </w:p>
    <w:p w14:paraId="6574B240" w14:textId="443ADC06" w:rsidR="00E720B8" w:rsidRDefault="00CD7C09">
      <w:pPr>
        <w:pStyle w:val="FigureTableSubheading"/>
        <w:keepLines/>
      </w:pPr>
      <w:r>
        <w:t>Average annual growth rates from 2018-2019 to 2024-2025</w:t>
      </w:r>
      <w:r w:rsidR="0074386B">
        <w:t xml:space="preserve">, constant prices </w:t>
      </w:r>
      <w:r w:rsidR="004F7A80">
        <w:t>2024–25</w:t>
      </w:r>
      <w:r w:rsidR="0074386B">
        <w:t xml:space="preserve"> basis</w:t>
      </w:r>
      <w:bookmarkStart w:id="1" w:name="_Toc3050222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A0" w:firstRow="1" w:lastRow="0" w:firstColumn="1" w:lastColumn="0" w:noHBand="1" w:noVBand="1"/>
      </w:tblPr>
      <w:tblGrid>
        <w:gridCol w:w="4819"/>
        <w:gridCol w:w="4819"/>
      </w:tblGrid>
      <w:tr w:rsidR="00E720B8" w:rsidRPr="005550A0" w14:paraId="39A74A91" w14:textId="77777777">
        <w:trPr>
          <w:tblHeader/>
        </w:trPr>
        <w:tc>
          <w:tcPr>
            <w:tcW w:w="2500" w:type="pct"/>
          </w:tcPr>
          <w:p w14:paraId="48E727AD" w14:textId="3FE0D769" w:rsidR="00E720B8" w:rsidRPr="005550A0" w:rsidRDefault="004A52D3">
            <w:pPr>
              <w:pStyle w:val="TableBody"/>
            </w:pPr>
            <w:r w:rsidRPr="004A52D3">
              <w:t xml:space="preserve"> </w:t>
            </w:r>
            <w:r w:rsidRPr="004A52D3">
              <w:rPr>
                <w:noProof/>
              </w:rPr>
              <w:drawing>
                <wp:inline distT="0" distB="0" distL="0" distR="0" wp14:anchorId="3B354C65" wp14:editId="670B4F6B">
                  <wp:extent cx="2971800" cy="2876550"/>
                  <wp:effectExtent l="0" t="0" r="0" b="0"/>
                  <wp:docPr id="743570913" name="Picture 24" descr="Figure D.8 – a panel chart with one panel for TNFPS and another panel for GG. The TNFPS panel shows the difference between WA and other states in terms of total net debt levels and total capital investment, WA has relatively lower average annual growth rates for net debt and higher for capital investment. The GG panel shows the difference between WA and other states in terms of total expenses and tax revenue; there is limited difference between WA’s average annual growth rate and that of other states in these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570913" name="Picture 24" descr="Figure D.8 – a panel chart with one panel for TNFPS and another panel for GG. The TNFPS panel shows the difference between WA and other states in terms of total net debt levels and total capital investment, WA has relatively lower average annual growth rates for net debt and higher for capital investment. The GG panel shows the difference between WA and other states in terms of total expenses and tax revenue; there is limited difference between WA’s average annual growth rate and that of other states in these categori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71800" cy="2876550"/>
                          </a:xfrm>
                          <a:prstGeom prst="rect">
                            <a:avLst/>
                          </a:prstGeom>
                          <a:noFill/>
                          <a:ln>
                            <a:noFill/>
                          </a:ln>
                        </pic:spPr>
                      </pic:pic>
                    </a:graphicData>
                  </a:graphic>
                </wp:inline>
              </w:drawing>
            </w:r>
          </w:p>
        </w:tc>
        <w:tc>
          <w:tcPr>
            <w:tcW w:w="2500" w:type="pct"/>
          </w:tcPr>
          <w:p w14:paraId="66E9FD4C" w14:textId="13F29671" w:rsidR="00E720B8" w:rsidRPr="005550A0" w:rsidRDefault="00180EC4">
            <w:pPr>
              <w:pStyle w:val="TableBody"/>
            </w:pPr>
            <w:r w:rsidRPr="00180EC4">
              <w:rPr>
                <w:noProof/>
              </w:rPr>
              <w:drawing>
                <wp:inline distT="0" distB="0" distL="0" distR="0" wp14:anchorId="12AE0E59" wp14:editId="5DD9E2B4">
                  <wp:extent cx="2971800" cy="2886075"/>
                  <wp:effectExtent l="0" t="0" r="0" b="0"/>
                  <wp:docPr id="167048182" name="Picture 25" descr="Figure D.8 – a panel chart with one panel for TNFPS and another panel for GG. The TNFPS panel shows the difference between WA and other states in terms of total net debt levels and total capital investment, WA has relatively lower average annual growth rates for net debt and higher for capital investment. The GG panel shows the difference between WA and other states in terms of total expenses and tax revenue; there is limited difference between WA’s average annual growth rate and that of other states in these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48182" name="Picture 25" descr="Figure D.8 – a panel chart with one panel for TNFPS and another panel for GG. The TNFPS panel shows the difference between WA and other states in terms of total net debt levels and total capital investment, WA has relatively lower average annual growth rates for net debt and higher for capital investment. The GG panel shows the difference between WA and other states in terms of total expenses and tax revenue; there is limited difference between WA’s average annual growth rate and that of other states in these categori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1800" cy="2886075"/>
                          </a:xfrm>
                          <a:prstGeom prst="rect">
                            <a:avLst/>
                          </a:prstGeom>
                          <a:noFill/>
                          <a:ln>
                            <a:noFill/>
                          </a:ln>
                        </pic:spPr>
                      </pic:pic>
                    </a:graphicData>
                  </a:graphic>
                </wp:inline>
              </w:drawing>
            </w:r>
          </w:p>
        </w:tc>
      </w:tr>
    </w:tbl>
    <w:bookmarkEnd w:id="1"/>
    <w:p w14:paraId="4E5D3A16" w14:textId="77777777" w:rsidR="00F17511" w:rsidRDefault="009B7765" w:rsidP="00420DD7">
      <w:pPr>
        <w:pStyle w:val="Note"/>
        <w:keepLines/>
        <w:rPr>
          <w:szCs w:val="22"/>
        </w:rPr>
      </w:pPr>
      <w:r w:rsidRPr="00142441">
        <w:t xml:space="preserve">Capital investment </w:t>
      </w:r>
      <w:r w:rsidR="00402905">
        <w:t>refers to</w:t>
      </w:r>
      <w:r w:rsidR="00402905" w:rsidRPr="00142441">
        <w:t xml:space="preserve"> </w:t>
      </w:r>
      <w:r w:rsidRPr="00142441">
        <w:t>gross fixed capital formation</w:t>
      </w:r>
      <w:r>
        <w:rPr>
          <w:b/>
          <w:bCs/>
        </w:rPr>
        <w:t xml:space="preserve">. </w:t>
      </w:r>
      <w:r w:rsidR="00CD7C09">
        <w:t>Values for ‘</w:t>
      </w:r>
      <w:r w:rsidR="008472D0">
        <w:t>Other states</w:t>
      </w:r>
      <w:r w:rsidR="00CD7C09">
        <w:t xml:space="preserve">’ represent average annual growth rates in combined spending across all </w:t>
      </w:r>
      <w:r w:rsidR="009B3FA7">
        <w:t>states other than</w:t>
      </w:r>
      <w:r w:rsidR="00CD7C09">
        <w:t xml:space="preserve"> </w:t>
      </w:r>
      <w:r w:rsidR="009B3FA7">
        <w:t>Western Australia</w:t>
      </w:r>
      <w:r w:rsidR="00CD7C09">
        <w:t>.</w:t>
      </w:r>
      <w:r w:rsidR="00420DD7" w:rsidRPr="00420DD7">
        <w:rPr>
          <w:szCs w:val="22"/>
        </w:rPr>
        <w:t xml:space="preserve"> </w:t>
      </w:r>
      <w:r w:rsidR="0074386B">
        <w:t xml:space="preserve">Constant prices </w:t>
      </w:r>
      <w:r w:rsidR="0074386B" w:rsidRPr="000046D0">
        <w:t>calculated using implicit price deflator of GDP</w:t>
      </w:r>
      <w:r w:rsidR="0074386B">
        <w:t>.</w:t>
      </w:r>
    </w:p>
    <w:p w14:paraId="46A50001" w14:textId="3152E490" w:rsidR="001D4CEC" w:rsidRPr="000335BF" w:rsidRDefault="00CD7C09" w:rsidP="00301558">
      <w:pPr>
        <w:pStyle w:val="Source"/>
      </w:pPr>
      <w:r w:rsidRPr="000335BF">
        <w:t xml:space="preserve">Source: </w:t>
      </w:r>
      <w:r w:rsidR="000335BF" w:rsidRPr="000335BF">
        <w:t xml:space="preserve">PC estimates using ABS </w:t>
      </w:r>
      <w:r w:rsidR="000335BF" w:rsidRPr="00554824">
        <w:t>(2025a, unpublished data)</w:t>
      </w:r>
      <w:r w:rsidR="00753111">
        <w:t>.</w:t>
      </w:r>
    </w:p>
    <w:p w14:paraId="21E131FE" w14:textId="2C0B5121" w:rsidR="0002654A" w:rsidRDefault="0002654A">
      <w:pPr>
        <w:spacing w:before="0" w:after="160" w:line="259" w:lineRule="auto"/>
      </w:pPr>
      <w:r>
        <w:br w:type="page"/>
      </w:r>
    </w:p>
    <w:p w14:paraId="1144B267" w14:textId="77777777" w:rsidR="0002654A" w:rsidRPr="00BC2AFF" w:rsidRDefault="0002654A" w:rsidP="00F1409C">
      <w:pPr>
        <w:pStyle w:val="Heading1-nobackground"/>
      </w:pPr>
      <w:r>
        <w:lastRenderedPageBreak/>
        <w:t>References</w:t>
      </w:r>
    </w:p>
    <w:p w14:paraId="6E1BB891" w14:textId="77777777" w:rsidR="005E71CA" w:rsidRDefault="005E71CA" w:rsidP="00995371">
      <w:pPr>
        <w:pStyle w:val="Reference"/>
        <w:sectPr w:rsidR="005E71CA" w:rsidSect="002E3F19">
          <w:headerReference w:type="even" r:id="rId23"/>
          <w:headerReference w:type="default" r:id="rId24"/>
          <w:footerReference w:type="even" r:id="rId25"/>
          <w:footerReference w:type="default" r:id="rId26"/>
          <w:pgSz w:w="11906" w:h="16838" w:code="9"/>
          <w:pgMar w:top="1134" w:right="1134" w:bottom="1134" w:left="1134" w:header="794" w:footer="510" w:gutter="0"/>
          <w:cols w:space="708"/>
          <w:docGrid w:linePitch="360"/>
        </w:sectPr>
      </w:pPr>
    </w:p>
    <w:p w14:paraId="6AB70900" w14:textId="454F95A5" w:rsidR="005E4F4F" w:rsidRPr="004E512C" w:rsidRDefault="005E4F4F" w:rsidP="003C74F6">
      <w:pPr>
        <w:pStyle w:val="Reference"/>
        <w:rPr>
          <w:spacing w:val="-4"/>
        </w:rPr>
      </w:pPr>
      <w:r w:rsidRPr="004E512C">
        <w:rPr>
          <w:spacing w:val="-4"/>
        </w:rPr>
        <w:t xml:space="preserve">ABS (Australian Bureau of Statistics) 2025a, </w:t>
      </w:r>
      <w:r w:rsidRPr="004E512C">
        <w:rPr>
          <w:i/>
          <w:iCs/>
          <w:spacing w:val="-4"/>
        </w:rPr>
        <w:t>Australian National Accounts: National Income, Expenditure and Product</w:t>
      </w:r>
      <w:r w:rsidRPr="004E512C">
        <w:rPr>
          <w:spacing w:val="-4"/>
        </w:rPr>
        <w:t>, Expenditure on Gross Domestic Product (GDP), Chain volume measures and current prices, https://www.abs.gov.au/statistics/</w:t>
      </w:r>
      <w:r w:rsidR="00B34620">
        <w:rPr>
          <w:spacing w:val="-4"/>
        </w:rPr>
        <w:br/>
      </w:r>
      <w:r w:rsidRPr="004E512C">
        <w:rPr>
          <w:spacing w:val="-4"/>
        </w:rPr>
        <w:t>economy/national-accounts/australian-national-accounts-national-income-expenditure-and-product/latest-release (accessed 18</w:t>
      </w:r>
      <w:r w:rsidR="004E512C" w:rsidRPr="004E512C">
        <w:rPr>
          <w:spacing w:val="-4"/>
        </w:rPr>
        <w:t> </w:t>
      </w:r>
      <w:r w:rsidRPr="004E512C">
        <w:rPr>
          <w:spacing w:val="-4"/>
        </w:rPr>
        <w:t>November 2025).</w:t>
      </w:r>
    </w:p>
    <w:p w14:paraId="0AE14581" w14:textId="6B89ED4E" w:rsidR="005E4F4F" w:rsidRPr="005E4F4F" w:rsidRDefault="005E4F4F" w:rsidP="003C74F6">
      <w:pPr>
        <w:pStyle w:val="Reference"/>
      </w:pPr>
      <w:r w:rsidRPr="005E4F4F">
        <w:t>——</w:t>
      </w:r>
      <w:r w:rsidR="003334BE">
        <w:t> </w:t>
      </w:r>
      <w:r w:rsidRPr="005E4F4F">
        <w:t xml:space="preserve">2025b, </w:t>
      </w:r>
      <w:r w:rsidRPr="005E4F4F">
        <w:rPr>
          <w:i/>
          <w:iCs/>
        </w:rPr>
        <w:t xml:space="preserve">Australian National Accounts: State Accounts, </w:t>
      </w:r>
      <w:r w:rsidR="004F7A80">
        <w:rPr>
          <w:i/>
          <w:iCs/>
        </w:rPr>
        <w:t>2024–25</w:t>
      </w:r>
      <w:r w:rsidRPr="005E4F4F">
        <w:rPr>
          <w:i/>
          <w:iCs/>
        </w:rPr>
        <w:t xml:space="preserve"> financial year</w:t>
      </w:r>
      <w:r w:rsidRPr="005E4F4F">
        <w:t>, https://www.abs.gov.au/statistics/</w:t>
      </w:r>
      <w:r w:rsidR="004E512C">
        <w:br/>
      </w:r>
      <w:r w:rsidRPr="005E4F4F">
        <w:t>economy/national-accounts/australian-national-accounts-state-accounts/latest-release (accessed 10 February 2026).</w:t>
      </w:r>
    </w:p>
    <w:p w14:paraId="7F342D0B" w14:textId="2561BF5A" w:rsidR="005E4F4F" w:rsidRPr="005E4F4F" w:rsidRDefault="005E4F4F" w:rsidP="003C74F6">
      <w:pPr>
        <w:pStyle w:val="Reference"/>
      </w:pPr>
      <w:r w:rsidRPr="005E4F4F">
        <w:t>——</w:t>
      </w:r>
      <w:r w:rsidR="003334BE">
        <w:t> </w:t>
      </w:r>
      <w:r w:rsidRPr="005E4F4F">
        <w:t xml:space="preserve">2025c, </w:t>
      </w:r>
      <w:r w:rsidRPr="005E4F4F">
        <w:rPr>
          <w:i/>
          <w:iCs/>
        </w:rPr>
        <w:t>National, state and territory population, June 2025</w:t>
      </w:r>
      <w:r w:rsidRPr="005E4F4F">
        <w:t>, https://www.abs.gov.au/statistics/people/population/</w:t>
      </w:r>
      <w:r w:rsidR="004E512C">
        <w:br/>
      </w:r>
      <w:r w:rsidRPr="005E4F4F">
        <w:t>national-state-and-territory-population/latest-release (accessed 10 February 2026).</w:t>
      </w:r>
    </w:p>
    <w:p w14:paraId="0FB0EE45" w14:textId="187887F7" w:rsidR="005E4F4F" w:rsidRPr="00B34620" w:rsidRDefault="005E4F4F" w:rsidP="003C74F6">
      <w:pPr>
        <w:pStyle w:val="Reference"/>
        <w:rPr>
          <w:spacing w:val="-4"/>
        </w:rPr>
      </w:pPr>
      <w:r w:rsidRPr="00B34620">
        <w:rPr>
          <w:spacing w:val="-4"/>
        </w:rPr>
        <w:t>——</w:t>
      </w:r>
      <w:r w:rsidR="003334BE" w:rsidRPr="00B34620">
        <w:rPr>
          <w:spacing w:val="-4"/>
        </w:rPr>
        <w:t> </w:t>
      </w:r>
      <w:r w:rsidRPr="00B34620">
        <w:rPr>
          <w:spacing w:val="-4"/>
        </w:rPr>
        <w:t xml:space="preserve">2026, </w:t>
      </w:r>
      <w:r w:rsidRPr="00B34620">
        <w:rPr>
          <w:i/>
          <w:iCs/>
          <w:spacing w:val="-4"/>
        </w:rPr>
        <w:t xml:space="preserve">Government Finance Statistics, Annual methodology, </w:t>
      </w:r>
      <w:r w:rsidR="004F7A80" w:rsidRPr="00B34620">
        <w:rPr>
          <w:i/>
          <w:iCs/>
          <w:spacing w:val="-4"/>
        </w:rPr>
        <w:t>2024–25</w:t>
      </w:r>
      <w:r w:rsidRPr="00B34620">
        <w:rPr>
          <w:i/>
          <w:iCs/>
          <w:spacing w:val="-4"/>
        </w:rPr>
        <w:t xml:space="preserve"> financial year</w:t>
      </w:r>
      <w:r w:rsidRPr="00B34620">
        <w:rPr>
          <w:spacing w:val="-4"/>
        </w:rPr>
        <w:t>, https://www.abs.gov.au/methodologies/</w:t>
      </w:r>
      <w:r w:rsidR="00B34620">
        <w:rPr>
          <w:spacing w:val="-4"/>
        </w:rPr>
        <w:br/>
      </w:r>
      <w:r w:rsidRPr="00B34620">
        <w:rPr>
          <w:spacing w:val="-4"/>
        </w:rPr>
        <w:t>government-finance-statistics-annual-methodology/</w:t>
      </w:r>
      <w:r w:rsidR="004F7A80" w:rsidRPr="00B34620">
        <w:rPr>
          <w:spacing w:val="-4"/>
        </w:rPr>
        <w:t>2024–25</w:t>
      </w:r>
      <w:r w:rsidRPr="00B34620">
        <w:rPr>
          <w:spacing w:val="-4"/>
        </w:rPr>
        <w:t xml:space="preserve"> (accessed 3</w:t>
      </w:r>
      <w:r w:rsidR="004E512C" w:rsidRPr="00B34620">
        <w:rPr>
          <w:spacing w:val="-4"/>
        </w:rPr>
        <w:t> </w:t>
      </w:r>
      <w:r w:rsidRPr="00B34620">
        <w:rPr>
          <w:spacing w:val="-4"/>
        </w:rPr>
        <w:t>August 2026).</w:t>
      </w:r>
    </w:p>
    <w:p w14:paraId="11B17681" w14:textId="77777777" w:rsidR="005E4F4F" w:rsidRPr="005E4F4F" w:rsidRDefault="005E4F4F" w:rsidP="003C74F6">
      <w:pPr>
        <w:pStyle w:val="Reference"/>
      </w:pPr>
      <w:r w:rsidRPr="005E4F4F">
        <w:t xml:space="preserve">ACT Government (Australian Capital Territory Government) 2016, </w:t>
      </w:r>
      <w:r w:rsidRPr="005E4F4F">
        <w:rPr>
          <w:i/>
          <w:iCs/>
        </w:rPr>
        <w:t>Australian Capital Territory Government Consolidated Annual Financial Statements 2015-16 Financial Year</w:t>
      </w:r>
      <w:r w:rsidRPr="005E4F4F">
        <w:t>.</w:t>
      </w:r>
    </w:p>
    <w:p w14:paraId="601BF77F" w14:textId="5E80D2CF" w:rsidR="005E4F4F" w:rsidRPr="00F92DC4" w:rsidRDefault="005E4F4F" w:rsidP="003C74F6">
      <w:pPr>
        <w:pStyle w:val="Reference"/>
        <w:rPr>
          <w:spacing w:val="-4"/>
        </w:rPr>
      </w:pPr>
      <w:r w:rsidRPr="00F92DC4">
        <w:rPr>
          <w:spacing w:val="-4"/>
        </w:rPr>
        <w:t>——</w:t>
      </w:r>
      <w:r w:rsidR="003334BE" w:rsidRPr="00F92DC4">
        <w:rPr>
          <w:spacing w:val="-4"/>
        </w:rPr>
        <w:t> </w:t>
      </w:r>
      <w:r w:rsidRPr="00F92DC4">
        <w:rPr>
          <w:spacing w:val="-4"/>
        </w:rPr>
        <w:t xml:space="preserve">2017, </w:t>
      </w:r>
      <w:r w:rsidRPr="00F92DC4">
        <w:rPr>
          <w:i/>
          <w:iCs/>
          <w:spacing w:val="-4"/>
        </w:rPr>
        <w:t>Australian Capital Territory Government Consolidated Annual Financial Statements 2016-17 Financial Year</w:t>
      </w:r>
      <w:r w:rsidRPr="00F92DC4">
        <w:rPr>
          <w:spacing w:val="-4"/>
        </w:rPr>
        <w:t>.</w:t>
      </w:r>
    </w:p>
    <w:p w14:paraId="2BF2ABAA" w14:textId="78C01C61" w:rsidR="005E4F4F" w:rsidRPr="00F92DC4" w:rsidRDefault="005E4F4F" w:rsidP="003C74F6">
      <w:pPr>
        <w:pStyle w:val="Reference"/>
        <w:rPr>
          <w:spacing w:val="-4"/>
        </w:rPr>
      </w:pPr>
      <w:r w:rsidRPr="00F92DC4">
        <w:rPr>
          <w:spacing w:val="-4"/>
        </w:rPr>
        <w:t>——</w:t>
      </w:r>
      <w:r w:rsidR="003334BE" w:rsidRPr="00F92DC4">
        <w:rPr>
          <w:spacing w:val="-4"/>
        </w:rPr>
        <w:t> </w:t>
      </w:r>
      <w:r w:rsidRPr="00F92DC4">
        <w:rPr>
          <w:spacing w:val="-4"/>
        </w:rPr>
        <w:t xml:space="preserve">2019, </w:t>
      </w:r>
      <w:r w:rsidRPr="00F92DC4">
        <w:rPr>
          <w:i/>
          <w:iCs/>
          <w:spacing w:val="-4"/>
        </w:rPr>
        <w:t>Australian Capital Territory Government Consolidated Annual Financial Statements 2018-19 Financial Year</w:t>
      </w:r>
      <w:r w:rsidRPr="00F92DC4">
        <w:rPr>
          <w:spacing w:val="-4"/>
        </w:rPr>
        <w:t>.</w:t>
      </w:r>
    </w:p>
    <w:p w14:paraId="17B05B26" w14:textId="5D7EB1E3" w:rsidR="005E4F4F" w:rsidRPr="00F92DC4" w:rsidRDefault="005E4F4F" w:rsidP="003C74F6">
      <w:pPr>
        <w:pStyle w:val="Reference"/>
        <w:rPr>
          <w:spacing w:val="-4"/>
        </w:rPr>
      </w:pPr>
      <w:r w:rsidRPr="00F92DC4">
        <w:rPr>
          <w:spacing w:val="-4"/>
        </w:rPr>
        <w:t>——</w:t>
      </w:r>
      <w:r w:rsidR="003334BE" w:rsidRPr="00F92DC4">
        <w:rPr>
          <w:spacing w:val="-4"/>
        </w:rPr>
        <w:t> </w:t>
      </w:r>
      <w:r w:rsidRPr="00F92DC4">
        <w:rPr>
          <w:spacing w:val="-4"/>
        </w:rPr>
        <w:t xml:space="preserve">2021, </w:t>
      </w:r>
      <w:r w:rsidRPr="00F92DC4">
        <w:rPr>
          <w:i/>
          <w:iCs/>
          <w:spacing w:val="-4"/>
        </w:rPr>
        <w:t xml:space="preserve">Australian Capital Territory Government Consolidated Annual Financial Statements </w:t>
      </w:r>
      <w:r w:rsidR="00870185" w:rsidRPr="00F92DC4">
        <w:rPr>
          <w:i/>
          <w:iCs/>
          <w:spacing w:val="-4"/>
        </w:rPr>
        <w:t>2020–21</w:t>
      </w:r>
      <w:r w:rsidRPr="00F92DC4">
        <w:rPr>
          <w:i/>
          <w:iCs/>
          <w:spacing w:val="-4"/>
        </w:rPr>
        <w:t xml:space="preserve"> Financial Year</w:t>
      </w:r>
      <w:r w:rsidRPr="00F92DC4">
        <w:rPr>
          <w:spacing w:val="-4"/>
        </w:rPr>
        <w:t>.</w:t>
      </w:r>
    </w:p>
    <w:p w14:paraId="63A571BB" w14:textId="708EB64F" w:rsidR="005E4F4F" w:rsidRPr="00F92DC4" w:rsidRDefault="005E4F4F" w:rsidP="003C74F6">
      <w:pPr>
        <w:pStyle w:val="Reference"/>
        <w:rPr>
          <w:spacing w:val="-4"/>
        </w:rPr>
      </w:pPr>
      <w:r w:rsidRPr="00F92DC4">
        <w:rPr>
          <w:spacing w:val="-4"/>
        </w:rPr>
        <w:t>——</w:t>
      </w:r>
      <w:r w:rsidR="003334BE" w:rsidRPr="00F92DC4">
        <w:rPr>
          <w:spacing w:val="-4"/>
        </w:rPr>
        <w:t> </w:t>
      </w:r>
      <w:r w:rsidRPr="00F92DC4">
        <w:rPr>
          <w:spacing w:val="-4"/>
        </w:rPr>
        <w:t xml:space="preserve">2023, </w:t>
      </w:r>
      <w:r w:rsidRPr="00F92DC4">
        <w:rPr>
          <w:i/>
          <w:iCs/>
          <w:spacing w:val="-4"/>
        </w:rPr>
        <w:t>Australian Capital Territory Government Consolidated Annual Financial Statements 2022-23 Financial Year</w:t>
      </w:r>
      <w:r w:rsidRPr="00F92DC4">
        <w:rPr>
          <w:spacing w:val="-4"/>
        </w:rPr>
        <w:t>.</w:t>
      </w:r>
    </w:p>
    <w:p w14:paraId="5D090439" w14:textId="0B5AFA51" w:rsidR="005E4F4F" w:rsidRPr="00F92DC4" w:rsidRDefault="005E4F4F" w:rsidP="003C74F6">
      <w:pPr>
        <w:pStyle w:val="Reference"/>
        <w:rPr>
          <w:spacing w:val="-4"/>
        </w:rPr>
      </w:pPr>
      <w:r w:rsidRPr="00F92DC4">
        <w:rPr>
          <w:spacing w:val="-4"/>
        </w:rPr>
        <w:t>——</w:t>
      </w:r>
      <w:r w:rsidR="003334BE" w:rsidRPr="00F92DC4">
        <w:rPr>
          <w:spacing w:val="-4"/>
        </w:rPr>
        <w:t> </w:t>
      </w:r>
      <w:r w:rsidRPr="00F92DC4">
        <w:rPr>
          <w:spacing w:val="-4"/>
        </w:rPr>
        <w:t xml:space="preserve">2025, </w:t>
      </w:r>
      <w:r w:rsidRPr="00F92DC4">
        <w:rPr>
          <w:i/>
          <w:iCs/>
          <w:spacing w:val="-4"/>
        </w:rPr>
        <w:t xml:space="preserve">Australian Capital Territory Government Consolidated Annual Financial Statements </w:t>
      </w:r>
      <w:r w:rsidR="004F7A80" w:rsidRPr="00F92DC4">
        <w:rPr>
          <w:i/>
          <w:iCs/>
          <w:spacing w:val="-4"/>
        </w:rPr>
        <w:t>2024–25</w:t>
      </w:r>
      <w:r w:rsidRPr="00F92DC4">
        <w:rPr>
          <w:i/>
          <w:iCs/>
          <w:spacing w:val="-4"/>
        </w:rPr>
        <w:t xml:space="preserve"> Financial Year</w:t>
      </w:r>
      <w:r w:rsidRPr="00F92DC4">
        <w:rPr>
          <w:spacing w:val="-4"/>
        </w:rPr>
        <w:t>.</w:t>
      </w:r>
    </w:p>
    <w:p w14:paraId="3DF3F11F" w14:textId="678DF151" w:rsidR="005E4F4F" w:rsidRPr="00F92DC4" w:rsidRDefault="005E4F4F" w:rsidP="003C74F6">
      <w:pPr>
        <w:pStyle w:val="Reference"/>
        <w:rPr>
          <w:spacing w:val="-4"/>
        </w:rPr>
      </w:pPr>
      <w:r w:rsidRPr="00F92DC4">
        <w:rPr>
          <w:spacing w:val="-4"/>
        </w:rPr>
        <w:t>——</w:t>
      </w:r>
      <w:r w:rsidR="003334BE" w:rsidRPr="00F92DC4">
        <w:rPr>
          <w:spacing w:val="-4"/>
        </w:rPr>
        <w:t> </w:t>
      </w:r>
      <w:r w:rsidRPr="00F92DC4">
        <w:rPr>
          <w:spacing w:val="-4"/>
        </w:rPr>
        <w:t xml:space="preserve">2026a, </w:t>
      </w:r>
      <w:r w:rsidRPr="00F92DC4">
        <w:rPr>
          <w:i/>
          <w:iCs/>
          <w:spacing w:val="-4"/>
        </w:rPr>
        <w:t>Australian Capital Territory Budget 2026-27. Budget Outlook.</w:t>
      </w:r>
    </w:p>
    <w:p w14:paraId="52761A1D" w14:textId="352161E1" w:rsidR="005E4F4F" w:rsidRPr="00F92DC4" w:rsidRDefault="005E4F4F" w:rsidP="003C74F6">
      <w:pPr>
        <w:pStyle w:val="Reference"/>
        <w:rPr>
          <w:spacing w:val="-4"/>
        </w:rPr>
      </w:pPr>
      <w:r w:rsidRPr="00F92DC4">
        <w:rPr>
          <w:spacing w:val="-4"/>
        </w:rPr>
        <w:t>——</w:t>
      </w:r>
      <w:r w:rsidR="003334BE" w:rsidRPr="00F92DC4">
        <w:rPr>
          <w:spacing w:val="-4"/>
        </w:rPr>
        <w:t> </w:t>
      </w:r>
      <w:r w:rsidRPr="00F92DC4">
        <w:rPr>
          <w:spacing w:val="-4"/>
        </w:rPr>
        <w:t xml:space="preserve">2026b, </w:t>
      </w:r>
      <w:r w:rsidRPr="00F92DC4">
        <w:rPr>
          <w:i/>
          <w:iCs/>
          <w:spacing w:val="-4"/>
        </w:rPr>
        <w:t xml:space="preserve">Australian Capital Territory debt issuance programme </w:t>
      </w:r>
      <w:r w:rsidR="00F92DC4">
        <w:rPr>
          <w:i/>
          <w:iCs/>
          <w:spacing w:val="-4"/>
        </w:rPr>
        <w:t>–</w:t>
      </w:r>
      <w:r w:rsidRPr="00F92DC4">
        <w:rPr>
          <w:i/>
          <w:iCs/>
          <w:spacing w:val="-4"/>
        </w:rPr>
        <w:t xml:space="preserve"> issued notes outstanding as </w:t>
      </w:r>
      <w:proofErr w:type="gramStart"/>
      <w:r w:rsidRPr="00F92DC4">
        <w:rPr>
          <w:i/>
          <w:iCs/>
          <w:spacing w:val="-4"/>
        </w:rPr>
        <w:t>at</w:t>
      </w:r>
      <w:proofErr w:type="gramEnd"/>
      <w:r w:rsidRPr="00F92DC4">
        <w:rPr>
          <w:i/>
          <w:iCs/>
          <w:spacing w:val="-4"/>
        </w:rPr>
        <w:t xml:space="preserve"> 31 May 2026</w:t>
      </w:r>
      <w:r w:rsidRPr="00F92DC4">
        <w:rPr>
          <w:spacing w:val="-4"/>
        </w:rPr>
        <w:t>, June.</w:t>
      </w:r>
    </w:p>
    <w:p w14:paraId="17D49AF0" w14:textId="35D001EF" w:rsidR="005E4F4F" w:rsidRPr="005E4F4F" w:rsidRDefault="005E4F4F" w:rsidP="003C74F6">
      <w:pPr>
        <w:pStyle w:val="Reference"/>
      </w:pPr>
      <w:r w:rsidRPr="005E4F4F">
        <w:t xml:space="preserve">Australian Government Department of the Treasury 2024, </w:t>
      </w:r>
      <w:r w:rsidRPr="005E4F4F">
        <w:rPr>
          <w:i/>
          <w:iCs/>
        </w:rPr>
        <w:t xml:space="preserve">Extension of the GST No Worse Off Guarantee </w:t>
      </w:r>
      <w:r w:rsidR="00F92DC4">
        <w:rPr>
          <w:i/>
          <w:iCs/>
        </w:rPr>
        <w:t>–</w:t>
      </w:r>
      <w:r w:rsidRPr="005E4F4F">
        <w:rPr>
          <w:i/>
          <w:iCs/>
        </w:rPr>
        <w:t xml:space="preserve"> Funding Agreement</w:t>
      </w:r>
      <w:r w:rsidRPr="005E4F4F">
        <w:t>, 29 November.</w:t>
      </w:r>
    </w:p>
    <w:p w14:paraId="524898D7" w14:textId="77777777" w:rsidR="005E4F4F" w:rsidRPr="005E4F4F" w:rsidRDefault="005E4F4F" w:rsidP="003C74F6">
      <w:pPr>
        <w:pStyle w:val="Reference"/>
      </w:pPr>
      <w:r w:rsidRPr="005E4F4F">
        <w:t xml:space="preserve">Aziz, A and Jackman, B 2022, </w:t>
      </w:r>
      <w:r w:rsidRPr="005E4F4F">
        <w:rPr>
          <w:i/>
          <w:iCs/>
        </w:rPr>
        <w:t>The RBA and AOFM Securities Lending Facilities</w:t>
      </w:r>
      <w:r w:rsidRPr="005E4F4F">
        <w:t>, December.</w:t>
      </w:r>
    </w:p>
    <w:p w14:paraId="461C5E06" w14:textId="77777777" w:rsidR="005E4F4F" w:rsidRPr="005E4F4F" w:rsidRDefault="005E4F4F" w:rsidP="003C74F6">
      <w:pPr>
        <w:pStyle w:val="Reference"/>
      </w:pPr>
      <w:r w:rsidRPr="005E4F4F">
        <w:t xml:space="preserve">Batchelor, S and Roberts, M 2024, </w:t>
      </w:r>
      <w:r w:rsidRPr="005E4F4F">
        <w:rPr>
          <w:i/>
          <w:iCs/>
        </w:rPr>
        <w:t>Recent Developments in the Semi government Bond Market</w:t>
      </w:r>
      <w:r w:rsidRPr="005E4F4F">
        <w:t>, RBA Bulletin, 25 January, Reserve Bank of Australia.</w:t>
      </w:r>
    </w:p>
    <w:p w14:paraId="494FF7ED" w14:textId="00E08A3C" w:rsidR="005E4F4F" w:rsidRPr="00615172" w:rsidRDefault="005E4F4F" w:rsidP="003C74F6">
      <w:pPr>
        <w:pStyle w:val="Reference"/>
        <w:rPr>
          <w:spacing w:val="-4"/>
        </w:rPr>
      </w:pPr>
      <w:r w:rsidRPr="00615172">
        <w:rPr>
          <w:spacing w:val="-4"/>
        </w:rPr>
        <w:t xml:space="preserve">CGC (Commonwealth Grants Commission) 2021, </w:t>
      </w:r>
      <w:r w:rsidRPr="00615172">
        <w:rPr>
          <w:i/>
          <w:iCs/>
          <w:spacing w:val="-4"/>
        </w:rPr>
        <w:t>Occasional paper no. 4: New arrangements for distributing GST</w:t>
      </w:r>
      <w:r w:rsidRPr="00615172">
        <w:rPr>
          <w:spacing w:val="-4"/>
        </w:rPr>
        <w:t>, 1</w:t>
      </w:r>
      <w:r w:rsidR="00615172" w:rsidRPr="00615172">
        <w:rPr>
          <w:spacing w:val="-4"/>
        </w:rPr>
        <w:t> </w:t>
      </w:r>
      <w:r w:rsidRPr="00615172">
        <w:rPr>
          <w:spacing w:val="-4"/>
        </w:rPr>
        <w:t>September, Canberra.</w:t>
      </w:r>
    </w:p>
    <w:p w14:paraId="1BE72095" w14:textId="64C5A9F9" w:rsidR="005E4F4F" w:rsidRPr="005E4F4F" w:rsidRDefault="005E4F4F" w:rsidP="003C74F6">
      <w:pPr>
        <w:pStyle w:val="Reference"/>
      </w:pPr>
      <w:r w:rsidRPr="005E4F4F">
        <w:t>——</w:t>
      </w:r>
      <w:r w:rsidR="003334BE">
        <w:t> </w:t>
      </w:r>
      <w:r w:rsidRPr="005E4F4F">
        <w:t xml:space="preserve">2026a, </w:t>
      </w:r>
      <w:r w:rsidRPr="005E4F4F">
        <w:rPr>
          <w:i/>
          <w:iCs/>
        </w:rPr>
        <w:t>2026 State Snapshots</w:t>
      </w:r>
      <w:r w:rsidRPr="005E4F4F">
        <w:t>, https://www.cgc.gov.au/</w:t>
      </w:r>
      <w:r w:rsidR="00F92DC4">
        <w:br/>
      </w:r>
      <w:r w:rsidRPr="005E4F4F">
        <w:t>publications/state-snapshots/2026-state-snapshots (accessed 30 July 2026).</w:t>
      </w:r>
    </w:p>
    <w:p w14:paraId="0CD9B3AC" w14:textId="01197EC7" w:rsidR="005E4F4F" w:rsidRPr="00627E0A" w:rsidRDefault="005E4F4F" w:rsidP="003C74F6">
      <w:pPr>
        <w:pStyle w:val="Reference"/>
        <w:rPr>
          <w:lang w:val="fr-CA"/>
        </w:rPr>
      </w:pPr>
      <w:r w:rsidRPr="00627E0A">
        <w:rPr>
          <w:lang w:val="fr-CA"/>
        </w:rPr>
        <w:t>——</w:t>
      </w:r>
      <w:r w:rsidR="003334BE" w:rsidRPr="00627E0A">
        <w:rPr>
          <w:lang w:val="fr-CA"/>
        </w:rPr>
        <w:t> </w:t>
      </w:r>
      <w:r w:rsidRPr="00627E0A">
        <w:rPr>
          <w:lang w:val="fr-CA"/>
        </w:rPr>
        <w:t xml:space="preserve">2026b, </w:t>
      </w:r>
      <w:r w:rsidRPr="00627E0A">
        <w:rPr>
          <w:i/>
          <w:iCs/>
          <w:lang w:val="fr-CA"/>
        </w:rPr>
        <w:t>2026 Update: GST Relativities 2026-27 - Population</w:t>
      </w:r>
      <w:r w:rsidRPr="00627E0A">
        <w:rPr>
          <w:lang w:val="fr-CA"/>
        </w:rPr>
        <w:t>, Canberra.</w:t>
      </w:r>
    </w:p>
    <w:p w14:paraId="16CE8229" w14:textId="7C4A6061" w:rsidR="005E4F4F" w:rsidRPr="005E4F4F" w:rsidRDefault="005E4F4F" w:rsidP="003C74F6">
      <w:pPr>
        <w:pStyle w:val="Reference"/>
      </w:pPr>
      <w:r w:rsidRPr="005E4F4F">
        <w:t>——</w:t>
      </w:r>
      <w:r w:rsidR="003334BE">
        <w:t> </w:t>
      </w:r>
      <w:r w:rsidRPr="005E4F4F">
        <w:t xml:space="preserve">2026c, </w:t>
      </w:r>
      <w:r w:rsidRPr="005E4F4F">
        <w:rPr>
          <w:i/>
          <w:iCs/>
        </w:rPr>
        <w:t>2026 Update: GST Relativities 2026-27 - Revenue and expense ratios</w:t>
      </w:r>
      <w:r w:rsidRPr="005E4F4F">
        <w:t>.</w:t>
      </w:r>
    </w:p>
    <w:p w14:paraId="0B642CF9" w14:textId="77777777" w:rsidR="005E4F4F" w:rsidRPr="005E4F4F" w:rsidRDefault="005E4F4F" w:rsidP="003C74F6">
      <w:pPr>
        <w:pStyle w:val="Reference"/>
      </w:pPr>
      <w:r w:rsidRPr="005E4F4F">
        <w:t xml:space="preserve">Commonwealth of Australia 2023, </w:t>
      </w:r>
      <w:r w:rsidRPr="005E4F4F">
        <w:rPr>
          <w:i/>
          <w:iCs/>
        </w:rPr>
        <w:t>Intergenerational report 2023</w:t>
      </w:r>
      <w:r w:rsidRPr="005E4F4F">
        <w:t>, Canberra.</w:t>
      </w:r>
    </w:p>
    <w:p w14:paraId="1D1E0A46" w14:textId="3652FE74" w:rsidR="005E4F4F" w:rsidRPr="005E4F4F" w:rsidRDefault="005E4F4F" w:rsidP="003C74F6">
      <w:pPr>
        <w:pStyle w:val="Reference"/>
      </w:pPr>
      <w:r w:rsidRPr="005E4F4F">
        <w:t>——</w:t>
      </w:r>
      <w:r w:rsidR="003334BE">
        <w:t> </w:t>
      </w:r>
      <w:r w:rsidRPr="005E4F4F">
        <w:t xml:space="preserve">2025, </w:t>
      </w:r>
      <w:r w:rsidRPr="005E4F4F">
        <w:rPr>
          <w:i/>
          <w:iCs/>
        </w:rPr>
        <w:t xml:space="preserve">Budget </w:t>
      </w:r>
      <w:r w:rsidR="004F7A80">
        <w:rPr>
          <w:i/>
          <w:iCs/>
        </w:rPr>
        <w:t>2024–25</w:t>
      </w:r>
      <w:r w:rsidRPr="005E4F4F">
        <w:rPr>
          <w:i/>
          <w:iCs/>
        </w:rPr>
        <w:t xml:space="preserve"> - final budget outcome </w:t>
      </w:r>
      <w:r w:rsidR="004F7A80">
        <w:rPr>
          <w:i/>
          <w:iCs/>
        </w:rPr>
        <w:t>2024–25</w:t>
      </w:r>
      <w:r w:rsidRPr="005E4F4F">
        <w:t>, Canberra.</w:t>
      </w:r>
    </w:p>
    <w:p w14:paraId="247CF3A7" w14:textId="187DB90F" w:rsidR="005E4F4F" w:rsidRPr="005E4F4F" w:rsidRDefault="005E4F4F" w:rsidP="003C74F6">
      <w:pPr>
        <w:pStyle w:val="Reference"/>
      </w:pPr>
      <w:r w:rsidRPr="005E4F4F">
        <w:t xml:space="preserve">Crisafulli, D, Janteski, D and Bates, R 2027, </w:t>
      </w:r>
      <w:r w:rsidRPr="005E4F4F">
        <w:rPr>
          <w:i/>
          <w:iCs/>
        </w:rPr>
        <w:t>Lower debt, no new or increased taxes, and relief you can rely on</w:t>
      </w:r>
      <w:r w:rsidRPr="005E4F4F">
        <w:t>, Ministerial media statements, https://statements.qld.gov.au/</w:t>
      </w:r>
      <w:r w:rsidR="004E512C">
        <w:br/>
      </w:r>
      <w:r w:rsidRPr="005E4F4F">
        <w:t>statements/105359 (accessed 24 June 2026).</w:t>
      </w:r>
    </w:p>
    <w:p w14:paraId="689C076F" w14:textId="77777777" w:rsidR="005E4F4F" w:rsidRPr="005E4F4F" w:rsidRDefault="005E4F4F" w:rsidP="003C74F6">
      <w:pPr>
        <w:pStyle w:val="Reference"/>
      </w:pPr>
      <w:proofErr w:type="spellStart"/>
      <w:r w:rsidRPr="005E4F4F">
        <w:t>Eslake</w:t>
      </w:r>
      <w:proofErr w:type="spellEnd"/>
      <w:r w:rsidRPr="005E4F4F">
        <w:t xml:space="preserve">, S 2026, </w:t>
      </w:r>
      <w:r w:rsidRPr="005E4F4F">
        <w:rPr>
          <w:i/>
          <w:iCs/>
        </w:rPr>
        <w:t>The fiscal sustainability of the ACT: final report to the ACT Legislative Assembly Select Committee on the Fiscal Sustainability of the ACT</w:t>
      </w:r>
      <w:r w:rsidRPr="005E4F4F">
        <w:t>, 4 May, https://www.parliament.act.gov.au/__data/assets/pdf_file/0010/3068515/824c6bd9606c9e3ca7d692f1b8ae6018309986f3.pdf (accessed 20 July 2026).</w:t>
      </w:r>
    </w:p>
    <w:p w14:paraId="44D62F40" w14:textId="77777777" w:rsidR="005E4F4F" w:rsidRPr="005E4F4F" w:rsidRDefault="005E4F4F" w:rsidP="003C74F6">
      <w:pPr>
        <w:pStyle w:val="Reference"/>
      </w:pPr>
      <w:r w:rsidRPr="005E4F4F">
        <w:t xml:space="preserve">European Commission 2017, </w:t>
      </w:r>
      <w:r w:rsidRPr="005E4F4F">
        <w:rPr>
          <w:i/>
          <w:iCs/>
        </w:rPr>
        <w:t>European semester thematic factsheet: Sustainability of public finances</w:t>
      </w:r>
      <w:r w:rsidRPr="005E4F4F">
        <w:t>, 22 November.</w:t>
      </w:r>
    </w:p>
    <w:p w14:paraId="67DF82BD" w14:textId="77777777" w:rsidR="005E4F4F" w:rsidRPr="005E4F4F" w:rsidRDefault="005E4F4F" w:rsidP="003C74F6">
      <w:pPr>
        <w:pStyle w:val="Reference"/>
      </w:pPr>
      <w:r w:rsidRPr="005E4F4F">
        <w:t xml:space="preserve">Government of Tasmania 2021, </w:t>
      </w:r>
      <w:r w:rsidRPr="005E4F4F">
        <w:rPr>
          <w:i/>
          <w:iCs/>
        </w:rPr>
        <w:t>Tasmanian Government fiscal sustainability report 2021</w:t>
      </w:r>
      <w:r w:rsidRPr="005E4F4F">
        <w:t>, June, Hobart.</w:t>
      </w:r>
    </w:p>
    <w:p w14:paraId="04A77A5C" w14:textId="291E4A7D" w:rsidR="005E4F4F" w:rsidRPr="007D37A2" w:rsidRDefault="005E4F4F" w:rsidP="003C74F6">
      <w:pPr>
        <w:pStyle w:val="Reference"/>
        <w:rPr>
          <w:spacing w:val="-4"/>
        </w:rPr>
      </w:pPr>
      <w:r w:rsidRPr="007D37A2">
        <w:rPr>
          <w:spacing w:val="-4"/>
        </w:rPr>
        <w:t>——</w:t>
      </w:r>
      <w:r w:rsidR="003334BE" w:rsidRPr="007D37A2">
        <w:rPr>
          <w:spacing w:val="-4"/>
        </w:rPr>
        <w:t> </w:t>
      </w:r>
      <w:r w:rsidRPr="007D37A2">
        <w:rPr>
          <w:spacing w:val="-4"/>
        </w:rPr>
        <w:t xml:space="preserve">2026, </w:t>
      </w:r>
      <w:r w:rsidRPr="007D37A2">
        <w:rPr>
          <w:i/>
          <w:iCs/>
          <w:spacing w:val="-4"/>
        </w:rPr>
        <w:t>Tasmanian fiscal sustainability report 2026</w:t>
      </w:r>
      <w:r w:rsidRPr="007D37A2">
        <w:rPr>
          <w:spacing w:val="-4"/>
        </w:rPr>
        <w:t>, February.</w:t>
      </w:r>
    </w:p>
    <w:p w14:paraId="280DCBE7" w14:textId="77777777" w:rsidR="005E4F4F" w:rsidRPr="005E4F4F" w:rsidRDefault="005E4F4F" w:rsidP="003C74F6">
      <w:pPr>
        <w:pStyle w:val="Reference"/>
      </w:pPr>
      <w:r w:rsidRPr="005E4F4F">
        <w:t xml:space="preserve">Government of Victoria 2026, </w:t>
      </w:r>
      <w:r w:rsidRPr="005E4F4F">
        <w:rPr>
          <w:i/>
          <w:iCs/>
        </w:rPr>
        <w:t>Government infrastructure investment</w:t>
      </w:r>
      <w:r w:rsidRPr="005E4F4F">
        <w:t>, https://www.budget.vic.gov.au/government-infrastructure-investment (accessed 24 June 2026).</w:t>
      </w:r>
    </w:p>
    <w:p w14:paraId="34542467" w14:textId="77777777" w:rsidR="005E4F4F" w:rsidRPr="005E4F4F" w:rsidRDefault="005E4F4F" w:rsidP="003C74F6">
      <w:pPr>
        <w:pStyle w:val="Reference"/>
      </w:pPr>
      <w:r w:rsidRPr="005E4F4F">
        <w:t xml:space="preserve">Government of Western Australia 2026, </w:t>
      </w:r>
      <w:r w:rsidRPr="005E4F4F">
        <w:rPr>
          <w:i/>
          <w:iCs/>
        </w:rPr>
        <w:t>WA State Budget: Budget paper no. 3</w:t>
      </w:r>
      <w:r w:rsidRPr="005E4F4F">
        <w:t>, 7 May.</w:t>
      </w:r>
    </w:p>
    <w:p w14:paraId="1B0541D6" w14:textId="5FE19464" w:rsidR="005E4F4F" w:rsidRPr="00B34620" w:rsidRDefault="005E4F4F" w:rsidP="003C74F6">
      <w:pPr>
        <w:pStyle w:val="Reference"/>
        <w:rPr>
          <w:spacing w:val="-4"/>
        </w:rPr>
      </w:pPr>
      <w:r w:rsidRPr="00B34620">
        <w:rPr>
          <w:spacing w:val="-4"/>
        </w:rPr>
        <w:t>——</w:t>
      </w:r>
      <w:r w:rsidR="003334BE" w:rsidRPr="00B34620">
        <w:rPr>
          <w:spacing w:val="-4"/>
        </w:rPr>
        <w:t> </w:t>
      </w:r>
      <w:r w:rsidRPr="00B34620">
        <w:rPr>
          <w:spacing w:val="-4"/>
        </w:rPr>
        <w:t xml:space="preserve">2025, </w:t>
      </w:r>
      <w:r w:rsidRPr="00B34620">
        <w:rPr>
          <w:i/>
          <w:iCs/>
          <w:spacing w:val="-4"/>
        </w:rPr>
        <w:t xml:space="preserve">Annual Report on State Finances </w:t>
      </w:r>
      <w:r w:rsidR="004F7A80" w:rsidRPr="00B34620">
        <w:rPr>
          <w:i/>
          <w:iCs/>
          <w:spacing w:val="-4"/>
        </w:rPr>
        <w:t>2024–25</w:t>
      </w:r>
      <w:r w:rsidRPr="00B34620">
        <w:rPr>
          <w:spacing w:val="-4"/>
        </w:rPr>
        <w:t>, September.</w:t>
      </w:r>
    </w:p>
    <w:p w14:paraId="33BB6DFC" w14:textId="77777777" w:rsidR="005E4F4F" w:rsidRPr="005E4F4F" w:rsidRDefault="005E4F4F" w:rsidP="003C74F6">
      <w:pPr>
        <w:pStyle w:val="Reference"/>
      </w:pPr>
      <w:r w:rsidRPr="005E4F4F">
        <w:t xml:space="preserve">Infrastructure Partnerships Australia 2025, </w:t>
      </w:r>
      <w:r w:rsidRPr="005E4F4F">
        <w:rPr>
          <w:i/>
          <w:iCs/>
        </w:rPr>
        <w:t>Australian infrastructure budget monitor 2025-26</w:t>
      </w:r>
      <w:r w:rsidRPr="005E4F4F">
        <w:t>, https://infrastructure.org.au/policy-research/major-reports/australian-infrastructure-budget-monitor-2025-26/ (accessed 24 June 2026).</w:t>
      </w:r>
    </w:p>
    <w:p w14:paraId="38771BB6" w14:textId="3CA45F3A" w:rsidR="005E4F4F" w:rsidRPr="0037658D" w:rsidRDefault="005E4F4F" w:rsidP="003C74F6">
      <w:pPr>
        <w:pStyle w:val="Reference"/>
        <w:rPr>
          <w:spacing w:val="-4"/>
        </w:rPr>
      </w:pPr>
      <w:r w:rsidRPr="0037658D">
        <w:rPr>
          <w:spacing w:val="-4"/>
        </w:rPr>
        <w:t xml:space="preserve">Moody’s Ratings 2023, </w:t>
      </w:r>
      <w:r w:rsidRPr="0037658D">
        <w:rPr>
          <w:i/>
          <w:iCs/>
          <w:spacing w:val="-4"/>
        </w:rPr>
        <w:t>New South Wales Treasury Corporation</w:t>
      </w:r>
      <w:r w:rsidRPr="0037658D">
        <w:rPr>
          <w:spacing w:val="-4"/>
        </w:rPr>
        <w:t>, https://www.moodys.com/entity/548193/overview (accessed 15 July 2026).</w:t>
      </w:r>
    </w:p>
    <w:p w14:paraId="4C6EF3AD" w14:textId="60880500" w:rsidR="005E4F4F" w:rsidRPr="005E4F4F" w:rsidRDefault="005E4F4F" w:rsidP="003C74F6">
      <w:pPr>
        <w:pStyle w:val="Reference"/>
      </w:pPr>
      <w:r w:rsidRPr="005E4F4F">
        <w:t>——</w:t>
      </w:r>
      <w:r w:rsidR="003334BE">
        <w:t> </w:t>
      </w:r>
      <w:r w:rsidRPr="005E4F4F">
        <w:t xml:space="preserve">2024a, </w:t>
      </w:r>
      <w:r w:rsidRPr="005E4F4F">
        <w:rPr>
          <w:i/>
          <w:iCs/>
        </w:rPr>
        <w:t>Queensland Treasury Corporation</w:t>
      </w:r>
      <w:r w:rsidRPr="005E4F4F">
        <w:t>, https://www.moodys.com/entity/633255/overview (accessed 15 July 2026).</w:t>
      </w:r>
    </w:p>
    <w:p w14:paraId="57871687" w14:textId="11C004CC" w:rsidR="005E4F4F" w:rsidRPr="005E4F4F" w:rsidRDefault="005E4F4F" w:rsidP="003C74F6">
      <w:pPr>
        <w:pStyle w:val="Reference"/>
      </w:pPr>
      <w:r w:rsidRPr="005E4F4F">
        <w:t>——</w:t>
      </w:r>
      <w:r w:rsidR="003334BE">
        <w:t> </w:t>
      </w:r>
      <w:r w:rsidRPr="005E4F4F">
        <w:t xml:space="preserve">2024b, </w:t>
      </w:r>
      <w:r w:rsidRPr="005E4F4F">
        <w:rPr>
          <w:i/>
          <w:iCs/>
        </w:rPr>
        <w:t xml:space="preserve">South Australian Government Financing </w:t>
      </w:r>
      <w:r w:rsidR="00AF0941" w:rsidRPr="005E4F4F">
        <w:rPr>
          <w:i/>
          <w:iCs/>
        </w:rPr>
        <w:t>Aut</w:t>
      </w:r>
      <w:r w:rsidR="00AF0941">
        <w:rPr>
          <w:i/>
          <w:iCs/>
        </w:rPr>
        <w:t>hority</w:t>
      </w:r>
      <w:r w:rsidRPr="005E4F4F">
        <w:t>, https://www.moodys.com/entity/686860/overview (accessed 15 July 2026).</w:t>
      </w:r>
    </w:p>
    <w:p w14:paraId="74781B59" w14:textId="2EE211F3" w:rsidR="005E4F4F" w:rsidRPr="005E4F4F" w:rsidRDefault="005E4F4F" w:rsidP="003C74F6">
      <w:pPr>
        <w:pStyle w:val="Reference"/>
      </w:pPr>
      <w:r w:rsidRPr="005E4F4F">
        <w:t>——</w:t>
      </w:r>
      <w:r w:rsidR="003334BE">
        <w:t> </w:t>
      </w:r>
      <w:r w:rsidRPr="005E4F4F">
        <w:t xml:space="preserve">2024c, </w:t>
      </w:r>
      <w:r w:rsidRPr="005E4F4F">
        <w:rPr>
          <w:i/>
          <w:iCs/>
        </w:rPr>
        <w:t>Treasury Corporation of Victoria</w:t>
      </w:r>
      <w:r w:rsidRPr="005E4F4F">
        <w:t>, https://www.moodys.com/entity/800934/overview (accessed 15 July 2026).</w:t>
      </w:r>
    </w:p>
    <w:p w14:paraId="3EBE0B29" w14:textId="1DC813A8" w:rsidR="005E4F4F" w:rsidRPr="005E4F4F" w:rsidRDefault="005E4F4F" w:rsidP="003C74F6">
      <w:pPr>
        <w:pStyle w:val="Reference"/>
      </w:pPr>
      <w:r w:rsidRPr="005E4F4F">
        <w:t>——</w:t>
      </w:r>
      <w:r w:rsidR="003334BE">
        <w:t> </w:t>
      </w:r>
      <w:r w:rsidRPr="005E4F4F">
        <w:t xml:space="preserve">2025a, </w:t>
      </w:r>
      <w:r w:rsidRPr="005E4F4F">
        <w:rPr>
          <w:i/>
          <w:iCs/>
        </w:rPr>
        <w:t>Northern Territory Treasury Corporation</w:t>
      </w:r>
      <w:r w:rsidRPr="005E4F4F">
        <w:t>, https://www.moodys.com/entity/600021066/overview (accessed 15 July 2026).</w:t>
      </w:r>
    </w:p>
    <w:p w14:paraId="1BBEF80B" w14:textId="4E30BF1F" w:rsidR="005E4F4F" w:rsidRPr="005E4F4F" w:rsidRDefault="005E4F4F" w:rsidP="003C74F6">
      <w:pPr>
        <w:pStyle w:val="Reference"/>
      </w:pPr>
      <w:r w:rsidRPr="005E4F4F">
        <w:t>——</w:t>
      </w:r>
      <w:r w:rsidR="003334BE">
        <w:t> </w:t>
      </w:r>
      <w:r w:rsidRPr="005E4F4F">
        <w:t xml:space="preserve">2025b, </w:t>
      </w:r>
      <w:r w:rsidRPr="005E4F4F">
        <w:rPr>
          <w:i/>
          <w:iCs/>
        </w:rPr>
        <w:t>Tasmanian Public Finance Corporation</w:t>
      </w:r>
      <w:r w:rsidRPr="005E4F4F">
        <w:t>, https://www.moodys.com/entity/3041/overview (accessed 15 July 2026).</w:t>
      </w:r>
    </w:p>
    <w:p w14:paraId="083E70CD" w14:textId="1950C4F2" w:rsidR="005E4F4F" w:rsidRPr="005E4F4F" w:rsidRDefault="005E4F4F" w:rsidP="003C74F6">
      <w:pPr>
        <w:pStyle w:val="Reference"/>
      </w:pPr>
      <w:r w:rsidRPr="005E4F4F">
        <w:t>——</w:t>
      </w:r>
      <w:r w:rsidR="003334BE">
        <w:t> </w:t>
      </w:r>
      <w:r w:rsidRPr="005E4F4F">
        <w:t xml:space="preserve">2026a, </w:t>
      </w:r>
      <w:r w:rsidRPr="005E4F4F">
        <w:rPr>
          <w:i/>
          <w:iCs/>
        </w:rPr>
        <w:t>Rating methodology: regional and local governments</w:t>
      </w:r>
      <w:r w:rsidRPr="005E4F4F">
        <w:t>, https://www.moodys.com/research/Rating-Methodology-Regional-and-Local-Governments-Rating-Methodology--PBC_1471270#5d113f2038d289f391614c</w:t>
      </w:r>
      <w:r w:rsidR="007D37A2">
        <w:br/>
      </w:r>
      <w:r w:rsidRPr="005E4F4F">
        <w:t>39043629e8 (accessed 23 June 2026).</w:t>
      </w:r>
    </w:p>
    <w:p w14:paraId="5E7A21CB" w14:textId="04005EC9" w:rsidR="005E4F4F" w:rsidRPr="005E4F4F" w:rsidRDefault="005E4F4F" w:rsidP="003C74F6">
      <w:pPr>
        <w:pStyle w:val="Reference"/>
      </w:pPr>
      <w:r w:rsidRPr="005E4F4F">
        <w:t>——</w:t>
      </w:r>
      <w:r w:rsidR="003334BE">
        <w:t> </w:t>
      </w:r>
      <w:r w:rsidRPr="005E4F4F">
        <w:t xml:space="preserve">2026b, </w:t>
      </w:r>
      <w:r w:rsidRPr="005E4F4F">
        <w:rPr>
          <w:i/>
          <w:iCs/>
        </w:rPr>
        <w:t>Western Australian Treasury Corporation - Ratings &amp; Assessments</w:t>
      </w:r>
      <w:r w:rsidRPr="005E4F4F">
        <w:t>, https://www.moodys.com/entity/3061/</w:t>
      </w:r>
      <w:r w:rsidR="007D37A2">
        <w:br/>
      </w:r>
      <w:r w:rsidRPr="005E4F4F">
        <w:t>ratings/view-by-class (accessed 15 July 2026).</w:t>
      </w:r>
    </w:p>
    <w:p w14:paraId="0E6F40DD" w14:textId="363B290E" w:rsidR="005E4F4F" w:rsidRPr="005E4F4F" w:rsidRDefault="005E4F4F" w:rsidP="003C74F6">
      <w:pPr>
        <w:pStyle w:val="Reference"/>
      </w:pPr>
      <w:r w:rsidRPr="005E4F4F">
        <w:lastRenderedPageBreak/>
        <w:t xml:space="preserve">NSW Government 2021, </w:t>
      </w:r>
      <w:r w:rsidR="00870185">
        <w:rPr>
          <w:i/>
          <w:iCs/>
        </w:rPr>
        <w:t>2021–22</w:t>
      </w:r>
      <w:r w:rsidRPr="005E4F4F">
        <w:rPr>
          <w:i/>
          <w:iCs/>
        </w:rPr>
        <w:t xml:space="preserve"> NSW Intergenerational Report</w:t>
      </w:r>
      <w:r w:rsidRPr="005E4F4F">
        <w:t>, 7 June.</w:t>
      </w:r>
    </w:p>
    <w:p w14:paraId="5D182923" w14:textId="1F240B1B" w:rsidR="005E4F4F" w:rsidRPr="005E4F4F" w:rsidRDefault="005E4F4F" w:rsidP="003C74F6">
      <w:pPr>
        <w:pStyle w:val="Reference"/>
      </w:pPr>
      <w:r w:rsidRPr="005E4F4F">
        <w:t>——</w:t>
      </w:r>
      <w:r w:rsidR="003334BE">
        <w:t> </w:t>
      </w:r>
      <w:r w:rsidRPr="005E4F4F">
        <w:t xml:space="preserve">2026a, </w:t>
      </w:r>
      <w:r w:rsidRPr="005E4F4F">
        <w:rPr>
          <w:i/>
          <w:iCs/>
        </w:rPr>
        <w:t>NSW Budget 2026-27 - budget paper no. 3 -infrastructure statement</w:t>
      </w:r>
      <w:r w:rsidRPr="005E4F4F">
        <w:t>, 23 June.</w:t>
      </w:r>
    </w:p>
    <w:p w14:paraId="02EF0F2B" w14:textId="7237680E" w:rsidR="005E4F4F" w:rsidRPr="005E4F4F" w:rsidRDefault="005E4F4F" w:rsidP="003C74F6">
      <w:pPr>
        <w:pStyle w:val="Reference"/>
      </w:pPr>
      <w:r w:rsidRPr="005E4F4F">
        <w:t>——</w:t>
      </w:r>
      <w:r w:rsidR="003334BE">
        <w:t> </w:t>
      </w:r>
      <w:r w:rsidRPr="005E4F4F">
        <w:t xml:space="preserve">2024, </w:t>
      </w:r>
      <w:r w:rsidRPr="005E4F4F">
        <w:rPr>
          <w:i/>
          <w:iCs/>
        </w:rPr>
        <w:t>Consolidated Budget Management Guidance</w:t>
      </w:r>
      <w:r w:rsidRPr="005E4F4F">
        <w:t>, Standard Page, NSW Government, https://www.nsw.gov.au/business-and-economy/budget-and-financial-management/consolidated-budget-management-guidance/budget-management-and-governance (accessed 4 August 2026).</w:t>
      </w:r>
    </w:p>
    <w:p w14:paraId="282583DE" w14:textId="21156A7E" w:rsidR="005E4F4F" w:rsidRPr="00035DB2" w:rsidRDefault="005E4F4F" w:rsidP="003C74F6">
      <w:pPr>
        <w:pStyle w:val="Reference"/>
        <w:rPr>
          <w:spacing w:val="-4"/>
        </w:rPr>
      </w:pPr>
      <w:r w:rsidRPr="00035DB2">
        <w:rPr>
          <w:spacing w:val="-4"/>
        </w:rPr>
        <w:t>——</w:t>
      </w:r>
      <w:r w:rsidR="003334BE" w:rsidRPr="00035DB2">
        <w:rPr>
          <w:spacing w:val="-4"/>
        </w:rPr>
        <w:t> </w:t>
      </w:r>
      <w:r w:rsidRPr="00035DB2">
        <w:rPr>
          <w:spacing w:val="-4"/>
        </w:rPr>
        <w:t xml:space="preserve">2026b, </w:t>
      </w:r>
      <w:r w:rsidRPr="00035DB2">
        <w:rPr>
          <w:i/>
          <w:iCs/>
          <w:spacing w:val="-4"/>
        </w:rPr>
        <w:t>2026-27 Budget Paper No. 1 - Budget Statement</w:t>
      </w:r>
      <w:r w:rsidRPr="00035DB2">
        <w:rPr>
          <w:spacing w:val="-4"/>
        </w:rPr>
        <w:t>, May.</w:t>
      </w:r>
    </w:p>
    <w:p w14:paraId="4240ABAD" w14:textId="77777777" w:rsidR="005E4F4F" w:rsidRPr="005E4F4F" w:rsidRDefault="005E4F4F" w:rsidP="003C74F6">
      <w:pPr>
        <w:pStyle w:val="Reference"/>
      </w:pPr>
      <w:r w:rsidRPr="005E4F4F">
        <w:t xml:space="preserve">NT Government (Government of the Northern Territory) 2026a, </w:t>
      </w:r>
      <w:r w:rsidRPr="005E4F4F">
        <w:rPr>
          <w:i/>
          <w:iCs/>
        </w:rPr>
        <w:t>2026-27 Budget. Budget Paper No. 2 Budget Strategy  and Outlook.</w:t>
      </w:r>
      <w:r w:rsidRPr="005E4F4F">
        <w:t>, 30 April.</w:t>
      </w:r>
    </w:p>
    <w:p w14:paraId="4606D607" w14:textId="4CC17033" w:rsidR="005E4F4F" w:rsidRPr="005E4F4F" w:rsidRDefault="005E4F4F" w:rsidP="003C74F6">
      <w:pPr>
        <w:pStyle w:val="Reference"/>
      </w:pPr>
      <w:r w:rsidRPr="005E4F4F">
        <w:t>——</w:t>
      </w:r>
      <w:r w:rsidR="003334BE">
        <w:t> </w:t>
      </w:r>
      <w:r w:rsidRPr="005E4F4F">
        <w:t xml:space="preserve">2026b, </w:t>
      </w:r>
      <w:r w:rsidRPr="005E4F4F">
        <w:rPr>
          <w:i/>
          <w:iCs/>
        </w:rPr>
        <w:t>Borrowing and financing strategies</w:t>
      </w:r>
      <w:r w:rsidRPr="005E4F4F">
        <w:t>, https://treasury.nt.gov.au/dtf/nttc/borrowing-and-financing-strategies (accessed 1 July 2026).</w:t>
      </w:r>
    </w:p>
    <w:p w14:paraId="0F4D9DA4" w14:textId="54778C57" w:rsidR="005E4F4F" w:rsidRPr="005E4F4F" w:rsidRDefault="005E4F4F" w:rsidP="003C74F6">
      <w:pPr>
        <w:pStyle w:val="Reference"/>
      </w:pPr>
      <w:r w:rsidRPr="005E4F4F">
        <w:t>——</w:t>
      </w:r>
      <w:r w:rsidR="003334BE">
        <w:t> </w:t>
      </w:r>
      <w:r w:rsidRPr="005E4F4F">
        <w:t xml:space="preserve">2026c, </w:t>
      </w:r>
      <w:r w:rsidRPr="005E4F4F">
        <w:rPr>
          <w:i/>
          <w:iCs/>
        </w:rPr>
        <w:t>NTTC: Borrowing and financing strategies</w:t>
      </w:r>
      <w:r w:rsidRPr="005E4F4F">
        <w:t>, https://treasury.nt.gov.au/dtf/nttc/borrowing-and-financing-strategies (accessed 21 July 2026).</w:t>
      </w:r>
    </w:p>
    <w:p w14:paraId="2FA560EA" w14:textId="77777777" w:rsidR="005E4F4F" w:rsidRPr="005E4F4F" w:rsidRDefault="005E4F4F" w:rsidP="003C74F6">
      <w:pPr>
        <w:pStyle w:val="Reference"/>
      </w:pPr>
      <w:r w:rsidRPr="005E4F4F">
        <w:t xml:space="preserve">PBO (Parliamentary Budget Office) 2025a, </w:t>
      </w:r>
      <w:r w:rsidRPr="005E4F4F">
        <w:rPr>
          <w:i/>
          <w:iCs/>
        </w:rPr>
        <w:t>2025-26 medium-term budget outlook: beyond the budget</w:t>
      </w:r>
      <w:r w:rsidRPr="005E4F4F">
        <w:t>, September.</w:t>
      </w:r>
    </w:p>
    <w:p w14:paraId="7683BDA8" w14:textId="0F74AA29" w:rsidR="005E4F4F" w:rsidRPr="005E4F4F" w:rsidRDefault="005E4F4F" w:rsidP="003C74F6">
      <w:pPr>
        <w:pStyle w:val="Reference"/>
      </w:pPr>
      <w:r w:rsidRPr="005E4F4F">
        <w:t>——</w:t>
      </w:r>
      <w:r w:rsidR="003334BE">
        <w:t> </w:t>
      </w:r>
      <w:r w:rsidRPr="005E4F4F">
        <w:t xml:space="preserve">2025b, </w:t>
      </w:r>
      <w:r w:rsidRPr="005E4F4F">
        <w:rPr>
          <w:i/>
          <w:iCs/>
        </w:rPr>
        <w:t>2025-26 National Fiscal Outlook</w:t>
      </w:r>
      <w:r w:rsidRPr="005E4F4F">
        <w:t>.</w:t>
      </w:r>
    </w:p>
    <w:p w14:paraId="370FCF44" w14:textId="2FBB5A71" w:rsidR="005E4F4F" w:rsidRPr="005E4F4F" w:rsidRDefault="005E4F4F" w:rsidP="003C74F6">
      <w:pPr>
        <w:pStyle w:val="Reference"/>
      </w:pPr>
      <w:r w:rsidRPr="005E4F4F">
        <w:t>——</w:t>
      </w:r>
      <w:r w:rsidR="003334BE">
        <w:t> </w:t>
      </w:r>
      <w:r w:rsidRPr="005E4F4F">
        <w:t xml:space="preserve">2026, </w:t>
      </w:r>
      <w:r w:rsidRPr="005E4F4F">
        <w:rPr>
          <w:i/>
          <w:iCs/>
        </w:rPr>
        <w:t>2026-27 medium-term budget outlook</w:t>
      </w:r>
      <w:r w:rsidRPr="005E4F4F">
        <w:t>, July.</w:t>
      </w:r>
    </w:p>
    <w:p w14:paraId="748F39A5" w14:textId="77777777" w:rsidR="005E4F4F" w:rsidRPr="005E4F4F" w:rsidRDefault="005E4F4F" w:rsidP="003C74F6">
      <w:pPr>
        <w:pStyle w:val="Reference"/>
      </w:pPr>
      <w:r w:rsidRPr="005E4F4F">
        <w:t xml:space="preserve">QTC (Queensland Treasury Corporation) 2026a, </w:t>
      </w:r>
      <w:r w:rsidRPr="005E4F4F">
        <w:rPr>
          <w:i/>
          <w:iCs/>
        </w:rPr>
        <w:t>About Us</w:t>
      </w:r>
      <w:r w:rsidRPr="005E4F4F">
        <w:t>, QTC Clients, https://clients.qtc.com.au/about/ (accessed 21 July 2026).</w:t>
      </w:r>
    </w:p>
    <w:p w14:paraId="35A355E5" w14:textId="4B5FE3C9" w:rsidR="005E4F4F" w:rsidRPr="005E4F4F" w:rsidRDefault="005E4F4F" w:rsidP="003C74F6">
      <w:pPr>
        <w:pStyle w:val="Reference"/>
      </w:pPr>
      <w:r w:rsidRPr="005E4F4F">
        <w:t>——</w:t>
      </w:r>
      <w:r w:rsidR="003334BE">
        <w:t> </w:t>
      </w:r>
      <w:r w:rsidRPr="005E4F4F">
        <w:t xml:space="preserve">2026b, </w:t>
      </w:r>
      <w:r w:rsidRPr="005E4F4F">
        <w:rPr>
          <w:i/>
          <w:iCs/>
        </w:rPr>
        <w:t>QTC AUD Bond Outstandings</w:t>
      </w:r>
      <w:r w:rsidRPr="005E4F4F">
        <w:t>, 30 June.</w:t>
      </w:r>
    </w:p>
    <w:p w14:paraId="5622FBD8" w14:textId="767DE5A9" w:rsidR="005E4F4F" w:rsidRPr="005E4F4F" w:rsidRDefault="005E4F4F" w:rsidP="003C74F6">
      <w:pPr>
        <w:pStyle w:val="Reference"/>
      </w:pPr>
      <w:r w:rsidRPr="005E4F4F">
        <w:t xml:space="preserve">Queensland Government 2025, </w:t>
      </w:r>
      <w:r w:rsidRPr="005E4F4F">
        <w:rPr>
          <w:i/>
          <w:iCs/>
        </w:rPr>
        <w:t>2024–25 Report on State Finances of the Queensland Government</w:t>
      </w:r>
      <w:r w:rsidRPr="005E4F4F">
        <w:t>, 29 October.</w:t>
      </w:r>
    </w:p>
    <w:p w14:paraId="17247C84" w14:textId="3E96FC2E" w:rsidR="005E4F4F" w:rsidRPr="005E4F4F" w:rsidRDefault="005E4F4F" w:rsidP="003C74F6">
      <w:pPr>
        <w:pStyle w:val="Reference"/>
      </w:pPr>
      <w:r w:rsidRPr="005E4F4F">
        <w:t>——</w:t>
      </w:r>
      <w:r w:rsidR="003334BE">
        <w:t> </w:t>
      </w:r>
      <w:r w:rsidRPr="005E4F4F">
        <w:t xml:space="preserve">2026, </w:t>
      </w:r>
      <w:r w:rsidRPr="005E4F4F">
        <w:rPr>
          <w:i/>
          <w:iCs/>
        </w:rPr>
        <w:t>Budget Paper 2 - Budget Strategy and Outlook</w:t>
      </w:r>
      <w:r w:rsidRPr="005E4F4F">
        <w:t>, https://budget.qld.gov.au/files/2026-27-budget-bp2-budget-strategy-outlook.pdf (accessed 29 July 2026).</w:t>
      </w:r>
    </w:p>
    <w:p w14:paraId="6DC98EC5" w14:textId="77777777" w:rsidR="005E4F4F" w:rsidRPr="005E4F4F" w:rsidRDefault="005E4F4F" w:rsidP="003C74F6">
      <w:pPr>
        <w:pStyle w:val="Reference"/>
      </w:pPr>
      <w:r w:rsidRPr="005E4F4F">
        <w:t xml:space="preserve">RBA (Reserve Bank of Australia) 2020, </w:t>
      </w:r>
      <w:r w:rsidRPr="005E4F4F">
        <w:rPr>
          <w:i/>
          <w:iCs/>
        </w:rPr>
        <w:t>Statement by Philip Lowe, Governor: Monetary Policy Decision</w:t>
      </w:r>
      <w:r w:rsidRPr="005E4F4F">
        <w:t>, Reserve Bank of Australia, https://www.rba.gov.au/media-releases/2020/mr-20-28.html (accessed 15 July 2026).</w:t>
      </w:r>
    </w:p>
    <w:p w14:paraId="68770BF5" w14:textId="69BF3A2B" w:rsidR="005E4F4F" w:rsidRPr="005E4F4F" w:rsidRDefault="005E4F4F" w:rsidP="003C74F6">
      <w:pPr>
        <w:pStyle w:val="Reference"/>
      </w:pPr>
      <w:r w:rsidRPr="005E4F4F">
        <w:t>——</w:t>
      </w:r>
      <w:r w:rsidR="003334BE">
        <w:t> </w:t>
      </w:r>
      <w:r w:rsidRPr="005E4F4F">
        <w:t xml:space="preserve">2026, </w:t>
      </w:r>
      <w:r w:rsidRPr="005E4F4F">
        <w:rPr>
          <w:i/>
          <w:iCs/>
        </w:rPr>
        <w:t>Statistical Tables - Table A3.1</w:t>
      </w:r>
      <w:r w:rsidRPr="005E4F4F">
        <w:t>, https://www.rba.gov.au/statistics/tables/index.html (accessed 6 August 2026).</w:t>
      </w:r>
    </w:p>
    <w:p w14:paraId="3A12A187" w14:textId="3F5594A9" w:rsidR="005E4F4F" w:rsidRPr="005E4F4F" w:rsidRDefault="005E4F4F" w:rsidP="003C74F6">
      <w:pPr>
        <w:pStyle w:val="Reference"/>
      </w:pPr>
      <w:r w:rsidRPr="005E4F4F">
        <w:t xml:space="preserve">SA Government 2025, </w:t>
      </w:r>
      <w:r w:rsidRPr="005E4F4F">
        <w:rPr>
          <w:i/>
          <w:iCs/>
        </w:rPr>
        <w:t>State finances – insights on the 2025-26 Budget</w:t>
      </w:r>
      <w:r w:rsidRPr="005E4F4F">
        <w:t>, 11 November.</w:t>
      </w:r>
    </w:p>
    <w:p w14:paraId="77CB849E" w14:textId="5FB39A1E" w:rsidR="005E4F4F" w:rsidRPr="005E4F4F" w:rsidRDefault="005E4F4F" w:rsidP="003C74F6">
      <w:pPr>
        <w:pStyle w:val="Reference"/>
      </w:pPr>
      <w:r w:rsidRPr="005E4F4F">
        <w:t>——</w:t>
      </w:r>
      <w:r w:rsidR="003334BE">
        <w:t> </w:t>
      </w:r>
      <w:r w:rsidRPr="005E4F4F">
        <w:t xml:space="preserve">2026, </w:t>
      </w:r>
      <w:r w:rsidRPr="005E4F4F">
        <w:rPr>
          <w:i/>
          <w:iCs/>
        </w:rPr>
        <w:t>State budget 2026-27. Budget Paper 3</w:t>
      </w:r>
      <w:r w:rsidRPr="005E4F4F">
        <w:t>, 4 June.</w:t>
      </w:r>
    </w:p>
    <w:p w14:paraId="55AB93AA" w14:textId="77777777" w:rsidR="005E4F4F" w:rsidRPr="005E4F4F" w:rsidRDefault="005E4F4F" w:rsidP="003C74F6">
      <w:pPr>
        <w:pStyle w:val="Reference"/>
      </w:pPr>
      <w:r w:rsidRPr="005E4F4F">
        <w:t xml:space="preserve">SAFA (South Australian Financing Authority) 2026, </w:t>
      </w:r>
      <w:r w:rsidRPr="005E4F4F">
        <w:rPr>
          <w:i/>
          <w:iCs/>
        </w:rPr>
        <w:t>SAFA’s weekly funding update week ending 26 June 2026</w:t>
      </w:r>
      <w:r w:rsidRPr="005E4F4F">
        <w:t>, 26 June.</w:t>
      </w:r>
    </w:p>
    <w:p w14:paraId="324CBABF" w14:textId="77777777" w:rsidR="005E4F4F" w:rsidRPr="005E4F4F" w:rsidRDefault="005E4F4F" w:rsidP="003C74F6">
      <w:pPr>
        <w:pStyle w:val="Reference"/>
      </w:pPr>
      <w:r w:rsidRPr="005E4F4F">
        <w:t xml:space="preserve">Saxena, S 2022, </w:t>
      </w:r>
      <w:r w:rsidRPr="005E4F4F">
        <w:rPr>
          <w:i/>
          <w:iCs/>
        </w:rPr>
        <w:t>How to manage fiscal risks from subnational governments</w:t>
      </w:r>
      <w:r w:rsidRPr="005E4F4F">
        <w:t>, September, International Monetary Fund.</w:t>
      </w:r>
    </w:p>
    <w:p w14:paraId="44A510FF" w14:textId="77777777" w:rsidR="005E4F4F" w:rsidRPr="005E4F4F" w:rsidRDefault="005E4F4F" w:rsidP="003C74F6">
      <w:pPr>
        <w:pStyle w:val="Reference"/>
      </w:pPr>
      <w:r w:rsidRPr="005E4F4F">
        <w:t xml:space="preserve">Smith, G 2020, ‘GST as a secure source of revenue for the States and Territories’, </w:t>
      </w:r>
      <w:proofErr w:type="spellStart"/>
      <w:r w:rsidRPr="005E4F4F">
        <w:rPr>
          <w:i/>
          <w:iCs/>
        </w:rPr>
        <w:t>eJournal</w:t>
      </w:r>
      <w:proofErr w:type="spellEnd"/>
      <w:r w:rsidRPr="005E4F4F">
        <w:rPr>
          <w:i/>
          <w:iCs/>
        </w:rPr>
        <w:t xml:space="preserve"> of Tax Research</w:t>
      </w:r>
      <w:r w:rsidRPr="005E4F4F">
        <w:t>, vol. 18, no. 1, pp. 27–44.</w:t>
      </w:r>
    </w:p>
    <w:p w14:paraId="0B89D7CA" w14:textId="77777777" w:rsidR="005E4F4F" w:rsidRPr="005E4F4F" w:rsidRDefault="005E4F4F" w:rsidP="003C74F6">
      <w:pPr>
        <w:pStyle w:val="Reference"/>
      </w:pPr>
      <w:r w:rsidRPr="005E4F4F">
        <w:t xml:space="preserve">S&amp;P Global 2019, </w:t>
      </w:r>
      <w:r w:rsidRPr="005E4F4F">
        <w:rPr>
          <w:i/>
          <w:iCs/>
        </w:rPr>
        <w:t>Criteria, Governments, International public finance: methodology for rating local and regional governments outside of the U.S.</w:t>
      </w:r>
      <w:r w:rsidRPr="005E4F4F">
        <w:t>, S&amp;P Global.</w:t>
      </w:r>
    </w:p>
    <w:p w14:paraId="422808FF" w14:textId="3CEA4CCA" w:rsidR="005E4F4F" w:rsidRPr="0037658D" w:rsidRDefault="005E4F4F" w:rsidP="003C74F6">
      <w:pPr>
        <w:pStyle w:val="Reference"/>
        <w:rPr>
          <w:spacing w:val="-4"/>
        </w:rPr>
      </w:pPr>
      <w:r w:rsidRPr="0037658D">
        <w:rPr>
          <w:spacing w:val="-4"/>
        </w:rPr>
        <w:t>——</w:t>
      </w:r>
      <w:r w:rsidR="003334BE" w:rsidRPr="0037658D">
        <w:rPr>
          <w:spacing w:val="-4"/>
        </w:rPr>
        <w:t> </w:t>
      </w:r>
      <w:r w:rsidRPr="0037658D">
        <w:rPr>
          <w:spacing w:val="-4"/>
        </w:rPr>
        <w:t xml:space="preserve">2025a, </w:t>
      </w:r>
      <w:r w:rsidRPr="0037658D">
        <w:rPr>
          <w:i/>
          <w:iCs/>
          <w:spacing w:val="-4"/>
        </w:rPr>
        <w:t>Australian Capital Territory (Government of)</w:t>
      </w:r>
      <w:r w:rsidRPr="0037658D">
        <w:rPr>
          <w:spacing w:val="-4"/>
        </w:rPr>
        <w:t>, https://www.spglobal.com/ratings/en/regulatory/org-details/</w:t>
      </w:r>
      <w:r w:rsidR="00A62F22">
        <w:rPr>
          <w:spacing w:val="-4"/>
        </w:rPr>
        <w:br/>
      </w:r>
      <w:proofErr w:type="spellStart"/>
      <w:r w:rsidRPr="0037658D">
        <w:rPr>
          <w:spacing w:val="-4"/>
        </w:rPr>
        <w:t>sectorCode</w:t>
      </w:r>
      <w:proofErr w:type="spellEnd"/>
      <w:r w:rsidRPr="0037658D">
        <w:rPr>
          <w:spacing w:val="-4"/>
        </w:rPr>
        <w:t>/GOVS/</w:t>
      </w:r>
      <w:proofErr w:type="spellStart"/>
      <w:r w:rsidRPr="0037658D">
        <w:rPr>
          <w:spacing w:val="-4"/>
        </w:rPr>
        <w:t>entityId</w:t>
      </w:r>
      <w:proofErr w:type="spellEnd"/>
      <w:r w:rsidRPr="0037658D">
        <w:rPr>
          <w:spacing w:val="-4"/>
        </w:rPr>
        <w:t>/128306 (accessed 10 August 2026).</w:t>
      </w:r>
    </w:p>
    <w:p w14:paraId="14EDE359" w14:textId="559812E0" w:rsidR="005E4F4F" w:rsidRPr="00022A33" w:rsidRDefault="005E4F4F" w:rsidP="003C74F6">
      <w:pPr>
        <w:pStyle w:val="Reference"/>
        <w:rPr>
          <w:spacing w:val="-4"/>
        </w:rPr>
      </w:pPr>
      <w:r w:rsidRPr="00022A33">
        <w:rPr>
          <w:spacing w:val="-4"/>
        </w:rPr>
        <w:t>——</w:t>
      </w:r>
      <w:r w:rsidR="003334BE" w:rsidRPr="00022A33">
        <w:rPr>
          <w:spacing w:val="-4"/>
        </w:rPr>
        <w:t> </w:t>
      </w:r>
      <w:r w:rsidRPr="00022A33">
        <w:rPr>
          <w:spacing w:val="-4"/>
        </w:rPr>
        <w:t xml:space="preserve">2025b, </w:t>
      </w:r>
      <w:r w:rsidRPr="00022A33">
        <w:rPr>
          <w:i/>
          <w:iCs/>
          <w:spacing w:val="-4"/>
        </w:rPr>
        <w:t>New South Wales Treasury Corporation</w:t>
      </w:r>
      <w:r w:rsidRPr="00022A33">
        <w:rPr>
          <w:spacing w:val="-4"/>
        </w:rPr>
        <w:t>, https://www.spglobal.com/ratings/en/regulatory/org-details/</w:t>
      </w:r>
      <w:r w:rsidR="00022A33">
        <w:rPr>
          <w:spacing w:val="-4"/>
        </w:rPr>
        <w:br/>
      </w:r>
      <w:proofErr w:type="spellStart"/>
      <w:r w:rsidRPr="00022A33">
        <w:rPr>
          <w:spacing w:val="-4"/>
        </w:rPr>
        <w:t>sectorCode</w:t>
      </w:r>
      <w:proofErr w:type="spellEnd"/>
      <w:r w:rsidRPr="00022A33">
        <w:rPr>
          <w:spacing w:val="-4"/>
        </w:rPr>
        <w:t>/GOVS/</w:t>
      </w:r>
      <w:proofErr w:type="spellStart"/>
      <w:r w:rsidRPr="00022A33">
        <w:rPr>
          <w:spacing w:val="-4"/>
        </w:rPr>
        <w:t>entityId</w:t>
      </w:r>
      <w:proofErr w:type="spellEnd"/>
      <w:r w:rsidRPr="00022A33">
        <w:rPr>
          <w:spacing w:val="-4"/>
        </w:rPr>
        <w:t>/110741 (accessed 10 August 2026).</w:t>
      </w:r>
    </w:p>
    <w:p w14:paraId="05379677" w14:textId="49C2B044" w:rsidR="005E4F4F" w:rsidRPr="00022A33" w:rsidRDefault="005E4F4F" w:rsidP="003C74F6">
      <w:pPr>
        <w:pStyle w:val="Reference"/>
        <w:rPr>
          <w:spacing w:val="-4"/>
        </w:rPr>
      </w:pPr>
      <w:r w:rsidRPr="00022A33">
        <w:rPr>
          <w:spacing w:val="-4"/>
        </w:rPr>
        <w:t>——</w:t>
      </w:r>
      <w:r w:rsidR="003334BE" w:rsidRPr="00022A33">
        <w:rPr>
          <w:spacing w:val="-4"/>
        </w:rPr>
        <w:t> </w:t>
      </w:r>
      <w:r w:rsidRPr="00022A33">
        <w:rPr>
          <w:spacing w:val="-4"/>
        </w:rPr>
        <w:t xml:space="preserve">2025c, </w:t>
      </w:r>
      <w:r w:rsidRPr="00022A33">
        <w:rPr>
          <w:i/>
          <w:iCs/>
          <w:spacing w:val="-4"/>
        </w:rPr>
        <w:t xml:space="preserve">Tasmanian Public Finance </w:t>
      </w:r>
      <w:r w:rsidR="00F06FC6" w:rsidRPr="00022A33">
        <w:rPr>
          <w:i/>
          <w:iCs/>
          <w:spacing w:val="-4"/>
        </w:rPr>
        <w:t>Corporation</w:t>
      </w:r>
      <w:r w:rsidRPr="00022A33">
        <w:rPr>
          <w:spacing w:val="-4"/>
        </w:rPr>
        <w:t>, https://www.spglobal.com/ratings/en/regulatory/org-details/</w:t>
      </w:r>
      <w:r w:rsidR="00022A33">
        <w:rPr>
          <w:spacing w:val="-4"/>
        </w:rPr>
        <w:br/>
      </w:r>
      <w:proofErr w:type="spellStart"/>
      <w:r w:rsidRPr="00022A33">
        <w:rPr>
          <w:spacing w:val="-4"/>
        </w:rPr>
        <w:t>sectorCode</w:t>
      </w:r>
      <w:proofErr w:type="spellEnd"/>
      <w:r w:rsidRPr="00022A33">
        <w:rPr>
          <w:spacing w:val="-4"/>
        </w:rPr>
        <w:t>/GOVS/</w:t>
      </w:r>
      <w:proofErr w:type="spellStart"/>
      <w:r w:rsidRPr="00022A33">
        <w:rPr>
          <w:spacing w:val="-4"/>
        </w:rPr>
        <w:t>entityId</w:t>
      </w:r>
      <w:proofErr w:type="spellEnd"/>
      <w:r w:rsidRPr="00022A33">
        <w:rPr>
          <w:spacing w:val="-4"/>
        </w:rPr>
        <w:t>/118645 (accessed 10 August 2026).</w:t>
      </w:r>
    </w:p>
    <w:p w14:paraId="4094117F" w14:textId="2F6FD50C" w:rsidR="005E4F4F" w:rsidRPr="00022A33" w:rsidRDefault="005E4F4F" w:rsidP="003C74F6">
      <w:pPr>
        <w:pStyle w:val="Reference"/>
        <w:rPr>
          <w:spacing w:val="-4"/>
        </w:rPr>
      </w:pPr>
      <w:r w:rsidRPr="00022A33">
        <w:rPr>
          <w:spacing w:val="-4"/>
        </w:rPr>
        <w:t>——</w:t>
      </w:r>
      <w:r w:rsidR="003334BE" w:rsidRPr="00022A33">
        <w:rPr>
          <w:spacing w:val="-4"/>
        </w:rPr>
        <w:t> </w:t>
      </w:r>
      <w:r w:rsidRPr="00022A33">
        <w:rPr>
          <w:spacing w:val="-4"/>
        </w:rPr>
        <w:t xml:space="preserve">2026a, </w:t>
      </w:r>
      <w:r w:rsidRPr="00022A33">
        <w:rPr>
          <w:i/>
          <w:iCs/>
          <w:spacing w:val="-4"/>
        </w:rPr>
        <w:t xml:space="preserve">Queensland Treasury </w:t>
      </w:r>
      <w:r w:rsidR="00F06FC6" w:rsidRPr="00022A33">
        <w:rPr>
          <w:i/>
          <w:iCs/>
          <w:spacing w:val="-4"/>
        </w:rPr>
        <w:t>Corporation</w:t>
      </w:r>
      <w:r w:rsidRPr="00022A33">
        <w:rPr>
          <w:spacing w:val="-4"/>
        </w:rPr>
        <w:t>, https://www.spglobal.com/ratings/en/regulatory/org-details/</w:t>
      </w:r>
      <w:r w:rsidR="00022A33">
        <w:rPr>
          <w:spacing w:val="-4"/>
        </w:rPr>
        <w:br/>
      </w:r>
      <w:proofErr w:type="spellStart"/>
      <w:r w:rsidRPr="00022A33">
        <w:rPr>
          <w:spacing w:val="-4"/>
        </w:rPr>
        <w:t>sectorCode</w:t>
      </w:r>
      <w:proofErr w:type="spellEnd"/>
      <w:r w:rsidRPr="00022A33">
        <w:rPr>
          <w:spacing w:val="-4"/>
        </w:rPr>
        <w:t>/GOVS/</w:t>
      </w:r>
      <w:proofErr w:type="spellStart"/>
      <w:r w:rsidRPr="00022A33">
        <w:rPr>
          <w:spacing w:val="-4"/>
        </w:rPr>
        <w:t>entityId</w:t>
      </w:r>
      <w:proofErr w:type="spellEnd"/>
      <w:r w:rsidRPr="00022A33">
        <w:rPr>
          <w:spacing w:val="-4"/>
        </w:rPr>
        <w:t>/112138 (accessed 10 August 2026).</w:t>
      </w:r>
    </w:p>
    <w:p w14:paraId="0B700CCE" w14:textId="361AC627" w:rsidR="005E4F4F" w:rsidRPr="00022A33" w:rsidRDefault="005E4F4F" w:rsidP="003C74F6">
      <w:pPr>
        <w:pStyle w:val="Reference"/>
        <w:rPr>
          <w:spacing w:val="-4"/>
        </w:rPr>
      </w:pPr>
      <w:r w:rsidRPr="00022A33">
        <w:rPr>
          <w:spacing w:val="-4"/>
        </w:rPr>
        <w:t>——</w:t>
      </w:r>
      <w:r w:rsidR="003334BE" w:rsidRPr="00022A33">
        <w:rPr>
          <w:spacing w:val="-4"/>
        </w:rPr>
        <w:t> </w:t>
      </w:r>
      <w:r w:rsidRPr="00022A33">
        <w:rPr>
          <w:spacing w:val="-4"/>
        </w:rPr>
        <w:t xml:space="preserve">2026b, </w:t>
      </w:r>
      <w:r w:rsidRPr="00022A33">
        <w:rPr>
          <w:i/>
          <w:iCs/>
          <w:spacing w:val="-4"/>
        </w:rPr>
        <w:t>South Australian Government Financing Authority</w:t>
      </w:r>
      <w:r w:rsidRPr="00022A33">
        <w:rPr>
          <w:spacing w:val="-4"/>
        </w:rPr>
        <w:t>, https://www.spglobal.com/ratings/en/regulatory/org-details/</w:t>
      </w:r>
      <w:r w:rsidR="00022A33">
        <w:rPr>
          <w:spacing w:val="-4"/>
        </w:rPr>
        <w:br/>
      </w:r>
      <w:proofErr w:type="spellStart"/>
      <w:r w:rsidRPr="00022A33">
        <w:rPr>
          <w:spacing w:val="-4"/>
        </w:rPr>
        <w:t>sectorCode</w:t>
      </w:r>
      <w:proofErr w:type="spellEnd"/>
      <w:r w:rsidRPr="00022A33">
        <w:rPr>
          <w:spacing w:val="-4"/>
        </w:rPr>
        <w:t>/GOVS/</w:t>
      </w:r>
      <w:proofErr w:type="spellStart"/>
      <w:r w:rsidRPr="00022A33">
        <w:rPr>
          <w:spacing w:val="-4"/>
        </w:rPr>
        <w:t>entityId</w:t>
      </w:r>
      <w:proofErr w:type="spellEnd"/>
      <w:r w:rsidRPr="00022A33">
        <w:rPr>
          <w:spacing w:val="-4"/>
        </w:rPr>
        <w:t>/112682 (accessed 10 August 2026).</w:t>
      </w:r>
    </w:p>
    <w:p w14:paraId="64A8023E" w14:textId="282A9C65" w:rsidR="005E4F4F" w:rsidRPr="005E4F4F" w:rsidRDefault="005E4F4F" w:rsidP="003C74F6">
      <w:pPr>
        <w:pStyle w:val="Reference"/>
      </w:pPr>
      <w:r w:rsidRPr="005E4F4F">
        <w:t>——</w:t>
      </w:r>
      <w:r w:rsidR="003334BE">
        <w:t> </w:t>
      </w:r>
      <w:r w:rsidRPr="005E4F4F">
        <w:t xml:space="preserve">2026c, </w:t>
      </w:r>
      <w:r w:rsidRPr="005E4F4F">
        <w:rPr>
          <w:i/>
          <w:iCs/>
        </w:rPr>
        <w:t>Subnational Government Outlook 2026: Smaller Australian States Catch the Borrowing Bug</w:t>
      </w:r>
      <w:r w:rsidRPr="005E4F4F">
        <w:t>, https://www.spglobal.com/ratings/en/regulatory/article/subnational-government-outlook-2026-smaller-australian-states-catch-the-borrowing-bug-s101662272 (accessed 10</w:t>
      </w:r>
      <w:r w:rsidR="00022A33">
        <w:t> </w:t>
      </w:r>
      <w:r w:rsidRPr="005E4F4F">
        <w:t>February 2026).</w:t>
      </w:r>
    </w:p>
    <w:p w14:paraId="1C6AE256" w14:textId="47FD6ED4" w:rsidR="005E4F4F" w:rsidRPr="005E4F4F" w:rsidRDefault="005E4F4F" w:rsidP="003C74F6">
      <w:pPr>
        <w:pStyle w:val="Reference"/>
      </w:pPr>
      <w:r w:rsidRPr="005E4F4F">
        <w:t>——</w:t>
      </w:r>
      <w:r w:rsidR="003334BE">
        <w:t> </w:t>
      </w:r>
      <w:r w:rsidRPr="005E4F4F">
        <w:t xml:space="preserve">2026d, </w:t>
      </w:r>
      <w:r w:rsidRPr="005E4F4F">
        <w:rPr>
          <w:i/>
          <w:iCs/>
        </w:rPr>
        <w:t xml:space="preserve">Victoria (Treasury </w:t>
      </w:r>
      <w:r w:rsidR="00E47569">
        <w:rPr>
          <w:i/>
          <w:iCs/>
        </w:rPr>
        <w:t>Corporation</w:t>
      </w:r>
      <w:r w:rsidRPr="005E4F4F">
        <w:rPr>
          <w:i/>
          <w:iCs/>
        </w:rPr>
        <w:t>)</w:t>
      </w:r>
      <w:r w:rsidRPr="005E4F4F">
        <w:t>, https://www.spglobal.com/ratings/en/regulatory/org-details/sectorCode/GOVS/entityId/107692 (accessed 10</w:t>
      </w:r>
      <w:r w:rsidR="00022A33">
        <w:t> </w:t>
      </w:r>
      <w:r w:rsidRPr="005E4F4F">
        <w:t>August 2026).</w:t>
      </w:r>
    </w:p>
    <w:p w14:paraId="4B79C09A" w14:textId="007E7014" w:rsidR="005E4F4F" w:rsidRPr="005E4F4F" w:rsidRDefault="005E4F4F" w:rsidP="003C74F6">
      <w:pPr>
        <w:pStyle w:val="Reference"/>
      </w:pPr>
      <w:r w:rsidRPr="005E4F4F">
        <w:t>——</w:t>
      </w:r>
      <w:r w:rsidR="003334BE">
        <w:t> </w:t>
      </w:r>
      <w:r w:rsidRPr="005E4F4F">
        <w:t xml:space="preserve">2026e, </w:t>
      </w:r>
      <w:r w:rsidRPr="005E4F4F">
        <w:rPr>
          <w:i/>
          <w:iCs/>
        </w:rPr>
        <w:t xml:space="preserve">Western Australian Treasury </w:t>
      </w:r>
      <w:r w:rsidR="00E47569">
        <w:rPr>
          <w:i/>
          <w:iCs/>
        </w:rPr>
        <w:t>Corporation</w:t>
      </w:r>
      <w:r w:rsidRPr="005E4F4F">
        <w:t>, https://www.spglobal.com/ratings/en/regulatory/org-details/sectorCode/GOVS/entityId/109978 (accessed 10</w:t>
      </w:r>
      <w:r w:rsidR="00B7274A">
        <w:t> </w:t>
      </w:r>
      <w:r w:rsidRPr="005E4F4F">
        <w:t>August 2026).</w:t>
      </w:r>
    </w:p>
    <w:p w14:paraId="18DEB91A" w14:textId="77777777" w:rsidR="005E4F4F" w:rsidRPr="005E4F4F" w:rsidRDefault="005E4F4F" w:rsidP="003C74F6">
      <w:pPr>
        <w:pStyle w:val="Reference"/>
      </w:pPr>
      <w:r w:rsidRPr="005E4F4F">
        <w:t xml:space="preserve">TASCORP (Tasmanian Treasury Corporation) 2026, </w:t>
      </w:r>
      <w:r w:rsidRPr="005E4F4F">
        <w:rPr>
          <w:i/>
          <w:iCs/>
        </w:rPr>
        <w:t>Financial Markets</w:t>
      </w:r>
      <w:r w:rsidRPr="005E4F4F">
        <w:t>, https://www.tascorp.com.au/financial-markets (accessed 1 July 2026).</w:t>
      </w:r>
    </w:p>
    <w:p w14:paraId="336FD62A" w14:textId="2D9B297A" w:rsidR="005E4F4F" w:rsidRPr="005E4F4F" w:rsidRDefault="005E4F4F" w:rsidP="003C74F6">
      <w:pPr>
        <w:pStyle w:val="Reference"/>
      </w:pPr>
      <w:r w:rsidRPr="005E4F4F">
        <w:t>——</w:t>
      </w:r>
      <w:r w:rsidR="003334BE">
        <w:t> </w:t>
      </w:r>
      <w:proofErr w:type="spellStart"/>
      <w:r w:rsidRPr="005E4F4F">
        <w:t>nd</w:t>
      </w:r>
      <w:proofErr w:type="spellEnd"/>
      <w:r w:rsidRPr="005E4F4F">
        <w:t xml:space="preserve">, </w:t>
      </w:r>
      <w:r w:rsidRPr="005E4F4F">
        <w:rPr>
          <w:i/>
          <w:iCs/>
        </w:rPr>
        <w:t>TASCORP Government Guarantee</w:t>
      </w:r>
      <w:r w:rsidRPr="005E4F4F">
        <w:t>, https://www.tascorp.com.au/government-guarantee (accessed 21 July 2026).</w:t>
      </w:r>
    </w:p>
    <w:p w14:paraId="6477DA2E" w14:textId="77777777" w:rsidR="005E4F4F" w:rsidRPr="005E4F4F" w:rsidRDefault="005E4F4F" w:rsidP="003C74F6">
      <w:pPr>
        <w:pStyle w:val="Reference"/>
      </w:pPr>
      <w:r w:rsidRPr="005E4F4F">
        <w:t xml:space="preserve">Tasmanian Government (Government of Tasmania) 2023, </w:t>
      </w:r>
      <w:r w:rsidRPr="005E4F4F">
        <w:rPr>
          <w:i/>
          <w:iCs/>
        </w:rPr>
        <w:t>2023-24 Budget paper no. 2</w:t>
      </w:r>
      <w:r w:rsidRPr="005E4F4F">
        <w:t>, May.</w:t>
      </w:r>
    </w:p>
    <w:p w14:paraId="64F9F724" w14:textId="6431AE2B" w:rsidR="005E4F4F" w:rsidRPr="00B7274A" w:rsidRDefault="005E4F4F" w:rsidP="003C74F6">
      <w:pPr>
        <w:pStyle w:val="Reference"/>
        <w:rPr>
          <w:spacing w:val="-2"/>
        </w:rPr>
      </w:pPr>
      <w:r w:rsidRPr="00B7274A">
        <w:rPr>
          <w:spacing w:val="-2"/>
        </w:rPr>
        <w:t>——</w:t>
      </w:r>
      <w:r w:rsidR="003334BE" w:rsidRPr="00B7274A">
        <w:rPr>
          <w:spacing w:val="-2"/>
        </w:rPr>
        <w:t> </w:t>
      </w:r>
      <w:r w:rsidRPr="00B7274A">
        <w:rPr>
          <w:spacing w:val="-2"/>
        </w:rPr>
        <w:t xml:space="preserve">2026, </w:t>
      </w:r>
      <w:r w:rsidRPr="00B7274A">
        <w:rPr>
          <w:i/>
          <w:iCs/>
          <w:spacing w:val="-2"/>
        </w:rPr>
        <w:t>Budget Strategy and Estimates.  Budget Paper No. 1</w:t>
      </w:r>
      <w:r w:rsidRPr="00B7274A">
        <w:rPr>
          <w:spacing w:val="-2"/>
        </w:rPr>
        <w:t>.</w:t>
      </w:r>
    </w:p>
    <w:p w14:paraId="648B1783" w14:textId="77777777" w:rsidR="005E4F4F" w:rsidRPr="005E4F4F" w:rsidRDefault="005E4F4F" w:rsidP="003C74F6">
      <w:pPr>
        <w:pStyle w:val="Reference"/>
      </w:pPr>
      <w:r w:rsidRPr="005E4F4F">
        <w:t xml:space="preserve">TCorp (New South Wales Treasury Corporation) 2026, </w:t>
      </w:r>
      <w:r w:rsidRPr="005E4F4F">
        <w:rPr>
          <w:i/>
          <w:iCs/>
        </w:rPr>
        <w:t>TCorp weekly bonds outstanding 26 June 2026</w:t>
      </w:r>
      <w:r w:rsidRPr="005E4F4F">
        <w:t>, June.</w:t>
      </w:r>
    </w:p>
    <w:p w14:paraId="4711EAF6" w14:textId="77777777" w:rsidR="005E4F4F" w:rsidRPr="005E4F4F" w:rsidRDefault="005E4F4F" w:rsidP="003C74F6">
      <w:pPr>
        <w:pStyle w:val="Reference"/>
      </w:pPr>
      <w:r w:rsidRPr="005E4F4F">
        <w:t xml:space="preserve">TCV (Treasury Corporation of Victoria) 2026a, </w:t>
      </w:r>
      <w:r w:rsidRPr="005E4F4F">
        <w:rPr>
          <w:i/>
          <w:iCs/>
        </w:rPr>
        <w:t>Amount on Issue (face value)</w:t>
      </w:r>
      <w:r w:rsidRPr="005E4F4F">
        <w:t>, https://www.tcv.vic.gov.au/tcv-bonds/outstanding-borrowing/amount-on-issue (accessed 26 June 2026).</w:t>
      </w:r>
    </w:p>
    <w:p w14:paraId="156FA833" w14:textId="2F1A3715" w:rsidR="005E4F4F" w:rsidRPr="005E4F4F" w:rsidRDefault="005E4F4F" w:rsidP="003C74F6">
      <w:pPr>
        <w:pStyle w:val="Reference"/>
      </w:pPr>
      <w:r w:rsidRPr="005E4F4F">
        <w:t>——</w:t>
      </w:r>
      <w:r w:rsidR="003334BE">
        <w:t> </w:t>
      </w:r>
      <w:r w:rsidRPr="005E4F4F">
        <w:t xml:space="preserve">2026b, </w:t>
      </w:r>
      <w:r w:rsidRPr="005E4F4F">
        <w:rPr>
          <w:i/>
          <w:iCs/>
        </w:rPr>
        <w:t>Government Guarantee</w:t>
      </w:r>
      <w:r w:rsidRPr="005E4F4F">
        <w:t>, https://www.tcv.vic.gov.au/about-tcv/corporate-overview/government-guarantee (accessed 21 July 2026).</w:t>
      </w:r>
    </w:p>
    <w:p w14:paraId="77947548" w14:textId="77777777" w:rsidR="005E4F4F" w:rsidRPr="005E4F4F" w:rsidRDefault="005E4F4F" w:rsidP="003C74F6">
      <w:pPr>
        <w:pStyle w:val="Reference"/>
      </w:pPr>
      <w:r w:rsidRPr="005E4F4F">
        <w:t xml:space="preserve">VAGO (Victorian Auditor-General’s Office) 2025, </w:t>
      </w:r>
      <w:r w:rsidRPr="005E4F4F">
        <w:rPr>
          <w:i/>
          <w:iCs/>
        </w:rPr>
        <w:t xml:space="preserve">Auditor-General’s Report on </w:t>
      </w:r>
      <w:proofErr w:type="gramStart"/>
      <w:r w:rsidRPr="005E4F4F">
        <w:rPr>
          <w:i/>
          <w:iCs/>
        </w:rPr>
        <w:t>the  Annual</w:t>
      </w:r>
      <w:proofErr w:type="gramEnd"/>
      <w:r w:rsidRPr="005E4F4F">
        <w:rPr>
          <w:i/>
          <w:iCs/>
        </w:rPr>
        <w:t xml:space="preserve"> Financial Report of the State of Victoria: 2024–25</w:t>
      </w:r>
      <w:r w:rsidRPr="005E4F4F">
        <w:t>, November.</w:t>
      </w:r>
    </w:p>
    <w:p w14:paraId="1564334F" w14:textId="77777777" w:rsidR="005E4F4F" w:rsidRPr="00B7274A" w:rsidRDefault="005E4F4F" w:rsidP="003C74F6">
      <w:pPr>
        <w:pStyle w:val="Reference"/>
        <w:rPr>
          <w:spacing w:val="-4"/>
        </w:rPr>
      </w:pPr>
      <w:r w:rsidRPr="00B7274A">
        <w:rPr>
          <w:spacing w:val="-4"/>
        </w:rPr>
        <w:t xml:space="preserve">Vic. PBO (Victorian Parliamentary Budget Office) 2026, </w:t>
      </w:r>
      <w:r w:rsidRPr="00B7274A">
        <w:rPr>
          <w:i/>
          <w:iCs/>
          <w:spacing w:val="-4"/>
        </w:rPr>
        <w:t>Glossary</w:t>
      </w:r>
      <w:r w:rsidRPr="00B7274A">
        <w:rPr>
          <w:spacing w:val="-4"/>
        </w:rPr>
        <w:t>, https://pbo.vic.gov.au/glossary (accessed 8 May 2026).</w:t>
      </w:r>
    </w:p>
    <w:p w14:paraId="401123C2" w14:textId="77777777" w:rsidR="005E4F4F" w:rsidRPr="005E4F4F" w:rsidRDefault="005E4F4F" w:rsidP="003C74F6">
      <w:pPr>
        <w:pStyle w:val="Reference"/>
      </w:pPr>
      <w:r w:rsidRPr="005E4F4F">
        <w:t xml:space="preserve">Victorian Government (Government of Victoria) 2026, </w:t>
      </w:r>
      <w:r w:rsidRPr="005E4F4F">
        <w:rPr>
          <w:i/>
          <w:iCs/>
        </w:rPr>
        <w:t>2026-27 Statement of Finances</w:t>
      </w:r>
      <w:r w:rsidRPr="005E4F4F">
        <w:t>.</w:t>
      </w:r>
    </w:p>
    <w:p w14:paraId="6C959CF2" w14:textId="32ABDA39" w:rsidR="005E4F4F" w:rsidRPr="005E4F4F" w:rsidRDefault="005E4F4F" w:rsidP="003C74F6">
      <w:pPr>
        <w:pStyle w:val="Reference"/>
      </w:pPr>
      <w:r w:rsidRPr="005E4F4F">
        <w:t xml:space="preserve">WA Government (Government of Western Australia) 2026, </w:t>
      </w:r>
      <w:r w:rsidRPr="005E4F4F">
        <w:rPr>
          <w:i/>
          <w:iCs/>
        </w:rPr>
        <w:t>2026-27 Budget. Economic and Fiscal Outlook. Budget Paper No. 3</w:t>
      </w:r>
      <w:r w:rsidRPr="005E4F4F">
        <w:t>, May, https://parlwa.public.parliament.io/WebCMS/</w:t>
      </w:r>
      <w:r w:rsidR="0054679B">
        <w:br/>
      </w:r>
      <w:r w:rsidRPr="005E4F4F">
        <w:t>webcms.nsf/resources/file-2026-27-state-budget-paper-no3/%24file/2026-27-wa-state-budget-paper-no3.pdf (accessed 29 July 2026).</w:t>
      </w:r>
    </w:p>
    <w:p w14:paraId="42B2D717" w14:textId="77777777" w:rsidR="005E4F4F" w:rsidRPr="005E4F4F" w:rsidRDefault="005E4F4F" w:rsidP="003C74F6">
      <w:pPr>
        <w:pStyle w:val="Reference"/>
      </w:pPr>
      <w:r w:rsidRPr="005E4F4F">
        <w:t xml:space="preserve">WATC (Western Australian Treasury Corporation) 2026a, </w:t>
      </w:r>
      <w:r w:rsidRPr="005E4F4F">
        <w:rPr>
          <w:i/>
          <w:iCs/>
        </w:rPr>
        <w:t>Corporate Governance</w:t>
      </w:r>
      <w:r w:rsidRPr="005E4F4F">
        <w:t>, https://www.watc.wa.gov.au/about-us/corporate-governance/ (accessed 21 July 2026).</w:t>
      </w:r>
    </w:p>
    <w:p w14:paraId="49341A08" w14:textId="299AC910" w:rsidR="00413340" w:rsidRPr="00A91551" w:rsidRDefault="005E4F4F" w:rsidP="003C74F6">
      <w:pPr>
        <w:pStyle w:val="Reference"/>
      </w:pPr>
      <w:r w:rsidRPr="005E4F4F">
        <w:t>——</w:t>
      </w:r>
      <w:r w:rsidR="003334BE">
        <w:t> </w:t>
      </w:r>
      <w:r w:rsidRPr="005E4F4F">
        <w:t xml:space="preserve">2026b, </w:t>
      </w:r>
      <w:r w:rsidRPr="005E4F4F">
        <w:rPr>
          <w:i/>
          <w:iCs/>
        </w:rPr>
        <w:t>Weekly issuance update - 22 June 2026 to 26 June 2026</w:t>
      </w:r>
      <w:r w:rsidRPr="005E4F4F">
        <w:t>, 26 June.</w:t>
      </w:r>
    </w:p>
    <w:sectPr w:rsidR="00413340" w:rsidRPr="00A91551" w:rsidSect="005E71CA">
      <w:type w:val="continuous"/>
      <w:pgSz w:w="11906" w:h="16838" w:code="9"/>
      <w:pgMar w:top="1134" w:right="1134" w:bottom="1134" w:left="1134" w:header="794" w:footer="51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C9F3F" w14:textId="77777777" w:rsidR="008B2297" w:rsidRDefault="008B2297" w:rsidP="008017BC">
      <w:r>
        <w:separator/>
      </w:r>
    </w:p>
    <w:p w14:paraId="13C5E890" w14:textId="77777777" w:rsidR="008B2297" w:rsidRDefault="008B2297"/>
  </w:endnote>
  <w:endnote w:type="continuationSeparator" w:id="0">
    <w:p w14:paraId="4BD07C25" w14:textId="77777777" w:rsidR="008B2297" w:rsidRDefault="008B2297" w:rsidP="008017BC">
      <w:r>
        <w:continuationSeparator/>
      </w:r>
    </w:p>
    <w:p w14:paraId="18376BAA" w14:textId="77777777" w:rsidR="008B2297" w:rsidRDefault="008B22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654BB"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534859"/>
      <w:docPartObj>
        <w:docPartGallery w:val="Page Numbers (Bottom of Page)"/>
        <w:docPartUnique/>
      </w:docPartObj>
    </w:sdtPr>
    <w:sdtContent>
      <w:sdt>
        <w:sdtPr>
          <w:id w:val="-371082309"/>
          <w:docPartObj>
            <w:docPartGallery w:val="Page Numbers (Top of Page)"/>
            <w:docPartUnique/>
          </w:docPartObj>
        </w:sdtPr>
        <w:sdtContent>
          <w:p w14:paraId="35534F30"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F961D" w14:textId="77777777" w:rsidR="008B2297" w:rsidRPr="00C238D1" w:rsidRDefault="008B2297" w:rsidP="00273E86">
      <w:pPr>
        <w:spacing w:after="0" w:line="240" w:lineRule="auto"/>
        <w:rPr>
          <w:rStyle w:val="ColourDarkBlue"/>
        </w:rPr>
      </w:pPr>
      <w:r w:rsidRPr="00C238D1">
        <w:rPr>
          <w:rStyle w:val="ColourDarkBlue"/>
        </w:rPr>
        <w:continuationSeparator/>
      </w:r>
    </w:p>
  </w:footnote>
  <w:footnote w:type="continuationSeparator" w:id="0">
    <w:p w14:paraId="6C3CB495" w14:textId="77777777" w:rsidR="008B2297" w:rsidRPr="001D7D9B" w:rsidRDefault="008B2297" w:rsidP="001D7D9B">
      <w:pPr>
        <w:spacing w:after="0" w:line="240" w:lineRule="auto"/>
        <w:rPr>
          <w:color w:val="265A9A" w:themeColor="background2"/>
        </w:rPr>
      </w:pPr>
      <w:r w:rsidRPr="00C238D1">
        <w:rPr>
          <w:rStyle w:val="ColourDarkBlue"/>
        </w:rPr>
        <w:continuationSeparator/>
      </w:r>
    </w:p>
  </w:footnote>
  <w:footnote w:type="continuationNotice" w:id="1">
    <w:p w14:paraId="49FAD468" w14:textId="77777777" w:rsidR="008B2297" w:rsidRDefault="008B2297"/>
  </w:footnote>
  <w:footnote w:id="2">
    <w:p w14:paraId="1B455F0E" w14:textId="753723AE" w:rsidR="0066544B" w:rsidRPr="0066544B" w:rsidRDefault="0066544B" w:rsidP="00554824">
      <w:pPr>
        <w:pStyle w:val="BodyText"/>
      </w:pPr>
      <w:r>
        <w:rPr>
          <w:rStyle w:val="FootnoteReference"/>
        </w:rPr>
        <w:footnoteRef/>
      </w:r>
      <w:r>
        <w:t xml:space="preserve"> While a variety of fiscal sustainability indicators will be used as part of the PC’s quantitative analysis, this does not constitute a comprehensive assessment of each state</w:t>
      </w:r>
      <w:r w:rsidR="00B76702">
        <w:t>’</w:t>
      </w:r>
      <w:r>
        <w:t xml:space="preserve">s fiscal sustainability. </w:t>
      </w:r>
    </w:p>
  </w:footnote>
  <w:footnote w:id="3">
    <w:p w14:paraId="2194F1BA" w14:textId="4C008F5A" w:rsidR="00294FFD" w:rsidRPr="00294FFD" w:rsidRDefault="00294FFD">
      <w:pPr>
        <w:pStyle w:val="FootnoteText"/>
      </w:pPr>
      <w:r>
        <w:rPr>
          <w:rStyle w:val="FootnoteReference"/>
        </w:rPr>
        <w:footnoteRef/>
      </w:r>
      <w:r>
        <w:t xml:space="preserve"> </w:t>
      </w:r>
      <w:r w:rsidR="0079082B">
        <w:t xml:space="preserve">GG and PNFC aggregates may not sum exactly to the TNFPS as consolidation eliminates transactions and lending/borrowing relationships between units </w:t>
      </w:r>
      <w:r w:rsidR="004F656F">
        <w:t xml:space="preserve">to avoid double counting </w:t>
      </w:r>
      <w:r w:rsidR="003665EB" w:rsidRPr="003665EB">
        <w:rPr>
          <w:rFonts w:cs="Open Sans"/>
        </w:rPr>
        <w:t>(ABS 2026)</w:t>
      </w:r>
      <w:r w:rsidR="00F62ED8">
        <w:t>.</w:t>
      </w:r>
    </w:p>
  </w:footnote>
  <w:footnote w:id="4">
    <w:p w14:paraId="7AB779F0" w14:textId="11912EE8" w:rsidR="00EE1220" w:rsidRPr="00EE1220" w:rsidRDefault="00EE1220">
      <w:pPr>
        <w:pStyle w:val="FootnoteText"/>
      </w:pPr>
      <w:r>
        <w:rPr>
          <w:rStyle w:val="FootnoteReference"/>
        </w:rPr>
        <w:footnoteRef/>
      </w:r>
      <w:r>
        <w:t xml:space="preserve"> Capital investment</w:t>
      </w:r>
      <w:r w:rsidR="00F62E41">
        <w:t xml:space="preserve"> refers to </w:t>
      </w:r>
      <w:r>
        <w:t>gross fixed capital formation.</w:t>
      </w:r>
    </w:p>
  </w:footnote>
  <w:footnote w:id="5">
    <w:p w14:paraId="431CC174" w14:textId="09C12764" w:rsidR="00FA72D4" w:rsidRPr="00FA72D4" w:rsidRDefault="00FA72D4">
      <w:pPr>
        <w:pStyle w:val="FootnoteText"/>
      </w:pPr>
      <w:r>
        <w:rPr>
          <w:rStyle w:val="FootnoteReference"/>
        </w:rPr>
        <w:footnoteRef/>
      </w:r>
      <w:r>
        <w:t xml:space="preserve"> Where </w:t>
      </w:r>
      <w:r w:rsidR="000A0D86">
        <w:t xml:space="preserve">the </w:t>
      </w:r>
      <w:r w:rsidR="00BA3ED3">
        <w:t>TNFPS</w:t>
      </w:r>
      <w:r w:rsidR="00BA3ED3" w:rsidDel="00BA3ED3">
        <w:t xml:space="preserve"> </w:t>
      </w:r>
      <w:r w:rsidR="000A0D86">
        <w:t xml:space="preserve">and/or PNFCs are being </w:t>
      </w:r>
      <w:r w:rsidR="00A8208E">
        <w:t>referred to</w:t>
      </w:r>
      <w:r w:rsidR="000A0D86">
        <w:t xml:space="preserve"> analysis, this </w:t>
      </w:r>
      <w:r w:rsidR="00BA3ED3">
        <w:t xml:space="preserve">is </w:t>
      </w:r>
      <w:r w:rsidR="000A0D86">
        <w:t xml:space="preserve">explicitly </w:t>
      </w:r>
      <w:r w:rsidR="00292D93">
        <w:t>stated</w:t>
      </w:r>
      <w:r w:rsidR="000A0D86">
        <w:t>.</w:t>
      </w:r>
    </w:p>
  </w:footnote>
  <w:footnote w:id="6">
    <w:p w14:paraId="45C2B483" w14:textId="3B484636" w:rsidR="00EC6025" w:rsidRPr="00554C09" w:rsidRDefault="00EC6025" w:rsidP="00EC6025">
      <w:pPr>
        <w:pStyle w:val="FootnoteText"/>
      </w:pPr>
      <w:r>
        <w:rPr>
          <w:rStyle w:val="FootnoteReference"/>
        </w:rPr>
        <w:footnoteRef/>
      </w:r>
      <w:r>
        <w:t xml:space="preserve"> The CAGR is the rate of annual growth necessary for a value at the start of a period to become the value at the end of the period, it differs from a simple average growth rate in that it considers the effect of compounding</w:t>
      </w:r>
      <w:r w:rsidR="00D16B3D">
        <w:t>.</w:t>
      </w:r>
    </w:p>
  </w:footnote>
  <w:footnote w:id="7">
    <w:p w14:paraId="5993DDDB" w14:textId="14BE75E3" w:rsidR="00EC6025" w:rsidRPr="006814C5" w:rsidRDefault="00EC6025" w:rsidP="00EC6025">
      <w:pPr>
        <w:pStyle w:val="FootnoteText"/>
        <w:rPr>
          <w:spacing w:val="-2"/>
        </w:rPr>
      </w:pPr>
      <w:r w:rsidRPr="006814C5">
        <w:rPr>
          <w:rStyle w:val="FootnoteReference"/>
          <w:spacing w:val="-2"/>
        </w:rPr>
        <w:footnoteRef/>
      </w:r>
      <w:r w:rsidRPr="006814C5">
        <w:rPr>
          <w:spacing w:val="-2"/>
        </w:rPr>
        <w:t xml:space="preserve"> The PC has used the ABS</w:t>
      </w:r>
      <w:r w:rsidR="00DE1191" w:rsidRPr="006814C5">
        <w:rPr>
          <w:spacing w:val="-2"/>
        </w:rPr>
        <w:t xml:space="preserve"> </w:t>
      </w:r>
      <w:r w:rsidRPr="006814C5">
        <w:rPr>
          <w:spacing w:val="-2"/>
        </w:rPr>
        <w:t xml:space="preserve">GFS as its primary data source for fiscal sustainability analysis, given it represents a consistent source of data between states. However, the most recent year of data available in the GFS is for </w:t>
      </w:r>
      <w:r w:rsidR="006814C5" w:rsidRPr="006814C5">
        <w:rPr>
          <w:spacing w:val="-2"/>
        </w:rPr>
        <w:t>2024–25</w:t>
      </w:r>
      <w:r w:rsidRPr="006814C5">
        <w:rPr>
          <w:spacing w:val="-2"/>
        </w:rPr>
        <w:t>, so budget consolidated financial statements are sometimes included alongside the most recent ten years of GFS data (</w:t>
      </w:r>
      <w:r w:rsidR="006814C5" w:rsidRPr="006814C5">
        <w:rPr>
          <w:spacing w:val="-2"/>
        </w:rPr>
        <w:t>2014–15</w:t>
      </w:r>
      <w:r w:rsidRPr="006814C5">
        <w:rPr>
          <w:spacing w:val="-2"/>
        </w:rPr>
        <w:t xml:space="preserve"> to </w:t>
      </w:r>
      <w:r w:rsidR="006814C5" w:rsidRPr="006814C5">
        <w:rPr>
          <w:spacing w:val="-2"/>
        </w:rPr>
        <w:t>2024–25</w:t>
      </w:r>
      <w:r w:rsidRPr="006814C5">
        <w:rPr>
          <w:spacing w:val="-2"/>
        </w:rPr>
        <w:t xml:space="preserve">) to capture the current and forward estimates period. These data sources do not reconcile perfectly, so caution is advised when interpreting figures that combine both sources. </w:t>
      </w:r>
    </w:p>
  </w:footnote>
  <w:footnote w:id="8">
    <w:p w14:paraId="3EBBC800" w14:textId="77777777" w:rsidR="0081536B" w:rsidRPr="00EB28A8" w:rsidRDefault="0081536B" w:rsidP="0081536B">
      <w:pPr>
        <w:pStyle w:val="FootnoteText"/>
        <w:rPr>
          <w:lang w:val="en-US"/>
        </w:rPr>
      </w:pPr>
      <w:r w:rsidRPr="004B35A9">
        <w:rPr>
          <w:rStyle w:val="FootnoteReference"/>
        </w:rPr>
        <w:footnoteRef/>
      </w:r>
      <w:r>
        <w:t xml:space="preserve"> </w:t>
      </w:r>
      <w:r>
        <w:rPr>
          <w:lang w:val="en-US"/>
        </w:rPr>
        <w:t>Total expenditure is expenses plus the acquisition of non-financial assets.</w:t>
      </w:r>
    </w:p>
  </w:footnote>
  <w:footnote w:id="9">
    <w:p w14:paraId="06EE27E0" w14:textId="7A39FF9F" w:rsidR="00601DFB" w:rsidRPr="00601DFB" w:rsidRDefault="00601DFB">
      <w:pPr>
        <w:pStyle w:val="FootnoteText"/>
      </w:pPr>
      <w:r>
        <w:rPr>
          <w:rStyle w:val="FootnoteReference"/>
        </w:rPr>
        <w:footnoteRef/>
      </w:r>
      <w:r>
        <w:t xml:space="preserve"> Own source revenue is</w:t>
      </w:r>
      <w:r w:rsidR="00D36D81">
        <w:t xml:space="preserve"> calculated as</w:t>
      </w:r>
      <w:r>
        <w:t xml:space="preserve"> </w:t>
      </w:r>
      <w:r w:rsidR="00D36D81">
        <w:t xml:space="preserve">total revenue minus grants and subsidies from the Australian Government. </w:t>
      </w:r>
    </w:p>
  </w:footnote>
  <w:footnote w:id="10">
    <w:p w14:paraId="1CF370DC" w14:textId="12F4D7DE" w:rsidR="00D11F16" w:rsidRPr="00D11F16" w:rsidRDefault="00D11F16">
      <w:pPr>
        <w:pStyle w:val="FootnoteText"/>
      </w:pPr>
      <w:r>
        <w:rPr>
          <w:rStyle w:val="FootnoteReference"/>
        </w:rPr>
        <w:footnoteRef/>
      </w:r>
      <w:r>
        <w:t xml:space="preserve"> </w:t>
      </w:r>
      <w:r w:rsidR="007459B1">
        <w:t>G</w:t>
      </w:r>
      <w:r w:rsidR="00442A20">
        <w:t xml:space="preserve">rants and subsidies from the Australian Government to the states </w:t>
      </w:r>
      <w:r w:rsidR="007459B1">
        <w:t xml:space="preserve">as recorded in the GFS </w:t>
      </w:r>
      <w:r w:rsidR="00557F24">
        <w:t xml:space="preserve">may not align </w:t>
      </w:r>
      <w:r w:rsidR="00935DA5">
        <w:t>with</w:t>
      </w:r>
      <w:r w:rsidR="00B8252F">
        <w:t xml:space="preserve"> Commonwealth payments as reported in</w:t>
      </w:r>
      <w:r w:rsidR="00E01118">
        <w:t xml:space="preserve"> state or Australian Government budget papers. </w:t>
      </w:r>
    </w:p>
  </w:footnote>
  <w:footnote w:id="11">
    <w:p w14:paraId="5EA426E6" w14:textId="7E12A481" w:rsidR="007E5203" w:rsidRPr="00DD35C7" w:rsidRDefault="007E5203" w:rsidP="007E5203">
      <w:pPr>
        <w:pStyle w:val="FootnoteText"/>
      </w:pPr>
      <w:r>
        <w:rPr>
          <w:rStyle w:val="FootnoteReference"/>
        </w:rPr>
        <w:footnoteRef/>
      </w:r>
      <w:r>
        <w:t xml:space="preserve"> Average own source revenue </w:t>
      </w:r>
      <w:r w:rsidR="007459B1">
        <w:t xml:space="preserve">per capita </w:t>
      </w:r>
      <w:r>
        <w:t>refers to total state revenue minus total state Australian Government grants and subsidies</w:t>
      </w:r>
      <w:r w:rsidR="007459B1">
        <w:t xml:space="preserve"> (GFS)</w:t>
      </w:r>
      <w:r>
        <w:t>, divided by the combined state populations.</w:t>
      </w:r>
    </w:p>
  </w:footnote>
  <w:footnote w:id="12">
    <w:p w14:paraId="5F9A2E9E" w14:textId="3293DDB2" w:rsidR="00C73F82" w:rsidRPr="009801A0" w:rsidRDefault="00C73F82" w:rsidP="00C73F82">
      <w:pPr>
        <w:pStyle w:val="FootnoteText"/>
      </w:pPr>
      <w:r w:rsidRPr="001D3923">
        <w:rPr>
          <w:rStyle w:val="FootnoteReference"/>
        </w:rPr>
        <w:footnoteRef/>
      </w:r>
      <w:r>
        <w:t xml:space="preserve"> Although </w:t>
      </w:r>
      <w:proofErr w:type="spellStart"/>
      <w:r>
        <w:t>NoWO</w:t>
      </w:r>
      <w:proofErr w:type="spellEnd"/>
      <w:r>
        <w:t xml:space="preserve"> payments are made to states each year, t</w:t>
      </w:r>
      <w:r>
        <w:rPr>
          <w:lang w:val="en-US"/>
        </w:rPr>
        <w:t xml:space="preserve">he </w:t>
      </w:r>
      <w:proofErr w:type="spellStart"/>
      <w:r>
        <w:rPr>
          <w:lang w:val="en-US"/>
        </w:rPr>
        <w:t>NoWO</w:t>
      </w:r>
      <w:proofErr w:type="spellEnd"/>
      <w:r>
        <w:rPr>
          <w:lang w:val="en-US"/>
        </w:rPr>
        <w:t xml:space="preserve"> guarantee is ultimately cumulative. States are guaranteed to receive at least as much GST under the current distribution system as they would have under the pre</w:t>
      </w:r>
      <w:r>
        <w:rPr>
          <w:lang w:val="en-US"/>
        </w:rPr>
        <w:noBreakHyphen/>
        <w:t xml:space="preserve">2018 system not in each year, but </w:t>
      </w:r>
      <w:r w:rsidRPr="0025598E">
        <w:rPr>
          <w:lang w:val="en-US"/>
        </w:rPr>
        <w:t>across the period</w:t>
      </w:r>
      <w:r>
        <w:rPr>
          <w:lang w:val="en-US"/>
        </w:rPr>
        <w:t xml:space="preserve"> </w:t>
      </w:r>
      <w:r w:rsidR="002B4AE8">
        <w:rPr>
          <w:lang w:val="en-US"/>
        </w:rPr>
        <w:t xml:space="preserve">the </w:t>
      </w:r>
      <w:proofErr w:type="spellStart"/>
      <w:r w:rsidR="002B4AE8">
        <w:rPr>
          <w:lang w:val="en-US"/>
        </w:rPr>
        <w:t>N</w:t>
      </w:r>
      <w:r w:rsidR="00477281">
        <w:rPr>
          <w:lang w:val="en-US"/>
        </w:rPr>
        <w:t>o</w:t>
      </w:r>
      <w:r w:rsidR="002B4AE8">
        <w:rPr>
          <w:lang w:val="en-US"/>
        </w:rPr>
        <w:t>WO</w:t>
      </w:r>
      <w:proofErr w:type="spellEnd"/>
      <w:r w:rsidR="002B4AE8">
        <w:rPr>
          <w:lang w:val="en-US"/>
        </w:rPr>
        <w:t xml:space="preserve"> guarantee is in effect</w:t>
      </w:r>
      <w:r>
        <w:rPr>
          <w:lang w:val="en-US"/>
        </w:rPr>
        <w:t xml:space="preserve"> </w:t>
      </w:r>
      <w:r w:rsidRPr="00DB7156">
        <w:rPr>
          <w:rFonts w:cs="Open Sans"/>
        </w:rPr>
        <w:t>(CGC 2021, p. 3)</w:t>
      </w:r>
      <w:r>
        <w:rPr>
          <w:lang w:val="en-US"/>
        </w:rPr>
        <w:t>.</w:t>
      </w:r>
    </w:p>
  </w:footnote>
  <w:footnote w:id="13">
    <w:p w14:paraId="27009381" w14:textId="24564046" w:rsidR="00344DC2" w:rsidRPr="00E40EAC" w:rsidRDefault="00344DC2" w:rsidP="00344DC2">
      <w:pPr>
        <w:pStyle w:val="FootnoteText"/>
        <w:rPr>
          <w:spacing w:val="-6"/>
          <w:lang w:val="en-US"/>
        </w:rPr>
      </w:pPr>
      <w:r w:rsidRPr="00E40EAC">
        <w:rPr>
          <w:rStyle w:val="FootnoteReference"/>
          <w:spacing w:val="-6"/>
        </w:rPr>
        <w:footnoteRef/>
      </w:r>
      <w:r w:rsidRPr="00E40EAC">
        <w:rPr>
          <w:spacing w:val="-6"/>
        </w:rPr>
        <w:t xml:space="preserve"> Dean Winter, sub. 14, p. 2; Government of South Australia, sub. 13, pp. 4, 15; Huon Valley Council, sub. 19, p. 2; </w:t>
      </w:r>
      <w:r w:rsidR="000F1C5D" w:rsidRPr="00E40EAC">
        <w:rPr>
          <w:spacing w:val="-6"/>
        </w:rPr>
        <w:t>Northern Territory – Department of Treasury and Finance</w:t>
      </w:r>
      <w:r w:rsidRPr="00E40EAC">
        <w:rPr>
          <w:spacing w:val="-6"/>
        </w:rPr>
        <w:t>, sub. 39, p. 31; Victorian Government, sub. 59, p. 32; Rob Fairs, sub. 15, p. 2; Rosalie Woodruff, sub. 26, p. 2; Tasmanian Government, sub. 48, p. 39; Victorian Government, sub. 59, p. 32.</w:t>
      </w:r>
    </w:p>
  </w:footnote>
  <w:footnote w:id="14">
    <w:p w14:paraId="59A379FE" w14:textId="18527909" w:rsidR="005A31C9" w:rsidRPr="00343175" w:rsidRDefault="005A31C9" w:rsidP="005A31C9">
      <w:pPr>
        <w:pStyle w:val="FootnoteText"/>
        <w:rPr>
          <w:lang w:val="en-US"/>
        </w:rPr>
      </w:pPr>
      <w:r w:rsidRPr="00906CC1">
        <w:rPr>
          <w:rStyle w:val="FootnoteReference"/>
        </w:rPr>
        <w:footnoteRef/>
      </w:r>
      <w:r>
        <w:t xml:space="preserve"> ACT Government, sub. 38, p. 4</w:t>
      </w:r>
      <w:r>
        <w:rPr>
          <w:lang w:val="en-US"/>
        </w:rPr>
        <w:t xml:space="preserve">; Government of South Australia, sub. 13, p. 9; </w:t>
      </w:r>
      <w:r w:rsidR="00D93EE8">
        <w:rPr>
          <w:lang w:val="en-US"/>
        </w:rPr>
        <w:t>Northern Territory – Department of Treasury and Finance</w:t>
      </w:r>
      <w:r>
        <w:rPr>
          <w:lang w:val="en-US"/>
        </w:rPr>
        <w:t>, sub. 39, p. 31; Queensland Government, sub. 62, p. 11; Tasmanian Government, sub. 48, p. 7; Victorian Government, sub. 59, p. 3.</w:t>
      </w:r>
    </w:p>
  </w:footnote>
  <w:footnote w:id="15">
    <w:p w14:paraId="092BF34F" w14:textId="70EB277A" w:rsidR="00BA0CDD" w:rsidRPr="000248EA" w:rsidRDefault="00BA0CDD" w:rsidP="00BA0CDD">
      <w:pPr>
        <w:pStyle w:val="FootnoteText"/>
        <w:rPr>
          <w:lang w:val="en-US"/>
        </w:rPr>
      </w:pPr>
      <w:r w:rsidRPr="00906CC1">
        <w:rPr>
          <w:rStyle w:val="FootnoteReference"/>
        </w:rPr>
        <w:footnoteRef/>
      </w:r>
      <w:r>
        <w:t xml:space="preserve"> Government of South Australia, sub. 13, p. 9; NSW Government, sub. 61, p. 14; Queensland Government, sub. 62, p. 3; Tasmanian Government, sub. 4</w:t>
      </w:r>
      <w:r w:rsidR="00AF7EC4">
        <w:t>8</w:t>
      </w:r>
      <w:r>
        <w:t>, p. 24.</w:t>
      </w:r>
    </w:p>
  </w:footnote>
  <w:footnote w:id="16">
    <w:p w14:paraId="32965572" w14:textId="77777777" w:rsidR="00516581" w:rsidRPr="00F46349" w:rsidRDefault="00516581" w:rsidP="00516581">
      <w:pPr>
        <w:pStyle w:val="FootnoteText"/>
        <w:rPr>
          <w:spacing w:val="-4"/>
        </w:rPr>
      </w:pPr>
      <w:r w:rsidRPr="00F46349">
        <w:rPr>
          <w:rStyle w:val="FootnoteReference"/>
          <w:spacing w:val="-4"/>
        </w:rPr>
        <w:footnoteRef/>
      </w:r>
      <w:r w:rsidRPr="00F46349">
        <w:rPr>
          <w:spacing w:val="-4"/>
        </w:rPr>
        <w:t xml:space="preserve"> Capital investment and net debt levels includes both GG and PNFC data, as PNFCs are a significant source of public sector capital investment and net debt, and Western Australia has the largest proportion of TNFPS capital investment attributed to PNFCs out of all states. The figure for tax revenue only include GG data, as PNFCs cannot collect taxation revenue. The figure for total expenses is also GG, to limit the scope of analysis to core government service delivery.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BF308" w14:textId="5ECC8330" w:rsidR="00F173EF" w:rsidRDefault="00000000" w:rsidP="00F173EF">
    <w:pPr>
      <w:pStyle w:val="Header-Keyline"/>
    </w:pPr>
    <w:sdt>
      <w:sdtPr>
        <w:rPr>
          <w:rStyle w:val="Strong"/>
        </w:rPr>
        <w:alias w:val="Title"/>
        <w:tag w:val=""/>
        <w:id w:val="1436562403"/>
        <w:dataBinding w:prefixMappings="xmlns:ns0='http://purl.org/dc/elements/1.1/' xmlns:ns1='http://schemas.openxmlformats.org/package/2006/metadata/core-properties' " w:xpath="/ns1:coreProperties[1]/ns0:title[1]" w:storeItemID="{6C3C8BC8-F283-45AE-878A-BAB7291924A1}"/>
        <w:text/>
      </w:sdtPr>
      <w:sdtContent>
        <w:r w:rsidR="00627E0A">
          <w:rPr>
            <w:rStyle w:val="Strong"/>
          </w:rPr>
          <w:t>Appendix D: State fiscal sustainability - Interim report - GST distribution reforms</w:t>
        </w:r>
      </w:sdtContent>
    </w:sdt>
    <w:r w:rsidR="00F173EF">
      <w:t xml:space="preserve"> I</w:t>
    </w:r>
    <w:r w:rsidR="00FF60EF">
      <w:t>nterim</w:t>
    </w:r>
    <w:r w:rsidR="00F173EF">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0AEE0" w14:textId="5FC58C1B" w:rsidR="00F173EF" w:rsidRDefault="00B12F04" w:rsidP="00F173EF">
    <w:pPr>
      <w:pStyle w:val="Header-KeylineRight"/>
    </w:pPr>
    <w:fldSimple w:instr=" STYLEREF  Heading-Appendix  \* MERGEFORMAT ">
      <w:r w:rsidR="00627E0A">
        <w:rPr>
          <w:noProof/>
        </w:rPr>
        <w:t>State fiscal sustainability</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C1734A"/>
    <w:multiLevelType w:val="multilevel"/>
    <w:tmpl w:val="72768BCE"/>
    <w:styleLink w:val="AppendixHeadingList"/>
    <w:lvl w:ilvl="0">
      <w:start w:val="1"/>
      <w:numFmt w:val="upperLetter"/>
      <w:lvlText w:val="%1."/>
      <w:lvlJc w:val="left"/>
      <w:pPr>
        <w:ind w:left="1418" w:hanging="851"/>
      </w:pPr>
      <w:rPr>
        <w:rFonts w:hint="default"/>
      </w:rPr>
    </w:lvl>
    <w:lvl w:ilvl="1">
      <w:start w:val="1"/>
      <w:numFmt w:val="decimal"/>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5"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6"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7"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D665246"/>
    <w:multiLevelType w:val="multilevel"/>
    <w:tmpl w:val="55366B42"/>
    <w:numStyleLink w:val="LetteredList"/>
  </w:abstractNum>
  <w:abstractNum w:abstractNumId="10" w15:restartNumberingAfterBreak="0">
    <w:nsid w:val="2DFE29AF"/>
    <w:multiLevelType w:val="multilevel"/>
    <w:tmpl w:val="47E815B2"/>
    <w:lvl w:ilvl="0">
      <w:start w:val="4"/>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0E1502C"/>
    <w:multiLevelType w:val="multilevel"/>
    <w:tmpl w:val="FF8069A4"/>
    <w:styleLink w:val="Bullets"/>
    <w:lvl w:ilvl="0">
      <w:start w:val="1"/>
      <w:numFmt w:val="bullet"/>
      <w:pStyle w:val="ListBullet"/>
      <w:lvlText w:val="•"/>
      <w:lvlJc w:val="left"/>
      <w:pPr>
        <w:ind w:left="227" w:hanging="227"/>
      </w:pPr>
      <w:rPr>
        <w:rFonts w:ascii="Open Sans" w:hAnsi="Open Sans"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5" w15:restartNumberingAfterBreak="0">
    <w:nsid w:val="67EB6AB0"/>
    <w:multiLevelType w:val="multilevel"/>
    <w:tmpl w:val="FF8069A4"/>
    <w:numStyleLink w:val="Bullets"/>
  </w:abstractNum>
  <w:abstractNum w:abstractNumId="16" w15:restartNumberingAfterBreak="0">
    <w:nsid w:val="761B4A1B"/>
    <w:multiLevelType w:val="multilevel"/>
    <w:tmpl w:val="4F48000A"/>
    <w:numStyleLink w:val="Alphalist"/>
  </w:abstractNum>
  <w:num w:numId="1" w16cid:durableId="1888100786">
    <w:abstractNumId w:val="5"/>
  </w:num>
  <w:num w:numId="2" w16cid:durableId="1394354845">
    <w:abstractNumId w:val="2"/>
  </w:num>
  <w:num w:numId="3" w16cid:durableId="254366026">
    <w:abstractNumId w:val="8"/>
  </w:num>
  <w:num w:numId="4" w16cid:durableId="967734924">
    <w:abstractNumId w:val="13"/>
  </w:num>
  <w:num w:numId="5" w16cid:durableId="830176327">
    <w:abstractNumId w:val="14"/>
  </w:num>
  <w:num w:numId="6" w16cid:durableId="2083066630">
    <w:abstractNumId w:val="12"/>
  </w:num>
  <w:num w:numId="7" w16cid:durableId="1055281145">
    <w:abstractNumId w:val="10"/>
  </w:num>
  <w:num w:numId="8" w16cid:durableId="490096309">
    <w:abstractNumId w:val="6"/>
  </w:num>
  <w:num w:numId="9" w16cid:durableId="1285040174">
    <w:abstractNumId w:val="9"/>
  </w:num>
  <w:num w:numId="10" w16cid:durableId="1210529682">
    <w:abstractNumId w:val="16"/>
  </w:num>
  <w:num w:numId="11" w16cid:durableId="561715225">
    <w:abstractNumId w:val="0"/>
  </w:num>
  <w:num w:numId="12" w16cid:durableId="815072097">
    <w:abstractNumId w:val="3"/>
  </w:num>
  <w:num w:numId="13" w16cid:durableId="1373532671">
    <w:abstractNumId w:val="7"/>
  </w:num>
  <w:num w:numId="14" w16cid:durableId="548495761">
    <w:abstractNumId w:val="4"/>
  </w:num>
  <w:num w:numId="15" w16cid:durableId="797576365">
    <w:abstractNumId w:val="15"/>
  </w:num>
  <w:num w:numId="16" w16cid:durableId="234123092">
    <w:abstractNumId w:val="1"/>
  </w:num>
  <w:num w:numId="17" w16cid:durableId="1045838736">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C2A"/>
    <w:rsid w:val="00000065"/>
    <w:rsid w:val="00000075"/>
    <w:rsid w:val="00000338"/>
    <w:rsid w:val="00000A35"/>
    <w:rsid w:val="00000EF7"/>
    <w:rsid w:val="00000F3C"/>
    <w:rsid w:val="00001B82"/>
    <w:rsid w:val="00001E28"/>
    <w:rsid w:val="0000218A"/>
    <w:rsid w:val="00002257"/>
    <w:rsid w:val="0000265A"/>
    <w:rsid w:val="00002911"/>
    <w:rsid w:val="0000298E"/>
    <w:rsid w:val="00002B35"/>
    <w:rsid w:val="00002E20"/>
    <w:rsid w:val="00002EF7"/>
    <w:rsid w:val="0000313F"/>
    <w:rsid w:val="00003602"/>
    <w:rsid w:val="00003709"/>
    <w:rsid w:val="0000416C"/>
    <w:rsid w:val="000042E3"/>
    <w:rsid w:val="0000438F"/>
    <w:rsid w:val="00004489"/>
    <w:rsid w:val="000046A2"/>
    <w:rsid w:val="000046D0"/>
    <w:rsid w:val="00004FA7"/>
    <w:rsid w:val="00005C79"/>
    <w:rsid w:val="000062F3"/>
    <w:rsid w:val="000064E5"/>
    <w:rsid w:val="00006ADA"/>
    <w:rsid w:val="00006EF6"/>
    <w:rsid w:val="00007128"/>
    <w:rsid w:val="00007205"/>
    <w:rsid w:val="00007C3C"/>
    <w:rsid w:val="00007FED"/>
    <w:rsid w:val="0001009D"/>
    <w:rsid w:val="000105D2"/>
    <w:rsid w:val="00010685"/>
    <w:rsid w:val="00011242"/>
    <w:rsid w:val="00011499"/>
    <w:rsid w:val="000114CF"/>
    <w:rsid w:val="00011FDF"/>
    <w:rsid w:val="00012147"/>
    <w:rsid w:val="000122A5"/>
    <w:rsid w:val="00012594"/>
    <w:rsid w:val="000130B7"/>
    <w:rsid w:val="00013897"/>
    <w:rsid w:val="00013DDC"/>
    <w:rsid w:val="00014658"/>
    <w:rsid w:val="00014B37"/>
    <w:rsid w:val="00014CA1"/>
    <w:rsid w:val="00014E24"/>
    <w:rsid w:val="00014E82"/>
    <w:rsid w:val="00015337"/>
    <w:rsid w:val="00015717"/>
    <w:rsid w:val="000159D7"/>
    <w:rsid w:val="00015AD6"/>
    <w:rsid w:val="0001692B"/>
    <w:rsid w:val="000170AB"/>
    <w:rsid w:val="00017230"/>
    <w:rsid w:val="00017453"/>
    <w:rsid w:val="00017554"/>
    <w:rsid w:val="00017798"/>
    <w:rsid w:val="000201D6"/>
    <w:rsid w:val="000201DB"/>
    <w:rsid w:val="0002056A"/>
    <w:rsid w:val="00020704"/>
    <w:rsid w:val="00020990"/>
    <w:rsid w:val="0002230D"/>
    <w:rsid w:val="000227F2"/>
    <w:rsid w:val="00022A33"/>
    <w:rsid w:val="00024027"/>
    <w:rsid w:val="000245B9"/>
    <w:rsid w:val="00025148"/>
    <w:rsid w:val="00025814"/>
    <w:rsid w:val="00025CD1"/>
    <w:rsid w:val="00026299"/>
    <w:rsid w:val="0002654A"/>
    <w:rsid w:val="00026C04"/>
    <w:rsid w:val="00027309"/>
    <w:rsid w:val="00027375"/>
    <w:rsid w:val="000275D5"/>
    <w:rsid w:val="000275DB"/>
    <w:rsid w:val="00027D47"/>
    <w:rsid w:val="00027F18"/>
    <w:rsid w:val="000300AF"/>
    <w:rsid w:val="00030615"/>
    <w:rsid w:val="000306A0"/>
    <w:rsid w:val="00030B6F"/>
    <w:rsid w:val="00030F7B"/>
    <w:rsid w:val="00031135"/>
    <w:rsid w:val="00031472"/>
    <w:rsid w:val="00031553"/>
    <w:rsid w:val="00031717"/>
    <w:rsid w:val="00031853"/>
    <w:rsid w:val="00031C4E"/>
    <w:rsid w:val="00032EE2"/>
    <w:rsid w:val="000331E4"/>
    <w:rsid w:val="000332F7"/>
    <w:rsid w:val="0003338D"/>
    <w:rsid w:val="000335BF"/>
    <w:rsid w:val="00033619"/>
    <w:rsid w:val="00033C07"/>
    <w:rsid w:val="000346F7"/>
    <w:rsid w:val="00034A28"/>
    <w:rsid w:val="00034A8D"/>
    <w:rsid w:val="00034AFE"/>
    <w:rsid w:val="00034D55"/>
    <w:rsid w:val="00035073"/>
    <w:rsid w:val="000352AB"/>
    <w:rsid w:val="00035D3C"/>
    <w:rsid w:val="00035DB2"/>
    <w:rsid w:val="0003632F"/>
    <w:rsid w:val="0003678E"/>
    <w:rsid w:val="00036DB2"/>
    <w:rsid w:val="00037B0E"/>
    <w:rsid w:val="0004006A"/>
    <w:rsid w:val="00040453"/>
    <w:rsid w:val="00040DDA"/>
    <w:rsid w:val="000412D2"/>
    <w:rsid w:val="00041B0E"/>
    <w:rsid w:val="00041CC6"/>
    <w:rsid w:val="0004228C"/>
    <w:rsid w:val="0004239F"/>
    <w:rsid w:val="0004250D"/>
    <w:rsid w:val="00042676"/>
    <w:rsid w:val="00042844"/>
    <w:rsid w:val="00042E56"/>
    <w:rsid w:val="0004302A"/>
    <w:rsid w:val="000432FE"/>
    <w:rsid w:val="000434BE"/>
    <w:rsid w:val="00043755"/>
    <w:rsid w:val="0004409E"/>
    <w:rsid w:val="000449A5"/>
    <w:rsid w:val="000450E8"/>
    <w:rsid w:val="0004532A"/>
    <w:rsid w:val="00045D63"/>
    <w:rsid w:val="00045F84"/>
    <w:rsid w:val="0004610B"/>
    <w:rsid w:val="00046AAE"/>
    <w:rsid w:val="00047029"/>
    <w:rsid w:val="000472A0"/>
    <w:rsid w:val="00047894"/>
    <w:rsid w:val="00047AC9"/>
    <w:rsid w:val="000504B2"/>
    <w:rsid w:val="0005108B"/>
    <w:rsid w:val="0005151B"/>
    <w:rsid w:val="00051FCF"/>
    <w:rsid w:val="000523AA"/>
    <w:rsid w:val="000524C7"/>
    <w:rsid w:val="000529EE"/>
    <w:rsid w:val="00053385"/>
    <w:rsid w:val="0005356D"/>
    <w:rsid w:val="000536C3"/>
    <w:rsid w:val="00053A5B"/>
    <w:rsid w:val="00053AF5"/>
    <w:rsid w:val="00054420"/>
    <w:rsid w:val="0005445F"/>
    <w:rsid w:val="00054902"/>
    <w:rsid w:val="00054988"/>
    <w:rsid w:val="00054A85"/>
    <w:rsid w:val="00054B94"/>
    <w:rsid w:val="00054BE5"/>
    <w:rsid w:val="00054C95"/>
    <w:rsid w:val="00055895"/>
    <w:rsid w:val="00055A0F"/>
    <w:rsid w:val="00055EFF"/>
    <w:rsid w:val="00055F39"/>
    <w:rsid w:val="000561C6"/>
    <w:rsid w:val="000561CF"/>
    <w:rsid w:val="000564B3"/>
    <w:rsid w:val="000569A5"/>
    <w:rsid w:val="000571BF"/>
    <w:rsid w:val="000574E3"/>
    <w:rsid w:val="0005774F"/>
    <w:rsid w:val="00057DC9"/>
    <w:rsid w:val="000601B6"/>
    <w:rsid w:val="00060A66"/>
    <w:rsid w:val="00060A6C"/>
    <w:rsid w:val="00060BA1"/>
    <w:rsid w:val="00060C14"/>
    <w:rsid w:val="00060FD3"/>
    <w:rsid w:val="0006122F"/>
    <w:rsid w:val="000612E0"/>
    <w:rsid w:val="00061406"/>
    <w:rsid w:val="00061852"/>
    <w:rsid w:val="000619F6"/>
    <w:rsid w:val="00061AF7"/>
    <w:rsid w:val="00061F9B"/>
    <w:rsid w:val="00062630"/>
    <w:rsid w:val="000629CF"/>
    <w:rsid w:val="00062A44"/>
    <w:rsid w:val="00062E50"/>
    <w:rsid w:val="000641CF"/>
    <w:rsid w:val="000645D9"/>
    <w:rsid w:val="00064987"/>
    <w:rsid w:val="00064B9F"/>
    <w:rsid w:val="00064EA7"/>
    <w:rsid w:val="000656C2"/>
    <w:rsid w:val="00065716"/>
    <w:rsid w:val="000658C3"/>
    <w:rsid w:val="00065B8D"/>
    <w:rsid w:val="0006639C"/>
    <w:rsid w:val="000664C2"/>
    <w:rsid w:val="00066DCB"/>
    <w:rsid w:val="000671BC"/>
    <w:rsid w:val="0006725C"/>
    <w:rsid w:val="00067D22"/>
    <w:rsid w:val="00067D97"/>
    <w:rsid w:val="00070456"/>
    <w:rsid w:val="0007064D"/>
    <w:rsid w:val="00071203"/>
    <w:rsid w:val="00071809"/>
    <w:rsid w:val="00071AE3"/>
    <w:rsid w:val="00071DD3"/>
    <w:rsid w:val="000724AE"/>
    <w:rsid w:val="0007250E"/>
    <w:rsid w:val="00072CFB"/>
    <w:rsid w:val="0007370E"/>
    <w:rsid w:val="00073C91"/>
    <w:rsid w:val="00074DD8"/>
    <w:rsid w:val="00075AD7"/>
    <w:rsid w:val="00076954"/>
    <w:rsid w:val="00076B4C"/>
    <w:rsid w:val="00076F8A"/>
    <w:rsid w:val="0007712E"/>
    <w:rsid w:val="0007776A"/>
    <w:rsid w:val="00077A76"/>
    <w:rsid w:val="0008037D"/>
    <w:rsid w:val="000809A3"/>
    <w:rsid w:val="00080E7A"/>
    <w:rsid w:val="00080EFA"/>
    <w:rsid w:val="0008222E"/>
    <w:rsid w:val="00082428"/>
    <w:rsid w:val="00082720"/>
    <w:rsid w:val="000829DA"/>
    <w:rsid w:val="00082A89"/>
    <w:rsid w:val="00083ACE"/>
    <w:rsid w:val="00083FE3"/>
    <w:rsid w:val="00084508"/>
    <w:rsid w:val="00084660"/>
    <w:rsid w:val="000847BD"/>
    <w:rsid w:val="000848BB"/>
    <w:rsid w:val="00085359"/>
    <w:rsid w:val="000853BF"/>
    <w:rsid w:val="00085FB9"/>
    <w:rsid w:val="000864DE"/>
    <w:rsid w:val="00086617"/>
    <w:rsid w:val="0008691D"/>
    <w:rsid w:val="00087142"/>
    <w:rsid w:val="000878B9"/>
    <w:rsid w:val="00087FF5"/>
    <w:rsid w:val="0009021D"/>
    <w:rsid w:val="00090937"/>
    <w:rsid w:val="000911B4"/>
    <w:rsid w:val="00091286"/>
    <w:rsid w:val="00091613"/>
    <w:rsid w:val="00091C94"/>
    <w:rsid w:val="00092014"/>
    <w:rsid w:val="000928BD"/>
    <w:rsid w:val="00092D3C"/>
    <w:rsid w:val="00092DA9"/>
    <w:rsid w:val="00093048"/>
    <w:rsid w:val="00093245"/>
    <w:rsid w:val="00093F4B"/>
    <w:rsid w:val="0009434C"/>
    <w:rsid w:val="00094FEF"/>
    <w:rsid w:val="000953A2"/>
    <w:rsid w:val="00095691"/>
    <w:rsid w:val="000969DF"/>
    <w:rsid w:val="00096DC0"/>
    <w:rsid w:val="00097028"/>
    <w:rsid w:val="000974C4"/>
    <w:rsid w:val="000977CD"/>
    <w:rsid w:val="000A0087"/>
    <w:rsid w:val="000A0297"/>
    <w:rsid w:val="000A035C"/>
    <w:rsid w:val="000A080A"/>
    <w:rsid w:val="000A0C99"/>
    <w:rsid w:val="000A0D86"/>
    <w:rsid w:val="000A0F08"/>
    <w:rsid w:val="000A102F"/>
    <w:rsid w:val="000A1345"/>
    <w:rsid w:val="000A18D8"/>
    <w:rsid w:val="000A1EB7"/>
    <w:rsid w:val="000A23B5"/>
    <w:rsid w:val="000A3025"/>
    <w:rsid w:val="000A38AA"/>
    <w:rsid w:val="000A39F9"/>
    <w:rsid w:val="000A3A8F"/>
    <w:rsid w:val="000A3BF7"/>
    <w:rsid w:val="000A4029"/>
    <w:rsid w:val="000A4E91"/>
    <w:rsid w:val="000A51CD"/>
    <w:rsid w:val="000A5A63"/>
    <w:rsid w:val="000A5B9E"/>
    <w:rsid w:val="000A5DBF"/>
    <w:rsid w:val="000A5FBD"/>
    <w:rsid w:val="000A6070"/>
    <w:rsid w:val="000A6885"/>
    <w:rsid w:val="000A75A0"/>
    <w:rsid w:val="000A7A4F"/>
    <w:rsid w:val="000A7EFA"/>
    <w:rsid w:val="000B006B"/>
    <w:rsid w:val="000B0977"/>
    <w:rsid w:val="000B0B58"/>
    <w:rsid w:val="000B0B69"/>
    <w:rsid w:val="000B0DF2"/>
    <w:rsid w:val="000B0F90"/>
    <w:rsid w:val="000B1437"/>
    <w:rsid w:val="000B1571"/>
    <w:rsid w:val="000B27BE"/>
    <w:rsid w:val="000B3526"/>
    <w:rsid w:val="000B3F28"/>
    <w:rsid w:val="000B4279"/>
    <w:rsid w:val="000B4710"/>
    <w:rsid w:val="000B497F"/>
    <w:rsid w:val="000B4A72"/>
    <w:rsid w:val="000B4BC4"/>
    <w:rsid w:val="000B4D35"/>
    <w:rsid w:val="000B4EDE"/>
    <w:rsid w:val="000B5105"/>
    <w:rsid w:val="000B58A2"/>
    <w:rsid w:val="000B5C69"/>
    <w:rsid w:val="000B5F5E"/>
    <w:rsid w:val="000B675C"/>
    <w:rsid w:val="000B68A6"/>
    <w:rsid w:val="000B6A9F"/>
    <w:rsid w:val="000B7671"/>
    <w:rsid w:val="000C05A5"/>
    <w:rsid w:val="000C07D9"/>
    <w:rsid w:val="000C0918"/>
    <w:rsid w:val="000C151C"/>
    <w:rsid w:val="000C1A93"/>
    <w:rsid w:val="000C1AA7"/>
    <w:rsid w:val="000C3514"/>
    <w:rsid w:val="000C43FD"/>
    <w:rsid w:val="000C4671"/>
    <w:rsid w:val="000C49EB"/>
    <w:rsid w:val="000C4D68"/>
    <w:rsid w:val="000C4D9A"/>
    <w:rsid w:val="000C5998"/>
    <w:rsid w:val="000C5A37"/>
    <w:rsid w:val="000C68A6"/>
    <w:rsid w:val="000C6B77"/>
    <w:rsid w:val="000C6D60"/>
    <w:rsid w:val="000C7107"/>
    <w:rsid w:val="000C7CCF"/>
    <w:rsid w:val="000C7F51"/>
    <w:rsid w:val="000D03C8"/>
    <w:rsid w:val="000D051E"/>
    <w:rsid w:val="000D0553"/>
    <w:rsid w:val="000D0D79"/>
    <w:rsid w:val="000D1581"/>
    <w:rsid w:val="000D1672"/>
    <w:rsid w:val="000D1F30"/>
    <w:rsid w:val="000D2085"/>
    <w:rsid w:val="000D2661"/>
    <w:rsid w:val="000D26EA"/>
    <w:rsid w:val="000D2EAF"/>
    <w:rsid w:val="000D2FCE"/>
    <w:rsid w:val="000D32AB"/>
    <w:rsid w:val="000D35E0"/>
    <w:rsid w:val="000D38FC"/>
    <w:rsid w:val="000D42DA"/>
    <w:rsid w:val="000D43C6"/>
    <w:rsid w:val="000D486D"/>
    <w:rsid w:val="000D48B4"/>
    <w:rsid w:val="000D5357"/>
    <w:rsid w:val="000D5B5F"/>
    <w:rsid w:val="000D6A40"/>
    <w:rsid w:val="000D6C31"/>
    <w:rsid w:val="000D757A"/>
    <w:rsid w:val="000D76BC"/>
    <w:rsid w:val="000D7DBF"/>
    <w:rsid w:val="000E0B8A"/>
    <w:rsid w:val="000E0D9B"/>
    <w:rsid w:val="000E0E04"/>
    <w:rsid w:val="000E1211"/>
    <w:rsid w:val="000E184C"/>
    <w:rsid w:val="000E27F4"/>
    <w:rsid w:val="000E3B29"/>
    <w:rsid w:val="000E3BFB"/>
    <w:rsid w:val="000E43B0"/>
    <w:rsid w:val="000E4B3C"/>
    <w:rsid w:val="000E54EE"/>
    <w:rsid w:val="000E5E21"/>
    <w:rsid w:val="000E6226"/>
    <w:rsid w:val="000E623A"/>
    <w:rsid w:val="000E6458"/>
    <w:rsid w:val="000E6AE6"/>
    <w:rsid w:val="000E7A23"/>
    <w:rsid w:val="000E7E2B"/>
    <w:rsid w:val="000F0D8F"/>
    <w:rsid w:val="000F1010"/>
    <w:rsid w:val="000F1151"/>
    <w:rsid w:val="000F176C"/>
    <w:rsid w:val="000F1927"/>
    <w:rsid w:val="000F1C5D"/>
    <w:rsid w:val="000F1FCC"/>
    <w:rsid w:val="000F21E0"/>
    <w:rsid w:val="000F39FE"/>
    <w:rsid w:val="000F4488"/>
    <w:rsid w:val="000F4837"/>
    <w:rsid w:val="000F4B2E"/>
    <w:rsid w:val="000F5648"/>
    <w:rsid w:val="000F5E39"/>
    <w:rsid w:val="000F5EEE"/>
    <w:rsid w:val="000F61FC"/>
    <w:rsid w:val="000F6C7D"/>
    <w:rsid w:val="000F6E2C"/>
    <w:rsid w:val="000F7804"/>
    <w:rsid w:val="001003BE"/>
    <w:rsid w:val="00100446"/>
    <w:rsid w:val="00100589"/>
    <w:rsid w:val="00100C15"/>
    <w:rsid w:val="00100FAB"/>
    <w:rsid w:val="00101634"/>
    <w:rsid w:val="00101E2B"/>
    <w:rsid w:val="001022D0"/>
    <w:rsid w:val="00102492"/>
    <w:rsid w:val="00102528"/>
    <w:rsid w:val="00102AE2"/>
    <w:rsid w:val="0010338A"/>
    <w:rsid w:val="00103DF5"/>
    <w:rsid w:val="00104058"/>
    <w:rsid w:val="00104087"/>
    <w:rsid w:val="00104C5C"/>
    <w:rsid w:val="00104F3B"/>
    <w:rsid w:val="0010654A"/>
    <w:rsid w:val="001067EA"/>
    <w:rsid w:val="00107F57"/>
    <w:rsid w:val="00107FD5"/>
    <w:rsid w:val="00110BF5"/>
    <w:rsid w:val="00110EE2"/>
    <w:rsid w:val="0011116E"/>
    <w:rsid w:val="0011217E"/>
    <w:rsid w:val="0011265D"/>
    <w:rsid w:val="00112A29"/>
    <w:rsid w:val="00112E8F"/>
    <w:rsid w:val="00113137"/>
    <w:rsid w:val="001132E0"/>
    <w:rsid w:val="001142A8"/>
    <w:rsid w:val="001149DB"/>
    <w:rsid w:val="00114B76"/>
    <w:rsid w:val="00115C92"/>
    <w:rsid w:val="00115DD0"/>
    <w:rsid w:val="00115EA6"/>
    <w:rsid w:val="001160FA"/>
    <w:rsid w:val="00116429"/>
    <w:rsid w:val="0011649C"/>
    <w:rsid w:val="00117902"/>
    <w:rsid w:val="001201EA"/>
    <w:rsid w:val="00120335"/>
    <w:rsid w:val="00120792"/>
    <w:rsid w:val="00120831"/>
    <w:rsid w:val="001209B7"/>
    <w:rsid w:val="00120FCA"/>
    <w:rsid w:val="0012119B"/>
    <w:rsid w:val="00121354"/>
    <w:rsid w:val="00121B23"/>
    <w:rsid w:val="00121D80"/>
    <w:rsid w:val="00122050"/>
    <w:rsid w:val="001220C2"/>
    <w:rsid w:val="001222D1"/>
    <w:rsid w:val="00122CEF"/>
    <w:rsid w:val="00123052"/>
    <w:rsid w:val="001232B1"/>
    <w:rsid w:val="0012331C"/>
    <w:rsid w:val="00123516"/>
    <w:rsid w:val="00123553"/>
    <w:rsid w:val="0012369A"/>
    <w:rsid w:val="00124463"/>
    <w:rsid w:val="00125199"/>
    <w:rsid w:val="00125D4B"/>
    <w:rsid w:val="00125EDF"/>
    <w:rsid w:val="001260F0"/>
    <w:rsid w:val="00126539"/>
    <w:rsid w:val="00126831"/>
    <w:rsid w:val="001268BC"/>
    <w:rsid w:val="00126A15"/>
    <w:rsid w:val="00126B70"/>
    <w:rsid w:val="00127525"/>
    <w:rsid w:val="00131CFC"/>
    <w:rsid w:val="00131F9E"/>
    <w:rsid w:val="0013226E"/>
    <w:rsid w:val="0013229C"/>
    <w:rsid w:val="001329AE"/>
    <w:rsid w:val="00133129"/>
    <w:rsid w:val="00133308"/>
    <w:rsid w:val="001337E0"/>
    <w:rsid w:val="001338BE"/>
    <w:rsid w:val="00133925"/>
    <w:rsid w:val="0013417A"/>
    <w:rsid w:val="00135B16"/>
    <w:rsid w:val="001360C0"/>
    <w:rsid w:val="001362FC"/>
    <w:rsid w:val="001364CD"/>
    <w:rsid w:val="001369C3"/>
    <w:rsid w:val="0013722E"/>
    <w:rsid w:val="00137669"/>
    <w:rsid w:val="00137767"/>
    <w:rsid w:val="00137E3D"/>
    <w:rsid w:val="00137FAB"/>
    <w:rsid w:val="00140179"/>
    <w:rsid w:val="00142441"/>
    <w:rsid w:val="00142A66"/>
    <w:rsid w:val="001431D3"/>
    <w:rsid w:val="00143255"/>
    <w:rsid w:val="00143DE4"/>
    <w:rsid w:val="001445E9"/>
    <w:rsid w:val="00144AF5"/>
    <w:rsid w:val="00144FE8"/>
    <w:rsid w:val="0014520A"/>
    <w:rsid w:val="001455A8"/>
    <w:rsid w:val="0014580A"/>
    <w:rsid w:val="00145FEB"/>
    <w:rsid w:val="0014611A"/>
    <w:rsid w:val="001463A5"/>
    <w:rsid w:val="00146406"/>
    <w:rsid w:val="00147E52"/>
    <w:rsid w:val="0015043C"/>
    <w:rsid w:val="00150CDB"/>
    <w:rsid w:val="0015167B"/>
    <w:rsid w:val="0015177F"/>
    <w:rsid w:val="00152349"/>
    <w:rsid w:val="001523DE"/>
    <w:rsid w:val="00152466"/>
    <w:rsid w:val="00152E25"/>
    <w:rsid w:val="00153C55"/>
    <w:rsid w:val="00153D06"/>
    <w:rsid w:val="00154D63"/>
    <w:rsid w:val="00154E0D"/>
    <w:rsid w:val="001557BD"/>
    <w:rsid w:val="00155E8A"/>
    <w:rsid w:val="00155EAF"/>
    <w:rsid w:val="00155EBD"/>
    <w:rsid w:val="00155FFF"/>
    <w:rsid w:val="00157024"/>
    <w:rsid w:val="001571A9"/>
    <w:rsid w:val="00157209"/>
    <w:rsid w:val="00157837"/>
    <w:rsid w:val="00157C3A"/>
    <w:rsid w:val="00157F02"/>
    <w:rsid w:val="001600AA"/>
    <w:rsid w:val="001600E9"/>
    <w:rsid w:val="001607CE"/>
    <w:rsid w:val="00160810"/>
    <w:rsid w:val="00160D81"/>
    <w:rsid w:val="00160FEC"/>
    <w:rsid w:val="001610E5"/>
    <w:rsid w:val="0016158A"/>
    <w:rsid w:val="001616D2"/>
    <w:rsid w:val="00161A18"/>
    <w:rsid w:val="00161ADB"/>
    <w:rsid w:val="00161BC8"/>
    <w:rsid w:val="001621C9"/>
    <w:rsid w:val="0016308C"/>
    <w:rsid w:val="001630A9"/>
    <w:rsid w:val="0016310D"/>
    <w:rsid w:val="0016343D"/>
    <w:rsid w:val="00163960"/>
    <w:rsid w:val="00163983"/>
    <w:rsid w:val="00163A2A"/>
    <w:rsid w:val="00163AC8"/>
    <w:rsid w:val="001642E4"/>
    <w:rsid w:val="00164808"/>
    <w:rsid w:val="00164BCA"/>
    <w:rsid w:val="00164DF7"/>
    <w:rsid w:val="001650AE"/>
    <w:rsid w:val="00165428"/>
    <w:rsid w:val="0016583B"/>
    <w:rsid w:val="001659BE"/>
    <w:rsid w:val="00166179"/>
    <w:rsid w:val="00166D17"/>
    <w:rsid w:val="00167831"/>
    <w:rsid w:val="0017072E"/>
    <w:rsid w:val="00170C14"/>
    <w:rsid w:val="00170CF7"/>
    <w:rsid w:val="00170F84"/>
    <w:rsid w:val="00171243"/>
    <w:rsid w:val="001714F3"/>
    <w:rsid w:val="00171BDC"/>
    <w:rsid w:val="00171C15"/>
    <w:rsid w:val="00171D18"/>
    <w:rsid w:val="001724B2"/>
    <w:rsid w:val="00172B1B"/>
    <w:rsid w:val="00173AC0"/>
    <w:rsid w:val="00173C74"/>
    <w:rsid w:val="00174443"/>
    <w:rsid w:val="00174C31"/>
    <w:rsid w:val="00174E3A"/>
    <w:rsid w:val="001753D2"/>
    <w:rsid w:val="001753E1"/>
    <w:rsid w:val="0017545F"/>
    <w:rsid w:val="00175637"/>
    <w:rsid w:val="00175B2B"/>
    <w:rsid w:val="00175EE4"/>
    <w:rsid w:val="00176CEF"/>
    <w:rsid w:val="0017787E"/>
    <w:rsid w:val="00177FC1"/>
    <w:rsid w:val="00180189"/>
    <w:rsid w:val="001804C0"/>
    <w:rsid w:val="00180DFC"/>
    <w:rsid w:val="00180EC4"/>
    <w:rsid w:val="00181083"/>
    <w:rsid w:val="00181260"/>
    <w:rsid w:val="001819C7"/>
    <w:rsid w:val="00182912"/>
    <w:rsid w:val="00182A32"/>
    <w:rsid w:val="00182EB4"/>
    <w:rsid w:val="00183F9E"/>
    <w:rsid w:val="00184035"/>
    <w:rsid w:val="0018470F"/>
    <w:rsid w:val="00184E06"/>
    <w:rsid w:val="00184FBF"/>
    <w:rsid w:val="001851E3"/>
    <w:rsid w:val="00185EDF"/>
    <w:rsid w:val="0018611A"/>
    <w:rsid w:val="001863F4"/>
    <w:rsid w:val="001867C9"/>
    <w:rsid w:val="00186C0C"/>
    <w:rsid w:val="00187101"/>
    <w:rsid w:val="00187216"/>
    <w:rsid w:val="00187F05"/>
    <w:rsid w:val="001900B9"/>
    <w:rsid w:val="00190395"/>
    <w:rsid w:val="0019103C"/>
    <w:rsid w:val="00191240"/>
    <w:rsid w:val="00191B76"/>
    <w:rsid w:val="00192EC6"/>
    <w:rsid w:val="00193730"/>
    <w:rsid w:val="00193D5C"/>
    <w:rsid w:val="00193D79"/>
    <w:rsid w:val="001942CD"/>
    <w:rsid w:val="0019480C"/>
    <w:rsid w:val="0019480D"/>
    <w:rsid w:val="00194B90"/>
    <w:rsid w:val="001957BF"/>
    <w:rsid w:val="00195952"/>
    <w:rsid w:val="00195A12"/>
    <w:rsid w:val="00196A5B"/>
    <w:rsid w:val="001972AD"/>
    <w:rsid w:val="00197929"/>
    <w:rsid w:val="00197957"/>
    <w:rsid w:val="00197B40"/>
    <w:rsid w:val="001A04C9"/>
    <w:rsid w:val="001A0661"/>
    <w:rsid w:val="001A0C43"/>
    <w:rsid w:val="001A0D77"/>
    <w:rsid w:val="001A179F"/>
    <w:rsid w:val="001A17BD"/>
    <w:rsid w:val="001A196A"/>
    <w:rsid w:val="001A1D95"/>
    <w:rsid w:val="001A1E20"/>
    <w:rsid w:val="001A1F41"/>
    <w:rsid w:val="001A206D"/>
    <w:rsid w:val="001A228B"/>
    <w:rsid w:val="001A2565"/>
    <w:rsid w:val="001A31B8"/>
    <w:rsid w:val="001A379E"/>
    <w:rsid w:val="001A37A2"/>
    <w:rsid w:val="001A3F30"/>
    <w:rsid w:val="001A4760"/>
    <w:rsid w:val="001A49D1"/>
    <w:rsid w:val="001A5840"/>
    <w:rsid w:val="001A5A12"/>
    <w:rsid w:val="001A6178"/>
    <w:rsid w:val="001A6782"/>
    <w:rsid w:val="001A723E"/>
    <w:rsid w:val="001A7416"/>
    <w:rsid w:val="001A7652"/>
    <w:rsid w:val="001A7702"/>
    <w:rsid w:val="001A7CE7"/>
    <w:rsid w:val="001B04D2"/>
    <w:rsid w:val="001B066A"/>
    <w:rsid w:val="001B07F6"/>
    <w:rsid w:val="001B0B6C"/>
    <w:rsid w:val="001B13C6"/>
    <w:rsid w:val="001B1762"/>
    <w:rsid w:val="001B17AC"/>
    <w:rsid w:val="001B1A98"/>
    <w:rsid w:val="001B1E46"/>
    <w:rsid w:val="001B1E96"/>
    <w:rsid w:val="001B2236"/>
    <w:rsid w:val="001B2432"/>
    <w:rsid w:val="001B2729"/>
    <w:rsid w:val="001B2E64"/>
    <w:rsid w:val="001B408D"/>
    <w:rsid w:val="001B43FF"/>
    <w:rsid w:val="001B45E3"/>
    <w:rsid w:val="001B56D2"/>
    <w:rsid w:val="001B588D"/>
    <w:rsid w:val="001B58F2"/>
    <w:rsid w:val="001B5F9D"/>
    <w:rsid w:val="001B71C2"/>
    <w:rsid w:val="001B73A9"/>
    <w:rsid w:val="001C0413"/>
    <w:rsid w:val="001C0CDB"/>
    <w:rsid w:val="001C11B0"/>
    <w:rsid w:val="001C195A"/>
    <w:rsid w:val="001C1C82"/>
    <w:rsid w:val="001C1E12"/>
    <w:rsid w:val="001C20B5"/>
    <w:rsid w:val="001C2B84"/>
    <w:rsid w:val="001C3F2E"/>
    <w:rsid w:val="001C4B58"/>
    <w:rsid w:val="001C4BF3"/>
    <w:rsid w:val="001C5520"/>
    <w:rsid w:val="001C5604"/>
    <w:rsid w:val="001C5D95"/>
    <w:rsid w:val="001C63BE"/>
    <w:rsid w:val="001C6421"/>
    <w:rsid w:val="001C691D"/>
    <w:rsid w:val="001C7072"/>
    <w:rsid w:val="001C758D"/>
    <w:rsid w:val="001C7835"/>
    <w:rsid w:val="001C79B8"/>
    <w:rsid w:val="001C7CBA"/>
    <w:rsid w:val="001C7EEA"/>
    <w:rsid w:val="001D0052"/>
    <w:rsid w:val="001D0B23"/>
    <w:rsid w:val="001D0C56"/>
    <w:rsid w:val="001D1480"/>
    <w:rsid w:val="001D1C93"/>
    <w:rsid w:val="001D2BB1"/>
    <w:rsid w:val="001D35FD"/>
    <w:rsid w:val="001D4050"/>
    <w:rsid w:val="001D490C"/>
    <w:rsid w:val="001D4AA4"/>
    <w:rsid w:val="001D4CEC"/>
    <w:rsid w:val="001D515F"/>
    <w:rsid w:val="001D5894"/>
    <w:rsid w:val="001D5CBC"/>
    <w:rsid w:val="001D5D79"/>
    <w:rsid w:val="001D604A"/>
    <w:rsid w:val="001D630A"/>
    <w:rsid w:val="001D670F"/>
    <w:rsid w:val="001D690E"/>
    <w:rsid w:val="001D76C4"/>
    <w:rsid w:val="001D7A76"/>
    <w:rsid w:val="001D7D9B"/>
    <w:rsid w:val="001E087D"/>
    <w:rsid w:val="001E1D44"/>
    <w:rsid w:val="001E1EF7"/>
    <w:rsid w:val="001E2A79"/>
    <w:rsid w:val="001E2CCD"/>
    <w:rsid w:val="001E316D"/>
    <w:rsid w:val="001E3741"/>
    <w:rsid w:val="001E38FF"/>
    <w:rsid w:val="001E3F7C"/>
    <w:rsid w:val="001E40F0"/>
    <w:rsid w:val="001E454E"/>
    <w:rsid w:val="001E4636"/>
    <w:rsid w:val="001E470B"/>
    <w:rsid w:val="001E492F"/>
    <w:rsid w:val="001E4B9D"/>
    <w:rsid w:val="001E4D0E"/>
    <w:rsid w:val="001E50F0"/>
    <w:rsid w:val="001E566F"/>
    <w:rsid w:val="001E5988"/>
    <w:rsid w:val="001E5EF1"/>
    <w:rsid w:val="001E5F6D"/>
    <w:rsid w:val="001E6472"/>
    <w:rsid w:val="001E710D"/>
    <w:rsid w:val="001E75D1"/>
    <w:rsid w:val="001E762B"/>
    <w:rsid w:val="001E7AF3"/>
    <w:rsid w:val="001E7AFE"/>
    <w:rsid w:val="001F0651"/>
    <w:rsid w:val="001F0D75"/>
    <w:rsid w:val="001F1014"/>
    <w:rsid w:val="001F12C2"/>
    <w:rsid w:val="001F13C1"/>
    <w:rsid w:val="001F15E0"/>
    <w:rsid w:val="001F1676"/>
    <w:rsid w:val="001F16C4"/>
    <w:rsid w:val="001F1CE6"/>
    <w:rsid w:val="001F1E9A"/>
    <w:rsid w:val="001F2DD1"/>
    <w:rsid w:val="001F2EDB"/>
    <w:rsid w:val="001F3B64"/>
    <w:rsid w:val="001F446D"/>
    <w:rsid w:val="001F4789"/>
    <w:rsid w:val="001F572E"/>
    <w:rsid w:val="001F589E"/>
    <w:rsid w:val="001F5D2E"/>
    <w:rsid w:val="001F5F99"/>
    <w:rsid w:val="001F642F"/>
    <w:rsid w:val="001F6B0A"/>
    <w:rsid w:val="001F6CF5"/>
    <w:rsid w:val="001F6F2D"/>
    <w:rsid w:val="001F7FA9"/>
    <w:rsid w:val="002002D4"/>
    <w:rsid w:val="002003E3"/>
    <w:rsid w:val="00200926"/>
    <w:rsid w:val="00200DD0"/>
    <w:rsid w:val="00200ED5"/>
    <w:rsid w:val="00201320"/>
    <w:rsid w:val="00201A5F"/>
    <w:rsid w:val="0020204A"/>
    <w:rsid w:val="0020219A"/>
    <w:rsid w:val="0020243D"/>
    <w:rsid w:val="002024F9"/>
    <w:rsid w:val="0020276F"/>
    <w:rsid w:val="00202810"/>
    <w:rsid w:val="002031AE"/>
    <w:rsid w:val="0020350F"/>
    <w:rsid w:val="002037F8"/>
    <w:rsid w:val="002038CB"/>
    <w:rsid w:val="0020452C"/>
    <w:rsid w:val="00204540"/>
    <w:rsid w:val="00204977"/>
    <w:rsid w:val="00204BB6"/>
    <w:rsid w:val="00204BBD"/>
    <w:rsid w:val="00204E66"/>
    <w:rsid w:val="0020560A"/>
    <w:rsid w:val="00205CD8"/>
    <w:rsid w:val="002061E2"/>
    <w:rsid w:val="0020659F"/>
    <w:rsid w:val="002066E0"/>
    <w:rsid w:val="002068FA"/>
    <w:rsid w:val="0020728E"/>
    <w:rsid w:val="002073EC"/>
    <w:rsid w:val="00207C17"/>
    <w:rsid w:val="00207F1A"/>
    <w:rsid w:val="00210231"/>
    <w:rsid w:val="0021054C"/>
    <w:rsid w:val="002112EC"/>
    <w:rsid w:val="00211329"/>
    <w:rsid w:val="002119E2"/>
    <w:rsid w:val="00212605"/>
    <w:rsid w:val="0021333F"/>
    <w:rsid w:val="00213508"/>
    <w:rsid w:val="0021417A"/>
    <w:rsid w:val="002155C5"/>
    <w:rsid w:val="00215A2A"/>
    <w:rsid w:val="00216855"/>
    <w:rsid w:val="002175A2"/>
    <w:rsid w:val="002175B3"/>
    <w:rsid w:val="00217BF1"/>
    <w:rsid w:val="00217E90"/>
    <w:rsid w:val="00220843"/>
    <w:rsid w:val="002215C8"/>
    <w:rsid w:val="00221800"/>
    <w:rsid w:val="002219CB"/>
    <w:rsid w:val="00221AB7"/>
    <w:rsid w:val="00221F7A"/>
    <w:rsid w:val="0022238D"/>
    <w:rsid w:val="00222EBB"/>
    <w:rsid w:val="002231A3"/>
    <w:rsid w:val="00223462"/>
    <w:rsid w:val="00223821"/>
    <w:rsid w:val="00223BB4"/>
    <w:rsid w:val="00223E41"/>
    <w:rsid w:val="0022428D"/>
    <w:rsid w:val="0022478C"/>
    <w:rsid w:val="002248FC"/>
    <w:rsid w:val="00224CC3"/>
    <w:rsid w:val="00225D09"/>
    <w:rsid w:val="002267AE"/>
    <w:rsid w:val="002271C4"/>
    <w:rsid w:val="00227712"/>
    <w:rsid w:val="002277A1"/>
    <w:rsid w:val="00227ECB"/>
    <w:rsid w:val="002308AE"/>
    <w:rsid w:val="00230DC5"/>
    <w:rsid w:val="00230FE2"/>
    <w:rsid w:val="0023119B"/>
    <w:rsid w:val="00231762"/>
    <w:rsid w:val="00231D34"/>
    <w:rsid w:val="00231D88"/>
    <w:rsid w:val="0023226E"/>
    <w:rsid w:val="00232F13"/>
    <w:rsid w:val="00232F4F"/>
    <w:rsid w:val="0023302B"/>
    <w:rsid w:val="0023311B"/>
    <w:rsid w:val="002333FF"/>
    <w:rsid w:val="00233581"/>
    <w:rsid w:val="00233859"/>
    <w:rsid w:val="00233BA3"/>
    <w:rsid w:val="00234839"/>
    <w:rsid w:val="00234CA5"/>
    <w:rsid w:val="00234F88"/>
    <w:rsid w:val="00235116"/>
    <w:rsid w:val="00235334"/>
    <w:rsid w:val="00235680"/>
    <w:rsid w:val="0023597C"/>
    <w:rsid w:val="00235DCD"/>
    <w:rsid w:val="00235F2B"/>
    <w:rsid w:val="002363BD"/>
    <w:rsid w:val="002365BB"/>
    <w:rsid w:val="00236F24"/>
    <w:rsid w:val="00237869"/>
    <w:rsid w:val="00240934"/>
    <w:rsid w:val="00240AB2"/>
    <w:rsid w:val="0024160F"/>
    <w:rsid w:val="00241711"/>
    <w:rsid w:val="00241CA8"/>
    <w:rsid w:val="00241FAB"/>
    <w:rsid w:val="00242031"/>
    <w:rsid w:val="0024255E"/>
    <w:rsid w:val="0024289D"/>
    <w:rsid w:val="00242ADA"/>
    <w:rsid w:val="00242F62"/>
    <w:rsid w:val="00243F89"/>
    <w:rsid w:val="0024442C"/>
    <w:rsid w:val="002448C1"/>
    <w:rsid w:val="002448F6"/>
    <w:rsid w:val="00244EED"/>
    <w:rsid w:val="002457DE"/>
    <w:rsid w:val="00245BEC"/>
    <w:rsid w:val="00245CBE"/>
    <w:rsid w:val="00246435"/>
    <w:rsid w:val="002467B8"/>
    <w:rsid w:val="00246B86"/>
    <w:rsid w:val="00246BCF"/>
    <w:rsid w:val="00247760"/>
    <w:rsid w:val="002478FD"/>
    <w:rsid w:val="00247F9C"/>
    <w:rsid w:val="002505C8"/>
    <w:rsid w:val="00250D93"/>
    <w:rsid w:val="00251245"/>
    <w:rsid w:val="0025178D"/>
    <w:rsid w:val="00251967"/>
    <w:rsid w:val="00251A8D"/>
    <w:rsid w:val="00251CA2"/>
    <w:rsid w:val="00252088"/>
    <w:rsid w:val="00252FFE"/>
    <w:rsid w:val="002531BE"/>
    <w:rsid w:val="002536C6"/>
    <w:rsid w:val="00253709"/>
    <w:rsid w:val="002539E5"/>
    <w:rsid w:val="00253F72"/>
    <w:rsid w:val="002540BA"/>
    <w:rsid w:val="00254B68"/>
    <w:rsid w:val="00254C7A"/>
    <w:rsid w:val="00254CCE"/>
    <w:rsid w:val="0025520A"/>
    <w:rsid w:val="00255F5F"/>
    <w:rsid w:val="002566BC"/>
    <w:rsid w:val="0025697B"/>
    <w:rsid w:val="002573F1"/>
    <w:rsid w:val="0025748E"/>
    <w:rsid w:val="00260020"/>
    <w:rsid w:val="002601BB"/>
    <w:rsid w:val="00260217"/>
    <w:rsid w:val="002606F8"/>
    <w:rsid w:val="002609D0"/>
    <w:rsid w:val="00260B6E"/>
    <w:rsid w:val="002610ED"/>
    <w:rsid w:val="00261856"/>
    <w:rsid w:val="00261C82"/>
    <w:rsid w:val="002628EB"/>
    <w:rsid w:val="00262BCB"/>
    <w:rsid w:val="002630AD"/>
    <w:rsid w:val="00263494"/>
    <w:rsid w:val="00263A48"/>
    <w:rsid w:val="00263FAB"/>
    <w:rsid w:val="00264454"/>
    <w:rsid w:val="00264656"/>
    <w:rsid w:val="0026490B"/>
    <w:rsid w:val="00265205"/>
    <w:rsid w:val="00265299"/>
    <w:rsid w:val="00265727"/>
    <w:rsid w:val="00265918"/>
    <w:rsid w:val="00265C04"/>
    <w:rsid w:val="00265C53"/>
    <w:rsid w:val="002661DA"/>
    <w:rsid w:val="00266CE9"/>
    <w:rsid w:val="0026720E"/>
    <w:rsid w:val="0026723C"/>
    <w:rsid w:val="002674E8"/>
    <w:rsid w:val="00267891"/>
    <w:rsid w:val="002679CC"/>
    <w:rsid w:val="00270834"/>
    <w:rsid w:val="00270896"/>
    <w:rsid w:val="00270B08"/>
    <w:rsid w:val="00270DF4"/>
    <w:rsid w:val="002710BF"/>
    <w:rsid w:val="002711AE"/>
    <w:rsid w:val="002711D4"/>
    <w:rsid w:val="00271449"/>
    <w:rsid w:val="00271638"/>
    <w:rsid w:val="00271989"/>
    <w:rsid w:val="002724E3"/>
    <w:rsid w:val="00272E91"/>
    <w:rsid w:val="00273222"/>
    <w:rsid w:val="00273681"/>
    <w:rsid w:val="00273D4C"/>
    <w:rsid w:val="00273E86"/>
    <w:rsid w:val="00273EE4"/>
    <w:rsid w:val="0027531B"/>
    <w:rsid w:val="002756EE"/>
    <w:rsid w:val="00275921"/>
    <w:rsid w:val="00277690"/>
    <w:rsid w:val="00277D78"/>
    <w:rsid w:val="002802F1"/>
    <w:rsid w:val="00280852"/>
    <w:rsid w:val="002808CB"/>
    <w:rsid w:val="002814E6"/>
    <w:rsid w:val="00281613"/>
    <w:rsid w:val="00281A54"/>
    <w:rsid w:val="00281D79"/>
    <w:rsid w:val="00282212"/>
    <w:rsid w:val="00282268"/>
    <w:rsid w:val="00282AE5"/>
    <w:rsid w:val="00282AFF"/>
    <w:rsid w:val="00283137"/>
    <w:rsid w:val="0028329B"/>
    <w:rsid w:val="00283B71"/>
    <w:rsid w:val="00283D61"/>
    <w:rsid w:val="00283EF2"/>
    <w:rsid w:val="0028406A"/>
    <w:rsid w:val="00284319"/>
    <w:rsid w:val="00285A5B"/>
    <w:rsid w:val="00285FDE"/>
    <w:rsid w:val="0028662F"/>
    <w:rsid w:val="0028699E"/>
    <w:rsid w:val="00286F74"/>
    <w:rsid w:val="00287114"/>
    <w:rsid w:val="0029006B"/>
    <w:rsid w:val="00290A69"/>
    <w:rsid w:val="00291631"/>
    <w:rsid w:val="00291883"/>
    <w:rsid w:val="002922F9"/>
    <w:rsid w:val="00292A45"/>
    <w:rsid w:val="00292D93"/>
    <w:rsid w:val="002936B4"/>
    <w:rsid w:val="002936D4"/>
    <w:rsid w:val="00293E1F"/>
    <w:rsid w:val="002946B1"/>
    <w:rsid w:val="00294AC7"/>
    <w:rsid w:val="00294FE4"/>
    <w:rsid w:val="00294FFD"/>
    <w:rsid w:val="002951E6"/>
    <w:rsid w:val="0029522E"/>
    <w:rsid w:val="00295330"/>
    <w:rsid w:val="00295434"/>
    <w:rsid w:val="002958E9"/>
    <w:rsid w:val="0029609D"/>
    <w:rsid w:val="002964A1"/>
    <w:rsid w:val="00296B0F"/>
    <w:rsid w:val="00296FC1"/>
    <w:rsid w:val="002970A7"/>
    <w:rsid w:val="00297FD4"/>
    <w:rsid w:val="002A0381"/>
    <w:rsid w:val="002A04F6"/>
    <w:rsid w:val="002A1297"/>
    <w:rsid w:val="002A1D8E"/>
    <w:rsid w:val="002A1DF0"/>
    <w:rsid w:val="002A1E49"/>
    <w:rsid w:val="002A2195"/>
    <w:rsid w:val="002A2962"/>
    <w:rsid w:val="002A331C"/>
    <w:rsid w:val="002A445A"/>
    <w:rsid w:val="002A4E2A"/>
    <w:rsid w:val="002A58B8"/>
    <w:rsid w:val="002A5BD1"/>
    <w:rsid w:val="002A5E66"/>
    <w:rsid w:val="002A5FDD"/>
    <w:rsid w:val="002A6275"/>
    <w:rsid w:val="002A7CDE"/>
    <w:rsid w:val="002B0488"/>
    <w:rsid w:val="002B0577"/>
    <w:rsid w:val="002B0BAF"/>
    <w:rsid w:val="002B0D35"/>
    <w:rsid w:val="002B1898"/>
    <w:rsid w:val="002B1966"/>
    <w:rsid w:val="002B19CF"/>
    <w:rsid w:val="002B1B61"/>
    <w:rsid w:val="002B1DA7"/>
    <w:rsid w:val="002B20B0"/>
    <w:rsid w:val="002B2690"/>
    <w:rsid w:val="002B26F1"/>
    <w:rsid w:val="002B2EDC"/>
    <w:rsid w:val="002B3070"/>
    <w:rsid w:val="002B30A3"/>
    <w:rsid w:val="002B31F1"/>
    <w:rsid w:val="002B36B2"/>
    <w:rsid w:val="002B3841"/>
    <w:rsid w:val="002B423A"/>
    <w:rsid w:val="002B449E"/>
    <w:rsid w:val="002B4503"/>
    <w:rsid w:val="002B4AE8"/>
    <w:rsid w:val="002B4CF1"/>
    <w:rsid w:val="002B51AA"/>
    <w:rsid w:val="002B51EA"/>
    <w:rsid w:val="002B5680"/>
    <w:rsid w:val="002B57C6"/>
    <w:rsid w:val="002B5898"/>
    <w:rsid w:val="002B5A90"/>
    <w:rsid w:val="002B6193"/>
    <w:rsid w:val="002B6741"/>
    <w:rsid w:val="002B6F20"/>
    <w:rsid w:val="002B787F"/>
    <w:rsid w:val="002B7D42"/>
    <w:rsid w:val="002B7E2E"/>
    <w:rsid w:val="002C021C"/>
    <w:rsid w:val="002C13F7"/>
    <w:rsid w:val="002C144F"/>
    <w:rsid w:val="002C14A7"/>
    <w:rsid w:val="002C1CCE"/>
    <w:rsid w:val="002C1EE2"/>
    <w:rsid w:val="002C20DF"/>
    <w:rsid w:val="002C2207"/>
    <w:rsid w:val="002C248B"/>
    <w:rsid w:val="002C25FD"/>
    <w:rsid w:val="002C27E1"/>
    <w:rsid w:val="002C2EA7"/>
    <w:rsid w:val="002C333D"/>
    <w:rsid w:val="002C3744"/>
    <w:rsid w:val="002C383D"/>
    <w:rsid w:val="002C42DB"/>
    <w:rsid w:val="002C4373"/>
    <w:rsid w:val="002C46F2"/>
    <w:rsid w:val="002C5385"/>
    <w:rsid w:val="002C590D"/>
    <w:rsid w:val="002C5F75"/>
    <w:rsid w:val="002C6119"/>
    <w:rsid w:val="002C7023"/>
    <w:rsid w:val="002C773B"/>
    <w:rsid w:val="002C797E"/>
    <w:rsid w:val="002C7D17"/>
    <w:rsid w:val="002C7F23"/>
    <w:rsid w:val="002D0232"/>
    <w:rsid w:val="002D03CB"/>
    <w:rsid w:val="002D070F"/>
    <w:rsid w:val="002D09AE"/>
    <w:rsid w:val="002D0B34"/>
    <w:rsid w:val="002D0DB7"/>
    <w:rsid w:val="002D0F93"/>
    <w:rsid w:val="002D1037"/>
    <w:rsid w:val="002D1AED"/>
    <w:rsid w:val="002D235E"/>
    <w:rsid w:val="002D2478"/>
    <w:rsid w:val="002D2498"/>
    <w:rsid w:val="002D2F21"/>
    <w:rsid w:val="002D31ED"/>
    <w:rsid w:val="002D3285"/>
    <w:rsid w:val="002D37D3"/>
    <w:rsid w:val="002D3812"/>
    <w:rsid w:val="002D3A17"/>
    <w:rsid w:val="002D3CD6"/>
    <w:rsid w:val="002D4497"/>
    <w:rsid w:val="002D4EF0"/>
    <w:rsid w:val="002D50CB"/>
    <w:rsid w:val="002D558A"/>
    <w:rsid w:val="002D5965"/>
    <w:rsid w:val="002D5970"/>
    <w:rsid w:val="002D5FE9"/>
    <w:rsid w:val="002D697F"/>
    <w:rsid w:val="002D6D32"/>
    <w:rsid w:val="002E0437"/>
    <w:rsid w:val="002E0A62"/>
    <w:rsid w:val="002E0BF3"/>
    <w:rsid w:val="002E1F1C"/>
    <w:rsid w:val="002E2C2F"/>
    <w:rsid w:val="002E305F"/>
    <w:rsid w:val="002E3799"/>
    <w:rsid w:val="002E38F0"/>
    <w:rsid w:val="002E3972"/>
    <w:rsid w:val="002E3F19"/>
    <w:rsid w:val="002E4AE3"/>
    <w:rsid w:val="002E51D2"/>
    <w:rsid w:val="002E54C0"/>
    <w:rsid w:val="002E5534"/>
    <w:rsid w:val="002E6F17"/>
    <w:rsid w:val="002E70B9"/>
    <w:rsid w:val="002E7919"/>
    <w:rsid w:val="002E7A0E"/>
    <w:rsid w:val="002E7A6F"/>
    <w:rsid w:val="002E7BB7"/>
    <w:rsid w:val="002E7EC9"/>
    <w:rsid w:val="002E7EFA"/>
    <w:rsid w:val="002F006B"/>
    <w:rsid w:val="002F02B9"/>
    <w:rsid w:val="002F076E"/>
    <w:rsid w:val="002F188D"/>
    <w:rsid w:val="002F32F6"/>
    <w:rsid w:val="002F3824"/>
    <w:rsid w:val="002F3BF0"/>
    <w:rsid w:val="002F4358"/>
    <w:rsid w:val="002F4450"/>
    <w:rsid w:val="002F44EE"/>
    <w:rsid w:val="002F57D0"/>
    <w:rsid w:val="002F5804"/>
    <w:rsid w:val="002F5ADF"/>
    <w:rsid w:val="002F5F6F"/>
    <w:rsid w:val="002F6386"/>
    <w:rsid w:val="002F670D"/>
    <w:rsid w:val="002F6E0A"/>
    <w:rsid w:val="002F70E5"/>
    <w:rsid w:val="002F7757"/>
    <w:rsid w:val="002F7A1F"/>
    <w:rsid w:val="002F7FDB"/>
    <w:rsid w:val="00300522"/>
    <w:rsid w:val="00300565"/>
    <w:rsid w:val="003008C8"/>
    <w:rsid w:val="003012E6"/>
    <w:rsid w:val="00301558"/>
    <w:rsid w:val="003017E0"/>
    <w:rsid w:val="003018E6"/>
    <w:rsid w:val="00301ADE"/>
    <w:rsid w:val="00301F12"/>
    <w:rsid w:val="003021CD"/>
    <w:rsid w:val="00302AAB"/>
    <w:rsid w:val="00302B06"/>
    <w:rsid w:val="00302E9B"/>
    <w:rsid w:val="00303226"/>
    <w:rsid w:val="00303293"/>
    <w:rsid w:val="003032C8"/>
    <w:rsid w:val="00303307"/>
    <w:rsid w:val="00303704"/>
    <w:rsid w:val="003041F9"/>
    <w:rsid w:val="00304EA4"/>
    <w:rsid w:val="00305171"/>
    <w:rsid w:val="0030566E"/>
    <w:rsid w:val="0030569B"/>
    <w:rsid w:val="00305C2D"/>
    <w:rsid w:val="00305C39"/>
    <w:rsid w:val="00305D1C"/>
    <w:rsid w:val="00306261"/>
    <w:rsid w:val="0030628B"/>
    <w:rsid w:val="00306A88"/>
    <w:rsid w:val="00306BD0"/>
    <w:rsid w:val="00307464"/>
    <w:rsid w:val="00307639"/>
    <w:rsid w:val="0030770C"/>
    <w:rsid w:val="00311BC4"/>
    <w:rsid w:val="00311F0F"/>
    <w:rsid w:val="003122EE"/>
    <w:rsid w:val="00312514"/>
    <w:rsid w:val="00312BDD"/>
    <w:rsid w:val="003137B6"/>
    <w:rsid w:val="00314939"/>
    <w:rsid w:val="00314D41"/>
    <w:rsid w:val="00314DFD"/>
    <w:rsid w:val="003154CB"/>
    <w:rsid w:val="00316DE7"/>
    <w:rsid w:val="003170D8"/>
    <w:rsid w:val="003170DC"/>
    <w:rsid w:val="00317260"/>
    <w:rsid w:val="003175F1"/>
    <w:rsid w:val="0031779C"/>
    <w:rsid w:val="003178CB"/>
    <w:rsid w:val="00320322"/>
    <w:rsid w:val="0032121E"/>
    <w:rsid w:val="003213D0"/>
    <w:rsid w:val="00321494"/>
    <w:rsid w:val="00321C16"/>
    <w:rsid w:val="00321F01"/>
    <w:rsid w:val="00321FD9"/>
    <w:rsid w:val="0032239A"/>
    <w:rsid w:val="00322AB3"/>
    <w:rsid w:val="00322ACA"/>
    <w:rsid w:val="00322D00"/>
    <w:rsid w:val="00322F03"/>
    <w:rsid w:val="00322F70"/>
    <w:rsid w:val="003230A9"/>
    <w:rsid w:val="003230E9"/>
    <w:rsid w:val="00323400"/>
    <w:rsid w:val="00323A48"/>
    <w:rsid w:val="00323AB6"/>
    <w:rsid w:val="00323BD2"/>
    <w:rsid w:val="003245FE"/>
    <w:rsid w:val="00324A90"/>
    <w:rsid w:val="00324B1D"/>
    <w:rsid w:val="003256F2"/>
    <w:rsid w:val="003257A2"/>
    <w:rsid w:val="0032580F"/>
    <w:rsid w:val="00325D8B"/>
    <w:rsid w:val="00326A36"/>
    <w:rsid w:val="00326F75"/>
    <w:rsid w:val="0032702B"/>
    <w:rsid w:val="0032775B"/>
    <w:rsid w:val="003301C3"/>
    <w:rsid w:val="003307A7"/>
    <w:rsid w:val="00330B7D"/>
    <w:rsid w:val="00330EA2"/>
    <w:rsid w:val="00331459"/>
    <w:rsid w:val="00331791"/>
    <w:rsid w:val="0033222A"/>
    <w:rsid w:val="00332261"/>
    <w:rsid w:val="00332EC6"/>
    <w:rsid w:val="00333193"/>
    <w:rsid w:val="0033323D"/>
    <w:rsid w:val="00333441"/>
    <w:rsid w:val="003334BE"/>
    <w:rsid w:val="00333FE2"/>
    <w:rsid w:val="0033435C"/>
    <w:rsid w:val="003353AA"/>
    <w:rsid w:val="003356C9"/>
    <w:rsid w:val="00335BA7"/>
    <w:rsid w:val="00335C36"/>
    <w:rsid w:val="00336BB5"/>
    <w:rsid w:val="00336ECB"/>
    <w:rsid w:val="00336EFF"/>
    <w:rsid w:val="003376FE"/>
    <w:rsid w:val="00337BDE"/>
    <w:rsid w:val="00337D43"/>
    <w:rsid w:val="003404C4"/>
    <w:rsid w:val="00340772"/>
    <w:rsid w:val="00340908"/>
    <w:rsid w:val="00340DE8"/>
    <w:rsid w:val="00341A10"/>
    <w:rsid w:val="0034228A"/>
    <w:rsid w:val="003422EE"/>
    <w:rsid w:val="00342D7E"/>
    <w:rsid w:val="00342EAF"/>
    <w:rsid w:val="0034353F"/>
    <w:rsid w:val="00343FAF"/>
    <w:rsid w:val="003443A6"/>
    <w:rsid w:val="0034497F"/>
    <w:rsid w:val="00344DC2"/>
    <w:rsid w:val="00344DE1"/>
    <w:rsid w:val="0034502A"/>
    <w:rsid w:val="00345147"/>
    <w:rsid w:val="0034544B"/>
    <w:rsid w:val="00345DD0"/>
    <w:rsid w:val="0034680A"/>
    <w:rsid w:val="00346DDE"/>
    <w:rsid w:val="00347035"/>
    <w:rsid w:val="003474CA"/>
    <w:rsid w:val="0034751D"/>
    <w:rsid w:val="003478FD"/>
    <w:rsid w:val="00347DCE"/>
    <w:rsid w:val="00350312"/>
    <w:rsid w:val="003506CD"/>
    <w:rsid w:val="00350894"/>
    <w:rsid w:val="0035182F"/>
    <w:rsid w:val="0035199D"/>
    <w:rsid w:val="00352227"/>
    <w:rsid w:val="003524B0"/>
    <w:rsid w:val="00352503"/>
    <w:rsid w:val="0035297F"/>
    <w:rsid w:val="00352C89"/>
    <w:rsid w:val="0035308E"/>
    <w:rsid w:val="003533C9"/>
    <w:rsid w:val="0035348F"/>
    <w:rsid w:val="0035390B"/>
    <w:rsid w:val="00353EAC"/>
    <w:rsid w:val="00354447"/>
    <w:rsid w:val="00354696"/>
    <w:rsid w:val="00354A34"/>
    <w:rsid w:val="00354D9A"/>
    <w:rsid w:val="00354F22"/>
    <w:rsid w:val="0035519A"/>
    <w:rsid w:val="00355237"/>
    <w:rsid w:val="00356073"/>
    <w:rsid w:val="003569A6"/>
    <w:rsid w:val="003573FE"/>
    <w:rsid w:val="00357899"/>
    <w:rsid w:val="00357A98"/>
    <w:rsid w:val="00357D3D"/>
    <w:rsid w:val="00357EC0"/>
    <w:rsid w:val="00357F60"/>
    <w:rsid w:val="0036059A"/>
    <w:rsid w:val="003606E6"/>
    <w:rsid w:val="00360892"/>
    <w:rsid w:val="00360B79"/>
    <w:rsid w:val="003614C3"/>
    <w:rsid w:val="003616BC"/>
    <w:rsid w:val="003625EA"/>
    <w:rsid w:val="003627FC"/>
    <w:rsid w:val="00362DEC"/>
    <w:rsid w:val="00363308"/>
    <w:rsid w:val="003636EE"/>
    <w:rsid w:val="00363BF7"/>
    <w:rsid w:val="00363CEE"/>
    <w:rsid w:val="00363D58"/>
    <w:rsid w:val="00363FF8"/>
    <w:rsid w:val="0036402E"/>
    <w:rsid w:val="003640E1"/>
    <w:rsid w:val="003646F9"/>
    <w:rsid w:val="00364B4C"/>
    <w:rsid w:val="00364F08"/>
    <w:rsid w:val="003657C0"/>
    <w:rsid w:val="00365936"/>
    <w:rsid w:val="00365A82"/>
    <w:rsid w:val="00365ECA"/>
    <w:rsid w:val="00365F0D"/>
    <w:rsid w:val="003662C5"/>
    <w:rsid w:val="00366382"/>
    <w:rsid w:val="00366475"/>
    <w:rsid w:val="00366571"/>
    <w:rsid w:val="003665EB"/>
    <w:rsid w:val="00366648"/>
    <w:rsid w:val="00367660"/>
    <w:rsid w:val="003677F5"/>
    <w:rsid w:val="00370BAA"/>
    <w:rsid w:val="0037136F"/>
    <w:rsid w:val="003713D7"/>
    <w:rsid w:val="00371545"/>
    <w:rsid w:val="00371857"/>
    <w:rsid w:val="00373ADC"/>
    <w:rsid w:val="00373C6F"/>
    <w:rsid w:val="00374057"/>
    <w:rsid w:val="003743EC"/>
    <w:rsid w:val="00374537"/>
    <w:rsid w:val="00374E5B"/>
    <w:rsid w:val="00375270"/>
    <w:rsid w:val="00375575"/>
    <w:rsid w:val="00376259"/>
    <w:rsid w:val="00376491"/>
    <w:rsid w:val="0037658D"/>
    <w:rsid w:val="00376AA5"/>
    <w:rsid w:val="00376E74"/>
    <w:rsid w:val="003771DB"/>
    <w:rsid w:val="0037721D"/>
    <w:rsid w:val="00377A99"/>
    <w:rsid w:val="0038065E"/>
    <w:rsid w:val="0038081A"/>
    <w:rsid w:val="0038102A"/>
    <w:rsid w:val="003810AC"/>
    <w:rsid w:val="003810BA"/>
    <w:rsid w:val="003817A2"/>
    <w:rsid w:val="003819EA"/>
    <w:rsid w:val="00381A0B"/>
    <w:rsid w:val="00381C89"/>
    <w:rsid w:val="0038288F"/>
    <w:rsid w:val="00382EB5"/>
    <w:rsid w:val="0038334F"/>
    <w:rsid w:val="003833B4"/>
    <w:rsid w:val="003833E5"/>
    <w:rsid w:val="003840C5"/>
    <w:rsid w:val="00385827"/>
    <w:rsid w:val="00385BB2"/>
    <w:rsid w:val="0038601D"/>
    <w:rsid w:val="00386186"/>
    <w:rsid w:val="00386EEA"/>
    <w:rsid w:val="00387466"/>
    <w:rsid w:val="003875BE"/>
    <w:rsid w:val="00387EF0"/>
    <w:rsid w:val="00390A15"/>
    <w:rsid w:val="00390C99"/>
    <w:rsid w:val="00391B01"/>
    <w:rsid w:val="00391B0B"/>
    <w:rsid w:val="00392037"/>
    <w:rsid w:val="00392074"/>
    <w:rsid w:val="0039234D"/>
    <w:rsid w:val="003929A7"/>
    <w:rsid w:val="00392C82"/>
    <w:rsid w:val="0039321E"/>
    <w:rsid w:val="00393295"/>
    <w:rsid w:val="00393AF9"/>
    <w:rsid w:val="00393C55"/>
    <w:rsid w:val="00393E8A"/>
    <w:rsid w:val="00394BB7"/>
    <w:rsid w:val="003954D1"/>
    <w:rsid w:val="0039579A"/>
    <w:rsid w:val="00395F17"/>
    <w:rsid w:val="00396023"/>
    <w:rsid w:val="00396611"/>
    <w:rsid w:val="00397124"/>
    <w:rsid w:val="00397261"/>
    <w:rsid w:val="003A02B6"/>
    <w:rsid w:val="003A0A19"/>
    <w:rsid w:val="003A1030"/>
    <w:rsid w:val="003A1B71"/>
    <w:rsid w:val="003A1C42"/>
    <w:rsid w:val="003A2085"/>
    <w:rsid w:val="003A285A"/>
    <w:rsid w:val="003A2C59"/>
    <w:rsid w:val="003A2D73"/>
    <w:rsid w:val="003A2F83"/>
    <w:rsid w:val="003A326F"/>
    <w:rsid w:val="003A39A2"/>
    <w:rsid w:val="003A3A24"/>
    <w:rsid w:val="003A45FA"/>
    <w:rsid w:val="003A4880"/>
    <w:rsid w:val="003A53AC"/>
    <w:rsid w:val="003A5A4A"/>
    <w:rsid w:val="003A5A6B"/>
    <w:rsid w:val="003A5ED5"/>
    <w:rsid w:val="003A6C3E"/>
    <w:rsid w:val="003A6E47"/>
    <w:rsid w:val="003A6ED5"/>
    <w:rsid w:val="003A743E"/>
    <w:rsid w:val="003A7AD1"/>
    <w:rsid w:val="003A7ADE"/>
    <w:rsid w:val="003B00B8"/>
    <w:rsid w:val="003B03CB"/>
    <w:rsid w:val="003B078F"/>
    <w:rsid w:val="003B21CD"/>
    <w:rsid w:val="003B24D6"/>
    <w:rsid w:val="003B29FC"/>
    <w:rsid w:val="003B2A34"/>
    <w:rsid w:val="003B3CB1"/>
    <w:rsid w:val="003B3E26"/>
    <w:rsid w:val="003B44B8"/>
    <w:rsid w:val="003B5082"/>
    <w:rsid w:val="003B54EE"/>
    <w:rsid w:val="003B59FA"/>
    <w:rsid w:val="003B5B49"/>
    <w:rsid w:val="003B5EAD"/>
    <w:rsid w:val="003B6228"/>
    <w:rsid w:val="003B63E3"/>
    <w:rsid w:val="003B6C5D"/>
    <w:rsid w:val="003B6CF5"/>
    <w:rsid w:val="003B6E2C"/>
    <w:rsid w:val="003B70EE"/>
    <w:rsid w:val="003B7359"/>
    <w:rsid w:val="003B73B0"/>
    <w:rsid w:val="003B7DB1"/>
    <w:rsid w:val="003C00E2"/>
    <w:rsid w:val="003C01D4"/>
    <w:rsid w:val="003C0904"/>
    <w:rsid w:val="003C0C3B"/>
    <w:rsid w:val="003C10C8"/>
    <w:rsid w:val="003C132B"/>
    <w:rsid w:val="003C2327"/>
    <w:rsid w:val="003C2C08"/>
    <w:rsid w:val="003C2CC3"/>
    <w:rsid w:val="003C2FCD"/>
    <w:rsid w:val="003C359F"/>
    <w:rsid w:val="003C405A"/>
    <w:rsid w:val="003C4274"/>
    <w:rsid w:val="003C46C7"/>
    <w:rsid w:val="003C471C"/>
    <w:rsid w:val="003C4F21"/>
    <w:rsid w:val="003C5145"/>
    <w:rsid w:val="003C5768"/>
    <w:rsid w:val="003C576F"/>
    <w:rsid w:val="003C69BF"/>
    <w:rsid w:val="003C6D0C"/>
    <w:rsid w:val="003C6EB9"/>
    <w:rsid w:val="003C6F37"/>
    <w:rsid w:val="003C7063"/>
    <w:rsid w:val="003C70CA"/>
    <w:rsid w:val="003C74F6"/>
    <w:rsid w:val="003C7BD7"/>
    <w:rsid w:val="003D0085"/>
    <w:rsid w:val="003D00E2"/>
    <w:rsid w:val="003D02B9"/>
    <w:rsid w:val="003D043D"/>
    <w:rsid w:val="003D0832"/>
    <w:rsid w:val="003D09EE"/>
    <w:rsid w:val="003D1800"/>
    <w:rsid w:val="003D1F6E"/>
    <w:rsid w:val="003D223D"/>
    <w:rsid w:val="003D23A3"/>
    <w:rsid w:val="003D2469"/>
    <w:rsid w:val="003D2C30"/>
    <w:rsid w:val="003D2D0D"/>
    <w:rsid w:val="003D3323"/>
    <w:rsid w:val="003D3397"/>
    <w:rsid w:val="003D3AB8"/>
    <w:rsid w:val="003D3DE7"/>
    <w:rsid w:val="003D3FCA"/>
    <w:rsid w:val="003D419A"/>
    <w:rsid w:val="003D498D"/>
    <w:rsid w:val="003D4A2A"/>
    <w:rsid w:val="003D54CA"/>
    <w:rsid w:val="003D5856"/>
    <w:rsid w:val="003D612A"/>
    <w:rsid w:val="003D6457"/>
    <w:rsid w:val="003D6989"/>
    <w:rsid w:val="003D7B94"/>
    <w:rsid w:val="003E0836"/>
    <w:rsid w:val="003E0B6D"/>
    <w:rsid w:val="003E1509"/>
    <w:rsid w:val="003E1B62"/>
    <w:rsid w:val="003E1D44"/>
    <w:rsid w:val="003E2098"/>
    <w:rsid w:val="003E24EA"/>
    <w:rsid w:val="003E2744"/>
    <w:rsid w:val="003E30B0"/>
    <w:rsid w:val="003E3A5B"/>
    <w:rsid w:val="003E3ACE"/>
    <w:rsid w:val="003E3E32"/>
    <w:rsid w:val="003E3F9E"/>
    <w:rsid w:val="003E4047"/>
    <w:rsid w:val="003E52B2"/>
    <w:rsid w:val="003E590D"/>
    <w:rsid w:val="003E5939"/>
    <w:rsid w:val="003E5B19"/>
    <w:rsid w:val="003E5B84"/>
    <w:rsid w:val="003E6055"/>
    <w:rsid w:val="003E606B"/>
    <w:rsid w:val="003E617E"/>
    <w:rsid w:val="003E6276"/>
    <w:rsid w:val="003E65FE"/>
    <w:rsid w:val="003E680E"/>
    <w:rsid w:val="003E6AA9"/>
    <w:rsid w:val="003E7CB0"/>
    <w:rsid w:val="003E7EBA"/>
    <w:rsid w:val="003F0203"/>
    <w:rsid w:val="003F0CF1"/>
    <w:rsid w:val="003F0E25"/>
    <w:rsid w:val="003F10B9"/>
    <w:rsid w:val="003F16AB"/>
    <w:rsid w:val="003F182F"/>
    <w:rsid w:val="003F1A0D"/>
    <w:rsid w:val="003F1C7A"/>
    <w:rsid w:val="003F2215"/>
    <w:rsid w:val="003F2398"/>
    <w:rsid w:val="003F2522"/>
    <w:rsid w:val="003F321C"/>
    <w:rsid w:val="003F37B9"/>
    <w:rsid w:val="003F3914"/>
    <w:rsid w:val="003F3B4E"/>
    <w:rsid w:val="003F3B8C"/>
    <w:rsid w:val="003F3CF5"/>
    <w:rsid w:val="003F4514"/>
    <w:rsid w:val="003F46BD"/>
    <w:rsid w:val="003F4C73"/>
    <w:rsid w:val="003F4FC7"/>
    <w:rsid w:val="003F523E"/>
    <w:rsid w:val="003F573A"/>
    <w:rsid w:val="003F6235"/>
    <w:rsid w:val="003F6689"/>
    <w:rsid w:val="003F67D9"/>
    <w:rsid w:val="003F6A13"/>
    <w:rsid w:val="003F6BA6"/>
    <w:rsid w:val="003F6F1A"/>
    <w:rsid w:val="003F70EF"/>
    <w:rsid w:val="003F7107"/>
    <w:rsid w:val="003F7308"/>
    <w:rsid w:val="003F79C0"/>
    <w:rsid w:val="003F7F16"/>
    <w:rsid w:val="0040060F"/>
    <w:rsid w:val="00400F41"/>
    <w:rsid w:val="0040101C"/>
    <w:rsid w:val="004014E3"/>
    <w:rsid w:val="00401A3A"/>
    <w:rsid w:val="00401B83"/>
    <w:rsid w:val="00401BA3"/>
    <w:rsid w:val="00402211"/>
    <w:rsid w:val="00402507"/>
    <w:rsid w:val="00402905"/>
    <w:rsid w:val="00402FB9"/>
    <w:rsid w:val="004031BC"/>
    <w:rsid w:val="0040330C"/>
    <w:rsid w:val="0040351B"/>
    <w:rsid w:val="00403CF3"/>
    <w:rsid w:val="00403E1E"/>
    <w:rsid w:val="00403E2E"/>
    <w:rsid w:val="00404112"/>
    <w:rsid w:val="004049EF"/>
    <w:rsid w:val="00404A05"/>
    <w:rsid w:val="00404BF0"/>
    <w:rsid w:val="00404DBC"/>
    <w:rsid w:val="00404E4F"/>
    <w:rsid w:val="00404F4A"/>
    <w:rsid w:val="0040569A"/>
    <w:rsid w:val="00405845"/>
    <w:rsid w:val="00405EF8"/>
    <w:rsid w:val="004061D3"/>
    <w:rsid w:val="004064F7"/>
    <w:rsid w:val="00406552"/>
    <w:rsid w:val="00406BEF"/>
    <w:rsid w:val="00406E20"/>
    <w:rsid w:val="00407F84"/>
    <w:rsid w:val="0041062D"/>
    <w:rsid w:val="00410824"/>
    <w:rsid w:val="0041110E"/>
    <w:rsid w:val="00411414"/>
    <w:rsid w:val="0041148F"/>
    <w:rsid w:val="0041158A"/>
    <w:rsid w:val="00411726"/>
    <w:rsid w:val="004119A2"/>
    <w:rsid w:val="004119C5"/>
    <w:rsid w:val="00411CF9"/>
    <w:rsid w:val="00411DAD"/>
    <w:rsid w:val="004123BB"/>
    <w:rsid w:val="0041282F"/>
    <w:rsid w:val="00412FA5"/>
    <w:rsid w:val="00413340"/>
    <w:rsid w:val="0041428A"/>
    <w:rsid w:val="0041432F"/>
    <w:rsid w:val="004149A3"/>
    <w:rsid w:val="00414BD2"/>
    <w:rsid w:val="0041509E"/>
    <w:rsid w:val="004155A7"/>
    <w:rsid w:val="00415642"/>
    <w:rsid w:val="00415A0E"/>
    <w:rsid w:val="00415AA2"/>
    <w:rsid w:val="00416011"/>
    <w:rsid w:val="0041665B"/>
    <w:rsid w:val="00416FA0"/>
    <w:rsid w:val="00417A31"/>
    <w:rsid w:val="00420749"/>
    <w:rsid w:val="00420DD7"/>
    <w:rsid w:val="00420F0E"/>
    <w:rsid w:val="00420F1C"/>
    <w:rsid w:val="00421F21"/>
    <w:rsid w:val="00422C30"/>
    <w:rsid w:val="00422C69"/>
    <w:rsid w:val="00422E65"/>
    <w:rsid w:val="00422FE6"/>
    <w:rsid w:val="00423007"/>
    <w:rsid w:val="0042339A"/>
    <w:rsid w:val="004233F9"/>
    <w:rsid w:val="00423A04"/>
    <w:rsid w:val="00423B15"/>
    <w:rsid w:val="00423B2F"/>
    <w:rsid w:val="00423CE1"/>
    <w:rsid w:val="00423E48"/>
    <w:rsid w:val="00423EAE"/>
    <w:rsid w:val="00423F03"/>
    <w:rsid w:val="00424137"/>
    <w:rsid w:val="004242AD"/>
    <w:rsid w:val="00424540"/>
    <w:rsid w:val="0042458E"/>
    <w:rsid w:val="00424CB8"/>
    <w:rsid w:val="0042508F"/>
    <w:rsid w:val="004259E7"/>
    <w:rsid w:val="00425A2E"/>
    <w:rsid w:val="00425BB8"/>
    <w:rsid w:val="00425F04"/>
    <w:rsid w:val="00426350"/>
    <w:rsid w:val="004263E5"/>
    <w:rsid w:val="00426541"/>
    <w:rsid w:val="00426ED6"/>
    <w:rsid w:val="0042731A"/>
    <w:rsid w:val="00427E6C"/>
    <w:rsid w:val="004301E1"/>
    <w:rsid w:val="004302B7"/>
    <w:rsid w:val="004302F2"/>
    <w:rsid w:val="0043030F"/>
    <w:rsid w:val="00430A48"/>
    <w:rsid w:val="00431047"/>
    <w:rsid w:val="004329D1"/>
    <w:rsid w:val="00432ABF"/>
    <w:rsid w:val="00432BD4"/>
    <w:rsid w:val="00432DAD"/>
    <w:rsid w:val="0043326D"/>
    <w:rsid w:val="004334B6"/>
    <w:rsid w:val="0043352C"/>
    <w:rsid w:val="00433C79"/>
    <w:rsid w:val="00433D24"/>
    <w:rsid w:val="0043423A"/>
    <w:rsid w:val="00434413"/>
    <w:rsid w:val="00434797"/>
    <w:rsid w:val="004352B1"/>
    <w:rsid w:val="0043541D"/>
    <w:rsid w:val="00436193"/>
    <w:rsid w:val="0043698F"/>
    <w:rsid w:val="004379C2"/>
    <w:rsid w:val="00437CDD"/>
    <w:rsid w:val="004400E8"/>
    <w:rsid w:val="00440310"/>
    <w:rsid w:val="004407B0"/>
    <w:rsid w:val="0044090B"/>
    <w:rsid w:val="0044099F"/>
    <w:rsid w:val="004415EB"/>
    <w:rsid w:val="00441629"/>
    <w:rsid w:val="00441C60"/>
    <w:rsid w:val="00442061"/>
    <w:rsid w:val="00442A20"/>
    <w:rsid w:val="00442AC6"/>
    <w:rsid w:val="00442CE1"/>
    <w:rsid w:val="00443B6C"/>
    <w:rsid w:val="00443BA8"/>
    <w:rsid w:val="00443C26"/>
    <w:rsid w:val="00443C9D"/>
    <w:rsid w:val="00443F81"/>
    <w:rsid w:val="00444AC2"/>
    <w:rsid w:val="0044540C"/>
    <w:rsid w:val="00445768"/>
    <w:rsid w:val="00445770"/>
    <w:rsid w:val="0044579A"/>
    <w:rsid w:val="00447BE5"/>
    <w:rsid w:val="00447BE7"/>
    <w:rsid w:val="00447D70"/>
    <w:rsid w:val="004501CD"/>
    <w:rsid w:val="00450A03"/>
    <w:rsid w:val="00450A74"/>
    <w:rsid w:val="00450B96"/>
    <w:rsid w:val="00450C80"/>
    <w:rsid w:val="0045132E"/>
    <w:rsid w:val="00451819"/>
    <w:rsid w:val="004526DA"/>
    <w:rsid w:val="004529E1"/>
    <w:rsid w:val="004544D6"/>
    <w:rsid w:val="00455201"/>
    <w:rsid w:val="00455498"/>
    <w:rsid w:val="00455AAE"/>
    <w:rsid w:val="00455BB7"/>
    <w:rsid w:val="004563F1"/>
    <w:rsid w:val="004565A6"/>
    <w:rsid w:val="004569F7"/>
    <w:rsid w:val="00456B73"/>
    <w:rsid w:val="00456F11"/>
    <w:rsid w:val="00457725"/>
    <w:rsid w:val="00460152"/>
    <w:rsid w:val="004601BB"/>
    <w:rsid w:val="00460424"/>
    <w:rsid w:val="004605A6"/>
    <w:rsid w:val="0046094D"/>
    <w:rsid w:val="00461642"/>
    <w:rsid w:val="004619C2"/>
    <w:rsid w:val="00461B25"/>
    <w:rsid w:val="00461CE9"/>
    <w:rsid w:val="00462407"/>
    <w:rsid w:val="00462A12"/>
    <w:rsid w:val="00462D85"/>
    <w:rsid w:val="00462E53"/>
    <w:rsid w:val="004631DD"/>
    <w:rsid w:val="004633EE"/>
    <w:rsid w:val="004635FD"/>
    <w:rsid w:val="00463D78"/>
    <w:rsid w:val="004648ED"/>
    <w:rsid w:val="00464DAB"/>
    <w:rsid w:val="00464FAD"/>
    <w:rsid w:val="00465366"/>
    <w:rsid w:val="004657D1"/>
    <w:rsid w:val="00465FBF"/>
    <w:rsid w:val="00466AF7"/>
    <w:rsid w:val="00467AC0"/>
    <w:rsid w:val="00467B85"/>
    <w:rsid w:val="00467B91"/>
    <w:rsid w:val="00470129"/>
    <w:rsid w:val="0047069A"/>
    <w:rsid w:val="0047084C"/>
    <w:rsid w:val="00470D72"/>
    <w:rsid w:val="00470E42"/>
    <w:rsid w:val="00471955"/>
    <w:rsid w:val="00472049"/>
    <w:rsid w:val="00472768"/>
    <w:rsid w:val="004728A0"/>
    <w:rsid w:val="00472FB6"/>
    <w:rsid w:val="004738B0"/>
    <w:rsid w:val="004742DD"/>
    <w:rsid w:val="00474798"/>
    <w:rsid w:val="00474999"/>
    <w:rsid w:val="00475231"/>
    <w:rsid w:val="004754F8"/>
    <w:rsid w:val="00475B4F"/>
    <w:rsid w:val="00475D8F"/>
    <w:rsid w:val="00475E51"/>
    <w:rsid w:val="0047604B"/>
    <w:rsid w:val="0047671D"/>
    <w:rsid w:val="0047673A"/>
    <w:rsid w:val="00476847"/>
    <w:rsid w:val="00476869"/>
    <w:rsid w:val="00477281"/>
    <w:rsid w:val="00477302"/>
    <w:rsid w:val="00477718"/>
    <w:rsid w:val="00477DE2"/>
    <w:rsid w:val="00477F1F"/>
    <w:rsid w:val="00480B86"/>
    <w:rsid w:val="00480E58"/>
    <w:rsid w:val="0048145F"/>
    <w:rsid w:val="00481A31"/>
    <w:rsid w:val="00481C76"/>
    <w:rsid w:val="00481DE9"/>
    <w:rsid w:val="00482982"/>
    <w:rsid w:val="00482B0F"/>
    <w:rsid w:val="00482C8C"/>
    <w:rsid w:val="00483074"/>
    <w:rsid w:val="0048342E"/>
    <w:rsid w:val="004834B3"/>
    <w:rsid w:val="0048364F"/>
    <w:rsid w:val="00483756"/>
    <w:rsid w:val="004849B3"/>
    <w:rsid w:val="00484B84"/>
    <w:rsid w:val="00484E96"/>
    <w:rsid w:val="00486CC0"/>
    <w:rsid w:val="0048757F"/>
    <w:rsid w:val="0048791C"/>
    <w:rsid w:val="00487BF2"/>
    <w:rsid w:val="00490505"/>
    <w:rsid w:val="00490B59"/>
    <w:rsid w:val="00491623"/>
    <w:rsid w:val="004916F5"/>
    <w:rsid w:val="00491D63"/>
    <w:rsid w:val="00491D99"/>
    <w:rsid w:val="00492042"/>
    <w:rsid w:val="0049224F"/>
    <w:rsid w:val="00492519"/>
    <w:rsid w:val="00492C6E"/>
    <w:rsid w:val="00493735"/>
    <w:rsid w:val="00493A32"/>
    <w:rsid w:val="00493FB5"/>
    <w:rsid w:val="00494E80"/>
    <w:rsid w:val="00494F34"/>
    <w:rsid w:val="0049512F"/>
    <w:rsid w:val="00495351"/>
    <w:rsid w:val="00495504"/>
    <w:rsid w:val="00495A1B"/>
    <w:rsid w:val="00496700"/>
    <w:rsid w:val="00496D6E"/>
    <w:rsid w:val="00496DF4"/>
    <w:rsid w:val="00497682"/>
    <w:rsid w:val="004976A1"/>
    <w:rsid w:val="004976A5"/>
    <w:rsid w:val="00497DF3"/>
    <w:rsid w:val="00497F54"/>
    <w:rsid w:val="00497F93"/>
    <w:rsid w:val="004A02FC"/>
    <w:rsid w:val="004A03FC"/>
    <w:rsid w:val="004A0DDD"/>
    <w:rsid w:val="004A0E06"/>
    <w:rsid w:val="004A1738"/>
    <w:rsid w:val="004A1D19"/>
    <w:rsid w:val="004A2535"/>
    <w:rsid w:val="004A2550"/>
    <w:rsid w:val="004A264D"/>
    <w:rsid w:val="004A2FB8"/>
    <w:rsid w:val="004A320D"/>
    <w:rsid w:val="004A3D6D"/>
    <w:rsid w:val="004A41A3"/>
    <w:rsid w:val="004A47F7"/>
    <w:rsid w:val="004A4852"/>
    <w:rsid w:val="004A52D3"/>
    <w:rsid w:val="004A5586"/>
    <w:rsid w:val="004A5674"/>
    <w:rsid w:val="004A6191"/>
    <w:rsid w:val="004A6432"/>
    <w:rsid w:val="004A677F"/>
    <w:rsid w:val="004A6D0B"/>
    <w:rsid w:val="004A7403"/>
    <w:rsid w:val="004A7DA8"/>
    <w:rsid w:val="004A7FB6"/>
    <w:rsid w:val="004B095D"/>
    <w:rsid w:val="004B131C"/>
    <w:rsid w:val="004B1531"/>
    <w:rsid w:val="004B196D"/>
    <w:rsid w:val="004B1A61"/>
    <w:rsid w:val="004B1ECE"/>
    <w:rsid w:val="004B22BC"/>
    <w:rsid w:val="004B2B07"/>
    <w:rsid w:val="004B3282"/>
    <w:rsid w:val="004B353A"/>
    <w:rsid w:val="004B39D0"/>
    <w:rsid w:val="004B3A57"/>
    <w:rsid w:val="004B40CF"/>
    <w:rsid w:val="004B4119"/>
    <w:rsid w:val="004B4193"/>
    <w:rsid w:val="004B4245"/>
    <w:rsid w:val="004B4FFE"/>
    <w:rsid w:val="004B5559"/>
    <w:rsid w:val="004B56A8"/>
    <w:rsid w:val="004B576C"/>
    <w:rsid w:val="004B57FF"/>
    <w:rsid w:val="004B5A6D"/>
    <w:rsid w:val="004B609E"/>
    <w:rsid w:val="004B6922"/>
    <w:rsid w:val="004B6BA1"/>
    <w:rsid w:val="004B7220"/>
    <w:rsid w:val="004C0417"/>
    <w:rsid w:val="004C0EB0"/>
    <w:rsid w:val="004C2A70"/>
    <w:rsid w:val="004C33D8"/>
    <w:rsid w:val="004C3425"/>
    <w:rsid w:val="004C345A"/>
    <w:rsid w:val="004C34D2"/>
    <w:rsid w:val="004C3B69"/>
    <w:rsid w:val="004C3D2E"/>
    <w:rsid w:val="004C471E"/>
    <w:rsid w:val="004C4823"/>
    <w:rsid w:val="004C4B0F"/>
    <w:rsid w:val="004C4D13"/>
    <w:rsid w:val="004C4E5E"/>
    <w:rsid w:val="004C55DE"/>
    <w:rsid w:val="004C69B6"/>
    <w:rsid w:val="004C6A59"/>
    <w:rsid w:val="004C6AA1"/>
    <w:rsid w:val="004C7251"/>
    <w:rsid w:val="004C7E3D"/>
    <w:rsid w:val="004C7E8E"/>
    <w:rsid w:val="004D0502"/>
    <w:rsid w:val="004D0C13"/>
    <w:rsid w:val="004D0F72"/>
    <w:rsid w:val="004D1181"/>
    <w:rsid w:val="004D1194"/>
    <w:rsid w:val="004D17A9"/>
    <w:rsid w:val="004D1FBE"/>
    <w:rsid w:val="004D3ACC"/>
    <w:rsid w:val="004D3B55"/>
    <w:rsid w:val="004D402B"/>
    <w:rsid w:val="004D4A88"/>
    <w:rsid w:val="004D4BF5"/>
    <w:rsid w:val="004D4C31"/>
    <w:rsid w:val="004D5425"/>
    <w:rsid w:val="004D588A"/>
    <w:rsid w:val="004D6EBF"/>
    <w:rsid w:val="004D74E3"/>
    <w:rsid w:val="004D782F"/>
    <w:rsid w:val="004D7959"/>
    <w:rsid w:val="004D7C0C"/>
    <w:rsid w:val="004E0234"/>
    <w:rsid w:val="004E069E"/>
    <w:rsid w:val="004E0964"/>
    <w:rsid w:val="004E1233"/>
    <w:rsid w:val="004E19CE"/>
    <w:rsid w:val="004E246B"/>
    <w:rsid w:val="004E28C6"/>
    <w:rsid w:val="004E2AB7"/>
    <w:rsid w:val="004E2C2F"/>
    <w:rsid w:val="004E2F17"/>
    <w:rsid w:val="004E338F"/>
    <w:rsid w:val="004E33D1"/>
    <w:rsid w:val="004E483D"/>
    <w:rsid w:val="004E4A54"/>
    <w:rsid w:val="004E4C2C"/>
    <w:rsid w:val="004E4EE8"/>
    <w:rsid w:val="004E4FEF"/>
    <w:rsid w:val="004E5044"/>
    <w:rsid w:val="004E512C"/>
    <w:rsid w:val="004E537A"/>
    <w:rsid w:val="004E53C8"/>
    <w:rsid w:val="004E55C6"/>
    <w:rsid w:val="004E5C25"/>
    <w:rsid w:val="004E5CAE"/>
    <w:rsid w:val="004E5D15"/>
    <w:rsid w:val="004E5F32"/>
    <w:rsid w:val="004E63F2"/>
    <w:rsid w:val="004E651B"/>
    <w:rsid w:val="004E6DE1"/>
    <w:rsid w:val="004E726F"/>
    <w:rsid w:val="004E7520"/>
    <w:rsid w:val="004E7701"/>
    <w:rsid w:val="004E7E41"/>
    <w:rsid w:val="004F0855"/>
    <w:rsid w:val="004F0AE2"/>
    <w:rsid w:val="004F0C91"/>
    <w:rsid w:val="004F102D"/>
    <w:rsid w:val="004F10E0"/>
    <w:rsid w:val="004F10F4"/>
    <w:rsid w:val="004F138F"/>
    <w:rsid w:val="004F1728"/>
    <w:rsid w:val="004F20E2"/>
    <w:rsid w:val="004F2A72"/>
    <w:rsid w:val="004F2D0A"/>
    <w:rsid w:val="004F2EA8"/>
    <w:rsid w:val="004F417D"/>
    <w:rsid w:val="004F420C"/>
    <w:rsid w:val="004F4D80"/>
    <w:rsid w:val="004F4F7C"/>
    <w:rsid w:val="004F521D"/>
    <w:rsid w:val="004F5C4B"/>
    <w:rsid w:val="004F5CEA"/>
    <w:rsid w:val="004F6229"/>
    <w:rsid w:val="004F656F"/>
    <w:rsid w:val="004F687D"/>
    <w:rsid w:val="004F689D"/>
    <w:rsid w:val="004F691C"/>
    <w:rsid w:val="004F6A19"/>
    <w:rsid w:val="004F6D54"/>
    <w:rsid w:val="004F7097"/>
    <w:rsid w:val="004F71D1"/>
    <w:rsid w:val="004F75BD"/>
    <w:rsid w:val="004F79F3"/>
    <w:rsid w:val="004F7A80"/>
    <w:rsid w:val="004F7C26"/>
    <w:rsid w:val="00500123"/>
    <w:rsid w:val="00500BA2"/>
    <w:rsid w:val="00501198"/>
    <w:rsid w:val="00501386"/>
    <w:rsid w:val="00501394"/>
    <w:rsid w:val="005013A3"/>
    <w:rsid w:val="005014C6"/>
    <w:rsid w:val="0050162A"/>
    <w:rsid w:val="00501B32"/>
    <w:rsid w:val="00501C5E"/>
    <w:rsid w:val="00501ECD"/>
    <w:rsid w:val="005027AD"/>
    <w:rsid w:val="00502A0F"/>
    <w:rsid w:val="00502C91"/>
    <w:rsid w:val="005030A3"/>
    <w:rsid w:val="00503888"/>
    <w:rsid w:val="005039C6"/>
    <w:rsid w:val="00503A3C"/>
    <w:rsid w:val="00503F38"/>
    <w:rsid w:val="0050406B"/>
    <w:rsid w:val="0050435E"/>
    <w:rsid w:val="005044B6"/>
    <w:rsid w:val="00505AAE"/>
    <w:rsid w:val="00505AEA"/>
    <w:rsid w:val="0050669B"/>
    <w:rsid w:val="005066E2"/>
    <w:rsid w:val="0050670B"/>
    <w:rsid w:val="00506810"/>
    <w:rsid w:val="00506D77"/>
    <w:rsid w:val="005073AD"/>
    <w:rsid w:val="00507EF7"/>
    <w:rsid w:val="005110AF"/>
    <w:rsid w:val="00511486"/>
    <w:rsid w:val="00511B29"/>
    <w:rsid w:val="005121F1"/>
    <w:rsid w:val="005124ED"/>
    <w:rsid w:val="00512771"/>
    <w:rsid w:val="00513080"/>
    <w:rsid w:val="00513119"/>
    <w:rsid w:val="0051349E"/>
    <w:rsid w:val="00513601"/>
    <w:rsid w:val="00513AC6"/>
    <w:rsid w:val="005141E8"/>
    <w:rsid w:val="0051452C"/>
    <w:rsid w:val="00514550"/>
    <w:rsid w:val="005145B2"/>
    <w:rsid w:val="00515048"/>
    <w:rsid w:val="00516581"/>
    <w:rsid w:val="00516840"/>
    <w:rsid w:val="00516997"/>
    <w:rsid w:val="00516A89"/>
    <w:rsid w:val="00517257"/>
    <w:rsid w:val="00517879"/>
    <w:rsid w:val="0052061D"/>
    <w:rsid w:val="00520971"/>
    <w:rsid w:val="00520B51"/>
    <w:rsid w:val="005210DF"/>
    <w:rsid w:val="005217D9"/>
    <w:rsid w:val="00521D84"/>
    <w:rsid w:val="00522EC1"/>
    <w:rsid w:val="0052367F"/>
    <w:rsid w:val="00523AA6"/>
    <w:rsid w:val="00523F62"/>
    <w:rsid w:val="005243B6"/>
    <w:rsid w:val="00524498"/>
    <w:rsid w:val="00524E65"/>
    <w:rsid w:val="00524EF7"/>
    <w:rsid w:val="0052598D"/>
    <w:rsid w:val="00526915"/>
    <w:rsid w:val="00526939"/>
    <w:rsid w:val="00526ED1"/>
    <w:rsid w:val="005270BC"/>
    <w:rsid w:val="005271F6"/>
    <w:rsid w:val="00527A18"/>
    <w:rsid w:val="00527BA4"/>
    <w:rsid w:val="00530840"/>
    <w:rsid w:val="00530B3B"/>
    <w:rsid w:val="00530BFB"/>
    <w:rsid w:val="00531093"/>
    <w:rsid w:val="00531127"/>
    <w:rsid w:val="0053126C"/>
    <w:rsid w:val="0053180C"/>
    <w:rsid w:val="00531DDC"/>
    <w:rsid w:val="00531EF0"/>
    <w:rsid w:val="00532628"/>
    <w:rsid w:val="0053268A"/>
    <w:rsid w:val="005326E6"/>
    <w:rsid w:val="00532815"/>
    <w:rsid w:val="0053291E"/>
    <w:rsid w:val="00532A3F"/>
    <w:rsid w:val="00533542"/>
    <w:rsid w:val="00533550"/>
    <w:rsid w:val="005338A3"/>
    <w:rsid w:val="00534642"/>
    <w:rsid w:val="005351DD"/>
    <w:rsid w:val="00535754"/>
    <w:rsid w:val="005358B9"/>
    <w:rsid w:val="00535F42"/>
    <w:rsid w:val="005362B7"/>
    <w:rsid w:val="00536320"/>
    <w:rsid w:val="0053656F"/>
    <w:rsid w:val="00536740"/>
    <w:rsid w:val="0053695C"/>
    <w:rsid w:val="00536E69"/>
    <w:rsid w:val="00536E90"/>
    <w:rsid w:val="005375D5"/>
    <w:rsid w:val="005379ED"/>
    <w:rsid w:val="00537B91"/>
    <w:rsid w:val="00537D44"/>
    <w:rsid w:val="00537D63"/>
    <w:rsid w:val="005400ED"/>
    <w:rsid w:val="005401F8"/>
    <w:rsid w:val="00540842"/>
    <w:rsid w:val="00540948"/>
    <w:rsid w:val="00540B70"/>
    <w:rsid w:val="00540C5A"/>
    <w:rsid w:val="0054131F"/>
    <w:rsid w:val="005413DC"/>
    <w:rsid w:val="00541451"/>
    <w:rsid w:val="00541782"/>
    <w:rsid w:val="00541A8B"/>
    <w:rsid w:val="00542801"/>
    <w:rsid w:val="0054298E"/>
    <w:rsid w:val="00543112"/>
    <w:rsid w:val="005439FB"/>
    <w:rsid w:val="00543B58"/>
    <w:rsid w:val="0054521B"/>
    <w:rsid w:val="005456D0"/>
    <w:rsid w:val="00546332"/>
    <w:rsid w:val="0054679B"/>
    <w:rsid w:val="00546BA0"/>
    <w:rsid w:val="00546BA3"/>
    <w:rsid w:val="00546D9C"/>
    <w:rsid w:val="00547638"/>
    <w:rsid w:val="00547821"/>
    <w:rsid w:val="00547A41"/>
    <w:rsid w:val="00550436"/>
    <w:rsid w:val="00550958"/>
    <w:rsid w:val="0055099C"/>
    <w:rsid w:val="00550BC0"/>
    <w:rsid w:val="00550C99"/>
    <w:rsid w:val="00550F0F"/>
    <w:rsid w:val="00551317"/>
    <w:rsid w:val="005513F3"/>
    <w:rsid w:val="0055207C"/>
    <w:rsid w:val="005522D0"/>
    <w:rsid w:val="00552755"/>
    <w:rsid w:val="005527DD"/>
    <w:rsid w:val="0055283E"/>
    <w:rsid w:val="00552926"/>
    <w:rsid w:val="00552BEB"/>
    <w:rsid w:val="00553413"/>
    <w:rsid w:val="00553C6E"/>
    <w:rsid w:val="00553E7B"/>
    <w:rsid w:val="00553EE9"/>
    <w:rsid w:val="00554824"/>
    <w:rsid w:val="00554901"/>
    <w:rsid w:val="0055498C"/>
    <w:rsid w:val="00554994"/>
    <w:rsid w:val="00554C09"/>
    <w:rsid w:val="00554E3D"/>
    <w:rsid w:val="00554EA9"/>
    <w:rsid w:val="00555AB2"/>
    <w:rsid w:val="005560AD"/>
    <w:rsid w:val="005569C7"/>
    <w:rsid w:val="00557231"/>
    <w:rsid w:val="00557781"/>
    <w:rsid w:val="00557DF1"/>
    <w:rsid w:val="00557F24"/>
    <w:rsid w:val="005607FC"/>
    <w:rsid w:val="00560BA4"/>
    <w:rsid w:val="00560CB0"/>
    <w:rsid w:val="00560E29"/>
    <w:rsid w:val="00561129"/>
    <w:rsid w:val="00561E5E"/>
    <w:rsid w:val="00562410"/>
    <w:rsid w:val="00562701"/>
    <w:rsid w:val="00562B5B"/>
    <w:rsid w:val="00562D0D"/>
    <w:rsid w:val="00563349"/>
    <w:rsid w:val="00563874"/>
    <w:rsid w:val="00563A44"/>
    <w:rsid w:val="00563BC7"/>
    <w:rsid w:val="00563FEA"/>
    <w:rsid w:val="00564102"/>
    <w:rsid w:val="005652B9"/>
    <w:rsid w:val="00565B19"/>
    <w:rsid w:val="00566049"/>
    <w:rsid w:val="005660A2"/>
    <w:rsid w:val="005665F9"/>
    <w:rsid w:val="0056671F"/>
    <w:rsid w:val="00566B7B"/>
    <w:rsid w:val="00567387"/>
    <w:rsid w:val="0056766B"/>
    <w:rsid w:val="00567D0D"/>
    <w:rsid w:val="0057075A"/>
    <w:rsid w:val="00570CC4"/>
    <w:rsid w:val="00570E55"/>
    <w:rsid w:val="00571371"/>
    <w:rsid w:val="00571C54"/>
    <w:rsid w:val="00571E3F"/>
    <w:rsid w:val="00571FB0"/>
    <w:rsid w:val="00572433"/>
    <w:rsid w:val="00572970"/>
    <w:rsid w:val="00572A40"/>
    <w:rsid w:val="005736A9"/>
    <w:rsid w:val="00573833"/>
    <w:rsid w:val="00574027"/>
    <w:rsid w:val="0057438F"/>
    <w:rsid w:val="0057460C"/>
    <w:rsid w:val="00574635"/>
    <w:rsid w:val="005748AB"/>
    <w:rsid w:val="00574DA2"/>
    <w:rsid w:val="00574E7A"/>
    <w:rsid w:val="005754AB"/>
    <w:rsid w:val="00575B83"/>
    <w:rsid w:val="00575EA4"/>
    <w:rsid w:val="005763CA"/>
    <w:rsid w:val="0057681F"/>
    <w:rsid w:val="00576C92"/>
    <w:rsid w:val="005772F7"/>
    <w:rsid w:val="0057795A"/>
    <w:rsid w:val="005802B6"/>
    <w:rsid w:val="0058089F"/>
    <w:rsid w:val="00581BC0"/>
    <w:rsid w:val="00582495"/>
    <w:rsid w:val="00582576"/>
    <w:rsid w:val="005826F4"/>
    <w:rsid w:val="0058292E"/>
    <w:rsid w:val="00582A29"/>
    <w:rsid w:val="00582AEC"/>
    <w:rsid w:val="0058369E"/>
    <w:rsid w:val="00583ECB"/>
    <w:rsid w:val="00584151"/>
    <w:rsid w:val="00584158"/>
    <w:rsid w:val="005847F5"/>
    <w:rsid w:val="005850C2"/>
    <w:rsid w:val="00585257"/>
    <w:rsid w:val="00585280"/>
    <w:rsid w:val="00585395"/>
    <w:rsid w:val="0058579B"/>
    <w:rsid w:val="00585FAC"/>
    <w:rsid w:val="00586A0A"/>
    <w:rsid w:val="00587162"/>
    <w:rsid w:val="00587A63"/>
    <w:rsid w:val="005900BB"/>
    <w:rsid w:val="005904CF"/>
    <w:rsid w:val="00590A04"/>
    <w:rsid w:val="00590A54"/>
    <w:rsid w:val="00590D09"/>
    <w:rsid w:val="00590D3C"/>
    <w:rsid w:val="00590FAA"/>
    <w:rsid w:val="005914A7"/>
    <w:rsid w:val="0059151F"/>
    <w:rsid w:val="0059156A"/>
    <w:rsid w:val="00592A7E"/>
    <w:rsid w:val="00592F60"/>
    <w:rsid w:val="00593314"/>
    <w:rsid w:val="00593602"/>
    <w:rsid w:val="0059368E"/>
    <w:rsid w:val="005938F0"/>
    <w:rsid w:val="00593B3C"/>
    <w:rsid w:val="00593BF5"/>
    <w:rsid w:val="00594496"/>
    <w:rsid w:val="005946F2"/>
    <w:rsid w:val="00594A23"/>
    <w:rsid w:val="00594A5D"/>
    <w:rsid w:val="005956D3"/>
    <w:rsid w:val="00595A6D"/>
    <w:rsid w:val="00595BDB"/>
    <w:rsid w:val="00596365"/>
    <w:rsid w:val="005963A7"/>
    <w:rsid w:val="005965BC"/>
    <w:rsid w:val="00596BF0"/>
    <w:rsid w:val="00596ECD"/>
    <w:rsid w:val="00596EDE"/>
    <w:rsid w:val="00597210"/>
    <w:rsid w:val="005972E0"/>
    <w:rsid w:val="005A01B7"/>
    <w:rsid w:val="005A0745"/>
    <w:rsid w:val="005A0B29"/>
    <w:rsid w:val="005A0FB4"/>
    <w:rsid w:val="005A16F2"/>
    <w:rsid w:val="005A1A73"/>
    <w:rsid w:val="005A1A9F"/>
    <w:rsid w:val="005A2215"/>
    <w:rsid w:val="005A2532"/>
    <w:rsid w:val="005A2AF3"/>
    <w:rsid w:val="005A31C9"/>
    <w:rsid w:val="005A333C"/>
    <w:rsid w:val="005A35F6"/>
    <w:rsid w:val="005A3631"/>
    <w:rsid w:val="005A385F"/>
    <w:rsid w:val="005A3BF6"/>
    <w:rsid w:val="005A3CDA"/>
    <w:rsid w:val="005A4024"/>
    <w:rsid w:val="005A4563"/>
    <w:rsid w:val="005A4AF1"/>
    <w:rsid w:val="005A5049"/>
    <w:rsid w:val="005A546F"/>
    <w:rsid w:val="005A556B"/>
    <w:rsid w:val="005A5898"/>
    <w:rsid w:val="005A6F1B"/>
    <w:rsid w:val="005A6FFD"/>
    <w:rsid w:val="005A77E2"/>
    <w:rsid w:val="005A7CDD"/>
    <w:rsid w:val="005A7E78"/>
    <w:rsid w:val="005A7F6D"/>
    <w:rsid w:val="005B03ED"/>
    <w:rsid w:val="005B03F7"/>
    <w:rsid w:val="005B05F9"/>
    <w:rsid w:val="005B0FB5"/>
    <w:rsid w:val="005B11C3"/>
    <w:rsid w:val="005B14C1"/>
    <w:rsid w:val="005B1776"/>
    <w:rsid w:val="005B1BA3"/>
    <w:rsid w:val="005B1C42"/>
    <w:rsid w:val="005B1CDB"/>
    <w:rsid w:val="005B32FB"/>
    <w:rsid w:val="005B3726"/>
    <w:rsid w:val="005B3A1D"/>
    <w:rsid w:val="005B3B4D"/>
    <w:rsid w:val="005B3C5B"/>
    <w:rsid w:val="005B4237"/>
    <w:rsid w:val="005B4438"/>
    <w:rsid w:val="005B4D52"/>
    <w:rsid w:val="005B5647"/>
    <w:rsid w:val="005B5710"/>
    <w:rsid w:val="005B5787"/>
    <w:rsid w:val="005B579F"/>
    <w:rsid w:val="005B5CBF"/>
    <w:rsid w:val="005B67C6"/>
    <w:rsid w:val="005B6E15"/>
    <w:rsid w:val="005B7129"/>
    <w:rsid w:val="005B7279"/>
    <w:rsid w:val="005B7492"/>
    <w:rsid w:val="005B7624"/>
    <w:rsid w:val="005B78FD"/>
    <w:rsid w:val="005B7F64"/>
    <w:rsid w:val="005B7FE4"/>
    <w:rsid w:val="005C0015"/>
    <w:rsid w:val="005C0260"/>
    <w:rsid w:val="005C05E0"/>
    <w:rsid w:val="005C0944"/>
    <w:rsid w:val="005C0A8C"/>
    <w:rsid w:val="005C10E6"/>
    <w:rsid w:val="005C1E5F"/>
    <w:rsid w:val="005C24DD"/>
    <w:rsid w:val="005C25DA"/>
    <w:rsid w:val="005C2AB0"/>
    <w:rsid w:val="005C2F22"/>
    <w:rsid w:val="005C344E"/>
    <w:rsid w:val="005C35EA"/>
    <w:rsid w:val="005C37E0"/>
    <w:rsid w:val="005C3A52"/>
    <w:rsid w:val="005C423D"/>
    <w:rsid w:val="005C4790"/>
    <w:rsid w:val="005C54B9"/>
    <w:rsid w:val="005C561D"/>
    <w:rsid w:val="005C5679"/>
    <w:rsid w:val="005C5A1C"/>
    <w:rsid w:val="005C5E59"/>
    <w:rsid w:val="005C5EA7"/>
    <w:rsid w:val="005C6468"/>
    <w:rsid w:val="005C6618"/>
    <w:rsid w:val="005C682E"/>
    <w:rsid w:val="005C695C"/>
    <w:rsid w:val="005C6BE9"/>
    <w:rsid w:val="005C75A6"/>
    <w:rsid w:val="005C7717"/>
    <w:rsid w:val="005D0189"/>
    <w:rsid w:val="005D083C"/>
    <w:rsid w:val="005D096D"/>
    <w:rsid w:val="005D0B0D"/>
    <w:rsid w:val="005D0C9E"/>
    <w:rsid w:val="005D174F"/>
    <w:rsid w:val="005D1A0C"/>
    <w:rsid w:val="005D1CC4"/>
    <w:rsid w:val="005D1DC4"/>
    <w:rsid w:val="005D23A4"/>
    <w:rsid w:val="005D26F7"/>
    <w:rsid w:val="005D275A"/>
    <w:rsid w:val="005D2A5E"/>
    <w:rsid w:val="005D2CA9"/>
    <w:rsid w:val="005D2DC1"/>
    <w:rsid w:val="005D3374"/>
    <w:rsid w:val="005D3CFA"/>
    <w:rsid w:val="005D4843"/>
    <w:rsid w:val="005D4DEB"/>
    <w:rsid w:val="005D4F6D"/>
    <w:rsid w:val="005D4FE0"/>
    <w:rsid w:val="005D6101"/>
    <w:rsid w:val="005D6869"/>
    <w:rsid w:val="005D6B66"/>
    <w:rsid w:val="005D7159"/>
    <w:rsid w:val="005D7305"/>
    <w:rsid w:val="005D7B2C"/>
    <w:rsid w:val="005E0566"/>
    <w:rsid w:val="005E05D4"/>
    <w:rsid w:val="005E1535"/>
    <w:rsid w:val="005E2DEB"/>
    <w:rsid w:val="005E2F60"/>
    <w:rsid w:val="005E32BB"/>
    <w:rsid w:val="005E3568"/>
    <w:rsid w:val="005E3A7C"/>
    <w:rsid w:val="005E4288"/>
    <w:rsid w:val="005E4470"/>
    <w:rsid w:val="005E4F4F"/>
    <w:rsid w:val="005E5794"/>
    <w:rsid w:val="005E5E88"/>
    <w:rsid w:val="005E5F5A"/>
    <w:rsid w:val="005E62E6"/>
    <w:rsid w:val="005E6732"/>
    <w:rsid w:val="005E6D78"/>
    <w:rsid w:val="005E7017"/>
    <w:rsid w:val="005E7088"/>
    <w:rsid w:val="005E71CA"/>
    <w:rsid w:val="005E740A"/>
    <w:rsid w:val="005E772E"/>
    <w:rsid w:val="005E7FFB"/>
    <w:rsid w:val="005F0455"/>
    <w:rsid w:val="005F0DA2"/>
    <w:rsid w:val="005F0E24"/>
    <w:rsid w:val="005F1269"/>
    <w:rsid w:val="005F13C4"/>
    <w:rsid w:val="005F24EA"/>
    <w:rsid w:val="005F2604"/>
    <w:rsid w:val="005F2669"/>
    <w:rsid w:val="005F2CAC"/>
    <w:rsid w:val="005F2EB5"/>
    <w:rsid w:val="005F307E"/>
    <w:rsid w:val="005F3433"/>
    <w:rsid w:val="005F3564"/>
    <w:rsid w:val="005F367E"/>
    <w:rsid w:val="005F3BB4"/>
    <w:rsid w:val="005F53D6"/>
    <w:rsid w:val="005F555A"/>
    <w:rsid w:val="005F5857"/>
    <w:rsid w:val="005F5E2E"/>
    <w:rsid w:val="005F6549"/>
    <w:rsid w:val="005F680B"/>
    <w:rsid w:val="005F74E7"/>
    <w:rsid w:val="005F75E1"/>
    <w:rsid w:val="005F7851"/>
    <w:rsid w:val="005F79E5"/>
    <w:rsid w:val="005F7A74"/>
    <w:rsid w:val="005F7D66"/>
    <w:rsid w:val="005F7F43"/>
    <w:rsid w:val="006006C6"/>
    <w:rsid w:val="00600A22"/>
    <w:rsid w:val="006013C5"/>
    <w:rsid w:val="00601DFB"/>
    <w:rsid w:val="00601EF8"/>
    <w:rsid w:val="006024B9"/>
    <w:rsid w:val="00602590"/>
    <w:rsid w:val="00602738"/>
    <w:rsid w:val="00602A48"/>
    <w:rsid w:val="00602D39"/>
    <w:rsid w:val="00602DE7"/>
    <w:rsid w:val="00603FD5"/>
    <w:rsid w:val="00604383"/>
    <w:rsid w:val="006045D2"/>
    <w:rsid w:val="00604C9E"/>
    <w:rsid w:val="00604D50"/>
    <w:rsid w:val="00604F6D"/>
    <w:rsid w:val="00605CDC"/>
    <w:rsid w:val="00605DBE"/>
    <w:rsid w:val="006060E3"/>
    <w:rsid w:val="006062B4"/>
    <w:rsid w:val="006064A6"/>
    <w:rsid w:val="00606BB5"/>
    <w:rsid w:val="00606C03"/>
    <w:rsid w:val="0060792B"/>
    <w:rsid w:val="0060794D"/>
    <w:rsid w:val="00607F03"/>
    <w:rsid w:val="006104F9"/>
    <w:rsid w:val="00610627"/>
    <w:rsid w:val="00610CDF"/>
    <w:rsid w:val="00610F6C"/>
    <w:rsid w:val="00611109"/>
    <w:rsid w:val="00611907"/>
    <w:rsid w:val="00611B86"/>
    <w:rsid w:val="00611C3C"/>
    <w:rsid w:val="00611DCB"/>
    <w:rsid w:val="00611F36"/>
    <w:rsid w:val="00612469"/>
    <w:rsid w:val="006126A9"/>
    <w:rsid w:val="00612FA9"/>
    <w:rsid w:val="00613CF7"/>
    <w:rsid w:val="006144AA"/>
    <w:rsid w:val="00615172"/>
    <w:rsid w:val="00615909"/>
    <w:rsid w:val="00615A00"/>
    <w:rsid w:val="00615AFA"/>
    <w:rsid w:val="00615B49"/>
    <w:rsid w:val="00615F3A"/>
    <w:rsid w:val="00615FB3"/>
    <w:rsid w:val="0061696E"/>
    <w:rsid w:val="00616DC8"/>
    <w:rsid w:val="006173BA"/>
    <w:rsid w:val="00617819"/>
    <w:rsid w:val="00620548"/>
    <w:rsid w:val="006205C7"/>
    <w:rsid w:val="00620ED4"/>
    <w:rsid w:val="0062124C"/>
    <w:rsid w:val="00621391"/>
    <w:rsid w:val="00621746"/>
    <w:rsid w:val="0062188D"/>
    <w:rsid w:val="00622935"/>
    <w:rsid w:val="006233F8"/>
    <w:rsid w:val="006237E4"/>
    <w:rsid w:val="00624990"/>
    <w:rsid w:val="00624B90"/>
    <w:rsid w:val="00624D50"/>
    <w:rsid w:val="00625B95"/>
    <w:rsid w:val="00626284"/>
    <w:rsid w:val="0062674E"/>
    <w:rsid w:val="00626D6D"/>
    <w:rsid w:val="00627BB0"/>
    <w:rsid w:val="00627E0A"/>
    <w:rsid w:val="00627F9A"/>
    <w:rsid w:val="0063043D"/>
    <w:rsid w:val="00630862"/>
    <w:rsid w:val="00630F02"/>
    <w:rsid w:val="006311EA"/>
    <w:rsid w:val="00631E42"/>
    <w:rsid w:val="00632137"/>
    <w:rsid w:val="006323E9"/>
    <w:rsid w:val="00632D07"/>
    <w:rsid w:val="00633183"/>
    <w:rsid w:val="00633825"/>
    <w:rsid w:val="0063485B"/>
    <w:rsid w:val="00634C78"/>
    <w:rsid w:val="00635163"/>
    <w:rsid w:val="00635859"/>
    <w:rsid w:val="00635961"/>
    <w:rsid w:val="00635BA9"/>
    <w:rsid w:val="00635F94"/>
    <w:rsid w:val="0063659F"/>
    <w:rsid w:val="00637250"/>
    <w:rsid w:val="0063767B"/>
    <w:rsid w:val="00637945"/>
    <w:rsid w:val="00640168"/>
    <w:rsid w:val="0064061F"/>
    <w:rsid w:val="0064080A"/>
    <w:rsid w:val="006409C0"/>
    <w:rsid w:val="00641EFF"/>
    <w:rsid w:val="006420D5"/>
    <w:rsid w:val="00642197"/>
    <w:rsid w:val="006427BB"/>
    <w:rsid w:val="00642819"/>
    <w:rsid w:val="00642824"/>
    <w:rsid w:val="00642CEF"/>
    <w:rsid w:val="00642EB2"/>
    <w:rsid w:val="006433A9"/>
    <w:rsid w:val="00643542"/>
    <w:rsid w:val="00643D25"/>
    <w:rsid w:val="00643F9B"/>
    <w:rsid w:val="006442B3"/>
    <w:rsid w:val="00644B14"/>
    <w:rsid w:val="006450F5"/>
    <w:rsid w:val="006455D4"/>
    <w:rsid w:val="00645B6E"/>
    <w:rsid w:val="00645F79"/>
    <w:rsid w:val="006460D8"/>
    <w:rsid w:val="0064678D"/>
    <w:rsid w:val="006467FD"/>
    <w:rsid w:val="006469FB"/>
    <w:rsid w:val="00646D30"/>
    <w:rsid w:val="00646F43"/>
    <w:rsid w:val="00647309"/>
    <w:rsid w:val="006475BD"/>
    <w:rsid w:val="00647B78"/>
    <w:rsid w:val="00650149"/>
    <w:rsid w:val="0065021D"/>
    <w:rsid w:val="00650C68"/>
    <w:rsid w:val="00651B52"/>
    <w:rsid w:val="00651DAE"/>
    <w:rsid w:val="006527FF"/>
    <w:rsid w:val="00652EFA"/>
    <w:rsid w:val="0065325D"/>
    <w:rsid w:val="00653AB2"/>
    <w:rsid w:val="00653FD0"/>
    <w:rsid w:val="006557D9"/>
    <w:rsid w:val="00655B22"/>
    <w:rsid w:val="0065643C"/>
    <w:rsid w:val="006567A6"/>
    <w:rsid w:val="00656920"/>
    <w:rsid w:val="00656A8A"/>
    <w:rsid w:val="006577CB"/>
    <w:rsid w:val="00657C8A"/>
    <w:rsid w:val="00657F57"/>
    <w:rsid w:val="00660218"/>
    <w:rsid w:val="006608FD"/>
    <w:rsid w:val="00660B59"/>
    <w:rsid w:val="00660C05"/>
    <w:rsid w:val="00661594"/>
    <w:rsid w:val="00661FE9"/>
    <w:rsid w:val="00662181"/>
    <w:rsid w:val="00662209"/>
    <w:rsid w:val="00663169"/>
    <w:rsid w:val="00663688"/>
    <w:rsid w:val="006639F2"/>
    <w:rsid w:val="00664490"/>
    <w:rsid w:val="00664726"/>
    <w:rsid w:val="00664BBF"/>
    <w:rsid w:val="00665164"/>
    <w:rsid w:val="006651C3"/>
    <w:rsid w:val="0066544B"/>
    <w:rsid w:val="0066546B"/>
    <w:rsid w:val="00665903"/>
    <w:rsid w:val="0066596E"/>
    <w:rsid w:val="00665B43"/>
    <w:rsid w:val="00665B78"/>
    <w:rsid w:val="00665C06"/>
    <w:rsid w:val="0066602B"/>
    <w:rsid w:val="006663FF"/>
    <w:rsid w:val="00666541"/>
    <w:rsid w:val="00666DFA"/>
    <w:rsid w:val="00666EEE"/>
    <w:rsid w:val="00667179"/>
    <w:rsid w:val="0066718A"/>
    <w:rsid w:val="006672D9"/>
    <w:rsid w:val="00670FC6"/>
    <w:rsid w:val="00671116"/>
    <w:rsid w:val="0067153D"/>
    <w:rsid w:val="00671EFA"/>
    <w:rsid w:val="00671EFD"/>
    <w:rsid w:val="006722B2"/>
    <w:rsid w:val="0067247D"/>
    <w:rsid w:val="006725B4"/>
    <w:rsid w:val="00672B85"/>
    <w:rsid w:val="00672D56"/>
    <w:rsid w:val="0067334D"/>
    <w:rsid w:val="0067364A"/>
    <w:rsid w:val="0067374A"/>
    <w:rsid w:val="00673F19"/>
    <w:rsid w:val="006740B6"/>
    <w:rsid w:val="00674C85"/>
    <w:rsid w:val="00674D94"/>
    <w:rsid w:val="00674EA0"/>
    <w:rsid w:val="006752F0"/>
    <w:rsid w:val="006754D9"/>
    <w:rsid w:val="00675AC0"/>
    <w:rsid w:val="00675E07"/>
    <w:rsid w:val="00675F46"/>
    <w:rsid w:val="00676070"/>
    <w:rsid w:val="006761A8"/>
    <w:rsid w:val="00676206"/>
    <w:rsid w:val="00676A7B"/>
    <w:rsid w:val="00676A99"/>
    <w:rsid w:val="00677A53"/>
    <w:rsid w:val="00677A7F"/>
    <w:rsid w:val="00677BC1"/>
    <w:rsid w:val="00677FF5"/>
    <w:rsid w:val="006801EC"/>
    <w:rsid w:val="006804E5"/>
    <w:rsid w:val="00680B73"/>
    <w:rsid w:val="00680EFB"/>
    <w:rsid w:val="00681434"/>
    <w:rsid w:val="006814C5"/>
    <w:rsid w:val="006819EE"/>
    <w:rsid w:val="00681E4B"/>
    <w:rsid w:val="00681F6D"/>
    <w:rsid w:val="006820C6"/>
    <w:rsid w:val="00682BCF"/>
    <w:rsid w:val="00682C70"/>
    <w:rsid w:val="006833A6"/>
    <w:rsid w:val="0068351C"/>
    <w:rsid w:val="00683B09"/>
    <w:rsid w:val="006848CB"/>
    <w:rsid w:val="00684F6F"/>
    <w:rsid w:val="0068510A"/>
    <w:rsid w:val="0068511C"/>
    <w:rsid w:val="00685431"/>
    <w:rsid w:val="006854DF"/>
    <w:rsid w:val="00685EC4"/>
    <w:rsid w:val="00685EF8"/>
    <w:rsid w:val="006860AE"/>
    <w:rsid w:val="006867E0"/>
    <w:rsid w:val="00686ABF"/>
    <w:rsid w:val="0068724F"/>
    <w:rsid w:val="0068736B"/>
    <w:rsid w:val="0068780B"/>
    <w:rsid w:val="00687985"/>
    <w:rsid w:val="00687DD6"/>
    <w:rsid w:val="00690339"/>
    <w:rsid w:val="006903D7"/>
    <w:rsid w:val="006905C8"/>
    <w:rsid w:val="00690B68"/>
    <w:rsid w:val="00690E02"/>
    <w:rsid w:val="00690E7E"/>
    <w:rsid w:val="006914EC"/>
    <w:rsid w:val="006918DA"/>
    <w:rsid w:val="0069201C"/>
    <w:rsid w:val="006921AA"/>
    <w:rsid w:val="00692436"/>
    <w:rsid w:val="006928A8"/>
    <w:rsid w:val="00692A5A"/>
    <w:rsid w:val="00692AC8"/>
    <w:rsid w:val="00692E8B"/>
    <w:rsid w:val="00693223"/>
    <w:rsid w:val="0069358F"/>
    <w:rsid w:val="00693777"/>
    <w:rsid w:val="00693BA5"/>
    <w:rsid w:val="0069429C"/>
    <w:rsid w:val="00694FD0"/>
    <w:rsid w:val="006954D1"/>
    <w:rsid w:val="006954EF"/>
    <w:rsid w:val="0069644C"/>
    <w:rsid w:val="006964C5"/>
    <w:rsid w:val="006964CC"/>
    <w:rsid w:val="006968F1"/>
    <w:rsid w:val="00696B15"/>
    <w:rsid w:val="00697530"/>
    <w:rsid w:val="006976C0"/>
    <w:rsid w:val="006A090D"/>
    <w:rsid w:val="006A09C1"/>
    <w:rsid w:val="006A1205"/>
    <w:rsid w:val="006A1216"/>
    <w:rsid w:val="006A153F"/>
    <w:rsid w:val="006A1BBF"/>
    <w:rsid w:val="006A1DDB"/>
    <w:rsid w:val="006A1DEF"/>
    <w:rsid w:val="006A1E15"/>
    <w:rsid w:val="006A1F8F"/>
    <w:rsid w:val="006A288C"/>
    <w:rsid w:val="006A29D6"/>
    <w:rsid w:val="006A301B"/>
    <w:rsid w:val="006A3BB7"/>
    <w:rsid w:val="006A4CD0"/>
    <w:rsid w:val="006A4E66"/>
    <w:rsid w:val="006A507F"/>
    <w:rsid w:val="006A5E02"/>
    <w:rsid w:val="006A6310"/>
    <w:rsid w:val="006A64B1"/>
    <w:rsid w:val="006A6622"/>
    <w:rsid w:val="006A6B99"/>
    <w:rsid w:val="006A7069"/>
    <w:rsid w:val="006B06F3"/>
    <w:rsid w:val="006B0962"/>
    <w:rsid w:val="006B0A62"/>
    <w:rsid w:val="006B0B97"/>
    <w:rsid w:val="006B0F44"/>
    <w:rsid w:val="006B1FEA"/>
    <w:rsid w:val="006B20F8"/>
    <w:rsid w:val="006B2931"/>
    <w:rsid w:val="006B2E24"/>
    <w:rsid w:val="006B321E"/>
    <w:rsid w:val="006B3CE0"/>
    <w:rsid w:val="006B3CF3"/>
    <w:rsid w:val="006B427B"/>
    <w:rsid w:val="006B4395"/>
    <w:rsid w:val="006B5890"/>
    <w:rsid w:val="006B6B91"/>
    <w:rsid w:val="006B6C61"/>
    <w:rsid w:val="006B6C6E"/>
    <w:rsid w:val="006B6D6C"/>
    <w:rsid w:val="006B7431"/>
    <w:rsid w:val="006B77C8"/>
    <w:rsid w:val="006C008E"/>
    <w:rsid w:val="006C053A"/>
    <w:rsid w:val="006C0881"/>
    <w:rsid w:val="006C0CE1"/>
    <w:rsid w:val="006C0CE3"/>
    <w:rsid w:val="006C0F1D"/>
    <w:rsid w:val="006C108B"/>
    <w:rsid w:val="006C166C"/>
    <w:rsid w:val="006C177D"/>
    <w:rsid w:val="006C1A74"/>
    <w:rsid w:val="006C2C3C"/>
    <w:rsid w:val="006C2C79"/>
    <w:rsid w:val="006C36D5"/>
    <w:rsid w:val="006C3BEF"/>
    <w:rsid w:val="006C4AF4"/>
    <w:rsid w:val="006C4B34"/>
    <w:rsid w:val="006C4BB7"/>
    <w:rsid w:val="006C4C82"/>
    <w:rsid w:val="006C4EA0"/>
    <w:rsid w:val="006C56B7"/>
    <w:rsid w:val="006C693B"/>
    <w:rsid w:val="006C6C58"/>
    <w:rsid w:val="006C7871"/>
    <w:rsid w:val="006C7902"/>
    <w:rsid w:val="006C7CCB"/>
    <w:rsid w:val="006C7D05"/>
    <w:rsid w:val="006C7E4E"/>
    <w:rsid w:val="006C7FB0"/>
    <w:rsid w:val="006D06E5"/>
    <w:rsid w:val="006D095B"/>
    <w:rsid w:val="006D18C9"/>
    <w:rsid w:val="006D1AF2"/>
    <w:rsid w:val="006D20D3"/>
    <w:rsid w:val="006D2837"/>
    <w:rsid w:val="006D2977"/>
    <w:rsid w:val="006D3F2F"/>
    <w:rsid w:val="006D4832"/>
    <w:rsid w:val="006D4961"/>
    <w:rsid w:val="006D4E37"/>
    <w:rsid w:val="006D4F09"/>
    <w:rsid w:val="006D568B"/>
    <w:rsid w:val="006D5D99"/>
    <w:rsid w:val="006D5F4F"/>
    <w:rsid w:val="006D6B68"/>
    <w:rsid w:val="006D6C25"/>
    <w:rsid w:val="006D6DA3"/>
    <w:rsid w:val="006D782D"/>
    <w:rsid w:val="006D7B3E"/>
    <w:rsid w:val="006D7D51"/>
    <w:rsid w:val="006D7E84"/>
    <w:rsid w:val="006E0982"/>
    <w:rsid w:val="006E0EBC"/>
    <w:rsid w:val="006E1445"/>
    <w:rsid w:val="006E157A"/>
    <w:rsid w:val="006E1AB4"/>
    <w:rsid w:val="006E1AC9"/>
    <w:rsid w:val="006E1EA6"/>
    <w:rsid w:val="006E2466"/>
    <w:rsid w:val="006E2BB4"/>
    <w:rsid w:val="006E2FED"/>
    <w:rsid w:val="006E30F6"/>
    <w:rsid w:val="006E3536"/>
    <w:rsid w:val="006E39B6"/>
    <w:rsid w:val="006E4FE8"/>
    <w:rsid w:val="006E524F"/>
    <w:rsid w:val="006E55EF"/>
    <w:rsid w:val="006E57DE"/>
    <w:rsid w:val="006E5CCD"/>
    <w:rsid w:val="006E5DCF"/>
    <w:rsid w:val="006E640F"/>
    <w:rsid w:val="006E6FCB"/>
    <w:rsid w:val="006E7194"/>
    <w:rsid w:val="006E71C8"/>
    <w:rsid w:val="006E7C0A"/>
    <w:rsid w:val="006E7F4F"/>
    <w:rsid w:val="006E7FD4"/>
    <w:rsid w:val="006F0C4B"/>
    <w:rsid w:val="006F0E94"/>
    <w:rsid w:val="006F0F70"/>
    <w:rsid w:val="006F1AD8"/>
    <w:rsid w:val="006F1C4F"/>
    <w:rsid w:val="006F2254"/>
    <w:rsid w:val="006F2FB1"/>
    <w:rsid w:val="006F3629"/>
    <w:rsid w:val="006F3881"/>
    <w:rsid w:val="006F3948"/>
    <w:rsid w:val="006F3974"/>
    <w:rsid w:val="006F3AFA"/>
    <w:rsid w:val="006F3D98"/>
    <w:rsid w:val="006F41E3"/>
    <w:rsid w:val="006F474C"/>
    <w:rsid w:val="006F4ED7"/>
    <w:rsid w:val="006F5218"/>
    <w:rsid w:val="006F536C"/>
    <w:rsid w:val="006F619F"/>
    <w:rsid w:val="006F6493"/>
    <w:rsid w:val="006F7085"/>
    <w:rsid w:val="006F77D8"/>
    <w:rsid w:val="006F7A35"/>
    <w:rsid w:val="006F7F0E"/>
    <w:rsid w:val="00701100"/>
    <w:rsid w:val="00701779"/>
    <w:rsid w:val="00701CDF"/>
    <w:rsid w:val="0070279D"/>
    <w:rsid w:val="007028FC"/>
    <w:rsid w:val="00702A84"/>
    <w:rsid w:val="00702B0A"/>
    <w:rsid w:val="00702EE1"/>
    <w:rsid w:val="007037A4"/>
    <w:rsid w:val="0070384F"/>
    <w:rsid w:val="0070531E"/>
    <w:rsid w:val="00705831"/>
    <w:rsid w:val="00706253"/>
    <w:rsid w:val="00706293"/>
    <w:rsid w:val="00706371"/>
    <w:rsid w:val="00706C3F"/>
    <w:rsid w:val="00707266"/>
    <w:rsid w:val="007072AB"/>
    <w:rsid w:val="00707C07"/>
    <w:rsid w:val="00707EB0"/>
    <w:rsid w:val="00707F21"/>
    <w:rsid w:val="0071001F"/>
    <w:rsid w:val="007100CF"/>
    <w:rsid w:val="00710254"/>
    <w:rsid w:val="007108A3"/>
    <w:rsid w:val="00710EFB"/>
    <w:rsid w:val="00711098"/>
    <w:rsid w:val="007113CB"/>
    <w:rsid w:val="00711944"/>
    <w:rsid w:val="00711B41"/>
    <w:rsid w:val="00711C99"/>
    <w:rsid w:val="00712190"/>
    <w:rsid w:val="00712640"/>
    <w:rsid w:val="00712A44"/>
    <w:rsid w:val="00714488"/>
    <w:rsid w:val="00714936"/>
    <w:rsid w:val="00714BAE"/>
    <w:rsid w:val="00714CFD"/>
    <w:rsid w:val="007154E9"/>
    <w:rsid w:val="007155F2"/>
    <w:rsid w:val="00715870"/>
    <w:rsid w:val="007158C6"/>
    <w:rsid w:val="00716A90"/>
    <w:rsid w:val="00716D25"/>
    <w:rsid w:val="00717714"/>
    <w:rsid w:val="00717F85"/>
    <w:rsid w:val="00720064"/>
    <w:rsid w:val="00720310"/>
    <w:rsid w:val="00720507"/>
    <w:rsid w:val="00720699"/>
    <w:rsid w:val="00720B50"/>
    <w:rsid w:val="0072113E"/>
    <w:rsid w:val="007215EF"/>
    <w:rsid w:val="00721865"/>
    <w:rsid w:val="00721937"/>
    <w:rsid w:val="00722790"/>
    <w:rsid w:val="00722D0F"/>
    <w:rsid w:val="00723171"/>
    <w:rsid w:val="00723175"/>
    <w:rsid w:val="0072323E"/>
    <w:rsid w:val="0072378D"/>
    <w:rsid w:val="00724652"/>
    <w:rsid w:val="00725C00"/>
    <w:rsid w:val="00725D85"/>
    <w:rsid w:val="00726EF3"/>
    <w:rsid w:val="0072709C"/>
    <w:rsid w:val="00727910"/>
    <w:rsid w:val="007301C9"/>
    <w:rsid w:val="007305C2"/>
    <w:rsid w:val="00730D4A"/>
    <w:rsid w:val="00730E27"/>
    <w:rsid w:val="00731086"/>
    <w:rsid w:val="007310AD"/>
    <w:rsid w:val="00731777"/>
    <w:rsid w:val="007317C2"/>
    <w:rsid w:val="00731875"/>
    <w:rsid w:val="00732C9B"/>
    <w:rsid w:val="00733BEF"/>
    <w:rsid w:val="00733E1E"/>
    <w:rsid w:val="0073403B"/>
    <w:rsid w:val="00734117"/>
    <w:rsid w:val="007343FD"/>
    <w:rsid w:val="0073469A"/>
    <w:rsid w:val="00734D05"/>
    <w:rsid w:val="007351C8"/>
    <w:rsid w:val="0073549F"/>
    <w:rsid w:val="007354C4"/>
    <w:rsid w:val="0073561D"/>
    <w:rsid w:val="007358C4"/>
    <w:rsid w:val="0073616D"/>
    <w:rsid w:val="00736DCA"/>
    <w:rsid w:val="007373F6"/>
    <w:rsid w:val="007400E8"/>
    <w:rsid w:val="00740804"/>
    <w:rsid w:val="00740D50"/>
    <w:rsid w:val="0074100E"/>
    <w:rsid w:val="00741038"/>
    <w:rsid w:val="00741FD2"/>
    <w:rsid w:val="00742047"/>
    <w:rsid w:val="00742F0D"/>
    <w:rsid w:val="00743286"/>
    <w:rsid w:val="00743394"/>
    <w:rsid w:val="00743548"/>
    <w:rsid w:val="0074386B"/>
    <w:rsid w:val="00744120"/>
    <w:rsid w:val="00744396"/>
    <w:rsid w:val="00744CDE"/>
    <w:rsid w:val="007459B1"/>
    <w:rsid w:val="00745C8E"/>
    <w:rsid w:val="00745EEF"/>
    <w:rsid w:val="00746088"/>
    <w:rsid w:val="007460A0"/>
    <w:rsid w:val="00746203"/>
    <w:rsid w:val="00746282"/>
    <w:rsid w:val="0074707D"/>
    <w:rsid w:val="00747CFF"/>
    <w:rsid w:val="00747D0E"/>
    <w:rsid w:val="00747EBE"/>
    <w:rsid w:val="0075005C"/>
    <w:rsid w:val="007505B8"/>
    <w:rsid w:val="007505CE"/>
    <w:rsid w:val="007507D1"/>
    <w:rsid w:val="007508E9"/>
    <w:rsid w:val="00750AEB"/>
    <w:rsid w:val="007511A8"/>
    <w:rsid w:val="007519CA"/>
    <w:rsid w:val="00751CB8"/>
    <w:rsid w:val="007521FF"/>
    <w:rsid w:val="00752F0E"/>
    <w:rsid w:val="007530DF"/>
    <w:rsid w:val="00753111"/>
    <w:rsid w:val="0075386F"/>
    <w:rsid w:val="007547A5"/>
    <w:rsid w:val="007547BA"/>
    <w:rsid w:val="00755090"/>
    <w:rsid w:val="00755308"/>
    <w:rsid w:val="007553B1"/>
    <w:rsid w:val="00755EC9"/>
    <w:rsid w:val="0075672A"/>
    <w:rsid w:val="00756A3B"/>
    <w:rsid w:val="00756A82"/>
    <w:rsid w:val="0075741C"/>
    <w:rsid w:val="0075781C"/>
    <w:rsid w:val="00757BEF"/>
    <w:rsid w:val="00760005"/>
    <w:rsid w:val="00760304"/>
    <w:rsid w:val="0076036D"/>
    <w:rsid w:val="0076098F"/>
    <w:rsid w:val="00760E1B"/>
    <w:rsid w:val="00760E85"/>
    <w:rsid w:val="00760ED2"/>
    <w:rsid w:val="007611F7"/>
    <w:rsid w:val="00761305"/>
    <w:rsid w:val="00761332"/>
    <w:rsid w:val="00761467"/>
    <w:rsid w:val="0076146A"/>
    <w:rsid w:val="00761498"/>
    <w:rsid w:val="007614F7"/>
    <w:rsid w:val="00762A4A"/>
    <w:rsid w:val="00762F69"/>
    <w:rsid w:val="007635CA"/>
    <w:rsid w:val="007639FB"/>
    <w:rsid w:val="00763E87"/>
    <w:rsid w:val="0076409E"/>
    <w:rsid w:val="007645D5"/>
    <w:rsid w:val="00764FE1"/>
    <w:rsid w:val="007656C2"/>
    <w:rsid w:val="0076586B"/>
    <w:rsid w:val="00765A58"/>
    <w:rsid w:val="00765BA8"/>
    <w:rsid w:val="00765C2C"/>
    <w:rsid w:val="00765E47"/>
    <w:rsid w:val="00765F06"/>
    <w:rsid w:val="00766298"/>
    <w:rsid w:val="00766756"/>
    <w:rsid w:val="007669DE"/>
    <w:rsid w:val="00766DFF"/>
    <w:rsid w:val="00766F2F"/>
    <w:rsid w:val="007673D0"/>
    <w:rsid w:val="00767EAE"/>
    <w:rsid w:val="00770DB0"/>
    <w:rsid w:val="00771648"/>
    <w:rsid w:val="0077190D"/>
    <w:rsid w:val="00771A8D"/>
    <w:rsid w:val="00771F4C"/>
    <w:rsid w:val="007725C8"/>
    <w:rsid w:val="00772858"/>
    <w:rsid w:val="00772E77"/>
    <w:rsid w:val="00773C56"/>
    <w:rsid w:val="00774DEE"/>
    <w:rsid w:val="00775165"/>
    <w:rsid w:val="00775278"/>
    <w:rsid w:val="007757E4"/>
    <w:rsid w:val="007759C3"/>
    <w:rsid w:val="00775B66"/>
    <w:rsid w:val="00776EBF"/>
    <w:rsid w:val="00777177"/>
    <w:rsid w:val="00777436"/>
    <w:rsid w:val="007776F5"/>
    <w:rsid w:val="00777E4E"/>
    <w:rsid w:val="0078015F"/>
    <w:rsid w:val="00780709"/>
    <w:rsid w:val="007808C0"/>
    <w:rsid w:val="00780C02"/>
    <w:rsid w:val="00780C20"/>
    <w:rsid w:val="00780DFB"/>
    <w:rsid w:val="00781380"/>
    <w:rsid w:val="00781572"/>
    <w:rsid w:val="007817C3"/>
    <w:rsid w:val="00781A60"/>
    <w:rsid w:val="00782100"/>
    <w:rsid w:val="007826E3"/>
    <w:rsid w:val="007831DE"/>
    <w:rsid w:val="00783706"/>
    <w:rsid w:val="00783E23"/>
    <w:rsid w:val="007842BE"/>
    <w:rsid w:val="00784CC8"/>
    <w:rsid w:val="0078533C"/>
    <w:rsid w:val="00785AEF"/>
    <w:rsid w:val="00785C63"/>
    <w:rsid w:val="0078632A"/>
    <w:rsid w:val="007863B7"/>
    <w:rsid w:val="00786823"/>
    <w:rsid w:val="00786E5D"/>
    <w:rsid w:val="00787650"/>
    <w:rsid w:val="007879BB"/>
    <w:rsid w:val="00787BF7"/>
    <w:rsid w:val="0079082B"/>
    <w:rsid w:val="00790A73"/>
    <w:rsid w:val="00790CAF"/>
    <w:rsid w:val="00790DA0"/>
    <w:rsid w:val="00790E19"/>
    <w:rsid w:val="00790F16"/>
    <w:rsid w:val="007910D8"/>
    <w:rsid w:val="00791492"/>
    <w:rsid w:val="00791C81"/>
    <w:rsid w:val="00791F1E"/>
    <w:rsid w:val="00791F65"/>
    <w:rsid w:val="00791F8F"/>
    <w:rsid w:val="0079274B"/>
    <w:rsid w:val="00792752"/>
    <w:rsid w:val="00792B98"/>
    <w:rsid w:val="00792BD3"/>
    <w:rsid w:val="0079301E"/>
    <w:rsid w:val="0079361A"/>
    <w:rsid w:val="00793AC0"/>
    <w:rsid w:val="0079463F"/>
    <w:rsid w:val="0079499B"/>
    <w:rsid w:val="00794F7D"/>
    <w:rsid w:val="00794FD4"/>
    <w:rsid w:val="007962A4"/>
    <w:rsid w:val="00796529"/>
    <w:rsid w:val="00796A0F"/>
    <w:rsid w:val="00796FD2"/>
    <w:rsid w:val="007974FF"/>
    <w:rsid w:val="00797D3C"/>
    <w:rsid w:val="00797D50"/>
    <w:rsid w:val="00797DFF"/>
    <w:rsid w:val="007A0363"/>
    <w:rsid w:val="007A0770"/>
    <w:rsid w:val="007A12C7"/>
    <w:rsid w:val="007A1488"/>
    <w:rsid w:val="007A1632"/>
    <w:rsid w:val="007A19E5"/>
    <w:rsid w:val="007A1CC8"/>
    <w:rsid w:val="007A24D0"/>
    <w:rsid w:val="007A25D5"/>
    <w:rsid w:val="007A30C7"/>
    <w:rsid w:val="007A3BA7"/>
    <w:rsid w:val="007A43AF"/>
    <w:rsid w:val="007A4C83"/>
    <w:rsid w:val="007A4D25"/>
    <w:rsid w:val="007A5AD0"/>
    <w:rsid w:val="007A5BC6"/>
    <w:rsid w:val="007A639C"/>
    <w:rsid w:val="007A6BC9"/>
    <w:rsid w:val="007A6DA5"/>
    <w:rsid w:val="007A7274"/>
    <w:rsid w:val="007A77DD"/>
    <w:rsid w:val="007B023C"/>
    <w:rsid w:val="007B0425"/>
    <w:rsid w:val="007B0D11"/>
    <w:rsid w:val="007B2217"/>
    <w:rsid w:val="007B221A"/>
    <w:rsid w:val="007B2A8C"/>
    <w:rsid w:val="007B4201"/>
    <w:rsid w:val="007B4F5E"/>
    <w:rsid w:val="007B530C"/>
    <w:rsid w:val="007B61C1"/>
    <w:rsid w:val="007B643C"/>
    <w:rsid w:val="007B687B"/>
    <w:rsid w:val="007B6BDD"/>
    <w:rsid w:val="007B7989"/>
    <w:rsid w:val="007B79C9"/>
    <w:rsid w:val="007C0323"/>
    <w:rsid w:val="007C0B53"/>
    <w:rsid w:val="007C0F31"/>
    <w:rsid w:val="007C1077"/>
    <w:rsid w:val="007C16F9"/>
    <w:rsid w:val="007C1D32"/>
    <w:rsid w:val="007C302E"/>
    <w:rsid w:val="007C3043"/>
    <w:rsid w:val="007C3475"/>
    <w:rsid w:val="007C3557"/>
    <w:rsid w:val="007C36A4"/>
    <w:rsid w:val="007C406A"/>
    <w:rsid w:val="007C475F"/>
    <w:rsid w:val="007C4836"/>
    <w:rsid w:val="007C48D4"/>
    <w:rsid w:val="007C5291"/>
    <w:rsid w:val="007C579D"/>
    <w:rsid w:val="007C5C26"/>
    <w:rsid w:val="007C60D3"/>
    <w:rsid w:val="007C65DF"/>
    <w:rsid w:val="007C67B7"/>
    <w:rsid w:val="007C68A3"/>
    <w:rsid w:val="007C75DF"/>
    <w:rsid w:val="007D01D6"/>
    <w:rsid w:val="007D0C7F"/>
    <w:rsid w:val="007D1569"/>
    <w:rsid w:val="007D19C7"/>
    <w:rsid w:val="007D19FB"/>
    <w:rsid w:val="007D1A95"/>
    <w:rsid w:val="007D21A2"/>
    <w:rsid w:val="007D21EB"/>
    <w:rsid w:val="007D25EB"/>
    <w:rsid w:val="007D2B4C"/>
    <w:rsid w:val="007D35E9"/>
    <w:rsid w:val="007D3610"/>
    <w:rsid w:val="007D37A2"/>
    <w:rsid w:val="007D4729"/>
    <w:rsid w:val="007D47F6"/>
    <w:rsid w:val="007D4CC6"/>
    <w:rsid w:val="007D507C"/>
    <w:rsid w:val="007D531E"/>
    <w:rsid w:val="007D559F"/>
    <w:rsid w:val="007D5AD4"/>
    <w:rsid w:val="007D5E63"/>
    <w:rsid w:val="007D6527"/>
    <w:rsid w:val="007D65DA"/>
    <w:rsid w:val="007D769F"/>
    <w:rsid w:val="007D7B68"/>
    <w:rsid w:val="007D7BA9"/>
    <w:rsid w:val="007D7BDD"/>
    <w:rsid w:val="007D7CCD"/>
    <w:rsid w:val="007D7CFE"/>
    <w:rsid w:val="007D7F7C"/>
    <w:rsid w:val="007E04B4"/>
    <w:rsid w:val="007E09AC"/>
    <w:rsid w:val="007E0AEC"/>
    <w:rsid w:val="007E1186"/>
    <w:rsid w:val="007E150B"/>
    <w:rsid w:val="007E18F3"/>
    <w:rsid w:val="007E19C9"/>
    <w:rsid w:val="007E1A38"/>
    <w:rsid w:val="007E249B"/>
    <w:rsid w:val="007E2766"/>
    <w:rsid w:val="007E2799"/>
    <w:rsid w:val="007E2870"/>
    <w:rsid w:val="007E2A4A"/>
    <w:rsid w:val="007E40D6"/>
    <w:rsid w:val="007E5203"/>
    <w:rsid w:val="007E6030"/>
    <w:rsid w:val="007E64A9"/>
    <w:rsid w:val="007E6829"/>
    <w:rsid w:val="007E70CB"/>
    <w:rsid w:val="007E7C11"/>
    <w:rsid w:val="007F0F01"/>
    <w:rsid w:val="007F18D0"/>
    <w:rsid w:val="007F1F12"/>
    <w:rsid w:val="007F2A10"/>
    <w:rsid w:val="007F2AF4"/>
    <w:rsid w:val="007F2EFC"/>
    <w:rsid w:val="007F30BF"/>
    <w:rsid w:val="007F3115"/>
    <w:rsid w:val="007F315C"/>
    <w:rsid w:val="007F33E6"/>
    <w:rsid w:val="007F3C2D"/>
    <w:rsid w:val="007F449E"/>
    <w:rsid w:val="007F4E69"/>
    <w:rsid w:val="007F6242"/>
    <w:rsid w:val="007F6F79"/>
    <w:rsid w:val="007F71B6"/>
    <w:rsid w:val="007F7A22"/>
    <w:rsid w:val="007F7BC7"/>
    <w:rsid w:val="007F7C91"/>
    <w:rsid w:val="007F7D4A"/>
    <w:rsid w:val="00800945"/>
    <w:rsid w:val="00800B3B"/>
    <w:rsid w:val="0080166E"/>
    <w:rsid w:val="00801740"/>
    <w:rsid w:val="008017BC"/>
    <w:rsid w:val="0080194A"/>
    <w:rsid w:val="00801A13"/>
    <w:rsid w:val="0080257C"/>
    <w:rsid w:val="00802677"/>
    <w:rsid w:val="00802DC4"/>
    <w:rsid w:val="00802E44"/>
    <w:rsid w:val="00803006"/>
    <w:rsid w:val="00803023"/>
    <w:rsid w:val="0080322B"/>
    <w:rsid w:val="008035C3"/>
    <w:rsid w:val="00803F26"/>
    <w:rsid w:val="00803F88"/>
    <w:rsid w:val="008041D8"/>
    <w:rsid w:val="008045A7"/>
    <w:rsid w:val="008045EE"/>
    <w:rsid w:val="00804732"/>
    <w:rsid w:val="00804751"/>
    <w:rsid w:val="00804B8B"/>
    <w:rsid w:val="00804F79"/>
    <w:rsid w:val="00805169"/>
    <w:rsid w:val="00805177"/>
    <w:rsid w:val="00805663"/>
    <w:rsid w:val="008063D3"/>
    <w:rsid w:val="0080674B"/>
    <w:rsid w:val="00806DA7"/>
    <w:rsid w:val="00806F63"/>
    <w:rsid w:val="0080736F"/>
    <w:rsid w:val="0080750E"/>
    <w:rsid w:val="00807AC1"/>
    <w:rsid w:val="00807F06"/>
    <w:rsid w:val="00811196"/>
    <w:rsid w:val="00811627"/>
    <w:rsid w:val="00811763"/>
    <w:rsid w:val="00811B48"/>
    <w:rsid w:val="00811DB4"/>
    <w:rsid w:val="00811F45"/>
    <w:rsid w:val="00812AD7"/>
    <w:rsid w:val="00812C18"/>
    <w:rsid w:val="00812E51"/>
    <w:rsid w:val="00812FA4"/>
    <w:rsid w:val="00813726"/>
    <w:rsid w:val="00813773"/>
    <w:rsid w:val="008141AD"/>
    <w:rsid w:val="008144C1"/>
    <w:rsid w:val="0081461D"/>
    <w:rsid w:val="00814D29"/>
    <w:rsid w:val="0081533C"/>
    <w:rsid w:val="0081536B"/>
    <w:rsid w:val="00815C9D"/>
    <w:rsid w:val="00815F28"/>
    <w:rsid w:val="008161D7"/>
    <w:rsid w:val="0081694E"/>
    <w:rsid w:val="008170DA"/>
    <w:rsid w:val="008177BC"/>
    <w:rsid w:val="00820661"/>
    <w:rsid w:val="00821038"/>
    <w:rsid w:val="00821172"/>
    <w:rsid w:val="00821194"/>
    <w:rsid w:val="00821D1A"/>
    <w:rsid w:val="00822A5E"/>
    <w:rsid w:val="00823779"/>
    <w:rsid w:val="00823AF3"/>
    <w:rsid w:val="00824305"/>
    <w:rsid w:val="0082437F"/>
    <w:rsid w:val="008246D7"/>
    <w:rsid w:val="00824ACE"/>
    <w:rsid w:val="00825401"/>
    <w:rsid w:val="008257B7"/>
    <w:rsid w:val="00825D2C"/>
    <w:rsid w:val="00825FF0"/>
    <w:rsid w:val="008265B3"/>
    <w:rsid w:val="00826BE9"/>
    <w:rsid w:val="00827442"/>
    <w:rsid w:val="00827589"/>
    <w:rsid w:val="008277E6"/>
    <w:rsid w:val="00827889"/>
    <w:rsid w:val="00830BDB"/>
    <w:rsid w:val="00830E5D"/>
    <w:rsid w:val="0083127A"/>
    <w:rsid w:val="008314FF"/>
    <w:rsid w:val="00831700"/>
    <w:rsid w:val="0083175D"/>
    <w:rsid w:val="008320C1"/>
    <w:rsid w:val="008331A0"/>
    <w:rsid w:val="008335F1"/>
    <w:rsid w:val="00833D21"/>
    <w:rsid w:val="0083419C"/>
    <w:rsid w:val="0083428E"/>
    <w:rsid w:val="008342E2"/>
    <w:rsid w:val="008345DD"/>
    <w:rsid w:val="00834AB2"/>
    <w:rsid w:val="00834E37"/>
    <w:rsid w:val="00835596"/>
    <w:rsid w:val="008356A7"/>
    <w:rsid w:val="00835CFC"/>
    <w:rsid w:val="00836262"/>
    <w:rsid w:val="00836E3A"/>
    <w:rsid w:val="00836FD1"/>
    <w:rsid w:val="00837210"/>
    <w:rsid w:val="00837BBD"/>
    <w:rsid w:val="008401BB"/>
    <w:rsid w:val="0084030D"/>
    <w:rsid w:val="00840AF9"/>
    <w:rsid w:val="00840F1B"/>
    <w:rsid w:val="00841639"/>
    <w:rsid w:val="00841930"/>
    <w:rsid w:val="00841E86"/>
    <w:rsid w:val="00842007"/>
    <w:rsid w:val="0084238D"/>
    <w:rsid w:val="008423EB"/>
    <w:rsid w:val="008424E1"/>
    <w:rsid w:val="008428BE"/>
    <w:rsid w:val="00842B11"/>
    <w:rsid w:val="00842BEA"/>
    <w:rsid w:val="00842E62"/>
    <w:rsid w:val="00843117"/>
    <w:rsid w:val="00843286"/>
    <w:rsid w:val="0084339F"/>
    <w:rsid w:val="00843543"/>
    <w:rsid w:val="00843A35"/>
    <w:rsid w:val="00843EFB"/>
    <w:rsid w:val="00844531"/>
    <w:rsid w:val="0084499F"/>
    <w:rsid w:val="00844B47"/>
    <w:rsid w:val="008452D3"/>
    <w:rsid w:val="0084591B"/>
    <w:rsid w:val="00845D23"/>
    <w:rsid w:val="00846323"/>
    <w:rsid w:val="008467EA"/>
    <w:rsid w:val="00846D8F"/>
    <w:rsid w:val="00846DCC"/>
    <w:rsid w:val="00847140"/>
    <w:rsid w:val="008472B8"/>
    <w:rsid w:val="008472D0"/>
    <w:rsid w:val="008476EF"/>
    <w:rsid w:val="00847B33"/>
    <w:rsid w:val="00847F2C"/>
    <w:rsid w:val="00850275"/>
    <w:rsid w:val="0085053C"/>
    <w:rsid w:val="008515C9"/>
    <w:rsid w:val="00851A17"/>
    <w:rsid w:val="00851E3F"/>
    <w:rsid w:val="00852416"/>
    <w:rsid w:val="008525BC"/>
    <w:rsid w:val="00852860"/>
    <w:rsid w:val="008529A2"/>
    <w:rsid w:val="00852CF8"/>
    <w:rsid w:val="00853667"/>
    <w:rsid w:val="00853AED"/>
    <w:rsid w:val="00853AF2"/>
    <w:rsid w:val="00853B38"/>
    <w:rsid w:val="00853C5E"/>
    <w:rsid w:val="0085419F"/>
    <w:rsid w:val="0085439B"/>
    <w:rsid w:val="00854614"/>
    <w:rsid w:val="00854C40"/>
    <w:rsid w:val="008554A9"/>
    <w:rsid w:val="00855662"/>
    <w:rsid w:val="00855813"/>
    <w:rsid w:val="008558FC"/>
    <w:rsid w:val="00855CE4"/>
    <w:rsid w:val="00856208"/>
    <w:rsid w:val="008563E6"/>
    <w:rsid w:val="008564EA"/>
    <w:rsid w:val="00856C2D"/>
    <w:rsid w:val="00857173"/>
    <w:rsid w:val="008579B4"/>
    <w:rsid w:val="00857C93"/>
    <w:rsid w:val="00860390"/>
    <w:rsid w:val="008611A0"/>
    <w:rsid w:val="00861F81"/>
    <w:rsid w:val="008620CA"/>
    <w:rsid w:val="0086252B"/>
    <w:rsid w:val="00862682"/>
    <w:rsid w:val="00862BC7"/>
    <w:rsid w:val="00862FCE"/>
    <w:rsid w:val="00864143"/>
    <w:rsid w:val="00864814"/>
    <w:rsid w:val="00864B24"/>
    <w:rsid w:val="00866019"/>
    <w:rsid w:val="00870044"/>
    <w:rsid w:val="00870185"/>
    <w:rsid w:val="00870397"/>
    <w:rsid w:val="00870846"/>
    <w:rsid w:val="00870AFF"/>
    <w:rsid w:val="00870D70"/>
    <w:rsid w:val="00870E9A"/>
    <w:rsid w:val="00870F23"/>
    <w:rsid w:val="00871609"/>
    <w:rsid w:val="00871A6C"/>
    <w:rsid w:val="00872091"/>
    <w:rsid w:val="008727CB"/>
    <w:rsid w:val="00872A6F"/>
    <w:rsid w:val="00872E7E"/>
    <w:rsid w:val="00873108"/>
    <w:rsid w:val="0087348A"/>
    <w:rsid w:val="00873AFB"/>
    <w:rsid w:val="00874285"/>
    <w:rsid w:val="008748BC"/>
    <w:rsid w:val="00874B81"/>
    <w:rsid w:val="00874E15"/>
    <w:rsid w:val="00875CCB"/>
    <w:rsid w:val="00875EBD"/>
    <w:rsid w:val="00875FB7"/>
    <w:rsid w:val="00876507"/>
    <w:rsid w:val="00876F0B"/>
    <w:rsid w:val="008779AC"/>
    <w:rsid w:val="008779C5"/>
    <w:rsid w:val="00877D13"/>
    <w:rsid w:val="00877D87"/>
    <w:rsid w:val="00877E6F"/>
    <w:rsid w:val="00880041"/>
    <w:rsid w:val="00880BDD"/>
    <w:rsid w:val="00881BC5"/>
    <w:rsid w:val="00883291"/>
    <w:rsid w:val="008833F3"/>
    <w:rsid w:val="00883519"/>
    <w:rsid w:val="00883BA5"/>
    <w:rsid w:val="00884DD9"/>
    <w:rsid w:val="00885293"/>
    <w:rsid w:val="008868F6"/>
    <w:rsid w:val="00886E92"/>
    <w:rsid w:val="008870FA"/>
    <w:rsid w:val="00887167"/>
    <w:rsid w:val="00887865"/>
    <w:rsid w:val="00887FB1"/>
    <w:rsid w:val="0089008C"/>
    <w:rsid w:val="008909E4"/>
    <w:rsid w:val="00890AE2"/>
    <w:rsid w:val="00890D79"/>
    <w:rsid w:val="00891374"/>
    <w:rsid w:val="008913DE"/>
    <w:rsid w:val="008914A5"/>
    <w:rsid w:val="008926D5"/>
    <w:rsid w:val="00892C38"/>
    <w:rsid w:val="0089369C"/>
    <w:rsid w:val="0089420B"/>
    <w:rsid w:val="00894C15"/>
    <w:rsid w:val="0089500B"/>
    <w:rsid w:val="00895180"/>
    <w:rsid w:val="008954DD"/>
    <w:rsid w:val="00895916"/>
    <w:rsid w:val="008972E2"/>
    <w:rsid w:val="0089765D"/>
    <w:rsid w:val="00897793"/>
    <w:rsid w:val="008977B7"/>
    <w:rsid w:val="008A02EC"/>
    <w:rsid w:val="008A0D45"/>
    <w:rsid w:val="008A12AC"/>
    <w:rsid w:val="008A1632"/>
    <w:rsid w:val="008A1B87"/>
    <w:rsid w:val="008A230C"/>
    <w:rsid w:val="008A2A40"/>
    <w:rsid w:val="008A2A58"/>
    <w:rsid w:val="008A2AD3"/>
    <w:rsid w:val="008A2D16"/>
    <w:rsid w:val="008A2D71"/>
    <w:rsid w:val="008A3723"/>
    <w:rsid w:val="008A3EE4"/>
    <w:rsid w:val="008A4086"/>
    <w:rsid w:val="008A4468"/>
    <w:rsid w:val="008A4C0E"/>
    <w:rsid w:val="008A4F63"/>
    <w:rsid w:val="008A5457"/>
    <w:rsid w:val="008A545D"/>
    <w:rsid w:val="008A5812"/>
    <w:rsid w:val="008A5919"/>
    <w:rsid w:val="008A60D7"/>
    <w:rsid w:val="008A63B2"/>
    <w:rsid w:val="008A6F83"/>
    <w:rsid w:val="008A75D2"/>
    <w:rsid w:val="008A78E5"/>
    <w:rsid w:val="008B05C3"/>
    <w:rsid w:val="008B0BE7"/>
    <w:rsid w:val="008B145D"/>
    <w:rsid w:val="008B1AD5"/>
    <w:rsid w:val="008B1F3D"/>
    <w:rsid w:val="008B20B8"/>
    <w:rsid w:val="008B2297"/>
    <w:rsid w:val="008B3119"/>
    <w:rsid w:val="008B31AB"/>
    <w:rsid w:val="008B3CD9"/>
    <w:rsid w:val="008B3E58"/>
    <w:rsid w:val="008B420C"/>
    <w:rsid w:val="008B45F9"/>
    <w:rsid w:val="008B4965"/>
    <w:rsid w:val="008B4EC0"/>
    <w:rsid w:val="008B4F0D"/>
    <w:rsid w:val="008B5281"/>
    <w:rsid w:val="008B54FA"/>
    <w:rsid w:val="008B58E6"/>
    <w:rsid w:val="008B5EF1"/>
    <w:rsid w:val="008B6682"/>
    <w:rsid w:val="008B687A"/>
    <w:rsid w:val="008B6B75"/>
    <w:rsid w:val="008B6D19"/>
    <w:rsid w:val="008B7043"/>
    <w:rsid w:val="008B78B1"/>
    <w:rsid w:val="008C0202"/>
    <w:rsid w:val="008C0232"/>
    <w:rsid w:val="008C05BB"/>
    <w:rsid w:val="008C0C7D"/>
    <w:rsid w:val="008C119D"/>
    <w:rsid w:val="008C1C2F"/>
    <w:rsid w:val="008C1C68"/>
    <w:rsid w:val="008C1C94"/>
    <w:rsid w:val="008C1CCF"/>
    <w:rsid w:val="008C1FB4"/>
    <w:rsid w:val="008C271E"/>
    <w:rsid w:val="008C2D10"/>
    <w:rsid w:val="008C2F2B"/>
    <w:rsid w:val="008C4413"/>
    <w:rsid w:val="008C4966"/>
    <w:rsid w:val="008C4B4C"/>
    <w:rsid w:val="008C4E82"/>
    <w:rsid w:val="008C4F4D"/>
    <w:rsid w:val="008C4F90"/>
    <w:rsid w:val="008C4FE4"/>
    <w:rsid w:val="008C5671"/>
    <w:rsid w:val="008C5BA4"/>
    <w:rsid w:val="008C63D3"/>
    <w:rsid w:val="008C6D7B"/>
    <w:rsid w:val="008C6E03"/>
    <w:rsid w:val="008C6FD9"/>
    <w:rsid w:val="008C76F6"/>
    <w:rsid w:val="008C7854"/>
    <w:rsid w:val="008C79BA"/>
    <w:rsid w:val="008C7ADC"/>
    <w:rsid w:val="008D038B"/>
    <w:rsid w:val="008D046F"/>
    <w:rsid w:val="008D08F2"/>
    <w:rsid w:val="008D145A"/>
    <w:rsid w:val="008D1775"/>
    <w:rsid w:val="008D19FD"/>
    <w:rsid w:val="008D1ABD"/>
    <w:rsid w:val="008D1C45"/>
    <w:rsid w:val="008D21A1"/>
    <w:rsid w:val="008D2A3A"/>
    <w:rsid w:val="008D3A0D"/>
    <w:rsid w:val="008D3AC3"/>
    <w:rsid w:val="008D4AC5"/>
    <w:rsid w:val="008D4D35"/>
    <w:rsid w:val="008D663B"/>
    <w:rsid w:val="008D78BD"/>
    <w:rsid w:val="008D7D15"/>
    <w:rsid w:val="008D7D37"/>
    <w:rsid w:val="008D7D89"/>
    <w:rsid w:val="008D7FCA"/>
    <w:rsid w:val="008E00B7"/>
    <w:rsid w:val="008E033C"/>
    <w:rsid w:val="008E0F96"/>
    <w:rsid w:val="008E1128"/>
    <w:rsid w:val="008E1416"/>
    <w:rsid w:val="008E1819"/>
    <w:rsid w:val="008E1FCA"/>
    <w:rsid w:val="008E25D6"/>
    <w:rsid w:val="008E3569"/>
    <w:rsid w:val="008E3CC2"/>
    <w:rsid w:val="008E4012"/>
    <w:rsid w:val="008E40B4"/>
    <w:rsid w:val="008E4304"/>
    <w:rsid w:val="008E4411"/>
    <w:rsid w:val="008E463F"/>
    <w:rsid w:val="008E537E"/>
    <w:rsid w:val="008E5ADF"/>
    <w:rsid w:val="008E5D3A"/>
    <w:rsid w:val="008E618D"/>
    <w:rsid w:val="008E6648"/>
    <w:rsid w:val="008E6BA7"/>
    <w:rsid w:val="008E6CAA"/>
    <w:rsid w:val="008E6DC9"/>
    <w:rsid w:val="008E7761"/>
    <w:rsid w:val="008E7BD4"/>
    <w:rsid w:val="008F0A95"/>
    <w:rsid w:val="008F0E8D"/>
    <w:rsid w:val="008F0E9C"/>
    <w:rsid w:val="008F0FE2"/>
    <w:rsid w:val="008F1244"/>
    <w:rsid w:val="008F1EAD"/>
    <w:rsid w:val="008F1F19"/>
    <w:rsid w:val="008F44DD"/>
    <w:rsid w:val="008F482E"/>
    <w:rsid w:val="008F485A"/>
    <w:rsid w:val="008F4BC9"/>
    <w:rsid w:val="008F52F2"/>
    <w:rsid w:val="008F567D"/>
    <w:rsid w:val="008F5888"/>
    <w:rsid w:val="008F5DB2"/>
    <w:rsid w:val="008F6850"/>
    <w:rsid w:val="008F6884"/>
    <w:rsid w:val="008F6F1A"/>
    <w:rsid w:val="008F6F88"/>
    <w:rsid w:val="008F71B4"/>
    <w:rsid w:val="008F734B"/>
    <w:rsid w:val="008F7897"/>
    <w:rsid w:val="008F7BA2"/>
    <w:rsid w:val="008F7C91"/>
    <w:rsid w:val="00900F29"/>
    <w:rsid w:val="00901365"/>
    <w:rsid w:val="0090137A"/>
    <w:rsid w:val="00901E8E"/>
    <w:rsid w:val="009021D3"/>
    <w:rsid w:val="009024C1"/>
    <w:rsid w:val="0090252A"/>
    <w:rsid w:val="009027FA"/>
    <w:rsid w:val="00903212"/>
    <w:rsid w:val="00903370"/>
    <w:rsid w:val="009036E2"/>
    <w:rsid w:val="00903DFE"/>
    <w:rsid w:val="009044ED"/>
    <w:rsid w:val="00904C60"/>
    <w:rsid w:val="009051A1"/>
    <w:rsid w:val="0090563A"/>
    <w:rsid w:val="00905737"/>
    <w:rsid w:val="00905A86"/>
    <w:rsid w:val="00905B9F"/>
    <w:rsid w:val="009062D1"/>
    <w:rsid w:val="009063EF"/>
    <w:rsid w:val="00906D8E"/>
    <w:rsid w:val="0090746F"/>
    <w:rsid w:val="00907EA5"/>
    <w:rsid w:val="00910427"/>
    <w:rsid w:val="00910680"/>
    <w:rsid w:val="009111C5"/>
    <w:rsid w:val="009111F6"/>
    <w:rsid w:val="00911B56"/>
    <w:rsid w:val="0091221B"/>
    <w:rsid w:val="00912333"/>
    <w:rsid w:val="00912488"/>
    <w:rsid w:val="00912638"/>
    <w:rsid w:val="00912C34"/>
    <w:rsid w:val="00912FC4"/>
    <w:rsid w:val="00912FC6"/>
    <w:rsid w:val="0091302A"/>
    <w:rsid w:val="0091349A"/>
    <w:rsid w:val="009138AE"/>
    <w:rsid w:val="00914089"/>
    <w:rsid w:val="00914399"/>
    <w:rsid w:val="009143E6"/>
    <w:rsid w:val="0091469C"/>
    <w:rsid w:val="009146E0"/>
    <w:rsid w:val="00914930"/>
    <w:rsid w:val="0091530C"/>
    <w:rsid w:val="009154C2"/>
    <w:rsid w:val="009158BF"/>
    <w:rsid w:val="00915968"/>
    <w:rsid w:val="00915BC4"/>
    <w:rsid w:val="00915DFD"/>
    <w:rsid w:val="00915FFA"/>
    <w:rsid w:val="009160EC"/>
    <w:rsid w:val="009177CC"/>
    <w:rsid w:val="00917B8E"/>
    <w:rsid w:val="00917C67"/>
    <w:rsid w:val="0092002B"/>
    <w:rsid w:val="00920557"/>
    <w:rsid w:val="0092067D"/>
    <w:rsid w:val="00920D89"/>
    <w:rsid w:val="00920FBC"/>
    <w:rsid w:val="009218DF"/>
    <w:rsid w:val="009219D7"/>
    <w:rsid w:val="00921B09"/>
    <w:rsid w:val="00921CBB"/>
    <w:rsid w:val="009233E2"/>
    <w:rsid w:val="009237E3"/>
    <w:rsid w:val="009238C5"/>
    <w:rsid w:val="00924045"/>
    <w:rsid w:val="009246AA"/>
    <w:rsid w:val="009254CD"/>
    <w:rsid w:val="00925AF9"/>
    <w:rsid w:val="00925DFA"/>
    <w:rsid w:val="00925E91"/>
    <w:rsid w:val="00926714"/>
    <w:rsid w:val="009269BE"/>
    <w:rsid w:val="009270EA"/>
    <w:rsid w:val="00927A65"/>
    <w:rsid w:val="0093057A"/>
    <w:rsid w:val="0093083D"/>
    <w:rsid w:val="00930C86"/>
    <w:rsid w:val="00930D89"/>
    <w:rsid w:val="00930E90"/>
    <w:rsid w:val="009312C1"/>
    <w:rsid w:val="009313B8"/>
    <w:rsid w:val="00931880"/>
    <w:rsid w:val="00931D2E"/>
    <w:rsid w:val="009323F1"/>
    <w:rsid w:val="00933374"/>
    <w:rsid w:val="009334CB"/>
    <w:rsid w:val="009335B4"/>
    <w:rsid w:val="00933E08"/>
    <w:rsid w:val="009342FC"/>
    <w:rsid w:val="0093434F"/>
    <w:rsid w:val="009350C8"/>
    <w:rsid w:val="00935106"/>
    <w:rsid w:val="00935425"/>
    <w:rsid w:val="009357C1"/>
    <w:rsid w:val="0093581A"/>
    <w:rsid w:val="00935919"/>
    <w:rsid w:val="00935A3C"/>
    <w:rsid w:val="00935DA5"/>
    <w:rsid w:val="00936068"/>
    <w:rsid w:val="009366AA"/>
    <w:rsid w:val="00936982"/>
    <w:rsid w:val="00937803"/>
    <w:rsid w:val="00937848"/>
    <w:rsid w:val="00937930"/>
    <w:rsid w:val="00940015"/>
    <w:rsid w:val="009401A9"/>
    <w:rsid w:val="009419E8"/>
    <w:rsid w:val="00941AF2"/>
    <w:rsid w:val="00941E95"/>
    <w:rsid w:val="0094216C"/>
    <w:rsid w:val="00942483"/>
    <w:rsid w:val="00942A81"/>
    <w:rsid w:val="00943806"/>
    <w:rsid w:val="00943E47"/>
    <w:rsid w:val="00944A6C"/>
    <w:rsid w:val="00944BDF"/>
    <w:rsid w:val="00944E26"/>
    <w:rsid w:val="00945286"/>
    <w:rsid w:val="00945878"/>
    <w:rsid w:val="00945AB2"/>
    <w:rsid w:val="00946073"/>
    <w:rsid w:val="00946351"/>
    <w:rsid w:val="00946501"/>
    <w:rsid w:val="00946A76"/>
    <w:rsid w:val="00946D34"/>
    <w:rsid w:val="00946E61"/>
    <w:rsid w:val="00947213"/>
    <w:rsid w:val="00947244"/>
    <w:rsid w:val="00947A81"/>
    <w:rsid w:val="00947ADA"/>
    <w:rsid w:val="00947C4F"/>
    <w:rsid w:val="009503C2"/>
    <w:rsid w:val="00950EAD"/>
    <w:rsid w:val="009510BE"/>
    <w:rsid w:val="00951152"/>
    <w:rsid w:val="009517CC"/>
    <w:rsid w:val="00951931"/>
    <w:rsid w:val="00951C42"/>
    <w:rsid w:val="00951E86"/>
    <w:rsid w:val="00951F13"/>
    <w:rsid w:val="00953245"/>
    <w:rsid w:val="00953C64"/>
    <w:rsid w:val="0095411A"/>
    <w:rsid w:val="00954549"/>
    <w:rsid w:val="00954916"/>
    <w:rsid w:val="009554DD"/>
    <w:rsid w:val="009557B6"/>
    <w:rsid w:val="00955C03"/>
    <w:rsid w:val="00956275"/>
    <w:rsid w:val="00956553"/>
    <w:rsid w:val="0095666D"/>
    <w:rsid w:val="00956A09"/>
    <w:rsid w:val="009575CD"/>
    <w:rsid w:val="00957F8A"/>
    <w:rsid w:val="009611F4"/>
    <w:rsid w:val="0096125F"/>
    <w:rsid w:val="009612EB"/>
    <w:rsid w:val="0096144C"/>
    <w:rsid w:val="009615D4"/>
    <w:rsid w:val="00961B32"/>
    <w:rsid w:val="0096202D"/>
    <w:rsid w:val="00962047"/>
    <w:rsid w:val="00962305"/>
    <w:rsid w:val="009623E2"/>
    <w:rsid w:val="00962905"/>
    <w:rsid w:val="00963F63"/>
    <w:rsid w:val="00964FDB"/>
    <w:rsid w:val="00964FF2"/>
    <w:rsid w:val="00965170"/>
    <w:rsid w:val="009659FD"/>
    <w:rsid w:val="00966A33"/>
    <w:rsid w:val="00966EDF"/>
    <w:rsid w:val="00966FA7"/>
    <w:rsid w:val="0096746C"/>
    <w:rsid w:val="0096776C"/>
    <w:rsid w:val="00967D1A"/>
    <w:rsid w:val="00967E7B"/>
    <w:rsid w:val="00967F5B"/>
    <w:rsid w:val="009707BD"/>
    <w:rsid w:val="00970A20"/>
    <w:rsid w:val="00970D94"/>
    <w:rsid w:val="0097163D"/>
    <w:rsid w:val="0097195D"/>
    <w:rsid w:val="0097200B"/>
    <w:rsid w:val="009721F8"/>
    <w:rsid w:val="00972642"/>
    <w:rsid w:val="00972698"/>
    <w:rsid w:val="009729A2"/>
    <w:rsid w:val="00972B0B"/>
    <w:rsid w:val="00972CF4"/>
    <w:rsid w:val="00973458"/>
    <w:rsid w:val="00973D4B"/>
    <w:rsid w:val="00973D85"/>
    <w:rsid w:val="00974677"/>
    <w:rsid w:val="0097477B"/>
    <w:rsid w:val="009747AD"/>
    <w:rsid w:val="00974B7F"/>
    <w:rsid w:val="0097529F"/>
    <w:rsid w:val="00975712"/>
    <w:rsid w:val="00976023"/>
    <w:rsid w:val="00976399"/>
    <w:rsid w:val="0097667B"/>
    <w:rsid w:val="00976BE9"/>
    <w:rsid w:val="00977172"/>
    <w:rsid w:val="009773C8"/>
    <w:rsid w:val="0097784C"/>
    <w:rsid w:val="00977858"/>
    <w:rsid w:val="00977E9C"/>
    <w:rsid w:val="00977F9A"/>
    <w:rsid w:val="0098017D"/>
    <w:rsid w:val="00980461"/>
    <w:rsid w:val="00980E23"/>
    <w:rsid w:val="00981240"/>
    <w:rsid w:val="00981B6F"/>
    <w:rsid w:val="009825FE"/>
    <w:rsid w:val="0098271F"/>
    <w:rsid w:val="009828BD"/>
    <w:rsid w:val="009835FA"/>
    <w:rsid w:val="009841B5"/>
    <w:rsid w:val="00984226"/>
    <w:rsid w:val="0098468D"/>
    <w:rsid w:val="00984E38"/>
    <w:rsid w:val="00985690"/>
    <w:rsid w:val="0098572B"/>
    <w:rsid w:val="00985A48"/>
    <w:rsid w:val="00985E61"/>
    <w:rsid w:val="009864AF"/>
    <w:rsid w:val="009866B2"/>
    <w:rsid w:val="009869A3"/>
    <w:rsid w:val="00986BCF"/>
    <w:rsid w:val="0098730A"/>
    <w:rsid w:val="0098739B"/>
    <w:rsid w:val="009873F2"/>
    <w:rsid w:val="009875A5"/>
    <w:rsid w:val="00987663"/>
    <w:rsid w:val="009879D9"/>
    <w:rsid w:val="009901F4"/>
    <w:rsid w:val="00990877"/>
    <w:rsid w:val="009908A2"/>
    <w:rsid w:val="00990CCD"/>
    <w:rsid w:val="00990D30"/>
    <w:rsid w:val="009912AC"/>
    <w:rsid w:val="0099172E"/>
    <w:rsid w:val="0099268B"/>
    <w:rsid w:val="0099277A"/>
    <w:rsid w:val="00992BF2"/>
    <w:rsid w:val="00992EAF"/>
    <w:rsid w:val="00993B3E"/>
    <w:rsid w:val="00994276"/>
    <w:rsid w:val="00994334"/>
    <w:rsid w:val="009943A4"/>
    <w:rsid w:val="00994689"/>
    <w:rsid w:val="009949AB"/>
    <w:rsid w:val="00994D39"/>
    <w:rsid w:val="00995189"/>
    <w:rsid w:val="00995371"/>
    <w:rsid w:val="00995BA5"/>
    <w:rsid w:val="009961AA"/>
    <w:rsid w:val="009965C9"/>
    <w:rsid w:val="009969C3"/>
    <w:rsid w:val="00996F56"/>
    <w:rsid w:val="00997096"/>
    <w:rsid w:val="00997A4F"/>
    <w:rsid w:val="009A020A"/>
    <w:rsid w:val="009A0F5B"/>
    <w:rsid w:val="009A1A85"/>
    <w:rsid w:val="009A203A"/>
    <w:rsid w:val="009A2C09"/>
    <w:rsid w:val="009A2F17"/>
    <w:rsid w:val="009A3073"/>
    <w:rsid w:val="009A3409"/>
    <w:rsid w:val="009A37B4"/>
    <w:rsid w:val="009A38A5"/>
    <w:rsid w:val="009A39E3"/>
    <w:rsid w:val="009A3C2B"/>
    <w:rsid w:val="009A4131"/>
    <w:rsid w:val="009A42E7"/>
    <w:rsid w:val="009A4658"/>
    <w:rsid w:val="009A48A3"/>
    <w:rsid w:val="009A571D"/>
    <w:rsid w:val="009A588E"/>
    <w:rsid w:val="009A6433"/>
    <w:rsid w:val="009A7448"/>
    <w:rsid w:val="009A7A4F"/>
    <w:rsid w:val="009B0766"/>
    <w:rsid w:val="009B0AAA"/>
    <w:rsid w:val="009B0BB3"/>
    <w:rsid w:val="009B202F"/>
    <w:rsid w:val="009B2144"/>
    <w:rsid w:val="009B27B0"/>
    <w:rsid w:val="009B28E0"/>
    <w:rsid w:val="009B2ACA"/>
    <w:rsid w:val="009B34C0"/>
    <w:rsid w:val="009B3664"/>
    <w:rsid w:val="009B3DDF"/>
    <w:rsid w:val="009B3DF5"/>
    <w:rsid w:val="009B3FA7"/>
    <w:rsid w:val="009B509D"/>
    <w:rsid w:val="009B5225"/>
    <w:rsid w:val="009B5989"/>
    <w:rsid w:val="009B5A7C"/>
    <w:rsid w:val="009B67D9"/>
    <w:rsid w:val="009B6D45"/>
    <w:rsid w:val="009B741E"/>
    <w:rsid w:val="009B754D"/>
    <w:rsid w:val="009B7765"/>
    <w:rsid w:val="009C08DF"/>
    <w:rsid w:val="009C0F01"/>
    <w:rsid w:val="009C1915"/>
    <w:rsid w:val="009C1C08"/>
    <w:rsid w:val="009C2739"/>
    <w:rsid w:val="009C278C"/>
    <w:rsid w:val="009C2DC7"/>
    <w:rsid w:val="009C337E"/>
    <w:rsid w:val="009C4423"/>
    <w:rsid w:val="009C456A"/>
    <w:rsid w:val="009C46D2"/>
    <w:rsid w:val="009C4746"/>
    <w:rsid w:val="009C4A14"/>
    <w:rsid w:val="009C4C2E"/>
    <w:rsid w:val="009C4CB7"/>
    <w:rsid w:val="009C4ECF"/>
    <w:rsid w:val="009C5430"/>
    <w:rsid w:val="009C584F"/>
    <w:rsid w:val="009C5B69"/>
    <w:rsid w:val="009C6075"/>
    <w:rsid w:val="009C63C5"/>
    <w:rsid w:val="009C7655"/>
    <w:rsid w:val="009C77C0"/>
    <w:rsid w:val="009D04CC"/>
    <w:rsid w:val="009D05FF"/>
    <w:rsid w:val="009D09C1"/>
    <w:rsid w:val="009D0E4F"/>
    <w:rsid w:val="009D11B2"/>
    <w:rsid w:val="009D16C2"/>
    <w:rsid w:val="009D183E"/>
    <w:rsid w:val="009D24F5"/>
    <w:rsid w:val="009D26D7"/>
    <w:rsid w:val="009D2AD1"/>
    <w:rsid w:val="009D3385"/>
    <w:rsid w:val="009D3A47"/>
    <w:rsid w:val="009D3FE0"/>
    <w:rsid w:val="009D405F"/>
    <w:rsid w:val="009D4071"/>
    <w:rsid w:val="009D421C"/>
    <w:rsid w:val="009D4459"/>
    <w:rsid w:val="009D478B"/>
    <w:rsid w:val="009D4CFD"/>
    <w:rsid w:val="009D4DB8"/>
    <w:rsid w:val="009D5A0E"/>
    <w:rsid w:val="009D5B33"/>
    <w:rsid w:val="009D5F93"/>
    <w:rsid w:val="009D6080"/>
    <w:rsid w:val="009D6615"/>
    <w:rsid w:val="009D79C1"/>
    <w:rsid w:val="009E0393"/>
    <w:rsid w:val="009E0673"/>
    <w:rsid w:val="009E0A08"/>
    <w:rsid w:val="009E17F2"/>
    <w:rsid w:val="009E19A3"/>
    <w:rsid w:val="009E20A0"/>
    <w:rsid w:val="009E2377"/>
    <w:rsid w:val="009E2528"/>
    <w:rsid w:val="009E2B57"/>
    <w:rsid w:val="009E2BCC"/>
    <w:rsid w:val="009E2BF5"/>
    <w:rsid w:val="009E30B0"/>
    <w:rsid w:val="009E3BDF"/>
    <w:rsid w:val="009E470F"/>
    <w:rsid w:val="009E4882"/>
    <w:rsid w:val="009E489F"/>
    <w:rsid w:val="009E4D44"/>
    <w:rsid w:val="009E4DC0"/>
    <w:rsid w:val="009E4EE2"/>
    <w:rsid w:val="009E5284"/>
    <w:rsid w:val="009E52E5"/>
    <w:rsid w:val="009E582D"/>
    <w:rsid w:val="009E5879"/>
    <w:rsid w:val="009E5BCD"/>
    <w:rsid w:val="009E5D84"/>
    <w:rsid w:val="009E616E"/>
    <w:rsid w:val="009E61A8"/>
    <w:rsid w:val="009E6BF3"/>
    <w:rsid w:val="009E710C"/>
    <w:rsid w:val="009E746C"/>
    <w:rsid w:val="009E74A8"/>
    <w:rsid w:val="009E774F"/>
    <w:rsid w:val="009E7A68"/>
    <w:rsid w:val="009F012D"/>
    <w:rsid w:val="009F0AC4"/>
    <w:rsid w:val="009F0C13"/>
    <w:rsid w:val="009F0DFE"/>
    <w:rsid w:val="009F12CD"/>
    <w:rsid w:val="009F13B7"/>
    <w:rsid w:val="009F1E2F"/>
    <w:rsid w:val="009F2213"/>
    <w:rsid w:val="009F222F"/>
    <w:rsid w:val="009F2BF5"/>
    <w:rsid w:val="009F310F"/>
    <w:rsid w:val="009F33EA"/>
    <w:rsid w:val="009F37D6"/>
    <w:rsid w:val="009F4341"/>
    <w:rsid w:val="009F43BE"/>
    <w:rsid w:val="009F4589"/>
    <w:rsid w:val="009F4611"/>
    <w:rsid w:val="009F581C"/>
    <w:rsid w:val="009F5CBA"/>
    <w:rsid w:val="009F611D"/>
    <w:rsid w:val="009F6950"/>
    <w:rsid w:val="009F6A21"/>
    <w:rsid w:val="009F6D94"/>
    <w:rsid w:val="009F75ED"/>
    <w:rsid w:val="009F7601"/>
    <w:rsid w:val="009F7726"/>
    <w:rsid w:val="00A00065"/>
    <w:rsid w:val="00A0035F"/>
    <w:rsid w:val="00A00FC6"/>
    <w:rsid w:val="00A012D6"/>
    <w:rsid w:val="00A017BA"/>
    <w:rsid w:val="00A0206C"/>
    <w:rsid w:val="00A02310"/>
    <w:rsid w:val="00A02663"/>
    <w:rsid w:val="00A026DD"/>
    <w:rsid w:val="00A02728"/>
    <w:rsid w:val="00A02764"/>
    <w:rsid w:val="00A029BD"/>
    <w:rsid w:val="00A02EB3"/>
    <w:rsid w:val="00A03070"/>
    <w:rsid w:val="00A0382C"/>
    <w:rsid w:val="00A049C6"/>
    <w:rsid w:val="00A053F7"/>
    <w:rsid w:val="00A05453"/>
    <w:rsid w:val="00A05490"/>
    <w:rsid w:val="00A05704"/>
    <w:rsid w:val="00A059B9"/>
    <w:rsid w:val="00A06DF5"/>
    <w:rsid w:val="00A06EE0"/>
    <w:rsid w:val="00A070D7"/>
    <w:rsid w:val="00A07373"/>
    <w:rsid w:val="00A0757A"/>
    <w:rsid w:val="00A07672"/>
    <w:rsid w:val="00A079A9"/>
    <w:rsid w:val="00A10D86"/>
    <w:rsid w:val="00A11324"/>
    <w:rsid w:val="00A11362"/>
    <w:rsid w:val="00A114B5"/>
    <w:rsid w:val="00A114BF"/>
    <w:rsid w:val="00A11AD3"/>
    <w:rsid w:val="00A11E10"/>
    <w:rsid w:val="00A11E7B"/>
    <w:rsid w:val="00A12285"/>
    <w:rsid w:val="00A124BA"/>
    <w:rsid w:val="00A1277E"/>
    <w:rsid w:val="00A128B7"/>
    <w:rsid w:val="00A12C33"/>
    <w:rsid w:val="00A13178"/>
    <w:rsid w:val="00A13664"/>
    <w:rsid w:val="00A13777"/>
    <w:rsid w:val="00A13A1A"/>
    <w:rsid w:val="00A14DD0"/>
    <w:rsid w:val="00A14E34"/>
    <w:rsid w:val="00A15404"/>
    <w:rsid w:val="00A15B1F"/>
    <w:rsid w:val="00A15B70"/>
    <w:rsid w:val="00A16197"/>
    <w:rsid w:val="00A17146"/>
    <w:rsid w:val="00A17573"/>
    <w:rsid w:val="00A179FF"/>
    <w:rsid w:val="00A17DCA"/>
    <w:rsid w:val="00A201D6"/>
    <w:rsid w:val="00A20502"/>
    <w:rsid w:val="00A20797"/>
    <w:rsid w:val="00A20B93"/>
    <w:rsid w:val="00A21C3A"/>
    <w:rsid w:val="00A21D85"/>
    <w:rsid w:val="00A2282D"/>
    <w:rsid w:val="00A22954"/>
    <w:rsid w:val="00A22C8C"/>
    <w:rsid w:val="00A2374E"/>
    <w:rsid w:val="00A24741"/>
    <w:rsid w:val="00A24890"/>
    <w:rsid w:val="00A25949"/>
    <w:rsid w:val="00A25976"/>
    <w:rsid w:val="00A2637A"/>
    <w:rsid w:val="00A26934"/>
    <w:rsid w:val="00A270AD"/>
    <w:rsid w:val="00A27388"/>
    <w:rsid w:val="00A27C48"/>
    <w:rsid w:val="00A27D8E"/>
    <w:rsid w:val="00A300A2"/>
    <w:rsid w:val="00A30E26"/>
    <w:rsid w:val="00A315E7"/>
    <w:rsid w:val="00A31873"/>
    <w:rsid w:val="00A3258A"/>
    <w:rsid w:val="00A32744"/>
    <w:rsid w:val="00A328E9"/>
    <w:rsid w:val="00A32C35"/>
    <w:rsid w:val="00A32DEE"/>
    <w:rsid w:val="00A32E8B"/>
    <w:rsid w:val="00A33074"/>
    <w:rsid w:val="00A33281"/>
    <w:rsid w:val="00A33532"/>
    <w:rsid w:val="00A33B1A"/>
    <w:rsid w:val="00A34414"/>
    <w:rsid w:val="00A34D0F"/>
    <w:rsid w:val="00A35140"/>
    <w:rsid w:val="00A36055"/>
    <w:rsid w:val="00A36818"/>
    <w:rsid w:val="00A36CB4"/>
    <w:rsid w:val="00A36DBD"/>
    <w:rsid w:val="00A3745B"/>
    <w:rsid w:val="00A401A6"/>
    <w:rsid w:val="00A40AF2"/>
    <w:rsid w:val="00A40C16"/>
    <w:rsid w:val="00A40F36"/>
    <w:rsid w:val="00A40FFC"/>
    <w:rsid w:val="00A41257"/>
    <w:rsid w:val="00A413F7"/>
    <w:rsid w:val="00A416AD"/>
    <w:rsid w:val="00A41FCF"/>
    <w:rsid w:val="00A42607"/>
    <w:rsid w:val="00A42898"/>
    <w:rsid w:val="00A42984"/>
    <w:rsid w:val="00A4350E"/>
    <w:rsid w:val="00A43AF1"/>
    <w:rsid w:val="00A43B64"/>
    <w:rsid w:val="00A43DEF"/>
    <w:rsid w:val="00A443C1"/>
    <w:rsid w:val="00A445F2"/>
    <w:rsid w:val="00A445F7"/>
    <w:rsid w:val="00A44891"/>
    <w:rsid w:val="00A44962"/>
    <w:rsid w:val="00A470FF"/>
    <w:rsid w:val="00A471AE"/>
    <w:rsid w:val="00A474B6"/>
    <w:rsid w:val="00A47EBD"/>
    <w:rsid w:val="00A50BEF"/>
    <w:rsid w:val="00A50CD9"/>
    <w:rsid w:val="00A5114E"/>
    <w:rsid w:val="00A51374"/>
    <w:rsid w:val="00A51A80"/>
    <w:rsid w:val="00A526F7"/>
    <w:rsid w:val="00A52D5C"/>
    <w:rsid w:val="00A530F3"/>
    <w:rsid w:val="00A534F2"/>
    <w:rsid w:val="00A5351E"/>
    <w:rsid w:val="00A536F1"/>
    <w:rsid w:val="00A53778"/>
    <w:rsid w:val="00A5420C"/>
    <w:rsid w:val="00A543E6"/>
    <w:rsid w:val="00A5487A"/>
    <w:rsid w:val="00A54E1C"/>
    <w:rsid w:val="00A5529A"/>
    <w:rsid w:val="00A559C3"/>
    <w:rsid w:val="00A55BF9"/>
    <w:rsid w:val="00A56152"/>
    <w:rsid w:val="00A56454"/>
    <w:rsid w:val="00A56769"/>
    <w:rsid w:val="00A5703F"/>
    <w:rsid w:val="00A571F1"/>
    <w:rsid w:val="00A573F5"/>
    <w:rsid w:val="00A5761C"/>
    <w:rsid w:val="00A5783B"/>
    <w:rsid w:val="00A57BE6"/>
    <w:rsid w:val="00A57E21"/>
    <w:rsid w:val="00A613C4"/>
    <w:rsid w:val="00A61B05"/>
    <w:rsid w:val="00A61C6B"/>
    <w:rsid w:val="00A6228D"/>
    <w:rsid w:val="00A622E9"/>
    <w:rsid w:val="00A6234C"/>
    <w:rsid w:val="00A624C9"/>
    <w:rsid w:val="00A6265D"/>
    <w:rsid w:val="00A62928"/>
    <w:rsid w:val="00A62B9F"/>
    <w:rsid w:val="00A62DEC"/>
    <w:rsid w:val="00A62F22"/>
    <w:rsid w:val="00A63185"/>
    <w:rsid w:val="00A63B25"/>
    <w:rsid w:val="00A6455D"/>
    <w:rsid w:val="00A6480A"/>
    <w:rsid w:val="00A64A6A"/>
    <w:rsid w:val="00A64C18"/>
    <w:rsid w:val="00A64FBE"/>
    <w:rsid w:val="00A65247"/>
    <w:rsid w:val="00A65DCB"/>
    <w:rsid w:val="00A65E3F"/>
    <w:rsid w:val="00A662C2"/>
    <w:rsid w:val="00A668D5"/>
    <w:rsid w:val="00A66DA4"/>
    <w:rsid w:val="00A66DB6"/>
    <w:rsid w:val="00A67A7B"/>
    <w:rsid w:val="00A70119"/>
    <w:rsid w:val="00A70BD6"/>
    <w:rsid w:val="00A70ECA"/>
    <w:rsid w:val="00A70F06"/>
    <w:rsid w:val="00A70F1A"/>
    <w:rsid w:val="00A710DD"/>
    <w:rsid w:val="00A71285"/>
    <w:rsid w:val="00A712A7"/>
    <w:rsid w:val="00A71507"/>
    <w:rsid w:val="00A71A1D"/>
    <w:rsid w:val="00A72744"/>
    <w:rsid w:val="00A7276C"/>
    <w:rsid w:val="00A72CF5"/>
    <w:rsid w:val="00A72F8C"/>
    <w:rsid w:val="00A72FB5"/>
    <w:rsid w:val="00A734E1"/>
    <w:rsid w:val="00A73DF7"/>
    <w:rsid w:val="00A73E44"/>
    <w:rsid w:val="00A74ADB"/>
    <w:rsid w:val="00A74D24"/>
    <w:rsid w:val="00A74F37"/>
    <w:rsid w:val="00A74F9C"/>
    <w:rsid w:val="00A75303"/>
    <w:rsid w:val="00A75646"/>
    <w:rsid w:val="00A7579C"/>
    <w:rsid w:val="00A75913"/>
    <w:rsid w:val="00A75DCB"/>
    <w:rsid w:val="00A75E1E"/>
    <w:rsid w:val="00A764E2"/>
    <w:rsid w:val="00A76DDF"/>
    <w:rsid w:val="00A76F19"/>
    <w:rsid w:val="00A777CB"/>
    <w:rsid w:val="00A800BA"/>
    <w:rsid w:val="00A80775"/>
    <w:rsid w:val="00A80855"/>
    <w:rsid w:val="00A808A1"/>
    <w:rsid w:val="00A808B4"/>
    <w:rsid w:val="00A80A96"/>
    <w:rsid w:val="00A81198"/>
    <w:rsid w:val="00A81439"/>
    <w:rsid w:val="00A8183A"/>
    <w:rsid w:val="00A81B5C"/>
    <w:rsid w:val="00A81D5E"/>
    <w:rsid w:val="00A81D74"/>
    <w:rsid w:val="00A8208E"/>
    <w:rsid w:val="00A822D4"/>
    <w:rsid w:val="00A82353"/>
    <w:rsid w:val="00A828DE"/>
    <w:rsid w:val="00A82B83"/>
    <w:rsid w:val="00A82FA0"/>
    <w:rsid w:val="00A834C8"/>
    <w:rsid w:val="00A84434"/>
    <w:rsid w:val="00A84B89"/>
    <w:rsid w:val="00A85078"/>
    <w:rsid w:val="00A86051"/>
    <w:rsid w:val="00A8625F"/>
    <w:rsid w:val="00A86A9B"/>
    <w:rsid w:val="00A86FF6"/>
    <w:rsid w:val="00A878D8"/>
    <w:rsid w:val="00A87913"/>
    <w:rsid w:val="00A87AB4"/>
    <w:rsid w:val="00A90151"/>
    <w:rsid w:val="00A90256"/>
    <w:rsid w:val="00A90363"/>
    <w:rsid w:val="00A90516"/>
    <w:rsid w:val="00A90859"/>
    <w:rsid w:val="00A913C8"/>
    <w:rsid w:val="00A914F6"/>
    <w:rsid w:val="00A91551"/>
    <w:rsid w:val="00A91615"/>
    <w:rsid w:val="00A9191B"/>
    <w:rsid w:val="00A91921"/>
    <w:rsid w:val="00A920CB"/>
    <w:rsid w:val="00A93545"/>
    <w:rsid w:val="00A9359B"/>
    <w:rsid w:val="00A93A70"/>
    <w:rsid w:val="00A93D34"/>
    <w:rsid w:val="00A942FF"/>
    <w:rsid w:val="00A94314"/>
    <w:rsid w:val="00A9467B"/>
    <w:rsid w:val="00A94844"/>
    <w:rsid w:val="00A9545C"/>
    <w:rsid w:val="00A954A5"/>
    <w:rsid w:val="00A954D9"/>
    <w:rsid w:val="00A95EAC"/>
    <w:rsid w:val="00A963AA"/>
    <w:rsid w:val="00A9651D"/>
    <w:rsid w:val="00A966CD"/>
    <w:rsid w:val="00A96904"/>
    <w:rsid w:val="00A96CD7"/>
    <w:rsid w:val="00A96F74"/>
    <w:rsid w:val="00A970A6"/>
    <w:rsid w:val="00A974C3"/>
    <w:rsid w:val="00A978D3"/>
    <w:rsid w:val="00A97C48"/>
    <w:rsid w:val="00AA0064"/>
    <w:rsid w:val="00AA0065"/>
    <w:rsid w:val="00AA0AF4"/>
    <w:rsid w:val="00AA0DBA"/>
    <w:rsid w:val="00AA11A7"/>
    <w:rsid w:val="00AA163B"/>
    <w:rsid w:val="00AA1BE2"/>
    <w:rsid w:val="00AA2209"/>
    <w:rsid w:val="00AA2C4A"/>
    <w:rsid w:val="00AA2C84"/>
    <w:rsid w:val="00AA327B"/>
    <w:rsid w:val="00AA3569"/>
    <w:rsid w:val="00AA361B"/>
    <w:rsid w:val="00AA3A5A"/>
    <w:rsid w:val="00AA40D0"/>
    <w:rsid w:val="00AA4485"/>
    <w:rsid w:val="00AA4AD5"/>
    <w:rsid w:val="00AA4CED"/>
    <w:rsid w:val="00AA5C18"/>
    <w:rsid w:val="00AA60DA"/>
    <w:rsid w:val="00AA663E"/>
    <w:rsid w:val="00AA6D3C"/>
    <w:rsid w:val="00AA74D0"/>
    <w:rsid w:val="00AB005D"/>
    <w:rsid w:val="00AB012C"/>
    <w:rsid w:val="00AB10F4"/>
    <w:rsid w:val="00AB17E5"/>
    <w:rsid w:val="00AB18EE"/>
    <w:rsid w:val="00AB1E32"/>
    <w:rsid w:val="00AB246D"/>
    <w:rsid w:val="00AB28A1"/>
    <w:rsid w:val="00AB29BB"/>
    <w:rsid w:val="00AB2D17"/>
    <w:rsid w:val="00AB34AD"/>
    <w:rsid w:val="00AB36DA"/>
    <w:rsid w:val="00AB37E5"/>
    <w:rsid w:val="00AB4566"/>
    <w:rsid w:val="00AB46E2"/>
    <w:rsid w:val="00AB4EE0"/>
    <w:rsid w:val="00AB532B"/>
    <w:rsid w:val="00AB560F"/>
    <w:rsid w:val="00AB5D34"/>
    <w:rsid w:val="00AB5D79"/>
    <w:rsid w:val="00AB6096"/>
    <w:rsid w:val="00AB613C"/>
    <w:rsid w:val="00AB6CA9"/>
    <w:rsid w:val="00AB726C"/>
    <w:rsid w:val="00AB75A6"/>
    <w:rsid w:val="00AB7ABE"/>
    <w:rsid w:val="00AB7C7A"/>
    <w:rsid w:val="00AC015C"/>
    <w:rsid w:val="00AC05BD"/>
    <w:rsid w:val="00AC07E9"/>
    <w:rsid w:val="00AC07F3"/>
    <w:rsid w:val="00AC0FEE"/>
    <w:rsid w:val="00AC10B2"/>
    <w:rsid w:val="00AC235D"/>
    <w:rsid w:val="00AC24F7"/>
    <w:rsid w:val="00AC25A3"/>
    <w:rsid w:val="00AC31C4"/>
    <w:rsid w:val="00AC3758"/>
    <w:rsid w:val="00AC386D"/>
    <w:rsid w:val="00AC3A5E"/>
    <w:rsid w:val="00AC4779"/>
    <w:rsid w:val="00AC4BBE"/>
    <w:rsid w:val="00AC4F7C"/>
    <w:rsid w:val="00AC4F88"/>
    <w:rsid w:val="00AC587D"/>
    <w:rsid w:val="00AC6DA9"/>
    <w:rsid w:val="00AC6F57"/>
    <w:rsid w:val="00AC7DAF"/>
    <w:rsid w:val="00AD15AD"/>
    <w:rsid w:val="00AD1AA2"/>
    <w:rsid w:val="00AD1E72"/>
    <w:rsid w:val="00AD1EAF"/>
    <w:rsid w:val="00AD2D62"/>
    <w:rsid w:val="00AD320B"/>
    <w:rsid w:val="00AD3B90"/>
    <w:rsid w:val="00AD4131"/>
    <w:rsid w:val="00AD41B9"/>
    <w:rsid w:val="00AD41FE"/>
    <w:rsid w:val="00AD4B88"/>
    <w:rsid w:val="00AD4EDA"/>
    <w:rsid w:val="00AD5BA2"/>
    <w:rsid w:val="00AD6083"/>
    <w:rsid w:val="00AD6412"/>
    <w:rsid w:val="00AD6688"/>
    <w:rsid w:val="00AD6C03"/>
    <w:rsid w:val="00AD6DC1"/>
    <w:rsid w:val="00AD6E5D"/>
    <w:rsid w:val="00AD7159"/>
    <w:rsid w:val="00AD738E"/>
    <w:rsid w:val="00AD7489"/>
    <w:rsid w:val="00AD763C"/>
    <w:rsid w:val="00AD7A30"/>
    <w:rsid w:val="00AD7F13"/>
    <w:rsid w:val="00AD7FAA"/>
    <w:rsid w:val="00AE0128"/>
    <w:rsid w:val="00AE09F1"/>
    <w:rsid w:val="00AE0D49"/>
    <w:rsid w:val="00AE1122"/>
    <w:rsid w:val="00AE1EE8"/>
    <w:rsid w:val="00AE27B7"/>
    <w:rsid w:val="00AE2EFB"/>
    <w:rsid w:val="00AE316B"/>
    <w:rsid w:val="00AE37F3"/>
    <w:rsid w:val="00AE38AA"/>
    <w:rsid w:val="00AE41EA"/>
    <w:rsid w:val="00AE429B"/>
    <w:rsid w:val="00AE447C"/>
    <w:rsid w:val="00AE4752"/>
    <w:rsid w:val="00AE528A"/>
    <w:rsid w:val="00AE5746"/>
    <w:rsid w:val="00AE5CEF"/>
    <w:rsid w:val="00AE6054"/>
    <w:rsid w:val="00AE65BB"/>
    <w:rsid w:val="00AE6899"/>
    <w:rsid w:val="00AE6E88"/>
    <w:rsid w:val="00AE721A"/>
    <w:rsid w:val="00AE79AD"/>
    <w:rsid w:val="00AE7AB3"/>
    <w:rsid w:val="00AE7EBD"/>
    <w:rsid w:val="00AE7F30"/>
    <w:rsid w:val="00AF00F7"/>
    <w:rsid w:val="00AF0182"/>
    <w:rsid w:val="00AF01CA"/>
    <w:rsid w:val="00AF03C6"/>
    <w:rsid w:val="00AF0941"/>
    <w:rsid w:val="00AF0A2D"/>
    <w:rsid w:val="00AF15C9"/>
    <w:rsid w:val="00AF1784"/>
    <w:rsid w:val="00AF17F8"/>
    <w:rsid w:val="00AF1D6B"/>
    <w:rsid w:val="00AF28A2"/>
    <w:rsid w:val="00AF2F1B"/>
    <w:rsid w:val="00AF3219"/>
    <w:rsid w:val="00AF3390"/>
    <w:rsid w:val="00AF3BD9"/>
    <w:rsid w:val="00AF4370"/>
    <w:rsid w:val="00AF479F"/>
    <w:rsid w:val="00AF4A8E"/>
    <w:rsid w:val="00AF5116"/>
    <w:rsid w:val="00AF5196"/>
    <w:rsid w:val="00AF52F5"/>
    <w:rsid w:val="00AF64F2"/>
    <w:rsid w:val="00AF6533"/>
    <w:rsid w:val="00AF6ECF"/>
    <w:rsid w:val="00AF6F63"/>
    <w:rsid w:val="00AF71C8"/>
    <w:rsid w:val="00AF76F4"/>
    <w:rsid w:val="00AF7A18"/>
    <w:rsid w:val="00AF7ADB"/>
    <w:rsid w:val="00AF7EC4"/>
    <w:rsid w:val="00B001C6"/>
    <w:rsid w:val="00B00865"/>
    <w:rsid w:val="00B00D65"/>
    <w:rsid w:val="00B00DB6"/>
    <w:rsid w:val="00B014B5"/>
    <w:rsid w:val="00B01D9C"/>
    <w:rsid w:val="00B0237F"/>
    <w:rsid w:val="00B02AD9"/>
    <w:rsid w:val="00B03321"/>
    <w:rsid w:val="00B0338A"/>
    <w:rsid w:val="00B0359C"/>
    <w:rsid w:val="00B03774"/>
    <w:rsid w:val="00B0380D"/>
    <w:rsid w:val="00B03812"/>
    <w:rsid w:val="00B03D04"/>
    <w:rsid w:val="00B041F1"/>
    <w:rsid w:val="00B044BC"/>
    <w:rsid w:val="00B04C9E"/>
    <w:rsid w:val="00B04D06"/>
    <w:rsid w:val="00B053EB"/>
    <w:rsid w:val="00B05E5F"/>
    <w:rsid w:val="00B061AD"/>
    <w:rsid w:val="00B06238"/>
    <w:rsid w:val="00B07191"/>
    <w:rsid w:val="00B073E4"/>
    <w:rsid w:val="00B075CC"/>
    <w:rsid w:val="00B07A56"/>
    <w:rsid w:val="00B07CED"/>
    <w:rsid w:val="00B1021F"/>
    <w:rsid w:val="00B107F7"/>
    <w:rsid w:val="00B10F53"/>
    <w:rsid w:val="00B10F6B"/>
    <w:rsid w:val="00B10FFE"/>
    <w:rsid w:val="00B115AF"/>
    <w:rsid w:val="00B11F80"/>
    <w:rsid w:val="00B12322"/>
    <w:rsid w:val="00B1254A"/>
    <w:rsid w:val="00B12EA4"/>
    <w:rsid w:val="00B12F04"/>
    <w:rsid w:val="00B134DB"/>
    <w:rsid w:val="00B13724"/>
    <w:rsid w:val="00B144BD"/>
    <w:rsid w:val="00B14859"/>
    <w:rsid w:val="00B15718"/>
    <w:rsid w:val="00B157B6"/>
    <w:rsid w:val="00B1589B"/>
    <w:rsid w:val="00B162C2"/>
    <w:rsid w:val="00B17070"/>
    <w:rsid w:val="00B20696"/>
    <w:rsid w:val="00B20A38"/>
    <w:rsid w:val="00B212F0"/>
    <w:rsid w:val="00B2212A"/>
    <w:rsid w:val="00B22570"/>
    <w:rsid w:val="00B22698"/>
    <w:rsid w:val="00B22753"/>
    <w:rsid w:val="00B23013"/>
    <w:rsid w:val="00B23258"/>
    <w:rsid w:val="00B232FC"/>
    <w:rsid w:val="00B23603"/>
    <w:rsid w:val="00B2398B"/>
    <w:rsid w:val="00B24AF7"/>
    <w:rsid w:val="00B25809"/>
    <w:rsid w:val="00B25C24"/>
    <w:rsid w:val="00B2614A"/>
    <w:rsid w:val="00B26383"/>
    <w:rsid w:val="00B26607"/>
    <w:rsid w:val="00B266EB"/>
    <w:rsid w:val="00B269C9"/>
    <w:rsid w:val="00B26E1E"/>
    <w:rsid w:val="00B272FD"/>
    <w:rsid w:val="00B27365"/>
    <w:rsid w:val="00B27D6F"/>
    <w:rsid w:val="00B27FD5"/>
    <w:rsid w:val="00B3001F"/>
    <w:rsid w:val="00B300AC"/>
    <w:rsid w:val="00B302FA"/>
    <w:rsid w:val="00B309A1"/>
    <w:rsid w:val="00B311A2"/>
    <w:rsid w:val="00B3146C"/>
    <w:rsid w:val="00B31881"/>
    <w:rsid w:val="00B31964"/>
    <w:rsid w:val="00B3229D"/>
    <w:rsid w:val="00B328E1"/>
    <w:rsid w:val="00B32C6C"/>
    <w:rsid w:val="00B32D6C"/>
    <w:rsid w:val="00B32E03"/>
    <w:rsid w:val="00B33A91"/>
    <w:rsid w:val="00B33C1D"/>
    <w:rsid w:val="00B34048"/>
    <w:rsid w:val="00B341AE"/>
    <w:rsid w:val="00B34620"/>
    <w:rsid w:val="00B34683"/>
    <w:rsid w:val="00B34C46"/>
    <w:rsid w:val="00B35552"/>
    <w:rsid w:val="00B358E0"/>
    <w:rsid w:val="00B36478"/>
    <w:rsid w:val="00B36C9F"/>
    <w:rsid w:val="00B36D4F"/>
    <w:rsid w:val="00B3749D"/>
    <w:rsid w:val="00B376FC"/>
    <w:rsid w:val="00B37A53"/>
    <w:rsid w:val="00B404CB"/>
    <w:rsid w:val="00B40DF3"/>
    <w:rsid w:val="00B40FCD"/>
    <w:rsid w:val="00B4144A"/>
    <w:rsid w:val="00B415A5"/>
    <w:rsid w:val="00B4179F"/>
    <w:rsid w:val="00B422A5"/>
    <w:rsid w:val="00B424CD"/>
    <w:rsid w:val="00B42ACA"/>
    <w:rsid w:val="00B42D7D"/>
    <w:rsid w:val="00B4363A"/>
    <w:rsid w:val="00B4369E"/>
    <w:rsid w:val="00B43D67"/>
    <w:rsid w:val="00B443CC"/>
    <w:rsid w:val="00B4472E"/>
    <w:rsid w:val="00B447CD"/>
    <w:rsid w:val="00B44994"/>
    <w:rsid w:val="00B45172"/>
    <w:rsid w:val="00B4527A"/>
    <w:rsid w:val="00B45B22"/>
    <w:rsid w:val="00B45C74"/>
    <w:rsid w:val="00B45C99"/>
    <w:rsid w:val="00B45E89"/>
    <w:rsid w:val="00B46291"/>
    <w:rsid w:val="00B470BB"/>
    <w:rsid w:val="00B47696"/>
    <w:rsid w:val="00B47739"/>
    <w:rsid w:val="00B478A8"/>
    <w:rsid w:val="00B47E18"/>
    <w:rsid w:val="00B50267"/>
    <w:rsid w:val="00B502A9"/>
    <w:rsid w:val="00B508FE"/>
    <w:rsid w:val="00B50903"/>
    <w:rsid w:val="00B512B2"/>
    <w:rsid w:val="00B51D50"/>
    <w:rsid w:val="00B52625"/>
    <w:rsid w:val="00B52FA9"/>
    <w:rsid w:val="00B53089"/>
    <w:rsid w:val="00B53398"/>
    <w:rsid w:val="00B536DF"/>
    <w:rsid w:val="00B53A21"/>
    <w:rsid w:val="00B53E77"/>
    <w:rsid w:val="00B54569"/>
    <w:rsid w:val="00B55083"/>
    <w:rsid w:val="00B55744"/>
    <w:rsid w:val="00B56067"/>
    <w:rsid w:val="00B5613B"/>
    <w:rsid w:val="00B566A2"/>
    <w:rsid w:val="00B56B86"/>
    <w:rsid w:val="00B57DAF"/>
    <w:rsid w:val="00B6001D"/>
    <w:rsid w:val="00B60455"/>
    <w:rsid w:val="00B605B7"/>
    <w:rsid w:val="00B6067C"/>
    <w:rsid w:val="00B60EF9"/>
    <w:rsid w:val="00B6179E"/>
    <w:rsid w:val="00B618A0"/>
    <w:rsid w:val="00B619FE"/>
    <w:rsid w:val="00B61A36"/>
    <w:rsid w:val="00B61EF7"/>
    <w:rsid w:val="00B62DAA"/>
    <w:rsid w:val="00B6331D"/>
    <w:rsid w:val="00B63BCF"/>
    <w:rsid w:val="00B64647"/>
    <w:rsid w:val="00B650D8"/>
    <w:rsid w:val="00B657C4"/>
    <w:rsid w:val="00B65DAA"/>
    <w:rsid w:val="00B663E8"/>
    <w:rsid w:val="00B66B2F"/>
    <w:rsid w:val="00B6728F"/>
    <w:rsid w:val="00B6770E"/>
    <w:rsid w:val="00B679B7"/>
    <w:rsid w:val="00B67DD3"/>
    <w:rsid w:val="00B67E54"/>
    <w:rsid w:val="00B67FDA"/>
    <w:rsid w:val="00B7016C"/>
    <w:rsid w:val="00B70472"/>
    <w:rsid w:val="00B708FB"/>
    <w:rsid w:val="00B714F1"/>
    <w:rsid w:val="00B720C8"/>
    <w:rsid w:val="00B720EC"/>
    <w:rsid w:val="00B7274A"/>
    <w:rsid w:val="00B727FC"/>
    <w:rsid w:val="00B72C51"/>
    <w:rsid w:val="00B735DC"/>
    <w:rsid w:val="00B738B3"/>
    <w:rsid w:val="00B73A1F"/>
    <w:rsid w:val="00B7421B"/>
    <w:rsid w:val="00B74F7F"/>
    <w:rsid w:val="00B75388"/>
    <w:rsid w:val="00B753BA"/>
    <w:rsid w:val="00B75446"/>
    <w:rsid w:val="00B7560B"/>
    <w:rsid w:val="00B75769"/>
    <w:rsid w:val="00B75B08"/>
    <w:rsid w:val="00B75E75"/>
    <w:rsid w:val="00B7663C"/>
    <w:rsid w:val="00B76702"/>
    <w:rsid w:val="00B768B3"/>
    <w:rsid w:val="00B76916"/>
    <w:rsid w:val="00B772F6"/>
    <w:rsid w:val="00B775EC"/>
    <w:rsid w:val="00B77F37"/>
    <w:rsid w:val="00B80ED5"/>
    <w:rsid w:val="00B81B8E"/>
    <w:rsid w:val="00B8235A"/>
    <w:rsid w:val="00B8252F"/>
    <w:rsid w:val="00B82B21"/>
    <w:rsid w:val="00B834B3"/>
    <w:rsid w:val="00B83640"/>
    <w:rsid w:val="00B83AB6"/>
    <w:rsid w:val="00B83C72"/>
    <w:rsid w:val="00B84085"/>
    <w:rsid w:val="00B841BD"/>
    <w:rsid w:val="00B84480"/>
    <w:rsid w:val="00B8459D"/>
    <w:rsid w:val="00B84869"/>
    <w:rsid w:val="00B85CAE"/>
    <w:rsid w:val="00B85FA4"/>
    <w:rsid w:val="00B86218"/>
    <w:rsid w:val="00B86306"/>
    <w:rsid w:val="00B86607"/>
    <w:rsid w:val="00B86B00"/>
    <w:rsid w:val="00B86BC1"/>
    <w:rsid w:val="00B86D20"/>
    <w:rsid w:val="00B87713"/>
    <w:rsid w:val="00B87859"/>
    <w:rsid w:val="00B87912"/>
    <w:rsid w:val="00B879CE"/>
    <w:rsid w:val="00B87C3E"/>
    <w:rsid w:val="00B87E92"/>
    <w:rsid w:val="00B90E80"/>
    <w:rsid w:val="00B90E94"/>
    <w:rsid w:val="00B90F8E"/>
    <w:rsid w:val="00B91123"/>
    <w:rsid w:val="00B91489"/>
    <w:rsid w:val="00B9150E"/>
    <w:rsid w:val="00B91D47"/>
    <w:rsid w:val="00B9253B"/>
    <w:rsid w:val="00B925E5"/>
    <w:rsid w:val="00B92799"/>
    <w:rsid w:val="00B929EB"/>
    <w:rsid w:val="00B92A92"/>
    <w:rsid w:val="00B92B3B"/>
    <w:rsid w:val="00B92BDF"/>
    <w:rsid w:val="00B92C2A"/>
    <w:rsid w:val="00B92CF2"/>
    <w:rsid w:val="00B92DFE"/>
    <w:rsid w:val="00B93878"/>
    <w:rsid w:val="00B93D97"/>
    <w:rsid w:val="00B940DE"/>
    <w:rsid w:val="00B94C7E"/>
    <w:rsid w:val="00B9505F"/>
    <w:rsid w:val="00B953E2"/>
    <w:rsid w:val="00B95CF8"/>
    <w:rsid w:val="00B95DAC"/>
    <w:rsid w:val="00B95FE2"/>
    <w:rsid w:val="00B96030"/>
    <w:rsid w:val="00B96282"/>
    <w:rsid w:val="00B9640D"/>
    <w:rsid w:val="00B964C4"/>
    <w:rsid w:val="00B96992"/>
    <w:rsid w:val="00B96F52"/>
    <w:rsid w:val="00B971EE"/>
    <w:rsid w:val="00B97AFE"/>
    <w:rsid w:val="00B97D48"/>
    <w:rsid w:val="00B97D96"/>
    <w:rsid w:val="00B97E3E"/>
    <w:rsid w:val="00B97FA7"/>
    <w:rsid w:val="00BA0CDD"/>
    <w:rsid w:val="00BA0D25"/>
    <w:rsid w:val="00BA0FFA"/>
    <w:rsid w:val="00BA119D"/>
    <w:rsid w:val="00BA11B3"/>
    <w:rsid w:val="00BA1433"/>
    <w:rsid w:val="00BA20EA"/>
    <w:rsid w:val="00BA343E"/>
    <w:rsid w:val="00BA352D"/>
    <w:rsid w:val="00BA3692"/>
    <w:rsid w:val="00BA385B"/>
    <w:rsid w:val="00BA386D"/>
    <w:rsid w:val="00BA3B96"/>
    <w:rsid w:val="00BA3CB8"/>
    <w:rsid w:val="00BA3D3B"/>
    <w:rsid w:val="00BA3ED3"/>
    <w:rsid w:val="00BA3F8E"/>
    <w:rsid w:val="00BA41C8"/>
    <w:rsid w:val="00BA4433"/>
    <w:rsid w:val="00BA453A"/>
    <w:rsid w:val="00BA49CE"/>
    <w:rsid w:val="00BA4BB3"/>
    <w:rsid w:val="00BA4E10"/>
    <w:rsid w:val="00BA4E21"/>
    <w:rsid w:val="00BA51C4"/>
    <w:rsid w:val="00BA55A8"/>
    <w:rsid w:val="00BA579C"/>
    <w:rsid w:val="00BA6178"/>
    <w:rsid w:val="00BA66D5"/>
    <w:rsid w:val="00BA671B"/>
    <w:rsid w:val="00BA6A35"/>
    <w:rsid w:val="00BA6B70"/>
    <w:rsid w:val="00BA7302"/>
    <w:rsid w:val="00BA7568"/>
    <w:rsid w:val="00BA7623"/>
    <w:rsid w:val="00BA7FB4"/>
    <w:rsid w:val="00BB0143"/>
    <w:rsid w:val="00BB02B9"/>
    <w:rsid w:val="00BB08E4"/>
    <w:rsid w:val="00BB1E7C"/>
    <w:rsid w:val="00BB21B3"/>
    <w:rsid w:val="00BB22BC"/>
    <w:rsid w:val="00BB2475"/>
    <w:rsid w:val="00BB2632"/>
    <w:rsid w:val="00BB28A4"/>
    <w:rsid w:val="00BB2BC5"/>
    <w:rsid w:val="00BB2DF2"/>
    <w:rsid w:val="00BB3087"/>
    <w:rsid w:val="00BB3208"/>
    <w:rsid w:val="00BB3DC9"/>
    <w:rsid w:val="00BB4153"/>
    <w:rsid w:val="00BB4A46"/>
    <w:rsid w:val="00BB4DC3"/>
    <w:rsid w:val="00BB4EE9"/>
    <w:rsid w:val="00BB5348"/>
    <w:rsid w:val="00BB5853"/>
    <w:rsid w:val="00BB61D7"/>
    <w:rsid w:val="00BB6376"/>
    <w:rsid w:val="00BB687C"/>
    <w:rsid w:val="00BB7008"/>
    <w:rsid w:val="00BB7119"/>
    <w:rsid w:val="00BB75EA"/>
    <w:rsid w:val="00BB7932"/>
    <w:rsid w:val="00BB7C50"/>
    <w:rsid w:val="00BC02AB"/>
    <w:rsid w:val="00BC02DA"/>
    <w:rsid w:val="00BC0399"/>
    <w:rsid w:val="00BC0DCE"/>
    <w:rsid w:val="00BC0E9B"/>
    <w:rsid w:val="00BC0F4D"/>
    <w:rsid w:val="00BC127C"/>
    <w:rsid w:val="00BC1D80"/>
    <w:rsid w:val="00BC219C"/>
    <w:rsid w:val="00BC2599"/>
    <w:rsid w:val="00BC2CBE"/>
    <w:rsid w:val="00BC39A9"/>
    <w:rsid w:val="00BC3B8E"/>
    <w:rsid w:val="00BC420A"/>
    <w:rsid w:val="00BC4752"/>
    <w:rsid w:val="00BC49E4"/>
    <w:rsid w:val="00BC4E58"/>
    <w:rsid w:val="00BC4EC7"/>
    <w:rsid w:val="00BC590F"/>
    <w:rsid w:val="00BC5A5A"/>
    <w:rsid w:val="00BC5F9C"/>
    <w:rsid w:val="00BC614A"/>
    <w:rsid w:val="00BC61C5"/>
    <w:rsid w:val="00BC6606"/>
    <w:rsid w:val="00BC67CB"/>
    <w:rsid w:val="00BC6AC0"/>
    <w:rsid w:val="00BC7017"/>
    <w:rsid w:val="00BC78B8"/>
    <w:rsid w:val="00BC78D5"/>
    <w:rsid w:val="00BC7A08"/>
    <w:rsid w:val="00BC7AE2"/>
    <w:rsid w:val="00BC7BC7"/>
    <w:rsid w:val="00BC7C1B"/>
    <w:rsid w:val="00BC7D0A"/>
    <w:rsid w:val="00BD0C8C"/>
    <w:rsid w:val="00BD0F2E"/>
    <w:rsid w:val="00BD10AB"/>
    <w:rsid w:val="00BD10DE"/>
    <w:rsid w:val="00BD119D"/>
    <w:rsid w:val="00BD12AF"/>
    <w:rsid w:val="00BD190D"/>
    <w:rsid w:val="00BD1B47"/>
    <w:rsid w:val="00BD22E7"/>
    <w:rsid w:val="00BD27CC"/>
    <w:rsid w:val="00BD2B9F"/>
    <w:rsid w:val="00BD34FE"/>
    <w:rsid w:val="00BD379E"/>
    <w:rsid w:val="00BD384C"/>
    <w:rsid w:val="00BD3927"/>
    <w:rsid w:val="00BD39B2"/>
    <w:rsid w:val="00BD3CD0"/>
    <w:rsid w:val="00BD3DAE"/>
    <w:rsid w:val="00BD4ADA"/>
    <w:rsid w:val="00BD5200"/>
    <w:rsid w:val="00BD59B9"/>
    <w:rsid w:val="00BD6E27"/>
    <w:rsid w:val="00BD6FF2"/>
    <w:rsid w:val="00BD711D"/>
    <w:rsid w:val="00BD7147"/>
    <w:rsid w:val="00BD7367"/>
    <w:rsid w:val="00BD73CB"/>
    <w:rsid w:val="00BD746C"/>
    <w:rsid w:val="00BD7652"/>
    <w:rsid w:val="00BD7F0C"/>
    <w:rsid w:val="00BE0266"/>
    <w:rsid w:val="00BE1AAE"/>
    <w:rsid w:val="00BE1DFD"/>
    <w:rsid w:val="00BE2344"/>
    <w:rsid w:val="00BE2C1B"/>
    <w:rsid w:val="00BE305F"/>
    <w:rsid w:val="00BE31E7"/>
    <w:rsid w:val="00BE38A5"/>
    <w:rsid w:val="00BE3C2E"/>
    <w:rsid w:val="00BE3D29"/>
    <w:rsid w:val="00BE3E89"/>
    <w:rsid w:val="00BE4A4C"/>
    <w:rsid w:val="00BE4DF7"/>
    <w:rsid w:val="00BE4DFD"/>
    <w:rsid w:val="00BE5DF4"/>
    <w:rsid w:val="00BE61C8"/>
    <w:rsid w:val="00BE6457"/>
    <w:rsid w:val="00BE699F"/>
    <w:rsid w:val="00BE6CE1"/>
    <w:rsid w:val="00BE6DA4"/>
    <w:rsid w:val="00BE7198"/>
    <w:rsid w:val="00BE74D0"/>
    <w:rsid w:val="00BE7A5E"/>
    <w:rsid w:val="00BF0352"/>
    <w:rsid w:val="00BF08A6"/>
    <w:rsid w:val="00BF0EF2"/>
    <w:rsid w:val="00BF11A0"/>
    <w:rsid w:val="00BF1378"/>
    <w:rsid w:val="00BF1894"/>
    <w:rsid w:val="00BF18B5"/>
    <w:rsid w:val="00BF1A8C"/>
    <w:rsid w:val="00BF1AD9"/>
    <w:rsid w:val="00BF1B10"/>
    <w:rsid w:val="00BF1BEE"/>
    <w:rsid w:val="00BF1EC7"/>
    <w:rsid w:val="00BF2402"/>
    <w:rsid w:val="00BF2B7F"/>
    <w:rsid w:val="00BF2BB0"/>
    <w:rsid w:val="00BF2D13"/>
    <w:rsid w:val="00BF32BC"/>
    <w:rsid w:val="00BF35F8"/>
    <w:rsid w:val="00BF369D"/>
    <w:rsid w:val="00BF43E1"/>
    <w:rsid w:val="00BF4BCA"/>
    <w:rsid w:val="00BF4C50"/>
    <w:rsid w:val="00BF52ED"/>
    <w:rsid w:val="00BF53F1"/>
    <w:rsid w:val="00BF5A1D"/>
    <w:rsid w:val="00BF5B4A"/>
    <w:rsid w:val="00BF67A6"/>
    <w:rsid w:val="00BF68C8"/>
    <w:rsid w:val="00BF6C08"/>
    <w:rsid w:val="00BF71CA"/>
    <w:rsid w:val="00BF7AFE"/>
    <w:rsid w:val="00BF7B45"/>
    <w:rsid w:val="00C0016A"/>
    <w:rsid w:val="00C00D70"/>
    <w:rsid w:val="00C013BB"/>
    <w:rsid w:val="00C0145F"/>
    <w:rsid w:val="00C016A3"/>
    <w:rsid w:val="00C01E68"/>
    <w:rsid w:val="00C020DE"/>
    <w:rsid w:val="00C027E3"/>
    <w:rsid w:val="00C02983"/>
    <w:rsid w:val="00C02A26"/>
    <w:rsid w:val="00C03281"/>
    <w:rsid w:val="00C033C1"/>
    <w:rsid w:val="00C03495"/>
    <w:rsid w:val="00C0360E"/>
    <w:rsid w:val="00C0372E"/>
    <w:rsid w:val="00C03749"/>
    <w:rsid w:val="00C038A0"/>
    <w:rsid w:val="00C040D1"/>
    <w:rsid w:val="00C04166"/>
    <w:rsid w:val="00C044A0"/>
    <w:rsid w:val="00C047D1"/>
    <w:rsid w:val="00C04979"/>
    <w:rsid w:val="00C04EB0"/>
    <w:rsid w:val="00C051A1"/>
    <w:rsid w:val="00C0539F"/>
    <w:rsid w:val="00C05916"/>
    <w:rsid w:val="00C05ABC"/>
    <w:rsid w:val="00C05B87"/>
    <w:rsid w:val="00C065A8"/>
    <w:rsid w:val="00C06615"/>
    <w:rsid w:val="00C06628"/>
    <w:rsid w:val="00C07A99"/>
    <w:rsid w:val="00C101B8"/>
    <w:rsid w:val="00C102A6"/>
    <w:rsid w:val="00C10CAD"/>
    <w:rsid w:val="00C10D5E"/>
    <w:rsid w:val="00C116F7"/>
    <w:rsid w:val="00C11924"/>
    <w:rsid w:val="00C11E87"/>
    <w:rsid w:val="00C129E8"/>
    <w:rsid w:val="00C12CA5"/>
    <w:rsid w:val="00C12D1D"/>
    <w:rsid w:val="00C13BEB"/>
    <w:rsid w:val="00C13E6A"/>
    <w:rsid w:val="00C13EC8"/>
    <w:rsid w:val="00C14016"/>
    <w:rsid w:val="00C14482"/>
    <w:rsid w:val="00C14D04"/>
    <w:rsid w:val="00C1509C"/>
    <w:rsid w:val="00C151AA"/>
    <w:rsid w:val="00C1583E"/>
    <w:rsid w:val="00C158DF"/>
    <w:rsid w:val="00C16BB9"/>
    <w:rsid w:val="00C16BBF"/>
    <w:rsid w:val="00C1781D"/>
    <w:rsid w:val="00C17838"/>
    <w:rsid w:val="00C17B2B"/>
    <w:rsid w:val="00C17B40"/>
    <w:rsid w:val="00C2044D"/>
    <w:rsid w:val="00C204C9"/>
    <w:rsid w:val="00C205A2"/>
    <w:rsid w:val="00C209CA"/>
    <w:rsid w:val="00C20E87"/>
    <w:rsid w:val="00C211C5"/>
    <w:rsid w:val="00C2208C"/>
    <w:rsid w:val="00C221A0"/>
    <w:rsid w:val="00C2246A"/>
    <w:rsid w:val="00C225EF"/>
    <w:rsid w:val="00C22B87"/>
    <w:rsid w:val="00C22CAA"/>
    <w:rsid w:val="00C22E72"/>
    <w:rsid w:val="00C231B7"/>
    <w:rsid w:val="00C2348E"/>
    <w:rsid w:val="00C234FE"/>
    <w:rsid w:val="00C235A0"/>
    <w:rsid w:val="00C23838"/>
    <w:rsid w:val="00C238D1"/>
    <w:rsid w:val="00C23D6C"/>
    <w:rsid w:val="00C24419"/>
    <w:rsid w:val="00C24B32"/>
    <w:rsid w:val="00C24BCD"/>
    <w:rsid w:val="00C2526E"/>
    <w:rsid w:val="00C2559E"/>
    <w:rsid w:val="00C2571F"/>
    <w:rsid w:val="00C25C46"/>
    <w:rsid w:val="00C26674"/>
    <w:rsid w:val="00C26E28"/>
    <w:rsid w:val="00C274B9"/>
    <w:rsid w:val="00C279D8"/>
    <w:rsid w:val="00C27C63"/>
    <w:rsid w:val="00C27D04"/>
    <w:rsid w:val="00C3007A"/>
    <w:rsid w:val="00C30335"/>
    <w:rsid w:val="00C30A1F"/>
    <w:rsid w:val="00C31281"/>
    <w:rsid w:val="00C31453"/>
    <w:rsid w:val="00C31657"/>
    <w:rsid w:val="00C318CF"/>
    <w:rsid w:val="00C31E23"/>
    <w:rsid w:val="00C3250B"/>
    <w:rsid w:val="00C32547"/>
    <w:rsid w:val="00C326F9"/>
    <w:rsid w:val="00C333CE"/>
    <w:rsid w:val="00C34106"/>
    <w:rsid w:val="00C345FE"/>
    <w:rsid w:val="00C34706"/>
    <w:rsid w:val="00C35C43"/>
    <w:rsid w:val="00C362C2"/>
    <w:rsid w:val="00C364E8"/>
    <w:rsid w:val="00C36F5F"/>
    <w:rsid w:val="00C36FFC"/>
    <w:rsid w:val="00C37A29"/>
    <w:rsid w:val="00C40168"/>
    <w:rsid w:val="00C405FB"/>
    <w:rsid w:val="00C40613"/>
    <w:rsid w:val="00C40D95"/>
    <w:rsid w:val="00C41068"/>
    <w:rsid w:val="00C415E1"/>
    <w:rsid w:val="00C41BCB"/>
    <w:rsid w:val="00C42143"/>
    <w:rsid w:val="00C42601"/>
    <w:rsid w:val="00C42C72"/>
    <w:rsid w:val="00C435F3"/>
    <w:rsid w:val="00C437F1"/>
    <w:rsid w:val="00C43CA1"/>
    <w:rsid w:val="00C4432B"/>
    <w:rsid w:val="00C4453B"/>
    <w:rsid w:val="00C44E21"/>
    <w:rsid w:val="00C450C9"/>
    <w:rsid w:val="00C454E2"/>
    <w:rsid w:val="00C4587A"/>
    <w:rsid w:val="00C45C79"/>
    <w:rsid w:val="00C45CA9"/>
    <w:rsid w:val="00C45E1E"/>
    <w:rsid w:val="00C465EC"/>
    <w:rsid w:val="00C4663C"/>
    <w:rsid w:val="00C470FD"/>
    <w:rsid w:val="00C50D9A"/>
    <w:rsid w:val="00C5181E"/>
    <w:rsid w:val="00C518B4"/>
    <w:rsid w:val="00C521C0"/>
    <w:rsid w:val="00C52F3C"/>
    <w:rsid w:val="00C52F8F"/>
    <w:rsid w:val="00C53B79"/>
    <w:rsid w:val="00C53DC7"/>
    <w:rsid w:val="00C5434A"/>
    <w:rsid w:val="00C547C2"/>
    <w:rsid w:val="00C54D06"/>
    <w:rsid w:val="00C55198"/>
    <w:rsid w:val="00C5522B"/>
    <w:rsid w:val="00C55FE8"/>
    <w:rsid w:val="00C560BC"/>
    <w:rsid w:val="00C56546"/>
    <w:rsid w:val="00C565DD"/>
    <w:rsid w:val="00C56CAE"/>
    <w:rsid w:val="00C574E6"/>
    <w:rsid w:val="00C57DCA"/>
    <w:rsid w:val="00C57F63"/>
    <w:rsid w:val="00C60764"/>
    <w:rsid w:val="00C60DD6"/>
    <w:rsid w:val="00C60F61"/>
    <w:rsid w:val="00C616E1"/>
    <w:rsid w:val="00C61A79"/>
    <w:rsid w:val="00C623F4"/>
    <w:rsid w:val="00C62CC7"/>
    <w:rsid w:val="00C637DB"/>
    <w:rsid w:val="00C63F88"/>
    <w:rsid w:val="00C64533"/>
    <w:rsid w:val="00C646D8"/>
    <w:rsid w:val="00C6482F"/>
    <w:rsid w:val="00C64875"/>
    <w:rsid w:val="00C65000"/>
    <w:rsid w:val="00C653DB"/>
    <w:rsid w:val="00C6544E"/>
    <w:rsid w:val="00C656A5"/>
    <w:rsid w:val="00C65B9F"/>
    <w:rsid w:val="00C66384"/>
    <w:rsid w:val="00C6681D"/>
    <w:rsid w:val="00C66C74"/>
    <w:rsid w:val="00C66EBA"/>
    <w:rsid w:val="00C66F40"/>
    <w:rsid w:val="00C6753B"/>
    <w:rsid w:val="00C67901"/>
    <w:rsid w:val="00C70B34"/>
    <w:rsid w:val="00C70BCF"/>
    <w:rsid w:val="00C70D80"/>
    <w:rsid w:val="00C70EFC"/>
    <w:rsid w:val="00C70F88"/>
    <w:rsid w:val="00C7100B"/>
    <w:rsid w:val="00C71243"/>
    <w:rsid w:val="00C715CA"/>
    <w:rsid w:val="00C71688"/>
    <w:rsid w:val="00C717F8"/>
    <w:rsid w:val="00C7223D"/>
    <w:rsid w:val="00C72640"/>
    <w:rsid w:val="00C72A99"/>
    <w:rsid w:val="00C72ABE"/>
    <w:rsid w:val="00C7327D"/>
    <w:rsid w:val="00C7337B"/>
    <w:rsid w:val="00C73F82"/>
    <w:rsid w:val="00C741BB"/>
    <w:rsid w:val="00C7448C"/>
    <w:rsid w:val="00C74B68"/>
    <w:rsid w:val="00C75350"/>
    <w:rsid w:val="00C7556D"/>
    <w:rsid w:val="00C75C56"/>
    <w:rsid w:val="00C75C7A"/>
    <w:rsid w:val="00C75EDD"/>
    <w:rsid w:val="00C75FD9"/>
    <w:rsid w:val="00C764EA"/>
    <w:rsid w:val="00C774B2"/>
    <w:rsid w:val="00C776FD"/>
    <w:rsid w:val="00C7771C"/>
    <w:rsid w:val="00C779B2"/>
    <w:rsid w:val="00C77B9A"/>
    <w:rsid w:val="00C81004"/>
    <w:rsid w:val="00C8174F"/>
    <w:rsid w:val="00C81A64"/>
    <w:rsid w:val="00C81B04"/>
    <w:rsid w:val="00C8266D"/>
    <w:rsid w:val="00C826D8"/>
    <w:rsid w:val="00C82901"/>
    <w:rsid w:val="00C83276"/>
    <w:rsid w:val="00C83810"/>
    <w:rsid w:val="00C83C8F"/>
    <w:rsid w:val="00C83EC4"/>
    <w:rsid w:val="00C842FC"/>
    <w:rsid w:val="00C845D3"/>
    <w:rsid w:val="00C84823"/>
    <w:rsid w:val="00C8506B"/>
    <w:rsid w:val="00C8530B"/>
    <w:rsid w:val="00C85CE5"/>
    <w:rsid w:val="00C85EF7"/>
    <w:rsid w:val="00C867D3"/>
    <w:rsid w:val="00C870A5"/>
    <w:rsid w:val="00C87287"/>
    <w:rsid w:val="00C874C2"/>
    <w:rsid w:val="00C87719"/>
    <w:rsid w:val="00C87B99"/>
    <w:rsid w:val="00C9023F"/>
    <w:rsid w:val="00C91140"/>
    <w:rsid w:val="00C913D4"/>
    <w:rsid w:val="00C9140D"/>
    <w:rsid w:val="00C918F6"/>
    <w:rsid w:val="00C91E0E"/>
    <w:rsid w:val="00C92025"/>
    <w:rsid w:val="00C92FFF"/>
    <w:rsid w:val="00C932F3"/>
    <w:rsid w:val="00C941A4"/>
    <w:rsid w:val="00C94581"/>
    <w:rsid w:val="00C946B7"/>
    <w:rsid w:val="00C956AE"/>
    <w:rsid w:val="00C957D9"/>
    <w:rsid w:val="00C95933"/>
    <w:rsid w:val="00C96117"/>
    <w:rsid w:val="00C96273"/>
    <w:rsid w:val="00C966D5"/>
    <w:rsid w:val="00C96BB8"/>
    <w:rsid w:val="00C97688"/>
    <w:rsid w:val="00C977E3"/>
    <w:rsid w:val="00C97A8C"/>
    <w:rsid w:val="00CA00BD"/>
    <w:rsid w:val="00CA0A4C"/>
    <w:rsid w:val="00CA0B38"/>
    <w:rsid w:val="00CA0B3F"/>
    <w:rsid w:val="00CA0E36"/>
    <w:rsid w:val="00CA136B"/>
    <w:rsid w:val="00CA194A"/>
    <w:rsid w:val="00CA199F"/>
    <w:rsid w:val="00CA1AB2"/>
    <w:rsid w:val="00CA1C23"/>
    <w:rsid w:val="00CA1D9C"/>
    <w:rsid w:val="00CA28EA"/>
    <w:rsid w:val="00CA2C2D"/>
    <w:rsid w:val="00CA2F31"/>
    <w:rsid w:val="00CA3A13"/>
    <w:rsid w:val="00CA3E2C"/>
    <w:rsid w:val="00CA4079"/>
    <w:rsid w:val="00CA447D"/>
    <w:rsid w:val="00CA4567"/>
    <w:rsid w:val="00CA463E"/>
    <w:rsid w:val="00CA469D"/>
    <w:rsid w:val="00CA4ACD"/>
    <w:rsid w:val="00CA562E"/>
    <w:rsid w:val="00CA58CB"/>
    <w:rsid w:val="00CA5F18"/>
    <w:rsid w:val="00CA613A"/>
    <w:rsid w:val="00CA688C"/>
    <w:rsid w:val="00CA6C79"/>
    <w:rsid w:val="00CA7C34"/>
    <w:rsid w:val="00CA7D03"/>
    <w:rsid w:val="00CB0577"/>
    <w:rsid w:val="00CB07F3"/>
    <w:rsid w:val="00CB0A96"/>
    <w:rsid w:val="00CB0F3A"/>
    <w:rsid w:val="00CB1224"/>
    <w:rsid w:val="00CB18A5"/>
    <w:rsid w:val="00CB1AC4"/>
    <w:rsid w:val="00CB2D14"/>
    <w:rsid w:val="00CB335E"/>
    <w:rsid w:val="00CB4016"/>
    <w:rsid w:val="00CB4E93"/>
    <w:rsid w:val="00CB6319"/>
    <w:rsid w:val="00CB6820"/>
    <w:rsid w:val="00CB6FD9"/>
    <w:rsid w:val="00CC032D"/>
    <w:rsid w:val="00CC0606"/>
    <w:rsid w:val="00CC0BFF"/>
    <w:rsid w:val="00CC0FC8"/>
    <w:rsid w:val="00CC1903"/>
    <w:rsid w:val="00CC3510"/>
    <w:rsid w:val="00CC366F"/>
    <w:rsid w:val="00CC36EA"/>
    <w:rsid w:val="00CC3DE4"/>
    <w:rsid w:val="00CC459B"/>
    <w:rsid w:val="00CC46C1"/>
    <w:rsid w:val="00CC4996"/>
    <w:rsid w:val="00CC5009"/>
    <w:rsid w:val="00CC539D"/>
    <w:rsid w:val="00CC5AF2"/>
    <w:rsid w:val="00CC5F5B"/>
    <w:rsid w:val="00CC6024"/>
    <w:rsid w:val="00CC649B"/>
    <w:rsid w:val="00CC663F"/>
    <w:rsid w:val="00CC6679"/>
    <w:rsid w:val="00CC71FB"/>
    <w:rsid w:val="00CC7F14"/>
    <w:rsid w:val="00CD0413"/>
    <w:rsid w:val="00CD0463"/>
    <w:rsid w:val="00CD0ECA"/>
    <w:rsid w:val="00CD13B6"/>
    <w:rsid w:val="00CD1507"/>
    <w:rsid w:val="00CD1D4D"/>
    <w:rsid w:val="00CD26D2"/>
    <w:rsid w:val="00CD2871"/>
    <w:rsid w:val="00CD292E"/>
    <w:rsid w:val="00CD2A36"/>
    <w:rsid w:val="00CD2B3E"/>
    <w:rsid w:val="00CD376B"/>
    <w:rsid w:val="00CD392C"/>
    <w:rsid w:val="00CD3ABC"/>
    <w:rsid w:val="00CD3FDB"/>
    <w:rsid w:val="00CD45E4"/>
    <w:rsid w:val="00CD4738"/>
    <w:rsid w:val="00CD53D4"/>
    <w:rsid w:val="00CD56B9"/>
    <w:rsid w:val="00CD59D3"/>
    <w:rsid w:val="00CD5FDE"/>
    <w:rsid w:val="00CD61EB"/>
    <w:rsid w:val="00CD6248"/>
    <w:rsid w:val="00CD6A7E"/>
    <w:rsid w:val="00CD6BCD"/>
    <w:rsid w:val="00CD73E1"/>
    <w:rsid w:val="00CD7C09"/>
    <w:rsid w:val="00CD7F44"/>
    <w:rsid w:val="00CE0B50"/>
    <w:rsid w:val="00CE1417"/>
    <w:rsid w:val="00CE16E2"/>
    <w:rsid w:val="00CE1831"/>
    <w:rsid w:val="00CE1B7B"/>
    <w:rsid w:val="00CE2092"/>
    <w:rsid w:val="00CE3091"/>
    <w:rsid w:val="00CE36AB"/>
    <w:rsid w:val="00CE36E7"/>
    <w:rsid w:val="00CE3A7C"/>
    <w:rsid w:val="00CE3E25"/>
    <w:rsid w:val="00CE3F83"/>
    <w:rsid w:val="00CE43AF"/>
    <w:rsid w:val="00CE4D3A"/>
    <w:rsid w:val="00CE4E70"/>
    <w:rsid w:val="00CE4EBA"/>
    <w:rsid w:val="00CE5041"/>
    <w:rsid w:val="00CE5483"/>
    <w:rsid w:val="00CE5587"/>
    <w:rsid w:val="00CE5774"/>
    <w:rsid w:val="00CE5982"/>
    <w:rsid w:val="00CE63AB"/>
    <w:rsid w:val="00CE64FD"/>
    <w:rsid w:val="00CE6665"/>
    <w:rsid w:val="00CE6835"/>
    <w:rsid w:val="00CE6B41"/>
    <w:rsid w:val="00CE6C26"/>
    <w:rsid w:val="00CE707D"/>
    <w:rsid w:val="00CE7236"/>
    <w:rsid w:val="00CE7AB0"/>
    <w:rsid w:val="00CE7F41"/>
    <w:rsid w:val="00CF02F0"/>
    <w:rsid w:val="00CF03AC"/>
    <w:rsid w:val="00CF04CB"/>
    <w:rsid w:val="00CF08C1"/>
    <w:rsid w:val="00CF0EB1"/>
    <w:rsid w:val="00CF0EC7"/>
    <w:rsid w:val="00CF1115"/>
    <w:rsid w:val="00CF151E"/>
    <w:rsid w:val="00CF16E5"/>
    <w:rsid w:val="00CF1746"/>
    <w:rsid w:val="00CF23D3"/>
    <w:rsid w:val="00CF24DC"/>
    <w:rsid w:val="00CF25F7"/>
    <w:rsid w:val="00CF2763"/>
    <w:rsid w:val="00CF2776"/>
    <w:rsid w:val="00CF2B8D"/>
    <w:rsid w:val="00CF3237"/>
    <w:rsid w:val="00CF35C5"/>
    <w:rsid w:val="00CF3F8F"/>
    <w:rsid w:val="00CF438A"/>
    <w:rsid w:val="00CF4524"/>
    <w:rsid w:val="00CF4BC6"/>
    <w:rsid w:val="00CF5BB3"/>
    <w:rsid w:val="00CF5C5F"/>
    <w:rsid w:val="00CF5D18"/>
    <w:rsid w:val="00CF6E03"/>
    <w:rsid w:val="00CF7388"/>
    <w:rsid w:val="00CF79BC"/>
    <w:rsid w:val="00CF7F06"/>
    <w:rsid w:val="00CF7FF2"/>
    <w:rsid w:val="00D0016C"/>
    <w:rsid w:val="00D00287"/>
    <w:rsid w:val="00D00323"/>
    <w:rsid w:val="00D004BA"/>
    <w:rsid w:val="00D00DDD"/>
    <w:rsid w:val="00D01615"/>
    <w:rsid w:val="00D0167E"/>
    <w:rsid w:val="00D01A2B"/>
    <w:rsid w:val="00D02433"/>
    <w:rsid w:val="00D0313C"/>
    <w:rsid w:val="00D0335C"/>
    <w:rsid w:val="00D03373"/>
    <w:rsid w:val="00D033E0"/>
    <w:rsid w:val="00D0352E"/>
    <w:rsid w:val="00D03667"/>
    <w:rsid w:val="00D03776"/>
    <w:rsid w:val="00D03CEE"/>
    <w:rsid w:val="00D03F56"/>
    <w:rsid w:val="00D044A6"/>
    <w:rsid w:val="00D0455F"/>
    <w:rsid w:val="00D05119"/>
    <w:rsid w:val="00D0566A"/>
    <w:rsid w:val="00D05ECF"/>
    <w:rsid w:val="00D0607D"/>
    <w:rsid w:val="00D072EF"/>
    <w:rsid w:val="00D07600"/>
    <w:rsid w:val="00D07785"/>
    <w:rsid w:val="00D07F19"/>
    <w:rsid w:val="00D10058"/>
    <w:rsid w:val="00D107B8"/>
    <w:rsid w:val="00D10D3D"/>
    <w:rsid w:val="00D10F14"/>
    <w:rsid w:val="00D11253"/>
    <w:rsid w:val="00D11B26"/>
    <w:rsid w:val="00D11F16"/>
    <w:rsid w:val="00D12365"/>
    <w:rsid w:val="00D13122"/>
    <w:rsid w:val="00D13361"/>
    <w:rsid w:val="00D133C2"/>
    <w:rsid w:val="00D140AC"/>
    <w:rsid w:val="00D15113"/>
    <w:rsid w:val="00D15617"/>
    <w:rsid w:val="00D1561A"/>
    <w:rsid w:val="00D15B7C"/>
    <w:rsid w:val="00D15B7D"/>
    <w:rsid w:val="00D160EC"/>
    <w:rsid w:val="00D169AC"/>
    <w:rsid w:val="00D16B3D"/>
    <w:rsid w:val="00D16EB8"/>
    <w:rsid w:val="00D16F74"/>
    <w:rsid w:val="00D17E67"/>
    <w:rsid w:val="00D20358"/>
    <w:rsid w:val="00D214BA"/>
    <w:rsid w:val="00D227DF"/>
    <w:rsid w:val="00D22891"/>
    <w:rsid w:val="00D22EC7"/>
    <w:rsid w:val="00D230E9"/>
    <w:rsid w:val="00D23225"/>
    <w:rsid w:val="00D23D29"/>
    <w:rsid w:val="00D23E87"/>
    <w:rsid w:val="00D24470"/>
    <w:rsid w:val="00D24473"/>
    <w:rsid w:val="00D2465B"/>
    <w:rsid w:val="00D2490B"/>
    <w:rsid w:val="00D25296"/>
    <w:rsid w:val="00D259F2"/>
    <w:rsid w:val="00D25AA2"/>
    <w:rsid w:val="00D25C2F"/>
    <w:rsid w:val="00D2608B"/>
    <w:rsid w:val="00D26410"/>
    <w:rsid w:val="00D2686E"/>
    <w:rsid w:val="00D26F3B"/>
    <w:rsid w:val="00D270BB"/>
    <w:rsid w:val="00D275EF"/>
    <w:rsid w:val="00D27EBE"/>
    <w:rsid w:val="00D27F4E"/>
    <w:rsid w:val="00D30480"/>
    <w:rsid w:val="00D30586"/>
    <w:rsid w:val="00D30791"/>
    <w:rsid w:val="00D308E8"/>
    <w:rsid w:val="00D316B9"/>
    <w:rsid w:val="00D31868"/>
    <w:rsid w:val="00D31BB9"/>
    <w:rsid w:val="00D31E3E"/>
    <w:rsid w:val="00D32AAE"/>
    <w:rsid w:val="00D32F45"/>
    <w:rsid w:val="00D32FB1"/>
    <w:rsid w:val="00D330CA"/>
    <w:rsid w:val="00D3316D"/>
    <w:rsid w:val="00D33311"/>
    <w:rsid w:val="00D33E7E"/>
    <w:rsid w:val="00D34943"/>
    <w:rsid w:val="00D34FE0"/>
    <w:rsid w:val="00D35393"/>
    <w:rsid w:val="00D35BE7"/>
    <w:rsid w:val="00D35D87"/>
    <w:rsid w:val="00D35F4C"/>
    <w:rsid w:val="00D3618D"/>
    <w:rsid w:val="00D361C9"/>
    <w:rsid w:val="00D361E8"/>
    <w:rsid w:val="00D36AAD"/>
    <w:rsid w:val="00D36D81"/>
    <w:rsid w:val="00D37882"/>
    <w:rsid w:val="00D37EFC"/>
    <w:rsid w:val="00D402C4"/>
    <w:rsid w:val="00D406E0"/>
    <w:rsid w:val="00D40D37"/>
    <w:rsid w:val="00D40E55"/>
    <w:rsid w:val="00D411D8"/>
    <w:rsid w:val="00D41399"/>
    <w:rsid w:val="00D41A5F"/>
    <w:rsid w:val="00D41DDC"/>
    <w:rsid w:val="00D44AB9"/>
    <w:rsid w:val="00D44BE5"/>
    <w:rsid w:val="00D44E54"/>
    <w:rsid w:val="00D450A3"/>
    <w:rsid w:val="00D453AA"/>
    <w:rsid w:val="00D460F7"/>
    <w:rsid w:val="00D46C5F"/>
    <w:rsid w:val="00D46FD9"/>
    <w:rsid w:val="00D504AF"/>
    <w:rsid w:val="00D50A9C"/>
    <w:rsid w:val="00D50F68"/>
    <w:rsid w:val="00D50F74"/>
    <w:rsid w:val="00D51299"/>
    <w:rsid w:val="00D51C7C"/>
    <w:rsid w:val="00D51CF6"/>
    <w:rsid w:val="00D51E42"/>
    <w:rsid w:val="00D51FD8"/>
    <w:rsid w:val="00D520E2"/>
    <w:rsid w:val="00D52145"/>
    <w:rsid w:val="00D521AF"/>
    <w:rsid w:val="00D5272B"/>
    <w:rsid w:val="00D52AA4"/>
    <w:rsid w:val="00D52F17"/>
    <w:rsid w:val="00D52FAF"/>
    <w:rsid w:val="00D53049"/>
    <w:rsid w:val="00D539FB"/>
    <w:rsid w:val="00D53F57"/>
    <w:rsid w:val="00D54C6D"/>
    <w:rsid w:val="00D554B8"/>
    <w:rsid w:val="00D55B33"/>
    <w:rsid w:val="00D562A9"/>
    <w:rsid w:val="00D563BF"/>
    <w:rsid w:val="00D56451"/>
    <w:rsid w:val="00D576B5"/>
    <w:rsid w:val="00D578DC"/>
    <w:rsid w:val="00D57B92"/>
    <w:rsid w:val="00D60032"/>
    <w:rsid w:val="00D603C7"/>
    <w:rsid w:val="00D60649"/>
    <w:rsid w:val="00D609A5"/>
    <w:rsid w:val="00D60DA2"/>
    <w:rsid w:val="00D60E0D"/>
    <w:rsid w:val="00D60FD8"/>
    <w:rsid w:val="00D616FB"/>
    <w:rsid w:val="00D61E88"/>
    <w:rsid w:val="00D62332"/>
    <w:rsid w:val="00D62684"/>
    <w:rsid w:val="00D62BE9"/>
    <w:rsid w:val="00D6329D"/>
    <w:rsid w:val="00D634C1"/>
    <w:rsid w:val="00D63559"/>
    <w:rsid w:val="00D63BDB"/>
    <w:rsid w:val="00D63C6D"/>
    <w:rsid w:val="00D646DA"/>
    <w:rsid w:val="00D6479F"/>
    <w:rsid w:val="00D647BE"/>
    <w:rsid w:val="00D649D8"/>
    <w:rsid w:val="00D65974"/>
    <w:rsid w:val="00D65BE2"/>
    <w:rsid w:val="00D65BE6"/>
    <w:rsid w:val="00D66165"/>
    <w:rsid w:val="00D6650A"/>
    <w:rsid w:val="00D6652A"/>
    <w:rsid w:val="00D66818"/>
    <w:rsid w:val="00D67981"/>
    <w:rsid w:val="00D67CC4"/>
    <w:rsid w:val="00D70737"/>
    <w:rsid w:val="00D70B8F"/>
    <w:rsid w:val="00D7146A"/>
    <w:rsid w:val="00D7154F"/>
    <w:rsid w:val="00D72551"/>
    <w:rsid w:val="00D72AAA"/>
    <w:rsid w:val="00D73672"/>
    <w:rsid w:val="00D7393D"/>
    <w:rsid w:val="00D73CCB"/>
    <w:rsid w:val="00D73F6C"/>
    <w:rsid w:val="00D74166"/>
    <w:rsid w:val="00D74443"/>
    <w:rsid w:val="00D75878"/>
    <w:rsid w:val="00D75A8D"/>
    <w:rsid w:val="00D76461"/>
    <w:rsid w:val="00D76465"/>
    <w:rsid w:val="00D76845"/>
    <w:rsid w:val="00D76916"/>
    <w:rsid w:val="00D76D6B"/>
    <w:rsid w:val="00D77039"/>
    <w:rsid w:val="00D7707F"/>
    <w:rsid w:val="00D77503"/>
    <w:rsid w:val="00D806E2"/>
    <w:rsid w:val="00D80894"/>
    <w:rsid w:val="00D80C1D"/>
    <w:rsid w:val="00D80E9A"/>
    <w:rsid w:val="00D810D4"/>
    <w:rsid w:val="00D8186B"/>
    <w:rsid w:val="00D827CD"/>
    <w:rsid w:val="00D82CDA"/>
    <w:rsid w:val="00D83923"/>
    <w:rsid w:val="00D84293"/>
    <w:rsid w:val="00D847D6"/>
    <w:rsid w:val="00D848C2"/>
    <w:rsid w:val="00D84A39"/>
    <w:rsid w:val="00D84E9E"/>
    <w:rsid w:val="00D8506A"/>
    <w:rsid w:val="00D8535D"/>
    <w:rsid w:val="00D85A49"/>
    <w:rsid w:val="00D85B13"/>
    <w:rsid w:val="00D85B9B"/>
    <w:rsid w:val="00D85C2E"/>
    <w:rsid w:val="00D85D12"/>
    <w:rsid w:val="00D85DD2"/>
    <w:rsid w:val="00D861EE"/>
    <w:rsid w:val="00D863E4"/>
    <w:rsid w:val="00D864D6"/>
    <w:rsid w:val="00D868E1"/>
    <w:rsid w:val="00D86AE5"/>
    <w:rsid w:val="00D87724"/>
    <w:rsid w:val="00D87AB0"/>
    <w:rsid w:val="00D87F65"/>
    <w:rsid w:val="00D90019"/>
    <w:rsid w:val="00D907D3"/>
    <w:rsid w:val="00D90F91"/>
    <w:rsid w:val="00D914F3"/>
    <w:rsid w:val="00D9183C"/>
    <w:rsid w:val="00D91A4A"/>
    <w:rsid w:val="00D92FAC"/>
    <w:rsid w:val="00D9347F"/>
    <w:rsid w:val="00D93B3D"/>
    <w:rsid w:val="00D93EE8"/>
    <w:rsid w:val="00D93FBE"/>
    <w:rsid w:val="00D9419D"/>
    <w:rsid w:val="00D94711"/>
    <w:rsid w:val="00D94908"/>
    <w:rsid w:val="00D9544D"/>
    <w:rsid w:val="00D955B2"/>
    <w:rsid w:val="00D958EC"/>
    <w:rsid w:val="00D95DD7"/>
    <w:rsid w:val="00D96F65"/>
    <w:rsid w:val="00DA0055"/>
    <w:rsid w:val="00DA0A66"/>
    <w:rsid w:val="00DA128F"/>
    <w:rsid w:val="00DA136C"/>
    <w:rsid w:val="00DA195E"/>
    <w:rsid w:val="00DA19AE"/>
    <w:rsid w:val="00DA2D00"/>
    <w:rsid w:val="00DA2D50"/>
    <w:rsid w:val="00DA2E4A"/>
    <w:rsid w:val="00DA3017"/>
    <w:rsid w:val="00DA3AC9"/>
    <w:rsid w:val="00DA3F59"/>
    <w:rsid w:val="00DA4156"/>
    <w:rsid w:val="00DA43F4"/>
    <w:rsid w:val="00DA457E"/>
    <w:rsid w:val="00DA492E"/>
    <w:rsid w:val="00DA5484"/>
    <w:rsid w:val="00DA5D6B"/>
    <w:rsid w:val="00DA5F5E"/>
    <w:rsid w:val="00DA7820"/>
    <w:rsid w:val="00DA784C"/>
    <w:rsid w:val="00DA78EB"/>
    <w:rsid w:val="00DA792D"/>
    <w:rsid w:val="00DB00B2"/>
    <w:rsid w:val="00DB02C6"/>
    <w:rsid w:val="00DB05E5"/>
    <w:rsid w:val="00DB064D"/>
    <w:rsid w:val="00DB093D"/>
    <w:rsid w:val="00DB09C8"/>
    <w:rsid w:val="00DB0EC9"/>
    <w:rsid w:val="00DB1189"/>
    <w:rsid w:val="00DB11D3"/>
    <w:rsid w:val="00DB18B0"/>
    <w:rsid w:val="00DB25C6"/>
    <w:rsid w:val="00DB295C"/>
    <w:rsid w:val="00DB29E1"/>
    <w:rsid w:val="00DB2DC0"/>
    <w:rsid w:val="00DB2F78"/>
    <w:rsid w:val="00DB38C7"/>
    <w:rsid w:val="00DB4485"/>
    <w:rsid w:val="00DB46F5"/>
    <w:rsid w:val="00DB48EC"/>
    <w:rsid w:val="00DB5029"/>
    <w:rsid w:val="00DB53C8"/>
    <w:rsid w:val="00DB6050"/>
    <w:rsid w:val="00DB60C0"/>
    <w:rsid w:val="00DB60F9"/>
    <w:rsid w:val="00DB62A8"/>
    <w:rsid w:val="00DB65CF"/>
    <w:rsid w:val="00DB6CFB"/>
    <w:rsid w:val="00DB7E8D"/>
    <w:rsid w:val="00DC0E38"/>
    <w:rsid w:val="00DC1012"/>
    <w:rsid w:val="00DC1510"/>
    <w:rsid w:val="00DC15DC"/>
    <w:rsid w:val="00DC18D8"/>
    <w:rsid w:val="00DC1A18"/>
    <w:rsid w:val="00DC1B37"/>
    <w:rsid w:val="00DC1DF2"/>
    <w:rsid w:val="00DC21B6"/>
    <w:rsid w:val="00DC21EE"/>
    <w:rsid w:val="00DC25B8"/>
    <w:rsid w:val="00DC25F2"/>
    <w:rsid w:val="00DC2C0E"/>
    <w:rsid w:val="00DC2EDC"/>
    <w:rsid w:val="00DC35A6"/>
    <w:rsid w:val="00DC3685"/>
    <w:rsid w:val="00DC36C9"/>
    <w:rsid w:val="00DC3C50"/>
    <w:rsid w:val="00DC4207"/>
    <w:rsid w:val="00DC47D6"/>
    <w:rsid w:val="00DC4EE4"/>
    <w:rsid w:val="00DC4EE8"/>
    <w:rsid w:val="00DC5027"/>
    <w:rsid w:val="00DC5280"/>
    <w:rsid w:val="00DC52A3"/>
    <w:rsid w:val="00DC52AE"/>
    <w:rsid w:val="00DC5D02"/>
    <w:rsid w:val="00DC5DD6"/>
    <w:rsid w:val="00DC5DFF"/>
    <w:rsid w:val="00DC61D0"/>
    <w:rsid w:val="00DC6A0C"/>
    <w:rsid w:val="00DC6A2A"/>
    <w:rsid w:val="00DC6A75"/>
    <w:rsid w:val="00DC74CB"/>
    <w:rsid w:val="00DC7BA1"/>
    <w:rsid w:val="00DD030A"/>
    <w:rsid w:val="00DD09EC"/>
    <w:rsid w:val="00DD134A"/>
    <w:rsid w:val="00DD1C15"/>
    <w:rsid w:val="00DD29C5"/>
    <w:rsid w:val="00DD3018"/>
    <w:rsid w:val="00DD3544"/>
    <w:rsid w:val="00DD35AD"/>
    <w:rsid w:val="00DD35C7"/>
    <w:rsid w:val="00DD431C"/>
    <w:rsid w:val="00DD4335"/>
    <w:rsid w:val="00DD466E"/>
    <w:rsid w:val="00DD4718"/>
    <w:rsid w:val="00DD543E"/>
    <w:rsid w:val="00DD5EA1"/>
    <w:rsid w:val="00DD6429"/>
    <w:rsid w:val="00DD6473"/>
    <w:rsid w:val="00DD6728"/>
    <w:rsid w:val="00DD689C"/>
    <w:rsid w:val="00DD69C0"/>
    <w:rsid w:val="00DD6C82"/>
    <w:rsid w:val="00DD6DFD"/>
    <w:rsid w:val="00DD6F2E"/>
    <w:rsid w:val="00DD76B7"/>
    <w:rsid w:val="00DD7DC3"/>
    <w:rsid w:val="00DE00CD"/>
    <w:rsid w:val="00DE047B"/>
    <w:rsid w:val="00DE05FA"/>
    <w:rsid w:val="00DE1191"/>
    <w:rsid w:val="00DE12A2"/>
    <w:rsid w:val="00DE2053"/>
    <w:rsid w:val="00DE2507"/>
    <w:rsid w:val="00DE2C16"/>
    <w:rsid w:val="00DE382C"/>
    <w:rsid w:val="00DE39DD"/>
    <w:rsid w:val="00DE3B46"/>
    <w:rsid w:val="00DE3BB5"/>
    <w:rsid w:val="00DE46E4"/>
    <w:rsid w:val="00DE5750"/>
    <w:rsid w:val="00DE6AD5"/>
    <w:rsid w:val="00DE772C"/>
    <w:rsid w:val="00DE7D0A"/>
    <w:rsid w:val="00DE7F62"/>
    <w:rsid w:val="00DF06E2"/>
    <w:rsid w:val="00DF080F"/>
    <w:rsid w:val="00DF0B5F"/>
    <w:rsid w:val="00DF0FEE"/>
    <w:rsid w:val="00DF110A"/>
    <w:rsid w:val="00DF1B8B"/>
    <w:rsid w:val="00DF1BC9"/>
    <w:rsid w:val="00DF2F43"/>
    <w:rsid w:val="00DF3461"/>
    <w:rsid w:val="00DF3908"/>
    <w:rsid w:val="00DF3A31"/>
    <w:rsid w:val="00DF3EC3"/>
    <w:rsid w:val="00DF4086"/>
    <w:rsid w:val="00DF439B"/>
    <w:rsid w:val="00DF4AA9"/>
    <w:rsid w:val="00DF4E3E"/>
    <w:rsid w:val="00DF53CC"/>
    <w:rsid w:val="00DF57D9"/>
    <w:rsid w:val="00DF584D"/>
    <w:rsid w:val="00DF60A3"/>
    <w:rsid w:val="00DF60B9"/>
    <w:rsid w:val="00DF63B7"/>
    <w:rsid w:val="00DF675E"/>
    <w:rsid w:val="00DF7137"/>
    <w:rsid w:val="00DF76E6"/>
    <w:rsid w:val="00DF7DB3"/>
    <w:rsid w:val="00DF7EDE"/>
    <w:rsid w:val="00E00E3C"/>
    <w:rsid w:val="00E010CD"/>
    <w:rsid w:val="00E01118"/>
    <w:rsid w:val="00E01948"/>
    <w:rsid w:val="00E01A6A"/>
    <w:rsid w:val="00E022E6"/>
    <w:rsid w:val="00E0453D"/>
    <w:rsid w:val="00E0497B"/>
    <w:rsid w:val="00E0522C"/>
    <w:rsid w:val="00E0561E"/>
    <w:rsid w:val="00E059ED"/>
    <w:rsid w:val="00E05F2A"/>
    <w:rsid w:val="00E05FA6"/>
    <w:rsid w:val="00E068E5"/>
    <w:rsid w:val="00E068F1"/>
    <w:rsid w:val="00E074F3"/>
    <w:rsid w:val="00E075AE"/>
    <w:rsid w:val="00E105A0"/>
    <w:rsid w:val="00E109FD"/>
    <w:rsid w:val="00E10C2C"/>
    <w:rsid w:val="00E11345"/>
    <w:rsid w:val="00E113BD"/>
    <w:rsid w:val="00E113D1"/>
    <w:rsid w:val="00E117E7"/>
    <w:rsid w:val="00E11D13"/>
    <w:rsid w:val="00E11D60"/>
    <w:rsid w:val="00E12095"/>
    <w:rsid w:val="00E122AD"/>
    <w:rsid w:val="00E125FF"/>
    <w:rsid w:val="00E12829"/>
    <w:rsid w:val="00E12DEF"/>
    <w:rsid w:val="00E13244"/>
    <w:rsid w:val="00E135C2"/>
    <w:rsid w:val="00E13A6F"/>
    <w:rsid w:val="00E13C16"/>
    <w:rsid w:val="00E14EDE"/>
    <w:rsid w:val="00E1597A"/>
    <w:rsid w:val="00E15A2F"/>
    <w:rsid w:val="00E1600E"/>
    <w:rsid w:val="00E161A3"/>
    <w:rsid w:val="00E1691A"/>
    <w:rsid w:val="00E16C89"/>
    <w:rsid w:val="00E16FA0"/>
    <w:rsid w:val="00E1749E"/>
    <w:rsid w:val="00E176B8"/>
    <w:rsid w:val="00E178C4"/>
    <w:rsid w:val="00E17B8E"/>
    <w:rsid w:val="00E17CBB"/>
    <w:rsid w:val="00E20B00"/>
    <w:rsid w:val="00E21044"/>
    <w:rsid w:val="00E21700"/>
    <w:rsid w:val="00E2201A"/>
    <w:rsid w:val="00E220AE"/>
    <w:rsid w:val="00E23617"/>
    <w:rsid w:val="00E23738"/>
    <w:rsid w:val="00E239D7"/>
    <w:rsid w:val="00E24183"/>
    <w:rsid w:val="00E24689"/>
    <w:rsid w:val="00E24B0D"/>
    <w:rsid w:val="00E25083"/>
    <w:rsid w:val="00E25474"/>
    <w:rsid w:val="00E25960"/>
    <w:rsid w:val="00E25EF4"/>
    <w:rsid w:val="00E26030"/>
    <w:rsid w:val="00E2629B"/>
    <w:rsid w:val="00E26428"/>
    <w:rsid w:val="00E265AF"/>
    <w:rsid w:val="00E2660B"/>
    <w:rsid w:val="00E2671E"/>
    <w:rsid w:val="00E26B7F"/>
    <w:rsid w:val="00E27125"/>
    <w:rsid w:val="00E27D91"/>
    <w:rsid w:val="00E30310"/>
    <w:rsid w:val="00E30580"/>
    <w:rsid w:val="00E30907"/>
    <w:rsid w:val="00E30F33"/>
    <w:rsid w:val="00E3112D"/>
    <w:rsid w:val="00E314C7"/>
    <w:rsid w:val="00E31A44"/>
    <w:rsid w:val="00E323EB"/>
    <w:rsid w:val="00E32A9C"/>
    <w:rsid w:val="00E32B5E"/>
    <w:rsid w:val="00E32EE5"/>
    <w:rsid w:val="00E32F93"/>
    <w:rsid w:val="00E3316C"/>
    <w:rsid w:val="00E33618"/>
    <w:rsid w:val="00E33ECA"/>
    <w:rsid w:val="00E3457F"/>
    <w:rsid w:val="00E34D07"/>
    <w:rsid w:val="00E356B4"/>
    <w:rsid w:val="00E357FE"/>
    <w:rsid w:val="00E35DC4"/>
    <w:rsid w:val="00E36875"/>
    <w:rsid w:val="00E3689C"/>
    <w:rsid w:val="00E36B66"/>
    <w:rsid w:val="00E3748A"/>
    <w:rsid w:val="00E379F7"/>
    <w:rsid w:val="00E37F2D"/>
    <w:rsid w:val="00E37FFA"/>
    <w:rsid w:val="00E403E2"/>
    <w:rsid w:val="00E40615"/>
    <w:rsid w:val="00E40EAC"/>
    <w:rsid w:val="00E40EED"/>
    <w:rsid w:val="00E415B9"/>
    <w:rsid w:val="00E4174A"/>
    <w:rsid w:val="00E41E49"/>
    <w:rsid w:val="00E4290E"/>
    <w:rsid w:val="00E42951"/>
    <w:rsid w:val="00E42A6A"/>
    <w:rsid w:val="00E42AAA"/>
    <w:rsid w:val="00E43200"/>
    <w:rsid w:val="00E43305"/>
    <w:rsid w:val="00E43E7D"/>
    <w:rsid w:val="00E44A19"/>
    <w:rsid w:val="00E4545C"/>
    <w:rsid w:val="00E4548D"/>
    <w:rsid w:val="00E45B42"/>
    <w:rsid w:val="00E461E9"/>
    <w:rsid w:val="00E467B6"/>
    <w:rsid w:val="00E46A07"/>
    <w:rsid w:val="00E46A84"/>
    <w:rsid w:val="00E47107"/>
    <w:rsid w:val="00E47569"/>
    <w:rsid w:val="00E478FE"/>
    <w:rsid w:val="00E47D18"/>
    <w:rsid w:val="00E47E7A"/>
    <w:rsid w:val="00E505FF"/>
    <w:rsid w:val="00E50CA4"/>
    <w:rsid w:val="00E5139B"/>
    <w:rsid w:val="00E5176E"/>
    <w:rsid w:val="00E518A8"/>
    <w:rsid w:val="00E52100"/>
    <w:rsid w:val="00E52266"/>
    <w:rsid w:val="00E52330"/>
    <w:rsid w:val="00E527ED"/>
    <w:rsid w:val="00E52920"/>
    <w:rsid w:val="00E529D4"/>
    <w:rsid w:val="00E529E7"/>
    <w:rsid w:val="00E5314E"/>
    <w:rsid w:val="00E53790"/>
    <w:rsid w:val="00E537B8"/>
    <w:rsid w:val="00E537C0"/>
    <w:rsid w:val="00E53D53"/>
    <w:rsid w:val="00E54270"/>
    <w:rsid w:val="00E54407"/>
    <w:rsid w:val="00E545F0"/>
    <w:rsid w:val="00E54ACD"/>
    <w:rsid w:val="00E54B2B"/>
    <w:rsid w:val="00E554BB"/>
    <w:rsid w:val="00E5574F"/>
    <w:rsid w:val="00E55885"/>
    <w:rsid w:val="00E55BAD"/>
    <w:rsid w:val="00E55D2E"/>
    <w:rsid w:val="00E5600B"/>
    <w:rsid w:val="00E564B5"/>
    <w:rsid w:val="00E56595"/>
    <w:rsid w:val="00E565D2"/>
    <w:rsid w:val="00E566E0"/>
    <w:rsid w:val="00E56864"/>
    <w:rsid w:val="00E56A6F"/>
    <w:rsid w:val="00E56ECA"/>
    <w:rsid w:val="00E56FAB"/>
    <w:rsid w:val="00E57207"/>
    <w:rsid w:val="00E607A7"/>
    <w:rsid w:val="00E60C8C"/>
    <w:rsid w:val="00E611BE"/>
    <w:rsid w:val="00E6132C"/>
    <w:rsid w:val="00E61632"/>
    <w:rsid w:val="00E61948"/>
    <w:rsid w:val="00E62267"/>
    <w:rsid w:val="00E62353"/>
    <w:rsid w:val="00E62874"/>
    <w:rsid w:val="00E628EB"/>
    <w:rsid w:val="00E63807"/>
    <w:rsid w:val="00E63A44"/>
    <w:rsid w:val="00E63D7A"/>
    <w:rsid w:val="00E63DDE"/>
    <w:rsid w:val="00E63E68"/>
    <w:rsid w:val="00E642E7"/>
    <w:rsid w:val="00E64604"/>
    <w:rsid w:val="00E64D20"/>
    <w:rsid w:val="00E6578F"/>
    <w:rsid w:val="00E65DF9"/>
    <w:rsid w:val="00E662D5"/>
    <w:rsid w:val="00E668E3"/>
    <w:rsid w:val="00E669B7"/>
    <w:rsid w:val="00E66A2A"/>
    <w:rsid w:val="00E66A52"/>
    <w:rsid w:val="00E67208"/>
    <w:rsid w:val="00E67F85"/>
    <w:rsid w:val="00E67FFE"/>
    <w:rsid w:val="00E703B7"/>
    <w:rsid w:val="00E706BC"/>
    <w:rsid w:val="00E70752"/>
    <w:rsid w:val="00E70A71"/>
    <w:rsid w:val="00E70DD7"/>
    <w:rsid w:val="00E71BFE"/>
    <w:rsid w:val="00E720B8"/>
    <w:rsid w:val="00E727FD"/>
    <w:rsid w:val="00E72EE0"/>
    <w:rsid w:val="00E734C3"/>
    <w:rsid w:val="00E736AA"/>
    <w:rsid w:val="00E73E48"/>
    <w:rsid w:val="00E741FB"/>
    <w:rsid w:val="00E744A6"/>
    <w:rsid w:val="00E744F0"/>
    <w:rsid w:val="00E7478D"/>
    <w:rsid w:val="00E74BB2"/>
    <w:rsid w:val="00E74EBE"/>
    <w:rsid w:val="00E74F63"/>
    <w:rsid w:val="00E757BB"/>
    <w:rsid w:val="00E761DC"/>
    <w:rsid w:val="00E76435"/>
    <w:rsid w:val="00E76B9C"/>
    <w:rsid w:val="00E76F46"/>
    <w:rsid w:val="00E77541"/>
    <w:rsid w:val="00E77736"/>
    <w:rsid w:val="00E7774B"/>
    <w:rsid w:val="00E77776"/>
    <w:rsid w:val="00E80A2A"/>
    <w:rsid w:val="00E81757"/>
    <w:rsid w:val="00E81937"/>
    <w:rsid w:val="00E819FC"/>
    <w:rsid w:val="00E82011"/>
    <w:rsid w:val="00E82699"/>
    <w:rsid w:val="00E837C2"/>
    <w:rsid w:val="00E84C4A"/>
    <w:rsid w:val="00E84F66"/>
    <w:rsid w:val="00E85E9E"/>
    <w:rsid w:val="00E8601D"/>
    <w:rsid w:val="00E860B4"/>
    <w:rsid w:val="00E86532"/>
    <w:rsid w:val="00E8672F"/>
    <w:rsid w:val="00E86BB9"/>
    <w:rsid w:val="00E87AA2"/>
    <w:rsid w:val="00E911A4"/>
    <w:rsid w:val="00E91A7E"/>
    <w:rsid w:val="00E91FED"/>
    <w:rsid w:val="00E9228C"/>
    <w:rsid w:val="00E927C1"/>
    <w:rsid w:val="00E92C99"/>
    <w:rsid w:val="00E92F34"/>
    <w:rsid w:val="00E92F38"/>
    <w:rsid w:val="00E9304D"/>
    <w:rsid w:val="00E930AD"/>
    <w:rsid w:val="00E93CC4"/>
    <w:rsid w:val="00E9440A"/>
    <w:rsid w:val="00E94670"/>
    <w:rsid w:val="00E94CED"/>
    <w:rsid w:val="00E969A5"/>
    <w:rsid w:val="00E970D7"/>
    <w:rsid w:val="00E974EE"/>
    <w:rsid w:val="00E97898"/>
    <w:rsid w:val="00E97AAF"/>
    <w:rsid w:val="00E97C8A"/>
    <w:rsid w:val="00E97E80"/>
    <w:rsid w:val="00E97EEE"/>
    <w:rsid w:val="00EA072A"/>
    <w:rsid w:val="00EA0E29"/>
    <w:rsid w:val="00EA0F9B"/>
    <w:rsid w:val="00EA1689"/>
    <w:rsid w:val="00EA1943"/>
    <w:rsid w:val="00EA1E7B"/>
    <w:rsid w:val="00EA20DC"/>
    <w:rsid w:val="00EA2143"/>
    <w:rsid w:val="00EA2A8C"/>
    <w:rsid w:val="00EA2DAD"/>
    <w:rsid w:val="00EA2E90"/>
    <w:rsid w:val="00EA2FBE"/>
    <w:rsid w:val="00EA301F"/>
    <w:rsid w:val="00EA3349"/>
    <w:rsid w:val="00EA3F95"/>
    <w:rsid w:val="00EA4046"/>
    <w:rsid w:val="00EA4094"/>
    <w:rsid w:val="00EA40F4"/>
    <w:rsid w:val="00EA4299"/>
    <w:rsid w:val="00EA4DE2"/>
    <w:rsid w:val="00EA50A0"/>
    <w:rsid w:val="00EA5366"/>
    <w:rsid w:val="00EA552E"/>
    <w:rsid w:val="00EA5B95"/>
    <w:rsid w:val="00EA5F2F"/>
    <w:rsid w:val="00EA6441"/>
    <w:rsid w:val="00EA6B83"/>
    <w:rsid w:val="00EA6F27"/>
    <w:rsid w:val="00EA7E6B"/>
    <w:rsid w:val="00EB0536"/>
    <w:rsid w:val="00EB130A"/>
    <w:rsid w:val="00EB1329"/>
    <w:rsid w:val="00EB18A1"/>
    <w:rsid w:val="00EB1A12"/>
    <w:rsid w:val="00EB2393"/>
    <w:rsid w:val="00EB3323"/>
    <w:rsid w:val="00EB36C1"/>
    <w:rsid w:val="00EB3AA4"/>
    <w:rsid w:val="00EB3F9D"/>
    <w:rsid w:val="00EB4890"/>
    <w:rsid w:val="00EB493A"/>
    <w:rsid w:val="00EB49B8"/>
    <w:rsid w:val="00EB590A"/>
    <w:rsid w:val="00EB5A5A"/>
    <w:rsid w:val="00EB5DC6"/>
    <w:rsid w:val="00EB69FF"/>
    <w:rsid w:val="00EB73BE"/>
    <w:rsid w:val="00EB74E8"/>
    <w:rsid w:val="00EB7711"/>
    <w:rsid w:val="00EB782F"/>
    <w:rsid w:val="00EC0428"/>
    <w:rsid w:val="00EC102C"/>
    <w:rsid w:val="00EC1AD5"/>
    <w:rsid w:val="00EC2421"/>
    <w:rsid w:val="00EC255F"/>
    <w:rsid w:val="00EC29EB"/>
    <w:rsid w:val="00EC2FA7"/>
    <w:rsid w:val="00EC4240"/>
    <w:rsid w:val="00EC46A4"/>
    <w:rsid w:val="00EC51B3"/>
    <w:rsid w:val="00EC540D"/>
    <w:rsid w:val="00EC5492"/>
    <w:rsid w:val="00EC6025"/>
    <w:rsid w:val="00EC635E"/>
    <w:rsid w:val="00EC63E4"/>
    <w:rsid w:val="00EC67AB"/>
    <w:rsid w:val="00EC6D64"/>
    <w:rsid w:val="00EC7027"/>
    <w:rsid w:val="00EC7995"/>
    <w:rsid w:val="00EC7A92"/>
    <w:rsid w:val="00EC7B8D"/>
    <w:rsid w:val="00EC7BF5"/>
    <w:rsid w:val="00EC7CD7"/>
    <w:rsid w:val="00EC7D66"/>
    <w:rsid w:val="00ED02DE"/>
    <w:rsid w:val="00ED0733"/>
    <w:rsid w:val="00ED0D0E"/>
    <w:rsid w:val="00ED137C"/>
    <w:rsid w:val="00ED1AD4"/>
    <w:rsid w:val="00ED28E3"/>
    <w:rsid w:val="00ED3085"/>
    <w:rsid w:val="00ED3293"/>
    <w:rsid w:val="00ED3E4E"/>
    <w:rsid w:val="00ED3EFF"/>
    <w:rsid w:val="00ED4056"/>
    <w:rsid w:val="00ED418F"/>
    <w:rsid w:val="00ED42D3"/>
    <w:rsid w:val="00ED44EF"/>
    <w:rsid w:val="00ED45DD"/>
    <w:rsid w:val="00ED4983"/>
    <w:rsid w:val="00ED4F15"/>
    <w:rsid w:val="00ED5161"/>
    <w:rsid w:val="00ED529C"/>
    <w:rsid w:val="00ED560E"/>
    <w:rsid w:val="00ED58BC"/>
    <w:rsid w:val="00ED593E"/>
    <w:rsid w:val="00ED5D79"/>
    <w:rsid w:val="00ED62F0"/>
    <w:rsid w:val="00ED639B"/>
    <w:rsid w:val="00ED73C4"/>
    <w:rsid w:val="00ED7A43"/>
    <w:rsid w:val="00EE00AC"/>
    <w:rsid w:val="00EE033B"/>
    <w:rsid w:val="00EE0BDA"/>
    <w:rsid w:val="00EE1000"/>
    <w:rsid w:val="00EE1220"/>
    <w:rsid w:val="00EE145C"/>
    <w:rsid w:val="00EE15FF"/>
    <w:rsid w:val="00EE1A40"/>
    <w:rsid w:val="00EE208A"/>
    <w:rsid w:val="00EE25D4"/>
    <w:rsid w:val="00EE2622"/>
    <w:rsid w:val="00EE283C"/>
    <w:rsid w:val="00EE2A6B"/>
    <w:rsid w:val="00EE3238"/>
    <w:rsid w:val="00EE39E3"/>
    <w:rsid w:val="00EE3B51"/>
    <w:rsid w:val="00EE3F54"/>
    <w:rsid w:val="00EE4B5B"/>
    <w:rsid w:val="00EE5377"/>
    <w:rsid w:val="00EE5FE1"/>
    <w:rsid w:val="00EE6116"/>
    <w:rsid w:val="00EE6CA6"/>
    <w:rsid w:val="00EE6CBD"/>
    <w:rsid w:val="00EE6EC6"/>
    <w:rsid w:val="00EE6F14"/>
    <w:rsid w:val="00EE719C"/>
    <w:rsid w:val="00EE75B3"/>
    <w:rsid w:val="00EE783C"/>
    <w:rsid w:val="00EE7CA8"/>
    <w:rsid w:val="00EF0605"/>
    <w:rsid w:val="00EF07ED"/>
    <w:rsid w:val="00EF13D8"/>
    <w:rsid w:val="00EF22B0"/>
    <w:rsid w:val="00EF2DCA"/>
    <w:rsid w:val="00EF30E3"/>
    <w:rsid w:val="00EF3BCA"/>
    <w:rsid w:val="00EF3D75"/>
    <w:rsid w:val="00EF3DAD"/>
    <w:rsid w:val="00EF3F23"/>
    <w:rsid w:val="00EF408B"/>
    <w:rsid w:val="00EF431C"/>
    <w:rsid w:val="00EF4A63"/>
    <w:rsid w:val="00EF52ED"/>
    <w:rsid w:val="00EF5734"/>
    <w:rsid w:val="00EF592B"/>
    <w:rsid w:val="00EF62B6"/>
    <w:rsid w:val="00EF64D7"/>
    <w:rsid w:val="00EF66AE"/>
    <w:rsid w:val="00EF6C20"/>
    <w:rsid w:val="00EF717C"/>
    <w:rsid w:val="00EF768A"/>
    <w:rsid w:val="00EF7E4F"/>
    <w:rsid w:val="00EF7EFA"/>
    <w:rsid w:val="00EF7EFB"/>
    <w:rsid w:val="00EF7FBF"/>
    <w:rsid w:val="00F00D43"/>
    <w:rsid w:val="00F011A6"/>
    <w:rsid w:val="00F0184A"/>
    <w:rsid w:val="00F018B1"/>
    <w:rsid w:val="00F01D9A"/>
    <w:rsid w:val="00F0200E"/>
    <w:rsid w:val="00F027CB"/>
    <w:rsid w:val="00F02C65"/>
    <w:rsid w:val="00F03489"/>
    <w:rsid w:val="00F03EC0"/>
    <w:rsid w:val="00F0409A"/>
    <w:rsid w:val="00F043E5"/>
    <w:rsid w:val="00F04E21"/>
    <w:rsid w:val="00F04EA7"/>
    <w:rsid w:val="00F058E3"/>
    <w:rsid w:val="00F0612D"/>
    <w:rsid w:val="00F0644D"/>
    <w:rsid w:val="00F069AD"/>
    <w:rsid w:val="00F06FC6"/>
    <w:rsid w:val="00F071C6"/>
    <w:rsid w:val="00F07814"/>
    <w:rsid w:val="00F07BFA"/>
    <w:rsid w:val="00F07DF8"/>
    <w:rsid w:val="00F101C0"/>
    <w:rsid w:val="00F10258"/>
    <w:rsid w:val="00F107A2"/>
    <w:rsid w:val="00F10861"/>
    <w:rsid w:val="00F10ACD"/>
    <w:rsid w:val="00F114EA"/>
    <w:rsid w:val="00F12670"/>
    <w:rsid w:val="00F1302B"/>
    <w:rsid w:val="00F139A7"/>
    <w:rsid w:val="00F13CDD"/>
    <w:rsid w:val="00F1409C"/>
    <w:rsid w:val="00F144B7"/>
    <w:rsid w:val="00F1470D"/>
    <w:rsid w:val="00F150B6"/>
    <w:rsid w:val="00F15963"/>
    <w:rsid w:val="00F15AFD"/>
    <w:rsid w:val="00F162D4"/>
    <w:rsid w:val="00F162E4"/>
    <w:rsid w:val="00F16760"/>
    <w:rsid w:val="00F16849"/>
    <w:rsid w:val="00F1707F"/>
    <w:rsid w:val="00F173EF"/>
    <w:rsid w:val="00F17511"/>
    <w:rsid w:val="00F17901"/>
    <w:rsid w:val="00F200E2"/>
    <w:rsid w:val="00F2058B"/>
    <w:rsid w:val="00F21E42"/>
    <w:rsid w:val="00F2218F"/>
    <w:rsid w:val="00F22B18"/>
    <w:rsid w:val="00F22EA7"/>
    <w:rsid w:val="00F23BDD"/>
    <w:rsid w:val="00F24688"/>
    <w:rsid w:val="00F246C7"/>
    <w:rsid w:val="00F246EC"/>
    <w:rsid w:val="00F2493D"/>
    <w:rsid w:val="00F24E42"/>
    <w:rsid w:val="00F24F65"/>
    <w:rsid w:val="00F2571B"/>
    <w:rsid w:val="00F25AE6"/>
    <w:rsid w:val="00F26052"/>
    <w:rsid w:val="00F261EB"/>
    <w:rsid w:val="00F26726"/>
    <w:rsid w:val="00F26AE2"/>
    <w:rsid w:val="00F27273"/>
    <w:rsid w:val="00F27636"/>
    <w:rsid w:val="00F2786C"/>
    <w:rsid w:val="00F278BF"/>
    <w:rsid w:val="00F27ABD"/>
    <w:rsid w:val="00F27D41"/>
    <w:rsid w:val="00F27EDB"/>
    <w:rsid w:val="00F30140"/>
    <w:rsid w:val="00F30600"/>
    <w:rsid w:val="00F306AE"/>
    <w:rsid w:val="00F3096C"/>
    <w:rsid w:val="00F309E2"/>
    <w:rsid w:val="00F30B70"/>
    <w:rsid w:val="00F3111C"/>
    <w:rsid w:val="00F31407"/>
    <w:rsid w:val="00F31ABA"/>
    <w:rsid w:val="00F31B74"/>
    <w:rsid w:val="00F3209B"/>
    <w:rsid w:val="00F3214C"/>
    <w:rsid w:val="00F3224C"/>
    <w:rsid w:val="00F32366"/>
    <w:rsid w:val="00F3238A"/>
    <w:rsid w:val="00F32B77"/>
    <w:rsid w:val="00F32C7D"/>
    <w:rsid w:val="00F32FFE"/>
    <w:rsid w:val="00F33222"/>
    <w:rsid w:val="00F335D6"/>
    <w:rsid w:val="00F338CE"/>
    <w:rsid w:val="00F33935"/>
    <w:rsid w:val="00F33F8D"/>
    <w:rsid w:val="00F34207"/>
    <w:rsid w:val="00F34BA9"/>
    <w:rsid w:val="00F34C99"/>
    <w:rsid w:val="00F34E26"/>
    <w:rsid w:val="00F35A24"/>
    <w:rsid w:val="00F362E9"/>
    <w:rsid w:val="00F36AA2"/>
    <w:rsid w:val="00F371E1"/>
    <w:rsid w:val="00F373E0"/>
    <w:rsid w:val="00F37AAB"/>
    <w:rsid w:val="00F37CB6"/>
    <w:rsid w:val="00F37F65"/>
    <w:rsid w:val="00F4010B"/>
    <w:rsid w:val="00F404FA"/>
    <w:rsid w:val="00F40721"/>
    <w:rsid w:val="00F40890"/>
    <w:rsid w:val="00F40C61"/>
    <w:rsid w:val="00F413F1"/>
    <w:rsid w:val="00F418B0"/>
    <w:rsid w:val="00F41BEE"/>
    <w:rsid w:val="00F42ACC"/>
    <w:rsid w:val="00F42F6B"/>
    <w:rsid w:val="00F430CD"/>
    <w:rsid w:val="00F43796"/>
    <w:rsid w:val="00F43C35"/>
    <w:rsid w:val="00F44118"/>
    <w:rsid w:val="00F4442F"/>
    <w:rsid w:val="00F44B83"/>
    <w:rsid w:val="00F4514E"/>
    <w:rsid w:val="00F4549E"/>
    <w:rsid w:val="00F45CF9"/>
    <w:rsid w:val="00F46349"/>
    <w:rsid w:val="00F46AF9"/>
    <w:rsid w:val="00F46E42"/>
    <w:rsid w:val="00F4702C"/>
    <w:rsid w:val="00F472AF"/>
    <w:rsid w:val="00F47C6A"/>
    <w:rsid w:val="00F47F4F"/>
    <w:rsid w:val="00F503C4"/>
    <w:rsid w:val="00F505B8"/>
    <w:rsid w:val="00F50E5A"/>
    <w:rsid w:val="00F52626"/>
    <w:rsid w:val="00F52B90"/>
    <w:rsid w:val="00F52BCB"/>
    <w:rsid w:val="00F52D07"/>
    <w:rsid w:val="00F52DB2"/>
    <w:rsid w:val="00F535C5"/>
    <w:rsid w:val="00F537C5"/>
    <w:rsid w:val="00F53EFE"/>
    <w:rsid w:val="00F54086"/>
    <w:rsid w:val="00F54835"/>
    <w:rsid w:val="00F5491F"/>
    <w:rsid w:val="00F549A6"/>
    <w:rsid w:val="00F54C29"/>
    <w:rsid w:val="00F553B2"/>
    <w:rsid w:val="00F55CCF"/>
    <w:rsid w:val="00F55E8E"/>
    <w:rsid w:val="00F56193"/>
    <w:rsid w:val="00F572EF"/>
    <w:rsid w:val="00F57C88"/>
    <w:rsid w:val="00F60732"/>
    <w:rsid w:val="00F60BA2"/>
    <w:rsid w:val="00F60EBE"/>
    <w:rsid w:val="00F61D46"/>
    <w:rsid w:val="00F61E9E"/>
    <w:rsid w:val="00F62441"/>
    <w:rsid w:val="00F625EA"/>
    <w:rsid w:val="00F62E41"/>
    <w:rsid w:val="00F62ED8"/>
    <w:rsid w:val="00F62F71"/>
    <w:rsid w:val="00F632B7"/>
    <w:rsid w:val="00F634F6"/>
    <w:rsid w:val="00F63757"/>
    <w:rsid w:val="00F63860"/>
    <w:rsid w:val="00F63C48"/>
    <w:rsid w:val="00F64B0A"/>
    <w:rsid w:val="00F6500C"/>
    <w:rsid w:val="00F65734"/>
    <w:rsid w:val="00F65C58"/>
    <w:rsid w:val="00F65D82"/>
    <w:rsid w:val="00F667B1"/>
    <w:rsid w:val="00F667E5"/>
    <w:rsid w:val="00F6698D"/>
    <w:rsid w:val="00F66AAE"/>
    <w:rsid w:val="00F67332"/>
    <w:rsid w:val="00F67457"/>
    <w:rsid w:val="00F67C3B"/>
    <w:rsid w:val="00F67EE0"/>
    <w:rsid w:val="00F70B67"/>
    <w:rsid w:val="00F70C0F"/>
    <w:rsid w:val="00F719F2"/>
    <w:rsid w:val="00F71CC5"/>
    <w:rsid w:val="00F722D0"/>
    <w:rsid w:val="00F7270F"/>
    <w:rsid w:val="00F729B3"/>
    <w:rsid w:val="00F737DE"/>
    <w:rsid w:val="00F739AE"/>
    <w:rsid w:val="00F740FD"/>
    <w:rsid w:val="00F74A25"/>
    <w:rsid w:val="00F74BE7"/>
    <w:rsid w:val="00F74E0C"/>
    <w:rsid w:val="00F74F66"/>
    <w:rsid w:val="00F74FCF"/>
    <w:rsid w:val="00F75884"/>
    <w:rsid w:val="00F75D18"/>
    <w:rsid w:val="00F766F3"/>
    <w:rsid w:val="00F76D12"/>
    <w:rsid w:val="00F775D3"/>
    <w:rsid w:val="00F77B4D"/>
    <w:rsid w:val="00F77FA5"/>
    <w:rsid w:val="00F80A98"/>
    <w:rsid w:val="00F80AD3"/>
    <w:rsid w:val="00F8123F"/>
    <w:rsid w:val="00F814C5"/>
    <w:rsid w:val="00F82721"/>
    <w:rsid w:val="00F82B1F"/>
    <w:rsid w:val="00F82CA9"/>
    <w:rsid w:val="00F82D81"/>
    <w:rsid w:val="00F83C5C"/>
    <w:rsid w:val="00F83E02"/>
    <w:rsid w:val="00F84330"/>
    <w:rsid w:val="00F84DAB"/>
    <w:rsid w:val="00F85679"/>
    <w:rsid w:val="00F85FEE"/>
    <w:rsid w:val="00F86319"/>
    <w:rsid w:val="00F86B54"/>
    <w:rsid w:val="00F87A4A"/>
    <w:rsid w:val="00F87B07"/>
    <w:rsid w:val="00F90053"/>
    <w:rsid w:val="00F90CFC"/>
    <w:rsid w:val="00F90EF1"/>
    <w:rsid w:val="00F9108E"/>
    <w:rsid w:val="00F912F2"/>
    <w:rsid w:val="00F9165D"/>
    <w:rsid w:val="00F91D2E"/>
    <w:rsid w:val="00F91F3C"/>
    <w:rsid w:val="00F9215C"/>
    <w:rsid w:val="00F92304"/>
    <w:rsid w:val="00F92736"/>
    <w:rsid w:val="00F92DC4"/>
    <w:rsid w:val="00F9301C"/>
    <w:rsid w:val="00F93069"/>
    <w:rsid w:val="00F9336D"/>
    <w:rsid w:val="00F93463"/>
    <w:rsid w:val="00F9481C"/>
    <w:rsid w:val="00F94852"/>
    <w:rsid w:val="00F94880"/>
    <w:rsid w:val="00F94C9C"/>
    <w:rsid w:val="00F95126"/>
    <w:rsid w:val="00F9559F"/>
    <w:rsid w:val="00F95B3A"/>
    <w:rsid w:val="00F95D0A"/>
    <w:rsid w:val="00F962C4"/>
    <w:rsid w:val="00F970A7"/>
    <w:rsid w:val="00F9718D"/>
    <w:rsid w:val="00F97F3D"/>
    <w:rsid w:val="00FA0332"/>
    <w:rsid w:val="00FA0473"/>
    <w:rsid w:val="00FA049D"/>
    <w:rsid w:val="00FA063A"/>
    <w:rsid w:val="00FA0E59"/>
    <w:rsid w:val="00FA0F7D"/>
    <w:rsid w:val="00FA2824"/>
    <w:rsid w:val="00FA297B"/>
    <w:rsid w:val="00FA2B29"/>
    <w:rsid w:val="00FA33D2"/>
    <w:rsid w:val="00FA3E75"/>
    <w:rsid w:val="00FA5181"/>
    <w:rsid w:val="00FA5474"/>
    <w:rsid w:val="00FA571B"/>
    <w:rsid w:val="00FA5A60"/>
    <w:rsid w:val="00FA62BF"/>
    <w:rsid w:val="00FA68B2"/>
    <w:rsid w:val="00FA6916"/>
    <w:rsid w:val="00FA72D4"/>
    <w:rsid w:val="00FA72E9"/>
    <w:rsid w:val="00FA7947"/>
    <w:rsid w:val="00FA7A19"/>
    <w:rsid w:val="00FA7C19"/>
    <w:rsid w:val="00FB016C"/>
    <w:rsid w:val="00FB026F"/>
    <w:rsid w:val="00FB0BF4"/>
    <w:rsid w:val="00FB1615"/>
    <w:rsid w:val="00FB17D5"/>
    <w:rsid w:val="00FB1BC4"/>
    <w:rsid w:val="00FB2048"/>
    <w:rsid w:val="00FB2257"/>
    <w:rsid w:val="00FB247C"/>
    <w:rsid w:val="00FB31F3"/>
    <w:rsid w:val="00FB4388"/>
    <w:rsid w:val="00FB4500"/>
    <w:rsid w:val="00FB4E93"/>
    <w:rsid w:val="00FB5F78"/>
    <w:rsid w:val="00FB6B1C"/>
    <w:rsid w:val="00FC06F8"/>
    <w:rsid w:val="00FC0A41"/>
    <w:rsid w:val="00FC0F1C"/>
    <w:rsid w:val="00FC1981"/>
    <w:rsid w:val="00FC1AF1"/>
    <w:rsid w:val="00FC242D"/>
    <w:rsid w:val="00FC2D8B"/>
    <w:rsid w:val="00FC3021"/>
    <w:rsid w:val="00FC3DE2"/>
    <w:rsid w:val="00FC3ED3"/>
    <w:rsid w:val="00FC4058"/>
    <w:rsid w:val="00FC5506"/>
    <w:rsid w:val="00FC57E1"/>
    <w:rsid w:val="00FC59FC"/>
    <w:rsid w:val="00FC5C6B"/>
    <w:rsid w:val="00FC5D0B"/>
    <w:rsid w:val="00FC626F"/>
    <w:rsid w:val="00FC68A6"/>
    <w:rsid w:val="00FC72C0"/>
    <w:rsid w:val="00FC7718"/>
    <w:rsid w:val="00FC77A9"/>
    <w:rsid w:val="00FC77BE"/>
    <w:rsid w:val="00FC7ABB"/>
    <w:rsid w:val="00FD027A"/>
    <w:rsid w:val="00FD09D9"/>
    <w:rsid w:val="00FD0BA0"/>
    <w:rsid w:val="00FD0C28"/>
    <w:rsid w:val="00FD1661"/>
    <w:rsid w:val="00FD182E"/>
    <w:rsid w:val="00FD214F"/>
    <w:rsid w:val="00FD22EF"/>
    <w:rsid w:val="00FD2671"/>
    <w:rsid w:val="00FD3009"/>
    <w:rsid w:val="00FD3247"/>
    <w:rsid w:val="00FD3306"/>
    <w:rsid w:val="00FD36B1"/>
    <w:rsid w:val="00FD3843"/>
    <w:rsid w:val="00FD3FE4"/>
    <w:rsid w:val="00FD4157"/>
    <w:rsid w:val="00FD50FA"/>
    <w:rsid w:val="00FD5C91"/>
    <w:rsid w:val="00FD678F"/>
    <w:rsid w:val="00FD6BFF"/>
    <w:rsid w:val="00FD6FD5"/>
    <w:rsid w:val="00FE029E"/>
    <w:rsid w:val="00FE0421"/>
    <w:rsid w:val="00FE047C"/>
    <w:rsid w:val="00FE1B98"/>
    <w:rsid w:val="00FE1CEA"/>
    <w:rsid w:val="00FE1E23"/>
    <w:rsid w:val="00FE2DA4"/>
    <w:rsid w:val="00FE2FEA"/>
    <w:rsid w:val="00FE3071"/>
    <w:rsid w:val="00FE361A"/>
    <w:rsid w:val="00FE42C3"/>
    <w:rsid w:val="00FE4734"/>
    <w:rsid w:val="00FE49BE"/>
    <w:rsid w:val="00FE59FD"/>
    <w:rsid w:val="00FE5BF0"/>
    <w:rsid w:val="00FE5C1D"/>
    <w:rsid w:val="00FE7F98"/>
    <w:rsid w:val="00FF0210"/>
    <w:rsid w:val="00FF1B65"/>
    <w:rsid w:val="00FF1D1D"/>
    <w:rsid w:val="00FF1DC5"/>
    <w:rsid w:val="00FF1EB8"/>
    <w:rsid w:val="00FF20EE"/>
    <w:rsid w:val="00FF2906"/>
    <w:rsid w:val="00FF2E7F"/>
    <w:rsid w:val="00FF306D"/>
    <w:rsid w:val="00FF38B8"/>
    <w:rsid w:val="00FF3AF3"/>
    <w:rsid w:val="00FF4AD5"/>
    <w:rsid w:val="00FF4CA4"/>
    <w:rsid w:val="00FF4D98"/>
    <w:rsid w:val="00FF56D1"/>
    <w:rsid w:val="00FF60EF"/>
    <w:rsid w:val="00FF6425"/>
    <w:rsid w:val="00FF6BEE"/>
    <w:rsid w:val="00FF6DCF"/>
    <w:rsid w:val="00FF6DD8"/>
    <w:rsid w:val="00FF72C7"/>
    <w:rsid w:val="00FF73DA"/>
    <w:rsid w:val="42522D2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2BBD5"/>
  <w15:chartTrackingRefBased/>
  <w15:docId w15:val="{6CFF3738-67ED-4573-9B92-A376E48B3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972CF4"/>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972CF4"/>
    <w:pPr>
      <w:numPr>
        <w:numId w:val="13"/>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C4373" w:themeColor="background2" w:themeShade="BF"/>
      <w:sz w:val="42"/>
    </w:rPr>
  </w:style>
  <w:style w:type="paragraph" w:styleId="Heading2">
    <w:name w:val="heading 2"/>
    <w:basedOn w:val="Normal"/>
    <w:next w:val="BodyText"/>
    <w:link w:val="Heading2Char"/>
    <w:uiPriority w:val="9"/>
    <w:qFormat/>
    <w:rsid w:val="00972CF4"/>
    <w:pPr>
      <w:keepNext/>
      <w:keepLines/>
      <w:numPr>
        <w:ilvl w:val="2"/>
        <w:numId w:val="13"/>
      </w:numPr>
      <w:spacing w:before="480" w:line="340" w:lineRule="atLeast"/>
      <w:outlineLvl w:val="1"/>
    </w:pPr>
    <w:rPr>
      <w:rFonts w:ascii="Open Sans Extrabold" w:eastAsiaTheme="majorEastAsia" w:hAnsi="Open Sans Extrabold" w:cstheme="majorBidi"/>
      <w:color w:val="1C4373" w:themeColor="background2" w:themeShade="BF"/>
      <w:sz w:val="30"/>
      <w:szCs w:val="60"/>
    </w:rPr>
  </w:style>
  <w:style w:type="paragraph" w:styleId="Heading3">
    <w:name w:val="heading 3"/>
    <w:basedOn w:val="Normal"/>
    <w:next w:val="BodyText"/>
    <w:link w:val="Heading3Char"/>
    <w:uiPriority w:val="9"/>
    <w:qFormat/>
    <w:rsid w:val="00972CF4"/>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972CF4"/>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972CF4"/>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972CF4"/>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972CF4"/>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972CF4"/>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972CF4"/>
    <w:pPr>
      <w:spacing w:line="240" w:lineRule="auto"/>
      <w:outlineLvl w:val="8"/>
    </w:pPr>
    <w:rPr>
      <w:rFonts w:asciiTheme="majorHAnsi" w:hAnsiTheme="majorHAnsi"/>
      <w:color w:val="8956A3"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2CF4"/>
    <w:rPr>
      <w:color w:val="808080"/>
    </w:rPr>
  </w:style>
  <w:style w:type="paragraph" w:styleId="Date">
    <w:name w:val="Date"/>
    <w:basedOn w:val="Normal"/>
    <w:next w:val="Normal"/>
    <w:link w:val="DateChar"/>
    <w:uiPriority w:val="99"/>
    <w:unhideWhenUsed/>
    <w:rsid w:val="00972CF4"/>
    <w:pPr>
      <w:spacing w:after="360" w:line="293" w:lineRule="auto"/>
    </w:pPr>
  </w:style>
  <w:style w:type="character" w:customStyle="1" w:styleId="DateChar">
    <w:name w:val="Date Char"/>
    <w:basedOn w:val="DefaultParagraphFont"/>
    <w:link w:val="Date"/>
    <w:uiPriority w:val="99"/>
    <w:rsid w:val="00972CF4"/>
    <w:rPr>
      <w:rFonts w:ascii="Open Sans" w:hAnsi="Open Sans"/>
      <w:sz w:val="20"/>
      <w:szCs w:val="20"/>
    </w:rPr>
  </w:style>
  <w:style w:type="paragraph" w:styleId="NoSpacing">
    <w:name w:val="No Spacing"/>
    <w:basedOn w:val="Normal"/>
    <w:link w:val="NoSpacingChar"/>
    <w:uiPriority w:val="10"/>
    <w:qFormat/>
    <w:rsid w:val="00972CF4"/>
    <w:pPr>
      <w:spacing w:before="0" w:after="0"/>
    </w:pPr>
  </w:style>
  <w:style w:type="paragraph" w:styleId="ListBullet">
    <w:name w:val="List Bullet"/>
    <w:basedOn w:val="Normal"/>
    <w:link w:val="ListBulletChar"/>
    <w:uiPriority w:val="1"/>
    <w:qFormat/>
    <w:rsid w:val="00972CF4"/>
    <w:pPr>
      <w:numPr>
        <w:numId w:val="15"/>
      </w:numPr>
      <w:contextualSpacing/>
    </w:pPr>
  </w:style>
  <w:style w:type="paragraph" w:styleId="ListBullet2">
    <w:name w:val="List Bullet 2"/>
    <w:basedOn w:val="Normal"/>
    <w:uiPriority w:val="1"/>
    <w:qFormat/>
    <w:rsid w:val="00972CF4"/>
    <w:pPr>
      <w:numPr>
        <w:ilvl w:val="1"/>
        <w:numId w:val="15"/>
      </w:numPr>
      <w:contextualSpacing/>
    </w:pPr>
  </w:style>
  <w:style w:type="paragraph" w:styleId="ListNumber">
    <w:name w:val="List Number"/>
    <w:basedOn w:val="Normal"/>
    <w:uiPriority w:val="2"/>
    <w:qFormat/>
    <w:rsid w:val="00972CF4"/>
    <w:pPr>
      <w:numPr>
        <w:numId w:val="14"/>
      </w:numPr>
      <w:spacing w:before="60"/>
      <w:contextualSpacing/>
    </w:pPr>
  </w:style>
  <w:style w:type="numbering" w:customStyle="1" w:styleId="Bullets">
    <w:name w:val="Bullets"/>
    <w:uiPriority w:val="99"/>
    <w:rsid w:val="00972CF4"/>
    <w:pPr>
      <w:numPr>
        <w:numId w:val="5"/>
      </w:numPr>
    </w:pPr>
  </w:style>
  <w:style w:type="character" w:customStyle="1" w:styleId="Heading1Char">
    <w:name w:val="Heading 1 Char"/>
    <w:basedOn w:val="DefaultParagraphFont"/>
    <w:link w:val="Heading1"/>
    <w:uiPriority w:val="9"/>
    <w:rsid w:val="00972CF4"/>
    <w:rPr>
      <w:rFonts w:ascii="Open Sans Extrabold" w:hAnsi="Open Sans Extrabold"/>
      <w:color w:val="1C4373" w:themeColor="background2" w:themeShade="BF"/>
      <w:sz w:val="42"/>
      <w:szCs w:val="20"/>
      <w:shd w:val="clear" w:color="auto" w:fill="E7F6FD"/>
    </w:rPr>
  </w:style>
  <w:style w:type="paragraph" w:styleId="ListNumber2">
    <w:name w:val="List Number 2"/>
    <w:basedOn w:val="Normal"/>
    <w:uiPriority w:val="13"/>
    <w:semiHidden/>
    <w:qFormat/>
    <w:rsid w:val="00972CF4"/>
    <w:pPr>
      <w:numPr>
        <w:ilvl w:val="1"/>
        <w:numId w:val="14"/>
      </w:numPr>
      <w:spacing w:before="60"/>
      <w:contextualSpacing/>
    </w:pPr>
  </w:style>
  <w:style w:type="character" w:customStyle="1" w:styleId="Heading2Char">
    <w:name w:val="Heading 2 Char"/>
    <w:basedOn w:val="DefaultParagraphFont"/>
    <w:link w:val="Heading2"/>
    <w:uiPriority w:val="9"/>
    <w:rsid w:val="00972CF4"/>
    <w:rPr>
      <w:rFonts w:ascii="Open Sans Extrabold" w:eastAsiaTheme="majorEastAsia" w:hAnsi="Open Sans Extrabold" w:cstheme="majorBidi"/>
      <w:color w:val="1C4373" w:themeColor="background2" w:themeShade="BF"/>
      <w:sz w:val="30"/>
      <w:szCs w:val="60"/>
    </w:rPr>
  </w:style>
  <w:style w:type="paragraph" w:styleId="ListParagraph">
    <w:name w:val="List Paragraph"/>
    <w:basedOn w:val="Normal"/>
    <w:uiPriority w:val="34"/>
    <w:rsid w:val="00972CF4"/>
    <w:pPr>
      <w:spacing w:line="293" w:lineRule="auto"/>
      <w:ind w:left="284"/>
      <w:contextualSpacing/>
    </w:pPr>
  </w:style>
  <w:style w:type="paragraph" w:styleId="Header">
    <w:name w:val="header"/>
    <w:basedOn w:val="Normal"/>
    <w:link w:val="HeaderChar"/>
    <w:uiPriority w:val="99"/>
    <w:unhideWhenUsed/>
    <w:rsid w:val="00972CF4"/>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972CF4"/>
    <w:rPr>
      <w:rFonts w:ascii="Open Sans" w:hAnsi="Open Sans"/>
      <w:sz w:val="16"/>
      <w:szCs w:val="20"/>
    </w:rPr>
  </w:style>
  <w:style w:type="paragraph" w:styleId="Footer">
    <w:name w:val="footer"/>
    <w:basedOn w:val="Normal"/>
    <w:link w:val="FooterChar"/>
    <w:uiPriority w:val="11"/>
    <w:rsid w:val="00972CF4"/>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972CF4"/>
    <w:rPr>
      <w:rFonts w:ascii="Open Sans Extrabold" w:hAnsi="Open Sans Extrabold"/>
      <w:sz w:val="17"/>
    </w:rPr>
  </w:style>
  <w:style w:type="numbering" w:customStyle="1" w:styleId="Numbering">
    <w:name w:val="Numbering"/>
    <w:uiPriority w:val="99"/>
    <w:rsid w:val="00972CF4"/>
    <w:pPr>
      <w:numPr>
        <w:numId w:val="14"/>
      </w:numPr>
    </w:pPr>
  </w:style>
  <w:style w:type="paragraph" w:styleId="ListBullet3">
    <w:name w:val="List Bullet 3"/>
    <w:basedOn w:val="Normal"/>
    <w:uiPriority w:val="1"/>
    <w:qFormat/>
    <w:rsid w:val="00972CF4"/>
    <w:pPr>
      <w:numPr>
        <w:ilvl w:val="2"/>
        <w:numId w:val="15"/>
      </w:numPr>
      <w:contextualSpacing/>
    </w:pPr>
  </w:style>
  <w:style w:type="paragraph" w:styleId="ListContinue2">
    <w:name w:val="List Continue 2"/>
    <w:basedOn w:val="Normal"/>
    <w:uiPriority w:val="3"/>
    <w:unhideWhenUsed/>
    <w:qFormat/>
    <w:rsid w:val="00972CF4"/>
    <w:pPr>
      <w:spacing w:before="60"/>
      <w:ind w:left="454"/>
    </w:pPr>
  </w:style>
  <w:style w:type="paragraph" w:styleId="ListNumber3">
    <w:name w:val="List Number 3"/>
    <w:basedOn w:val="Normal"/>
    <w:uiPriority w:val="13"/>
    <w:semiHidden/>
    <w:qFormat/>
    <w:rsid w:val="00972CF4"/>
    <w:pPr>
      <w:numPr>
        <w:ilvl w:val="2"/>
        <w:numId w:val="14"/>
      </w:numPr>
      <w:spacing w:before="60"/>
      <w:contextualSpacing/>
    </w:pPr>
  </w:style>
  <w:style w:type="paragraph" w:styleId="ListNumber4">
    <w:name w:val="List Number 4"/>
    <w:basedOn w:val="Normal"/>
    <w:uiPriority w:val="13"/>
    <w:semiHidden/>
    <w:qFormat/>
    <w:rsid w:val="00972CF4"/>
    <w:pPr>
      <w:numPr>
        <w:ilvl w:val="3"/>
        <w:numId w:val="14"/>
      </w:numPr>
      <w:spacing w:after="200" w:line="293" w:lineRule="auto"/>
      <w:contextualSpacing/>
    </w:pPr>
  </w:style>
  <w:style w:type="paragraph" w:styleId="ListNumber5">
    <w:name w:val="List Number 5"/>
    <w:basedOn w:val="Normal"/>
    <w:uiPriority w:val="13"/>
    <w:semiHidden/>
    <w:rsid w:val="00972CF4"/>
    <w:pPr>
      <w:numPr>
        <w:ilvl w:val="4"/>
        <w:numId w:val="14"/>
      </w:numPr>
      <w:spacing w:after="200" w:line="293" w:lineRule="auto"/>
      <w:contextualSpacing/>
    </w:pPr>
  </w:style>
  <w:style w:type="paragraph" w:styleId="ListContinue">
    <w:name w:val="List Continue"/>
    <w:basedOn w:val="Normal"/>
    <w:uiPriority w:val="3"/>
    <w:unhideWhenUsed/>
    <w:qFormat/>
    <w:rsid w:val="00972CF4"/>
    <w:pPr>
      <w:spacing w:before="60"/>
      <w:ind w:left="227"/>
    </w:pPr>
  </w:style>
  <w:style w:type="paragraph" w:styleId="ListContinue3">
    <w:name w:val="List Continue 3"/>
    <w:basedOn w:val="Normal"/>
    <w:uiPriority w:val="3"/>
    <w:unhideWhenUsed/>
    <w:qFormat/>
    <w:rsid w:val="00972CF4"/>
    <w:pPr>
      <w:spacing w:before="60"/>
      <w:ind w:left="907"/>
    </w:pPr>
  </w:style>
  <w:style w:type="paragraph" w:styleId="ListContinue4">
    <w:name w:val="List Continue 4"/>
    <w:basedOn w:val="Normal"/>
    <w:uiPriority w:val="3"/>
    <w:unhideWhenUsed/>
    <w:qFormat/>
    <w:rsid w:val="00972CF4"/>
    <w:pPr>
      <w:spacing w:line="293" w:lineRule="auto"/>
      <w:ind w:left="907"/>
      <w:contextualSpacing/>
    </w:pPr>
  </w:style>
  <w:style w:type="character" w:customStyle="1" w:styleId="Heading3Char">
    <w:name w:val="Heading 3 Char"/>
    <w:basedOn w:val="DefaultParagraphFont"/>
    <w:link w:val="Heading3"/>
    <w:uiPriority w:val="9"/>
    <w:rsid w:val="00972CF4"/>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972CF4"/>
    <w:rPr>
      <w:rFonts w:ascii="Open Sans Extrabold" w:eastAsiaTheme="majorEastAsia" w:hAnsi="Open Sans Extrabold" w:cstheme="majorBidi"/>
      <w:iCs/>
      <w:color w:val="1C4373" w:themeColor="background2" w:themeShade="BF"/>
      <w:szCs w:val="33"/>
    </w:rPr>
  </w:style>
  <w:style w:type="character" w:customStyle="1" w:styleId="Heading5Char">
    <w:name w:val="Heading 5 Char"/>
    <w:basedOn w:val="DefaultParagraphFont"/>
    <w:link w:val="Heading5"/>
    <w:uiPriority w:val="9"/>
    <w:rsid w:val="00972CF4"/>
    <w:rPr>
      <w:rFonts w:ascii="Open Sans" w:eastAsiaTheme="majorEastAsia" w:hAnsi="Open Sans" w:cstheme="majorBidi"/>
      <w:b/>
      <w:color w:val="265A9A" w:themeColor="background2"/>
      <w:szCs w:val="29"/>
    </w:rPr>
  </w:style>
  <w:style w:type="numbering" w:customStyle="1" w:styleId="ListHeadings">
    <w:name w:val="List Headings"/>
    <w:uiPriority w:val="99"/>
    <w:rsid w:val="00972CF4"/>
    <w:pPr>
      <w:numPr>
        <w:numId w:val="12"/>
      </w:numPr>
    </w:pPr>
  </w:style>
  <w:style w:type="paragraph" w:styleId="Title">
    <w:name w:val="Title"/>
    <w:basedOn w:val="Heading1"/>
    <w:next w:val="Normal"/>
    <w:link w:val="TitleChar"/>
    <w:uiPriority w:val="39"/>
    <w:rsid w:val="00972CF4"/>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972CF4"/>
    <w:rPr>
      <w:rFonts w:ascii="Open Sans Extrabold" w:eastAsiaTheme="majorEastAsia" w:hAnsi="Open Sans Extrabold" w:cstheme="majorBidi"/>
      <w:color w:val="1C4373" w:themeColor="background2" w:themeShade="BF"/>
      <w:kern w:val="28"/>
      <w:sz w:val="56"/>
      <w:szCs w:val="56"/>
    </w:rPr>
  </w:style>
  <w:style w:type="paragraph" w:customStyle="1" w:styleId="Pull-outQuote">
    <w:name w:val="Pull-out Quote"/>
    <w:basedOn w:val="Normal"/>
    <w:link w:val="Pull-outQuoteChar"/>
    <w:uiPriority w:val="99"/>
    <w:semiHidden/>
    <w:rsid w:val="00972CF4"/>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972CF4"/>
    <w:rPr>
      <w:b/>
    </w:rPr>
  </w:style>
  <w:style w:type="character" w:customStyle="1" w:styleId="Pull-outQuoteChar">
    <w:name w:val="Pull-out Quote Char"/>
    <w:basedOn w:val="DefaultParagraphFont"/>
    <w:link w:val="Pull-outQuote"/>
    <w:uiPriority w:val="99"/>
    <w:semiHidden/>
    <w:rsid w:val="00972CF4"/>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972CF4"/>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972CF4"/>
  </w:style>
  <w:style w:type="paragraph" w:customStyle="1" w:styleId="NumberedHeading2">
    <w:name w:val="Numbered Heading 2"/>
    <w:basedOn w:val="Heading2"/>
    <w:next w:val="Normal"/>
    <w:link w:val="NumberedHeading2Char"/>
    <w:uiPriority w:val="9"/>
    <w:semiHidden/>
    <w:rsid w:val="00972CF4"/>
  </w:style>
  <w:style w:type="character" w:customStyle="1" w:styleId="NumberedHeading1Char">
    <w:name w:val="Numbered Heading 1 Char"/>
    <w:basedOn w:val="Heading1Char"/>
    <w:link w:val="NumberedHeading1"/>
    <w:uiPriority w:val="9"/>
    <w:semiHidden/>
    <w:rsid w:val="00972CF4"/>
    <w:rPr>
      <w:rFonts w:ascii="Open Sans Extrabold" w:hAnsi="Open Sans Extrabold"/>
      <w:color w:val="1C4373" w:themeColor="background2" w:themeShade="BF"/>
      <w:sz w:val="42"/>
      <w:szCs w:val="20"/>
      <w:shd w:val="clear" w:color="auto" w:fill="E7F6FD"/>
    </w:rPr>
  </w:style>
  <w:style w:type="character" w:customStyle="1" w:styleId="NumberedHeading2Char">
    <w:name w:val="Numbered Heading 2 Char"/>
    <w:basedOn w:val="Heading2Char"/>
    <w:link w:val="NumberedHeading2"/>
    <w:uiPriority w:val="9"/>
    <w:semiHidden/>
    <w:rsid w:val="00972CF4"/>
    <w:rPr>
      <w:rFonts w:ascii="Open Sans Extrabold" w:eastAsiaTheme="majorEastAsia" w:hAnsi="Open Sans Extrabold" w:cstheme="majorBidi"/>
      <w:color w:val="1C4373" w:themeColor="background2" w:themeShade="BF"/>
      <w:sz w:val="30"/>
      <w:szCs w:val="60"/>
    </w:rPr>
  </w:style>
  <w:style w:type="paragraph" w:styleId="ListContinue5">
    <w:name w:val="List Continue 5"/>
    <w:basedOn w:val="Normal"/>
    <w:uiPriority w:val="3"/>
    <w:unhideWhenUsed/>
    <w:qFormat/>
    <w:rsid w:val="00972CF4"/>
    <w:pPr>
      <w:ind w:left="1134"/>
      <w:contextualSpacing/>
    </w:pPr>
  </w:style>
  <w:style w:type="table" w:styleId="TableGrid">
    <w:name w:val="Table Grid"/>
    <w:basedOn w:val="TableNormal"/>
    <w:uiPriority w:val="39"/>
    <w:rsid w:val="0097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972CF4"/>
    <w:pPr>
      <w:spacing w:before="0" w:after="40"/>
    </w:pPr>
    <w:rPr>
      <w:rFonts w:ascii="Open Sans Extrabold" w:hAnsi="Open Sans Extrabold"/>
      <w:iCs/>
      <w:color w:val="000000" w:themeColor="text1"/>
      <w:szCs w:val="18"/>
    </w:rPr>
  </w:style>
  <w:style w:type="paragraph" w:styleId="List">
    <w:name w:val="List"/>
    <w:basedOn w:val="Normal"/>
    <w:uiPriority w:val="99"/>
    <w:semiHidden/>
    <w:qFormat/>
    <w:rsid w:val="00972CF4"/>
    <w:pPr>
      <w:numPr>
        <w:numId w:val="9"/>
      </w:numPr>
      <w:spacing w:before="60"/>
    </w:pPr>
  </w:style>
  <w:style w:type="paragraph" w:styleId="List2">
    <w:name w:val="List 2"/>
    <w:basedOn w:val="Normal"/>
    <w:uiPriority w:val="99"/>
    <w:semiHidden/>
    <w:qFormat/>
    <w:rsid w:val="00972CF4"/>
    <w:pPr>
      <w:numPr>
        <w:ilvl w:val="1"/>
        <w:numId w:val="9"/>
      </w:numPr>
      <w:spacing w:before="60"/>
    </w:pPr>
  </w:style>
  <w:style w:type="numbering" w:customStyle="1" w:styleId="LetteredList">
    <w:name w:val="Lettered List"/>
    <w:uiPriority w:val="99"/>
    <w:rsid w:val="00972CF4"/>
    <w:pPr>
      <w:numPr>
        <w:numId w:val="8"/>
      </w:numPr>
    </w:pPr>
  </w:style>
  <w:style w:type="paragraph" w:styleId="Subtitle">
    <w:name w:val="Subtitle"/>
    <w:basedOn w:val="Normal"/>
    <w:next w:val="Normal"/>
    <w:link w:val="SubtitleChar"/>
    <w:uiPriority w:val="39"/>
    <w:rsid w:val="00972CF4"/>
    <w:pPr>
      <w:numPr>
        <w:ilvl w:val="1"/>
      </w:numPr>
      <w:spacing w:before="240" w:after="240" w:line="240" w:lineRule="auto"/>
    </w:pPr>
    <w:rPr>
      <w:rFonts w:eastAsiaTheme="minorEastAsia"/>
      <w:color w:val="1C4373" w:themeColor="background2" w:themeShade="BF"/>
      <w:sz w:val="48"/>
    </w:rPr>
  </w:style>
  <w:style w:type="character" w:customStyle="1" w:styleId="SubtitleChar">
    <w:name w:val="Subtitle Char"/>
    <w:basedOn w:val="DefaultParagraphFont"/>
    <w:link w:val="Subtitle"/>
    <w:uiPriority w:val="39"/>
    <w:rsid w:val="00972CF4"/>
    <w:rPr>
      <w:rFonts w:ascii="Open Sans" w:eastAsiaTheme="minorEastAsia" w:hAnsi="Open Sans"/>
      <w:color w:val="1C4373" w:themeColor="background2" w:themeShade="BF"/>
      <w:sz w:val="48"/>
      <w:szCs w:val="20"/>
    </w:rPr>
  </w:style>
  <w:style w:type="character" w:styleId="Strong">
    <w:name w:val="Strong"/>
    <w:basedOn w:val="DefaultParagraphFont"/>
    <w:uiPriority w:val="22"/>
    <w:qFormat/>
    <w:rsid w:val="00972CF4"/>
    <w:rPr>
      <w:rFonts w:ascii="Open Sans" w:hAnsi="Open Sans"/>
      <w:b/>
      <w:bCs/>
    </w:rPr>
  </w:style>
  <w:style w:type="paragraph" w:customStyle="1" w:styleId="Header-Keyline">
    <w:name w:val="Header - Keyline"/>
    <w:basedOn w:val="Header"/>
    <w:link w:val="Header-KeylineChar"/>
    <w:uiPriority w:val="99"/>
    <w:rsid w:val="00972CF4"/>
    <w:pPr>
      <w:pBdr>
        <w:bottom w:val="single" w:sz="4" w:space="31" w:color="2B9AC2" w:themeColor="text2"/>
      </w:pBdr>
      <w:spacing w:after="600"/>
    </w:pPr>
  </w:style>
  <w:style w:type="character" w:customStyle="1" w:styleId="Heading6Char">
    <w:name w:val="Heading 6 Char"/>
    <w:basedOn w:val="DefaultParagraphFont"/>
    <w:link w:val="Heading6"/>
    <w:uiPriority w:val="9"/>
    <w:rsid w:val="00972CF4"/>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972CF4"/>
    <w:rPr>
      <w:rFonts w:ascii="Open Sans" w:hAnsi="Open Sans"/>
      <w:sz w:val="16"/>
      <w:szCs w:val="20"/>
    </w:rPr>
  </w:style>
  <w:style w:type="character" w:customStyle="1" w:styleId="Heading7Char">
    <w:name w:val="Heading 7 Char"/>
    <w:basedOn w:val="DefaultParagraphFont"/>
    <w:link w:val="Heading7"/>
    <w:uiPriority w:val="9"/>
    <w:semiHidden/>
    <w:rsid w:val="00972CF4"/>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972CF4"/>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972CF4"/>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972CF4"/>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972CF4"/>
    <w:pPr>
      <w:spacing w:after="0" w:line="240" w:lineRule="auto"/>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972CF4"/>
    <w:pPr>
      <w:spacing w:before="240" w:after="240" w:line="500" w:lineRule="atLeast"/>
      <w:outlineLvl w:val="0"/>
    </w:pPr>
    <w:rPr>
      <w:rFonts w:ascii="Open Sans Extrabold" w:hAnsi="Open Sans Extrabold"/>
      <w:color w:val="1C4373" w:themeColor="background2" w:themeShade="BF"/>
      <w:sz w:val="42"/>
      <w:szCs w:val="20"/>
    </w:rPr>
  </w:style>
  <w:style w:type="paragraph" w:styleId="FootnoteText">
    <w:name w:val="footnote text"/>
    <w:basedOn w:val="Normal"/>
    <w:link w:val="FootnoteTextChar"/>
    <w:uiPriority w:val="99"/>
    <w:rsid w:val="00972CF4"/>
    <w:pPr>
      <w:spacing w:before="60" w:after="60" w:line="293" w:lineRule="auto"/>
      <w:contextualSpacing/>
    </w:pPr>
    <w:rPr>
      <w:sz w:val="18"/>
    </w:rPr>
  </w:style>
  <w:style w:type="paragraph" w:styleId="TOC1">
    <w:name w:val="toc 1"/>
    <w:basedOn w:val="Normal"/>
    <w:next w:val="BodyText"/>
    <w:autoRedefine/>
    <w:uiPriority w:val="39"/>
    <w:unhideWhenUsed/>
    <w:rsid w:val="00972CF4"/>
    <w:pPr>
      <w:tabs>
        <w:tab w:val="left" w:pos="567"/>
        <w:tab w:val="right" w:pos="7938"/>
      </w:tabs>
      <w:spacing w:after="100" w:line="293" w:lineRule="auto"/>
      <w:ind w:left="567" w:right="1701" w:hanging="567"/>
    </w:pPr>
    <w:rPr>
      <w:rFonts w:ascii="Open Sans Extrabold" w:hAnsi="Open Sans Extrabold"/>
      <w:color w:val="1C4373" w:themeColor="background2" w:themeShade="BF"/>
    </w:rPr>
  </w:style>
  <w:style w:type="character" w:customStyle="1" w:styleId="FootnoteTextChar">
    <w:name w:val="Footnote Text Char"/>
    <w:basedOn w:val="DefaultParagraphFont"/>
    <w:link w:val="FootnoteText"/>
    <w:uiPriority w:val="99"/>
    <w:rsid w:val="00972CF4"/>
    <w:rPr>
      <w:rFonts w:ascii="Open Sans" w:hAnsi="Open Sans"/>
      <w:sz w:val="18"/>
      <w:szCs w:val="20"/>
    </w:rPr>
  </w:style>
  <w:style w:type="character" w:styleId="FootnoteReference">
    <w:name w:val="footnote reference"/>
    <w:basedOn w:val="DefaultParagraphFont"/>
    <w:uiPriority w:val="99"/>
    <w:semiHidden/>
    <w:unhideWhenUsed/>
    <w:rsid w:val="00972CF4"/>
    <w:rPr>
      <w:vertAlign w:val="superscript"/>
    </w:rPr>
  </w:style>
  <w:style w:type="character" w:styleId="Hyperlink">
    <w:name w:val="Hyperlink"/>
    <w:basedOn w:val="DefaultParagraphFont"/>
    <w:uiPriority w:val="99"/>
    <w:unhideWhenUsed/>
    <w:rsid w:val="00972CF4"/>
    <w:rPr>
      <w:color w:val="000000" w:themeColor="hyperlink"/>
      <w:u w:val="single"/>
    </w:rPr>
  </w:style>
  <w:style w:type="character" w:styleId="HTMLVariable">
    <w:name w:val="HTML Variable"/>
    <w:basedOn w:val="DefaultParagraphFont"/>
    <w:uiPriority w:val="99"/>
    <w:unhideWhenUsed/>
    <w:rsid w:val="00972CF4"/>
    <w:rPr>
      <w:i/>
      <w:iCs/>
    </w:rPr>
  </w:style>
  <w:style w:type="paragraph" w:styleId="TOC2">
    <w:name w:val="toc 2"/>
    <w:basedOn w:val="Normal"/>
    <w:next w:val="Normal"/>
    <w:autoRedefine/>
    <w:uiPriority w:val="39"/>
    <w:unhideWhenUsed/>
    <w:rsid w:val="00972CF4"/>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972CF4"/>
    <w:pPr>
      <w:tabs>
        <w:tab w:val="right" w:pos="7938"/>
      </w:tabs>
      <w:spacing w:after="100" w:line="293" w:lineRule="auto"/>
      <w:ind w:right="1701"/>
    </w:pPr>
    <w:rPr>
      <w:rFonts w:asciiTheme="majorHAnsi" w:hAnsiTheme="majorHAnsi"/>
      <w:color w:val="1C4373" w:themeColor="background2" w:themeShade="BF"/>
    </w:rPr>
  </w:style>
  <w:style w:type="paragraph" w:customStyle="1" w:styleId="Subtitle2">
    <w:name w:val="Subtitle 2"/>
    <w:basedOn w:val="Normal"/>
    <w:link w:val="Subtitle2Char"/>
    <w:uiPriority w:val="39"/>
    <w:rsid w:val="00972CF4"/>
    <w:pPr>
      <w:spacing w:before="0" w:after="160" w:line="259" w:lineRule="auto"/>
    </w:pPr>
    <w:rPr>
      <w:color w:val="1C4373" w:themeColor="background2" w:themeShade="BF"/>
      <w:sz w:val="28"/>
      <w:szCs w:val="36"/>
    </w:rPr>
  </w:style>
  <w:style w:type="paragraph" w:customStyle="1" w:styleId="Copyrightpage-Heading2">
    <w:name w:val="Copyright page-Heading 2"/>
    <w:basedOn w:val="NoSpacing"/>
    <w:link w:val="Copyrightpage-Heading2Char"/>
    <w:uiPriority w:val="19"/>
    <w:rsid w:val="00972CF4"/>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972CF4"/>
    <w:rPr>
      <w:rFonts w:ascii="Open Sans" w:hAnsi="Open Sans"/>
      <w:color w:val="1C4373" w:themeColor="background2" w:themeShade="BF"/>
      <w:sz w:val="28"/>
      <w:szCs w:val="36"/>
    </w:rPr>
  </w:style>
  <w:style w:type="paragraph" w:customStyle="1" w:styleId="Copyrightpage-BodyText">
    <w:name w:val="Copyright page-Body Text"/>
    <w:basedOn w:val="Normal"/>
    <w:link w:val="Copyrightpage-BodyTextChar"/>
    <w:uiPriority w:val="19"/>
    <w:rsid w:val="00972CF4"/>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972CF4"/>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972CF4"/>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972CF4"/>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972CF4"/>
    <w:rPr>
      <w:rFonts w:ascii="Open Sans" w:hAnsi="Open Sans"/>
      <w:color w:val="000000" w:themeColor="text1"/>
      <w:sz w:val="16"/>
      <w:szCs w:val="20"/>
    </w:rPr>
  </w:style>
  <w:style w:type="paragraph" w:customStyle="1" w:styleId="Subtitle4">
    <w:name w:val="Subtitle 4"/>
    <w:basedOn w:val="Copyrightpage-Heading"/>
    <w:link w:val="Subtitle4Char"/>
    <w:uiPriority w:val="39"/>
    <w:rsid w:val="00F83C5C"/>
    <w:pPr>
      <w:spacing w:after="40"/>
    </w:pPr>
    <w:rPr>
      <w:b/>
      <w:sz w:val="16"/>
    </w:rPr>
  </w:style>
  <w:style w:type="character" w:customStyle="1" w:styleId="Copyrightpage-HeadingChar">
    <w:name w:val="Copyright page-Heading Char"/>
    <w:basedOn w:val="Subtitle2Char"/>
    <w:link w:val="Copyrightpage-Heading"/>
    <w:uiPriority w:val="19"/>
    <w:rsid w:val="00972CF4"/>
    <w:rPr>
      <w:rFonts w:ascii="Open Sans Semibold" w:hAnsi="Open Sans Semibold"/>
      <w:color w:val="1C4373" w:themeColor="background2" w:themeShade="BF"/>
      <w:spacing w:val="4"/>
      <w:sz w:val="19"/>
      <w:szCs w:val="18"/>
    </w:rPr>
  </w:style>
  <w:style w:type="paragraph" w:customStyle="1" w:styleId="Heading1-noTOC">
    <w:name w:val="Heading 1-no TOC"/>
    <w:next w:val="BodyText"/>
    <w:uiPriority w:val="9"/>
    <w:qFormat/>
    <w:rsid w:val="00972CF4"/>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character" w:customStyle="1" w:styleId="Subtitle4Char">
    <w:name w:val="Subtitle 4 Char"/>
    <w:basedOn w:val="Copyrightpage-HeadingChar"/>
    <w:link w:val="Subtitle4"/>
    <w:uiPriority w:val="39"/>
    <w:rsid w:val="00F83C5C"/>
    <w:rPr>
      <w:rFonts w:asciiTheme="majorHAnsi" w:hAnsiTheme="majorHAnsi"/>
      <w:b/>
      <w:color w:val="FFFFFF" w:themeColor="background1"/>
      <w:spacing w:val="4"/>
      <w:sz w:val="16"/>
      <w:szCs w:val="18"/>
    </w:rPr>
  </w:style>
  <w:style w:type="paragraph" w:customStyle="1" w:styleId="Heading2-noTOC">
    <w:name w:val="Heading 2-no TOC"/>
    <w:next w:val="BodyText"/>
    <w:uiPriority w:val="9"/>
    <w:unhideWhenUsed/>
    <w:qFormat/>
    <w:rsid w:val="00972CF4"/>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styleId="TOC4">
    <w:name w:val="toc 4"/>
    <w:basedOn w:val="Normal"/>
    <w:next w:val="Normal"/>
    <w:autoRedefine/>
    <w:uiPriority w:val="39"/>
    <w:unhideWhenUsed/>
    <w:rsid w:val="00972CF4"/>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972CF4"/>
    <w:pPr>
      <w:spacing w:line="360" w:lineRule="auto"/>
      <w:jc w:val="right"/>
    </w:pPr>
    <w:rPr>
      <w:sz w:val="16"/>
    </w:rPr>
  </w:style>
  <w:style w:type="paragraph" w:customStyle="1" w:styleId="Letterlogo">
    <w:name w:val="Letter logo"/>
    <w:basedOn w:val="LetterRight"/>
    <w:uiPriority w:val="99"/>
    <w:rsid w:val="00972CF4"/>
    <w:pPr>
      <w:spacing w:after="320"/>
    </w:pPr>
  </w:style>
  <w:style w:type="character" w:customStyle="1" w:styleId="LetterRightChar">
    <w:name w:val="Letter Right Char"/>
    <w:basedOn w:val="DefaultParagraphFont"/>
    <w:link w:val="LetterRight"/>
    <w:uiPriority w:val="99"/>
    <w:rsid w:val="00972CF4"/>
    <w:rPr>
      <w:rFonts w:ascii="Open Sans" w:hAnsi="Open Sans"/>
      <w:sz w:val="16"/>
      <w:szCs w:val="20"/>
    </w:rPr>
  </w:style>
  <w:style w:type="character" w:styleId="UnresolvedMention">
    <w:name w:val="Unresolved Mention"/>
    <w:basedOn w:val="DefaultParagraphFont"/>
    <w:uiPriority w:val="99"/>
    <w:semiHidden/>
    <w:unhideWhenUsed/>
    <w:rsid w:val="00972CF4"/>
    <w:rPr>
      <w:color w:val="605E5C"/>
      <w:shd w:val="clear" w:color="auto" w:fill="E1DFDD"/>
    </w:rPr>
  </w:style>
  <w:style w:type="paragraph" w:customStyle="1" w:styleId="LetterRight-NoSpace">
    <w:name w:val="Letter Right-No Space"/>
    <w:basedOn w:val="LetterRight"/>
    <w:uiPriority w:val="99"/>
    <w:rsid w:val="00972CF4"/>
    <w:pPr>
      <w:spacing w:after="0"/>
    </w:pPr>
  </w:style>
  <w:style w:type="table" w:customStyle="1" w:styleId="Blank">
    <w:name w:val="Blank"/>
    <w:basedOn w:val="TableNormal"/>
    <w:uiPriority w:val="99"/>
    <w:rsid w:val="00972CF4"/>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972CF4"/>
    <w:pPr>
      <w:numPr>
        <w:numId w:val="11"/>
      </w:numPr>
      <w:contextualSpacing/>
    </w:pPr>
  </w:style>
  <w:style w:type="paragraph" w:customStyle="1" w:styleId="Coverdate">
    <w:name w:val="Cover date"/>
    <w:basedOn w:val="Normal"/>
    <w:uiPriority w:val="29"/>
    <w:rsid w:val="00972CF4"/>
    <w:pPr>
      <w:framePr w:wrap="around" w:vAnchor="page" w:hAnchor="margin" w:xAlign="right" w:y="1135" w:anchorLock="1"/>
      <w:spacing w:before="0" w:after="0"/>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972CF4"/>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972CF4"/>
    <w:rPr>
      <w:color w:val="FFFFFF" w:themeColor="background1"/>
    </w:rPr>
  </w:style>
  <w:style w:type="paragraph" w:customStyle="1" w:styleId="Copyrightpage-Keylinenotext">
    <w:name w:val="Copyright page-Keyline (no text)"/>
    <w:basedOn w:val="Copyrightpage-Heading2"/>
    <w:uiPriority w:val="19"/>
    <w:rsid w:val="00972CF4"/>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972CF4"/>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972CF4"/>
    <w:pPr>
      <w:spacing w:before="46" w:after="46"/>
      <w:ind w:left="57" w:right="108"/>
    </w:pPr>
    <w:rPr>
      <w:b/>
      <w:sz w:val="18"/>
    </w:rPr>
  </w:style>
  <w:style w:type="paragraph" w:customStyle="1" w:styleId="CoverImage">
    <w:name w:val="Cover Image"/>
    <w:basedOn w:val="Normal"/>
    <w:uiPriority w:val="29"/>
    <w:rsid w:val="00972CF4"/>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972CF4"/>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972CF4"/>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972CF4"/>
    <w:pPr>
      <w:spacing w:before="60"/>
      <w:ind w:left="113" w:right="851"/>
    </w:pPr>
    <w:rPr>
      <w:color w:val="58585B"/>
    </w:rPr>
  </w:style>
  <w:style w:type="numbering" w:customStyle="1" w:styleId="TOCList">
    <w:name w:val="TOC List"/>
    <w:uiPriority w:val="99"/>
    <w:rsid w:val="00972CF4"/>
    <w:pPr>
      <w:numPr>
        <w:numId w:val="17"/>
      </w:numPr>
    </w:pPr>
  </w:style>
  <w:style w:type="paragraph" w:customStyle="1" w:styleId="Heading1-Section-fullpage">
    <w:name w:val="Heading 1-Section-full page"/>
    <w:basedOn w:val="Heading1-nobackground"/>
    <w:uiPriority w:val="9"/>
    <w:qFormat/>
    <w:rsid w:val="00972CF4"/>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972CF4"/>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972CF4"/>
    <w:pPr>
      <w:keepNext/>
      <w:spacing w:before="240"/>
    </w:pPr>
  </w:style>
  <w:style w:type="paragraph" w:customStyle="1" w:styleId="Source">
    <w:name w:val="Source"/>
    <w:basedOn w:val="Normal"/>
    <w:uiPriority w:val="9"/>
    <w:qFormat/>
    <w:rsid w:val="003C4F21"/>
    <w:pPr>
      <w:spacing w:before="80" w:after="360" w:line="216" w:lineRule="atLeast"/>
    </w:pPr>
    <w:rPr>
      <w:sz w:val="18"/>
    </w:rPr>
  </w:style>
  <w:style w:type="paragraph" w:customStyle="1" w:styleId="Note">
    <w:name w:val="Note"/>
    <w:basedOn w:val="Source"/>
    <w:uiPriority w:val="9"/>
    <w:qFormat/>
    <w:rsid w:val="00972CF4"/>
    <w:pPr>
      <w:spacing w:after="20"/>
    </w:pPr>
  </w:style>
  <w:style w:type="numbering" w:customStyle="1" w:styleId="Figure">
    <w:name w:val="Figure"/>
    <w:uiPriority w:val="99"/>
    <w:rsid w:val="00972CF4"/>
    <w:pPr>
      <w:numPr>
        <w:numId w:val="6"/>
      </w:numPr>
    </w:pPr>
  </w:style>
  <w:style w:type="table" w:customStyle="1" w:styleId="Boxtable">
    <w:name w:val="Box table"/>
    <w:basedOn w:val="Texttable-Paleblue"/>
    <w:uiPriority w:val="99"/>
    <w:rsid w:val="00972CF4"/>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972CF4"/>
    <w:pPr>
      <w:numPr>
        <w:numId w:val="4"/>
      </w:numPr>
    </w:pPr>
  </w:style>
  <w:style w:type="paragraph" w:customStyle="1" w:styleId="BoxHeading2">
    <w:name w:val="Box Heading 2"/>
    <w:basedOn w:val="Normal"/>
    <w:next w:val="BodyText"/>
    <w:uiPriority w:val="4"/>
    <w:qFormat/>
    <w:rsid w:val="00972CF4"/>
    <w:rPr>
      <w:b/>
    </w:rPr>
  </w:style>
  <w:style w:type="table" w:customStyle="1" w:styleId="ProductivityCommissionTable2-Dark">
    <w:name w:val="Productivity Commission Table 2 - Dark"/>
    <w:basedOn w:val="ProductivityCommissionTable2"/>
    <w:uiPriority w:val="99"/>
    <w:rsid w:val="00972CF4"/>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972CF4"/>
    <w:rPr>
      <w:i/>
    </w:rPr>
  </w:style>
  <w:style w:type="paragraph" w:customStyle="1" w:styleId="TableHeading">
    <w:name w:val="Table Heading"/>
    <w:basedOn w:val="NoSpacing"/>
    <w:link w:val="TableHeadingChar"/>
    <w:uiPriority w:val="4"/>
    <w:qFormat/>
    <w:rsid w:val="00972CF4"/>
    <w:pPr>
      <w:spacing w:before="46" w:after="46"/>
      <w:ind w:left="57" w:right="108"/>
    </w:pPr>
    <w:rPr>
      <w:b/>
      <w:color w:val="132D4D" w:themeColor="background2" w:themeShade="80"/>
      <w:sz w:val="18"/>
    </w:rPr>
  </w:style>
  <w:style w:type="paragraph" w:customStyle="1" w:styleId="BodyText-Blue">
    <w:name w:val="Body Text-Blue"/>
    <w:basedOn w:val="BodyText"/>
    <w:link w:val="BodyText-BlueChar"/>
    <w:semiHidden/>
    <w:qFormat/>
    <w:rsid w:val="00972CF4"/>
    <w:rPr>
      <w:color w:val="265A9A" w:themeColor="background2"/>
    </w:rPr>
  </w:style>
  <w:style w:type="table" w:customStyle="1" w:styleId="Texttable-Keyline">
    <w:name w:val="Text table-Keyline"/>
    <w:basedOn w:val="Texttable-Paleblue"/>
    <w:uiPriority w:val="99"/>
    <w:rsid w:val="00972CF4"/>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972CF4"/>
    <w:pPr>
      <w:jc w:val="right"/>
    </w:pPr>
  </w:style>
  <w:style w:type="table" w:customStyle="1" w:styleId="CopyrightPage">
    <w:name w:val="Copyright Page"/>
    <w:basedOn w:val="OverviewPageBannerTableStyle"/>
    <w:uiPriority w:val="99"/>
    <w:rsid w:val="00972CF4"/>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972CF4"/>
    <w:pPr>
      <w:spacing w:line="312" w:lineRule="atLeast"/>
    </w:pPr>
  </w:style>
  <w:style w:type="paragraph" w:styleId="BodyText">
    <w:name w:val="Body Text"/>
    <w:basedOn w:val="Normal"/>
    <w:link w:val="BodyTextChar"/>
    <w:qFormat/>
    <w:rsid w:val="00972CF4"/>
  </w:style>
  <w:style w:type="character" w:customStyle="1" w:styleId="BodyTextChar">
    <w:name w:val="Body Text Char"/>
    <w:basedOn w:val="DefaultParagraphFont"/>
    <w:link w:val="BodyText"/>
    <w:rsid w:val="00972CF4"/>
    <w:rPr>
      <w:rFonts w:ascii="Open Sans" w:hAnsi="Open Sans"/>
      <w:sz w:val="20"/>
      <w:szCs w:val="20"/>
    </w:rPr>
  </w:style>
  <w:style w:type="paragraph" w:styleId="List4">
    <w:name w:val="List 4"/>
    <w:basedOn w:val="Normal"/>
    <w:uiPriority w:val="99"/>
    <w:semiHidden/>
    <w:rsid w:val="00972CF4"/>
    <w:pPr>
      <w:numPr>
        <w:ilvl w:val="3"/>
        <w:numId w:val="9"/>
      </w:numPr>
      <w:contextualSpacing/>
    </w:pPr>
  </w:style>
  <w:style w:type="paragraph" w:styleId="List3">
    <w:name w:val="List 3"/>
    <w:basedOn w:val="Normal"/>
    <w:uiPriority w:val="99"/>
    <w:semiHidden/>
    <w:rsid w:val="00972CF4"/>
    <w:pPr>
      <w:numPr>
        <w:ilvl w:val="2"/>
        <w:numId w:val="9"/>
      </w:numPr>
      <w:contextualSpacing/>
    </w:pPr>
  </w:style>
  <w:style w:type="paragraph" w:customStyle="1" w:styleId="Heading1-nonumber">
    <w:name w:val="Heading 1-no number"/>
    <w:basedOn w:val="Heading1"/>
    <w:next w:val="BodyText"/>
    <w:uiPriority w:val="9"/>
    <w:qFormat/>
    <w:rsid w:val="00972CF4"/>
    <w:pPr>
      <w:numPr>
        <w:numId w:val="0"/>
      </w:numPr>
      <w:ind w:left="567"/>
    </w:pPr>
  </w:style>
  <w:style w:type="paragraph" w:customStyle="1" w:styleId="ListAlpha1">
    <w:name w:val="List Alpha 1"/>
    <w:basedOn w:val="Normal"/>
    <w:uiPriority w:val="3"/>
    <w:qFormat/>
    <w:rsid w:val="00972CF4"/>
    <w:pPr>
      <w:numPr>
        <w:numId w:val="10"/>
      </w:numPr>
      <w:spacing w:before="60"/>
      <w:contextualSpacing/>
    </w:pPr>
  </w:style>
  <w:style w:type="paragraph" w:customStyle="1" w:styleId="ListAlpha2">
    <w:name w:val="List Alpha 2"/>
    <w:basedOn w:val="ListAlpha1"/>
    <w:uiPriority w:val="3"/>
    <w:qFormat/>
    <w:rsid w:val="00972CF4"/>
    <w:pPr>
      <w:numPr>
        <w:ilvl w:val="1"/>
      </w:numPr>
    </w:pPr>
  </w:style>
  <w:style w:type="paragraph" w:customStyle="1" w:styleId="ListAlpha3">
    <w:name w:val="List Alpha 3"/>
    <w:basedOn w:val="ListAlpha2"/>
    <w:uiPriority w:val="3"/>
    <w:qFormat/>
    <w:rsid w:val="00972CF4"/>
    <w:pPr>
      <w:numPr>
        <w:ilvl w:val="2"/>
      </w:numPr>
    </w:pPr>
  </w:style>
  <w:style w:type="paragraph" w:customStyle="1" w:styleId="ListAlpha4">
    <w:name w:val="List Alpha 4"/>
    <w:basedOn w:val="ListAlpha3"/>
    <w:uiPriority w:val="3"/>
    <w:semiHidden/>
    <w:qFormat/>
    <w:rsid w:val="00972CF4"/>
    <w:pPr>
      <w:numPr>
        <w:ilvl w:val="3"/>
      </w:numPr>
    </w:pPr>
  </w:style>
  <w:style w:type="numbering" w:customStyle="1" w:styleId="Alphalist">
    <w:name w:val="Alpha list"/>
    <w:uiPriority w:val="99"/>
    <w:rsid w:val="00972CF4"/>
    <w:pPr>
      <w:numPr>
        <w:numId w:val="1"/>
      </w:numPr>
    </w:pPr>
  </w:style>
  <w:style w:type="paragraph" w:customStyle="1" w:styleId="KeyPoints-Bold">
    <w:name w:val="Key Points-Bold"/>
    <w:basedOn w:val="Normal"/>
    <w:uiPriority w:val="10"/>
    <w:qFormat/>
    <w:rsid w:val="00972CF4"/>
    <w:pPr>
      <w:spacing w:before="40" w:after="60" w:line="274" w:lineRule="atLeast"/>
    </w:pPr>
    <w:rPr>
      <w:b/>
      <w:sz w:val="18"/>
    </w:rPr>
  </w:style>
  <w:style w:type="paragraph" w:customStyle="1" w:styleId="Copyrightpage-BodyBold">
    <w:name w:val="Copyright page-Body Bold"/>
    <w:basedOn w:val="Copyrightpage-BodyText"/>
    <w:uiPriority w:val="19"/>
    <w:rsid w:val="00972CF4"/>
    <w:rPr>
      <w:b/>
    </w:rPr>
  </w:style>
  <w:style w:type="paragraph" w:customStyle="1" w:styleId="KeyPoints-Bullet">
    <w:name w:val="Key Points-Bullet"/>
    <w:basedOn w:val="ListBullet"/>
    <w:uiPriority w:val="10"/>
    <w:qFormat/>
    <w:rsid w:val="00972CF4"/>
    <w:pPr>
      <w:spacing w:after="60" w:line="274" w:lineRule="atLeast"/>
    </w:pPr>
    <w:rPr>
      <w:sz w:val="18"/>
    </w:rPr>
  </w:style>
  <w:style w:type="paragraph" w:customStyle="1" w:styleId="BodyText-Grey">
    <w:name w:val="Body Text-Grey"/>
    <w:basedOn w:val="BodyText"/>
    <w:link w:val="BodyText-GreyChar"/>
    <w:semiHidden/>
    <w:qFormat/>
    <w:rsid w:val="00972CF4"/>
    <w:rPr>
      <w:color w:val="58585B"/>
    </w:rPr>
  </w:style>
  <w:style w:type="character" w:customStyle="1" w:styleId="BodyText-GreyChar">
    <w:name w:val="Body Text-Grey Char"/>
    <w:basedOn w:val="BodyTextChar"/>
    <w:link w:val="BodyText-Grey"/>
    <w:semiHidden/>
    <w:rsid w:val="00972CF4"/>
    <w:rPr>
      <w:rFonts w:ascii="Open Sans" w:hAnsi="Open Sans"/>
      <w:color w:val="58585B"/>
      <w:sz w:val="20"/>
      <w:szCs w:val="20"/>
    </w:rPr>
  </w:style>
  <w:style w:type="paragraph" w:styleId="BalloonText">
    <w:name w:val="Balloon Text"/>
    <w:basedOn w:val="Normal"/>
    <w:link w:val="BalloonTextChar"/>
    <w:uiPriority w:val="99"/>
    <w:semiHidden/>
    <w:unhideWhenUsed/>
    <w:rsid w:val="00972C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CF4"/>
    <w:rPr>
      <w:rFonts w:ascii="Segoe UI" w:hAnsi="Segoe UI" w:cs="Segoe UI"/>
      <w:sz w:val="18"/>
      <w:szCs w:val="18"/>
    </w:rPr>
  </w:style>
  <w:style w:type="character" w:styleId="CommentReference">
    <w:name w:val="annotation reference"/>
    <w:basedOn w:val="DefaultParagraphFont"/>
    <w:uiPriority w:val="99"/>
    <w:semiHidden/>
    <w:unhideWhenUsed/>
    <w:rsid w:val="00972CF4"/>
    <w:rPr>
      <w:sz w:val="16"/>
      <w:szCs w:val="16"/>
    </w:rPr>
  </w:style>
  <w:style w:type="paragraph" w:styleId="CommentText">
    <w:name w:val="annotation text"/>
    <w:basedOn w:val="Normal"/>
    <w:link w:val="CommentTextChar"/>
    <w:uiPriority w:val="99"/>
    <w:unhideWhenUsed/>
    <w:rsid w:val="00972CF4"/>
    <w:pPr>
      <w:spacing w:line="240" w:lineRule="auto"/>
    </w:pPr>
  </w:style>
  <w:style w:type="character" w:customStyle="1" w:styleId="CommentTextChar">
    <w:name w:val="Comment Text Char"/>
    <w:basedOn w:val="DefaultParagraphFont"/>
    <w:link w:val="CommentText"/>
    <w:uiPriority w:val="99"/>
    <w:rsid w:val="00972CF4"/>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972CF4"/>
    <w:rPr>
      <w:b/>
      <w:bCs/>
    </w:rPr>
  </w:style>
  <w:style w:type="character" w:customStyle="1" w:styleId="CommentSubjectChar">
    <w:name w:val="Comment Subject Char"/>
    <w:basedOn w:val="CommentTextChar"/>
    <w:link w:val="CommentSubject"/>
    <w:uiPriority w:val="99"/>
    <w:semiHidden/>
    <w:rsid w:val="00972CF4"/>
    <w:rPr>
      <w:rFonts w:ascii="Open Sans" w:hAnsi="Open Sans"/>
      <w:b/>
      <w:bCs/>
      <w:sz w:val="20"/>
      <w:szCs w:val="20"/>
    </w:rPr>
  </w:style>
  <w:style w:type="character" w:customStyle="1" w:styleId="ColourBlue">
    <w:name w:val="Colour Blue"/>
    <w:basedOn w:val="DefaultParagraphFont"/>
    <w:uiPriority w:val="22"/>
    <w:qFormat/>
    <w:rsid w:val="00972CF4"/>
    <w:rPr>
      <w:color w:val="2B9AC2" w:themeColor="text2"/>
    </w:rPr>
  </w:style>
  <w:style w:type="character" w:customStyle="1" w:styleId="ColourDarkBlue">
    <w:name w:val="Colour Dark Blue"/>
    <w:basedOn w:val="ColourBlue"/>
    <w:uiPriority w:val="22"/>
    <w:qFormat/>
    <w:rsid w:val="00972CF4"/>
    <w:rPr>
      <w:color w:val="265A9A" w:themeColor="background2"/>
    </w:rPr>
  </w:style>
  <w:style w:type="paragraph" w:customStyle="1" w:styleId="BodyText-Beforebullet">
    <w:name w:val="Body Text-Before bullet"/>
    <w:basedOn w:val="BodyText"/>
    <w:link w:val="BodyText-BeforebulletChar"/>
    <w:semiHidden/>
    <w:unhideWhenUsed/>
    <w:rsid w:val="00972CF4"/>
    <w:pPr>
      <w:spacing w:after="20"/>
    </w:pPr>
  </w:style>
  <w:style w:type="paragraph" w:customStyle="1" w:styleId="PullQuote">
    <w:name w:val="Pull Quote"/>
    <w:basedOn w:val="BodyText"/>
    <w:next w:val="BodyText"/>
    <w:uiPriority w:val="10"/>
    <w:qFormat/>
    <w:rsid w:val="00972CF4"/>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972CF4"/>
    <w:rPr>
      <w:rFonts w:ascii="Open Sans" w:hAnsi="Open Sans"/>
      <w:sz w:val="20"/>
      <w:szCs w:val="20"/>
    </w:rPr>
  </w:style>
  <w:style w:type="paragraph" w:customStyle="1" w:styleId="TableBody">
    <w:name w:val="Table Body"/>
    <w:basedOn w:val="NoSpacing"/>
    <w:uiPriority w:val="4"/>
    <w:qFormat/>
    <w:rsid w:val="00972CF4"/>
    <w:pPr>
      <w:spacing w:before="46" w:after="46"/>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972CF4"/>
    <w:pPr>
      <w:spacing w:before="60"/>
      <w:jc w:val="right"/>
    </w:pPr>
  </w:style>
  <w:style w:type="paragraph" w:customStyle="1" w:styleId="FigureTableSubheading">
    <w:name w:val="Figure/Table Subheading"/>
    <w:basedOn w:val="FigureTableHeading"/>
    <w:uiPriority w:val="4"/>
    <w:qFormat/>
    <w:rsid w:val="00972CF4"/>
    <w:pPr>
      <w:spacing w:before="40"/>
    </w:pPr>
    <w:rPr>
      <w:color w:val="58585B"/>
    </w:rPr>
  </w:style>
  <w:style w:type="table" w:customStyle="1" w:styleId="TextTable-Grey">
    <w:name w:val="Text Table-Grey"/>
    <w:basedOn w:val="Texttable-Paleblue"/>
    <w:uiPriority w:val="99"/>
    <w:rsid w:val="00972CF4"/>
    <w:rPr>
      <w:color w:val="265A9A" w:themeColor="background2"/>
    </w:rPr>
    <w:tblPr/>
    <w:tcPr>
      <w:shd w:val="clear" w:color="auto" w:fill="F2F2F2"/>
    </w:tcPr>
  </w:style>
  <w:style w:type="character" w:customStyle="1" w:styleId="BodyText-BlueChar">
    <w:name w:val="Body Text-Blue Char"/>
    <w:basedOn w:val="BodyTextChar"/>
    <w:link w:val="BodyText-Blue"/>
    <w:semiHidden/>
    <w:rsid w:val="00972CF4"/>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972CF4"/>
  </w:style>
  <w:style w:type="paragraph" w:customStyle="1" w:styleId="Heading1-nobackground">
    <w:name w:val="Heading 1-no background"/>
    <w:basedOn w:val="Heading1"/>
    <w:next w:val="BodyText"/>
    <w:uiPriority w:val="9"/>
    <w:qFormat/>
    <w:rsid w:val="00972CF4"/>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character" w:customStyle="1" w:styleId="QuoteChar">
    <w:name w:val="Quote Char"/>
    <w:basedOn w:val="DefaultParagraphFont"/>
    <w:link w:val="Quote"/>
    <w:uiPriority w:val="1"/>
    <w:rsid w:val="00972CF4"/>
    <w:rPr>
      <w:rFonts w:ascii="Open Sans" w:hAnsi="Open Sans"/>
      <w:color w:val="58585B"/>
      <w:sz w:val="20"/>
      <w:szCs w:val="20"/>
    </w:rPr>
  </w:style>
  <w:style w:type="paragraph" w:customStyle="1" w:styleId="TableHeading-numbered">
    <w:name w:val="Table Heading-numbered"/>
    <w:basedOn w:val="Normal"/>
    <w:semiHidden/>
    <w:qFormat/>
    <w:rsid w:val="00972CF4"/>
    <w:pPr>
      <w:numPr>
        <w:numId w:val="16"/>
      </w:numPr>
      <w:spacing w:before="60"/>
      <w:contextualSpacing/>
    </w:pPr>
    <w:rPr>
      <w:b/>
      <w:color w:val="265A9A" w:themeColor="background2"/>
    </w:rPr>
  </w:style>
  <w:style w:type="numbering" w:customStyle="1" w:styleId="TableList">
    <w:name w:val="TableList"/>
    <w:uiPriority w:val="99"/>
    <w:rsid w:val="00972CF4"/>
    <w:pPr>
      <w:numPr>
        <w:numId w:val="16"/>
      </w:numPr>
    </w:pPr>
  </w:style>
  <w:style w:type="paragraph" w:customStyle="1" w:styleId="Footer-right">
    <w:name w:val="Footer-right"/>
    <w:basedOn w:val="Footer"/>
    <w:uiPriority w:val="11"/>
    <w:rsid w:val="00972CF4"/>
    <w:pPr>
      <w:jc w:val="right"/>
    </w:pPr>
    <w:rPr>
      <w:szCs w:val="24"/>
    </w:rPr>
  </w:style>
  <w:style w:type="paragraph" w:customStyle="1" w:styleId="Heading2-nonumber">
    <w:name w:val="Heading 2-no number"/>
    <w:basedOn w:val="Heading2"/>
    <w:uiPriority w:val="9"/>
    <w:qFormat/>
    <w:rsid w:val="00972CF4"/>
    <w:pPr>
      <w:numPr>
        <w:ilvl w:val="0"/>
        <w:numId w:val="0"/>
      </w:numPr>
    </w:pPr>
  </w:style>
  <w:style w:type="paragraph" w:customStyle="1" w:styleId="Heading-Appendix">
    <w:name w:val="Heading-Appendix"/>
    <w:basedOn w:val="Heading1-nonumber"/>
    <w:next w:val="BodyText"/>
    <w:uiPriority w:val="9"/>
    <w:qFormat/>
    <w:rsid w:val="00972CF4"/>
    <w:pPr>
      <w:numPr>
        <w:numId w:val="7"/>
      </w:numPr>
    </w:pPr>
  </w:style>
  <w:style w:type="numbering" w:customStyle="1" w:styleId="AppendixHeading">
    <w:name w:val="AppendixHeading"/>
    <w:uiPriority w:val="99"/>
    <w:rsid w:val="00972CF4"/>
    <w:pPr>
      <w:numPr>
        <w:numId w:val="3"/>
      </w:numPr>
    </w:pPr>
  </w:style>
  <w:style w:type="paragraph" w:customStyle="1" w:styleId="DraftingNote">
    <w:name w:val="Drafting Note"/>
    <w:basedOn w:val="BodyText"/>
    <w:link w:val="DraftingNoteChar"/>
    <w:qFormat/>
    <w:rsid w:val="00972CF4"/>
    <w:pPr>
      <w:contextualSpacing/>
    </w:pPr>
    <w:rPr>
      <w:color w:val="A22D2B"/>
      <w:sz w:val="24"/>
      <w:u w:val="dotted"/>
    </w:rPr>
  </w:style>
  <w:style w:type="character" w:customStyle="1" w:styleId="DraftingNoteChar">
    <w:name w:val="Drafting Note Char"/>
    <w:basedOn w:val="BodyTextChar"/>
    <w:link w:val="DraftingNote"/>
    <w:rsid w:val="00972CF4"/>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972CF4"/>
    <w:pPr>
      <w:spacing w:after="0"/>
    </w:pPr>
  </w:style>
  <w:style w:type="character" w:styleId="Emphasis">
    <w:name w:val="Emphasis"/>
    <w:basedOn w:val="DefaultParagraphFont"/>
    <w:uiPriority w:val="22"/>
    <w:qFormat/>
    <w:rsid w:val="00972CF4"/>
    <w:rPr>
      <w:i/>
      <w:iCs/>
    </w:rPr>
  </w:style>
  <w:style w:type="paragraph" w:customStyle="1" w:styleId="Reference">
    <w:name w:val="Reference"/>
    <w:basedOn w:val="BodyText"/>
    <w:qFormat/>
    <w:rsid w:val="00972CF4"/>
    <w:pPr>
      <w:spacing w:before="0" w:after="60" w:line="200" w:lineRule="exact"/>
    </w:pPr>
    <w:rPr>
      <w:sz w:val="16"/>
    </w:rPr>
  </w:style>
  <w:style w:type="paragraph" w:customStyle="1" w:styleId="Keypoints-heading">
    <w:name w:val="Key points-heading"/>
    <w:basedOn w:val="Heading3"/>
    <w:uiPriority w:val="10"/>
    <w:qFormat/>
    <w:rsid w:val="00972CF4"/>
    <w:rPr>
      <w:color w:val="auto"/>
    </w:rPr>
  </w:style>
  <w:style w:type="paragraph" w:customStyle="1" w:styleId="Heading2-Appendix">
    <w:name w:val="Heading 2-Appendix"/>
    <w:basedOn w:val="Heading2-nonumber"/>
    <w:next w:val="Normal"/>
    <w:uiPriority w:val="10"/>
    <w:qFormat/>
    <w:rsid w:val="00972CF4"/>
    <w:pPr>
      <w:numPr>
        <w:ilvl w:val="1"/>
        <w:numId w:val="7"/>
      </w:numPr>
    </w:pPr>
  </w:style>
  <w:style w:type="numbering" w:customStyle="1" w:styleId="AppendixHeadingList">
    <w:name w:val="Appendix Heading List"/>
    <w:uiPriority w:val="99"/>
    <w:rsid w:val="00972CF4"/>
    <w:pPr>
      <w:numPr>
        <w:numId w:val="2"/>
      </w:numPr>
    </w:pPr>
  </w:style>
  <w:style w:type="paragraph" w:customStyle="1" w:styleId="Space">
    <w:name w:val="Space"/>
    <w:basedOn w:val="BodyText"/>
    <w:uiPriority w:val="1"/>
    <w:rsid w:val="00972CF4"/>
    <w:pPr>
      <w:spacing w:before="0" w:after="0"/>
    </w:pPr>
  </w:style>
  <w:style w:type="paragraph" w:customStyle="1" w:styleId="QuoteBullet">
    <w:name w:val="Quote Bullet"/>
    <w:basedOn w:val="ListBullet"/>
    <w:link w:val="QuoteBulletChar"/>
    <w:uiPriority w:val="1"/>
    <w:qFormat/>
    <w:rsid w:val="00972CF4"/>
    <w:pPr>
      <w:spacing w:before="60"/>
      <w:ind w:left="340" w:right="851"/>
    </w:pPr>
    <w:rPr>
      <w:color w:val="58585B"/>
    </w:rPr>
  </w:style>
  <w:style w:type="character" w:customStyle="1" w:styleId="ListBulletChar">
    <w:name w:val="List Bullet Char"/>
    <w:basedOn w:val="DefaultParagraphFont"/>
    <w:link w:val="ListBullet"/>
    <w:uiPriority w:val="1"/>
    <w:rsid w:val="00972CF4"/>
    <w:rPr>
      <w:rFonts w:ascii="Open Sans" w:hAnsi="Open Sans"/>
      <w:sz w:val="20"/>
      <w:szCs w:val="20"/>
    </w:rPr>
  </w:style>
  <w:style w:type="character" w:customStyle="1" w:styleId="QuoteBulletChar">
    <w:name w:val="Quote Bullet Char"/>
    <w:basedOn w:val="ListBulletChar"/>
    <w:link w:val="QuoteBullet"/>
    <w:uiPriority w:val="1"/>
    <w:rsid w:val="00972CF4"/>
    <w:rPr>
      <w:rFonts w:ascii="Open Sans" w:hAnsi="Open Sans"/>
      <w:color w:val="58585B"/>
      <w:sz w:val="20"/>
      <w:szCs w:val="20"/>
    </w:rPr>
  </w:style>
  <w:style w:type="paragraph" w:customStyle="1" w:styleId="Figurecharttitle">
    <w:name w:val="Figure chart title"/>
    <w:basedOn w:val="BodyText"/>
    <w:uiPriority w:val="10"/>
    <w:qFormat/>
    <w:rsid w:val="00972CF4"/>
    <w:pPr>
      <w:spacing w:before="0" w:after="0"/>
      <w:ind w:left="284" w:hanging="284"/>
    </w:pPr>
    <w:rPr>
      <w:sz w:val="18"/>
      <w:szCs w:val="18"/>
    </w:rPr>
  </w:style>
  <w:style w:type="paragraph" w:customStyle="1" w:styleId="TableListBullet">
    <w:name w:val="Table List Bullet"/>
    <w:basedOn w:val="ListBullet"/>
    <w:uiPriority w:val="10"/>
    <w:qFormat/>
    <w:rsid w:val="00972CF4"/>
    <w:pPr>
      <w:spacing w:before="46" w:after="46"/>
      <w:ind w:left="170" w:hanging="113"/>
    </w:pPr>
    <w:rPr>
      <w:sz w:val="18"/>
    </w:rPr>
  </w:style>
  <w:style w:type="paragraph" w:customStyle="1" w:styleId="PullQuoteNoSpacing">
    <w:name w:val="Pull Quote No Spacing"/>
    <w:basedOn w:val="NoSpacing"/>
    <w:link w:val="PullQuoteNoSpacingChar"/>
    <w:uiPriority w:val="10"/>
    <w:qFormat/>
    <w:rsid w:val="00972CF4"/>
    <w:pPr>
      <w:spacing w:line="160" w:lineRule="exact"/>
    </w:pPr>
  </w:style>
  <w:style w:type="character" w:customStyle="1" w:styleId="PullQuoteNoSpacingChar">
    <w:name w:val="Pull Quote No Spacing Char"/>
    <w:basedOn w:val="NoSpacingChar"/>
    <w:link w:val="PullQuoteNoSpacing"/>
    <w:uiPriority w:val="10"/>
    <w:rsid w:val="00972CF4"/>
    <w:rPr>
      <w:rFonts w:ascii="Open Sans" w:hAnsi="Open Sans"/>
      <w:sz w:val="20"/>
      <w:szCs w:val="20"/>
    </w:rPr>
  </w:style>
  <w:style w:type="paragraph" w:customStyle="1" w:styleId="PullQuote-Indigenous">
    <w:name w:val="Pull Quote-Indigenous"/>
    <w:basedOn w:val="PullQuote"/>
    <w:uiPriority w:val="10"/>
    <w:qFormat/>
    <w:rsid w:val="00972CF4"/>
    <w:pPr>
      <w:ind w:right="680"/>
    </w:pPr>
    <w:rPr>
      <w:rFonts w:ascii="Open Sans" w:hAnsi="Open Sans" w:cs="Arial"/>
      <w:color w:val="auto"/>
      <w:spacing w:val="6"/>
      <w:sz w:val="22"/>
      <w:szCs w:val="22"/>
    </w:rPr>
  </w:style>
  <w:style w:type="paragraph" w:customStyle="1" w:styleId="CoverdisclaimerwhiteCover">
    <w:name w:val="Cover – disclaimer (white) (Cover)"/>
    <w:basedOn w:val="Normal"/>
    <w:uiPriority w:val="99"/>
    <w:rsid w:val="00972CF4"/>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character" w:customStyle="1" w:styleId="TableHeadingChar">
    <w:name w:val="Table Heading Char"/>
    <w:basedOn w:val="NoSpacingChar"/>
    <w:link w:val="TableHeading"/>
    <w:uiPriority w:val="4"/>
    <w:rsid w:val="00972CF4"/>
    <w:rPr>
      <w:rFonts w:ascii="Open Sans" w:hAnsi="Open Sans"/>
      <w:b/>
      <w:color w:val="132D4D" w:themeColor="background2" w:themeShade="80"/>
      <w:sz w:val="18"/>
      <w:szCs w:val="20"/>
    </w:rPr>
  </w:style>
  <w:style w:type="paragraph" w:customStyle="1" w:styleId="FindingRecRequesttitle">
    <w:name w:val="Finding/Rec/Request title"/>
    <w:basedOn w:val="TableHeading"/>
    <w:link w:val="FindingRecRequesttitleChar"/>
    <w:uiPriority w:val="10"/>
    <w:qFormat/>
    <w:rsid w:val="00972CF4"/>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972CF4"/>
    <w:rPr>
      <w:rFonts w:ascii="Open Sans" w:hAnsi="Open Sans"/>
      <w:b/>
      <w:color w:val="265A9A" w:themeColor="background2"/>
      <w:sz w:val="20"/>
      <w:szCs w:val="20"/>
    </w:rPr>
  </w:style>
  <w:style w:type="character" w:styleId="FollowedHyperlink">
    <w:name w:val="FollowedHyperlink"/>
    <w:basedOn w:val="DefaultParagraphFont"/>
    <w:uiPriority w:val="99"/>
    <w:semiHidden/>
    <w:unhideWhenUsed/>
    <w:rsid w:val="00365ECA"/>
    <w:rPr>
      <w:color w:val="BFBFBF" w:themeColor="followedHyperlink"/>
      <w:u w:val="single"/>
    </w:rPr>
  </w:style>
  <w:style w:type="table" w:styleId="PlainTable1">
    <w:name w:val="Plain Table 1"/>
    <w:basedOn w:val="TableNormal"/>
    <w:uiPriority w:val="41"/>
    <w:rsid w:val="00EF592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unhideWhenUsed/>
    <w:rsid w:val="00BF18B5"/>
  </w:style>
  <w:style w:type="character" w:styleId="EndnoteReference">
    <w:name w:val="endnote reference"/>
    <w:basedOn w:val="DefaultParagraphFont"/>
    <w:uiPriority w:val="99"/>
    <w:semiHidden/>
    <w:unhideWhenUsed/>
    <w:rsid w:val="00C065A8"/>
    <w:rPr>
      <w:vertAlign w:val="superscript"/>
    </w:rPr>
  </w:style>
  <w:style w:type="paragraph" w:styleId="NormalWeb">
    <w:name w:val="Normal (Web)"/>
    <w:basedOn w:val="Normal"/>
    <w:uiPriority w:val="99"/>
    <w:semiHidden/>
    <w:unhideWhenUsed/>
    <w:rsid w:val="007F18D0"/>
    <w:rPr>
      <w:rFonts w:ascii="Times New Roman" w:hAnsi="Times New Roman" w:cs="Times New Roman"/>
      <w:sz w:val="24"/>
      <w:szCs w:val="24"/>
    </w:rPr>
  </w:style>
  <w:style w:type="character" w:styleId="Mention">
    <w:name w:val="Mention"/>
    <w:basedOn w:val="DefaultParagraphFont"/>
    <w:uiPriority w:val="99"/>
    <w:unhideWhenUsed/>
    <w:rsid w:val="00186C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5.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image" Target="media/image9.emf"/><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FormConfiguration><![CDATA[{"formFields":[],"formDataEntries":[]}]]></TemplafyFormConfiguratio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MPWT-2140667901-109692</_dlc_DocId>
    <_dlc_DocIdUrl xmlns="20393cdf-440a-4521-8f19-00ba43423d00">
      <Url>https://pcgov.sharepoint.com/sites/sceteam/_layouts/15/DocIdRedir.aspx?ID=MPWT-2140667901-109692</Url>
      <Description>MPWT-2140667901-109692</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c23251bed3d0ef9404a49a41843dcf41">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7898c787e18e6c7779e8f1c3e93452b9"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TemplafyTemplateConfiguration><![CDATA[{"elementsMetadata":[],"transformationConfigurations":[],"templateName":"chapter","templateDescription":"","enableDocumentContentUpdater":false,"version":"2.0"}]]></TemplafyTemplateConfiguration>
</file>

<file path=customXml/itemProps1.xml><?xml version="1.0" encoding="utf-8"?>
<ds:datastoreItem xmlns:ds="http://schemas.openxmlformats.org/officeDocument/2006/customXml" ds:itemID="{9897F752-2238-441E-ABA5-DB8C10DEA577}">
  <ds:schemaRefs/>
</ds:datastoreItem>
</file>

<file path=customXml/itemProps2.xml><?xml version="1.0" encoding="utf-8"?>
<ds:datastoreItem xmlns:ds="http://schemas.openxmlformats.org/officeDocument/2006/customXml" ds:itemID="{98D70B15-6382-4F51-AE6C-B6EF1C274891}">
  <ds:schemaRefs>
    <ds:schemaRef ds:uri="http://schemas.microsoft.com/sharepoint/events"/>
  </ds:schemaRefs>
</ds:datastoreItem>
</file>

<file path=customXml/itemProps3.xml><?xml version="1.0" encoding="utf-8"?>
<ds:datastoreItem xmlns:ds="http://schemas.openxmlformats.org/officeDocument/2006/customXml" ds:itemID="{A9375862-7444-4178-95BA-49A058BB7408}">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4.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5.xml><?xml version="1.0" encoding="utf-8"?>
<ds:datastoreItem xmlns:ds="http://schemas.openxmlformats.org/officeDocument/2006/customXml" ds:itemID="{9AEC5FCB-ADF8-464D-9830-E76C268395B0}">
  <ds:schemaRefs>
    <ds:schemaRef ds:uri="http://schemas.microsoft.com/sharepoint/v3/contenttype/forms"/>
  </ds:schemaRefs>
</ds:datastoreItem>
</file>

<file path=customXml/itemProps6.xml><?xml version="1.0" encoding="utf-8"?>
<ds:datastoreItem xmlns:ds="http://schemas.openxmlformats.org/officeDocument/2006/customXml" ds:itemID="{6D6759DB-1563-4BDA-88FB-15D436B7E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CCDCE8C-2FF2-479D-91C1-79A7A7683D3C}">
  <ds:schemaRefs/>
</ds:datastoreItem>
</file>

<file path=docProps/app.xml><?xml version="1.0" encoding="utf-8"?>
<Properties xmlns="http://schemas.openxmlformats.org/officeDocument/2006/extended-properties" xmlns:vt="http://schemas.openxmlformats.org/officeDocument/2006/docPropsVTypes">
  <Template>PC-report-template.dotx</Template>
  <TotalTime>144</TotalTime>
  <Pages>19</Pages>
  <Words>7240</Words>
  <Characters>44098</Characters>
  <Application>Microsoft Office Word</Application>
  <DocSecurity>0</DocSecurity>
  <Lines>801</Lines>
  <Paragraphs>316</Paragraphs>
  <ScaleCrop>false</ScaleCrop>
  <HeadingPairs>
    <vt:vector size="2" baseType="variant">
      <vt:variant>
        <vt:lpstr>Title</vt:lpstr>
      </vt:variant>
      <vt:variant>
        <vt:i4>1</vt:i4>
      </vt:variant>
    </vt:vector>
  </HeadingPairs>
  <TitlesOfParts>
    <vt:vector size="1" baseType="lpstr">
      <vt:lpstr>Appendix D: State fiscal sustainability - Interim report - GST distribution reforms</vt:lpstr>
    </vt:vector>
  </TitlesOfParts>
  <Company>Productivity Commission</Company>
  <LinksUpToDate>false</LinksUpToDate>
  <CharactersWithSpaces>51022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 State fiscal sustainability - Interim report - GST distribution reforms</dc:title>
  <dc:subject>GST distribution reforms – interim report</dc:subject>
  <dc:creator>Productivity Commission</dc:creator>
  <cp:keywords/>
  <dc:description/>
  <cp:lastModifiedBy>Chris Alston</cp:lastModifiedBy>
  <cp:revision>58</cp:revision>
  <cp:lastPrinted>2026-08-13T11:23:00Z</cp:lastPrinted>
  <dcterms:created xsi:type="dcterms:W3CDTF">2026-08-13T08:07:00Z</dcterms:created>
  <dcterms:modified xsi:type="dcterms:W3CDTF">2026-08-14T01:12:00Z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ournalAbbreviations" value="true"/&gt;&lt;/prefs&gt;&lt;/data&gt;</vt:lpwstr>
  </property>
  <property fmtid="{D5CDD505-2E9C-101B-9397-08002B2CF9AE}" pid="3" name="RevIMBCS">
    <vt:lpwstr>1;#Unclassified|3955eeb1-2d18-4582-aeb2-00144ec3aaf5</vt:lpwstr>
  </property>
  <property fmtid="{D5CDD505-2E9C-101B-9397-08002B2CF9AE}" pid="4" name="ClassificationContentMarkingHeaderShapeIds">
    <vt:lpwstr>52e6898c,642ed84a,d04a9c6</vt:lpwstr>
  </property>
  <property fmtid="{D5CDD505-2E9C-101B-9397-08002B2CF9AE}" pid="5" name="ClassificationContentMarkingHeaderFontProps">
    <vt:lpwstr>#000000,12,Calibri</vt:lpwstr>
  </property>
  <property fmtid="{D5CDD505-2E9C-101B-9397-08002B2CF9AE}" pid="6" name="ClassificationContentMarkingHeaderText">
    <vt:lpwstr> OFFICIAL</vt:lpwstr>
  </property>
  <property fmtid="{D5CDD505-2E9C-101B-9397-08002B2CF9AE}" pid="7" name="MediaServiceImageTags">
    <vt:lpwstr/>
  </property>
  <property fmtid="{D5CDD505-2E9C-101B-9397-08002B2CF9AE}" pid="8" name="TemplafyTenantId">
    <vt:lpwstr>productivitycommission</vt:lpwstr>
  </property>
  <property fmtid="{D5CDD505-2E9C-101B-9397-08002B2CF9AE}" pid="9" name="TemplafyTemplateId">
    <vt:lpwstr>637629323564275408</vt:lpwstr>
  </property>
  <property fmtid="{D5CDD505-2E9C-101B-9397-08002B2CF9AE}" pid="10" name="TemplafyUserProfileId">
    <vt:lpwstr>815026987312873475</vt:lpwstr>
  </property>
  <property fmtid="{D5CDD505-2E9C-101B-9397-08002B2CF9AE}" pid="11" name="TemplafyFromBlank">
    <vt:bool>false</vt:bool>
  </property>
  <property fmtid="{D5CDD505-2E9C-101B-9397-08002B2CF9AE}" pid="12" name="docLang">
    <vt:lpwstr>en</vt:lpwstr>
  </property>
  <property fmtid="{D5CDD505-2E9C-101B-9397-08002B2CF9AE}" pid="13" name="ZOTERO_PREF_1">
    <vt:lpwstr>&lt;data data-version="3" zotero-version="9.0.6"&gt;&lt;session id="QeMjwAzE"/&gt;&lt;style id="http://www.zotero.org/styles/Productivity-Commission" hasBibliography="1" bibliographyStyleHasBeenSet="1"/&gt;&lt;prefs&gt;&lt;pref name="fieldType" value="Field"/&gt;&lt;pref name="automaticJ</vt:lpwstr>
  </property>
  <property fmtid="{D5CDD505-2E9C-101B-9397-08002B2CF9AE}" pid="14" name="ContentTypeId">
    <vt:lpwstr>0x0101006C0B5E815648EF46B6FA6D42F17E5E9F000C963E276195B04F83BC027CFDC94A8D</vt:lpwstr>
  </property>
  <property fmtid="{D5CDD505-2E9C-101B-9397-08002B2CF9AE}" pid="15" name="_dlc_DocIdItemGuid">
    <vt:lpwstr>61857132-b6b8-4da1-b1bf-c2c60ebf429d</vt:lpwstr>
  </property>
  <property fmtid="{D5CDD505-2E9C-101B-9397-08002B2CF9AE}" pid="16" name="MSIP_Label_c1f2b1ce-4212-46db-a901-dd8453f57141_Enabled">
    <vt:lpwstr>true</vt:lpwstr>
  </property>
  <property fmtid="{D5CDD505-2E9C-101B-9397-08002B2CF9AE}" pid="17" name="MSIP_Label_c1f2b1ce-4212-46db-a901-dd8453f57141_SetDate">
    <vt:lpwstr>2026-08-13T11:03:37Z</vt:lpwstr>
  </property>
  <property fmtid="{D5CDD505-2E9C-101B-9397-08002B2CF9AE}" pid="18" name="MSIP_Label_c1f2b1ce-4212-46db-a901-dd8453f57141_Method">
    <vt:lpwstr>Privileged</vt:lpwstr>
  </property>
  <property fmtid="{D5CDD505-2E9C-101B-9397-08002B2CF9AE}" pid="19" name="MSIP_Label_c1f2b1ce-4212-46db-a901-dd8453f57141_Name">
    <vt:lpwstr>Publish</vt:lpwstr>
  </property>
  <property fmtid="{D5CDD505-2E9C-101B-9397-08002B2CF9AE}" pid="20" name="MSIP_Label_c1f2b1ce-4212-46db-a901-dd8453f57141_SiteId">
    <vt:lpwstr>29f9330b-c0fe-4244-830e-ba9f275d6c34</vt:lpwstr>
  </property>
  <property fmtid="{D5CDD505-2E9C-101B-9397-08002B2CF9AE}" pid="21" name="MSIP_Label_c1f2b1ce-4212-46db-a901-dd8453f57141_ActionId">
    <vt:lpwstr>76d1dd4a-4b38-428b-9054-05344f7d8340</vt:lpwstr>
  </property>
  <property fmtid="{D5CDD505-2E9C-101B-9397-08002B2CF9AE}" pid="22" name="MSIP_Label_c1f2b1ce-4212-46db-a901-dd8453f57141_ContentBits">
    <vt:lpwstr>0</vt:lpwstr>
  </property>
  <property fmtid="{D5CDD505-2E9C-101B-9397-08002B2CF9AE}" pid="23" name="MSIP_Label_c1f2b1ce-4212-46db-a901-dd8453f57141_Tag">
    <vt:lpwstr>10, 0, 1, 1</vt:lpwstr>
  </property>
</Properties>
</file>