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1D54D" w14:textId="06B5DC05" w:rsidR="007947A3" w:rsidRPr="009B231F" w:rsidRDefault="0082609B" w:rsidP="008A3B8B">
      <w:pPr>
        <w:pStyle w:val="Heading1"/>
        <w:numPr>
          <w:ilvl w:val="0"/>
          <w:numId w:val="0"/>
        </w:numPr>
        <w:ind w:left="567"/>
      </w:pPr>
      <w:r w:rsidRPr="008A3B8B">
        <w:t>Understanding</w:t>
      </w:r>
      <w:r>
        <w:t xml:space="preserve"> </w:t>
      </w:r>
      <w:r w:rsidR="00F634BD" w:rsidRPr="00BC2AFF">
        <w:t>Australia’s system of fiscal transfers</w:t>
      </w:r>
    </w:p>
    <w:p w14:paraId="143FA221" w14:textId="5467B40A" w:rsidR="006F006D" w:rsidRDefault="006F006D" w:rsidP="00BE244E">
      <w:pPr>
        <w:pStyle w:val="BodyText"/>
      </w:pPr>
      <w:r>
        <w:t xml:space="preserve">This paper </w:t>
      </w:r>
      <w:r w:rsidR="00201FDC">
        <w:t>provides a brief introduction to Australia’s system of fiscal transfers</w:t>
      </w:r>
      <w:r w:rsidR="00FD73BD">
        <w:t xml:space="preserve">. It </w:t>
      </w:r>
      <w:r w:rsidR="003D2155">
        <w:t>details</w:t>
      </w:r>
      <w:r w:rsidR="00FD73BD">
        <w:t xml:space="preserve"> the </w:t>
      </w:r>
      <w:r w:rsidR="00267C44">
        <w:t xml:space="preserve">intergovernmental </w:t>
      </w:r>
      <w:r w:rsidR="00FD73BD">
        <w:t xml:space="preserve">fiscal imbalances that </w:t>
      </w:r>
      <w:r w:rsidR="00A7736B">
        <w:t>give rise to these transfers</w:t>
      </w:r>
      <w:r w:rsidR="003D2155">
        <w:t>,</w:t>
      </w:r>
      <w:r w:rsidR="00267C44">
        <w:t xml:space="preserve"> </w:t>
      </w:r>
      <w:r w:rsidR="00EB0AE2">
        <w:t xml:space="preserve">outlines the history of Australia’s horizontal fiscal equalisation (HFE) system and </w:t>
      </w:r>
      <w:r w:rsidR="00440E4B">
        <w:t>describes how HFE is implemented in practice.</w:t>
      </w:r>
    </w:p>
    <w:p w14:paraId="532485C6" w14:textId="3587B424" w:rsidR="00770F09" w:rsidRDefault="00B70D27" w:rsidP="00325068">
      <w:pPr>
        <w:pStyle w:val="Heading2"/>
        <w:numPr>
          <w:ilvl w:val="0"/>
          <w:numId w:val="1"/>
        </w:numPr>
        <w:ind w:left="567" w:hanging="567"/>
      </w:pPr>
      <w:r>
        <w:t xml:space="preserve">The </w:t>
      </w:r>
      <w:r w:rsidR="009B67B5">
        <w:t xml:space="preserve">Australian Government </w:t>
      </w:r>
      <w:r w:rsidR="00F5787D">
        <w:t xml:space="preserve">has a </w:t>
      </w:r>
      <w:r w:rsidR="00553322">
        <w:t xml:space="preserve">greater </w:t>
      </w:r>
      <w:r w:rsidR="00F5787D">
        <w:t xml:space="preserve">fiscal capacity </w:t>
      </w:r>
      <w:r>
        <w:t xml:space="preserve">than </w:t>
      </w:r>
      <w:r w:rsidR="00415D4F">
        <w:t>the states</w:t>
      </w:r>
    </w:p>
    <w:p w14:paraId="478DA3D2" w14:textId="3267ACBF" w:rsidR="00A472E9" w:rsidRPr="00AC3E10" w:rsidRDefault="00DA09CE" w:rsidP="00A472E9">
      <w:pPr>
        <w:pStyle w:val="BodyText"/>
        <w:rPr>
          <w:spacing w:val="-4"/>
        </w:rPr>
      </w:pPr>
      <w:r w:rsidRPr="00AC3E10">
        <w:rPr>
          <w:spacing w:val="-4"/>
        </w:rPr>
        <w:t>Australia</w:t>
      </w:r>
      <w:r w:rsidR="003D182A" w:rsidRPr="00AC3E10">
        <w:rPr>
          <w:spacing w:val="-4"/>
        </w:rPr>
        <w:t xml:space="preserve"> has </w:t>
      </w:r>
      <w:r w:rsidRPr="00AC3E10">
        <w:rPr>
          <w:spacing w:val="-4"/>
        </w:rPr>
        <w:t>separate and overlapping levels of government</w:t>
      </w:r>
      <w:r w:rsidR="003D182A" w:rsidRPr="00AC3E10">
        <w:rPr>
          <w:spacing w:val="-4"/>
        </w:rPr>
        <w:t xml:space="preserve">, with </w:t>
      </w:r>
      <w:r w:rsidRPr="00AC3E10">
        <w:rPr>
          <w:spacing w:val="-4"/>
        </w:rPr>
        <w:t>different responsibilities assigned</w:t>
      </w:r>
      <w:r w:rsidRPr="00AC3E10">
        <w:rPr>
          <w:i/>
          <w:iCs/>
          <w:spacing w:val="-4"/>
        </w:rPr>
        <w:t xml:space="preserve"> </w:t>
      </w:r>
      <w:r w:rsidRPr="00AC3E10">
        <w:rPr>
          <w:spacing w:val="-4"/>
        </w:rPr>
        <w:t xml:space="preserve">to different levels. </w:t>
      </w:r>
      <w:r w:rsidR="00E00097" w:rsidRPr="00AC3E10">
        <w:rPr>
          <w:spacing w:val="-4"/>
        </w:rPr>
        <w:t>T</w:t>
      </w:r>
      <w:r w:rsidR="00A472E9" w:rsidRPr="00AC3E10">
        <w:rPr>
          <w:spacing w:val="-4"/>
        </w:rPr>
        <w:t xml:space="preserve">he Constitution </w:t>
      </w:r>
      <w:r w:rsidR="00150132" w:rsidRPr="00AC3E10">
        <w:rPr>
          <w:spacing w:val="-4"/>
        </w:rPr>
        <w:t>largely determines the division of</w:t>
      </w:r>
      <w:r w:rsidR="00A472E9" w:rsidRPr="00AC3E10">
        <w:rPr>
          <w:spacing w:val="-4"/>
        </w:rPr>
        <w:t xml:space="preserve"> policy responsibilities between the </w:t>
      </w:r>
      <w:r w:rsidR="009B67B5" w:rsidRPr="00AC3E10">
        <w:rPr>
          <w:spacing w:val="-4"/>
        </w:rPr>
        <w:t>Australian</w:t>
      </w:r>
      <w:r w:rsidR="00F67944" w:rsidRPr="00AC3E10">
        <w:rPr>
          <w:spacing w:val="-4"/>
        </w:rPr>
        <w:t xml:space="preserve"> </w:t>
      </w:r>
      <w:r w:rsidR="000929ED" w:rsidRPr="00AC3E10">
        <w:rPr>
          <w:spacing w:val="-4"/>
        </w:rPr>
        <w:t xml:space="preserve">Government </w:t>
      </w:r>
      <w:r w:rsidR="00A472E9" w:rsidRPr="00AC3E10">
        <w:rPr>
          <w:spacing w:val="-4"/>
        </w:rPr>
        <w:t xml:space="preserve">and state </w:t>
      </w:r>
      <w:r w:rsidR="000929ED" w:rsidRPr="00AC3E10">
        <w:rPr>
          <w:spacing w:val="-4"/>
        </w:rPr>
        <w:t xml:space="preserve">and territory </w:t>
      </w:r>
      <w:r w:rsidR="00A472E9" w:rsidRPr="00AC3E10">
        <w:rPr>
          <w:spacing w:val="-4"/>
        </w:rPr>
        <w:t>governments</w:t>
      </w:r>
      <w:r w:rsidR="000929ED" w:rsidRPr="00AC3E10">
        <w:rPr>
          <w:spacing w:val="-4"/>
        </w:rPr>
        <w:t xml:space="preserve"> (hereafter </w:t>
      </w:r>
      <w:r w:rsidR="00496A28" w:rsidRPr="00AC3E10">
        <w:rPr>
          <w:spacing w:val="-4"/>
        </w:rPr>
        <w:t>‘states’)</w:t>
      </w:r>
      <w:r w:rsidR="00CA057E" w:rsidRPr="00AC3E10">
        <w:rPr>
          <w:spacing w:val="-4"/>
        </w:rPr>
        <w:t xml:space="preserve"> </w:t>
      </w:r>
      <w:r w:rsidR="00CA057E" w:rsidRPr="00AC3E10">
        <w:rPr>
          <w:rFonts w:cs="Open Sans"/>
          <w:spacing w:val="-4"/>
          <w:szCs w:val="24"/>
        </w:rPr>
        <w:t>(Parliament of Australia 2025)</w:t>
      </w:r>
      <w:r w:rsidR="00A472E9" w:rsidRPr="00AC3E10">
        <w:rPr>
          <w:spacing w:val="-4"/>
        </w:rPr>
        <w:t xml:space="preserve">. Some </w:t>
      </w:r>
      <w:r w:rsidR="002E6293" w:rsidRPr="00AC3E10">
        <w:rPr>
          <w:spacing w:val="-4"/>
        </w:rPr>
        <w:t>Australian Government</w:t>
      </w:r>
      <w:r w:rsidR="00A472E9" w:rsidRPr="00AC3E10">
        <w:rPr>
          <w:spacing w:val="-4"/>
        </w:rPr>
        <w:t xml:space="preserve"> responsibilities – like social security and defence – have large </w:t>
      </w:r>
      <w:r w:rsidR="7A042827" w:rsidRPr="00AC3E10">
        <w:rPr>
          <w:spacing w:val="-4"/>
        </w:rPr>
        <w:t xml:space="preserve">direct </w:t>
      </w:r>
      <w:r w:rsidR="0A2D4928" w:rsidRPr="00AC3E10">
        <w:rPr>
          <w:spacing w:val="-4"/>
        </w:rPr>
        <w:t xml:space="preserve">fiscal </w:t>
      </w:r>
      <w:r w:rsidR="00A472E9" w:rsidRPr="00AC3E10">
        <w:rPr>
          <w:spacing w:val="-4"/>
        </w:rPr>
        <w:t xml:space="preserve">costs, while others – such as macroeconomic </w:t>
      </w:r>
      <w:r w:rsidR="6234C742" w:rsidRPr="00AC3E10">
        <w:rPr>
          <w:spacing w:val="-4"/>
        </w:rPr>
        <w:t>stabi</w:t>
      </w:r>
      <w:r w:rsidR="17F02C0A" w:rsidRPr="00AC3E10">
        <w:rPr>
          <w:spacing w:val="-4"/>
        </w:rPr>
        <w:t>l</w:t>
      </w:r>
      <w:r w:rsidR="6234C742" w:rsidRPr="00AC3E10">
        <w:rPr>
          <w:spacing w:val="-4"/>
        </w:rPr>
        <w:t xml:space="preserve">isation </w:t>
      </w:r>
      <w:r w:rsidR="00A472E9" w:rsidRPr="00AC3E10">
        <w:rPr>
          <w:spacing w:val="-4"/>
        </w:rPr>
        <w:t xml:space="preserve">or trade </w:t>
      </w:r>
      <w:r w:rsidR="00A577DC" w:rsidRPr="00AC3E10">
        <w:rPr>
          <w:spacing w:val="-4"/>
        </w:rPr>
        <w:t>polic</w:t>
      </w:r>
      <w:r w:rsidR="0054655D" w:rsidRPr="00AC3E10">
        <w:rPr>
          <w:spacing w:val="-4"/>
        </w:rPr>
        <w:t>y</w:t>
      </w:r>
      <w:r w:rsidR="00A577DC" w:rsidRPr="00AC3E10">
        <w:rPr>
          <w:spacing w:val="-4"/>
        </w:rPr>
        <w:t xml:space="preserve"> </w:t>
      </w:r>
      <w:r w:rsidR="00A472E9" w:rsidRPr="00AC3E10">
        <w:rPr>
          <w:spacing w:val="-4"/>
        </w:rPr>
        <w:t>– do not. State</w:t>
      </w:r>
      <w:r w:rsidR="006C3F5B" w:rsidRPr="00AC3E10">
        <w:rPr>
          <w:spacing w:val="-4"/>
        </w:rPr>
        <w:t>s</w:t>
      </w:r>
      <w:r w:rsidR="00E658AE" w:rsidRPr="00AC3E10">
        <w:rPr>
          <w:spacing w:val="-4"/>
        </w:rPr>
        <w:t xml:space="preserve"> </w:t>
      </w:r>
      <w:r w:rsidR="00A472E9" w:rsidRPr="00AC3E10">
        <w:rPr>
          <w:spacing w:val="-4"/>
        </w:rPr>
        <w:t>have significant</w:t>
      </w:r>
      <w:r w:rsidR="00053480" w:rsidRPr="00AC3E10">
        <w:rPr>
          <w:spacing w:val="-4"/>
        </w:rPr>
        <w:t xml:space="preserve"> </w:t>
      </w:r>
      <w:r w:rsidR="00A472E9" w:rsidRPr="00AC3E10">
        <w:rPr>
          <w:spacing w:val="-4"/>
        </w:rPr>
        <w:t xml:space="preserve">expenditure responsibilities, including health, education and public safety. This is in line with the principle of subsidiarity, under which responsibility for a particular function should, where practicable, reside with the lowest level of government capable of delivering it effectively </w:t>
      </w:r>
      <w:r w:rsidR="00AB54E0" w:rsidRPr="00AC3E10">
        <w:rPr>
          <w:rFonts w:cs="Open Sans"/>
          <w:spacing w:val="-4"/>
          <w:szCs w:val="24"/>
        </w:rPr>
        <w:t>(PC 2006, p. 27)</w:t>
      </w:r>
      <w:r w:rsidR="00834684" w:rsidRPr="00AC3E10">
        <w:rPr>
          <w:spacing w:val="-4"/>
        </w:rPr>
        <w:t>.</w:t>
      </w:r>
    </w:p>
    <w:p w14:paraId="36D4C433" w14:textId="74EE0AB0" w:rsidR="001A5288" w:rsidRDefault="00D6575F" w:rsidP="00A472E9">
      <w:pPr>
        <w:pStyle w:val="BodyText"/>
      </w:pPr>
      <w:r>
        <w:t>Over the last decade, t</w:t>
      </w:r>
      <w:r w:rsidR="001A5288">
        <w:t xml:space="preserve">he </w:t>
      </w:r>
      <w:r w:rsidR="002E6293">
        <w:t>Australian Government</w:t>
      </w:r>
      <w:r w:rsidR="001A5288">
        <w:t xml:space="preserve"> raise</w:t>
      </w:r>
      <w:r>
        <w:t>d</w:t>
      </w:r>
      <w:r w:rsidR="001A5288">
        <w:t xml:space="preserve"> roughly </w:t>
      </w:r>
      <w:r w:rsidR="00776359">
        <w:t>3</w:t>
      </w:r>
      <w:r w:rsidR="001A5288">
        <w:t xml:space="preserve"> times more own-source revenue than the states combined</w:t>
      </w:r>
      <w:r w:rsidR="00D03853">
        <w:t xml:space="preserve"> </w:t>
      </w:r>
      <w:r w:rsidR="00D03853" w:rsidRPr="00D03853">
        <w:rPr>
          <w:rFonts w:cs="Open Sans"/>
        </w:rPr>
        <w:t>(PC estimates using ABS 2026)</w:t>
      </w:r>
      <w:r w:rsidR="00F779B4">
        <w:t>,</w:t>
      </w:r>
      <w:r w:rsidR="00D03853">
        <w:t xml:space="preserve"> </w:t>
      </w:r>
      <w:r w:rsidR="001A5288">
        <w:t>including through personal income tax, company income tax and the GST</w:t>
      </w:r>
      <w:r w:rsidR="00D72CB3">
        <w:t>. In contrast,</w:t>
      </w:r>
      <w:r w:rsidR="001A5288">
        <w:t xml:space="preserve"> state</w:t>
      </w:r>
      <w:r w:rsidR="006C3F5B">
        <w:t>s</w:t>
      </w:r>
      <w:r w:rsidR="001A5288">
        <w:t xml:space="preserve"> have access to a comparatively limited </w:t>
      </w:r>
      <w:r w:rsidR="00F21358">
        <w:t xml:space="preserve">range of tax bases </w:t>
      </w:r>
      <w:r w:rsidR="001A5288">
        <w:t xml:space="preserve">and </w:t>
      </w:r>
      <w:r w:rsidR="00F21358">
        <w:t>rely more heavily</w:t>
      </w:r>
      <w:r w:rsidR="00A12A94">
        <w:t xml:space="preserve"> on relatively </w:t>
      </w:r>
      <w:r w:rsidR="001A5288">
        <w:t>less efficient tax</w:t>
      </w:r>
      <w:r w:rsidR="00A12A94">
        <w:t>es</w:t>
      </w:r>
      <w:r w:rsidR="001A5288">
        <w:t xml:space="preserve"> </w:t>
      </w:r>
      <w:r w:rsidR="00F779B4" w:rsidRPr="00F779B4">
        <w:rPr>
          <w:rFonts w:cs="Open Sans"/>
          <w:szCs w:val="24"/>
        </w:rPr>
        <w:t>(PBO 2024, pp. 24–26)</w:t>
      </w:r>
      <w:r w:rsidR="002B025A">
        <w:t xml:space="preserve">. </w:t>
      </w:r>
      <w:r w:rsidR="001A5288">
        <w:t>This imbalance in taxing power was first established at Federation</w:t>
      </w:r>
      <w:r w:rsidR="00902631">
        <w:t>,</w:t>
      </w:r>
      <w:r w:rsidR="001A5288">
        <w:t xml:space="preserve"> when the states ceded the right to impose custom</w:t>
      </w:r>
      <w:r w:rsidR="00ED6413">
        <w:t>s</w:t>
      </w:r>
      <w:r w:rsidR="001A5288">
        <w:t xml:space="preserve"> and excise duties to the </w:t>
      </w:r>
      <w:r w:rsidR="00967F63">
        <w:t xml:space="preserve">Australian Government </w:t>
      </w:r>
      <w:r w:rsidR="00302541" w:rsidRPr="7B86A486">
        <w:rPr>
          <w:rFonts w:cs="Open Sans"/>
        </w:rPr>
        <w:t>(PC 2018, p. 8)</w:t>
      </w:r>
      <w:r w:rsidR="001A5288">
        <w:t xml:space="preserve">. Since then, </w:t>
      </w:r>
      <w:r w:rsidR="00AB6ECD">
        <w:t xml:space="preserve">this disparity </w:t>
      </w:r>
      <w:r w:rsidR="001A5288">
        <w:t>has</w:t>
      </w:r>
      <w:r w:rsidR="00AB6ECD">
        <w:t xml:space="preserve"> further</w:t>
      </w:r>
      <w:r w:rsidR="001A5288">
        <w:t xml:space="preserve"> increased, facilitated by key events like the </w:t>
      </w:r>
      <w:r w:rsidR="002E6293">
        <w:t>Australian Government</w:t>
      </w:r>
      <w:r w:rsidR="001A5288">
        <w:t xml:space="preserve"> taking over sole responsibility for levying income tax in 1942 and the removal of some state revenue streams in exchange for introducing the GST in 2000. Additionally, significant High Court rulings –</w:t>
      </w:r>
      <w:r w:rsidR="00FB19DD">
        <w:t xml:space="preserve"> including </w:t>
      </w:r>
      <w:r w:rsidR="001A5288" w:rsidRPr="49A27BEE">
        <w:rPr>
          <w:i/>
          <w:iCs/>
        </w:rPr>
        <w:t>Ha v New South Wales</w:t>
      </w:r>
      <w:r w:rsidR="001A5288">
        <w:t xml:space="preserve"> (1997)</w:t>
      </w:r>
      <w:r w:rsidR="00FB19DD">
        <w:t xml:space="preserve">, </w:t>
      </w:r>
      <w:r w:rsidR="001A5288">
        <w:t xml:space="preserve">which </w:t>
      </w:r>
      <w:r w:rsidR="00EC2047">
        <w:t>found</w:t>
      </w:r>
      <w:r w:rsidR="001A5288">
        <w:t xml:space="preserve"> that licence fees on tobacco, alcohol and fuel </w:t>
      </w:r>
      <w:r w:rsidR="002477B5">
        <w:t xml:space="preserve">constituted excise </w:t>
      </w:r>
      <w:r w:rsidR="0001791F">
        <w:t xml:space="preserve">duties and therefore </w:t>
      </w:r>
      <w:r w:rsidR="001A5288">
        <w:t xml:space="preserve">were the exclusive domain of the </w:t>
      </w:r>
      <w:r w:rsidR="00967F63">
        <w:t>Australian Government</w:t>
      </w:r>
      <w:r w:rsidR="00FB19DD">
        <w:t xml:space="preserve">, </w:t>
      </w:r>
      <w:r w:rsidR="001A5288">
        <w:t xml:space="preserve">and </w:t>
      </w:r>
      <w:proofErr w:type="spellStart"/>
      <w:r w:rsidR="001A5288" w:rsidRPr="49A27BEE">
        <w:rPr>
          <w:i/>
          <w:iCs/>
        </w:rPr>
        <w:t>Vanderstock</w:t>
      </w:r>
      <w:proofErr w:type="spellEnd"/>
      <w:r w:rsidR="001A5288" w:rsidRPr="49A27BEE">
        <w:rPr>
          <w:i/>
          <w:iCs/>
        </w:rPr>
        <w:t xml:space="preserve"> v Victoria </w:t>
      </w:r>
      <w:r w:rsidR="001A5288">
        <w:t>(2023)</w:t>
      </w:r>
      <w:r w:rsidR="00EC2047">
        <w:t xml:space="preserve">, </w:t>
      </w:r>
      <w:r w:rsidR="001A5288">
        <w:t xml:space="preserve">which </w:t>
      </w:r>
      <w:r w:rsidR="00EC2047">
        <w:t>found</w:t>
      </w:r>
      <w:r w:rsidR="001A5288">
        <w:t xml:space="preserve"> that Victoria’s electric vehicle road user charge was unconstitutional – have further </w:t>
      </w:r>
      <w:r w:rsidR="005C3DE4">
        <w:t>limited state revenue</w:t>
      </w:r>
      <w:r w:rsidR="009346AF">
        <w:t>-</w:t>
      </w:r>
      <w:r w:rsidR="005C3DE4">
        <w:t>raising capacity</w:t>
      </w:r>
      <w:r w:rsidR="00382979">
        <w:t xml:space="preserve"> (section 5)</w:t>
      </w:r>
      <w:r w:rsidR="001A5288">
        <w:t xml:space="preserve">. </w:t>
      </w:r>
    </w:p>
    <w:p w14:paraId="79EF6568" w14:textId="062002C7" w:rsidR="00EE0E3B" w:rsidRPr="00670258" w:rsidRDefault="00EE0E3B" w:rsidP="00A472E9">
      <w:pPr>
        <w:pStyle w:val="BodyText"/>
      </w:pPr>
      <w:r>
        <w:t>As a result</w:t>
      </w:r>
      <w:r w:rsidR="0082454D">
        <w:t xml:space="preserve"> of these </w:t>
      </w:r>
      <w:r w:rsidR="00521CCE">
        <w:t>revenue and expense imbalances</w:t>
      </w:r>
      <w:r>
        <w:t>, Australia experiences vertical fiscal imbalance (VFI)</w:t>
      </w:r>
      <w:r w:rsidR="004D608F">
        <w:t xml:space="preserve">: </w:t>
      </w:r>
      <w:r>
        <w:t xml:space="preserve">the </w:t>
      </w:r>
      <w:r w:rsidR="002E6293">
        <w:t>Australian Government</w:t>
      </w:r>
      <w:r>
        <w:t xml:space="preserve"> raises more revenue than it needs to provide the services it is responsible for, while </w:t>
      </w:r>
      <w:r w:rsidR="00914FE2">
        <w:t xml:space="preserve">states </w:t>
      </w:r>
      <w:r>
        <w:t xml:space="preserve">raise less revenue than they need to fund their policy responsibilities. Due to </w:t>
      </w:r>
      <w:r w:rsidR="00521CCE">
        <w:t>the</w:t>
      </w:r>
      <w:r>
        <w:t xml:space="preserve"> constitutional and historical reasons discussed </w:t>
      </w:r>
      <w:r w:rsidR="00521CCE">
        <w:t>above</w:t>
      </w:r>
      <w:r>
        <w:t>, Australia experiences a high</w:t>
      </w:r>
      <w:r w:rsidR="00341593">
        <w:t>er</w:t>
      </w:r>
      <w:r>
        <w:t xml:space="preserve"> degree of VFI compared to</w:t>
      </w:r>
      <w:r w:rsidR="007C17AD">
        <w:t xml:space="preserve"> many</w:t>
      </w:r>
      <w:r>
        <w:t xml:space="preserve"> similar federations in the OECD</w:t>
      </w:r>
      <w:r w:rsidR="001A3425">
        <w:t xml:space="preserve"> </w:t>
      </w:r>
      <w:r w:rsidR="001A3425" w:rsidRPr="001A3425">
        <w:rPr>
          <w:rFonts w:cs="Open Sans"/>
          <w:szCs w:val="24"/>
        </w:rPr>
        <w:t>(CGC 2022, p. 1)</w:t>
      </w:r>
      <w:r w:rsidR="00F0535B">
        <w:t xml:space="preserve">. </w:t>
      </w:r>
      <w:r w:rsidR="002F083B">
        <w:t>Furthermore, the extent of VFI varies over time in line with legal rulings.</w:t>
      </w:r>
    </w:p>
    <w:p w14:paraId="0108B4D8" w14:textId="7C3197A2" w:rsidR="00415D4F" w:rsidRDefault="00B70D27" w:rsidP="00325068">
      <w:pPr>
        <w:pStyle w:val="Heading2"/>
        <w:numPr>
          <w:ilvl w:val="0"/>
          <w:numId w:val="1"/>
        </w:numPr>
        <w:ind w:left="567" w:hanging="567"/>
      </w:pPr>
      <w:r>
        <w:lastRenderedPageBreak/>
        <w:t xml:space="preserve">Some states </w:t>
      </w:r>
      <w:r w:rsidR="00F5787D">
        <w:t>have</w:t>
      </w:r>
      <w:r w:rsidDel="00F5787D">
        <w:t xml:space="preserve"> </w:t>
      </w:r>
      <w:r w:rsidR="00553322">
        <w:t xml:space="preserve">greater </w:t>
      </w:r>
      <w:r w:rsidR="00F5787D">
        <w:t xml:space="preserve">fiscal capacities </w:t>
      </w:r>
      <w:r>
        <w:t>than others</w:t>
      </w:r>
    </w:p>
    <w:p w14:paraId="653DE67E" w14:textId="3820E60D" w:rsidR="0016317D" w:rsidRDefault="008C0DFF" w:rsidP="00AB08AF">
      <w:pPr>
        <w:pStyle w:val="BodyText"/>
      </w:pPr>
      <w:r>
        <w:t>Australia</w:t>
      </w:r>
      <w:r w:rsidR="009E5BFA">
        <w:t xml:space="preserve"> also</w:t>
      </w:r>
      <w:r>
        <w:t xml:space="preserve"> experiences </w:t>
      </w:r>
      <w:r w:rsidR="00DF5A6B">
        <w:t>horizontal fiscal imbalance (</w:t>
      </w:r>
      <w:r>
        <w:t>HFI</w:t>
      </w:r>
      <w:r w:rsidR="00DF5A6B">
        <w:t>)</w:t>
      </w:r>
      <w:r w:rsidR="00DF6B67">
        <w:t xml:space="preserve">: </w:t>
      </w:r>
      <w:r>
        <w:t>some state</w:t>
      </w:r>
      <w:r w:rsidR="006C3F5B">
        <w:t xml:space="preserve">s </w:t>
      </w:r>
      <w:r w:rsidR="00587736">
        <w:t>can</w:t>
      </w:r>
      <w:r>
        <w:t xml:space="preserve"> raise revenue more easily </w:t>
      </w:r>
      <w:r w:rsidR="00072D02">
        <w:t xml:space="preserve">or provide services more </w:t>
      </w:r>
      <w:r w:rsidR="00361FDA">
        <w:t xml:space="preserve">efficiently </w:t>
      </w:r>
      <w:r w:rsidR="00072D02">
        <w:t>than others</w:t>
      </w:r>
      <w:r w:rsidR="0016317D">
        <w:t xml:space="preserve"> because of structural factors</w:t>
      </w:r>
      <w:r w:rsidR="00E11484">
        <w:t>,</w:t>
      </w:r>
      <w:r w:rsidR="0016317D">
        <w:t xml:space="preserve"> such as resource endowments and the demographic composition of their populations (figure 1).</w:t>
      </w:r>
    </w:p>
    <w:p w14:paraId="797C8310" w14:textId="3F9A7F13" w:rsidR="00B77F97" w:rsidRPr="00CB71AE" w:rsidRDefault="00E77F47" w:rsidP="00AB08AF">
      <w:pPr>
        <w:pStyle w:val="BodyText"/>
      </w:pPr>
      <w:r>
        <w:t xml:space="preserve">HFI can be seen </w:t>
      </w:r>
      <w:r w:rsidR="00BA1F69">
        <w:t>when</w:t>
      </w:r>
      <w:r w:rsidR="004B1AE6">
        <w:t xml:space="preserve"> examining the </w:t>
      </w:r>
      <w:r w:rsidR="006416B6">
        <w:t xml:space="preserve">own-source </w:t>
      </w:r>
      <w:r w:rsidR="004B1AE6">
        <w:t>revenue</w:t>
      </w:r>
      <w:r w:rsidR="00815C5D">
        <w:t xml:space="preserve"> raised by</w:t>
      </w:r>
      <w:r w:rsidR="004B1AE6">
        <w:t xml:space="preserve"> different states. </w:t>
      </w:r>
      <w:r w:rsidR="00E57553">
        <w:t>I</w:t>
      </w:r>
      <w:r w:rsidR="00B6093B">
        <w:t>n 202</w:t>
      </w:r>
      <w:r w:rsidR="00E90BDF">
        <w:t>4</w:t>
      </w:r>
      <w:r w:rsidR="00E4760E">
        <w:t>–</w:t>
      </w:r>
      <w:r w:rsidR="00E90BDF">
        <w:t>25</w:t>
      </w:r>
      <w:r w:rsidR="00B6093B">
        <w:t xml:space="preserve">, Western Australia raised </w:t>
      </w:r>
      <w:r w:rsidR="00B84A04">
        <w:t>about</w:t>
      </w:r>
      <w:r w:rsidR="00B6093B">
        <w:t xml:space="preserve"> $1</w:t>
      </w:r>
      <w:r w:rsidR="00CD0B91">
        <w:t>0</w:t>
      </w:r>
      <w:r w:rsidR="00B6093B">
        <w:t>,000 per capita in own</w:t>
      </w:r>
      <w:r w:rsidR="00E033DC">
        <w:noBreakHyphen/>
      </w:r>
      <w:r w:rsidR="00B6093B">
        <w:t>source revenue, while Tasmania raised less than $5,500 per capita</w:t>
      </w:r>
      <w:r w:rsidR="00361CEA">
        <w:t xml:space="preserve"> </w:t>
      </w:r>
      <w:r w:rsidR="00F0535B" w:rsidRPr="00F0535B">
        <w:rPr>
          <w:rFonts w:cs="Open Sans"/>
        </w:rPr>
        <w:t>(PC estimates using ABS 2026)</w:t>
      </w:r>
      <w:r w:rsidR="002B7C72">
        <w:t xml:space="preserve">. </w:t>
      </w:r>
      <w:r w:rsidR="001D6247">
        <w:t>Mining royalties are a key</w:t>
      </w:r>
      <w:r w:rsidR="001B0B33">
        <w:t xml:space="preserve"> – but not the only –</w:t>
      </w:r>
      <w:r w:rsidR="001D6247">
        <w:t xml:space="preserve"> driver of differences in state own</w:t>
      </w:r>
      <w:r w:rsidR="00E033DC">
        <w:noBreakHyphen/>
      </w:r>
      <w:r w:rsidR="001D6247">
        <w:t>source revenue.</w:t>
      </w:r>
      <w:r w:rsidR="001D6247" w:rsidRPr="001D6247">
        <w:t xml:space="preserve"> </w:t>
      </w:r>
      <w:r w:rsidR="001D6247">
        <w:t xml:space="preserve">A state’s ability to generate revenue from mining royalties is largely dependent on its resource endowments – a structural factor beyond </w:t>
      </w:r>
      <w:r w:rsidR="00B237AB">
        <w:t>its</w:t>
      </w:r>
      <w:r w:rsidR="000522B9">
        <w:t xml:space="preserve"> direct control</w:t>
      </w:r>
      <w:r w:rsidR="00BA0DA4">
        <w:t xml:space="preserve">. </w:t>
      </w:r>
      <w:r w:rsidR="00446EB6">
        <w:t>However,</w:t>
      </w:r>
      <w:r w:rsidR="001D6247">
        <w:t xml:space="preserve"> policy decisions to allow</w:t>
      </w:r>
      <w:r w:rsidR="006A15DD">
        <w:t xml:space="preserve"> and facili</w:t>
      </w:r>
      <w:r w:rsidR="002B7C72">
        <w:t>t</w:t>
      </w:r>
      <w:r w:rsidR="006A15DD">
        <w:t>ate</w:t>
      </w:r>
      <w:r w:rsidR="001D6247">
        <w:t xml:space="preserve"> extraction and </w:t>
      </w:r>
      <w:r w:rsidR="00843AAE">
        <w:t xml:space="preserve">to </w:t>
      </w:r>
      <w:r w:rsidR="001D6247">
        <w:t xml:space="preserve">set royalty rates also </w:t>
      </w:r>
      <w:r w:rsidR="00590BAA">
        <w:t xml:space="preserve">affect </w:t>
      </w:r>
      <w:r w:rsidR="00615F79">
        <w:t xml:space="preserve">the amount </w:t>
      </w:r>
      <w:r w:rsidR="00CE60F6">
        <w:t xml:space="preserve">of revenue </w:t>
      </w:r>
      <w:r w:rsidR="00615F79">
        <w:t>a state raises</w:t>
      </w:r>
      <w:r w:rsidR="001D6247">
        <w:t xml:space="preserve">. </w:t>
      </w:r>
    </w:p>
    <w:p w14:paraId="3B25394E" w14:textId="5AD9A68D" w:rsidR="007E4194" w:rsidRPr="00146382" w:rsidRDefault="007E4194">
      <w:pPr>
        <w:pStyle w:val="FigureTableHeading"/>
      </w:pPr>
      <w:r>
        <w:t xml:space="preserve">Figure </w:t>
      </w:r>
      <w:r w:rsidRPr="4F4D1483">
        <w:fldChar w:fldCharType="begin"/>
      </w:r>
      <w:r>
        <w:instrText xml:space="preserve"> SEQ Figure \* ARABIC \s 1 </w:instrText>
      </w:r>
      <w:r w:rsidRPr="4F4D1483">
        <w:fldChar w:fldCharType="separate"/>
      </w:r>
      <w:r w:rsidR="00EB6801">
        <w:rPr>
          <w:noProof/>
        </w:rPr>
        <w:t>1</w:t>
      </w:r>
      <w:r w:rsidRPr="4F4D1483">
        <w:rPr>
          <w:noProof/>
        </w:rPr>
        <w:fldChar w:fldCharType="end"/>
      </w:r>
      <w:r w:rsidRPr="4F4D1483">
        <w:rPr>
          <w:noProof/>
        </w:rPr>
        <w:t xml:space="preserve"> </w:t>
      </w:r>
      <w:r>
        <w:t xml:space="preserve">– </w:t>
      </w:r>
      <w:r w:rsidR="00185AF4">
        <w:t>States have different revenue</w:t>
      </w:r>
      <w:r>
        <w:noBreakHyphen/>
      </w:r>
      <w:r w:rsidR="00185AF4">
        <w:t>raising capacities</w:t>
      </w:r>
    </w:p>
    <w:p w14:paraId="1E144A44" w14:textId="0BDCF710" w:rsidR="007E4194" w:rsidRDefault="00803E73">
      <w:pPr>
        <w:pStyle w:val="FigureTableSubheading"/>
        <w:keepLines/>
      </w:pPr>
      <w:r>
        <w:t xml:space="preserve">State </w:t>
      </w:r>
      <w:r w:rsidR="000D1FC7">
        <w:t>own</w:t>
      </w:r>
      <w:r w:rsidR="000D1FC7">
        <w:noBreakHyphen/>
        <w:t>source revenue sources</w:t>
      </w:r>
      <w:r w:rsidR="00AA5CD2">
        <w:t xml:space="preserve"> per capita</w:t>
      </w:r>
      <w:r w:rsidR="005E45E9">
        <w:t xml:space="preserve">, </w:t>
      </w:r>
      <w:r w:rsidR="000D1FC7">
        <w:t>202</w:t>
      </w:r>
      <w:r w:rsidR="00093311">
        <w:t>4</w:t>
      </w:r>
      <w:r w:rsidR="00E4760E">
        <w:t>–</w:t>
      </w:r>
      <w:r w:rsidR="00093311">
        <w:t>25</w:t>
      </w:r>
    </w:p>
    <w:p w14:paraId="0B71DFE2" w14:textId="778C7510" w:rsidR="007E4194" w:rsidRPr="005550A0" w:rsidRDefault="000B1205">
      <w:pPr>
        <w:pStyle w:val="BodyText"/>
      </w:pPr>
      <w:r w:rsidRPr="000B1205">
        <w:rPr>
          <w:noProof/>
        </w:rPr>
        <w:drawing>
          <wp:inline distT="0" distB="0" distL="0" distR="0" wp14:anchorId="61AE5BE4" wp14:editId="26E246B8">
            <wp:extent cx="6120130" cy="2874645"/>
            <wp:effectExtent l="0" t="0" r="0" b="0"/>
            <wp:docPr id="1614804488" name="Picture 4" descr="A stacked column chart of state own-source revenue sources in per capita terms in 2024-25. Revenue sources include payroll taxes, property-related taxes, sales of goods and services, other revenue and royalty revenue. Total own-source revenue per capita and the contribution of different revenue sources vary between states. Western Australia has the highest own-source revenue per capita, driven in part by significant royalty reve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804488" name="Picture 4" descr="A stacked column chart of state own-source revenue sources in per capita terms in 2024-25. Revenue sources include payroll taxes, property-related taxes, sales of goods and services, other revenue and royalty revenue. Total own-source revenue per capita and the contribution of different revenue sources vary between states. Western Australia has the highest own-source revenue per capita, driven in part by significant royalty revenu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2874645"/>
                    </a:xfrm>
                    <a:prstGeom prst="rect">
                      <a:avLst/>
                    </a:prstGeom>
                    <a:noFill/>
                    <a:ln>
                      <a:noFill/>
                    </a:ln>
                  </pic:spPr>
                </pic:pic>
              </a:graphicData>
            </a:graphic>
          </wp:inline>
        </w:drawing>
      </w:r>
    </w:p>
    <w:p w14:paraId="2AA69807" w14:textId="341D605F" w:rsidR="007E4194" w:rsidRPr="00B4794B" w:rsidRDefault="00BC7D49">
      <w:pPr>
        <w:pStyle w:val="Note"/>
        <w:keepLines/>
        <w:rPr>
          <w:b/>
          <w:bCs/>
        </w:rPr>
      </w:pPr>
      <w:r>
        <w:t>Property</w:t>
      </w:r>
      <w:r w:rsidR="00E033DC">
        <w:noBreakHyphen/>
      </w:r>
      <w:r>
        <w:t>related taxes are the sum of stamp duty and land tax revenue.</w:t>
      </w:r>
      <w:r w:rsidR="00B4794B">
        <w:t xml:space="preserve"> </w:t>
      </w:r>
      <w:r w:rsidR="006E530F">
        <w:t xml:space="preserve">Other </w:t>
      </w:r>
      <w:r w:rsidR="002653E2">
        <w:t>revenue</w:t>
      </w:r>
      <w:r w:rsidR="004D1410">
        <w:t xml:space="preserve"> include</w:t>
      </w:r>
      <w:r w:rsidR="00497329">
        <w:t>s</w:t>
      </w:r>
      <w:r w:rsidR="004D1410">
        <w:t xml:space="preserve"> </w:t>
      </w:r>
      <w:r w:rsidR="00013D10">
        <w:t>gambling taxes, motor</w:t>
      </w:r>
      <w:r w:rsidR="007D3F6D">
        <w:t xml:space="preserve"> vehicle taxes</w:t>
      </w:r>
      <w:r w:rsidR="002A3F97">
        <w:t>, non-royalty property income</w:t>
      </w:r>
      <w:r w:rsidR="003E2F35">
        <w:t xml:space="preserve">, </w:t>
      </w:r>
      <w:r w:rsidR="002653E2">
        <w:t>other taxes</w:t>
      </w:r>
      <w:r w:rsidR="009320D4">
        <w:t>, and municipal rates (for the A</w:t>
      </w:r>
      <w:r w:rsidR="00FB79C9">
        <w:t xml:space="preserve">ustralian </w:t>
      </w:r>
      <w:r w:rsidR="009320D4">
        <w:t>C</w:t>
      </w:r>
      <w:r w:rsidR="00FB79C9">
        <w:t xml:space="preserve">apital </w:t>
      </w:r>
      <w:r w:rsidR="009320D4">
        <w:t>T</w:t>
      </w:r>
      <w:r w:rsidR="00FB79C9">
        <w:t>erritory</w:t>
      </w:r>
      <w:r w:rsidR="009320D4">
        <w:t>)</w:t>
      </w:r>
      <w:r w:rsidR="00E51793">
        <w:t>.</w:t>
      </w:r>
      <w:r w:rsidR="00E01025">
        <w:t xml:space="preserve"> </w:t>
      </w:r>
      <w:r w:rsidR="00E21415">
        <w:t>T</w:t>
      </w:r>
      <w:r w:rsidR="00E01025">
        <w:t>he A</w:t>
      </w:r>
      <w:r w:rsidR="00FB79C9">
        <w:t xml:space="preserve">ustralian </w:t>
      </w:r>
      <w:r w:rsidR="00E01025">
        <w:t>C</w:t>
      </w:r>
      <w:r w:rsidR="00FB79C9">
        <w:t xml:space="preserve">apital </w:t>
      </w:r>
      <w:r w:rsidR="00E01025">
        <w:t>T</w:t>
      </w:r>
      <w:r w:rsidR="00FB79C9">
        <w:t>erritory</w:t>
      </w:r>
      <w:r w:rsidR="00E01025">
        <w:t xml:space="preserve"> is </w:t>
      </w:r>
      <w:r w:rsidR="0008122E">
        <w:t xml:space="preserve">not </w:t>
      </w:r>
      <w:r w:rsidR="00771F55">
        <w:t>directly</w:t>
      </w:r>
      <w:r w:rsidR="0008122E">
        <w:t xml:space="preserve"> comparable as it</w:t>
      </w:r>
      <w:r w:rsidR="004F33B6">
        <w:t xml:space="preserve">s other revenue includes local government </w:t>
      </w:r>
      <w:r w:rsidR="00037FB4">
        <w:t>revenue</w:t>
      </w:r>
      <w:r w:rsidR="00771F55">
        <w:t xml:space="preserve"> sources, su</w:t>
      </w:r>
      <w:r w:rsidR="00497329">
        <w:t xml:space="preserve">ch as municipal </w:t>
      </w:r>
      <w:r w:rsidR="00B10DD7">
        <w:t>rates</w:t>
      </w:r>
      <w:r w:rsidR="0080256E">
        <w:t>.</w:t>
      </w:r>
    </w:p>
    <w:p w14:paraId="6687B43E" w14:textId="6BF654A0" w:rsidR="00AB08AF" w:rsidRDefault="007E4194" w:rsidP="001305DA">
      <w:pPr>
        <w:pStyle w:val="Source"/>
      </w:pPr>
      <w:r w:rsidRPr="00BC7D49">
        <w:t>Source:</w:t>
      </w:r>
      <w:r w:rsidR="00F32086">
        <w:t xml:space="preserve"> </w:t>
      </w:r>
      <w:r w:rsidR="00F93052">
        <w:t>PC estimates using ABS</w:t>
      </w:r>
      <w:r w:rsidR="002B7C72">
        <w:t xml:space="preserve"> </w:t>
      </w:r>
      <w:r w:rsidR="002B7C72" w:rsidRPr="002B7C72">
        <w:rPr>
          <w:rFonts w:cs="Open Sans"/>
        </w:rPr>
        <w:t>(2026)</w:t>
      </w:r>
      <w:r w:rsidR="00666802">
        <w:t>.</w:t>
      </w:r>
    </w:p>
    <w:p w14:paraId="32BFDE58" w14:textId="4C7026C5" w:rsidR="00BA59F0" w:rsidRPr="00AB08AF" w:rsidRDefault="00DB46C4" w:rsidP="00247410">
      <w:pPr>
        <w:pStyle w:val="BodyText"/>
      </w:pPr>
      <w:r>
        <w:t xml:space="preserve">Differences in expenses between states also contribute to </w:t>
      </w:r>
      <w:r w:rsidR="00440217">
        <w:t>HFI</w:t>
      </w:r>
      <w:r w:rsidR="00E8160D">
        <w:t>.</w:t>
      </w:r>
      <w:r w:rsidR="003F17DB">
        <w:t xml:space="preserve"> </w:t>
      </w:r>
      <w:r w:rsidR="00E41B0E">
        <w:t xml:space="preserve">For example, the </w:t>
      </w:r>
      <w:r w:rsidR="003F17DB">
        <w:t>Northern Territor</w:t>
      </w:r>
      <w:r w:rsidR="00E41B0E">
        <w:t>y</w:t>
      </w:r>
      <w:r w:rsidR="00094534">
        <w:t xml:space="preserve"> has significantly higher expenses per capita </w:t>
      </w:r>
      <w:r w:rsidR="00B664A7">
        <w:t xml:space="preserve">compared </w:t>
      </w:r>
      <w:r w:rsidR="005007C2">
        <w:t>to</w:t>
      </w:r>
      <w:r w:rsidR="009905B6">
        <w:t xml:space="preserve"> </w:t>
      </w:r>
      <w:r w:rsidR="00B664A7">
        <w:t xml:space="preserve">other </w:t>
      </w:r>
      <w:r w:rsidR="009E6BD7">
        <w:t>jurisdictions</w:t>
      </w:r>
      <w:r w:rsidR="00094534">
        <w:t xml:space="preserve">. </w:t>
      </w:r>
      <w:r w:rsidR="00B31AA8">
        <w:t xml:space="preserve">This can be attributed to the demographic and geographic </w:t>
      </w:r>
      <w:r w:rsidR="006A15DD">
        <w:t>composition</w:t>
      </w:r>
      <w:r w:rsidR="00B31AA8">
        <w:t xml:space="preserve"> of the population</w:t>
      </w:r>
      <w:r w:rsidR="006C11DA">
        <w:t>. F</w:t>
      </w:r>
      <w:r w:rsidR="00E8160D">
        <w:t xml:space="preserve">or </w:t>
      </w:r>
      <w:r w:rsidR="009905B6">
        <w:t>example,</w:t>
      </w:r>
      <w:r w:rsidR="00E8160D">
        <w:t xml:space="preserve"> </w:t>
      </w:r>
      <w:r w:rsidR="0002165F">
        <w:t xml:space="preserve">26% of the Northern Territory’s population identifies as </w:t>
      </w:r>
      <w:r w:rsidR="00FB55F3">
        <w:t>Aboriginal and/or To</w:t>
      </w:r>
      <w:r w:rsidR="0000151F">
        <w:t xml:space="preserve">rres </w:t>
      </w:r>
      <w:r w:rsidR="006C2569">
        <w:t>Strait</w:t>
      </w:r>
      <w:r w:rsidR="0000151F">
        <w:t xml:space="preserve"> Islander</w:t>
      </w:r>
      <w:r w:rsidR="006C2569">
        <w:t xml:space="preserve"> </w:t>
      </w:r>
      <w:r w:rsidR="006C279E">
        <w:t>(</w:t>
      </w:r>
      <w:r w:rsidR="00310080">
        <w:t xml:space="preserve">compared </w:t>
      </w:r>
      <w:r w:rsidR="00BE075B">
        <w:t xml:space="preserve">with </w:t>
      </w:r>
      <w:r w:rsidR="00310080">
        <w:t>3%</w:t>
      </w:r>
      <w:r w:rsidR="006C19E9">
        <w:t xml:space="preserve"> of the total Australian population</w:t>
      </w:r>
      <w:r w:rsidR="006C279E">
        <w:t>)</w:t>
      </w:r>
      <w:r w:rsidR="00D8241C">
        <w:t xml:space="preserve"> and </w:t>
      </w:r>
      <w:r w:rsidR="00C73600">
        <w:t>39</w:t>
      </w:r>
      <w:r w:rsidR="00D47F00">
        <w:t>%</w:t>
      </w:r>
      <w:r w:rsidR="00D47F00" w:rsidDel="002A739A">
        <w:t xml:space="preserve"> </w:t>
      </w:r>
      <w:r w:rsidR="00D47F00">
        <w:t xml:space="preserve">live in remote or very remote areas </w:t>
      </w:r>
      <w:r w:rsidR="006C279E">
        <w:t>(</w:t>
      </w:r>
      <w:r w:rsidR="00D47F00">
        <w:t xml:space="preserve">compared </w:t>
      </w:r>
      <w:r w:rsidR="00BE075B">
        <w:t xml:space="preserve">with </w:t>
      </w:r>
      <w:r w:rsidR="00247410">
        <w:t>2</w:t>
      </w:r>
      <w:r w:rsidR="00446DEA">
        <w:t>% of the total Australian population</w:t>
      </w:r>
      <w:r w:rsidR="006C279E">
        <w:t>)</w:t>
      </w:r>
      <w:r w:rsidR="7A04DFBA">
        <w:t xml:space="preserve"> </w:t>
      </w:r>
      <w:r w:rsidR="003C332F" w:rsidRPr="003C332F">
        <w:rPr>
          <w:rFonts w:cs="Open Sans"/>
          <w:szCs w:val="24"/>
        </w:rPr>
        <w:t>(ABS 2022; PC estimates using ABS 2025)</w:t>
      </w:r>
      <w:r w:rsidR="00A041BC">
        <w:t>.</w:t>
      </w:r>
    </w:p>
    <w:p w14:paraId="604BB11C" w14:textId="52FA1AD0" w:rsidR="00C61D5A" w:rsidRPr="00BC2AFF" w:rsidRDefault="00A90715" w:rsidP="00325068">
      <w:pPr>
        <w:pStyle w:val="Heading2"/>
        <w:numPr>
          <w:ilvl w:val="0"/>
          <w:numId w:val="1"/>
        </w:numPr>
        <w:ind w:left="567" w:hanging="567"/>
      </w:pPr>
      <w:r w:rsidRPr="00BC2AFF">
        <w:lastRenderedPageBreak/>
        <w:t xml:space="preserve">Fiscal transfers in </w:t>
      </w:r>
      <w:r w:rsidR="00A550D2" w:rsidRPr="00BC2AFF">
        <w:t>Australia</w:t>
      </w:r>
      <w:r w:rsidRPr="00BC2AFF">
        <w:t xml:space="preserve"> </w:t>
      </w:r>
      <w:r w:rsidR="00AC28B0">
        <w:t>aim to</w:t>
      </w:r>
      <w:r w:rsidRPr="00BC2AFF">
        <w:t xml:space="preserve"> </w:t>
      </w:r>
      <w:r w:rsidR="00F634BD" w:rsidRPr="00BC2AFF">
        <w:t xml:space="preserve">address </w:t>
      </w:r>
      <w:r w:rsidR="00A550D2" w:rsidRPr="00BC2AFF">
        <w:t>both vertical and horizontal</w:t>
      </w:r>
      <w:r w:rsidR="00F634BD" w:rsidRPr="00BC2AFF">
        <w:t xml:space="preserve"> fiscal imbalances</w:t>
      </w:r>
    </w:p>
    <w:p w14:paraId="10D54E7F" w14:textId="0D494BC7" w:rsidR="00076493" w:rsidRPr="00BF44FB" w:rsidRDefault="00076493" w:rsidP="00076493">
      <w:pPr>
        <w:pStyle w:val="BodyText"/>
        <w:rPr>
          <w:spacing w:val="-2"/>
        </w:rPr>
      </w:pPr>
      <w:r w:rsidRPr="00BF44FB">
        <w:rPr>
          <w:spacing w:val="-2"/>
        </w:rPr>
        <w:t>Australia’s federal financial relations system recognises and</w:t>
      </w:r>
      <w:r w:rsidR="007767B6" w:rsidRPr="00BF44FB">
        <w:rPr>
          <w:spacing w:val="-2"/>
        </w:rPr>
        <w:t>,</w:t>
      </w:r>
      <w:r w:rsidRPr="00BF44FB">
        <w:rPr>
          <w:spacing w:val="-2"/>
        </w:rPr>
        <w:t xml:space="preserve"> to some extent, accounts for both VFI and HFI. </w:t>
      </w:r>
      <w:r w:rsidR="006D0F4D" w:rsidRPr="00BF44FB">
        <w:rPr>
          <w:spacing w:val="-2"/>
        </w:rPr>
        <w:t>The Constitution gives the</w:t>
      </w:r>
      <w:r w:rsidR="004A3682" w:rsidRPr="00BF44FB">
        <w:rPr>
          <w:spacing w:val="-2"/>
        </w:rPr>
        <w:t xml:space="preserve"> </w:t>
      </w:r>
      <w:r w:rsidR="002E6293" w:rsidRPr="00BF44FB">
        <w:rPr>
          <w:spacing w:val="-2"/>
        </w:rPr>
        <w:t>Australian Government</w:t>
      </w:r>
      <w:r w:rsidR="006D0F4D" w:rsidRPr="00BF44FB">
        <w:rPr>
          <w:spacing w:val="-2"/>
        </w:rPr>
        <w:t xml:space="preserve"> the ability to provide state</w:t>
      </w:r>
      <w:r w:rsidR="006C3F5B" w:rsidRPr="00BF44FB">
        <w:rPr>
          <w:spacing w:val="-2"/>
        </w:rPr>
        <w:t xml:space="preserve">s </w:t>
      </w:r>
      <w:r w:rsidR="006D0F4D" w:rsidRPr="00BF44FB">
        <w:rPr>
          <w:spacing w:val="-2"/>
        </w:rPr>
        <w:t>with financial assistance under terms and conditions set by the</w:t>
      </w:r>
      <w:r w:rsidR="00967F63" w:rsidRPr="00BF44FB">
        <w:rPr>
          <w:spacing w:val="-2"/>
        </w:rPr>
        <w:t xml:space="preserve"> Australian Government</w:t>
      </w:r>
      <w:r w:rsidR="006D0F4D" w:rsidRPr="00BF44FB">
        <w:rPr>
          <w:spacing w:val="-2"/>
        </w:rPr>
        <w:t>.</w:t>
      </w:r>
      <w:r w:rsidR="006D0F4D" w:rsidRPr="00BF44FB">
        <w:rPr>
          <w:rStyle w:val="FootnoteReference"/>
          <w:spacing w:val="-2"/>
        </w:rPr>
        <w:footnoteReference w:id="2"/>
      </w:r>
      <w:r w:rsidR="006D0F4D" w:rsidRPr="00BF44FB">
        <w:rPr>
          <w:spacing w:val="-2"/>
        </w:rPr>
        <w:t xml:space="preserve"> </w:t>
      </w:r>
      <w:r w:rsidR="00955C91" w:rsidRPr="00BF44FB">
        <w:rPr>
          <w:spacing w:val="-2"/>
        </w:rPr>
        <w:t>Accordingly, t</w:t>
      </w:r>
      <w:r w:rsidRPr="00BF44FB">
        <w:rPr>
          <w:spacing w:val="-2"/>
        </w:rPr>
        <w:t xml:space="preserve">he </w:t>
      </w:r>
      <w:r w:rsidR="002E6293" w:rsidRPr="00BF44FB">
        <w:rPr>
          <w:spacing w:val="-2"/>
        </w:rPr>
        <w:t>Australian Government</w:t>
      </w:r>
      <w:r w:rsidRPr="00BF44FB">
        <w:rPr>
          <w:spacing w:val="-2"/>
        </w:rPr>
        <w:t xml:space="preserve"> provides significant grants to states each year to assist them in undertaking their policy responsibilities. In 2024</w:t>
      </w:r>
      <w:r w:rsidR="00E4760E" w:rsidRPr="00BF44FB">
        <w:rPr>
          <w:spacing w:val="-2"/>
        </w:rPr>
        <w:t>–</w:t>
      </w:r>
      <w:r w:rsidRPr="00BF44FB">
        <w:rPr>
          <w:spacing w:val="-2"/>
        </w:rPr>
        <w:t xml:space="preserve">25, the total value of these grants was $195 billion, equivalent to approximately 27% of total </w:t>
      </w:r>
      <w:r w:rsidR="003348B1" w:rsidRPr="00BF44FB">
        <w:rPr>
          <w:spacing w:val="-2"/>
        </w:rPr>
        <w:t>Australian G</w:t>
      </w:r>
      <w:r w:rsidRPr="00BF44FB">
        <w:rPr>
          <w:spacing w:val="-2"/>
        </w:rPr>
        <w:t>overnment revenue</w:t>
      </w:r>
      <w:r w:rsidR="00C3544A" w:rsidRPr="00BF44FB">
        <w:rPr>
          <w:spacing w:val="-2"/>
        </w:rPr>
        <w:t xml:space="preserve"> and </w:t>
      </w:r>
      <w:r w:rsidR="004820BB" w:rsidRPr="00BF44FB">
        <w:rPr>
          <w:spacing w:val="-2"/>
        </w:rPr>
        <w:t>4</w:t>
      </w:r>
      <w:r w:rsidR="0065390F" w:rsidRPr="00BF44FB">
        <w:rPr>
          <w:spacing w:val="-2"/>
        </w:rPr>
        <w:t>9</w:t>
      </w:r>
      <w:r w:rsidR="00C3544A" w:rsidRPr="00BF44FB">
        <w:rPr>
          <w:spacing w:val="-2"/>
        </w:rPr>
        <w:t xml:space="preserve">% of total </w:t>
      </w:r>
      <w:r w:rsidR="004820BB" w:rsidRPr="00BF44FB">
        <w:rPr>
          <w:spacing w:val="-2"/>
        </w:rPr>
        <w:t xml:space="preserve">state </w:t>
      </w:r>
      <w:r w:rsidR="00C3544A" w:rsidRPr="00BF44FB">
        <w:rPr>
          <w:spacing w:val="-2"/>
        </w:rPr>
        <w:t>revenue</w:t>
      </w:r>
      <w:r w:rsidRPr="00BF44FB">
        <w:rPr>
          <w:spacing w:val="-2"/>
        </w:rPr>
        <w:t xml:space="preserve"> </w:t>
      </w:r>
      <w:r w:rsidR="00A85F8F" w:rsidRPr="00BF44FB">
        <w:rPr>
          <w:rFonts w:cs="Open Sans"/>
          <w:spacing w:val="-2"/>
          <w:szCs w:val="24"/>
        </w:rPr>
        <w:t>(PC estimates using ABS 2026; Commonwealth of Australia 2025)</w:t>
      </w:r>
      <w:r w:rsidR="00EE2C9C" w:rsidRPr="00BF44FB">
        <w:rPr>
          <w:spacing w:val="-2"/>
        </w:rPr>
        <w:t xml:space="preserve">. </w:t>
      </w:r>
      <w:r w:rsidRPr="00BF44FB">
        <w:rPr>
          <w:spacing w:val="-2"/>
        </w:rPr>
        <w:t>These grants supplement the revenue states</w:t>
      </w:r>
      <w:r w:rsidRPr="00BF44FB" w:rsidDel="0070370E">
        <w:rPr>
          <w:spacing w:val="-2"/>
        </w:rPr>
        <w:t xml:space="preserve"> </w:t>
      </w:r>
      <w:r w:rsidRPr="00BF44FB">
        <w:rPr>
          <w:spacing w:val="-2"/>
        </w:rPr>
        <w:t xml:space="preserve">raise from their own sources to better align governments’ revenues with their service delivery responsibilities. They also ensure the benefits of decentralised governance are retained </w:t>
      </w:r>
      <w:r w:rsidR="00EE2C9C" w:rsidRPr="00BF44FB">
        <w:rPr>
          <w:rFonts w:cs="Open Sans"/>
          <w:spacing w:val="-2"/>
          <w:szCs w:val="24"/>
        </w:rPr>
        <w:t>(CGC 2020, p. 2)</w:t>
      </w:r>
      <w:r w:rsidR="008533CE" w:rsidRPr="00BF44FB">
        <w:rPr>
          <w:spacing w:val="-2"/>
        </w:rPr>
        <w:t>.</w:t>
      </w:r>
    </w:p>
    <w:p w14:paraId="62312910" w14:textId="26D5DF45" w:rsidR="00076493" w:rsidRPr="00BC2AFF" w:rsidRDefault="00076493" w:rsidP="00076493">
      <w:pPr>
        <w:pStyle w:val="BodyText"/>
      </w:pPr>
      <w:r w:rsidRPr="00BC2AFF">
        <w:t xml:space="preserve">Grants from the </w:t>
      </w:r>
      <w:r w:rsidR="002E6293">
        <w:t>Australian Government</w:t>
      </w:r>
      <w:r w:rsidRPr="00BC2AFF">
        <w:t xml:space="preserve"> to the states take </w:t>
      </w:r>
      <w:r w:rsidR="000F3AED">
        <w:t xml:space="preserve">2 </w:t>
      </w:r>
      <w:r w:rsidRPr="00BC2AFF">
        <w:t>main forms</w:t>
      </w:r>
      <w:r>
        <w:t>: tied and untied grants. Tied grants</w:t>
      </w:r>
      <w:r w:rsidRPr="00BC2AFF">
        <w:t xml:space="preserve"> are payments to states </w:t>
      </w:r>
      <w:r w:rsidR="00C85BD5">
        <w:t>that</w:t>
      </w:r>
      <w:r>
        <w:t xml:space="preserve"> must be used for pre-agreed</w:t>
      </w:r>
      <w:r w:rsidRPr="00BC2AFF">
        <w:t xml:space="preserve"> purposes</w:t>
      </w:r>
      <w:r>
        <w:t xml:space="preserve"> in</w:t>
      </w:r>
      <w:r w:rsidRPr="00BC2AFF">
        <w:t xml:space="preserve"> policy areas </w:t>
      </w:r>
      <w:r>
        <w:t>where</w:t>
      </w:r>
      <w:r w:rsidRPr="00BC2AFF">
        <w:t xml:space="preserve"> the states </w:t>
      </w:r>
      <w:r>
        <w:t>are primarily responsible for service delivery</w:t>
      </w:r>
      <w:r w:rsidRPr="00BC2AFF">
        <w:t xml:space="preserve"> </w:t>
      </w:r>
      <w:r>
        <w:t>(</w:t>
      </w:r>
      <w:r w:rsidRPr="00BC2AFF">
        <w:t xml:space="preserve">such as health, education or </w:t>
      </w:r>
      <w:r>
        <w:t>infrastructure)</w:t>
      </w:r>
      <w:r w:rsidRPr="00BC2AFF">
        <w:t xml:space="preserve"> </w:t>
      </w:r>
      <w:r w:rsidR="00047872" w:rsidRPr="004E22BA">
        <w:rPr>
          <w:rFonts w:cs="Open Sans"/>
          <w:szCs w:val="24"/>
        </w:rPr>
        <w:t>(Commonwealth of Australia 2025, p. 60)</w:t>
      </w:r>
      <w:r w:rsidRPr="00BC2AFF">
        <w:t xml:space="preserve">. </w:t>
      </w:r>
      <w:r>
        <w:t>I</w:t>
      </w:r>
      <w:r w:rsidRPr="00BC2AFF">
        <w:t>n 2024</w:t>
      </w:r>
      <w:r w:rsidR="00E4760E">
        <w:t>–</w:t>
      </w:r>
      <w:r w:rsidRPr="00BC2AFF">
        <w:t>25</w:t>
      </w:r>
      <w:r>
        <w:t>,</w:t>
      </w:r>
      <w:r w:rsidRPr="00BC2AFF">
        <w:t xml:space="preserve"> </w:t>
      </w:r>
      <w:r>
        <w:t>t</w:t>
      </w:r>
      <w:r w:rsidRPr="00BC2AFF">
        <w:t xml:space="preserve">he </w:t>
      </w:r>
      <w:r w:rsidR="002E6293">
        <w:t>Australian Government</w:t>
      </w:r>
      <w:r w:rsidRPr="00BC2AFF">
        <w:t xml:space="preserve"> provided </w:t>
      </w:r>
      <w:r>
        <w:t>about</w:t>
      </w:r>
      <w:r w:rsidRPr="00BC2AFF">
        <w:t xml:space="preserve"> $97.4</w:t>
      </w:r>
      <w:r>
        <w:t> </w:t>
      </w:r>
      <w:r w:rsidRPr="00BC2AFF">
        <w:t xml:space="preserve">billion in </w:t>
      </w:r>
      <w:r>
        <w:t>tied grants to states,</w:t>
      </w:r>
      <w:r w:rsidRPr="00BC2AFF">
        <w:t xml:space="preserve"> </w:t>
      </w:r>
      <w:r>
        <w:t>accounting for half</w:t>
      </w:r>
      <w:r w:rsidRPr="00BC2AFF">
        <w:t xml:space="preserve"> of total </w:t>
      </w:r>
      <w:r>
        <w:t xml:space="preserve">grants </w:t>
      </w:r>
      <w:r w:rsidR="00E4385E" w:rsidRPr="00E4385E">
        <w:rPr>
          <w:rFonts w:cs="Open Sans"/>
          <w:szCs w:val="24"/>
        </w:rPr>
        <w:t>(PC estimates using Commonwealth of Australia 2025)</w:t>
      </w:r>
      <w:r>
        <w:t>.</w:t>
      </w:r>
    </w:p>
    <w:p w14:paraId="185BD7A4" w14:textId="2F1E6D2A" w:rsidR="001B309E" w:rsidRDefault="00076493" w:rsidP="001B309E">
      <w:pPr>
        <w:pStyle w:val="BodyText"/>
      </w:pPr>
      <w:r w:rsidRPr="00BC2AFF">
        <w:t xml:space="preserve">The </w:t>
      </w:r>
      <w:r w:rsidR="002E6293">
        <w:t>Australian Government</w:t>
      </w:r>
      <w:r w:rsidRPr="00BC2AFF">
        <w:t xml:space="preserve"> also provides </w:t>
      </w:r>
      <w:r>
        <w:t>untied grants,</w:t>
      </w:r>
      <w:r w:rsidRPr="00BC2AFF">
        <w:t xml:space="preserve"> which states are free to spend according to their own budget priorities </w:t>
      </w:r>
      <w:r w:rsidR="00DD5A6D" w:rsidRPr="004E22BA">
        <w:rPr>
          <w:rFonts w:cs="Open Sans"/>
          <w:szCs w:val="24"/>
        </w:rPr>
        <w:t>(Commonwealth of Australia 2025, p. 64)</w:t>
      </w:r>
      <w:r>
        <w:t xml:space="preserve">. Most untied funding is delivered through the distribution of </w:t>
      </w:r>
      <w:r w:rsidR="00CF5105">
        <w:t xml:space="preserve">the </w:t>
      </w:r>
      <w:r>
        <w:t xml:space="preserve">GST </w:t>
      </w:r>
      <w:r w:rsidR="00CF5105">
        <w:t>pool</w:t>
      </w:r>
      <w:r>
        <w:t>,</w:t>
      </w:r>
      <w:r w:rsidRPr="00F90099">
        <w:rPr>
          <w:rStyle w:val="FootnoteReference"/>
        </w:rPr>
        <w:footnoteReference w:id="3"/>
      </w:r>
      <w:r w:rsidDel="000F2CD3">
        <w:t xml:space="preserve"> </w:t>
      </w:r>
      <w:r>
        <w:t xml:space="preserve">which is collected by the </w:t>
      </w:r>
      <w:r w:rsidR="002E6293">
        <w:t>Australian Government</w:t>
      </w:r>
      <w:r>
        <w:t xml:space="preserve"> and passed on to the states.</w:t>
      </w:r>
      <w:r w:rsidRPr="00BC2AFF">
        <w:t xml:space="preserve"> In 2024</w:t>
      </w:r>
      <w:r w:rsidR="00E4760E">
        <w:t>–</w:t>
      </w:r>
      <w:r w:rsidRPr="00BC2AFF">
        <w:t>25, states received $97.</w:t>
      </w:r>
      <w:r>
        <w:t>3 </w:t>
      </w:r>
      <w:r w:rsidRPr="00BC2AFF">
        <w:t xml:space="preserve">billion in </w:t>
      </w:r>
      <w:r>
        <w:t>untied funding,</w:t>
      </w:r>
      <w:r w:rsidRPr="00BC2AFF">
        <w:t xml:space="preserve"> of which $91.</w:t>
      </w:r>
      <w:r w:rsidR="000827C8">
        <w:t>2</w:t>
      </w:r>
      <w:r>
        <w:t> </w:t>
      </w:r>
      <w:r w:rsidRPr="00BC2AFF">
        <w:t xml:space="preserve">billion, or 94%, was GST payments </w:t>
      </w:r>
      <w:r w:rsidR="00E4385E" w:rsidRPr="00E4385E">
        <w:rPr>
          <w:rFonts w:cs="Open Sans"/>
          <w:szCs w:val="24"/>
        </w:rPr>
        <w:t>(PC estimates using Commonwealth of Australia 2025, p. 64)</w:t>
      </w:r>
      <w:r>
        <w:t>.</w:t>
      </w:r>
    </w:p>
    <w:p w14:paraId="217BCEFF" w14:textId="2FA2CBE0" w:rsidR="00E0417D" w:rsidRPr="00341905" w:rsidRDefault="009E572D" w:rsidP="00341905">
      <w:pPr>
        <w:pStyle w:val="Heading3"/>
      </w:pPr>
      <w:r w:rsidRPr="00341905">
        <w:t>T</w:t>
      </w:r>
      <w:r w:rsidR="00E0417D" w:rsidRPr="00341905">
        <w:t xml:space="preserve">he </w:t>
      </w:r>
      <w:r w:rsidR="00DF06A2" w:rsidRPr="00341905">
        <w:t xml:space="preserve">Australian Government </w:t>
      </w:r>
      <w:r w:rsidR="00E0417D" w:rsidRPr="00341905">
        <w:t xml:space="preserve">uses </w:t>
      </w:r>
      <w:r w:rsidR="002C177A" w:rsidRPr="00341905">
        <w:t xml:space="preserve">the GST pool </w:t>
      </w:r>
      <w:r w:rsidR="00E0417D" w:rsidRPr="00341905">
        <w:t xml:space="preserve">to </w:t>
      </w:r>
      <w:r w:rsidR="00FA1EEF" w:rsidRPr="00341905">
        <w:t>address HFI</w:t>
      </w:r>
      <w:r w:rsidR="001152C9" w:rsidRPr="00341905">
        <w:t xml:space="preserve"> (while also reducing VFI)</w:t>
      </w:r>
    </w:p>
    <w:p w14:paraId="1EC299AC" w14:textId="1E245831" w:rsidR="00104EA6" w:rsidRPr="008A5A34" w:rsidRDefault="00CF5105" w:rsidP="00076493">
      <w:pPr>
        <w:pStyle w:val="BodyText"/>
      </w:pPr>
      <w:r>
        <w:t xml:space="preserve">The </w:t>
      </w:r>
      <w:r w:rsidR="00104EA6" w:rsidRPr="00BC2AFF">
        <w:t xml:space="preserve">GST </w:t>
      </w:r>
      <w:r>
        <w:t>pool</w:t>
      </w:r>
      <w:r w:rsidR="00104EA6" w:rsidRPr="00BC2AFF">
        <w:t xml:space="preserve"> is distributed </w:t>
      </w:r>
      <w:r w:rsidR="00104EA6">
        <w:t>to the states</w:t>
      </w:r>
      <w:r w:rsidR="00104EA6" w:rsidRPr="00BC2AFF">
        <w:t xml:space="preserve"> with the explicit intent of delivering HFE</w:t>
      </w:r>
      <w:r w:rsidR="00104EA6">
        <w:t xml:space="preserve">. HFE involves the transfer of financial resources to and between subnational governments with the aim of mitigating regional differences in fiscal capacity </w:t>
      </w:r>
      <w:r w:rsidR="00850684" w:rsidRPr="00850684">
        <w:rPr>
          <w:rFonts w:cs="Open Sans"/>
        </w:rPr>
        <w:t>(Dougherty and Forman 2021, p. 5)</w:t>
      </w:r>
      <w:r w:rsidR="00104EA6">
        <w:t xml:space="preserve">. It seeks to address </w:t>
      </w:r>
      <w:r w:rsidR="00104EA6" w:rsidRPr="00BC2AFF">
        <w:t>HFI by equalising the fiscal capacities</w:t>
      </w:r>
      <w:r w:rsidR="004F7348">
        <w:t xml:space="preserve"> of states</w:t>
      </w:r>
      <w:r w:rsidR="00104EA6" w:rsidRPr="00BC2AFF">
        <w:t xml:space="preserve"> </w:t>
      </w:r>
      <w:r w:rsidR="00D3717A">
        <w:t>to give them the opportunity</w:t>
      </w:r>
      <w:r w:rsidR="004F7348">
        <w:t xml:space="preserve"> to provide </w:t>
      </w:r>
      <w:r w:rsidR="00104EA6" w:rsidRPr="00BC2AFF">
        <w:t xml:space="preserve">public services of a </w:t>
      </w:r>
      <w:r w:rsidR="00165971">
        <w:t xml:space="preserve">similar </w:t>
      </w:r>
      <w:r w:rsidR="00104EA6" w:rsidRPr="00BC2AFF">
        <w:t>standard</w:t>
      </w:r>
      <w:r w:rsidR="00386051">
        <w:t>, if they made the same</w:t>
      </w:r>
      <w:r w:rsidR="00104EA6" w:rsidRPr="00BC2AFF">
        <w:t xml:space="preserve"> </w:t>
      </w:r>
      <w:r w:rsidR="00386051" w:rsidRPr="00BC2AFF">
        <w:t>effort to raise own</w:t>
      </w:r>
      <w:r w:rsidR="00386051">
        <w:noBreakHyphen/>
      </w:r>
      <w:r w:rsidR="00386051" w:rsidRPr="00BC2AFF">
        <w:t>source revenue and operated at the average level of efficiency</w:t>
      </w:r>
      <w:r w:rsidR="00104EA6" w:rsidRPr="00BC2AFF">
        <w:t xml:space="preserve"> </w:t>
      </w:r>
      <w:r w:rsidR="00F44AAC" w:rsidRPr="00F44AAC">
        <w:rPr>
          <w:rFonts w:cs="Open Sans"/>
        </w:rPr>
        <w:t>(CGC 2025b, p. 231)</w:t>
      </w:r>
      <w:r w:rsidR="00104EA6">
        <w:t xml:space="preserve">. </w:t>
      </w:r>
      <w:r w:rsidR="008A5A34">
        <w:t xml:space="preserve">These are concepts of </w:t>
      </w:r>
      <w:r w:rsidR="008A5A34">
        <w:rPr>
          <w:i/>
          <w:iCs/>
        </w:rPr>
        <w:t xml:space="preserve">assessed </w:t>
      </w:r>
      <w:r w:rsidR="008A5A34">
        <w:t xml:space="preserve">revenue and spending, which differ from </w:t>
      </w:r>
      <w:r w:rsidR="008A5A34">
        <w:rPr>
          <w:i/>
          <w:iCs/>
        </w:rPr>
        <w:t xml:space="preserve">actual </w:t>
      </w:r>
      <w:r w:rsidR="008A5A34">
        <w:t>revenue and spending (section 6).</w:t>
      </w:r>
    </w:p>
    <w:p w14:paraId="7F9A4B21" w14:textId="05C61C6A" w:rsidR="00076493" w:rsidRPr="002F620A" w:rsidRDefault="00076493" w:rsidP="00076493">
      <w:pPr>
        <w:pStyle w:val="BodyText"/>
      </w:pPr>
      <w:r>
        <w:t>In practice,</w:t>
      </w:r>
      <w:r w:rsidDel="008A5A34">
        <w:t xml:space="preserve"> </w:t>
      </w:r>
      <w:r>
        <w:t>states with a relatively lower</w:t>
      </w:r>
      <w:r w:rsidR="008A5A34">
        <w:t xml:space="preserve"> assessed</w:t>
      </w:r>
      <w:r>
        <w:t xml:space="preserve"> fiscal capacity – because of higher </w:t>
      </w:r>
      <w:r w:rsidR="008A5A34">
        <w:t xml:space="preserve">assessed </w:t>
      </w:r>
      <w:r>
        <w:t xml:space="preserve">net costs of delivering services and/or lower </w:t>
      </w:r>
      <w:r w:rsidR="008A5A34">
        <w:t xml:space="preserve">assessed </w:t>
      </w:r>
      <w:r>
        <w:t xml:space="preserve">net capacity to raise revenue – receive more GST </w:t>
      </w:r>
      <w:r w:rsidR="005E2843">
        <w:t xml:space="preserve">payments </w:t>
      </w:r>
      <w:r>
        <w:t xml:space="preserve">per </w:t>
      </w:r>
      <w:r w:rsidR="005E2843">
        <w:t>capita</w:t>
      </w:r>
      <w:r>
        <w:t xml:space="preserve"> than states with a relatively </w:t>
      </w:r>
      <w:r w:rsidR="00851206">
        <w:t xml:space="preserve">greater </w:t>
      </w:r>
      <w:r>
        <w:t>fiscal capacity</w:t>
      </w:r>
      <w:r w:rsidR="00DA11CB">
        <w:t xml:space="preserve"> (</w:t>
      </w:r>
      <w:r w:rsidR="00C11D12">
        <w:t xml:space="preserve">figure </w:t>
      </w:r>
      <w:r w:rsidR="00440217">
        <w:t>2</w:t>
      </w:r>
      <w:r w:rsidR="00DA11CB">
        <w:t>)</w:t>
      </w:r>
      <w:r>
        <w:t>.</w:t>
      </w:r>
      <w:r w:rsidR="00703151" w:rsidRPr="002F620A">
        <w:t xml:space="preserve"> </w:t>
      </w:r>
    </w:p>
    <w:p w14:paraId="274738F8" w14:textId="308089A7" w:rsidR="00F00C12" w:rsidRPr="00146382" w:rsidRDefault="00F00C12">
      <w:pPr>
        <w:pStyle w:val="FigureTableHeading"/>
      </w:pPr>
      <w:r>
        <w:lastRenderedPageBreak/>
        <w:t xml:space="preserve">Figure </w:t>
      </w:r>
      <w:fldSimple w:instr=" SEQ Figure \* ARABIC \s 1 ">
        <w:r w:rsidR="00EB6801">
          <w:rPr>
            <w:noProof/>
          </w:rPr>
          <w:t>2</w:t>
        </w:r>
      </w:fldSimple>
      <w:r>
        <w:rPr>
          <w:noProof/>
        </w:rPr>
        <w:t xml:space="preserve"> </w:t>
      </w:r>
      <w:r>
        <w:t xml:space="preserve">– </w:t>
      </w:r>
      <w:r w:rsidR="006D0090">
        <w:t xml:space="preserve">States with greater fiscal capacities receive </w:t>
      </w:r>
      <w:r w:rsidR="00E64706">
        <w:t xml:space="preserve">a </w:t>
      </w:r>
      <w:r w:rsidR="006D0090">
        <w:t>l</w:t>
      </w:r>
      <w:r w:rsidR="006754E4">
        <w:t>ower</w:t>
      </w:r>
      <w:r w:rsidR="006D0090">
        <w:t xml:space="preserve"> </w:t>
      </w:r>
      <w:r w:rsidR="00E64706">
        <w:t xml:space="preserve">share of the </w:t>
      </w:r>
      <w:r w:rsidR="006D0090">
        <w:t>GST</w:t>
      </w:r>
      <w:r w:rsidR="00B00060">
        <w:t xml:space="preserve"> p</w:t>
      </w:r>
      <w:r w:rsidR="00E64706">
        <w:t>ool</w:t>
      </w:r>
    </w:p>
    <w:p w14:paraId="72614BD2" w14:textId="6BAB95D3" w:rsidR="00F00C12" w:rsidRDefault="006D0090">
      <w:pPr>
        <w:pStyle w:val="FigureTableSubheading"/>
        <w:keepLines/>
      </w:pPr>
      <w:r>
        <w:t xml:space="preserve">Average GST </w:t>
      </w:r>
      <w:r w:rsidR="007608CD">
        <w:t>payment</w:t>
      </w:r>
      <w:r w:rsidR="00C40A3D">
        <w:t xml:space="preserve"> </w:t>
      </w:r>
      <w:r>
        <w:t xml:space="preserve">per </w:t>
      </w:r>
      <w:r w:rsidR="005B3B24">
        <w:t>capita, 2000</w:t>
      </w:r>
      <w:r w:rsidR="00E4760E">
        <w:t>–</w:t>
      </w:r>
      <w:r w:rsidR="005B3B24">
        <w:t>01 to 2024</w:t>
      </w:r>
      <w:r w:rsidR="00E4760E">
        <w:t>–</w:t>
      </w:r>
      <w:r w:rsidR="005B3B24">
        <w:t>25</w:t>
      </w:r>
      <w:r w:rsidR="000666A9">
        <w:t>,</w:t>
      </w:r>
      <w:r w:rsidR="005B3B24">
        <w:t xml:space="preserve"> </w:t>
      </w:r>
      <w:r w:rsidR="0093588A">
        <w:t xml:space="preserve">constant </w:t>
      </w:r>
      <w:r w:rsidR="001A36B0">
        <w:t xml:space="preserve">prices </w:t>
      </w:r>
      <w:r w:rsidR="0093588A">
        <w:t>2024</w:t>
      </w:r>
      <w:r w:rsidR="0087077B">
        <w:t>–</w:t>
      </w:r>
      <w:r w:rsidR="001A36B0">
        <w:t>2</w:t>
      </w:r>
      <w:r w:rsidR="0093588A">
        <w:t>5 basis</w:t>
      </w:r>
    </w:p>
    <w:p w14:paraId="19A6AD4E" w14:textId="1457ED05" w:rsidR="00F00C12" w:rsidRPr="005550A0" w:rsidRDefault="008A2F3C">
      <w:pPr>
        <w:pStyle w:val="BodyText"/>
      </w:pPr>
      <w:r w:rsidRPr="008A2F3C">
        <w:rPr>
          <w:noProof/>
        </w:rPr>
        <w:drawing>
          <wp:inline distT="0" distB="0" distL="0" distR="0" wp14:anchorId="28F3A8D4" wp14:editId="47C4DC2A">
            <wp:extent cx="6120130" cy="2790825"/>
            <wp:effectExtent l="0" t="0" r="0" b="9525"/>
            <wp:docPr id="1107066377" name="Picture 5" descr="A column chart of each state’s average GST allocation from 2000-01 to 2024-25 in per capita terms, compared to the national average GST allocation. NSW, VIC, and WA on average receive less than the national average GST allocation, while the other states receive on average more than the national average GST al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066377" name="Picture 5" descr="A column chart of each state’s average GST allocation from 2000-01 to 2024-25 in per capita terms, compared to the national average GST allocation. NSW, VIC, and WA on average receive less than the national average GST allocation, while the other states receive on average more than the national average GST allocation."/>
                    <pic:cNvPicPr>
                      <a:picLocks noChangeAspect="1" noChangeArrowheads="1"/>
                    </pic:cNvPicPr>
                  </pic:nvPicPr>
                  <pic:blipFill rotWithShape="1">
                    <a:blip r:embed="rId15">
                      <a:extLst>
                        <a:ext uri="{28A0092B-C50C-407E-A947-70E740481C1C}">
                          <a14:useLocalDpi xmlns:a14="http://schemas.microsoft.com/office/drawing/2010/main" val="0"/>
                        </a:ext>
                      </a:extLst>
                    </a:blip>
                    <a:srcRect b="2916"/>
                    <a:stretch>
                      <a:fillRect/>
                    </a:stretch>
                  </pic:blipFill>
                  <pic:spPr bwMode="auto">
                    <a:xfrm>
                      <a:off x="0" y="0"/>
                      <a:ext cx="6120130" cy="2790825"/>
                    </a:xfrm>
                    <a:prstGeom prst="rect">
                      <a:avLst/>
                    </a:prstGeom>
                    <a:noFill/>
                    <a:ln>
                      <a:noFill/>
                    </a:ln>
                    <a:extLst>
                      <a:ext uri="{53640926-AAD7-44D8-BBD7-CCE9431645EC}">
                        <a14:shadowObscured xmlns:a14="http://schemas.microsoft.com/office/drawing/2010/main"/>
                      </a:ext>
                    </a:extLst>
                  </pic:spPr>
                </pic:pic>
              </a:graphicData>
            </a:graphic>
          </wp:inline>
        </w:drawing>
      </w:r>
    </w:p>
    <w:p w14:paraId="2A53401C" w14:textId="0E417796" w:rsidR="00F00C12" w:rsidRDefault="00AE5614">
      <w:pPr>
        <w:pStyle w:val="Note"/>
        <w:keepLines/>
      </w:pPr>
      <w:r>
        <w:t xml:space="preserve">GST payments do not include </w:t>
      </w:r>
      <w:r w:rsidR="00E43524">
        <w:t>other general revenue assistance (including payments under the No Worse</w:t>
      </w:r>
      <w:r w:rsidR="00D46213">
        <w:t xml:space="preserve"> </w:t>
      </w:r>
      <w:r w:rsidR="00E43524">
        <w:t xml:space="preserve">Off Guarantee or </w:t>
      </w:r>
      <w:r w:rsidR="009D3109">
        <w:t>t</w:t>
      </w:r>
      <w:r w:rsidR="00E43524">
        <w:t>ransitional GST top-up arrangements)</w:t>
      </w:r>
      <w:r w:rsidR="00F00C12" w:rsidRPr="0031161F">
        <w:t>.</w:t>
      </w:r>
    </w:p>
    <w:p w14:paraId="5C09FC8C" w14:textId="6519E5A3" w:rsidR="00AE0D08" w:rsidRDefault="00F00C12" w:rsidP="00F00C12">
      <w:pPr>
        <w:pStyle w:val="Source"/>
      </w:pPr>
      <w:r w:rsidRPr="00696447">
        <w:t>Source:</w:t>
      </w:r>
      <w:r w:rsidR="005F797E">
        <w:t xml:space="preserve"> PC estimates using Commonwealth of Australia</w:t>
      </w:r>
      <w:r w:rsidRPr="00696447">
        <w:t xml:space="preserve"> </w:t>
      </w:r>
      <w:r w:rsidR="00284539" w:rsidRPr="00284539">
        <w:rPr>
          <w:rFonts w:cs="Open Sans"/>
        </w:rPr>
        <w:t>(2025 and various other years)</w:t>
      </w:r>
      <w:r w:rsidR="005F797E">
        <w:t>.</w:t>
      </w:r>
    </w:p>
    <w:p w14:paraId="09128BF1" w14:textId="1703EFEB" w:rsidR="000549BA" w:rsidRPr="001A452A" w:rsidRDefault="00160211" w:rsidP="00076493">
      <w:pPr>
        <w:pStyle w:val="BodyText"/>
        <w:rPr>
          <w:spacing w:val="-2"/>
        </w:rPr>
      </w:pPr>
      <w:r w:rsidRPr="001A452A">
        <w:rPr>
          <w:spacing w:val="-2"/>
        </w:rPr>
        <w:t xml:space="preserve">For example, </w:t>
      </w:r>
      <w:r w:rsidR="00D356DD" w:rsidRPr="001A452A">
        <w:rPr>
          <w:spacing w:val="-2"/>
        </w:rPr>
        <w:t xml:space="preserve">the </w:t>
      </w:r>
      <w:r w:rsidR="007641D9" w:rsidRPr="001A452A">
        <w:rPr>
          <w:spacing w:val="-2"/>
        </w:rPr>
        <w:t>s</w:t>
      </w:r>
      <w:r w:rsidR="00B9721D" w:rsidRPr="001A452A">
        <w:rPr>
          <w:spacing w:val="-2"/>
        </w:rPr>
        <w:t>cale</w:t>
      </w:r>
      <w:r w:rsidR="00D356DD" w:rsidRPr="001A452A">
        <w:rPr>
          <w:spacing w:val="-2"/>
        </w:rPr>
        <w:t xml:space="preserve"> of </w:t>
      </w:r>
      <w:r w:rsidR="00C0185D" w:rsidRPr="001A452A">
        <w:rPr>
          <w:spacing w:val="-2"/>
        </w:rPr>
        <w:t>Western Australia</w:t>
      </w:r>
      <w:r w:rsidR="009437A7" w:rsidRPr="001A452A">
        <w:rPr>
          <w:spacing w:val="-2"/>
        </w:rPr>
        <w:t xml:space="preserve">’s </w:t>
      </w:r>
      <w:r w:rsidR="00990C0B" w:rsidRPr="001A452A">
        <w:rPr>
          <w:spacing w:val="-2"/>
        </w:rPr>
        <w:t>resource endowment</w:t>
      </w:r>
      <w:r w:rsidR="00D5715E" w:rsidRPr="001A452A">
        <w:rPr>
          <w:spacing w:val="-2"/>
        </w:rPr>
        <w:t xml:space="preserve"> </w:t>
      </w:r>
      <w:r w:rsidR="00775CA7" w:rsidRPr="001A452A">
        <w:rPr>
          <w:spacing w:val="-2"/>
        </w:rPr>
        <w:t>creates a</w:t>
      </w:r>
      <w:r w:rsidR="00294346" w:rsidRPr="001A452A">
        <w:rPr>
          <w:spacing w:val="-2"/>
        </w:rPr>
        <w:t xml:space="preserve"> </w:t>
      </w:r>
      <w:r w:rsidR="003A6BA7" w:rsidRPr="001A452A">
        <w:rPr>
          <w:spacing w:val="-2"/>
        </w:rPr>
        <w:t>substantial</w:t>
      </w:r>
      <w:r w:rsidR="000B0EB3" w:rsidRPr="001A452A">
        <w:rPr>
          <w:spacing w:val="-2"/>
        </w:rPr>
        <w:t xml:space="preserve"> </w:t>
      </w:r>
      <w:r w:rsidR="008A5A34" w:rsidRPr="001A452A">
        <w:rPr>
          <w:spacing w:val="-2"/>
        </w:rPr>
        <w:t xml:space="preserve">assessed </w:t>
      </w:r>
      <w:r w:rsidR="00294346" w:rsidRPr="001A452A">
        <w:rPr>
          <w:spacing w:val="-2"/>
        </w:rPr>
        <w:t xml:space="preserve">revenue </w:t>
      </w:r>
      <w:r w:rsidR="003A6BA7" w:rsidRPr="001A452A">
        <w:rPr>
          <w:spacing w:val="-2"/>
        </w:rPr>
        <w:t xml:space="preserve">advantage compared to </w:t>
      </w:r>
      <w:r w:rsidR="00362689" w:rsidRPr="001A452A">
        <w:rPr>
          <w:spacing w:val="-2"/>
        </w:rPr>
        <w:t>some</w:t>
      </w:r>
      <w:r w:rsidR="003A6BA7" w:rsidRPr="001A452A">
        <w:rPr>
          <w:spacing w:val="-2"/>
        </w:rPr>
        <w:t xml:space="preserve"> other states</w:t>
      </w:r>
      <w:r w:rsidR="005346BB" w:rsidRPr="001A452A">
        <w:rPr>
          <w:spacing w:val="-2"/>
        </w:rPr>
        <w:t xml:space="preserve"> </w:t>
      </w:r>
      <w:r w:rsidR="005346BB" w:rsidRPr="001A452A">
        <w:rPr>
          <w:rFonts w:cs="Open Sans"/>
          <w:spacing w:val="-2"/>
          <w:szCs w:val="24"/>
        </w:rPr>
        <w:t>(CGC 2026a, p. 34)</w:t>
      </w:r>
      <w:r w:rsidR="00775CA7" w:rsidRPr="001A452A">
        <w:rPr>
          <w:spacing w:val="-2"/>
        </w:rPr>
        <w:t>. Similarly, New South Wales</w:t>
      </w:r>
      <w:r w:rsidR="00077046" w:rsidRPr="001A452A">
        <w:rPr>
          <w:spacing w:val="-2"/>
        </w:rPr>
        <w:t xml:space="preserve"> has </w:t>
      </w:r>
      <w:r w:rsidR="00C07CE8" w:rsidRPr="001A452A">
        <w:rPr>
          <w:spacing w:val="-2"/>
        </w:rPr>
        <w:t>stronger property sales and land values</w:t>
      </w:r>
      <w:r w:rsidR="000F086A" w:rsidRPr="001A452A">
        <w:rPr>
          <w:spacing w:val="-2"/>
        </w:rPr>
        <w:t xml:space="preserve"> compared to</w:t>
      </w:r>
      <w:r w:rsidR="00C07CE8" w:rsidRPr="001A452A">
        <w:rPr>
          <w:spacing w:val="-2"/>
        </w:rPr>
        <w:t xml:space="preserve"> </w:t>
      </w:r>
      <w:r w:rsidR="00E578CB" w:rsidRPr="001A452A">
        <w:rPr>
          <w:spacing w:val="-2"/>
        </w:rPr>
        <w:t>other states,</w:t>
      </w:r>
      <w:r w:rsidR="00A40FC7" w:rsidRPr="001A452A">
        <w:rPr>
          <w:spacing w:val="-2"/>
        </w:rPr>
        <w:t xml:space="preserve"> which </w:t>
      </w:r>
      <w:r w:rsidR="000F086A" w:rsidRPr="001A452A">
        <w:rPr>
          <w:spacing w:val="-2"/>
        </w:rPr>
        <w:t xml:space="preserve">increases the </w:t>
      </w:r>
      <w:r w:rsidR="008A5A34" w:rsidRPr="001A452A">
        <w:rPr>
          <w:spacing w:val="-2"/>
        </w:rPr>
        <w:t xml:space="preserve">assessed </w:t>
      </w:r>
      <w:r w:rsidR="000F086A" w:rsidRPr="001A452A">
        <w:rPr>
          <w:spacing w:val="-2"/>
        </w:rPr>
        <w:t>revenue New South Wales can raise</w:t>
      </w:r>
      <w:r w:rsidR="00D92D29" w:rsidRPr="001A452A">
        <w:rPr>
          <w:spacing w:val="-2"/>
        </w:rPr>
        <w:t xml:space="preserve"> from </w:t>
      </w:r>
      <w:r w:rsidR="006D4860" w:rsidRPr="001A452A">
        <w:rPr>
          <w:spacing w:val="-2"/>
        </w:rPr>
        <w:t>property transactions</w:t>
      </w:r>
      <w:r w:rsidR="00B2195F" w:rsidRPr="001A452A">
        <w:rPr>
          <w:spacing w:val="-2"/>
        </w:rPr>
        <w:t xml:space="preserve"> (CGC 2026a, p. 34)</w:t>
      </w:r>
      <w:r w:rsidR="006D4860" w:rsidRPr="001A452A">
        <w:rPr>
          <w:spacing w:val="-2"/>
        </w:rPr>
        <w:t xml:space="preserve">. </w:t>
      </w:r>
      <w:r w:rsidR="00C80FE0" w:rsidRPr="001A452A">
        <w:rPr>
          <w:spacing w:val="-2"/>
        </w:rPr>
        <w:t xml:space="preserve">These factors </w:t>
      </w:r>
      <w:r w:rsidR="00036319" w:rsidRPr="001A452A">
        <w:rPr>
          <w:spacing w:val="-2"/>
        </w:rPr>
        <w:t>contribute to an</w:t>
      </w:r>
      <w:r w:rsidR="00C80FE0" w:rsidRPr="001A452A">
        <w:rPr>
          <w:spacing w:val="-2"/>
        </w:rPr>
        <w:t xml:space="preserve"> </w:t>
      </w:r>
      <w:r w:rsidR="00077046" w:rsidRPr="001A452A">
        <w:rPr>
          <w:spacing w:val="-2"/>
        </w:rPr>
        <w:t>increased fiscal capacity</w:t>
      </w:r>
      <w:r w:rsidR="003A6BA7" w:rsidRPr="001A452A">
        <w:rPr>
          <w:spacing w:val="-2"/>
        </w:rPr>
        <w:t xml:space="preserve"> </w:t>
      </w:r>
      <w:r w:rsidR="00036319" w:rsidRPr="001A452A">
        <w:rPr>
          <w:spacing w:val="-2"/>
        </w:rPr>
        <w:t xml:space="preserve">in these states </w:t>
      </w:r>
      <w:r w:rsidR="00077046" w:rsidRPr="001A452A">
        <w:rPr>
          <w:spacing w:val="-2"/>
        </w:rPr>
        <w:t>and</w:t>
      </w:r>
      <w:r w:rsidR="000549BA" w:rsidRPr="001A452A">
        <w:rPr>
          <w:spacing w:val="-2"/>
        </w:rPr>
        <w:t>,</w:t>
      </w:r>
      <w:r w:rsidR="00077046" w:rsidRPr="001A452A">
        <w:rPr>
          <w:spacing w:val="-2"/>
        </w:rPr>
        <w:t xml:space="preserve"> therefore</w:t>
      </w:r>
      <w:r w:rsidR="000549BA" w:rsidRPr="001A452A">
        <w:rPr>
          <w:spacing w:val="-2"/>
        </w:rPr>
        <w:t>,</w:t>
      </w:r>
      <w:r w:rsidR="00077046" w:rsidRPr="001A452A">
        <w:rPr>
          <w:spacing w:val="-2"/>
        </w:rPr>
        <w:t xml:space="preserve"> </w:t>
      </w:r>
      <w:r w:rsidR="00A804A4" w:rsidRPr="001A452A">
        <w:rPr>
          <w:spacing w:val="-2"/>
        </w:rPr>
        <w:t>relatively</w:t>
      </w:r>
      <w:r w:rsidR="00077046" w:rsidRPr="001A452A">
        <w:rPr>
          <w:spacing w:val="-2"/>
        </w:rPr>
        <w:t xml:space="preserve"> </w:t>
      </w:r>
      <w:r w:rsidR="00036319" w:rsidRPr="001A452A">
        <w:rPr>
          <w:spacing w:val="-2"/>
        </w:rPr>
        <w:t>lower</w:t>
      </w:r>
      <w:r w:rsidR="00077046" w:rsidRPr="001A452A">
        <w:rPr>
          <w:spacing w:val="-2"/>
        </w:rPr>
        <w:t xml:space="preserve"> GST</w:t>
      </w:r>
      <w:r w:rsidR="002E7988" w:rsidRPr="001A452A">
        <w:rPr>
          <w:spacing w:val="-2"/>
        </w:rPr>
        <w:t xml:space="preserve"> payments per capita</w:t>
      </w:r>
      <w:r w:rsidR="00077046" w:rsidRPr="001A452A">
        <w:rPr>
          <w:spacing w:val="-2"/>
        </w:rPr>
        <w:t>.</w:t>
      </w:r>
    </w:p>
    <w:p w14:paraId="1BF6AF1C" w14:textId="2F7861AC" w:rsidR="000549BA" w:rsidRPr="001A452A" w:rsidRDefault="000549BA" w:rsidP="00076493">
      <w:pPr>
        <w:pStyle w:val="BodyText"/>
        <w:rPr>
          <w:spacing w:val="-2"/>
        </w:rPr>
      </w:pPr>
      <w:r w:rsidRPr="001A452A">
        <w:rPr>
          <w:spacing w:val="-2"/>
        </w:rPr>
        <w:t xml:space="preserve">On the other hand, </w:t>
      </w:r>
      <w:r w:rsidR="008A5A34" w:rsidRPr="001A452A">
        <w:rPr>
          <w:spacing w:val="-2"/>
        </w:rPr>
        <w:t xml:space="preserve">assessed </w:t>
      </w:r>
      <w:r w:rsidR="00A67F17" w:rsidRPr="001A452A">
        <w:rPr>
          <w:spacing w:val="-2"/>
        </w:rPr>
        <w:t xml:space="preserve">service delivery costs are higher in </w:t>
      </w:r>
      <w:r w:rsidR="00032BBD" w:rsidRPr="001A452A">
        <w:rPr>
          <w:spacing w:val="-2"/>
        </w:rPr>
        <w:t xml:space="preserve">the Northern Territory </w:t>
      </w:r>
      <w:r w:rsidR="00F9038F" w:rsidRPr="001A452A">
        <w:rPr>
          <w:spacing w:val="-2"/>
        </w:rPr>
        <w:t>and Tasmania</w:t>
      </w:r>
      <w:r w:rsidR="00903A0B" w:rsidRPr="001A452A">
        <w:rPr>
          <w:spacing w:val="-2"/>
        </w:rPr>
        <w:t xml:space="preserve"> due to remoteness an</w:t>
      </w:r>
      <w:r w:rsidR="00E568B2" w:rsidRPr="001A452A">
        <w:rPr>
          <w:spacing w:val="-2"/>
        </w:rPr>
        <w:t>d the higher reliance of their residents on public services</w:t>
      </w:r>
      <w:r w:rsidR="00903A0B" w:rsidRPr="001A452A">
        <w:rPr>
          <w:spacing w:val="-2"/>
        </w:rPr>
        <w:t>.</w:t>
      </w:r>
      <w:r w:rsidR="00870E69" w:rsidRPr="001A452A">
        <w:rPr>
          <w:spacing w:val="-2"/>
        </w:rPr>
        <w:t xml:space="preserve"> For example,</w:t>
      </w:r>
      <w:r w:rsidR="009D2702" w:rsidRPr="001A452A">
        <w:rPr>
          <w:spacing w:val="-2"/>
        </w:rPr>
        <w:t xml:space="preserve"> in 2024</w:t>
      </w:r>
      <w:r w:rsidR="009413CA" w:rsidRPr="001A452A">
        <w:rPr>
          <w:spacing w:val="-2"/>
        </w:rPr>
        <w:t>–</w:t>
      </w:r>
      <w:r w:rsidR="009D2702" w:rsidRPr="001A452A">
        <w:rPr>
          <w:spacing w:val="-2"/>
        </w:rPr>
        <w:t>25</w:t>
      </w:r>
      <w:r w:rsidR="005D7E89" w:rsidRPr="001A452A">
        <w:rPr>
          <w:spacing w:val="-2"/>
        </w:rPr>
        <w:t>,</w:t>
      </w:r>
      <w:r w:rsidR="00680091" w:rsidRPr="001A452A">
        <w:rPr>
          <w:spacing w:val="-2"/>
        </w:rPr>
        <w:t xml:space="preserve"> the C</w:t>
      </w:r>
      <w:r w:rsidR="00F22798" w:rsidRPr="001A452A">
        <w:rPr>
          <w:spacing w:val="-2"/>
        </w:rPr>
        <w:t xml:space="preserve">ommonwealth </w:t>
      </w:r>
      <w:r w:rsidR="00680091" w:rsidRPr="001A452A">
        <w:rPr>
          <w:spacing w:val="-2"/>
        </w:rPr>
        <w:t>G</w:t>
      </w:r>
      <w:r w:rsidR="00F22798" w:rsidRPr="001A452A">
        <w:rPr>
          <w:spacing w:val="-2"/>
        </w:rPr>
        <w:t xml:space="preserve">rants </w:t>
      </w:r>
      <w:r w:rsidR="00680091" w:rsidRPr="001A452A">
        <w:rPr>
          <w:spacing w:val="-2"/>
        </w:rPr>
        <w:t>C</w:t>
      </w:r>
      <w:r w:rsidR="00F22798" w:rsidRPr="001A452A">
        <w:rPr>
          <w:spacing w:val="-2"/>
        </w:rPr>
        <w:t>ommission (CGC)</w:t>
      </w:r>
      <w:r w:rsidR="00680091" w:rsidRPr="001A452A">
        <w:rPr>
          <w:spacing w:val="-2"/>
        </w:rPr>
        <w:t xml:space="preserve"> assess</w:t>
      </w:r>
      <w:r w:rsidR="009D2702" w:rsidRPr="001A452A">
        <w:rPr>
          <w:spacing w:val="-2"/>
        </w:rPr>
        <w:t>ed</w:t>
      </w:r>
      <w:r w:rsidR="008D4950" w:rsidRPr="001A452A">
        <w:rPr>
          <w:spacing w:val="-2"/>
        </w:rPr>
        <w:t xml:space="preserve"> </w:t>
      </w:r>
      <w:r w:rsidR="00B57267" w:rsidRPr="001A452A">
        <w:rPr>
          <w:spacing w:val="-2"/>
        </w:rPr>
        <w:t>that</w:t>
      </w:r>
      <w:r w:rsidR="008D4950" w:rsidRPr="001A452A">
        <w:rPr>
          <w:spacing w:val="-2"/>
        </w:rPr>
        <w:t xml:space="preserve"> providing</w:t>
      </w:r>
      <w:r w:rsidR="00B7146E" w:rsidRPr="001A452A">
        <w:rPr>
          <w:spacing w:val="-2"/>
        </w:rPr>
        <w:t xml:space="preserve"> </w:t>
      </w:r>
      <w:r w:rsidR="008D4950" w:rsidRPr="001A452A">
        <w:rPr>
          <w:spacing w:val="-2"/>
        </w:rPr>
        <w:t xml:space="preserve">housing services in the Northern Territory </w:t>
      </w:r>
      <w:r w:rsidR="006264B2" w:rsidRPr="001A452A">
        <w:rPr>
          <w:spacing w:val="-2"/>
        </w:rPr>
        <w:t>cost</w:t>
      </w:r>
      <w:r w:rsidR="008D4950" w:rsidRPr="001A452A">
        <w:rPr>
          <w:spacing w:val="-2"/>
        </w:rPr>
        <w:t>s</w:t>
      </w:r>
      <w:r w:rsidR="006264B2" w:rsidRPr="001A452A">
        <w:rPr>
          <w:spacing w:val="-2"/>
        </w:rPr>
        <w:t xml:space="preserve"> </w:t>
      </w:r>
      <w:r w:rsidR="00B57267" w:rsidRPr="001A452A">
        <w:rPr>
          <w:spacing w:val="-2"/>
        </w:rPr>
        <w:t>more than</w:t>
      </w:r>
      <w:r w:rsidR="006264B2" w:rsidRPr="001A452A">
        <w:rPr>
          <w:spacing w:val="-2"/>
        </w:rPr>
        <w:t xml:space="preserve"> </w:t>
      </w:r>
      <w:r w:rsidR="009D2702" w:rsidRPr="001A452A">
        <w:rPr>
          <w:spacing w:val="-2"/>
        </w:rPr>
        <w:t>7</w:t>
      </w:r>
      <w:r w:rsidR="006264B2" w:rsidRPr="001A452A">
        <w:rPr>
          <w:spacing w:val="-2"/>
        </w:rPr>
        <w:t xml:space="preserve"> times the national </w:t>
      </w:r>
      <w:r w:rsidR="008D4950" w:rsidRPr="001A452A">
        <w:rPr>
          <w:spacing w:val="-2"/>
        </w:rPr>
        <w:t xml:space="preserve">per capita </w:t>
      </w:r>
      <w:r w:rsidR="006264B2" w:rsidRPr="001A452A">
        <w:rPr>
          <w:spacing w:val="-2"/>
        </w:rPr>
        <w:t>average</w:t>
      </w:r>
      <w:r w:rsidR="008D4950" w:rsidRPr="001A452A">
        <w:rPr>
          <w:spacing w:val="-2"/>
        </w:rPr>
        <w:t xml:space="preserve">, </w:t>
      </w:r>
      <w:r w:rsidR="00B966B6" w:rsidRPr="001A452A">
        <w:rPr>
          <w:spacing w:val="-2"/>
        </w:rPr>
        <w:t xml:space="preserve">justice </w:t>
      </w:r>
      <w:r w:rsidR="00B57267" w:rsidRPr="001A452A">
        <w:rPr>
          <w:spacing w:val="-2"/>
        </w:rPr>
        <w:t>more than</w:t>
      </w:r>
      <w:r w:rsidR="00B966B6" w:rsidRPr="001A452A">
        <w:rPr>
          <w:spacing w:val="-2"/>
        </w:rPr>
        <w:t xml:space="preserve"> </w:t>
      </w:r>
      <w:r w:rsidR="00E90254" w:rsidRPr="001A452A">
        <w:rPr>
          <w:spacing w:val="-2"/>
        </w:rPr>
        <w:t>3</w:t>
      </w:r>
      <w:r w:rsidR="00B966B6" w:rsidRPr="001A452A">
        <w:rPr>
          <w:spacing w:val="-2"/>
        </w:rPr>
        <w:t xml:space="preserve"> times, and welfare and roads more than double</w:t>
      </w:r>
      <w:r w:rsidR="00857850" w:rsidRPr="001A452A">
        <w:rPr>
          <w:spacing w:val="-2"/>
        </w:rPr>
        <w:t xml:space="preserve"> </w:t>
      </w:r>
      <w:r w:rsidR="00505671" w:rsidRPr="001A452A">
        <w:rPr>
          <w:rFonts w:cs="Open Sans"/>
          <w:spacing w:val="-2"/>
        </w:rPr>
        <w:t>(PC estimates using CGC 2026b)</w:t>
      </w:r>
      <w:r w:rsidR="000976C5" w:rsidRPr="001A452A">
        <w:rPr>
          <w:spacing w:val="-2"/>
        </w:rPr>
        <w:t>.</w:t>
      </w:r>
      <w:r w:rsidR="00F9038F" w:rsidRPr="001A452A">
        <w:rPr>
          <w:spacing w:val="-2"/>
        </w:rPr>
        <w:t xml:space="preserve"> </w:t>
      </w:r>
      <w:r w:rsidR="005D7E89" w:rsidRPr="001A452A">
        <w:rPr>
          <w:spacing w:val="-2"/>
        </w:rPr>
        <w:t>In the same year, t</w:t>
      </w:r>
      <w:r w:rsidR="00EB5DB5" w:rsidRPr="001A452A">
        <w:rPr>
          <w:spacing w:val="-2"/>
        </w:rPr>
        <w:t>he CGC also assess</w:t>
      </w:r>
      <w:r w:rsidR="002108F0" w:rsidRPr="001A452A">
        <w:rPr>
          <w:spacing w:val="-2"/>
        </w:rPr>
        <w:t>ed</w:t>
      </w:r>
      <w:r w:rsidR="00EB5DB5" w:rsidRPr="001A452A">
        <w:rPr>
          <w:spacing w:val="-2"/>
        </w:rPr>
        <w:t xml:space="preserve"> that </w:t>
      </w:r>
      <w:r w:rsidR="00F473DE" w:rsidRPr="001A452A">
        <w:rPr>
          <w:spacing w:val="-2"/>
        </w:rPr>
        <w:t>Tasmania ha</w:t>
      </w:r>
      <w:r w:rsidR="002108F0" w:rsidRPr="001A452A">
        <w:rPr>
          <w:spacing w:val="-2"/>
        </w:rPr>
        <w:t>d</w:t>
      </w:r>
      <w:r w:rsidR="00F473DE" w:rsidRPr="001A452A">
        <w:rPr>
          <w:spacing w:val="-2"/>
        </w:rPr>
        <w:t xml:space="preserve"> higher costs of providing public services than the</w:t>
      </w:r>
      <w:r w:rsidR="005D7E89" w:rsidRPr="001A452A">
        <w:rPr>
          <w:spacing w:val="-2"/>
        </w:rPr>
        <w:t xml:space="preserve"> </w:t>
      </w:r>
      <w:r w:rsidR="00F473DE" w:rsidRPr="001A452A">
        <w:rPr>
          <w:spacing w:val="-2"/>
        </w:rPr>
        <w:t>national per capita average</w:t>
      </w:r>
      <w:r w:rsidR="006F0F59" w:rsidRPr="001A452A">
        <w:rPr>
          <w:spacing w:val="-2"/>
        </w:rPr>
        <w:t xml:space="preserve"> </w:t>
      </w:r>
      <w:r w:rsidR="00F473DE" w:rsidRPr="001A452A">
        <w:rPr>
          <w:spacing w:val="-2"/>
        </w:rPr>
        <w:t xml:space="preserve">in </w:t>
      </w:r>
      <w:r w:rsidR="006F0F59" w:rsidRPr="001A452A">
        <w:rPr>
          <w:spacing w:val="-2"/>
        </w:rPr>
        <w:t>more than half of</w:t>
      </w:r>
      <w:r w:rsidR="00DD592B" w:rsidRPr="001A452A">
        <w:rPr>
          <w:spacing w:val="-2"/>
        </w:rPr>
        <w:t xml:space="preserve"> the</w:t>
      </w:r>
      <w:r w:rsidR="006F0F59" w:rsidRPr="001A452A">
        <w:rPr>
          <w:spacing w:val="-2"/>
        </w:rPr>
        <w:t xml:space="preserve"> sectors where expense needs are assessed</w:t>
      </w:r>
      <w:r w:rsidR="009934B3" w:rsidRPr="001A452A">
        <w:rPr>
          <w:spacing w:val="-2"/>
        </w:rPr>
        <w:t xml:space="preserve"> </w:t>
      </w:r>
      <w:r w:rsidR="00313B54" w:rsidRPr="001A452A">
        <w:rPr>
          <w:spacing w:val="-2"/>
        </w:rPr>
        <w:t>(CGC 2026b)</w:t>
      </w:r>
      <w:r w:rsidR="00F473DE" w:rsidRPr="001A452A">
        <w:rPr>
          <w:spacing w:val="-2"/>
        </w:rPr>
        <w:t>.</w:t>
      </w:r>
      <w:r w:rsidR="000C3813" w:rsidRPr="001A452A">
        <w:rPr>
          <w:spacing w:val="-2"/>
        </w:rPr>
        <w:t xml:space="preserve"> In the absence of commensurate revenue advantages</w:t>
      </w:r>
      <w:r w:rsidR="00475FBC" w:rsidRPr="001A452A">
        <w:rPr>
          <w:spacing w:val="-2"/>
        </w:rPr>
        <w:t xml:space="preserve"> in these states</w:t>
      </w:r>
      <w:r w:rsidR="000C3813" w:rsidRPr="001A452A">
        <w:rPr>
          <w:spacing w:val="-2"/>
        </w:rPr>
        <w:t xml:space="preserve">, </w:t>
      </w:r>
      <w:r w:rsidR="00D47291" w:rsidRPr="001A452A">
        <w:rPr>
          <w:spacing w:val="-2"/>
        </w:rPr>
        <w:t>these higher assessed expenditures</w:t>
      </w:r>
      <w:r w:rsidR="000C3813" w:rsidRPr="001A452A">
        <w:rPr>
          <w:spacing w:val="-2"/>
        </w:rPr>
        <w:t xml:space="preserve"> </w:t>
      </w:r>
      <w:r w:rsidR="00D47291" w:rsidRPr="001A452A">
        <w:rPr>
          <w:spacing w:val="-2"/>
        </w:rPr>
        <w:t xml:space="preserve">have </w:t>
      </w:r>
      <w:r w:rsidR="00475FBC" w:rsidRPr="001A452A">
        <w:rPr>
          <w:spacing w:val="-2"/>
        </w:rPr>
        <w:t xml:space="preserve">decreased </w:t>
      </w:r>
      <w:r w:rsidR="001E30A7" w:rsidRPr="001A452A">
        <w:rPr>
          <w:spacing w:val="-2"/>
        </w:rPr>
        <w:t>their</w:t>
      </w:r>
      <w:r w:rsidR="00D47291" w:rsidRPr="001A452A">
        <w:rPr>
          <w:spacing w:val="-2"/>
        </w:rPr>
        <w:t xml:space="preserve"> </w:t>
      </w:r>
      <w:r w:rsidR="00475FBC" w:rsidRPr="001A452A">
        <w:rPr>
          <w:spacing w:val="-2"/>
        </w:rPr>
        <w:t>respective fiscal capacities and inc</w:t>
      </w:r>
      <w:r w:rsidR="00F9038F" w:rsidRPr="001A452A">
        <w:rPr>
          <w:spacing w:val="-2"/>
        </w:rPr>
        <w:t xml:space="preserve">reased their </w:t>
      </w:r>
      <w:r w:rsidR="00D47291" w:rsidRPr="001A452A">
        <w:rPr>
          <w:spacing w:val="-2"/>
        </w:rPr>
        <w:t>relative</w:t>
      </w:r>
      <w:r w:rsidR="00F9038F" w:rsidRPr="001A452A">
        <w:rPr>
          <w:spacing w:val="-2"/>
        </w:rPr>
        <w:t xml:space="preserve"> GST</w:t>
      </w:r>
      <w:r w:rsidR="001F6E25" w:rsidRPr="001A452A" w:rsidDel="00136B05">
        <w:rPr>
          <w:spacing w:val="-2"/>
        </w:rPr>
        <w:t xml:space="preserve"> </w:t>
      </w:r>
      <w:r w:rsidR="00136B05" w:rsidRPr="001A452A">
        <w:rPr>
          <w:spacing w:val="-2"/>
        </w:rPr>
        <w:t>payments per capita</w:t>
      </w:r>
      <w:r w:rsidR="00F9038F" w:rsidRPr="001A452A">
        <w:rPr>
          <w:spacing w:val="-2"/>
        </w:rPr>
        <w:t>.</w:t>
      </w:r>
    </w:p>
    <w:p w14:paraId="27B6E890" w14:textId="5C3A7ED9" w:rsidR="005F59A0" w:rsidRPr="001B279C" w:rsidRDefault="00082752" w:rsidP="00076493">
      <w:pPr>
        <w:pStyle w:val="BodyText"/>
        <w:rPr>
          <w:spacing w:val="-4"/>
        </w:rPr>
      </w:pPr>
      <w:r w:rsidRPr="001B279C">
        <w:rPr>
          <w:spacing w:val="-4"/>
        </w:rPr>
        <w:t xml:space="preserve">Changes in state circumstances </w:t>
      </w:r>
      <w:r w:rsidR="00494E29" w:rsidRPr="001B279C">
        <w:rPr>
          <w:spacing w:val="-4"/>
        </w:rPr>
        <w:t xml:space="preserve">can cause </w:t>
      </w:r>
      <w:r w:rsidR="00C124CB" w:rsidRPr="001B279C">
        <w:rPr>
          <w:spacing w:val="-4"/>
        </w:rPr>
        <w:t xml:space="preserve">variations in GST </w:t>
      </w:r>
      <w:r w:rsidR="00136B05" w:rsidRPr="001B279C">
        <w:rPr>
          <w:spacing w:val="-4"/>
        </w:rPr>
        <w:t>payments</w:t>
      </w:r>
      <w:r w:rsidR="00C124CB" w:rsidRPr="001B279C">
        <w:rPr>
          <w:spacing w:val="-4"/>
        </w:rPr>
        <w:t>.</w:t>
      </w:r>
      <w:r w:rsidR="008F47A7" w:rsidRPr="001B279C">
        <w:rPr>
          <w:spacing w:val="-4"/>
        </w:rPr>
        <w:t xml:space="preserve"> For example, </w:t>
      </w:r>
      <w:r w:rsidR="00D53244" w:rsidRPr="001B279C">
        <w:rPr>
          <w:spacing w:val="-4"/>
        </w:rPr>
        <w:t xml:space="preserve">significant </w:t>
      </w:r>
      <w:r w:rsidR="00AE5704" w:rsidRPr="001B279C">
        <w:rPr>
          <w:spacing w:val="-4"/>
        </w:rPr>
        <w:t>increases in</w:t>
      </w:r>
      <w:r w:rsidR="00DA4D7A" w:rsidRPr="001B279C">
        <w:rPr>
          <w:spacing w:val="-4"/>
        </w:rPr>
        <w:t xml:space="preserve"> </w:t>
      </w:r>
      <w:r w:rsidR="00C94CCB" w:rsidRPr="001B279C">
        <w:rPr>
          <w:spacing w:val="-4"/>
        </w:rPr>
        <w:t>metallurgical</w:t>
      </w:r>
      <w:r w:rsidR="00AE5704" w:rsidRPr="001B279C">
        <w:rPr>
          <w:spacing w:val="-4"/>
        </w:rPr>
        <w:t xml:space="preserve"> coal prices</w:t>
      </w:r>
      <w:r w:rsidR="002B7A61" w:rsidRPr="001B279C">
        <w:rPr>
          <w:spacing w:val="-4"/>
        </w:rPr>
        <w:t xml:space="preserve"> </w:t>
      </w:r>
      <w:r w:rsidR="00D53244" w:rsidRPr="001B279C">
        <w:rPr>
          <w:spacing w:val="-4"/>
        </w:rPr>
        <w:t xml:space="preserve">contributed to </w:t>
      </w:r>
      <w:r w:rsidR="005B0414" w:rsidRPr="001B279C">
        <w:rPr>
          <w:spacing w:val="-4"/>
        </w:rPr>
        <w:t xml:space="preserve">Queensland’s </w:t>
      </w:r>
      <w:r w:rsidR="00AA0E09" w:rsidRPr="001B279C">
        <w:rPr>
          <w:spacing w:val="-4"/>
        </w:rPr>
        <w:t xml:space="preserve">increased </w:t>
      </w:r>
      <w:r w:rsidR="008A5A34" w:rsidRPr="001B279C">
        <w:rPr>
          <w:spacing w:val="-4"/>
        </w:rPr>
        <w:t xml:space="preserve">assessed </w:t>
      </w:r>
      <w:r w:rsidR="005B0414" w:rsidRPr="001B279C">
        <w:rPr>
          <w:spacing w:val="-4"/>
        </w:rPr>
        <w:t>coal royalty revenue in 202</w:t>
      </w:r>
      <w:r w:rsidR="00A045D1" w:rsidRPr="001B279C">
        <w:rPr>
          <w:spacing w:val="-4"/>
        </w:rPr>
        <w:t>2</w:t>
      </w:r>
      <w:r w:rsidR="00770C8F" w:rsidRPr="001B279C">
        <w:rPr>
          <w:spacing w:val="-4"/>
        </w:rPr>
        <w:t>–</w:t>
      </w:r>
      <w:r w:rsidR="005B0414" w:rsidRPr="001B279C">
        <w:rPr>
          <w:spacing w:val="-4"/>
        </w:rPr>
        <w:t>2</w:t>
      </w:r>
      <w:r w:rsidR="00A045D1" w:rsidRPr="001B279C">
        <w:rPr>
          <w:spacing w:val="-4"/>
        </w:rPr>
        <w:t>3</w:t>
      </w:r>
      <w:r w:rsidR="005B0414" w:rsidRPr="001B279C">
        <w:rPr>
          <w:spacing w:val="-4"/>
        </w:rPr>
        <w:t>, which</w:t>
      </w:r>
      <w:r w:rsidR="00A94757" w:rsidRPr="001B279C">
        <w:rPr>
          <w:spacing w:val="-4"/>
        </w:rPr>
        <w:t xml:space="preserve"> (after accounting for the lag in CGC assessments)</w:t>
      </w:r>
      <w:r w:rsidR="005B0414" w:rsidRPr="001B279C">
        <w:rPr>
          <w:spacing w:val="-4"/>
        </w:rPr>
        <w:t xml:space="preserve"> brought their </w:t>
      </w:r>
      <w:r w:rsidR="000D5E6A" w:rsidRPr="001B279C">
        <w:rPr>
          <w:spacing w:val="-4"/>
        </w:rPr>
        <w:t>per capita</w:t>
      </w:r>
      <w:r w:rsidR="005B0414" w:rsidRPr="001B279C">
        <w:rPr>
          <w:spacing w:val="-4"/>
        </w:rPr>
        <w:t xml:space="preserve"> GST </w:t>
      </w:r>
      <w:r w:rsidR="00136B05" w:rsidRPr="001B279C">
        <w:rPr>
          <w:spacing w:val="-4"/>
        </w:rPr>
        <w:t>payment</w:t>
      </w:r>
      <w:r w:rsidR="005B0414" w:rsidRPr="001B279C">
        <w:rPr>
          <w:spacing w:val="-4"/>
        </w:rPr>
        <w:t xml:space="preserve"> </w:t>
      </w:r>
      <w:r w:rsidR="009E63F1" w:rsidRPr="001B279C">
        <w:rPr>
          <w:spacing w:val="-4"/>
        </w:rPr>
        <w:t xml:space="preserve">substantially beneath the national average </w:t>
      </w:r>
      <w:r w:rsidR="00A13670" w:rsidRPr="001B279C">
        <w:rPr>
          <w:rFonts w:cs="Open Sans"/>
          <w:spacing w:val="-4"/>
        </w:rPr>
        <w:t>(CGC 2024, pp. 11, 34)</w:t>
      </w:r>
      <w:r w:rsidR="00DA25C9" w:rsidRPr="001B279C">
        <w:rPr>
          <w:spacing w:val="-4"/>
        </w:rPr>
        <w:t xml:space="preserve">. </w:t>
      </w:r>
      <w:r w:rsidR="00210947" w:rsidRPr="001B279C">
        <w:rPr>
          <w:spacing w:val="-4"/>
        </w:rPr>
        <w:t>In</w:t>
      </w:r>
      <w:r w:rsidR="00DA25C9" w:rsidRPr="001B279C">
        <w:rPr>
          <w:spacing w:val="-4"/>
        </w:rPr>
        <w:t xml:space="preserve"> contra</w:t>
      </w:r>
      <w:r w:rsidR="00286DB3" w:rsidRPr="001B279C">
        <w:rPr>
          <w:spacing w:val="-4"/>
        </w:rPr>
        <w:t>s</w:t>
      </w:r>
      <w:r w:rsidR="00DA25C9" w:rsidRPr="001B279C">
        <w:rPr>
          <w:spacing w:val="-4"/>
        </w:rPr>
        <w:t xml:space="preserve">t, </w:t>
      </w:r>
      <w:r w:rsidR="00DB5EEB" w:rsidRPr="001B279C">
        <w:rPr>
          <w:spacing w:val="-4"/>
        </w:rPr>
        <w:t>Victoria</w:t>
      </w:r>
      <w:r w:rsidR="00EE10DF" w:rsidRPr="001B279C">
        <w:rPr>
          <w:spacing w:val="-4"/>
        </w:rPr>
        <w:t xml:space="preserve"> </w:t>
      </w:r>
      <w:r w:rsidR="008C0A80" w:rsidRPr="001B279C">
        <w:rPr>
          <w:spacing w:val="-4"/>
        </w:rPr>
        <w:t>is expected to receive</w:t>
      </w:r>
      <w:r w:rsidR="00EE10DF" w:rsidRPr="001B279C">
        <w:rPr>
          <w:spacing w:val="-4"/>
        </w:rPr>
        <w:t xml:space="preserve"> GST payments above the national per capita average in 2025</w:t>
      </w:r>
      <w:r w:rsidR="00D50984" w:rsidRPr="001B279C">
        <w:rPr>
          <w:spacing w:val="-4"/>
        </w:rPr>
        <w:t>–</w:t>
      </w:r>
      <w:r w:rsidR="00EE10DF" w:rsidRPr="001B279C">
        <w:rPr>
          <w:spacing w:val="-4"/>
        </w:rPr>
        <w:t>26</w:t>
      </w:r>
      <w:r w:rsidR="00033EA4" w:rsidRPr="001B279C">
        <w:rPr>
          <w:spacing w:val="-4"/>
        </w:rPr>
        <w:t>, primarily</w:t>
      </w:r>
      <w:r w:rsidR="00A75848" w:rsidRPr="001B279C">
        <w:rPr>
          <w:spacing w:val="-4"/>
        </w:rPr>
        <w:t xml:space="preserve"> </w:t>
      </w:r>
      <w:r w:rsidR="00033EA4" w:rsidRPr="001B279C">
        <w:rPr>
          <w:spacing w:val="-4"/>
        </w:rPr>
        <w:t>because of</w:t>
      </w:r>
      <w:r w:rsidR="00EE10DF" w:rsidRPr="001B279C">
        <w:rPr>
          <w:spacing w:val="-4"/>
        </w:rPr>
        <w:t xml:space="preserve"> </w:t>
      </w:r>
      <w:r w:rsidR="00DB5EEB" w:rsidRPr="001B279C">
        <w:rPr>
          <w:spacing w:val="-4"/>
        </w:rPr>
        <w:t xml:space="preserve">higher </w:t>
      </w:r>
      <w:r w:rsidR="00EB6919" w:rsidRPr="001B279C">
        <w:rPr>
          <w:spacing w:val="-4"/>
        </w:rPr>
        <w:t xml:space="preserve">assessed expenditures </w:t>
      </w:r>
      <w:r w:rsidR="003F138A" w:rsidRPr="001B279C">
        <w:rPr>
          <w:spacing w:val="-4"/>
        </w:rPr>
        <w:t>on health and business support during the COVID-19 pandemic</w:t>
      </w:r>
      <w:r w:rsidR="00DE19D6" w:rsidRPr="001B279C">
        <w:rPr>
          <w:spacing w:val="-4"/>
        </w:rPr>
        <w:t xml:space="preserve"> </w:t>
      </w:r>
      <w:r w:rsidR="00F44AAC" w:rsidRPr="001B279C">
        <w:rPr>
          <w:rFonts w:cs="Open Sans"/>
          <w:spacing w:val="-4"/>
        </w:rPr>
        <w:t>(CGC 2025a, p. 46)</w:t>
      </w:r>
      <w:r w:rsidR="008A2672" w:rsidRPr="001B279C">
        <w:rPr>
          <w:spacing w:val="-4"/>
        </w:rPr>
        <w:t>.</w:t>
      </w:r>
      <w:r w:rsidR="00DA25C9" w:rsidRPr="001B279C">
        <w:rPr>
          <w:spacing w:val="-4"/>
        </w:rPr>
        <w:t xml:space="preserve"> </w:t>
      </w:r>
    </w:p>
    <w:p w14:paraId="3B80E86B" w14:textId="7E9F95FB" w:rsidR="00FD5519" w:rsidRDefault="00FD5519" w:rsidP="00136960">
      <w:pPr>
        <w:pStyle w:val="Heading3"/>
      </w:pPr>
      <w:r>
        <w:lastRenderedPageBreak/>
        <w:t xml:space="preserve">The </w:t>
      </w:r>
      <w:r w:rsidR="00DF06A2">
        <w:t xml:space="preserve">Australian Government </w:t>
      </w:r>
      <w:r w:rsidR="00FB4A37">
        <w:t>further</w:t>
      </w:r>
      <w:r>
        <w:t xml:space="preserve"> </w:t>
      </w:r>
      <w:r w:rsidR="00351000">
        <w:t xml:space="preserve">addresses </w:t>
      </w:r>
      <w:r w:rsidR="002712A5">
        <w:t xml:space="preserve">VFI through </w:t>
      </w:r>
      <w:r w:rsidR="006D7CB8">
        <w:t>non</w:t>
      </w:r>
      <w:r w:rsidR="00426CA0">
        <w:noBreakHyphen/>
      </w:r>
      <w:r w:rsidR="006D7CB8">
        <w:t>GST funding</w:t>
      </w:r>
    </w:p>
    <w:p w14:paraId="2D3EF8A6" w14:textId="3F8F75B1" w:rsidR="0012579C" w:rsidRDefault="003522B0" w:rsidP="0060778F">
      <w:pPr>
        <w:pStyle w:val="BodyText"/>
      </w:pPr>
      <w:r>
        <w:t xml:space="preserve">The distribution of </w:t>
      </w:r>
      <w:r w:rsidR="005E2843">
        <w:t xml:space="preserve">the </w:t>
      </w:r>
      <w:r>
        <w:t xml:space="preserve">GST </w:t>
      </w:r>
      <w:r w:rsidR="005E2843">
        <w:t>pool</w:t>
      </w:r>
      <w:r>
        <w:t xml:space="preserve"> alone is insufficient to </w:t>
      </w:r>
      <w:r w:rsidR="00FB3159">
        <w:t xml:space="preserve">align state </w:t>
      </w:r>
      <w:r w:rsidR="004F7A7A">
        <w:t xml:space="preserve">revenues with </w:t>
      </w:r>
      <w:r w:rsidR="004B62FF">
        <w:t>the extent of their policy responsibilities.</w:t>
      </w:r>
      <w:r>
        <w:t xml:space="preserve"> </w:t>
      </w:r>
      <w:r w:rsidR="004C71FA">
        <w:t>The Australian Government and the s</w:t>
      </w:r>
      <w:r w:rsidR="00886580" w:rsidRPr="00886580">
        <w:t>tate</w:t>
      </w:r>
      <w:r w:rsidR="004C71FA">
        <w:t>s</w:t>
      </w:r>
      <w:r w:rsidR="00016ABC">
        <w:t xml:space="preserve"> </w:t>
      </w:r>
      <w:r w:rsidR="00886580" w:rsidRPr="00886580">
        <w:t xml:space="preserve">therefore negotiate </w:t>
      </w:r>
      <w:r w:rsidR="00886580">
        <w:t>other</w:t>
      </w:r>
      <w:r w:rsidR="00886580" w:rsidRPr="00886580">
        <w:t xml:space="preserve"> grants to support, incentivise or reward the delivery of </w:t>
      </w:r>
      <w:proofErr w:type="gramStart"/>
      <w:r w:rsidR="00886580" w:rsidRPr="00886580">
        <w:t>particular services</w:t>
      </w:r>
      <w:proofErr w:type="gramEnd"/>
      <w:r w:rsidR="00886580" w:rsidRPr="00886580">
        <w:t>, projects or reforms</w:t>
      </w:r>
      <w:r w:rsidR="001148D2">
        <w:t xml:space="preserve"> by the states</w:t>
      </w:r>
      <w:r w:rsidR="00127368">
        <w:t xml:space="preserve"> </w:t>
      </w:r>
      <w:r w:rsidR="00CA2548">
        <w:t>(box</w:t>
      </w:r>
      <w:r w:rsidR="00810909">
        <w:t> </w:t>
      </w:r>
      <w:r w:rsidR="00B405B6">
        <w:t>1</w:t>
      </w:r>
      <w:r w:rsidR="00CA2548">
        <w:t>)</w:t>
      </w:r>
      <w:r w:rsidR="00076493">
        <w:t xml:space="preserve">. </w:t>
      </w:r>
      <w:r w:rsidR="00452D3B">
        <w:t>A</w:t>
      </w:r>
      <w:r w:rsidR="00076493">
        <w:t xml:space="preserve"> state’s fiscal capacity – and its consequent share of </w:t>
      </w:r>
      <w:r w:rsidR="00CF5105">
        <w:t xml:space="preserve">the </w:t>
      </w:r>
      <w:r w:rsidR="00076493">
        <w:t xml:space="preserve">GST </w:t>
      </w:r>
      <w:r w:rsidR="00CF5105">
        <w:t>pool</w:t>
      </w:r>
      <w:r w:rsidR="00076493">
        <w:t xml:space="preserve"> – does not necessarily indicate how much it receives in non-GST payments (figure </w:t>
      </w:r>
      <w:r w:rsidR="00B405B6">
        <w:t>3</w:t>
      </w:r>
      <w:r w:rsidR="00076493">
        <w:t xml:space="preserve">). </w:t>
      </w:r>
    </w:p>
    <w:p w14:paraId="096CF05C" w14:textId="3260DA66" w:rsidR="001F719E" w:rsidRDefault="001F719E" w:rsidP="007461B0">
      <w:pPr>
        <w:pStyle w:val="NoSpacing"/>
      </w:pPr>
    </w:p>
    <w:tbl>
      <w:tblPr>
        <w:tblStyle w:val="Boxtable"/>
        <w:tblW w:w="5000" w:type="pct"/>
        <w:tblLook w:val="04A0" w:firstRow="1" w:lastRow="0" w:firstColumn="1" w:lastColumn="0" w:noHBand="0" w:noVBand="1"/>
      </w:tblPr>
      <w:tblGrid>
        <w:gridCol w:w="9638"/>
      </w:tblGrid>
      <w:tr w:rsidR="001F719E" w14:paraId="54EBD034" w14:textId="77777777">
        <w:trPr>
          <w:tblHeader/>
        </w:trPr>
        <w:tc>
          <w:tcPr>
            <w:tcW w:w="9638" w:type="dxa"/>
            <w:shd w:val="clear" w:color="auto" w:fill="EBEBEB"/>
            <w:tcMar>
              <w:top w:w="170" w:type="dxa"/>
              <w:left w:w="170" w:type="dxa"/>
              <w:bottom w:w="113" w:type="dxa"/>
              <w:right w:w="170" w:type="dxa"/>
            </w:tcMar>
            <w:hideMark/>
          </w:tcPr>
          <w:p w14:paraId="044B398F" w14:textId="174D2918" w:rsidR="001F719E" w:rsidRDefault="001F719E">
            <w:pPr>
              <w:pStyle w:val="BoxHeading1"/>
            </w:pPr>
            <w:r>
              <w:t xml:space="preserve">Box </w:t>
            </w:r>
            <w:fldSimple w:instr=" SEQ Box \* ARABIC \s 1 ">
              <w:r w:rsidR="00EB6801">
                <w:rPr>
                  <w:noProof/>
                </w:rPr>
                <w:t>1</w:t>
              </w:r>
            </w:fldSimple>
            <w:r>
              <w:t xml:space="preserve"> – The </w:t>
            </w:r>
            <w:r w:rsidR="002E6293">
              <w:t>Australian Government</w:t>
            </w:r>
            <w:r>
              <w:t xml:space="preserve"> uses several instruments outside of the GST distribution </w:t>
            </w:r>
            <w:r w:rsidR="00471104">
              <w:t xml:space="preserve">system </w:t>
            </w:r>
            <w:r>
              <w:t>to deliver funding to the states</w:t>
            </w:r>
          </w:p>
        </w:tc>
      </w:tr>
      <w:tr w:rsidR="001F719E" w14:paraId="62CBA440" w14:textId="77777777">
        <w:tc>
          <w:tcPr>
            <w:tcW w:w="9638" w:type="dxa"/>
            <w:shd w:val="clear" w:color="auto" w:fill="EBEBEB"/>
            <w:tcMar>
              <w:top w:w="28" w:type="dxa"/>
              <w:left w:w="170" w:type="dxa"/>
              <w:bottom w:w="170" w:type="dxa"/>
              <w:right w:w="170" w:type="dxa"/>
            </w:tcMar>
            <w:hideMark/>
          </w:tcPr>
          <w:p w14:paraId="759F5000" w14:textId="19B62DB2" w:rsidR="001F719E" w:rsidRPr="001B279C" w:rsidRDefault="001F719E">
            <w:pPr>
              <w:pStyle w:val="BodyText"/>
              <w:rPr>
                <w:spacing w:val="-2"/>
              </w:rPr>
            </w:pPr>
            <w:r w:rsidRPr="001B279C">
              <w:rPr>
                <w:spacing w:val="-2"/>
              </w:rPr>
              <w:t>The intergovernmental agreement on federal financial relations (IGAFFR) establishes the</w:t>
            </w:r>
            <w:r w:rsidR="002B17E2" w:rsidRPr="001B279C">
              <w:rPr>
                <w:spacing w:val="-2"/>
              </w:rPr>
              <w:t xml:space="preserve"> agreement </w:t>
            </w:r>
            <w:r w:rsidRPr="001B279C">
              <w:rPr>
                <w:spacing w:val="-2"/>
              </w:rPr>
              <w:t xml:space="preserve">mechanisms through which the </w:t>
            </w:r>
            <w:r w:rsidR="002E6293" w:rsidRPr="001B279C">
              <w:rPr>
                <w:spacing w:val="-2"/>
              </w:rPr>
              <w:t>Australian Government</w:t>
            </w:r>
            <w:r w:rsidRPr="001B279C">
              <w:rPr>
                <w:spacing w:val="-2"/>
              </w:rPr>
              <w:t xml:space="preserve"> can provide funding to the states. Broadly, there are </w:t>
            </w:r>
            <w:r w:rsidR="000F3AED" w:rsidRPr="001B279C">
              <w:rPr>
                <w:spacing w:val="-2"/>
              </w:rPr>
              <w:t>2</w:t>
            </w:r>
            <w:r w:rsidRPr="001B279C">
              <w:rPr>
                <w:spacing w:val="-2"/>
              </w:rPr>
              <w:t xml:space="preserve"> types of funding agreements: </w:t>
            </w:r>
            <w:r w:rsidR="00DB31E7" w:rsidRPr="001B279C">
              <w:rPr>
                <w:spacing w:val="-2"/>
              </w:rPr>
              <w:t xml:space="preserve">National Federation Funding Agreements (NFFAs) and </w:t>
            </w:r>
            <w:r w:rsidRPr="001B279C">
              <w:rPr>
                <w:spacing w:val="-2"/>
              </w:rPr>
              <w:t>Federation Funding Agreement Schedules (FFA Schedules)</w:t>
            </w:r>
            <w:r w:rsidR="009A2D91" w:rsidRPr="001B279C">
              <w:rPr>
                <w:spacing w:val="-2"/>
              </w:rPr>
              <w:t xml:space="preserve"> </w:t>
            </w:r>
            <w:r w:rsidR="004414A3" w:rsidRPr="001B279C">
              <w:rPr>
                <w:rFonts w:cs="Open Sans"/>
                <w:spacing w:val="-2"/>
              </w:rPr>
              <w:t>(Australian Government Department of the Treasury 2022c, p. 2</w:t>
            </w:r>
            <w:proofErr w:type="gramStart"/>
            <w:r w:rsidRPr="001B279C">
              <w:rPr>
                <w:rFonts w:cs="Open Sans"/>
                <w:spacing w:val="-2"/>
              </w:rPr>
              <w:t>)</w:t>
            </w:r>
            <w:r w:rsidR="00DB31E7" w:rsidRPr="001B279C">
              <w:rPr>
                <w:spacing w:val="-2"/>
              </w:rPr>
              <w:t>.</w:t>
            </w:r>
            <w:r w:rsidRPr="001B279C">
              <w:rPr>
                <w:b/>
                <w:bCs/>
                <w:spacing w:val="-2"/>
                <w:vertAlign w:val="superscript"/>
              </w:rPr>
              <w:t>a</w:t>
            </w:r>
            <w:proofErr w:type="gramEnd"/>
          </w:p>
          <w:p w14:paraId="518BCA9A" w14:textId="77777777" w:rsidR="00DB31E7" w:rsidRDefault="00DB31E7" w:rsidP="00DB31E7">
            <w:pPr>
              <w:pStyle w:val="BoxHeading2"/>
              <w:rPr>
                <w:b w:val="0"/>
                <w:bCs/>
              </w:rPr>
            </w:pPr>
            <w:r>
              <w:t>NFFAs</w:t>
            </w:r>
          </w:p>
          <w:p w14:paraId="7AE84EE2" w14:textId="383BD60C" w:rsidR="00DB31E7" w:rsidRPr="001B279C" w:rsidRDefault="00DB31E7" w:rsidP="00DB31E7">
            <w:pPr>
              <w:pStyle w:val="BodyText"/>
              <w:rPr>
                <w:spacing w:val="-2"/>
              </w:rPr>
            </w:pPr>
            <w:r w:rsidRPr="001B279C">
              <w:rPr>
                <w:spacing w:val="-2"/>
              </w:rPr>
              <w:t>NFFAs are ongoing funding agreements with bespoke terms and substantial policy content</w:t>
            </w:r>
            <w:r w:rsidR="00CD13B6" w:rsidRPr="001B279C">
              <w:rPr>
                <w:spacing w:val="-2"/>
              </w:rPr>
              <w:t xml:space="preserve"> </w:t>
            </w:r>
            <w:r w:rsidR="004414A3" w:rsidRPr="001B279C">
              <w:rPr>
                <w:rFonts w:cs="Open Sans"/>
                <w:spacing w:val="-2"/>
              </w:rPr>
              <w:t>(Australian Government Department of the Treasury 2022c, p. 2)</w:t>
            </w:r>
            <w:r w:rsidRPr="001B279C">
              <w:rPr>
                <w:spacing w:val="-2"/>
              </w:rPr>
              <w:t>. These agreements underpin intergovernmental cooperation to deliver services and achieve beneficial outcomes in key sectors. NFFAs currently exist for health, schools, skills, mental health and suicide prevention, social housing and homelessness, justice, and foundational supports</w:t>
            </w:r>
            <w:r w:rsidR="00CC6989" w:rsidRPr="001B279C">
              <w:rPr>
                <w:spacing w:val="-2"/>
              </w:rPr>
              <w:t xml:space="preserve"> </w:t>
            </w:r>
            <w:r w:rsidR="00CC6989" w:rsidRPr="001B279C">
              <w:rPr>
                <w:rFonts w:cs="Open Sans"/>
                <w:spacing w:val="-2"/>
              </w:rPr>
              <w:t>(Australian Government Department of the Treasury 2026)</w:t>
            </w:r>
            <w:r w:rsidR="00DC7D2F" w:rsidRPr="001B279C">
              <w:rPr>
                <w:spacing w:val="-2"/>
              </w:rPr>
              <w:t>.</w:t>
            </w:r>
          </w:p>
          <w:p w14:paraId="5F98921E" w14:textId="3B7F1717" w:rsidR="00DB31E7" w:rsidRDefault="00DB31E7" w:rsidP="00DB31E7">
            <w:pPr>
              <w:pStyle w:val="BodyText"/>
            </w:pPr>
            <w:r>
              <w:t xml:space="preserve">As intended by the IGAFFR, the </w:t>
            </w:r>
            <w:r w:rsidR="002E6293">
              <w:t>Australian Government</w:t>
            </w:r>
            <w:r>
              <w:t xml:space="preserve"> </w:t>
            </w:r>
            <w:r w:rsidR="00016ABC">
              <w:t xml:space="preserve">and all states </w:t>
            </w:r>
            <w:r>
              <w:t>are parties to all NFFAs, which are negotiated on a multilateral basis</w:t>
            </w:r>
            <w:r w:rsidR="00A6323E">
              <w:t xml:space="preserve"> </w:t>
            </w:r>
            <w:r w:rsidR="004414A3" w:rsidRPr="004414A3">
              <w:rPr>
                <w:rFonts w:cs="Open Sans"/>
              </w:rPr>
              <w:t xml:space="preserve">(Australian Government Department of </w:t>
            </w:r>
            <w:r w:rsidRPr="004414A3">
              <w:rPr>
                <w:rFonts w:cs="Open Sans"/>
              </w:rPr>
              <w:t xml:space="preserve">the </w:t>
            </w:r>
            <w:r w:rsidR="004414A3" w:rsidRPr="004414A3">
              <w:rPr>
                <w:rFonts w:cs="Open Sans"/>
              </w:rPr>
              <w:t>Treasury 2022b, p. 1)</w:t>
            </w:r>
            <w:r>
              <w:t>.</w:t>
            </w:r>
            <w:r w:rsidR="009D2EED">
              <w:t xml:space="preserve"> Outside</w:t>
            </w:r>
            <w:r w:rsidR="009D2EED" w:rsidDel="00CC5F6A">
              <w:t xml:space="preserve"> </w:t>
            </w:r>
            <w:r w:rsidR="009D2EED">
              <w:t>GST</w:t>
            </w:r>
            <w:r w:rsidR="00CC5F6A">
              <w:t xml:space="preserve"> payments</w:t>
            </w:r>
            <w:r w:rsidR="009D2EED">
              <w:t xml:space="preserve">, NFFAs in health and education are the </w:t>
            </w:r>
            <w:r w:rsidR="00AD476F">
              <w:t>2</w:t>
            </w:r>
            <w:r w:rsidR="009D2EED">
              <w:t xml:space="preserve"> most valuable Commonwealth </w:t>
            </w:r>
            <w:r w:rsidR="00FC6507">
              <w:t>payments to all states</w:t>
            </w:r>
            <w:r w:rsidR="00662569">
              <w:t xml:space="preserve"> (figure 4)</w:t>
            </w:r>
            <w:r w:rsidR="00FC6507">
              <w:t>.</w:t>
            </w:r>
          </w:p>
          <w:p w14:paraId="7BCD0C87" w14:textId="77777777" w:rsidR="001F719E" w:rsidRDefault="001F719E">
            <w:pPr>
              <w:pStyle w:val="BoxHeading2"/>
            </w:pPr>
            <w:r>
              <w:t xml:space="preserve">FFA Schedules </w:t>
            </w:r>
          </w:p>
          <w:p w14:paraId="0466930E" w14:textId="599BB5E0" w:rsidR="001F719E" w:rsidRDefault="001F719E">
            <w:pPr>
              <w:pStyle w:val="BodyText"/>
            </w:pPr>
            <w:r>
              <w:t xml:space="preserve">FFA Schedules are a flexible funding instrument which the </w:t>
            </w:r>
            <w:r w:rsidR="002E6293">
              <w:t>Australian Government</w:t>
            </w:r>
            <w:r>
              <w:t xml:space="preserve"> can use to deliver fixed-term funding to the states to facilitate reforms, reward jurisdictions for delivering nationally significant reforms, or support the delivery of a specific project or output</w:t>
            </w:r>
            <w:r w:rsidR="00941BFF">
              <w:t xml:space="preserve"> </w:t>
            </w:r>
            <w:r w:rsidR="004414A3" w:rsidRPr="004414A3">
              <w:rPr>
                <w:rFonts w:cs="Open Sans"/>
              </w:rPr>
              <w:t>(Australian Government Department of the Treasury 2022b, p. 3)</w:t>
            </w:r>
            <w:r>
              <w:t xml:space="preserve">. </w:t>
            </w:r>
            <w:r w:rsidR="00471FE2">
              <w:t>Most, but not all,</w:t>
            </w:r>
            <w:r w:rsidR="00B8443E">
              <w:t xml:space="preserve"> funding provided through</w:t>
            </w:r>
            <w:r w:rsidR="00471FE2">
              <w:t xml:space="preserve"> FFA Schedules </w:t>
            </w:r>
            <w:r w:rsidR="005F1AC6">
              <w:t>is</w:t>
            </w:r>
            <w:r w:rsidR="00626A3F">
              <w:t xml:space="preserve"> </w:t>
            </w:r>
            <w:r w:rsidR="00746228">
              <w:t xml:space="preserve">provided through </w:t>
            </w:r>
            <w:r w:rsidR="00B8443E">
              <w:t>tied grants.</w:t>
            </w:r>
          </w:p>
          <w:p w14:paraId="6E2424E0" w14:textId="7709E405" w:rsidR="001F719E" w:rsidRDefault="001F719E">
            <w:pPr>
              <w:pStyle w:val="BodyText"/>
            </w:pPr>
            <w:r>
              <w:t>Though FFA Schedules are intended to be between all governments, not all FFA Schedules include all states. This is because not all FFA Schedules are relevant to all states – for example, Tasmania, Western Australia and the Northern Territory are not parties to agreements concerning water reform in the Murray</w:t>
            </w:r>
            <w:r w:rsidR="00350300">
              <w:t>–</w:t>
            </w:r>
            <w:r>
              <w:t xml:space="preserve">Darling Basin </w:t>
            </w:r>
            <w:r w:rsidR="00690C4A" w:rsidRPr="00690C4A">
              <w:rPr>
                <w:rFonts w:cs="Open Sans"/>
              </w:rPr>
              <w:t>(Australian Government Department of the Treasury 2024a)</w:t>
            </w:r>
            <w:r>
              <w:t xml:space="preserve"> – and because states are not obliged to become part</w:t>
            </w:r>
            <w:r w:rsidR="00643B0B">
              <w:t>ies</w:t>
            </w:r>
            <w:r>
              <w:t xml:space="preserve"> to agreements if they do not find the terms </w:t>
            </w:r>
            <w:r w:rsidR="00CA342B">
              <w:t xml:space="preserve">sufficiently </w:t>
            </w:r>
            <w:r>
              <w:t>advantageous</w:t>
            </w:r>
            <w:r w:rsidDel="005C7D98">
              <w:t xml:space="preserve">. </w:t>
            </w:r>
          </w:p>
          <w:p w14:paraId="7BA78654" w14:textId="08E5ED5E" w:rsidR="001F719E" w:rsidRPr="001B279C" w:rsidRDefault="001F719E">
            <w:pPr>
              <w:pStyle w:val="BodyText"/>
              <w:rPr>
                <w:spacing w:val="-4"/>
              </w:rPr>
            </w:pPr>
            <w:r w:rsidRPr="001B279C">
              <w:rPr>
                <w:spacing w:val="-4"/>
              </w:rPr>
              <w:t>In practice, there is great diversity among FFA Schedules in terms of subject matter, duration, value and state</w:t>
            </w:r>
            <w:r w:rsidR="00915146" w:rsidRPr="001B279C">
              <w:rPr>
                <w:spacing w:val="-4"/>
              </w:rPr>
              <w:t xml:space="preserve"> </w:t>
            </w:r>
            <w:r w:rsidRPr="001B279C">
              <w:rPr>
                <w:spacing w:val="-4"/>
              </w:rPr>
              <w:t xml:space="preserve">participation. Some are highly specialised and </w:t>
            </w:r>
            <w:r w:rsidR="00415871" w:rsidRPr="001B279C">
              <w:rPr>
                <w:spacing w:val="-4"/>
              </w:rPr>
              <w:t>have a</w:t>
            </w:r>
            <w:r w:rsidRPr="001B279C">
              <w:rPr>
                <w:spacing w:val="-4"/>
              </w:rPr>
              <w:t xml:space="preserve"> relatively low </w:t>
            </w:r>
            <w:r w:rsidR="00415871" w:rsidRPr="001B279C">
              <w:rPr>
                <w:spacing w:val="-4"/>
              </w:rPr>
              <w:t xml:space="preserve">dollar </w:t>
            </w:r>
            <w:r w:rsidRPr="001B279C">
              <w:rPr>
                <w:spacing w:val="-4"/>
              </w:rPr>
              <w:t>value. For example, in 2015</w:t>
            </w:r>
            <w:r w:rsidR="00770C8F" w:rsidRPr="001B279C">
              <w:rPr>
                <w:spacing w:val="-4"/>
              </w:rPr>
              <w:t>–</w:t>
            </w:r>
            <w:r w:rsidR="00212465" w:rsidRPr="001B279C">
              <w:rPr>
                <w:spacing w:val="-4"/>
              </w:rPr>
              <w:t>‍</w:t>
            </w:r>
            <w:r w:rsidRPr="001B279C">
              <w:rPr>
                <w:spacing w:val="-4"/>
              </w:rPr>
              <w:t xml:space="preserve">16, New South Wales was the only state party to a FFA </w:t>
            </w:r>
            <w:r w:rsidR="00053025" w:rsidRPr="001B279C">
              <w:rPr>
                <w:spacing w:val="-4"/>
              </w:rPr>
              <w:t>s</w:t>
            </w:r>
            <w:r w:rsidRPr="001B279C">
              <w:rPr>
                <w:spacing w:val="-4"/>
              </w:rPr>
              <w:t xml:space="preserve">chedule which granted a payment of </w:t>
            </w:r>
            <w:r w:rsidRPr="001B279C">
              <w:rPr>
                <w:spacing w:val="-4"/>
              </w:rPr>
              <w:lastRenderedPageBreak/>
              <w:t>$200,000 for the National School for Travelling Show Children</w:t>
            </w:r>
            <w:r w:rsidR="00544D59" w:rsidRPr="001B279C">
              <w:rPr>
                <w:spacing w:val="-4"/>
              </w:rPr>
              <w:t xml:space="preserve"> </w:t>
            </w:r>
            <w:r w:rsidR="00544D59" w:rsidRPr="001B279C">
              <w:rPr>
                <w:rFonts w:cs="Open Sans"/>
                <w:spacing w:val="-4"/>
              </w:rPr>
              <w:t>(Commonwealth of Australia 2016, p. 70; Pyne and Piccoli 2015)</w:t>
            </w:r>
            <w:r w:rsidRPr="001B279C">
              <w:rPr>
                <w:spacing w:val="-4"/>
              </w:rPr>
              <w:t xml:space="preserve">. Other agreements are broader and </w:t>
            </w:r>
            <w:r w:rsidR="00A64D95" w:rsidRPr="001B279C">
              <w:rPr>
                <w:spacing w:val="-4"/>
              </w:rPr>
              <w:t xml:space="preserve">involve </w:t>
            </w:r>
            <w:r w:rsidRPr="001B279C">
              <w:rPr>
                <w:spacing w:val="-4"/>
              </w:rPr>
              <w:t xml:space="preserve">higher </w:t>
            </w:r>
            <w:r w:rsidR="00A64D95" w:rsidRPr="001B279C">
              <w:rPr>
                <w:spacing w:val="-4"/>
              </w:rPr>
              <w:t>spending</w:t>
            </w:r>
            <w:r w:rsidRPr="001B279C">
              <w:rPr>
                <w:spacing w:val="-4"/>
              </w:rPr>
              <w:t xml:space="preserve">. For example, </w:t>
            </w:r>
            <w:r w:rsidR="00DE0B2F" w:rsidRPr="001B279C">
              <w:rPr>
                <w:spacing w:val="-4"/>
              </w:rPr>
              <w:t xml:space="preserve">over the last 15 years, </w:t>
            </w:r>
            <w:r w:rsidR="00C1398E" w:rsidRPr="001B279C">
              <w:rPr>
                <w:spacing w:val="-4"/>
              </w:rPr>
              <w:t>all states have received a share</w:t>
            </w:r>
            <w:r w:rsidRPr="001B279C">
              <w:rPr>
                <w:spacing w:val="-4"/>
              </w:rPr>
              <w:t xml:space="preserve"> </w:t>
            </w:r>
            <w:r w:rsidR="00112D3D" w:rsidRPr="001B279C">
              <w:rPr>
                <w:spacing w:val="-4"/>
              </w:rPr>
              <w:t>of approximately</w:t>
            </w:r>
            <w:r w:rsidRPr="001B279C">
              <w:rPr>
                <w:spacing w:val="-4"/>
              </w:rPr>
              <w:t xml:space="preserve"> $8</w:t>
            </w:r>
            <w:r w:rsidR="00D87272" w:rsidRPr="001B279C">
              <w:rPr>
                <w:spacing w:val="-4"/>
              </w:rPr>
              <w:t>0</w:t>
            </w:r>
            <w:r w:rsidR="00162040" w:rsidRPr="001B279C">
              <w:rPr>
                <w:spacing w:val="-4"/>
              </w:rPr>
              <w:t> </w:t>
            </w:r>
            <w:r w:rsidRPr="001B279C">
              <w:rPr>
                <w:spacing w:val="-4"/>
              </w:rPr>
              <w:t xml:space="preserve">million </w:t>
            </w:r>
            <w:r w:rsidR="00226916" w:rsidRPr="001B279C">
              <w:rPr>
                <w:spacing w:val="-4"/>
              </w:rPr>
              <w:t xml:space="preserve">distributed </w:t>
            </w:r>
            <w:r w:rsidR="00DE0B2F" w:rsidRPr="001B279C">
              <w:rPr>
                <w:spacing w:val="-4"/>
              </w:rPr>
              <w:t>u</w:t>
            </w:r>
            <w:r w:rsidRPr="001B279C">
              <w:rPr>
                <w:spacing w:val="-4"/>
              </w:rPr>
              <w:t xml:space="preserve">nder the </w:t>
            </w:r>
            <w:r w:rsidR="00EF1596" w:rsidRPr="001B279C">
              <w:rPr>
                <w:spacing w:val="-4"/>
              </w:rPr>
              <w:t>5</w:t>
            </w:r>
            <w:r w:rsidRPr="001B279C">
              <w:rPr>
                <w:spacing w:val="-4"/>
              </w:rPr>
              <w:t xml:space="preserve"> iterations of the National Bowel Cancer Screening Program FFA </w:t>
            </w:r>
            <w:r w:rsidR="00D7622D" w:rsidRPr="001B279C">
              <w:rPr>
                <w:spacing w:val="-4"/>
              </w:rPr>
              <w:t>s</w:t>
            </w:r>
            <w:r w:rsidRPr="001B279C">
              <w:rPr>
                <w:spacing w:val="-4"/>
              </w:rPr>
              <w:t>chedule</w:t>
            </w:r>
            <w:r w:rsidR="00690C4A" w:rsidRPr="001B279C">
              <w:rPr>
                <w:spacing w:val="-4"/>
              </w:rPr>
              <w:t xml:space="preserve"> </w:t>
            </w:r>
            <w:r w:rsidR="00690C4A" w:rsidRPr="001B279C">
              <w:rPr>
                <w:rFonts w:cs="Open Sans"/>
                <w:spacing w:val="-4"/>
              </w:rPr>
              <w:t>(Australian Government Department of the Treasury 2024b; Commonwealth of Australia 2025 and previous versions)</w:t>
            </w:r>
            <w:r w:rsidRPr="001B279C">
              <w:rPr>
                <w:spacing w:val="-4"/>
              </w:rPr>
              <w:t>.</w:t>
            </w:r>
            <w:r w:rsidR="003E7B50" w:rsidRPr="001B279C">
              <w:rPr>
                <w:spacing w:val="-4"/>
              </w:rPr>
              <w:t xml:space="preserve"> In 2024</w:t>
            </w:r>
            <w:r w:rsidR="00212465" w:rsidRPr="001B279C">
              <w:rPr>
                <w:spacing w:val="-4"/>
              </w:rPr>
              <w:t>–</w:t>
            </w:r>
            <w:r w:rsidR="003E7B50" w:rsidRPr="001B279C">
              <w:rPr>
                <w:spacing w:val="-4"/>
              </w:rPr>
              <w:t>25, there w</w:t>
            </w:r>
            <w:r w:rsidR="00ED768B" w:rsidRPr="001B279C">
              <w:rPr>
                <w:spacing w:val="-4"/>
              </w:rPr>
              <w:t>ere</w:t>
            </w:r>
            <w:r w:rsidR="00E607DA" w:rsidRPr="001B279C">
              <w:rPr>
                <w:spacing w:val="-4"/>
              </w:rPr>
              <w:t xml:space="preserve"> </w:t>
            </w:r>
            <w:r w:rsidR="00FD397D" w:rsidRPr="001B279C">
              <w:rPr>
                <w:spacing w:val="-4"/>
              </w:rPr>
              <w:t>approximately 190</w:t>
            </w:r>
            <w:r w:rsidR="0007537E" w:rsidRPr="001B279C">
              <w:rPr>
                <w:spacing w:val="-4"/>
              </w:rPr>
              <w:t xml:space="preserve"> active</w:t>
            </w:r>
            <w:r w:rsidR="00BD36C4" w:rsidRPr="001B279C">
              <w:rPr>
                <w:spacing w:val="-4"/>
              </w:rPr>
              <w:t xml:space="preserve"> FFA Schedules</w:t>
            </w:r>
            <w:r w:rsidR="00F8635B" w:rsidRPr="001B279C">
              <w:rPr>
                <w:spacing w:val="-4"/>
              </w:rPr>
              <w:t xml:space="preserve"> covering</w:t>
            </w:r>
            <w:r w:rsidR="004B3D6F" w:rsidRPr="001B279C">
              <w:rPr>
                <w:spacing w:val="-4"/>
              </w:rPr>
              <w:t xml:space="preserve"> policies and projects in </w:t>
            </w:r>
            <w:r w:rsidR="0007537E" w:rsidRPr="001B279C">
              <w:rPr>
                <w:spacing w:val="-4"/>
              </w:rPr>
              <w:t>a range of sectors, including (among others)</w:t>
            </w:r>
            <w:r w:rsidR="007B389F" w:rsidRPr="001B279C">
              <w:rPr>
                <w:spacing w:val="-4"/>
              </w:rPr>
              <w:t xml:space="preserve"> </w:t>
            </w:r>
            <w:r w:rsidR="004B3D6F" w:rsidRPr="001B279C">
              <w:rPr>
                <w:spacing w:val="-4"/>
              </w:rPr>
              <w:t>health, education,</w:t>
            </w:r>
            <w:r w:rsidR="001A738B" w:rsidRPr="001B279C">
              <w:rPr>
                <w:spacing w:val="-4"/>
              </w:rPr>
              <w:t xml:space="preserve"> skills,</w:t>
            </w:r>
            <w:r w:rsidR="004B3D6F" w:rsidRPr="001B279C">
              <w:rPr>
                <w:spacing w:val="-4"/>
              </w:rPr>
              <w:t xml:space="preserve"> community services,</w:t>
            </w:r>
            <w:r w:rsidR="007B389F" w:rsidRPr="001B279C">
              <w:rPr>
                <w:spacing w:val="-4"/>
              </w:rPr>
              <w:t xml:space="preserve"> infrastructure,</w:t>
            </w:r>
            <w:r w:rsidR="004B3D6F" w:rsidRPr="001B279C">
              <w:rPr>
                <w:spacing w:val="-4"/>
              </w:rPr>
              <w:t xml:space="preserve"> housing</w:t>
            </w:r>
            <w:r w:rsidR="0007537E" w:rsidRPr="001B279C">
              <w:rPr>
                <w:spacing w:val="-4"/>
              </w:rPr>
              <w:t xml:space="preserve"> and</w:t>
            </w:r>
            <w:r w:rsidR="004B3D6F" w:rsidRPr="001B279C">
              <w:rPr>
                <w:spacing w:val="-4"/>
              </w:rPr>
              <w:t xml:space="preserve"> environment</w:t>
            </w:r>
            <w:r w:rsidR="007B389F" w:rsidRPr="001B279C">
              <w:rPr>
                <w:spacing w:val="-4"/>
              </w:rPr>
              <w:t xml:space="preserve"> </w:t>
            </w:r>
            <w:r w:rsidR="001631DA" w:rsidRPr="001B279C">
              <w:rPr>
                <w:rFonts w:cs="Open Sans"/>
                <w:spacing w:val="-4"/>
              </w:rPr>
              <w:t xml:space="preserve">(PC </w:t>
            </w:r>
            <w:r w:rsidR="001C5735" w:rsidRPr="001B279C">
              <w:rPr>
                <w:rFonts w:cs="Open Sans"/>
                <w:spacing w:val="-4"/>
              </w:rPr>
              <w:t>estimates using</w:t>
            </w:r>
            <w:r w:rsidR="00786492" w:rsidRPr="001B279C">
              <w:rPr>
                <w:rFonts w:cs="Open Sans"/>
                <w:spacing w:val="-4"/>
              </w:rPr>
              <w:t xml:space="preserve"> </w:t>
            </w:r>
            <w:r w:rsidR="001631DA" w:rsidRPr="001B279C">
              <w:rPr>
                <w:rFonts w:cs="Open Sans"/>
                <w:spacing w:val="-4"/>
              </w:rPr>
              <w:t>Commonwealth of Australia 2025)</w:t>
            </w:r>
            <w:r w:rsidR="007B389F" w:rsidRPr="001B279C">
              <w:rPr>
                <w:spacing w:val="-4"/>
              </w:rPr>
              <w:t xml:space="preserve">. </w:t>
            </w:r>
          </w:p>
          <w:p w14:paraId="35C1B1B8" w14:textId="48B4FE8C" w:rsidR="001F719E" w:rsidRDefault="001F719E" w:rsidP="00F82DB6">
            <w:pPr>
              <w:pStyle w:val="Note"/>
              <w:keepLines/>
            </w:pPr>
            <w:r w:rsidRPr="00180E66">
              <w:rPr>
                <w:b/>
                <w:bCs/>
              </w:rPr>
              <w:t>a.</w:t>
            </w:r>
            <w:r>
              <w:t xml:space="preserve"> FFA </w:t>
            </w:r>
            <w:r w:rsidR="00793202">
              <w:t>s</w:t>
            </w:r>
            <w:r>
              <w:t xml:space="preserve">chedules previously </w:t>
            </w:r>
            <w:r w:rsidR="00995823">
              <w:t xml:space="preserve">operated through </w:t>
            </w:r>
            <w:r w:rsidR="00482092">
              <w:t>n</w:t>
            </w:r>
            <w:r>
              <w:t xml:space="preserve">ational </w:t>
            </w:r>
            <w:r w:rsidR="00482092">
              <w:t>p</w:t>
            </w:r>
            <w:r>
              <w:t xml:space="preserve">artnership </w:t>
            </w:r>
            <w:r w:rsidR="00482092">
              <w:t>a</w:t>
            </w:r>
            <w:r w:rsidR="00464C91">
              <w:t>greements</w:t>
            </w:r>
            <w:r>
              <w:t xml:space="preserve">. FFA Schedules are attached to the </w:t>
            </w:r>
            <w:r w:rsidR="00B201EE">
              <w:t xml:space="preserve">5 </w:t>
            </w:r>
            <w:r>
              <w:t xml:space="preserve">sectoral Federation Funding Agreements – which </w:t>
            </w:r>
            <w:r w:rsidR="00C73504">
              <w:t>provide</w:t>
            </w:r>
            <w:r>
              <w:t xml:space="preserve"> the </w:t>
            </w:r>
            <w:r w:rsidR="00C73504">
              <w:t>framework for</w:t>
            </w:r>
            <w:r w:rsidR="00637F84">
              <w:t xml:space="preserve"> specific</w:t>
            </w:r>
            <w:r w:rsidR="00C73504">
              <w:t xml:space="preserve"> </w:t>
            </w:r>
            <w:r>
              <w:t>sector</w:t>
            </w:r>
            <w:r w:rsidR="00C73504">
              <w:t>-based agreements</w:t>
            </w:r>
            <w:r>
              <w:t xml:space="preserve"> – but have the same effective functions as </w:t>
            </w:r>
            <w:r w:rsidR="00482092">
              <w:t>national partnership agreements</w:t>
            </w:r>
            <w:r w:rsidR="00482092" w:rsidRPr="004414A3">
              <w:rPr>
                <w:rFonts w:cs="Open Sans"/>
              </w:rPr>
              <w:t xml:space="preserve"> </w:t>
            </w:r>
            <w:r w:rsidR="004414A3" w:rsidRPr="004414A3">
              <w:rPr>
                <w:rFonts w:cs="Open Sans"/>
              </w:rPr>
              <w:t>(Australian Government Department</w:t>
            </w:r>
            <w:r w:rsidR="00CD3103" w:rsidRPr="004414A3">
              <w:rPr>
                <w:rFonts w:cs="Open Sans"/>
              </w:rPr>
              <w:t xml:space="preserve"> of </w:t>
            </w:r>
            <w:r w:rsidR="004414A3" w:rsidRPr="004414A3">
              <w:rPr>
                <w:rFonts w:cs="Open Sans"/>
              </w:rPr>
              <w:t>the</w:t>
            </w:r>
            <w:r w:rsidR="00CD3103" w:rsidRPr="004414A3">
              <w:rPr>
                <w:rFonts w:cs="Open Sans"/>
              </w:rPr>
              <w:t xml:space="preserve"> </w:t>
            </w:r>
            <w:r w:rsidRPr="004414A3">
              <w:rPr>
                <w:rFonts w:cs="Open Sans"/>
              </w:rPr>
              <w:t>Treasury</w:t>
            </w:r>
            <w:r w:rsidR="004414A3" w:rsidRPr="004414A3">
              <w:rPr>
                <w:rFonts w:cs="Open Sans"/>
              </w:rPr>
              <w:t> 2022a, p. 1)</w:t>
            </w:r>
            <w:r w:rsidR="00E8068D">
              <w:t>.</w:t>
            </w:r>
          </w:p>
        </w:tc>
      </w:tr>
      <w:tr w:rsidR="001F719E" w14:paraId="11C63D8D" w14:textId="77777777">
        <w:trPr>
          <w:hidden/>
        </w:trPr>
        <w:tc>
          <w:tcPr>
            <w:tcW w:w="9638" w:type="dxa"/>
            <w:shd w:val="clear" w:color="auto" w:fill="auto"/>
            <w:tcMar>
              <w:top w:w="0" w:type="dxa"/>
              <w:left w:w="170" w:type="dxa"/>
              <w:bottom w:w="0" w:type="dxa"/>
              <w:right w:w="170" w:type="dxa"/>
            </w:tcMar>
          </w:tcPr>
          <w:p w14:paraId="3969253C" w14:textId="73F33257" w:rsidR="001F719E" w:rsidRPr="00465191" w:rsidRDefault="001F719E">
            <w:pPr>
              <w:pStyle w:val="BodyText"/>
              <w:spacing w:before="0" w:after="0" w:line="80" w:lineRule="atLeast"/>
              <w:rPr>
                <w:smallCaps/>
                <w:vanish/>
              </w:rPr>
            </w:pPr>
          </w:p>
        </w:tc>
      </w:tr>
    </w:tbl>
    <w:p w14:paraId="75CFD16E" w14:textId="34052C9A" w:rsidR="00575FB1" w:rsidRPr="001B279C" w:rsidRDefault="00575FB1" w:rsidP="007071A8">
      <w:pPr>
        <w:pStyle w:val="FigureTableHeading"/>
        <w:spacing w:before="360"/>
        <w:rPr>
          <w:spacing w:val="-4"/>
        </w:rPr>
      </w:pPr>
      <w:r w:rsidRPr="001B279C">
        <w:rPr>
          <w:spacing w:val="-4"/>
        </w:rPr>
        <w:t xml:space="preserve">Figure </w:t>
      </w:r>
      <w:r w:rsidRPr="001B279C">
        <w:rPr>
          <w:spacing w:val="-4"/>
        </w:rPr>
        <w:fldChar w:fldCharType="begin"/>
      </w:r>
      <w:r w:rsidRPr="001B279C">
        <w:rPr>
          <w:spacing w:val="-4"/>
        </w:rPr>
        <w:instrText xml:space="preserve"> SEQ Figure \* ARABIC \s 1 </w:instrText>
      </w:r>
      <w:r w:rsidRPr="001B279C">
        <w:rPr>
          <w:spacing w:val="-4"/>
        </w:rPr>
        <w:fldChar w:fldCharType="separate"/>
      </w:r>
      <w:r w:rsidR="00EB6801">
        <w:rPr>
          <w:noProof/>
          <w:spacing w:val="-4"/>
        </w:rPr>
        <w:t>3</w:t>
      </w:r>
      <w:r w:rsidRPr="001B279C">
        <w:rPr>
          <w:noProof/>
          <w:spacing w:val="-4"/>
        </w:rPr>
        <w:fldChar w:fldCharType="end"/>
      </w:r>
      <w:r w:rsidRPr="001B279C">
        <w:rPr>
          <w:noProof/>
          <w:spacing w:val="-4"/>
        </w:rPr>
        <w:t xml:space="preserve"> </w:t>
      </w:r>
      <w:r w:rsidRPr="001B279C">
        <w:rPr>
          <w:spacing w:val="-4"/>
        </w:rPr>
        <w:t>– HFE governs the distribution of the GST pool, but not other Commonwealth payments</w:t>
      </w:r>
    </w:p>
    <w:p w14:paraId="40A24D71" w14:textId="77777777" w:rsidR="00575FB1" w:rsidRDefault="00575FB1" w:rsidP="00575FB1">
      <w:pPr>
        <w:pStyle w:val="FigureTableSubheading"/>
        <w:keepLines/>
      </w:pPr>
      <w:r>
        <w:t>Average share of population, non-GST Commonwealth payments and GST payments by state, 2000–01 to 2024–25</w:t>
      </w:r>
    </w:p>
    <w:p w14:paraId="2D81B1DB" w14:textId="4E7AFF16" w:rsidR="00575FB1" w:rsidRPr="005550A0" w:rsidRDefault="007E4560" w:rsidP="00575FB1">
      <w:pPr>
        <w:pStyle w:val="BodyText"/>
      </w:pPr>
      <w:r w:rsidRPr="007E4560">
        <w:rPr>
          <w:noProof/>
        </w:rPr>
        <w:drawing>
          <wp:inline distT="0" distB="0" distL="0" distR="0" wp14:anchorId="7601302C" wp14:editId="2BA405B0">
            <wp:extent cx="6120130" cy="2874645"/>
            <wp:effectExtent l="0" t="0" r="0" b="0"/>
            <wp:docPr id="695571720" name="Picture 6" descr="A column chart which shows each state’s average share of population, non-GST payments, and GST payments from 2000-01 to 2024-25. It shows that a state’s share of non-GST payments are more closely aligned with its population share than GST payments, which are distributed based on the principle of H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571720" name="Picture 6" descr="A column chart which shows each state’s average share of population, non-GST payments, and GST payments from 2000-01 to 2024-25. It shows that a state’s share of non-GST payments are more closely aligned with its population share than GST payments, which are distributed based on the principle of HF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2874645"/>
                    </a:xfrm>
                    <a:prstGeom prst="rect">
                      <a:avLst/>
                    </a:prstGeom>
                    <a:noFill/>
                    <a:ln>
                      <a:noFill/>
                    </a:ln>
                  </pic:spPr>
                </pic:pic>
              </a:graphicData>
            </a:graphic>
          </wp:inline>
        </w:drawing>
      </w:r>
    </w:p>
    <w:p w14:paraId="6390F52D" w14:textId="77777777" w:rsidR="00575FB1" w:rsidRDefault="00575FB1" w:rsidP="00575FB1">
      <w:pPr>
        <w:pStyle w:val="Note"/>
        <w:keepLines/>
      </w:pPr>
      <w:r>
        <w:t>Payments under the No Worse Off Guarantee are included in non-GST payments.</w:t>
      </w:r>
    </w:p>
    <w:p w14:paraId="4B1A984A" w14:textId="77777777" w:rsidR="00575FB1" w:rsidRDefault="00575FB1" w:rsidP="00575FB1">
      <w:pPr>
        <w:pStyle w:val="Source"/>
      </w:pPr>
      <w:r w:rsidRPr="00696447">
        <w:t>Source:</w:t>
      </w:r>
      <w:r>
        <w:t xml:space="preserve"> PC estimates using Commonwealth of Australia</w:t>
      </w:r>
      <w:r w:rsidRPr="00696447">
        <w:t xml:space="preserve"> </w:t>
      </w:r>
      <w:r w:rsidRPr="00C471FE">
        <w:rPr>
          <w:rFonts w:cs="Open Sans"/>
        </w:rPr>
        <w:t>(2025 and various other years)</w:t>
      </w:r>
      <w:r>
        <w:t xml:space="preserve">. </w:t>
      </w:r>
    </w:p>
    <w:p w14:paraId="372A88D3" w14:textId="565119A9" w:rsidR="00575FB1" w:rsidRDefault="00575FB1" w:rsidP="00575FB1">
      <w:pPr>
        <w:pStyle w:val="BodyText"/>
      </w:pPr>
      <w:r>
        <w:t xml:space="preserve">In 2024–25, there were 200 different active funding agreements between the Australian Government and the states, and each state benefited from between 76 and 114 agreements. Despite the large number of agreements, many transfer relatively small amounts of money. GST payments and National Federation Funding Agreements (NFFAs) in health (National Health Reform Agreement) and education (Better and Fairer Schools Agreement) are the most valuable for all states. In 2024–25, these agreements collectively accounted for between about 75% and 85% of total grant revenue in every </w:t>
      </w:r>
      <w:r>
        <w:lastRenderedPageBreak/>
        <w:t>state except Western Australia (figure 4).</w:t>
      </w:r>
      <w:r w:rsidRPr="00F90099">
        <w:rPr>
          <w:rStyle w:val="FootnoteReference"/>
        </w:rPr>
        <w:footnoteReference w:id="4"/>
      </w:r>
      <w:r>
        <w:t xml:space="preserve"> In the same year, the 10 most valuable funding agreements in each state accounted for about 95% of the total value of grants from the Australian Government.</w:t>
      </w:r>
    </w:p>
    <w:p w14:paraId="3E103316" w14:textId="3490920F" w:rsidR="00100FC6" w:rsidRPr="00146382" w:rsidRDefault="00100FC6">
      <w:pPr>
        <w:pStyle w:val="FigureTableHeading"/>
      </w:pPr>
      <w:r>
        <w:t xml:space="preserve">Figure </w:t>
      </w:r>
      <w:fldSimple w:instr=" SEQ Figure \* ARABIC \s 1 ">
        <w:r w:rsidR="00EB6801">
          <w:rPr>
            <w:noProof/>
          </w:rPr>
          <w:t>4</w:t>
        </w:r>
      </w:fldSimple>
      <w:r>
        <w:rPr>
          <w:noProof/>
        </w:rPr>
        <w:t xml:space="preserve"> </w:t>
      </w:r>
      <w:r>
        <w:t xml:space="preserve">– </w:t>
      </w:r>
      <w:r w:rsidR="00487F59">
        <w:t xml:space="preserve">The majority of </w:t>
      </w:r>
      <w:r w:rsidR="00487F59" w:rsidRPr="00831FB2">
        <w:t xml:space="preserve">Commonwealth </w:t>
      </w:r>
      <w:r w:rsidR="00F81024">
        <w:t xml:space="preserve">payments are </w:t>
      </w:r>
      <w:r w:rsidR="00487F59">
        <w:t xml:space="preserve">contained within a small number of funding agreements </w:t>
      </w:r>
    </w:p>
    <w:p w14:paraId="1040D793" w14:textId="08AB30DF" w:rsidR="00100FC6" w:rsidRDefault="00C47472" w:rsidP="00F81024">
      <w:pPr>
        <w:pStyle w:val="FigureTableSubheading"/>
        <w:keepLines/>
      </w:pPr>
      <w:r>
        <w:t xml:space="preserve">Share of Commonwealth </w:t>
      </w:r>
      <w:r w:rsidR="00F81024">
        <w:t xml:space="preserve">payments </w:t>
      </w:r>
      <w:r w:rsidR="00F9439F">
        <w:t>contained in funding agreements, 2024</w:t>
      </w:r>
      <w:r w:rsidR="00212465">
        <w:t>–</w:t>
      </w:r>
      <w:r w:rsidR="004E3F37">
        <w:t>‍</w:t>
      </w:r>
      <w:r w:rsidR="00F9439F">
        <w:t>25</w:t>
      </w:r>
    </w:p>
    <w:p w14:paraId="7A89D609" w14:textId="1B9B7944" w:rsidR="00F81024" w:rsidRPr="005550A0" w:rsidRDefault="00FC7350" w:rsidP="00A86330">
      <w:pPr>
        <w:pStyle w:val="BodyText"/>
      </w:pPr>
      <w:r w:rsidRPr="00FC7350">
        <w:rPr>
          <w:noProof/>
        </w:rPr>
        <w:drawing>
          <wp:inline distT="0" distB="0" distL="0" distR="0" wp14:anchorId="68B40262" wp14:editId="402BF12D">
            <wp:extent cx="6120130" cy="3028315"/>
            <wp:effectExtent l="0" t="0" r="0" b="0"/>
            <wp:docPr id="304380615" name="Picture 4" descr="Figure 4 – A stacked column chart which shows the share of Commonwealth grants revenue contained in funding agreements in 2024-25. GST payments, the National Health Reform Agreement, and the Better and Fairer Schools Agreement make up the majority of the grant revenue states received from the Commonwealth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380615" name="Picture 4" descr="Figure 4 – A stacked column chart which shows the share of Commonwealth grants revenue contained in funding agreements in 2024-25. GST payments, the National Health Reform Agreement, and the Better and Fairer Schools Agreement make up the majority of the grant revenue states received from the Commonwealth Governmen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3028315"/>
                    </a:xfrm>
                    <a:prstGeom prst="rect">
                      <a:avLst/>
                    </a:prstGeom>
                    <a:noFill/>
                    <a:ln>
                      <a:noFill/>
                    </a:ln>
                  </pic:spPr>
                </pic:pic>
              </a:graphicData>
            </a:graphic>
          </wp:inline>
        </w:drawing>
      </w:r>
    </w:p>
    <w:p w14:paraId="2FD33E59" w14:textId="0C53E727" w:rsidR="00100FC6" w:rsidRDefault="00100FC6" w:rsidP="00100FC6">
      <w:pPr>
        <w:pStyle w:val="Source"/>
      </w:pPr>
      <w:r w:rsidRPr="00696447">
        <w:t xml:space="preserve">Source: </w:t>
      </w:r>
      <w:r w:rsidR="00EE3834">
        <w:t>PC estimates</w:t>
      </w:r>
      <w:r w:rsidR="00AA6754">
        <w:t xml:space="preserve"> using</w:t>
      </w:r>
      <w:r w:rsidR="00EE3834">
        <w:t xml:space="preserve"> </w:t>
      </w:r>
      <w:r w:rsidR="000E05CB">
        <w:t xml:space="preserve">Commonwealth of </w:t>
      </w:r>
      <w:r w:rsidR="000E05CB" w:rsidRPr="009A6A92">
        <w:t>Australia</w:t>
      </w:r>
      <w:r w:rsidR="00EE3834" w:rsidRPr="009A6A92">
        <w:t xml:space="preserve"> (2025)</w:t>
      </w:r>
      <w:r w:rsidR="009A6A92">
        <w:t>.</w:t>
      </w:r>
    </w:p>
    <w:p w14:paraId="0FCC1E64" w14:textId="10B8534A" w:rsidR="006B129A" w:rsidRPr="00BC2AFF" w:rsidRDefault="00FF5EC4" w:rsidP="00325068">
      <w:pPr>
        <w:pStyle w:val="Heading2"/>
        <w:numPr>
          <w:ilvl w:val="0"/>
          <w:numId w:val="1"/>
        </w:numPr>
        <w:ind w:left="567" w:hanging="567"/>
      </w:pPr>
      <w:r>
        <w:t>The theoretical basis of HFE</w:t>
      </w:r>
    </w:p>
    <w:p w14:paraId="789C6B8F" w14:textId="13A2BA28" w:rsidR="006A3781" w:rsidRPr="00575FB1" w:rsidRDefault="0038744B" w:rsidP="006A3781">
      <w:pPr>
        <w:pStyle w:val="BodyText"/>
        <w:rPr>
          <w:spacing w:val="-2"/>
        </w:rPr>
      </w:pPr>
      <w:r w:rsidRPr="00575FB1">
        <w:rPr>
          <w:spacing w:val="-2"/>
        </w:rPr>
        <w:t xml:space="preserve">HFE </w:t>
      </w:r>
      <w:r w:rsidR="0089113A" w:rsidRPr="00575FB1">
        <w:rPr>
          <w:spacing w:val="-2"/>
        </w:rPr>
        <w:t>‘</w:t>
      </w:r>
      <w:r w:rsidR="0089113A" w:rsidRPr="00575FB1">
        <w:rPr>
          <w:i/>
          <w:iCs/>
          <w:spacing w:val="-2"/>
        </w:rPr>
        <w:t xml:space="preserve">has long been an important and internationally notable feature </w:t>
      </w:r>
      <w:r w:rsidR="0031108F" w:rsidRPr="00575FB1">
        <w:rPr>
          <w:i/>
          <w:iCs/>
          <w:spacing w:val="-2"/>
        </w:rPr>
        <w:t>of Australian federalism</w:t>
      </w:r>
      <w:r w:rsidRPr="00575FB1">
        <w:rPr>
          <w:spacing w:val="-2"/>
        </w:rPr>
        <w:t>’</w:t>
      </w:r>
      <w:r w:rsidR="00706306" w:rsidRPr="00575FB1">
        <w:rPr>
          <w:spacing w:val="-2"/>
        </w:rPr>
        <w:t xml:space="preserve"> </w:t>
      </w:r>
      <w:r w:rsidR="006C606F" w:rsidRPr="00575FB1">
        <w:rPr>
          <w:rFonts w:cs="Open Sans"/>
          <w:spacing w:val="-2"/>
          <w:szCs w:val="24"/>
        </w:rPr>
        <w:t>(Fenna and Phillimore 2025, p. 701)</w:t>
      </w:r>
      <w:r w:rsidRPr="00575FB1">
        <w:rPr>
          <w:spacing w:val="-2"/>
        </w:rPr>
        <w:t xml:space="preserve"> and promotes the fair and non</w:t>
      </w:r>
      <w:r w:rsidR="00E033DC" w:rsidRPr="00575FB1">
        <w:rPr>
          <w:spacing w:val="-2"/>
        </w:rPr>
        <w:noBreakHyphen/>
      </w:r>
      <w:r w:rsidRPr="00575FB1">
        <w:rPr>
          <w:spacing w:val="-2"/>
        </w:rPr>
        <w:t>preferential treatment of all states by the</w:t>
      </w:r>
      <w:r w:rsidR="000A0083" w:rsidRPr="00575FB1">
        <w:rPr>
          <w:spacing w:val="-2"/>
        </w:rPr>
        <w:t xml:space="preserve"> Australian Government</w:t>
      </w:r>
      <w:r w:rsidRPr="00575FB1">
        <w:rPr>
          <w:spacing w:val="-2"/>
        </w:rPr>
        <w:t xml:space="preserve">. </w:t>
      </w:r>
      <w:r w:rsidR="008C5E7A" w:rsidRPr="00575FB1">
        <w:rPr>
          <w:spacing w:val="-2"/>
        </w:rPr>
        <w:t xml:space="preserve">Without HFE, the standard of services which states could provide would be </w:t>
      </w:r>
      <w:r w:rsidR="00841DD5" w:rsidRPr="00575FB1">
        <w:rPr>
          <w:spacing w:val="-2"/>
        </w:rPr>
        <w:t xml:space="preserve">impacted </w:t>
      </w:r>
      <w:r w:rsidR="008C5E7A" w:rsidRPr="00575FB1">
        <w:rPr>
          <w:spacing w:val="-2"/>
        </w:rPr>
        <w:t>by structural factors like the demographic make</w:t>
      </w:r>
      <w:r w:rsidR="00E033DC" w:rsidRPr="00575FB1">
        <w:rPr>
          <w:spacing w:val="-2"/>
        </w:rPr>
        <w:noBreakHyphen/>
      </w:r>
      <w:r w:rsidR="008C5E7A" w:rsidRPr="00575FB1">
        <w:rPr>
          <w:spacing w:val="-2"/>
        </w:rPr>
        <w:t>up of the population or resource endowments.</w:t>
      </w:r>
    </w:p>
    <w:p w14:paraId="496F0371" w14:textId="2CC66D21" w:rsidR="006B129A" w:rsidRPr="00BC2AFF" w:rsidRDefault="00136960" w:rsidP="006A3781">
      <w:pPr>
        <w:pStyle w:val="Heading3"/>
      </w:pPr>
      <w:r>
        <w:t>Australia chooses to undertake HFE for several reasons</w:t>
      </w:r>
    </w:p>
    <w:p w14:paraId="19F23FC3" w14:textId="189BC55B" w:rsidR="006B129A" w:rsidRPr="00BC2AFF" w:rsidRDefault="006B129A" w:rsidP="006B129A">
      <w:pPr>
        <w:pStyle w:val="Heading4"/>
      </w:pPr>
      <w:r w:rsidRPr="00BC2AFF">
        <w:t>HFE supports equality of opportunity</w:t>
      </w:r>
    </w:p>
    <w:p w14:paraId="7D84D010" w14:textId="20829455" w:rsidR="006B129A" w:rsidRPr="00575FB1" w:rsidRDefault="006B129A" w:rsidP="00317C3A">
      <w:pPr>
        <w:pStyle w:val="BodyText"/>
        <w:rPr>
          <w:spacing w:val="-4"/>
        </w:rPr>
      </w:pPr>
      <w:r w:rsidRPr="00575FB1">
        <w:rPr>
          <w:spacing w:val="-4"/>
        </w:rPr>
        <w:t xml:space="preserve">HFE supports equality of opportunity by reducing differences in </w:t>
      </w:r>
      <w:r w:rsidR="007B577F" w:rsidRPr="00575FB1">
        <w:rPr>
          <w:spacing w:val="-4"/>
        </w:rPr>
        <w:t xml:space="preserve">states’ </w:t>
      </w:r>
      <w:r w:rsidRPr="00575FB1">
        <w:rPr>
          <w:spacing w:val="-4"/>
        </w:rPr>
        <w:t>fiscal capacities that result from structural factors</w:t>
      </w:r>
      <w:r w:rsidR="00330EED" w:rsidRPr="00575FB1">
        <w:rPr>
          <w:spacing w:val="-4"/>
        </w:rPr>
        <w:t xml:space="preserve"> outside of a state’s control</w:t>
      </w:r>
      <w:r w:rsidR="0060587B" w:rsidRPr="00575FB1">
        <w:rPr>
          <w:spacing w:val="-4"/>
        </w:rPr>
        <w:t xml:space="preserve">. </w:t>
      </w:r>
      <w:r w:rsidR="008D1E29" w:rsidRPr="00575FB1">
        <w:rPr>
          <w:spacing w:val="-4"/>
        </w:rPr>
        <w:t xml:space="preserve">Equality and the principle of a ‘fair go’ are widely recognised and accepted as cultural and political values in </w:t>
      </w:r>
      <w:r w:rsidR="008D1E29" w:rsidRPr="00575FB1">
        <w:rPr>
          <w:rStyle w:val="BodyTextChar"/>
          <w:spacing w:val="-4"/>
        </w:rPr>
        <w:t xml:space="preserve">Australia </w:t>
      </w:r>
      <w:r w:rsidR="00904808" w:rsidRPr="00575FB1">
        <w:rPr>
          <w:rFonts w:cs="Open Sans"/>
          <w:spacing w:val="-4"/>
          <w:szCs w:val="24"/>
        </w:rPr>
        <w:t xml:space="preserve">(Braun 2006, p. 12; Fenwick and Silva 2026, p. 5; </w:t>
      </w:r>
      <w:r w:rsidR="00904808" w:rsidRPr="00575FB1">
        <w:rPr>
          <w:rFonts w:cs="Open Sans"/>
          <w:spacing w:val="-4"/>
          <w:szCs w:val="24"/>
        </w:rPr>
        <w:lastRenderedPageBreak/>
        <w:t>Howard 2023, pp. 210–211)</w:t>
      </w:r>
      <w:r w:rsidR="008D1E29" w:rsidRPr="00575FB1">
        <w:rPr>
          <w:spacing w:val="-4"/>
        </w:rPr>
        <w:t xml:space="preserve"> and HFE aligns with these values by </w:t>
      </w:r>
      <w:r w:rsidR="007E24B1" w:rsidRPr="00575FB1">
        <w:rPr>
          <w:spacing w:val="-4"/>
        </w:rPr>
        <w:t>providing support to state</w:t>
      </w:r>
      <w:r w:rsidR="00A237B7" w:rsidRPr="00575FB1">
        <w:rPr>
          <w:spacing w:val="-4"/>
        </w:rPr>
        <w:t xml:space="preserve">s </w:t>
      </w:r>
      <w:r w:rsidR="00F742FF" w:rsidRPr="00575FB1">
        <w:rPr>
          <w:spacing w:val="-4"/>
        </w:rPr>
        <w:t xml:space="preserve">so </w:t>
      </w:r>
      <w:r w:rsidR="008D1E29" w:rsidRPr="00575FB1">
        <w:rPr>
          <w:spacing w:val="-4"/>
        </w:rPr>
        <w:t xml:space="preserve">the quality of public services </w:t>
      </w:r>
      <w:r w:rsidR="009E129C" w:rsidRPr="00575FB1">
        <w:rPr>
          <w:spacing w:val="-4"/>
        </w:rPr>
        <w:t xml:space="preserve">that </w:t>
      </w:r>
      <w:r w:rsidR="008D1E29" w:rsidRPr="00575FB1">
        <w:rPr>
          <w:spacing w:val="-4"/>
        </w:rPr>
        <w:t xml:space="preserve">citizens receive are </w:t>
      </w:r>
      <w:r w:rsidR="00473230" w:rsidRPr="00575FB1">
        <w:rPr>
          <w:spacing w:val="-4"/>
        </w:rPr>
        <w:t>less dependent on</w:t>
      </w:r>
      <w:r w:rsidR="0095408A" w:rsidRPr="00575FB1">
        <w:rPr>
          <w:spacing w:val="-4"/>
        </w:rPr>
        <w:t xml:space="preserve"> </w:t>
      </w:r>
      <w:r w:rsidR="004D68E1" w:rsidRPr="00575FB1">
        <w:rPr>
          <w:spacing w:val="-4"/>
        </w:rPr>
        <w:t xml:space="preserve">the state in </w:t>
      </w:r>
      <w:r w:rsidR="006A1A5B" w:rsidRPr="00575FB1">
        <w:rPr>
          <w:spacing w:val="-4"/>
        </w:rPr>
        <w:t>which they live</w:t>
      </w:r>
      <w:r w:rsidR="00ED7CC8" w:rsidRPr="00575FB1">
        <w:rPr>
          <w:spacing w:val="-4"/>
        </w:rPr>
        <w:t>.</w:t>
      </w:r>
      <w:r w:rsidR="00D77FBB" w:rsidRPr="00575FB1">
        <w:rPr>
          <w:rStyle w:val="FootnoteReference"/>
          <w:spacing w:val="-4"/>
        </w:rPr>
        <w:footnoteReference w:id="5"/>
      </w:r>
      <w:r w:rsidR="008D1E29" w:rsidRPr="00575FB1">
        <w:rPr>
          <w:spacing w:val="-4"/>
        </w:rPr>
        <w:t xml:space="preserve"> </w:t>
      </w:r>
    </w:p>
    <w:p w14:paraId="20B5542F" w14:textId="60E80855" w:rsidR="004871DE" w:rsidRDefault="009D777D" w:rsidP="00317C3A">
      <w:pPr>
        <w:pStyle w:val="BodyText"/>
      </w:pPr>
      <w:r w:rsidRPr="00BC2AFF">
        <w:t xml:space="preserve">Comparable levels of services between states </w:t>
      </w:r>
      <w:r w:rsidR="00D30636" w:rsidRPr="00BC2AFF">
        <w:t>are</w:t>
      </w:r>
      <w:r w:rsidRPr="00BC2AFF">
        <w:t xml:space="preserve"> important for equality of opportunity</w:t>
      </w:r>
      <w:r w:rsidR="00BA4E10">
        <w:t>,</w:t>
      </w:r>
      <w:r w:rsidRPr="00BC2AFF">
        <w:t xml:space="preserve"> as the </w:t>
      </w:r>
      <w:r w:rsidR="00402198" w:rsidRPr="00BC2AFF">
        <w:t xml:space="preserve">quality of </w:t>
      </w:r>
      <w:r w:rsidRPr="00BC2AFF">
        <w:t xml:space="preserve">services delivered by states, </w:t>
      </w:r>
      <w:r w:rsidR="00BA4E10">
        <w:t>such as</w:t>
      </w:r>
      <w:r w:rsidR="00BA4E10" w:rsidRPr="00BC2AFF">
        <w:t xml:space="preserve"> </w:t>
      </w:r>
      <w:r w:rsidRPr="00BC2AFF">
        <w:t xml:space="preserve">health and education, </w:t>
      </w:r>
      <w:r w:rsidR="00AC323D" w:rsidRPr="00BC2AFF">
        <w:t xml:space="preserve">contribute to </w:t>
      </w:r>
      <w:r w:rsidRPr="00BC2AFF">
        <w:t>economic and social outcomes</w:t>
      </w:r>
      <w:r w:rsidR="00791C62">
        <w:t xml:space="preserve"> </w:t>
      </w:r>
      <w:r w:rsidR="00BF18E2" w:rsidRPr="00BF18E2">
        <w:rPr>
          <w:rFonts w:cs="Open Sans"/>
          <w:szCs w:val="24"/>
        </w:rPr>
        <w:t>(OECD 2015, p. 80, 2025, pp. 1, 7–12)</w:t>
      </w:r>
      <w:r w:rsidR="00D30636" w:rsidRPr="00BC2AFF">
        <w:t>.</w:t>
      </w:r>
      <w:r w:rsidR="006417B8" w:rsidRPr="00BC2AFF">
        <w:t xml:space="preserve"> Education, for example, can act as an equaliser </w:t>
      </w:r>
      <w:r w:rsidR="004871DE">
        <w:t xml:space="preserve">between individuals </w:t>
      </w:r>
      <w:r w:rsidR="006417B8" w:rsidRPr="00BC2AFF">
        <w:t xml:space="preserve">by </w:t>
      </w:r>
      <w:r w:rsidR="004871DE">
        <w:t xml:space="preserve">improving </w:t>
      </w:r>
      <w:r w:rsidR="006417B8" w:rsidRPr="00BC2AFF">
        <w:t>lifetime earnings</w:t>
      </w:r>
      <w:r w:rsidR="004871DE">
        <w:t xml:space="preserve"> </w:t>
      </w:r>
      <w:r w:rsidR="00013F67" w:rsidRPr="00013F67">
        <w:rPr>
          <w:szCs w:val="24"/>
        </w:rPr>
        <w:t>(Leigh 2025)</w:t>
      </w:r>
      <w:r w:rsidR="00CE2640">
        <w:t>.</w:t>
      </w:r>
      <w:r w:rsidR="0064055A">
        <w:t xml:space="preserve"> </w:t>
      </w:r>
    </w:p>
    <w:p w14:paraId="511DDEE9" w14:textId="147B32A5" w:rsidR="00DF5F7C" w:rsidRPr="00BC2AFF" w:rsidRDefault="00414D88" w:rsidP="003C5DAF">
      <w:pPr>
        <w:pStyle w:val="BodyText"/>
      </w:pPr>
      <w:r>
        <w:t>Many i</w:t>
      </w:r>
      <w:r w:rsidR="00243C4C">
        <w:t>nquiry participants</w:t>
      </w:r>
      <w:r w:rsidR="00DF5F7C" w:rsidRPr="00BC2AFF">
        <w:t xml:space="preserve"> were</w:t>
      </w:r>
      <w:r>
        <w:t xml:space="preserve"> </w:t>
      </w:r>
      <w:r w:rsidR="004907A9" w:rsidRPr="00BC2AFF">
        <w:t xml:space="preserve">supportive of equality of opportunity as an important </w:t>
      </w:r>
      <w:r w:rsidR="008C74FE" w:rsidRPr="00BC2AFF">
        <w:t xml:space="preserve">reason for undertaking </w:t>
      </w:r>
      <w:r w:rsidR="004907A9" w:rsidRPr="00BC2AFF">
        <w:t>HFE</w:t>
      </w:r>
      <w:r w:rsidR="00243C4C">
        <w:t>.</w:t>
      </w:r>
      <w:r w:rsidR="0063122A" w:rsidRPr="00F90099">
        <w:rPr>
          <w:rStyle w:val="FootnoteReference"/>
        </w:rPr>
        <w:footnoteReference w:id="6"/>
      </w:r>
      <w:r w:rsidR="00BB5409" w:rsidRPr="00BC2AFF">
        <w:t xml:space="preserve"> </w:t>
      </w:r>
    </w:p>
    <w:p w14:paraId="0C9BCA8B" w14:textId="7D4C069B" w:rsidR="00A252C7" w:rsidRPr="00BC2AFF" w:rsidRDefault="00A252C7" w:rsidP="00A252C7">
      <w:pPr>
        <w:pStyle w:val="Heading4"/>
      </w:pPr>
      <w:r w:rsidRPr="00BC2AFF">
        <w:t xml:space="preserve">HFE acts as a </w:t>
      </w:r>
      <w:r w:rsidR="00C6162A">
        <w:t xml:space="preserve">fiscal </w:t>
      </w:r>
      <w:r w:rsidRPr="00BC2AFF">
        <w:t>stabiliser in a federation where states do not have their own exchange rate or monetary policy</w:t>
      </w:r>
    </w:p>
    <w:p w14:paraId="5C683A6A" w14:textId="681AB3C9" w:rsidR="00596A37" w:rsidRPr="00BC2AFF" w:rsidRDefault="009F2311" w:rsidP="00596A37">
      <w:pPr>
        <w:pStyle w:val="BodyText"/>
      </w:pPr>
      <w:r w:rsidRPr="00BC2AFF">
        <w:t>States</w:t>
      </w:r>
      <w:r w:rsidR="00725AD9">
        <w:t>’</w:t>
      </w:r>
      <w:r w:rsidRPr="00BC2AFF">
        <w:t xml:space="preserve"> year</w:t>
      </w:r>
      <w:r w:rsidR="00E033DC">
        <w:noBreakHyphen/>
      </w:r>
      <w:r w:rsidRPr="00BC2AFF">
        <w:t>to</w:t>
      </w:r>
      <w:r w:rsidR="00E033DC">
        <w:noBreakHyphen/>
      </w:r>
      <w:r w:rsidRPr="00BC2AFF">
        <w:t xml:space="preserve">year fiscal capacities are impacted by business cycles and economic shocks, but </w:t>
      </w:r>
      <w:r w:rsidR="005E0466">
        <w:t>unlike the</w:t>
      </w:r>
      <w:r w:rsidR="00A83898">
        <w:t xml:space="preserve"> Australian Government</w:t>
      </w:r>
      <w:r w:rsidR="005E0466">
        <w:t>,</w:t>
      </w:r>
      <w:r w:rsidRPr="00BC2AFF">
        <w:t xml:space="preserve"> states cannot use monetary policy or </w:t>
      </w:r>
      <w:r w:rsidR="00900868" w:rsidRPr="00BC2AFF">
        <w:t xml:space="preserve">exchange rates to smooth </w:t>
      </w:r>
      <w:r w:rsidR="005E0466">
        <w:t>their</w:t>
      </w:r>
      <w:r w:rsidR="00900868" w:rsidRPr="00BC2AFF">
        <w:t xml:space="preserve"> business cycles </w:t>
      </w:r>
      <w:r w:rsidR="00302541" w:rsidRPr="00302541">
        <w:rPr>
          <w:rFonts w:cs="Open Sans"/>
          <w:szCs w:val="24"/>
        </w:rPr>
        <w:t>(PC 2018, p. 132)</w:t>
      </w:r>
      <w:r w:rsidR="00D45C2D">
        <w:t>.</w:t>
      </w:r>
      <w:r w:rsidR="00900868" w:rsidRPr="00BC2AFF">
        <w:t xml:space="preserve"> </w:t>
      </w:r>
      <w:r w:rsidR="007819A2" w:rsidRPr="00BC2AFF">
        <w:t>Federal tax</w:t>
      </w:r>
      <w:r w:rsidR="00E033DC">
        <w:noBreakHyphen/>
      </w:r>
      <w:r w:rsidR="007819A2" w:rsidRPr="00BC2AFF">
        <w:t>transfer systems</w:t>
      </w:r>
      <w:r w:rsidR="00002A53" w:rsidRPr="00BC2AFF">
        <w:t xml:space="preserve"> </w:t>
      </w:r>
      <w:r w:rsidR="007819A2" w:rsidRPr="00BC2AFF">
        <w:t>can help to smooth</w:t>
      </w:r>
      <w:r w:rsidR="00C377AD" w:rsidRPr="00BC2AFF">
        <w:t xml:space="preserve"> states’ </w:t>
      </w:r>
      <w:r w:rsidR="00851CBA">
        <w:t>revenues</w:t>
      </w:r>
      <w:r w:rsidR="005A1323">
        <w:t xml:space="preserve"> </w:t>
      </w:r>
      <w:r w:rsidR="00654149" w:rsidRPr="00BC2AFF">
        <w:t xml:space="preserve">and act as a </w:t>
      </w:r>
      <w:r w:rsidR="008D3BBF">
        <w:t xml:space="preserve">fiscal </w:t>
      </w:r>
      <w:r w:rsidR="0004606E" w:rsidRPr="00BC2AFF">
        <w:t>stabiliser</w:t>
      </w:r>
      <w:r w:rsidR="00CD41BA" w:rsidRPr="00BC2AFF">
        <w:t xml:space="preserve"> </w:t>
      </w:r>
      <w:r w:rsidR="007D7801" w:rsidRPr="00831FB2">
        <w:rPr>
          <w:rFonts w:cs="Open Sans"/>
          <w:szCs w:val="24"/>
        </w:rPr>
        <w:t>(</w:t>
      </w:r>
      <w:proofErr w:type="spellStart"/>
      <w:r w:rsidR="007D7801" w:rsidRPr="00831FB2">
        <w:rPr>
          <w:rFonts w:cs="Open Sans"/>
          <w:szCs w:val="24"/>
        </w:rPr>
        <w:t>Asdrubali</w:t>
      </w:r>
      <w:proofErr w:type="spellEnd"/>
      <w:r w:rsidR="007D7801" w:rsidRPr="00831FB2">
        <w:rPr>
          <w:rFonts w:cs="Open Sans"/>
          <w:szCs w:val="24"/>
        </w:rPr>
        <w:t xml:space="preserve"> et al. 1996, pp. 1082, 1092)</w:t>
      </w:r>
      <w:r w:rsidR="00AC4EAC">
        <w:t>.</w:t>
      </w:r>
      <w:r w:rsidR="00C700D6" w:rsidRPr="00BC2AFF">
        <w:t xml:space="preserve"> </w:t>
      </w:r>
      <w:r w:rsidR="00CA169C">
        <w:t>For example,</w:t>
      </w:r>
      <w:r w:rsidR="003C7D90">
        <w:t xml:space="preserve"> f</w:t>
      </w:r>
      <w:r w:rsidR="00CC5AD0" w:rsidRPr="00BC2AFF">
        <w:t xml:space="preserve">ederal transfers like </w:t>
      </w:r>
      <w:r w:rsidR="00C700D6" w:rsidRPr="00BC2AFF">
        <w:t xml:space="preserve">GST </w:t>
      </w:r>
      <w:r w:rsidR="00CC5AD0" w:rsidRPr="00BC2AFF">
        <w:t>payments</w:t>
      </w:r>
      <w:r w:rsidR="00F75326">
        <w:t xml:space="preserve"> can</w:t>
      </w:r>
      <w:r w:rsidR="00C700D6" w:rsidRPr="00BC2AFF">
        <w:t xml:space="preserve"> </w:t>
      </w:r>
      <w:r w:rsidR="00366156">
        <w:t>help to cushion state budgets from</w:t>
      </w:r>
      <w:r w:rsidR="00685F24">
        <w:t xml:space="preserve"> </w:t>
      </w:r>
      <w:r w:rsidR="00CD41BA" w:rsidRPr="00BC2AFF">
        <w:t>declines in own</w:t>
      </w:r>
      <w:r w:rsidR="00E033DC">
        <w:noBreakHyphen/>
      </w:r>
      <w:r w:rsidR="00CD41BA" w:rsidRPr="00BC2AFF">
        <w:t>source revenue or increases in expenditure during localised downturns</w:t>
      </w:r>
      <w:r w:rsidR="0076719A">
        <w:t>. A</w:t>
      </w:r>
      <w:r w:rsidR="009C6619" w:rsidRPr="00BC2AFF">
        <w:t xml:space="preserve"> state experiencing a</w:t>
      </w:r>
      <w:r w:rsidR="00977FE7">
        <w:t xml:space="preserve"> negative</w:t>
      </w:r>
      <w:r w:rsidR="009C6619" w:rsidRPr="00BC2AFF">
        <w:t xml:space="preserve"> economic shock will </w:t>
      </w:r>
      <w:r w:rsidR="004504B0" w:rsidRPr="00BC2AFF">
        <w:t xml:space="preserve">receive a greater share of the GST </w:t>
      </w:r>
      <w:r w:rsidR="00016033">
        <w:t>pool</w:t>
      </w:r>
      <w:r w:rsidR="00C34FB1">
        <w:t xml:space="preserve"> </w:t>
      </w:r>
      <w:r w:rsidR="004504B0" w:rsidRPr="00BC2AFF">
        <w:t>as its revenue</w:t>
      </w:r>
      <w:r w:rsidR="00E033DC">
        <w:noBreakHyphen/>
      </w:r>
      <w:r w:rsidR="004504B0" w:rsidRPr="00BC2AFF">
        <w:t xml:space="preserve">raising capacity falls or </w:t>
      </w:r>
      <w:r w:rsidR="000E0635">
        <w:t>its drivers of expenditure</w:t>
      </w:r>
      <w:r w:rsidR="004504B0" w:rsidRPr="00BC2AFF">
        <w:t xml:space="preserve"> rise</w:t>
      </w:r>
      <w:r w:rsidR="00397FB0" w:rsidRPr="00BC2AFF">
        <w:t xml:space="preserve"> </w:t>
      </w:r>
      <w:r w:rsidR="00DC59C3">
        <w:t>(relative to those of other states)</w:t>
      </w:r>
      <w:r w:rsidR="00397FB0" w:rsidRPr="00BC2AFF">
        <w:t xml:space="preserve"> </w:t>
      </w:r>
      <w:r w:rsidR="00206896" w:rsidRPr="004239A9">
        <w:t>(Smart 2004, pp. 197–198)</w:t>
      </w:r>
      <w:r w:rsidR="005E3C05">
        <w:t>.</w:t>
      </w:r>
      <w:r w:rsidR="0014436B" w:rsidRPr="00BC2AFF">
        <w:t xml:space="preserve"> </w:t>
      </w:r>
      <w:r w:rsidR="001315F7">
        <w:t xml:space="preserve">Conversely, </w:t>
      </w:r>
      <w:r w:rsidR="000C6E31">
        <w:t>a state which experiences a positive economic shock that causes its revenue</w:t>
      </w:r>
      <w:r w:rsidR="00E033DC">
        <w:noBreakHyphen/>
      </w:r>
      <w:r w:rsidR="000C6E31">
        <w:t>raising capacity to increase (relative to that of other states)</w:t>
      </w:r>
      <w:r w:rsidR="004243B0">
        <w:t xml:space="preserve"> will receive </w:t>
      </w:r>
      <w:r w:rsidR="005A2ED3">
        <w:t xml:space="preserve">a </w:t>
      </w:r>
      <w:r w:rsidR="005A395F">
        <w:t>smaller</w:t>
      </w:r>
      <w:r w:rsidR="005A2ED3">
        <w:t xml:space="preserve"> share of the GST </w:t>
      </w:r>
      <w:r w:rsidR="00C34FB1">
        <w:t xml:space="preserve">pool </w:t>
      </w:r>
      <w:r w:rsidR="008C2067">
        <w:t xml:space="preserve">as </w:t>
      </w:r>
      <w:r w:rsidR="005A2ED3">
        <w:t xml:space="preserve">it </w:t>
      </w:r>
      <w:r w:rsidR="008326E1">
        <w:t xml:space="preserve">would </w:t>
      </w:r>
      <w:r w:rsidR="005A2ED3">
        <w:t>requir</w:t>
      </w:r>
      <w:r w:rsidR="00554115">
        <w:t>e</w:t>
      </w:r>
      <w:r w:rsidR="005A2ED3">
        <w:t xml:space="preserve"> less support to provide services of a</w:t>
      </w:r>
      <w:r w:rsidR="00917830">
        <w:t xml:space="preserve"> similar</w:t>
      </w:r>
      <w:r w:rsidR="005A2ED3" w:rsidDel="00917830">
        <w:t xml:space="preserve"> </w:t>
      </w:r>
      <w:r w:rsidR="005A2ED3">
        <w:t>standard to other states.</w:t>
      </w:r>
    </w:p>
    <w:p w14:paraId="7863988F" w14:textId="63CCFE46" w:rsidR="00306BA4" w:rsidRPr="00BC2AFF" w:rsidRDefault="00306BA4" w:rsidP="00306BA4">
      <w:pPr>
        <w:pStyle w:val="Heading4"/>
      </w:pPr>
      <w:r>
        <w:t xml:space="preserve">HFE </w:t>
      </w:r>
      <w:r w:rsidR="00CE575F">
        <w:t xml:space="preserve">theoretically </w:t>
      </w:r>
      <w:r>
        <w:t>support</w:t>
      </w:r>
      <w:r w:rsidR="00A135EE">
        <w:t>s</w:t>
      </w:r>
      <w:r>
        <w:t xml:space="preserve"> national cohesion</w:t>
      </w:r>
    </w:p>
    <w:p w14:paraId="4F170A9C" w14:textId="4560637C" w:rsidR="00163E66" w:rsidRDefault="00176537" w:rsidP="005F66AF">
      <w:pPr>
        <w:pStyle w:val="BodyText"/>
      </w:pPr>
      <w:r w:rsidRPr="00BC2AFF">
        <w:t xml:space="preserve">HFE </w:t>
      </w:r>
      <w:r w:rsidR="00A81FAF">
        <w:t>can</w:t>
      </w:r>
      <w:r w:rsidRPr="00BC2AFF">
        <w:t xml:space="preserve"> support national cohesion by giving state</w:t>
      </w:r>
      <w:r w:rsidR="00917830">
        <w:t>s</w:t>
      </w:r>
      <w:r w:rsidRPr="00BC2AFF">
        <w:t xml:space="preserve"> the fiscal capacity to provide services and associated infrastructure </w:t>
      </w:r>
      <w:r w:rsidR="00917830">
        <w:t>of a similar</w:t>
      </w:r>
      <w:r w:rsidR="005B7AA6">
        <w:t xml:space="preserve"> </w:t>
      </w:r>
      <w:r w:rsidRPr="00BC2AFF">
        <w:t>standard</w:t>
      </w:r>
      <w:r w:rsidR="001D465C">
        <w:t xml:space="preserve">. </w:t>
      </w:r>
      <w:r w:rsidR="007F35A1">
        <w:t>This</w:t>
      </w:r>
      <w:r w:rsidR="00EA5F60" w:rsidRPr="00BC2AFF">
        <w:t xml:space="preserve"> has broad positive implications for social cohesion</w:t>
      </w:r>
      <w:r w:rsidR="005A1019" w:rsidRPr="00BC2AFF">
        <w:t xml:space="preserve"> as access to high</w:t>
      </w:r>
      <w:r w:rsidR="007F35A1">
        <w:noBreakHyphen/>
      </w:r>
      <w:r w:rsidR="005A1019" w:rsidRPr="00BC2AFF">
        <w:t xml:space="preserve">quality public services can reduce </w:t>
      </w:r>
      <w:r w:rsidR="00EE1B7A">
        <w:t xml:space="preserve">the </w:t>
      </w:r>
      <w:r w:rsidR="005A1019" w:rsidRPr="00BC2AFF">
        <w:t xml:space="preserve">negative consequences of income and wealth inequality and foster </w:t>
      </w:r>
      <w:r w:rsidR="009A5A16" w:rsidRPr="00BC2AFF">
        <w:t xml:space="preserve">upward mobility </w:t>
      </w:r>
      <w:r w:rsidR="00BD030F" w:rsidRPr="00BD030F">
        <w:rPr>
          <w:rFonts w:cs="Open Sans"/>
          <w:szCs w:val="24"/>
        </w:rPr>
        <w:t xml:space="preserve">(OECD 2010, p. 184, 2015, p. 80, 2025, pp. 1, 7–12; </w:t>
      </w:r>
      <w:proofErr w:type="spellStart"/>
      <w:r w:rsidR="00BD030F" w:rsidRPr="00BD030F">
        <w:rPr>
          <w:rFonts w:cs="Open Sans"/>
          <w:szCs w:val="24"/>
        </w:rPr>
        <w:t>Verbist</w:t>
      </w:r>
      <w:proofErr w:type="spellEnd"/>
      <w:r w:rsidR="00BD030F" w:rsidRPr="00BD030F">
        <w:rPr>
          <w:rFonts w:cs="Open Sans"/>
          <w:szCs w:val="24"/>
        </w:rPr>
        <w:t xml:space="preserve"> et al. 2012, pp. 62–63)</w:t>
      </w:r>
      <w:r w:rsidR="003A3D19">
        <w:t>.</w:t>
      </w:r>
      <w:r w:rsidR="00A1755C" w:rsidRPr="00BC2AFF">
        <w:t xml:space="preserve"> This finding </w:t>
      </w:r>
      <w:r w:rsidR="00C407B1">
        <w:t>was</w:t>
      </w:r>
      <w:r w:rsidR="00A1755C" w:rsidRPr="00BC2AFF">
        <w:t xml:space="preserve"> supported by several </w:t>
      </w:r>
      <w:r w:rsidR="007D2B57">
        <w:t>participants</w:t>
      </w:r>
      <w:r w:rsidR="00B57D60">
        <w:t xml:space="preserve"> in this inquiry,</w:t>
      </w:r>
      <w:r w:rsidR="00C407B1">
        <w:t xml:space="preserve"> who</w:t>
      </w:r>
      <w:r w:rsidR="00A1755C" w:rsidRPr="00BC2AFF">
        <w:t xml:space="preserve"> </w:t>
      </w:r>
      <w:r w:rsidR="00B57D60">
        <w:t>also</w:t>
      </w:r>
      <w:r w:rsidR="00A1755C" w:rsidRPr="00BC2AFF">
        <w:t xml:space="preserve"> note</w:t>
      </w:r>
      <w:r w:rsidR="00C407B1">
        <w:t>d</w:t>
      </w:r>
      <w:r w:rsidR="00992C47" w:rsidRPr="00BC2AFF">
        <w:t xml:space="preserve"> </w:t>
      </w:r>
      <w:r w:rsidR="00B57D60">
        <w:t>the role</w:t>
      </w:r>
      <w:r w:rsidR="00B57D60" w:rsidRPr="00BC2AFF">
        <w:t xml:space="preserve"> </w:t>
      </w:r>
      <w:r w:rsidR="00026D4A" w:rsidRPr="00BC2AFF">
        <w:t xml:space="preserve">HFE </w:t>
      </w:r>
      <w:r w:rsidR="00B57D60">
        <w:t>plays in</w:t>
      </w:r>
      <w:r w:rsidR="00026D4A" w:rsidRPr="00BC2AFF">
        <w:t xml:space="preserve"> </w:t>
      </w:r>
      <w:r w:rsidR="00B57D60" w:rsidRPr="00BC2AFF">
        <w:t>promot</w:t>
      </w:r>
      <w:r w:rsidR="00B57D60">
        <w:t>ing</w:t>
      </w:r>
      <w:r w:rsidR="00B57D60" w:rsidRPr="00BC2AFF">
        <w:t xml:space="preserve"> </w:t>
      </w:r>
      <w:r w:rsidR="00026D4A" w:rsidRPr="00BC2AFF">
        <w:t>national cohesion</w:t>
      </w:r>
      <w:r w:rsidR="005533FB">
        <w:t>.</w:t>
      </w:r>
      <w:r w:rsidR="005533FB" w:rsidRPr="00F90099">
        <w:rPr>
          <w:rStyle w:val="FootnoteReference"/>
        </w:rPr>
        <w:footnoteReference w:id="7"/>
      </w:r>
      <w:r w:rsidR="00026D4A" w:rsidRPr="00BC2AFF">
        <w:t xml:space="preserve"> </w:t>
      </w:r>
    </w:p>
    <w:p w14:paraId="4C4AE5B1" w14:textId="229D3D2D" w:rsidR="005C5027" w:rsidRPr="00BC2AFF" w:rsidRDefault="000A66B3" w:rsidP="004875AC">
      <w:r>
        <w:t xml:space="preserve">Australia’s HFE system also ensures the fair and non-preferential treatment of states by the </w:t>
      </w:r>
      <w:r w:rsidR="00A83898">
        <w:t xml:space="preserve">Australian Government </w:t>
      </w:r>
      <w:r w:rsidR="00296583">
        <w:t xml:space="preserve">as the distribution of the GST pool is based on </w:t>
      </w:r>
      <w:r w:rsidR="00786C69">
        <w:t xml:space="preserve">independent </w:t>
      </w:r>
      <w:r w:rsidR="00CC237D">
        <w:t>recommendations</w:t>
      </w:r>
      <w:r w:rsidR="000F09F8">
        <w:t xml:space="preserve"> from </w:t>
      </w:r>
      <w:r w:rsidR="00296583">
        <w:t xml:space="preserve">the </w:t>
      </w:r>
      <w:r w:rsidR="0034010F">
        <w:t>CGC</w:t>
      </w:r>
      <w:r w:rsidR="00CC237D">
        <w:t xml:space="preserve">. </w:t>
      </w:r>
      <w:r w:rsidR="009F7021">
        <w:t xml:space="preserve">This </w:t>
      </w:r>
      <w:r w:rsidR="00FA1F34">
        <w:t xml:space="preserve">promotes national cohesion by </w:t>
      </w:r>
      <w:r w:rsidR="004C36E7">
        <w:t>limit</w:t>
      </w:r>
      <w:r w:rsidR="00FA1F34">
        <w:t>ing</w:t>
      </w:r>
      <w:r w:rsidR="004C36E7">
        <w:t xml:space="preserve"> the </w:t>
      </w:r>
      <w:r w:rsidR="00AF264A">
        <w:t xml:space="preserve">ability </w:t>
      </w:r>
      <w:r w:rsidR="004C36E7">
        <w:t xml:space="preserve">of the </w:t>
      </w:r>
      <w:r w:rsidR="002E6293">
        <w:t>Australian Government</w:t>
      </w:r>
      <w:r w:rsidR="00AF264A">
        <w:t xml:space="preserve"> </w:t>
      </w:r>
      <w:r w:rsidR="004C36E7">
        <w:t xml:space="preserve">to favour </w:t>
      </w:r>
      <w:r w:rsidR="00C2285C">
        <w:t xml:space="preserve">certain </w:t>
      </w:r>
      <w:r w:rsidR="004C36E7">
        <w:t>states</w:t>
      </w:r>
      <w:r w:rsidR="002B6B38">
        <w:t xml:space="preserve"> </w:t>
      </w:r>
      <w:r w:rsidR="00AF264A">
        <w:t>and ensures the GST pool is distributed</w:t>
      </w:r>
      <w:r w:rsidR="004D68E1">
        <w:t xml:space="preserve"> according to fiscal need</w:t>
      </w:r>
      <w:r w:rsidR="00C2285C">
        <w:t>.</w:t>
      </w:r>
    </w:p>
    <w:p w14:paraId="1BD03E5A" w14:textId="1A8F4CF9" w:rsidR="000F0F22" w:rsidRPr="006543F0" w:rsidRDefault="00385CC3" w:rsidP="004875AC">
      <w:pPr>
        <w:rPr>
          <w:spacing w:val="-2"/>
        </w:rPr>
      </w:pPr>
      <w:r w:rsidRPr="006543F0">
        <w:rPr>
          <w:spacing w:val="-2"/>
        </w:rPr>
        <w:t xml:space="preserve">However, the </w:t>
      </w:r>
      <w:r w:rsidR="00A34221" w:rsidRPr="006543F0">
        <w:rPr>
          <w:spacing w:val="-2"/>
        </w:rPr>
        <w:t xml:space="preserve">implementation of HFE </w:t>
      </w:r>
      <w:r w:rsidRPr="006543F0">
        <w:rPr>
          <w:spacing w:val="-2"/>
        </w:rPr>
        <w:t xml:space="preserve">can be </w:t>
      </w:r>
      <w:r w:rsidR="009C1924" w:rsidRPr="006543F0">
        <w:rPr>
          <w:spacing w:val="-2"/>
        </w:rPr>
        <w:t>contentious and there is often tension regarding how it is applied</w:t>
      </w:r>
      <w:r w:rsidR="00E62FAC" w:rsidRPr="006543F0">
        <w:rPr>
          <w:spacing w:val="-2"/>
        </w:rPr>
        <w:t xml:space="preserve"> in practice</w:t>
      </w:r>
      <w:r w:rsidR="009C1924" w:rsidRPr="006543F0">
        <w:rPr>
          <w:spacing w:val="-2"/>
        </w:rPr>
        <w:t xml:space="preserve">. </w:t>
      </w:r>
      <w:r w:rsidR="00EC3CA8" w:rsidRPr="006543F0">
        <w:rPr>
          <w:spacing w:val="-2"/>
        </w:rPr>
        <w:t xml:space="preserve">There was </w:t>
      </w:r>
      <w:r w:rsidR="00D342AB" w:rsidRPr="006543F0">
        <w:rPr>
          <w:spacing w:val="-2"/>
        </w:rPr>
        <w:t>increased</w:t>
      </w:r>
      <w:r w:rsidR="00EC3CA8" w:rsidRPr="006543F0">
        <w:rPr>
          <w:spacing w:val="-2"/>
        </w:rPr>
        <w:t xml:space="preserve"> dissatisfaction with the </w:t>
      </w:r>
      <w:r w:rsidR="00F7085C" w:rsidRPr="006543F0">
        <w:rPr>
          <w:spacing w:val="-2"/>
        </w:rPr>
        <w:t>HFE system</w:t>
      </w:r>
      <w:r w:rsidR="00D342AB" w:rsidRPr="006543F0">
        <w:rPr>
          <w:spacing w:val="-2"/>
        </w:rPr>
        <w:t xml:space="preserve"> </w:t>
      </w:r>
      <w:r w:rsidR="007314E6" w:rsidRPr="006543F0">
        <w:rPr>
          <w:spacing w:val="-2"/>
        </w:rPr>
        <w:t xml:space="preserve">during the mining boom of </w:t>
      </w:r>
      <w:r w:rsidR="007314E6" w:rsidRPr="006543F0">
        <w:rPr>
          <w:spacing w:val="-2"/>
        </w:rPr>
        <w:lastRenderedPageBreak/>
        <w:t>the 2010s</w:t>
      </w:r>
      <w:r w:rsidR="0046484C" w:rsidRPr="006543F0">
        <w:rPr>
          <w:spacing w:val="-2"/>
        </w:rPr>
        <w:t>,</w:t>
      </w:r>
      <w:r w:rsidR="00D342AB" w:rsidRPr="006543F0">
        <w:rPr>
          <w:spacing w:val="-2"/>
        </w:rPr>
        <w:t xml:space="preserve"> </w:t>
      </w:r>
      <w:r w:rsidR="00D46771" w:rsidRPr="006543F0">
        <w:rPr>
          <w:spacing w:val="-2"/>
        </w:rPr>
        <w:t xml:space="preserve">and </w:t>
      </w:r>
      <w:r w:rsidR="00A726F7" w:rsidRPr="006543F0">
        <w:rPr>
          <w:spacing w:val="-2"/>
        </w:rPr>
        <w:t>debate about the HFE system</w:t>
      </w:r>
      <w:r w:rsidR="00BF556B" w:rsidRPr="006543F0">
        <w:rPr>
          <w:spacing w:val="-2"/>
        </w:rPr>
        <w:t xml:space="preserve"> </w:t>
      </w:r>
      <w:r w:rsidR="00D342AB" w:rsidRPr="006543F0">
        <w:rPr>
          <w:spacing w:val="-2"/>
        </w:rPr>
        <w:t xml:space="preserve">has continued following the introduction </w:t>
      </w:r>
      <w:r w:rsidR="00C564D1" w:rsidRPr="006543F0">
        <w:rPr>
          <w:spacing w:val="-2"/>
        </w:rPr>
        <w:t>of the 2018 reforms</w:t>
      </w:r>
      <w:r w:rsidR="00D342AB" w:rsidRPr="006543F0">
        <w:rPr>
          <w:spacing w:val="-2"/>
        </w:rPr>
        <w:t xml:space="preserve"> </w:t>
      </w:r>
      <w:r w:rsidR="005B0DAE" w:rsidRPr="006543F0">
        <w:rPr>
          <w:rFonts w:cs="Open Sans"/>
          <w:spacing w:val="-2"/>
          <w:szCs w:val="24"/>
        </w:rPr>
        <w:t>(Fenna and Phillimore 2025, pp. 701–702)</w:t>
      </w:r>
      <w:r w:rsidR="007E53DA" w:rsidRPr="006543F0">
        <w:rPr>
          <w:spacing w:val="-2"/>
        </w:rPr>
        <w:t>.</w:t>
      </w:r>
      <w:r w:rsidR="00BF556B" w:rsidRPr="006543F0">
        <w:rPr>
          <w:spacing w:val="-2"/>
        </w:rPr>
        <w:t xml:space="preserve"> </w:t>
      </w:r>
      <w:r w:rsidR="00643A7D" w:rsidRPr="006543F0">
        <w:rPr>
          <w:spacing w:val="-2"/>
        </w:rPr>
        <w:t xml:space="preserve">However, observable </w:t>
      </w:r>
      <w:r w:rsidR="007E53DA" w:rsidRPr="006543F0">
        <w:rPr>
          <w:spacing w:val="-2"/>
        </w:rPr>
        <w:t xml:space="preserve">dissatisfaction </w:t>
      </w:r>
      <w:r w:rsidR="004C473E" w:rsidRPr="006543F0">
        <w:rPr>
          <w:spacing w:val="-2"/>
        </w:rPr>
        <w:t>with</w:t>
      </w:r>
      <w:r w:rsidR="00643A7D" w:rsidRPr="006543F0">
        <w:rPr>
          <w:spacing w:val="-2"/>
        </w:rPr>
        <w:t xml:space="preserve"> the HFE system</w:t>
      </w:r>
      <w:r w:rsidR="006C5D45" w:rsidRPr="006543F0">
        <w:rPr>
          <w:spacing w:val="-2"/>
        </w:rPr>
        <w:t xml:space="preserve"> does not </w:t>
      </w:r>
      <w:r w:rsidR="00217D55" w:rsidRPr="006543F0">
        <w:rPr>
          <w:spacing w:val="-2"/>
        </w:rPr>
        <w:t>necessarily</w:t>
      </w:r>
      <w:r w:rsidR="006C5D45" w:rsidRPr="006543F0">
        <w:rPr>
          <w:spacing w:val="-2"/>
        </w:rPr>
        <w:t xml:space="preserve"> mean that the pursuit of HFE has negative implications for national cohesion. </w:t>
      </w:r>
    </w:p>
    <w:p w14:paraId="7802AE53" w14:textId="71AB7660" w:rsidR="00643A7D" w:rsidRDefault="00936144" w:rsidP="004875AC">
      <w:r>
        <w:t xml:space="preserve">Without HFE, states’ fiscal capacities would </w:t>
      </w:r>
      <w:r w:rsidR="004D68E1">
        <w:t xml:space="preserve">likely </w:t>
      </w:r>
      <w:r>
        <w:t>diverge because of structural factors outside their control</w:t>
      </w:r>
      <w:r w:rsidR="00313FBC">
        <w:t xml:space="preserve">. </w:t>
      </w:r>
      <w:r w:rsidR="00F15599">
        <w:t xml:space="preserve">This would mean some states would be able to consistently provide superior services </w:t>
      </w:r>
      <w:r w:rsidR="008574D1">
        <w:t>to what others are able to</w:t>
      </w:r>
      <w:r w:rsidR="00F15599">
        <w:t xml:space="preserve"> (not because </w:t>
      </w:r>
      <w:r w:rsidR="00EE7DC5">
        <w:t xml:space="preserve">of better </w:t>
      </w:r>
      <w:r w:rsidR="007A4590">
        <w:t xml:space="preserve">fiscal </w:t>
      </w:r>
      <w:r w:rsidR="00EE7DC5">
        <w:t>management but because of the innate advantages their economy possesses)</w:t>
      </w:r>
      <w:r w:rsidR="00D359F4">
        <w:t xml:space="preserve">, </w:t>
      </w:r>
      <w:proofErr w:type="gramStart"/>
      <w:r w:rsidR="00D359F4">
        <w:t>which in itself, could</w:t>
      </w:r>
      <w:proofErr w:type="gramEnd"/>
      <w:r w:rsidR="00D359F4">
        <w:t xml:space="preserve"> plausibly lead to tension amongst residents living in different states</w:t>
      </w:r>
      <w:r w:rsidR="00286FF6">
        <w:t>.</w:t>
      </w:r>
      <w:r w:rsidR="00C438F6">
        <w:t xml:space="preserve"> </w:t>
      </w:r>
      <w:r w:rsidR="00926E63">
        <w:t xml:space="preserve">While interstate migration could in theory mitigate some of this divergence, it could also be a driver of divergence under certain circumstances. </w:t>
      </w:r>
      <w:r w:rsidR="0037134D">
        <w:t xml:space="preserve">Australia’s Federation </w:t>
      </w:r>
      <w:r w:rsidR="007E4320">
        <w:t>could</w:t>
      </w:r>
      <w:r w:rsidR="0037134D">
        <w:t xml:space="preserve"> </w:t>
      </w:r>
      <w:r w:rsidR="007E4320">
        <w:t xml:space="preserve">become </w:t>
      </w:r>
      <w:r w:rsidR="00C6433B">
        <w:t>harder to sustain</w:t>
      </w:r>
      <w:r w:rsidR="00B9600E">
        <w:t xml:space="preserve">, </w:t>
      </w:r>
      <w:r w:rsidR="002D7AA2">
        <w:t>as significant divergence</w:t>
      </w:r>
      <w:r w:rsidR="00B9600E">
        <w:t xml:space="preserve"> between s</w:t>
      </w:r>
      <w:r w:rsidR="002D7AA2">
        <w:t xml:space="preserve">tates’ fiscal capacities would </w:t>
      </w:r>
      <w:r w:rsidR="00CE12D9">
        <w:t xml:space="preserve">likely </w:t>
      </w:r>
      <w:r w:rsidR="00B9600E">
        <w:t xml:space="preserve">undermine support </w:t>
      </w:r>
      <w:r w:rsidR="009D7A38">
        <w:t xml:space="preserve">for </w:t>
      </w:r>
      <w:r w:rsidR="00867088">
        <w:t xml:space="preserve">the Federation among </w:t>
      </w:r>
      <w:r w:rsidR="009D7A38">
        <w:t xml:space="preserve">residents of </w:t>
      </w:r>
      <w:r w:rsidR="007E4320">
        <w:t>states</w:t>
      </w:r>
      <w:r w:rsidR="00FC149A">
        <w:t xml:space="preserve"> with </w:t>
      </w:r>
      <w:r w:rsidR="00D54330">
        <w:t xml:space="preserve">lower </w:t>
      </w:r>
      <w:r w:rsidR="00FC149A">
        <w:t>fiscal capacit</w:t>
      </w:r>
      <w:r w:rsidR="00D54330">
        <w:t>ies</w:t>
      </w:r>
      <w:r w:rsidR="007E4320">
        <w:t>.</w:t>
      </w:r>
    </w:p>
    <w:p w14:paraId="370FA734" w14:textId="08E15515" w:rsidR="006B129A" w:rsidRPr="00BC2AFF" w:rsidRDefault="006B129A" w:rsidP="006B129A">
      <w:pPr>
        <w:pStyle w:val="Heading4"/>
      </w:pPr>
      <w:r w:rsidRPr="00BC2AFF">
        <w:t xml:space="preserve">HFE may impact the efficient distribution of </w:t>
      </w:r>
      <w:r w:rsidR="00473D39" w:rsidRPr="00BC2AFF">
        <w:t xml:space="preserve">productive resources </w:t>
      </w:r>
      <w:r w:rsidRPr="00BC2AFF">
        <w:t>across Australia</w:t>
      </w:r>
    </w:p>
    <w:p w14:paraId="0EAE4288" w14:textId="7C99E083" w:rsidR="00AE01D8" w:rsidRDefault="005A0DA4" w:rsidP="000A21FA">
      <w:pPr>
        <w:pStyle w:val="BodyText"/>
      </w:pPr>
      <w:r w:rsidRPr="00BC2AFF">
        <w:t>There</w:t>
      </w:r>
      <w:r w:rsidR="00AE01D8">
        <w:t xml:space="preserve"> are </w:t>
      </w:r>
      <w:r w:rsidR="00090650">
        <w:t xml:space="preserve">different </w:t>
      </w:r>
      <w:r w:rsidR="00384195">
        <w:t>schools of thought on the extent t</w:t>
      </w:r>
      <w:r w:rsidR="000244BD">
        <w:t>o which</w:t>
      </w:r>
      <w:r w:rsidR="00384195">
        <w:t xml:space="preserve"> HFE can have </w:t>
      </w:r>
      <w:r w:rsidR="00384195" w:rsidRPr="00BC2AFF">
        <w:t>a material impact on the efficient distribution of resources across Australia</w:t>
      </w:r>
      <w:r w:rsidR="009C41B0">
        <w:t>.</w:t>
      </w:r>
    </w:p>
    <w:p w14:paraId="61C631DC" w14:textId="7F2DF577" w:rsidR="00CF5324" w:rsidRPr="00BC2AFF" w:rsidRDefault="009F0F12" w:rsidP="00CF5324">
      <w:pPr>
        <w:pStyle w:val="BodyText"/>
      </w:pPr>
      <w:r w:rsidRPr="00BC2AFF">
        <w:t xml:space="preserve">The first is that equalisation removes incentives for </w:t>
      </w:r>
      <w:r w:rsidR="00CF013C">
        <w:t xml:space="preserve">people to </w:t>
      </w:r>
      <w:r w:rsidRPr="00BC2AFF">
        <w:t>migrat</w:t>
      </w:r>
      <w:r w:rsidR="00CF013C">
        <w:t>e</w:t>
      </w:r>
      <w:r w:rsidRPr="00BC2AFF">
        <w:t xml:space="preserve"> </w:t>
      </w:r>
      <w:r w:rsidR="00D3228F">
        <w:t>based on the</w:t>
      </w:r>
      <w:r w:rsidRPr="00BC2AFF">
        <w:t xml:space="preserve"> fiscal benefits </w:t>
      </w:r>
      <w:r w:rsidR="00D3228F">
        <w:t>a state can offer (</w:t>
      </w:r>
      <w:r w:rsidRPr="00BC2AFF">
        <w:t xml:space="preserve">such as lower taxes or </w:t>
      </w:r>
      <w:r w:rsidR="00606126" w:rsidRPr="00BC2AFF">
        <w:t>better</w:t>
      </w:r>
      <w:r w:rsidR="00E033DC">
        <w:noBreakHyphen/>
      </w:r>
      <w:r w:rsidR="00606126" w:rsidRPr="00BC2AFF">
        <w:t>quality</w:t>
      </w:r>
      <w:r w:rsidRPr="00BC2AFF">
        <w:t xml:space="preserve"> public services</w:t>
      </w:r>
      <w:r w:rsidR="00D3228F">
        <w:t>)</w:t>
      </w:r>
      <w:r w:rsidR="007C6114" w:rsidRPr="00BC2AFF">
        <w:t>. This facilitates the efficient movement of labour and capital</w:t>
      </w:r>
      <w:r w:rsidR="00915E69">
        <w:t>, as people choosing to move will do so</w:t>
      </w:r>
      <w:r w:rsidR="007C6114" w:rsidRPr="00BC2AFF">
        <w:t xml:space="preserve"> for </w:t>
      </w:r>
      <w:r w:rsidR="00907D8C">
        <w:t>genuine</w:t>
      </w:r>
      <w:r w:rsidR="007C6114" w:rsidRPr="00BC2AFF">
        <w:t xml:space="preserve"> economic opportunities rather than </w:t>
      </w:r>
      <w:r w:rsidR="002F4FBF">
        <w:t>because of</w:t>
      </w:r>
      <w:r w:rsidR="007C6114" w:rsidRPr="00BC2AFF">
        <w:t xml:space="preserve"> </w:t>
      </w:r>
      <w:r w:rsidR="00907D8C">
        <w:t>the</w:t>
      </w:r>
      <w:r w:rsidR="007C6114" w:rsidRPr="00BC2AFF">
        <w:t xml:space="preserve"> fiscal benefits </w:t>
      </w:r>
      <w:r w:rsidR="002F4FBF">
        <w:t xml:space="preserve">that </w:t>
      </w:r>
      <w:r w:rsidR="00907D8C">
        <w:t>can</w:t>
      </w:r>
      <w:r w:rsidR="002F4FBF">
        <w:t xml:space="preserve"> come from living in one pa</w:t>
      </w:r>
      <w:r w:rsidR="00730A36">
        <w:t>rticular state</w:t>
      </w:r>
      <w:r w:rsidR="007C6114" w:rsidRPr="00BC2AFF">
        <w:t xml:space="preserve"> </w:t>
      </w:r>
      <w:r w:rsidR="00F468FC" w:rsidRPr="00F468FC">
        <w:rPr>
          <w:rFonts w:cs="Open Sans"/>
          <w:szCs w:val="24"/>
        </w:rPr>
        <w:t>(Chris Murphy, sub. 45, p. 24; Buchanan 1950, p. 589; Murphy 2018, p. 9)</w:t>
      </w:r>
      <w:r w:rsidR="00B44CE4">
        <w:t>.</w:t>
      </w:r>
      <w:r w:rsidR="007C6114" w:rsidRPr="00BC2AFF">
        <w:t xml:space="preserve"> </w:t>
      </w:r>
      <w:r w:rsidR="003706ED" w:rsidRPr="00BC2AFF">
        <w:t>Both the Tasmanian Government (</w:t>
      </w:r>
      <w:r w:rsidR="006A3781" w:rsidRPr="00BC2AFF">
        <w:t>sub. </w:t>
      </w:r>
      <w:r w:rsidR="00177B4B" w:rsidRPr="00BC2AFF">
        <w:t>48</w:t>
      </w:r>
      <w:r w:rsidR="009828EC">
        <w:t xml:space="preserve">, </w:t>
      </w:r>
      <w:r w:rsidR="009828EC" w:rsidRPr="00D437FC">
        <w:t>p</w:t>
      </w:r>
      <w:r w:rsidR="000F0818" w:rsidRPr="00D437FC">
        <w:t>p</w:t>
      </w:r>
      <w:r w:rsidR="009828EC" w:rsidRPr="00D437FC">
        <w:t>.</w:t>
      </w:r>
      <w:r w:rsidR="00E229BE" w:rsidRPr="00D437FC">
        <w:t> 16</w:t>
      </w:r>
      <w:r w:rsidR="000F0818" w:rsidRPr="00D437FC">
        <w:t>,</w:t>
      </w:r>
      <w:r w:rsidR="0042044A">
        <w:t> </w:t>
      </w:r>
      <w:r w:rsidR="000F0818" w:rsidRPr="00D437FC">
        <w:t>24,</w:t>
      </w:r>
      <w:r w:rsidR="0042044A">
        <w:t> </w:t>
      </w:r>
      <w:r w:rsidR="00FD46F3" w:rsidRPr="00D437FC">
        <w:t>54</w:t>
      </w:r>
      <w:r w:rsidR="003706ED" w:rsidRPr="00D437FC">
        <w:t>) and the Government</w:t>
      </w:r>
      <w:r w:rsidR="00870C37">
        <w:t xml:space="preserve"> of South Australia</w:t>
      </w:r>
      <w:r w:rsidR="003706ED" w:rsidRPr="00D437FC">
        <w:t xml:space="preserve"> (</w:t>
      </w:r>
      <w:r w:rsidR="00177B4B" w:rsidRPr="00D437FC">
        <w:t>sub. 13</w:t>
      </w:r>
      <w:r w:rsidR="009828EC" w:rsidRPr="00D437FC">
        <w:t>, p</w:t>
      </w:r>
      <w:r w:rsidR="00D437FC" w:rsidRPr="00D437FC">
        <w:t>p</w:t>
      </w:r>
      <w:r w:rsidR="009828EC" w:rsidRPr="00D437FC">
        <w:t>.</w:t>
      </w:r>
      <w:r w:rsidR="004500A3" w:rsidRPr="00D437FC">
        <w:t> 4,</w:t>
      </w:r>
      <w:r w:rsidR="0042044A">
        <w:t> </w:t>
      </w:r>
      <w:r w:rsidR="004500A3" w:rsidRPr="00D437FC">
        <w:t>9</w:t>
      </w:r>
      <w:r w:rsidR="006A3781" w:rsidRPr="00D437FC">
        <w:t>)</w:t>
      </w:r>
      <w:r w:rsidR="00177B4B" w:rsidRPr="00BC2AFF">
        <w:t xml:space="preserve"> </w:t>
      </w:r>
      <w:r w:rsidR="008A7A75" w:rsidRPr="00BC2AFF">
        <w:t>noted th</w:t>
      </w:r>
      <w:r w:rsidR="008C7F4E">
        <w:t>at</w:t>
      </w:r>
      <w:r w:rsidR="008A7A75" w:rsidRPr="00BC2AFF">
        <w:t xml:space="preserve"> full HFE</w:t>
      </w:r>
      <w:r w:rsidR="008C7F4E">
        <w:t xml:space="preserve"> is important in</w:t>
      </w:r>
      <w:r w:rsidR="008A7A75" w:rsidRPr="00BC2AFF">
        <w:t xml:space="preserve"> avoiding </w:t>
      </w:r>
      <w:r w:rsidR="00402C83">
        <w:t>an</w:t>
      </w:r>
      <w:r w:rsidR="008A7A75" w:rsidRPr="00BC2AFF">
        <w:t xml:space="preserve"> inefficient distribution of labour and capital</w:t>
      </w:r>
      <w:r w:rsidR="00177B4B" w:rsidRPr="00BC2AFF">
        <w:t>. This</w:t>
      </w:r>
      <w:r w:rsidR="001319F4" w:rsidRPr="00BC2AFF">
        <w:t xml:space="preserve"> view is supported by </w:t>
      </w:r>
      <w:r w:rsidR="00E627B3" w:rsidRPr="00BC2AFF">
        <w:t>Murphy</w:t>
      </w:r>
      <w:r w:rsidR="001319F4" w:rsidRPr="00BC2AFF">
        <w:t>’s</w:t>
      </w:r>
      <w:r w:rsidR="00C37F5E" w:rsidRPr="00BC2AFF">
        <w:t xml:space="preserve"> </w:t>
      </w:r>
      <w:r w:rsidR="00E52C14" w:rsidRPr="008C34F8">
        <w:rPr>
          <w:rFonts w:cs="Open Sans"/>
          <w:szCs w:val="24"/>
        </w:rPr>
        <w:t>(2018, p. 32)</w:t>
      </w:r>
      <w:r w:rsidR="00C37F5E" w:rsidRPr="00BC2AFF">
        <w:t xml:space="preserve"> </w:t>
      </w:r>
      <w:r w:rsidR="001319F4" w:rsidRPr="00BC2AFF">
        <w:t>findings that</w:t>
      </w:r>
      <w:r w:rsidR="00C37F5E" w:rsidRPr="00BC2AFF">
        <w:t xml:space="preserve"> the removal of </w:t>
      </w:r>
      <w:r w:rsidR="00C439E5">
        <w:t xml:space="preserve">the existing </w:t>
      </w:r>
      <w:r w:rsidR="00402C83">
        <w:t>HFE</w:t>
      </w:r>
      <w:r w:rsidR="00C37F5E" w:rsidRPr="00BC2AFF">
        <w:t xml:space="preserve"> </w:t>
      </w:r>
      <w:r w:rsidR="00C439E5">
        <w:t xml:space="preserve">system </w:t>
      </w:r>
      <w:r w:rsidR="00C37F5E" w:rsidRPr="00BC2AFF">
        <w:t>would lead to shifts in economic activit</w:t>
      </w:r>
      <w:r w:rsidR="00307C67" w:rsidRPr="00BC2AFF">
        <w:t xml:space="preserve">y between states that are </w:t>
      </w:r>
      <w:r w:rsidR="00B64570">
        <w:t xml:space="preserve">caused </w:t>
      </w:r>
      <w:r w:rsidR="004328E0">
        <w:t>by</w:t>
      </w:r>
      <w:r w:rsidR="00B64570">
        <w:t xml:space="preserve"> differences in</w:t>
      </w:r>
      <w:r w:rsidR="004328E0">
        <w:t xml:space="preserve"> </w:t>
      </w:r>
      <w:r w:rsidR="00307C67" w:rsidRPr="00BC2AFF">
        <w:t>fiscal benefit</w:t>
      </w:r>
      <w:r w:rsidR="00000530">
        <w:t>s</w:t>
      </w:r>
      <w:r w:rsidR="0059529B">
        <w:t xml:space="preserve"> </w:t>
      </w:r>
      <w:r w:rsidR="00307C67" w:rsidRPr="00BC2AFF">
        <w:t xml:space="preserve">rather than </w:t>
      </w:r>
      <w:r w:rsidR="00904081">
        <w:t xml:space="preserve">genuine </w:t>
      </w:r>
      <w:r w:rsidR="00307C67" w:rsidRPr="00BC2AFF">
        <w:t>economic opportunities</w:t>
      </w:r>
      <w:r w:rsidR="001319F4" w:rsidRPr="00BC2AFF">
        <w:t xml:space="preserve">, </w:t>
      </w:r>
      <w:r w:rsidR="00781C49" w:rsidRPr="00BC2AFF">
        <w:t>caus</w:t>
      </w:r>
      <w:r w:rsidR="001319F4" w:rsidRPr="00BC2AFF">
        <w:t>ing</w:t>
      </w:r>
      <w:r w:rsidR="00781C49" w:rsidRPr="00BC2AFF">
        <w:t xml:space="preserve"> small state economies with large fiscal disadvantages, such as the Northern Territory, to experience a downward spiral in population. </w:t>
      </w:r>
    </w:p>
    <w:p w14:paraId="5D97BF6C" w14:textId="53E4ABF8" w:rsidR="0020620C" w:rsidRPr="00BC2AFF" w:rsidRDefault="00904081" w:rsidP="00FA41C2">
      <w:pPr>
        <w:pStyle w:val="BodyText"/>
      </w:pPr>
      <w:r>
        <w:t>An</w:t>
      </w:r>
      <w:r w:rsidR="008E0BDD" w:rsidRPr="00BC2AFF">
        <w:t xml:space="preserve"> </w:t>
      </w:r>
      <w:r w:rsidR="00FD4A3D">
        <w:t>alternative</w:t>
      </w:r>
      <w:r w:rsidR="008E0BDD" w:rsidRPr="00BC2AFF">
        <w:t xml:space="preserve"> school of thought is that equalisation disincentivises people and capital </w:t>
      </w:r>
      <w:r w:rsidR="00E819B1" w:rsidRPr="00BC2AFF">
        <w:t xml:space="preserve">from </w:t>
      </w:r>
      <w:r w:rsidR="008E0BDD" w:rsidRPr="00BC2AFF">
        <w:t>moving to more productive areas</w:t>
      </w:r>
      <w:r w:rsidR="001E159D">
        <w:t xml:space="preserve"> by subsidising services in jurisdictions</w:t>
      </w:r>
      <w:r w:rsidR="004F164D">
        <w:t xml:space="preserve"> with </w:t>
      </w:r>
      <w:r w:rsidR="00D54330">
        <w:t>lower fiscal capacities</w:t>
      </w:r>
      <w:r w:rsidR="002616C5" w:rsidRPr="00BC2AFF">
        <w:t xml:space="preserve"> </w:t>
      </w:r>
      <w:r w:rsidR="00C027B2" w:rsidRPr="00C027B2">
        <w:rPr>
          <w:rFonts w:cs="Open Sans"/>
          <w:szCs w:val="24"/>
        </w:rPr>
        <w:t>(Garnaut and Fitzgerald 2002, p. 134)</w:t>
      </w:r>
      <w:r w:rsidR="00EE0865">
        <w:t>.</w:t>
      </w:r>
      <w:r w:rsidR="00172F29" w:rsidRPr="00BC2AFF">
        <w:t xml:space="preserve"> </w:t>
      </w:r>
      <w:r w:rsidR="008D2F53" w:rsidRPr="00BC2AFF">
        <w:t xml:space="preserve">This view </w:t>
      </w:r>
      <w:r w:rsidR="00143148">
        <w:t>wa</w:t>
      </w:r>
      <w:r w:rsidR="008D2F53" w:rsidRPr="00BC2AFF">
        <w:t xml:space="preserve">s </w:t>
      </w:r>
      <w:r w:rsidR="0047121F">
        <w:t>advanced</w:t>
      </w:r>
      <w:r w:rsidR="0047121F" w:rsidRPr="00BC2AFF">
        <w:t xml:space="preserve"> </w:t>
      </w:r>
      <w:r w:rsidR="0047121F">
        <w:t>by</w:t>
      </w:r>
      <w:r w:rsidR="008D2F53" w:rsidRPr="00BC2AFF">
        <w:t xml:space="preserve"> the N</w:t>
      </w:r>
      <w:r w:rsidR="00707E65">
        <w:t xml:space="preserve">ew </w:t>
      </w:r>
      <w:r w:rsidR="008A4325">
        <w:t>S</w:t>
      </w:r>
      <w:r w:rsidR="00707E65">
        <w:t xml:space="preserve">outh </w:t>
      </w:r>
      <w:r w:rsidR="008A4325">
        <w:t>W</w:t>
      </w:r>
      <w:r w:rsidR="00707E65">
        <w:t>ales</w:t>
      </w:r>
      <w:r w:rsidR="008D2F53" w:rsidRPr="00BC2AFF">
        <w:t xml:space="preserve"> Government</w:t>
      </w:r>
      <w:r w:rsidR="008E3BA9">
        <w:t>,</w:t>
      </w:r>
      <w:r w:rsidR="008D2F53" w:rsidRPr="00BC2AFF">
        <w:t xml:space="preserve"> wh</w:t>
      </w:r>
      <w:r w:rsidR="00557EBD">
        <w:t>ich</w:t>
      </w:r>
      <w:r w:rsidR="008D2F53" w:rsidRPr="00BC2AFF">
        <w:t xml:space="preserve"> argued that HFE reduces the incentive for people to migrate from higher to lower cost service delivery locations, resulting in higher overall government service costs</w:t>
      </w:r>
      <w:r w:rsidR="0047121F">
        <w:t xml:space="preserve"> </w:t>
      </w:r>
      <w:r w:rsidR="0047121F" w:rsidRPr="00BC2AFF">
        <w:t>(sub. 61, p</w:t>
      </w:r>
      <w:r w:rsidR="0047121F">
        <w:t>. </w:t>
      </w:r>
      <w:r w:rsidR="0047121F" w:rsidRPr="00BC2AFF">
        <w:t>8)</w:t>
      </w:r>
      <w:r w:rsidR="008D2F53" w:rsidRPr="00BC2AFF">
        <w:t xml:space="preserve">. </w:t>
      </w:r>
      <w:r w:rsidR="00E14E2D" w:rsidRPr="00BC2AFF">
        <w:t>Additionally,</w:t>
      </w:r>
      <w:r w:rsidR="009C301C">
        <w:t xml:space="preserve"> it has been argued that</w:t>
      </w:r>
      <w:r w:rsidR="00E14E2D" w:rsidRPr="00BC2AFF">
        <w:t xml:space="preserve"> equalisation may slow down regional convergence as states </w:t>
      </w:r>
      <w:r w:rsidR="00D54330">
        <w:t xml:space="preserve">with lower fiscal capacities </w:t>
      </w:r>
      <w:r w:rsidR="00E14E2D" w:rsidRPr="00BC2AFF">
        <w:t xml:space="preserve">are not required to become more competitive or incentivised to overcome their fiscal disadvantages </w:t>
      </w:r>
      <w:r w:rsidR="00806CBD" w:rsidRPr="004239A9">
        <w:t>(OECD 2013, p. 111)</w:t>
      </w:r>
      <w:r w:rsidR="00322B29">
        <w:t>.</w:t>
      </w:r>
      <w:r w:rsidR="00322B29" w:rsidRPr="00BC2AFF">
        <w:t xml:space="preserve"> </w:t>
      </w:r>
    </w:p>
    <w:p w14:paraId="43FBE538" w14:textId="41187C1D" w:rsidR="00377800" w:rsidRDefault="00F1135F" w:rsidP="006C110D">
      <w:pPr>
        <w:pStyle w:val="BodyText"/>
      </w:pPr>
      <w:r>
        <w:t>A</w:t>
      </w:r>
      <w:r w:rsidR="004971C6">
        <w:t xml:space="preserve">rguments in favour of and against HFE </w:t>
      </w:r>
      <w:r w:rsidR="00B37816">
        <w:t xml:space="preserve">promoting an efficient allocation of resources across states </w:t>
      </w:r>
      <w:r w:rsidR="00384195">
        <w:t>are plausible</w:t>
      </w:r>
      <w:r w:rsidR="00AD20A8">
        <w:t xml:space="preserve"> in theory</w:t>
      </w:r>
      <w:r w:rsidR="00384195">
        <w:t xml:space="preserve">, but there is limited empirical evidence </w:t>
      </w:r>
      <w:r w:rsidR="00B42188">
        <w:t xml:space="preserve">in the Australian context </w:t>
      </w:r>
      <w:r w:rsidR="00622C32">
        <w:t xml:space="preserve">that </w:t>
      </w:r>
      <w:r w:rsidR="00384195">
        <w:t xml:space="preserve">definitively </w:t>
      </w:r>
      <w:r w:rsidR="00622C32">
        <w:t xml:space="preserve">supports </w:t>
      </w:r>
      <w:r w:rsidR="00D50B85">
        <w:t xml:space="preserve">one of these effects over the other. </w:t>
      </w:r>
      <w:r w:rsidR="00BD2567">
        <w:t xml:space="preserve">The counterfactual is difficult to specify, and both observed HFE outcomes and interstate migration decisions and patterns are endogenous. </w:t>
      </w:r>
      <w:r w:rsidR="00462CA4" w:rsidRPr="40B2E058">
        <w:rPr>
          <w:i/>
          <w:iCs/>
        </w:rPr>
        <w:t>Prima facie</w:t>
      </w:r>
      <w:r w:rsidR="000B3E1D">
        <w:t xml:space="preserve">, this lack of clear empirical evidence </w:t>
      </w:r>
      <w:r w:rsidR="000B3E1D" w:rsidRPr="40B2E058">
        <w:rPr>
          <w:i/>
          <w:iCs/>
        </w:rPr>
        <w:t xml:space="preserve">might </w:t>
      </w:r>
      <w:r w:rsidR="000B3E1D">
        <w:t xml:space="preserve">suggest that the effect of HFE on the distribution </w:t>
      </w:r>
      <w:r w:rsidR="00C60EC3">
        <w:t xml:space="preserve">of productive resources </w:t>
      </w:r>
      <w:r w:rsidR="00875117">
        <w:t xml:space="preserve">in Australia </w:t>
      </w:r>
      <w:r w:rsidR="00AA32DD">
        <w:t>– be this positive or negative –</w:t>
      </w:r>
      <w:r w:rsidR="00875117">
        <w:t xml:space="preserve"> </w:t>
      </w:r>
      <w:r w:rsidR="00AA32DD">
        <w:t>may</w:t>
      </w:r>
      <w:r w:rsidR="00C60EC3">
        <w:t xml:space="preserve"> not be particularly strong. </w:t>
      </w:r>
    </w:p>
    <w:p w14:paraId="1EA90433" w14:textId="58C4F59D" w:rsidR="006930B2" w:rsidRPr="00BC2AFF" w:rsidRDefault="00BA7D78" w:rsidP="00325068">
      <w:pPr>
        <w:pStyle w:val="Heading2"/>
        <w:numPr>
          <w:ilvl w:val="0"/>
          <w:numId w:val="1"/>
        </w:numPr>
        <w:ind w:left="567" w:hanging="567"/>
      </w:pPr>
      <w:r>
        <w:lastRenderedPageBreak/>
        <w:t>The evolution of HFE in Australia</w:t>
      </w:r>
    </w:p>
    <w:p w14:paraId="703ED316" w14:textId="7A0A5C71" w:rsidR="000F160F" w:rsidRPr="00BC2AFF" w:rsidRDefault="000F160F" w:rsidP="000F160F">
      <w:pPr>
        <w:pStyle w:val="Heading3"/>
      </w:pPr>
      <w:r w:rsidRPr="00BC2AFF">
        <w:t>The role of the CGC</w:t>
      </w:r>
    </w:p>
    <w:p w14:paraId="537EE414" w14:textId="3D0224E3" w:rsidR="00E000F9" w:rsidRPr="00BC2AFF" w:rsidRDefault="00E000F9" w:rsidP="00E000F9">
      <w:pPr>
        <w:pStyle w:val="BodyText"/>
      </w:pPr>
      <w:r w:rsidRPr="00BC2AFF">
        <w:t xml:space="preserve">The </w:t>
      </w:r>
      <w:r w:rsidR="00A82906">
        <w:t xml:space="preserve">CGC </w:t>
      </w:r>
      <w:r w:rsidR="000846C8" w:rsidRPr="00BC2AFF">
        <w:t xml:space="preserve">is </w:t>
      </w:r>
      <w:r w:rsidR="00254D0B" w:rsidRPr="00BC2AFF">
        <w:t xml:space="preserve">an independent agency </w:t>
      </w:r>
      <w:r w:rsidR="000846C8" w:rsidRPr="00BC2AFF">
        <w:t xml:space="preserve">responsible for </w:t>
      </w:r>
      <w:r w:rsidR="00254D0B" w:rsidRPr="00BC2AFF">
        <w:t xml:space="preserve">providing </w:t>
      </w:r>
      <w:r w:rsidR="001648E5">
        <w:t>recommendations</w:t>
      </w:r>
      <w:r w:rsidR="00254D0B" w:rsidRPr="00BC2AFF">
        <w:t xml:space="preserve"> to the </w:t>
      </w:r>
      <w:r w:rsidR="002E6293">
        <w:t>Australian Government</w:t>
      </w:r>
      <w:r w:rsidR="00254D0B" w:rsidRPr="00BC2AFF">
        <w:t xml:space="preserve"> on </w:t>
      </w:r>
      <w:r w:rsidR="008B25E1" w:rsidRPr="00BC2AFF">
        <w:t xml:space="preserve">the </w:t>
      </w:r>
      <w:r w:rsidR="00254D0B" w:rsidRPr="00BC2AFF">
        <w:t>allocati</w:t>
      </w:r>
      <w:r w:rsidR="0098672B" w:rsidRPr="00BC2AFF">
        <w:t>on of</w:t>
      </w:r>
      <w:r w:rsidR="00254D0B" w:rsidRPr="00BC2AFF">
        <w:t xml:space="preserve"> </w:t>
      </w:r>
      <w:r w:rsidR="000846C8" w:rsidRPr="00BC2AFF">
        <w:t>the GST pool among states</w:t>
      </w:r>
      <w:r w:rsidR="0098672B" w:rsidRPr="00BC2AFF">
        <w:t xml:space="preserve">. </w:t>
      </w:r>
      <w:r w:rsidR="001D1B45" w:rsidRPr="00BC2AFF">
        <w:t xml:space="preserve">Australia is distinct in having an independent and specialist agency with this purpose </w:t>
      </w:r>
      <w:r w:rsidR="00A827BB" w:rsidRPr="00DE47B0">
        <w:t>(CGC 2023, p. 3)</w:t>
      </w:r>
      <w:r w:rsidR="006B0093">
        <w:t>.</w:t>
      </w:r>
      <w:r w:rsidR="006B0093" w:rsidRPr="00BC2AFF">
        <w:t xml:space="preserve"> </w:t>
      </w:r>
    </w:p>
    <w:p w14:paraId="2329F13D" w14:textId="75B6EEAB" w:rsidR="00D82220" w:rsidRDefault="002673AF" w:rsidP="00892695">
      <w:pPr>
        <w:pStyle w:val="BodyText"/>
      </w:pPr>
      <w:r w:rsidRPr="00BC2AFF">
        <w:t xml:space="preserve">Since its establishment in 1933, the CGC has provided advice to the </w:t>
      </w:r>
      <w:r w:rsidR="002E6293">
        <w:t>Australian Government</w:t>
      </w:r>
      <w:r w:rsidR="00970F4C" w:rsidRPr="00BC2AFF">
        <w:t xml:space="preserve"> on how to bring the fiscal capacities </w:t>
      </w:r>
      <w:r w:rsidR="00A5656F" w:rsidRPr="00BC2AFF">
        <w:t xml:space="preserve">of states </w:t>
      </w:r>
      <w:r w:rsidR="00970F4C" w:rsidRPr="00BC2AFF">
        <w:t xml:space="preserve">closer together to ensure they can provide a similar standard of services to their citizens </w:t>
      </w:r>
      <w:r w:rsidR="0093385A" w:rsidRPr="00DE47B0">
        <w:t>(CGC 2023, p. 3)</w:t>
      </w:r>
      <w:r w:rsidR="00F75265">
        <w:t>.</w:t>
      </w:r>
      <w:r w:rsidR="00970F4C" w:rsidRPr="00BC2AFF">
        <w:t xml:space="preserve"> </w:t>
      </w:r>
      <w:r w:rsidR="009106D3" w:rsidRPr="00BC2AFF">
        <w:t xml:space="preserve">While its methods and exact role have evolved alongside Australia’s </w:t>
      </w:r>
      <w:r w:rsidR="00EF6E39">
        <w:t>broader</w:t>
      </w:r>
      <w:r w:rsidR="009106D3" w:rsidRPr="00BC2AFF">
        <w:t xml:space="preserve"> federal financial relations system, </w:t>
      </w:r>
      <w:r w:rsidR="00A5656F" w:rsidRPr="00BC2AFF">
        <w:t xml:space="preserve">its </w:t>
      </w:r>
      <w:r w:rsidR="00AC4D65">
        <w:t>focus on delivering HFE</w:t>
      </w:r>
      <w:r w:rsidR="00A5656F" w:rsidRPr="00BC2AFF">
        <w:t xml:space="preserve"> </w:t>
      </w:r>
      <w:r w:rsidR="000574A5" w:rsidRPr="00BC2AFF">
        <w:t>has remained largely unchanged</w:t>
      </w:r>
      <w:r w:rsidR="00642894">
        <w:t xml:space="preserve"> (box</w:t>
      </w:r>
      <w:r w:rsidR="00150E45">
        <w:t> </w:t>
      </w:r>
      <w:r w:rsidR="006B67C4">
        <w:t>2</w:t>
      </w:r>
      <w:r w:rsidR="00642894">
        <w:t>)</w:t>
      </w:r>
      <w:r w:rsidR="000574A5" w:rsidRPr="00BC2AFF">
        <w:t xml:space="preserve">. </w:t>
      </w:r>
      <w:r w:rsidR="00655CB4">
        <w:t>The CGC</w:t>
      </w:r>
      <w:r w:rsidR="003E4202">
        <w:t xml:space="preserve"> defines the objective of </w:t>
      </w:r>
      <w:r w:rsidR="00655CB4">
        <w:t>HFE</w:t>
      </w:r>
      <w:r w:rsidR="003661FF">
        <w:t xml:space="preserve"> </w:t>
      </w:r>
      <w:r w:rsidR="003E4202">
        <w:t xml:space="preserve">as </w:t>
      </w:r>
      <w:r w:rsidR="004C7253">
        <w:t>‘</w:t>
      </w:r>
      <w:r w:rsidR="003661FF" w:rsidRPr="00792A63">
        <w:rPr>
          <w:i/>
        </w:rPr>
        <w:t xml:space="preserve">each state </w:t>
      </w:r>
      <w:r w:rsidR="00006777" w:rsidRPr="00792A63">
        <w:rPr>
          <w:i/>
        </w:rPr>
        <w:t>[</w:t>
      </w:r>
      <w:r w:rsidR="003661FF" w:rsidRPr="00792A63">
        <w:rPr>
          <w:i/>
          <w:iCs/>
        </w:rPr>
        <w:t>ha</w:t>
      </w:r>
      <w:r w:rsidR="001C464B" w:rsidRPr="00792A63">
        <w:rPr>
          <w:i/>
          <w:iCs/>
        </w:rPr>
        <w:t>ving</w:t>
      </w:r>
      <w:r w:rsidR="00006777" w:rsidRPr="00792A63">
        <w:rPr>
          <w:i/>
          <w:iCs/>
        </w:rPr>
        <w:t>]</w:t>
      </w:r>
      <w:r w:rsidR="003661FF" w:rsidRPr="00792A63">
        <w:rPr>
          <w:i/>
          <w:iCs/>
        </w:rPr>
        <w:t xml:space="preserve"> </w:t>
      </w:r>
      <w:r w:rsidR="00CA0050" w:rsidRPr="00792A63">
        <w:rPr>
          <w:i/>
          <w:iCs/>
        </w:rPr>
        <w:t>the</w:t>
      </w:r>
      <w:r w:rsidR="003661FF" w:rsidRPr="00792A63">
        <w:rPr>
          <w:i/>
          <w:iCs/>
        </w:rPr>
        <w:t xml:space="preserve"> </w:t>
      </w:r>
      <w:r w:rsidR="003661FF" w:rsidRPr="00792A63">
        <w:rPr>
          <w:i/>
        </w:rPr>
        <w:t>fiscal capacity</w:t>
      </w:r>
      <w:r w:rsidR="00CA0050" w:rsidRPr="00792A63">
        <w:rPr>
          <w:i/>
        </w:rPr>
        <w:t xml:space="preserve"> </w:t>
      </w:r>
      <w:r w:rsidR="00862BBF" w:rsidRPr="00792A63">
        <w:rPr>
          <w:i/>
        </w:rPr>
        <w:t>to provide services and associated infrastructure</w:t>
      </w:r>
      <w:r w:rsidR="00DE0A2B" w:rsidRPr="00792A63">
        <w:rPr>
          <w:i/>
        </w:rPr>
        <w:t xml:space="preserve"> at the same standard</w:t>
      </w:r>
      <w:r w:rsidR="000765A5" w:rsidRPr="00792A63">
        <w:rPr>
          <w:i/>
        </w:rPr>
        <w:t>, if</w:t>
      </w:r>
      <w:r w:rsidR="00862BBF" w:rsidRPr="00792A63" w:rsidDel="000765A5">
        <w:rPr>
          <w:i/>
        </w:rPr>
        <w:t xml:space="preserve"> </w:t>
      </w:r>
      <w:r w:rsidR="003051D7" w:rsidRPr="00792A63">
        <w:rPr>
          <w:i/>
        </w:rPr>
        <w:t xml:space="preserve">each </w:t>
      </w:r>
      <w:r w:rsidR="005B2DAB" w:rsidRPr="00792A63">
        <w:rPr>
          <w:i/>
        </w:rPr>
        <w:t xml:space="preserve">made </w:t>
      </w:r>
      <w:r w:rsidR="00F60D68" w:rsidRPr="00792A63">
        <w:rPr>
          <w:i/>
        </w:rPr>
        <w:t xml:space="preserve">the same effort to raise revenue from </w:t>
      </w:r>
      <w:r w:rsidR="005B2DAB" w:rsidRPr="00792A63">
        <w:rPr>
          <w:i/>
          <w:iCs/>
        </w:rPr>
        <w:t>its</w:t>
      </w:r>
      <w:r w:rsidR="001F3186" w:rsidRPr="00792A63">
        <w:rPr>
          <w:i/>
        </w:rPr>
        <w:t xml:space="preserve"> </w:t>
      </w:r>
      <w:r w:rsidR="00F60D68" w:rsidRPr="00792A63">
        <w:rPr>
          <w:i/>
        </w:rPr>
        <w:t>own</w:t>
      </w:r>
      <w:r w:rsidR="00F00496" w:rsidRPr="00792A63">
        <w:rPr>
          <w:i/>
        </w:rPr>
        <w:t xml:space="preserve"> </w:t>
      </w:r>
      <w:r w:rsidR="00F60D68" w:rsidRPr="00792A63">
        <w:rPr>
          <w:i/>
        </w:rPr>
        <w:t xml:space="preserve">sources and </w:t>
      </w:r>
      <w:r w:rsidR="00F60D68" w:rsidRPr="00792A63">
        <w:rPr>
          <w:i/>
          <w:iCs/>
        </w:rPr>
        <w:t>operate</w:t>
      </w:r>
      <w:r w:rsidR="005B2DAB" w:rsidRPr="00792A63">
        <w:rPr>
          <w:i/>
          <w:iCs/>
        </w:rPr>
        <w:t>d</w:t>
      </w:r>
      <w:r w:rsidR="00862BBF" w:rsidRPr="00792A63">
        <w:rPr>
          <w:i/>
        </w:rPr>
        <w:t xml:space="preserve"> </w:t>
      </w:r>
      <w:r w:rsidR="00F60D68" w:rsidRPr="00792A63">
        <w:rPr>
          <w:i/>
        </w:rPr>
        <w:t xml:space="preserve">at the same level of </w:t>
      </w:r>
      <w:r w:rsidR="00F60D68" w:rsidRPr="00792A63">
        <w:rPr>
          <w:i/>
          <w:iCs/>
        </w:rPr>
        <w:t>efficiency</w:t>
      </w:r>
      <w:r w:rsidR="00792A63">
        <w:t>’</w:t>
      </w:r>
      <w:r w:rsidR="00862BBF">
        <w:t xml:space="preserve"> </w:t>
      </w:r>
      <w:r w:rsidR="005A7F56" w:rsidRPr="005A7F56">
        <w:rPr>
          <w:rFonts w:cs="Open Sans"/>
        </w:rPr>
        <w:t>(CGC 2025b, p. 231)</w:t>
      </w:r>
      <w:r w:rsidR="009F0A73">
        <w:t xml:space="preserve">. </w:t>
      </w:r>
    </w:p>
    <w:p w14:paraId="446EC226" w14:textId="77777777" w:rsidR="006543F0" w:rsidRPr="00BC2AFF" w:rsidRDefault="006543F0" w:rsidP="006543F0">
      <w:pPr>
        <w:pStyle w:val="NoSpacing"/>
      </w:pPr>
    </w:p>
    <w:tbl>
      <w:tblPr>
        <w:tblStyle w:val="Boxtable"/>
        <w:tblW w:w="5000" w:type="pct"/>
        <w:tblLook w:val="04A0" w:firstRow="1" w:lastRow="0" w:firstColumn="1" w:lastColumn="0" w:noHBand="0" w:noVBand="1"/>
      </w:tblPr>
      <w:tblGrid>
        <w:gridCol w:w="9638"/>
      </w:tblGrid>
      <w:tr w:rsidR="00A34ED8" w:rsidRPr="00BC2AFF" w14:paraId="08AB883A" w14:textId="77777777">
        <w:trPr>
          <w:tblHeader/>
        </w:trPr>
        <w:tc>
          <w:tcPr>
            <w:tcW w:w="9638" w:type="dxa"/>
            <w:shd w:val="clear" w:color="auto" w:fill="EBEBEB"/>
            <w:tcMar>
              <w:top w:w="170" w:type="dxa"/>
              <w:left w:w="170" w:type="dxa"/>
              <w:bottom w:w="113" w:type="dxa"/>
              <w:right w:w="170" w:type="dxa"/>
            </w:tcMar>
            <w:hideMark/>
          </w:tcPr>
          <w:p w14:paraId="0CEA0416" w14:textId="47BB8CF7" w:rsidR="00582D3E" w:rsidRPr="00BC2AFF" w:rsidRDefault="00582D3E">
            <w:pPr>
              <w:pStyle w:val="BoxHeading1"/>
            </w:pPr>
            <w:bookmarkStart w:id="0" w:name="_Ref78902111"/>
            <w:r w:rsidRPr="00BC2AFF">
              <w:t xml:space="preserve">Box </w:t>
            </w:r>
            <w:r>
              <w:fldChar w:fldCharType="begin"/>
            </w:r>
            <w:r>
              <w:instrText>SEQ Box \* ARABIC \s 1</w:instrText>
            </w:r>
            <w:r>
              <w:fldChar w:fldCharType="separate"/>
            </w:r>
            <w:r w:rsidR="00EB6801">
              <w:rPr>
                <w:noProof/>
              </w:rPr>
              <w:t>2</w:t>
            </w:r>
            <w:r>
              <w:fldChar w:fldCharType="end"/>
            </w:r>
            <w:r w:rsidRPr="00BC2AFF">
              <w:t xml:space="preserve"> – </w:t>
            </w:r>
            <w:bookmarkEnd w:id="0"/>
            <w:r w:rsidR="00DE0CF8">
              <w:t>A short</w:t>
            </w:r>
            <w:r w:rsidR="00DE0CF8" w:rsidRPr="00BC2AFF">
              <w:t xml:space="preserve"> </w:t>
            </w:r>
            <w:r w:rsidR="00305F7A">
              <w:t>h</w:t>
            </w:r>
            <w:r>
              <w:t>istory</w:t>
            </w:r>
            <w:r w:rsidRPr="00BC2AFF">
              <w:t xml:space="preserve"> of the CGC</w:t>
            </w:r>
            <w:r w:rsidR="00335417" w:rsidRPr="00BC2AFF">
              <w:t xml:space="preserve"> and Australia’s HFE system</w:t>
            </w:r>
          </w:p>
        </w:tc>
      </w:tr>
      <w:tr w:rsidR="00A34ED8" w:rsidRPr="00BC2AFF" w14:paraId="148848E5" w14:textId="77777777">
        <w:tc>
          <w:tcPr>
            <w:tcW w:w="9638" w:type="dxa"/>
            <w:shd w:val="clear" w:color="auto" w:fill="EBEBEB"/>
            <w:tcMar>
              <w:top w:w="28" w:type="dxa"/>
              <w:left w:w="170" w:type="dxa"/>
              <w:bottom w:w="170" w:type="dxa"/>
              <w:right w:w="170" w:type="dxa"/>
            </w:tcMar>
            <w:hideMark/>
          </w:tcPr>
          <w:p w14:paraId="007E6D06" w14:textId="2E05FC1B" w:rsidR="005C2999" w:rsidRDefault="00225449">
            <w:pPr>
              <w:pStyle w:val="BodyText"/>
            </w:pPr>
            <w:r>
              <w:t>Since it was established in 1933, t</w:t>
            </w:r>
            <w:r w:rsidRPr="00BC2AFF">
              <w:t>he</w:t>
            </w:r>
            <w:r w:rsidR="00582D3E" w:rsidRPr="00BC2AFF">
              <w:t xml:space="preserve"> </w:t>
            </w:r>
            <w:r w:rsidR="00A82906">
              <w:t xml:space="preserve">Commonwealth Grants Commission (CGC) </w:t>
            </w:r>
            <w:r w:rsidR="00582D3E" w:rsidRPr="00BC2AFF">
              <w:t xml:space="preserve">has been an enduring feature of Australia’s </w:t>
            </w:r>
            <w:r w:rsidR="00E70B6A">
              <w:t>horizontal fiscal equalisation (</w:t>
            </w:r>
            <w:r w:rsidR="005D0C98" w:rsidRPr="00BC2AFF">
              <w:t>HFE</w:t>
            </w:r>
            <w:r w:rsidR="00E70B6A">
              <w:t>)</w:t>
            </w:r>
            <w:r w:rsidR="005D0C98" w:rsidRPr="00BC2AFF">
              <w:t xml:space="preserve"> system</w:t>
            </w:r>
            <w:r w:rsidR="00880B4E" w:rsidRPr="00BC2AFF">
              <w:t>.</w:t>
            </w:r>
            <w:r w:rsidR="00582D3E" w:rsidRPr="00BC2AFF">
              <w:t xml:space="preserve"> </w:t>
            </w:r>
            <w:r w:rsidR="00880B4E" w:rsidRPr="00BC2AFF">
              <w:t>I</w:t>
            </w:r>
            <w:r w:rsidR="00582D3E" w:rsidRPr="00BC2AFF">
              <w:t xml:space="preserve">ts role has </w:t>
            </w:r>
            <w:r w:rsidR="00A21B95" w:rsidRPr="00BC2AFF">
              <w:t>adjusted over</w:t>
            </w:r>
            <w:r w:rsidR="00D90D0C">
              <w:t xml:space="preserve"> </w:t>
            </w:r>
            <w:r w:rsidR="00A21B95" w:rsidRPr="00BC2AFF">
              <w:t xml:space="preserve">time </w:t>
            </w:r>
            <w:r w:rsidR="005D0C98" w:rsidRPr="00BC2AFF">
              <w:t>as Australia’s federal financial relations system has evolved</w:t>
            </w:r>
            <w:r w:rsidR="00DD0C05" w:rsidRPr="00BC2AFF">
              <w:t>, but its core objective has remained the same.</w:t>
            </w:r>
          </w:p>
          <w:p w14:paraId="3795D071" w14:textId="798DE81A" w:rsidR="00582D3E" w:rsidRPr="00BC2AFF" w:rsidRDefault="00060189" w:rsidP="006C5EFC">
            <w:pPr>
              <w:pStyle w:val="BoxHeading2"/>
            </w:pPr>
            <w:r w:rsidRPr="00BC2AFF">
              <w:t>1901</w:t>
            </w:r>
            <w:r w:rsidR="00D367AF">
              <w:t xml:space="preserve"> to </w:t>
            </w:r>
            <w:r w:rsidRPr="00BC2AFF">
              <w:t xml:space="preserve">1933: </w:t>
            </w:r>
            <w:r w:rsidR="00E84902" w:rsidRPr="00BC2AFF">
              <w:t>Post</w:t>
            </w:r>
            <w:r w:rsidR="00E033DC">
              <w:noBreakHyphen/>
            </w:r>
            <w:r w:rsidR="00E84902" w:rsidRPr="00BC2AFF">
              <w:t>federation and pre</w:t>
            </w:r>
            <w:r w:rsidR="00E033DC">
              <w:noBreakHyphen/>
            </w:r>
            <w:r w:rsidR="00E84902" w:rsidRPr="00BC2AFF">
              <w:t xml:space="preserve">CGC era </w:t>
            </w:r>
          </w:p>
          <w:p w14:paraId="0AE925D7" w14:textId="16B64025" w:rsidR="00EC5759" w:rsidRPr="00BC2AFF" w:rsidRDefault="00E92C5C" w:rsidP="00EC5759">
            <w:pPr>
              <w:pStyle w:val="BodyText"/>
            </w:pPr>
            <w:r w:rsidRPr="00BC2AFF">
              <w:t>At Federation</w:t>
            </w:r>
            <w:r w:rsidR="009129DB">
              <w:t>,</w:t>
            </w:r>
            <w:r w:rsidRPr="00BC2AFF">
              <w:t xml:space="preserve"> the </w:t>
            </w:r>
            <w:r w:rsidR="00A83898">
              <w:t xml:space="preserve">Australian Government </w:t>
            </w:r>
            <w:r w:rsidRPr="00BC2AFF">
              <w:t>was granted authority to collect customs and excise duties while states remained responsible for delivering most government services</w:t>
            </w:r>
            <w:r w:rsidR="003A2351">
              <w:t xml:space="preserve"> </w:t>
            </w:r>
            <w:r w:rsidR="003A2351" w:rsidRPr="008C34F8">
              <w:rPr>
                <w:rFonts w:cs="Open Sans"/>
                <w:szCs w:val="24"/>
              </w:rPr>
              <w:t>(CGC 2023, p. 4)</w:t>
            </w:r>
            <w:r w:rsidR="00A353DA" w:rsidRPr="00BC2AFF">
              <w:t xml:space="preserve">. This </w:t>
            </w:r>
            <w:r w:rsidR="00FB588B" w:rsidRPr="00BC2AFF">
              <w:t>establish</w:t>
            </w:r>
            <w:r w:rsidR="00A353DA" w:rsidRPr="00BC2AFF">
              <w:t>ed</w:t>
            </w:r>
            <w:r w:rsidR="00FB588B" w:rsidRPr="00BC2AFF">
              <w:t xml:space="preserve"> </w:t>
            </w:r>
            <w:r w:rsidR="000B0DFC">
              <w:t>vertical fiscal imbalance</w:t>
            </w:r>
            <w:r w:rsidR="00A611A0">
              <w:t xml:space="preserve"> (VFI)</w:t>
            </w:r>
            <w:r w:rsidR="00FB588B" w:rsidRPr="00BC2AFF">
              <w:t xml:space="preserve"> as a defining feature of </w:t>
            </w:r>
            <w:r w:rsidR="00D90E09">
              <w:t>Australia</w:t>
            </w:r>
            <w:r w:rsidR="00067532">
              <w:t>’s</w:t>
            </w:r>
            <w:r w:rsidR="00D90E09">
              <w:t xml:space="preserve"> </w:t>
            </w:r>
            <w:r w:rsidR="006171A0" w:rsidRPr="00BC2AFF">
              <w:t>F</w:t>
            </w:r>
            <w:r w:rsidR="00C740D3" w:rsidRPr="00BC2AFF">
              <w:t xml:space="preserve">ederation </w:t>
            </w:r>
            <w:r w:rsidR="002C64CF">
              <w:t>and</w:t>
            </w:r>
            <w:r w:rsidR="00C740D3" w:rsidRPr="00BC2AFF">
              <w:t xml:space="preserve"> </w:t>
            </w:r>
            <w:r w:rsidR="00626E8B" w:rsidRPr="00BC2AFF">
              <w:t xml:space="preserve">necessitated a system for managing federal financial relations to ensure states had sufficient revenue to deliver the public services </w:t>
            </w:r>
            <w:r w:rsidR="00822588">
              <w:t>expected</w:t>
            </w:r>
            <w:r w:rsidR="00822588" w:rsidRPr="00BC2AFF">
              <w:t xml:space="preserve"> </w:t>
            </w:r>
            <w:r w:rsidR="00626E8B" w:rsidRPr="00BC2AFF">
              <w:t xml:space="preserve">of them </w:t>
            </w:r>
            <w:r w:rsidR="005B486B" w:rsidRPr="005B486B">
              <w:rPr>
                <w:rFonts w:cs="Open Sans"/>
                <w:szCs w:val="24"/>
              </w:rPr>
              <w:t>(PC 2018, p. 68)</w:t>
            </w:r>
            <w:r w:rsidR="004D13C2">
              <w:t>.</w:t>
            </w:r>
            <w:r w:rsidR="00626E8B" w:rsidRPr="00BC2AFF">
              <w:t xml:space="preserve"> </w:t>
            </w:r>
          </w:p>
          <w:p w14:paraId="691D33CD" w14:textId="2F75383C" w:rsidR="000C2A27" w:rsidRDefault="00344E4B" w:rsidP="00EC5759">
            <w:pPr>
              <w:pStyle w:val="BodyText"/>
            </w:pPr>
            <w:r w:rsidRPr="00BC2AFF">
              <w:t>Various ad</w:t>
            </w:r>
            <w:r w:rsidR="00E033DC">
              <w:noBreakHyphen/>
            </w:r>
            <w:r w:rsidRPr="00BC2AFF">
              <w:t>hoc schemes for revenue</w:t>
            </w:r>
            <w:r w:rsidR="00E033DC">
              <w:noBreakHyphen/>
            </w:r>
            <w:r w:rsidRPr="00BC2AFF">
              <w:t xml:space="preserve">sharing between the </w:t>
            </w:r>
            <w:r w:rsidR="00A83898">
              <w:t xml:space="preserve">Australian Government </w:t>
            </w:r>
            <w:r w:rsidRPr="00BC2AFF">
              <w:t>and state</w:t>
            </w:r>
            <w:r w:rsidR="00A237B7">
              <w:t>s</w:t>
            </w:r>
            <w:r w:rsidRPr="00BC2AFF">
              <w:t xml:space="preserve"> were established during the 30 years following Federation, including equal</w:t>
            </w:r>
            <w:r w:rsidR="00851EEA">
              <w:t xml:space="preserve"> </w:t>
            </w:r>
            <w:r w:rsidRPr="00BC2AFF">
              <w:t>per</w:t>
            </w:r>
            <w:r w:rsidR="00851EEA">
              <w:t xml:space="preserve"> </w:t>
            </w:r>
            <w:r w:rsidRPr="00BC2AFF">
              <w:t>capita grants and additional ‘special grants</w:t>
            </w:r>
            <w:r w:rsidR="00356862">
              <w:t>’</w:t>
            </w:r>
            <w:r w:rsidR="00D949D2" w:rsidRPr="00BC2AFF">
              <w:t xml:space="preserve"> for states</w:t>
            </w:r>
            <w:r w:rsidR="00D54330">
              <w:t xml:space="preserve"> with lower fiscal capacities</w:t>
            </w:r>
            <w:r w:rsidR="00D949D2" w:rsidRPr="00BC2AFF">
              <w:t xml:space="preserve"> </w:t>
            </w:r>
            <w:r w:rsidR="00957716" w:rsidRPr="00957716">
              <w:rPr>
                <w:rFonts w:ascii="Arial" w:hAnsi="Arial" w:cs="Arial"/>
                <w:szCs w:val="24"/>
              </w:rPr>
              <w:t>(</w:t>
            </w:r>
            <w:r w:rsidR="00957716" w:rsidRPr="00DE47B0">
              <w:t>CGC 2023, p. 4)</w:t>
            </w:r>
            <w:r w:rsidR="00D949D2" w:rsidRPr="00BC2AFF">
              <w:t>.</w:t>
            </w:r>
            <w:r w:rsidR="00704D47" w:rsidRPr="00BC2AFF">
              <w:t xml:space="preserve"> </w:t>
            </w:r>
            <w:r w:rsidR="00676DA2" w:rsidRPr="00BC2AFF">
              <w:t xml:space="preserve">During the 1920s, </w:t>
            </w:r>
            <w:r w:rsidR="00256E67" w:rsidRPr="00BC2AFF">
              <w:t xml:space="preserve">the process for determining special grants led to frequent disputes between the </w:t>
            </w:r>
            <w:r w:rsidR="00A83898">
              <w:t xml:space="preserve">Australian Government </w:t>
            </w:r>
            <w:r w:rsidR="00256E67" w:rsidRPr="00BC2AFF">
              <w:t>and state</w:t>
            </w:r>
            <w:r w:rsidR="00E37A0F" w:rsidRPr="00BC2AFF">
              <w:t>s</w:t>
            </w:r>
            <w:r w:rsidR="00D54330">
              <w:t xml:space="preserve"> with lower fiscal capacities</w:t>
            </w:r>
            <w:r w:rsidR="00E37A0F" w:rsidRPr="00BC2AFF">
              <w:t>. States’ discontent was exacerbated by the financial hardship caused by the onset of the Great Depression</w:t>
            </w:r>
            <w:r w:rsidR="00D15887">
              <w:t xml:space="preserve"> </w:t>
            </w:r>
            <w:r w:rsidR="00D15887" w:rsidRPr="00DE47B0">
              <w:t>(CGC 2023, p. 4)</w:t>
            </w:r>
            <w:r w:rsidR="003A5E3B">
              <w:t xml:space="preserve">. </w:t>
            </w:r>
          </w:p>
          <w:p w14:paraId="0CC1CDD4" w14:textId="1DFDAEC4" w:rsidR="00AB001A" w:rsidRPr="00BC2AFF" w:rsidRDefault="003A5E3B" w:rsidP="00EC5759">
            <w:pPr>
              <w:pStyle w:val="BodyText"/>
            </w:pPr>
            <w:r>
              <w:t>In</w:t>
            </w:r>
            <w:r w:rsidR="00447F8F" w:rsidRPr="00BC2AFF">
              <w:t xml:space="preserve"> 1933, Western Australia voted in favour of leaving the Federation</w:t>
            </w:r>
            <w:r w:rsidR="007F5848">
              <w:t xml:space="preserve"> due to economic grievances </w:t>
            </w:r>
            <w:r w:rsidR="00300CE8">
              <w:t xml:space="preserve">associated </w:t>
            </w:r>
            <w:r w:rsidR="00F0675A">
              <w:t xml:space="preserve">with </w:t>
            </w:r>
            <w:r w:rsidR="00E87BB7">
              <w:t xml:space="preserve">federating, </w:t>
            </w:r>
            <w:r w:rsidR="00F0675A">
              <w:t xml:space="preserve">which </w:t>
            </w:r>
            <w:r w:rsidR="00731159">
              <w:t xml:space="preserve">were </w:t>
            </w:r>
            <w:r w:rsidR="00300CE8">
              <w:t xml:space="preserve">then </w:t>
            </w:r>
            <w:r w:rsidR="00731159">
              <w:t>intensified by the Great Depression</w:t>
            </w:r>
            <w:r w:rsidR="002659D4" w:rsidRPr="00BC2AFF">
              <w:t xml:space="preserve"> </w:t>
            </w:r>
            <w:r w:rsidR="001F6A89" w:rsidRPr="001F6A89">
              <w:rPr>
                <w:rFonts w:cs="Open Sans"/>
                <w:szCs w:val="24"/>
              </w:rPr>
              <w:t>(Fenna and Phillimore 2025, p. 706)</w:t>
            </w:r>
            <w:r w:rsidR="002659D4" w:rsidRPr="00BC2AFF">
              <w:t xml:space="preserve">. </w:t>
            </w:r>
            <w:r w:rsidR="00A20C19" w:rsidRPr="00BC2AFF">
              <w:t xml:space="preserve">The result of the secession referendum was ultimately rejected by the British </w:t>
            </w:r>
            <w:r w:rsidR="00D85ADC" w:rsidRPr="00BC2AFF">
              <w:t>Parliament,</w:t>
            </w:r>
            <w:r w:rsidR="00E971DF" w:rsidRPr="00BC2AFF">
              <w:t xml:space="preserve"> but it demonstrated the </w:t>
            </w:r>
            <w:r w:rsidR="00AB001A" w:rsidRPr="00BC2AFF">
              <w:t>degree of discontent with</w:t>
            </w:r>
            <w:r w:rsidR="00317A55" w:rsidRPr="00BC2AFF">
              <w:t xml:space="preserve"> </w:t>
            </w:r>
            <w:r w:rsidR="00A91A05">
              <w:t xml:space="preserve">the </w:t>
            </w:r>
            <w:r w:rsidR="00317A55" w:rsidRPr="00BC2AFF">
              <w:t>revenue</w:t>
            </w:r>
            <w:r w:rsidR="00E033DC">
              <w:noBreakHyphen/>
            </w:r>
            <w:r w:rsidR="00317A55" w:rsidRPr="00BC2AFF">
              <w:t>sharing system of the time</w:t>
            </w:r>
            <w:r w:rsidR="00F96CD5">
              <w:t>.</w:t>
            </w:r>
            <w:r w:rsidR="00AB001A" w:rsidRPr="00BC2AFF">
              <w:t xml:space="preserve"> </w:t>
            </w:r>
            <w:r w:rsidR="00317A55" w:rsidRPr="00BC2AFF">
              <w:t xml:space="preserve">Fenna </w:t>
            </w:r>
            <w:r w:rsidR="001753FF">
              <w:t>and</w:t>
            </w:r>
            <w:r w:rsidR="00317A55" w:rsidRPr="00BC2AFF">
              <w:t xml:space="preserve"> Phillimore </w:t>
            </w:r>
            <w:r w:rsidR="00327FCD" w:rsidRPr="00DE47B0">
              <w:t>(2025, p. 6)</w:t>
            </w:r>
            <w:r w:rsidR="00B91E1E">
              <w:t xml:space="preserve"> have</w:t>
            </w:r>
            <w:r w:rsidR="00317A55" w:rsidRPr="00BC2AFF">
              <w:t xml:space="preserve"> argue</w:t>
            </w:r>
            <w:r w:rsidR="00B91E1E">
              <w:t>d</w:t>
            </w:r>
            <w:r w:rsidR="00317A55" w:rsidRPr="00BC2AFF">
              <w:t xml:space="preserve"> </w:t>
            </w:r>
            <w:r w:rsidR="00D76DB2">
              <w:t xml:space="preserve">that Western Australia’s </w:t>
            </w:r>
            <w:r w:rsidR="00B91E1E">
              <w:t>vote in favour of s</w:t>
            </w:r>
            <w:r w:rsidR="00BE52E4">
              <w:t>eceding</w:t>
            </w:r>
            <w:r w:rsidR="00317A55" w:rsidRPr="00BC2AFF">
              <w:t xml:space="preserve"> was a </w:t>
            </w:r>
            <w:r w:rsidR="00AB001A" w:rsidRPr="00BC2AFF">
              <w:t>‘</w:t>
            </w:r>
            <w:r w:rsidR="00AB001A" w:rsidRPr="003A0295">
              <w:rPr>
                <w:i/>
              </w:rPr>
              <w:t>major instigating factor</w:t>
            </w:r>
            <w:r w:rsidR="00AB001A" w:rsidRPr="00BC2AFF">
              <w:t>’ in the establishment of the CGC</w:t>
            </w:r>
            <w:r w:rsidR="005A65F0" w:rsidRPr="00BC2AFF">
              <w:t xml:space="preserve"> in 1933.</w:t>
            </w:r>
            <w:r w:rsidR="006A0544">
              <w:t xml:space="preserve"> </w:t>
            </w:r>
            <w:r w:rsidR="0035520C">
              <w:t>However</w:t>
            </w:r>
            <w:r w:rsidR="00CA11A0">
              <w:t>,</w:t>
            </w:r>
            <w:r w:rsidR="0035520C">
              <w:t xml:space="preserve"> separate to </w:t>
            </w:r>
            <w:r w:rsidR="004A63E9">
              <w:t xml:space="preserve">Western Australia’s secession referendum, </w:t>
            </w:r>
            <w:r w:rsidR="00F9372B">
              <w:t xml:space="preserve">there was </w:t>
            </w:r>
            <w:r w:rsidR="0035520C">
              <w:t xml:space="preserve">also </w:t>
            </w:r>
            <w:r w:rsidR="00F9372B">
              <w:t>broad recognition of the need to have an ongoing body to advise on fiscal federalism matter</w:t>
            </w:r>
            <w:r w:rsidR="00E00706">
              <w:t>s</w:t>
            </w:r>
            <w:r w:rsidR="006E370D">
              <w:t xml:space="preserve"> </w:t>
            </w:r>
            <w:r w:rsidR="00E00706" w:rsidRPr="00E00706">
              <w:rPr>
                <w:rFonts w:cs="Open Sans"/>
                <w:szCs w:val="24"/>
              </w:rPr>
              <w:t>(Williams 2015, p. 108)</w:t>
            </w:r>
            <w:r w:rsidR="00B67F53">
              <w:t>.</w:t>
            </w:r>
            <w:r w:rsidR="004A63E9">
              <w:t xml:space="preserve"> </w:t>
            </w:r>
          </w:p>
          <w:p w14:paraId="33AF61FA" w14:textId="15A93C14" w:rsidR="000F2EE8" w:rsidRPr="00BC2AFF" w:rsidRDefault="000F2EE8" w:rsidP="00EC5759">
            <w:pPr>
              <w:pStyle w:val="BodyText"/>
            </w:pPr>
            <w:r w:rsidRPr="00BC2AFF">
              <w:lastRenderedPageBreak/>
              <w:t xml:space="preserve">The CGC was established </w:t>
            </w:r>
            <w:r w:rsidR="006874A3">
              <w:t xml:space="preserve">in 1933 </w:t>
            </w:r>
            <w:r w:rsidRPr="00BC2AFF">
              <w:t xml:space="preserve">with the hope that an independent institution responsible for providing impartial advice on special grants would help to mitigate conflict between the </w:t>
            </w:r>
            <w:r w:rsidR="00A83898">
              <w:t xml:space="preserve">Australian Government </w:t>
            </w:r>
            <w:r w:rsidRPr="00BC2AFF">
              <w:t xml:space="preserve">and </w:t>
            </w:r>
            <w:r w:rsidR="00A237B7">
              <w:t xml:space="preserve">the </w:t>
            </w:r>
            <w:r w:rsidRPr="00BC2AFF">
              <w:t>state</w:t>
            </w:r>
            <w:r w:rsidR="00A237B7">
              <w:t>s</w:t>
            </w:r>
            <w:r w:rsidR="00EC562D" w:rsidRPr="00BC2AFF">
              <w:t xml:space="preserve"> </w:t>
            </w:r>
            <w:r w:rsidR="004E5CDB" w:rsidRPr="00DE47B0">
              <w:t>(CGC 2023, p. 4)</w:t>
            </w:r>
            <w:r w:rsidR="00EC562D" w:rsidRPr="00DE47B0">
              <w:t>.</w:t>
            </w:r>
          </w:p>
          <w:p w14:paraId="796E1843" w14:textId="0B82FFAC" w:rsidR="00081B74" w:rsidRPr="00BC2AFF" w:rsidRDefault="00E91EE8" w:rsidP="00183025">
            <w:pPr>
              <w:pStyle w:val="BoxHeading2"/>
              <w:keepNext/>
            </w:pPr>
            <w:r w:rsidRPr="00BC2AFF">
              <w:t>1930s</w:t>
            </w:r>
            <w:r w:rsidR="00D367AF">
              <w:t xml:space="preserve"> to </w:t>
            </w:r>
            <w:r w:rsidRPr="00BC2AFF">
              <w:t xml:space="preserve">1970s: </w:t>
            </w:r>
            <w:r w:rsidR="000C2A27">
              <w:t>The</w:t>
            </w:r>
            <w:r w:rsidRPr="00BC2AFF">
              <w:t xml:space="preserve"> </w:t>
            </w:r>
            <w:r w:rsidR="00B84859">
              <w:t>‘</w:t>
            </w:r>
            <w:r w:rsidR="00EB305A">
              <w:t>c</w:t>
            </w:r>
            <w:r w:rsidR="00EB305A" w:rsidRPr="00BC2AFF">
              <w:t xml:space="preserve">laimant </w:t>
            </w:r>
            <w:r w:rsidR="00E84902" w:rsidRPr="00BC2AFF">
              <w:t>state</w:t>
            </w:r>
            <w:r w:rsidR="00B84859">
              <w:t>’</w:t>
            </w:r>
            <w:r w:rsidR="00E84902" w:rsidRPr="00BC2AFF">
              <w:t xml:space="preserve"> era</w:t>
            </w:r>
          </w:p>
          <w:p w14:paraId="40F89361" w14:textId="48C4DBD9" w:rsidR="00113B31" w:rsidRPr="00BC2AFF" w:rsidRDefault="00682061" w:rsidP="0096111B">
            <w:pPr>
              <w:pStyle w:val="BodyText"/>
            </w:pPr>
            <w:r w:rsidRPr="00BC2AFF">
              <w:t>During the 1930s and 1940s</w:t>
            </w:r>
            <w:r w:rsidR="00BB1A90">
              <w:t>,</w:t>
            </w:r>
            <w:r w:rsidRPr="00BC2AFF">
              <w:t xml:space="preserve"> states </w:t>
            </w:r>
            <w:r w:rsidR="00BB1A90">
              <w:t>were able to</w:t>
            </w:r>
            <w:r w:rsidRPr="00BC2AFF">
              <w:t xml:space="preserve"> </w:t>
            </w:r>
            <w:r w:rsidR="00BB1A90" w:rsidRPr="00BC2AFF">
              <w:t>appl</w:t>
            </w:r>
            <w:r w:rsidR="00BB1A90">
              <w:t>y</w:t>
            </w:r>
            <w:r w:rsidRPr="00BC2AFF">
              <w:t xml:space="preserve"> for special grants</w:t>
            </w:r>
            <w:r w:rsidR="00AA5B43" w:rsidRPr="00BC2AFF">
              <w:t xml:space="preserve"> </w:t>
            </w:r>
            <w:r w:rsidR="00A830BF" w:rsidRPr="00BC2AFF">
              <w:t xml:space="preserve">if they </w:t>
            </w:r>
            <w:r w:rsidR="00AC50D1" w:rsidRPr="00BC2AFF">
              <w:t>needed</w:t>
            </w:r>
            <w:r w:rsidR="00A830BF" w:rsidRPr="00BC2AFF">
              <w:t xml:space="preserve"> additional assistance from the </w:t>
            </w:r>
            <w:r w:rsidR="002E6293">
              <w:t>Australian Government</w:t>
            </w:r>
            <w:r w:rsidR="00634017" w:rsidRPr="00BC2AFF">
              <w:t xml:space="preserve">. </w:t>
            </w:r>
            <w:r w:rsidR="0083389E" w:rsidRPr="00BC2AFF">
              <w:t xml:space="preserve">Special grants </w:t>
            </w:r>
            <w:r w:rsidR="009705F2">
              <w:t>were intended to allow</w:t>
            </w:r>
            <w:r w:rsidR="009705F2" w:rsidRPr="00BC2AFF">
              <w:t xml:space="preserve"> </w:t>
            </w:r>
            <w:r w:rsidR="0083389E" w:rsidRPr="00BC2AFF">
              <w:t xml:space="preserve">states to function at a standard not appreciably lower than that of other states, </w:t>
            </w:r>
            <w:r w:rsidR="0094011E" w:rsidRPr="00BC2AFF">
              <w:t>provid</w:t>
            </w:r>
            <w:r w:rsidR="0094011E">
              <w:t>ed</w:t>
            </w:r>
            <w:r w:rsidR="0083389E" w:rsidRPr="00BC2AFF">
              <w:t xml:space="preserve"> they mad</w:t>
            </w:r>
            <w:r w:rsidR="00340926" w:rsidRPr="00BC2AFF">
              <w:t>e</w:t>
            </w:r>
            <w:r w:rsidR="0083389E" w:rsidRPr="00BC2AFF">
              <w:t xml:space="preserve"> reasonable efforts to achieve these standards </w:t>
            </w:r>
            <w:r w:rsidR="00567944" w:rsidRPr="00DE47B0">
              <w:t>(CGC 2023, p. 5)</w:t>
            </w:r>
            <w:r w:rsidR="0083389E" w:rsidRPr="00BC2AFF">
              <w:t>.</w:t>
            </w:r>
            <w:r w:rsidR="00EF3FBD" w:rsidRPr="00BC2AFF">
              <w:t xml:space="preserve"> </w:t>
            </w:r>
            <w:r w:rsidR="00344B0F" w:rsidRPr="00BC2AFF">
              <w:t xml:space="preserve">The </w:t>
            </w:r>
            <w:r w:rsidR="00101F89" w:rsidRPr="00BC2AFF">
              <w:t xml:space="preserve">CGC was responsible for assessing states’ needs against this benchmark and judged </w:t>
            </w:r>
            <w:r w:rsidR="00C93BCA" w:rsidRPr="00BC2AFF">
              <w:t xml:space="preserve">Western Australia, Tasmania and South Australia </w:t>
            </w:r>
            <w:r w:rsidR="009512B2" w:rsidRPr="00BC2AFF">
              <w:t xml:space="preserve">to be ‘claimant states’ </w:t>
            </w:r>
            <w:r w:rsidR="00DF7D17" w:rsidRPr="00BC2AFF">
              <w:t xml:space="preserve">in need of additional </w:t>
            </w:r>
            <w:r w:rsidR="00E91EE8" w:rsidRPr="00BC2AFF">
              <w:t xml:space="preserve">financial support </w:t>
            </w:r>
            <w:r w:rsidR="0076177D" w:rsidRPr="0076177D">
              <w:rPr>
                <w:rFonts w:cs="Open Sans"/>
                <w:szCs w:val="24"/>
              </w:rPr>
              <w:t>(Williams 2012, p. 147</w:t>
            </w:r>
            <w:proofErr w:type="gramStart"/>
            <w:r w:rsidR="0076177D" w:rsidRPr="0076177D">
              <w:rPr>
                <w:rFonts w:cs="Open Sans"/>
                <w:szCs w:val="24"/>
              </w:rPr>
              <w:t>)</w:t>
            </w:r>
            <w:r w:rsidR="00113B31" w:rsidRPr="00BC2AFF">
              <w:t>.</w:t>
            </w:r>
            <w:r w:rsidR="001B02CD" w:rsidRPr="00183025">
              <w:rPr>
                <w:b/>
                <w:bCs/>
                <w:vertAlign w:val="superscript"/>
              </w:rPr>
              <w:t>a</w:t>
            </w:r>
            <w:proofErr w:type="gramEnd"/>
            <w:r w:rsidR="00E033DC">
              <w:rPr>
                <w:b/>
                <w:bCs/>
                <w:vertAlign w:val="superscript"/>
              </w:rPr>
              <w:t xml:space="preserve"> </w:t>
            </w:r>
          </w:p>
          <w:p w14:paraId="58087F6A" w14:textId="2A7A09B1" w:rsidR="00113B31" w:rsidRPr="00BC2AFF" w:rsidRDefault="000E4060" w:rsidP="0096111B">
            <w:pPr>
              <w:pStyle w:val="BodyText"/>
            </w:pPr>
            <w:r w:rsidRPr="00BC2AFF">
              <w:t xml:space="preserve">VFI increased </w:t>
            </w:r>
            <w:r w:rsidR="00D15A32">
              <w:t>significantly</w:t>
            </w:r>
            <w:r w:rsidRPr="00BC2AFF">
              <w:t xml:space="preserve"> in 1942 when the </w:t>
            </w:r>
            <w:r w:rsidR="002E6293">
              <w:t>Australian Government</w:t>
            </w:r>
            <w:r w:rsidR="003C06B6" w:rsidRPr="00BC2AFF">
              <w:t xml:space="preserve"> took over sole responsibility </w:t>
            </w:r>
            <w:r w:rsidR="00BF4A89">
              <w:t>for</w:t>
            </w:r>
            <w:r w:rsidR="003C06B6" w:rsidRPr="00BC2AFF">
              <w:t xml:space="preserve"> levying income tax </w:t>
            </w:r>
            <w:r w:rsidR="00B47C93" w:rsidRPr="00DE47B0">
              <w:t>(Williams 2012, p. 146)</w:t>
            </w:r>
            <w:r w:rsidR="003C06B6" w:rsidRPr="00BC2AFF">
              <w:t xml:space="preserve">. </w:t>
            </w:r>
            <w:r w:rsidR="00682354" w:rsidRPr="00BC2AFF">
              <w:t xml:space="preserve">States were compensated for </w:t>
            </w:r>
            <w:r w:rsidR="00E57302">
              <w:t>this</w:t>
            </w:r>
            <w:r w:rsidR="00682354" w:rsidRPr="00BC2AFF">
              <w:t xml:space="preserve"> loss of revenue by </w:t>
            </w:r>
            <w:r w:rsidR="00326EDE" w:rsidRPr="00BC2AFF">
              <w:t xml:space="preserve">tax </w:t>
            </w:r>
            <w:r w:rsidR="00682354" w:rsidRPr="00BC2AFF">
              <w:t xml:space="preserve">reimbursement grants </w:t>
            </w:r>
            <w:proofErr w:type="gramStart"/>
            <w:r w:rsidR="00C2632C">
              <w:t>similar</w:t>
            </w:r>
            <w:r w:rsidR="00682354" w:rsidRPr="00BC2AFF">
              <w:t xml:space="preserve"> to</w:t>
            </w:r>
            <w:proofErr w:type="gramEnd"/>
            <w:r w:rsidR="00682354" w:rsidRPr="00BC2AFF">
              <w:t xml:space="preserve"> the revenue they had </w:t>
            </w:r>
            <w:r w:rsidR="00B01BB9" w:rsidRPr="00BC2AFF">
              <w:t>foregone,</w:t>
            </w:r>
            <w:r w:rsidR="00326EDE" w:rsidRPr="00BC2AFF">
              <w:t xml:space="preserve"> and </w:t>
            </w:r>
            <w:r w:rsidR="00682354" w:rsidRPr="00BC2AFF">
              <w:t>they could also apply to the CGC for further compensation</w:t>
            </w:r>
            <w:r w:rsidR="003E25A0">
              <w:t xml:space="preserve"> </w:t>
            </w:r>
            <w:r w:rsidR="003E25A0" w:rsidRPr="003E25A0">
              <w:rPr>
                <w:rFonts w:cs="Open Sans"/>
                <w:szCs w:val="24"/>
              </w:rPr>
              <w:t>(CGC 2023, p. 5)</w:t>
            </w:r>
            <w:r w:rsidR="00682354" w:rsidRPr="00BC2AFF">
              <w:t xml:space="preserve">. </w:t>
            </w:r>
            <w:r w:rsidR="00326EDE" w:rsidRPr="00BC2AFF">
              <w:t>Tax reimbursement grants were replaced by financial assistance grants in 195</w:t>
            </w:r>
            <w:r w:rsidR="00B80E8B" w:rsidRPr="00BC2AFF">
              <w:t>9</w:t>
            </w:r>
            <w:r w:rsidR="00326EDE" w:rsidRPr="00BC2AFF">
              <w:t xml:space="preserve"> which remained the basis of </w:t>
            </w:r>
            <w:r w:rsidR="00DA09E0">
              <w:t>revenue assistance</w:t>
            </w:r>
            <w:r w:rsidR="00DA09E0" w:rsidRPr="00BC2AFF">
              <w:t xml:space="preserve"> </w:t>
            </w:r>
            <w:r w:rsidR="00326EDE" w:rsidRPr="00BC2AFF">
              <w:t>until the mid</w:t>
            </w:r>
            <w:r w:rsidR="00E033DC">
              <w:noBreakHyphen/>
            </w:r>
            <w:r w:rsidR="00F64EFD" w:rsidRPr="00BC2AFF">
              <w:t>1970s</w:t>
            </w:r>
            <w:r w:rsidR="00470E27">
              <w:t xml:space="preserve"> </w:t>
            </w:r>
            <w:r w:rsidR="00470E27" w:rsidRPr="00470E27">
              <w:rPr>
                <w:rFonts w:cs="Open Sans"/>
                <w:szCs w:val="24"/>
              </w:rPr>
              <w:t>(PC 2018, p. 69)</w:t>
            </w:r>
            <w:r w:rsidR="00F64EFD" w:rsidRPr="00BC2AFF">
              <w:t xml:space="preserve">. </w:t>
            </w:r>
            <w:r w:rsidR="00252491">
              <w:t>Payments for specific purposes</w:t>
            </w:r>
            <w:r w:rsidR="00F64EFD" w:rsidRPr="00BC2AFF">
              <w:t xml:space="preserve"> were also introduced in the late 1960s as a means of influencing state service delivery and infrastructure </w:t>
            </w:r>
            <w:r w:rsidR="00750CFE" w:rsidRPr="00DE47B0">
              <w:t>(CGC 2023, p. 5)</w:t>
            </w:r>
            <w:r w:rsidR="00F64EFD" w:rsidRPr="00BC2AFF">
              <w:t xml:space="preserve">. </w:t>
            </w:r>
          </w:p>
          <w:p w14:paraId="725DB7A8" w14:textId="4E4EE746" w:rsidR="00B90BFF" w:rsidRPr="00BC2AFF" w:rsidRDefault="00E91EE8" w:rsidP="000B3AF6">
            <w:pPr>
              <w:pStyle w:val="BoxHeading2"/>
              <w:keepNext/>
            </w:pPr>
            <w:r w:rsidRPr="00BC2AFF">
              <w:t>197</w:t>
            </w:r>
            <w:r w:rsidR="00965473">
              <w:t>6</w:t>
            </w:r>
            <w:r w:rsidR="00D367AF">
              <w:t xml:space="preserve"> to </w:t>
            </w:r>
            <w:r w:rsidRPr="00BC2AFF">
              <w:t xml:space="preserve">2018: </w:t>
            </w:r>
            <w:r w:rsidR="00EB305A">
              <w:t xml:space="preserve">The </w:t>
            </w:r>
            <w:r w:rsidR="00B84859">
              <w:t>‘</w:t>
            </w:r>
            <w:r w:rsidR="008A55CE">
              <w:t>constant</w:t>
            </w:r>
            <w:r w:rsidR="00E033DC">
              <w:noBreakHyphen/>
            </w:r>
            <w:r w:rsidR="00B90BFF" w:rsidRPr="00BC2AFF">
              <w:t>sum</w:t>
            </w:r>
            <w:r w:rsidR="00B84859">
              <w:t>’</w:t>
            </w:r>
            <w:r w:rsidR="00B90BFF" w:rsidRPr="00BC2AFF">
              <w:t xml:space="preserve"> game era</w:t>
            </w:r>
          </w:p>
          <w:p w14:paraId="32434973" w14:textId="4BA06A93" w:rsidR="00F951F7" w:rsidRPr="00BC2AFF" w:rsidRDefault="00D51DBE" w:rsidP="004B4A6D">
            <w:pPr>
              <w:pStyle w:val="BodyText"/>
            </w:pPr>
            <w:r>
              <w:t>In 1976,</w:t>
            </w:r>
            <w:r w:rsidR="00C51F88" w:rsidRPr="00BC2AFF" w:rsidDel="00AB5985">
              <w:t xml:space="preserve"> </w:t>
            </w:r>
            <w:r w:rsidR="00227B3D">
              <w:t xml:space="preserve">the </w:t>
            </w:r>
            <w:r w:rsidR="00A83898">
              <w:t>Australian Government’s</w:t>
            </w:r>
            <w:r w:rsidR="00274360">
              <w:t xml:space="preserve"> approach</w:t>
            </w:r>
            <w:r w:rsidR="00316D11">
              <w:t xml:space="preserve"> to supporting states</w:t>
            </w:r>
            <w:r w:rsidR="00274360">
              <w:t xml:space="preserve"> shifted away from a claimant model</w:t>
            </w:r>
            <w:r w:rsidR="002B27E7">
              <w:t>,</w:t>
            </w:r>
            <w:r w:rsidR="00274360">
              <w:t xml:space="preserve"> </w:t>
            </w:r>
            <w:r w:rsidR="002B27E7">
              <w:t xml:space="preserve">with the </w:t>
            </w:r>
            <w:r w:rsidR="00A83898">
              <w:t xml:space="preserve">Australian Government </w:t>
            </w:r>
            <w:r w:rsidR="00316D11">
              <w:t xml:space="preserve">instead </w:t>
            </w:r>
            <w:r w:rsidR="002B27E7">
              <w:t>providing</w:t>
            </w:r>
            <w:r w:rsidR="00316D11">
              <w:t xml:space="preserve"> a dedicated pool of funds </w:t>
            </w:r>
            <w:r w:rsidR="00C51F88" w:rsidRPr="00BC2AFF">
              <w:t>to be shared between the states in line with the principle of HFE</w:t>
            </w:r>
            <w:r w:rsidR="009A0B7F" w:rsidRPr="00BC2AFF">
              <w:t xml:space="preserve"> </w:t>
            </w:r>
            <w:r w:rsidR="00365198" w:rsidRPr="00365198">
              <w:rPr>
                <w:rFonts w:cs="Open Sans"/>
                <w:szCs w:val="24"/>
              </w:rPr>
              <w:t>(PC 2018, p. 74)</w:t>
            </w:r>
            <w:r w:rsidR="00C51F88" w:rsidRPr="00BC2AFF">
              <w:t xml:space="preserve">. </w:t>
            </w:r>
            <w:r w:rsidR="00AB5985" w:rsidRPr="00BC2AFF">
              <w:t xml:space="preserve">The role of the CGC expanded in 1978 when </w:t>
            </w:r>
            <w:r w:rsidR="00AB5985">
              <w:t xml:space="preserve">it </w:t>
            </w:r>
            <w:r w:rsidR="00E52283" w:rsidRPr="00BC2AFF">
              <w:t>became responsible for determining the relativities</w:t>
            </w:r>
            <w:r w:rsidR="00F951F7" w:rsidRPr="00BC2AFF">
              <w:t xml:space="preserve"> </w:t>
            </w:r>
            <w:r w:rsidR="00E52283" w:rsidRPr="00BC2AFF">
              <w:t>which would guide this distribution</w:t>
            </w:r>
            <w:r w:rsidR="00D2773D">
              <w:t xml:space="preserve"> </w:t>
            </w:r>
            <w:r w:rsidR="00E946E1" w:rsidRPr="00E946E1">
              <w:rPr>
                <w:rFonts w:cs="Open Sans"/>
                <w:szCs w:val="24"/>
              </w:rPr>
              <w:t>(Williams 2012, p. 146)</w:t>
            </w:r>
            <w:r w:rsidR="00C57C86" w:rsidRPr="00BC2AFF">
              <w:t xml:space="preserve">. </w:t>
            </w:r>
          </w:p>
          <w:p w14:paraId="069CFAFD" w14:textId="2660FE5F" w:rsidR="004B4A6D" w:rsidRPr="00BC2AFF" w:rsidRDefault="00C51F88" w:rsidP="004B4A6D">
            <w:pPr>
              <w:pStyle w:val="BodyText"/>
            </w:pPr>
            <w:r w:rsidRPr="00BC2AFF">
              <w:t xml:space="preserve">The pool of funds </w:t>
            </w:r>
            <w:r w:rsidR="00A72D58">
              <w:t>– which was fixed in any given year –</w:t>
            </w:r>
            <w:r w:rsidRPr="00BC2AFF">
              <w:t xml:space="preserve"> introduced a ‘</w:t>
            </w:r>
            <w:r w:rsidR="008A55CE">
              <w:t>constant</w:t>
            </w:r>
            <w:r w:rsidR="00E033DC">
              <w:noBreakHyphen/>
            </w:r>
            <w:r w:rsidRPr="00BC2AFF">
              <w:t>sum game’</w:t>
            </w:r>
            <w:r w:rsidR="00A72D58">
              <w:t xml:space="preserve"> into HFE arrangements</w:t>
            </w:r>
            <w:r w:rsidR="004A4201" w:rsidRPr="00BC2AFF">
              <w:t xml:space="preserve">, </w:t>
            </w:r>
            <w:r w:rsidR="002C6F64">
              <w:t xml:space="preserve">whereby </w:t>
            </w:r>
            <w:r w:rsidR="004A4201" w:rsidRPr="00BC2AFF">
              <w:t xml:space="preserve">an amount given to one state meant the same amount was foregone </w:t>
            </w:r>
            <w:r w:rsidR="007356C2">
              <w:t>by</w:t>
            </w:r>
            <w:r w:rsidR="004A4201" w:rsidRPr="00BC2AFF">
              <w:t xml:space="preserve"> the other states</w:t>
            </w:r>
            <w:r w:rsidR="003A275C">
              <w:t xml:space="preserve"> </w:t>
            </w:r>
            <w:r w:rsidR="003A275C" w:rsidRPr="003A275C">
              <w:rPr>
                <w:rFonts w:cs="Open Sans"/>
                <w:szCs w:val="24"/>
              </w:rPr>
              <w:t>(PC 2018, p. 75)</w:t>
            </w:r>
            <w:r w:rsidR="004A4201" w:rsidRPr="00BC2AFF">
              <w:t>.</w:t>
            </w:r>
            <w:r w:rsidR="006A7795" w:rsidRPr="00BC2AFF">
              <w:t xml:space="preserve"> Prior to 1978, the CGC</w:t>
            </w:r>
            <w:r w:rsidR="00D43620" w:rsidRPr="00BC2AFF">
              <w:t xml:space="preserve">’s decisions on special grants for claimant states had no bearing on </w:t>
            </w:r>
            <w:r w:rsidR="00E52283" w:rsidRPr="00BC2AFF">
              <w:t xml:space="preserve">the fiscal capacities of </w:t>
            </w:r>
            <w:r w:rsidR="00D43620" w:rsidRPr="00BC2AFF">
              <w:t>non</w:t>
            </w:r>
            <w:r w:rsidR="00E033DC">
              <w:noBreakHyphen/>
            </w:r>
            <w:r w:rsidR="00D43620" w:rsidRPr="00BC2AFF">
              <w:t>claimant states</w:t>
            </w:r>
            <w:r w:rsidR="00E52283" w:rsidRPr="00BC2AFF">
              <w:t>,</w:t>
            </w:r>
            <w:r w:rsidR="00F951F7" w:rsidRPr="00BC2AFF">
              <w:t xml:space="preserve"> but </w:t>
            </w:r>
            <w:r w:rsidR="0070002C" w:rsidRPr="00BC2AFF">
              <w:t xml:space="preserve">the shift to a </w:t>
            </w:r>
            <w:r w:rsidR="003607CD">
              <w:t>constant</w:t>
            </w:r>
            <w:r w:rsidR="00E033DC">
              <w:noBreakHyphen/>
            </w:r>
            <w:r w:rsidR="0070002C" w:rsidRPr="00BC2AFF">
              <w:t>sum</w:t>
            </w:r>
            <w:r w:rsidR="00F951F7" w:rsidRPr="00BC2AFF">
              <w:t xml:space="preserve"> </w:t>
            </w:r>
            <w:r w:rsidR="0070002C" w:rsidRPr="00BC2AFF">
              <w:t>allocation</w:t>
            </w:r>
            <w:r w:rsidR="00C471A6" w:rsidRPr="00BC2AFF">
              <w:t xml:space="preserve"> </w:t>
            </w:r>
            <w:r w:rsidR="00B542AF">
              <w:t>transformed</w:t>
            </w:r>
            <w:r w:rsidR="00B542AF" w:rsidRPr="00BC2AFF">
              <w:t xml:space="preserve"> </w:t>
            </w:r>
            <w:r w:rsidR="00C471A6" w:rsidRPr="00BC2AFF">
              <w:t>the CGC from ‘</w:t>
            </w:r>
            <w:r w:rsidR="00C471A6" w:rsidRPr="00A1387F">
              <w:rPr>
                <w:i/>
              </w:rPr>
              <w:t>being a peripheral to a major player in federal</w:t>
            </w:r>
            <w:r w:rsidR="00E033DC" w:rsidRPr="00A1387F">
              <w:rPr>
                <w:i/>
              </w:rPr>
              <w:noBreakHyphen/>
            </w:r>
            <w:r w:rsidR="00C471A6" w:rsidRPr="00A1387F">
              <w:rPr>
                <w:i/>
              </w:rPr>
              <w:t>state relations</w:t>
            </w:r>
            <w:r w:rsidR="00C471A6" w:rsidRPr="00BC2AFF">
              <w:t xml:space="preserve">’ </w:t>
            </w:r>
            <w:r w:rsidR="004160F8" w:rsidRPr="002730C8">
              <w:t>(Williams 2012, p. 147)</w:t>
            </w:r>
            <w:r w:rsidR="00DF546E">
              <w:t>.</w:t>
            </w:r>
          </w:p>
          <w:p w14:paraId="1A33482D" w14:textId="58C83E42" w:rsidR="00B7027B" w:rsidRDefault="00A5484F" w:rsidP="00342B5D">
            <w:pPr>
              <w:pStyle w:val="BodyText"/>
            </w:pPr>
            <w:r w:rsidRPr="00BC2AFF">
              <w:t xml:space="preserve">Although its </w:t>
            </w:r>
            <w:r w:rsidR="00F04865">
              <w:t>assessment</w:t>
            </w:r>
            <w:r w:rsidR="00F04865" w:rsidRPr="00BC2AFF">
              <w:t xml:space="preserve"> </w:t>
            </w:r>
            <w:r w:rsidRPr="00BC2AFF">
              <w:t>methods have evolved over time, the CGC’s overarching approach to calculating relativities remained largely unchanged</w:t>
            </w:r>
            <w:r w:rsidR="002963D4" w:rsidRPr="00BC2AFF">
              <w:t xml:space="preserve"> </w:t>
            </w:r>
            <w:r w:rsidR="0012051A">
              <w:t xml:space="preserve">until </w:t>
            </w:r>
            <w:r w:rsidR="00E56187">
              <w:t xml:space="preserve">the 2018 reforms </w:t>
            </w:r>
            <w:r w:rsidR="00302541" w:rsidRPr="00302541">
              <w:rPr>
                <w:rFonts w:cs="Open Sans"/>
                <w:szCs w:val="24"/>
              </w:rPr>
              <w:t>(PC 2018, p. 76)</w:t>
            </w:r>
            <w:r w:rsidR="00E512C1" w:rsidRPr="00BC2AFF">
              <w:t>. State revenue</w:t>
            </w:r>
            <w:r w:rsidR="00E033DC">
              <w:noBreakHyphen/>
            </w:r>
            <w:r w:rsidR="00E512C1" w:rsidRPr="00BC2AFF">
              <w:t xml:space="preserve">raising capacities and </w:t>
            </w:r>
            <w:r w:rsidR="00EB74BB">
              <w:t xml:space="preserve">service delivery costs </w:t>
            </w:r>
            <w:r w:rsidR="00E512C1" w:rsidRPr="00BC2AFF">
              <w:t xml:space="preserve">are assessed on a yearly basis and a methodology review is conducted every </w:t>
            </w:r>
            <w:r w:rsidR="000F447A">
              <w:t>5</w:t>
            </w:r>
            <w:r w:rsidR="00E512C1" w:rsidRPr="00BC2AFF">
              <w:t xml:space="preserve"> years.</w:t>
            </w:r>
          </w:p>
          <w:p w14:paraId="6AF5636F" w14:textId="11E09D82" w:rsidR="003D345C" w:rsidRDefault="007E0F71" w:rsidP="00342B5D">
            <w:pPr>
              <w:pStyle w:val="BodyText"/>
            </w:pPr>
            <w:r w:rsidRPr="007E0F71">
              <w:rPr>
                <w:noProof/>
              </w:rPr>
              <w:lastRenderedPageBreak/>
              <w:drawing>
                <wp:inline distT="0" distB="0" distL="0" distR="0" wp14:anchorId="7AC1621B" wp14:editId="475BEAF1">
                  <wp:extent cx="5943600" cy="4076700"/>
                  <wp:effectExtent l="0" t="0" r="0" b="0"/>
                  <wp:docPr id="2111869871" name="Picture 5" descr="The figure is a timeline of Australia’s HFE system. &#10;Box 1 – CGC established: The CGC was established in 1933 to provide impartial advice to the Commonwealth of the provision of special grants to states.&#10;Box 2 – Claimant states: The Commonwealth took over income tax collection in 1942, leading to a significant increase in VFI. States were compensated with reimbursement grants and states could apply to the CGC for special grants.&#10;Box 3 – Zero-sum game: In 1976, a fixed pool of funds was introduced to be shared with the states based on the principles of HFE. The CGC was responsible for providing advice on the distribution.&#10;Box 4 – Introduction of GST: GST was introduced in 2000 with all revenue collected to be distributed among the states based on the principles of HFE. The CGC continued to provide advice on the distribution of the pool.&#10;Box 5 – In 2018, the Commonwealth legislated a new way to distribute GST payments. The reforms are discussed further in chapter 2 of the PC’s main repo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69871" name="Picture 5" descr="The figure is a timeline of Australia’s HFE system. &#10;Box 1 – CGC established: The CGC was established in 1933 to provide impartial advice to the Commonwealth of the provision of special grants to states.&#10;Box 2 – Claimant states: The Commonwealth took over income tax collection in 1942, leading to a significant increase in VFI. States were compensated with reimbursement grants and states could apply to the CGC for special grants.&#10;Box 3 – Zero-sum game: In 1976, a fixed pool of funds was introduced to be shared with the states based on the principles of HFE. The CGC was responsible for providing advice on the distribution.&#10;Box 4 – Introduction of GST: GST was introduced in 2000 with all revenue collected to be distributed among the states based on the principles of HFE. The CGC continued to provide advice on the distribution of the pool.&#10;Box 5 – In 2018, the Commonwealth legislated a new way to distribute GST payments. The reforms are discussed further in chapter 2 of the PC’s main report.&#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076700"/>
                          </a:xfrm>
                          <a:prstGeom prst="rect">
                            <a:avLst/>
                          </a:prstGeom>
                          <a:noFill/>
                          <a:ln>
                            <a:noFill/>
                          </a:ln>
                        </pic:spPr>
                      </pic:pic>
                    </a:graphicData>
                  </a:graphic>
                </wp:inline>
              </w:drawing>
            </w:r>
          </w:p>
          <w:p w14:paraId="2498C9F4" w14:textId="1AFE2DF9" w:rsidR="008C3CC3" w:rsidRPr="00BC2AFF" w:rsidRDefault="008C3CC3" w:rsidP="001F5BC5">
            <w:pPr>
              <w:pStyle w:val="Note"/>
              <w:spacing w:after="120"/>
            </w:pPr>
            <w:r w:rsidRPr="00180E66">
              <w:rPr>
                <w:b/>
                <w:bCs/>
              </w:rPr>
              <w:t>a.</w:t>
            </w:r>
            <w:r>
              <w:t xml:space="preserve"> </w:t>
            </w:r>
            <w:r w:rsidR="009C03E3">
              <w:t>The Northern Territory and the Australian Capital Territory</w:t>
            </w:r>
            <w:r w:rsidR="001B02CD">
              <w:t xml:space="preserve"> did not join the HFE system until 1988 and 1993 respectively</w:t>
            </w:r>
            <w:r w:rsidR="0026516A">
              <w:t xml:space="preserve"> </w:t>
            </w:r>
            <w:r w:rsidR="00302541" w:rsidRPr="00302541">
              <w:rPr>
                <w:rFonts w:cs="Open Sans"/>
                <w:szCs w:val="24"/>
              </w:rPr>
              <w:t>(PC 2018, p. 69)</w:t>
            </w:r>
            <w:r w:rsidR="001B02CD">
              <w:t>.</w:t>
            </w:r>
          </w:p>
        </w:tc>
      </w:tr>
      <w:tr w:rsidR="00A34ED8" w:rsidRPr="00BC2AFF" w14:paraId="6B5FDDC1" w14:textId="77777777">
        <w:trPr>
          <w:hidden/>
        </w:trPr>
        <w:tc>
          <w:tcPr>
            <w:tcW w:w="9638" w:type="dxa"/>
            <w:shd w:val="clear" w:color="auto" w:fill="auto"/>
            <w:tcMar>
              <w:top w:w="0" w:type="dxa"/>
              <w:left w:w="170" w:type="dxa"/>
              <w:bottom w:w="0" w:type="dxa"/>
              <w:right w:w="170" w:type="dxa"/>
            </w:tcMar>
          </w:tcPr>
          <w:p w14:paraId="4B6135F5" w14:textId="136BC544" w:rsidR="00582D3E" w:rsidRPr="00BC2AFF" w:rsidRDefault="00582D3E">
            <w:pPr>
              <w:pStyle w:val="BodyText"/>
              <w:spacing w:before="0" w:after="0" w:line="80" w:lineRule="atLeast"/>
              <w:rPr>
                <w:smallCaps/>
                <w:vanish/>
              </w:rPr>
            </w:pPr>
          </w:p>
        </w:tc>
      </w:tr>
    </w:tbl>
    <w:p w14:paraId="61952543" w14:textId="7514D11A" w:rsidR="00745FAC" w:rsidRDefault="00FA5AF4" w:rsidP="001F5BC5">
      <w:pPr>
        <w:pStyle w:val="Heading3"/>
        <w:spacing w:before="360"/>
      </w:pPr>
      <w:r>
        <w:t>The introduction of the GST in 2000 changed Australia’s HFE system</w:t>
      </w:r>
    </w:p>
    <w:p w14:paraId="5D5B4342" w14:textId="3FDB5503" w:rsidR="004300EE" w:rsidRDefault="00E60341" w:rsidP="004300EE">
      <w:pPr>
        <w:pStyle w:val="Heading4"/>
      </w:pPr>
      <w:r>
        <w:t>Tax reform and the introduction of the GST</w:t>
      </w:r>
    </w:p>
    <w:p w14:paraId="163DB2DC" w14:textId="62F30834" w:rsidR="004A4142" w:rsidRPr="001F5BC5" w:rsidRDefault="004300EE" w:rsidP="004300EE">
      <w:pPr>
        <w:pStyle w:val="BodyText"/>
        <w:rPr>
          <w:spacing w:val="-2"/>
        </w:rPr>
      </w:pPr>
      <w:r w:rsidRPr="001F5BC5">
        <w:rPr>
          <w:spacing w:val="-2"/>
        </w:rPr>
        <w:t xml:space="preserve">The GST was </w:t>
      </w:r>
      <w:r w:rsidR="43E4CE9F" w:rsidRPr="001F5BC5">
        <w:rPr>
          <w:spacing w:val="-2"/>
        </w:rPr>
        <w:t>i</w:t>
      </w:r>
      <w:r w:rsidRPr="001F5BC5">
        <w:rPr>
          <w:spacing w:val="-2"/>
        </w:rPr>
        <w:t xml:space="preserve">mplemented in 2000 as part of the Howard Government’s </w:t>
      </w:r>
      <w:r w:rsidRPr="001F5BC5">
        <w:rPr>
          <w:i/>
          <w:iCs/>
          <w:spacing w:val="-2"/>
        </w:rPr>
        <w:t xml:space="preserve">A New Tax System </w:t>
      </w:r>
      <w:r w:rsidRPr="001F5BC5">
        <w:rPr>
          <w:spacing w:val="-2"/>
        </w:rPr>
        <w:t xml:space="preserve">legislative package. The introduction of the GST occurred in the context of broader reform to Australia’s tax system. In 1998, the Howard Government released </w:t>
      </w:r>
      <w:r w:rsidRPr="001F5BC5">
        <w:rPr>
          <w:i/>
          <w:iCs/>
          <w:spacing w:val="-2"/>
        </w:rPr>
        <w:t>Tax Reform: not a new tax, a new tax system</w:t>
      </w:r>
      <w:r w:rsidR="00F75BAB" w:rsidRPr="001F5BC5">
        <w:rPr>
          <w:spacing w:val="-2"/>
        </w:rPr>
        <w:t>,</w:t>
      </w:r>
      <w:r w:rsidRPr="001F5BC5">
        <w:rPr>
          <w:spacing w:val="-2"/>
        </w:rPr>
        <w:t xml:space="preserve"> which outlined a plan for tax reform, including reductions in personal income tax rates and the introduction of the GST to replace the wholesale sales tax </w:t>
      </w:r>
      <w:r w:rsidR="0029245B" w:rsidRPr="001F5BC5">
        <w:rPr>
          <w:rFonts w:cs="Open Sans"/>
          <w:spacing w:val="-2"/>
          <w:szCs w:val="24"/>
        </w:rPr>
        <w:t>(Costello 1998, pp. 15, 77)</w:t>
      </w:r>
      <w:r w:rsidR="006F5A16" w:rsidRPr="001F5BC5">
        <w:rPr>
          <w:spacing w:val="-2"/>
        </w:rPr>
        <w:t>.</w:t>
      </w:r>
      <w:r w:rsidRPr="001F5BC5">
        <w:rPr>
          <w:spacing w:val="-2"/>
        </w:rPr>
        <w:t xml:space="preserve"> The wholesale sales tax was considered an inefficient indirect tax with a narrow base and multiple, complex classification rates</w:t>
      </w:r>
      <w:r w:rsidR="00B620D1" w:rsidRPr="001F5BC5">
        <w:rPr>
          <w:spacing w:val="-2"/>
        </w:rPr>
        <w:t>,</w:t>
      </w:r>
      <w:r w:rsidRPr="001F5BC5">
        <w:rPr>
          <w:spacing w:val="-2"/>
        </w:rPr>
        <w:t xml:space="preserve"> while the GST </w:t>
      </w:r>
      <w:r w:rsidR="00691443" w:rsidRPr="001F5BC5">
        <w:rPr>
          <w:spacing w:val="-2"/>
        </w:rPr>
        <w:t xml:space="preserve">was designed to be </w:t>
      </w:r>
      <w:r w:rsidRPr="001F5BC5">
        <w:rPr>
          <w:spacing w:val="-2"/>
        </w:rPr>
        <w:t xml:space="preserve">a more efficient indirect tax with a broader base </w:t>
      </w:r>
      <w:r w:rsidR="0064734D" w:rsidRPr="001F5BC5">
        <w:rPr>
          <w:spacing w:val="-2"/>
        </w:rPr>
        <w:t>(Costello 1998, p. 71)</w:t>
      </w:r>
      <w:r w:rsidR="00BB416A" w:rsidRPr="001F5BC5">
        <w:rPr>
          <w:spacing w:val="-2"/>
        </w:rPr>
        <w:t>.</w:t>
      </w:r>
      <w:r w:rsidRPr="001F5BC5">
        <w:rPr>
          <w:spacing w:val="-2"/>
        </w:rPr>
        <w:t xml:space="preserve"> </w:t>
      </w:r>
    </w:p>
    <w:p w14:paraId="7D507F72" w14:textId="6587682C" w:rsidR="004300EE" w:rsidRPr="001F5BC5" w:rsidRDefault="00BD4532" w:rsidP="004300EE">
      <w:pPr>
        <w:pStyle w:val="BodyText"/>
        <w:rPr>
          <w:spacing w:val="-2"/>
        </w:rPr>
      </w:pPr>
      <w:r w:rsidRPr="001F5BC5">
        <w:rPr>
          <w:spacing w:val="-2"/>
        </w:rPr>
        <w:t xml:space="preserve">It was </w:t>
      </w:r>
      <w:r w:rsidR="00D055F5" w:rsidRPr="001F5BC5">
        <w:rPr>
          <w:spacing w:val="-2"/>
        </w:rPr>
        <w:t>legislated</w:t>
      </w:r>
      <w:r w:rsidR="00F817FB" w:rsidRPr="001F5BC5">
        <w:rPr>
          <w:spacing w:val="-2"/>
        </w:rPr>
        <w:t xml:space="preserve"> </w:t>
      </w:r>
      <w:r w:rsidRPr="001F5BC5">
        <w:rPr>
          <w:spacing w:val="-2"/>
        </w:rPr>
        <w:t>that r</w:t>
      </w:r>
      <w:r w:rsidR="004B73C7" w:rsidRPr="001F5BC5">
        <w:rPr>
          <w:spacing w:val="-2"/>
        </w:rPr>
        <w:t>evenue from the GST</w:t>
      </w:r>
      <w:r w:rsidRPr="001F5BC5">
        <w:rPr>
          <w:spacing w:val="-2"/>
        </w:rPr>
        <w:t xml:space="preserve"> would</w:t>
      </w:r>
      <w:r w:rsidR="004B73C7" w:rsidRPr="001F5BC5">
        <w:rPr>
          <w:spacing w:val="-2"/>
        </w:rPr>
        <w:t xml:space="preserve"> be shared with the states based on the principle of HFE</w:t>
      </w:r>
      <w:r w:rsidR="000046E3" w:rsidRPr="001F5BC5">
        <w:rPr>
          <w:spacing w:val="-2"/>
        </w:rPr>
        <w:t>,</w:t>
      </w:r>
      <w:r w:rsidR="004B73C7" w:rsidRPr="001F5BC5">
        <w:rPr>
          <w:spacing w:val="-2"/>
        </w:rPr>
        <w:t xml:space="preserve"> on the condition that states abolished several other inefficient taxes, including financial institutions duty, bed taxes, and </w:t>
      </w:r>
      <w:r w:rsidR="006E25AA" w:rsidRPr="001F5BC5">
        <w:rPr>
          <w:spacing w:val="-2"/>
        </w:rPr>
        <w:t xml:space="preserve">bank account </w:t>
      </w:r>
      <w:r w:rsidR="004B73C7" w:rsidRPr="001F5BC5">
        <w:rPr>
          <w:spacing w:val="-2"/>
        </w:rPr>
        <w:t xml:space="preserve">debits tax </w:t>
      </w:r>
      <w:r w:rsidR="00F738F0" w:rsidRPr="001F5BC5">
        <w:rPr>
          <w:rFonts w:cs="Open Sans"/>
          <w:spacing w:val="-2"/>
          <w:szCs w:val="24"/>
        </w:rPr>
        <w:t>(Commonwealth of Australia 1999, p. 3; Costello 1998, pp. 83–84)</w:t>
      </w:r>
      <w:r w:rsidR="00053667" w:rsidRPr="001F5BC5">
        <w:rPr>
          <w:spacing w:val="-2"/>
        </w:rPr>
        <w:t>.</w:t>
      </w:r>
      <w:r w:rsidR="004300EE" w:rsidRPr="001F5BC5">
        <w:rPr>
          <w:spacing w:val="-2"/>
        </w:rPr>
        <w:t xml:space="preserve"> This was intended to ‘</w:t>
      </w:r>
      <w:r w:rsidR="004300EE" w:rsidRPr="001F5BC5">
        <w:rPr>
          <w:i/>
          <w:iCs/>
          <w:spacing w:val="-2"/>
        </w:rPr>
        <w:t xml:space="preserve">remove the reliance of the </w:t>
      </w:r>
      <w:r w:rsidR="008C04EE" w:rsidRPr="001F5BC5">
        <w:rPr>
          <w:i/>
          <w:iCs/>
          <w:spacing w:val="-2"/>
        </w:rPr>
        <w:t>S</w:t>
      </w:r>
      <w:r w:rsidR="004300EE" w:rsidRPr="001F5BC5">
        <w:rPr>
          <w:i/>
          <w:iCs/>
          <w:spacing w:val="-2"/>
        </w:rPr>
        <w:t xml:space="preserve">tates on Commonwealth </w:t>
      </w:r>
      <w:r w:rsidR="007F3404" w:rsidRPr="001F5BC5">
        <w:rPr>
          <w:i/>
          <w:iCs/>
          <w:spacing w:val="-2"/>
        </w:rPr>
        <w:t>payments</w:t>
      </w:r>
      <w:r w:rsidR="004300EE" w:rsidRPr="001F5BC5" w:rsidDel="007F3404">
        <w:rPr>
          <w:i/>
          <w:iCs/>
          <w:spacing w:val="-2"/>
        </w:rPr>
        <w:t xml:space="preserve"> </w:t>
      </w:r>
      <w:r w:rsidR="004300EE" w:rsidRPr="001F5BC5">
        <w:rPr>
          <w:i/>
          <w:iCs/>
          <w:spacing w:val="-2"/>
        </w:rPr>
        <w:t>and distorting taxes</w:t>
      </w:r>
      <w:r w:rsidR="004300EE" w:rsidRPr="001F5BC5">
        <w:rPr>
          <w:spacing w:val="-2"/>
        </w:rPr>
        <w:t>’ and provide states with a more r</w:t>
      </w:r>
      <w:r w:rsidR="00481258" w:rsidRPr="001F5BC5">
        <w:rPr>
          <w:spacing w:val="-2"/>
        </w:rPr>
        <w:t>eliable</w:t>
      </w:r>
      <w:r w:rsidR="004300EE" w:rsidRPr="001F5BC5">
        <w:rPr>
          <w:spacing w:val="-2"/>
        </w:rPr>
        <w:t xml:space="preserve"> source of revenue </w:t>
      </w:r>
      <w:r w:rsidR="00A411FE" w:rsidRPr="001F5BC5">
        <w:rPr>
          <w:rFonts w:cs="Open Sans"/>
          <w:spacing w:val="-2"/>
          <w:szCs w:val="24"/>
        </w:rPr>
        <w:t>(Costello 1998, p. 77)</w:t>
      </w:r>
      <w:r w:rsidR="0071690B" w:rsidRPr="001F5BC5">
        <w:rPr>
          <w:spacing w:val="-2"/>
        </w:rPr>
        <w:t>.</w:t>
      </w:r>
      <w:r w:rsidR="004300EE" w:rsidRPr="001F5BC5">
        <w:rPr>
          <w:spacing w:val="-2"/>
        </w:rPr>
        <w:t xml:space="preserve"> </w:t>
      </w:r>
    </w:p>
    <w:p w14:paraId="14364116" w14:textId="61A51F3F" w:rsidR="004300EE" w:rsidRDefault="43E4CE9F" w:rsidP="004300EE">
      <w:pPr>
        <w:pStyle w:val="BodyText"/>
      </w:pPr>
      <w:r>
        <w:lastRenderedPageBreak/>
        <w:t xml:space="preserve">The High Court’s ruling in </w:t>
      </w:r>
      <w:r w:rsidRPr="1CB6DC8D">
        <w:rPr>
          <w:i/>
          <w:iCs/>
        </w:rPr>
        <w:t xml:space="preserve">Ha v New South Wales </w:t>
      </w:r>
      <w:r w:rsidR="7F29A358">
        <w:t>in 1997</w:t>
      </w:r>
      <w:r w:rsidRPr="1CB6DC8D">
        <w:rPr>
          <w:i/>
          <w:iCs/>
        </w:rPr>
        <w:t xml:space="preserve"> </w:t>
      </w:r>
      <w:r>
        <w:t>was also an important factor in the introduction of the GST</w:t>
      </w:r>
      <w:r w:rsidR="0050233B">
        <w:t>,</w:t>
      </w:r>
      <w:r>
        <w:t xml:space="preserve"> as it provided a ‘</w:t>
      </w:r>
      <w:r w:rsidRPr="00A13BDF">
        <w:rPr>
          <w:i/>
          <w:iCs/>
        </w:rPr>
        <w:t>political window for reform’</w:t>
      </w:r>
      <w:r>
        <w:t xml:space="preserve"> </w:t>
      </w:r>
      <w:r w:rsidR="00847B78" w:rsidRPr="00847B78">
        <w:rPr>
          <w:rFonts w:cs="Open Sans"/>
          <w:szCs w:val="24"/>
        </w:rPr>
        <w:t>(Tilley 2021, p. 5; Twomey 2014, p. 17)</w:t>
      </w:r>
      <w:r w:rsidR="00F66994">
        <w:t>.</w:t>
      </w:r>
      <w:r>
        <w:t xml:space="preserve"> </w:t>
      </w:r>
      <w:r w:rsidR="7D8ADA90">
        <w:t>T</w:t>
      </w:r>
      <w:r>
        <w:t xml:space="preserve">he </w:t>
      </w:r>
      <w:r w:rsidR="00467497">
        <w:t xml:space="preserve">ruling </w:t>
      </w:r>
      <w:r>
        <w:t>undermined</w:t>
      </w:r>
      <w:r w:rsidR="00F04B1B">
        <w:t xml:space="preserve"> existing</w:t>
      </w:r>
      <w:r>
        <w:t xml:space="preserve"> state tax bases and exacerbated the states’ dependence on Commonwealth </w:t>
      </w:r>
      <w:r w:rsidR="00847BF4">
        <w:t>payments</w:t>
      </w:r>
      <w:r w:rsidR="003E26E6">
        <w:t xml:space="preserve"> </w:t>
      </w:r>
      <w:r w:rsidR="008B7AE4" w:rsidRPr="008B7AE4">
        <w:rPr>
          <w:rFonts w:cs="Open Sans"/>
          <w:szCs w:val="24"/>
        </w:rPr>
        <w:t>(Fenwick and Stewart 2025, p. 95; Twomey 2014, pp. 18–19)</w:t>
      </w:r>
      <w:r w:rsidR="00070316">
        <w:t>.</w:t>
      </w:r>
      <w:r>
        <w:t xml:space="preserve"> The GST was framed as a solution to this problem </w:t>
      </w:r>
      <w:r w:rsidR="00493BFF">
        <w:t>because,</w:t>
      </w:r>
      <w:r>
        <w:t xml:space="preserve"> although it was to be collected and administered by the </w:t>
      </w:r>
      <w:r w:rsidR="00A36735">
        <w:t>Australian Government</w:t>
      </w:r>
      <w:r w:rsidR="00EC2B30">
        <w:t>,</w:t>
      </w:r>
      <w:r w:rsidR="13A04561">
        <w:t xml:space="preserve"> </w:t>
      </w:r>
      <w:r>
        <w:t xml:space="preserve">it would be </w:t>
      </w:r>
      <w:r w:rsidR="74F26CA8">
        <w:t xml:space="preserve">provided to </w:t>
      </w:r>
      <w:r>
        <w:t>the states as untied revenue.</w:t>
      </w:r>
    </w:p>
    <w:p w14:paraId="006BA876" w14:textId="3C8B7FD5" w:rsidR="004300EE" w:rsidRDefault="003D538C" w:rsidP="004300EE">
      <w:pPr>
        <w:pStyle w:val="Heading4"/>
      </w:pPr>
      <w:r>
        <w:t>The</w:t>
      </w:r>
      <w:r w:rsidR="004300EE">
        <w:t xml:space="preserve"> GST </w:t>
      </w:r>
      <w:r w:rsidR="008E6C3D">
        <w:t xml:space="preserve">became part of </w:t>
      </w:r>
      <w:r>
        <w:t>Australia’s</w:t>
      </w:r>
      <w:r w:rsidR="004300EE">
        <w:t xml:space="preserve"> HFE system</w:t>
      </w:r>
    </w:p>
    <w:p w14:paraId="425152C7" w14:textId="38C36AF1" w:rsidR="002C227F" w:rsidRPr="004207D0" w:rsidRDefault="004300EE" w:rsidP="004300EE">
      <w:pPr>
        <w:pStyle w:val="BodyText"/>
        <w:rPr>
          <w:spacing w:val="-2"/>
        </w:rPr>
      </w:pPr>
      <w:r w:rsidRPr="004207D0">
        <w:rPr>
          <w:spacing w:val="-2"/>
        </w:rPr>
        <w:t xml:space="preserve">From the 1970s, the </w:t>
      </w:r>
      <w:r w:rsidR="002E6293" w:rsidRPr="004207D0">
        <w:rPr>
          <w:spacing w:val="-2"/>
        </w:rPr>
        <w:t>Australian Government</w:t>
      </w:r>
      <w:r w:rsidRPr="004207D0">
        <w:rPr>
          <w:spacing w:val="-2"/>
        </w:rPr>
        <w:t xml:space="preserve"> had provided a dedicated pool of funds to be shared between the states in line with the principle of HFE. This shifted the HFE system to a </w:t>
      </w:r>
      <w:r w:rsidR="00936412" w:rsidRPr="004207D0">
        <w:rPr>
          <w:spacing w:val="-2"/>
        </w:rPr>
        <w:t>constant</w:t>
      </w:r>
      <w:r w:rsidR="00E033DC" w:rsidRPr="004207D0">
        <w:rPr>
          <w:spacing w:val="-2"/>
        </w:rPr>
        <w:noBreakHyphen/>
      </w:r>
      <w:r w:rsidRPr="004207D0">
        <w:rPr>
          <w:spacing w:val="-2"/>
        </w:rPr>
        <w:t>sum game, where</w:t>
      </w:r>
      <w:r w:rsidR="00583223" w:rsidRPr="004207D0">
        <w:rPr>
          <w:spacing w:val="-2"/>
        </w:rPr>
        <w:t>by</w:t>
      </w:r>
      <w:r w:rsidRPr="004207D0">
        <w:rPr>
          <w:spacing w:val="-2"/>
        </w:rPr>
        <w:t xml:space="preserve"> an amount given to one state meant the same amount was foregone </w:t>
      </w:r>
      <w:r w:rsidR="00583223" w:rsidRPr="004207D0">
        <w:rPr>
          <w:spacing w:val="-2"/>
        </w:rPr>
        <w:t>by</w:t>
      </w:r>
      <w:r w:rsidRPr="004207D0">
        <w:rPr>
          <w:spacing w:val="-2"/>
        </w:rPr>
        <w:t xml:space="preserve"> the other states</w:t>
      </w:r>
      <w:r w:rsidR="00556ABA" w:rsidRPr="004207D0">
        <w:rPr>
          <w:spacing w:val="-2"/>
        </w:rPr>
        <w:t xml:space="preserve"> (box 2)</w:t>
      </w:r>
      <w:r w:rsidRPr="004207D0">
        <w:rPr>
          <w:spacing w:val="-2"/>
        </w:rPr>
        <w:t>. The size of the dedicated pool of funds was de</w:t>
      </w:r>
      <w:r w:rsidR="00842E47" w:rsidRPr="004207D0">
        <w:rPr>
          <w:spacing w:val="-2"/>
        </w:rPr>
        <w:t>termined</w:t>
      </w:r>
      <w:r w:rsidRPr="004207D0">
        <w:rPr>
          <w:spacing w:val="-2"/>
        </w:rPr>
        <w:t xml:space="preserve"> by </w:t>
      </w:r>
      <w:r w:rsidR="006A09C1" w:rsidRPr="004207D0">
        <w:rPr>
          <w:spacing w:val="-2"/>
        </w:rPr>
        <w:t>tax-sharing arrangements</w:t>
      </w:r>
      <w:r w:rsidR="00CD374E" w:rsidRPr="004207D0">
        <w:rPr>
          <w:spacing w:val="-2"/>
        </w:rPr>
        <w:t>,</w:t>
      </w:r>
      <w:r w:rsidRPr="004207D0">
        <w:rPr>
          <w:spacing w:val="-2"/>
        </w:rPr>
        <w:t xml:space="preserve"> which </w:t>
      </w:r>
      <w:r w:rsidR="00613CBC" w:rsidRPr="004207D0">
        <w:rPr>
          <w:spacing w:val="-2"/>
        </w:rPr>
        <w:t xml:space="preserve">were </w:t>
      </w:r>
      <w:r w:rsidRPr="004207D0">
        <w:rPr>
          <w:spacing w:val="-2"/>
        </w:rPr>
        <w:t xml:space="preserve">subject to negotiations </w:t>
      </w:r>
      <w:r w:rsidR="006A7F8E" w:rsidRPr="004207D0">
        <w:rPr>
          <w:spacing w:val="-2"/>
        </w:rPr>
        <w:t>between the Australian Government and</w:t>
      </w:r>
      <w:r w:rsidRPr="004207D0">
        <w:rPr>
          <w:spacing w:val="-2"/>
        </w:rPr>
        <w:t xml:space="preserve"> the states </w:t>
      </w:r>
      <w:r w:rsidR="0051230B" w:rsidRPr="004207D0">
        <w:rPr>
          <w:spacing w:val="-2"/>
        </w:rPr>
        <w:t>(Williams 2012, p. 147)</w:t>
      </w:r>
      <w:r w:rsidR="00BA71E6" w:rsidRPr="004207D0">
        <w:rPr>
          <w:spacing w:val="-2"/>
        </w:rPr>
        <w:t>.</w:t>
      </w:r>
      <w:r w:rsidRPr="004207D0">
        <w:rPr>
          <w:spacing w:val="-2"/>
        </w:rPr>
        <w:t xml:space="preserve"> </w:t>
      </w:r>
    </w:p>
    <w:p w14:paraId="1FA4E236" w14:textId="1A36009E" w:rsidR="00BA7F67" w:rsidRDefault="002C227F" w:rsidP="004300EE">
      <w:pPr>
        <w:pStyle w:val="BodyText"/>
      </w:pPr>
      <w:r>
        <w:t xml:space="preserve">The introduction of the GST </w:t>
      </w:r>
      <w:r w:rsidR="00936412">
        <w:t xml:space="preserve">created a nexus, </w:t>
      </w:r>
      <w:r>
        <w:t>link</w:t>
      </w:r>
      <w:r w:rsidR="00936412">
        <w:t>ing</w:t>
      </w:r>
      <w:r>
        <w:t xml:space="preserve"> the HFE system to a sing</w:t>
      </w:r>
      <w:r w:rsidR="004F547B">
        <w:t>le</w:t>
      </w:r>
      <w:r>
        <w:t xml:space="preserve"> revenue source</w:t>
      </w:r>
      <w:r w:rsidDel="00DA3EE4">
        <w:t>.</w:t>
      </w:r>
      <w:r w:rsidR="007D40BF">
        <w:t xml:space="preserve"> </w:t>
      </w:r>
      <w:r w:rsidR="00AF3C41">
        <w:t>T</w:t>
      </w:r>
      <w:r w:rsidR="00380CD9">
        <w:t xml:space="preserve">he HFE system </w:t>
      </w:r>
      <w:r w:rsidR="00F776E2">
        <w:t xml:space="preserve">remained </w:t>
      </w:r>
      <w:r w:rsidR="00380CD9">
        <w:t xml:space="preserve">a </w:t>
      </w:r>
      <w:r w:rsidR="000E4276">
        <w:t>constant</w:t>
      </w:r>
      <w:r w:rsidR="00E033DC">
        <w:noBreakHyphen/>
      </w:r>
      <w:r w:rsidR="00380CD9">
        <w:t>sum game</w:t>
      </w:r>
      <w:r w:rsidR="00F776E2">
        <w:t>, as it had been</w:t>
      </w:r>
      <w:r w:rsidR="00380CD9">
        <w:t xml:space="preserve"> since the 1970s</w:t>
      </w:r>
      <w:r w:rsidR="009A2F8F">
        <w:t>.</w:t>
      </w:r>
      <w:r w:rsidR="00380CD9">
        <w:t xml:space="preserve"> </w:t>
      </w:r>
      <w:r w:rsidR="009A2F8F">
        <w:t>H</w:t>
      </w:r>
      <w:r w:rsidR="00152280">
        <w:t>owever</w:t>
      </w:r>
      <w:r w:rsidR="0020236C">
        <w:t>,</w:t>
      </w:r>
      <w:r w:rsidR="00152280">
        <w:t xml:space="preserve"> </w:t>
      </w:r>
      <w:r w:rsidR="004458CE">
        <w:t>tying</w:t>
      </w:r>
      <w:r w:rsidR="000F239E" w:rsidDel="004458CE">
        <w:t xml:space="preserve"> </w:t>
      </w:r>
      <w:r w:rsidR="00B161D4">
        <w:t xml:space="preserve">the pool to GST receipts </w:t>
      </w:r>
      <w:r w:rsidR="00BA1CF4">
        <w:t xml:space="preserve">shifted </w:t>
      </w:r>
      <w:r w:rsidR="00B161D4">
        <w:t xml:space="preserve">the emphasis </w:t>
      </w:r>
      <w:r w:rsidR="00BA1CF4">
        <w:t>to how the pool was to be allocated between states</w:t>
      </w:r>
      <w:r w:rsidR="00943512">
        <w:t xml:space="preserve">, rather than </w:t>
      </w:r>
      <w:r w:rsidR="00EA1496">
        <w:t xml:space="preserve">a </w:t>
      </w:r>
      <w:r w:rsidR="000B35D4">
        <w:t>negotiati</w:t>
      </w:r>
      <w:r w:rsidR="00EA1496">
        <w:t>o</w:t>
      </w:r>
      <w:r w:rsidR="000B35D4">
        <w:t xml:space="preserve">n </w:t>
      </w:r>
      <w:r w:rsidR="00EA1496">
        <w:t xml:space="preserve">about </w:t>
      </w:r>
      <w:r w:rsidR="00BA1CF4">
        <w:t>the size of the pool</w:t>
      </w:r>
      <w:r w:rsidR="00CB30BE">
        <w:t xml:space="preserve"> </w:t>
      </w:r>
      <w:r w:rsidR="00CB30BE" w:rsidRPr="00CB30BE">
        <w:rPr>
          <w:rFonts w:cs="Open Sans"/>
          <w:szCs w:val="24"/>
        </w:rPr>
        <w:t>(PC 2018, p. 78)</w:t>
      </w:r>
      <w:r w:rsidR="00BA1CF4">
        <w:t>.</w:t>
      </w:r>
      <w:r w:rsidR="00C85EA9">
        <w:t xml:space="preserve"> </w:t>
      </w:r>
    </w:p>
    <w:p w14:paraId="7F5C7199" w14:textId="5A6EBF2D" w:rsidR="00DC7ED5" w:rsidRPr="00A32133" w:rsidRDefault="00B126A3" w:rsidP="004300EE">
      <w:pPr>
        <w:pStyle w:val="BodyText"/>
        <w:rPr>
          <w:spacing w:val="-4"/>
        </w:rPr>
      </w:pPr>
      <w:r w:rsidRPr="00A32133">
        <w:rPr>
          <w:spacing w:val="-4"/>
        </w:rPr>
        <w:t xml:space="preserve">Although the GST is collected and administered by the </w:t>
      </w:r>
      <w:r w:rsidR="002E6293" w:rsidRPr="00A32133">
        <w:rPr>
          <w:spacing w:val="-4"/>
        </w:rPr>
        <w:t>Australian Government</w:t>
      </w:r>
      <w:r w:rsidRPr="00A32133">
        <w:rPr>
          <w:spacing w:val="-4"/>
        </w:rPr>
        <w:t xml:space="preserve">, it is </w:t>
      </w:r>
      <w:r w:rsidR="00234CE0" w:rsidRPr="00A32133">
        <w:rPr>
          <w:spacing w:val="-4"/>
        </w:rPr>
        <w:t xml:space="preserve">often </w:t>
      </w:r>
      <w:r w:rsidRPr="00A32133">
        <w:rPr>
          <w:spacing w:val="-4"/>
        </w:rPr>
        <w:t xml:space="preserve">perceived as being a state tax. </w:t>
      </w:r>
      <w:r w:rsidR="00D11EE9" w:rsidRPr="00A32133">
        <w:rPr>
          <w:spacing w:val="-4"/>
        </w:rPr>
        <w:t xml:space="preserve">This is partly due to the framing of the </w:t>
      </w:r>
      <w:r w:rsidR="00CB55DE" w:rsidRPr="00A32133">
        <w:rPr>
          <w:spacing w:val="-4"/>
        </w:rPr>
        <w:t>GST</w:t>
      </w:r>
      <w:r w:rsidR="00D11EE9" w:rsidRPr="00A32133">
        <w:rPr>
          <w:spacing w:val="-4"/>
        </w:rPr>
        <w:t xml:space="preserve"> when it was introduced</w:t>
      </w:r>
      <w:r w:rsidR="001416A8" w:rsidRPr="00A32133">
        <w:rPr>
          <w:spacing w:val="-4"/>
        </w:rPr>
        <w:t xml:space="preserve"> </w:t>
      </w:r>
      <w:r w:rsidR="0079367F" w:rsidRPr="00A32133">
        <w:rPr>
          <w:rFonts w:cs="Open Sans"/>
          <w:spacing w:val="-4"/>
          <w:szCs w:val="24"/>
        </w:rPr>
        <w:t>(Twomey 2014, pp. 17–18)</w:t>
      </w:r>
      <w:r w:rsidR="00BA71E6" w:rsidRPr="00A32133">
        <w:rPr>
          <w:spacing w:val="-4"/>
        </w:rPr>
        <w:t>.</w:t>
      </w:r>
      <w:r w:rsidR="00D11EE9" w:rsidRPr="00A32133">
        <w:rPr>
          <w:spacing w:val="-4"/>
        </w:rPr>
        <w:t xml:space="preserve"> It was reported as a state</w:t>
      </w:r>
      <w:r w:rsidR="002A6C62" w:rsidRPr="00A32133">
        <w:rPr>
          <w:spacing w:val="-4"/>
        </w:rPr>
        <w:t xml:space="preserve"> </w:t>
      </w:r>
      <w:r w:rsidR="00D11EE9" w:rsidRPr="00A32133">
        <w:rPr>
          <w:spacing w:val="-4"/>
        </w:rPr>
        <w:t>tax rather than a</w:t>
      </w:r>
      <w:r w:rsidR="00C33014" w:rsidRPr="00A32133">
        <w:rPr>
          <w:spacing w:val="-4"/>
        </w:rPr>
        <w:t>n</w:t>
      </w:r>
      <w:r w:rsidR="00D11EE9" w:rsidRPr="00A32133">
        <w:rPr>
          <w:spacing w:val="-4"/>
        </w:rPr>
        <w:t xml:space="preserve"> </w:t>
      </w:r>
      <w:r w:rsidR="002E6293" w:rsidRPr="00A32133">
        <w:rPr>
          <w:spacing w:val="-4"/>
        </w:rPr>
        <w:t>Australian Government</w:t>
      </w:r>
      <w:r w:rsidR="00D11EE9" w:rsidRPr="00A32133">
        <w:rPr>
          <w:spacing w:val="-4"/>
        </w:rPr>
        <w:t xml:space="preserve"> tax until the 2007</w:t>
      </w:r>
      <w:r w:rsidR="000F38B6" w:rsidRPr="00A32133">
        <w:rPr>
          <w:spacing w:val="-4"/>
        </w:rPr>
        <w:t>–</w:t>
      </w:r>
      <w:r w:rsidR="00D11EE9" w:rsidRPr="00A32133">
        <w:rPr>
          <w:spacing w:val="-4"/>
        </w:rPr>
        <w:t>08</w:t>
      </w:r>
      <w:r w:rsidR="00D11EE9" w:rsidRPr="00A32133" w:rsidDel="007F3404">
        <w:rPr>
          <w:spacing w:val="-4"/>
        </w:rPr>
        <w:t xml:space="preserve"> </w:t>
      </w:r>
      <w:r w:rsidR="00D11EE9" w:rsidRPr="00A32133">
        <w:rPr>
          <w:spacing w:val="-4"/>
        </w:rPr>
        <w:t>Budget</w:t>
      </w:r>
      <w:r w:rsidR="006520DD" w:rsidRPr="00A32133">
        <w:rPr>
          <w:spacing w:val="-4"/>
        </w:rPr>
        <w:t xml:space="preserve"> </w:t>
      </w:r>
      <w:r w:rsidR="00207E00" w:rsidRPr="00A32133">
        <w:rPr>
          <w:rFonts w:cs="Open Sans"/>
          <w:spacing w:val="-4"/>
          <w:szCs w:val="24"/>
        </w:rPr>
        <w:t>(Commonwealth of Australia 2008, p. 5-26)</w:t>
      </w:r>
      <w:r w:rsidR="00570221" w:rsidRPr="00A32133">
        <w:rPr>
          <w:spacing w:val="-4"/>
        </w:rPr>
        <w:t>.</w:t>
      </w:r>
      <w:r w:rsidR="000C1D03" w:rsidRPr="00A32133">
        <w:rPr>
          <w:spacing w:val="-4"/>
        </w:rPr>
        <w:t xml:space="preserve"> </w:t>
      </w:r>
      <w:r w:rsidR="00621040" w:rsidRPr="00A32133">
        <w:rPr>
          <w:spacing w:val="-4"/>
        </w:rPr>
        <w:t xml:space="preserve">Although </w:t>
      </w:r>
      <w:r w:rsidR="000C1D03" w:rsidRPr="00A32133">
        <w:rPr>
          <w:spacing w:val="-4"/>
        </w:rPr>
        <w:t xml:space="preserve">GST payments to states </w:t>
      </w:r>
      <w:r w:rsidR="00621040" w:rsidRPr="00A32133">
        <w:rPr>
          <w:spacing w:val="-4"/>
        </w:rPr>
        <w:t xml:space="preserve">are a </w:t>
      </w:r>
      <w:r w:rsidR="001B6E32" w:rsidRPr="00A32133">
        <w:rPr>
          <w:spacing w:val="-4"/>
        </w:rPr>
        <w:t>grant</w:t>
      </w:r>
      <w:r w:rsidR="00141A2C" w:rsidRPr="00A32133">
        <w:rPr>
          <w:spacing w:val="-4"/>
        </w:rPr>
        <w:t xml:space="preserve"> </w:t>
      </w:r>
      <w:r w:rsidR="000C1D03" w:rsidRPr="00A32133">
        <w:rPr>
          <w:spacing w:val="-4"/>
        </w:rPr>
        <w:t xml:space="preserve">themselves, </w:t>
      </w:r>
      <w:r w:rsidR="00621040" w:rsidRPr="00A32133">
        <w:rPr>
          <w:spacing w:val="-4"/>
        </w:rPr>
        <w:t xml:space="preserve">the GST </w:t>
      </w:r>
      <w:r w:rsidR="00861649" w:rsidRPr="00A32133">
        <w:rPr>
          <w:spacing w:val="-4"/>
        </w:rPr>
        <w:t xml:space="preserve">was </w:t>
      </w:r>
      <w:r w:rsidR="000C1D03" w:rsidRPr="00A32133">
        <w:rPr>
          <w:spacing w:val="-4"/>
        </w:rPr>
        <w:t xml:space="preserve">also </w:t>
      </w:r>
      <w:r w:rsidR="00861649" w:rsidRPr="00A32133">
        <w:rPr>
          <w:spacing w:val="-4"/>
        </w:rPr>
        <w:t xml:space="preserve">marketed as </w:t>
      </w:r>
      <w:r w:rsidR="000B5186" w:rsidRPr="00A32133">
        <w:rPr>
          <w:spacing w:val="-4"/>
        </w:rPr>
        <w:t xml:space="preserve">reducing the states’ reliance on Commonwealth </w:t>
      </w:r>
      <w:r w:rsidR="001B6E32" w:rsidRPr="00A32133">
        <w:rPr>
          <w:spacing w:val="-4"/>
        </w:rPr>
        <w:t>grants</w:t>
      </w:r>
      <w:r w:rsidR="00141A2C" w:rsidRPr="00A32133">
        <w:rPr>
          <w:spacing w:val="-4"/>
        </w:rPr>
        <w:t xml:space="preserve"> </w:t>
      </w:r>
      <w:r w:rsidR="00570221" w:rsidRPr="00A32133">
        <w:rPr>
          <w:spacing w:val="-4"/>
        </w:rPr>
        <w:t>(Costello 1998, p. 77).</w:t>
      </w:r>
      <w:r w:rsidR="000C76A4" w:rsidRPr="00A32133">
        <w:rPr>
          <w:spacing w:val="-4"/>
        </w:rPr>
        <w:t xml:space="preserve"> </w:t>
      </w:r>
    </w:p>
    <w:p w14:paraId="037C1C2D" w14:textId="353B805F" w:rsidR="005970C3" w:rsidRDefault="000C76A4" w:rsidP="004300EE">
      <w:pPr>
        <w:pStyle w:val="BodyText"/>
      </w:pPr>
      <w:r>
        <w:t>Th</w:t>
      </w:r>
      <w:r w:rsidR="00C06815">
        <w:t>e</w:t>
      </w:r>
      <w:r>
        <w:t xml:space="preserve"> framing of the GST as a state tax</w:t>
      </w:r>
      <w:r w:rsidR="00006D8B">
        <w:t xml:space="preserve"> </w:t>
      </w:r>
      <w:r>
        <w:t>has led to</w:t>
      </w:r>
      <w:r w:rsidR="003D71D0">
        <w:t xml:space="preserve"> states feeling </w:t>
      </w:r>
      <w:r w:rsidR="00DC7ED5">
        <w:t>a</w:t>
      </w:r>
      <w:r w:rsidR="00E51B78">
        <w:t xml:space="preserve"> sense</w:t>
      </w:r>
      <w:r w:rsidR="00DC7ED5">
        <w:t xml:space="preserve"> of entitlement </w:t>
      </w:r>
      <w:r w:rsidR="003D71D0">
        <w:t>to the GST collected within their state</w:t>
      </w:r>
      <w:r w:rsidR="008D43A9">
        <w:t>,</w:t>
      </w:r>
      <w:r w:rsidR="00332410">
        <w:t xml:space="preserve"> </w:t>
      </w:r>
      <w:r w:rsidR="005443F6">
        <w:t xml:space="preserve">which has been </w:t>
      </w:r>
      <w:r w:rsidR="00DC7ED5">
        <w:t>amplified by</w:t>
      </w:r>
      <w:r w:rsidR="00332410">
        <w:t xml:space="preserve"> the misconception that relativities represent the number of </w:t>
      </w:r>
      <w:r w:rsidR="005A2820">
        <w:t>‘</w:t>
      </w:r>
      <w:r w:rsidR="00332410">
        <w:t>cents per dollar</w:t>
      </w:r>
      <w:r w:rsidR="005A2820">
        <w:t>’</w:t>
      </w:r>
      <w:r w:rsidR="00332410">
        <w:t xml:space="preserve"> of GST collected </w:t>
      </w:r>
      <w:r w:rsidR="00780D66">
        <w:t>that</w:t>
      </w:r>
      <w:r w:rsidR="00332410">
        <w:t xml:space="preserve"> is returned to a </w:t>
      </w:r>
      <w:r w:rsidR="00541B21">
        <w:t>state.</w:t>
      </w:r>
      <w:r w:rsidR="00EF2397" w:rsidRPr="00F90099">
        <w:rPr>
          <w:rStyle w:val="FootnoteReference"/>
        </w:rPr>
        <w:footnoteReference w:id="8"/>
      </w:r>
      <w:r w:rsidR="00CE2C40">
        <w:t xml:space="preserve"> </w:t>
      </w:r>
      <w:r w:rsidR="00F97EBD">
        <w:t>However, the GST is a</w:t>
      </w:r>
      <w:r w:rsidR="00A36735">
        <w:t xml:space="preserve">n Australian Government </w:t>
      </w:r>
      <w:r w:rsidR="00F97EBD">
        <w:t xml:space="preserve">tax which </w:t>
      </w:r>
      <w:r w:rsidR="002F10DB">
        <w:t>is shared with the states based on the principle of HFE.</w:t>
      </w:r>
    </w:p>
    <w:p w14:paraId="54D707BD" w14:textId="3EF42ABD" w:rsidR="00415D4F" w:rsidRPr="00BC2AFF" w:rsidRDefault="52F4DC66" w:rsidP="00325068">
      <w:pPr>
        <w:pStyle w:val="Heading2"/>
        <w:numPr>
          <w:ilvl w:val="0"/>
          <w:numId w:val="1"/>
        </w:numPr>
        <w:ind w:left="567" w:hanging="567"/>
      </w:pPr>
      <w:r>
        <w:t>I</w:t>
      </w:r>
      <w:r w:rsidR="4C9315E1">
        <w:t>mplement</w:t>
      </w:r>
      <w:r>
        <w:t>ing</w:t>
      </w:r>
      <w:r w:rsidR="4C9315E1">
        <w:t xml:space="preserve"> HFE</w:t>
      </w:r>
      <w:r w:rsidR="4799D9D2">
        <w:t xml:space="preserve"> </w:t>
      </w:r>
      <w:r w:rsidR="42814493">
        <w:t>in practice</w:t>
      </w:r>
    </w:p>
    <w:p w14:paraId="2CE29CDC" w14:textId="6300D8B7" w:rsidR="005908FA" w:rsidRPr="00BC2AFF" w:rsidRDefault="00997E28" w:rsidP="0079770C">
      <w:pPr>
        <w:pStyle w:val="BodyText"/>
      </w:pPr>
      <w:r w:rsidRPr="00BC2AFF">
        <w:t xml:space="preserve">The CGC </w:t>
      </w:r>
      <w:r w:rsidR="00E12F01" w:rsidRPr="00BC2AFF">
        <w:t>provides advice on the distribution of the GST pool based on the objective of achieving HFE</w:t>
      </w:r>
      <w:r w:rsidR="005B328D" w:rsidRPr="00BC2AFF">
        <w:t>. The</w:t>
      </w:r>
      <w:r w:rsidR="002633C1" w:rsidRPr="00BC2AFF">
        <w:t xml:space="preserve"> distribution is governed </w:t>
      </w:r>
      <w:r w:rsidR="00251202" w:rsidRPr="00BC2AFF">
        <w:t>by legislation and the annual terms of reference issue</w:t>
      </w:r>
      <w:r w:rsidR="005B328D" w:rsidRPr="00BC2AFF">
        <w:t>d</w:t>
      </w:r>
      <w:r w:rsidR="00251202" w:rsidRPr="00BC2AFF">
        <w:t xml:space="preserve"> by the Treasurer</w:t>
      </w:r>
      <w:r w:rsidR="005B328D" w:rsidRPr="00BC2AFF">
        <w:t xml:space="preserve"> (CGC,</w:t>
      </w:r>
      <w:r w:rsidR="007043C4" w:rsidRPr="00BC2AFF">
        <w:t xml:space="preserve"> sub. 34,</w:t>
      </w:r>
      <w:r w:rsidR="005B328D" w:rsidRPr="00BC2AFF">
        <w:t xml:space="preserve"> </w:t>
      </w:r>
      <w:r w:rsidR="005B328D">
        <w:t>p</w:t>
      </w:r>
      <w:r w:rsidR="00801A88">
        <w:t>. </w:t>
      </w:r>
      <w:r w:rsidR="00503F27">
        <w:t>2</w:t>
      </w:r>
      <w:r w:rsidR="00503F27" w:rsidRPr="00BC2AFF">
        <w:t>)</w:t>
      </w:r>
      <w:r w:rsidR="00251202" w:rsidRPr="00BC2AFF">
        <w:t xml:space="preserve">. </w:t>
      </w:r>
    </w:p>
    <w:p w14:paraId="23178DF7" w14:textId="1E642877" w:rsidR="00E33C64" w:rsidRDefault="001D53F5" w:rsidP="00877FED">
      <w:pPr>
        <w:pStyle w:val="BodyText"/>
      </w:pPr>
      <w:r>
        <w:t xml:space="preserve">The CGC determines </w:t>
      </w:r>
      <w:r w:rsidR="00B02382">
        <w:t xml:space="preserve">the national average policy – this is the benchmark. If each state operated at the national average policy, the GST pool would be distributed on an equal per capita basis. In other words, each state would receive the same amount </w:t>
      </w:r>
      <w:r w:rsidR="00AC27E5">
        <w:t xml:space="preserve">in </w:t>
      </w:r>
      <w:r w:rsidR="00B02382">
        <w:t xml:space="preserve">GST </w:t>
      </w:r>
      <w:r w:rsidR="00AC27E5">
        <w:t>payments</w:t>
      </w:r>
      <w:r w:rsidR="00B02382">
        <w:t xml:space="preserve"> per </w:t>
      </w:r>
      <w:r w:rsidR="00AC27E5">
        <w:t>capita</w:t>
      </w:r>
      <w:r w:rsidR="00B02382">
        <w:t xml:space="preserve">. </w:t>
      </w:r>
    </w:p>
    <w:p w14:paraId="4964B598" w14:textId="39724158" w:rsidR="00877FED" w:rsidRDefault="00CD4957" w:rsidP="00877FED">
      <w:pPr>
        <w:pStyle w:val="BodyText"/>
      </w:pPr>
      <w:r>
        <w:t>As states do not have the same ability to raise revenue and provide services, t</w:t>
      </w:r>
      <w:r w:rsidR="00EE176E">
        <w:t xml:space="preserve">he </w:t>
      </w:r>
      <w:r w:rsidR="001238EF">
        <w:t>CGC</w:t>
      </w:r>
      <w:r w:rsidR="00EE176E">
        <w:t xml:space="preserve"> then</w:t>
      </w:r>
      <w:r w:rsidR="001238EF">
        <w:t xml:space="preserve"> </w:t>
      </w:r>
      <w:r w:rsidR="003C6227">
        <w:t>assesses</w:t>
      </w:r>
      <w:r w:rsidR="001238EF">
        <w:t xml:space="preserve"> each state’s relative fiscal capacity and determines the level of support each state requires to be able to</w:t>
      </w:r>
      <w:r w:rsidR="00B5022D">
        <w:t xml:space="preserve"> </w:t>
      </w:r>
      <w:r w:rsidR="001238EF">
        <w:t xml:space="preserve">provide </w:t>
      </w:r>
      <w:r w:rsidR="001238EF" w:rsidRPr="00BC2AFF">
        <w:t xml:space="preserve">services and infrastructure of </w:t>
      </w:r>
      <w:r w:rsidR="001238EF">
        <w:t xml:space="preserve">a similar </w:t>
      </w:r>
      <w:r w:rsidR="001238EF" w:rsidRPr="00BC2AFF">
        <w:t>standard</w:t>
      </w:r>
      <w:r w:rsidR="001238EF">
        <w:t xml:space="preserve">. </w:t>
      </w:r>
      <w:r w:rsidR="00065364">
        <w:t xml:space="preserve">Each state’s </w:t>
      </w:r>
      <w:r w:rsidR="001238EF">
        <w:t xml:space="preserve">GST </w:t>
      </w:r>
      <w:r w:rsidR="002760ED">
        <w:t>requirement</w:t>
      </w:r>
      <w:r w:rsidR="001238EF" w:rsidDel="00065364">
        <w:t xml:space="preserve"> </w:t>
      </w:r>
      <w:r w:rsidR="001238EF">
        <w:t xml:space="preserve">reflects the </w:t>
      </w:r>
      <w:r w:rsidR="00366011">
        <w:t xml:space="preserve">equal </w:t>
      </w:r>
      <w:r w:rsidR="001238EF">
        <w:t xml:space="preserve">per capita allocation, plus or minus the level of support they are assessed to need </w:t>
      </w:r>
      <w:r w:rsidR="001238EF" w:rsidRPr="00496AE4">
        <w:t xml:space="preserve">(figure </w:t>
      </w:r>
      <w:r w:rsidR="00EE511E">
        <w:t>5</w:t>
      </w:r>
      <w:r w:rsidR="001238EF" w:rsidRPr="00496AE4">
        <w:t>).</w:t>
      </w:r>
      <w:r w:rsidR="00183E8A">
        <w:t xml:space="preserve"> The more similar </w:t>
      </w:r>
      <w:proofErr w:type="gramStart"/>
      <w:r w:rsidR="00430E25">
        <w:t>state</w:t>
      </w:r>
      <w:r w:rsidR="002D125C">
        <w:t>s’</w:t>
      </w:r>
      <w:proofErr w:type="gramEnd"/>
      <w:r w:rsidR="00430E25">
        <w:t xml:space="preserve"> </w:t>
      </w:r>
      <w:r w:rsidR="003C6227">
        <w:t xml:space="preserve">assessed </w:t>
      </w:r>
      <w:r w:rsidR="0046642A">
        <w:t xml:space="preserve">fiscal </w:t>
      </w:r>
      <w:r w:rsidR="00430E25">
        <w:t>capacities are</w:t>
      </w:r>
      <w:r w:rsidR="006B1A32">
        <w:t>,</w:t>
      </w:r>
      <w:r w:rsidR="00430E25">
        <w:t xml:space="preserve"> </w:t>
      </w:r>
      <w:r w:rsidR="00E52B9D">
        <w:t xml:space="preserve">the </w:t>
      </w:r>
      <w:r w:rsidR="00731FAA">
        <w:t xml:space="preserve">closer the distribution of the GST pool is to an equal per capita </w:t>
      </w:r>
      <w:r w:rsidR="00992B81">
        <w:t>allocation</w:t>
      </w:r>
      <w:r w:rsidR="00731FAA">
        <w:t>.</w:t>
      </w:r>
      <w:r w:rsidR="00437D9F">
        <w:t xml:space="preserve"> </w:t>
      </w:r>
    </w:p>
    <w:p w14:paraId="2BC5803D" w14:textId="3D443040" w:rsidR="002E22FC" w:rsidRPr="00146382" w:rsidRDefault="002E22FC" w:rsidP="002E22FC">
      <w:pPr>
        <w:pStyle w:val="FigureTableHeading"/>
      </w:pPr>
      <w:r>
        <w:lastRenderedPageBreak/>
        <w:t xml:space="preserve">Figure </w:t>
      </w:r>
      <w:fldSimple w:instr=" SEQ Figure \* ARABIC \s 1 ">
        <w:r w:rsidR="00EB6801">
          <w:rPr>
            <w:noProof/>
          </w:rPr>
          <w:t>5</w:t>
        </w:r>
      </w:fldSimple>
      <w:r>
        <w:rPr>
          <w:noProof/>
        </w:rPr>
        <w:t xml:space="preserve"> </w:t>
      </w:r>
      <w:r>
        <w:t>– The CGC considers the level of support each state requires</w:t>
      </w:r>
    </w:p>
    <w:p w14:paraId="61CE6900" w14:textId="6F5C7DA2" w:rsidR="002E22FC" w:rsidRPr="005550A0" w:rsidRDefault="00730F57" w:rsidP="002E22FC">
      <w:pPr>
        <w:pStyle w:val="BodyText"/>
      </w:pPr>
      <w:r w:rsidRPr="00730F57">
        <w:rPr>
          <w:noProof/>
        </w:rPr>
        <w:drawing>
          <wp:inline distT="0" distB="0" distL="0" distR="0" wp14:anchorId="1754BAE6" wp14:editId="48F4C83E">
            <wp:extent cx="6120130" cy="2875915"/>
            <wp:effectExtent l="0" t="0" r="0" b="0"/>
            <wp:docPr id="1892880194" name="Picture 8" descr="Figure 5 – A column chart which shows how GST payments are conceptually calculated. The first column for each state represents a per capita allocation of the pool, the second column shows the amount of additional or reduced support a state requires, and the final column shows the GST payments. GST payments are therefore equal to a per capita allocation plus/minus the additional/reduced support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880194" name="Picture 8" descr="Figure 5 – A column chart which shows how GST payments are conceptually calculated. The first column for each state represents a per capita allocation of the pool, the second column shows the amount of additional or reduced support a state requires, and the final column shows the GST payments. GST payments are therefore equal to a per capita allocation plus/minus the additional/reduced support requir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2875915"/>
                    </a:xfrm>
                    <a:prstGeom prst="rect">
                      <a:avLst/>
                    </a:prstGeom>
                    <a:noFill/>
                    <a:ln>
                      <a:noFill/>
                    </a:ln>
                  </pic:spPr>
                </pic:pic>
              </a:graphicData>
            </a:graphic>
          </wp:inline>
        </w:drawing>
      </w:r>
    </w:p>
    <w:p w14:paraId="0D300EAD" w14:textId="4F35AA45" w:rsidR="00D67BB4" w:rsidRDefault="00D67BB4" w:rsidP="00F62138">
      <w:pPr>
        <w:pStyle w:val="Note"/>
      </w:pPr>
      <w:r w:rsidRPr="00517D00">
        <w:t>The data relates to the distribution of the GST pool in</w:t>
      </w:r>
      <w:r w:rsidR="00517D00" w:rsidRPr="00177D4C">
        <w:t xml:space="preserve"> </w:t>
      </w:r>
      <w:r w:rsidR="004C5820" w:rsidRPr="00177D4C">
        <w:t>20</w:t>
      </w:r>
      <w:r w:rsidR="00730F57">
        <w:t>18</w:t>
      </w:r>
      <w:r w:rsidR="001C15EB">
        <w:t>–</w:t>
      </w:r>
      <w:r w:rsidR="00730F57">
        <w:t>19</w:t>
      </w:r>
      <w:r w:rsidR="00BD4335">
        <w:t xml:space="preserve"> </w:t>
      </w:r>
      <w:r w:rsidR="00517D00" w:rsidRPr="00177D4C">
        <w:t xml:space="preserve">as this </w:t>
      </w:r>
      <w:r w:rsidR="007B6A52">
        <w:t xml:space="preserve">was the last financial year </w:t>
      </w:r>
      <w:r w:rsidR="00517D00" w:rsidRPr="00177D4C">
        <w:t xml:space="preserve">before </w:t>
      </w:r>
      <w:r w:rsidR="00B44EFF">
        <w:t xml:space="preserve">the </w:t>
      </w:r>
      <w:r w:rsidR="00BD4335">
        <w:t>2018 reforms came into effect.</w:t>
      </w:r>
    </w:p>
    <w:p w14:paraId="063612FA" w14:textId="694AB74E" w:rsidR="00F62138" w:rsidRDefault="002E22FC" w:rsidP="00BA2B25">
      <w:pPr>
        <w:pStyle w:val="Source"/>
      </w:pPr>
      <w:r w:rsidRPr="00696447">
        <w:t>Source:</w:t>
      </w:r>
      <w:r w:rsidR="00093268">
        <w:t xml:space="preserve"> PC estimates using Commonwealth of Australia</w:t>
      </w:r>
      <w:r w:rsidR="00B13338">
        <w:t xml:space="preserve"> </w:t>
      </w:r>
      <w:r w:rsidR="00CA355D" w:rsidRPr="00CA355D">
        <w:rPr>
          <w:rFonts w:cs="Open Sans"/>
        </w:rPr>
        <w:t>(2019)</w:t>
      </w:r>
      <w:r w:rsidR="00093268">
        <w:t>.</w:t>
      </w:r>
    </w:p>
    <w:p w14:paraId="72BA9801" w14:textId="15E8F653" w:rsidR="0040211C" w:rsidRDefault="00A868ED" w:rsidP="0079770C">
      <w:pPr>
        <w:pStyle w:val="BodyText"/>
      </w:pPr>
      <w:r>
        <w:t xml:space="preserve">Australia implements equalisation in a more comprehensive way than similar federations, assessing revenue, expenditure and investment capacities, compared </w:t>
      </w:r>
      <w:r w:rsidR="00BA26BB">
        <w:t>to</w:t>
      </w:r>
      <w:r>
        <w:t xml:space="preserve"> </w:t>
      </w:r>
      <w:r w:rsidR="0026563D">
        <w:t>using</w:t>
      </w:r>
      <w:r>
        <w:t xml:space="preserve"> revenue</w:t>
      </w:r>
      <w:r w:rsidR="0073554F">
        <w:noBreakHyphen/>
      </w:r>
      <w:r>
        <w:t>only assessments</w:t>
      </w:r>
      <w:r w:rsidR="00107744">
        <w:t xml:space="preserve"> </w:t>
      </w:r>
      <w:r w:rsidR="002A17B4" w:rsidRPr="00BD13D0">
        <w:rPr>
          <w:rFonts w:cs="Open Sans"/>
          <w:szCs w:val="24"/>
        </w:rPr>
        <w:t>(CGC, sub. 34, p. 2; CGC 2022, p. 20; chapter 3)</w:t>
      </w:r>
      <w:r>
        <w:t>.</w:t>
      </w:r>
      <w:r w:rsidR="00457836">
        <w:t xml:space="preserve"> </w:t>
      </w:r>
      <w:r w:rsidR="000F114E">
        <w:t>A state’s fiscal capacity is</w:t>
      </w:r>
      <w:r w:rsidR="007D497E">
        <w:t xml:space="preserve"> </w:t>
      </w:r>
      <w:r w:rsidR="000F114E">
        <w:t>determined by its assessed budget</w:t>
      </w:r>
      <w:r w:rsidR="0057694E">
        <w:t>,</w:t>
      </w:r>
      <w:r w:rsidR="000F114E">
        <w:t xml:space="preserve"> which consists of </w:t>
      </w:r>
      <w:r w:rsidR="009F75E4">
        <w:t xml:space="preserve">its </w:t>
      </w:r>
      <w:r w:rsidR="000F114E">
        <w:t xml:space="preserve">assessed revenue – the revenue </w:t>
      </w:r>
      <w:r w:rsidR="00E474AE">
        <w:t xml:space="preserve">it could </w:t>
      </w:r>
      <w:r w:rsidR="000F114E">
        <w:t xml:space="preserve">raise if it followed average policy – and </w:t>
      </w:r>
      <w:r w:rsidR="009F75E4">
        <w:t xml:space="preserve">its assessed expenses – </w:t>
      </w:r>
      <w:r w:rsidR="00FB4334">
        <w:t xml:space="preserve">the amount </w:t>
      </w:r>
      <w:r w:rsidR="00E474AE">
        <w:t xml:space="preserve">it </w:t>
      </w:r>
      <w:r w:rsidR="009F75E4">
        <w:t xml:space="preserve">would </w:t>
      </w:r>
      <w:r w:rsidR="00C43A57">
        <w:t xml:space="preserve">need to </w:t>
      </w:r>
      <w:r w:rsidR="009F75E4">
        <w:t xml:space="preserve">spend to deliver </w:t>
      </w:r>
      <w:r w:rsidR="00A83BF4">
        <w:t xml:space="preserve">a similar standard </w:t>
      </w:r>
      <w:r w:rsidR="009F75E4">
        <w:t>of services</w:t>
      </w:r>
      <w:r w:rsidR="00A83BF4">
        <w:t xml:space="preserve"> to other states</w:t>
      </w:r>
      <w:r w:rsidR="00AA697C">
        <w:t xml:space="preserve"> (figure </w:t>
      </w:r>
      <w:r w:rsidR="00AE0799">
        <w:t>6</w:t>
      </w:r>
      <w:r w:rsidR="00AA697C">
        <w:t>)</w:t>
      </w:r>
      <w:r w:rsidR="009F75E4">
        <w:t xml:space="preserve">. </w:t>
      </w:r>
      <w:r w:rsidR="00855CBA">
        <w:t>The CGC also</w:t>
      </w:r>
      <w:r w:rsidR="0043180F">
        <w:t xml:space="preserve"> generally</w:t>
      </w:r>
      <w:r w:rsidR="00855CBA">
        <w:t xml:space="preserve"> </w:t>
      </w:r>
      <w:r w:rsidR="003361D2">
        <w:t xml:space="preserve">accounts for </w:t>
      </w:r>
      <w:r w:rsidR="00252491">
        <w:t>payments for specific purposes</w:t>
      </w:r>
      <w:r w:rsidR="00477FD2">
        <w:t xml:space="preserve"> </w:t>
      </w:r>
      <w:r w:rsidR="00252491">
        <w:t>(</w:t>
      </w:r>
      <w:r w:rsidR="00361DBD">
        <w:t>PSPs</w:t>
      </w:r>
      <w:r w:rsidR="00252491">
        <w:t>)</w:t>
      </w:r>
      <w:r w:rsidR="00361DBD">
        <w:t xml:space="preserve"> </w:t>
      </w:r>
      <w:r w:rsidR="003361D2">
        <w:t xml:space="preserve">received </w:t>
      </w:r>
      <w:r w:rsidR="00B14360">
        <w:t xml:space="preserve">by a state </w:t>
      </w:r>
      <w:r w:rsidR="0043180F">
        <w:t>from the</w:t>
      </w:r>
      <w:r w:rsidR="00A36735">
        <w:t xml:space="preserve"> Australian Government</w:t>
      </w:r>
      <w:r w:rsidR="005A5EC8">
        <w:t>. This is</w:t>
      </w:r>
      <w:r w:rsidR="00ED776D">
        <w:t xml:space="preserve"> because</w:t>
      </w:r>
      <w:r w:rsidR="003361D2">
        <w:t xml:space="preserve"> </w:t>
      </w:r>
      <w:r w:rsidR="004956DA">
        <w:t xml:space="preserve">PSPs </w:t>
      </w:r>
      <w:r w:rsidR="007E1133">
        <w:t>impact a state’s relative fiscal capacity</w:t>
      </w:r>
      <w:r w:rsidR="007E1133" w:rsidDel="001941F8">
        <w:t xml:space="preserve"> </w:t>
      </w:r>
      <w:r w:rsidR="007E1133">
        <w:t xml:space="preserve">as </w:t>
      </w:r>
      <w:r w:rsidR="00295652">
        <w:t>they</w:t>
      </w:r>
      <w:r w:rsidR="0017632D">
        <w:t xml:space="preserve"> are often used </w:t>
      </w:r>
      <w:r w:rsidR="00BC4703">
        <w:t xml:space="preserve">to </w:t>
      </w:r>
      <w:r w:rsidR="00BC4703" w:rsidRPr="00BC2AFF">
        <w:t>fund services and invest in infrastructure</w:t>
      </w:r>
      <w:r w:rsidR="003361D2">
        <w:t xml:space="preserve">. </w:t>
      </w:r>
      <w:r w:rsidR="00477FD2">
        <w:t xml:space="preserve">However, not all </w:t>
      </w:r>
      <w:r w:rsidR="00361DBD">
        <w:t xml:space="preserve">PSPs </w:t>
      </w:r>
      <w:r w:rsidR="00477FD2">
        <w:t>are included in the CGC’s assessments.</w:t>
      </w:r>
      <w:r w:rsidR="0000632D">
        <w:t xml:space="preserve"> This is discussed further in </w:t>
      </w:r>
      <w:r w:rsidR="00EC7524">
        <w:t xml:space="preserve">chapter </w:t>
      </w:r>
      <w:r w:rsidR="00DC2F69">
        <w:t>5</w:t>
      </w:r>
      <w:r w:rsidR="00BD231A">
        <w:t>.</w:t>
      </w:r>
    </w:p>
    <w:p w14:paraId="196ADD75" w14:textId="77777777" w:rsidR="00023F7F" w:rsidRDefault="00023F7F" w:rsidP="00023F7F">
      <w:pPr>
        <w:pStyle w:val="BodyText"/>
      </w:pPr>
      <w:r>
        <w:t>The CGC then examines the differences between states’ revenue-raising capacities and their costs of providing services to determine their relative fiscal capacities. On the revenue side, key differences include the value of property, the value of resource endowments and the level of economic activity. Differences in expenses largely arise from differences in the socio-demographic make</w:t>
      </w:r>
      <w:r>
        <w:noBreakHyphen/>
        <w:t>up of states’ populations. For example, states with a greater proportion of their population living in regional and remote areas or a higher average age will have relatively higher service delivery costs.</w:t>
      </w:r>
    </w:p>
    <w:p w14:paraId="445B7CB6" w14:textId="00AE99EB" w:rsidR="00023F7F" w:rsidRDefault="00023F7F" w:rsidP="0079770C">
      <w:pPr>
        <w:pStyle w:val="BodyText"/>
      </w:pPr>
      <w:r>
        <w:t xml:space="preserve">The CGC assumes a state applies national average policy to ensure its assessments capture states’ underlying fiscal capacities rather than their </w:t>
      </w:r>
      <w:r>
        <w:rPr>
          <w:i/>
          <w:iCs/>
        </w:rPr>
        <w:t xml:space="preserve">actual </w:t>
      </w:r>
      <w:r>
        <w:t xml:space="preserve">policy decisions (box 3). This means a state’s assessed revenue and expenditure will be different to what it </w:t>
      </w:r>
      <w:proofErr w:type="gramStart"/>
      <w:r>
        <w:t>actually raises</w:t>
      </w:r>
      <w:proofErr w:type="gramEnd"/>
      <w:r>
        <w:t xml:space="preserve"> and spends. </w:t>
      </w:r>
    </w:p>
    <w:p w14:paraId="742E07A7" w14:textId="1AA8A018" w:rsidR="00BA1FCF" w:rsidRPr="00146382" w:rsidRDefault="00BA1FCF">
      <w:pPr>
        <w:pStyle w:val="FigureTableHeading"/>
      </w:pPr>
      <w:r>
        <w:lastRenderedPageBreak/>
        <w:t xml:space="preserve">Figure </w:t>
      </w:r>
      <w:fldSimple w:instr=" SEQ Figure \* ARABIC \s 1 ">
        <w:r w:rsidR="00EB6801">
          <w:rPr>
            <w:noProof/>
          </w:rPr>
          <w:t>6</w:t>
        </w:r>
      </w:fldSimple>
      <w:r>
        <w:rPr>
          <w:noProof/>
        </w:rPr>
        <w:t xml:space="preserve"> </w:t>
      </w:r>
      <w:r>
        <w:t xml:space="preserve">– </w:t>
      </w:r>
      <w:r w:rsidR="008413F0">
        <w:t xml:space="preserve">The CGC considers </w:t>
      </w:r>
      <w:r w:rsidR="007459F9">
        <w:t>several c</w:t>
      </w:r>
      <w:r>
        <w:t>ategories of state revenue and expenditure</w:t>
      </w:r>
    </w:p>
    <w:p w14:paraId="24E89099" w14:textId="19E3B2E2" w:rsidR="00BA1FCF" w:rsidRDefault="00E82230">
      <w:pPr>
        <w:pStyle w:val="FigureTableSubheading"/>
        <w:keepLines/>
      </w:pPr>
      <w:r>
        <w:t>Components of the CGC’s assessment methodology</w:t>
      </w:r>
    </w:p>
    <w:p w14:paraId="09000C09" w14:textId="7CA5EFAD" w:rsidR="00BA1FCF" w:rsidRPr="005550A0" w:rsidRDefault="007C32F6">
      <w:pPr>
        <w:pStyle w:val="BodyText"/>
      </w:pPr>
      <w:r w:rsidRPr="007C32F6">
        <w:rPr>
          <w:noProof/>
        </w:rPr>
        <w:drawing>
          <wp:inline distT="0" distB="0" distL="0" distR="0" wp14:anchorId="0DF6CEE4" wp14:editId="670D19DC">
            <wp:extent cx="6115050" cy="2085975"/>
            <wp:effectExtent l="0" t="0" r="0" b="9525"/>
            <wp:docPr id="653046268" name="Picture 8" descr="A two-panel infographic showing the categories of revenue and expenses which the CGC assess.&#10;Panel 1 – Revenue: payroll tax, land tax, stamp duty, mining taxes, insurance taxes, motor vehicle taxes, other revenue, Commonwealth transfers&#10;Panel 2 – Expenses: schools, post-secondary education, health, housing, services to communities, justice, roads, transport, services to industry, other expenses, depreciation, invest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046268" name="Picture 8" descr="A two-panel infographic showing the categories of revenue and expenses which the CGC assess.&#10;Panel 1 – Revenue: payroll tax, land tax, stamp duty, mining taxes, insurance taxes, motor vehicle taxes, other revenue, Commonwealth transfers&#10;Panel 2 – Expenses: schools, post-secondary education, health, housing, services to communities, justice, roads, transport, services to industry, other expenses, depreciation, investment.&#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5050" cy="2085975"/>
                    </a:xfrm>
                    <a:prstGeom prst="rect">
                      <a:avLst/>
                    </a:prstGeom>
                    <a:noFill/>
                    <a:ln>
                      <a:noFill/>
                    </a:ln>
                  </pic:spPr>
                </pic:pic>
              </a:graphicData>
            </a:graphic>
          </wp:inline>
        </w:drawing>
      </w:r>
    </w:p>
    <w:p w14:paraId="61DA6F90" w14:textId="11F4FDD9" w:rsidR="00BA1FCF" w:rsidRDefault="00E82230">
      <w:pPr>
        <w:pStyle w:val="Note"/>
        <w:keepLines/>
      </w:pPr>
      <w:r>
        <w:t xml:space="preserve">Other revenue </w:t>
      </w:r>
      <w:r w:rsidR="00F4373B">
        <w:t>i</w:t>
      </w:r>
      <w:r w:rsidR="00D03183">
        <w:t xml:space="preserve">ncludes </w:t>
      </w:r>
      <w:r w:rsidR="000E16D0">
        <w:t xml:space="preserve">various revenue sources, including gambling taxes, user charges fees and fines, and interest and dividend income. </w:t>
      </w:r>
      <w:r w:rsidR="001C1071">
        <w:t>Other expenses include</w:t>
      </w:r>
      <w:r w:rsidR="00702D2E">
        <w:t xml:space="preserve"> </w:t>
      </w:r>
      <w:proofErr w:type="gramStart"/>
      <w:r w:rsidR="00300716">
        <w:t>general public</w:t>
      </w:r>
      <w:proofErr w:type="gramEnd"/>
      <w:r w:rsidR="00300716">
        <w:t xml:space="preserve"> services, natural disasters and capital grants to local governments</w:t>
      </w:r>
      <w:r w:rsidR="00B40D6C">
        <w:t xml:space="preserve">, among other expenses. </w:t>
      </w:r>
    </w:p>
    <w:p w14:paraId="6EE0177B" w14:textId="3235C560" w:rsidR="00BA1FCF" w:rsidRPr="00525356" w:rsidRDefault="00BA1FCF" w:rsidP="00CB07B7">
      <w:pPr>
        <w:pStyle w:val="Source"/>
        <w:spacing w:after="120"/>
      </w:pPr>
      <w:r w:rsidRPr="00525356">
        <w:t xml:space="preserve">Source: </w:t>
      </w:r>
      <w:r w:rsidR="00DE4691" w:rsidRPr="00DE4691">
        <w:rPr>
          <w:rFonts w:cs="Open Sans"/>
          <w:szCs w:val="24"/>
        </w:rPr>
        <w:t>(PC 2018, p. 88)</w:t>
      </w:r>
      <w:r w:rsidR="00C75128">
        <w:t>.</w:t>
      </w:r>
    </w:p>
    <w:p w14:paraId="7EEB849F" w14:textId="266493B1" w:rsidR="00C94DBA" w:rsidRPr="00F82BD9" w:rsidRDefault="00C94DBA">
      <w:pPr>
        <w:pStyle w:val="NoSpacing"/>
      </w:pPr>
    </w:p>
    <w:tbl>
      <w:tblPr>
        <w:tblStyle w:val="Boxtable"/>
        <w:tblW w:w="5000" w:type="pct"/>
        <w:tblLook w:val="04A0" w:firstRow="1" w:lastRow="0" w:firstColumn="1" w:lastColumn="0" w:noHBand="0" w:noVBand="1"/>
      </w:tblPr>
      <w:tblGrid>
        <w:gridCol w:w="9638"/>
      </w:tblGrid>
      <w:tr w:rsidR="00C94DBA" w14:paraId="72B8FB19" w14:textId="77777777">
        <w:trPr>
          <w:tblHeader/>
        </w:trPr>
        <w:tc>
          <w:tcPr>
            <w:tcW w:w="9638" w:type="dxa"/>
            <w:shd w:val="clear" w:color="auto" w:fill="EBEBEB"/>
            <w:tcMar>
              <w:top w:w="170" w:type="dxa"/>
              <w:left w:w="170" w:type="dxa"/>
              <w:bottom w:w="113" w:type="dxa"/>
              <w:right w:w="170" w:type="dxa"/>
            </w:tcMar>
            <w:hideMark/>
          </w:tcPr>
          <w:p w14:paraId="2C4BCB0A" w14:textId="19909457" w:rsidR="00C94DBA" w:rsidRDefault="00C94DBA">
            <w:pPr>
              <w:pStyle w:val="BoxHeading1"/>
            </w:pPr>
            <w:r>
              <w:t xml:space="preserve">Box </w:t>
            </w:r>
            <w:r>
              <w:fldChar w:fldCharType="begin"/>
            </w:r>
            <w:r>
              <w:instrText>SEQ Box \* ARABIC \s 1</w:instrText>
            </w:r>
            <w:r>
              <w:fldChar w:fldCharType="separate"/>
            </w:r>
            <w:r w:rsidR="00EB6801">
              <w:rPr>
                <w:noProof/>
              </w:rPr>
              <w:t>3</w:t>
            </w:r>
            <w:r>
              <w:fldChar w:fldCharType="end"/>
            </w:r>
            <w:r>
              <w:t xml:space="preserve"> – </w:t>
            </w:r>
            <w:r w:rsidR="0080033E">
              <w:t xml:space="preserve">The CGC’s assessments are guided by </w:t>
            </w:r>
            <w:r w:rsidR="00E90254">
              <w:t>4</w:t>
            </w:r>
            <w:r w:rsidR="0080033E">
              <w:t xml:space="preserve"> supporting principles</w:t>
            </w:r>
          </w:p>
        </w:tc>
      </w:tr>
      <w:tr w:rsidR="00C94DBA" w14:paraId="1560305D" w14:textId="77777777">
        <w:tc>
          <w:tcPr>
            <w:tcW w:w="9638" w:type="dxa"/>
            <w:shd w:val="clear" w:color="auto" w:fill="EBEBEB"/>
            <w:tcMar>
              <w:top w:w="28" w:type="dxa"/>
              <w:left w:w="170" w:type="dxa"/>
              <w:bottom w:w="170" w:type="dxa"/>
              <w:right w:w="170" w:type="dxa"/>
            </w:tcMar>
            <w:hideMark/>
          </w:tcPr>
          <w:p w14:paraId="45467BFB" w14:textId="0094017D" w:rsidR="0080033E" w:rsidRDefault="0080033E" w:rsidP="002C46AE">
            <w:pPr>
              <w:pStyle w:val="ListBullet"/>
            </w:pPr>
            <w:r w:rsidRPr="00B54730">
              <w:rPr>
                <w:b/>
                <w:bCs/>
              </w:rPr>
              <w:t>What states do</w:t>
            </w:r>
            <w:r w:rsidR="00B54730">
              <w:rPr>
                <w:b/>
                <w:bCs/>
              </w:rPr>
              <w:t xml:space="preserve"> </w:t>
            </w:r>
            <w:r w:rsidR="00B54730" w:rsidRPr="00B54730">
              <w:rPr>
                <w:b/>
                <w:bCs/>
              </w:rPr>
              <w:t>–</w:t>
            </w:r>
            <w:r>
              <w:t xml:space="preserve"> the </w:t>
            </w:r>
            <w:r w:rsidR="002E35BF">
              <w:t>Commonwealth Grants Commission’s (</w:t>
            </w:r>
            <w:r>
              <w:t>CGC’s</w:t>
            </w:r>
            <w:r w:rsidR="002E35BF">
              <w:t>)</w:t>
            </w:r>
            <w:r>
              <w:t xml:space="preserve"> methods should, as far as possible, reflect what states collectively do, and not make </w:t>
            </w:r>
            <w:r w:rsidR="009016F5">
              <w:t>judgements</w:t>
            </w:r>
            <w:r>
              <w:t xml:space="preserve"> about what they could or should do.</w:t>
            </w:r>
          </w:p>
          <w:p w14:paraId="2DB763FF" w14:textId="6C60D80F" w:rsidR="009016F5" w:rsidRDefault="0080033E" w:rsidP="002C46AE">
            <w:pPr>
              <w:pStyle w:val="ListBullet"/>
            </w:pPr>
            <w:r w:rsidRPr="00B54730">
              <w:rPr>
                <w:b/>
                <w:bCs/>
              </w:rPr>
              <w:t>Policy neutrality</w:t>
            </w:r>
            <w:r w:rsidR="00B54730">
              <w:rPr>
                <w:b/>
                <w:bCs/>
              </w:rPr>
              <w:t xml:space="preserve"> </w:t>
            </w:r>
            <w:r w:rsidR="00B54730" w:rsidRPr="00B54730">
              <w:rPr>
                <w:b/>
                <w:bCs/>
              </w:rPr>
              <w:t>–</w:t>
            </w:r>
            <w:r w:rsidR="00B54730">
              <w:rPr>
                <w:b/>
                <w:bCs/>
              </w:rPr>
              <w:t xml:space="preserve"> </w:t>
            </w:r>
            <w:r w:rsidR="00B54730">
              <w:t>a</w:t>
            </w:r>
            <w:r>
              <w:t xml:space="preserve"> state’s policy choices (for the revenue it raises or the services it provides) should not directly influence</w:t>
            </w:r>
            <w:r w:rsidR="00AF3B16">
              <w:t xml:space="preserve"> its GST </w:t>
            </w:r>
            <w:r w:rsidR="00AD3248">
              <w:t>payments</w:t>
            </w:r>
            <w:r w:rsidR="00AF3B16">
              <w:t>. The CGC’s assessments should not create incentives or disincentives to choose one policy over another</w:t>
            </w:r>
            <w:r w:rsidR="009016F5">
              <w:t>.</w:t>
            </w:r>
          </w:p>
          <w:p w14:paraId="3D85DE53" w14:textId="28D58811" w:rsidR="00C94DBA" w:rsidRDefault="009016F5" w:rsidP="002C46AE">
            <w:pPr>
              <w:pStyle w:val="ListBullet"/>
            </w:pPr>
            <w:r w:rsidRPr="00B54730">
              <w:rPr>
                <w:b/>
                <w:bCs/>
              </w:rPr>
              <w:t xml:space="preserve">Practicality </w:t>
            </w:r>
            <w:r w:rsidR="000B18BC" w:rsidRPr="00B54730">
              <w:rPr>
                <w:b/>
                <w:bCs/>
              </w:rPr>
              <w:t>–</w:t>
            </w:r>
            <w:r w:rsidRPr="00B54730">
              <w:rPr>
                <w:b/>
                <w:bCs/>
              </w:rPr>
              <w:t xml:space="preserve"> </w:t>
            </w:r>
            <w:r w:rsidR="000B18BC">
              <w:t>assessments should be based on sound and reliable data and methods</w:t>
            </w:r>
            <w:r w:rsidR="00280EB2">
              <w:t xml:space="preserve">. Methods should be as simple as possible, while capturing the </w:t>
            </w:r>
            <w:r w:rsidR="00C73731">
              <w:t>major influences on state revenues and expenses.</w:t>
            </w:r>
          </w:p>
          <w:p w14:paraId="1D41477D" w14:textId="795543D2" w:rsidR="00880417" w:rsidRDefault="005E79A7" w:rsidP="002C46AE">
            <w:pPr>
              <w:pStyle w:val="ListBullet"/>
            </w:pPr>
            <w:r w:rsidRPr="00B54730">
              <w:rPr>
                <w:b/>
                <w:bCs/>
              </w:rPr>
              <w:t>Contemporaneity –</w:t>
            </w:r>
            <w:r>
              <w:t xml:space="preserve"> to the extent reliable data will </w:t>
            </w:r>
            <w:proofErr w:type="gramStart"/>
            <w:r>
              <w:t>allow,</w:t>
            </w:r>
            <w:proofErr w:type="gramEnd"/>
            <w:r>
              <w:t xml:space="preserve"> the GST </w:t>
            </w:r>
            <w:r w:rsidR="006E0693">
              <w:t xml:space="preserve">distribution </w:t>
            </w:r>
            <w:r>
              <w:t>in a year should reflect state circumstances in that year.</w:t>
            </w:r>
          </w:p>
          <w:p w14:paraId="30556E24" w14:textId="33CC0791" w:rsidR="00880417" w:rsidRDefault="00880417" w:rsidP="00F05C78">
            <w:pPr>
              <w:pStyle w:val="BodyText"/>
            </w:pPr>
            <w:r>
              <w:t>However, the CGC</w:t>
            </w:r>
            <w:r w:rsidR="00F05C78">
              <w:t xml:space="preserve"> </w:t>
            </w:r>
            <w:r>
              <w:t>note</w:t>
            </w:r>
            <w:r w:rsidR="00F05C78">
              <w:t>d</w:t>
            </w:r>
            <w:r>
              <w:t xml:space="preserve"> that these principles are secondary to the primary objective of </w:t>
            </w:r>
            <w:r w:rsidR="00F05C78">
              <w:t>pursuing horizontal fiscal equalisation.</w:t>
            </w:r>
          </w:p>
          <w:p w14:paraId="0E3EAC2F" w14:textId="52B186A0" w:rsidR="00C94DBA" w:rsidRDefault="00C94DBA">
            <w:pPr>
              <w:pStyle w:val="Source"/>
            </w:pPr>
            <w:r>
              <w:t xml:space="preserve">Source: </w:t>
            </w:r>
            <w:r w:rsidR="005E79A7">
              <w:t>CGC</w:t>
            </w:r>
            <w:r w:rsidR="003A4EF2">
              <w:t xml:space="preserve"> (</w:t>
            </w:r>
            <w:r w:rsidR="005E79A7">
              <w:t>sub. </w:t>
            </w:r>
            <w:r w:rsidR="00B54730">
              <w:t>34, p</w:t>
            </w:r>
            <w:r w:rsidR="003A4EF2">
              <w:t>p</w:t>
            </w:r>
            <w:r w:rsidR="00B54730">
              <w:t>. 3</w:t>
            </w:r>
            <w:r w:rsidR="00A3537D">
              <w:t>–</w:t>
            </w:r>
            <w:r w:rsidR="00B54730">
              <w:t>4</w:t>
            </w:r>
            <w:r w:rsidR="003A4EF2">
              <w:t>)</w:t>
            </w:r>
            <w:r w:rsidR="002730C8">
              <w:t>.</w:t>
            </w:r>
          </w:p>
        </w:tc>
      </w:tr>
    </w:tbl>
    <w:p w14:paraId="75D89B64" w14:textId="7B82ADD0" w:rsidR="00013655" w:rsidRPr="00CB07B7" w:rsidRDefault="00013655" w:rsidP="00CB07B7">
      <w:pPr>
        <w:pStyle w:val="NoSpacing"/>
      </w:pPr>
    </w:p>
    <w:p w14:paraId="56982D02" w14:textId="55982EC7" w:rsidR="00930265" w:rsidRDefault="00F3553C" w:rsidP="006F1CC2">
      <w:pPr>
        <w:pStyle w:val="BodyText"/>
      </w:pPr>
      <w:r w:rsidRPr="00BC2AFF">
        <w:t>After determining states’ assessed revenues and expenses, e</w:t>
      </w:r>
      <w:r w:rsidR="00BD5734" w:rsidRPr="00BC2AFF">
        <w:t xml:space="preserve">ach state’s relativity is calculated based on a lagged </w:t>
      </w:r>
      <w:r w:rsidR="00E90254">
        <w:t>3</w:t>
      </w:r>
      <w:r w:rsidR="00E033DC">
        <w:noBreakHyphen/>
      </w:r>
      <w:r w:rsidR="00BD5734" w:rsidRPr="00BC2AFF">
        <w:t>year average of assessed revenues and expenses.</w:t>
      </w:r>
      <w:r w:rsidR="008772A8" w:rsidRPr="00F90099">
        <w:rPr>
          <w:rStyle w:val="FootnoteReference"/>
        </w:rPr>
        <w:footnoteReference w:id="9"/>
      </w:r>
      <w:r w:rsidR="00BD5734" w:rsidRPr="00BC2AFF">
        <w:t xml:space="preserve"> </w:t>
      </w:r>
      <w:r w:rsidR="00753ABF" w:rsidRPr="00BC2AFF">
        <w:t xml:space="preserve">A relativity reflects a state’s </w:t>
      </w:r>
      <w:r w:rsidR="00361B9D">
        <w:t xml:space="preserve">share of the </w:t>
      </w:r>
      <w:r w:rsidR="00361B9D">
        <w:lastRenderedPageBreak/>
        <w:t xml:space="preserve">GST pool relative to the </w:t>
      </w:r>
      <w:r w:rsidR="002F68A6" w:rsidRPr="00545E3E">
        <w:t>national average per person GST</w:t>
      </w:r>
      <w:r w:rsidR="009F286F">
        <w:t xml:space="preserve">, given its </w:t>
      </w:r>
      <w:r w:rsidR="00753ABF" w:rsidRPr="00BC2AFF">
        <w:t>assessed fiscal capacity</w:t>
      </w:r>
      <w:r w:rsidR="00F24148">
        <w:t xml:space="preserve"> </w:t>
      </w:r>
      <w:r w:rsidR="00B02C64" w:rsidRPr="002730C8">
        <w:t>(CGC 2026c)</w:t>
      </w:r>
      <w:r w:rsidR="00346987">
        <w:t>.</w:t>
      </w:r>
      <w:r w:rsidR="00753ABF" w:rsidRPr="00BC2AFF">
        <w:t xml:space="preserve"> </w:t>
      </w:r>
      <w:r w:rsidR="006F03BD">
        <w:t>In other words,</w:t>
      </w:r>
      <w:r w:rsidR="005B318D">
        <w:t xml:space="preserve"> relativities reflect a state’s share of the GST pool relative to its share of the national </w:t>
      </w:r>
      <w:r w:rsidR="005B318D" w:rsidRPr="00930265">
        <w:rPr>
          <w:rStyle w:val="BodyTextChar"/>
        </w:rPr>
        <w:t xml:space="preserve">population. For example, a state with </w:t>
      </w:r>
      <w:r w:rsidR="00CF6850" w:rsidRPr="00930265">
        <w:rPr>
          <w:rStyle w:val="BodyTextChar"/>
        </w:rPr>
        <w:t>a relativity of 1.05 would receive 105% of its population share of the GST pool. This is not equivalent to the percentage of GST returned to the state relative to the amount contributed</w:t>
      </w:r>
      <w:r w:rsidR="00180ACA" w:rsidRPr="00930265">
        <w:rPr>
          <w:rStyle w:val="BodyTextChar"/>
        </w:rPr>
        <w:t>,</w:t>
      </w:r>
      <w:r w:rsidR="00014BDF" w:rsidRPr="00930265">
        <w:rPr>
          <w:rStyle w:val="BodyTextChar"/>
        </w:rPr>
        <w:t xml:space="preserve"> noting that it is not possible to </w:t>
      </w:r>
      <w:r w:rsidR="00180ACA" w:rsidRPr="00930265">
        <w:rPr>
          <w:rStyle w:val="BodyTextChar"/>
        </w:rPr>
        <w:t>calculate the amount of GST paid in each state with any level of confidence</w:t>
      </w:r>
      <w:r w:rsidR="00CF6850" w:rsidRPr="00930265">
        <w:rPr>
          <w:rStyle w:val="BodyTextChar"/>
        </w:rPr>
        <w:t xml:space="preserve"> (chapter </w:t>
      </w:r>
      <w:r w:rsidR="00175E36" w:rsidRPr="00930265">
        <w:rPr>
          <w:rStyle w:val="BodyTextChar"/>
        </w:rPr>
        <w:t>1</w:t>
      </w:r>
      <w:r w:rsidR="00CF6850" w:rsidRPr="00930265">
        <w:rPr>
          <w:rStyle w:val="BodyTextChar"/>
        </w:rPr>
        <w:t>).</w:t>
      </w:r>
      <w:r w:rsidR="00CF6850">
        <w:t xml:space="preserve"> </w:t>
      </w:r>
    </w:p>
    <w:p w14:paraId="018EF848" w14:textId="7451FED3" w:rsidR="00794757" w:rsidRDefault="00753ABF" w:rsidP="00B72FBB">
      <w:pPr>
        <w:pStyle w:val="BodyText"/>
      </w:pPr>
      <w:r w:rsidRPr="00BC2AFF">
        <w:t xml:space="preserve">If all states were assessed to </w:t>
      </w:r>
      <w:r w:rsidR="00422A6A">
        <w:t>have</w:t>
      </w:r>
      <w:r w:rsidRPr="00BC2AFF">
        <w:t xml:space="preserve"> equal fiscal capacit</w:t>
      </w:r>
      <w:r w:rsidR="00422A6A">
        <w:t>ies</w:t>
      </w:r>
      <w:r w:rsidRPr="00BC2AFF">
        <w:t xml:space="preserve">, each would have a relativity </w:t>
      </w:r>
      <w:r w:rsidR="00307FE6">
        <w:t xml:space="preserve">of </w:t>
      </w:r>
      <w:r w:rsidR="007047CD">
        <w:t>1</w:t>
      </w:r>
      <w:r w:rsidR="002A7DA0" w:rsidRPr="00BC2AFF">
        <w:t xml:space="preserve">. States with a </w:t>
      </w:r>
      <w:r w:rsidR="007E62A5">
        <w:t>greater</w:t>
      </w:r>
      <w:r w:rsidR="003C1D2A">
        <w:t>-</w:t>
      </w:r>
      <w:r w:rsidR="002A7DA0" w:rsidRPr="00BC2AFF">
        <w:t>than</w:t>
      </w:r>
      <w:r w:rsidR="003C1D2A">
        <w:t>-</w:t>
      </w:r>
      <w:r w:rsidR="002A7DA0" w:rsidRPr="00BC2AFF">
        <w:t xml:space="preserve">average fiscal capacity have a relativity </w:t>
      </w:r>
      <w:r w:rsidR="00683C3F">
        <w:t xml:space="preserve">of </w:t>
      </w:r>
      <w:r w:rsidR="002A7DA0" w:rsidRPr="00BC2AFF">
        <w:t xml:space="preserve">less than </w:t>
      </w:r>
      <w:r w:rsidR="007047CD">
        <w:t>1</w:t>
      </w:r>
      <w:r w:rsidR="007047CD" w:rsidRPr="00BC2AFF">
        <w:t xml:space="preserve"> </w:t>
      </w:r>
      <w:r w:rsidR="002A7DA0" w:rsidRPr="00BC2AFF">
        <w:t xml:space="preserve">and states with a </w:t>
      </w:r>
      <w:r w:rsidR="007E62A5">
        <w:t>below</w:t>
      </w:r>
      <w:r w:rsidR="003C1D2A">
        <w:t>-</w:t>
      </w:r>
      <w:r w:rsidR="002A7DA0" w:rsidRPr="00BC2AFF">
        <w:t xml:space="preserve">average fiscal capacity have a relativity </w:t>
      </w:r>
      <w:r w:rsidR="00683C3F">
        <w:t xml:space="preserve">of </w:t>
      </w:r>
      <w:r w:rsidR="002A7DA0" w:rsidRPr="00BC2AFF">
        <w:t xml:space="preserve">greater than </w:t>
      </w:r>
      <w:r w:rsidR="007047CD">
        <w:t xml:space="preserve">1 </w:t>
      </w:r>
      <w:r w:rsidR="00182D44">
        <w:t>(</w:t>
      </w:r>
      <w:r w:rsidR="00B11DC6" w:rsidRPr="00EE7EFD">
        <w:t xml:space="preserve">figure </w:t>
      </w:r>
      <w:r w:rsidR="00AE0799">
        <w:t>7</w:t>
      </w:r>
      <w:r w:rsidR="003F780C">
        <w:t xml:space="preserve">). Since relativities capture states’ relative fiscal capacities, </w:t>
      </w:r>
      <w:r w:rsidR="00CF71D0">
        <w:t>any</w:t>
      </w:r>
      <w:r w:rsidR="00C036C6">
        <w:t xml:space="preserve"> given state’s relativity can be influenced by factors that affect the capacity of other states, as well as</w:t>
      </w:r>
      <w:r w:rsidR="00CF71D0">
        <w:t xml:space="preserve"> factors which </w:t>
      </w:r>
      <w:r w:rsidR="00E83B57">
        <w:t>impact</w:t>
      </w:r>
      <w:r w:rsidR="00C036C6">
        <w:t xml:space="preserve"> their own fiscal capacity (figure</w:t>
      </w:r>
      <w:r w:rsidR="00AE0799">
        <w:t xml:space="preserve"> 8</w:t>
      </w:r>
      <w:r w:rsidR="00C036C6">
        <w:t>)</w:t>
      </w:r>
      <w:r w:rsidR="00C036C6" w:rsidRPr="00BC2AFF">
        <w:t>.</w:t>
      </w:r>
    </w:p>
    <w:p w14:paraId="05DC683F" w14:textId="6163A90C" w:rsidR="007D6F5A" w:rsidRPr="00146382" w:rsidRDefault="007D6F5A" w:rsidP="00A91F94">
      <w:pPr>
        <w:pStyle w:val="FigureTableHeading"/>
      </w:pPr>
      <w:r>
        <w:t xml:space="preserve">Figure </w:t>
      </w:r>
      <w:fldSimple w:instr=" SEQ Figure \* ARABIC \s 1 ">
        <w:r w:rsidR="00EB6801">
          <w:rPr>
            <w:noProof/>
          </w:rPr>
          <w:t>7</w:t>
        </w:r>
      </w:fldSimple>
      <w:r>
        <w:rPr>
          <w:noProof/>
        </w:rPr>
        <w:t xml:space="preserve"> </w:t>
      </w:r>
      <w:r>
        <w:t xml:space="preserve">– </w:t>
      </w:r>
      <w:r w:rsidR="00B11DC6">
        <w:t>The CGC determines the relative fiscal capacity of states</w:t>
      </w:r>
    </w:p>
    <w:p w14:paraId="799CB026" w14:textId="09F22194" w:rsidR="00B11DC6" w:rsidRDefault="006A6C63" w:rsidP="00B11DC6">
      <w:pPr>
        <w:pStyle w:val="FigureTableSubheading"/>
        <w:keepLines/>
      </w:pPr>
      <w:r>
        <w:t>Average s</w:t>
      </w:r>
      <w:r w:rsidR="00B11DC6">
        <w:t xml:space="preserve">tate relativities, </w:t>
      </w:r>
      <w:r>
        <w:t>2000</w:t>
      </w:r>
      <w:r w:rsidR="000F38B6">
        <w:t>–</w:t>
      </w:r>
      <w:r>
        <w:t xml:space="preserve">01 to </w:t>
      </w:r>
      <w:r w:rsidR="00B11DC6">
        <w:t>2018</w:t>
      </w:r>
      <w:r w:rsidR="000F38B6">
        <w:t>–</w:t>
      </w:r>
      <w:r w:rsidR="00B11DC6">
        <w:t>19</w:t>
      </w:r>
    </w:p>
    <w:p w14:paraId="14BDA51F" w14:textId="77777777" w:rsidR="00C4589E" w:rsidRDefault="00C4589E" w:rsidP="00C4589E">
      <w:pPr>
        <w:pStyle w:val="BodyText"/>
        <w:rPr>
          <w:noProof/>
        </w:rPr>
      </w:pPr>
      <w:r w:rsidRPr="00C4589E">
        <w:rPr>
          <w:noProof/>
        </w:rPr>
        <w:drawing>
          <wp:inline distT="0" distB="0" distL="0" distR="0" wp14:anchorId="06B1C216" wp14:editId="1C45AC98">
            <wp:extent cx="6120130" cy="2874645"/>
            <wp:effectExtent l="0" t="0" r="0" b="0"/>
            <wp:docPr id="1428019315" name="Picture 9" descr="A graph with dots which represent the average relativity for each state between 2000-01 and 2018-19, and a line which represents a relativity of, meaning the GST pool would be allocated on a per capita basis. States with a relativity above the per capita allocation line are marked as having a weaker than average fiscal capacity, and states with a relativity below the line are marked as having a stronger than average fiscal capa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019315" name="Picture 9" descr="A graph with dots which represent the average relativity for each state between 2000-01 and 2018-19, and a line which represents a relativity of, meaning the GST pool would be allocated on a per capita basis. States with a relativity above the per capita allocation line are marked as having a weaker than average fiscal capacity, and states with a relativity below the line are marked as having a stronger than average fiscal capacit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2874645"/>
                    </a:xfrm>
                    <a:prstGeom prst="rect">
                      <a:avLst/>
                    </a:prstGeom>
                    <a:noFill/>
                    <a:ln>
                      <a:noFill/>
                    </a:ln>
                  </pic:spPr>
                </pic:pic>
              </a:graphicData>
            </a:graphic>
          </wp:inline>
        </w:drawing>
      </w:r>
    </w:p>
    <w:p w14:paraId="7338B696" w14:textId="4A745EB8" w:rsidR="006F473A" w:rsidRDefault="006F473A" w:rsidP="006F473A">
      <w:pPr>
        <w:pStyle w:val="Note"/>
      </w:pPr>
      <w:r>
        <w:t>Average state relativities are shown for 2000–01 to 2018–19 only as 2018–19 was the last financial year before the 2018 reforms came into effect</w:t>
      </w:r>
      <w:r w:rsidR="00572115">
        <w:t>.</w:t>
      </w:r>
    </w:p>
    <w:p w14:paraId="5B6D6F0A" w14:textId="179F173C" w:rsidR="007D6F5A" w:rsidRPr="00B34707" w:rsidRDefault="00B11DC6" w:rsidP="00D96733">
      <w:pPr>
        <w:pStyle w:val="Source"/>
      </w:pPr>
      <w:r w:rsidRPr="00B34707">
        <w:t>Source:</w:t>
      </w:r>
      <w:r w:rsidR="00DB6734" w:rsidRPr="00B34707">
        <w:t xml:space="preserve"> </w:t>
      </w:r>
      <w:r w:rsidR="00DB6734" w:rsidRPr="00140241">
        <w:t>PC estimates using CGC</w:t>
      </w:r>
      <w:r w:rsidR="00DB6734" w:rsidRPr="00B34707">
        <w:t xml:space="preserve"> </w:t>
      </w:r>
      <w:r w:rsidR="00140241" w:rsidRPr="00140241">
        <w:rPr>
          <w:rFonts w:cs="Open Sans"/>
        </w:rPr>
        <w:t>(2026a)</w:t>
      </w:r>
      <w:r w:rsidR="00192343">
        <w:t>.</w:t>
      </w:r>
    </w:p>
    <w:p w14:paraId="4979ABEA" w14:textId="38E4273B" w:rsidR="00AD7D8A" w:rsidRPr="00146382" w:rsidRDefault="00AD7D8A">
      <w:pPr>
        <w:pStyle w:val="FigureTableHeading"/>
      </w:pPr>
      <w:r>
        <w:lastRenderedPageBreak/>
        <w:t xml:space="preserve">Figure </w:t>
      </w:r>
      <w:fldSimple w:instr=" SEQ Figure \* ARABIC \s 1 ">
        <w:r w:rsidR="00EB6801">
          <w:rPr>
            <w:noProof/>
          </w:rPr>
          <w:t>8</w:t>
        </w:r>
      </w:fldSimple>
      <w:r>
        <w:rPr>
          <w:noProof/>
        </w:rPr>
        <w:t xml:space="preserve"> </w:t>
      </w:r>
      <w:r>
        <w:t>– Examples of HFE in practice</w:t>
      </w:r>
    </w:p>
    <w:p w14:paraId="69F0AF56" w14:textId="4BB0CCB4" w:rsidR="0084540C" w:rsidRDefault="00720144" w:rsidP="00F73F9B">
      <w:pPr>
        <w:pStyle w:val="BodyText"/>
      </w:pPr>
      <w:r w:rsidRPr="00720144">
        <w:rPr>
          <w:noProof/>
        </w:rPr>
        <w:drawing>
          <wp:inline distT="0" distB="0" distL="0" distR="0" wp14:anchorId="4B54D418" wp14:editId="23CA6DE9">
            <wp:extent cx="6120130" cy="5293360"/>
            <wp:effectExtent l="0" t="0" r="0" b="2540"/>
            <wp:docPr id="2069827809" name="Picture 12" descr="A flow-chart figure with examples of how HFE works in practice after a change to a state’s relative capacity to raise revenue, or relative costs of providing services.&#10;The revenue example is about an increase in the value of Victoria’s taxable renumeration. A branch goes down to a box which outlines that Victoria’s assessed payroll tax increases, reflecting and increase in its taxable base, and therefore Victoria’s assessed capacity to raise revenue, and overall fiscal capacity increases. Two branches go down from this box. The left-hand side branch shows Victoria’s relativity decreases to reflect its stronger relative fiscal capacity, and then another branch shows Victoria’s share of the GST decreases. The right-hand side branch shows other states’ relativities may increase to reflect a change in their relative ability to raise revenue, and then another branch shows other states’ share of the GST may increase. A final branch from the left-hand side summarises that an increase in a state’s assessed revenues would decrease their share of the GST to reflect their stronger fiscal capacity.&#10;The expense example is about an increase in the percentage of Tasmania’s population aged over 65. A branch goes down to a box which outlines that Tasmania’s assessed health expenses increase, reflecting an increase in the cost of providing health services, and therefore Tasmania’s assessed expenses increase and its assessed fiscal capacity decreases. Two branches go down from this box. The left-hand side branch shows Tasmania’s relativity increases to reflect its weaker relative fiscal capacity, and another branch shows Tasmania’s share of the GST therefore increases. The right-hand side branch shows other states’ relativities may decrease to reflect a change in their relative cost of delivering services, and then another branch shows that other states’ share of the GST may decrease. A final branch on the left-hand side summarises that an increase in a state’s assessed expenses would increase their share of the GST to reflect their weaker relative capaci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827809" name="Picture 12" descr="A flow-chart figure with examples of how HFE works in practice after a change to a state’s relative capacity to raise revenue, or relative costs of providing services.&#10;The revenue example is about an increase in the value of Victoria’s taxable renumeration. A branch goes down to a box which outlines that Victoria’s assessed payroll tax increases, reflecting and increase in its taxable base, and therefore Victoria’s assessed capacity to raise revenue, and overall fiscal capacity increases. Two branches go down from this box. The left-hand side branch shows Victoria’s relativity decreases to reflect its stronger relative fiscal capacity, and then another branch shows Victoria’s share of the GST decreases. The right-hand side branch shows other states’ relativities may increase to reflect a change in their relative ability to raise revenue, and then another branch shows other states’ share of the GST may increase. A final branch from the left-hand side summarises that an increase in a state’s assessed revenues would decrease their share of the GST to reflect their stronger fiscal capacity.&#10;The expense example is about an increase in the percentage of Tasmania’s population aged over 65. A branch goes down to a box which outlines that Tasmania’s assessed health expenses increase, reflecting an increase in the cost of providing health services, and therefore Tasmania’s assessed expenses increase and its assessed fiscal capacity decreases. Two branches go down from this box. The left-hand side branch shows Tasmania’s relativity increases to reflect its weaker relative fiscal capacity, and another branch shows Tasmania’s share of the GST therefore increases. The right-hand side branch shows other states’ relativities may decrease to reflect a change in their relative cost of delivering services, and then another branch shows that other states’ share of the GST may decrease. A final branch on the left-hand side summarises that an increase in a state’s assessed expenses would increase their share of the GST to reflect their weaker relative capacity.&#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5293360"/>
                    </a:xfrm>
                    <a:prstGeom prst="rect">
                      <a:avLst/>
                    </a:prstGeom>
                    <a:noFill/>
                    <a:ln>
                      <a:noFill/>
                    </a:ln>
                  </pic:spPr>
                </pic:pic>
              </a:graphicData>
            </a:graphic>
          </wp:inline>
        </w:drawing>
      </w:r>
    </w:p>
    <w:p w14:paraId="422AFBA2" w14:textId="5DF3261F" w:rsidR="00B111AD" w:rsidRDefault="00B111AD" w:rsidP="004255F3">
      <w:pPr>
        <w:pStyle w:val="Note"/>
        <w:spacing w:after="360"/>
      </w:pPr>
      <w:r>
        <w:t>Examples are based on the pre-2018 HFE system. Following the 2018 reforms, the CGC’s approach has additional steps which</w:t>
      </w:r>
      <w:r w:rsidR="009D0C58">
        <w:t xml:space="preserve"> may</w:t>
      </w:r>
      <w:r>
        <w:t xml:space="preserve"> impa</w:t>
      </w:r>
      <w:r w:rsidR="009D0C58">
        <w:t>ct a state’s GST</w:t>
      </w:r>
      <w:r w:rsidR="00A0148A">
        <w:t xml:space="preserve"> payments</w:t>
      </w:r>
      <w:r w:rsidR="009D0C58">
        <w:t xml:space="preserve">, </w:t>
      </w:r>
      <w:r>
        <w:t xml:space="preserve">but do not affect the calculation of their </w:t>
      </w:r>
      <w:r w:rsidRPr="009D0C58">
        <w:t xml:space="preserve">assessed </w:t>
      </w:r>
      <w:r>
        <w:t>relativities.</w:t>
      </w:r>
    </w:p>
    <w:p w14:paraId="2CE5715A" w14:textId="35094602" w:rsidR="0084540C" w:rsidRDefault="00A63782" w:rsidP="00A63782">
      <w:pPr>
        <w:pStyle w:val="Heading3"/>
      </w:pPr>
      <w:r>
        <w:t xml:space="preserve">The 2018 reforms changed the way </w:t>
      </w:r>
      <w:r w:rsidR="00F35437">
        <w:t>HFE is implemented</w:t>
      </w:r>
    </w:p>
    <w:p w14:paraId="58EA0B9B" w14:textId="6B7370A9" w:rsidR="0054462B" w:rsidRDefault="0054462B" w:rsidP="008B7F5E">
      <w:pPr>
        <w:pStyle w:val="BodyText"/>
        <w:keepNext/>
      </w:pPr>
      <w:r>
        <w:t xml:space="preserve">In 2018, the </w:t>
      </w:r>
      <w:r w:rsidR="00A039FA">
        <w:t xml:space="preserve">Australian </w:t>
      </w:r>
      <w:r w:rsidRPr="001A40E3">
        <w:t xml:space="preserve">Parliament passed the </w:t>
      </w:r>
      <w:r w:rsidRPr="001A40E3">
        <w:rPr>
          <w:i/>
          <w:iCs/>
        </w:rPr>
        <w:t>Treasury Laws Amendment (Making Sure Every State and Territory Gets Their Fair Share of GST) Act 2018</w:t>
      </w:r>
      <w:r w:rsidRPr="001A40E3">
        <w:t xml:space="preserve"> (</w:t>
      </w:r>
      <w:proofErr w:type="spellStart"/>
      <w:r w:rsidRPr="001A40E3">
        <w:t>Cth</w:t>
      </w:r>
      <w:proofErr w:type="spellEnd"/>
      <w:r w:rsidRPr="001A40E3">
        <w:t>) (the Act)</w:t>
      </w:r>
      <w:r>
        <w:t xml:space="preserve">. </w:t>
      </w:r>
      <w:r w:rsidR="00902CB9">
        <w:t>Schedule 1 of t</w:t>
      </w:r>
      <w:r>
        <w:t xml:space="preserve">he Act made </w:t>
      </w:r>
      <w:r w:rsidR="00E90254">
        <w:t>4</w:t>
      </w:r>
      <w:r>
        <w:t xml:space="preserve"> substantial changes to how HFE is implemented in Australia</w:t>
      </w:r>
      <w:r w:rsidR="00185887">
        <w:t xml:space="preserve"> by introducing</w:t>
      </w:r>
      <w:r>
        <w:t>:</w:t>
      </w:r>
    </w:p>
    <w:p w14:paraId="25CC2EA6" w14:textId="7190A173" w:rsidR="0054462B" w:rsidRDefault="0054462B" w:rsidP="0054462B">
      <w:pPr>
        <w:pStyle w:val="ListBullet"/>
      </w:pPr>
      <w:r>
        <w:t xml:space="preserve">a new </w:t>
      </w:r>
      <w:r>
        <w:rPr>
          <w:b/>
          <w:bCs/>
        </w:rPr>
        <w:t xml:space="preserve">fiscal equalisation standard </w:t>
      </w:r>
      <w:r>
        <w:t>(</w:t>
      </w:r>
      <w:r w:rsidR="00185887">
        <w:t xml:space="preserve">with </w:t>
      </w:r>
      <w:r>
        <w:t>transitional arrangements) – set at the</w:t>
      </w:r>
      <w:r w:rsidDel="002F1A85">
        <w:t xml:space="preserve"> </w:t>
      </w:r>
      <w:r>
        <w:t xml:space="preserve">relativity of </w:t>
      </w:r>
      <w:r w:rsidR="00DC777F">
        <w:t xml:space="preserve">whichever of </w:t>
      </w:r>
      <w:r>
        <w:t>New South Wales or Victoria</w:t>
      </w:r>
      <w:r w:rsidR="00DC777F">
        <w:t xml:space="preserve"> has the greater fiscal capacity</w:t>
      </w:r>
    </w:p>
    <w:p w14:paraId="25265B04" w14:textId="55ADFE83" w:rsidR="0054462B" w:rsidRDefault="0054462B" w:rsidP="0054462B">
      <w:pPr>
        <w:pStyle w:val="ListBullet"/>
      </w:pPr>
      <w:r w:rsidRPr="009C7FD5">
        <w:t xml:space="preserve">a GST </w:t>
      </w:r>
      <w:r w:rsidRPr="00D47D57">
        <w:rPr>
          <w:b/>
          <w:bCs/>
        </w:rPr>
        <w:t>relativity floor</w:t>
      </w:r>
      <w:r>
        <w:rPr>
          <w:b/>
          <w:bCs/>
        </w:rPr>
        <w:t xml:space="preserve"> </w:t>
      </w:r>
      <w:r>
        <w:t xml:space="preserve">– </w:t>
      </w:r>
      <w:r w:rsidRPr="009C7FD5">
        <w:t>set at 0.70 in 2022</w:t>
      </w:r>
      <w:r w:rsidR="000F38B6">
        <w:t>–</w:t>
      </w:r>
      <w:r w:rsidRPr="009C7FD5">
        <w:t>23</w:t>
      </w:r>
      <w:r w:rsidR="00DC777F">
        <w:t>,</w:t>
      </w:r>
      <w:r w:rsidRPr="009C7FD5">
        <w:t xml:space="preserve"> then increased to 0.75 from 2024</w:t>
      </w:r>
      <w:r w:rsidR="000F38B6">
        <w:t>–</w:t>
      </w:r>
      <w:r w:rsidRPr="009C7FD5">
        <w:t>25</w:t>
      </w:r>
    </w:p>
    <w:p w14:paraId="4B7E7195" w14:textId="762FFDC8" w:rsidR="0054462B" w:rsidRDefault="0054462B" w:rsidP="0054462B">
      <w:pPr>
        <w:pStyle w:val="ListBullet"/>
      </w:pPr>
      <w:r>
        <w:t xml:space="preserve">a GST </w:t>
      </w:r>
      <w:r w:rsidRPr="0050681A">
        <w:rPr>
          <w:b/>
          <w:bCs/>
        </w:rPr>
        <w:t>pool boost</w:t>
      </w:r>
      <w:r>
        <w:rPr>
          <w:b/>
          <w:bCs/>
        </w:rPr>
        <w:t xml:space="preserve"> </w:t>
      </w:r>
      <w:r>
        <w:t>– perpetual yearly top</w:t>
      </w:r>
      <w:r>
        <w:noBreakHyphen/>
        <w:t>ups of the GST pool by the Australian Government ($600 million from 202</w:t>
      </w:r>
      <w:r w:rsidR="000F38B6">
        <w:t>1–</w:t>
      </w:r>
      <w:r>
        <w:t>22, then $850 million from 2024</w:t>
      </w:r>
      <w:r w:rsidR="000F38B6">
        <w:t>–</w:t>
      </w:r>
      <w:r>
        <w:t>25, indexed to GST pool growth)</w:t>
      </w:r>
    </w:p>
    <w:p w14:paraId="1A181EBC" w14:textId="3AC907D4" w:rsidR="00D849E7" w:rsidRDefault="0054462B" w:rsidP="009C58D7">
      <w:pPr>
        <w:pStyle w:val="ListBullet"/>
      </w:pPr>
      <w:r>
        <w:t xml:space="preserve">a </w:t>
      </w:r>
      <w:r w:rsidRPr="00E06C80">
        <w:rPr>
          <w:b/>
          <w:bCs/>
        </w:rPr>
        <w:t>No </w:t>
      </w:r>
      <w:r w:rsidRPr="00E06C80" w:rsidDel="0040399B">
        <w:rPr>
          <w:b/>
          <w:bCs/>
        </w:rPr>
        <w:t>Worse</w:t>
      </w:r>
      <w:r w:rsidR="006B5D2A">
        <w:rPr>
          <w:b/>
          <w:bCs/>
        </w:rPr>
        <w:t> </w:t>
      </w:r>
      <w:r w:rsidRPr="00E06C80">
        <w:rPr>
          <w:b/>
          <w:bCs/>
        </w:rPr>
        <w:t>Off (</w:t>
      </w:r>
      <w:proofErr w:type="spellStart"/>
      <w:r w:rsidRPr="00E06C80">
        <w:rPr>
          <w:b/>
          <w:bCs/>
        </w:rPr>
        <w:t>NoWO</w:t>
      </w:r>
      <w:proofErr w:type="spellEnd"/>
      <w:r w:rsidRPr="00E06C80">
        <w:rPr>
          <w:b/>
          <w:bCs/>
        </w:rPr>
        <w:t>) guarantee</w:t>
      </w:r>
      <w:r>
        <w:t xml:space="preserve"> – </w:t>
      </w:r>
      <w:r w:rsidRPr="0050681A">
        <w:t>ensur</w:t>
      </w:r>
      <w:r>
        <w:t>ing</w:t>
      </w:r>
      <w:r w:rsidRPr="0050681A">
        <w:t xml:space="preserve"> that no state receive</w:t>
      </w:r>
      <w:r>
        <w:t>s</w:t>
      </w:r>
      <w:r w:rsidRPr="0050681A">
        <w:t xml:space="preserve"> less under the </w:t>
      </w:r>
      <w:r w:rsidR="0074458D">
        <w:t xml:space="preserve">current </w:t>
      </w:r>
      <w:r w:rsidR="000E39FC">
        <w:t xml:space="preserve">GST </w:t>
      </w:r>
      <w:r w:rsidRPr="0050681A">
        <w:t xml:space="preserve">distribution system than it would have received under the </w:t>
      </w:r>
      <w:r w:rsidR="000E39FC">
        <w:t xml:space="preserve">pre-2018 </w:t>
      </w:r>
      <w:r w:rsidRPr="0050681A">
        <w:t>system</w:t>
      </w:r>
      <w:r>
        <w:t>.</w:t>
      </w:r>
    </w:p>
    <w:p w14:paraId="510FBBFC" w14:textId="6E6FF20B" w:rsidR="00975FEA" w:rsidRDefault="00975FEA" w:rsidP="006C7C95">
      <w:pPr>
        <w:pStyle w:val="BodyText"/>
      </w:pPr>
      <w:r>
        <w:lastRenderedPageBreak/>
        <w:t xml:space="preserve">Together, these changes </w:t>
      </w:r>
      <w:r w:rsidR="006C7C95">
        <w:t xml:space="preserve">represent a significant change to how HFE is </w:t>
      </w:r>
      <w:r w:rsidR="00D65809">
        <w:t>undertaken</w:t>
      </w:r>
      <w:r w:rsidR="006C7C95">
        <w:t xml:space="preserve"> in Australia.</w:t>
      </w:r>
    </w:p>
    <w:p w14:paraId="3C3F31DB" w14:textId="3BF5F3BF" w:rsidR="004266C0" w:rsidRDefault="00D10D06" w:rsidP="004266C0">
      <w:pPr>
        <w:pStyle w:val="BodyText"/>
      </w:pPr>
      <w:r>
        <w:t>Following the</w:t>
      </w:r>
      <w:r w:rsidR="00765A71">
        <w:t xml:space="preserve"> </w:t>
      </w:r>
      <w:r w:rsidR="00EE6910">
        <w:t>2018 reforms</w:t>
      </w:r>
      <w:r>
        <w:t xml:space="preserve">, the CGC now undertakes </w:t>
      </w:r>
      <w:r w:rsidR="009C58D7">
        <w:t>additional steps when calculating relativities</w:t>
      </w:r>
      <w:r>
        <w:t xml:space="preserve"> (figure </w:t>
      </w:r>
      <w:r w:rsidR="00AE0799">
        <w:t>9</w:t>
      </w:r>
      <w:r>
        <w:t>)</w:t>
      </w:r>
      <w:r w:rsidR="009C58D7">
        <w:t xml:space="preserve">. </w:t>
      </w:r>
      <w:r w:rsidR="004266C0">
        <w:t>These changes were implemented over a transition period from 202</w:t>
      </w:r>
      <w:r w:rsidR="006F2679">
        <w:t>1–</w:t>
      </w:r>
      <w:r w:rsidR="004266C0">
        <w:t>22 to 2025</w:t>
      </w:r>
      <w:r w:rsidR="000F38B6">
        <w:t>–</w:t>
      </w:r>
      <w:r w:rsidR="004266C0">
        <w:t>26. During the transition period, each state’s GST relativity was calculated using a weighted average of the relativities that would apply under the pre</w:t>
      </w:r>
      <w:r w:rsidR="004266C0">
        <w:softHyphen/>
        <w:t xml:space="preserve">-2018 </w:t>
      </w:r>
      <w:r w:rsidR="00184F44">
        <w:t xml:space="preserve">HFE </w:t>
      </w:r>
      <w:r w:rsidR="004266C0">
        <w:t xml:space="preserve">system and </w:t>
      </w:r>
      <w:r w:rsidR="00BA0BC4">
        <w:t xml:space="preserve">current HFE system </w:t>
      </w:r>
      <w:r w:rsidR="00CA057E" w:rsidRPr="0022696E">
        <w:rPr>
          <w:rFonts w:cs="Open Sans"/>
          <w:szCs w:val="24"/>
        </w:rPr>
        <w:t>(Parliament of Australia 2018, pp. 15–16)</w:t>
      </w:r>
      <w:r w:rsidR="004266C0" w:rsidRPr="009C58D7">
        <w:t>.</w:t>
      </w:r>
    </w:p>
    <w:p w14:paraId="1A53D177" w14:textId="5109C9E8" w:rsidR="00CC2A89" w:rsidRPr="00146382" w:rsidRDefault="00CC2A89" w:rsidP="008E1094">
      <w:pPr>
        <w:pStyle w:val="FigureTableHeading"/>
      </w:pPr>
      <w:r>
        <w:t>Figure</w:t>
      </w:r>
      <w:r w:rsidR="00C33BF8">
        <w:t xml:space="preserve"> </w:t>
      </w:r>
      <w:fldSimple w:instr=" SEQ Figure \* ARABIC \s 1 ">
        <w:r w:rsidR="00EB6801">
          <w:rPr>
            <w:noProof/>
          </w:rPr>
          <w:t>9</w:t>
        </w:r>
      </w:fldSimple>
      <w:r>
        <w:rPr>
          <w:noProof/>
        </w:rPr>
        <w:t xml:space="preserve"> </w:t>
      </w:r>
      <w:r>
        <w:t>– The 2018 reforms introduced additional steps to th</w:t>
      </w:r>
      <w:r w:rsidR="009E4FB0">
        <w:t>e CGC’s process</w:t>
      </w:r>
    </w:p>
    <w:p w14:paraId="79ADF0DF" w14:textId="1C03C233" w:rsidR="00CC2A89" w:rsidRPr="005550A0" w:rsidRDefault="007834E9" w:rsidP="008E1094">
      <w:pPr>
        <w:pStyle w:val="BodyText"/>
      </w:pPr>
      <w:r w:rsidRPr="007834E9">
        <w:rPr>
          <w:noProof/>
        </w:rPr>
        <w:drawing>
          <wp:inline distT="0" distB="0" distL="0" distR="0" wp14:anchorId="715732B1" wp14:editId="61EA1866">
            <wp:extent cx="6120130" cy="3566795"/>
            <wp:effectExtent l="0" t="0" r="0" b="0"/>
            <wp:docPr id="1575966783" name="Picture 13" descr="A figure with three panels that outlines the steps involved in calculating GST relativities before and after the 2018 reforms.&#10;Panel 1 – Prior to the 2018 reforms, the CGC calculated assessed relativities. Each state’s relative capacity to raise revenue is compared with its relative cost of providing services. Assessed relativities match a state’s assessed expenditure with its assessed revenue &#10;(including GST). Assessed relativities are used to determine NoWO payments.&#10;Panels 2 and 3 – Following the 2018 reforms, after calculating assessed relativities, the CGC must now also calculate standard state relativities and GST relativities. For standard state relativities, relativities are adjusted so that no state has a relativity less than the lower of NSW or Victoria (the ‘standard state’). Any state that is fiscally stronger than (and has a lower assessed relativity than) the standard state will have its relativity increased. All other states’ relativities are adjusted down to accommodate this. For GST relativities, if a standard state’s relativity is below the floor, its GST relativity is adjusted up to the 0.75 floor (along with the relativities of any other states that have had their relativities lifted to match the standard state). All other states’ relativities are adjusted down to accommodate this. GST relativities are the ‘final numbers’ in the proces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966783" name="Picture 13" descr="A figure with three panels that outlines the steps involved in calculating GST relativities before and after the 2018 reforms.&#10;Panel 1 – Prior to the 2018 reforms, the CGC calculated assessed relativities. Each state’s relative capacity to raise revenue is compared with its relative cost of providing services. Assessed relativities match a state’s assessed expenditure with its assessed revenue &#10;(including GST). Assessed relativities are used to determine NoWO payments.&#10;Panels 2 and 3 – Following the 2018 reforms, after calculating assessed relativities, the CGC must now also calculate standard state relativities and GST relativities. For standard state relativities, relativities are adjusted so that no state has a relativity less than the lower of NSW or Victoria (the ‘standard state’). Any state that is fiscally stronger than (and has a lower assessed relativity than) the standard state will have its relativity increased. All other states’ relativities are adjusted down to accommodate this. For GST relativities, if a standard state’s relativity is below the floor, its GST relativity is adjusted up to the 0.75 floor (along with the relativities of any other states that have had their relativities lifted to match the standard state). All other states’ relativities are adjusted down to accommodate this. GST relativities are the ‘final numbers’ in the process.&#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3566795"/>
                    </a:xfrm>
                    <a:prstGeom prst="rect">
                      <a:avLst/>
                    </a:prstGeom>
                    <a:noFill/>
                    <a:ln>
                      <a:noFill/>
                    </a:ln>
                  </pic:spPr>
                </pic:pic>
              </a:graphicData>
            </a:graphic>
          </wp:inline>
        </w:drawing>
      </w:r>
    </w:p>
    <w:p w14:paraId="55F4A6A1" w14:textId="77777777" w:rsidR="00564DBC" w:rsidRDefault="00564DBC" w:rsidP="00564DBC">
      <w:pPr>
        <w:pStyle w:val="Note"/>
        <w:keepLines/>
      </w:pPr>
      <w:r w:rsidRPr="00180E66">
        <w:rPr>
          <w:b/>
          <w:bCs/>
        </w:rPr>
        <w:t>a.</w:t>
      </w:r>
      <w:r>
        <w:t xml:space="preserve"> States’ relativities are adjusted down on a population share basis.</w:t>
      </w:r>
    </w:p>
    <w:p w14:paraId="3452AF42" w14:textId="4643A771" w:rsidR="006E500B" w:rsidRDefault="00564DBC" w:rsidP="00564DBC">
      <w:pPr>
        <w:pStyle w:val="Source"/>
      </w:pPr>
      <w:r w:rsidRPr="00696447">
        <w:t xml:space="preserve">Source: </w:t>
      </w:r>
      <w:r>
        <w:t>adapted from CGC (sub. 34, p. 22)</w:t>
      </w:r>
      <w:r w:rsidRPr="00696447">
        <w:t>.</w:t>
      </w:r>
    </w:p>
    <w:p w14:paraId="72471F21" w14:textId="18CA0DA1" w:rsidR="004266C0" w:rsidRDefault="004266C0" w:rsidP="004266C0">
      <w:pPr>
        <w:pStyle w:val="BodyText"/>
      </w:pPr>
      <w:r>
        <w:t>The 2018 reforms and their i</w:t>
      </w:r>
      <w:r w:rsidR="00276B4E">
        <w:t>mpacts</w:t>
      </w:r>
      <w:r>
        <w:t xml:space="preserve"> are </w:t>
      </w:r>
      <w:r w:rsidR="00AA045C">
        <w:t xml:space="preserve">discussed </w:t>
      </w:r>
      <w:r>
        <w:t>in more detail in chapter 2</w:t>
      </w:r>
      <w:r w:rsidR="000912EB">
        <w:t xml:space="preserve"> of the GST distribution reforms report</w:t>
      </w:r>
      <w:r>
        <w:t>.</w:t>
      </w:r>
    </w:p>
    <w:p w14:paraId="3235DBB9" w14:textId="23298872" w:rsidR="00A91551" w:rsidRPr="00BC2AFF" w:rsidRDefault="00A91551" w:rsidP="000A1E22">
      <w:pPr>
        <w:spacing w:before="0" w:after="160" w:line="259" w:lineRule="auto"/>
      </w:pPr>
      <w:r w:rsidRPr="00BC2AFF">
        <w:br w:type="page"/>
      </w:r>
    </w:p>
    <w:p w14:paraId="573B04BF" w14:textId="28981587" w:rsidR="00A91551" w:rsidRPr="00BC2AFF" w:rsidRDefault="00FB33EE" w:rsidP="000912EB">
      <w:pPr>
        <w:pStyle w:val="Heading1-nobackground"/>
      </w:pPr>
      <w:r>
        <w:lastRenderedPageBreak/>
        <w:t>References</w:t>
      </w:r>
    </w:p>
    <w:p w14:paraId="047BC96C" w14:textId="77777777" w:rsidR="00683478" w:rsidRDefault="00683478" w:rsidP="008046BD">
      <w:pPr>
        <w:pStyle w:val="Reference"/>
        <w:sectPr w:rsidR="00683478" w:rsidSect="002E3F19">
          <w:headerReference w:type="even" r:id="rId24"/>
          <w:headerReference w:type="default" r:id="rId25"/>
          <w:footerReference w:type="even" r:id="rId26"/>
          <w:footerReference w:type="default" r:id="rId27"/>
          <w:pgSz w:w="11906" w:h="16838" w:code="9"/>
          <w:pgMar w:top="1134" w:right="1134" w:bottom="1134" w:left="1134" w:header="794" w:footer="510" w:gutter="0"/>
          <w:cols w:space="708"/>
          <w:docGrid w:linePitch="360"/>
        </w:sectPr>
      </w:pPr>
    </w:p>
    <w:p w14:paraId="48314225" w14:textId="4D484D54" w:rsidR="00A15CF0" w:rsidRPr="00A15CF0" w:rsidRDefault="00A15CF0" w:rsidP="008046BD">
      <w:pPr>
        <w:pStyle w:val="Reference"/>
      </w:pPr>
      <w:r w:rsidRPr="00A15CF0">
        <w:t xml:space="preserve">ABS (Australian Bureau of Statistics) 2022, </w:t>
      </w:r>
      <w:r w:rsidRPr="003F647E">
        <w:rPr>
          <w:i/>
          <w:iCs/>
        </w:rPr>
        <w:t>Aboriginal and Torres Strait Island people: census</w:t>
      </w:r>
      <w:r w:rsidRPr="00A15CF0">
        <w:t>.</w:t>
      </w:r>
    </w:p>
    <w:p w14:paraId="24C359BD" w14:textId="26DDDFC7" w:rsidR="00A15CF0" w:rsidRPr="00A15CF0" w:rsidRDefault="00A15CF0" w:rsidP="008046BD">
      <w:pPr>
        <w:pStyle w:val="Reference"/>
      </w:pPr>
      <w:r w:rsidRPr="00A15CF0">
        <w:t xml:space="preserve">—— 2025, </w:t>
      </w:r>
      <w:r w:rsidRPr="003F647E">
        <w:rPr>
          <w:i/>
          <w:iCs/>
        </w:rPr>
        <w:t>Data by region</w:t>
      </w:r>
      <w:r w:rsidRPr="00A15CF0">
        <w:t>.</w:t>
      </w:r>
    </w:p>
    <w:p w14:paraId="75566865" w14:textId="5DFFBDA1" w:rsidR="00A15CF0" w:rsidRPr="00A15CF0" w:rsidRDefault="00A15CF0" w:rsidP="008046BD">
      <w:pPr>
        <w:pStyle w:val="Reference"/>
      </w:pPr>
      <w:r w:rsidRPr="00A15CF0">
        <w:t>——</w:t>
      </w:r>
      <w:r w:rsidR="005E4888">
        <w:t xml:space="preserve"> </w:t>
      </w:r>
      <w:r w:rsidRPr="00A15CF0">
        <w:t>2026, Government Finance Statistics, unpublished, annual.</w:t>
      </w:r>
    </w:p>
    <w:p w14:paraId="0EEFE880" w14:textId="77777777" w:rsidR="00A15CF0" w:rsidRPr="000912EB" w:rsidRDefault="00A15CF0" w:rsidP="008046BD">
      <w:pPr>
        <w:pStyle w:val="Reference"/>
        <w:rPr>
          <w:spacing w:val="-4"/>
        </w:rPr>
      </w:pPr>
      <w:proofErr w:type="spellStart"/>
      <w:r w:rsidRPr="000912EB">
        <w:rPr>
          <w:spacing w:val="-4"/>
        </w:rPr>
        <w:t>Asdrubali</w:t>
      </w:r>
      <w:proofErr w:type="spellEnd"/>
      <w:r w:rsidRPr="000912EB">
        <w:rPr>
          <w:spacing w:val="-4"/>
        </w:rPr>
        <w:t xml:space="preserve">, P, Sorenson, BE and Yosha, O 1996, ‘Channels of interstate risk sharing: United States 1963-1990’, </w:t>
      </w:r>
      <w:r w:rsidRPr="003F647E">
        <w:rPr>
          <w:i/>
          <w:iCs/>
          <w:spacing w:val="-4"/>
        </w:rPr>
        <w:t>The Quarterly Journal of Economics</w:t>
      </w:r>
      <w:r w:rsidRPr="000912EB">
        <w:rPr>
          <w:spacing w:val="-4"/>
        </w:rPr>
        <w:t>, vol. 111, no. 4, pp. 1081–1110.</w:t>
      </w:r>
    </w:p>
    <w:p w14:paraId="24B72914" w14:textId="77777777" w:rsidR="00A15CF0" w:rsidRPr="00A15CF0" w:rsidRDefault="00A15CF0" w:rsidP="008046BD">
      <w:pPr>
        <w:pStyle w:val="Reference"/>
      </w:pPr>
      <w:r w:rsidRPr="00A15CF0">
        <w:t xml:space="preserve">Australian Government Department of the Treasury 2022a, </w:t>
      </w:r>
      <w:r w:rsidRPr="003F647E">
        <w:rPr>
          <w:i/>
          <w:iCs/>
        </w:rPr>
        <w:t>Intergovernmental Agreement on Federal Financial Relations - Schedule A: Definitions and institutional arrangements</w:t>
      </w:r>
      <w:r w:rsidRPr="00A15CF0">
        <w:t>.</w:t>
      </w:r>
    </w:p>
    <w:p w14:paraId="21AFAF0C" w14:textId="77777777" w:rsidR="00A15CF0" w:rsidRPr="00A15CF0" w:rsidRDefault="00A15CF0" w:rsidP="008046BD">
      <w:pPr>
        <w:pStyle w:val="Reference"/>
      </w:pPr>
      <w:r w:rsidRPr="00A15CF0">
        <w:t xml:space="preserve">—— 2022b, </w:t>
      </w:r>
      <w:r w:rsidRPr="003F647E">
        <w:rPr>
          <w:i/>
          <w:iCs/>
        </w:rPr>
        <w:t>Intergovernmental Agreement on Federal Financial Relations - Schedule E: National Policy and Reform Objectives</w:t>
      </w:r>
      <w:r w:rsidRPr="00A15CF0">
        <w:t>.</w:t>
      </w:r>
    </w:p>
    <w:p w14:paraId="6BDB1D79" w14:textId="77777777" w:rsidR="00A15CF0" w:rsidRPr="00A15CF0" w:rsidRDefault="00A15CF0" w:rsidP="008046BD">
      <w:pPr>
        <w:pStyle w:val="Reference"/>
      </w:pPr>
      <w:r w:rsidRPr="00A15CF0">
        <w:t xml:space="preserve">—— 2022c, </w:t>
      </w:r>
      <w:r w:rsidRPr="00961E4C">
        <w:rPr>
          <w:i/>
          <w:iCs/>
        </w:rPr>
        <w:t>Intergovernmental Agreement on Federal Financial Relations - Schedule F: The Federation Funding Agreements framework</w:t>
      </w:r>
      <w:r w:rsidRPr="00A15CF0">
        <w:t>.</w:t>
      </w:r>
    </w:p>
    <w:p w14:paraId="50069B0D" w14:textId="77777777" w:rsidR="00A15CF0" w:rsidRPr="00A15CF0" w:rsidRDefault="00A15CF0" w:rsidP="008046BD">
      <w:pPr>
        <w:pStyle w:val="Reference"/>
      </w:pPr>
      <w:r w:rsidRPr="00A15CF0">
        <w:t xml:space="preserve">—— 2024a, </w:t>
      </w:r>
      <w:r w:rsidRPr="00961E4C">
        <w:rPr>
          <w:i/>
          <w:iCs/>
        </w:rPr>
        <w:t>Implementing Water Reform in the Murray-Darling Basin - 2024-25 to 2027-28, Federal Financial Relations</w:t>
      </w:r>
      <w:r w:rsidRPr="00A15CF0">
        <w:t>, https://federalfinancialrelations.gov.au/agreements/implementing-water-reform-murray-darling-basin-2024-25-2027-28 (accessed 10 August 2026).</w:t>
      </w:r>
    </w:p>
    <w:p w14:paraId="28771160" w14:textId="77777777" w:rsidR="00A15CF0" w:rsidRPr="00A15CF0" w:rsidRDefault="00A15CF0" w:rsidP="008046BD">
      <w:pPr>
        <w:pStyle w:val="Reference"/>
      </w:pPr>
      <w:r w:rsidRPr="00A15CF0">
        <w:t xml:space="preserve">—— 2024b, </w:t>
      </w:r>
      <w:r w:rsidRPr="00961E4C">
        <w:rPr>
          <w:i/>
          <w:iCs/>
        </w:rPr>
        <w:t>National Bowel Cancer Screening Program - Participant Follow-up Function</w:t>
      </w:r>
      <w:r w:rsidRPr="00A15CF0">
        <w:t>, Federal Financial Relations, https://federalfinancialrelations.gov.au/agreements/national-bowel-cancer-screening-program-participant-follow-function (accessed 10 August 2026).</w:t>
      </w:r>
    </w:p>
    <w:p w14:paraId="7AE24692" w14:textId="77777777" w:rsidR="00A15CF0" w:rsidRPr="00A15CF0" w:rsidRDefault="00A15CF0" w:rsidP="008046BD">
      <w:pPr>
        <w:pStyle w:val="Reference"/>
      </w:pPr>
      <w:r w:rsidRPr="00A15CF0">
        <w:t xml:space="preserve">—— 2026, </w:t>
      </w:r>
      <w:r w:rsidRPr="00306B0C">
        <w:rPr>
          <w:i/>
          <w:iCs/>
        </w:rPr>
        <w:t>Agreements | Federal Financial Relations</w:t>
      </w:r>
      <w:r w:rsidRPr="00A15CF0">
        <w:t>, https://federalfinancialrelations.gov.au/agreements (accessed 10 August 2026).</w:t>
      </w:r>
    </w:p>
    <w:p w14:paraId="55BA3FCE" w14:textId="77777777" w:rsidR="00A15CF0" w:rsidRPr="00A15CF0" w:rsidRDefault="00A15CF0" w:rsidP="008046BD">
      <w:pPr>
        <w:pStyle w:val="Reference"/>
      </w:pPr>
      <w:r w:rsidRPr="00A15CF0">
        <w:t xml:space="preserve">Braun, D 2006, ‘Between market-preserving federalism and intergovernmental coordination: the case of Australia’, </w:t>
      </w:r>
      <w:r w:rsidRPr="00306B0C">
        <w:rPr>
          <w:i/>
          <w:iCs/>
        </w:rPr>
        <w:t>The Swiss Political Science Review</w:t>
      </w:r>
      <w:r w:rsidRPr="00A15CF0">
        <w:t>, vol. 12, no. 2.</w:t>
      </w:r>
    </w:p>
    <w:p w14:paraId="652EA9E9" w14:textId="77777777" w:rsidR="00A15CF0" w:rsidRPr="00A15CF0" w:rsidRDefault="00A15CF0" w:rsidP="008046BD">
      <w:pPr>
        <w:pStyle w:val="Reference"/>
      </w:pPr>
      <w:r w:rsidRPr="00A15CF0">
        <w:t xml:space="preserve">Buchanan, J 1950, ‘Federalism and fiscal equity’, </w:t>
      </w:r>
      <w:r w:rsidRPr="000A2E8F">
        <w:rPr>
          <w:i/>
          <w:iCs/>
        </w:rPr>
        <w:t>American Economic Review</w:t>
      </w:r>
      <w:r w:rsidRPr="00A15CF0">
        <w:t>, vol. 40, no. 4, pp. 583–599.</w:t>
      </w:r>
    </w:p>
    <w:p w14:paraId="4A3934F3" w14:textId="77777777" w:rsidR="00A15CF0" w:rsidRPr="00A15CF0" w:rsidRDefault="00A15CF0" w:rsidP="008046BD">
      <w:pPr>
        <w:pStyle w:val="Reference"/>
      </w:pPr>
      <w:r w:rsidRPr="00A15CF0">
        <w:t xml:space="preserve">CGC (Commonwealth Grants Commission) 2020, </w:t>
      </w:r>
      <w:r w:rsidRPr="000A2E8F">
        <w:rPr>
          <w:i/>
          <w:iCs/>
        </w:rPr>
        <w:t>Horizontal fiscal equalisation in the Australian federation</w:t>
      </w:r>
      <w:r w:rsidRPr="00A15CF0">
        <w:t>, Canberra.</w:t>
      </w:r>
    </w:p>
    <w:p w14:paraId="0FB117EF" w14:textId="73300255" w:rsidR="00A15CF0" w:rsidRPr="00A15CF0" w:rsidRDefault="00A15CF0" w:rsidP="008046BD">
      <w:pPr>
        <w:pStyle w:val="Reference"/>
      </w:pPr>
      <w:r w:rsidRPr="00A15CF0">
        <w:t xml:space="preserve">—— 2022, </w:t>
      </w:r>
      <w:r w:rsidRPr="000A2E8F">
        <w:rPr>
          <w:i/>
          <w:iCs/>
        </w:rPr>
        <w:t>Research paper no. 3: International comparison of fiscal equalisation</w:t>
      </w:r>
      <w:r w:rsidRPr="00A15CF0">
        <w:t>, 21 April, Canberra.</w:t>
      </w:r>
    </w:p>
    <w:p w14:paraId="17EFF482" w14:textId="5132BF1D" w:rsidR="00A15CF0" w:rsidRPr="00A15CF0" w:rsidRDefault="00A15CF0" w:rsidP="008046BD">
      <w:pPr>
        <w:pStyle w:val="Reference"/>
      </w:pPr>
      <w:r w:rsidRPr="00A15CF0">
        <w:t xml:space="preserve">—— 2023, </w:t>
      </w:r>
      <w:r w:rsidRPr="000A2E8F">
        <w:rPr>
          <w:i/>
          <w:iCs/>
        </w:rPr>
        <w:t>Occasional paper no. 10: 90 years of the Commonwealth Grants Commission</w:t>
      </w:r>
      <w:r w:rsidRPr="00A15CF0">
        <w:t>, Canberra.</w:t>
      </w:r>
    </w:p>
    <w:p w14:paraId="6B83DA0B" w14:textId="160427AF" w:rsidR="00A15CF0" w:rsidRPr="00A15CF0" w:rsidRDefault="00A15CF0" w:rsidP="008046BD">
      <w:pPr>
        <w:pStyle w:val="Reference"/>
      </w:pPr>
      <w:r w:rsidRPr="00A15CF0">
        <w:t xml:space="preserve">—— 2024, </w:t>
      </w:r>
      <w:r w:rsidRPr="000A2E8F">
        <w:rPr>
          <w:i/>
          <w:iCs/>
        </w:rPr>
        <w:t>2024 update: GST relativities 2024-25</w:t>
      </w:r>
      <w:r w:rsidRPr="00A15CF0">
        <w:t>, March, Canberra.</w:t>
      </w:r>
    </w:p>
    <w:p w14:paraId="3C50C864" w14:textId="05B43827" w:rsidR="00A15CF0" w:rsidRPr="00A15CF0" w:rsidRDefault="00A15CF0" w:rsidP="008046BD">
      <w:pPr>
        <w:pStyle w:val="Reference"/>
      </w:pPr>
      <w:r w:rsidRPr="00A15CF0">
        <w:t xml:space="preserve">—— 2025a, </w:t>
      </w:r>
      <w:r w:rsidRPr="00AF2192">
        <w:rPr>
          <w:i/>
          <w:iCs/>
        </w:rPr>
        <w:t>2025 update: GST relativities 2025-26</w:t>
      </w:r>
      <w:r w:rsidRPr="00A15CF0">
        <w:t>, March, Canberra.</w:t>
      </w:r>
    </w:p>
    <w:p w14:paraId="0224697E" w14:textId="1079CEB3" w:rsidR="00A15CF0" w:rsidRPr="00A15CF0" w:rsidRDefault="00A15CF0" w:rsidP="008046BD">
      <w:pPr>
        <w:pStyle w:val="Reference"/>
      </w:pPr>
      <w:r w:rsidRPr="00A15CF0">
        <w:t xml:space="preserve">—— 2025b, </w:t>
      </w:r>
      <w:r w:rsidRPr="00AF2192">
        <w:rPr>
          <w:i/>
          <w:iCs/>
        </w:rPr>
        <w:t>Commission’s assessment methodology</w:t>
      </w:r>
      <w:r w:rsidRPr="00A15CF0">
        <w:t>, Canberra.</w:t>
      </w:r>
    </w:p>
    <w:p w14:paraId="49EFACFD" w14:textId="520A14B4" w:rsidR="00A15CF0" w:rsidRPr="00A15CF0" w:rsidRDefault="00A15CF0" w:rsidP="008046BD">
      <w:pPr>
        <w:pStyle w:val="Reference"/>
      </w:pPr>
      <w:r w:rsidRPr="00A15CF0">
        <w:t xml:space="preserve">—— 2026a, </w:t>
      </w:r>
      <w:r w:rsidRPr="00AF2192">
        <w:rPr>
          <w:i/>
          <w:iCs/>
        </w:rPr>
        <w:t>2026 Update: GST Relativities 2026-27</w:t>
      </w:r>
      <w:r w:rsidRPr="00A15CF0">
        <w:t>, Canberra.</w:t>
      </w:r>
    </w:p>
    <w:p w14:paraId="0ACC31D2" w14:textId="5018B966" w:rsidR="00A15CF0" w:rsidRPr="00A15CF0" w:rsidRDefault="00A15CF0" w:rsidP="008046BD">
      <w:pPr>
        <w:pStyle w:val="Reference"/>
      </w:pPr>
      <w:r w:rsidRPr="00A15CF0">
        <w:t xml:space="preserve">—— 2026b, </w:t>
      </w:r>
      <w:r w:rsidRPr="00AF2192">
        <w:rPr>
          <w:i/>
          <w:iCs/>
        </w:rPr>
        <w:t xml:space="preserve">2026 Update: GST Relativities 2026-27 </w:t>
      </w:r>
      <w:r w:rsidR="000C7AAA" w:rsidRPr="00AF2192">
        <w:rPr>
          <w:i/>
          <w:iCs/>
        </w:rPr>
        <w:t>–</w:t>
      </w:r>
      <w:r w:rsidRPr="00AF2192">
        <w:rPr>
          <w:i/>
          <w:iCs/>
        </w:rPr>
        <w:t xml:space="preserve"> The Assessed Budget</w:t>
      </w:r>
      <w:r w:rsidRPr="00A15CF0">
        <w:t>, Canberra.</w:t>
      </w:r>
    </w:p>
    <w:p w14:paraId="569FE97A" w14:textId="4D8F1A69" w:rsidR="00A15CF0" w:rsidRPr="00A15CF0" w:rsidRDefault="00A15CF0" w:rsidP="008046BD">
      <w:pPr>
        <w:pStyle w:val="Reference"/>
      </w:pPr>
      <w:r w:rsidRPr="00A15CF0">
        <w:t>—— 2026c, Glossary, https://www.cgc.gov.au/publications/</w:t>
      </w:r>
      <w:r w:rsidR="000912EB">
        <w:br/>
      </w:r>
      <w:r w:rsidRPr="00A15CF0">
        <w:t>glossary (accessed 24 April 2026).</w:t>
      </w:r>
    </w:p>
    <w:p w14:paraId="4FCCE342" w14:textId="77777777" w:rsidR="00A15CF0" w:rsidRPr="00A15CF0" w:rsidRDefault="00A15CF0" w:rsidP="008046BD">
      <w:pPr>
        <w:pStyle w:val="Reference"/>
      </w:pPr>
      <w:r w:rsidRPr="00A15CF0">
        <w:t>Commonwealth of Australia 1999, Intergovernmental agreement on the reform of Commonwealth-state financial relations.</w:t>
      </w:r>
    </w:p>
    <w:p w14:paraId="02373113" w14:textId="77777777" w:rsidR="00A15CF0" w:rsidRPr="00A15CF0" w:rsidRDefault="00A15CF0" w:rsidP="008046BD">
      <w:pPr>
        <w:pStyle w:val="Reference"/>
      </w:pPr>
      <w:r w:rsidRPr="00A15CF0">
        <w:t xml:space="preserve">—— 2008, </w:t>
      </w:r>
      <w:r w:rsidRPr="000A2E8F">
        <w:rPr>
          <w:i/>
          <w:iCs/>
        </w:rPr>
        <w:t>Budget 2008-09: budget paper no. 1</w:t>
      </w:r>
      <w:r w:rsidRPr="00A15CF0">
        <w:t>.</w:t>
      </w:r>
    </w:p>
    <w:p w14:paraId="1A624E11" w14:textId="6A4534A8" w:rsidR="00A15CF0" w:rsidRPr="00A15CF0" w:rsidRDefault="00A15CF0" w:rsidP="008046BD">
      <w:pPr>
        <w:pStyle w:val="Reference"/>
      </w:pPr>
      <w:r w:rsidRPr="00A15CF0">
        <w:t xml:space="preserve">—— 2016, </w:t>
      </w:r>
      <w:r w:rsidRPr="000A2E8F">
        <w:rPr>
          <w:i/>
          <w:iCs/>
        </w:rPr>
        <w:t>Budget 2015-16 - Final Budget Outcome 2015-16</w:t>
      </w:r>
      <w:r w:rsidRPr="00A15CF0">
        <w:t>, Canberra.</w:t>
      </w:r>
    </w:p>
    <w:p w14:paraId="4859A371" w14:textId="77777777" w:rsidR="00A15CF0" w:rsidRPr="00A15CF0" w:rsidRDefault="00A15CF0" w:rsidP="008046BD">
      <w:pPr>
        <w:pStyle w:val="Reference"/>
      </w:pPr>
      <w:r w:rsidRPr="00A15CF0">
        <w:t xml:space="preserve">—— 2019, </w:t>
      </w:r>
      <w:r w:rsidRPr="000A2E8F">
        <w:rPr>
          <w:i/>
          <w:iCs/>
        </w:rPr>
        <w:t>Budget 2018-19 - Final Budget Outcome 2018-19</w:t>
      </w:r>
      <w:r w:rsidRPr="00A15CF0">
        <w:t>, Canberra.</w:t>
      </w:r>
    </w:p>
    <w:p w14:paraId="31DFF88C" w14:textId="77777777" w:rsidR="00A15CF0" w:rsidRPr="00A15CF0" w:rsidRDefault="00A15CF0" w:rsidP="008046BD">
      <w:pPr>
        <w:pStyle w:val="Reference"/>
      </w:pPr>
      <w:r w:rsidRPr="00A15CF0">
        <w:t xml:space="preserve">—— 2024, </w:t>
      </w:r>
      <w:r w:rsidRPr="000A2E8F">
        <w:rPr>
          <w:i/>
          <w:iCs/>
        </w:rPr>
        <w:t>Budget 2024-25 - budget paper no. 3: federal financial relations</w:t>
      </w:r>
      <w:r w:rsidRPr="00A15CF0">
        <w:t>, Canberra.</w:t>
      </w:r>
    </w:p>
    <w:p w14:paraId="784EEC2C" w14:textId="77777777" w:rsidR="00A15CF0" w:rsidRPr="00A15CF0" w:rsidRDefault="00A15CF0" w:rsidP="008046BD">
      <w:pPr>
        <w:pStyle w:val="Reference"/>
      </w:pPr>
      <w:r w:rsidRPr="00A15CF0">
        <w:t xml:space="preserve">—— 2025, </w:t>
      </w:r>
      <w:r w:rsidRPr="000A2E8F">
        <w:rPr>
          <w:i/>
          <w:iCs/>
        </w:rPr>
        <w:t>Budget 2024-25 - final budget outcome 2024-25</w:t>
      </w:r>
      <w:r w:rsidRPr="00A15CF0">
        <w:t>, Canberra.</w:t>
      </w:r>
    </w:p>
    <w:p w14:paraId="06C7419C" w14:textId="77777777" w:rsidR="00A15CF0" w:rsidRPr="000912EB" w:rsidRDefault="00A15CF0" w:rsidP="008046BD">
      <w:pPr>
        <w:pStyle w:val="Reference"/>
        <w:rPr>
          <w:spacing w:val="-4"/>
        </w:rPr>
      </w:pPr>
      <w:r w:rsidRPr="000912EB">
        <w:rPr>
          <w:spacing w:val="-4"/>
        </w:rPr>
        <w:t xml:space="preserve">Costello, P 1998, </w:t>
      </w:r>
      <w:r w:rsidRPr="000A2E8F">
        <w:rPr>
          <w:i/>
          <w:iCs/>
          <w:spacing w:val="-4"/>
        </w:rPr>
        <w:t>Tax reform: not a new tax, a new tax system</w:t>
      </w:r>
      <w:r w:rsidRPr="000912EB">
        <w:rPr>
          <w:spacing w:val="-4"/>
        </w:rPr>
        <w:t>.</w:t>
      </w:r>
    </w:p>
    <w:p w14:paraId="252CA742" w14:textId="77777777" w:rsidR="00A15CF0" w:rsidRPr="00A15CF0" w:rsidRDefault="00A15CF0" w:rsidP="008046BD">
      <w:pPr>
        <w:pStyle w:val="Reference"/>
      </w:pPr>
      <w:r w:rsidRPr="00A15CF0">
        <w:t xml:space="preserve">Dougherty, S and Forman, K 2021, </w:t>
      </w:r>
      <w:r w:rsidRPr="000A2E8F">
        <w:rPr>
          <w:i/>
          <w:iCs/>
        </w:rPr>
        <w:t>Evaluating fiscal equalisation: finding the right balance</w:t>
      </w:r>
      <w:r w:rsidRPr="00A15CF0">
        <w:t>, OECD working papers on fiscal federalism, 36.</w:t>
      </w:r>
    </w:p>
    <w:p w14:paraId="3D19618C" w14:textId="77777777" w:rsidR="00A15CF0" w:rsidRPr="00A15CF0" w:rsidRDefault="00A15CF0" w:rsidP="008046BD">
      <w:pPr>
        <w:pStyle w:val="Reference"/>
      </w:pPr>
      <w:r w:rsidRPr="00A15CF0">
        <w:t xml:space="preserve">Fenna, A and Phillimore, J 2025, ‘Fiscal equalisation in Australian federalism: share and share alike?’, </w:t>
      </w:r>
      <w:r w:rsidRPr="000A2E8F">
        <w:rPr>
          <w:i/>
          <w:iCs/>
        </w:rPr>
        <w:t>Australian Journal of Politics and History</w:t>
      </w:r>
      <w:r w:rsidRPr="00A15CF0">
        <w:t>, vol. 71, no. 4, pp. 701–717.</w:t>
      </w:r>
    </w:p>
    <w:p w14:paraId="11C01825" w14:textId="77777777" w:rsidR="00A15CF0" w:rsidRPr="00A15CF0" w:rsidRDefault="00A15CF0" w:rsidP="008046BD">
      <w:pPr>
        <w:pStyle w:val="Reference"/>
      </w:pPr>
      <w:r w:rsidRPr="00A15CF0">
        <w:t xml:space="preserve">Fenwick, TB and Silva, TN 2026, ‘Income, place and perceptions of fiscal fairness: evidence from Australian federalism’, </w:t>
      </w:r>
      <w:r w:rsidRPr="000A2E8F">
        <w:rPr>
          <w:i/>
          <w:iCs/>
        </w:rPr>
        <w:t>Territory, Politics, Governance</w:t>
      </w:r>
      <w:r w:rsidRPr="00A15CF0">
        <w:t>.</w:t>
      </w:r>
    </w:p>
    <w:p w14:paraId="116B0695" w14:textId="20A4D009" w:rsidR="00A15CF0" w:rsidRPr="00A15CF0" w:rsidRDefault="003D340D" w:rsidP="008046BD">
      <w:pPr>
        <w:pStyle w:val="Reference"/>
      </w:pPr>
      <w:r>
        <w:t>Fenwick, TB</w:t>
      </w:r>
      <w:r w:rsidR="00A15CF0" w:rsidRPr="00A15CF0">
        <w:t xml:space="preserve"> and Stewart, M 2025, ‘From full to partial equalisation: the case of horizontal fiscal equalisation in Australia’, in </w:t>
      </w:r>
      <w:proofErr w:type="spellStart"/>
      <w:r w:rsidR="00A15CF0" w:rsidRPr="00A15CF0">
        <w:t>Erkoreka</w:t>
      </w:r>
      <w:proofErr w:type="spellEnd"/>
      <w:r w:rsidR="00A15CF0" w:rsidRPr="00A15CF0">
        <w:t xml:space="preserve">, M (ed), </w:t>
      </w:r>
      <w:r w:rsidR="00A15CF0" w:rsidRPr="000A2E8F">
        <w:rPr>
          <w:i/>
          <w:iCs/>
        </w:rPr>
        <w:t>Fiscal federalism and equalisation transfers: Balancing regional autonomy and solidarity</w:t>
      </w:r>
      <w:r w:rsidR="00A15CF0" w:rsidRPr="00A15CF0">
        <w:t>, Leiden, pp. 89–109.</w:t>
      </w:r>
    </w:p>
    <w:p w14:paraId="51E82C03" w14:textId="77777777" w:rsidR="00A15CF0" w:rsidRPr="00A15CF0" w:rsidRDefault="00A15CF0" w:rsidP="008046BD">
      <w:pPr>
        <w:pStyle w:val="Reference"/>
      </w:pPr>
      <w:r w:rsidRPr="00A15CF0">
        <w:t xml:space="preserve">Garnaut, R and Fitzgerald, V 2002, </w:t>
      </w:r>
      <w:r w:rsidRPr="000A2E8F">
        <w:rPr>
          <w:i/>
          <w:iCs/>
        </w:rPr>
        <w:t>Review of Commonwealth-State funding: final report</w:t>
      </w:r>
      <w:r w:rsidRPr="00A15CF0">
        <w:t>, August.</w:t>
      </w:r>
    </w:p>
    <w:p w14:paraId="52ED5D89" w14:textId="77777777" w:rsidR="00A15CF0" w:rsidRPr="00A15CF0" w:rsidRDefault="00A15CF0" w:rsidP="008046BD">
      <w:pPr>
        <w:pStyle w:val="Reference"/>
      </w:pPr>
      <w:r w:rsidRPr="00A15CF0">
        <w:t xml:space="preserve">Howard, C 2023, ‘What did a “fair go” originally mean to Australians?’, </w:t>
      </w:r>
      <w:r w:rsidRPr="000A2E8F">
        <w:rPr>
          <w:i/>
          <w:iCs/>
        </w:rPr>
        <w:t>Australian Journal of Political Science</w:t>
      </w:r>
      <w:r w:rsidRPr="00A15CF0">
        <w:t>, vol. 58, no. 2.</w:t>
      </w:r>
    </w:p>
    <w:p w14:paraId="772A2091" w14:textId="77777777" w:rsidR="00A15CF0" w:rsidRPr="00A15CF0" w:rsidRDefault="00A15CF0" w:rsidP="008046BD">
      <w:pPr>
        <w:pStyle w:val="Reference"/>
      </w:pPr>
      <w:r w:rsidRPr="00A15CF0">
        <w:t xml:space="preserve">Leigh, A 2025, ‘Returns to education in Australia 2001-2022’, </w:t>
      </w:r>
      <w:r w:rsidRPr="000A2E8F">
        <w:rPr>
          <w:i/>
          <w:iCs/>
        </w:rPr>
        <w:t>Economic Papers</w:t>
      </w:r>
      <w:r w:rsidRPr="00A15CF0">
        <w:t>, vol. 44, no. 1, pp. 62–76.</w:t>
      </w:r>
    </w:p>
    <w:p w14:paraId="263045AD" w14:textId="77777777" w:rsidR="00A15CF0" w:rsidRPr="00A15CF0" w:rsidRDefault="00A15CF0" w:rsidP="008046BD">
      <w:pPr>
        <w:pStyle w:val="Reference"/>
      </w:pPr>
      <w:r w:rsidRPr="00A15CF0">
        <w:t xml:space="preserve">Murphy, C 2018, </w:t>
      </w:r>
      <w:r w:rsidRPr="000A2E8F">
        <w:rPr>
          <w:i/>
          <w:iCs/>
        </w:rPr>
        <w:t>Optimal fiscal equalisation and its application to Australia: updated</w:t>
      </w:r>
      <w:r w:rsidRPr="00A15CF0">
        <w:t>, Working paper, Tax and Transfer Policy Institute.</w:t>
      </w:r>
    </w:p>
    <w:p w14:paraId="24EDC003" w14:textId="77777777" w:rsidR="00A15CF0" w:rsidRPr="00A15CF0" w:rsidRDefault="00A15CF0" w:rsidP="008046BD">
      <w:pPr>
        <w:pStyle w:val="Reference"/>
      </w:pPr>
      <w:r w:rsidRPr="00A15CF0">
        <w:t xml:space="preserve">OECD (OECD Publishing) 2025, </w:t>
      </w:r>
      <w:r w:rsidRPr="000A2E8F">
        <w:rPr>
          <w:i/>
          <w:iCs/>
        </w:rPr>
        <w:t>Building pathways to opportunity: how to ensure a more level playing field in OECD countries</w:t>
      </w:r>
      <w:r w:rsidRPr="00A15CF0">
        <w:t>.</w:t>
      </w:r>
    </w:p>
    <w:p w14:paraId="4FEBF57A" w14:textId="4AB550E7" w:rsidR="00A15CF0" w:rsidRPr="00A15CF0" w:rsidRDefault="00A15CF0" w:rsidP="008046BD">
      <w:pPr>
        <w:pStyle w:val="Reference"/>
      </w:pPr>
      <w:r w:rsidRPr="00A15CF0">
        <w:t xml:space="preserve">—— 2010, ‘A family affair: intergenerational social mobility across OECD countries’, </w:t>
      </w:r>
      <w:r w:rsidRPr="000A2E8F">
        <w:rPr>
          <w:i/>
          <w:iCs/>
        </w:rPr>
        <w:t>Economic policy reforms: Going for growth</w:t>
      </w:r>
      <w:r w:rsidRPr="00A15CF0">
        <w:t>.</w:t>
      </w:r>
    </w:p>
    <w:p w14:paraId="2A35209D" w14:textId="20F29288" w:rsidR="00A15CF0" w:rsidRPr="00A15CF0" w:rsidRDefault="00A15CF0" w:rsidP="008046BD">
      <w:pPr>
        <w:pStyle w:val="Reference"/>
      </w:pPr>
      <w:r w:rsidRPr="00A15CF0">
        <w:t xml:space="preserve">—— 2013, </w:t>
      </w:r>
      <w:r w:rsidRPr="000A2E8F">
        <w:rPr>
          <w:i/>
          <w:iCs/>
        </w:rPr>
        <w:t>Fiscal federalism: making decentralisation work</w:t>
      </w:r>
      <w:r w:rsidRPr="00A15CF0">
        <w:t>.</w:t>
      </w:r>
    </w:p>
    <w:p w14:paraId="5330F1F6" w14:textId="25014DC5" w:rsidR="00A15CF0" w:rsidRPr="00A15CF0" w:rsidRDefault="00A15CF0" w:rsidP="008046BD">
      <w:pPr>
        <w:pStyle w:val="Reference"/>
      </w:pPr>
      <w:r w:rsidRPr="00A15CF0">
        <w:t xml:space="preserve">—— 2015, </w:t>
      </w:r>
      <w:r w:rsidRPr="000A2E8F">
        <w:rPr>
          <w:i/>
          <w:iCs/>
        </w:rPr>
        <w:t>In it together: why less inequality benefits all</w:t>
      </w:r>
      <w:r w:rsidRPr="00A15CF0">
        <w:t>.</w:t>
      </w:r>
    </w:p>
    <w:p w14:paraId="17BF5CC9" w14:textId="77777777" w:rsidR="00A15CF0" w:rsidRPr="00A15CF0" w:rsidRDefault="00A15CF0" w:rsidP="008046BD">
      <w:pPr>
        <w:pStyle w:val="Reference"/>
      </w:pPr>
      <w:r w:rsidRPr="00A15CF0">
        <w:t>Parliament of Australia 2018, Treasury Laws Amendment (Making Sure Every State and Territory Gets Their Fair Share of GST) Bill 2018 - explanatory memorandum.</w:t>
      </w:r>
    </w:p>
    <w:p w14:paraId="23574C82" w14:textId="77777777" w:rsidR="00A15CF0" w:rsidRPr="00A15CF0" w:rsidRDefault="00A15CF0" w:rsidP="008046BD">
      <w:pPr>
        <w:pStyle w:val="Reference"/>
      </w:pPr>
      <w:r w:rsidRPr="00A15CF0">
        <w:t xml:space="preserve">—— 2025, </w:t>
      </w:r>
      <w:r w:rsidRPr="000A2E8F">
        <w:rPr>
          <w:i/>
          <w:iCs/>
        </w:rPr>
        <w:t>The Commonwealth Parliament’s place in Australia’s federal structure</w:t>
      </w:r>
      <w:r w:rsidRPr="00A15CF0">
        <w:t>.</w:t>
      </w:r>
    </w:p>
    <w:p w14:paraId="671EE79F" w14:textId="77777777" w:rsidR="00A15CF0" w:rsidRPr="00A15CF0" w:rsidRDefault="00A15CF0" w:rsidP="008046BD">
      <w:pPr>
        <w:pStyle w:val="Reference"/>
      </w:pPr>
      <w:r w:rsidRPr="00A15CF0">
        <w:t xml:space="preserve">PBO (Parliamentary Budget Office) 2024, </w:t>
      </w:r>
      <w:r w:rsidRPr="000A2E8F">
        <w:rPr>
          <w:i/>
          <w:iCs/>
        </w:rPr>
        <w:t>Australia’s tax mix: the roles played by different taxes and how they have changed over time</w:t>
      </w:r>
      <w:r w:rsidRPr="00A15CF0">
        <w:t>.</w:t>
      </w:r>
    </w:p>
    <w:p w14:paraId="27A8BB25" w14:textId="77777777" w:rsidR="00A15CF0" w:rsidRPr="00A15CF0" w:rsidRDefault="00A15CF0" w:rsidP="008046BD">
      <w:pPr>
        <w:pStyle w:val="Reference"/>
      </w:pPr>
      <w:r w:rsidRPr="00A15CF0">
        <w:t xml:space="preserve">PC (Productivity Commission) 2006, </w:t>
      </w:r>
      <w:r w:rsidRPr="000C7AAA">
        <w:rPr>
          <w:i/>
          <w:iCs/>
        </w:rPr>
        <w:t>Productive Reform in A Federal System</w:t>
      </w:r>
      <w:r w:rsidRPr="00A15CF0">
        <w:t>, Roundtable Proceedings, Productivity Commission, Canberra.</w:t>
      </w:r>
    </w:p>
    <w:p w14:paraId="0F204200" w14:textId="6B0F7FC5" w:rsidR="00A15CF0" w:rsidRPr="00A15CF0" w:rsidRDefault="00A15CF0" w:rsidP="008046BD">
      <w:pPr>
        <w:pStyle w:val="Reference"/>
      </w:pPr>
      <w:r w:rsidRPr="00A15CF0">
        <w:lastRenderedPageBreak/>
        <w:t xml:space="preserve">—— 2018, </w:t>
      </w:r>
      <w:r w:rsidRPr="000C7AAA">
        <w:rPr>
          <w:i/>
          <w:iCs/>
        </w:rPr>
        <w:t>Horizontal Fiscal Equalisation</w:t>
      </w:r>
      <w:r w:rsidRPr="00A15CF0">
        <w:t>, Report no. 88, Canberra.</w:t>
      </w:r>
    </w:p>
    <w:p w14:paraId="6390BF62" w14:textId="77777777" w:rsidR="00A15CF0" w:rsidRPr="00A15CF0" w:rsidRDefault="00A15CF0" w:rsidP="008046BD">
      <w:pPr>
        <w:pStyle w:val="Reference"/>
      </w:pPr>
      <w:r w:rsidRPr="00A15CF0">
        <w:t xml:space="preserve">Pyne, C and Piccoli, A 2015, </w:t>
      </w:r>
      <w:r w:rsidRPr="003F647E">
        <w:rPr>
          <w:i/>
          <w:iCs/>
        </w:rPr>
        <w:t>Project agreement for the National School for Travelling Show Children</w:t>
      </w:r>
      <w:r w:rsidRPr="00A15CF0">
        <w:t>, Intergovernmental Agreement on Federal Financial Relations.</w:t>
      </w:r>
    </w:p>
    <w:p w14:paraId="430AF415" w14:textId="77777777" w:rsidR="00A15CF0" w:rsidRPr="00A15CF0" w:rsidRDefault="00A15CF0" w:rsidP="008046BD">
      <w:pPr>
        <w:pStyle w:val="Reference"/>
      </w:pPr>
      <w:r w:rsidRPr="00A15CF0">
        <w:t>Smart, M 2004, ‘Equalisation and stabilization’, Canadian Public Policy, vol. 30, no. 2, pp. 195–208.</w:t>
      </w:r>
    </w:p>
    <w:p w14:paraId="1642AF89" w14:textId="77777777" w:rsidR="00A15CF0" w:rsidRPr="00A15CF0" w:rsidRDefault="00A15CF0" w:rsidP="008046BD">
      <w:pPr>
        <w:pStyle w:val="Reference"/>
      </w:pPr>
      <w:r w:rsidRPr="00A15CF0">
        <w:t>Tilley, P 2021, 2000: a new tax system.</w:t>
      </w:r>
    </w:p>
    <w:p w14:paraId="1754CF72" w14:textId="77777777" w:rsidR="00A15CF0" w:rsidRPr="00A15CF0" w:rsidRDefault="00A15CF0" w:rsidP="008046BD">
      <w:pPr>
        <w:pStyle w:val="Reference"/>
      </w:pPr>
      <w:r w:rsidRPr="00A15CF0">
        <w:t>Twomey, A 2014, P</w:t>
      </w:r>
      <w:r w:rsidRPr="00AF2192">
        <w:rPr>
          <w:i/>
          <w:iCs/>
        </w:rPr>
        <w:t>ublic money: federal-state financial relations and the constitutional limits on spending public money</w:t>
      </w:r>
      <w:r w:rsidRPr="00A15CF0">
        <w:t>, 4, University of Sydney.</w:t>
      </w:r>
    </w:p>
    <w:p w14:paraId="2BA7167E" w14:textId="77777777" w:rsidR="00A15CF0" w:rsidRPr="00A15CF0" w:rsidRDefault="00A15CF0" w:rsidP="008046BD">
      <w:pPr>
        <w:pStyle w:val="Reference"/>
      </w:pPr>
      <w:proofErr w:type="spellStart"/>
      <w:r w:rsidRPr="00A15CF0">
        <w:t>Verbist</w:t>
      </w:r>
      <w:proofErr w:type="spellEnd"/>
      <w:r w:rsidRPr="00A15CF0">
        <w:t xml:space="preserve">, G, Forster, M and </w:t>
      </w:r>
      <w:proofErr w:type="spellStart"/>
      <w:r w:rsidRPr="00A15CF0">
        <w:t>Vaalavuo</w:t>
      </w:r>
      <w:proofErr w:type="spellEnd"/>
      <w:r w:rsidRPr="00A15CF0">
        <w:t xml:space="preserve">, M 2012, </w:t>
      </w:r>
      <w:r w:rsidRPr="00AF2192">
        <w:rPr>
          <w:i/>
          <w:iCs/>
        </w:rPr>
        <w:t>The impact of publicly provided services on the distribution of resources: review of new results and methods</w:t>
      </w:r>
      <w:r w:rsidRPr="00A15CF0">
        <w:t>.</w:t>
      </w:r>
    </w:p>
    <w:p w14:paraId="44169D97" w14:textId="77777777" w:rsidR="00A15CF0" w:rsidRPr="00A15CF0" w:rsidRDefault="00A15CF0" w:rsidP="008046BD">
      <w:pPr>
        <w:pStyle w:val="Reference"/>
      </w:pPr>
      <w:r w:rsidRPr="00A15CF0">
        <w:t xml:space="preserve">Williams, R 2012, ‘History of federal-state fiscal relations in Australia: a review of the methodologies used’, </w:t>
      </w:r>
      <w:r w:rsidRPr="00AF2192">
        <w:rPr>
          <w:i/>
          <w:iCs/>
        </w:rPr>
        <w:t>Australian Economic Review</w:t>
      </w:r>
      <w:r w:rsidRPr="00A15CF0">
        <w:t>, vol. 45, no. 2, pp. 145–157.</w:t>
      </w:r>
    </w:p>
    <w:p w14:paraId="32A87E13" w14:textId="77777777" w:rsidR="00A15CF0" w:rsidRDefault="00A15CF0" w:rsidP="008046BD">
      <w:pPr>
        <w:pStyle w:val="Reference"/>
      </w:pPr>
      <w:r w:rsidRPr="00A15CF0">
        <w:t xml:space="preserve">—— 2015, ‘Federal-State Financial Relations in Australia: The Role of the Commonwealth Grants Commission’, </w:t>
      </w:r>
      <w:r w:rsidRPr="00AF2192">
        <w:rPr>
          <w:i/>
          <w:iCs/>
        </w:rPr>
        <w:t>The Australian Economic Review</w:t>
      </w:r>
      <w:r w:rsidRPr="00A15CF0">
        <w:t>, vol. 38, no. 1.</w:t>
      </w:r>
    </w:p>
    <w:p w14:paraId="7431356D" w14:textId="77777777" w:rsidR="000A2E8F" w:rsidRDefault="000A2E8F" w:rsidP="008046BD">
      <w:pPr>
        <w:pStyle w:val="Reference"/>
      </w:pPr>
    </w:p>
    <w:p w14:paraId="679CDA95" w14:textId="77777777" w:rsidR="000A2E8F" w:rsidRPr="00A15CF0" w:rsidRDefault="000A2E8F" w:rsidP="008046BD">
      <w:pPr>
        <w:pStyle w:val="Reference"/>
      </w:pPr>
    </w:p>
    <w:p w14:paraId="1BEAEE4E" w14:textId="77777777" w:rsidR="00683478" w:rsidRDefault="00683478" w:rsidP="00A91551">
      <w:pPr>
        <w:pStyle w:val="BodyText"/>
        <w:sectPr w:rsidR="00683478" w:rsidSect="00683478">
          <w:type w:val="continuous"/>
          <w:pgSz w:w="11906" w:h="16838" w:code="9"/>
          <w:pgMar w:top="1134" w:right="1134" w:bottom="1134" w:left="1134" w:header="794" w:footer="510" w:gutter="0"/>
          <w:cols w:num="2" w:space="708"/>
          <w:docGrid w:linePitch="360"/>
        </w:sectPr>
      </w:pPr>
    </w:p>
    <w:p w14:paraId="0E320A9A" w14:textId="004E0CA9" w:rsidR="00A91551" w:rsidRPr="00A91551" w:rsidRDefault="00A91551" w:rsidP="00A91551">
      <w:pPr>
        <w:pStyle w:val="BodyText"/>
      </w:pPr>
    </w:p>
    <w:sectPr w:rsidR="00A91551" w:rsidRPr="00A91551" w:rsidSect="00683478">
      <w:type w:val="continuous"/>
      <w:pgSz w:w="11906" w:h="16838" w:code="9"/>
      <w:pgMar w:top="1134" w:right="1134" w:bottom="1134" w:left="1134" w:header="79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FB134" w14:textId="77777777" w:rsidR="0044652A" w:rsidRPr="00BC2AFF" w:rsidRDefault="0044652A" w:rsidP="008017BC">
      <w:r w:rsidRPr="00BC2AFF">
        <w:separator/>
      </w:r>
    </w:p>
    <w:p w14:paraId="0D2DF45B" w14:textId="77777777" w:rsidR="0044652A" w:rsidRPr="00BC2AFF" w:rsidRDefault="0044652A"/>
  </w:endnote>
  <w:endnote w:type="continuationSeparator" w:id="0">
    <w:p w14:paraId="2F83E1DF" w14:textId="77777777" w:rsidR="0044652A" w:rsidRPr="00BC2AFF" w:rsidRDefault="0044652A" w:rsidP="008017BC">
      <w:r w:rsidRPr="00BC2AFF">
        <w:continuationSeparator/>
      </w:r>
    </w:p>
    <w:p w14:paraId="717D0359" w14:textId="77777777" w:rsidR="0044652A" w:rsidRPr="00BC2AFF" w:rsidRDefault="004465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Open Sans Extrabold">
    <w:panose1 w:val="020B0906030804020204"/>
    <w:charset w:val="00"/>
    <w:family w:val="swiss"/>
    <w:pitch w:val="variable"/>
    <w:sig w:usb0="E00002EF" w:usb1="4000205B" w:usb2="00000028" w:usb3="00000000" w:csb0="0000019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D6AC3" w14:textId="77777777" w:rsidR="00D15113" w:rsidRPr="00BC2AFF" w:rsidRDefault="00F04EA7" w:rsidP="002E3F19">
    <w:pPr>
      <w:pStyle w:val="Footer"/>
    </w:pPr>
    <w:r w:rsidRPr="00BC2AFF">
      <w:fldChar w:fldCharType="begin"/>
    </w:r>
    <w:r w:rsidRPr="00BC2AFF">
      <w:instrText xml:space="preserve"> PAGE   \* MERGEFORMAT </w:instrText>
    </w:r>
    <w:r w:rsidRPr="00BC2AFF">
      <w:fldChar w:fldCharType="separate"/>
    </w:r>
    <w:r w:rsidRPr="00BC2AFF">
      <w:t>1</w:t>
    </w:r>
    <w:r w:rsidRPr="00BC2AF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244645"/>
      <w:docPartObj>
        <w:docPartGallery w:val="Page Numbers (Bottom of Page)"/>
        <w:docPartUnique/>
      </w:docPartObj>
    </w:sdtPr>
    <w:sdtContent>
      <w:sdt>
        <w:sdtPr>
          <w:id w:val="-514000008"/>
          <w:docPartObj>
            <w:docPartGallery w:val="Page Numbers (Top of Page)"/>
            <w:docPartUnique/>
          </w:docPartObj>
        </w:sdtPr>
        <w:sdtContent>
          <w:p w14:paraId="30AE33B1" w14:textId="77777777" w:rsidR="00D15113" w:rsidRPr="00BC2AFF" w:rsidRDefault="00F04EA7" w:rsidP="002E3F19">
            <w:pPr>
              <w:pStyle w:val="Footer-right"/>
            </w:pPr>
            <w:r w:rsidRPr="00BC2AFF">
              <w:rPr>
                <w:sz w:val="24"/>
              </w:rPr>
              <w:fldChar w:fldCharType="begin"/>
            </w:r>
            <w:r w:rsidRPr="00BC2AFF">
              <w:instrText xml:space="preserve"> PAGE </w:instrText>
            </w:r>
            <w:r w:rsidRPr="00BC2AFF">
              <w:rPr>
                <w:sz w:val="24"/>
              </w:rPr>
              <w:fldChar w:fldCharType="separate"/>
            </w:r>
            <w:r w:rsidRPr="00BC2AFF">
              <w:t>1</w:t>
            </w:r>
            <w:r w:rsidRPr="00BC2AFF">
              <w:rPr>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0DC41" w14:textId="77777777" w:rsidR="0044652A" w:rsidRPr="00BC2AFF" w:rsidRDefault="0044652A" w:rsidP="00273E86">
      <w:pPr>
        <w:spacing w:after="0" w:line="240" w:lineRule="auto"/>
        <w:rPr>
          <w:rStyle w:val="ColourDarkBlue"/>
        </w:rPr>
      </w:pPr>
      <w:r w:rsidRPr="00BC2AFF">
        <w:rPr>
          <w:rStyle w:val="ColourDarkBlue"/>
        </w:rPr>
        <w:continuationSeparator/>
      </w:r>
    </w:p>
  </w:footnote>
  <w:footnote w:type="continuationSeparator" w:id="0">
    <w:p w14:paraId="189B1895" w14:textId="77777777" w:rsidR="0044652A" w:rsidRPr="00BC2AFF" w:rsidRDefault="0044652A" w:rsidP="001D7D9B">
      <w:pPr>
        <w:spacing w:after="0" w:line="240" w:lineRule="auto"/>
        <w:rPr>
          <w:color w:val="265A9A" w:themeColor="background2"/>
        </w:rPr>
      </w:pPr>
      <w:r w:rsidRPr="00BC2AFF">
        <w:rPr>
          <w:rStyle w:val="ColourDarkBlue"/>
        </w:rPr>
        <w:continuationSeparator/>
      </w:r>
    </w:p>
  </w:footnote>
  <w:footnote w:type="continuationNotice" w:id="1">
    <w:p w14:paraId="637C9974" w14:textId="77777777" w:rsidR="0044652A" w:rsidRPr="00BC2AFF" w:rsidRDefault="0044652A"/>
  </w:footnote>
  <w:footnote w:id="2">
    <w:p w14:paraId="0A43C00E" w14:textId="77777777" w:rsidR="006D0F4D" w:rsidRPr="00297BFC" w:rsidRDefault="006D0F4D" w:rsidP="006D0F4D">
      <w:pPr>
        <w:pStyle w:val="FootnoteText"/>
        <w:rPr>
          <w:lang w:val="en-US"/>
        </w:rPr>
      </w:pPr>
      <w:r w:rsidRPr="00F90099">
        <w:rPr>
          <w:rStyle w:val="FootnoteReference"/>
        </w:rPr>
        <w:footnoteRef/>
      </w:r>
      <w:r>
        <w:t xml:space="preserve"> </w:t>
      </w:r>
      <w:r>
        <w:rPr>
          <w:lang w:val="en-US"/>
        </w:rPr>
        <w:t>s. 96.</w:t>
      </w:r>
    </w:p>
  </w:footnote>
  <w:footnote w:id="3">
    <w:p w14:paraId="65AF7C22" w14:textId="0B399EB8" w:rsidR="00076493" w:rsidRPr="001A452A" w:rsidRDefault="00076493" w:rsidP="00076493">
      <w:pPr>
        <w:pStyle w:val="FootnoteText"/>
        <w:rPr>
          <w:spacing w:val="-6"/>
          <w:lang w:val="en-US"/>
        </w:rPr>
      </w:pPr>
      <w:r w:rsidRPr="001A452A">
        <w:rPr>
          <w:rStyle w:val="FootnoteReference"/>
          <w:spacing w:val="-6"/>
        </w:rPr>
        <w:footnoteRef/>
      </w:r>
      <w:r w:rsidRPr="001A452A">
        <w:rPr>
          <w:spacing w:val="-6"/>
        </w:rPr>
        <w:t xml:space="preserve"> </w:t>
      </w:r>
      <w:r w:rsidRPr="001A452A">
        <w:rPr>
          <w:spacing w:val="-6"/>
          <w:lang w:val="en-US"/>
        </w:rPr>
        <w:t xml:space="preserve">Other sources of untied funding include payments to Western Australia for mining activities in the </w:t>
      </w:r>
      <w:r w:rsidRPr="001A452A">
        <w:rPr>
          <w:spacing w:val="-6"/>
          <w:lang w:val="en-US"/>
        </w:rPr>
        <w:t>North West Shelf, and to the Australian Capital Territory for the provision of municipal services</w:t>
      </w:r>
      <w:r w:rsidR="003C74B1" w:rsidRPr="001A452A">
        <w:rPr>
          <w:spacing w:val="-6"/>
          <w:lang w:val="en-US"/>
        </w:rPr>
        <w:t xml:space="preserve"> </w:t>
      </w:r>
      <w:r w:rsidR="002E761F" w:rsidRPr="001A452A">
        <w:rPr>
          <w:rFonts w:cs="Open Sans"/>
          <w:spacing w:val="-6"/>
          <w:szCs w:val="24"/>
        </w:rPr>
        <w:t>(Commonwealth of Australia 2024, pp. 126–127)</w:t>
      </w:r>
      <w:r w:rsidRPr="001A452A">
        <w:rPr>
          <w:spacing w:val="-6"/>
          <w:lang w:val="en-US"/>
        </w:rPr>
        <w:t>.</w:t>
      </w:r>
    </w:p>
  </w:footnote>
  <w:footnote w:id="4">
    <w:p w14:paraId="13239676" w14:textId="77777777" w:rsidR="00575FB1" w:rsidRPr="001B279C" w:rsidRDefault="00575FB1" w:rsidP="00575FB1">
      <w:pPr>
        <w:pStyle w:val="FootnoteText"/>
        <w:rPr>
          <w:spacing w:val="-4"/>
          <w:lang w:val="en-US"/>
        </w:rPr>
      </w:pPr>
      <w:r w:rsidRPr="00F90099">
        <w:rPr>
          <w:rStyle w:val="FootnoteReference"/>
        </w:rPr>
        <w:footnoteRef/>
      </w:r>
      <w:r>
        <w:t xml:space="preserve"> </w:t>
      </w:r>
      <w:r w:rsidRPr="001B279C">
        <w:rPr>
          <w:spacing w:val="-4"/>
          <w:lang w:val="en-US"/>
        </w:rPr>
        <w:t xml:space="preserve">Western Australia is the only state which receives substantial Commonwealth payments from royalty arrangements relating to mining activity in the </w:t>
      </w:r>
      <w:r w:rsidRPr="001B279C">
        <w:rPr>
          <w:spacing w:val="-4"/>
          <w:lang w:val="en-US"/>
        </w:rPr>
        <w:t>North West Shelf. This decreases the share of Western Australia’s total grant revenue obtained through NFFAs relative to other states.</w:t>
      </w:r>
    </w:p>
  </w:footnote>
  <w:footnote w:id="5">
    <w:p w14:paraId="34A8F61C" w14:textId="462A7E81" w:rsidR="00D77FBB" w:rsidRPr="00BD14FC" w:rsidRDefault="00D77FBB">
      <w:pPr>
        <w:pStyle w:val="FootnoteText"/>
      </w:pPr>
      <w:r w:rsidRPr="00F90099">
        <w:rPr>
          <w:rStyle w:val="FootnoteReference"/>
        </w:rPr>
        <w:footnoteRef/>
      </w:r>
      <w:r>
        <w:t xml:space="preserve"> </w:t>
      </w:r>
      <w:r w:rsidR="000517CD">
        <w:rPr>
          <w:lang w:val="en-US"/>
        </w:rPr>
        <w:t>Saul Eslake, sub. 3</w:t>
      </w:r>
      <w:r w:rsidR="005E7645">
        <w:rPr>
          <w:lang w:val="en-US"/>
        </w:rPr>
        <w:t>, p. 2</w:t>
      </w:r>
      <w:r w:rsidR="000517CD">
        <w:rPr>
          <w:lang w:val="en-US"/>
        </w:rPr>
        <w:t>; Tasmanian Government, sub. 48</w:t>
      </w:r>
      <w:r w:rsidR="00C43883">
        <w:rPr>
          <w:lang w:val="en-US"/>
        </w:rPr>
        <w:t>, p. </w:t>
      </w:r>
      <w:r w:rsidR="004958D9">
        <w:rPr>
          <w:lang w:val="en-US"/>
        </w:rPr>
        <w:t>2</w:t>
      </w:r>
      <w:r w:rsidR="000517CD">
        <w:rPr>
          <w:lang w:val="en-US"/>
        </w:rPr>
        <w:t xml:space="preserve">; </w:t>
      </w:r>
      <w:r>
        <w:t>City of Melbourne, sub. </w:t>
      </w:r>
      <w:r w:rsidR="000517CD">
        <w:t>47</w:t>
      </w:r>
      <w:r w:rsidR="002A1A4A">
        <w:t>, p. 2</w:t>
      </w:r>
      <w:r w:rsidR="000517CD">
        <w:t xml:space="preserve">; Northern Territory </w:t>
      </w:r>
      <w:r w:rsidR="00C869B8">
        <w:t>Department of Treasury and Finance</w:t>
      </w:r>
      <w:r w:rsidR="000517CD">
        <w:t>, sub. </w:t>
      </w:r>
      <w:r w:rsidR="00DA2FA2">
        <w:t>39</w:t>
      </w:r>
      <w:r w:rsidR="00886EEB">
        <w:t>, p. </w:t>
      </w:r>
      <w:r w:rsidR="00506248">
        <w:t>34</w:t>
      </w:r>
      <w:r w:rsidR="00BD14FC">
        <w:t>; Victorian Government, sub. 59</w:t>
      </w:r>
      <w:r w:rsidR="00E813DD">
        <w:t>, p. 1</w:t>
      </w:r>
      <w:r w:rsidR="00BD14FC">
        <w:t>; Queensland Government, sub.</w:t>
      </w:r>
      <w:r w:rsidR="00F03895">
        <w:t> 62</w:t>
      </w:r>
      <w:r w:rsidR="004D256C">
        <w:t>, p. 3</w:t>
      </w:r>
      <w:r w:rsidR="006B2596">
        <w:t>; Rob Fairs</w:t>
      </w:r>
      <w:r w:rsidR="002C26DC">
        <w:t xml:space="preserve"> MP, sub. </w:t>
      </w:r>
      <w:r w:rsidR="00E205C1">
        <w:t>15, p. 1</w:t>
      </w:r>
      <w:r w:rsidR="005D1B3F">
        <w:t>.</w:t>
      </w:r>
    </w:p>
  </w:footnote>
  <w:footnote w:id="6">
    <w:p w14:paraId="22944F6F" w14:textId="29300BD4" w:rsidR="0063122A" w:rsidRPr="0063122A" w:rsidRDefault="0063122A">
      <w:pPr>
        <w:pStyle w:val="FootnoteText"/>
        <w:rPr>
          <w:lang w:val="en-US"/>
        </w:rPr>
      </w:pPr>
      <w:r w:rsidRPr="00F90099">
        <w:rPr>
          <w:rStyle w:val="FootnoteReference"/>
        </w:rPr>
        <w:footnoteRef/>
      </w:r>
      <w:r>
        <w:t xml:space="preserve"> </w:t>
      </w:r>
      <w:r w:rsidR="00F00246">
        <w:rPr>
          <w:lang w:val="en-US"/>
        </w:rPr>
        <w:t>Victorian Government, sub. </w:t>
      </w:r>
      <w:r w:rsidR="00B526BD">
        <w:rPr>
          <w:lang w:val="en-US"/>
        </w:rPr>
        <w:t>59</w:t>
      </w:r>
      <w:r w:rsidR="00373BED">
        <w:rPr>
          <w:lang w:val="en-US"/>
        </w:rPr>
        <w:t>, p. 22</w:t>
      </w:r>
      <w:r w:rsidR="006C53B1">
        <w:rPr>
          <w:lang w:val="en-US"/>
        </w:rPr>
        <w:t>; Queensland Government, sub. </w:t>
      </w:r>
      <w:r w:rsidR="003446DA">
        <w:rPr>
          <w:lang w:val="en-US"/>
        </w:rPr>
        <w:t>62, p. 3</w:t>
      </w:r>
      <w:r w:rsidR="00AF762D">
        <w:rPr>
          <w:lang w:val="en-US"/>
        </w:rPr>
        <w:t>; Tasmanian Government, sub.</w:t>
      </w:r>
      <w:r w:rsidR="002C2C95">
        <w:rPr>
          <w:lang w:val="en-US"/>
        </w:rPr>
        <w:t> </w:t>
      </w:r>
      <w:r w:rsidR="00FC5108">
        <w:rPr>
          <w:lang w:val="en-US"/>
        </w:rPr>
        <w:t>48</w:t>
      </w:r>
      <w:r w:rsidR="00EE725B">
        <w:rPr>
          <w:lang w:val="en-US"/>
        </w:rPr>
        <w:t xml:space="preserve">, </w:t>
      </w:r>
      <w:r w:rsidR="00FC5108">
        <w:rPr>
          <w:lang w:val="en-US"/>
        </w:rPr>
        <w:t>att</w:t>
      </w:r>
      <w:r w:rsidR="00042845">
        <w:rPr>
          <w:lang w:val="en-US"/>
        </w:rPr>
        <w:t>.</w:t>
      </w:r>
      <w:r w:rsidR="00FC5108">
        <w:rPr>
          <w:lang w:val="en-US"/>
        </w:rPr>
        <w:t xml:space="preserve">, p. 1; </w:t>
      </w:r>
      <w:r w:rsidR="00373894">
        <w:rPr>
          <w:lang w:val="en-US"/>
        </w:rPr>
        <w:t>NSW Government, sub. 61, p. 8</w:t>
      </w:r>
      <w:r w:rsidR="00933827">
        <w:rPr>
          <w:lang w:val="en-US"/>
        </w:rPr>
        <w:t>.</w:t>
      </w:r>
    </w:p>
  </w:footnote>
  <w:footnote w:id="7">
    <w:p w14:paraId="5183CD1C" w14:textId="656D8B24" w:rsidR="005533FB" w:rsidRPr="005533FB" w:rsidRDefault="005533FB">
      <w:pPr>
        <w:pStyle w:val="FootnoteText"/>
        <w:rPr>
          <w:lang w:val="en-US"/>
        </w:rPr>
      </w:pPr>
      <w:r w:rsidRPr="00F90099">
        <w:rPr>
          <w:rStyle w:val="FootnoteReference"/>
        </w:rPr>
        <w:footnoteRef/>
      </w:r>
      <w:r>
        <w:t xml:space="preserve"> </w:t>
      </w:r>
      <w:r w:rsidRPr="00BC2AFF">
        <w:t xml:space="preserve">Rob Fairs MP, </w:t>
      </w:r>
      <w:r w:rsidR="00280D52">
        <w:t xml:space="preserve">sub. 15, </w:t>
      </w:r>
      <w:r w:rsidRPr="00BC2AFF">
        <w:t>p</w:t>
      </w:r>
      <w:r w:rsidR="00FA7232">
        <w:t>. </w:t>
      </w:r>
      <w:r w:rsidRPr="00BC2AFF">
        <w:t>2; Brendan McCarthy</w:t>
      </w:r>
      <w:r w:rsidR="00280D52">
        <w:t>, sub. </w:t>
      </w:r>
      <w:r w:rsidR="008F38D9">
        <w:t>29</w:t>
      </w:r>
      <w:r w:rsidRPr="00BC2AFF">
        <w:t>, p</w:t>
      </w:r>
      <w:r w:rsidR="00FA7232">
        <w:t>. </w:t>
      </w:r>
      <w:r w:rsidRPr="00BC2AFF">
        <w:t>2; John Purcel</w:t>
      </w:r>
      <w:r w:rsidR="008F38D9">
        <w:t>l, sub. 44</w:t>
      </w:r>
      <w:r w:rsidRPr="00BC2AFF">
        <w:t>, p</w:t>
      </w:r>
      <w:r w:rsidR="00FA7232">
        <w:t>. </w:t>
      </w:r>
      <w:r w:rsidR="007D628B">
        <w:t>3</w:t>
      </w:r>
      <w:r w:rsidRPr="00BC2AFF">
        <w:t>8; Queensland Government</w:t>
      </w:r>
      <w:r w:rsidR="00BF16C1">
        <w:t>, sub. 62,</w:t>
      </w:r>
      <w:r w:rsidRPr="00BC2AFF">
        <w:t xml:space="preserve"> p</w:t>
      </w:r>
      <w:r w:rsidR="00B26F01">
        <w:t>p.</w:t>
      </w:r>
      <w:r w:rsidR="002C2C95">
        <w:t> </w:t>
      </w:r>
      <w:r w:rsidR="00B26F01">
        <w:t>21,</w:t>
      </w:r>
      <w:r w:rsidR="002C2C95">
        <w:t> </w:t>
      </w:r>
      <w:r w:rsidR="00B26F01">
        <w:t>26</w:t>
      </w:r>
      <w:r w:rsidR="00BF16C1">
        <w:t>.</w:t>
      </w:r>
    </w:p>
  </w:footnote>
  <w:footnote w:id="8">
    <w:p w14:paraId="7E042315" w14:textId="59FC2111" w:rsidR="00EF2397" w:rsidRPr="00EF2397" w:rsidRDefault="00EF2397">
      <w:pPr>
        <w:pStyle w:val="FootnoteText"/>
      </w:pPr>
      <w:r w:rsidRPr="00F90099">
        <w:rPr>
          <w:rStyle w:val="FootnoteReference"/>
        </w:rPr>
        <w:footnoteRef/>
      </w:r>
      <w:r>
        <w:t xml:space="preserve"> This and several other common misconceptions about the HFE system are </w:t>
      </w:r>
      <w:r w:rsidR="00C54F05">
        <w:t>addressed</w:t>
      </w:r>
      <w:r>
        <w:t xml:space="preserve"> in </w:t>
      </w:r>
      <w:r w:rsidR="00D7721B">
        <w:t>chapter 1</w:t>
      </w:r>
      <w:r w:rsidR="00D352C9">
        <w:t>.</w:t>
      </w:r>
    </w:p>
  </w:footnote>
  <w:footnote w:id="9">
    <w:p w14:paraId="2F0E6B3C" w14:textId="77777777" w:rsidR="008772A8" w:rsidRPr="00E3139D" w:rsidRDefault="008772A8">
      <w:pPr>
        <w:pStyle w:val="FootnoteText"/>
        <w:rPr>
          <w:spacing w:val="-4"/>
          <w:lang w:val="en-US"/>
        </w:rPr>
      </w:pPr>
      <w:r w:rsidRPr="00E3139D">
        <w:rPr>
          <w:rStyle w:val="FootnoteReference"/>
          <w:spacing w:val="-4"/>
        </w:rPr>
        <w:footnoteRef/>
      </w:r>
      <w:r w:rsidRPr="00E3139D">
        <w:rPr>
          <w:spacing w:val="-4"/>
        </w:rPr>
        <w:t xml:space="preserve"> The CGC uses a </w:t>
      </w:r>
      <w:r w:rsidR="00E90254" w:rsidRPr="00E3139D">
        <w:rPr>
          <w:spacing w:val="-4"/>
        </w:rPr>
        <w:t>3</w:t>
      </w:r>
      <w:r w:rsidRPr="00E3139D">
        <w:rPr>
          <w:spacing w:val="-4"/>
        </w:rPr>
        <w:t xml:space="preserve">-year average to mitigate the effects of volatility on states’ GST </w:t>
      </w:r>
      <w:r w:rsidR="005A4FC6" w:rsidRPr="00E3139D">
        <w:rPr>
          <w:spacing w:val="-4"/>
        </w:rPr>
        <w:t xml:space="preserve">payments </w:t>
      </w:r>
      <w:r w:rsidRPr="00E3139D">
        <w:rPr>
          <w:spacing w:val="-4"/>
        </w:rPr>
        <w:t>and uses lagged data because robust data for the assessment year is often not available at the time of the determination (CGC, sub. 34, p.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B8BF9" w14:textId="7CB5D651" w:rsidR="00F173EF" w:rsidRPr="00BC2AFF" w:rsidRDefault="008A3B8B" w:rsidP="00F173EF">
    <w:pPr>
      <w:pStyle w:val="Header-Keyline"/>
    </w:pPr>
    <w:r>
      <w:rPr>
        <w:rStyle w:val="Strong"/>
      </w:rPr>
      <w:t xml:space="preserve">GST distribution reforms </w:t>
    </w:r>
    <w:r>
      <w:t>Interim</w:t>
    </w:r>
    <w:r w:rsidR="00F173EF" w:rsidRPr="00BC2AFF">
      <w:t xml:space="preserv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AE301" w14:textId="17ABC428" w:rsidR="00F173EF" w:rsidRPr="00BC2AFF" w:rsidRDefault="00E75890" w:rsidP="00F173EF">
    <w:pPr>
      <w:pStyle w:val="Header-KeylineRight"/>
    </w:pPr>
    <w:r>
      <w:t>S</w:t>
    </w:r>
    <w:r w:rsidR="00B92305">
      <w:t>upporting paper</w:t>
    </w:r>
    <w:r>
      <w:t xml:space="preserve"> to chapter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74A6380"/>
    <w:multiLevelType w:val="multilevel"/>
    <w:tmpl w:val="C47EA3E6"/>
    <w:styleLink w:val="TableList"/>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C1734A"/>
    <w:multiLevelType w:val="multilevel"/>
    <w:tmpl w:val="72768BCE"/>
    <w:styleLink w:val="AppendixHeadingList"/>
    <w:lvl w:ilvl="0">
      <w:start w:val="1"/>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87043A"/>
    <w:multiLevelType w:val="hybridMultilevel"/>
    <w:tmpl w:val="EAA2CE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C2735F"/>
    <w:multiLevelType w:val="multilevel"/>
    <w:tmpl w:val="EE6A07A2"/>
    <w:styleLink w:val="ListHeadings"/>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F6F37EA"/>
    <w:multiLevelType w:val="multilevel"/>
    <w:tmpl w:val="1BE6ACC8"/>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6" w15:restartNumberingAfterBreak="0">
    <w:nsid w:val="12377B66"/>
    <w:multiLevelType w:val="multilevel"/>
    <w:tmpl w:val="4F48000A"/>
    <w:styleLink w:val="Alphalist"/>
    <w:lvl w:ilvl="0">
      <w:start w:val="1"/>
      <w:numFmt w:val="lowerLetter"/>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454" w:hanging="227"/>
      </w:pPr>
      <w:rPr>
        <w:rFonts w:hint="default"/>
      </w:rPr>
    </w:lvl>
    <w:lvl w:ilvl="3">
      <w:start w:val="1"/>
      <w:numFmt w:val="lowerRoman"/>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7" w15:restartNumberingAfterBreak="0">
    <w:nsid w:val="16155739"/>
    <w:multiLevelType w:val="multilevel"/>
    <w:tmpl w:val="FD7C0970"/>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8"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15905EC"/>
    <w:multiLevelType w:val="multilevel"/>
    <w:tmpl w:val="14F2CE60"/>
    <w:styleLink w:val="AppendixHeading"/>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665246"/>
    <w:multiLevelType w:val="multilevel"/>
    <w:tmpl w:val="FD7C0970"/>
    <w:numStyleLink w:val="LetteredList"/>
  </w:abstractNum>
  <w:abstractNum w:abstractNumId="11" w15:restartNumberingAfterBreak="0">
    <w:nsid w:val="2DFE29AF"/>
    <w:multiLevelType w:val="multilevel"/>
    <w:tmpl w:val="72768BCE"/>
    <w:numStyleLink w:val="AppendixHeadingList"/>
  </w:abstractNum>
  <w:abstractNum w:abstractNumId="12" w15:restartNumberingAfterBreak="0">
    <w:nsid w:val="34945759"/>
    <w:multiLevelType w:val="multilevel"/>
    <w:tmpl w:val="EDDA6002"/>
    <w:styleLink w:val="TOCList"/>
    <w:lvl w:ilvl="0">
      <w:start w:val="1"/>
      <w:numFmt w:val="decimal"/>
      <w:lvlText w:val="%1"/>
      <w:lvlJc w:val="left"/>
      <w:pPr>
        <w:ind w:left="567" w:hanging="567"/>
      </w:pPr>
      <w:rPr>
        <w:rFonts w:hint="default"/>
        <w:b/>
        <w:i w:val="0"/>
        <w:color w:val="265A9A"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0E1502C"/>
    <w:multiLevelType w:val="multilevel"/>
    <w:tmpl w:val="FF8069A4"/>
    <w:styleLink w:val="Bullets"/>
    <w:lvl w:ilvl="0">
      <w:start w:val="1"/>
      <w:numFmt w:val="bullet"/>
      <w:pStyle w:val="ListBullet"/>
      <w:lvlText w:val="•"/>
      <w:lvlJc w:val="left"/>
      <w:pPr>
        <w:ind w:left="227" w:hanging="227"/>
      </w:pPr>
      <w:rPr>
        <w:rFonts w:ascii="Open Sans" w:hAnsi="Open Sans"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16" w15:restartNumberingAfterBreak="0">
    <w:nsid w:val="67EB6AB0"/>
    <w:multiLevelType w:val="multilevel"/>
    <w:tmpl w:val="FF8069A4"/>
    <w:numStyleLink w:val="Bullets"/>
  </w:abstractNum>
  <w:abstractNum w:abstractNumId="17" w15:restartNumberingAfterBreak="0">
    <w:nsid w:val="761B4A1B"/>
    <w:multiLevelType w:val="multilevel"/>
    <w:tmpl w:val="4F48000A"/>
    <w:numStyleLink w:val="Alphalist"/>
  </w:abstractNum>
  <w:num w:numId="1" w16cid:durableId="1542548960">
    <w:abstractNumId w:val="3"/>
  </w:num>
  <w:num w:numId="2" w16cid:durableId="1195775112">
    <w:abstractNumId w:val="6"/>
  </w:num>
  <w:num w:numId="3" w16cid:durableId="1207058464">
    <w:abstractNumId w:val="2"/>
  </w:num>
  <w:num w:numId="4" w16cid:durableId="1056053189">
    <w:abstractNumId w:val="9"/>
  </w:num>
  <w:num w:numId="5" w16cid:durableId="66920063">
    <w:abstractNumId w:val="14"/>
  </w:num>
  <w:num w:numId="6" w16cid:durableId="759565331">
    <w:abstractNumId w:val="15"/>
  </w:num>
  <w:num w:numId="7" w16cid:durableId="1773551568">
    <w:abstractNumId w:val="13"/>
  </w:num>
  <w:num w:numId="8" w16cid:durableId="2104569960">
    <w:abstractNumId w:val="11"/>
  </w:num>
  <w:num w:numId="9" w16cid:durableId="635842557">
    <w:abstractNumId w:val="7"/>
  </w:num>
  <w:num w:numId="10" w16cid:durableId="1912539094">
    <w:abstractNumId w:val="10"/>
  </w:num>
  <w:num w:numId="11" w16cid:durableId="1359117797">
    <w:abstractNumId w:val="17"/>
  </w:num>
  <w:num w:numId="12" w16cid:durableId="1452017946">
    <w:abstractNumId w:val="0"/>
  </w:num>
  <w:num w:numId="13" w16cid:durableId="1554848976">
    <w:abstractNumId w:val="4"/>
  </w:num>
  <w:num w:numId="14" w16cid:durableId="1751584770">
    <w:abstractNumId w:val="8"/>
  </w:num>
  <w:num w:numId="15" w16cid:durableId="1474832595">
    <w:abstractNumId w:val="5"/>
  </w:num>
  <w:num w:numId="16" w16cid:durableId="1141193609">
    <w:abstractNumId w:val="16"/>
  </w:num>
  <w:num w:numId="17" w16cid:durableId="1090273168">
    <w:abstractNumId w:val="1"/>
  </w:num>
  <w:num w:numId="18" w16cid:durableId="766460936">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BD"/>
    <w:rsid w:val="00000057"/>
    <w:rsid w:val="00000075"/>
    <w:rsid w:val="000000CA"/>
    <w:rsid w:val="00000141"/>
    <w:rsid w:val="00000356"/>
    <w:rsid w:val="00000361"/>
    <w:rsid w:val="000003C7"/>
    <w:rsid w:val="000003CE"/>
    <w:rsid w:val="000003EC"/>
    <w:rsid w:val="00000530"/>
    <w:rsid w:val="00000531"/>
    <w:rsid w:val="0000095E"/>
    <w:rsid w:val="000009FA"/>
    <w:rsid w:val="00000A3A"/>
    <w:rsid w:val="00000AC9"/>
    <w:rsid w:val="00000B24"/>
    <w:rsid w:val="00000BF6"/>
    <w:rsid w:val="00000C03"/>
    <w:rsid w:val="00000F3C"/>
    <w:rsid w:val="00001016"/>
    <w:rsid w:val="00001064"/>
    <w:rsid w:val="0000106A"/>
    <w:rsid w:val="00001267"/>
    <w:rsid w:val="000012E6"/>
    <w:rsid w:val="000014CA"/>
    <w:rsid w:val="0000151F"/>
    <w:rsid w:val="0000192B"/>
    <w:rsid w:val="000019DE"/>
    <w:rsid w:val="00001A22"/>
    <w:rsid w:val="00001A50"/>
    <w:rsid w:val="00001B13"/>
    <w:rsid w:val="00001CBF"/>
    <w:rsid w:val="00001D4B"/>
    <w:rsid w:val="00001E4D"/>
    <w:rsid w:val="00002158"/>
    <w:rsid w:val="00002276"/>
    <w:rsid w:val="00002610"/>
    <w:rsid w:val="00002617"/>
    <w:rsid w:val="00002A53"/>
    <w:rsid w:val="00002B81"/>
    <w:rsid w:val="00002CBA"/>
    <w:rsid w:val="00002DF8"/>
    <w:rsid w:val="00002E8C"/>
    <w:rsid w:val="00002F4A"/>
    <w:rsid w:val="000030BC"/>
    <w:rsid w:val="00003283"/>
    <w:rsid w:val="0000340B"/>
    <w:rsid w:val="000034D6"/>
    <w:rsid w:val="00003730"/>
    <w:rsid w:val="0000387A"/>
    <w:rsid w:val="000038C8"/>
    <w:rsid w:val="000039F9"/>
    <w:rsid w:val="00003A3A"/>
    <w:rsid w:val="00003BDE"/>
    <w:rsid w:val="00003DF9"/>
    <w:rsid w:val="00003F8B"/>
    <w:rsid w:val="000040A5"/>
    <w:rsid w:val="00004186"/>
    <w:rsid w:val="000041F1"/>
    <w:rsid w:val="00004273"/>
    <w:rsid w:val="00004330"/>
    <w:rsid w:val="00004400"/>
    <w:rsid w:val="00004489"/>
    <w:rsid w:val="00004614"/>
    <w:rsid w:val="0000465A"/>
    <w:rsid w:val="000046E3"/>
    <w:rsid w:val="000047A9"/>
    <w:rsid w:val="00004ACD"/>
    <w:rsid w:val="00004B70"/>
    <w:rsid w:val="00004BB0"/>
    <w:rsid w:val="00004BBD"/>
    <w:rsid w:val="00004C38"/>
    <w:rsid w:val="00004D3D"/>
    <w:rsid w:val="00004FFE"/>
    <w:rsid w:val="00005007"/>
    <w:rsid w:val="000050A4"/>
    <w:rsid w:val="000052D3"/>
    <w:rsid w:val="00005774"/>
    <w:rsid w:val="0000585C"/>
    <w:rsid w:val="0000589E"/>
    <w:rsid w:val="00005999"/>
    <w:rsid w:val="00005A31"/>
    <w:rsid w:val="00005B9D"/>
    <w:rsid w:val="00005C4C"/>
    <w:rsid w:val="00005C79"/>
    <w:rsid w:val="00005DA6"/>
    <w:rsid w:val="0000617D"/>
    <w:rsid w:val="00006298"/>
    <w:rsid w:val="0000632D"/>
    <w:rsid w:val="00006392"/>
    <w:rsid w:val="0000650D"/>
    <w:rsid w:val="0000664E"/>
    <w:rsid w:val="00006764"/>
    <w:rsid w:val="00006777"/>
    <w:rsid w:val="00006A12"/>
    <w:rsid w:val="00006B11"/>
    <w:rsid w:val="00006B87"/>
    <w:rsid w:val="00006D4F"/>
    <w:rsid w:val="00006D8B"/>
    <w:rsid w:val="00007125"/>
    <w:rsid w:val="000071D9"/>
    <w:rsid w:val="00007206"/>
    <w:rsid w:val="00007395"/>
    <w:rsid w:val="00007976"/>
    <w:rsid w:val="00007980"/>
    <w:rsid w:val="00007D34"/>
    <w:rsid w:val="00007E07"/>
    <w:rsid w:val="00007F53"/>
    <w:rsid w:val="00010094"/>
    <w:rsid w:val="00010106"/>
    <w:rsid w:val="00010221"/>
    <w:rsid w:val="0001073B"/>
    <w:rsid w:val="00010756"/>
    <w:rsid w:val="000109E6"/>
    <w:rsid w:val="00010CD4"/>
    <w:rsid w:val="00010D3E"/>
    <w:rsid w:val="0001113D"/>
    <w:rsid w:val="00011E8C"/>
    <w:rsid w:val="00012100"/>
    <w:rsid w:val="000121C4"/>
    <w:rsid w:val="000122D3"/>
    <w:rsid w:val="000128AA"/>
    <w:rsid w:val="00012951"/>
    <w:rsid w:val="0001299E"/>
    <w:rsid w:val="00013117"/>
    <w:rsid w:val="000133F8"/>
    <w:rsid w:val="0001340F"/>
    <w:rsid w:val="00013655"/>
    <w:rsid w:val="000136CF"/>
    <w:rsid w:val="0001375B"/>
    <w:rsid w:val="0001375C"/>
    <w:rsid w:val="00013897"/>
    <w:rsid w:val="00013B43"/>
    <w:rsid w:val="00013D10"/>
    <w:rsid w:val="00013EB9"/>
    <w:rsid w:val="00013F67"/>
    <w:rsid w:val="00013FF1"/>
    <w:rsid w:val="00014104"/>
    <w:rsid w:val="00014344"/>
    <w:rsid w:val="00014429"/>
    <w:rsid w:val="00014BDF"/>
    <w:rsid w:val="00014EE5"/>
    <w:rsid w:val="00014FFC"/>
    <w:rsid w:val="000153FC"/>
    <w:rsid w:val="00015450"/>
    <w:rsid w:val="00015939"/>
    <w:rsid w:val="00015A56"/>
    <w:rsid w:val="00015E26"/>
    <w:rsid w:val="00015EB6"/>
    <w:rsid w:val="00015F79"/>
    <w:rsid w:val="00016033"/>
    <w:rsid w:val="00016167"/>
    <w:rsid w:val="0001618B"/>
    <w:rsid w:val="0001619E"/>
    <w:rsid w:val="000161D5"/>
    <w:rsid w:val="000162A1"/>
    <w:rsid w:val="00016347"/>
    <w:rsid w:val="00016854"/>
    <w:rsid w:val="00016956"/>
    <w:rsid w:val="00016ABC"/>
    <w:rsid w:val="00016C75"/>
    <w:rsid w:val="00016EB2"/>
    <w:rsid w:val="000170A3"/>
    <w:rsid w:val="00017112"/>
    <w:rsid w:val="00017243"/>
    <w:rsid w:val="000174B4"/>
    <w:rsid w:val="00017567"/>
    <w:rsid w:val="0001773E"/>
    <w:rsid w:val="000177EB"/>
    <w:rsid w:val="000178BD"/>
    <w:rsid w:val="0001791F"/>
    <w:rsid w:val="0001795D"/>
    <w:rsid w:val="00017E50"/>
    <w:rsid w:val="00020127"/>
    <w:rsid w:val="0002028C"/>
    <w:rsid w:val="00020593"/>
    <w:rsid w:val="00020638"/>
    <w:rsid w:val="000207FE"/>
    <w:rsid w:val="00020946"/>
    <w:rsid w:val="00020B98"/>
    <w:rsid w:val="00020DDA"/>
    <w:rsid w:val="00020EDA"/>
    <w:rsid w:val="00020F04"/>
    <w:rsid w:val="0002165F"/>
    <w:rsid w:val="000218B2"/>
    <w:rsid w:val="000218E0"/>
    <w:rsid w:val="00021A58"/>
    <w:rsid w:val="00021CE6"/>
    <w:rsid w:val="00021DEA"/>
    <w:rsid w:val="00021F7C"/>
    <w:rsid w:val="0002201C"/>
    <w:rsid w:val="00022031"/>
    <w:rsid w:val="000220C6"/>
    <w:rsid w:val="0002225F"/>
    <w:rsid w:val="000222F0"/>
    <w:rsid w:val="000226F8"/>
    <w:rsid w:val="00022718"/>
    <w:rsid w:val="000227CA"/>
    <w:rsid w:val="00022895"/>
    <w:rsid w:val="00022960"/>
    <w:rsid w:val="00022A8B"/>
    <w:rsid w:val="00022ACE"/>
    <w:rsid w:val="00022B6C"/>
    <w:rsid w:val="00022D10"/>
    <w:rsid w:val="00022E76"/>
    <w:rsid w:val="00022F2E"/>
    <w:rsid w:val="00023099"/>
    <w:rsid w:val="00023351"/>
    <w:rsid w:val="00023444"/>
    <w:rsid w:val="000234E3"/>
    <w:rsid w:val="00023AB3"/>
    <w:rsid w:val="00023B53"/>
    <w:rsid w:val="00023B87"/>
    <w:rsid w:val="00023EB8"/>
    <w:rsid w:val="00023F7F"/>
    <w:rsid w:val="000241BF"/>
    <w:rsid w:val="00024274"/>
    <w:rsid w:val="0002435D"/>
    <w:rsid w:val="00024393"/>
    <w:rsid w:val="000244BD"/>
    <w:rsid w:val="00024AD3"/>
    <w:rsid w:val="00024AF6"/>
    <w:rsid w:val="00024E6D"/>
    <w:rsid w:val="00024F47"/>
    <w:rsid w:val="0002514B"/>
    <w:rsid w:val="000251CE"/>
    <w:rsid w:val="00025638"/>
    <w:rsid w:val="0002568C"/>
    <w:rsid w:val="000259CA"/>
    <w:rsid w:val="00025A88"/>
    <w:rsid w:val="00025AC3"/>
    <w:rsid w:val="00025BD6"/>
    <w:rsid w:val="00025BFF"/>
    <w:rsid w:val="00025D23"/>
    <w:rsid w:val="00025D83"/>
    <w:rsid w:val="00025D96"/>
    <w:rsid w:val="00026015"/>
    <w:rsid w:val="00026143"/>
    <w:rsid w:val="00026147"/>
    <w:rsid w:val="0002650C"/>
    <w:rsid w:val="0002690B"/>
    <w:rsid w:val="00026AEB"/>
    <w:rsid w:val="00026C04"/>
    <w:rsid w:val="00026D4A"/>
    <w:rsid w:val="00026E05"/>
    <w:rsid w:val="00026EF8"/>
    <w:rsid w:val="00026FEE"/>
    <w:rsid w:val="0002700E"/>
    <w:rsid w:val="0002704F"/>
    <w:rsid w:val="000271A8"/>
    <w:rsid w:val="000272AE"/>
    <w:rsid w:val="000272D5"/>
    <w:rsid w:val="000272E1"/>
    <w:rsid w:val="0002788A"/>
    <w:rsid w:val="00027D43"/>
    <w:rsid w:val="00027D79"/>
    <w:rsid w:val="00027E6F"/>
    <w:rsid w:val="0003007A"/>
    <w:rsid w:val="000300AF"/>
    <w:rsid w:val="00030463"/>
    <w:rsid w:val="00030B0A"/>
    <w:rsid w:val="00030D82"/>
    <w:rsid w:val="00030ECF"/>
    <w:rsid w:val="0003104E"/>
    <w:rsid w:val="000311D0"/>
    <w:rsid w:val="0003186A"/>
    <w:rsid w:val="00031EF0"/>
    <w:rsid w:val="00031F27"/>
    <w:rsid w:val="00031F81"/>
    <w:rsid w:val="00031FD4"/>
    <w:rsid w:val="00031FF6"/>
    <w:rsid w:val="0003203D"/>
    <w:rsid w:val="0003295F"/>
    <w:rsid w:val="00032A6C"/>
    <w:rsid w:val="00032BA2"/>
    <w:rsid w:val="00032BBD"/>
    <w:rsid w:val="000331E4"/>
    <w:rsid w:val="000332BC"/>
    <w:rsid w:val="0003338D"/>
    <w:rsid w:val="000333B0"/>
    <w:rsid w:val="000335D0"/>
    <w:rsid w:val="00033619"/>
    <w:rsid w:val="0003383C"/>
    <w:rsid w:val="00033A8F"/>
    <w:rsid w:val="00033AD4"/>
    <w:rsid w:val="00033E2E"/>
    <w:rsid w:val="00033EA4"/>
    <w:rsid w:val="0003424A"/>
    <w:rsid w:val="000344E0"/>
    <w:rsid w:val="000344E4"/>
    <w:rsid w:val="000346C8"/>
    <w:rsid w:val="00034A4F"/>
    <w:rsid w:val="00034A54"/>
    <w:rsid w:val="00034B15"/>
    <w:rsid w:val="00034B2F"/>
    <w:rsid w:val="00034C0A"/>
    <w:rsid w:val="00034C97"/>
    <w:rsid w:val="0003521F"/>
    <w:rsid w:val="00035305"/>
    <w:rsid w:val="00035312"/>
    <w:rsid w:val="00035319"/>
    <w:rsid w:val="0003534D"/>
    <w:rsid w:val="0003543E"/>
    <w:rsid w:val="00035682"/>
    <w:rsid w:val="00035951"/>
    <w:rsid w:val="00035B87"/>
    <w:rsid w:val="0003601E"/>
    <w:rsid w:val="00036062"/>
    <w:rsid w:val="00036319"/>
    <w:rsid w:val="000363B9"/>
    <w:rsid w:val="0003646B"/>
    <w:rsid w:val="0003663D"/>
    <w:rsid w:val="00036C05"/>
    <w:rsid w:val="00036CC7"/>
    <w:rsid w:val="00036D37"/>
    <w:rsid w:val="00036F22"/>
    <w:rsid w:val="00037488"/>
    <w:rsid w:val="000375F0"/>
    <w:rsid w:val="0003769D"/>
    <w:rsid w:val="0003790C"/>
    <w:rsid w:val="00037924"/>
    <w:rsid w:val="00037D3B"/>
    <w:rsid w:val="00037D82"/>
    <w:rsid w:val="00037EED"/>
    <w:rsid w:val="00037FB4"/>
    <w:rsid w:val="00037FEC"/>
    <w:rsid w:val="000400C5"/>
    <w:rsid w:val="000404A8"/>
    <w:rsid w:val="000405A7"/>
    <w:rsid w:val="00040611"/>
    <w:rsid w:val="00040658"/>
    <w:rsid w:val="000406CE"/>
    <w:rsid w:val="00040860"/>
    <w:rsid w:val="00040866"/>
    <w:rsid w:val="000408D3"/>
    <w:rsid w:val="0004092C"/>
    <w:rsid w:val="0004098F"/>
    <w:rsid w:val="00040A58"/>
    <w:rsid w:val="00040F43"/>
    <w:rsid w:val="0004111F"/>
    <w:rsid w:val="000411C3"/>
    <w:rsid w:val="0004141C"/>
    <w:rsid w:val="00041424"/>
    <w:rsid w:val="00041465"/>
    <w:rsid w:val="000414C5"/>
    <w:rsid w:val="000415C4"/>
    <w:rsid w:val="00041696"/>
    <w:rsid w:val="00041721"/>
    <w:rsid w:val="0004183C"/>
    <w:rsid w:val="00041899"/>
    <w:rsid w:val="00041997"/>
    <w:rsid w:val="000419EC"/>
    <w:rsid w:val="00041CCB"/>
    <w:rsid w:val="0004209D"/>
    <w:rsid w:val="000422F7"/>
    <w:rsid w:val="0004249A"/>
    <w:rsid w:val="0004257C"/>
    <w:rsid w:val="0004257F"/>
    <w:rsid w:val="0004262C"/>
    <w:rsid w:val="00042652"/>
    <w:rsid w:val="000427A8"/>
    <w:rsid w:val="00042845"/>
    <w:rsid w:val="00042AD8"/>
    <w:rsid w:val="00042C58"/>
    <w:rsid w:val="00042CB4"/>
    <w:rsid w:val="00042D96"/>
    <w:rsid w:val="00043245"/>
    <w:rsid w:val="000432E9"/>
    <w:rsid w:val="0004346A"/>
    <w:rsid w:val="00043526"/>
    <w:rsid w:val="00043648"/>
    <w:rsid w:val="00043717"/>
    <w:rsid w:val="000440D4"/>
    <w:rsid w:val="00044120"/>
    <w:rsid w:val="000442A7"/>
    <w:rsid w:val="000442EF"/>
    <w:rsid w:val="000444A3"/>
    <w:rsid w:val="0004452E"/>
    <w:rsid w:val="0004470A"/>
    <w:rsid w:val="00044904"/>
    <w:rsid w:val="00044966"/>
    <w:rsid w:val="00044B6D"/>
    <w:rsid w:val="00044BEB"/>
    <w:rsid w:val="00044BF0"/>
    <w:rsid w:val="00044CA9"/>
    <w:rsid w:val="00044E7A"/>
    <w:rsid w:val="00045046"/>
    <w:rsid w:val="000451C4"/>
    <w:rsid w:val="000451D4"/>
    <w:rsid w:val="0004541A"/>
    <w:rsid w:val="00045BB5"/>
    <w:rsid w:val="00045BEF"/>
    <w:rsid w:val="00045C40"/>
    <w:rsid w:val="0004606E"/>
    <w:rsid w:val="00046158"/>
    <w:rsid w:val="000465CE"/>
    <w:rsid w:val="00046785"/>
    <w:rsid w:val="0004679A"/>
    <w:rsid w:val="00046894"/>
    <w:rsid w:val="00046E7B"/>
    <w:rsid w:val="00046E86"/>
    <w:rsid w:val="00046F37"/>
    <w:rsid w:val="00046FC6"/>
    <w:rsid w:val="00047158"/>
    <w:rsid w:val="0004718F"/>
    <w:rsid w:val="000473DF"/>
    <w:rsid w:val="000474DC"/>
    <w:rsid w:val="000474FC"/>
    <w:rsid w:val="00047509"/>
    <w:rsid w:val="000475E4"/>
    <w:rsid w:val="00047872"/>
    <w:rsid w:val="00047894"/>
    <w:rsid w:val="000479BC"/>
    <w:rsid w:val="00047BD7"/>
    <w:rsid w:val="00047CB3"/>
    <w:rsid w:val="00047E2D"/>
    <w:rsid w:val="00047EB2"/>
    <w:rsid w:val="000502DE"/>
    <w:rsid w:val="000506C7"/>
    <w:rsid w:val="0005077B"/>
    <w:rsid w:val="00050885"/>
    <w:rsid w:val="00050A63"/>
    <w:rsid w:val="00050D06"/>
    <w:rsid w:val="00050DFB"/>
    <w:rsid w:val="00050EE2"/>
    <w:rsid w:val="00051430"/>
    <w:rsid w:val="0005151B"/>
    <w:rsid w:val="0005168D"/>
    <w:rsid w:val="00051790"/>
    <w:rsid w:val="000517CD"/>
    <w:rsid w:val="000517FF"/>
    <w:rsid w:val="000518E6"/>
    <w:rsid w:val="00051AE6"/>
    <w:rsid w:val="00051B49"/>
    <w:rsid w:val="00051B98"/>
    <w:rsid w:val="00051B9B"/>
    <w:rsid w:val="00051BBA"/>
    <w:rsid w:val="0005206D"/>
    <w:rsid w:val="000520CB"/>
    <w:rsid w:val="00052124"/>
    <w:rsid w:val="0005219B"/>
    <w:rsid w:val="000522B9"/>
    <w:rsid w:val="00052312"/>
    <w:rsid w:val="000526B4"/>
    <w:rsid w:val="00052701"/>
    <w:rsid w:val="00052765"/>
    <w:rsid w:val="00052874"/>
    <w:rsid w:val="000529B0"/>
    <w:rsid w:val="000529CE"/>
    <w:rsid w:val="00052A52"/>
    <w:rsid w:val="00052A6F"/>
    <w:rsid w:val="00052ADB"/>
    <w:rsid w:val="00053025"/>
    <w:rsid w:val="0005322B"/>
    <w:rsid w:val="000532C9"/>
    <w:rsid w:val="00053379"/>
    <w:rsid w:val="00053480"/>
    <w:rsid w:val="00053498"/>
    <w:rsid w:val="000534CC"/>
    <w:rsid w:val="00053667"/>
    <w:rsid w:val="000536CA"/>
    <w:rsid w:val="0005373E"/>
    <w:rsid w:val="000537E1"/>
    <w:rsid w:val="000539E0"/>
    <w:rsid w:val="00053C2F"/>
    <w:rsid w:val="00053D20"/>
    <w:rsid w:val="00053D76"/>
    <w:rsid w:val="00053D9B"/>
    <w:rsid w:val="0005416A"/>
    <w:rsid w:val="000541C2"/>
    <w:rsid w:val="0005432D"/>
    <w:rsid w:val="000545EE"/>
    <w:rsid w:val="00054639"/>
    <w:rsid w:val="0005486F"/>
    <w:rsid w:val="00054882"/>
    <w:rsid w:val="00054924"/>
    <w:rsid w:val="00054992"/>
    <w:rsid w:val="000549BA"/>
    <w:rsid w:val="00054C95"/>
    <w:rsid w:val="00054CC5"/>
    <w:rsid w:val="00054CF0"/>
    <w:rsid w:val="00054D01"/>
    <w:rsid w:val="000550E2"/>
    <w:rsid w:val="0005510E"/>
    <w:rsid w:val="000551CF"/>
    <w:rsid w:val="00055243"/>
    <w:rsid w:val="000552A8"/>
    <w:rsid w:val="0005562F"/>
    <w:rsid w:val="000559FA"/>
    <w:rsid w:val="00055A34"/>
    <w:rsid w:val="00055AF8"/>
    <w:rsid w:val="00055C5D"/>
    <w:rsid w:val="00055DA0"/>
    <w:rsid w:val="00056084"/>
    <w:rsid w:val="000560B8"/>
    <w:rsid w:val="00056116"/>
    <w:rsid w:val="000561CF"/>
    <w:rsid w:val="000563D4"/>
    <w:rsid w:val="00056409"/>
    <w:rsid w:val="0005685F"/>
    <w:rsid w:val="0005690E"/>
    <w:rsid w:val="00056B38"/>
    <w:rsid w:val="00056C72"/>
    <w:rsid w:val="00056CBB"/>
    <w:rsid w:val="00056E89"/>
    <w:rsid w:val="00057173"/>
    <w:rsid w:val="000571EC"/>
    <w:rsid w:val="00057263"/>
    <w:rsid w:val="0005727B"/>
    <w:rsid w:val="000574A5"/>
    <w:rsid w:val="00057517"/>
    <w:rsid w:val="0005760B"/>
    <w:rsid w:val="0005765B"/>
    <w:rsid w:val="0005768F"/>
    <w:rsid w:val="0005774F"/>
    <w:rsid w:val="0005781B"/>
    <w:rsid w:val="00057864"/>
    <w:rsid w:val="00057BB1"/>
    <w:rsid w:val="00057C45"/>
    <w:rsid w:val="00057DCC"/>
    <w:rsid w:val="00057FCA"/>
    <w:rsid w:val="000600D7"/>
    <w:rsid w:val="00060189"/>
    <w:rsid w:val="00060238"/>
    <w:rsid w:val="0006048F"/>
    <w:rsid w:val="00060545"/>
    <w:rsid w:val="0006056F"/>
    <w:rsid w:val="000607DC"/>
    <w:rsid w:val="000607E9"/>
    <w:rsid w:val="00060AEE"/>
    <w:rsid w:val="00060C5D"/>
    <w:rsid w:val="00060D05"/>
    <w:rsid w:val="00060DB4"/>
    <w:rsid w:val="00060FC3"/>
    <w:rsid w:val="0006135A"/>
    <w:rsid w:val="000616E5"/>
    <w:rsid w:val="0006180F"/>
    <w:rsid w:val="000618C9"/>
    <w:rsid w:val="00061DFB"/>
    <w:rsid w:val="00061ED1"/>
    <w:rsid w:val="00062407"/>
    <w:rsid w:val="0006256C"/>
    <w:rsid w:val="0006279B"/>
    <w:rsid w:val="00062A44"/>
    <w:rsid w:val="00062D0D"/>
    <w:rsid w:val="00062FE1"/>
    <w:rsid w:val="00063075"/>
    <w:rsid w:val="000632BB"/>
    <w:rsid w:val="00063379"/>
    <w:rsid w:val="00063487"/>
    <w:rsid w:val="0006352C"/>
    <w:rsid w:val="000635EB"/>
    <w:rsid w:val="000637D1"/>
    <w:rsid w:val="0006415E"/>
    <w:rsid w:val="000642CC"/>
    <w:rsid w:val="0006431E"/>
    <w:rsid w:val="0006438F"/>
    <w:rsid w:val="000643C4"/>
    <w:rsid w:val="0006460E"/>
    <w:rsid w:val="00064736"/>
    <w:rsid w:val="00064BBE"/>
    <w:rsid w:val="00064D2A"/>
    <w:rsid w:val="00064FA1"/>
    <w:rsid w:val="0006502C"/>
    <w:rsid w:val="0006508F"/>
    <w:rsid w:val="00065364"/>
    <w:rsid w:val="0006538B"/>
    <w:rsid w:val="0006560A"/>
    <w:rsid w:val="000659E8"/>
    <w:rsid w:val="00065A48"/>
    <w:rsid w:val="00065BE4"/>
    <w:rsid w:val="00065CDE"/>
    <w:rsid w:val="00066133"/>
    <w:rsid w:val="00066191"/>
    <w:rsid w:val="000662FE"/>
    <w:rsid w:val="00066491"/>
    <w:rsid w:val="000666A9"/>
    <w:rsid w:val="00066808"/>
    <w:rsid w:val="00066C64"/>
    <w:rsid w:val="00066CD4"/>
    <w:rsid w:val="00066CF4"/>
    <w:rsid w:val="00066F74"/>
    <w:rsid w:val="00066FE1"/>
    <w:rsid w:val="00066FF3"/>
    <w:rsid w:val="00067154"/>
    <w:rsid w:val="000674B9"/>
    <w:rsid w:val="00067532"/>
    <w:rsid w:val="0006783A"/>
    <w:rsid w:val="00067B50"/>
    <w:rsid w:val="00067E04"/>
    <w:rsid w:val="00067E71"/>
    <w:rsid w:val="00067F0E"/>
    <w:rsid w:val="0007012F"/>
    <w:rsid w:val="00070316"/>
    <w:rsid w:val="00070332"/>
    <w:rsid w:val="00070364"/>
    <w:rsid w:val="00070382"/>
    <w:rsid w:val="00070A06"/>
    <w:rsid w:val="00070D2F"/>
    <w:rsid w:val="00070D64"/>
    <w:rsid w:val="00070E8D"/>
    <w:rsid w:val="00070F3D"/>
    <w:rsid w:val="00071125"/>
    <w:rsid w:val="00071289"/>
    <w:rsid w:val="0007131D"/>
    <w:rsid w:val="0007135B"/>
    <w:rsid w:val="00071522"/>
    <w:rsid w:val="000717B8"/>
    <w:rsid w:val="0007183F"/>
    <w:rsid w:val="000719AA"/>
    <w:rsid w:val="000719FF"/>
    <w:rsid w:val="00071A88"/>
    <w:rsid w:val="000724AE"/>
    <w:rsid w:val="000725D8"/>
    <w:rsid w:val="00072740"/>
    <w:rsid w:val="00072763"/>
    <w:rsid w:val="00072A48"/>
    <w:rsid w:val="00072B85"/>
    <w:rsid w:val="00072D02"/>
    <w:rsid w:val="00072D3B"/>
    <w:rsid w:val="00072E74"/>
    <w:rsid w:val="00072FAC"/>
    <w:rsid w:val="000731E8"/>
    <w:rsid w:val="00073474"/>
    <w:rsid w:val="000735A1"/>
    <w:rsid w:val="000736BE"/>
    <w:rsid w:val="000738E9"/>
    <w:rsid w:val="00073A39"/>
    <w:rsid w:val="00073B35"/>
    <w:rsid w:val="00073D63"/>
    <w:rsid w:val="00073FF8"/>
    <w:rsid w:val="0007424C"/>
    <w:rsid w:val="000744F4"/>
    <w:rsid w:val="0007450A"/>
    <w:rsid w:val="00074690"/>
    <w:rsid w:val="0007478D"/>
    <w:rsid w:val="00074949"/>
    <w:rsid w:val="00074C1C"/>
    <w:rsid w:val="00074CFE"/>
    <w:rsid w:val="00075001"/>
    <w:rsid w:val="000750D8"/>
    <w:rsid w:val="000752B2"/>
    <w:rsid w:val="0007537E"/>
    <w:rsid w:val="00075500"/>
    <w:rsid w:val="0007583B"/>
    <w:rsid w:val="000758CD"/>
    <w:rsid w:val="00075A1A"/>
    <w:rsid w:val="00075B8F"/>
    <w:rsid w:val="00075CCF"/>
    <w:rsid w:val="00075DD4"/>
    <w:rsid w:val="00075F30"/>
    <w:rsid w:val="00075F4A"/>
    <w:rsid w:val="00075FA7"/>
    <w:rsid w:val="00075FCB"/>
    <w:rsid w:val="00076221"/>
    <w:rsid w:val="0007639B"/>
    <w:rsid w:val="000763BF"/>
    <w:rsid w:val="00076493"/>
    <w:rsid w:val="0007649E"/>
    <w:rsid w:val="000764E8"/>
    <w:rsid w:val="0007659A"/>
    <w:rsid w:val="000765A5"/>
    <w:rsid w:val="000766D1"/>
    <w:rsid w:val="000768C9"/>
    <w:rsid w:val="00076BFF"/>
    <w:rsid w:val="00077046"/>
    <w:rsid w:val="000770D7"/>
    <w:rsid w:val="000770FE"/>
    <w:rsid w:val="000771D4"/>
    <w:rsid w:val="000772B1"/>
    <w:rsid w:val="0007767B"/>
    <w:rsid w:val="00077711"/>
    <w:rsid w:val="00077758"/>
    <w:rsid w:val="00077767"/>
    <w:rsid w:val="0007776A"/>
    <w:rsid w:val="00077783"/>
    <w:rsid w:val="000777D8"/>
    <w:rsid w:val="00077A61"/>
    <w:rsid w:val="00077A76"/>
    <w:rsid w:val="00077ACF"/>
    <w:rsid w:val="00077C56"/>
    <w:rsid w:val="0008037D"/>
    <w:rsid w:val="0008051D"/>
    <w:rsid w:val="0008059D"/>
    <w:rsid w:val="00080660"/>
    <w:rsid w:val="00080848"/>
    <w:rsid w:val="0008098A"/>
    <w:rsid w:val="00080C4D"/>
    <w:rsid w:val="00080C78"/>
    <w:rsid w:val="00080F21"/>
    <w:rsid w:val="0008122E"/>
    <w:rsid w:val="0008171D"/>
    <w:rsid w:val="00081805"/>
    <w:rsid w:val="00081966"/>
    <w:rsid w:val="00081B74"/>
    <w:rsid w:val="00081D51"/>
    <w:rsid w:val="00081DF5"/>
    <w:rsid w:val="00081F06"/>
    <w:rsid w:val="0008201D"/>
    <w:rsid w:val="00082194"/>
    <w:rsid w:val="0008268C"/>
    <w:rsid w:val="00082752"/>
    <w:rsid w:val="000827BF"/>
    <w:rsid w:val="000827C8"/>
    <w:rsid w:val="00082A44"/>
    <w:rsid w:val="00082BD5"/>
    <w:rsid w:val="00082D1E"/>
    <w:rsid w:val="00082DF7"/>
    <w:rsid w:val="00082FBD"/>
    <w:rsid w:val="000831B8"/>
    <w:rsid w:val="0008328E"/>
    <w:rsid w:val="0008339A"/>
    <w:rsid w:val="00083548"/>
    <w:rsid w:val="0008393E"/>
    <w:rsid w:val="00083B76"/>
    <w:rsid w:val="00083BB0"/>
    <w:rsid w:val="00083C60"/>
    <w:rsid w:val="00083C9A"/>
    <w:rsid w:val="00083CA0"/>
    <w:rsid w:val="00083D53"/>
    <w:rsid w:val="00083E86"/>
    <w:rsid w:val="00083F00"/>
    <w:rsid w:val="00083F0A"/>
    <w:rsid w:val="00083F0B"/>
    <w:rsid w:val="00083FEC"/>
    <w:rsid w:val="000843C9"/>
    <w:rsid w:val="00084400"/>
    <w:rsid w:val="0008443A"/>
    <w:rsid w:val="00084556"/>
    <w:rsid w:val="00084581"/>
    <w:rsid w:val="00084638"/>
    <w:rsid w:val="00084660"/>
    <w:rsid w:val="000846C8"/>
    <w:rsid w:val="00084911"/>
    <w:rsid w:val="00084A2A"/>
    <w:rsid w:val="00084ADC"/>
    <w:rsid w:val="00084B62"/>
    <w:rsid w:val="00084EDD"/>
    <w:rsid w:val="00085124"/>
    <w:rsid w:val="000852A7"/>
    <w:rsid w:val="000854E5"/>
    <w:rsid w:val="000854F6"/>
    <w:rsid w:val="00085585"/>
    <w:rsid w:val="000859A4"/>
    <w:rsid w:val="00085CD2"/>
    <w:rsid w:val="00085DE2"/>
    <w:rsid w:val="00085DF1"/>
    <w:rsid w:val="00085DFF"/>
    <w:rsid w:val="00085EF2"/>
    <w:rsid w:val="00085F6B"/>
    <w:rsid w:val="00085FB9"/>
    <w:rsid w:val="0008613C"/>
    <w:rsid w:val="000862CC"/>
    <w:rsid w:val="00086474"/>
    <w:rsid w:val="00086A50"/>
    <w:rsid w:val="00086F1C"/>
    <w:rsid w:val="00086F26"/>
    <w:rsid w:val="000870A1"/>
    <w:rsid w:val="000871D9"/>
    <w:rsid w:val="00087681"/>
    <w:rsid w:val="000878C5"/>
    <w:rsid w:val="00087CA0"/>
    <w:rsid w:val="00087D67"/>
    <w:rsid w:val="00090454"/>
    <w:rsid w:val="000904D9"/>
    <w:rsid w:val="00090599"/>
    <w:rsid w:val="0009061F"/>
    <w:rsid w:val="00090650"/>
    <w:rsid w:val="00090870"/>
    <w:rsid w:val="000908DD"/>
    <w:rsid w:val="00090C5A"/>
    <w:rsid w:val="00090CA4"/>
    <w:rsid w:val="00090ED7"/>
    <w:rsid w:val="00090FC6"/>
    <w:rsid w:val="00091286"/>
    <w:rsid w:val="000912B3"/>
    <w:rsid w:val="000912EB"/>
    <w:rsid w:val="0009130E"/>
    <w:rsid w:val="00091328"/>
    <w:rsid w:val="00091342"/>
    <w:rsid w:val="00091479"/>
    <w:rsid w:val="0009184E"/>
    <w:rsid w:val="00091F71"/>
    <w:rsid w:val="00091FA2"/>
    <w:rsid w:val="00091FBD"/>
    <w:rsid w:val="00092130"/>
    <w:rsid w:val="00092594"/>
    <w:rsid w:val="00092681"/>
    <w:rsid w:val="00092693"/>
    <w:rsid w:val="00092777"/>
    <w:rsid w:val="000929ED"/>
    <w:rsid w:val="00092AAE"/>
    <w:rsid w:val="00092CF2"/>
    <w:rsid w:val="00092D03"/>
    <w:rsid w:val="00092D1E"/>
    <w:rsid w:val="00093117"/>
    <w:rsid w:val="00093268"/>
    <w:rsid w:val="000932AC"/>
    <w:rsid w:val="00093311"/>
    <w:rsid w:val="0009350D"/>
    <w:rsid w:val="00093682"/>
    <w:rsid w:val="00093A24"/>
    <w:rsid w:val="00093BB8"/>
    <w:rsid w:val="00093C04"/>
    <w:rsid w:val="00093DB7"/>
    <w:rsid w:val="000941D7"/>
    <w:rsid w:val="00094296"/>
    <w:rsid w:val="00094534"/>
    <w:rsid w:val="0009457E"/>
    <w:rsid w:val="000946EE"/>
    <w:rsid w:val="00094814"/>
    <w:rsid w:val="00094AF8"/>
    <w:rsid w:val="00094E96"/>
    <w:rsid w:val="00094ECA"/>
    <w:rsid w:val="0009524C"/>
    <w:rsid w:val="0009541F"/>
    <w:rsid w:val="00095485"/>
    <w:rsid w:val="000954D3"/>
    <w:rsid w:val="00095584"/>
    <w:rsid w:val="000956C8"/>
    <w:rsid w:val="00095758"/>
    <w:rsid w:val="00095929"/>
    <w:rsid w:val="0009598C"/>
    <w:rsid w:val="00095BBD"/>
    <w:rsid w:val="00095BDD"/>
    <w:rsid w:val="00095C2D"/>
    <w:rsid w:val="00095D09"/>
    <w:rsid w:val="00095DCC"/>
    <w:rsid w:val="00095E87"/>
    <w:rsid w:val="00095F80"/>
    <w:rsid w:val="00095FB8"/>
    <w:rsid w:val="0009601A"/>
    <w:rsid w:val="0009639E"/>
    <w:rsid w:val="00096440"/>
    <w:rsid w:val="000968AC"/>
    <w:rsid w:val="00096A4C"/>
    <w:rsid w:val="00096AB3"/>
    <w:rsid w:val="00096B47"/>
    <w:rsid w:val="00096D42"/>
    <w:rsid w:val="00096F39"/>
    <w:rsid w:val="00097016"/>
    <w:rsid w:val="0009735A"/>
    <w:rsid w:val="00097384"/>
    <w:rsid w:val="0009741B"/>
    <w:rsid w:val="000976C5"/>
    <w:rsid w:val="0009795B"/>
    <w:rsid w:val="00097BC4"/>
    <w:rsid w:val="00097C1C"/>
    <w:rsid w:val="000A0083"/>
    <w:rsid w:val="000A0397"/>
    <w:rsid w:val="000A0452"/>
    <w:rsid w:val="000A087F"/>
    <w:rsid w:val="000A090F"/>
    <w:rsid w:val="000A0AAE"/>
    <w:rsid w:val="000A0AC7"/>
    <w:rsid w:val="000A0B0D"/>
    <w:rsid w:val="000A0BD1"/>
    <w:rsid w:val="000A0C23"/>
    <w:rsid w:val="000A0CDF"/>
    <w:rsid w:val="000A0DDB"/>
    <w:rsid w:val="000A0EDD"/>
    <w:rsid w:val="000A0F08"/>
    <w:rsid w:val="000A0FC9"/>
    <w:rsid w:val="000A1355"/>
    <w:rsid w:val="000A1461"/>
    <w:rsid w:val="000A155F"/>
    <w:rsid w:val="000A1573"/>
    <w:rsid w:val="000A1776"/>
    <w:rsid w:val="000A17F8"/>
    <w:rsid w:val="000A198D"/>
    <w:rsid w:val="000A1A36"/>
    <w:rsid w:val="000A1A54"/>
    <w:rsid w:val="000A1AA4"/>
    <w:rsid w:val="000A1E22"/>
    <w:rsid w:val="000A21FA"/>
    <w:rsid w:val="000A24F7"/>
    <w:rsid w:val="000A2776"/>
    <w:rsid w:val="000A27E4"/>
    <w:rsid w:val="000A28D1"/>
    <w:rsid w:val="000A2940"/>
    <w:rsid w:val="000A2976"/>
    <w:rsid w:val="000A299E"/>
    <w:rsid w:val="000A29B4"/>
    <w:rsid w:val="000A2A74"/>
    <w:rsid w:val="000A2E8F"/>
    <w:rsid w:val="000A2FB1"/>
    <w:rsid w:val="000A30D2"/>
    <w:rsid w:val="000A3333"/>
    <w:rsid w:val="000A33E8"/>
    <w:rsid w:val="000A35A5"/>
    <w:rsid w:val="000A35E3"/>
    <w:rsid w:val="000A3776"/>
    <w:rsid w:val="000A38AA"/>
    <w:rsid w:val="000A3A10"/>
    <w:rsid w:val="000A3B74"/>
    <w:rsid w:val="000A423C"/>
    <w:rsid w:val="000A4385"/>
    <w:rsid w:val="000A46C6"/>
    <w:rsid w:val="000A4AE2"/>
    <w:rsid w:val="000A4DA3"/>
    <w:rsid w:val="000A4ECF"/>
    <w:rsid w:val="000A4F3B"/>
    <w:rsid w:val="000A4FC4"/>
    <w:rsid w:val="000A4FC7"/>
    <w:rsid w:val="000A5226"/>
    <w:rsid w:val="000A53FC"/>
    <w:rsid w:val="000A5449"/>
    <w:rsid w:val="000A55E2"/>
    <w:rsid w:val="000A575B"/>
    <w:rsid w:val="000A581F"/>
    <w:rsid w:val="000A5AE4"/>
    <w:rsid w:val="000A5BAE"/>
    <w:rsid w:val="000A5BF3"/>
    <w:rsid w:val="000A5BF8"/>
    <w:rsid w:val="000A6172"/>
    <w:rsid w:val="000A6232"/>
    <w:rsid w:val="000A6647"/>
    <w:rsid w:val="000A66B3"/>
    <w:rsid w:val="000A68E2"/>
    <w:rsid w:val="000A699E"/>
    <w:rsid w:val="000A69F9"/>
    <w:rsid w:val="000A6D92"/>
    <w:rsid w:val="000A70D5"/>
    <w:rsid w:val="000A7118"/>
    <w:rsid w:val="000A7202"/>
    <w:rsid w:val="000A7385"/>
    <w:rsid w:val="000A75DE"/>
    <w:rsid w:val="000A760F"/>
    <w:rsid w:val="000A7657"/>
    <w:rsid w:val="000A76E7"/>
    <w:rsid w:val="000A7947"/>
    <w:rsid w:val="000A7A13"/>
    <w:rsid w:val="000A7A46"/>
    <w:rsid w:val="000A7DC4"/>
    <w:rsid w:val="000A7E05"/>
    <w:rsid w:val="000A7F76"/>
    <w:rsid w:val="000B0428"/>
    <w:rsid w:val="000B06F3"/>
    <w:rsid w:val="000B07D6"/>
    <w:rsid w:val="000B08B7"/>
    <w:rsid w:val="000B0A55"/>
    <w:rsid w:val="000B0B50"/>
    <w:rsid w:val="000B0B80"/>
    <w:rsid w:val="000B0B95"/>
    <w:rsid w:val="000B0D8D"/>
    <w:rsid w:val="000B0DFC"/>
    <w:rsid w:val="000B0E5B"/>
    <w:rsid w:val="000B0EB3"/>
    <w:rsid w:val="000B1029"/>
    <w:rsid w:val="000B1205"/>
    <w:rsid w:val="000B12EF"/>
    <w:rsid w:val="000B1460"/>
    <w:rsid w:val="000B15CF"/>
    <w:rsid w:val="000B16FE"/>
    <w:rsid w:val="000B18BC"/>
    <w:rsid w:val="000B2002"/>
    <w:rsid w:val="000B200C"/>
    <w:rsid w:val="000B223C"/>
    <w:rsid w:val="000B225D"/>
    <w:rsid w:val="000B2389"/>
    <w:rsid w:val="000B24C4"/>
    <w:rsid w:val="000B2540"/>
    <w:rsid w:val="000B28D1"/>
    <w:rsid w:val="000B2995"/>
    <w:rsid w:val="000B2A67"/>
    <w:rsid w:val="000B2B8D"/>
    <w:rsid w:val="000B2D14"/>
    <w:rsid w:val="000B2E08"/>
    <w:rsid w:val="000B2F84"/>
    <w:rsid w:val="000B3015"/>
    <w:rsid w:val="000B303E"/>
    <w:rsid w:val="000B3153"/>
    <w:rsid w:val="000B3192"/>
    <w:rsid w:val="000B34D2"/>
    <w:rsid w:val="000B35A0"/>
    <w:rsid w:val="000B35D4"/>
    <w:rsid w:val="000B369C"/>
    <w:rsid w:val="000B36E6"/>
    <w:rsid w:val="000B3AF6"/>
    <w:rsid w:val="000B3E1D"/>
    <w:rsid w:val="000B3F96"/>
    <w:rsid w:val="000B3FB9"/>
    <w:rsid w:val="000B43C0"/>
    <w:rsid w:val="000B45B8"/>
    <w:rsid w:val="000B46C8"/>
    <w:rsid w:val="000B474B"/>
    <w:rsid w:val="000B4862"/>
    <w:rsid w:val="000B48C3"/>
    <w:rsid w:val="000B497F"/>
    <w:rsid w:val="000B4A72"/>
    <w:rsid w:val="000B4FD5"/>
    <w:rsid w:val="000B5105"/>
    <w:rsid w:val="000B5186"/>
    <w:rsid w:val="000B5766"/>
    <w:rsid w:val="000B5831"/>
    <w:rsid w:val="000B5933"/>
    <w:rsid w:val="000B5D07"/>
    <w:rsid w:val="000B5D55"/>
    <w:rsid w:val="000B6177"/>
    <w:rsid w:val="000B61A3"/>
    <w:rsid w:val="000B62D0"/>
    <w:rsid w:val="000B63A5"/>
    <w:rsid w:val="000B64BD"/>
    <w:rsid w:val="000B65CA"/>
    <w:rsid w:val="000B662F"/>
    <w:rsid w:val="000B66FD"/>
    <w:rsid w:val="000B68B4"/>
    <w:rsid w:val="000B68B7"/>
    <w:rsid w:val="000B6D23"/>
    <w:rsid w:val="000B6F02"/>
    <w:rsid w:val="000B760B"/>
    <w:rsid w:val="000B77B2"/>
    <w:rsid w:val="000B77B9"/>
    <w:rsid w:val="000B77C1"/>
    <w:rsid w:val="000B7881"/>
    <w:rsid w:val="000B790C"/>
    <w:rsid w:val="000B7A92"/>
    <w:rsid w:val="000B7A9C"/>
    <w:rsid w:val="000B7DE8"/>
    <w:rsid w:val="000B7E59"/>
    <w:rsid w:val="000C028A"/>
    <w:rsid w:val="000C02CC"/>
    <w:rsid w:val="000C0319"/>
    <w:rsid w:val="000C03BF"/>
    <w:rsid w:val="000C044F"/>
    <w:rsid w:val="000C04CC"/>
    <w:rsid w:val="000C05BD"/>
    <w:rsid w:val="000C07C4"/>
    <w:rsid w:val="000C07E1"/>
    <w:rsid w:val="000C0879"/>
    <w:rsid w:val="000C092B"/>
    <w:rsid w:val="000C0B4A"/>
    <w:rsid w:val="000C0BE8"/>
    <w:rsid w:val="000C0C23"/>
    <w:rsid w:val="000C0DDF"/>
    <w:rsid w:val="000C0EB7"/>
    <w:rsid w:val="000C0F5D"/>
    <w:rsid w:val="000C1173"/>
    <w:rsid w:val="000C11A1"/>
    <w:rsid w:val="000C11AF"/>
    <w:rsid w:val="000C1398"/>
    <w:rsid w:val="000C1462"/>
    <w:rsid w:val="000C1654"/>
    <w:rsid w:val="000C1669"/>
    <w:rsid w:val="000C18A8"/>
    <w:rsid w:val="000C19AA"/>
    <w:rsid w:val="000C19E0"/>
    <w:rsid w:val="000C19EE"/>
    <w:rsid w:val="000C1D03"/>
    <w:rsid w:val="000C1E77"/>
    <w:rsid w:val="000C1EC0"/>
    <w:rsid w:val="000C2009"/>
    <w:rsid w:val="000C219B"/>
    <w:rsid w:val="000C21BB"/>
    <w:rsid w:val="000C222A"/>
    <w:rsid w:val="000C2312"/>
    <w:rsid w:val="000C2498"/>
    <w:rsid w:val="000C2707"/>
    <w:rsid w:val="000C275C"/>
    <w:rsid w:val="000C2A16"/>
    <w:rsid w:val="000C2A27"/>
    <w:rsid w:val="000C2ACD"/>
    <w:rsid w:val="000C2BA7"/>
    <w:rsid w:val="000C2C58"/>
    <w:rsid w:val="000C2CE4"/>
    <w:rsid w:val="000C2F09"/>
    <w:rsid w:val="000C31E6"/>
    <w:rsid w:val="000C32ED"/>
    <w:rsid w:val="000C3335"/>
    <w:rsid w:val="000C355D"/>
    <w:rsid w:val="000C37D9"/>
    <w:rsid w:val="000C3813"/>
    <w:rsid w:val="000C38D4"/>
    <w:rsid w:val="000C3EEA"/>
    <w:rsid w:val="000C463F"/>
    <w:rsid w:val="000C4BB1"/>
    <w:rsid w:val="000C4C4E"/>
    <w:rsid w:val="000C4CBA"/>
    <w:rsid w:val="000C4CC3"/>
    <w:rsid w:val="000C4E8B"/>
    <w:rsid w:val="000C525F"/>
    <w:rsid w:val="000C52B6"/>
    <w:rsid w:val="000C544A"/>
    <w:rsid w:val="000C54CA"/>
    <w:rsid w:val="000C54EB"/>
    <w:rsid w:val="000C553C"/>
    <w:rsid w:val="000C5636"/>
    <w:rsid w:val="000C5A30"/>
    <w:rsid w:val="000C5D43"/>
    <w:rsid w:val="000C5FC5"/>
    <w:rsid w:val="000C62BB"/>
    <w:rsid w:val="000C6532"/>
    <w:rsid w:val="000C6671"/>
    <w:rsid w:val="000C6952"/>
    <w:rsid w:val="000C6A82"/>
    <w:rsid w:val="000C6A8C"/>
    <w:rsid w:val="000C6B00"/>
    <w:rsid w:val="000C6B77"/>
    <w:rsid w:val="000C6C98"/>
    <w:rsid w:val="000C6DA5"/>
    <w:rsid w:val="000C6E10"/>
    <w:rsid w:val="000C6E31"/>
    <w:rsid w:val="000C715A"/>
    <w:rsid w:val="000C744A"/>
    <w:rsid w:val="000C75D0"/>
    <w:rsid w:val="000C76A4"/>
    <w:rsid w:val="000C7830"/>
    <w:rsid w:val="000C78DC"/>
    <w:rsid w:val="000C7947"/>
    <w:rsid w:val="000C7A0F"/>
    <w:rsid w:val="000C7AAA"/>
    <w:rsid w:val="000C7C26"/>
    <w:rsid w:val="000C7D12"/>
    <w:rsid w:val="000C7F0E"/>
    <w:rsid w:val="000D0113"/>
    <w:rsid w:val="000D05CF"/>
    <w:rsid w:val="000D0761"/>
    <w:rsid w:val="000D0941"/>
    <w:rsid w:val="000D0996"/>
    <w:rsid w:val="000D0A35"/>
    <w:rsid w:val="000D0B85"/>
    <w:rsid w:val="000D0E90"/>
    <w:rsid w:val="000D0F6E"/>
    <w:rsid w:val="000D0FDE"/>
    <w:rsid w:val="000D1043"/>
    <w:rsid w:val="000D1073"/>
    <w:rsid w:val="000D13BA"/>
    <w:rsid w:val="000D159B"/>
    <w:rsid w:val="000D179A"/>
    <w:rsid w:val="000D180D"/>
    <w:rsid w:val="000D1A13"/>
    <w:rsid w:val="000D1E2D"/>
    <w:rsid w:val="000D1FC7"/>
    <w:rsid w:val="000D2025"/>
    <w:rsid w:val="000D2194"/>
    <w:rsid w:val="000D23AA"/>
    <w:rsid w:val="000D241B"/>
    <w:rsid w:val="000D2472"/>
    <w:rsid w:val="000D249B"/>
    <w:rsid w:val="000D24F0"/>
    <w:rsid w:val="000D2546"/>
    <w:rsid w:val="000D28A4"/>
    <w:rsid w:val="000D2AF2"/>
    <w:rsid w:val="000D2DF7"/>
    <w:rsid w:val="000D30BA"/>
    <w:rsid w:val="000D31D3"/>
    <w:rsid w:val="000D388B"/>
    <w:rsid w:val="000D38D1"/>
    <w:rsid w:val="000D39A8"/>
    <w:rsid w:val="000D3A19"/>
    <w:rsid w:val="000D3F35"/>
    <w:rsid w:val="000D4182"/>
    <w:rsid w:val="000D441C"/>
    <w:rsid w:val="000D4485"/>
    <w:rsid w:val="000D44AA"/>
    <w:rsid w:val="000D4624"/>
    <w:rsid w:val="000D4685"/>
    <w:rsid w:val="000D47AE"/>
    <w:rsid w:val="000D47C8"/>
    <w:rsid w:val="000D485B"/>
    <w:rsid w:val="000D4865"/>
    <w:rsid w:val="000D493D"/>
    <w:rsid w:val="000D4995"/>
    <w:rsid w:val="000D49B6"/>
    <w:rsid w:val="000D4ACE"/>
    <w:rsid w:val="000D4D18"/>
    <w:rsid w:val="000D4D3F"/>
    <w:rsid w:val="000D5797"/>
    <w:rsid w:val="000D5959"/>
    <w:rsid w:val="000D5A2B"/>
    <w:rsid w:val="000D5BEE"/>
    <w:rsid w:val="000D5E6A"/>
    <w:rsid w:val="000D601A"/>
    <w:rsid w:val="000D619E"/>
    <w:rsid w:val="000D6278"/>
    <w:rsid w:val="000D63E1"/>
    <w:rsid w:val="000D65B2"/>
    <w:rsid w:val="000D66D0"/>
    <w:rsid w:val="000D6A9B"/>
    <w:rsid w:val="000D6CCF"/>
    <w:rsid w:val="000D6F85"/>
    <w:rsid w:val="000D6FE5"/>
    <w:rsid w:val="000D7192"/>
    <w:rsid w:val="000D71AD"/>
    <w:rsid w:val="000D7216"/>
    <w:rsid w:val="000D7220"/>
    <w:rsid w:val="000D7596"/>
    <w:rsid w:val="000D792C"/>
    <w:rsid w:val="000D7E0A"/>
    <w:rsid w:val="000D7EF8"/>
    <w:rsid w:val="000E0042"/>
    <w:rsid w:val="000E0132"/>
    <w:rsid w:val="000E0431"/>
    <w:rsid w:val="000E049A"/>
    <w:rsid w:val="000E0552"/>
    <w:rsid w:val="000E05CB"/>
    <w:rsid w:val="000E0635"/>
    <w:rsid w:val="000E07C5"/>
    <w:rsid w:val="000E0810"/>
    <w:rsid w:val="000E0831"/>
    <w:rsid w:val="000E0B05"/>
    <w:rsid w:val="000E0D08"/>
    <w:rsid w:val="000E0D19"/>
    <w:rsid w:val="000E0D8D"/>
    <w:rsid w:val="000E0E30"/>
    <w:rsid w:val="000E0FBB"/>
    <w:rsid w:val="000E0FBD"/>
    <w:rsid w:val="000E1123"/>
    <w:rsid w:val="000E1192"/>
    <w:rsid w:val="000E12F7"/>
    <w:rsid w:val="000E1359"/>
    <w:rsid w:val="000E150A"/>
    <w:rsid w:val="000E1579"/>
    <w:rsid w:val="000E15F0"/>
    <w:rsid w:val="000E16BC"/>
    <w:rsid w:val="000E16D0"/>
    <w:rsid w:val="000E173E"/>
    <w:rsid w:val="000E18FD"/>
    <w:rsid w:val="000E1914"/>
    <w:rsid w:val="000E19FC"/>
    <w:rsid w:val="000E1D72"/>
    <w:rsid w:val="000E1D9F"/>
    <w:rsid w:val="000E1E8C"/>
    <w:rsid w:val="000E22C1"/>
    <w:rsid w:val="000E2565"/>
    <w:rsid w:val="000E25B2"/>
    <w:rsid w:val="000E25D3"/>
    <w:rsid w:val="000E266D"/>
    <w:rsid w:val="000E2679"/>
    <w:rsid w:val="000E288C"/>
    <w:rsid w:val="000E2890"/>
    <w:rsid w:val="000E28B0"/>
    <w:rsid w:val="000E2CA6"/>
    <w:rsid w:val="000E302C"/>
    <w:rsid w:val="000E319B"/>
    <w:rsid w:val="000E3397"/>
    <w:rsid w:val="000E33FE"/>
    <w:rsid w:val="000E348A"/>
    <w:rsid w:val="000E37D2"/>
    <w:rsid w:val="000E39FC"/>
    <w:rsid w:val="000E3E0C"/>
    <w:rsid w:val="000E3F73"/>
    <w:rsid w:val="000E3FE8"/>
    <w:rsid w:val="000E4060"/>
    <w:rsid w:val="000E4276"/>
    <w:rsid w:val="000E43B0"/>
    <w:rsid w:val="000E45D4"/>
    <w:rsid w:val="000E4641"/>
    <w:rsid w:val="000E48FF"/>
    <w:rsid w:val="000E4A45"/>
    <w:rsid w:val="000E4B68"/>
    <w:rsid w:val="000E51A8"/>
    <w:rsid w:val="000E5248"/>
    <w:rsid w:val="000E53E3"/>
    <w:rsid w:val="000E55A2"/>
    <w:rsid w:val="000E55AD"/>
    <w:rsid w:val="000E57AF"/>
    <w:rsid w:val="000E58C7"/>
    <w:rsid w:val="000E5999"/>
    <w:rsid w:val="000E5B83"/>
    <w:rsid w:val="000E5CBB"/>
    <w:rsid w:val="000E5F92"/>
    <w:rsid w:val="000E68AF"/>
    <w:rsid w:val="000E6939"/>
    <w:rsid w:val="000E695F"/>
    <w:rsid w:val="000E6B20"/>
    <w:rsid w:val="000E6E02"/>
    <w:rsid w:val="000E7324"/>
    <w:rsid w:val="000E7468"/>
    <w:rsid w:val="000E75FC"/>
    <w:rsid w:val="000E7711"/>
    <w:rsid w:val="000E77AD"/>
    <w:rsid w:val="000E79EB"/>
    <w:rsid w:val="000E7B1B"/>
    <w:rsid w:val="000E7B68"/>
    <w:rsid w:val="000E7C41"/>
    <w:rsid w:val="000E7DDD"/>
    <w:rsid w:val="000E7DF9"/>
    <w:rsid w:val="000E7F12"/>
    <w:rsid w:val="000F0018"/>
    <w:rsid w:val="000F0019"/>
    <w:rsid w:val="000F0209"/>
    <w:rsid w:val="000F0227"/>
    <w:rsid w:val="000F02D2"/>
    <w:rsid w:val="000F038B"/>
    <w:rsid w:val="000F04ED"/>
    <w:rsid w:val="000F05A2"/>
    <w:rsid w:val="000F0818"/>
    <w:rsid w:val="000F086A"/>
    <w:rsid w:val="000F0941"/>
    <w:rsid w:val="000F09EB"/>
    <w:rsid w:val="000F09F8"/>
    <w:rsid w:val="000F0C6C"/>
    <w:rsid w:val="000F0CF9"/>
    <w:rsid w:val="000F0D6A"/>
    <w:rsid w:val="000F0E07"/>
    <w:rsid w:val="000F0E49"/>
    <w:rsid w:val="000F0F22"/>
    <w:rsid w:val="000F0FFF"/>
    <w:rsid w:val="000F114E"/>
    <w:rsid w:val="000F1164"/>
    <w:rsid w:val="000F124D"/>
    <w:rsid w:val="000F149B"/>
    <w:rsid w:val="000F160F"/>
    <w:rsid w:val="000F1638"/>
    <w:rsid w:val="000F1BBF"/>
    <w:rsid w:val="000F1E62"/>
    <w:rsid w:val="000F1FC9"/>
    <w:rsid w:val="000F213A"/>
    <w:rsid w:val="000F216C"/>
    <w:rsid w:val="000F2209"/>
    <w:rsid w:val="000F221C"/>
    <w:rsid w:val="000F239E"/>
    <w:rsid w:val="000F29CC"/>
    <w:rsid w:val="000F2ADF"/>
    <w:rsid w:val="000F2CD3"/>
    <w:rsid w:val="000F2DB2"/>
    <w:rsid w:val="000F2ECB"/>
    <w:rsid w:val="000F2EE8"/>
    <w:rsid w:val="000F300D"/>
    <w:rsid w:val="000F3180"/>
    <w:rsid w:val="000F32E3"/>
    <w:rsid w:val="000F3374"/>
    <w:rsid w:val="000F344F"/>
    <w:rsid w:val="000F36CE"/>
    <w:rsid w:val="000F3715"/>
    <w:rsid w:val="000F37A7"/>
    <w:rsid w:val="000F3827"/>
    <w:rsid w:val="000F38B6"/>
    <w:rsid w:val="000F38FC"/>
    <w:rsid w:val="000F397B"/>
    <w:rsid w:val="000F3A74"/>
    <w:rsid w:val="000F3AED"/>
    <w:rsid w:val="000F3B1C"/>
    <w:rsid w:val="000F3C44"/>
    <w:rsid w:val="000F3F42"/>
    <w:rsid w:val="000F3F69"/>
    <w:rsid w:val="000F3FA8"/>
    <w:rsid w:val="000F409E"/>
    <w:rsid w:val="000F40F0"/>
    <w:rsid w:val="000F4129"/>
    <w:rsid w:val="000F4139"/>
    <w:rsid w:val="000F431C"/>
    <w:rsid w:val="000F447A"/>
    <w:rsid w:val="000F4488"/>
    <w:rsid w:val="000F44FD"/>
    <w:rsid w:val="000F453B"/>
    <w:rsid w:val="000F461E"/>
    <w:rsid w:val="000F4673"/>
    <w:rsid w:val="000F4823"/>
    <w:rsid w:val="000F4873"/>
    <w:rsid w:val="000F48E5"/>
    <w:rsid w:val="000F4C5F"/>
    <w:rsid w:val="000F4C85"/>
    <w:rsid w:val="000F4C99"/>
    <w:rsid w:val="000F4EF9"/>
    <w:rsid w:val="000F4F29"/>
    <w:rsid w:val="000F4FE3"/>
    <w:rsid w:val="000F51B3"/>
    <w:rsid w:val="000F542F"/>
    <w:rsid w:val="000F54B9"/>
    <w:rsid w:val="000F54FB"/>
    <w:rsid w:val="000F5A92"/>
    <w:rsid w:val="000F5C92"/>
    <w:rsid w:val="000F60DD"/>
    <w:rsid w:val="000F6355"/>
    <w:rsid w:val="000F63E8"/>
    <w:rsid w:val="000F64FC"/>
    <w:rsid w:val="000F6523"/>
    <w:rsid w:val="000F652D"/>
    <w:rsid w:val="000F674F"/>
    <w:rsid w:val="000F697C"/>
    <w:rsid w:val="000F6BC1"/>
    <w:rsid w:val="000F6E53"/>
    <w:rsid w:val="000F6ED7"/>
    <w:rsid w:val="000F6F3B"/>
    <w:rsid w:val="000F749F"/>
    <w:rsid w:val="000F74C0"/>
    <w:rsid w:val="000F756D"/>
    <w:rsid w:val="000F7720"/>
    <w:rsid w:val="000F77FF"/>
    <w:rsid w:val="000F7882"/>
    <w:rsid w:val="000F7914"/>
    <w:rsid w:val="000F79C9"/>
    <w:rsid w:val="000F7ACD"/>
    <w:rsid w:val="000F7AED"/>
    <w:rsid w:val="000F7B37"/>
    <w:rsid w:val="000F7B66"/>
    <w:rsid w:val="000F7D2E"/>
    <w:rsid w:val="000F7D39"/>
    <w:rsid w:val="000F7DAC"/>
    <w:rsid w:val="000F7EB1"/>
    <w:rsid w:val="000F7ED3"/>
    <w:rsid w:val="0010045E"/>
    <w:rsid w:val="001005B6"/>
    <w:rsid w:val="0010080D"/>
    <w:rsid w:val="001008E7"/>
    <w:rsid w:val="00100B65"/>
    <w:rsid w:val="00100BA3"/>
    <w:rsid w:val="00100C05"/>
    <w:rsid w:val="00100C32"/>
    <w:rsid w:val="00100DFE"/>
    <w:rsid w:val="00100E85"/>
    <w:rsid w:val="00100FAB"/>
    <w:rsid w:val="00100FC6"/>
    <w:rsid w:val="00101007"/>
    <w:rsid w:val="00101044"/>
    <w:rsid w:val="00101066"/>
    <w:rsid w:val="001011D9"/>
    <w:rsid w:val="00101697"/>
    <w:rsid w:val="0010173F"/>
    <w:rsid w:val="001017F9"/>
    <w:rsid w:val="0010189D"/>
    <w:rsid w:val="001018F6"/>
    <w:rsid w:val="001019AA"/>
    <w:rsid w:val="00101AD6"/>
    <w:rsid w:val="00101B12"/>
    <w:rsid w:val="00101B13"/>
    <w:rsid w:val="00101D03"/>
    <w:rsid w:val="00101D3A"/>
    <w:rsid w:val="00101D69"/>
    <w:rsid w:val="00101DC1"/>
    <w:rsid w:val="00101F89"/>
    <w:rsid w:val="00101FFD"/>
    <w:rsid w:val="0010206A"/>
    <w:rsid w:val="00102121"/>
    <w:rsid w:val="0010229B"/>
    <w:rsid w:val="001022EA"/>
    <w:rsid w:val="001023BE"/>
    <w:rsid w:val="001024DF"/>
    <w:rsid w:val="001025A9"/>
    <w:rsid w:val="001026C3"/>
    <w:rsid w:val="0010277C"/>
    <w:rsid w:val="00102885"/>
    <w:rsid w:val="00102890"/>
    <w:rsid w:val="00102A6A"/>
    <w:rsid w:val="00102A73"/>
    <w:rsid w:val="00102BB2"/>
    <w:rsid w:val="00102E8F"/>
    <w:rsid w:val="00103178"/>
    <w:rsid w:val="001033D8"/>
    <w:rsid w:val="00103510"/>
    <w:rsid w:val="00103595"/>
    <w:rsid w:val="001035AC"/>
    <w:rsid w:val="00103660"/>
    <w:rsid w:val="0010386F"/>
    <w:rsid w:val="001039DD"/>
    <w:rsid w:val="00103A64"/>
    <w:rsid w:val="001040F9"/>
    <w:rsid w:val="001042BB"/>
    <w:rsid w:val="00104491"/>
    <w:rsid w:val="001045D3"/>
    <w:rsid w:val="001046C8"/>
    <w:rsid w:val="00104C04"/>
    <w:rsid w:val="00104C57"/>
    <w:rsid w:val="00104EA6"/>
    <w:rsid w:val="00104F39"/>
    <w:rsid w:val="00105107"/>
    <w:rsid w:val="001054E6"/>
    <w:rsid w:val="00105534"/>
    <w:rsid w:val="001055E7"/>
    <w:rsid w:val="001058C9"/>
    <w:rsid w:val="00105946"/>
    <w:rsid w:val="00105C83"/>
    <w:rsid w:val="00105C8A"/>
    <w:rsid w:val="00105E61"/>
    <w:rsid w:val="00105F73"/>
    <w:rsid w:val="00106292"/>
    <w:rsid w:val="00106325"/>
    <w:rsid w:val="001063E4"/>
    <w:rsid w:val="001063F2"/>
    <w:rsid w:val="001066ED"/>
    <w:rsid w:val="00106B73"/>
    <w:rsid w:val="00106BA0"/>
    <w:rsid w:val="00106C72"/>
    <w:rsid w:val="00106DB9"/>
    <w:rsid w:val="00106DFC"/>
    <w:rsid w:val="00106ED8"/>
    <w:rsid w:val="00106EF1"/>
    <w:rsid w:val="00106F17"/>
    <w:rsid w:val="00106F2D"/>
    <w:rsid w:val="00107039"/>
    <w:rsid w:val="00107171"/>
    <w:rsid w:val="00107223"/>
    <w:rsid w:val="00107255"/>
    <w:rsid w:val="001075A5"/>
    <w:rsid w:val="00107744"/>
    <w:rsid w:val="0010785B"/>
    <w:rsid w:val="00107A00"/>
    <w:rsid w:val="00107A0F"/>
    <w:rsid w:val="00107AF6"/>
    <w:rsid w:val="0011042C"/>
    <w:rsid w:val="001104C2"/>
    <w:rsid w:val="00110872"/>
    <w:rsid w:val="0011092A"/>
    <w:rsid w:val="00110D12"/>
    <w:rsid w:val="00110EB3"/>
    <w:rsid w:val="00110FC1"/>
    <w:rsid w:val="0011104F"/>
    <w:rsid w:val="00111107"/>
    <w:rsid w:val="001112B9"/>
    <w:rsid w:val="00111307"/>
    <w:rsid w:val="00111448"/>
    <w:rsid w:val="00111913"/>
    <w:rsid w:val="00111C30"/>
    <w:rsid w:val="00111D50"/>
    <w:rsid w:val="00111F0E"/>
    <w:rsid w:val="0011217E"/>
    <w:rsid w:val="00112262"/>
    <w:rsid w:val="00112360"/>
    <w:rsid w:val="00112417"/>
    <w:rsid w:val="00112588"/>
    <w:rsid w:val="001125E4"/>
    <w:rsid w:val="00112621"/>
    <w:rsid w:val="00112732"/>
    <w:rsid w:val="001127A5"/>
    <w:rsid w:val="00112978"/>
    <w:rsid w:val="00112A5B"/>
    <w:rsid w:val="00112A75"/>
    <w:rsid w:val="00112D3D"/>
    <w:rsid w:val="00112E8F"/>
    <w:rsid w:val="00112FD3"/>
    <w:rsid w:val="0011361B"/>
    <w:rsid w:val="00113657"/>
    <w:rsid w:val="00113827"/>
    <w:rsid w:val="00113903"/>
    <w:rsid w:val="00113A59"/>
    <w:rsid w:val="00113A96"/>
    <w:rsid w:val="00113B31"/>
    <w:rsid w:val="00113B73"/>
    <w:rsid w:val="00113CA4"/>
    <w:rsid w:val="00113E2D"/>
    <w:rsid w:val="00113F43"/>
    <w:rsid w:val="00113F74"/>
    <w:rsid w:val="001142B5"/>
    <w:rsid w:val="001148D2"/>
    <w:rsid w:val="001150D6"/>
    <w:rsid w:val="001152C9"/>
    <w:rsid w:val="0011555C"/>
    <w:rsid w:val="00115567"/>
    <w:rsid w:val="001156C0"/>
    <w:rsid w:val="0011575E"/>
    <w:rsid w:val="001159B4"/>
    <w:rsid w:val="00115AEE"/>
    <w:rsid w:val="00115C25"/>
    <w:rsid w:val="00115CDC"/>
    <w:rsid w:val="001163C7"/>
    <w:rsid w:val="00116443"/>
    <w:rsid w:val="00116579"/>
    <w:rsid w:val="001165CA"/>
    <w:rsid w:val="00116749"/>
    <w:rsid w:val="00116D8F"/>
    <w:rsid w:val="00116E94"/>
    <w:rsid w:val="00116F91"/>
    <w:rsid w:val="001170ED"/>
    <w:rsid w:val="001171E3"/>
    <w:rsid w:val="001175AA"/>
    <w:rsid w:val="0011762F"/>
    <w:rsid w:val="0011770F"/>
    <w:rsid w:val="001177D5"/>
    <w:rsid w:val="001179F9"/>
    <w:rsid w:val="00117BDF"/>
    <w:rsid w:val="00117CF6"/>
    <w:rsid w:val="00117DF3"/>
    <w:rsid w:val="00117F2D"/>
    <w:rsid w:val="00117F68"/>
    <w:rsid w:val="00117F9D"/>
    <w:rsid w:val="0012005F"/>
    <w:rsid w:val="00120073"/>
    <w:rsid w:val="00120137"/>
    <w:rsid w:val="0012014C"/>
    <w:rsid w:val="00120300"/>
    <w:rsid w:val="001203DE"/>
    <w:rsid w:val="001204BD"/>
    <w:rsid w:val="0012051A"/>
    <w:rsid w:val="00120792"/>
    <w:rsid w:val="00120915"/>
    <w:rsid w:val="001209AD"/>
    <w:rsid w:val="00120A12"/>
    <w:rsid w:val="00120C1D"/>
    <w:rsid w:val="00120D49"/>
    <w:rsid w:val="00120F64"/>
    <w:rsid w:val="00121170"/>
    <w:rsid w:val="00121287"/>
    <w:rsid w:val="00121291"/>
    <w:rsid w:val="001212AD"/>
    <w:rsid w:val="001213DD"/>
    <w:rsid w:val="0012167F"/>
    <w:rsid w:val="00121946"/>
    <w:rsid w:val="00121949"/>
    <w:rsid w:val="001219BB"/>
    <w:rsid w:val="00121C88"/>
    <w:rsid w:val="00121E43"/>
    <w:rsid w:val="00121E74"/>
    <w:rsid w:val="00121F1A"/>
    <w:rsid w:val="001221B7"/>
    <w:rsid w:val="0012249C"/>
    <w:rsid w:val="0012273B"/>
    <w:rsid w:val="0012275C"/>
    <w:rsid w:val="00122A06"/>
    <w:rsid w:val="00122B32"/>
    <w:rsid w:val="00122D22"/>
    <w:rsid w:val="001230BC"/>
    <w:rsid w:val="001233ED"/>
    <w:rsid w:val="0012346D"/>
    <w:rsid w:val="0012353C"/>
    <w:rsid w:val="001235C4"/>
    <w:rsid w:val="001236B8"/>
    <w:rsid w:val="001238EF"/>
    <w:rsid w:val="00123A62"/>
    <w:rsid w:val="00123B9A"/>
    <w:rsid w:val="00123C80"/>
    <w:rsid w:val="00123F61"/>
    <w:rsid w:val="00123FBA"/>
    <w:rsid w:val="001240D8"/>
    <w:rsid w:val="0012451F"/>
    <w:rsid w:val="0012485A"/>
    <w:rsid w:val="00124F91"/>
    <w:rsid w:val="00125454"/>
    <w:rsid w:val="0012579C"/>
    <w:rsid w:val="001260EC"/>
    <w:rsid w:val="00126402"/>
    <w:rsid w:val="00126535"/>
    <w:rsid w:val="0012657E"/>
    <w:rsid w:val="001268BC"/>
    <w:rsid w:val="001269AF"/>
    <w:rsid w:val="00126B43"/>
    <w:rsid w:val="00126C4F"/>
    <w:rsid w:val="00126C9D"/>
    <w:rsid w:val="00126CE6"/>
    <w:rsid w:val="00126E20"/>
    <w:rsid w:val="00126F10"/>
    <w:rsid w:val="00126F32"/>
    <w:rsid w:val="0012709E"/>
    <w:rsid w:val="0012718B"/>
    <w:rsid w:val="0012723A"/>
    <w:rsid w:val="00127299"/>
    <w:rsid w:val="00127368"/>
    <w:rsid w:val="0012744E"/>
    <w:rsid w:val="001276FD"/>
    <w:rsid w:val="00127872"/>
    <w:rsid w:val="00127A96"/>
    <w:rsid w:val="00127B87"/>
    <w:rsid w:val="00127C4D"/>
    <w:rsid w:val="00127DEE"/>
    <w:rsid w:val="00127EBA"/>
    <w:rsid w:val="0013012C"/>
    <w:rsid w:val="001301D7"/>
    <w:rsid w:val="001303CD"/>
    <w:rsid w:val="001305DA"/>
    <w:rsid w:val="0013074F"/>
    <w:rsid w:val="00130A7D"/>
    <w:rsid w:val="00130AB9"/>
    <w:rsid w:val="00130BBF"/>
    <w:rsid w:val="00130C55"/>
    <w:rsid w:val="00130EA5"/>
    <w:rsid w:val="00130EBB"/>
    <w:rsid w:val="001311C9"/>
    <w:rsid w:val="00131328"/>
    <w:rsid w:val="0013132A"/>
    <w:rsid w:val="001315BB"/>
    <w:rsid w:val="001315F7"/>
    <w:rsid w:val="001317DC"/>
    <w:rsid w:val="001319C8"/>
    <w:rsid w:val="001319F4"/>
    <w:rsid w:val="00131C15"/>
    <w:rsid w:val="00131C1D"/>
    <w:rsid w:val="00131D46"/>
    <w:rsid w:val="00131F8A"/>
    <w:rsid w:val="00132018"/>
    <w:rsid w:val="00132092"/>
    <w:rsid w:val="00132882"/>
    <w:rsid w:val="00132896"/>
    <w:rsid w:val="00132C3F"/>
    <w:rsid w:val="00132F19"/>
    <w:rsid w:val="00133035"/>
    <w:rsid w:val="00133102"/>
    <w:rsid w:val="00133297"/>
    <w:rsid w:val="001333E0"/>
    <w:rsid w:val="00133417"/>
    <w:rsid w:val="00133535"/>
    <w:rsid w:val="00133887"/>
    <w:rsid w:val="00133A53"/>
    <w:rsid w:val="00133B03"/>
    <w:rsid w:val="00133CD4"/>
    <w:rsid w:val="00133D0C"/>
    <w:rsid w:val="00133EE3"/>
    <w:rsid w:val="00134690"/>
    <w:rsid w:val="001346EA"/>
    <w:rsid w:val="00134914"/>
    <w:rsid w:val="00135494"/>
    <w:rsid w:val="0013556D"/>
    <w:rsid w:val="001356C8"/>
    <w:rsid w:val="00135702"/>
    <w:rsid w:val="0013599A"/>
    <w:rsid w:val="001359D1"/>
    <w:rsid w:val="00135C73"/>
    <w:rsid w:val="00135DE8"/>
    <w:rsid w:val="00135E28"/>
    <w:rsid w:val="00135E9A"/>
    <w:rsid w:val="00135F31"/>
    <w:rsid w:val="0013623F"/>
    <w:rsid w:val="0013624D"/>
    <w:rsid w:val="001364ED"/>
    <w:rsid w:val="00136526"/>
    <w:rsid w:val="001366BC"/>
    <w:rsid w:val="00136815"/>
    <w:rsid w:val="001368B8"/>
    <w:rsid w:val="00136960"/>
    <w:rsid w:val="00136A08"/>
    <w:rsid w:val="00136B05"/>
    <w:rsid w:val="00136C51"/>
    <w:rsid w:val="00136DD6"/>
    <w:rsid w:val="0013722E"/>
    <w:rsid w:val="001373F9"/>
    <w:rsid w:val="00137465"/>
    <w:rsid w:val="00137593"/>
    <w:rsid w:val="0013763E"/>
    <w:rsid w:val="0013776D"/>
    <w:rsid w:val="00137AA2"/>
    <w:rsid w:val="00137DD3"/>
    <w:rsid w:val="00137FAB"/>
    <w:rsid w:val="0014000D"/>
    <w:rsid w:val="00140241"/>
    <w:rsid w:val="001405D6"/>
    <w:rsid w:val="001407B9"/>
    <w:rsid w:val="00140ADD"/>
    <w:rsid w:val="00140B79"/>
    <w:rsid w:val="00140B8B"/>
    <w:rsid w:val="00140BED"/>
    <w:rsid w:val="00140CF1"/>
    <w:rsid w:val="00140EE6"/>
    <w:rsid w:val="00140F53"/>
    <w:rsid w:val="00140F82"/>
    <w:rsid w:val="001416A8"/>
    <w:rsid w:val="00141958"/>
    <w:rsid w:val="00141A2C"/>
    <w:rsid w:val="00141C4D"/>
    <w:rsid w:val="00141E7E"/>
    <w:rsid w:val="00142313"/>
    <w:rsid w:val="0014234D"/>
    <w:rsid w:val="001427CB"/>
    <w:rsid w:val="001428C4"/>
    <w:rsid w:val="0014291B"/>
    <w:rsid w:val="001429B4"/>
    <w:rsid w:val="00142B00"/>
    <w:rsid w:val="00142B66"/>
    <w:rsid w:val="00142EC5"/>
    <w:rsid w:val="001430E5"/>
    <w:rsid w:val="00143148"/>
    <w:rsid w:val="00143195"/>
    <w:rsid w:val="0014322F"/>
    <w:rsid w:val="001432E6"/>
    <w:rsid w:val="001433A9"/>
    <w:rsid w:val="00143526"/>
    <w:rsid w:val="00143737"/>
    <w:rsid w:val="001438CC"/>
    <w:rsid w:val="00143906"/>
    <w:rsid w:val="00143B23"/>
    <w:rsid w:val="00143C18"/>
    <w:rsid w:val="00143CD8"/>
    <w:rsid w:val="00143D57"/>
    <w:rsid w:val="00143EE5"/>
    <w:rsid w:val="0014405B"/>
    <w:rsid w:val="00144078"/>
    <w:rsid w:val="00144140"/>
    <w:rsid w:val="0014429E"/>
    <w:rsid w:val="0014436B"/>
    <w:rsid w:val="00144678"/>
    <w:rsid w:val="0014496A"/>
    <w:rsid w:val="00144B18"/>
    <w:rsid w:val="00144BDC"/>
    <w:rsid w:val="00144C51"/>
    <w:rsid w:val="00144CC9"/>
    <w:rsid w:val="00144FA2"/>
    <w:rsid w:val="001451D7"/>
    <w:rsid w:val="001454A0"/>
    <w:rsid w:val="0014566A"/>
    <w:rsid w:val="001457EE"/>
    <w:rsid w:val="00145844"/>
    <w:rsid w:val="00145958"/>
    <w:rsid w:val="00145975"/>
    <w:rsid w:val="00145D4F"/>
    <w:rsid w:val="00146045"/>
    <w:rsid w:val="00146046"/>
    <w:rsid w:val="001465FD"/>
    <w:rsid w:val="001467B0"/>
    <w:rsid w:val="00146B19"/>
    <w:rsid w:val="00147150"/>
    <w:rsid w:val="00147700"/>
    <w:rsid w:val="001479E6"/>
    <w:rsid w:val="00147B7D"/>
    <w:rsid w:val="00147FBB"/>
    <w:rsid w:val="00150132"/>
    <w:rsid w:val="001502C0"/>
    <w:rsid w:val="001504A9"/>
    <w:rsid w:val="0015061B"/>
    <w:rsid w:val="00150AD3"/>
    <w:rsid w:val="00150DDC"/>
    <w:rsid w:val="00150E45"/>
    <w:rsid w:val="00150FB7"/>
    <w:rsid w:val="00151121"/>
    <w:rsid w:val="00151124"/>
    <w:rsid w:val="00151154"/>
    <w:rsid w:val="001512FB"/>
    <w:rsid w:val="001513EE"/>
    <w:rsid w:val="00151488"/>
    <w:rsid w:val="00151578"/>
    <w:rsid w:val="00151750"/>
    <w:rsid w:val="001517C7"/>
    <w:rsid w:val="00151C53"/>
    <w:rsid w:val="00151F09"/>
    <w:rsid w:val="001520C1"/>
    <w:rsid w:val="00152280"/>
    <w:rsid w:val="0015233E"/>
    <w:rsid w:val="001524C5"/>
    <w:rsid w:val="00152840"/>
    <w:rsid w:val="00152888"/>
    <w:rsid w:val="00152C3E"/>
    <w:rsid w:val="00152CE1"/>
    <w:rsid w:val="001532AC"/>
    <w:rsid w:val="001532B5"/>
    <w:rsid w:val="00153363"/>
    <w:rsid w:val="001535B5"/>
    <w:rsid w:val="0015388E"/>
    <w:rsid w:val="001538A8"/>
    <w:rsid w:val="001539A2"/>
    <w:rsid w:val="001539D6"/>
    <w:rsid w:val="00153A4B"/>
    <w:rsid w:val="0015424B"/>
    <w:rsid w:val="0015424E"/>
    <w:rsid w:val="001547F1"/>
    <w:rsid w:val="00154A8B"/>
    <w:rsid w:val="00154C4A"/>
    <w:rsid w:val="00154C63"/>
    <w:rsid w:val="00154E0D"/>
    <w:rsid w:val="00154F41"/>
    <w:rsid w:val="00154FDA"/>
    <w:rsid w:val="00155069"/>
    <w:rsid w:val="001555F7"/>
    <w:rsid w:val="001557D0"/>
    <w:rsid w:val="00155944"/>
    <w:rsid w:val="0015599C"/>
    <w:rsid w:val="00155B5F"/>
    <w:rsid w:val="00155DCC"/>
    <w:rsid w:val="00155E67"/>
    <w:rsid w:val="00155EEF"/>
    <w:rsid w:val="001560BA"/>
    <w:rsid w:val="00156180"/>
    <w:rsid w:val="001563CD"/>
    <w:rsid w:val="00156416"/>
    <w:rsid w:val="001564B4"/>
    <w:rsid w:val="001566B9"/>
    <w:rsid w:val="0015673A"/>
    <w:rsid w:val="0015679D"/>
    <w:rsid w:val="001567B2"/>
    <w:rsid w:val="0015686D"/>
    <w:rsid w:val="0015691A"/>
    <w:rsid w:val="00156998"/>
    <w:rsid w:val="00156A6D"/>
    <w:rsid w:val="00156AB0"/>
    <w:rsid w:val="00156D8A"/>
    <w:rsid w:val="00156FD8"/>
    <w:rsid w:val="001572E7"/>
    <w:rsid w:val="00157443"/>
    <w:rsid w:val="001576F5"/>
    <w:rsid w:val="00157AA8"/>
    <w:rsid w:val="00157AF6"/>
    <w:rsid w:val="00157B0C"/>
    <w:rsid w:val="00157EEE"/>
    <w:rsid w:val="00157F36"/>
    <w:rsid w:val="00157F7B"/>
    <w:rsid w:val="001600E9"/>
    <w:rsid w:val="001601C1"/>
    <w:rsid w:val="00160211"/>
    <w:rsid w:val="00160220"/>
    <w:rsid w:val="001604B5"/>
    <w:rsid w:val="00160860"/>
    <w:rsid w:val="00160C83"/>
    <w:rsid w:val="00160E6A"/>
    <w:rsid w:val="00160FEC"/>
    <w:rsid w:val="001610E5"/>
    <w:rsid w:val="00161602"/>
    <w:rsid w:val="0016183F"/>
    <w:rsid w:val="0016194E"/>
    <w:rsid w:val="00161A9C"/>
    <w:rsid w:val="00161BC8"/>
    <w:rsid w:val="00161BEC"/>
    <w:rsid w:val="00161EEB"/>
    <w:rsid w:val="00161FCB"/>
    <w:rsid w:val="00162034"/>
    <w:rsid w:val="00162040"/>
    <w:rsid w:val="001620D0"/>
    <w:rsid w:val="001621B0"/>
    <w:rsid w:val="00162250"/>
    <w:rsid w:val="0016227C"/>
    <w:rsid w:val="0016241C"/>
    <w:rsid w:val="00162470"/>
    <w:rsid w:val="00162526"/>
    <w:rsid w:val="00162681"/>
    <w:rsid w:val="00162CBB"/>
    <w:rsid w:val="00162FF6"/>
    <w:rsid w:val="0016317D"/>
    <w:rsid w:val="001631DA"/>
    <w:rsid w:val="00163204"/>
    <w:rsid w:val="00163310"/>
    <w:rsid w:val="00163443"/>
    <w:rsid w:val="00163514"/>
    <w:rsid w:val="0016361B"/>
    <w:rsid w:val="00163ADD"/>
    <w:rsid w:val="00163DCA"/>
    <w:rsid w:val="00163DED"/>
    <w:rsid w:val="00163E66"/>
    <w:rsid w:val="00163EBD"/>
    <w:rsid w:val="001641A3"/>
    <w:rsid w:val="0016441E"/>
    <w:rsid w:val="00164459"/>
    <w:rsid w:val="0016447A"/>
    <w:rsid w:val="00164644"/>
    <w:rsid w:val="0016467F"/>
    <w:rsid w:val="00164787"/>
    <w:rsid w:val="00164884"/>
    <w:rsid w:val="001648E5"/>
    <w:rsid w:val="0016490C"/>
    <w:rsid w:val="00164AEE"/>
    <w:rsid w:val="00164C3A"/>
    <w:rsid w:val="00164D88"/>
    <w:rsid w:val="00164DF7"/>
    <w:rsid w:val="00164E8B"/>
    <w:rsid w:val="00164F6F"/>
    <w:rsid w:val="00164FB9"/>
    <w:rsid w:val="00165143"/>
    <w:rsid w:val="00165179"/>
    <w:rsid w:val="001651E6"/>
    <w:rsid w:val="001652D7"/>
    <w:rsid w:val="001654B0"/>
    <w:rsid w:val="0016567D"/>
    <w:rsid w:val="001656A1"/>
    <w:rsid w:val="00165971"/>
    <w:rsid w:val="0016640E"/>
    <w:rsid w:val="001664B5"/>
    <w:rsid w:val="00166557"/>
    <w:rsid w:val="001666F0"/>
    <w:rsid w:val="001669A3"/>
    <w:rsid w:val="00166B40"/>
    <w:rsid w:val="00166DC6"/>
    <w:rsid w:val="00166F18"/>
    <w:rsid w:val="00166FDB"/>
    <w:rsid w:val="00167065"/>
    <w:rsid w:val="001672F9"/>
    <w:rsid w:val="00167774"/>
    <w:rsid w:val="00167A35"/>
    <w:rsid w:val="00167F59"/>
    <w:rsid w:val="00170271"/>
    <w:rsid w:val="00170275"/>
    <w:rsid w:val="00170619"/>
    <w:rsid w:val="001707A1"/>
    <w:rsid w:val="001708E4"/>
    <w:rsid w:val="00170925"/>
    <w:rsid w:val="00170A9A"/>
    <w:rsid w:val="00170B40"/>
    <w:rsid w:val="00170DB3"/>
    <w:rsid w:val="00171042"/>
    <w:rsid w:val="0017111B"/>
    <w:rsid w:val="001711D7"/>
    <w:rsid w:val="001714F3"/>
    <w:rsid w:val="001715A7"/>
    <w:rsid w:val="001715EF"/>
    <w:rsid w:val="001717F6"/>
    <w:rsid w:val="00171849"/>
    <w:rsid w:val="001718B6"/>
    <w:rsid w:val="0017195B"/>
    <w:rsid w:val="00171ADE"/>
    <w:rsid w:val="00171B5F"/>
    <w:rsid w:val="00171B9F"/>
    <w:rsid w:val="00171F19"/>
    <w:rsid w:val="00172025"/>
    <w:rsid w:val="00172038"/>
    <w:rsid w:val="00172280"/>
    <w:rsid w:val="00172291"/>
    <w:rsid w:val="0017231F"/>
    <w:rsid w:val="00172462"/>
    <w:rsid w:val="00172ABC"/>
    <w:rsid w:val="00172C70"/>
    <w:rsid w:val="00172D20"/>
    <w:rsid w:val="00172F29"/>
    <w:rsid w:val="00173003"/>
    <w:rsid w:val="0017318F"/>
    <w:rsid w:val="001731FD"/>
    <w:rsid w:val="001733C1"/>
    <w:rsid w:val="00173464"/>
    <w:rsid w:val="001734BB"/>
    <w:rsid w:val="0017364C"/>
    <w:rsid w:val="00173949"/>
    <w:rsid w:val="00173B52"/>
    <w:rsid w:val="00173C9C"/>
    <w:rsid w:val="00173E69"/>
    <w:rsid w:val="00174462"/>
    <w:rsid w:val="001746C0"/>
    <w:rsid w:val="00174757"/>
    <w:rsid w:val="00174771"/>
    <w:rsid w:val="00174882"/>
    <w:rsid w:val="001748AF"/>
    <w:rsid w:val="00174910"/>
    <w:rsid w:val="00174953"/>
    <w:rsid w:val="00174A25"/>
    <w:rsid w:val="00174A7D"/>
    <w:rsid w:val="00174B49"/>
    <w:rsid w:val="00174C92"/>
    <w:rsid w:val="00174D25"/>
    <w:rsid w:val="00175174"/>
    <w:rsid w:val="001751BA"/>
    <w:rsid w:val="001753CC"/>
    <w:rsid w:val="001753FF"/>
    <w:rsid w:val="001757F2"/>
    <w:rsid w:val="00175904"/>
    <w:rsid w:val="00175E36"/>
    <w:rsid w:val="00175F6E"/>
    <w:rsid w:val="0017609F"/>
    <w:rsid w:val="0017632D"/>
    <w:rsid w:val="00176338"/>
    <w:rsid w:val="00176366"/>
    <w:rsid w:val="00176537"/>
    <w:rsid w:val="00176541"/>
    <w:rsid w:val="00176850"/>
    <w:rsid w:val="001768A3"/>
    <w:rsid w:val="001768CC"/>
    <w:rsid w:val="00176A23"/>
    <w:rsid w:val="00176B3B"/>
    <w:rsid w:val="00176C22"/>
    <w:rsid w:val="00176E41"/>
    <w:rsid w:val="00177146"/>
    <w:rsid w:val="00177149"/>
    <w:rsid w:val="0017734A"/>
    <w:rsid w:val="001774C0"/>
    <w:rsid w:val="00177575"/>
    <w:rsid w:val="00177688"/>
    <w:rsid w:val="001776A3"/>
    <w:rsid w:val="00177B0C"/>
    <w:rsid w:val="00177B4B"/>
    <w:rsid w:val="00177C52"/>
    <w:rsid w:val="00177CFB"/>
    <w:rsid w:val="00177D4C"/>
    <w:rsid w:val="00177E02"/>
    <w:rsid w:val="00177F9F"/>
    <w:rsid w:val="00180265"/>
    <w:rsid w:val="00180839"/>
    <w:rsid w:val="00180954"/>
    <w:rsid w:val="00180ACA"/>
    <w:rsid w:val="00180BFB"/>
    <w:rsid w:val="00180CFA"/>
    <w:rsid w:val="00181303"/>
    <w:rsid w:val="00181367"/>
    <w:rsid w:val="0018159D"/>
    <w:rsid w:val="00181B47"/>
    <w:rsid w:val="00181CB1"/>
    <w:rsid w:val="0018232D"/>
    <w:rsid w:val="00182363"/>
    <w:rsid w:val="00182428"/>
    <w:rsid w:val="001825C7"/>
    <w:rsid w:val="001826D6"/>
    <w:rsid w:val="0018297A"/>
    <w:rsid w:val="00182997"/>
    <w:rsid w:val="00182A32"/>
    <w:rsid w:val="00182A9D"/>
    <w:rsid w:val="00182B2D"/>
    <w:rsid w:val="00182C72"/>
    <w:rsid w:val="00182D44"/>
    <w:rsid w:val="00182D8A"/>
    <w:rsid w:val="00182E49"/>
    <w:rsid w:val="00182E6C"/>
    <w:rsid w:val="00182F75"/>
    <w:rsid w:val="00183025"/>
    <w:rsid w:val="001830B5"/>
    <w:rsid w:val="00183168"/>
    <w:rsid w:val="00183169"/>
    <w:rsid w:val="00183583"/>
    <w:rsid w:val="00183595"/>
    <w:rsid w:val="00183853"/>
    <w:rsid w:val="00183856"/>
    <w:rsid w:val="0018388F"/>
    <w:rsid w:val="00183975"/>
    <w:rsid w:val="001839B1"/>
    <w:rsid w:val="00183D3C"/>
    <w:rsid w:val="00183E8A"/>
    <w:rsid w:val="001842ED"/>
    <w:rsid w:val="0018442A"/>
    <w:rsid w:val="00184569"/>
    <w:rsid w:val="00184664"/>
    <w:rsid w:val="001847A8"/>
    <w:rsid w:val="00184A52"/>
    <w:rsid w:val="00184BF1"/>
    <w:rsid w:val="00184E93"/>
    <w:rsid w:val="00184F44"/>
    <w:rsid w:val="00184F80"/>
    <w:rsid w:val="00185149"/>
    <w:rsid w:val="00185376"/>
    <w:rsid w:val="0018548F"/>
    <w:rsid w:val="00185887"/>
    <w:rsid w:val="001858CE"/>
    <w:rsid w:val="001859A3"/>
    <w:rsid w:val="00185A1A"/>
    <w:rsid w:val="00185AF4"/>
    <w:rsid w:val="00185D74"/>
    <w:rsid w:val="00185FBD"/>
    <w:rsid w:val="00186368"/>
    <w:rsid w:val="001863E6"/>
    <w:rsid w:val="001864B7"/>
    <w:rsid w:val="00186637"/>
    <w:rsid w:val="001866AE"/>
    <w:rsid w:val="001867EA"/>
    <w:rsid w:val="00186971"/>
    <w:rsid w:val="0018699B"/>
    <w:rsid w:val="00186AE9"/>
    <w:rsid w:val="00186B9E"/>
    <w:rsid w:val="00186BAC"/>
    <w:rsid w:val="00186CB5"/>
    <w:rsid w:val="00186DD7"/>
    <w:rsid w:val="00186E62"/>
    <w:rsid w:val="00186EBE"/>
    <w:rsid w:val="00186F0B"/>
    <w:rsid w:val="00187036"/>
    <w:rsid w:val="001872DB"/>
    <w:rsid w:val="00187926"/>
    <w:rsid w:val="001879F7"/>
    <w:rsid w:val="00187AE4"/>
    <w:rsid w:val="00187C95"/>
    <w:rsid w:val="00187D4A"/>
    <w:rsid w:val="00187E3E"/>
    <w:rsid w:val="00187EEA"/>
    <w:rsid w:val="00187F05"/>
    <w:rsid w:val="00190283"/>
    <w:rsid w:val="001906E1"/>
    <w:rsid w:val="001907C4"/>
    <w:rsid w:val="00190911"/>
    <w:rsid w:val="00190994"/>
    <w:rsid w:val="00190A51"/>
    <w:rsid w:val="00190AB9"/>
    <w:rsid w:val="00190BED"/>
    <w:rsid w:val="00190C50"/>
    <w:rsid w:val="00190CC1"/>
    <w:rsid w:val="00190D3E"/>
    <w:rsid w:val="00190EF3"/>
    <w:rsid w:val="00191033"/>
    <w:rsid w:val="00191055"/>
    <w:rsid w:val="00191056"/>
    <w:rsid w:val="001911DB"/>
    <w:rsid w:val="001914DC"/>
    <w:rsid w:val="001916F1"/>
    <w:rsid w:val="00191716"/>
    <w:rsid w:val="00191833"/>
    <w:rsid w:val="0019195B"/>
    <w:rsid w:val="001919D0"/>
    <w:rsid w:val="00191B69"/>
    <w:rsid w:val="00191D48"/>
    <w:rsid w:val="00191DC6"/>
    <w:rsid w:val="00191E0D"/>
    <w:rsid w:val="00191E81"/>
    <w:rsid w:val="00192019"/>
    <w:rsid w:val="00192343"/>
    <w:rsid w:val="00192887"/>
    <w:rsid w:val="001928D8"/>
    <w:rsid w:val="00192A8A"/>
    <w:rsid w:val="001931C3"/>
    <w:rsid w:val="0019321E"/>
    <w:rsid w:val="00193263"/>
    <w:rsid w:val="0019334C"/>
    <w:rsid w:val="001933D6"/>
    <w:rsid w:val="00193479"/>
    <w:rsid w:val="001936AB"/>
    <w:rsid w:val="00193790"/>
    <w:rsid w:val="001938A8"/>
    <w:rsid w:val="001938EA"/>
    <w:rsid w:val="00193A6D"/>
    <w:rsid w:val="00193C06"/>
    <w:rsid w:val="00193D7D"/>
    <w:rsid w:val="00193E89"/>
    <w:rsid w:val="0019401C"/>
    <w:rsid w:val="00194087"/>
    <w:rsid w:val="00194172"/>
    <w:rsid w:val="00194191"/>
    <w:rsid w:val="001941F8"/>
    <w:rsid w:val="001946AE"/>
    <w:rsid w:val="001947B9"/>
    <w:rsid w:val="00194942"/>
    <w:rsid w:val="001949FE"/>
    <w:rsid w:val="00194DB9"/>
    <w:rsid w:val="00194DE1"/>
    <w:rsid w:val="00194E7A"/>
    <w:rsid w:val="00194EEB"/>
    <w:rsid w:val="00195235"/>
    <w:rsid w:val="0019529E"/>
    <w:rsid w:val="001956F4"/>
    <w:rsid w:val="001957BF"/>
    <w:rsid w:val="00195B6E"/>
    <w:rsid w:val="00195D28"/>
    <w:rsid w:val="00195DCB"/>
    <w:rsid w:val="00195E63"/>
    <w:rsid w:val="00196155"/>
    <w:rsid w:val="001965F1"/>
    <w:rsid w:val="001967C0"/>
    <w:rsid w:val="0019683B"/>
    <w:rsid w:val="001968C8"/>
    <w:rsid w:val="00196975"/>
    <w:rsid w:val="00196C50"/>
    <w:rsid w:val="00196CC2"/>
    <w:rsid w:val="00196D76"/>
    <w:rsid w:val="001970E6"/>
    <w:rsid w:val="001972F5"/>
    <w:rsid w:val="00197434"/>
    <w:rsid w:val="00197466"/>
    <w:rsid w:val="001974E8"/>
    <w:rsid w:val="0019785F"/>
    <w:rsid w:val="0019794F"/>
    <w:rsid w:val="001979C0"/>
    <w:rsid w:val="00197A14"/>
    <w:rsid w:val="00197C3D"/>
    <w:rsid w:val="00197EEB"/>
    <w:rsid w:val="00197F07"/>
    <w:rsid w:val="001A0039"/>
    <w:rsid w:val="001A00AC"/>
    <w:rsid w:val="001A02BE"/>
    <w:rsid w:val="001A05C9"/>
    <w:rsid w:val="001A06A6"/>
    <w:rsid w:val="001A07CA"/>
    <w:rsid w:val="001A084A"/>
    <w:rsid w:val="001A0C5D"/>
    <w:rsid w:val="001A0C9B"/>
    <w:rsid w:val="001A0D77"/>
    <w:rsid w:val="001A1351"/>
    <w:rsid w:val="001A13D1"/>
    <w:rsid w:val="001A14EA"/>
    <w:rsid w:val="001A14F4"/>
    <w:rsid w:val="001A179C"/>
    <w:rsid w:val="001A1857"/>
    <w:rsid w:val="001A196A"/>
    <w:rsid w:val="001A1D23"/>
    <w:rsid w:val="001A1D95"/>
    <w:rsid w:val="001A2198"/>
    <w:rsid w:val="001A21B5"/>
    <w:rsid w:val="001A21B8"/>
    <w:rsid w:val="001A228C"/>
    <w:rsid w:val="001A24D3"/>
    <w:rsid w:val="001A2565"/>
    <w:rsid w:val="001A269F"/>
    <w:rsid w:val="001A2729"/>
    <w:rsid w:val="001A282C"/>
    <w:rsid w:val="001A2C58"/>
    <w:rsid w:val="001A2E82"/>
    <w:rsid w:val="001A33A7"/>
    <w:rsid w:val="001A3425"/>
    <w:rsid w:val="001A360C"/>
    <w:rsid w:val="001A368E"/>
    <w:rsid w:val="001A36B0"/>
    <w:rsid w:val="001A37A2"/>
    <w:rsid w:val="001A3A3F"/>
    <w:rsid w:val="001A3A81"/>
    <w:rsid w:val="001A3D60"/>
    <w:rsid w:val="001A3DB3"/>
    <w:rsid w:val="001A3E50"/>
    <w:rsid w:val="001A4167"/>
    <w:rsid w:val="001A419A"/>
    <w:rsid w:val="001A4367"/>
    <w:rsid w:val="001A4395"/>
    <w:rsid w:val="001A43D1"/>
    <w:rsid w:val="001A44AE"/>
    <w:rsid w:val="001A452A"/>
    <w:rsid w:val="001A495C"/>
    <w:rsid w:val="001A49ED"/>
    <w:rsid w:val="001A4B78"/>
    <w:rsid w:val="001A4BF0"/>
    <w:rsid w:val="001A4E58"/>
    <w:rsid w:val="001A4E85"/>
    <w:rsid w:val="001A5123"/>
    <w:rsid w:val="001A5181"/>
    <w:rsid w:val="001A5288"/>
    <w:rsid w:val="001A53A9"/>
    <w:rsid w:val="001A55C9"/>
    <w:rsid w:val="001A56AF"/>
    <w:rsid w:val="001A5955"/>
    <w:rsid w:val="001A5997"/>
    <w:rsid w:val="001A5DB9"/>
    <w:rsid w:val="001A5FDB"/>
    <w:rsid w:val="001A63AC"/>
    <w:rsid w:val="001A6446"/>
    <w:rsid w:val="001A668E"/>
    <w:rsid w:val="001A6801"/>
    <w:rsid w:val="001A6AD4"/>
    <w:rsid w:val="001A6C4B"/>
    <w:rsid w:val="001A700C"/>
    <w:rsid w:val="001A7290"/>
    <w:rsid w:val="001A729A"/>
    <w:rsid w:val="001A72AD"/>
    <w:rsid w:val="001A738B"/>
    <w:rsid w:val="001A75DB"/>
    <w:rsid w:val="001A764D"/>
    <w:rsid w:val="001A7783"/>
    <w:rsid w:val="001A7898"/>
    <w:rsid w:val="001A7A87"/>
    <w:rsid w:val="001A7CE7"/>
    <w:rsid w:val="001B02CD"/>
    <w:rsid w:val="001B0692"/>
    <w:rsid w:val="001B07D9"/>
    <w:rsid w:val="001B0B33"/>
    <w:rsid w:val="001B0CDD"/>
    <w:rsid w:val="001B0EE3"/>
    <w:rsid w:val="001B0F5E"/>
    <w:rsid w:val="001B100F"/>
    <w:rsid w:val="001B16CB"/>
    <w:rsid w:val="001B175B"/>
    <w:rsid w:val="001B1762"/>
    <w:rsid w:val="001B17AC"/>
    <w:rsid w:val="001B19CB"/>
    <w:rsid w:val="001B1B64"/>
    <w:rsid w:val="001B1CCF"/>
    <w:rsid w:val="001B1D82"/>
    <w:rsid w:val="001B1F9E"/>
    <w:rsid w:val="001B1FD5"/>
    <w:rsid w:val="001B21B6"/>
    <w:rsid w:val="001B2605"/>
    <w:rsid w:val="001B2728"/>
    <w:rsid w:val="001B279C"/>
    <w:rsid w:val="001B279E"/>
    <w:rsid w:val="001B2864"/>
    <w:rsid w:val="001B2902"/>
    <w:rsid w:val="001B29F7"/>
    <w:rsid w:val="001B2AF7"/>
    <w:rsid w:val="001B2C9C"/>
    <w:rsid w:val="001B2E4B"/>
    <w:rsid w:val="001B2EF1"/>
    <w:rsid w:val="001B2F59"/>
    <w:rsid w:val="001B309E"/>
    <w:rsid w:val="001B30F3"/>
    <w:rsid w:val="001B3273"/>
    <w:rsid w:val="001B349F"/>
    <w:rsid w:val="001B36E9"/>
    <w:rsid w:val="001B3816"/>
    <w:rsid w:val="001B3940"/>
    <w:rsid w:val="001B3A58"/>
    <w:rsid w:val="001B3A63"/>
    <w:rsid w:val="001B3B9A"/>
    <w:rsid w:val="001B3D73"/>
    <w:rsid w:val="001B3EA8"/>
    <w:rsid w:val="001B3EE1"/>
    <w:rsid w:val="001B4125"/>
    <w:rsid w:val="001B41B3"/>
    <w:rsid w:val="001B41DD"/>
    <w:rsid w:val="001B443B"/>
    <w:rsid w:val="001B4519"/>
    <w:rsid w:val="001B475E"/>
    <w:rsid w:val="001B4A9D"/>
    <w:rsid w:val="001B4BF3"/>
    <w:rsid w:val="001B50A1"/>
    <w:rsid w:val="001B5175"/>
    <w:rsid w:val="001B53ED"/>
    <w:rsid w:val="001B53F6"/>
    <w:rsid w:val="001B564B"/>
    <w:rsid w:val="001B588D"/>
    <w:rsid w:val="001B5999"/>
    <w:rsid w:val="001B5BD3"/>
    <w:rsid w:val="001B5C3A"/>
    <w:rsid w:val="001B5C47"/>
    <w:rsid w:val="001B5C55"/>
    <w:rsid w:val="001B5DE5"/>
    <w:rsid w:val="001B621A"/>
    <w:rsid w:val="001B630A"/>
    <w:rsid w:val="001B64B6"/>
    <w:rsid w:val="001B65A6"/>
    <w:rsid w:val="001B6C06"/>
    <w:rsid w:val="001B6E32"/>
    <w:rsid w:val="001B6E54"/>
    <w:rsid w:val="001B723E"/>
    <w:rsid w:val="001B75F7"/>
    <w:rsid w:val="001B77C3"/>
    <w:rsid w:val="001B7A13"/>
    <w:rsid w:val="001B7AB2"/>
    <w:rsid w:val="001B7AED"/>
    <w:rsid w:val="001B7B4F"/>
    <w:rsid w:val="001B7C4A"/>
    <w:rsid w:val="001B7CA9"/>
    <w:rsid w:val="001B7DD9"/>
    <w:rsid w:val="001B7EDA"/>
    <w:rsid w:val="001C01F4"/>
    <w:rsid w:val="001C043E"/>
    <w:rsid w:val="001C05EF"/>
    <w:rsid w:val="001C087D"/>
    <w:rsid w:val="001C0A77"/>
    <w:rsid w:val="001C0D3A"/>
    <w:rsid w:val="001C0DA0"/>
    <w:rsid w:val="001C0FB8"/>
    <w:rsid w:val="001C1071"/>
    <w:rsid w:val="001C107E"/>
    <w:rsid w:val="001C10D4"/>
    <w:rsid w:val="001C1233"/>
    <w:rsid w:val="001C123A"/>
    <w:rsid w:val="001C143D"/>
    <w:rsid w:val="001C14B8"/>
    <w:rsid w:val="001C15EB"/>
    <w:rsid w:val="001C1AEE"/>
    <w:rsid w:val="001C1B94"/>
    <w:rsid w:val="001C1D31"/>
    <w:rsid w:val="001C1FA5"/>
    <w:rsid w:val="001C200D"/>
    <w:rsid w:val="001C2167"/>
    <w:rsid w:val="001C25E6"/>
    <w:rsid w:val="001C25FC"/>
    <w:rsid w:val="001C2680"/>
    <w:rsid w:val="001C2DD2"/>
    <w:rsid w:val="001C2F12"/>
    <w:rsid w:val="001C3385"/>
    <w:rsid w:val="001C3489"/>
    <w:rsid w:val="001C34E8"/>
    <w:rsid w:val="001C34F9"/>
    <w:rsid w:val="001C363C"/>
    <w:rsid w:val="001C36B5"/>
    <w:rsid w:val="001C37BF"/>
    <w:rsid w:val="001C3A32"/>
    <w:rsid w:val="001C3A97"/>
    <w:rsid w:val="001C3B15"/>
    <w:rsid w:val="001C3D8B"/>
    <w:rsid w:val="001C3F16"/>
    <w:rsid w:val="001C4096"/>
    <w:rsid w:val="001C4169"/>
    <w:rsid w:val="001C4281"/>
    <w:rsid w:val="001C4373"/>
    <w:rsid w:val="001C464B"/>
    <w:rsid w:val="001C4700"/>
    <w:rsid w:val="001C47A6"/>
    <w:rsid w:val="001C48AF"/>
    <w:rsid w:val="001C48DB"/>
    <w:rsid w:val="001C4B8B"/>
    <w:rsid w:val="001C4D24"/>
    <w:rsid w:val="001C4E47"/>
    <w:rsid w:val="001C50E5"/>
    <w:rsid w:val="001C5140"/>
    <w:rsid w:val="001C5197"/>
    <w:rsid w:val="001C5735"/>
    <w:rsid w:val="001C5782"/>
    <w:rsid w:val="001C5870"/>
    <w:rsid w:val="001C58E1"/>
    <w:rsid w:val="001C5968"/>
    <w:rsid w:val="001C59BD"/>
    <w:rsid w:val="001C59C9"/>
    <w:rsid w:val="001C59F0"/>
    <w:rsid w:val="001C5AB0"/>
    <w:rsid w:val="001C5AFE"/>
    <w:rsid w:val="001C5B4E"/>
    <w:rsid w:val="001C5CBD"/>
    <w:rsid w:val="001C5DB0"/>
    <w:rsid w:val="001C5EB7"/>
    <w:rsid w:val="001C5EBD"/>
    <w:rsid w:val="001C6549"/>
    <w:rsid w:val="001C655A"/>
    <w:rsid w:val="001C684B"/>
    <w:rsid w:val="001C6943"/>
    <w:rsid w:val="001C7381"/>
    <w:rsid w:val="001C764A"/>
    <w:rsid w:val="001C7713"/>
    <w:rsid w:val="001C7835"/>
    <w:rsid w:val="001C7A50"/>
    <w:rsid w:val="001C7FCB"/>
    <w:rsid w:val="001D00A2"/>
    <w:rsid w:val="001D0285"/>
    <w:rsid w:val="001D0843"/>
    <w:rsid w:val="001D09CA"/>
    <w:rsid w:val="001D0E74"/>
    <w:rsid w:val="001D0EB5"/>
    <w:rsid w:val="001D0F13"/>
    <w:rsid w:val="001D0F83"/>
    <w:rsid w:val="001D10A1"/>
    <w:rsid w:val="001D113B"/>
    <w:rsid w:val="001D11B1"/>
    <w:rsid w:val="001D1627"/>
    <w:rsid w:val="001D164A"/>
    <w:rsid w:val="001D1829"/>
    <w:rsid w:val="001D193A"/>
    <w:rsid w:val="001D1A0D"/>
    <w:rsid w:val="001D1B3E"/>
    <w:rsid w:val="001D1B45"/>
    <w:rsid w:val="001D1C5B"/>
    <w:rsid w:val="001D1D67"/>
    <w:rsid w:val="001D1DF5"/>
    <w:rsid w:val="001D1EB5"/>
    <w:rsid w:val="001D1FBD"/>
    <w:rsid w:val="001D1FD3"/>
    <w:rsid w:val="001D203B"/>
    <w:rsid w:val="001D2082"/>
    <w:rsid w:val="001D2179"/>
    <w:rsid w:val="001D267A"/>
    <w:rsid w:val="001D2694"/>
    <w:rsid w:val="001D27A8"/>
    <w:rsid w:val="001D2832"/>
    <w:rsid w:val="001D285B"/>
    <w:rsid w:val="001D2959"/>
    <w:rsid w:val="001D2A1D"/>
    <w:rsid w:val="001D2AE9"/>
    <w:rsid w:val="001D2AEB"/>
    <w:rsid w:val="001D2DDF"/>
    <w:rsid w:val="001D3396"/>
    <w:rsid w:val="001D34ED"/>
    <w:rsid w:val="001D35FC"/>
    <w:rsid w:val="001D36A1"/>
    <w:rsid w:val="001D37BC"/>
    <w:rsid w:val="001D39C7"/>
    <w:rsid w:val="001D3A48"/>
    <w:rsid w:val="001D3B00"/>
    <w:rsid w:val="001D3BFA"/>
    <w:rsid w:val="001D3C0D"/>
    <w:rsid w:val="001D3DE3"/>
    <w:rsid w:val="001D3E5E"/>
    <w:rsid w:val="001D3FC2"/>
    <w:rsid w:val="001D4039"/>
    <w:rsid w:val="001D4050"/>
    <w:rsid w:val="001D40C7"/>
    <w:rsid w:val="001D465C"/>
    <w:rsid w:val="001D46BE"/>
    <w:rsid w:val="001D4996"/>
    <w:rsid w:val="001D4AA0"/>
    <w:rsid w:val="001D4AE9"/>
    <w:rsid w:val="001D5251"/>
    <w:rsid w:val="001D53F5"/>
    <w:rsid w:val="001D5610"/>
    <w:rsid w:val="001D589A"/>
    <w:rsid w:val="001D5C71"/>
    <w:rsid w:val="001D5F81"/>
    <w:rsid w:val="001D6026"/>
    <w:rsid w:val="001D6247"/>
    <w:rsid w:val="001D63CD"/>
    <w:rsid w:val="001D63D4"/>
    <w:rsid w:val="001D6404"/>
    <w:rsid w:val="001D6408"/>
    <w:rsid w:val="001D6775"/>
    <w:rsid w:val="001D69ED"/>
    <w:rsid w:val="001D6C03"/>
    <w:rsid w:val="001D6CC4"/>
    <w:rsid w:val="001D6D06"/>
    <w:rsid w:val="001D6D80"/>
    <w:rsid w:val="001D6DC0"/>
    <w:rsid w:val="001D6DF4"/>
    <w:rsid w:val="001D6F9B"/>
    <w:rsid w:val="001D705D"/>
    <w:rsid w:val="001D7098"/>
    <w:rsid w:val="001D70D0"/>
    <w:rsid w:val="001D7447"/>
    <w:rsid w:val="001D759A"/>
    <w:rsid w:val="001D77C9"/>
    <w:rsid w:val="001D77EE"/>
    <w:rsid w:val="001D7D79"/>
    <w:rsid w:val="001D7D9B"/>
    <w:rsid w:val="001D7E21"/>
    <w:rsid w:val="001D7E39"/>
    <w:rsid w:val="001D7EB3"/>
    <w:rsid w:val="001D7FB1"/>
    <w:rsid w:val="001E00E4"/>
    <w:rsid w:val="001E019F"/>
    <w:rsid w:val="001E01A6"/>
    <w:rsid w:val="001E01D2"/>
    <w:rsid w:val="001E02DD"/>
    <w:rsid w:val="001E0723"/>
    <w:rsid w:val="001E09A3"/>
    <w:rsid w:val="001E09AD"/>
    <w:rsid w:val="001E0D89"/>
    <w:rsid w:val="001E109A"/>
    <w:rsid w:val="001E111C"/>
    <w:rsid w:val="001E159D"/>
    <w:rsid w:val="001E1692"/>
    <w:rsid w:val="001E16BB"/>
    <w:rsid w:val="001E16F4"/>
    <w:rsid w:val="001E1BD3"/>
    <w:rsid w:val="001E1FA1"/>
    <w:rsid w:val="001E2037"/>
    <w:rsid w:val="001E2170"/>
    <w:rsid w:val="001E265A"/>
    <w:rsid w:val="001E2A09"/>
    <w:rsid w:val="001E2CD0"/>
    <w:rsid w:val="001E2D24"/>
    <w:rsid w:val="001E2D4E"/>
    <w:rsid w:val="001E30A7"/>
    <w:rsid w:val="001E3171"/>
    <w:rsid w:val="001E31A7"/>
    <w:rsid w:val="001E321D"/>
    <w:rsid w:val="001E3279"/>
    <w:rsid w:val="001E32DA"/>
    <w:rsid w:val="001E352A"/>
    <w:rsid w:val="001E358B"/>
    <w:rsid w:val="001E3A7E"/>
    <w:rsid w:val="001E3BE7"/>
    <w:rsid w:val="001E3CD0"/>
    <w:rsid w:val="001E3FC8"/>
    <w:rsid w:val="001E3FD7"/>
    <w:rsid w:val="001E4185"/>
    <w:rsid w:val="001E472C"/>
    <w:rsid w:val="001E4B23"/>
    <w:rsid w:val="001E4B3A"/>
    <w:rsid w:val="001E4C1D"/>
    <w:rsid w:val="001E4CDF"/>
    <w:rsid w:val="001E4DC5"/>
    <w:rsid w:val="001E4F6B"/>
    <w:rsid w:val="001E5075"/>
    <w:rsid w:val="001E5079"/>
    <w:rsid w:val="001E5327"/>
    <w:rsid w:val="001E5512"/>
    <w:rsid w:val="001E5875"/>
    <w:rsid w:val="001E5975"/>
    <w:rsid w:val="001E5B76"/>
    <w:rsid w:val="001E5DA8"/>
    <w:rsid w:val="001E6151"/>
    <w:rsid w:val="001E627D"/>
    <w:rsid w:val="001E6A86"/>
    <w:rsid w:val="001E6A9D"/>
    <w:rsid w:val="001E6B7F"/>
    <w:rsid w:val="001E6B84"/>
    <w:rsid w:val="001E6DE1"/>
    <w:rsid w:val="001E6F04"/>
    <w:rsid w:val="001E6F9E"/>
    <w:rsid w:val="001E73A2"/>
    <w:rsid w:val="001E7AC4"/>
    <w:rsid w:val="001E7D07"/>
    <w:rsid w:val="001E7FAE"/>
    <w:rsid w:val="001E7FD0"/>
    <w:rsid w:val="001F0183"/>
    <w:rsid w:val="001F04F1"/>
    <w:rsid w:val="001F05AE"/>
    <w:rsid w:val="001F07EC"/>
    <w:rsid w:val="001F081E"/>
    <w:rsid w:val="001F0E77"/>
    <w:rsid w:val="001F0FF0"/>
    <w:rsid w:val="001F102A"/>
    <w:rsid w:val="001F13B0"/>
    <w:rsid w:val="001F13C1"/>
    <w:rsid w:val="001F154B"/>
    <w:rsid w:val="001F15E0"/>
    <w:rsid w:val="001F15E5"/>
    <w:rsid w:val="001F1734"/>
    <w:rsid w:val="001F190F"/>
    <w:rsid w:val="001F1970"/>
    <w:rsid w:val="001F1D0E"/>
    <w:rsid w:val="001F1E9A"/>
    <w:rsid w:val="001F20D5"/>
    <w:rsid w:val="001F210F"/>
    <w:rsid w:val="001F229C"/>
    <w:rsid w:val="001F2316"/>
    <w:rsid w:val="001F2486"/>
    <w:rsid w:val="001F257A"/>
    <w:rsid w:val="001F263A"/>
    <w:rsid w:val="001F2832"/>
    <w:rsid w:val="001F288F"/>
    <w:rsid w:val="001F28E8"/>
    <w:rsid w:val="001F2AB3"/>
    <w:rsid w:val="001F2AD9"/>
    <w:rsid w:val="001F2B12"/>
    <w:rsid w:val="001F2BD3"/>
    <w:rsid w:val="001F2C01"/>
    <w:rsid w:val="001F2C26"/>
    <w:rsid w:val="001F2C50"/>
    <w:rsid w:val="001F2D00"/>
    <w:rsid w:val="001F2E3A"/>
    <w:rsid w:val="001F2FD5"/>
    <w:rsid w:val="001F30C2"/>
    <w:rsid w:val="001F3186"/>
    <w:rsid w:val="001F3949"/>
    <w:rsid w:val="001F398D"/>
    <w:rsid w:val="001F399D"/>
    <w:rsid w:val="001F3B10"/>
    <w:rsid w:val="001F3BE7"/>
    <w:rsid w:val="001F3D39"/>
    <w:rsid w:val="001F3F50"/>
    <w:rsid w:val="001F4084"/>
    <w:rsid w:val="001F4214"/>
    <w:rsid w:val="001F43D3"/>
    <w:rsid w:val="001F446D"/>
    <w:rsid w:val="001F4537"/>
    <w:rsid w:val="001F45F5"/>
    <w:rsid w:val="001F4680"/>
    <w:rsid w:val="001F472D"/>
    <w:rsid w:val="001F481A"/>
    <w:rsid w:val="001F498E"/>
    <w:rsid w:val="001F4B78"/>
    <w:rsid w:val="001F4C47"/>
    <w:rsid w:val="001F4CD5"/>
    <w:rsid w:val="001F4EE8"/>
    <w:rsid w:val="001F4F13"/>
    <w:rsid w:val="001F502E"/>
    <w:rsid w:val="001F50DA"/>
    <w:rsid w:val="001F5144"/>
    <w:rsid w:val="001F5172"/>
    <w:rsid w:val="001F517A"/>
    <w:rsid w:val="001F57EC"/>
    <w:rsid w:val="001F597D"/>
    <w:rsid w:val="001F5BC5"/>
    <w:rsid w:val="001F5C1A"/>
    <w:rsid w:val="001F5C91"/>
    <w:rsid w:val="001F5DB8"/>
    <w:rsid w:val="001F5DEA"/>
    <w:rsid w:val="001F5F1D"/>
    <w:rsid w:val="001F606B"/>
    <w:rsid w:val="001F69AD"/>
    <w:rsid w:val="001F6A89"/>
    <w:rsid w:val="001F6B0A"/>
    <w:rsid w:val="001F6B95"/>
    <w:rsid w:val="001F6C04"/>
    <w:rsid w:val="001F6D45"/>
    <w:rsid w:val="001F6E25"/>
    <w:rsid w:val="001F6EEA"/>
    <w:rsid w:val="001F719E"/>
    <w:rsid w:val="001F729B"/>
    <w:rsid w:val="001F7626"/>
    <w:rsid w:val="001F7B75"/>
    <w:rsid w:val="001F7D4B"/>
    <w:rsid w:val="001F7DC8"/>
    <w:rsid w:val="001F7F38"/>
    <w:rsid w:val="00200227"/>
    <w:rsid w:val="0020058B"/>
    <w:rsid w:val="00200A42"/>
    <w:rsid w:val="00200AE4"/>
    <w:rsid w:val="00200CDA"/>
    <w:rsid w:val="00200D7C"/>
    <w:rsid w:val="00200D7E"/>
    <w:rsid w:val="0020109D"/>
    <w:rsid w:val="002011A8"/>
    <w:rsid w:val="002012A1"/>
    <w:rsid w:val="00201320"/>
    <w:rsid w:val="0020152A"/>
    <w:rsid w:val="002015E0"/>
    <w:rsid w:val="002016B1"/>
    <w:rsid w:val="00201713"/>
    <w:rsid w:val="0020172D"/>
    <w:rsid w:val="00201802"/>
    <w:rsid w:val="00201846"/>
    <w:rsid w:val="00201979"/>
    <w:rsid w:val="002019BD"/>
    <w:rsid w:val="00201CD7"/>
    <w:rsid w:val="00201D49"/>
    <w:rsid w:val="00201F91"/>
    <w:rsid w:val="00201FDC"/>
    <w:rsid w:val="0020204A"/>
    <w:rsid w:val="00202064"/>
    <w:rsid w:val="002020A7"/>
    <w:rsid w:val="002021E0"/>
    <w:rsid w:val="002022D0"/>
    <w:rsid w:val="002022EF"/>
    <w:rsid w:val="0020236C"/>
    <w:rsid w:val="002024B9"/>
    <w:rsid w:val="0020289F"/>
    <w:rsid w:val="00202F63"/>
    <w:rsid w:val="00202F88"/>
    <w:rsid w:val="002032DC"/>
    <w:rsid w:val="00203601"/>
    <w:rsid w:val="00203814"/>
    <w:rsid w:val="00203816"/>
    <w:rsid w:val="002038F7"/>
    <w:rsid w:val="0020390C"/>
    <w:rsid w:val="00203965"/>
    <w:rsid w:val="0020397E"/>
    <w:rsid w:val="002039FE"/>
    <w:rsid w:val="00203A75"/>
    <w:rsid w:val="00203B01"/>
    <w:rsid w:val="00203D7F"/>
    <w:rsid w:val="00203FC5"/>
    <w:rsid w:val="002040EA"/>
    <w:rsid w:val="002042A2"/>
    <w:rsid w:val="00204564"/>
    <w:rsid w:val="0020463A"/>
    <w:rsid w:val="00204674"/>
    <w:rsid w:val="00204829"/>
    <w:rsid w:val="002048E8"/>
    <w:rsid w:val="002049A2"/>
    <w:rsid w:val="00204CCF"/>
    <w:rsid w:val="00205036"/>
    <w:rsid w:val="002050F9"/>
    <w:rsid w:val="0020515C"/>
    <w:rsid w:val="002051D1"/>
    <w:rsid w:val="00205285"/>
    <w:rsid w:val="0020545E"/>
    <w:rsid w:val="00205605"/>
    <w:rsid w:val="0020562D"/>
    <w:rsid w:val="00205818"/>
    <w:rsid w:val="00205BF6"/>
    <w:rsid w:val="00205E56"/>
    <w:rsid w:val="00205F40"/>
    <w:rsid w:val="00205F70"/>
    <w:rsid w:val="0020620C"/>
    <w:rsid w:val="00206298"/>
    <w:rsid w:val="002062CA"/>
    <w:rsid w:val="002064A8"/>
    <w:rsid w:val="00206506"/>
    <w:rsid w:val="00206773"/>
    <w:rsid w:val="0020679D"/>
    <w:rsid w:val="00206865"/>
    <w:rsid w:val="00206896"/>
    <w:rsid w:val="002068EE"/>
    <w:rsid w:val="00206C6F"/>
    <w:rsid w:val="00206F24"/>
    <w:rsid w:val="00207005"/>
    <w:rsid w:val="0020706B"/>
    <w:rsid w:val="00207466"/>
    <w:rsid w:val="0020747C"/>
    <w:rsid w:val="0020763F"/>
    <w:rsid w:val="00207937"/>
    <w:rsid w:val="002079A8"/>
    <w:rsid w:val="00207B58"/>
    <w:rsid w:val="00207CC9"/>
    <w:rsid w:val="00207E00"/>
    <w:rsid w:val="00207E0A"/>
    <w:rsid w:val="00207EBF"/>
    <w:rsid w:val="00207EE0"/>
    <w:rsid w:val="0021047A"/>
    <w:rsid w:val="002106DB"/>
    <w:rsid w:val="00210772"/>
    <w:rsid w:val="002107DE"/>
    <w:rsid w:val="002108F0"/>
    <w:rsid w:val="00210947"/>
    <w:rsid w:val="002109B9"/>
    <w:rsid w:val="00210A43"/>
    <w:rsid w:val="00210C74"/>
    <w:rsid w:val="00210D5D"/>
    <w:rsid w:val="00210EF8"/>
    <w:rsid w:val="002112EC"/>
    <w:rsid w:val="00211660"/>
    <w:rsid w:val="0021180D"/>
    <w:rsid w:val="002118A1"/>
    <w:rsid w:val="002118B1"/>
    <w:rsid w:val="0021196B"/>
    <w:rsid w:val="002119DC"/>
    <w:rsid w:val="00211BDB"/>
    <w:rsid w:val="00211CA1"/>
    <w:rsid w:val="00211FFF"/>
    <w:rsid w:val="002120B4"/>
    <w:rsid w:val="0021224D"/>
    <w:rsid w:val="002122B3"/>
    <w:rsid w:val="00212306"/>
    <w:rsid w:val="00212323"/>
    <w:rsid w:val="00212465"/>
    <w:rsid w:val="002124C4"/>
    <w:rsid w:val="00212940"/>
    <w:rsid w:val="002129CD"/>
    <w:rsid w:val="00212EDC"/>
    <w:rsid w:val="00212EDE"/>
    <w:rsid w:val="002131BA"/>
    <w:rsid w:val="002132CD"/>
    <w:rsid w:val="002132D2"/>
    <w:rsid w:val="0021342B"/>
    <w:rsid w:val="002134FE"/>
    <w:rsid w:val="00213792"/>
    <w:rsid w:val="00213BDD"/>
    <w:rsid w:val="00213C35"/>
    <w:rsid w:val="00213C4B"/>
    <w:rsid w:val="00213C53"/>
    <w:rsid w:val="00213C9C"/>
    <w:rsid w:val="00213DED"/>
    <w:rsid w:val="00213F3B"/>
    <w:rsid w:val="00213FA5"/>
    <w:rsid w:val="00214033"/>
    <w:rsid w:val="00214135"/>
    <w:rsid w:val="00214180"/>
    <w:rsid w:val="00214294"/>
    <w:rsid w:val="002143A2"/>
    <w:rsid w:val="0021463D"/>
    <w:rsid w:val="002146E8"/>
    <w:rsid w:val="00214733"/>
    <w:rsid w:val="00214868"/>
    <w:rsid w:val="002149DD"/>
    <w:rsid w:val="00214CD2"/>
    <w:rsid w:val="00214DDD"/>
    <w:rsid w:val="00214E0D"/>
    <w:rsid w:val="00214E17"/>
    <w:rsid w:val="00215036"/>
    <w:rsid w:val="002151E6"/>
    <w:rsid w:val="002154FD"/>
    <w:rsid w:val="002155C8"/>
    <w:rsid w:val="002155F1"/>
    <w:rsid w:val="0021561B"/>
    <w:rsid w:val="00215675"/>
    <w:rsid w:val="00215AD4"/>
    <w:rsid w:val="00215B75"/>
    <w:rsid w:val="00215E79"/>
    <w:rsid w:val="00215EFB"/>
    <w:rsid w:val="002164EB"/>
    <w:rsid w:val="002166C7"/>
    <w:rsid w:val="00216724"/>
    <w:rsid w:val="00216808"/>
    <w:rsid w:val="002169CE"/>
    <w:rsid w:val="00216A78"/>
    <w:rsid w:val="00216B5B"/>
    <w:rsid w:val="00216C4D"/>
    <w:rsid w:val="00216CF1"/>
    <w:rsid w:val="00216D6B"/>
    <w:rsid w:val="00216EB8"/>
    <w:rsid w:val="002171EE"/>
    <w:rsid w:val="00217447"/>
    <w:rsid w:val="00217662"/>
    <w:rsid w:val="002176EA"/>
    <w:rsid w:val="002177ED"/>
    <w:rsid w:val="00217995"/>
    <w:rsid w:val="00217AAE"/>
    <w:rsid w:val="00217D55"/>
    <w:rsid w:val="00217E1F"/>
    <w:rsid w:val="00217FF3"/>
    <w:rsid w:val="0022036D"/>
    <w:rsid w:val="00220393"/>
    <w:rsid w:val="002205DC"/>
    <w:rsid w:val="002205E2"/>
    <w:rsid w:val="00220743"/>
    <w:rsid w:val="00220CAD"/>
    <w:rsid w:val="00220EF7"/>
    <w:rsid w:val="00220F39"/>
    <w:rsid w:val="00221033"/>
    <w:rsid w:val="00221298"/>
    <w:rsid w:val="002212D8"/>
    <w:rsid w:val="002214AE"/>
    <w:rsid w:val="00221591"/>
    <w:rsid w:val="00221641"/>
    <w:rsid w:val="00221800"/>
    <w:rsid w:val="0022182A"/>
    <w:rsid w:val="0022183F"/>
    <w:rsid w:val="00221AB7"/>
    <w:rsid w:val="00221B66"/>
    <w:rsid w:val="00221C6C"/>
    <w:rsid w:val="002220BC"/>
    <w:rsid w:val="002221A9"/>
    <w:rsid w:val="002223CD"/>
    <w:rsid w:val="002225F4"/>
    <w:rsid w:val="0022272D"/>
    <w:rsid w:val="00222A73"/>
    <w:rsid w:val="00222B41"/>
    <w:rsid w:val="00222DE9"/>
    <w:rsid w:val="00222FA5"/>
    <w:rsid w:val="0022324B"/>
    <w:rsid w:val="0022327B"/>
    <w:rsid w:val="002235B8"/>
    <w:rsid w:val="002236D4"/>
    <w:rsid w:val="0022385B"/>
    <w:rsid w:val="00223BA2"/>
    <w:rsid w:val="00223C29"/>
    <w:rsid w:val="00223E0E"/>
    <w:rsid w:val="00224030"/>
    <w:rsid w:val="00224192"/>
    <w:rsid w:val="00224233"/>
    <w:rsid w:val="002243F8"/>
    <w:rsid w:val="0022441B"/>
    <w:rsid w:val="00224444"/>
    <w:rsid w:val="0022477E"/>
    <w:rsid w:val="002248B4"/>
    <w:rsid w:val="00224988"/>
    <w:rsid w:val="00224999"/>
    <w:rsid w:val="00224D4A"/>
    <w:rsid w:val="00224DC4"/>
    <w:rsid w:val="00225151"/>
    <w:rsid w:val="00225275"/>
    <w:rsid w:val="00225404"/>
    <w:rsid w:val="00225445"/>
    <w:rsid w:val="00225449"/>
    <w:rsid w:val="002254F6"/>
    <w:rsid w:val="0022557C"/>
    <w:rsid w:val="002256BD"/>
    <w:rsid w:val="0022581C"/>
    <w:rsid w:val="00225833"/>
    <w:rsid w:val="002258ED"/>
    <w:rsid w:val="00225DC6"/>
    <w:rsid w:val="00225EFF"/>
    <w:rsid w:val="00226182"/>
    <w:rsid w:val="00226916"/>
    <w:rsid w:val="0022696E"/>
    <w:rsid w:val="00226A13"/>
    <w:rsid w:val="00226AA7"/>
    <w:rsid w:val="00226C6D"/>
    <w:rsid w:val="002270B5"/>
    <w:rsid w:val="0022728C"/>
    <w:rsid w:val="002272E4"/>
    <w:rsid w:val="00227712"/>
    <w:rsid w:val="0022772D"/>
    <w:rsid w:val="0022799E"/>
    <w:rsid w:val="00227B3D"/>
    <w:rsid w:val="00227B7C"/>
    <w:rsid w:val="00227BD6"/>
    <w:rsid w:val="00227CA3"/>
    <w:rsid w:val="00227CDB"/>
    <w:rsid w:val="00227D57"/>
    <w:rsid w:val="00230027"/>
    <w:rsid w:val="0023025E"/>
    <w:rsid w:val="0023037B"/>
    <w:rsid w:val="002303CF"/>
    <w:rsid w:val="00230427"/>
    <w:rsid w:val="00230658"/>
    <w:rsid w:val="002307B4"/>
    <w:rsid w:val="0023085C"/>
    <w:rsid w:val="00230A64"/>
    <w:rsid w:val="00230F0F"/>
    <w:rsid w:val="0023117E"/>
    <w:rsid w:val="002311A3"/>
    <w:rsid w:val="0023123D"/>
    <w:rsid w:val="00231339"/>
    <w:rsid w:val="002318F1"/>
    <w:rsid w:val="00231DC9"/>
    <w:rsid w:val="00231DD2"/>
    <w:rsid w:val="00231F51"/>
    <w:rsid w:val="0023210B"/>
    <w:rsid w:val="0023230A"/>
    <w:rsid w:val="0023240C"/>
    <w:rsid w:val="00232715"/>
    <w:rsid w:val="002327A6"/>
    <w:rsid w:val="00232A14"/>
    <w:rsid w:val="00232A8F"/>
    <w:rsid w:val="00232B81"/>
    <w:rsid w:val="00232C47"/>
    <w:rsid w:val="00232C8D"/>
    <w:rsid w:val="00232F55"/>
    <w:rsid w:val="00233080"/>
    <w:rsid w:val="0023316F"/>
    <w:rsid w:val="002334E0"/>
    <w:rsid w:val="002334FF"/>
    <w:rsid w:val="002335C1"/>
    <w:rsid w:val="002338DF"/>
    <w:rsid w:val="002339BD"/>
    <w:rsid w:val="00233B1A"/>
    <w:rsid w:val="00233C16"/>
    <w:rsid w:val="00233CB2"/>
    <w:rsid w:val="00233CC2"/>
    <w:rsid w:val="0023409B"/>
    <w:rsid w:val="002342E7"/>
    <w:rsid w:val="00234629"/>
    <w:rsid w:val="0023496D"/>
    <w:rsid w:val="00234CE0"/>
    <w:rsid w:val="00235141"/>
    <w:rsid w:val="0023522F"/>
    <w:rsid w:val="00235336"/>
    <w:rsid w:val="00235383"/>
    <w:rsid w:val="002353C5"/>
    <w:rsid w:val="002353DC"/>
    <w:rsid w:val="0023553C"/>
    <w:rsid w:val="00235654"/>
    <w:rsid w:val="00235717"/>
    <w:rsid w:val="002357B7"/>
    <w:rsid w:val="002358D3"/>
    <w:rsid w:val="00235919"/>
    <w:rsid w:val="00235976"/>
    <w:rsid w:val="002359BD"/>
    <w:rsid w:val="00235CB6"/>
    <w:rsid w:val="00235E54"/>
    <w:rsid w:val="0023626F"/>
    <w:rsid w:val="0023634D"/>
    <w:rsid w:val="0023660F"/>
    <w:rsid w:val="002367F0"/>
    <w:rsid w:val="0023685A"/>
    <w:rsid w:val="00236A9A"/>
    <w:rsid w:val="00236CA8"/>
    <w:rsid w:val="00236CBF"/>
    <w:rsid w:val="00236EF6"/>
    <w:rsid w:val="00237012"/>
    <w:rsid w:val="002370CD"/>
    <w:rsid w:val="002370EC"/>
    <w:rsid w:val="002371B2"/>
    <w:rsid w:val="00237223"/>
    <w:rsid w:val="00237447"/>
    <w:rsid w:val="002375C3"/>
    <w:rsid w:val="0023764B"/>
    <w:rsid w:val="00237669"/>
    <w:rsid w:val="002376CA"/>
    <w:rsid w:val="00237ADA"/>
    <w:rsid w:val="00237B19"/>
    <w:rsid w:val="00237BDD"/>
    <w:rsid w:val="00237FCB"/>
    <w:rsid w:val="0024008D"/>
    <w:rsid w:val="002401DE"/>
    <w:rsid w:val="00240499"/>
    <w:rsid w:val="00240844"/>
    <w:rsid w:val="002409A8"/>
    <w:rsid w:val="00240C82"/>
    <w:rsid w:val="00240DBC"/>
    <w:rsid w:val="00241061"/>
    <w:rsid w:val="002415B9"/>
    <w:rsid w:val="00241A2D"/>
    <w:rsid w:val="00241A3E"/>
    <w:rsid w:val="00241AB6"/>
    <w:rsid w:val="00241BE9"/>
    <w:rsid w:val="00241BEB"/>
    <w:rsid w:val="00241D6E"/>
    <w:rsid w:val="00241E84"/>
    <w:rsid w:val="00241F86"/>
    <w:rsid w:val="0024245E"/>
    <w:rsid w:val="00242A5C"/>
    <w:rsid w:val="00242AF0"/>
    <w:rsid w:val="00242B5F"/>
    <w:rsid w:val="00242B72"/>
    <w:rsid w:val="00242E12"/>
    <w:rsid w:val="002435AF"/>
    <w:rsid w:val="00243651"/>
    <w:rsid w:val="002439B3"/>
    <w:rsid w:val="00243BA4"/>
    <w:rsid w:val="00243BA9"/>
    <w:rsid w:val="00243BCA"/>
    <w:rsid w:val="00243C4C"/>
    <w:rsid w:val="00243D50"/>
    <w:rsid w:val="00244415"/>
    <w:rsid w:val="002446B6"/>
    <w:rsid w:val="00244769"/>
    <w:rsid w:val="0024482A"/>
    <w:rsid w:val="0024485C"/>
    <w:rsid w:val="00244968"/>
    <w:rsid w:val="00244979"/>
    <w:rsid w:val="00244D40"/>
    <w:rsid w:val="00244F77"/>
    <w:rsid w:val="00245143"/>
    <w:rsid w:val="002451C3"/>
    <w:rsid w:val="002454D5"/>
    <w:rsid w:val="002455D1"/>
    <w:rsid w:val="002457DE"/>
    <w:rsid w:val="00245802"/>
    <w:rsid w:val="00245916"/>
    <w:rsid w:val="00245CAB"/>
    <w:rsid w:val="00245CD5"/>
    <w:rsid w:val="00246435"/>
    <w:rsid w:val="00246569"/>
    <w:rsid w:val="00246643"/>
    <w:rsid w:val="002467F0"/>
    <w:rsid w:val="00246861"/>
    <w:rsid w:val="0024698D"/>
    <w:rsid w:val="00246B04"/>
    <w:rsid w:val="00246B5C"/>
    <w:rsid w:val="00246BCF"/>
    <w:rsid w:val="00246DCD"/>
    <w:rsid w:val="0024719C"/>
    <w:rsid w:val="00247410"/>
    <w:rsid w:val="002477B5"/>
    <w:rsid w:val="00247841"/>
    <w:rsid w:val="00247976"/>
    <w:rsid w:val="002479C7"/>
    <w:rsid w:val="00247B63"/>
    <w:rsid w:val="00247B6A"/>
    <w:rsid w:val="00247E63"/>
    <w:rsid w:val="00247F98"/>
    <w:rsid w:val="00250168"/>
    <w:rsid w:val="00250322"/>
    <w:rsid w:val="002503C4"/>
    <w:rsid w:val="002506AE"/>
    <w:rsid w:val="00250716"/>
    <w:rsid w:val="0025078A"/>
    <w:rsid w:val="002508D2"/>
    <w:rsid w:val="00250A83"/>
    <w:rsid w:val="00250AB8"/>
    <w:rsid w:val="00250B85"/>
    <w:rsid w:val="00250BCB"/>
    <w:rsid w:val="00250F35"/>
    <w:rsid w:val="00250FF3"/>
    <w:rsid w:val="002511D6"/>
    <w:rsid w:val="00251202"/>
    <w:rsid w:val="00251245"/>
    <w:rsid w:val="002513D0"/>
    <w:rsid w:val="00251518"/>
    <w:rsid w:val="00251672"/>
    <w:rsid w:val="0025192F"/>
    <w:rsid w:val="00251AA4"/>
    <w:rsid w:val="00251BFD"/>
    <w:rsid w:val="00251C12"/>
    <w:rsid w:val="00251CA2"/>
    <w:rsid w:val="00251E10"/>
    <w:rsid w:val="0025223E"/>
    <w:rsid w:val="0025248C"/>
    <w:rsid w:val="00252491"/>
    <w:rsid w:val="002524BB"/>
    <w:rsid w:val="00252675"/>
    <w:rsid w:val="002526E5"/>
    <w:rsid w:val="002528E7"/>
    <w:rsid w:val="00252ED3"/>
    <w:rsid w:val="0025306E"/>
    <w:rsid w:val="0025310A"/>
    <w:rsid w:val="002532C4"/>
    <w:rsid w:val="00253474"/>
    <w:rsid w:val="00253A1B"/>
    <w:rsid w:val="00253B75"/>
    <w:rsid w:val="00253DB1"/>
    <w:rsid w:val="00253F92"/>
    <w:rsid w:val="002542AC"/>
    <w:rsid w:val="002545C8"/>
    <w:rsid w:val="002546E6"/>
    <w:rsid w:val="002549A1"/>
    <w:rsid w:val="00254C2F"/>
    <w:rsid w:val="00254C76"/>
    <w:rsid w:val="00254C7D"/>
    <w:rsid w:val="00254D0B"/>
    <w:rsid w:val="00254E54"/>
    <w:rsid w:val="00254F31"/>
    <w:rsid w:val="00254F33"/>
    <w:rsid w:val="00254F93"/>
    <w:rsid w:val="0025537C"/>
    <w:rsid w:val="002559CE"/>
    <w:rsid w:val="00255EC6"/>
    <w:rsid w:val="002566B3"/>
    <w:rsid w:val="002568C1"/>
    <w:rsid w:val="00256A67"/>
    <w:rsid w:val="00256E67"/>
    <w:rsid w:val="00257214"/>
    <w:rsid w:val="00257393"/>
    <w:rsid w:val="0025749A"/>
    <w:rsid w:val="00257649"/>
    <w:rsid w:val="002576BE"/>
    <w:rsid w:val="00257B0D"/>
    <w:rsid w:val="00257C43"/>
    <w:rsid w:val="00257C70"/>
    <w:rsid w:val="00257EFA"/>
    <w:rsid w:val="00257F00"/>
    <w:rsid w:val="00257F19"/>
    <w:rsid w:val="00257F9A"/>
    <w:rsid w:val="00260092"/>
    <w:rsid w:val="002601BB"/>
    <w:rsid w:val="002602F2"/>
    <w:rsid w:val="0026031C"/>
    <w:rsid w:val="002603A0"/>
    <w:rsid w:val="002605D8"/>
    <w:rsid w:val="002607C4"/>
    <w:rsid w:val="00260D46"/>
    <w:rsid w:val="00260EEB"/>
    <w:rsid w:val="00261034"/>
    <w:rsid w:val="00261343"/>
    <w:rsid w:val="002616C5"/>
    <w:rsid w:val="00261763"/>
    <w:rsid w:val="00261B49"/>
    <w:rsid w:val="00261BFF"/>
    <w:rsid w:val="00261D87"/>
    <w:rsid w:val="00261E18"/>
    <w:rsid w:val="0026208E"/>
    <w:rsid w:val="002620E9"/>
    <w:rsid w:val="002622DE"/>
    <w:rsid w:val="00262881"/>
    <w:rsid w:val="0026293A"/>
    <w:rsid w:val="002629AF"/>
    <w:rsid w:val="00262A39"/>
    <w:rsid w:val="00262C3F"/>
    <w:rsid w:val="00262D10"/>
    <w:rsid w:val="0026301E"/>
    <w:rsid w:val="0026303B"/>
    <w:rsid w:val="00263050"/>
    <w:rsid w:val="00263064"/>
    <w:rsid w:val="002630E6"/>
    <w:rsid w:val="0026311C"/>
    <w:rsid w:val="0026324F"/>
    <w:rsid w:val="002633C1"/>
    <w:rsid w:val="00263497"/>
    <w:rsid w:val="002635D9"/>
    <w:rsid w:val="00263654"/>
    <w:rsid w:val="0026380A"/>
    <w:rsid w:val="0026398F"/>
    <w:rsid w:val="00263E28"/>
    <w:rsid w:val="00263E9B"/>
    <w:rsid w:val="00264047"/>
    <w:rsid w:val="00264126"/>
    <w:rsid w:val="002643DF"/>
    <w:rsid w:val="002643ED"/>
    <w:rsid w:val="00264495"/>
    <w:rsid w:val="00264BA1"/>
    <w:rsid w:val="00264D03"/>
    <w:rsid w:val="0026516A"/>
    <w:rsid w:val="00265379"/>
    <w:rsid w:val="002653E2"/>
    <w:rsid w:val="0026555C"/>
    <w:rsid w:val="0026561C"/>
    <w:rsid w:val="0026563D"/>
    <w:rsid w:val="002656FE"/>
    <w:rsid w:val="0026570F"/>
    <w:rsid w:val="00265730"/>
    <w:rsid w:val="0026582A"/>
    <w:rsid w:val="00265918"/>
    <w:rsid w:val="002659D4"/>
    <w:rsid w:val="00265B7A"/>
    <w:rsid w:val="00265D3B"/>
    <w:rsid w:val="00265DE5"/>
    <w:rsid w:val="00265E48"/>
    <w:rsid w:val="00266271"/>
    <w:rsid w:val="00266599"/>
    <w:rsid w:val="00266857"/>
    <w:rsid w:val="002668D9"/>
    <w:rsid w:val="00266992"/>
    <w:rsid w:val="002669BE"/>
    <w:rsid w:val="00266EC6"/>
    <w:rsid w:val="00266ECE"/>
    <w:rsid w:val="00266F95"/>
    <w:rsid w:val="00267069"/>
    <w:rsid w:val="002673AF"/>
    <w:rsid w:val="002676A0"/>
    <w:rsid w:val="002676AE"/>
    <w:rsid w:val="002679F9"/>
    <w:rsid w:val="00267A49"/>
    <w:rsid w:val="00267A5E"/>
    <w:rsid w:val="00267C44"/>
    <w:rsid w:val="00270209"/>
    <w:rsid w:val="002702FA"/>
    <w:rsid w:val="0027034C"/>
    <w:rsid w:val="002704F8"/>
    <w:rsid w:val="00270585"/>
    <w:rsid w:val="002706D5"/>
    <w:rsid w:val="00270834"/>
    <w:rsid w:val="0027084B"/>
    <w:rsid w:val="00270962"/>
    <w:rsid w:val="00270978"/>
    <w:rsid w:val="002709CE"/>
    <w:rsid w:val="00270DD9"/>
    <w:rsid w:val="00270E1A"/>
    <w:rsid w:val="00270E75"/>
    <w:rsid w:val="00270E85"/>
    <w:rsid w:val="00271171"/>
    <w:rsid w:val="00271253"/>
    <w:rsid w:val="002712A5"/>
    <w:rsid w:val="002712C9"/>
    <w:rsid w:val="0027156F"/>
    <w:rsid w:val="00271A3A"/>
    <w:rsid w:val="00272028"/>
    <w:rsid w:val="002720AA"/>
    <w:rsid w:val="002720C5"/>
    <w:rsid w:val="00272163"/>
    <w:rsid w:val="00272220"/>
    <w:rsid w:val="0027235C"/>
    <w:rsid w:val="0027249C"/>
    <w:rsid w:val="002728D9"/>
    <w:rsid w:val="00272DA7"/>
    <w:rsid w:val="00272ECF"/>
    <w:rsid w:val="00272FAF"/>
    <w:rsid w:val="002730C8"/>
    <w:rsid w:val="0027376E"/>
    <w:rsid w:val="00273901"/>
    <w:rsid w:val="00273986"/>
    <w:rsid w:val="002739B5"/>
    <w:rsid w:val="00273A15"/>
    <w:rsid w:val="00273DE4"/>
    <w:rsid w:val="00273E06"/>
    <w:rsid w:val="00273E86"/>
    <w:rsid w:val="00273F5E"/>
    <w:rsid w:val="00274032"/>
    <w:rsid w:val="002742DD"/>
    <w:rsid w:val="00274305"/>
    <w:rsid w:val="00274360"/>
    <w:rsid w:val="0027451F"/>
    <w:rsid w:val="002745D6"/>
    <w:rsid w:val="00274646"/>
    <w:rsid w:val="002747FB"/>
    <w:rsid w:val="00274801"/>
    <w:rsid w:val="00274922"/>
    <w:rsid w:val="00274E91"/>
    <w:rsid w:val="00274EAE"/>
    <w:rsid w:val="00275450"/>
    <w:rsid w:val="002757B9"/>
    <w:rsid w:val="00275838"/>
    <w:rsid w:val="00275B55"/>
    <w:rsid w:val="00275BC2"/>
    <w:rsid w:val="002760ED"/>
    <w:rsid w:val="002764B9"/>
    <w:rsid w:val="002765E2"/>
    <w:rsid w:val="0027667F"/>
    <w:rsid w:val="00276691"/>
    <w:rsid w:val="002767BD"/>
    <w:rsid w:val="002768BE"/>
    <w:rsid w:val="002768EC"/>
    <w:rsid w:val="00276959"/>
    <w:rsid w:val="00276B4E"/>
    <w:rsid w:val="00276BB0"/>
    <w:rsid w:val="00276C8B"/>
    <w:rsid w:val="00276CDD"/>
    <w:rsid w:val="002770ED"/>
    <w:rsid w:val="0027719A"/>
    <w:rsid w:val="00277220"/>
    <w:rsid w:val="00277544"/>
    <w:rsid w:val="002776F9"/>
    <w:rsid w:val="00277743"/>
    <w:rsid w:val="0027777E"/>
    <w:rsid w:val="00277919"/>
    <w:rsid w:val="0027797D"/>
    <w:rsid w:val="0028003C"/>
    <w:rsid w:val="0028022D"/>
    <w:rsid w:val="00280311"/>
    <w:rsid w:val="0028058E"/>
    <w:rsid w:val="002805EA"/>
    <w:rsid w:val="00280633"/>
    <w:rsid w:val="00280D52"/>
    <w:rsid w:val="00280EB2"/>
    <w:rsid w:val="00280EFA"/>
    <w:rsid w:val="00281149"/>
    <w:rsid w:val="00281242"/>
    <w:rsid w:val="0028129D"/>
    <w:rsid w:val="002813C5"/>
    <w:rsid w:val="00281465"/>
    <w:rsid w:val="002814E6"/>
    <w:rsid w:val="002818C4"/>
    <w:rsid w:val="00281A54"/>
    <w:rsid w:val="00281BFD"/>
    <w:rsid w:val="00281C35"/>
    <w:rsid w:val="00281DB2"/>
    <w:rsid w:val="00281E2C"/>
    <w:rsid w:val="00281ECE"/>
    <w:rsid w:val="00281FA7"/>
    <w:rsid w:val="00282078"/>
    <w:rsid w:val="002822B4"/>
    <w:rsid w:val="002825EE"/>
    <w:rsid w:val="00282700"/>
    <w:rsid w:val="00282975"/>
    <w:rsid w:val="00282A17"/>
    <w:rsid w:val="00282A27"/>
    <w:rsid w:val="00282AE5"/>
    <w:rsid w:val="00282BB7"/>
    <w:rsid w:val="00282CF9"/>
    <w:rsid w:val="00282D81"/>
    <w:rsid w:val="00282E8C"/>
    <w:rsid w:val="0028311B"/>
    <w:rsid w:val="002834F7"/>
    <w:rsid w:val="00283C33"/>
    <w:rsid w:val="0028414F"/>
    <w:rsid w:val="0028432F"/>
    <w:rsid w:val="00284539"/>
    <w:rsid w:val="00284559"/>
    <w:rsid w:val="0028465D"/>
    <w:rsid w:val="00284A41"/>
    <w:rsid w:val="00284B3A"/>
    <w:rsid w:val="00284BC5"/>
    <w:rsid w:val="00284D04"/>
    <w:rsid w:val="00285005"/>
    <w:rsid w:val="00285152"/>
    <w:rsid w:val="00285384"/>
    <w:rsid w:val="0028555F"/>
    <w:rsid w:val="0028560C"/>
    <w:rsid w:val="0028575E"/>
    <w:rsid w:val="002857CE"/>
    <w:rsid w:val="00285914"/>
    <w:rsid w:val="00285A4D"/>
    <w:rsid w:val="00285A8D"/>
    <w:rsid w:val="00285CA1"/>
    <w:rsid w:val="00285D9B"/>
    <w:rsid w:val="00285E4D"/>
    <w:rsid w:val="00285F17"/>
    <w:rsid w:val="00286109"/>
    <w:rsid w:val="00286128"/>
    <w:rsid w:val="00286715"/>
    <w:rsid w:val="002868FC"/>
    <w:rsid w:val="00286986"/>
    <w:rsid w:val="00286A15"/>
    <w:rsid w:val="00286B47"/>
    <w:rsid w:val="00286B48"/>
    <w:rsid w:val="00286CB4"/>
    <w:rsid w:val="00286CD3"/>
    <w:rsid w:val="00286D88"/>
    <w:rsid w:val="00286DB3"/>
    <w:rsid w:val="00286FF6"/>
    <w:rsid w:val="0028704B"/>
    <w:rsid w:val="002870E6"/>
    <w:rsid w:val="00287114"/>
    <w:rsid w:val="002871BA"/>
    <w:rsid w:val="00287417"/>
    <w:rsid w:val="002874C8"/>
    <w:rsid w:val="002874DC"/>
    <w:rsid w:val="00287520"/>
    <w:rsid w:val="002876C5"/>
    <w:rsid w:val="002877B2"/>
    <w:rsid w:val="00287836"/>
    <w:rsid w:val="00287937"/>
    <w:rsid w:val="00287D93"/>
    <w:rsid w:val="00287E57"/>
    <w:rsid w:val="00287FAC"/>
    <w:rsid w:val="002902CA"/>
    <w:rsid w:val="002903AE"/>
    <w:rsid w:val="00290445"/>
    <w:rsid w:val="002904BA"/>
    <w:rsid w:val="002905C9"/>
    <w:rsid w:val="002906F5"/>
    <w:rsid w:val="00290753"/>
    <w:rsid w:val="00290829"/>
    <w:rsid w:val="002909E7"/>
    <w:rsid w:val="00290A40"/>
    <w:rsid w:val="00290DB6"/>
    <w:rsid w:val="00290E56"/>
    <w:rsid w:val="002911D2"/>
    <w:rsid w:val="00291208"/>
    <w:rsid w:val="002913A7"/>
    <w:rsid w:val="002915F0"/>
    <w:rsid w:val="002917C8"/>
    <w:rsid w:val="0029190F"/>
    <w:rsid w:val="002919C5"/>
    <w:rsid w:val="00291B93"/>
    <w:rsid w:val="00291CD2"/>
    <w:rsid w:val="00291F1A"/>
    <w:rsid w:val="00291F35"/>
    <w:rsid w:val="00291F3E"/>
    <w:rsid w:val="0029237C"/>
    <w:rsid w:val="0029245B"/>
    <w:rsid w:val="00292549"/>
    <w:rsid w:val="00292579"/>
    <w:rsid w:val="002928BD"/>
    <w:rsid w:val="002928E9"/>
    <w:rsid w:val="002929BF"/>
    <w:rsid w:val="002929CB"/>
    <w:rsid w:val="002929E7"/>
    <w:rsid w:val="00292C1E"/>
    <w:rsid w:val="00292EFB"/>
    <w:rsid w:val="00292F1F"/>
    <w:rsid w:val="00293003"/>
    <w:rsid w:val="0029324D"/>
    <w:rsid w:val="0029338C"/>
    <w:rsid w:val="002936B4"/>
    <w:rsid w:val="0029383E"/>
    <w:rsid w:val="0029398F"/>
    <w:rsid w:val="00293997"/>
    <w:rsid w:val="00293CFA"/>
    <w:rsid w:val="00293D73"/>
    <w:rsid w:val="00294297"/>
    <w:rsid w:val="00294346"/>
    <w:rsid w:val="00294504"/>
    <w:rsid w:val="00294597"/>
    <w:rsid w:val="00294815"/>
    <w:rsid w:val="00294831"/>
    <w:rsid w:val="002948E9"/>
    <w:rsid w:val="00294A4C"/>
    <w:rsid w:val="00294B3C"/>
    <w:rsid w:val="00294C3E"/>
    <w:rsid w:val="00294D51"/>
    <w:rsid w:val="00294FE4"/>
    <w:rsid w:val="0029512C"/>
    <w:rsid w:val="00295132"/>
    <w:rsid w:val="002951E6"/>
    <w:rsid w:val="00295330"/>
    <w:rsid w:val="00295337"/>
    <w:rsid w:val="00295652"/>
    <w:rsid w:val="002956FF"/>
    <w:rsid w:val="002957C7"/>
    <w:rsid w:val="00295AC3"/>
    <w:rsid w:val="00295FD3"/>
    <w:rsid w:val="0029601A"/>
    <w:rsid w:val="00296268"/>
    <w:rsid w:val="002963D4"/>
    <w:rsid w:val="00296561"/>
    <w:rsid w:val="00296583"/>
    <w:rsid w:val="002965EF"/>
    <w:rsid w:val="002969BF"/>
    <w:rsid w:val="002971D3"/>
    <w:rsid w:val="00297496"/>
    <w:rsid w:val="00297768"/>
    <w:rsid w:val="002978D8"/>
    <w:rsid w:val="00297A68"/>
    <w:rsid w:val="002A027F"/>
    <w:rsid w:val="002A03AF"/>
    <w:rsid w:val="002A03D5"/>
    <w:rsid w:val="002A0405"/>
    <w:rsid w:val="002A051C"/>
    <w:rsid w:val="002A05C2"/>
    <w:rsid w:val="002A0760"/>
    <w:rsid w:val="002A0AEF"/>
    <w:rsid w:val="002A0BA6"/>
    <w:rsid w:val="002A0BB0"/>
    <w:rsid w:val="002A0D0E"/>
    <w:rsid w:val="002A0F1A"/>
    <w:rsid w:val="002A0FBC"/>
    <w:rsid w:val="002A10AB"/>
    <w:rsid w:val="002A124C"/>
    <w:rsid w:val="002A141F"/>
    <w:rsid w:val="002A17B4"/>
    <w:rsid w:val="002A18E5"/>
    <w:rsid w:val="002A1A4A"/>
    <w:rsid w:val="002A1B37"/>
    <w:rsid w:val="002A1B7D"/>
    <w:rsid w:val="002A1B7F"/>
    <w:rsid w:val="002A1C63"/>
    <w:rsid w:val="002A1CE1"/>
    <w:rsid w:val="002A1D18"/>
    <w:rsid w:val="002A1F55"/>
    <w:rsid w:val="002A1F85"/>
    <w:rsid w:val="002A2295"/>
    <w:rsid w:val="002A2530"/>
    <w:rsid w:val="002A25F8"/>
    <w:rsid w:val="002A2805"/>
    <w:rsid w:val="002A2BFE"/>
    <w:rsid w:val="002A2F95"/>
    <w:rsid w:val="002A2FE1"/>
    <w:rsid w:val="002A3142"/>
    <w:rsid w:val="002A3365"/>
    <w:rsid w:val="002A3468"/>
    <w:rsid w:val="002A3625"/>
    <w:rsid w:val="002A379B"/>
    <w:rsid w:val="002A3997"/>
    <w:rsid w:val="002A3AC3"/>
    <w:rsid w:val="002A3B35"/>
    <w:rsid w:val="002A3EF4"/>
    <w:rsid w:val="002A3F97"/>
    <w:rsid w:val="002A4249"/>
    <w:rsid w:val="002A43B9"/>
    <w:rsid w:val="002A4A30"/>
    <w:rsid w:val="002A4B04"/>
    <w:rsid w:val="002A50FA"/>
    <w:rsid w:val="002A533D"/>
    <w:rsid w:val="002A5371"/>
    <w:rsid w:val="002A53CB"/>
    <w:rsid w:val="002A54F5"/>
    <w:rsid w:val="002A5809"/>
    <w:rsid w:val="002A5D09"/>
    <w:rsid w:val="002A5E12"/>
    <w:rsid w:val="002A5E7C"/>
    <w:rsid w:val="002A6253"/>
    <w:rsid w:val="002A625D"/>
    <w:rsid w:val="002A62C1"/>
    <w:rsid w:val="002A637A"/>
    <w:rsid w:val="002A63ED"/>
    <w:rsid w:val="002A6481"/>
    <w:rsid w:val="002A65AC"/>
    <w:rsid w:val="002A6675"/>
    <w:rsid w:val="002A6922"/>
    <w:rsid w:val="002A6A2A"/>
    <w:rsid w:val="002A6C0A"/>
    <w:rsid w:val="002A6C62"/>
    <w:rsid w:val="002A6CA6"/>
    <w:rsid w:val="002A6D53"/>
    <w:rsid w:val="002A6E5A"/>
    <w:rsid w:val="002A6F9E"/>
    <w:rsid w:val="002A6FA3"/>
    <w:rsid w:val="002A739A"/>
    <w:rsid w:val="002A7457"/>
    <w:rsid w:val="002A74DD"/>
    <w:rsid w:val="002A75CF"/>
    <w:rsid w:val="002A76B1"/>
    <w:rsid w:val="002A76BE"/>
    <w:rsid w:val="002A782C"/>
    <w:rsid w:val="002A7A13"/>
    <w:rsid w:val="002A7A54"/>
    <w:rsid w:val="002A7AD4"/>
    <w:rsid w:val="002A7C26"/>
    <w:rsid w:val="002A7C39"/>
    <w:rsid w:val="002A7D45"/>
    <w:rsid w:val="002A7DA0"/>
    <w:rsid w:val="002A7E53"/>
    <w:rsid w:val="002A7ECF"/>
    <w:rsid w:val="002B0206"/>
    <w:rsid w:val="002B025A"/>
    <w:rsid w:val="002B0388"/>
    <w:rsid w:val="002B048B"/>
    <w:rsid w:val="002B0577"/>
    <w:rsid w:val="002B065A"/>
    <w:rsid w:val="002B078A"/>
    <w:rsid w:val="002B07CC"/>
    <w:rsid w:val="002B0988"/>
    <w:rsid w:val="002B09F8"/>
    <w:rsid w:val="002B0A29"/>
    <w:rsid w:val="002B0D1E"/>
    <w:rsid w:val="002B0D87"/>
    <w:rsid w:val="002B0E76"/>
    <w:rsid w:val="002B1296"/>
    <w:rsid w:val="002B1531"/>
    <w:rsid w:val="002B17E2"/>
    <w:rsid w:val="002B184D"/>
    <w:rsid w:val="002B1B8E"/>
    <w:rsid w:val="002B1BB1"/>
    <w:rsid w:val="002B1C34"/>
    <w:rsid w:val="002B1CE0"/>
    <w:rsid w:val="002B20AC"/>
    <w:rsid w:val="002B2480"/>
    <w:rsid w:val="002B27E7"/>
    <w:rsid w:val="002B2886"/>
    <w:rsid w:val="002B2985"/>
    <w:rsid w:val="002B2989"/>
    <w:rsid w:val="002B2D25"/>
    <w:rsid w:val="002B2D67"/>
    <w:rsid w:val="002B2EB3"/>
    <w:rsid w:val="002B2EBA"/>
    <w:rsid w:val="002B30C4"/>
    <w:rsid w:val="002B32FC"/>
    <w:rsid w:val="002B331C"/>
    <w:rsid w:val="002B333A"/>
    <w:rsid w:val="002B357F"/>
    <w:rsid w:val="002B38FF"/>
    <w:rsid w:val="002B39AC"/>
    <w:rsid w:val="002B39E4"/>
    <w:rsid w:val="002B3C38"/>
    <w:rsid w:val="002B3C65"/>
    <w:rsid w:val="002B3C96"/>
    <w:rsid w:val="002B3CE1"/>
    <w:rsid w:val="002B3EA5"/>
    <w:rsid w:val="002B402F"/>
    <w:rsid w:val="002B42B5"/>
    <w:rsid w:val="002B45BD"/>
    <w:rsid w:val="002B47D7"/>
    <w:rsid w:val="002B48A0"/>
    <w:rsid w:val="002B4CA1"/>
    <w:rsid w:val="002B4DA1"/>
    <w:rsid w:val="002B4E73"/>
    <w:rsid w:val="002B4E77"/>
    <w:rsid w:val="002B5292"/>
    <w:rsid w:val="002B537D"/>
    <w:rsid w:val="002B53BE"/>
    <w:rsid w:val="002B559E"/>
    <w:rsid w:val="002B55E2"/>
    <w:rsid w:val="002B55E3"/>
    <w:rsid w:val="002B59B2"/>
    <w:rsid w:val="002B5A5B"/>
    <w:rsid w:val="002B5A68"/>
    <w:rsid w:val="002B5BC2"/>
    <w:rsid w:val="002B5C7A"/>
    <w:rsid w:val="002B5D31"/>
    <w:rsid w:val="002B5D47"/>
    <w:rsid w:val="002B5D70"/>
    <w:rsid w:val="002B5D89"/>
    <w:rsid w:val="002B5DEB"/>
    <w:rsid w:val="002B6042"/>
    <w:rsid w:val="002B60DE"/>
    <w:rsid w:val="002B6149"/>
    <w:rsid w:val="002B61FC"/>
    <w:rsid w:val="002B62F5"/>
    <w:rsid w:val="002B64E5"/>
    <w:rsid w:val="002B6AC4"/>
    <w:rsid w:val="002B6B38"/>
    <w:rsid w:val="002B6B87"/>
    <w:rsid w:val="002B6CA2"/>
    <w:rsid w:val="002B6E44"/>
    <w:rsid w:val="002B6F78"/>
    <w:rsid w:val="002B7093"/>
    <w:rsid w:val="002B70F6"/>
    <w:rsid w:val="002B7350"/>
    <w:rsid w:val="002B7601"/>
    <w:rsid w:val="002B7644"/>
    <w:rsid w:val="002B76C1"/>
    <w:rsid w:val="002B7A61"/>
    <w:rsid w:val="002B7C72"/>
    <w:rsid w:val="002B7CB7"/>
    <w:rsid w:val="002C0063"/>
    <w:rsid w:val="002C0152"/>
    <w:rsid w:val="002C0576"/>
    <w:rsid w:val="002C06A9"/>
    <w:rsid w:val="002C0701"/>
    <w:rsid w:val="002C0D6C"/>
    <w:rsid w:val="002C0F60"/>
    <w:rsid w:val="002C0FF0"/>
    <w:rsid w:val="002C1036"/>
    <w:rsid w:val="002C12B9"/>
    <w:rsid w:val="002C160D"/>
    <w:rsid w:val="002C16B9"/>
    <w:rsid w:val="002C1709"/>
    <w:rsid w:val="002C177A"/>
    <w:rsid w:val="002C17CC"/>
    <w:rsid w:val="002C17FE"/>
    <w:rsid w:val="002C18BC"/>
    <w:rsid w:val="002C1B56"/>
    <w:rsid w:val="002C1B93"/>
    <w:rsid w:val="002C1D51"/>
    <w:rsid w:val="002C1DA4"/>
    <w:rsid w:val="002C1FB3"/>
    <w:rsid w:val="002C227F"/>
    <w:rsid w:val="002C22FB"/>
    <w:rsid w:val="002C26DC"/>
    <w:rsid w:val="002C28C3"/>
    <w:rsid w:val="002C2A97"/>
    <w:rsid w:val="002C2AB1"/>
    <w:rsid w:val="002C2ADA"/>
    <w:rsid w:val="002C2C95"/>
    <w:rsid w:val="002C2CF5"/>
    <w:rsid w:val="002C2DA8"/>
    <w:rsid w:val="002C2FB6"/>
    <w:rsid w:val="002C2FE5"/>
    <w:rsid w:val="002C32B0"/>
    <w:rsid w:val="002C32F7"/>
    <w:rsid w:val="002C3AF2"/>
    <w:rsid w:val="002C3D96"/>
    <w:rsid w:val="002C3DD7"/>
    <w:rsid w:val="002C3E04"/>
    <w:rsid w:val="002C3EAC"/>
    <w:rsid w:val="002C40F1"/>
    <w:rsid w:val="002C46AE"/>
    <w:rsid w:val="002C47CF"/>
    <w:rsid w:val="002C49EA"/>
    <w:rsid w:val="002C4A91"/>
    <w:rsid w:val="002C4D21"/>
    <w:rsid w:val="002C4E02"/>
    <w:rsid w:val="002C4F54"/>
    <w:rsid w:val="002C51D7"/>
    <w:rsid w:val="002C5425"/>
    <w:rsid w:val="002C544A"/>
    <w:rsid w:val="002C55F7"/>
    <w:rsid w:val="002C572D"/>
    <w:rsid w:val="002C57C2"/>
    <w:rsid w:val="002C595F"/>
    <w:rsid w:val="002C5A83"/>
    <w:rsid w:val="002C5C7B"/>
    <w:rsid w:val="002C5D01"/>
    <w:rsid w:val="002C5D48"/>
    <w:rsid w:val="002C5FEF"/>
    <w:rsid w:val="002C626E"/>
    <w:rsid w:val="002C6389"/>
    <w:rsid w:val="002C64CF"/>
    <w:rsid w:val="002C6551"/>
    <w:rsid w:val="002C65E9"/>
    <w:rsid w:val="002C6722"/>
    <w:rsid w:val="002C682B"/>
    <w:rsid w:val="002C6873"/>
    <w:rsid w:val="002C6983"/>
    <w:rsid w:val="002C6AE1"/>
    <w:rsid w:val="002C6B65"/>
    <w:rsid w:val="002C6C58"/>
    <w:rsid w:val="002C6CD4"/>
    <w:rsid w:val="002C6F64"/>
    <w:rsid w:val="002C72EA"/>
    <w:rsid w:val="002C7336"/>
    <w:rsid w:val="002C78B7"/>
    <w:rsid w:val="002C797E"/>
    <w:rsid w:val="002C7C83"/>
    <w:rsid w:val="002C7E1C"/>
    <w:rsid w:val="002C7F87"/>
    <w:rsid w:val="002D008C"/>
    <w:rsid w:val="002D00F7"/>
    <w:rsid w:val="002D016F"/>
    <w:rsid w:val="002D024B"/>
    <w:rsid w:val="002D038C"/>
    <w:rsid w:val="002D0885"/>
    <w:rsid w:val="002D094D"/>
    <w:rsid w:val="002D0B0E"/>
    <w:rsid w:val="002D0BA3"/>
    <w:rsid w:val="002D0BF8"/>
    <w:rsid w:val="002D0D96"/>
    <w:rsid w:val="002D119F"/>
    <w:rsid w:val="002D11E0"/>
    <w:rsid w:val="002D125C"/>
    <w:rsid w:val="002D1311"/>
    <w:rsid w:val="002D1396"/>
    <w:rsid w:val="002D183C"/>
    <w:rsid w:val="002D187E"/>
    <w:rsid w:val="002D18A8"/>
    <w:rsid w:val="002D1F7C"/>
    <w:rsid w:val="002D1FEF"/>
    <w:rsid w:val="002D20EC"/>
    <w:rsid w:val="002D224E"/>
    <w:rsid w:val="002D23D2"/>
    <w:rsid w:val="002D2491"/>
    <w:rsid w:val="002D26CF"/>
    <w:rsid w:val="002D27C3"/>
    <w:rsid w:val="002D2865"/>
    <w:rsid w:val="002D2B87"/>
    <w:rsid w:val="002D2E9F"/>
    <w:rsid w:val="002D31C3"/>
    <w:rsid w:val="002D35F4"/>
    <w:rsid w:val="002D3852"/>
    <w:rsid w:val="002D3923"/>
    <w:rsid w:val="002D3949"/>
    <w:rsid w:val="002D397B"/>
    <w:rsid w:val="002D3994"/>
    <w:rsid w:val="002D3B2C"/>
    <w:rsid w:val="002D3DB1"/>
    <w:rsid w:val="002D3F03"/>
    <w:rsid w:val="002D468B"/>
    <w:rsid w:val="002D474D"/>
    <w:rsid w:val="002D482D"/>
    <w:rsid w:val="002D4BC8"/>
    <w:rsid w:val="002D4F25"/>
    <w:rsid w:val="002D4FAC"/>
    <w:rsid w:val="002D50CB"/>
    <w:rsid w:val="002D539D"/>
    <w:rsid w:val="002D546C"/>
    <w:rsid w:val="002D55CE"/>
    <w:rsid w:val="002D56CA"/>
    <w:rsid w:val="002D56FF"/>
    <w:rsid w:val="002D58C8"/>
    <w:rsid w:val="002D58C9"/>
    <w:rsid w:val="002D5EE7"/>
    <w:rsid w:val="002D6210"/>
    <w:rsid w:val="002D6215"/>
    <w:rsid w:val="002D6282"/>
    <w:rsid w:val="002D642B"/>
    <w:rsid w:val="002D6877"/>
    <w:rsid w:val="002D6959"/>
    <w:rsid w:val="002D6F53"/>
    <w:rsid w:val="002D6FA5"/>
    <w:rsid w:val="002D7272"/>
    <w:rsid w:val="002D73F1"/>
    <w:rsid w:val="002D7419"/>
    <w:rsid w:val="002D74C2"/>
    <w:rsid w:val="002D7779"/>
    <w:rsid w:val="002D7894"/>
    <w:rsid w:val="002D78DD"/>
    <w:rsid w:val="002D79CE"/>
    <w:rsid w:val="002D79E9"/>
    <w:rsid w:val="002D7A67"/>
    <w:rsid w:val="002D7AA2"/>
    <w:rsid w:val="002D7E8A"/>
    <w:rsid w:val="002D7F41"/>
    <w:rsid w:val="002D7FCD"/>
    <w:rsid w:val="002E0146"/>
    <w:rsid w:val="002E01DE"/>
    <w:rsid w:val="002E01FE"/>
    <w:rsid w:val="002E026B"/>
    <w:rsid w:val="002E02E8"/>
    <w:rsid w:val="002E030A"/>
    <w:rsid w:val="002E0317"/>
    <w:rsid w:val="002E0447"/>
    <w:rsid w:val="002E0549"/>
    <w:rsid w:val="002E0586"/>
    <w:rsid w:val="002E0658"/>
    <w:rsid w:val="002E070F"/>
    <w:rsid w:val="002E0778"/>
    <w:rsid w:val="002E08AF"/>
    <w:rsid w:val="002E0A20"/>
    <w:rsid w:val="002E0BC1"/>
    <w:rsid w:val="002E0BFF"/>
    <w:rsid w:val="002E0C6F"/>
    <w:rsid w:val="002E0C9E"/>
    <w:rsid w:val="002E0E24"/>
    <w:rsid w:val="002E0E6C"/>
    <w:rsid w:val="002E0FE1"/>
    <w:rsid w:val="002E1111"/>
    <w:rsid w:val="002E133F"/>
    <w:rsid w:val="002E1617"/>
    <w:rsid w:val="002E1671"/>
    <w:rsid w:val="002E1788"/>
    <w:rsid w:val="002E17AD"/>
    <w:rsid w:val="002E182B"/>
    <w:rsid w:val="002E1C0D"/>
    <w:rsid w:val="002E1C22"/>
    <w:rsid w:val="002E1CC4"/>
    <w:rsid w:val="002E1E66"/>
    <w:rsid w:val="002E2076"/>
    <w:rsid w:val="002E21EB"/>
    <w:rsid w:val="002E222B"/>
    <w:rsid w:val="002E229E"/>
    <w:rsid w:val="002E22D0"/>
    <w:rsid w:val="002E22FC"/>
    <w:rsid w:val="002E2534"/>
    <w:rsid w:val="002E258C"/>
    <w:rsid w:val="002E2909"/>
    <w:rsid w:val="002E29F6"/>
    <w:rsid w:val="002E2BDC"/>
    <w:rsid w:val="002E2D79"/>
    <w:rsid w:val="002E2EB7"/>
    <w:rsid w:val="002E3043"/>
    <w:rsid w:val="002E32C3"/>
    <w:rsid w:val="002E35BF"/>
    <w:rsid w:val="002E372B"/>
    <w:rsid w:val="002E39B6"/>
    <w:rsid w:val="002E3A7C"/>
    <w:rsid w:val="002E3C23"/>
    <w:rsid w:val="002E3E44"/>
    <w:rsid w:val="002E3F19"/>
    <w:rsid w:val="002E402A"/>
    <w:rsid w:val="002E417C"/>
    <w:rsid w:val="002E41AE"/>
    <w:rsid w:val="002E428A"/>
    <w:rsid w:val="002E4533"/>
    <w:rsid w:val="002E475B"/>
    <w:rsid w:val="002E4A4A"/>
    <w:rsid w:val="002E4A67"/>
    <w:rsid w:val="002E4F92"/>
    <w:rsid w:val="002E512B"/>
    <w:rsid w:val="002E51D2"/>
    <w:rsid w:val="002E54DC"/>
    <w:rsid w:val="002E55BB"/>
    <w:rsid w:val="002E5663"/>
    <w:rsid w:val="002E572B"/>
    <w:rsid w:val="002E58FF"/>
    <w:rsid w:val="002E5A8E"/>
    <w:rsid w:val="002E5B7A"/>
    <w:rsid w:val="002E616E"/>
    <w:rsid w:val="002E6293"/>
    <w:rsid w:val="002E62C1"/>
    <w:rsid w:val="002E62DE"/>
    <w:rsid w:val="002E6769"/>
    <w:rsid w:val="002E6BD5"/>
    <w:rsid w:val="002E6BE9"/>
    <w:rsid w:val="002E6E4D"/>
    <w:rsid w:val="002E6E61"/>
    <w:rsid w:val="002E6FD2"/>
    <w:rsid w:val="002E728D"/>
    <w:rsid w:val="002E761F"/>
    <w:rsid w:val="002E7988"/>
    <w:rsid w:val="002E7A0E"/>
    <w:rsid w:val="002E7E3E"/>
    <w:rsid w:val="002E7EFA"/>
    <w:rsid w:val="002E7F9B"/>
    <w:rsid w:val="002E7FC3"/>
    <w:rsid w:val="002F0177"/>
    <w:rsid w:val="002F019B"/>
    <w:rsid w:val="002F0209"/>
    <w:rsid w:val="002F0480"/>
    <w:rsid w:val="002F06EF"/>
    <w:rsid w:val="002F083B"/>
    <w:rsid w:val="002F0953"/>
    <w:rsid w:val="002F095D"/>
    <w:rsid w:val="002F0BBE"/>
    <w:rsid w:val="002F0BEF"/>
    <w:rsid w:val="002F0E7E"/>
    <w:rsid w:val="002F10DB"/>
    <w:rsid w:val="002F121B"/>
    <w:rsid w:val="002F13AC"/>
    <w:rsid w:val="002F1481"/>
    <w:rsid w:val="002F15EB"/>
    <w:rsid w:val="002F16CF"/>
    <w:rsid w:val="002F192D"/>
    <w:rsid w:val="002F1A85"/>
    <w:rsid w:val="002F1BFA"/>
    <w:rsid w:val="002F1C71"/>
    <w:rsid w:val="002F1C83"/>
    <w:rsid w:val="002F1EFA"/>
    <w:rsid w:val="002F22F7"/>
    <w:rsid w:val="002F2370"/>
    <w:rsid w:val="002F2467"/>
    <w:rsid w:val="002F257B"/>
    <w:rsid w:val="002F2646"/>
    <w:rsid w:val="002F26E2"/>
    <w:rsid w:val="002F2797"/>
    <w:rsid w:val="002F2ABD"/>
    <w:rsid w:val="002F2D08"/>
    <w:rsid w:val="002F2F8A"/>
    <w:rsid w:val="002F30C7"/>
    <w:rsid w:val="002F31D7"/>
    <w:rsid w:val="002F32F7"/>
    <w:rsid w:val="002F3671"/>
    <w:rsid w:val="002F36FA"/>
    <w:rsid w:val="002F399D"/>
    <w:rsid w:val="002F3A64"/>
    <w:rsid w:val="002F3B62"/>
    <w:rsid w:val="002F3B91"/>
    <w:rsid w:val="002F3B92"/>
    <w:rsid w:val="002F3C03"/>
    <w:rsid w:val="002F40E8"/>
    <w:rsid w:val="002F420C"/>
    <w:rsid w:val="002F424B"/>
    <w:rsid w:val="002F425E"/>
    <w:rsid w:val="002F4288"/>
    <w:rsid w:val="002F486D"/>
    <w:rsid w:val="002F4985"/>
    <w:rsid w:val="002F49F3"/>
    <w:rsid w:val="002F4A40"/>
    <w:rsid w:val="002F4A80"/>
    <w:rsid w:val="002F4B12"/>
    <w:rsid w:val="002F4B44"/>
    <w:rsid w:val="002F4C9D"/>
    <w:rsid w:val="002F4D53"/>
    <w:rsid w:val="002F4F23"/>
    <w:rsid w:val="002F4F3F"/>
    <w:rsid w:val="002F4FBF"/>
    <w:rsid w:val="002F5028"/>
    <w:rsid w:val="002F5333"/>
    <w:rsid w:val="002F5636"/>
    <w:rsid w:val="002F56B3"/>
    <w:rsid w:val="002F577D"/>
    <w:rsid w:val="002F5793"/>
    <w:rsid w:val="002F58C0"/>
    <w:rsid w:val="002F5BDE"/>
    <w:rsid w:val="002F5D78"/>
    <w:rsid w:val="002F60AE"/>
    <w:rsid w:val="002F620A"/>
    <w:rsid w:val="002F6294"/>
    <w:rsid w:val="002F62BA"/>
    <w:rsid w:val="002F6386"/>
    <w:rsid w:val="002F6472"/>
    <w:rsid w:val="002F66A5"/>
    <w:rsid w:val="002F68A6"/>
    <w:rsid w:val="002F6B2F"/>
    <w:rsid w:val="002F6CD2"/>
    <w:rsid w:val="002F6DB0"/>
    <w:rsid w:val="002F6FDB"/>
    <w:rsid w:val="002F7000"/>
    <w:rsid w:val="002F719D"/>
    <w:rsid w:val="002F7213"/>
    <w:rsid w:val="002F73A7"/>
    <w:rsid w:val="002F78D6"/>
    <w:rsid w:val="002F78E6"/>
    <w:rsid w:val="002F7D20"/>
    <w:rsid w:val="002F7DAE"/>
    <w:rsid w:val="002F7F40"/>
    <w:rsid w:val="002F7FDB"/>
    <w:rsid w:val="003002AB"/>
    <w:rsid w:val="00300716"/>
    <w:rsid w:val="0030082C"/>
    <w:rsid w:val="0030098C"/>
    <w:rsid w:val="00300BF4"/>
    <w:rsid w:val="00300C68"/>
    <w:rsid w:val="00300CAB"/>
    <w:rsid w:val="00300CE8"/>
    <w:rsid w:val="0030101F"/>
    <w:rsid w:val="00301074"/>
    <w:rsid w:val="0030137D"/>
    <w:rsid w:val="0030148B"/>
    <w:rsid w:val="0030152A"/>
    <w:rsid w:val="003019AF"/>
    <w:rsid w:val="00301A1F"/>
    <w:rsid w:val="00301AF1"/>
    <w:rsid w:val="00301BFF"/>
    <w:rsid w:val="00302193"/>
    <w:rsid w:val="003023EB"/>
    <w:rsid w:val="00302541"/>
    <w:rsid w:val="00302634"/>
    <w:rsid w:val="003028F9"/>
    <w:rsid w:val="00302C3E"/>
    <w:rsid w:val="00302E22"/>
    <w:rsid w:val="00302FC8"/>
    <w:rsid w:val="00303008"/>
    <w:rsid w:val="0030341E"/>
    <w:rsid w:val="00303459"/>
    <w:rsid w:val="003036F4"/>
    <w:rsid w:val="00303704"/>
    <w:rsid w:val="00303ADA"/>
    <w:rsid w:val="00303B8B"/>
    <w:rsid w:val="00303BA9"/>
    <w:rsid w:val="00303CBE"/>
    <w:rsid w:val="00303D97"/>
    <w:rsid w:val="00303F05"/>
    <w:rsid w:val="0030451A"/>
    <w:rsid w:val="003045F1"/>
    <w:rsid w:val="003046E1"/>
    <w:rsid w:val="0030471E"/>
    <w:rsid w:val="0030478B"/>
    <w:rsid w:val="00304879"/>
    <w:rsid w:val="00304AF0"/>
    <w:rsid w:val="00304B82"/>
    <w:rsid w:val="00304B9D"/>
    <w:rsid w:val="00304C04"/>
    <w:rsid w:val="00304F14"/>
    <w:rsid w:val="00304F67"/>
    <w:rsid w:val="00305171"/>
    <w:rsid w:val="003051D7"/>
    <w:rsid w:val="003051F4"/>
    <w:rsid w:val="003057DB"/>
    <w:rsid w:val="00305B71"/>
    <w:rsid w:val="00305BB4"/>
    <w:rsid w:val="00305C68"/>
    <w:rsid w:val="00305DE2"/>
    <w:rsid w:val="00305E58"/>
    <w:rsid w:val="00305F67"/>
    <w:rsid w:val="00305F7A"/>
    <w:rsid w:val="00305FBD"/>
    <w:rsid w:val="0030619E"/>
    <w:rsid w:val="00306227"/>
    <w:rsid w:val="0030644F"/>
    <w:rsid w:val="00306459"/>
    <w:rsid w:val="00306726"/>
    <w:rsid w:val="003069C5"/>
    <w:rsid w:val="00306B0C"/>
    <w:rsid w:val="00306BA4"/>
    <w:rsid w:val="00306EA0"/>
    <w:rsid w:val="00306FD7"/>
    <w:rsid w:val="00307080"/>
    <w:rsid w:val="003070C4"/>
    <w:rsid w:val="0030733D"/>
    <w:rsid w:val="0030739B"/>
    <w:rsid w:val="0030763C"/>
    <w:rsid w:val="003076D8"/>
    <w:rsid w:val="0030771D"/>
    <w:rsid w:val="00307AD1"/>
    <w:rsid w:val="00307C67"/>
    <w:rsid w:val="00307D4D"/>
    <w:rsid w:val="00307EC5"/>
    <w:rsid w:val="00307FE6"/>
    <w:rsid w:val="00310080"/>
    <w:rsid w:val="0031019F"/>
    <w:rsid w:val="00310230"/>
    <w:rsid w:val="003102D6"/>
    <w:rsid w:val="003104CC"/>
    <w:rsid w:val="003106E7"/>
    <w:rsid w:val="003106F5"/>
    <w:rsid w:val="00310794"/>
    <w:rsid w:val="00310CDA"/>
    <w:rsid w:val="00310CDB"/>
    <w:rsid w:val="00310CF2"/>
    <w:rsid w:val="0031108F"/>
    <w:rsid w:val="003114AD"/>
    <w:rsid w:val="003114AE"/>
    <w:rsid w:val="00311568"/>
    <w:rsid w:val="00311795"/>
    <w:rsid w:val="00311A91"/>
    <w:rsid w:val="00311AD4"/>
    <w:rsid w:val="003120D0"/>
    <w:rsid w:val="00312184"/>
    <w:rsid w:val="0031227A"/>
    <w:rsid w:val="0031263A"/>
    <w:rsid w:val="003126C4"/>
    <w:rsid w:val="00312765"/>
    <w:rsid w:val="00312838"/>
    <w:rsid w:val="0031289F"/>
    <w:rsid w:val="00312912"/>
    <w:rsid w:val="00312AD5"/>
    <w:rsid w:val="00312B27"/>
    <w:rsid w:val="00312C24"/>
    <w:rsid w:val="00312F30"/>
    <w:rsid w:val="00312F7D"/>
    <w:rsid w:val="00312FA3"/>
    <w:rsid w:val="0031321B"/>
    <w:rsid w:val="00313263"/>
    <w:rsid w:val="00313508"/>
    <w:rsid w:val="00313568"/>
    <w:rsid w:val="00313657"/>
    <w:rsid w:val="0031367B"/>
    <w:rsid w:val="003136D9"/>
    <w:rsid w:val="0031372D"/>
    <w:rsid w:val="0031372E"/>
    <w:rsid w:val="003137F2"/>
    <w:rsid w:val="00313B54"/>
    <w:rsid w:val="00313D54"/>
    <w:rsid w:val="00313EED"/>
    <w:rsid w:val="00313FBC"/>
    <w:rsid w:val="0031405D"/>
    <w:rsid w:val="00314074"/>
    <w:rsid w:val="0031408B"/>
    <w:rsid w:val="003144CE"/>
    <w:rsid w:val="00314846"/>
    <w:rsid w:val="00314971"/>
    <w:rsid w:val="003149E8"/>
    <w:rsid w:val="00314AA8"/>
    <w:rsid w:val="00314AE8"/>
    <w:rsid w:val="00314B90"/>
    <w:rsid w:val="00314CD8"/>
    <w:rsid w:val="00314E5C"/>
    <w:rsid w:val="003153B7"/>
    <w:rsid w:val="00315453"/>
    <w:rsid w:val="003158F4"/>
    <w:rsid w:val="003159D8"/>
    <w:rsid w:val="00315A09"/>
    <w:rsid w:val="00315B10"/>
    <w:rsid w:val="00315B2E"/>
    <w:rsid w:val="00315CCA"/>
    <w:rsid w:val="00315CFB"/>
    <w:rsid w:val="0031619A"/>
    <w:rsid w:val="003161EC"/>
    <w:rsid w:val="00316203"/>
    <w:rsid w:val="00316576"/>
    <w:rsid w:val="003166FF"/>
    <w:rsid w:val="003167D5"/>
    <w:rsid w:val="00316957"/>
    <w:rsid w:val="00316B41"/>
    <w:rsid w:val="00316D11"/>
    <w:rsid w:val="00316E08"/>
    <w:rsid w:val="00317013"/>
    <w:rsid w:val="0031708D"/>
    <w:rsid w:val="00317290"/>
    <w:rsid w:val="00317406"/>
    <w:rsid w:val="00317916"/>
    <w:rsid w:val="00317A55"/>
    <w:rsid w:val="00317A8D"/>
    <w:rsid w:val="00317C3A"/>
    <w:rsid w:val="00317C54"/>
    <w:rsid w:val="00317D6C"/>
    <w:rsid w:val="00317D71"/>
    <w:rsid w:val="00317D84"/>
    <w:rsid w:val="0032016F"/>
    <w:rsid w:val="00320244"/>
    <w:rsid w:val="00320298"/>
    <w:rsid w:val="003202B9"/>
    <w:rsid w:val="00320334"/>
    <w:rsid w:val="003205E5"/>
    <w:rsid w:val="00320676"/>
    <w:rsid w:val="0032072B"/>
    <w:rsid w:val="0032083A"/>
    <w:rsid w:val="003208C0"/>
    <w:rsid w:val="00320921"/>
    <w:rsid w:val="00320983"/>
    <w:rsid w:val="00320D61"/>
    <w:rsid w:val="00320EC6"/>
    <w:rsid w:val="00320F6F"/>
    <w:rsid w:val="00321150"/>
    <w:rsid w:val="003211E7"/>
    <w:rsid w:val="003211F4"/>
    <w:rsid w:val="0032164D"/>
    <w:rsid w:val="003217F1"/>
    <w:rsid w:val="00321EF9"/>
    <w:rsid w:val="00322189"/>
    <w:rsid w:val="00322416"/>
    <w:rsid w:val="00322724"/>
    <w:rsid w:val="003228B8"/>
    <w:rsid w:val="00322AC0"/>
    <w:rsid w:val="00322B29"/>
    <w:rsid w:val="00322DCB"/>
    <w:rsid w:val="00322DEE"/>
    <w:rsid w:val="00323115"/>
    <w:rsid w:val="00323400"/>
    <w:rsid w:val="00323633"/>
    <w:rsid w:val="00323642"/>
    <w:rsid w:val="0032391D"/>
    <w:rsid w:val="00323921"/>
    <w:rsid w:val="00323C05"/>
    <w:rsid w:val="00323E6A"/>
    <w:rsid w:val="00324085"/>
    <w:rsid w:val="003241FA"/>
    <w:rsid w:val="003241FB"/>
    <w:rsid w:val="0032456E"/>
    <w:rsid w:val="00324650"/>
    <w:rsid w:val="003246B5"/>
    <w:rsid w:val="003248C1"/>
    <w:rsid w:val="003249FD"/>
    <w:rsid w:val="00324AD1"/>
    <w:rsid w:val="00324ADB"/>
    <w:rsid w:val="00324E41"/>
    <w:rsid w:val="00324F6A"/>
    <w:rsid w:val="00324FEB"/>
    <w:rsid w:val="00325068"/>
    <w:rsid w:val="0032507E"/>
    <w:rsid w:val="00325612"/>
    <w:rsid w:val="00325C31"/>
    <w:rsid w:val="00325F19"/>
    <w:rsid w:val="00325F89"/>
    <w:rsid w:val="00326176"/>
    <w:rsid w:val="0032623A"/>
    <w:rsid w:val="003262C0"/>
    <w:rsid w:val="00326368"/>
    <w:rsid w:val="00326385"/>
    <w:rsid w:val="003264D2"/>
    <w:rsid w:val="003268E4"/>
    <w:rsid w:val="00326A36"/>
    <w:rsid w:val="00326B5C"/>
    <w:rsid w:val="00326D05"/>
    <w:rsid w:val="00326EDE"/>
    <w:rsid w:val="0032701B"/>
    <w:rsid w:val="00327074"/>
    <w:rsid w:val="003271C4"/>
    <w:rsid w:val="00327418"/>
    <w:rsid w:val="003279EB"/>
    <w:rsid w:val="00327B5D"/>
    <w:rsid w:val="00327C68"/>
    <w:rsid w:val="00327CA7"/>
    <w:rsid w:val="00327F4E"/>
    <w:rsid w:val="00327FCD"/>
    <w:rsid w:val="0033033D"/>
    <w:rsid w:val="00330353"/>
    <w:rsid w:val="003306B1"/>
    <w:rsid w:val="0033072C"/>
    <w:rsid w:val="00330765"/>
    <w:rsid w:val="0033095A"/>
    <w:rsid w:val="00330D1C"/>
    <w:rsid w:val="00330E2C"/>
    <w:rsid w:val="00330E9A"/>
    <w:rsid w:val="00330ED9"/>
    <w:rsid w:val="00330EED"/>
    <w:rsid w:val="003312A3"/>
    <w:rsid w:val="0033153F"/>
    <w:rsid w:val="00331577"/>
    <w:rsid w:val="00331943"/>
    <w:rsid w:val="00331A2B"/>
    <w:rsid w:val="00331AC5"/>
    <w:rsid w:val="00331D9F"/>
    <w:rsid w:val="00331FFE"/>
    <w:rsid w:val="00332211"/>
    <w:rsid w:val="00332226"/>
    <w:rsid w:val="00332410"/>
    <w:rsid w:val="003326CE"/>
    <w:rsid w:val="0033277D"/>
    <w:rsid w:val="00332B21"/>
    <w:rsid w:val="00332CF1"/>
    <w:rsid w:val="00332D99"/>
    <w:rsid w:val="00332FD3"/>
    <w:rsid w:val="00333048"/>
    <w:rsid w:val="00333138"/>
    <w:rsid w:val="003334FA"/>
    <w:rsid w:val="0033359F"/>
    <w:rsid w:val="003335BA"/>
    <w:rsid w:val="00333B44"/>
    <w:rsid w:val="00333CC4"/>
    <w:rsid w:val="00333E44"/>
    <w:rsid w:val="00333E4F"/>
    <w:rsid w:val="00333E58"/>
    <w:rsid w:val="00333FB6"/>
    <w:rsid w:val="003340BE"/>
    <w:rsid w:val="00334131"/>
    <w:rsid w:val="003341CC"/>
    <w:rsid w:val="0033445C"/>
    <w:rsid w:val="003344DE"/>
    <w:rsid w:val="003345B2"/>
    <w:rsid w:val="0033467E"/>
    <w:rsid w:val="003348B1"/>
    <w:rsid w:val="00334A9D"/>
    <w:rsid w:val="00334B43"/>
    <w:rsid w:val="00334C12"/>
    <w:rsid w:val="00334F3D"/>
    <w:rsid w:val="00334FD5"/>
    <w:rsid w:val="0033511F"/>
    <w:rsid w:val="00335417"/>
    <w:rsid w:val="003356D7"/>
    <w:rsid w:val="00335721"/>
    <w:rsid w:val="00335A6A"/>
    <w:rsid w:val="00335AD4"/>
    <w:rsid w:val="00335CC2"/>
    <w:rsid w:val="00335EA9"/>
    <w:rsid w:val="003361D2"/>
    <w:rsid w:val="00336487"/>
    <w:rsid w:val="00336631"/>
    <w:rsid w:val="00336655"/>
    <w:rsid w:val="003367F7"/>
    <w:rsid w:val="0033683A"/>
    <w:rsid w:val="00336DF4"/>
    <w:rsid w:val="00336ECB"/>
    <w:rsid w:val="00336F00"/>
    <w:rsid w:val="00336F30"/>
    <w:rsid w:val="00336F73"/>
    <w:rsid w:val="00337050"/>
    <w:rsid w:val="003370CD"/>
    <w:rsid w:val="003373FA"/>
    <w:rsid w:val="00337849"/>
    <w:rsid w:val="00337B1B"/>
    <w:rsid w:val="00337B30"/>
    <w:rsid w:val="00337DF4"/>
    <w:rsid w:val="00337E96"/>
    <w:rsid w:val="00337EA7"/>
    <w:rsid w:val="00337F88"/>
    <w:rsid w:val="0034010F"/>
    <w:rsid w:val="00340160"/>
    <w:rsid w:val="00340165"/>
    <w:rsid w:val="003404DA"/>
    <w:rsid w:val="003405DE"/>
    <w:rsid w:val="00340926"/>
    <w:rsid w:val="0034092C"/>
    <w:rsid w:val="00340A95"/>
    <w:rsid w:val="00340CB4"/>
    <w:rsid w:val="00340DB0"/>
    <w:rsid w:val="00340DD2"/>
    <w:rsid w:val="0034116C"/>
    <w:rsid w:val="003412C7"/>
    <w:rsid w:val="003412E6"/>
    <w:rsid w:val="00341427"/>
    <w:rsid w:val="00341593"/>
    <w:rsid w:val="0034185C"/>
    <w:rsid w:val="003418C0"/>
    <w:rsid w:val="00341905"/>
    <w:rsid w:val="0034195A"/>
    <w:rsid w:val="00341DB8"/>
    <w:rsid w:val="00341EBF"/>
    <w:rsid w:val="00342014"/>
    <w:rsid w:val="003426C4"/>
    <w:rsid w:val="0034294A"/>
    <w:rsid w:val="00342B5D"/>
    <w:rsid w:val="00342C36"/>
    <w:rsid w:val="00342D53"/>
    <w:rsid w:val="00342DE9"/>
    <w:rsid w:val="00342EDD"/>
    <w:rsid w:val="00342F25"/>
    <w:rsid w:val="00343091"/>
    <w:rsid w:val="00343394"/>
    <w:rsid w:val="003433A2"/>
    <w:rsid w:val="003436C8"/>
    <w:rsid w:val="003436E5"/>
    <w:rsid w:val="00343726"/>
    <w:rsid w:val="00343731"/>
    <w:rsid w:val="003439D7"/>
    <w:rsid w:val="00343AEA"/>
    <w:rsid w:val="00343AF3"/>
    <w:rsid w:val="00343AF9"/>
    <w:rsid w:val="00343C50"/>
    <w:rsid w:val="00343C8A"/>
    <w:rsid w:val="00343CD8"/>
    <w:rsid w:val="003441CB"/>
    <w:rsid w:val="0034420B"/>
    <w:rsid w:val="00344360"/>
    <w:rsid w:val="00344372"/>
    <w:rsid w:val="0034450C"/>
    <w:rsid w:val="003446DA"/>
    <w:rsid w:val="00344856"/>
    <w:rsid w:val="003449D3"/>
    <w:rsid w:val="00344A82"/>
    <w:rsid w:val="00344B0F"/>
    <w:rsid w:val="00344DA8"/>
    <w:rsid w:val="00344DF3"/>
    <w:rsid w:val="00344E4B"/>
    <w:rsid w:val="00344EA4"/>
    <w:rsid w:val="00345050"/>
    <w:rsid w:val="003451A7"/>
    <w:rsid w:val="00345618"/>
    <w:rsid w:val="003456E2"/>
    <w:rsid w:val="003456EB"/>
    <w:rsid w:val="00345B1E"/>
    <w:rsid w:val="00345CDA"/>
    <w:rsid w:val="00345DD0"/>
    <w:rsid w:val="00345EBC"/>
    <w:rsid w:val="00345FCE"/>
    <w:rsid w:val="00346153"/>
    <w:rsid w:val="0034680A"/>
    <w:rsid w:val="00346987"/>
    <w:rsid w:val="00346AAB"/>
    <w:rsid w:val="00346FE8"/>
    <w:rsid w:val="0034751B"/>
    <w:rsid w:val="00347560"/>
    <w:rsid w:val="0034788C"/>
    <w:rsid w:val="00347C00"/>
    <w:rsid w:val="00347DAA"/>
    <w:rsid w:val="00347E9F"/>
    <w:rsid w:val="00347EB4"/>
    <w:rsid w:val="00347F08"/>
    <w:rsid w:val="00347F14"/>
    <w:rsid w:val="00350004"/>
    <w:rsid w:val="00350300"/>
    <w:rsid w:val="0035037C"/>
    <w:rsid w:val="0035046A"/>
    <w:rsid w:val="003506BA"/>
    <w:rsid w:val="00350732"/>
    <w:rsid w:val="00350935"/>
    <w:rsid w:val="00350B38"/>
    <w:rsid w:val="00350BA6"/>
    <w:rsid w:val="00350E17"/>
    <w:rsid w:val="00350E6C"/>
    <w:rsid w:val="00350EFF"/>
    <w:rsid w:val="00350F76"/>
    <w:rsid w:val="00351000"/>
    <w:rsid w:val="00351130"/>
    <w:rsid w:val="003516B2"/>
    <w:rsid w:val="0035174C"/>
    <w:rsid w:val="00351A13"/>
    <w:rsid w:val="00351A3C"/>
    <w:rsid w:val="00351F86"/>
    <w:rsid w:val="003522B0"/>
    <w:rsid w:val="0035231B"/>
    <w:rsid w:val="0035265E"/>
    <w:rsid w:val="00352A05"/>
    <w:rsid w:val="00352B43"/>
    <w:rsid w:val="00352C1C"/>
    <w:rsid w:val="00352C66"/>
    <w:rsid w:val="00352CD2"/>
    <w:rsid w:val="00352E0B"/>
    <w:rsid w:val="00353116"/>
    <w:rsid w:val="003537C7"/>
    <w:rsid w:val="003538CA"/>
    <w:rsid w:val="00353A1F"/>
    <w:rsid w:val="00353FB4"/>
    <w:rsid w:val="00353FC9"/>
    <w:rsid w:val="003544B8"/>
    <w:rsid w:val="00354696"/>
    <w:rsid w:val="003548AD"/>
    <w:rsid w:val="00354C43"/>
    <w:rsid w:val="0035519A"/>
    <w:rsid w:val="0035520C"/>
    <w:rsid w:val="003552F7"/>
    <w:rsid w:val="003555C2"/>
    <w:rsid w:val="00355A3A"/>
    <w:rsid w:val="00355A52"/>
    <w:rsid w:val="00355A5B"/>
    <w:rsid w:val="00355AB2"/>
    <w:rsid w:val="00356095"/>
    <w:rsid w:val="00356148"/>
    <w:rsid w:val="00356182"/>
    <w:rsid w:val="00356340"/>
    <w:rsid w:val="003564D3"/>
    <w:rsid w:val="0035662E"/>
    <w:rsid w:val="00356862"/>
    <w:rsid w:val="003569BF"/>
    <w:rsid w:val="00356B6A"/>
    <w:rsid w:val="00356CD0"/>
    <w:rsid w:val="00356EC3"/>
    <w:rsid w:val="00356F28"/>
    <w:rsid w:val="00357084"/>
    <w:rsid w:val="003570E1"/>
    <w:rsid w:val="0035717D"/>
    <w:rsid w:val="0035752E"/>
    <w:rsid w:val="003575B4"/>
    <w:rsid w:val="0035762C"/>
    <w:rsid w:val="003576A8"/>
    <w:rsid w:val="003576BC"/>
    <w:rsid w:val="003578AB"/>
    <w:rsid w:val="003579BE"/>
    <w:rsid w:val="003579D3"/>
    <w:rsid w:val="00357A0C"/>
    <w:rsid w:val="00357AF0"/>
    <w:rsid w:val="00357B54"/>
    <w:rsid w:val="00357B55"/>
    <w:rsid w:val="00357C58"/>
    <w:rsid w:val="00357D00"/>
    <w:rsid w:val="00357D39"/>
    <w:rsid w:val="00357EF9"/>
    <w:rsid w:val="00360171"/>
    <w:rsid w:val="003601CB"/>
    <w:rsid w:val="0036059A"/>
    <w:rsid w:val="003606FD"/>
    <w:rsid w:val="003607CD"/>
    <w:rsid w:val="00360C5D"/>
    <w:rsid w:val="00360CFF"/>
    <w:rsid w:val="00360E37"/>
    <w:rsid w:val="00360FD6"/>
    <w:rsid w:val="0036104E"/>
    <w:rsid w:val="00361137"/>
    <w:rsid w:val="0036149E"/>
    <w:rsid w:val="003617E8"/>
    <w:rsid w:val="00361830"/>
    <w:rsid w:val="003618E2"/>
    <w:rsid w:val="003619FE"/>
    <w:rsid w:val="00361A08"/>
    <w:rsid w:val="00361B9D"/>
    <w:rsid w:val="00361CEA"/>
    <w:rsid w:val="00361DBD"/>
    <w:rsid w:val="00361DCD"/>
    <w:rsid w:val="00361FDA"/>
    <w:rsid w:val="00362080"/>
    <w:rsid w:val="00362368"/>
    <w:rsid w:val="0036246F"/>
    <w:rsid w:val="0036260A"/>
    <w:rsid w:val="00362689"/>
    <w:rsid w:val="0036269B"/>
    <w:rsid w:val="0036277A"/>
    <w:rsid w:val="003627E1"/>
    <w:rsid w:val="0036283A"/>
    <w:rsid w:val="00362B16"/>
    <w:rsid w:val="00362B91"/>
    <w:rsid w:val="00362CBB"/>
    <w:rsid w:val="00362CC5"/>
    <w:rsid w:val="00362E20"/>
    <w:rsid w:val="003631D3"/>
    <w:rsid w:val="00363216"/>
    <w:rsid w:val="00363285"/>
    <w:rsid w:val="00363325"/>
    <w:rsid w:val="003634C0"/>
    <w:rsid w:val="00363840"/>
    <w:rsid w:val="003639DE"/>
    <w:rsid w:val="00363AE5"/>
    <w:rsid w:val="00363CF6"/>
    <w:rsid w:val="00363DA0"/>
    <w:rsid w:val="00363EE6"/>
    <w:rsid w:val="00363F8C"/>
    <w:rsid w:val="00363FF8"/>
    <w:rsid w:val="0036407A"/>
    <w:rsid w:val="003640E1"/>
    <w:rsid w:val="003648D2"/>
    <w:rsid w:val="003649F9"/>
    <w:rsid w:val="00364D0C"/>
    <w:rsid w:val="00364D4C"/>
    <w:rsid w:val="00365101"/>
    <w:rsid w:val="00365148"/>
    <w:rsid w:val="00365198"/>
    <w:rsid w:val="00365260"/>
    <w:rsid w:val="003655E3"/>
    <w:rsid w:val="00365606"/>
    <w:rsid w:val="00365ADE"/>
    <w:rsid w:val="00365AFC"/>
    <w:rsid w:val="00365BB8"/>
    <w:rsid w:val="00365C24"/>
    <w:rsid w:val="00365D2E"/>
    <w:rsid w:val="00365F1D"/>
    <w:rsid w:val="00366011"/>
    <w:rsid w:val="00366156"/>
    <w:rsid w:val="00366166"/>
    <w:rsid w:val="003661FF"/>
    <w:rsid w:val="003663F8"/>
    <w:rsid w:val="003665D4"/>
    <w:rsid w:val="00366953"/>
    <w:rsid w:val="00366BA7"/>
    <w:rsid w:val="00366CBD"/>
    <w:rsid w:val="00366E1D"/>
    <w:rsid w:val="0036728A"/>
    <w:rsid w:val="003672E9"/>
    <w:rsid w:val="0036767E"/>
    <w:rsid w:val="003678F8"/>
    <w:rsid w:val="00367A4E"/>
    <w:rsid w:val="00367AE1"/>
    <w:rsid w:val="00367BEF"/>
    <w:rsid w:val="00367C0E"/>
    <w:rsid w:val="00367F17"/>
    <w:rsid w:val="00367F90"/>
    <w:rsid w:val="00367FDB"/>
    <w:rsid w:val="00367FEA"/>
    <w:rsid w:val="00370154"/>
    <w:rsid w:val="003702B2"/>
    <w:rsid w:val="00370308"/>
    <w:rsid w:val="003703EC"/>
    <w:rsid w:val="00370467"/>
    <w:rsid w:val="00370494"/>
    <w:rsid w:val="00370562"/>
    <w:rsid w:val="003706ED"/>
    <w:rsid w:val="00370799"/>
    <w:rsid w:val="00370982"/>
    <w:rsid w:val="00370B2A"/>
    <w:rsid w:val="00370C91"/>
    <w:rsid w:val="00370DC7"/>
    <w:rsid w:val="00370F1F"/>
    <w:rsid w:val="00370FB2"/>
    <w:rsid w:val="0037134D"/>
    <w:rsid w:val="003714F2"/>
    <w:rsid w:val="00371659"/>
    <w:rsid w:val="00371996"/>
    <w:rsid w:val="00371B74"/>
    <w:rsid w:val="00371BF7"/>
    <w:rsid w:val="00371F1C"/>
    <w:rsid w:val="00371FDD"/>
    <w:rsid w:val="00372047"/>
    <w:rsid w:val="003721A1"/>
    <w:rsid w:val="00372272"/>
    <w:rsid w:val="0037262C"/>
    <w:rsid w:val="0037266E"/>
    <w:rsid w:val="0037295C"/>
    <w:rsid w:val="00372B83"/>
    <w:rsid w:val="00372BE0"/>
    <w:rsid w:val="00372C21"/>
    <w:rsid w:val="00372C9D"/>
    <w:rsid w:val="00372E63"/>
    <w:rsid w:val="00373094"/>
    <w:rsid w:val="003730C7"/>
    <w:rsid w:val="003731D7"/>
    <w:rsid w:val="0037359D"/>
    <w:rsid w:val="00373894"/>
    <w:rsid w:val="0037396D"/>
    <w:rsid w:val="003739E4"/>
    <w:rsid w:val="00373BED"/>
    <w:rsid w:val="00373C57"/>
    <w:rsid w:val="00373C61"/>
    <w:rsid w:val="00373CD0"/>
    <w:rsid w:val="00373F6A"/>
    <w:rsid w:val="0037400A"/>
    <w:rsid w:val="0037446B"/>
    <w:rsid w:val="00374642"/>
    <w:rsid w:val="00374810"/>
    <w:rsid w:val="00374A2D"/>
    <w:rsid w:val="00374AEE"/>
    <w:rsid w:val="00374B0B"/>
    <w:rsid w:val="00374B9B"/>
    <w:rsid w:val="00374C83"/>
    <w:rsid w:val="00374EA3"/>
    <w:rsid w:val="00375012"/>
    <w:rsid w:val="00375085"/>
    <w:rsid w:val="003750C8"/>
    <w:rsid w:val="003751B3"/>
    <w:rsid w:val="003752FB"/>
    <w:rsid w:val="00375406"/>
    <w:rsid w:val="003754AC"/>
    <w:rsid w:val="00375AE0"/>
    <w:rsid w:val="00375BCB"/>
    <w:rsid w:val="00375BF6"/>
    <w:rsid w:val="00375D9B"/>
    <w:rsid w:val="00375E03"/>
    <w:rsid w:val="0037604D"/>
    <w:rsid w:val="003760B6"/>
    <w:rsid w:val="003762B5"/>
    <w:rsid w:val="00376325"/>
    <w:rsid w:val="00376335"/>
    <w:rsid w:val="003763C4"/>
    <w:rsid w:val="00376491"/>
    <w:rsid w:val="00376509"/>
    <w:rsid w:val="003768A7"/>
    <w:rsid w:val="00376A1E"/>
    <w:rsid w:val="00376A5F"/>
    <w:rsid w:val="00376CE3"/>
    <w:rsid w:val="00376D15"/>
    <w:rsid w:val="00376E13"/>
    <w:rsid w:val="0037721D"/>
    <w:rsid w:val="00377413"/>
    <w:rsid w:val="0037755E"/>
    <w:rsid w:val="003776BF"/>
    <w:rsid w:val="003777DA"/>
    <w:rsid w:val="00377800"/>
    <w:rsid w:val="003779AD"/>
    <w:rsid w:val="00377B78"/>
    <w:rsid w:val="00377CD8"/>
    <w:rsid w:val="00377E68"/>
    <w:rsid w:val="00377E9B"/>
    <w:rsid w:val="00380126"/>
    <w:rsid w:val="0038024C"/>
    <w:rsid w:val="0038025D"/>
    <w:rsid w:val="003806F2"/>
    <w:rsid w:val="00380808"/>
    <w:rsid w:val="003808A0"/>
    <w:rsid w:val="0038090E"/>
    <w:rsid w:val="00380C21"/>
    <w:rsid w:val="00380C6E"/>
    <w:rsid w:val="00380CD9"/>
    <w:rsid w:val="00380DFE"/>
    <w:rsid w:val="00380E82"/>
    <w:rsid w:val="00380FAD"/>
    <w:rsid w:val="00380FC0"/>
    <w:rsid w:val="0038102A"/>
    <w:rsid w:val="0038112A"/>
    <w:rsid w:val="003812A1"/>
    <w:rsid w:val="00381675"/>
    <w:rsid w:val="00381685"/>
    <w:rsid w:val="00381886"/>
    <w:rsid w:val="003819A4"/>
    <w:rsid w:val="00381A5A"/>
    <w:rsid w:val="00381B0A"/>
    <w:rsid w:val="00381B39"/>
    <w:rsid w:val="00381C21"/>
    <w:rsid w:val="00381DBC"/>
    <w:rsid w:val="00381E52"/>
    <w:rsid w:val="003820A8"/>
    <w:rsid w:val="00382451"/>
    <w:rsid w:val="003824F7"/>
    <w:rsid w:val="00382791"/>
    <w:rsid w:val="00382962"/>
    <w:rsid w:val="00382979"/>
    <w:rsid w:val="00382B7B"/>
    <w:rsid w:val="00382BB1"/>
    <w:rsid w:val="00382D81"/>
    <w:rsid w:val="00382E2B"/>
    <w:rsid w:val="00382E54"/>
    <w:rsid w:val="0038306E"/>
    <w:rsid w:val="003833B4"/>
    <w:rsid w:val="003834A4"/>
    <w:rsid w:val="0038353B"/>
    <w:rsid w:val="003837F1"/>
    <w:rsid w:val="00383B0A"/>
    <w:rsid w:val="00383BDC"/>
    <w:rsid w:val="00383C95"/>
    <w:rsid w:val="00383DD0"/>
    <w:rsid w:val="00383E3C"/>
    <w:rsid w:val="0038400A"/>
    <w:rsid w:val="00384195"/>
    <w:rsid w:val="0038436D"/>
    <w:rsid w:val="003843A6"/>
    <w:rsid w:val="003843CA"/>
    <w:rsid w:val="00384663"/>
    <w:rsid w:val="00384695"/>
    <w:rsid w:val="003847D3"/>
    <w:rsid w:val="00384860"/>
    <w:rsid w:val="0038494F"/>
    <w:rsid w:val="00384A32"/>
    <w:rsid w:val="00384B31"/>
    <w:rsid w:val="00384B5F"/>
    <w:rsid w:val="00385011"/>
    <w:rsid w:val="003851AF"/>
    <w:rsid w:val="0038527A"/>
    <w:rsid w:val="003854FD"/>
    <w:rsid w:val="003858FB"/>
    <w:rsid w:val="00385CC3"/>
    <w:rsid w:val="00385E04"/>
    <w:rsid w:val="00386051"/>
    <w:rsid w:val="003860D5"/>
    <w:rsid w:val="003861C7"/>
    <w:rsid w:val="003861D8"/>
    <w:rsid w:val="003862D2"/>
    <w:rsid w:val="003865A9"/>
    <w:rsid w:val="0038678B"/>
    <w:rsid w:val="00386B01"/>
    <w:rsid w:val="00386C2A"/>
    <w:rsid w:val="00386CBD"/>
    <w:rsid w:val="00386E27"/>
    <w:rsid w:val="00386F3F"/>
    <w:rsid w:val="00386F5E"/>
    <w:rsid w:val="0038724B"/>
    <w:rsid w:val="00387389"/>
    <w:rsid w:val="00387426"/>
    <w:rsid w:val="0038744B"/>
    <w:rsid w:val="003875B4"/>
    <w:rsid w:val="003877BD"/>
    <w:rsid w:val="003878BE"/>
    <w:rsid w:val="0038791B"/>
    <w:rsid w:val="00387E43"/>
    <w:rsid w:val="00387F6D"/>
    <w:rsid w:val="00390056"/>
    <w:rsid w:val="00390125"/>
    <w:rsid w:val="003904FB"/>
    <w:rsid w:val="00390500"/>
    <w:rsid w:val="0039051A"/>
    <w:rsid w:val="00390763"/>
    <w:rsid w:val="0039095A"/>
    <w:rsid w:val="00390A3D"/>
    <w:rsid w:val="00390D51"/>
    <w:rsid w:val="00390ED5"/>
    <w:rsid w:val="00391012"/>
    <w:rsid w:val="0039106F"/>
    <w:rsid w:val="003910A0"/>
    <w:rsid w:val="0039121E"/>
    <w:rsid w:val="003918E9"/>
    <w:rsid w:val="003918EF"/>
    <w:rsid w:val="0039193B"/>
    <w:rsid w:val="00391A05"/>
    <w:rsid w:val="00391BE8"/>
    <w:rsid w:val="00391D46"/>
    <w:rsid w:val="00391DBC"/>
    <w:rsid w:val="00391FF8"/>
    <w:rsid w:val="003921CB"/>
    <w:rsid w:val="003925BB"/>
    <w:rsid w:val="0039288D"/>
    <w:rsid w:val="00392BB1"/>
    <w:rsid w:val="00392FE2"/>
    <w:rsid w:val="00393208"/>
    <w:rsid w:val="0039322E"/>
    <w:rsid w:val="00393727"/>
    <w:rsid w:val="003939FD"/>
    <w:rsid w:val="00393D26"/>
    <w:rsid w:val="00394329"/>
    <w:rsid w:val="0039461B"/>
    <w:rsid w:val="0039468A"/>
    <w:rsid w:val="00394713"/>
    <w:rsid w:val="0039474E"/>
    <w:rsid w:val="003947B6"/>
    <w:rsid w:val="0039510E"/>
    <w:rsid w:val="00395343"/>
    <w:rsid w:val="003953D8"/>
    <w:rsid w:val="003955AA"/>
    <w:rsid w:val="00395865"/>
    <w:rsid w:val="0039586C"/>
    <w:rsid w:val="003958FE"/>
    <w:rsid w:val="00395978"/>
    <w:rsid w:val="00395B06"/>
    <w:rsid w:val="00395DFD"/>
    <w:rsid w:val="00395EAB"/>
    <w:rsid w:val="00395F17"/>
    <w:rsid w:val="0039608D"/>
    <w:rsid w:val="0039638B"/>
    <w:rsid w:val="0039647F"/>
    <w:rsid w:val="0039665E"/>
    <w:rsid w:val="00396CED"/>
    <w:rsid w:val="00396D74"/>
    <w:rsid w:val="00396E66"/>
    <w:rsid w:val="00396F2C"/>
    <w:rsid w:val="00396F9B"/>
    <w:rsid w:val="0039700B"/>
    <w:rsid w:val="003970EA"/>
    <w:rsid w:val="0039715B"/>
    <w:rsid w:val="00397199"/>
    <w:rsid w:val="00397340"/>
    <w:rsid w:val="00397801"/>
    <w:rsid w:val="0039783E"/>
    <w:rsid w:val="00397956"/>
    <w:rsid w:val="003979BD"/>
    <w:rsid w:val="00397A12"/>
    <w:rsid w:val="00397AB8"/>
    <w:rsid w:val="00397AC2"/>
    <w:rsid w:val="00397EDA"/>
    <w:rsid w:val="00397F79"/>
    <w:rsid w:val="00397FB0"/>
    <w:rsid w:val="003A00B1"/>
    <w:rsid w:val="003A0135"/>
    <w:rsid w:val="003A0295"/>
    <w:rsid w:val="003A0695"/>
    <w:rsid w:val="003A0703"/>
    <w:rsid w:val="003A0704"/>
    <w:rsid w:val="003A08FC"/>
    <w:rsid w:val="003A09CF"/>
    <w:rsid w:val="003A0ADF"/>
    <w:rsid w:val="003A0B6A"/>
    <w:rsid w:val="003A0B9B"/>
    <w:rsid w:val="003A0D61"/>
    <w:rsid w:val="003A0F52"/>
    <w:rsid w:val="003A10A3"/>
    <w:rsid w:val="003A10CA"/>
    <w:rsid w:val="003A11D7"/>
    <w:rsid w:val="003A15F9"/>
    <w:rsid w:val="003A1694"/>
    <w:rsid w:val="003A18A4"/>
    <w:rsid w:val="003A1920"/>
    <w:rsid w:val="003A1D5A"/>
    <w:rsid w:val="003A1F74"/>
    <w:rsid w:val="003A1FFA"/>
    <w:rsid w:val="003A2025"/>
    <w:rsid w:val="003A204E"/>
    <w:rsid w:val="003A2098"/>
    <w:rsid w:val="003A229A"/>
    <w:rsid w:val="003A2351"/>
    <w:rsid w:val="003A24EF"/>
    <w:rsid w:val="003A25B4"/>
    <w:rsid w:val="003A273D"/>
    <w:rsid w:val="003A274B"/>
    <w:rsid w:val="003A275C"/>
    <w:rsid w:val="003A2B3F"/>
    <w:rsid w:val="003A2D3E"/>
    <w:rsid w:val="003A2E1A"/>
    <w:rsid w:val="003A2EAA"/>
    <w:rsid w:val="003A2F71"/>
    <w:rsid w:val="003A30ED"/>
    <w:rsid w:val="003A362E"/>
    <w:rsid w:val="003A3816"/>
    <w:rsid w:val="003A3D19"/>
    <w:rsid w:val="003A4099"/>
    <w:rsid w:val="003A44EE"/>
    <w:rsid w:val="003A451E"/>
    <w:rsid w:val="003A474D"/>
    <w:rsid w:val="003A479D"/>
    <w:rsid w:val="003A498D"/>
    <w:rsid w:val="003A4A46"/>
    <w:rsid w:val="003A4E05"/>
    <w:rsid w:val="003A4EF2"/>
    <w:rsid w:val="003A509C"/>
    <w:rsid w:val="003A518F"/>
    <w:rsid w:val="003A5194"/>
    <w:rsid w:val="003A524D"/>
    <w:rsid w:val="003A530A"/>
    <w:rsid w:val="003A5444"/>
    <w:rsid w:val="003A5764"/>
    <w:rsid w:val="003A5CC9"/>
    <w:rsid w:val="003A5E3B"/>
    <w:rsid w:val="003A5E3E"/>
    <w:rsid w:val="003A5ED5"/>
    <w:rsid w:val="003A5F8A"/>
    <w:rsid w:val="003A61DC"/>
    <w:rsid w:val="003A62CD"/>
    <w:rsid w:val="003A6399"/>
    <w:rsid w:val="003A64A4"/>
    <w:rsid w:val="003A6757"/>
    <w:rsid w:val="003A6760"/>
    <w:rsid w:val="003A68DB"/>
    <w:rsid w:val="003A68E7"/>
    <w:rsid w:val="003A691A"/>
    <w:rsid w:val="003A6ACE"/>
    <w:rsid w:val="003A6B40"/>
    <w:rsid w:val="003A6BA7"/>
    <w:rsid w:val="003A70D1"/>
    <w:rsid w:val="003A7221"/>
    <w:rsid w:val="003A743E"/>
    <w:rsid w:val="003A757A"/>
    <w:rsid w:val="003A7792"/>
    <w:rsid w:val="003A7A4A"/>
    <w:rsid w:val="003A7ADE"/>
    <w:rsid w:val="003A7B16"/>
    <w:rsid w:val="003A7CD0"/>
    <w:rsid w:val="003A7ECC"/>
    <w:rsid w:val="003B00D4"/>
    <w:rsid w:val="003B0147"/>
    <w:rsid w:val="003B0660"/>
    <w:rsid w:val="003B0A70"/>
    <w:rsid w:val="003B0DF0"/>
    <w:rsid w:val="003B0FF1"/>
    <w:rsid w:val="003B1061"/>
    <w:rsid w:val="003B1084"/>
    <w:rsid w:val="003B131C"/>
    <w:rsid w:val="003B19C0"/>
    <w:rsid w:val="003B1B55"/>
    <w:rsid w:val="003B225F"/>
    <w:rsid w:val="003B2322"/>
    <w:rsid w:val="003B23BB"/>
    <w:rsid w:val="003B2774"/>
    <w:rsid w:val="003B29FC"/>
    <w:rsid w:val="003B2A34"/>
    <w:rsid w:val="003B2C99"/>
    <w:rsid w:val="003B2E48"/>
    <w:rsid w:val="003B30D5"/>
    <w:rsid w:val="003B3404"/>
    <w:rsid w:val="003B3458"/>
    <w:rsid w:val="003B3619"/>
    <w:rsid w:val="003B3889"/>
    <w:rsid w:val="003B38E9"/>
    <w:rsid w:val="003B397A"/>
    <w:rsid w:val="003B399B"/>
    <w:rsid w:val="003B3A2E"/>
    <w:rsid w:val="003B3FBC"/>
    <w:rsid w:val="003B407C"/>
    <w:rsid w:val="003B425C"/>
    <w:rsid w:val="003B45A2"/>
    <w:rsid w:val="003B4640"/>
    <w:rsid w:val="003B485A"/>
    <w:rsid w:val="003B4CB2"/>
    <w:rsid w:val="003B4DDE"/>
    <w:rsid w:val="003B4F41"/>
    <w:rsid w:val="003B5123"/>
    <w:rsid w:val="003B513B"/>
    <w:rsid w:val="003B5367"/>
    <w:rsid w:val="003B5394"/>
    <w:rsid w:val="003B5448"/>
    <w:rsid w:val="003B5497"/>
    <w:rsid w:val="003B552B"/>
    <w:rsid w:val="003B5B9F"/>
    <w:rsid w:val="003B5C2D"/>
    <w:rsid w:val="003B5D58"/>
    <w:rsid w:val="003B618B"/>
    <w:rsid w:val="003B64BD"/>
    <w:rsid w:val="003B6521"/>
    <w:rsid w:val="003B67E5"/>
    <w:rsid w:val="003B69C3"/>
    <w:rsid w:val="003B6A9B"/>
    <w:rsid w:val="003B6C26"/>
    <w:rsid w:val="003B6E2C"/>
    <w:rsid w:val="003B6FD8"/>
    <w:rsid w:val="003B7320"/>
    <w:rsid w:val="003B7552"/>
    <w:rsid w:val="003B7612"/>
    <w:rsid w:val="003B7C3C"/>
    <w:rsid w:val="003B7DB1"/>
    <w:rsid w:val="003B7F00"/>
    <w:rsid w:val="003C004F"/>
    <w:rsid w:val="003C01D4"/>
    <w:rsid w:val="003C026B"/>
    <w:rsid w:val="003C02EB"/>
    <w:rsid w:val="003C06B6"/>
    <w:rsid w:val="003C084C"/>
    <w:rsid w:val="003C0E4A"/>
    <w:rsid w:val="003C0EE9"/>
    <w:rsid w:val="003C1163"/>
    <w:rsid w:val="003C11BF"/>
    <w:rsid w:val="003C1200"/>
    <w:rsid w:val="003C1210"/>
    <w:rsid w:val="003C15C5"/>
    <w:rsid w:val="003C1AEA"/>
    <w:rsid w:val="003C1BAD"/>
    <w:rsid w:val="003C1C11"/>
    <w:rsid w:val="003C1D2A"/>
    <w:rsid w:val="003C1D3E"/>
    <w:rsid w:val="003C1D5D"/>
    <w:rsid w:val="003C210A"/>
    <w:rsid w:val="003C214D"/>
    <w:rsid w:val="003C21DB"/>
    <w:rsid w:val="003C2409"/>
    <w:rsid w:val="003C24CA"/>
    <w:rsid w:val="003C2551"/>
    <w:rsid w:val="003C26F3"/>
    <w:rsid w:val="003C286E"/>
    <w:rsid w:val="003C2CC3"/>
    <w:rsid w:val="003C2DEA"/>
    <w:rsid w:val="003C2E8A"/>
    <w:rsid w:val="003C3039"/>
    <w:rsid w:val="003C332F"/>
    <w:rsid w:val="003C359F"/>
    <w:rsid w:val="003C36A0"/>
    <w:rsid w:val="003C374E"/>
    <w:rsid w:val="003C38B3"/>
    <w:rsid w:val="003C3AAB"/>
    <w:rsid w:val="003C3BDB"/>
    <w:rsid w:val="003C4019"/>
    <w:rsid w:val="003C44B6"/>
    <w:rsid w:val="003C462E"/>
    <w:rsid w:val="003C479C"/>
    <w:rsid w:val="003C47A1"/>
    <w:rsid w:val="003C47B9"/>
    <w:rsid w:val="003C48CA"/>
    <w:rsid w:val="003C4A5D"/>
    <w:rsid w:val="003C4A6F"/>
    <w:rsid w:val="003C4D97"/>
    <w:rsid w:val="003C4E09"/>
    <w:rsid w:val="003C4E3B"/>
    <w:rsid w:val="003C4EEE"/>
    <w:rsid w:val="003C5064"/>
    <w:rsid w:val="003C5206"/>
    <w:rsid w:val="003C53EE"/>
    <w:rsid w:val="003C5455"/>
    <w:rsid w:val="003C56A0"/>
    <w:rsid w:val="003C5908"/>
    <w:rsid w:val="003C5AD9"/>
    <w:rsid w:val="003C5B46"/>
    <w:rsid w:val="003C5DAF"/>
    <w:rsid w:val="003C6227"/>
    <w:rsid w:val="003C6758"/>
    <w:rsid w:val="003C67AD"/>
    <w:rsid w:val="003C6829"/>
    <w:rsid w:val="003C68DA"/>
    <w:rsid w:val="003C6996"/>
    <w:rsid w:val="003C699C"/>
    <w:rsid w:val="003C69BF"/>
    <w:rsid w:val="003C7060"/>
    <w:rsid w:val="003C7134"/>
    <w:rsid w:val="003C71C0"/>
    <w:rsid w:val="003C721C"/>
    <w:rsid w:val="003C7308"/>
    <w:rsid w:val="003C74B1"/>
    <w:rsid w:val="003C77BD"/>
    <w:rsid w:val="003C77C9"/>
    <w:rsid w:val="003C78FB"/>
    <w:rsid w:val="003C7A47"/>
    <w:rsid w:val="003C7C79"/>
    <w:rsid w:val="003C7D90"/>
    <w:rsid w:val="003C7F69"/>
    <w:rsid w:val="003C7FA7"/>
    <w:rsid w:val="003D0055"/>
    <w:rsid w:val="003D01A3"/>
    <w:rsid w:val="003D056B"/>
    <w:rsid w:val="003D09EE"/>
    <w:rsid w:val="003D0C13"/>
    <w:rsid w:val="003D0CF7"/>
    <w:rsid w:val="003D0DEA"/>
    <w:rsid w:val="003D0E7D"/>
    <w:rsid w:val="003D0F82"/>
    <w:rsid w:val="003D11DC"/>
    <w:rsid w:val="003D13EF"/>
    <w:rsid w:val="003D1406"/>
    <w:rsid w:val="003D16C7"/>
    <w:rsid w:val="003D1736"/>
    <w:rsid w:val="003D182A"/>
    <w:rsid w:val="003D1841"/>
    <w:rsid w:val="003D1935"/>
    <w:rsid w:val="003D1A15"/>
    <w:rsid w:val="003D2155"/>
    <w:rsid w:val="003D223E"/>
    <w:rsid w:val="003D23A3"/>
    <w:rsid w:val="003D256A"/>
    <w:rsid w:val="003D27FD"/>
    <w:rsid w:val="003D2CC2"/>
    <w:rsid w:val="003D2D4E"/>
    <w:rsid w:val="003D2E42"/>
    <w:rsid w:val="003D2EF9"/>
    <w:rsid w:val="003D340D"/>
    <w:rsid w:val="003D345C"/>
    <w:rsid w:val="003D390A"/>
    <w:rsid w:val="003D3A50"/>
    <w:rsid w:val="003D3B90"/>
    <w:rsid w:val="003D3BBB"/>
    <w:rsid w:val="003D3D5F"/>
    <w:rsid w:val="003D3E30"/>
    <w:rsid w:val="003D3F3C"/>
    <w:rsid w:val="003D4074"/>
    <w:rsid w:val="003D40F2"/>
    <w:rsid w:val="003D42B1"/>
    <w:rsid w:val="003D4359"/>
    <w:rsid w:val="003D4537"/>
    <w:rsid w:val="003D4647"/>
    <w:rsid w:val="003D47BB"/>
    <w:rsid w:val="003D4A83"/>
    <w:rsid w:val="003D4C86"/>
    <w:rsid w:val="003D4FF4"/>
    <w:rsid w:val="003D527E"/>
    <w:rsid w:val="003D5283"/>
    <w:rsid w:val="003D530C"/>
    <w:rsid w:val="003D538C"/>
    <w:rsid w:val="003D54CB"/>
    <w:rsid w:val="003D5587"/>
    <w:rsid w:val="003D5726"/>
    <w:rsid w:val="003D5777"/>
    <w:rsid w:val="003D5856"/>
    <w:rsid w:val="003D58A5"/>
    <w:rsid w:val="003D5B29"/>
    <w:rsid w:val="003D5B3C"/>
    <w:rsid w:val="003D5E6F"/>
    <w:rsid w:val="003D66AA"/>
    <w:rsid w:val="003D688A"/>
    <w:rsid w:val="003D6919"/>
    <w:rsid w:val="003D6BE5"/>
    <w:rsid w:val="003D7186"/>
    <w:rsid w:val="003D71D0"/>
    <w:rsid w:val="003D73E8"/>
    <w:rsid w:val="003D741F"/>
    <w:rsid w:val="003D7591"/>
    <w:rsid w:val="003D75F5"/>
    <w:rsid w:val="003D77C7"/>
    <w:rsid w:val="003D7BE3"/>
    <w:rsid w:val="003D7DF3"/>
    <w:rsid w:val="003D7E3B"/>
    <w:rsid w:val="003E0345"/>
    <w:rsid w:val="003E036F"/>
    <w:rsid w:val="003E03D1"/>
    <w:rsid w:val="003E03EF"/>
    <w:rsid w:val="003E048F"/>
    <w:rsid w:val="003E04DE"/>
    <w:rsid w:val="003E06EB"/>
    <w:rsid w:val="003E088D"/>
    <w:rsid w:val="003E08EC"/>
    <w:rsid w:val="003E0C57"/>
    <w:rsid w:val="003E0D4E"/>
    <w:rsid w:val="003E0FCF"/>
    <w:rsid w:val="003E10BC"/>
    <w:rsid w:val="003E111B"/>
    <w:rsid w:val="003E12F5"/>
    <w:rsid w:val="003E1450"/>
    <w:rsid w:val="003E145B"/>
    <w:rsid w:val="003E15E1"/>
    <w:rsid w:val="003E1950"/>
    <w:rsid w:val="003E1BAC"/>
    <w:rsid w:val="003E1E92"/>
    <w:rsid w:val="003E226B"/>
    <w:rsid w:val="003E2271"/>
    <w:rsid w:val="003E238C"/>
    <w:rsid w:val="003E23F5"/>
    <w:rsid w:val="003E25A0"/>
    <w:rsid w:val="003E2688"/>
    <w:rsid w:val="003E26AE"/>
    <w:rsid w:val="003E26E6"/>
    <w:rsid w:val="003E27A6"/>
    <w:rsid w:val="003E2B8F"/>
    <w:rsid w:val="003E2BCF"/>
    <w:rsid w:val="003E2D56"/>
    <w:rsid w:val="003E2EFA"/>
    <w:rsid w:val="003E2F35"/>
    <w:rsid w:val="003E314B"/>
    <w:rsid w:val="003E3261"/>
    <w:rsid w:val="003E3578"/>
    <w:rsid w:val="003E364D"/>
    <w:rsid w:val="003E3841"/>
    <w:rsid w:val="003E3C20"/>
    <w:rsid w:val="003E3E43"/>
    <w:rsid w:val="003E3FC6"/>
    <w:rsid w:val="003E403D"/>
    <w:rsid w:val="003E4202"/>
    <w:rsid w:val="003E4639"/>
    <w:rsid w:val="003E4737"/>
    <w:rsid w:val="003E4AC6"/>
    <w:rsid w:val="003E4B51"/>
    <w:rsid w:val="003E4BB3"/>
    <w:rsid w:val="003E4D00"/>
    <w:rsid w:val="003E4DB7"/>
    <w:rsid w:val="003E50E2"/>
    <w:rsid w:val="003E516C"/>
    <w:rsid w:val="003E5260"/>
    <w:rsid w:val="003E55C6"/>
    <w:rsid w:val="003E56E8"/>
    <w:rsid w:val="003E5845"/>
    <w:rsid w:val="003E5D39"/>
    <w:rsid w:val="003E5F94"/>
    <w:rsid w:val="003E6055"/>
    <w:rsid w:val="003E607D"/>
    <w:rsid w:val="003E6090"/>
    <w:rsid w:val="003E629B"/>
    <w:rsid w:val="003E634E"/>
    <w:rsid w:val="003E661D"/>
    <w:rsid w:val="003E724B"/>
    <w:rsid w:val="003E72DE"/>
    <w:rsid w:val="003E75B5"/>
    <w:rsid w:val="003E769E"/>
    <w:rsid w:val="003E79FD"/>
    <w:rsid w:val="003E7B50"/>
    <w:rsid w:val="003E7BDD"/>
    <w:rsid w:val="003E7DE4"/>
    <w:rsid w:val="003F00BA"/>
    <w:rsid w:val="003F025A"/>
    <w:rsid w:val="003F04B6"/>
    <w:rsid w:val="003F0705"/>
    <w:rsid w:val="003F095E"/>
    <w:rsid w:val="003F0B1A"/>
    <w:rsid w:val="003F0B88"/>
    <w:rsid w:val="003F0C03"/>
    <w:rsid w:val="003F0F83"/>
    <w:rsid w:val="003F1018"/>
    <w:rsid w:val="003F12B4"/>
    <w:rsid w:val="003F138A"/>
    <w:rsid w:val="003F1616"/>
    <w:rsid w:val="003F17DB"/>
    <w:rsid w:val="003F1913"/>
    <w:rsid w:val="003F1B13"/>
    <w:rsid w:val="003F1F96"/>
    <w:rsid w:val="003F1FD3"/>
    <w:rsid w:val="003F2051"/>
    <w:rsid w:val="003F2402"/>
    <w:rsid w:val="003F2408"/>
    <w:rsid w:val="003F2490"/>
    <w:rsid w:val="003F28EF"/>
    <w:rsid w:val="003F2B5A"/>
    <w:rsid w:val="003F2C16"/>
    <w:rsid w:val="003F2D2A"/>
    <w:rsid w:val="003F2EA5"/>
    <w:rsid w:val="003F2F56"/>
    <w:rsid w:val="003F306E"/>
    <w:rsid w:val="003F30C1"/>
    <w:rsid w:val="003F32F6"/>
    <w:rsid w:val="003F3336"/>
    <w:rsid w:val="003F33FE"/>
    <w:rsid w:val="003F3402"/>
    <w:rsid w:val="003F38B0"/>
    <w:rsid w:val="003F396B"/>
    <w:rsid w:val="003F3A25"/>
    <w:rsid w:val="003F3A31"/>
    <w:rsid w:val="003F4424"/>
    <w:rsid w:val="003F484D"/>
    <w:rsid w:val="003F48C3"/>
    <w:rsid w:val="003F492C"/>
    <w:rsid w:val="003F4D54"/>
    <w:rsid w:val="003F4DAF"/>
    <w:rsid w:val="003F4DD7"/>
    <w:rsid w:val="003F4E9A"/>
    <w:rsid w:val="003F4EE1"/>
    <w:rsid w:val="003F561B"/>
    <w:rsid w:val="003F5A18"/>
    <w:rsid w:val="003F5A1D"/>
    <w:rsid w:val="003F5BEE"/>
    <w:rsid w:val="003F5C9B"/>
    <w:rsid w:val="003F5D15"/>
    <w:rsid w:val="003F5FA5"/>
    <w:rsid w:val="003F60E6"/>
    <w:rsid w:val="003F61D2"/>
    <w:rsid w:val="003F6226"/>
    <w:rsid w:val="003F6456"/>
    <w:rsid w:val="003F647E"/>
    <w:rsid w:val="003F657B"/>
    <w:rsid w:val="003F67C3"/>
    <w:rsid w:val="003F6E24"/>
    <w:rsid w:val="003F6ED8"/>
    <w:rsid w:val="003F6F1A"/>
    <w:rsid w:val="003F6F4A"/>
    <w:rsid w:val="003F7010"/>
    <w:rsid w:val="003F71E8"/>
    <w:rsid w:val="003F7222"/>
    <w:rsid w:val="003F7419"/>
    <w:rsid w:val="003F7621"/>
    <w:rsid w:val="003F7695"/>
    <w:rsid w:val="003F780C"/>
    <w:rsid w:val="003F78D2"/>
    <w:rsid w:val="003F7A54"/>
    <w:rsid w:val="003F7BB7"/>
    <w:rsid w:val="003F7BE8"/>
    <w:rsid w:val="003F7CE7"/>
    <w:rsid w:val="003F7D8F"/>
    <w:rsid w:val="004002CD"/>
    <w:rsid w:val="0040056F"/>
    <w:rsid w:val="0040060F"/>
    <w:rsid w:val="004007EF"/>
    <w:rsid w:val="00400874"/>
    <w:rsid w:val="004009E3"/>
    <w:rsid w:val="00400A58"/>
    <w:rsid w:val="00400BBF"/>
    <w:rsid w:val="00400BC7"/>
    <w:rsid w:val="00400E2B"/>
    <w:rsid w:val="00400E44"/>
    <w:rsid w:val="0040110C"/>
    <w:rsid w:val="00401839"/>
    <w:rsid w:val="0040190A"/>
    <w:rsid w:val="00401A1E"/>
    <w:rsid w:val="00401B39"/>
    <w:rsid w:val="00401C44"/>
    <w:rsid w:val="00401CDD"/>
    <w:rsid w:val="00401D17"/>
    <w:rsid w:val="00401DF4"/>
    <w:rsid w:val="00401F97"/>
    <w:rsid w:val="004020E9"/>
    <w:rsid w:val="0040211C"/>
    <w:rsid w:val="00402160"/>
    <w:rsid w:val="00402198"/>
    <w:rsid w:val="0040224F"/>
    <w:rsid w:val="0040249B"/>
    <w:rsid w:val="004025E7"/>
    <w:rsid w:val="004026EA"/>
    <w:rsid w:val="00402A2B"/>
    <w:rsid w:val="00402A32"/>
    <w:rsid w:val="00402C83"/>
    <w:rsid w:val="00402CD9"/>
    <w:rsid w:val="00402D5A"/>
    <w:rsid w:val="00402DC9"/>
    <w:rsid w:val="00402E2B"/>
    <w:rsid w:val="00402E65"/>
    <w:rsid w:val="00403155"/>
    <w:rsid w:val="004031EC"/>
    <w:rsid w:val="004034D0"/>
    <w:rsid w:val="004035E8"/>
    <w:rsid w:val="00403754"/>
    <w:rsid w:val="004038B4"/>
    <w:rsid w:val="0040399B"/>
    <w:rsid w:val="00403A7E"/>
    <w:rsid w:val="00403CB1"/>
    <w:rsid w:val="00403D59"/>
    <w:rsid w:val="00403E43"/>
    <w:rsid w:val="00403EA8"/>
    <w:rsid w:val="00403EED"/>
    <w:rsid w:val="00403FCB"/>
    <w:rsid w:val="0040425E"/>
    <w:rsid w:val="004047D2"/>
    <w:rsid w:val="00404932"/>
    <w:rsid w:val="00404A79"/>
    <w:rsid w:val="00404B15"/>
    <w:rsid w:val="00404E13"/>
    <w:rsid w:val="00404E4F"/>
    <w:rsid w:val="00404E5A"/>
    <w:rsid w:val="00404FC7"/>
    <w:rsid w:val="004052FC"/>
    <w:rsid w:val="004053A3"/>
    <w:rsid w:val="0040561A"/>
    <w:rsid w:val="0040561E"/>
    <w:rsid w:val="00405A1A"/>
    <w:rsid w:val="00405C07"/>
    <w:rsid w:val="004062CC"/>
    <w:rsid w:val="00406418"/>
    <w:rsid w:val="004064F7"/>
    <w:rsid w:val="004065F7"/>
    <w:rsid w:val="00406733"/>
    <w:rsid w:val="00406EC5"/>
    <w:rsid w:val="004070D9"/>
    <w:rsid w:val="00407516"/>
    <w:rsid w:val="0040774E"/>
    <w:rsid w:val="00407A55"/>
    <w:rsid w:val="00407ABB"/>
    <w:rsid w:val="00407B31"/>
    <w:rsid w:val="00407B3F"/>
    <w:rsid w:val="00407BD0"/>
    <w:rsid w:val="00407D98"/>
    <w:rsid w:val="00410013"/>
    <w:rsid w:val="00410296"/>
    <w:rsid w:val="00410639"/>
    <w:rsid w:val="004106B7"/>
    <w:rsid w:val="00410738"/>
    <w:rsid w:val="00410743"/>
    <w:rsid w:val="00410B41"/>
    <w:rsid w:val="00410E4C"/>
    <w:rsid w:val="00410F14"/>
    <w:rsid w:val="004110C3"/>
    <w:rsid w:val="00411188"/>
    <w:rsid w:val="004111BF"/>
    <w:rsid w:val="00411604"/>
    <w:rsid w:val="00411C00"/>
    <w:rsid w:val="00411C88"/>
    <w:rsid w:val="00411CE3"/>
    <w:rsid w:val="00411D18"/>
    <w:rsid w:val="00411DC6"/>
    <w:rsid w:val="00411E27"/>
    <w:rsid w:val="00411EA2"/>
    <w:rsid w:val="004120E9"/>
    <w:rsid w:val="004122B7"/>
    <w:rsid w:val="00412396"/>
    <w:rsid w:val="004125BD"/>
    <w:rsid w:val="004127FA"/>
    <w:rsid w:val="0041282B"/>
    <w:rsid w:val="00412A1D"/>
    <w:rsid w:val="00412B11"/>
    <w:rsid w:val="00413138"/>
    <w:rsid w:val="004132DC"/>
    <w:rsid w:val="004132F7"/>
    <w:rsid w:val="00413A55"/>
    <w:rsid w:val="00413BEC"/>
    <w:rsid w:val="00413DDC"/>
    <w:rsid w:val="00413DE6"/>
    <w:rsid w:val="00413E21"/>
    <w:rsid w:val="00413E72"/>
    <w:rsid w:val="004140B1"/>
    <w:rsid w:val="004144A9"/>
    <w:rsid w:val="0041494C"/>
    <w:rsid w:val="00414950"/>
    <w:rsid w:val="00414CA6"/>
    <w:rsid w:val="00414D88"/>
    <w:rsid w:val="00414DBE"/>
    <w:rsid w:val="0041508E"/>
    <w:rsid w:val="00415393"/>
    <w:rsid w:val="0041578C"/>
    <w:rsid w:val="00415833"/>
    <w:rsid w:val="00415871"/>
    <w:rsid w:val="004158F5"/>
    <w:rsid w:val="00415A0E"/>
    <w:rsid w:val="00415CE3"/>
    <w:rsid w:val="00415D4F"/>
    <w:rsid w:val="00415DA3"/>
    <w:rsid w:val="00415ED1"/>
    <w:rsid w:val="00415EFB"/>
    <w:rsid w:val="004160F8"/>
    <w:rsid w:val="00416178"/>
    <w:rsid w:val="004161E3"/>
    <w:rsid w:val="0041644B"/>
    <w:rsid w:val="00416508"/>
    <w:rsid w:val="00416631"/>
    <w:rsid w:val="0041664D"/>
    <w:rsid w:val="00416949"/>
    <w:rsid w:val="00416A1B"/>
    <w:rsid w:val="00416A35"/>
    <w:rsid w:val="00416A6C"/>
    <w:rsid w:val="00416C9E"/>
    <w:rsid w:val="00416DBE"/>
    <w:rsid w:val="00417065"/>
    <w:rsid w:val="0041744A"/>
    <w:rsid w:val="0041751E"/>
    <w:rsid w:val="00417602"/>
    <w:rsid w:val="00417690"/>
    <w:rsid w:val="00417798"/>
    <w:rsid w:val="00417A2A"/>
    <w:rsid w:val="00417A3E"/>
    <w:rsid w:val="00417AF6"/>
    <w:rsid w:val="00417BE3"/>
    <w:rsid w:val="00417C56"/>
    <w:rsid w:val="00417C8A"/>
    <w:rsid w:val="00417C90"/>
    <w:rsid w:val="00417CDB"/>
    <w:rsid w:val="00417F75"/>
    <w:rsid w:val="00420077"/>
    <w:rsid w:val="0042012C"/>
    <w:rsid w:val="004201F8"/>
    <w:rsid w:val="004202CD"/>
    <w:rsid w:val="004202E5"/>
    <w:rsid w:val="00420348"/>
    <w:rsid w:val="0042044A"/>
    <w:rsid w:val="004204A3"/>
    <w:rsid w:val="0042073C"/>
    <w:rsid w:val="004207D0"/>
    <w:rsid w:val="004209D7"/>
    <w:rsid w:val="00420C63"/>
    <w:rsid w:val="00420F0E"/>
    <w:rsid w:val="0042128A"/>
    <w:rsid w:val="00421354"/>
    <w:rsid w:val="0042138E"/>
    <w:rsid w:val="0042151F"/>
    <w:rsid w:val="0042155F"/>
    <w:rsid w:val="00421636"/>
    <w:rsid w:val="00421762"/>
    <w:rsid w:val="00421B37"/>
    <w:rsid w:val="00421BE9"/>
    <w:rsid w:val="00421C05"/>
    <w:rsid w:val="00421DCA"/>
    <w:rsid w:val="0042262C"/>
    <w:rsid w:val="0042272C"/>
    <w:rsid w:val="004227AA"/>
    <w:rsid w:val="00422881"/>
    <w:rsid w:val="00422A6A"/>
    <w:rsid w:val="004231A1"/>
    <w:rsid w:val="00423285"/>
    <w:rsid w:val="004232D7"/>
    <w:rsid w:val="0042339A"/>
    <w:rsid w:val="0042378B"/>
    <w:rsid w:val="004239A9"/>
    <w:rsid w:val="00423B15"/>
    <w:rsid w:val="00423BDC"/>
    <w:rsid w:val="00423D0B"/>
    <w:rsid w:val="00423D14"/>
    <w:rsid w:val="00423F2E"/>
    <w:rsid w:val="00423FDE"/>
    <w:rsid w:val="00424100"/>
    <w:rsid w:val="00424119"/>
    <w:rsid w:val="00424141"/>
    <w:rsid w:val="004243B0"/>
    <w:rsid w:val="004244E9"/>
    <w:rsid w:val="004246F6"/>
    <w:rsid w:val="0042477C"/>
    <w:rsid w:val="004249EE"/>
    <w:rsid w:val="00424A02"/>
    <w:rsid w:val="00424A65"/>
    <w:rsid w:val="00424AC0"/>
    <w:rsid w:val="00424B78"/>
    <w:rsid w:val="00424CB8"/>
    <w:rsid w:val="00424D8A"/>
    <w:rsid w:val="0042508F"/>
    <w:rsid w:val="00425249"/>
    <w:rsid w:val="004252AF"/>
    <w:rsid w:val="00425435"/>
    <w:rsid w:val="004255F3"/>
    <w:rsid w:val="00425752"/>
    <w:rsid w:val="00425761"/>
    <w:rsid w:val="00425910"/>
    <w:rsid w:val="00425E5E"/>
    <w:rsid w:val="004264FC"/>
    <w:rsid w:val="004266AE"/>
    <w:rsid w:val="004266C0"/>
    <w:rsid w:val="00426735"/>
    <w:rsid w:val="00426992"/>
    <w:rsid w:val="00426CA0"/>
    <w:rsid w:val="00426FC5"/>
    <w:rsid w:val="0042711A"/>
    <w:rsid w:val="00427202"/>
    <w:rsid w:val="004272CB"/>
    <w:rsid w:val="004273DB"/>
    <w:rsid w:val="00427568"/>
    <w:rsid w:val="004275EC"/>
    <w:rsid w:val="00427824"/>
    <w:rsid w:val="004278A0"/>
    <w:rsid w:val="00427FBA"/>
    <w:rsid w:val="00427FE3"/>
    <w:rsid w:val="0043001B"/>
    <w:rsid w:val="00430062"/>
    <w:rsid w:val="004300B4"/>
    <w:rsid w:val="004300EE"/>
    <w:rsid w:val="00430150"/>
    <w:rsid w:val="0043017E"/>
    <w:rsid w:val="0043038F"/>
    <w:rsid w:val="00430649"/>
    <w:rsid w:val="004307EB"/>
    <w:rsid w:val="00430857"/>
    <w:rsid w:val="00430ADC"/>
    <w:rsid w:val="00430E25"/>
    <w:rsid w:val="00430EE1"/>
    <w:rsid w:val="0043136B"/>
    <w:rsid w:val="00431739"/>
    <w:rsid w:val="0043180F"/>
    <w:rsid w:val="004318C5"/>
    <w:rsid w:val="004318F3"/>
    <w:rsid w:val="0043190B"/>
    <w:rsid w:val="00431915"/>
    <w:rsid w:val="00431A6A"/>
    <w:rsid w:val="00431BF2"/>
    <w:rsid w:val="00431D2F"/>
    <w:rsid w:val="00431D69"/>
    <w:rsid w:val="00431D73"/>
    <w:rsid w:val="00431E81"/>
    <w:rsid w:val="00431F45"/>
    <w:rsid w:val="00432299"/>
    <w:rsid w:val="004322E2"/>
    <w:rsid w:val="00432592"/>
    <w:rsid w:val="004325C9"/>
    <w:rsid w:val="004327FB"/>
    <w:rsid w:val="004328DE"/>
    <w:rsid w:val="004328E0"/>
    <w:rsid w:val="00432A1B"/>
    <w:rsid w:val="00432B18"/>
    <w:rsid w:val="00432E9B"/>
    <w:rsid w:val="00432FE1"/>
    <w:rsid w:val="004331DF"/>
    <w:rsid w:val="00433256"/>
    <w:rsid w:val="0043326D"/>
    <w:rsid w:val="004332FD"/>
    <w:rsid w:val="0043332E"/>
    <w:rsid w:val="00433586"/>
    <w:rsid w:val="004336E4"/>
    <w:rsid w:val="00433992"/>
    <w:rsid w:val="004339FC"/>
    <w:rsid w:val="00433A44"/>
    <w:rsid w:val="00433B2E"/>
    <w:rsid w:val="00433BD1"/>
    <w:rsid w:val="00433CD0"/>
    <w:rsid w:val="00433E91"/>
    <w:rsid w:val="00433F85"/>
    <w:rsid w:val="00433FE9"/>
    <w:rsid w:val="00434140"/>
    <w:rsid w:val="004344A2"/>
    <w:rsid w:val="00434625"/>
    <w:rsid w:val="0043484F"/>
    <w:rsid w:val="004348EA"/>
    <w:rsid w:val="00434992"/>
    <w:rsid w:val="004349A9"/>
    <w:rsid w:val="00434A05"/>
    <w:rsid w:val="00434AC8"/>
    <w:rsid w:val="00434B15"/>
    <w:rsid w:val="00434B40"/>
    <w:rsid w:val="00434DB9"/>
    <w:rsid w:val="00435006"/>
    <w:rsid w:val="00435170"/>
    <w:rsid w:val="004352C9"/>
    <w:rsid w:val="004353EC"/>
    <w:rsid w:val="004353F6"/>
    <w:rsid w:val="00435557"/>
    <w:rsid w:val="00435902"/>
    <w:rsid w:val="00435A70"/>
    <w:rsid w:val="00435A7B"/>
    <w:rsid w:val="00435BB8"/>
    <w:rsid w:val="00435CA4"/>
    <w:rsid w:val="00435CFB"/>
    <w:rsid w:val="00435D67"/>
    <w:rsid w:val="00435DA9"/>
    <w:rsid w:val="0043622A"/>
    <w:rsid w:val="00436398"/>
    <w:rsid w:val="0043651D"/>
    <w:rsid w:val="004365A9"/>
    <w:rsid w:val="004367EC"/>
    <w:rsid w:val="00436AF1"/>
    <w:rsid w:val="00436C7F"/>
    <w:rsid w:val="00436FDE"/>
    <w:rsid w:val="00437120"/>
    <w:rsid w:val="00437329"/>
    <w:rsid w:val="004376EB"/>
    <w:rsid w:val="0043776B"/>
    <w:rsid w:val="00437978"/>
    <w:rsid w:val="004379C2"/>
    <w:rsid w:val="00437D9F"/>
    <w:rsid w:val="00437E89"/>
    <w:rsid w:val="004400A0"/>
    <w:rsid w:val="004400E8"/>
    <w:rsid w:val="00440152"/>
    <w:rsid w:val="00440217"/>
    <w:rsid w:val="00440B16"/>
    <w:rsid w:val="00440D32"/>
    <w:rsid w:val="00440DC7"/>
    <w:rsid w:val="00440E4B"/>
    <w:rsid w:val="00440F34"/>
    <w:rsid w:val="00440FBD"/>
    <w:rsid w:val="0044100E"/>
    <w:rsid w:val="00441272"/>
    <w:rsid w:val="00441375"/>
    <w:rsid w:val="004414A3"/>
    <w:rsid w:val="0044155B"/>
    <w:rsid w:val="0044159F"/>
    <w:rsid w:val="004416CE"/>
    <w:rsid w:val="00441821"/>
    <w:rsid w:val="00441939"/>
    <w:rsid w:val="0044194D"/>
    <w:rsid w:val="00441C2C"/>
    <w:rsid w:val="00441E31"/>
    <w:rsid w:val="00442068"/>
    <w:rsid w:val="004420F9"/>
    <w:rsid w:val="00442215"/>
    <w:rsid w:val="00442725"/>
    <w:rsid w:val="00442860"/>
    <w:rsid w:val="00442A8E"/>
    <w:rsid w:val="00442BEA"/>
    <w:rsid w:val="00442CDF"/>
    <w:rsid w:val="00442D1E"/>
    <w:rsid w:val="00442E7E"/>
    <w:rsid w:val="00442EA4"/>
    <w:rsid w:val="00443249"/>
    <w:rsid w:val="00443288"/>
    <w:rsid w:val="00443810"/>
    <w:rsid w:val="004438AA"/>
    <w:rsid w:val="004439FC"/>
    <w:rsid w:val="00443AAE"/>
    <w:rsid w:val="00443EEF"/>
    <w:rsid w:val="00443FF4"/>
    <w:rsid w:val="00444123"/>
    <w:rsid w:val="00444171"/>
    <w:rsid w:val="00444692"/>
    <w:rsid w:val="004446AD"/>
    <w:rsid w:val="004446AF"/>
    <w:rsid w:val="004446E2"/>
    <w:rsid w:val="0044475F"/>
    <w:rsid w:val="0044497D"/>
    <w:rsid w:val="00444EE8"/>
    <w:rsid w:val="00445096"/>
    <w:rsid w:val="0044539D"/>
    <w:rsid w:val="00445501"/>
    <w:rsid w:val="0044560E"/>
    <w:rsid w:val="00445636"/>
    <w:rsid w:val="004457DB"/>
    <w:rsid w:val="00445817"/>
    <w:rsid w:val="004458CE"/>
    <w:rsid w:val="00445951"/>
    <w:rsid w:val="00445C4E"/>
    <w:rsid w:val="00445F3D"/>
    <w:rsid w:val="00445F5A"/>
    <w:rsid w:val="00446015"/>
    <w:rsid w:val="004463D2"/>
    <w:rsid w:val="0044652A"/>
    <w:rsid w:val="00446921"/>
    <w:rsid w:val="00446AF9"/>
    <w:rsid w:val="00446DEA"/>
    <w:rsid w:val="00446E66"/>
    <w:rsid w:val="00446EB6"/>
    <w:rsid w:val="0044756F"/>
    <w:rsid w:val="00447580"/>
    <w:rsid w:val="00447713"/>
    <w:rsid w:val="004477B3"/>
    <w:rsid w:val="004479A1"/>
    <w:rsid w:val="00447A23"/>
    <w:rsid w:val="00447F2F"/>
    <w:rsid w:val="00447F8F"/>
    <w:rsid w:val="004500A3"/>
    <w:rsid w:val="0045011D"/>
    <w:rsid w:val="0045014D"/>
    <w:rsid w:val="004501CD"/>
    <w:rsid w:val="0045035E"/>
    <w:rsid w:val="00450366"/>
    <w:rsid w:val="00450475"/>
    <w:rsid w:val="004504B0"/>
    <w:rsid w:val="00450838"/>
    <w:rsid w:val="0045090A"/>
    <w:rsid w:val="00450A06"/>
    <w:rsid w:val="00450BC1"/>
    <w:rsid w:val="00450C80"/>
    <w:rsid w:val="004510C9"/>
    <w:rsid w:val="00451638"/>
    <w:rsid w:val="00451732"/>
    <w:rsid w:val="004517B1"/>
    <w:rsid w:val="0045188D"/>
    <w:rsid w:val="004518EE"/>
    <w:rsid w:val="00451919"/>
    <w:rsid w:val="00451BD2"/>
    <w:rsid w:val="00451BDD"/>
    <w:rsid w:val="00451DBF"/>
    <w:rsid w:val="00452177"/>
    <w:rsid w:val="004523F8"/>
    <w:rsid w:val="00452443"/>
    <w:rsid w:val="0045247D"/>
    <w:rsid w:val="00452577"/>
    <w:rsid w:val="004525DA"/>
    <w:rsid w:val="00452B07"/>
    <w:rsid w:val="00452C23"/>
    <w:rsid w:val="00452D3B"/>
    <w:rsid w:val="00452F0B"/>
    <w:rsid w:val="004531D6"/>
    <w:rsid w:val="004531F0"/>
    <w:rsid w:val="00453205"/>
    <w:rsid w:val="00453308"/>
    <w:rsid w:val="00453360"/>
    <w:rsid w:val="004534B4"/>
    <w:rsid w:val="00453744"/>
    <w:rsid w:val="00453834"/>
    <w:rsid w:val="00453A48"/>
    <w:rsid w:val="0045412D"/>
    <w:rsid w:val="004544B6"/>
    <w:rsid w:val="004544D6"/>
    <w:rsid w:val="00454A16"/>
    <w:rsid w:val="00454B24"/>
    <w:rsid w:val="00454D95"/>
    <w:rsid w:val="00454F69"/>
    <w:rsid w:val="00455292"/>
    <w:rsid w:val="004552FA"/>
    <w:rsid w:val="004554B1"/>
    <w:rsid w:val="004554BB"/>
    <w:rsid w:val="00455505"/>
    <w:rsid w:val="004555BC"/>
    <w:rsid w:val="00455628"/>
    <w:rsid w:val="004557C4"/>
    <w:rsid w:val="004557CF"/>
    <w:rsid w:val="00455816"/>
    <w:rsid w:val="004558A6"/>
    <w:rsid w:val="00455BCE"/>
    <w:rsid w:val="00455F87"/>
    <w:rsid w:val="00455FE0"/>
    <w:rsid w:val="00456209"/>
    <w:rsid w:val="00456428"/>
    <w:rsid w:val="00456514"/>
    <w:rsid w:val="00456543"/>
    <w:rsid w:val="0045665E"/>
    <w:rsid w:val="00456AE2"/>
    <w:rsid w:val="00456B3A"/>
    <w:rsid w:val="00456BA9"/>
    <w:rsid w:val="00456DBE"/>
    <w:rsid w:val="00456F16"/>
    <w:rsid w:val="00456FE2"/>
    <w:rsid w:val="00457050"/>
    <w:rsid w:val="00457215"/>
    <w:rsid w:val="0045746D"/>
    <w:rsid w:val="0045749E"/>
    <w:rsid w:val="00457749"/>
    <w:rsid w:val="00457836"/>
    <w:rsid w:val="00457863"/>
    <w:rsid w:val="00457965"/>
    <w:rsid w:val="00457996"/>
    <w:rsid w:val="00457A60"/>
    <w:rsid w:val="00457A9A"/>
    <w:rsid w:val="00457B26"/>
    <w:rsid w:val="00457B80"/>
    <w:rsid w:val="00457EF9"/>
    <w:rsid w:val="004600B1"/>
    <w:rsid w:val="004600BC"/>
    <w:rsid w:val="004601EC"/>
    <w:rsid w:val="0046023E"/>
    <w:rsid w:val="00460438"/>
    <w:rsid w:val="00460682"/>
    <w:rsid w:val="00460693"/>
    <w:rsid w:val="00460B3F"/>
    <w:rsid w:val="00460C89"/>
    <w:rsid w:val="0046117B"/>
    <w:rsid w:val="004613D8"/>
    <w:rsid w:val="00461654"/>
    <w:rsid w:val="00461741"/>
    <w:rsid w:val="00461880"/>
    <w:rsid w:val="00461B32"/>
    <w:rsid w:val="00461CE9"/>
    <w:rsid w:val="00461D08"/>
    <w:rsid w:val="00461FAA"/>
    <w:rsid w:val="004620FA"/>
    <w:rsid w:val="004621F0"/>
    <w:rsid w:val="00462298"/>
    <w:rsid w:val="00462407"/>
    <w:rsid w:val="00462574"/>
    <w:rsid w:val="004627C4"/>
    <w:rsid w:val="004628C6"/>
    <w:rsid w:val="00462AB6"/>
    <w:rsid w:val="00462C8E"/>
    <w:rsid w:val="00462CA4"/>
    <w:rsid w:val="00462E3E"/>
    <w:rsid w:val="004630B5"/>
    <w:rsid w:val="004631DD"/>
    <w:rsid w:val="004634D6"/>
    <w:rsid w:val="00463527"/>
    <w:rsid w:val="004635DD"/>
    <w:rsid w:val="004635FD"/>
    <w:rsid w:val="00463704"/>
    <w:rsid w:val="00463CAE"/>
    <w:rsid w:val="00463CD7"/>
    <w:rsid w:val="00463CF1"/>
    <w:rsid w:val="00463EB7"/>
    <w:rsid w:val="00463F89"/>
    <w:rsid w:val="00463FB8"/>
    <w:rsid w:val="004641B7"/>
    <w:rsid w:val="004642FE"/>
    <w:rsid w:val="0046430E"/>
    <w:rsid w:val="00464361"/>
    <w:rsid w:val="00464503"/>
    <w:rsid w:val="0046484C"/>
    <w:rsid w:val="00464889"/>
    <w:rsid w:val="00464903"/>
    <w:rsid w:val="00464ADD"/>
    <w:rsid w:val="00464B57"/>
    <w:rsid w:val="00464BC3"/>
    <w:rsid w:val="00464C91"/>
    <w:rsid w:val="004650A5"/>
    <w:rsid w:val="004650C2"/>
    <w:rsid w:val="00465501"/>
    <w:rsid w:val="00465958"/>
    <w:rsid w:val="00465959"/>
    <w:rsid w:val="00465BD2"/>
    <w:rsid w:val="00465BD3"/>
    <w:rsid w:val="00465DE3"/>
    <w:rsid w:val="00466058"/>
    <w:rsid w:val="004662B2"/>
    <w:rsid w:val="0046642A"/>
    <w:rsid w:val="004667B3"/>
    <w:rsid w:val="00466A20"/>
    <w:rsid w:val="00466AF3"/>
    <w:rsid w:val="00466C04"/>
    <w:rsid w:val="00466C9A"/>
    <w:rsid w:val="00466E33"/>
    <w:rsid w:val="00467497"/>
    <w:rsid w:val="0046774C"/>
    <w:rsid w:val="0046780D"/>
    <w:rsid w:val="0046785D"/>
    <w:rsid w:val="0046786A"/>
    <w:rsid w:val="00467912"/>
    <w:rsid w:val="00467D4B"/>
    <w:rsid w:val="00467D7E"/>
    <w:rsid w:val="00467F9D"/>
    <w:rsid w:val="00470129"/>
    <w:rsid w:val="0047053F"/>
    <w:rsid w:val="004705A0"/>
    <w:rsid w:val="0047062C"/>
    <w:rsid w:val="00470631"/>
    <w:rsid w:val="00470C26"/>
    <w:rsid w:val="00470E27"/>
    <w:rsid w:val="00471104"/>
    <w:rsid w:val="0047121F"/>
    <w:rsid w:val="00471873"/>
    <w:rsid w:val="004719D7"/>
    <w:rsid w:val="00471A63"/>
    <w:rsid w:val="00471BED"/>
    <w:rsid w:val="00471E3B"/>
    <w:rsid w:val="00471E4F"/>
    <w:rsid w:val="00471EB5"/>
    <w:rsid w:val="00471FE2"/>
    <w:rsid w:val="00472049"/>
    <w:rsid w:val="004721E9"/>
    <w:rsid w:val="00472291"/>
    <w:rsid w:val="004722FF"/>
    <w:rsid w:val="00472618"/>
    <w:rsid w:val="00472851"/>
    <w:rsid w:val="004728A0"/>
    <w:rsid w:val="00472C2E"/>
    <w:rsid w:val="00472D3F"/>
    <w:rsid w:val="00472E08"/>
    <w:rsid w:val="00472E74"/>
    <w:rsid w:val="00472E95"/>
    <w:rsid w:val="0047321F"/>
    <w:rsid w:val="00473230"/>
    <w:rsid w:val="004733D1"/>
    <w:rsid w:val="00473513"/>
    <w:rsid w:val="004735BA"/>
    <w:rsid w:val="00473711"/>
    <w:rsid w:val="004738B0"/>
    <w:rsid w:val="00473A2D"/>
    <w:rsid w:val="00473D39"/>
    <w:rsid w:val="00473DC3"/>
    <w:rsid w:val="00473EBB"/>
    <w:rsid w:val="004740F5"/>
    <w:rsid w:val="004741C3"/>
    <w:rsid w:val="004742DD"/>
    <w:rsid w:val="0047432A"/>
    <w:rsid w:val="0047436A"/>
    <w:rsid w:val="004744E9"/>
    <w:rsid w:val="004748B1"/>
    <w:rsid w:val="004748B2"/>
    <w:rsid w:val="004749E2"/>
    <w:rsid w:val="00474A7C"/>
    <w:rsid w:val="00474D1A"/>
    <w:rsid w:val="00474E33"/>
    <w:rsid w:val="004751CB"/>
    <w:rsid w:val="00475231"/>
    <w:rsid w:val="00475312"/>
    <w:rsid w:val="0047532D"/>
    <w:rsid w:val="004753AD"/>
    <w:rsid w:val="00475834"/>
    <w:rsid w:val="0047595B"/>
    <w:rsid w:val="00475C1D"/>
    <w:rsid w:val="00475C50"/>
    <w:rsid w:val="00475DEB"/>
    <w:rsid w:val="00475F93"/>
    <w:rsid w:val="00475FBC"/>
    <w:rsid w:val="00476270"/>
    <w:rsid w:val="004764DE"/>
    <w:rsid w:val="004764EB"/>
    <w:rsid w:val="00476584"/>
    <w:rsid w:val="004767BD"/>
    <w:rsid w:val="00476A52"/>
    <w:rsid w:val="00476CF5"/>
    <w:rsid w:val="00477047"/>
    <w:rsid w:val="0047707C"/>
    <w:rsid w:val="004775FD"/>
    <w:rsid w:val="00477628"/>
    <w:rsid w:val="00477706"/>
    <w:rsid w:val="004779AD"/>
    <w:rsid w:val="004779D2"/>
    <w:rsid w:val="00477AB1"/>
    <w:rsid w:val="00477BD9"/>
    <w:rsid w:val="00477D2B"/>
    <w:rsid w:val="00477F8C"/>
    <w:rsid w:val="00477FC2"/>
    <w:rsid w:val="00477FD2"/>
    <w:rsid w:val="004802F7"/>
    <w:rsid w:val="00480454"/>
    <w:rsid w:val="00480478"/>
    <w:rsid w:val="0048056C"/>
    <w:rsid w:val="00480B21"/>
    <w:rsid w:val="00480C9B"/>
    <w:rsid w:val="00480CB9"/>
    <w:rsid w:val="00480EE8"/>
    <w:rsid w:val="00480FB3"/>
    <w:rsid w:val="00481077"/>
    <w:rsid w:val="00481258"/>
    <w:rsid w:val="00481438"/>
    <w:rsid w:val="004816F9"/>
    <w:rsid w:val="004819DF"/>
    <w:rsid w:val="00481B5B"/>
    <w:rsid w:val="00481BD8"/>
    <w:rsid w:val="00481C70"/>
    <w:rsid w:val="00481F3B"/>
    <w:rsid w:val="00482092"/>
    <w:rsid w:val="004820BB"/>
    <w:rsid w:val="00482244"/>
    <w:rsid w:val="004828C1"/>
    <w:rsid w:val="0048294E"/>
    <w:rsid w:val="0048298E"/>
    <w:rsid w:val="00482C8F"/>
    <w:rsid w:val="00482CA3"/>
    <w:rsid w:val="00482E56"/>
    <w:rsid w:val="00483620"/>
    <w:rsid w:val="0048369C"/>
    <w:rsid w:val="004839F0"/>
    <w:rsid w:val="004841F4"/>
    <w:rsid w:val="0048472F"/>
    <w:rsid w:val="00484884"/>
    <w:rsid w:val="004848FD"/>
    <w:rsid w:val="00484B1A"/>
    <w:rsid w:val="00484C36"/>
    <w:rsid w:val="00484C7F"/>
    <w:rsid w:val="00484CFC"/>
    <w:rsid w:val="00484E96"/>
    <w:rsid w:val="00485016"/>
    <w:rsid w:val="004850C2"/>
    <w:rsid w:val="00485110"/>
    <w:rsid w:val="00485292"/>
    <w:rsid w:val="00485359"/>
    <w:rsid w:val="004857F3"/>
    <w:rsid w:val="00485968"/>
    <w:rsid w:val="00485997"/>
    <w:rsid w:val="00485BAE"/>
    <w:rsid w:val="00485CF7"/>
    <w:rsid w:val="00485E1F"/>
    <w:rsid w:val="00486032"/>
    <w:rsid w:val="0048619B"/>
    <w:rsid w:val="00486705"/>
    <w:rsid w:val="00486C0E"/>
    <w:rsid w:val="00486E9D"/>
    <w:rsid w:val="004871DE"/>
    <w:rsid w:val="00487519"/>
    <w:rsid w:val="0048757D"/>
    <w:rsid w:val="004875AC"/>
    <w:rsid w:val="0048772C"/>
    <w:rsid w:val="0048774B"/>
    <w:rsid w:val="004877BE"/>
    <w:rsid w:val="004878D7"/>
    <w:rsid w:val="00487A74"/>
    <w:rsid w:val="00487D90"/>
    <w:rsid w:val="00487F59"/>
    <w:rsid w:val="004902F2"/>
    <w:rsid w:val="0049035D"/>
    <w:rsid w:val="00490484"/>
    <w:rsid w:val="00490629"/>
    <w:rsid w:val="004906C7"/>
    <w:rsid w:val="0049070F"/>
    <w:rsid w:val="004907A9"/>
    <w:rsid w:val="00490A6F"/>
    <w:rsid w:val="00490AEA"/>
    <w:rsid w:val="00490B3F"/>
    <w:rsid w:val="00490B78"/>
    <w:rsid w:val="00490B7A"/>
    <w:rsid w:val="00490B7B"/>
    <w:rsid w:val="00490F3C"/>
    <w:rsid w:val="00491196"/>
    <w:rsid w:val="004912CC"/>
    <w:rsid w:val="004913FA"/>
    <w:rsid w:val="0049167E"/>
    <w:rsid w:val="004916F8"/>
    <w:rsid w:val="00491769"/>
    <w:rsid w:val="004917F0"/>
    <w:rsid w:val="00491861"/>
    <w:rsid w:val="00491904"/>
    <w:rsid w:val="00491E60"/>
    <w:rsid w:val="00491F96"/>
    <w:rsid w:val="0049214A"/>
    <w:rsid w:val="00492239"/>
    <w:rsid w:val="004922E6"/>
    <w:rsid w:val="00492554"/>
    <w:rsid w:val="00492590"/>
    <w:rsid w:val="004925D3"/>
    <w:rsid w:val="004925E6"/>
    <w:rsid w:val="004925F3"/>
    <w:rsid w:val="004925F8"/>
    <w:rsid w:val="00492711"/>
    <w:rsid w:val="00492827"/>
    <w:rsid w:val="00492B83"/>
    <w:rsid w:val="00492BD2"/>
    <w:rsid w:val="00492D32"/>
    <w:rsid w:val="00492DF2"/>
    <w:rsid w:val="00492FAA"/>
    <w:rsid w:val="00493071"/>
    <w:rsid w:val="0049319F"/>
    <w:rsid w:val="004931CF"/>
    <w:rsid w:val="004932A2"/>
    <w:rsid w:val="00493376"/>
    <w:rsid w:val="00493416"/>
    <w:rsid w:val="0049344F"/>
    <w:rsid w:val="004934B2"/>
    <w:rsid w:val="00493566"/>
    <w:rsid w:val="00493B25"/>
    <w:rsid w:val="00493BFF"/>
    <w:rsid w:val="00493D1E"/>
    <w:rsid w:val="00493E82"/>
    <w:rsid w:val="00494053"/>
    <w:rsid w:val="00494525"/>
    <w:rsid w:val="00494696"/>
    <w:rsid w:val="004947C0"/>
    <w:rsid w:val="00494ACB"/>
    <w:rsid w:val="00494BC2"/>
    <w:rsid w:val="00494D08"/>
    <w:rsid w:val="00494E29"/>
    <w:rsid w:val="00494E58"/>
    <w:rsid w:val="00494E81"/>
    <w:rsid w:val="00494ECD"/>
    <w:rsid w:val="004951E0"/>
    <w:rsid w:val="004955F7"/>
    <w:rsid w:val="00495641"/>
    <w:rsid w:val="004956DA"/>
    <w:rsid w:val="004956E2"/>
    <w:rsid w:val="00495736"/>
    <w:rsid w:val="0049576C"/>
    <w:rsid w:val="004957CB"/>
    <w:rsid w:val="004958D9"/>
    <w:rsid w:val="00495915"/>
    <w:rsid w:val="00495947"/>
    <w:rsid w:val="004959FF"/>
    <w:rsid w:val="00495B86"/>
    <w:rsid w:val="00495ECF"/>
    <w:rsid w:val="00496183"/>
    <w:rsid w:val="00496194"/>
    <w:rsid w:val="004962EF"/>
    <w:rsid w:val="0049661A"/>
    <w:rsid w:val="00496662"/>
    <w:rsid w:val="00496700"/>
    <w:rsid w:val="00496782"/>
    <w:rsid w:val="00496A28"/>
    <w:rsid w:val="00496AD9"/>
    <w:rsid w:val="00496AE4"/>
    <w:rsid w:val="00496BA1"/>
    <w:rsid w:val="00496EFA"/>
    <w:rsid w:val="004971C6"/>
    <w:rsid w:val="00497329"/>
    <w:rsid w:val="0049784D"/>
    <w:rsid w:val="00497C2B"/>
    <w:rsid w:val="00497E4B"/>
    <w:rsid w:val="004A0007"/>
    <w:rsid w:val="004A067C"/>
    <w:rsid w:val="004A06ED"/>
    <w:rsid w:val="004A09D7"/>
    <w:rsid w:val="004A0A5D"/>
    <w:rsid w:val="004A0E2D"/>
    <w:rsid w:val="004A10B3"/>
    <w:rsid w:val="004A16C5"/>
    <w:rsid w:val="004A1709"/>
    <w:rsid w:val="004A18AA"/>
    <w:rsid w:val="004A1B79"/>
    <w:rsid w:val="004A1C19"/>
    <w:rsid w:val="004A1C1A"/>
    <w:rsid w:val="004A1CDC"/>
    <w:rsid w:val="004A21B9"/>
    <w:rsid w:val="004A2455"/>
    <w:rsid w:val="004A24F7"/>
    <w:rsid w:val="004A2678"/>
    <w:rsid w:val="004A2693"/>
    <w:rsid w:val="004A27C9"/>
    <w:rsid w:val="004A29AC"/>
    <w:rsid w:val="004A2A83"/>
    <w:rsid w:val="004A2F22"/>
    <w:rsid w:val="004A2FB8"/>
    <w:rsid w:val="004A30BC"/>
    <w:rsid w:val="004A316A"/>
    <w:rsid w:val="004A3288"/>
    <w:rsid w:val="004A3361"/>
    <w:rsid w:val="004A345D"/>
    <w:rsid w:val="004A34CE"/>
    <w:rsid w:val="004A3682"/>
    <w:rsid w:val="004A3893"/>
    <w:rsid w:val="004A392C"/>
    <w:rsid w:val="004A395B"/>
    <w:rsid w:val="004A3AB3"/>
    <w:rsid w:val="004A3CC0"/>
    <w:rsid w:val="004A3CD5"/>
    <w:rsid w:val="004A4036"/>
    <w:rsid w:val="004A408E"/>
    <w:rsid w:val="004A4142"/>
    <w:rsid w:val="004A4201"/>
    <w:rsid w:val="004A43D2"/>
    <w:rsid w:val="004A490B"/>
    <w:rsid w:val="004A4BAD"/>
    <w:rsid w:val="004A4C1E"/>
    <w:rsid w:val="004A4CFF"/>
    <w:rsid w:val="004A5238"/>
    <w:rsid w:val="004A5549"/>
    <w:rsid w:val="004A5586"/>
    <w:rsid w:val="004A5856"/>
    <w:rsid w:val="004A5CC8"/>
    <w:rsid w:val="004A621D"/>
    <w:rsid w:val="004A622F"/>
    <w:rsid w:val="004A63E9"/>
    <w:rsid w:val="004A6437"/>
    <w:rsid w:val="004A6520"/>
    <w:rsid w:val="004A65DE"/>
    <w:rsid w:val="004A6602"/>
    <w:rsid w:val="004A67A6"/>
    <w:rsid w:val="004A68CD"/>
    <w:rsid w:val="004A69B9"/>
    <w:rsid w:val="004A6B62"/>
    <w:rsid w:val="004A6BA5"/>
    <w:rsid w:val="004A6BF6"/>
    <w:rsid w:val="004A6CA0"/>
    <w:rsid w:val="004A6CAF"/>
    <w:rsid w:val="004A6D8C"/>
    <w:rsid w:val="004A6F2B"/>
    <w:rsid w:val="004A70C8"/>
    <w:rsid w:val="004A72E0"/>
    <w:rsid w:val="004A735D"/>
    <w:rsid w:val="004A7404"/>
    <w:rsid w:val="004A77B7"/>
    <w:rsid w:val="004A77D5"/>
    <w:rsid w:val="004A78B0"/>
    <w:rsid w:val="004A78D0"/>
    <w:rsid w:val="004A7DA1"/>
    <w:rsid w:val="004A7DC4"/>
    <w:rsid w:val="004B017E"/>
    <w:rsid w:val="004B0401"/>
    <w:rsid w:val="004B0516"/>
    <w:rsid w:val="004B0735"/>
    <w:rsid w:val="004B0761"/>
    <w:rsid w:val="004B07A6"/>
    <w:rsid w:val="004B093C"/>
    <w:rsid w:val="004B0A56"/>
    <w:rsid w:val="004B0BC5"/>
    <w:rsid w:val="004B0C58"/>
    <w:rsid w:val="004B0FB1"/>
    <w:rsid w:val="004B0FF2"/>
    <w:rsid w:val="004B114E"/>
    <w:rsid w:val="004B12EF"/>
    <w:rsid w:val="004B1531"/>
    <w:rsid w:val="004B1616"/>
    <w:rsid w:val="004B16FE"/>
    <w:rsid w:val="004B1A55"/>
    <w:rsid w:val="004B1AE6"/>
    <w:rsid w:val="004B1D65"/>
    <w:rsid w:val="004B1E04"/>
    <w:rsid w:val="004B1EF6"/>
    <w:rsid w:val="004B213C"/>
    <w:rsid w:val="004B2342"/>
    <w:rsid w:val="004B2467"/>
    <w:rsid w:val="004B2522"/>
    <w:rsid w:val="004B26A2"/>
    <w:rsid w:val="004B2817"/>
    <w:rsid w:val="004B292E"/>
    <w:rsid w:val="004B2B1B"/>
    <w:rsid w:val="004B2DDF"/>
    <w:rsid w:val="004B2FDB"/>
    <w:rsid w:val="004B312A"/>
    <w:rsid w:val="004B3245"/>
    <w:rsid w:val="004B3450"/>
    <w:rsid w:val="004B3750"/>
    <w:rsid w:val="004B3810"/>
    <w:rsid w:val="004B3BAD"/>
    <w:rsid w:val="004B3D41"/>
    <w:rsid w:val="004B3D6F"/>
    <w:rsid w:val="004B3DA4"/>
    <w:rsid w:val="004B4141"/>
    <w:rsid w:val="004B466E"/>
    <w:rsid w:val="004B48B4"/>
    <w:rsid w:val="004B4A6D"/>
    <w:rsid w:val="004B4B18"/>
    <w:rsid w:val="004B4C7A"/>
    <w:rsid w:val="004B4D3A"/>
    <w:rsid w:val="004B4E54"/>
    <w:rsid w:val="004B543F"/>
    <w:rsid w:val="004B5607"/>
    <w:rsid w:val="004B5710"/>
    <w:rsid w:val="004B5779"/>
    <w:rsid w:val="004B588D"/>
    <w:rsid w:val="004B597B"/>
    <w:rsid w:val="004B5AC9"/>
    <w:rsid w:val="004B5BB4"/>
    <w:rsid w:val="004B609E"/>
    <w:rsid w:val="004B6219"/>
    <w:rsid w:val="004B62FF"/>
    <w:rsid w:val="004B6639"/>
    <w:rsid w:val="004B6738"/>
    <w:rsid w:val="004B6816"/>
    <w:rsid w:val="004B693B"/>
    <w:rsid w:val="004B716A"/>
    <w:rsid w:val="004B7206"/>
    <w:rsid w:val="004B73C7"/>
    <w:rsid w:val="004B73E4"/>
    <w:rsid w:val="004B751E"/>
    <w:rsid w:val="004B7532"/>
    <w:rsid w:val="004B757C"/>
    <w:rsid w:val="004B7613"/>
    <w:rsid w:val="004B7630"/>
    <w:rsid w:val="004B7A63"/>
    <w:rsid w:val="004B7E45"/>
    <w:rsid w:val="004B7EA8"/>
    <w:rsid w:val="004C0169"/>
    <w:rsid w:val="004C024F"/>
    <w:rsid w:val="004C041F"/>
    <w:rsid w:val="004C07B2"/>
    <w:rsid w:val="004C08A5"/>
    <w:rsid w:val="004C092A"/>
    <w:rsid w:val="004C0B0F"/>
    <w:rsid w:val="004C0C0E"/>
    <w:rsid w:val="004C0F72"/>
    <w:rsid w:val="004C0F87"/>
    <w:rsid w:val="004C1117"/>
    <w:rsid w:val="004C131B"/>
    <w:rsid w:val="004C1367"/>
    <w:rsid w:val="004C187F"/>
    <w:rsid w:val="004C189A"/>
    <w:rsid w:val="004C194A"/>
    <w:rsid w:val="004C19B1"/>
    <w:rsid w:val="004C1B9F"/>
    <w:rsid w:val="004C202D"/>
    <w:rsid w:val="004C2138"/>
    <w:rsid w:val="004C21AF"/>
    <w:rsid w:val="004C24E5"/>
    <w:rsid w:val="004C2581"/>
    <w:rsid w:val="004C2756"/>
    <w:rsid w:val="004C286B"/>
    <w:rsid w:val="004C28A2"/>
    <w:rsid w:val="004C28A3"/>
    <w:rsid w:val="004C295A"/>
    <w:rsid w:val="004C298D"/>
    <w:rsid w:val="004C2BCB"/>
    <w:rsid w:val="004C2C76"/>
    <w:rsid w:val="004C2F44"/>
    <w:rsid w:val="004C2FD4"/>
    <w:rsid w:val="004C30FF"/>
    <w:rsid w:val="004C34D1"/>
    <w:rsid w:val="004C34D2"/>
    <w:rsid w:val="004C35E5"/>
    <w:rsid w:val="004C36A2"/>
    <w:rsid w:val="004C36E7"/>
    <w:rsid w:val="004C37C2"/>
    <w:rsid w:val="004C3819"/>
    <w:rsid w:val="004C38DD"/>
    <w:rsid w:val="004C3934"/>
    <w:rsid w:val="004C3E81"/>
    <w:rsid w:val="004C3EEE"/>
    <w:rsid w:val="004C41A2"/>
    <w:rsid w:val="004C4241"/>
    <w:rsid w:val="004C424B"/>
    <w:rsid w:val="004C4324"/>
    <w:rsid w:val="004C463B"/>
    <w:rsid w:val="004C46EB"/>
    <w:rsid w:val="004C473E"/>
    <w:rsid w:val="004C4823"/>
    <w:rsid w:val="004C4856"/>
    <w:rsid w:val="004C48BA"/>
    <w:rsid w:val="004C4A4D"/>
    <w:rsid w:val="004C4C0D"/>
    <w:rsid w:val="004C4C3F"/>
    <w:rsid w:val="004C4E05"/>
    <w:rsid w:val="004C519D"/>
    <w:rsid w:val="004C53D5"/>
    <w:rsid w:val="004C5646"/>
    <w:rsid w:val="004C5820"/>
    <w:rsid w:val="004C5867"/>
    <w:rsid w:val="004C5AC7"/>
    <w:rsid w:val="004C5CE2"/>
    <w:rsid w:val="004C6178"/>
    <w:rsid w:val="004C63F7"/>
    <w:rsid w:val="004C662B"/>
    <w:rsid w:val="004C6814"/>
    <w:rsid w:val="004C6AFE"/>
    <w:rsid w:val="004C6B7D"/>
    <w:rsid w:val="004C6B8B"/>
    <w:rsid w:val="004C6D57"/>
    <w:rsid w:val="004C6DDC"/>
    <w:rsid w:val="004C6E6F"/>
    <w:rsid w:val="004C70E2"/>
    <w:rsid w:val="004C7105"/>
    <w:rsid w:val="004C71FA"/>
    <w:rsid w:val="004C7253"/>
    <w:rsid w:val="004C7280"/>
    <w:rsid w:val="004C7314"/>
    <w:rsid w:val="004C75D6"/>
    <w:rsid w:val="004C78D7"/>
    <w:rsid w:val="004C7A2C"/>
    <w:rsid w:val="004C7E67"/>
    <w:rsid w:val="004D03A9"/>
    <w:rsid w:val="004D048C"/>
    <w:rsid w:val="004D058B"/>
    <w:rsid w:val="004D08B5"/>
    <w:rsid w:val="004D0B9F"/>
    <w:rsid w:val="004D0CAA"/>
    <w:rsid w:val="004D0DFA"/>
    <w:rsid w:val="004D0F75"/>
    <w:rsid w:val="004D13C2"/>
    <w:rsid w:val="004D1410"/>
    <w:rsid w:val="004D1551"/>
    <w:rsid w:val="004D1559"/>
    <w:rsid w:val="004D1622"/>
    <w:rsid w:val="004D17EC"/>
    <w:rsid w:val="004D1A03"/>
    <w:rsid w:val="004D1A86"/>
    <w:rsid w:val="004D1B61"/>
    <w:rsid w:val="004D1C16"/>
    <w:rsid w:val="004D1C2C"/>
    <w:rsid w:val="004D1C43"/>
    <w:rsid w:val="004D205B"/>
    <w:rsid w:val="004D207E"/>
    <w:rsid w:val="004D227C"/>
    <w:rsid w:val="004D2468"/>
    <w:rsid w:val="004D249D"/>
    <w:rsid w:val="004D24F5"/>
    <w:rsid w:val="004D256C"/>
    <w:rsid w:val="004D2635"/>
    <w:rsid w:val="004D2762"/>
    <w:rsid w:val="004D2A17"/>
    <w:rsid w:val="004D2A86"/>
    <w:rsid w:val="004D2A90"/>
    <w:rsid w:val="004D2DB8"/>
    <w:rsid w:val="004D30E7"/>
    <w:rsid w:val="004D3159"/>
    <w:rsid w:val="004D349A"/>
    <w:rsid w:val="004D354A"/>
    <w:rsid w:val="004D3578"/>
    <w:rsid w:val="004D3615"/>
    <w:rsid w:val="004D3941"/>
    <w:rsid w:val="004D3A66"/>
    <w:rsid w:val="004D3C7E"/>
    <w:rsid w:val="004D3D92"/>
    <w:rsid w:val="004D3ECF"/>
    <w:rsid w:val="004D430A"/>
    <w:rsid w:val="004D4862"/>
    <w:rsid w:val="004D49BB"/>
    <w:rsid w:val="004D4D22"/>
    <w:rsid w:val="004D4D6B"/>
    <w:rsid w:val="004D4FCA"/>
    <w:rsid w:val="004D4FCB"/>
    <w:rsid w:val="004D5008"/>
    <w:rsid w:val="004D51E5"/>
    <w:rsid w:val="004D5549"/>
    <w:rsid w:val="004D55FC"/>
    <w:rsid w:val="004D565F"/>
    <w:rsid w:val="004D5766"/>
    <w:rsid w:val="004D57C7"/>
    <w:rsid w:val="004D59FD"/>
    <w:rsid w:val="004D5A5B"/>
    <w:rsid w:val="004D5C26"/>
    <w:rsid w:val="004D5CB6"/>
    <w:rsid w:val="004D5F2B"/>
    <w:rsid w:val="004D608F"/>
    <w:rsid w:val="004D60B6"/>
    <w:rsid w:val="004D6174"/>
    <w:rsid w:val="004D6531"/>
    <w:rsid w:val="004D6750"/>
    <w:rsid w:val="004D68E1"/>
    <w:rsid w:val="004D6D34"/>
    <w:rsid w:val="004D7086"/>
    <w:rsid w:val="004D72D4"/>
    <w:rsid w:val="004D75CD"/>
    <w:rsid w:val="004D7640"/>
    <w:rsid w:val="004D76D4"/>
    <w:rsid w:val="004D78C3"/>
    <w:rsid w:val="004D79B1"/>
    <w:rsid w:val="004D7DE4"/>
    <w:rsid w:val="004E0016"/>
    <w:rsid w:val="004E003F"/>
    <w:rsid w:val="004E0042"/>
    <w:rsid w:val="004E017C"/>
    <w:rsid w:val="004E028E"/>
    <w:rsid w:val="004E02CB"/>
    <w:rsid w:val="004E02D4"/>
    <w:rsid w:val="004E03D4"/>
    <w:rsid w:val="004E04A2"/>
    <w:rsid w:val="004E0BEC"/>
    <w:rsid w:val="004E0D48"/>
    <w:rsid w:val="004E0D79"/>
    <w:rsid w:val="004E0D7F"/>
    <w:rsid w:val="004E0FE1"/>
    <w:rsid w:val="004E1233"/>
    <w:rsid w:val="004E1269"/>
    <w:rsid w:val="004E130A"/>
    <w:rsid w:val="004E1378"/>
    <w:rsid w:val="004E1758"/>
    <w:rsid w:val="004E182D"/>
    <w:rsid w:val="004E189F"/>
    <w:rsid w:val="004E1DFA"/>
    <w:rsid w:val="004E1EA6"/>
    <w:rsid w:val="004E22BA"/>
    <w:rsid w:val="004E247E"/>
    <w:rsid w:val="004E24B8"/>
    <w:rsid w:val="004E24BC"/>
    <w:rsid w:val="004E28C6"/>
    <w:rsid w:val="004E2DB4"/>
    <w:rsid w:val="004E2F46"/>
    <w:rsid w:val="004E2FA1"/>
    <w:rsid w:val="004E2FC0"/>
    <w:rsid w:val="004E3086"/>
    <w:rsid w:val="004E30C8"/>
    <w:rsid w:val="004E3829"/>
    <w:rsid w:val="004E39D9"/>
    <w:rsid w:val="004E3A7D"/>
    <w:rsid w:val="004E3D47"/>
    <w:rsid w:val="004E3E13"/>
    <w:rsid w:val="004E3F37"/>
    <w:rsid w:val="004E4120"/>
    <w:rsid w:val="004E416C"/>
    <w:rsid w:val="004E42E9"/>
    <w:rsid w:val="004E438E"/>
    <w:rsid w:val="004E44D6"/>
    <w:rsid w:val="004E44D7"/>
    <w:rsid w:val="004E4658"/>
    <w:rsid w:val="004E4662"/>
    <w:rsid w:val="004E46BB"/>
    <w:rsid w:val="004E4797"/>
    <w:rsid w:val="004E47F4"/>
    <w:rsid w:val="004E4B45"/>
    <w:rsid w:val="004E4C6E"/>
    <w:rsid w:val="004E4C90"/>
    <w:rsid w:val="004E4E0C"/>
    <w:rsid w:val="004E4F76"/>
    <w:rsid w:val="004E534A"/>
    <w:rsid w:val="004E53A0"/>
    <w:rsid w:val="004E53C8"/>
    <w:rsid w:val="004E5565"/>
    <w:rsid w:val="004E5696"/>
    <w:rsid w:val="004E5A38"/>
    <w:rsid w:val="004E5CDB"/>
    <w:rsid w:val="004E5EB3"/>
    <w:rsid w:val="004E60F0"/>
    <w:rsid w:val="004E6112"/>
    <w:rsid w:val="004E6179"/>
    <w:rsid w:val="004E636A"/>
    <w:rsid w:val="004E659E"/>
    <w:rsid w:val="004E6736"/>
    <w:rsid w:val="004E6822"/>
    <w:rsid w:val="004E689B"/>
    <w:rsid w:val="004E68D6"/>
    <w:rsid w:val="004E6A33"/>
    <w:rsid w:val="004E6A45"/>
    <w:rsid w:val="004E6DE1"/>
    <w:rsid w:val="004E6E98"/>
    <w:rsid w:val="004E6F40"/>
    <w:rsid w:val="004E702C"/>
    <w:rsid w:val="004E703E"/>
    <w:rsid w:val="004E724C"/>
    <w:rsid w:val="004E7281"/>
    <w:rsid w:val="004E7294"/>
    <w:rsid w:val="004E7379"/>
    <w:rsid w:val="004E746E"/>
    <w:rsid w:val="004E74F8"/>
    <w:rsid w:val="004E7565"/>
    <w:rsid w:val="004E75DA"/>
    <w:rsid w:val="004E75FE"/>
    <w:rsid w:val="004E779D"/>
    <w:rsid w:val="004E7966"/>
    <w:rsid w:val="004E79EE"/>
    <w:rsid w:val="004E79FF"/>
    <w:rsid w:val="004E7A24"/>
    <w:rsid w:val="004E7B53"/>
    <w:rsid w:val="004E7C7A"/>
    <w:rsid w:val="004E7D29"/>
    <w:rsid w:val="004E7D6D"/>
    <w:rsid w:val="004E7F3F"/>
    <w:rsid w:val="004F004F"/>
    <w:rsid w:val="004F0196"/>
    <w:rsid w:val="004F0325"/>
    <w:rsid w:val="004F03F6"/>
    <w:rsid w:val="004F060F"/>
    <w:rsid w:val="004F0618"/>
    <w:rsid w:val="004F0686"/>
    <w:rsid w:val="004F09A4"/>
    <w:rsid w:val="004F09C2"/>
    <w:rsid w:val="004F0A4F"/>
    <w:rsid w:val="004F0A9E"/>
    <w:rsid w:val="004F0B71"/>
    <w:rsid w:val="004F0CAB"/>
    <w:rsid w:val="004F109D"/>
    <w:rsid w:val="004F10E0"/>
    <w:rsid w:val="004F11CD"/>
    <w:rsid w:val="004F138F"/>
    <w:rsid w:val="004F14EB"/>
    <w:rsid w:val="004F1512"/>
    <w:rsid w:val="004F164D"/>
    <w:rsid w:val="004F1A9A"/>
    <w:rsid w:val="004F1A9F"/>
    <w:rsid w:val="004F298B"/>
    <w:rsid w:val="004F2D0A"/>
    <w:rsid w:val="004F2D74"/>
    <w:rsid w:val="004F2DE2"/>
    <w:rsid w:val="004F2E2F"/>
    <w:rsid w:val="004F2FFB"/>
    <w:rsid w:val="004F3008"/>
    <w:rsid w:val="004F3027"/>
    <w:rsid w:val="004F311A"/>
    <w:rsid w:val="004F339D"/>
    <w:rsid w:val="004F33B6"/>
    <w:rsid w:val="004F3736"/>
    <w:rsid w:val="004F3803"/>
    <w:rsid w:val="004F3EC2"/>
    <w:rsid w:val="004F40E9"/>
    <w:rsid w:val="004F420C"/>
    <w:rsid w:val="004F441C"/>
    <w:rsid w:val="004F48FD"/>
    <w:rsid w:val="004F4AA1"/>
    <w:rsid w:val="004F4BA5"/>
    <w:rsid w:val="004F4FF3"/>
    <w:rsid w:val="004F5143"/>
    <w:rsid w:val="004F53A8"/>
    <w:rsid w:val="004F53A9"/>
    <w:rsid w:val="004F547B"/>
    <w:rsid w:val="004F5748"/>
    <w:rsid w:val="004F5B51"/>
    <w:rsid w:val="004F5D26"/>
    <w:rsid w:val="004F5D3F"/>
    <w:rsid w:val="004F5D41"/>
    <w:rsid w:val="004F5DFD"/>
    <w:rsid w:val="004F60ED"/>
    <w:rsid w:val="004F61FA"/>
    <w:rsid w:val="004F63D4"/>
    <w:rsid w:val="004F6552"/>
    <w:rsid w:val="004F67AF"/>
    <w:rsid w:val="004F688F"/>
    <w:rsid w:val="004F6BFA"/>
    <w:rsid w:val="004F6C19"/>
    <w:rsid w:val="004F6F3B"/>
    <w:rsid w:val="004F7039"/>
    <w:rsid w:val="004F720E"/>
    <w:rsid w:val="004F7348"/>
    <w:rsid w:val="004F7425"/>
    <w:rsid w:val="004F7759"/>
    <w:rsid w:val="004F7799"/>
    <w:rsid w:val="004F77B8"/>
    <w:rsid w:val="004F785F"/>
    <w:rsid w:val="004F7994"/>
    <w:rsid w:val="004F7A7A"/>
    <w:rsid w:val="004F7AA7"/>
    <w:rsid w:val="004F7B09"/>
    <w:rsid w:val="004F7B40"/>
    <w:rsid w:val="004F7BBE"/>
    <w:rsid w:val="004F7CC0"/>
    <w:rsid w:val="004F7E3B"/>
    <w:rsid w:val="004F7E41"/>
    <w:rsid w:val="004F7EDA"/>
    <w:rsid w:val="004F7FBE"/>
    <w:rsid w:val="00500077"/>
    <w:rsid w:val="00500123"/>
    <w:rsid w:val="005002F4"/>
    <w:rsid w:val="00500332"/>
    <w:rsid w:val="005006F9"/>
    <w:rsid w:val="0050071C"/>
    <w:rsid w:val="005007C2"/>
    <w:rsid w:val="005007D2"/>
    <w:rsid w:val="00500A00"/>
    <w:rsid w:val="00500D83"/>
    <w:rsid w:val="00500DCF"/>
    <w:rsid w:val="00500EFD"/>
    <w:rsid w:val="00501127"/>
    <w:rsid w:val="0050112E"/>
    <w:rsid w:val="00501178"/>
    <w:rsid w:val="005012D5"/>
    <w:rsid w:val="0050148A"/>
    <w:rsid w:val="00501802"/>
    <w:rsid w:val="00501A9B"/>
    <w:rsid w:val="00501BF1"/>
    <w:rsid w:val="00501C8F"/>
    <w:rsid w:val="00501CD3"/>
    <w:rsid w:val="00501CFC"/>
    <w:rsid w:val="0050233B"/>
    <w:rsid w:val="0050239D"/>
    <w:rsid w:val="00502404"/>
    <w:rsid w:val="005024F0"/>
    <w:rsid w:val="005025B0"/>
    <w:rsid w:val="00502659"/>
    <w:rsid w:val="005026A1"/>
    <w:rsid w:val="005027CB"/>
    <w:rsid w:val="005028F6"/>
    <w:rsid w:val="00502A64"/>
    <w:rsid w:val="00502B70"/>
    <w:rsid w:val="00502BF0"/>
    <w:rsid w:val="00502C6D"/>
    <w:rsid w:val="00502EE5"/>
    <w:rsid w:val="00503155"/>
    <w:rsid w:val="005034F4"/>
    <w:rsid w:val="00503611"/>
    <w:rsid w:val="0050388D"/>
    <w:rsid w:val="005038F5"/>
    <w:rsid w:val="0050397C"/>
    <w:rsid w:val="00503BDB"/>
    <w:rsid w:val="00503DCA"/>
    <w:rsid w:val="00503F27"/>
    <w:rsid w:val="00504106"/>
    <w:rsid w:val="0050419D"/>
    <w:rsid w:val="00504223"/>
    <w:rsid w:val="005042C1"/>
    <w:rsid w:val="00504429"/>
    <w:rsid w:val="005045CD"/>
    <w:rsid w:val="005046D2"/>
    <w:rsid w:val="005047EA"/>
    <w:rsid w:val="00504967"/>
    <w:rsid w:val="0050497B"/>
    <w:rsid w:val="005049A9"/>
    <w:rsid w:val="00504AE4"/>
    <w:rsid w:val="00504CC7"/>
    <w:rsid w:val="005050A2"/>
    <w:rsid w:val="0050510D"/>
    <w:rsid w:val="00505671"/>
    <w:rsid w:val="00505704"/>
    <w:rsid w:val="0050581C"/>
    <w:rsid w:val="00505A11"/>
    <w:rsid w:val="00505B32"/>
    <w:rsid w:val="00505C09"/>
    <w:rsid w:val="00505C5B"/>
    <w:rsid w:val="00505EDF"/>
    <w:rsid w:val="00505F91"/>
    <w:rsid w:val="00505F9F"/>
    <w:rsid w:val="00506230"/>
    <w:rsid w:val="00506248"/>
    <w:rsid w:val="0050631C"/>
    <w:rsid w:val="005063FA"/>
    <w:rsid w:val="0050670B"/>
    <w:rsid w:val="005067A4"/>
    <w:rsid w:val="005067E0"/>
    <w:rsid w:val="0050683E"/>
    <w:rsid w:val="005068F4"/>
    <w:rsid w:val="00506AEC"/>
    <w:rsid w:val="00506C1B"/>
    <w:rsid w:val="00506DF8"/>
    <w:rsid w:val="00506FCF"/>
    <w:rsid w:val="00507029"/>
    <w:rsid w:val="0050712C"/>
    <w:rsid w:val="00507ACB"/>
    <w:rsid w:val="00507B1D"/>
    <w:rsid w:val="00507F79"/>
    <w:rsid w:val="00510253"/>
    <w:rsid w:val="005102CC"/>
    <w:rsid w:val="0051030D"/>
    <w:rsid w:val="00510367"/>
    <w:rsid w:val="005106BD"/>
    <w:rsid w:val="0051078C"/>
    <w:rsid w:val="0051082F"/>
    <w:rsid w:val="00510AA0"/>
    <w:rsid w:val="00510B92"/>
    <w:rsid w:val="00510C69"/>
    <w:rsid w:val="00510DA2"/>
    <w:rsid w:val="00510FE9"/>
    <w:rsid w:val="00511007"/>
    <w:rsid w:val="0051110C"/>
    <w:rsid w:val="00511578"/>
    <w:rsid w:val="00511639"/>
    <w:rsid w:val="0051171B"/>
    <w:rsid w:val="005119B8"/>
    <w:rsid w:val="00511B29"/>
    <w:rsid w:val="00511B39"/>
    <w:rsid w:val="00511D6E"/>
    <w:rsid w:val="00511DD5"/>
    <w:rsid w:val="00511ED6"/>
    <w:rsid w:val="00511F16"/>
    <w:rsid w:val="0051230B"/>
    <w:rsid w:val="00512345"/>
    <w:rsid w:val="0051237F"/>
    <w:rsid w:val="005124ED"/>
    <w:rsid w:val="005125CB"/>
    <w:rsid w:val="0051266B"/>
    <w:rsid w:val="00512775"/>
    <w:rsid w:val="005127D7"/>
    <w:rsid w:val="005128E1"/>
    <w:rsid w:val="00512A47"/>
    <w:rsid w:val="00512B52"/>
    <w:rsid w:val="00512E76"/>
    <w:rsid w:val="00512F38"/>
    <w:rsid w:val="00512F91"/>
    <w:rsid w:val="0051302E"/>
    <w:rsid w:val="005130DA"/>
    <w:rsid w:val="00513239"/>
    <w:rsid w:val="00513366"/>
    <w:rsid w:val="005135C5"/>
    <w:rsid w:val="0051384B"/>
    <w:rsid w:val="00513890"/>
    <w:rsid w:val="005138B6"/>
    <w:rsid w:val="005138DD"/>
    <w:rsid w:val="00513A98"/>
    <w:rsid w:val="00513C97"/>
    <w:rsid w:val="00513CFC"/>
    <w:rsid w:val="00514085"/>
    <w:rsid w:val="00514155"/>
    <w:rsid w:val="005141E8"/>
    <w:rsid w:val="005147BE"/>
    <w:rsid w:val="00514A6E"/>
    <w:rsid w:val="00514AAA"/>
    <w:rsid w:val="00514D91"/>
    <w:rsid w:val="00514E35"/>
    <w:rsid w:val="00514E4C"/>
    <w:rsid w:val="0051571D"/>
    <w:rsid w:val="00515BAB"/>
    <w:rsid w:val="00515CAC"/>
    <w:rsid w:val="00515D64"/>
    <w:rsid w:val="00515D6E"/>
    <w:rsid w:val="005160DD"/>
    <w:rsid w:val="005161AF"/>
    <w:rsid w:val="005161FC"/>
    <w:rsid w:val="005166CA"/>
    <w:rsid w:val="005167EC"/>
    <w:rsid w:val="0051684B"/>
    <w:rsid w:val="00516A89"/>
    <w:rsid w:val="00516C57"/>
    <w:rsid w:val="00516DB2"/>
    <w:rsid w:val="00516E57"/>
    <w:rsid w:val="00516EAE"/>
    <w:rsid w:val="00516FF8"/>
    <w:rsid w:val="0051720A"/>
    <w:rsid w:val="00517257"/>
    <w:rsid w:val="00517558"/>
    <w:rsid w:val="00517753"/>
    <w:rsid w:val="0051778C"/>
    <w:rsid w:val="0051780B"/>
    <w:rsid w:val="00517910"/>
    <w:rsid w:val="00517A87"/>
    <w:rsid w:val="00517AB2"/>
    <w:rsid w:val="00517C84"/>
    <w:rsid w:val="00517D00"/>
    <w:rsid w:val="00517D2B"/>
    <w:rsid w:val="00517D64"/>
    <w:rsid w:val="00517D8A"/>
    <w:rsid w:val="00517DA0"/>
    <w:rsid w:val="005205D7"/>
    <w:rsid w:val="00520611"/>
    <w:rsid w:val="005207D3"/>
    <w:rsid w:val="00520932"/>
    <w:rsid w:val="0052097E"/>
    <w:rsid w:val="005209E0"/>
    <w:rsid w:val="00520A85"/>
    <w:rsid w:val="00520AA3"/>
    <w:rsid w:val="00520CFC"/>
    <w:rsid w:val="0052142F"/>
    <w:rsid w:val="00521652"/>
    <w:rsid w:val="005216C9"/>
    <w:rsid w:val="0052181E"/>
    <w:rsid w:val="00521901"/>
    <w:rsid w:val="00521A61"/>
    <w:rsid w:val="00521C3F"/>
    <w:rsid w:val="00521C51"/>
    <w:rsid w:val="00521CCE"/>
    <w:rsid w:val="00521CDB"/>
    <w:rsid w:val="00521F84"/>
    <w:rsid w:val="00522223"/>
    <w:rsid w:val="005225B2"/>
    <w:rsid w:val="0052284A"/>
    <w:rsid w:val="005228AE"/>
    <w:rsid w:val="0052293A"/>
    <w:rsid w:val="00522D7E"/>
    <w:rsid w:val="0052323B"/>
    <w:rsid w:val="00523521"/>
    <w:rsid w:val="00523708"/>
    <w:rsid w:val="0052373B"/>
    <w:rsid w:val="00523788"/>
    <w:rsid w:val="005237B3"/>
    <w:rsid w:val="0052389B"/>
    <w:rsid w:val="00523BAD"/>
    <w:rsid w:val="00523D70"/>
    <w:rsid w:val="005240EF"/>
    <w:rsid w:val="005241C1"/>
    <w:rsid w:val="005243BF"/>
    <w:rsid w:val="00524676"/>
    <w:rsid w:val="00524CFE"/>
    <w:rsid w:val="00524DFA"/>
    <w:rsid w:val="00524EA2"/>
    <w:rsid w:val="00524F99"/>
    <w:rsid w:val="00525077"/>
    <w:rsid w:val="005250CE"/>
    <w:rsid w:val="005252C5"/>
    <w:rsid w:val="00525356"/>
    <w:rsid w:val="005256EF"/>
    <w:rsid w:val="00525734"/>
    <w:rsid w:val="00525CE8"/>
    <w:rsid w:val="0052609D"/>
    <w:rsid w:val="0052617C"/>
    <w:rsid w:val="0052619A"/>
    <w:rsid w:val="00526205"/>
    <w:rsid w:val="0052647B"/>
    <w:rsid w:val="00526602"/>
    <w:rsid w:val="00526830"/>
    <w:rsid w:val="00526C50"/>
    <w:rsid w:val="00526EE5"/>
    <w:rsid w:val="005272BF"/>
    <w:rsid w:val="005273D7"/>
    <w:rsid w:val="00527503"/>
    <w:rsid w:val="00527895"/>
    <w:rsid w:val="005278DF"/>
    <w:rsid w:val="005279DC"/>
    <w:rsid w:val="00527A18"/>
    <w:rsid w:val="00527AD7"/>
    <w:rsid w:val="00527FF4"/>
    <w:rsid w:val="0053004C"/>
    <w:rsid w:val="005300A6"/>
    <w:rsid w:val="00530399"/>
    <w:rsid w:val="00530456"/>
    <w:rsid w:val="005304E7"/>
    <w:rsid w:val="00530A57"/>
    <w:rsid w:val="00530D10"/>
    <w:rsid w:val="00531163"/>
    <w:rsid w:val="005311F5"/>
    <w:rsid w:val="005312F5"/>
    <w:rsid w:val="0053135F"/>
    <w:rsid w:val="0053146E"/>
    <w:rsid w:val="005317C4"/>
    <w:rsid w:val="00531B10"/>
    <w:rsid w:val="00531C5A"/>
    <w:rsid w:val="00531E7E"/>
    <w:rsid w:val="0053222F"/>
    <w:rsid w:val="00532357"/>
    <w:rsid w:val="0053245F"/>
    <w:rsid w:val="005324E5"/>
    <w:rsid w:val="005324F3"/>
    <w:rsid w:val="00532630"/>
    <w:rsid w:val="005328BF"/>
    <w:rsid w:val="00532DAB"/>
    <w:rsid w:val="00532E15"/>
    <w:rsid w:val="00532EEA"/>
    <w:rsid w:val="00532F6B"/>
    <w:rsid w:val="00533385"/>
    <w:rsid w:val="005334BA"/>
    <w:rsid w:val="00533804"/>
    <w:rsid w:val="00533C4E"/>
    <w:rsid w:val="00533D41"/>
    <w:rsid w:val="00533D48"/>
    <w:rsid w:val="00533FF0"/>
    <w:rsid w:val="00534234"/>
    <w:rsid w:val="0053446A"/>
    <w:rsid w:val="005346BB"/>
    <w:rsid w:val="005348B0"/>
    <w:rsid w:val="00535179"/>
    <w:rsid w:val="005351DD"/>
    <w:rsid w:val="00535343"/>
    <w:rsid w:val="005354DA"/>
    <w:rsid w:val="005355A8"/>
    <w:rsid w:val="005356D1"/>
    <w:rsid w:val="00535705"/>
    <w:rsid w:val="005357E0"/>
    <w:rsid w:val="005357E4"/>
    <w:rsid w:val="005358DD"/>
    <w:rsid w:val="00536091"/>
    <w:rsid w:val="005360CE"/>
    <w:rsid w:val="0053639F"/>
    <w:rsid w:val="00536740"/>
    <w:rsid w:val="0053683F"/>
    <w:rsid w:val="00536A77"/>
    <w:rsid w:val="00536AD9"/>
    <w:rsid w:val="00536FAD"/>
    <w:rsid w:val="00537244"/>
    <w:rsid w:val="005372B7"/>
    <w:rsid w:val="005374EE"/>
    <w:rsid w:val="005376A5"/>
    <w:rsid w:val="00537951"/>
    <w:rsid w:val="00537ABC"/>
    <w:rsid w:val="00537BA4"/>
    <w:rsid w:val="00537BB8"/>
    <w:rsid w:val="00537CEC"/>
    <w:rsid w:val="00537CF9"/>
    <w:rsid w:val="00537D3D"/>
    <w:rsid w:val="00537FEF"/>
    <w:rsid w:val="00540031"/>
    <w:rsid w:val="0054017E"/>
    <w:rsid w:val="0054077C"/>
    <w:rsid w:val="00540B70"/>
    <w:rsid w:val="00540D8B"/>
    <w:rsid w:val="00540D9E"/>
    <w:rsid w:val="00540FF2"/>
    <w:rsid w:val="00541111"/>
    <w:rsid w:val="0054116C"/>
    <w:rsid w:val="005412B2"/>
    <w:rsid w:val="0054139E"/>
    <w:rsid w:val="00541462"/>
    <w:rsid w:val="005414C0"/>
    <w:rsid w:val="005414D7"/>
    <w:rsid w:val="005415CE"/>
    <w:rsid w:val="005418FA"/>
    <w:rsid w:val="00541987"/>
    <w:rsid w:val="00541B21"/>
    <w:rsid w:val="00541C35"/>
    <w:rsid w:val="00541F3A"/>
    <w:rsid w:val="00542032"/>
    <w:rsid w:val="005420F9"/>
    <w:rsid w:val="00542360"/>
    <w:rsid w:val="005424D3"/>
    <w:rsid w:val="0054256C"/>
    <w:rsid w:val="00542C40"/>
    <w:rsid w:val="00542DFA"/>
    <w:rsid w:val="00543035"/>
    <w:rsid w:val="005430EA"/>
    <w:rsid w:val="00543111"/>
    <w:rsid w:val="0054317C"/>
    <w:rsid w:val="005432AD"/>
    <w:rsid w:val="005435CC"/>
    <w:rsid w:val="005437BC"/>
    <w:rsid w:val="00543995"/>
    <w:rsid w:val="00543A13"/>
    <w:rsid w:val="00543BE8"/>
    <w:rsid w:val="00543CC5"/>
    <w:rsid w:val="00543EF9"/>
    <w:rsid w:val="005440CE"/>
    <w:rsid w:val="00544251"/>
    <w:rsid w:val="005443F6"/>
    <w:rsid w:val="00544528"/>
    <w:rsid w:val="0054462B"/>
    <w:rsid w:val="0054472C"/>
    <w:rsid w:val="00544853"/>
    <w:rsid w:val="0054486B"/>
    <w:rsid w:val="00544A0B"/>
    <w:rsid w:val="00544AA9"/>
    <w:rsid w:val="00544B22"/>
    <w:rsid w:val="00544D48"/>
    <w:rsid w:val="00544D4D"/>
    <w:rsid w:val="00544D59"/>
    <w:rsid w:val="00545197"/>
    <w:rsid w:val="00545274"/>
    <w:rsid w:val="00545638"/>
    <w:rsid w:val="00545794"/>
    <w:rsid w:val="00545B6E"/>
    <w:rsid w:val="00545CF5"/>
    <w:rsid w:val="00545E3E"/>
    <w:rsid w:val="00545F49"/>
    <w:rsid w:val="0054628E"/>
    <w:rsid w:val="00546312"/>
    <w:rsid w:val="0054636A"/>
    <w:rsid w:val="0054647F"/>
    <w:rsid w:val="005464CD"/>
    <w:rsid w:val="0054655D"/>
    <w:rsid w:val="00546760"/>
    <w:rsid w:val="00546BA3"/>
    <w:rsid w:val="00546C09"/>
    <w:rsid w:val="00546DB6"/>
    <w:rsid w:val="00546E2A"/>
    <w:rsid w:val="00546FFA"/>
    <w:rsid w:val="00547198"/>
    <w:rsid w:val="005472A9"/>
    <w:rsid w:val="00547345"/>
    <w:rsid w:val="0054747A"/>
    <w:rsid w:val="00547A3D"/>
    <w:rsid w:val="00547F6D"/>
    <w:rsid w:val="0055008F"/>
    <w:rsid w:val="0055034C"/>
    <w:rsid w:val="00550388"/>
    <w:rsid w:val="00550834"/>
    <w:rsid w:val="0055089C"/>
    <w:rsid w:val="00550ABE"/>
    <w:rsid w:val="00550B44"/>
    <w:rsid w:val="00550B66"/>
    <w:rsid w:val="00550B73"/>
    <w:rsid w:val="00550C5C"/>
    <w:rsid w:val="00550C99"/>
    <w:rsid w:val="00550DEA"/>
    <w:rsid w:val="0055111B"/>
    <w:rsid w:val="005512D1"/>
    <w:rsid w:val="00551560"/>
    <w:rsid w:val="005516D8"/>
    <w:rsid w:val="0055176C"/>
    <w:rsid w:val="00551894"/>
    <w:rsid w:val="00551B7D"/>
    <w:rsid w:val="00551CAD"/>
    <w:rsid w:val="00551CB7"/>
    <w:rsid w:val="00551DE0"/>
    <w:rsid w:val="005522CD"/>
    <w:rsid w:val="0055238E"/>
    <w:rsid w:val="0055280C"/>
    <w:rsid w:val="00552C6F"/>
    <w:rsid w:val="00552D6F"/>
    <w:rsid w:val="00552E42"/>
    <w:rsid w:val="00553096"/>
    <w:rsid w:val="005531AC"/>
    <w:rsid w:val="005532B8"/>
    <w:rsid w:val="00553322"/>
    <w:rsid w:val="005533D6"/>
    <w:rsid w:val="005533FB"/>
    <w:rsid w:val="00553413"/>
    <w:rsid w:val="005535A1"/>
    <w:rsid w:val="00553671"/>
    <w:rsid w:val="00553849"/>
    <w:rsid w:val="0055386B"/>
    <w:rsid w:val="00554115"/>
    <w:rsid w:val="0055433C"/>
    <w:rsid w:val="00554394"/>
    <w:rsid w:val="005544EE"/>
    <w:rsid w:val="005545C8"/>
    <w:rsid w:val="00554A19"/>
    <w:rsid w:val="00554AE7"/>
    <w:rsid w:val="00554B8E"/>
    <w:rsid w:val="00554C46"/>
    <w:rsid w:val="00554EC3"/>
    <w:rsid w:val="00554EE9"/>
    <w:rsid w:val="00554F2F"/>
    <w:rsid w:val="00555029"/>
    <w:rsid w:val="005551AA"/>
    <w:rsid w:val="005552DC"/>
    <w:rsid w:val="00555402"/>
    <w:rsid w:val="005554BD"/>
    <w:rsid w:val="005554FF"/>
    <w:rsid w:val="005556E6"/>
    <w:rsid w:val="00555755"/>
    <w:rsid w:val="00555969"/>
    <w:rsid w:val="00555A42"/>
    <w:rsid w:val="00555AAF"/>
    <w:rsid w:val="00555AB2"/>
    <w:rsid w:val="00555B9E"/>
    <w:rsid w:val="00555D34"/>
    <w:rsid w:val="00555D8D"/>
    <w:rsid w:val="00555FF4"/>
    <w:rsid w:val="005560B0"/>
    <w:rsid w:val="00556121"/>
    <w:rsid w:val="00556167"/>
    <w:rsid w:val="00556225"/>
    <w:rsid w:val="0055634D"/>
    <w:rsid w:val="00556350"/>
    <w:rsid w:val="00556632"/>
    <w:rsid w:val="0055679B"/>
    <w:rsid w:val="005567ED"/>
    <w:rsid w:val="005568F2"/>
    <w:rsid w:val="00556ABA"/>
    <w:rsid w:val="00556C2C"/>
    <w:rsid w:val="00556C78"/>
    <w:rsid w:val="00556EBA"/>
    <w:rsid w:val="00556FC8"/>
    <w:rsid w:val="00557218"/>
    <w:rsid w:val="0055747A"/>
    <w:rsid w:val="00557656"/>
    <w:rsid w:val="00557775"/>
    <w:rsid w:val="005577BD"/>
    <w:rsid w:val="00557A6D"/>
    <w:rsid w:val="00557B37"/>
    <w:rsid w:val="00557EBD"/>
    <w:rsid w:val="00557FF3"/>
    <w:rsid w:val="005600A5"/>
    <w:rsid w:val="005601DA"/>
    <w:rsid w:val="00560234"/>
    <w:rsid w:val="00560244"/>
    <w:rsid w:val="00560597"/>
    <w:rsid w:val="0056061C"/>
    <w:rsid w:val="0056064E"/>
    <w:rsid w:val="005606A2"/>
    <w:rsid w:val="005607E8"/>
    <w:rsid w:val="00560826"/>
    <w:rsid w:val="0056089E"/>
    <w:rsid w:val="005609BF"/>
    <w:rsid w:val="00560A0F"/>
    <w:rsid w:val="00560A2D"/>
    <w:rsid w:val="00560A3C"/>
    <w:rsid w:val="00560A82"/>
    <w:rsid w:val="00560EDB"/>
    <w:rsid w:val="00561129"/>
    <w:rsid w:val="00561271"/>
    <w:rsid w:val="0056145C"/>
    <w:rsid w:val="00561480"/>
    <w:rsid w:val="0056159A"/>
    <w:rsid w:val="005615DA"/>
    <w:rsid w:val="005618DF"/>
    <w:rsid w:val="00561915"/>
    <w:rsid w:val="0056191E"/>
    <w:rsid w:val="00561A4E"/>
    <w:rsid w:val="00561A8B"/>
    <w:rsid w:val="00561D07"/>
    <w:rsid w:val="00562071"/>
    <w:rsid w:val="0056220B"/>
    <w:rsid w:val="005622D1"/>
    <w:rsid w:val="00562404"/>
    <w:rsid w:val="00562410"/>
    <w:rsid w:val="005624C5"/>
    <w:rsid w:val="0056255C"/>
    <w:rsid w:val="0056273B"/>
    <w:rsid w:val="00562BB2"/>
    <w:rsid w:val="00562CB8"/>
    <w:rsid w:val="0056308B"/>
    <w:rsid w:val="005630BD"/>
    <w:rsid w:val="005633F9"/>
    <w:rsid w:val="005636D6"/>
    <w:rsid w:val="005637F6"/>
    <w:rsid w:val="00563896"/>
    <w:rsid w:val="00563B82"/>
    <w:rsid w:val="00563C65"/>
    <w:rsid w:val="005640EB"/>
    <w:rsid w:val="0056458B"/>
    <w:rsid w:val="0056479F"/>
    <w:rsid w:val="00564806"/>
    <w:rsid w:val="0056480B"/>
    <w:rsid w:val="0056497D"/>
    <w:rsid w:val="00564A21"/>
    <w:rsid w:val="00564CEA"/>
    <w:rsid w:val="00564DBC"/>
    <w:rsid w:val="0056511E"/>
    <w:rsid w:val="0056518F"/>
    <w:rsid w:val="005652BA"/>
    <w:rsid w:val="005652D0"/>
    <w:rsid w:val="0056536B"/>
    <w:rsid w:val="005654C0"/>
    <w:rsid w:val="005658A6"/>
    <w:rsid w:val="00565A07"/>
    <w:rsid w:val="00565A89"/>
    <w:rsid w:val="00565CF8"/>
    <w:rsid w:val="005660DA"/>
    <w:rsid w:val="005661BE"/>
    <w:rsid w:val="005663DA"/>
    <w:rsid w:val="00566727"/>
    <w:rsid w:val="005668B9"/>
    <w:rsid w:val="005668EF"/>
    <w:rsid w:val="00566B94"/>
    <w:rsid w:val="00566DB4"/>
    <w:rsid w:val="00566FF6"/>
    <w:rsid w:val="00567118"/>
    <w:rsid w:val="0056729C"/>
    <w:rsid w:val="0056733A"/>
    <w:rsid w:val="005673C9"/>
    <w:rsid w:val="005676B1"/>
    <w:rsid w:val="0056775E"/>
    <w:rsid w:val="005678E5"/>
    <w:rsid w:val="00567944"/>
    <w:rsid w:val="00567A20"/>
    <w:rsid w:val="00567B06"/>
    <w:rsid w:val="00567E35"/>
    <w:rsid w:val="00567E82"/>
    <w:rsid w:val="005700FF"/>
    <w:rsid w:val="00570221"/>
    <w:rsid w:val="00570312"/>
    <w:rsid w:val="0057032B"/>
    <w:rsid w:val="00570411"/>
    <w:rsid w:val="0057049F"/>
    <w:rsid w:val="00570699"/>
    <w:rsid w:val="005706F2"/>
    <w:rsid w:val="0057075E"/>
    <w:rsid w:val="005708EA"/>
    <w:rsid w:val="00570AD3"/>
    <w:rsid w:val="00570B67"/>
    <w:rsid w:val="00570DE0"/>
    <w:rsid w:val="00570DE7"/>
    <w:rsid w:val="00571003"/>
    <w:rsid w:val="0057123F"/>
    <w:rsid w:val="00571371"/>
    <w:rsid w:val="005713F9"/>
    <w:rsid w:val="00571636"/>
    <w:rsid w:val="00571A7D"/>
    <w:rsid w:val="00571C54"/>
    <w:rsid w:val="00572115"/>
    <w:rsid w:val="0057217E"/>
    <w:rsid w:val="005723AC"/>
    <w:rsid w:val="005723CB"/>
    <w:rsid w:val="0057240D"/>
    <w:rsid w:val="00572432"/>
    <w:rsid w:val="00572478"/>
    <w:rsid w:val="005727E6"/>
    <w:rsid w:val="005727F5"/>
    <w:rsid w:val="0057291B"/>
    <w:rsid w:val="00572B93"/>
    <w:rsid w:val="00572D70"/>
    <w:rsid w:val="00572F72"/>
    <w:rsid w:val="0057336E"/>
    <w:rsid w:val="005738DA"/>
    <w:rsid w:val="00573AB6"/>
    <w:rsid w:val="00573CDD"/>
    <w:rsid w:val="00573E1F"/>
    <w:rsid w:val="00573FDF"/>
    <w:rsid w:val="00574119"/>
    <w:rsid w:val="00574139"/>
    <w:rsid w:val="005741A0"/>
    <w:rsid w:val="005741AF"/>
    <w:rsid w:val="005743DD"/>
    <w:rsid w:val="0057447C"/>
    <w:rsid w:val="0057458A"/>
    <w:rsid w:val="0057469F"/>
    <w:rsid w:val="005748BB"/>
    <w:rsid w:val="005748EA"/>
    <w:rsid w:val="00574BAA"/>
    <w:rsid w:val="00574C84"/>
    <w:rsid w:val="00574E48"/>
    <w:rsid w:val="00574F2D"/>
    <w:rsid w:val="0057506A"/>
    <w:rsid w:val="00575235"/>
    <w:rsid w:val="0057546E"/>
    <w:rsid w:val="005754AB"/>
    <w:rsid w:val="0057553C"/>
    <w:rsid w:val="0057557D"/>
    <w:rsid w:val="005756F4"/>
    <w:rsid w:val="005759AA"/>
    <w:rsid w:val="00575A2A"/>
    <w:rsid w:val="00575A79"/>
    <w:rsid w:val="00575F49"/>
    <w:rsid w:val="00575FB1"/>
    <w:rsid w:val="005761BF"/>
    <w:rsid w:val="00576434"/>
    <w:rsid w:val="005765EF"/>
    <w:rsid w:val="0057682D"/>
    <w:rsid w:val="0057694E"/>
    <w:rsid w:val="00576AF5"/>
    <w:rsid w:val="00576B40"/>
    <w:rsid w:val="00576D2F"/>
    <w:rsid w:val="00577070"/>
    <w:rsid w:val="0057708B"/>
    <w:rsid w:val="0057733A"/>
    <w:rsid w:val="00577653"/>
    <w:rsid w:val="00577AA3"/>
    <w:rsid w:val="00577EC1"/>
    <w:rsid w:val="00577EE8"/>
    <w:rsid w:val="00577F62"/>
    <w:rsid w:val="00580010"/>
    <w:rsid w:val="00580549"/>
    <w:rsid w:val="00580743"/>
    <w:rsid w:val="00580AB3"/>
    <w:rsid w:val="00580BAC"/>
    <w:rsid w:val="00580BAF"/>
    <w:rsid w:val="00580C4B"/>
    <w:rsid w:val="00580FEB"/>
    <w:rsid w:val="005812E4"/>
    <w:rsid w:val="00581358"/>
    <w:rsid w:val="0058160C"/>
    <w:rsid w:val="0058161D"/>
    <w:rsid w:val="0058170F"/>
    <w:rsid w:val="005817B9"/>
    <w:rsid w:val="00581893"/>
    <w:rsid w:val="005818BE"/>
    <w:rsid w:val="0058198B"/>
    <w:rsid w:val="00581CB4"/>
    <w:rsid w:val="00581CCC"/>
    <w:rsid w:val="00581D45"/>
    <w:rsid w:val="0058247A"/>
    <w:rsid w:val="005825C8"/>
    <w:rsid w:val="0058267A"/>
    <w:rsid w:val="005826F4"/>
    <w:rsid w:val="005829E9"/>
    <w:rsid w:val="00582D3E"/>
    <w:rsid w:val="00582E00"/>
    <w:rsid w:val="00582E6D"/>
    <w:rsid w:val="00583147"/>
    <w:rsid w:val="00583223"/>
    <w:rsid w:val="0058331F"/>
    <w:rsid w:val="0058342E"/>
    <w:rsid w:val="0058369E"/>
    <w:rsid w:val="0058373F"/>
    <w:rsid w:val="005837DB"/>
    <w:rsid w:val="0058385C"/>
    <w:rsid w:val="00583E6B"/>
    <w:rsid w:val="00583FB8"/>
    <w:rsid w:val="005840D7"/>
    <w:rsid w:val="00584408"/>
    <w:rsid w:val="00584933"/>
    <w:rsid w:val="00584C25"/>
    <w:rsid w:val="00584E3E"/>
    <w:rsid w:val="00584EF8"/>
    <w:rsid w:val="00584F98"/>
    <w:rsid w:val="00585322"/>
    <w:rsid w:val="00585395"/>
    <w:rsid w:val="00585411"/>
    <w:rsid w:val="00585413"/>
    <w:rsid w:val="00585449"/>
    <w:rsid w:val="00585489"/>
    <w:rsid w:val="00585668"/>
    <w:rsid w:val="00585726"/>
    <w:rsid w:val="00585755"/>
    <w:rsid w:val="00585932"/>
    <w:rsid w:val="00585B3A"/>
    <w:rsid w:val="00585B97"/>
    <w:rsid w:val="00585DD8"/>
    <w:rsid w:val="00585FD0"/>
    <w:rsid w:val="00586357"/>
    <w:rsid w:val="00586640"/>
    <w:rsid w:val="00586A03"/>
    <w:rsid w:val="00586A20"/>
    <w:rsid w:val="00586FAC"/>
    <w:rsid w:val="00586FC4"/>
    <w:rsid w:val="0058700E"/>
    <w:rsid w:val="005870BE"/>
    <w:rsid w:val="00587129"/>
    <w:rsid w:val="0058712D"/>
    <w:rsid w:val="005871C2"/>
    <w:rsid w:val="0058726A"/>
    <w:rsid w:val="00587386"/>
    <w:rsid w:val="00587568"/>
    <w:rsid w:val="00587603"/>
    <w:rsid w:val="00587736"/>
    <w:rsid w:val="00587896"/>
    <w:rsid w:val="00587992"/>
    <w:rsid w:val="00587A00"/>
    <w:rsid w:val="00587B17"/>
    <w:rsid w:val="00587D2E"/>
    <w:rsid w:val="00587D70"/>
    <w:rsid w:val="00587E83"/>
    <w:rsid w:val="005901E9"/>
    <w:rsid w:val="00590346"/>
    <w:rsid w:val="00590423"/>
    <w:rsid w:val="00590645"/>
    <w:rsid w:val="005908C2"/>
    <w:rsid w:val="005908FA"/>
    <w:rsid w:val="00590A4F"/>
    <w:rsid w:val="00590A8A"/>
    <w:rsid w:val="00590AC5"/>
    <w:rsid w:val="00590BAA"/>
    <w:rsid w:val="00590BBA"/>
    <w:rsid w:val="00590C7F"/>
    <w:rsid w:val="00590CC8"/>
    <w:rsid w:val="00590D09"/>
    <w:rsid w:val="00590E17"/>
    <w:rsid w:val="00590E84"/>
    <w:rsid w:val="00591015"/>
    <w:rsid w:val="00591134"/>
    <w:rsid w:val="00591246"/>
    <w:rsid w:val="0059156A"/>
    <w:rsid w:val="005915EC"/>
    <w:rsid w:val="0059171C"/>
    <w:rsid w:val="00591725"/>
    <w:rsid w:val="00591B0D"/>
    <w:rsid w:val="00591BF8"/>
    <w:rsid w:val="00591C4C"/>
    <w:rsid w:val="00591F0C"/>
    <w:rsid w:val="0059204D"/>
    <w:rsid w:val="005922B0"/>
    <w:rsid w:val="00592401"/>
    <w:rsid w:val="00592541"/>
    <w:rsid w:val="005925A4"/>
    <w:rsid w:val="005926C1"/>
    <w:rsid w:val="005928D4"/>
    <w:rsid w:val="0059297A"/>
    <w:rsid w:val="00592A08"/>
    <w:rsid w:val="00592AC8"/>
    <w:rsid w:val="00592DA6"/>
    <w:rsid w:val="00592DCC"/>
    <w:rsid w:val="00592EDB"/>
    <w:rsid w:val="00592EF1"/>
    <w:rsid w:val="00592F90"/>
    <w:rsid w:val="005930E0"/>
    <w:rsid w:val="005932A2"/>
    <w:rsid w:val="00593314"/>
    <w:rsid w:val="00593481"/>
    <w:rsid w:val="0059368E"/>
    <w:rsid w:val="0059371D"/>
    <w:rsid w:val="00593A6A"/>
    <w:rsid w:val="00593ADB"/>
    <w:rsid w:val="00593B2F"/>
    <w:rsid w:val="00593B5D"/>
    <w:rsid w:val="00593B76"/>
    <w:rsid w:val="00593BF5"/>
    <w:rsid w:val="00593CBE"/>
    <w:rsid w:val="00593D5E"/>
    <w:rsid w:val="00593FB8"/>
    <w:rsid w:val="005941FA"/>
    <w:rsid w:val="00594496"/>
    <w:rsid w:val="00594570"/>
    <w:rsid w:val="00594683"/>
    <w:rsid w:val="00594712"/>
    <w:rsid w:val="00594811"/>
    <w:rsid w:val="005948FC"/>
    <w:rsid w:val="00594A0E"/>
    <w:rsid w:val="00594B29"/>
    <w:rsid w:val="00594CE0"/>
    <w:rsid w:val="00594D59"/>
    <w:rsid w:val="00594DD2"/>
    <w:rsid w:val="005950B3"/>
    <w:rsid w:val="0059529B"/>
    <w:rsid w:val="005954DF"/>
    <w:rsid w:val="00595623"/>
    <w:rsid w:val="005956D3"/>
    <w:rsid w:val="00595B0F"/>
    <w:rsid w:val="00595E05"/>
    <w:rsid w:val="00595EF5"/>
    <w:rsid w:val="005960B2"/>
    <w:rsid w:val="00596167"/>
    <w:rsid w:val="0059622A"/>
    <w:rsid w:val="0059624A"/>
    <w:rsid w:val="00596365"/>
    <w:rsid w:val="005965BC"/>
    <w:rsid w:val="00596633"/>
    <w:rsid w:val="005968A0"/>
    <w:rsid w:val="005968ED"/>
    <w:rsid w:val="00596973"/>
    <w:rsid w:val="00596A37"/>
    <w:rsid w:val="00596AF1"/>
    <w:rsid w:val="00596B86"/>
    <w:rsid w:val="00596F19"/>
    <w:rsid w:val="00596F93"/>
    <w:rsid w:val="00597055"/>
    <w:rsid w:val="005970C3"/>
    <w:rsid w:val="00597159"/>
    <w:rsid w:val="005972ED"/>
    <w:rsid w:val="00597368"/>
    <w:rsid w:val="0059759E"/>
    <w:rsid w:val="005975BA"/>
    <w:rsid w:val="005975C0"/>
    <w:rsid w:val="005976C3"/>
    <w:rsid w:val="00597B3E"/>
    <w:rsid w:val="00597C30"/>
    <w:rsid w:val="00597D3F"/>
    <w:rsid w:val="00597E45"/>
    <w:rsid w:val="00597F82"/>
    <w:rsid w:val="00597FC3"/>
    <w:rsid w:val="005A0137"/>
    <w:rsid w:val="005A019A"/>
    <w:rsid w:val="005A027E"/>
    <w:rsid w:val="005A02BD"/>
    <w:rsid w:val="005A0636"/>
    <w:rsid w:val="005A07CF"/>
    <w:rsid w:val="005A082A"/>
    <w:rsid w:val="005A0A77"/>
    <w:rsid w:val="005A0B0C"/>
    <w:rsid w:val="005A0C96"/>
    <w:rsid w:val="005A0DA4"/>
    <w:rsid w:val="005A0F34"/>
    <w:rsid w:val="005A0FA8"/>
    <w:rsid w:val="005A1019"/>
    <w:rsid w:val="005A1323"/>
    <w:rsid w:val="005A1332"/>
    <w:rsid w:val="005A1342"/>
    <w:rsid w:val="005A191A"/>
    <w:rsid w:val="005A1AA4"/>
    <w:rsid w:val="005A1B25"/>
    <w:rsid w:val="005A1BF1"/>
    <w:rsid w:val="005A1CFD"/>
    <w:rsid w:val="005A2402"/>
    <w:rsid w:val="005A2410"/>
    <w:rsid w:val="005A25FB"/>
    <w:rsid w:val="005A2606"/>
    <w:rsid w:val="005A2820"/>
    <w:rsid w:val="005A28BA"/>
    <w:rsid w:val="005A2ED3"/>
    <w:rsid w:val="005A2FDC"/>
    <w:rsid w:val="005A303A"/>
    <w:rsid w:val="005A30BA"/>
    <w:rsid w:val="005A31FF"/>
    <w:rsid w:val="005A32A2"/>
    <w:rsid w:val="005A33B1"/>
    <w:rsid w:val="005A35F6"/>
    <w:rsid w:val="005A362B"/>
    <w:rsid w:val="005A3631"/>
    <w:rsid w:val="005A395F"/>
    <w:rsid w:val="005A3A32"/>
    <w:rsid w:val="005A3B73"/>
    <w:rsid w:val="005A3BBA"/>
    <w:rsid w:val="005A41ED"/>
    <w:rsid w:val="005A43BF"/>
    <w:rsid w:val="005A447C"/>
    <w:rsid w:val="005A44CE"/>
    <w:rsid w:val="005A4540"/>
    <w:rsid w:val="005A46ED"/>
    <w:rsid w:val="005A4736"/>
    <w:rsid w:val="005A474C"/>
    <w:rsid w:val="005A4CF2"/>
    <w:rsid w:val="005A4F98"/>
    <w:rsid w:val="005A4FC6"/>
    <w:rsid w:val="005A515B"/>
    <w:rsid w:val="005A5509"/>
    <w:rsid w:val="005A55FC"/>
    <w:rsid w:val="005A5BDA"/>
    <w:rsid w:val="005A5CAD"/>
    <w:rsid w:val="005A5D3D"/>
    <w:rsid w:val="005A5DE3"/>
    <w:rsid w:val="005A5E3E"/>
    <w:rsid w:val="005A5EC8"/>
    <w:rsid w:val="005A5F5D"/>
    <w:rsid w:val="005A65F0"/>
    <w:rsid w:val="005A665F"/>
    <w:rsid w:val="005A6CE1"/>
    <w:rsid w:val="005A6D80"/>
    <w:rsid w:val="005A7142"/>
    <w:rsid w:val="005A71A3"/>
    <w:rsid w:val="005A7521"/>
    <w:rsid w:val="005A77A9"/>
    <w:rsid w:val="005A78A5"/>
    <w:rsid w:val="005A7998"/>
    <w:rsid w:val="005A7AB0"/>
    <w:rsid w:val="005A7C4F"/>
    <w:rsid w:val="005A7E78"/>
    <w:rsid w:val="005A7F56"/>
    <w:rsid w:val="005A7F8D"/>
    <w:rsid w:val="005B0270"/>
    <w:rsid w:val="005B03ED"/>
    <w:rsid w:val="005B0414"/>
    <w:rsid w:val="005B063F"/>
    <w:rsid w:val="005B09A1"/>
    <w:rsid w:val="005B0A50"/>
    <w:rsid w:val="005B0B86"/>
    <w:rsid w:val="005B0CB6"/>
    <w:rsid w:val="005B0CE1"/>
    <w:rsid w:val="005B0D85"/>
    <w:rsid w:val="005B0DAE"/>
    <w:rsid w:val="005B0F5A"/>
    <w:rsid w:val="005B0FC7"/>
    <w:rsid w:val="005B110C"/>
    <w:rsid w:val="005B1172"/>
    <w:rsid w:val="005B12CB"/>
    <w:rsid w:val="005B1385"/>
    <w:rsid w:val="005B1401"/>
    <w:rsid w:val="005B14AB"/>
    <w:rsid w:val="005B1632"/>
    <w:rsid w:val="005B1776"/>
    <w:rsid w:val="005B1BA3"/>
    <w:rsid w:val="005B1BA8"/>
    <w:rsid w:val="005B1D18"/>
    <w:rsid w:val="005B1ED7"/>
    <w:rsid w:val="005B1EF3"/>
    <w:rsid w:val="005B1F11"/>
    <w:rsid w:val="005B21E5"/>
    <w:rsid w:val="005B22D4"/>
    <w:rsid w:val="005B232F"/>
    <w:rsid w:val="005B239A"/>
    <w:rsid w:val="005B23B9"/>
    <w:rsid w:val="005B23BF"/>
    <w:rsid w:val="005B24D4"/>
    <w:rsid w:val="005B2570"/>
    <w:rsid w:val="005B26E0"/>
    <w:rsid w:val="005B2867"/>
    <w:rsid w:val="005B2945"/>
    <w:rsid w:val="005B29D3"/>
    <w:rsid w:val="005B2AF4"/>
    <w:rsid w:val="005B2BE5"/>
    <w:rsid w:val="005B2C7E"/>
    <w:rsid w:val="005B2DAB"/>
    <w:rsid w:val="005B2FDD"/>
    <w:rsid w:val="005B3091"/>
    <w:rsid w:val="005B30F8"/>
    <w:rsid w:val="005B318D"/>
    <w:rsid w:val="005B328D"/>
    <w:rsid w:val="005B32FB"/>
    <w:rsid w:val="005B3305"/>
    <w:rsid w:val="005B3559"/>
    <w:rsid w:val="005B37C7"/>
    <w:rsid w:val="005B3A40"/>
    <w:rsid w:val="005B3B24"/>
    <w:rsid w:val="005B3BB7"/>
    <w:rsid w:val="005B3D03"/>
    <w:rsid w:val="005B3D6E"/>
    <w:rsid w:val="005B3F5D"/>
    <w:rsid w:val="005B41ED"/>
    <w:rsid w:val="005B41F9"/>
    <w:rsid w:val="005B422C"/>
    <w:rsid w:val="005B426A"/>
    <w:rsid w:val="005B42A4"/>
    <w:rsid w:val="005B4325"/>
    <w:rsid w:val="005B439E"/>
    <w:rsid w:val="005B4402"/>
    <w:rsid w:val="005B45D9"/>
    <w:rsid w:val="005B475F"/>
    <w:rsid w:val="005B4808"/>
    <w:rsid w:val="005B4830"/>
    <w:rsid w:val="005B486B"/>
    <w:rsid w:val="005B4876"/>
    <w:rsid w:val="005B497B"/>
    <w:rsid w:val="005B4C9D"/>
    <w:rsid w:val="005B4CB5"/>
    <w:rsid w:val="005B4F47"/>
    <w:rsid w:val="005B4FC8"/>
    <w:rsid w:val="005B50A2"/>
    <w:rsid w:val="005B52D9"/>
    <w:rsid w:val="005B54B5"/>
    <w:rsid w:val="005B5508"/>
    <w:rsid w:val="005B564B"/>
    <w:rsid w:val="005B5700"/>
    <w:rsid w:val="005B572E"/>
    <w:rsid w:val="005B59B8"/>
    <w:rsid w:val="005B5C0A"/>
    <w:rsid w:val="005B5CEE"/>
    <w:rsid w:val="005B5E5C"/>
    <w:rsid w:val="005B605E"/>
    <w:rsid w:val="005B66CD"/>
    <w:rsid w:val="005B680B"/>
    <w:rsid w:val="005B6A0B"/>
    <w:rsid w:val="005B6E0B"/>
    <w:rsid w:val="005B6F34"/>
    <w:rsid w:val="005B7188"/>
    <w:rsid w:val="005B71B5"/>
    <w:rsid w:val="005B7420"/>
    <w:rsid w:val="005B77FE"/>
    <w:rsid w:val="005B7AA6"/>
    <w:rsid w:val="005B7AF4"/>
    <w:rsid w:val="005B7DDD"/>
    <w:rsid w:val="005B7DE7"/>
    <w:rsid w:val="005B7E3F"/>
    <w:rsid w:val="005B7EB0"/>
    <w:rsid w:val="005B7FE4"/>
    <w:rsid w:val="005C04E3"/>
    <w:rsid w:val="005C05E0"/>
    <w:rsid w:val="005C0614"/>
    <w:rsid w:val="005C07EA"/>
    <w:rsid w:val="005C0916"/>
    <w:rsid w:val="005C0B29"/>
    <w:rsid w:val="005C0C72"/>
    <w:rsid w:val="005C1214"/>
    <w:rsid w:val="005C13F3"/>
    <w:rsid w:val="005C17B8"/>
    <w:rsid w:val="005C18E0"/>
    <w:rsid w:val="005C1908"/>
    <w:rsid w:val="005C1B44"/>
    <w:rsid w:val="005C1F1D"/>
    <w:rsid w:val="005C20E8"/>
    <w:rsid w:val="005C274D"/>
    <w:rsid w:val="005C2836"/>
    <w:rsid w:val="005C2999"/>
    <w:rsid w:val="005C29C3"/>
    <w:rsid w:val="005C2AD7"/>
    <w:rsid w:val="005C2D3F"/>
    <w:rsid w:val="005C3098"/>
    <w:rsid w:val="005C3189"/>
    <w:rsid w:val="005C339B"/>
    <w:rsid w:val="005C3496"/>
    <w:rsid w:val="005C350E"/>
    <w:rsid w:val="005C3541"/>
    <w:rsid w:val="005C35F0"/>
    <w:rsid w:val="005C365F"/>
    <w:rsid w:val="005C3675"/>
    <w:rsid w:val="005C37E0"/>
    <w:rsid w:val="005C3836"/>
    <w:rsid w:val="005C3A20"/>
    <w:rsid w:val="005C3DE4"/>
    <w:rsid w:val="005C3F5E"/>
    <w:rsid w:val="005C3FA5"/>
    <w:rsid w:val="005C4138"/>
    <w:rsid w:val="005C4210"/>
    <w:rsid w:val="005C4324"/>
    <w:rsid w:val="005C4722"/>
    <w:rsid w:val="005C4955"/>
    <w:rsid w:val="005C4C4F"/>
    <w:rsid w:val="005C5027"/>
    <w:rsid w:val="005C50AD"/>
    <w:rsid w:val="005C50C5"/>
    <w:rsid w:val="005C519A"/>
    <w:rsid w:val="005C5203"/>
    <w:rsid w:val="005C52D8"/>
    <w:rsid w:val="005C54B9"/>
    <w:rsid w:val="005C5574"/>
    <w:rsid w:val="005C58B6"/>
    <w:rsid w:val="005C59E8"/>
    <w:rsid w:val="005C59F8"/>
    <w:rsid w:val="005C5A0D"/>
    <w:rsid w:val="005C5A1C"/>
    <w:rsid w:val="005C5C8B"/>
    <w:rsid w:val="005C5FED"/>
    <w:rsid w:val="005C600C"/>
    <w:rsid w:val="005C61EC"/>
    <w:rsid w:val="005C6534"/>
    <w:rsid w:val="005C6618"/>
    <w:rsid w:val="005C66B4"/>
    <w:rsid w:val="005C6808"/>
    <w:rsid w:val="005C6842"/>
    <w:rsid w:val="005C6968"/>
    <w:rsid w:val="005C6F43"/>
    <w:rsid w:val="005C6F8C"/>
    <w:rsid w:val="005C6FE1"/>
    <w:rsid w:val="005C734B"/>
    <w:rsid w:val="005C73B4"/>
    <w:rsid w:val="005C73C9"/>
    <w:rsid w:val="005C7740"/>
    <w:rsid w:val="005C77C0"/>
    <w:rsid w:val="005C78F3"/>
    <w:rsid w:val="005C7A0E"/>
    <w:rsid w:val="005C7A7C"/>
    <w:rsid w:val="005C7A84"/>
    <w:rsid w:val="005C7BFC"/>
    <w:rsid w:val="005C7D41"/>
    <w:rsid w:val="005C7D98"/>
    <w:rsid w:val="005C7D9B"/>
    <w:rsid w:val="005C7EC5"/>
    <w:rsid w:val="005D0189"/>
    <w:rsid w:val="005D0401"/>
    <w:rsid w:val="005D04A7"/>
    <w:rsid w:val="005D07E5"/>
    <w:rsid w:val="005D0920"/>
    <w:rsid w:val="005D09A1"/>
    <w:rsid w:val="005D0C98"/>
    <w:rsid w:val="005D0E0A"/>
    <w:rsid w:val="005D0F8B"/>
    <w:rsid w:val="005D0FB0"/>
    <w:rsid w:val="005D1353"/>
    <w:rsid w:val="005D16CD"/>
    <w:rsid w:val="005D17C6"/>
    <w:rsid w:val="005D1996"/>
    <w:rsid w:val="005D1B3F"/>
    <w:rsid w:val="005D1BD6"/>
    <w:rsid w:val="005D1C00"/>
    <w:rsid w:val="005D2209"/>
    <w:rsid w:val="005D2336"/>
    <w:rsid w:val="005D2518"/>
    <w:rsid w:val="005D26C8"/>
    <w:rsid w:val="005D2750"/>
    <w:rsid w:val="005D275A"/>
    <w:rsid w:val="005D2786"/>
    <w:rsid w:val="005D27A8"/>
    <w:rsid w:val="005D2C28"/>
    <w:rsid w:val="005D2C5C"/>
    <w:rsid w:val="005D2E35"/>
    <w:rsid w:val="005D30AA"/>
    <w:rsid w:val="005D32B2"/>
    <w:rsid w:val="005D32DD"/>
    <w:rsid w:val="005D368C"/>
    <w:rsid w:val="005D38AA"/>
    <w:rsid w:val="005D3942"/>
    <w:rsid w:val="005D39A2"/>
    <w:rsid w:val="005D3D17"/>
    <w:rsid w:val="005D3EFA"/>
    <w:rsid w:val="005D3F91"/>
    <w:rsid w:val="005D4032"/>
    <w:rsid w:val="005D40EF"/>
    <w:rsid w:val="005D43CB"/>
    <w:rsid w:val="005D47AE"/>
    <w:rsid w:val="005D492E"/>
    <w:rsid w:val="005D4BAB"/>
    <w:rsid w:val="005D508C"/>
    <w:rsid w:val="005D513F"/>
    <w:rsid w:val="005D52E3"/>
    <w:rsid w:val="005D531D"/>
    <w:rsid w:val="005D5383"/>
    <w:rsid w:val="005D5599"/>
    <w:rsid w:val="005D5A51"/>
    <w:rsid w:val="005D5B30"/>
    <w:rsid w:val="005D5CD1"/>
    <w:rsid w:val="005D5F2A"/>
    <w:rsid w:val="005D6109"/>
    <w:rsid w:val="005D6139"/>
    <w:rsid w:val="005D6281"/>
    <w:rsid w:val="005D630B"/>
    <w:rsid w:val="005D64D9"/>
    <w:rsid w:val="005D66D6"/>
    <w:rsid w:val="005D678D"/>
    <w:rsid w:val="005D6A0E"/>
    <w:rsid w:val="005D6AA8"/>
    <w:rsid w:val="005D6B66"/>
    <w:rsid w:val="005D6D0B"/>
    <w:rsid w:val="005D70D3"/>
    <w:rsid w:val="005D7204"/>
    <w:rsid w:val="005D72A0"/>
    <w:rsid w:val="005D75C9"/>
    <w:rsid w:val="005D79AD"/>
    <w:rsid w:val="005D79D3"/>
    <w:rsid w:val="005D7A6F"/>
    <w:rsid w:val="005D7D89"/>
    <w:rsid w:val="005D7E33"/>
    <w:rsid w:val="005D7E4C"/>
    <w:rsid w:val="005D7E89"/>
    <w:rsid w:val="005E015C"/>
    <w:rsid w:val="005E02B8"/>
    <w:rsid w:val="005E0466"/>
    <w:rsid w:val="005E04AD"/>
    <w:rsid w:val="005E051E"/>
    <w:rsid w:val="005E0551"/>
    <w:rsid w:val="005E0612"/>
    <w:rsid w:val="005E0614"/>
    <w:rsid w:val="005E0940"/>
    <w:rsid w:val="005E099E"/>
    <w:rsid w:val="005E0AD5"/>
    <w:rsid w:val="005E0B14"/>
    <w:rsid w:val="005E0FC5"/>
    <w:rsid w:val="005E106B"/>
    <w:rsid w:val="005E124F"/>
    <w:rsid w:val="005E1530"/>
    <w:rsid w:val="005E1831"/>
    <w:rsid w:val="005E1902"/>
    <w:rsid w:val="005E1A36"/>
    <w:rsid w:val="005E1A99"/>
    <w:rsid w:val="005E1CE7"/>
    <w:rsid w:val="005E1EBB"/>
    <w:rsid w:val="005E235D"/>
    <w:rsid w:val="005E237E"/>
    <w:rsid w:val="005E252F"/>
    <w:rsid w:val="005E26BD"/>
    <w:rsid w:val="005E2843"/>
    <w:rsid w:val="005E2B61"/>
    <w:rsid w:val="005E2D2F"/>
    <w:rsid w:val="005E32B8"/>
    <w:rsid w:val="005E32D5"/>
    <w:rsid w:val="005E3350"/>
    <w:rsid w:val="005E3464"/>
    <w:rsid w:val="005E38D9"/>
    <w:rsid w:val="005E3995"/>
    <w:rsid w:val="005E3B1F"/>
    <w:rsid w:val="005E3C05"/>
    <w:rsid w:val="005E3D9C"/>
    <w:rsid w:val="005E4000"/>
    <w:rsid w:val="005E4070"/>
    <w:rsid w:val="005E4077"/>
    <w:rsid w:val="005E4131"/>
    <w:rsid w:val="005E414A"/>
    <w:rsid w:val="005E416C"/>
    <w:rsid w:val="005E4296"/>
    <w:rsid w:val="005E4305"/>
    <w:rsid w:val="005E4470"/>
    <w:rsid w:val="005E45CC"/>
    <w:rsid w:val="005E45E9"/>
    <w:rsid w:val="005E4687"/>
    <w:rsid w:val="005E46E9"/>
    <w:rsid w:val="005E480C"/>
    <w:rsid w:val="005E481C"/>
    <w:rsid w:val="005E4888"/>
    <w:rsid w:val="005E4C9C"/>
    <w:rsid w:val="005E5067"/>
    <w:rsid w:val="005E506E"/>
    <w:rsid w:val="005E530F"/>
    <w:rsid w:val="005E5794"/>
    <w:rsid w:val="005E5908"/>
    <w:rsid w:val="005E598E"/>
    <w:rsid w:val="005E59FA"/>
    <w:rsid w:val="005E5A37"/>
    <w:rsid w:val="005E5C28"/>
    <w:rsid w:val="005E5CEB"/>
    <w:rsid w:val="005E5DFB"/>
    <w:rsid w:val="005E5FAF"/>
    <w:rsid w:val="005E618D"/>
    <w:rsid w:val="005E6494"/>
    <w:rsid w:val="005E65D2"/>
    <w:rsid w:val="005E6671"/>
    <w:rsid w:val="005E66CE"/>
    <w:rsid w:val="005E68C8"/>
    <w:rsid w:val="005E6967"/>
    <w:rsid w:val="005E6AD3"/>
    <w:rsid w:val="005E6B33"/>
    <w:rsid w:val="005E6D6C"/>
    <w:rsid w:val="005E70CE"/>
    <w:rsid w:val="005E7218"/>
    <w:rsid w:val="005E7231"/>
    <w:rsid w:val="005E75FA"/>
    <w:rsid w:val="005E7645"/>
    <w:rsid w:val="005E7652"/>
    <w:rsid w:val="005E78A0"/>
    <w:rsid w:val="005E7930"/>
    <w:rsid w:val="005E79A7"/>
    <w:rsid w:val="005E7AEF"/>
    <w:rsid w:val="005E7BBD"/>
    <w:rsid w:val="005E7D77"/>
    <w:rsid w:val="005E7DF7"/>
    <w:rsid w:val="005E7EDB"/>
    <w:rsid w:val="005E7F53"/>
    <w:rsid w:val="005F0248"/>
    <w:rsid w:val="005F0446"/>
    <w:rsid w:val="005F05D1"/>
    <w:rsid w:val="005F06EA"/>
    <w:rsid w:val="005F0739"/>
    <w:rsid w:val="005F0BFA"/>
    <w:rsid w:val="005F0C81"/>
    <w:rsid w:val="005F0CB3"/>
    <w:rsid w:val="005F0DF4"/>
    <w:rsid w:val="005F1000"/>
    <w:rsid w:val="005F11FD"/>
    <w:rsid w:val="005F12A5"/>
    <w:rsid w:val="005F1478"/>
    <w:rsid w:val="005F173F"/>
    <w:rsid w:val="005F17E7"/>
    <w:rsid w:val="005F1888"/>
    <w:rsid w:val="005F1931"/>
    <w:rsid w:val="005F1AC6"/>
    <w:rsid w:val="005F1EB4"/>
    <w:rsid w:val="005F207E"/>
    <w:rsid w:val="005F216D"/>
    <w:rsid w:val="005F2947"/>
    <w:rsid w:val="005F29D6"/>
    <w:rsid w:val="005F2B80"/>
    <w:rsid w:val="005F2D89"/>
    <w:rsid w:val="005F31E2"/>
    <w:rsid w:val="005F31F9"/>
    <w:rsid w:val="005F366E"/>
    <w:rsid w:val="005F36DA"/>
    <w:rsid w:val="005F36E8"/>
    <w:rsid w:val="005F3972"/>
    <w:rsid w:val="005F39BE"/>
    <w:rsid w:val="005F3A23"/>
    <w:rsid w:val="005F4056"/>
    <w:rsid w:val="005F4067"/>
    <w:rsid w:val="005F40AA"/>
    <w:rsid w:val="005F4167"/>
    <w:rsid w:val="005F47B5"/>
    <w:rsid w:val="005F47CF"/>
    <w:rsid w:val="005F4954"/>
    <w:rsid w:val="005F4956"/>
    <w:rsid w:val="005F495E"/>
    <w:rsid w:val="005F4CF3"/>
    <w:rsid w:val="005F508A"/>
    <w:rsid w:val="005F50AB"/>
    <w:rsid w:val="005F54A9"/>
    <w:rsid w:val="005F555E"/>
    <w:rsid w:val="005F55FE"/>
    <w:rsid w:val="005F5933"/>
    <w:rsid w:val="005F59A0"/>
    <w:rsid w:val="005F59F0"/>
    <w:rsid w:val="005F5D89"/>
    <w:rsid w:val="005F5D9E"/>
    <w:rsid w:val="005F5F18"/>
    <w:rsid w:val="005F600A"/>
    <w:rsid w:val="005F60AE"/>
    <w:rsid w:val="005F6277"/>
    <w:rsid w:val="005F627F"/>
    <w:rsid w:val="005F6338"/>
    <w:rsid w:val="005F65A6"/>
    <w:rsid w:val="005F65FE"/>
    <w:rsid w:val="005F66AF"/>
    <w:rsid w:val="005F6700"/>
    <w:rsid w:val="005F6785"/>
    <w:rsid w:val="005F67B1"/>
    <w:rsid w:val="005F6A27"/>
    <w:rsid w:val="005F6BBC"/>
    <w:rsid w:val="005F6E17"/>
    <w:rsid w:val="005F6EB2"/>
    <w:rsid w:val="005F6F60"/>
    <w:rsid w:val="005F6FB3"/>
    <w:rsid w:val="005F70F7"/>
    <w:rsid w:val="005F7196"/>
    <w:rsid w:val="005F7240"/>
    <w:rsid w:val="005F7763"/>
    <w:rsid w:val="005F7814"/>
    <w:rsid w:val="005F7836"/>
    <w:rsid w:val="005F7875"/>
    <w:rsid w:val="005F7905"/>
    <w:rsid w:val="005F797E"/>
    <w:rsid w:val="005F7A72"/>
    <w:rsid w:val="005F7B94"/>
    <w:rsid w:val="005F7B9A"/>
    <w:rsid w:val="005F7CA0"/>
    <w:rsid w:val="005F7DE1"/>
    <w:rsid w:val="005F7F99"/>
    <w:rsid w:val="00600318"/>
    <w:rsid w:val="00600397"/>
    <w:rsid w:val="006003DF"/>
    <w:rsid w:val="00600A09"/>
    <w:rsid w:val="00600AF7"/>
    <w:rsid w:val="00600DE9"/>
    <w:rsid w:val="00600E47"/>
    <w:rsid w:val="00600F97"/>
    <w:rsid w:val="0060129F"/>
    <w:rsid w:val="006013EC"/>
    <w:rsid w:val="00601906"/>
    <w:rsid w:val="00601AB3"/>
    <w:rsid w:val="00601CB5"/>
    <w:rsid w:val="00601DE9"/>
    <w:rsid w:val="00601F1C"/>
    <w:rsid w:val="00602162"/>
    <w:rsid w:val="00602239"/>
    <w:rsid w:val="00602303"/>
    <w:rsid w:val="00602405"/>
    <w:rsid w:val="0060241A"/>
    <w:rsid w:val="006025EC"/>
    <w:rsid w:val="00602693"/>
    <w:rsid w:val="006026A6"/>
    <w:rsid w:val="00602AE4"/>
    <w:rsid w:val="00602B2B"/>
    <w:rsid w:val="00602F20"/>
    <w:rsid w:val="00602F84"/>
    <w:rsid w:val="006030F8"/>
    <w:rsid w:val="0060320D"/>
    <w:rsid w:val="0060358B"/>
    <w:rsid w:val="006038B0"/>
    <w:rsid w:val="006039BC"/>
    <w:rsid w:val="00603A31"/>
    <w:rsid w:val="00603A9A"/>
    <w:rsid w:val="00603AD9"/>
    <w:rsid w:val="00603D54"/>
    <w:rsid w:val="00603E7E"/>
    <w:rsid w:val="00603FD5"/>
    <w:rsid w:val="0060409C"/>
    <w:rsid w:val="0060411B"/>
    <w:rsid w:val="006042D9"/>
    <w:rsid w:val="006043FC"/>
    <w:rsid w:val="00604413"/>
    <w:rsid w:val="0060445D"/>
    <w:rsid w:val="00604488"/>
    <w:rsid w:val="006046E5"/>
    <w:rsid w:val="006047D8"/>
    <w:rsid w:val="006048A1"/>
    <w:rsid w:val="00604C6B"/>
    <w:rsid w:val="006050BD"/>
    <w:rsid w:val="006052DF"/>
    <w:rsid w:val="0060530E"/>
    <w:rsid w:val="0060537B"/>
    <w:rsid w:val="006054DF"/>
    <w:rsid w:val="00605742"/>
    <w:rsid w:val="0060587B"/>
    <w:rsid w:val="00605AC1"/>
    <w:rsid w:val="00605DDD"/>
    <w:rsid w:val="00605F1D"/>
    <w:rsid w:val="00606126"/>
    <w:rsid w:val="00606380"/>
    <w:rsid w:val="00606432"/>
    <w:rsid w:val="0060649D"/>
    <w:rsid w:val="00606641"/>
    <w:rsid w:val="006069E0"/>
    <w:rsid w:val="00606A8B"/>
    <w:rsid w:val="00606DC9"/>
    <w:rsid w:val="00606F0B"/>
    <w:rsid w:val="00606F14"/>
    <w:rsid w:val="0060778F"/>
    <w:rsid w:val="0060783D"/>
    <w:rsid w:val="0060792B"/>
    <w:rsid w:val="00607C30"/>
    <w:rsid w:val="00607F03"/>
    <w:rsid w:val="00607FA7"/>
    <w:rsid w:val="00610627"/>
    <w:rsid w:val="006107EA"/>
    <w:rsid w:val="006108F7"/>
    <w:rsid w:val="00610BDC"/>
    <w:rsid w:val="00610D5B"/>
    <w:rsid w:val="00610DBA"/>
    <w:rsid w:val="00610F1D"/>
    <w:rsid w:val="00610F4D"/>
    <w:rsid w:val="00610F6C"/>
    <w:rsid w:val="006110CA"/>
    <w:rsid w:val="006110DC"/>
    <w:rsid w:val="006112D8"/>
    <w:rsid w:val="00611359"/>
    <w:rsid w:val="00611382"/>
    <w:rsid w:val="006116F5"/>
    <w:rsid w:val="006117C8"/>
    <w:rsid w:val="00611808"/>
    <w:rsid w:val="0061185B"/>
    <w:rsid w:val="006118A6"/>
    <w:rsid w:val="0061193E"/>
    <w:rsid w:val="00611957"/>
    <w:rsid w:val="00611C74"/>
    <w:rsid w:val="00611DB9"/>
    <w:rsid w:val="00611F97"/>
    <w:rsid w:val="00611FA1"/>
    <w:rsid w:val="0061205C"/>
    <w:rsid w:val="0061217E"/>
    <w:rsid w:val="0061218A"/>
    <w:rsid w:val="00612876"/>
    <w:rsid w:val="006129D3"/>
    <w:rsid w:val="00612C4A"/>
    <w:rsid w:val="00612D3E"/>
    <w:rsid w:val="00612E25"/>
    <w:rsid w:val="00612E78"/>
    <w:rsid w:val="006131B7"/>
    <w:rsid w:val="006132B6"/>
    <w:rsid w:val="006133F0"/>
    <w:rsid w:val="006134EE"/>
    <w:rsid w:val="0061355F"/>
    <w:rsid w:val="00613767"/>
    <w:rsid w:val="00613979"/>
    <w:rsid w:val="00613A6F"/>
    <w:rsid w:val="00613AFF"/>
    <w:rsid w:val="00613B31"/>
    <w:rsid w:val="00613B77"/>
    <w:rsid w:val="00613CBC"/>
    <w:rsid w:val="00613D1E"/>
    <w:rsid w:val="00613E36"/>
    <w:rsid w:val="00613E66"/>
    <w:rsid w:val="00614235"/>
    <w:rsid w:val="006142ED"/>
    <w:rsid w:val="006147D8"/>
    <w:rsid w:val="00614A9C"/>
    <w:rsid w:val="00614BD5"/>
    <w:rsid w:val="00614DBE"/>
    <w:rsid w:val="00614F4F"/>
    <w:rsid w:val="00614F6B"/>
    <w:rsid w:val="0061501E"/>
    <w:rsid w:val="00615189"/>
    <w:rsid w:val="00615219"/>
    <w:rsid w:val="0061539D"/>
    <w:rsid w:val="006154E8"/>
    <w:rsid w:val="006154F0"/>
    <w:rsid w:val="00615568"/>
    <w:rsid w:val="00615773"/>
    <w:rsid w:val="0061588F"/>
    <w:rsid w:val="006158B0"/>
    <w:rsid w:val="00615953"/>
    <w:rsid w:val="00615A70"/>
    <w:rsid w:val="00615F79"/>
    <w:rsid w:val="00616007"/>
    <w:rsid w:val="0061607E"/>
    <w:rsid w:val="006161C6"/>
    <w:rsid w:val="006161CE"/>
    <w:rsid w:val="00616317"/>
    <w:rsid w:val="00616439"/>
    <w:rsid w:val="0061651B"/>
    <w:rsid w:val="006165C6"/>
    <w:rsid w:val="0061671E"/>
    <w:rsid w:val="00616723"/>
    <w:rsid w:val="00616862"/>
    <w:rsid w:val="00616865"/>
    <w:rsid w:val="006168A1"/>
    <w:rsid w:val="00616A91"/>
    <w:rsid w:val="00616B47"/>
    <w:rsid w:val="00616D59"/>
    <w:rsid w:val="00616DC8"/>
    <w:rsid w:val="00616E88"/>
    <w:rsid w:val="00616EFB"/>
    <w:rsid w:val="0061703C"/>
    <w:rsid w:val="00617168"/>
    <w:rsid w:val="006171A0"/>
    <w:rsid w:val="0061727B"/>
    <w:rsid w:val="0061735B"/>
    <w:rsid w:val="0061771B"/>
    <w:rsid w:val="006177E8"/>
    <w:rsid w:val="006178E3"/>
    <w:rsid w:val="00617933"/>
    <w:rsid w:val="00617B33"/>
    <w:rsid w:val="00617C4A"/>
    <w:rsid w:val="00617CA6"/>
    <w:rsid w:val="00617E3B"/>
    <w:rsid w:val="00617EC8"/>
    <w:rsid w:val="00620165"/>
    <w:rsid w:val="00620253"/>
    <w:rsid w:val="00620272"/>
    <w:rsid w:val="006202BF"/>
    <w:rsid w:val="00620548"/>
    <w:rsid w:val="0062096B"/>
    <w:rsid w:val="00620A9E"/>
    <w:rsid w:val="00620C41"/>
    <w:rsid w:val="00621040"/>
    <w:rsid w:val="006219A2"/>
    <w:rsid w:val="00621CA8"/>
    <w:rsid w:val="00621D7F"/>
    <w:rsid w:val="00621DB4"/>
    <w:rsid w:val="0062216C"/>
    <w:rsid w:val="0062222F"/>
    <w:rsid w:val="00622405"/>
    <w:rsid w:val="00622497"/>
    <w:rsid w:val="00622528"/>
    <w:rsid w:val="0062253C"/>
    <w:rsid w:val="0062270F"/>
    <w:rsid w:val="0062284F"/>
    <w:rsid w:val="0062298F"/>
    <w:rsid w:val="00622A00"/>
    <w:rsid w:val="00622A6C"/>
    <w:rsid w:val="00622C14"/>
    <w:rsid w:val="00622C32"/>
    <w:rsid w:val="00622C7C"/>
    <w:rsid w:val="00622D87"/>
    <w:rsid w:val="00622EA8"/>
    <w:rsid w:val="006232AB"/>
    <w:rsid w:val="006235CB"/>
    <w:rsid w:val="006236C3"/>
    <w:rsid w:val="00623755"/>
    <w:rsid w:val="006239B9"/>
    <w:rsid w:val="00623B15"/>
    <w:rsid w:val="00623C18"/>
    <w:rsid w:val="00623D4B"/>
    <w:rsid w:val="00623EDE"/>
    <w:rsid w:val="0062417F"/>
    <w:rsid w:val="006241A0"/>
    <w:rsid w:val="006245C9"/>
    <w:rsid w:val="0062490A"/>
    <w:rsid w:val="00624A1C"/>
    <w:rsid w:val="00624B90"/>
    <w:rsid w:val="00624CFE"/>
    <w:rsid w:val="00624D93"/>
    <w:rsid w:val="00624E89"/>
    <w:rsid w:val="00624F95"/>
    <w:rsid w:val="0062502E"/>
    <w:rsid w:val="006250B2"/>
    <w:rsid w:val="0062510F"/>
    <w:rsid w:val="0062551C"/>
    <w:rsid w:val="00625622"/>
    <w:rsid w:val="006258B5"/>
    <w:rsid w:val="00625ADF"/>
    <w:rsid w:val="00625B2B"/>
    <w:rsid w:val="00625B9E"/>
    <w:rsid w:val="00625E58"/>
    <w:rsid w:val="00625E80"/>
    <w:rsid w:val="00625F6B"/>
    <w:rsid w:val="00626091"/>
    <w:rsid w:val="006260B1"/>
    <w:rsid w:val="0062612B"/>
    <w:rsid w:val="00626444"/>
    <w:rsid w:val="006264B2"/>
    <w:rsid w:val="00626512"/>
    <w:rsid w:val="00626652"/>
    <w:rsid w:val="006266BE"/>
    <w:rsid w:val="00626A3F"/>
    <w:rsid w:val="00626B6A"/>
    <w:rsid w:val="00626E76"/>
    <w:rsid w:val="00626E8B"/>
    <w:rsid w:val="00626EEE"/>
    <w:rsid w:val="00626F0E"/>
    <w:rsid w:val="00626F39"/>
    <w:rsid w:val="00626F77"/>
    <w:rsid w:val="0062747A"/>
    <w:rsid w:val="0062765A"/>
    <w:rsid w:val="0062766A"/>
    <w:rsid w:val="006277BE"/>
    <w:rsid w:val="00627A90"/>
    <w:rsid w:val="00627CE0"/>
    <w:rsid w:val="00627E11"/>
    <w:rsid w:val="00627EAE"/>
    <w:rsid w:val="00627FCA"/>
    <w:rsid w:val="00630062"/>
    <w:rsid w:val="00630146"/>
    <w:rsid w:val="0063014D"/>
    <w:rsid w:val="006302D8"/>
    <w:rsid w:val="00630462"/>
    <w:rsid w:val="00630854"/>
    <w:rsid w:val="00630AC1"/>
    <w:rsid w:val="00630DE1"/>
    <w:rsid w:val="00630F02"/>
    <w:rsid w:val="0063109D"/>
    <w:rsid w:val="0063122A"/>
    <w:rsid w:val="00631284"/>
    <w:rsid w:val="006312FC"/>
    <w:rsid w:val="0063140C"/>
    <w:rsid w:val="0063150C"/>
    <w:rsid w:val="00631524"/>
    <w:rsid w:val="0063159B"/>
    <w:rsid w:val="0063162E"/>
    <w:rsid w:val="006317E8"/>
    <w:rsid w:val="00631842"/>
    <w:rsid w:val="006318AD"/>
    <w:rsid w:val="00631FF2"/>
    <w:rsid w:val="006321BD"/>
    <w:rsid w:val="0063243C"/>
    <w:rsid w:val="0063260D"/>
    <w:rsid w:val="006326C5"/>
    <w:rsid w:val="00632A4A"/>
    <w:rsid w:val="00632AB1"/>
    <w:rsid w:val="00632B3F"/>
    <w:rsid w:val="00632D6C"/>
    <w:rsid w:val="00632FA2"/>
    <w:rsid w:val="0063333C"/>
    <w:rsid w:val="00633A23"/>
    <w:rsid w:val="00633B60"/>
    <w:rsid w:val="00633F67"/>
    <w:rsid w:val="00633FB5"/>
    <w:rsid w:val="00634017"/>
    <w:rsid w:val="006343CB"/>
    <w:rsid w:val="0063452D"/>
    <w:rsid w:val="006345AE"/>
    <w:rsid w:val="00634758"/>
    <w:rsid w:val="0063480F"/>
    <w:rsid w:val="00634899"/>
    <w:rsid w:val="00634A30"/>
    <w:rsid w:val="00634A43"/>
    <w:rsid w:val="00634C5F"/>
    <w:rsid w:val="00634C73"/>
    <w:rsid w:val="00634E64"/>
    <w:rsid w:val="0063505F"/>
    <w:rsid w:val="00635187"/>
    <w:rsid w:val="006354DC"/>
    <w:rsid w:val="0063556F"/>
    <w:rsid w:val="00635666"/>
    <w:rsid w:val="006356E5"/>
    <w:rsid w:val="0063586F"/>
    <w:rsid w:val="00635963"/>
    <w:rsid w:val="00635995"/>
    <w:rsid w:val="006359FC"/>
    <w:rsid w:val="00635AFA"/>
    <w:rsid w:val="00635C66"/>
    <w:rsid w:val="00636046"/>
    <w:rsid w:val="006361F2"/>
    <w:rsid w:val="00636296"/>
    <w:rsid w:val="0063668E"/>
    <w:rsid w:val="006367B6"/>
    <w:rsid w:val="006367FE"/>
    <w:rsid w:val="00636914"/>
    <w:rsid w:val="006369E4"/>
    <w:rsid w:val="00636B5F"/>
    <w:rsid w:val="00636C33"/>
    <w:rsid w:val="00636C3C"/>
    <w:rsid w:val="00636DBF"/>
    <w:rsid w:val="00636EF2"/>
    <w:rsid w:val="00637039"/>
    <w:rsid w:val="0063703B"/>
    <w:rsid w:val="006371CA"/>
    <w:rsid w:val="00637284"/>
    <w:rsid w:val="006376DB"/>
    <w:rsid w:val="00637742"/>
    <w:rsid w:val="00637B90"/>
    <w:rsid w:val="00637D85"/>
    <w:rsid w:val="00637F35"/>
    <w:rsid w:val="00637F84"/>
    <w:rsid w:val="00637FE1"/>
    <w:rsid w:val="006400DF"/>
    <w:rsid w:val="00640125"/>
    <w:rsid w:val="0064033C"/>
    <w:rsid w:val="006403B1"/>
    <w:rsid w:val="0064055A"/>
    <w:rsid w:val="006405BD"/>
    <w:rsid w:val="0064068A"/>
    <w:rsid w:val="00640C2E"/>
    <w:rsid w:val="00640EB5"/>
    <w:rsid w:val="006410D1"/>
    <w:rsid w:val="00641226"/>
    <w:rsid w:val="00641373"/>
    <w:rsid w:val="006416B6"/>
    <w:rsid w:val="006417B8"/>
    <w:rsid w:val="00641A9C"/>
    <w:rsid w:val="00641D78"/>
    <w:rsid w:val="00641DE2"/>
    <w:rsid w:val="00641E54"/>
    <w:rsid w:val="006421D5"/>
    <w:rsid w:val="00642244"/>
    <w:rsid w:val="0064235F"/>
    <w:rsid w:val="00642392"/>
    <w:rsid w:val="0064239B"/>
    <w:rsid w:val="006424BB"/>
    <w:rsid w:val="00642759"/>
    <w:rsid w:val="00642882"/>
    <w:rsid w:val="00642894"/>
    <w:rsid w:val="0064294F"/>
    <w:rsid w:val="00642A97"/>
    <w:rsid w:val="00642CDD"/>
    <w:rsid w:val="00642E9D"/>
    <w:rsid w:val="00642F94"/>
    <w:rsid w:val="00643012"/>
    <w:rsid w:val="00643111"/>
    <w:rsid w:val="0064314C"/>
    <w:rsid w:val="006431AE"/>
    <w:rsid w:val="0064332C"/>
    <w:rsid w:val="0064335F"/>
    <w:rsid w:val="006433CC"/>
    <w:rsid w:val="006433FA"/>
    <w:rsid w:val="00643437"/>
    <w:rsid w:val="0064367C"/>
    <w:rsid w:val="00643869"/>
    <w:rsid w:val="00643902"/>
    <w:rsid w:val="00643A72"/>
    <w:rsid w:val="00643A7D"/>
    <w:rsid w:val="00643B0B"/>
    <w:rsid w:val="00643B3E"/>
    <w:rsid w:val="00643E0A"/>
    <w:rsid w:val="00643E7F"/>
    <w:rsid w:val="00643F1F"/>
    <w:rsid w:val="00644138"/>
    <w:rsid w:val="00644159"/>
    <w:rsid w:val="00644174"/>
    <w:rsid w:val="006442ED"/>
    <w:rsid w:val="00644440"/>
    <w:rsid w:val="00644465"/>
    <w:rsid w:val="0064455E"/>
    <w:rsid w:val="0064466E"/>
    <w:rsid w:val="0064481C"/>
    <w:rsid w:val="00644AF1"/>
    <w:rsid w:val="00644C46"/>
    <w:rsid w:val="00644D18"/>
    <w:rsid w:val="00645140"/>
    <w:rsid w:val="00645221"/>
    <w:rsid w:val="00645440"/>
    <w:rsid w:val="00645599"/>
    <w:rsid w:val="0064586A"/>
    <w:rsid w:val="0064586E"/>
    <w:rsid w:val="00645A99"/>
    <w:rsid w:val="00645B69"/>
    <w:rsid w:val="00645BF3"/>
    <w:rsid w:val="00645E2E"/>
    <w:rsid w:val="00645EC2"/>
    <w:rsid w:val="00646062"/>
    <w:rsid w:val="00646522"/>
    <w:rsid w:val="00646931"/>
    <w:rsid w:val="00646BBC"/>
    <w:rsid w:val="00646C7F"/>
    <w:rsid w:val="00647326"/>
    <w:rsid w:val="0064734D"/>
    <w:rsid w:val="006473AF"/>
    <w:rsid w:val="00647573"/>
    <w:rsid w:val="006475BD"/>
    <w:rsid w:val="006477A4"/>
    <w:rsid w:val="00647804"/>
    <w:rsid w:val="00647A1D"/>
    <w:rsid w:val="00647CFB"/>
    <w:rsid w:val="00647E26"/>
    <w:rsid w:val="006500DF"/>
    <w:rsid w:val="0065021B"/>
    <w:rsid w:val="006503D0"/>
    <w:rsid w:val="006503F7"/>
    <w:rsid w:val="006504C1"/>
    <w:rsid w:val="006505E0"/>
    <w:rsid w:val="00650753"/>
    <w:rsid w:val="00650929"/>
    <w:rsid w:val="00650BEE"/>
    <w:rsid w:val="00650DB6"/>
    <w:rsid w:val="00650E69"/>
    <w:rsid w:val="00650ED2"/>
    <w:rsid w:val="006512E8"/>
    <w:rsid w:val="006516C2"/>
    <w:rsid w:val="006517CD"/>
    <w:rsid w:val="0065187E"/>
    <w:rsid w:val="00651929"/>
    <w:rsid w:val="00651A33"/>
    <w:rsid w:val="00651A86"/>
    <w:rsid w:val="00651C76"/>
    <w:rsid w:val="00651DD7"/>
    <w:rsid w:val="00651E00"/>
    <w:rsid w:val="00651F42"/>
    <w:rsid w:val="006520DD"/>
    <w:rsid w:val="0065215E"/>
    <w:rsid w:val="00652176"/>
    <w:rsid w:val="006523FD"/>
    <w:rsid w:val="0065256E"/>
    <w:rsid w:val="0065267A"/>
    <w:rsid w:val="006527FF"/>
    <w:rsid w:val="00652A55"/>
    <w:rsid w:val="00652A7A"/>
    <w:rsid w:val="00652AA2"/>
    <w:rsid w:val="00652BB9"/>
    <w:rsid w:val="00652C17"/>
    <w:rsid w:val="006530E1"/>
    <w:rsid w:val="006534ED"/>
    <w:rsid w:val="0065390F"/>
    <w:rsid w:val="00653C9B"/>
    <w:rsid w:val="00653D12"/>
    <w:rsid w:val="00653E33"/>
    <w:rsid w:val="00653F29"/>
    <w:rsid w:val="00653F64"/>
    <w:rsid w:val="00653F7F"/>
    <w:rsid w:val="00654149"/>
    <w:rsid w:val="00654366"/>
    <w:rsid w:val="006543F0"/>
    <w:rsid w:val="00654772"/>
    <w:rsid w:val="0065483E"/>
    <w:rsid w:val="00654922"/>
    <w:rsid w:val="00654B1E"/>
    <w:rsid w:val="00654BB3"/>
    <w:rsid w:val="00654C62"/>
    <w:rsid w:val="00654DE8"/>
    <w:rsid w:val="00654E7A"/>
    <w:rsid w:val="00654F6D"/>
    <w:rsid w:val="0065524A"/>
    <w:rsid w:val="006557B3"/>
    <w:rsid w:val="0065585B"/>
    <w:rsid w:val="0065589B"/>
    <w:rsid w:val="00655981"/>
    <w:rsid w:val="00655B22"/>
    <w:rsid w:val="00655CB4"/>
    <w:rsid w:val="00656198"/>
    <w:rsid w:val="00656237"/>
    <w:rsid w:val="00656354"/>
    <w:rsid w:val="0065643C"/>
    <w:rsid w:val="0065653C"/>
    <w:rsid w:val="006565D5"/>
    <w:rsid w:val="006566E8"/>
    <w:rsid w:val="0065673F"/>
    <w:rsid w:val="006567A2"/>
    <w:rsid w:val="00656833"/>
    <w:rsid w:val="006568ED"/>
    <w:rsid w:val="00656A07"/>
    <w:rsid w:val="00656A8A"/>
    <w:rsid w:val="00656B99"/>
    <w:rsid w:val="00656C53"/>
    <w:rsid w:val="00657064"/>
    <w:rsid w:val="00657146"/>
    <w:rsid w:val="00657220"/>
    <w:rsid w:val="00657266"/>
    <w:rsid w:val="00657824"/>
    <w:rsid w:val="00657B2C"/>
    <w:rsid w:val="00657D35"/>
    <w:rsid w:val="00657DAB"/>
    <w:rsid w:val="00657F59"/>
    <w:rsid w:val="00657FE3"/>
    <w:rsid w:val="006601AD"/>
    <w:rsid w:val="0066024F"/>
    <w:rsid w:val="00660257"/>
    <w:rsid w:val="00660412"/>
    <w:rsid w:val="00660588"/>
    <w:rsid w:val="006606C8"/>
    <w:rsid w:val="00660A5F"/>
    <w:rsid w:val="00660EF1"/>
    <w:rsid w:val="00660F34"/>
    <w:rsid w:val="00660F84"/>
    <w:rsid w:val="0066140F"/>
    <w:rsid w:val="0066151E"/>
    <w:rsid w:val="00661588"/>
    <w:rsid w:val="006615A9"/>
    <w:rsid w:val="00661A93"/>
    <w:rsid w:val="00661BA3"/>
    <w:rsid w:val="00661DDC"/>
    <w:rsid w:val="00661DEC"/>
    <w:rsid w:val="006620CD"/>
    <w:rsid w:val="0066216F"/>
    <w:rsid w:val="00662191"/>
    <w:rsid w:val="00662209"/>
    <w:rsid w:val="00662280"/>
    <w:rsid w:val="0066228E"/>
    <w:rsid w:val="006624A9"/>
    <w:rsid w:val="00662569"/>
    <w:rsid w:val="00662833"/>
    <w:rsid w:val="00662C22"/>
    <w:rsid w:val="00662D79"/>
    <w:rsid w:val="0066349F"/>
    <w:rsid w:val="006634EC"/>
    <w:rsid w:val="006636CA"/>
    <w:rsid w:val="00663847"/>
    <w:rsid w:val="0066388B"/>
    <w:rsid w:val="0066392F"/>
    <w:rsid w:val="00663962"/>
    <w:rsid w:val="006639B0"/>
    <w:rsid w:val="00663CA6"/>
    <w:rsid w:val="00663EF1"/>
    <w:rsid w:val="00663FA8"/>
    <w:rsid w:val="00664495"/>
    <w:rsid w:val="00664576"/>
    <w:rsid w:val="00664650"/>
    <w:rsid w:val="006646E2"/>
    <w:rsid w:val="0066471D"/>
    <w:rsid w:val="00664803"/>
    <w:rsid w:val="00664A94"/>
    <w:rsid w:val="00664C06"/>
    <w:rsid w:val="00664D06"/>
    <w:rsid w:val="00664DE4"/>
    <w:rsid w:val="00664F50"/>
    <w:rsid w:val="006656A3"/>
    <w:rsid w:val="0066590A"/>
    <w:rsid w:val="00665BD6"/>
    <w:rsid w:val="00665C2E"/>
    <w:rsid w:val="00665D2D"/>
    <w:rsid w:val="00665EA1"/>
    <w:rsid w:val="006661C0"/>
    <w:rsid w:val="00666381"/>
    <w:rsid w:val="006665D0"/>
    <w:rsid w:val="0066661D"/>
    <w:rsid w:val="00666695"/>
    <w:rsid w:val="006667ED"/>
    <w:rsid w:val="00666802"/>
    <w:rsid w:val="00666804"/>
    <w:rsid w:val="00666E48"/>
    <w:rsid w:val="006670D3"/>
    <w:rsid w:val="0066743E"/>
    <w:rsid w:val="006674CA"/>
    <w:rsid w:val="006674D1"/>
    <w:rsid w:val="006676F9"/>
    <w:rsid w:val="00667831"/>
    <w:rsid w:val="00667BC8"/>
    <w:rsid w:val="00667BFE"/>
    <w:rsid w:val="00667DE9"/>
    <w:rsid w:val="00667E0B"/>
    <w:rsid w:val="00670097"/>
    <w:rsid w:val="00670169"/>
    <w:rsid w:val="00670258"/>
    <w:rsid w:val="0067042E"/>
    <w:rsid w:val="00670513"/>
    <w:rsid w:val="00670791"/>
    <w:rsid w:val="00670CAC"/>
    <w:rsid w:val="00670DD7"/>
    <w:rsid w:val="00670DF1"/>
    <w:rsid w:val="00671038"/>
    <w:rsid w:val="0067112F"/>
    <w:rsid w:val="00671199"/>
    <w:rsid w:val="006712D6"/>
    <w:rsid w:val="0067152E"/>
    <w:rsid w:val="00671550"/>
    <w:rsid w:val="00671560"/>
    <w:rsid w:val="006719D7"/>
    <w:rsid w:val="00671ACB"/>
    <w:rsid w:val="00671BC8"/>
    <w:rsid w:val="00671ECA"/>
    <w:rsid w:val="00672165"/>
    <w:rsid w:val="00672223"/>
    <w:rsid w:val="006722A1"/>
    <w:rsid w:val="006725CA"/>
    <w:rsid w:val="00672700"/>
    <w:rsid w:val="00672B6E"/>
    <w:rsid w:val="00672C9F"/>
    <w:rsid w:val="00672DE2"/>
    <w:rsid w:val="00672EFB"/>
    <w:rsid w:val="00672F06"/>
    <w:rsid w:val="00673153"/>
    <w:rsid w:val="00673254"/>
    <w:rsid w:val="006732A1"/>
    <w:rsid w:val="006732B5"/>
    <w:rsid w:val="0067335A"/>
    <w:rsid w:val="006734E7"/>
    <w:rsid w:val="00673536"/>
    <w:rsid w:val="00673821"/>
    <w:rsid w:val="00673BF4"/>
    <w:rsid w:val="00673F30"/>
    <w:rsid w:val="006740F9"/>
    <w:rsid w:val="006741A7"/>
    <w:rsid w:val="006741BD"/>
    <w:rsid w:val="006741D4"/>
    <w:rsid w:val="006744D5"/>
    <w:rsid w:val="006748D2"/>
    <w:rsid w:val="00674AB2"/>
    <w:rsid w:val="00674AD7"/>
    <w:rsid w:val="00674B2E"/>
    <w:rsid w:val="00674BE8"/>
    <w:rsid w:val="00674D38"/>
    <w:rsid w:val="00674E42"/>
    <w:rsid w:val="00674F5C"/>
    <w:rsid w:val="0067518B"/>
    <w:rsid w:val="00675308"/>
    <w:rsid w:val="006754E4"/>
    <w:rsid w:val="00675517"/>
    <w:rsid w:val="0067571D"/>
    <w:rsid w:val="00675DDF"/>
    <w:rsid w:val="00675DF6"/>
    <w:rsid w:val="00675F12"/>
    <w:rsid w:val="00675F6B"/>
    <w:rsid w:val="00676B6E"/>
    <w:rsid w:val="00676BE1"/>
    <w:rsid w:val="00676DA2"/>
    <w:rsid w:val="00676FBE"/>
    <w:rsid w:val="0067724D"/>
    <w:rsid w:val="006772ED"/>
    <w:rsid w:val="006776C9"/>
    <w:rsid w:val="006777A3"/>
    <w:rsid w:val="006778E0"/>
    <w:rsid w:val="00677BAA"/>
    <w:rsid w:val="00677C2E"/>
    <w:rsid w:val="00677D13"/>
    <w:rsid w:val="00677E35"/>
    <w:rsid w:val="00677E4A"/>
    <w:rsid w:val="00680091"/>
    <w:rsid w:val="006800AC"/>
    <w:rsid w:val="00680298"/>
    <w:rsid w:val="00680509"/>
    <w:rsid w:val="006807C4"/>
    <w:rsid w:val="00680979"/>
    <w:rsid w:val="00680B05"/>
    <w:rsid w:val="00680BAE"/>
    <w:rsid w:val="00680CC2"/>
    <w:rsid w:val="00680FD9"/>
    <w:rsid w:val="006812F7"/>
    <w:rsid w:val="0068130C"/>
    <w:rsid w:val="00681434"/>
    <w:rsid w:val="00681502"/>
    <w:rsid w:val="00681579"/>
    <w:rsid w:val="006815B0"/>
    <w:rsid w:val="00681777"/>
    <w:rsid w:val="00681C49"/>
    <w:rsid w:val="00682061"/>
    <w:rsid w:val="0068208A"/>
    <w:rsid w:val="006821B5"/>
    <w:rsid w:val="0068227B"/>
    <w:rsid w:val="006822E6"/>
    <w:rsid w:val="00682354"/>
    <w:rsid w:val="00682517"/>
    <w:rsid w:val="00682893"/>
    <w:rsid w:val="00682938"/>
    <w:rsid w:val="00682A32"/>
    <w:rsid w:val="00682A70"/>
    <w:rsid w:val="00682B06"/>
    <w:rsid w:val="00682B5A"/>
    <w:rsid w:val="00682CE6"/>
    <w:rsid w:val="00683291"/>
    <w:rsid w:val="00683314"/>
    <w:rsid w:val="00683478"/>
    <w:rsid w:val="006834D1"/>
    <w:rsid w:val="00683555"/>
    <w:rsid w:val="00683A0C"/>
    <w:rsid w:val="00683AE5"/>
    <w:rsid w:val="00683C3F"/>
    <w:rsid w:val="00683DCA"/>
    <w:rsid w:val="00683DE7"/>
    <w:rsid w:val="00683FC3"/>
    <w:rsid w:val="0068418F"/>
    <w:rsid w:val="0068429A"/>
    <w:rsid w:val="006842EE"/>
    <w:rsid w:val="006844D8"/>
    <w:rsid w:val="00684615"/>
    <w:rsid w:val="00684634"/>
    <w:rsid w:val="0068490F"/>
    <w:rsid w:val="00684A06"/>
    <w:rsid w:val="00684B8D"/>
    <w:rsid w:val="00684D81"/>
    <w:rsid w:val="00684DBE"/>
    <w:rsid w:val="00684DE5"/>
    <w:rsid w:val="00685012"/>
    <w:rsid w:val="00685164"/>
    <w:rsid w:val="00685409"/>
    <w:rsid w:val="006854BE"/>
    <w:rsid w:val="006855AD"/>
    <w:rsid w:val="006856B4"/>
    <w:rsid w:val="0068587A"/>
    <w:rsid w:val="00685975"/>
    <w:rsid w:val="00685A8C"/>
    <w:rsid w:val="00685B74"/>
    <w:rsid w:val="00685BA9"/>
    <w:rsid w:val="00685F24"/>
    <w:rsid w:val="00686126"/>
    <w:rsid w:val="006862C0"/>
    <w:rsid w:val="006863B1"/>
    <w:rsid w:val="00686444"/>
    <w:rsid w:val="0068667D"/>
    <w:rsid w:val="00686A5E"/>
    <w:rsid w:val="00686A78"/>
    <w:rsid w:val="00686E31"/>
    <w:rsid w:val="00686E56"/>
    <w:rsid w:val="00686F23"/>
    <w:rsid w:val="00686F49"/>
    <w:rsid w:val="00686FCB"/>
    <w:rsid w:val="00687221"/>
    <w:rsid w:val="0068724F"/>
    <w:rsid w:val="0068736B"/>
    <w:rsid w:val="006874A3"/>
    <w:rsid w:val="00687678"/>
    <w:rsid w:val="00687693"/>
    <w:rsid w:val="00687CEF"/>
    <w:rsid w:val="00687D28"/>
    <w:rsid w:val="00687D7B"/>
    <w:rsid w:val="0069013D"/>
    <w:rsid w:val="0069020F"/>
    <w:rsid w:val="006903E7"/>
    <w:rsid w:val="00690417"/>
    <w:rsid w:val="006905BB"/>
    <w:rsid w:val="006906D3"/>
    <w:rsid w:val="0069091D"/>
    <w:rsid w:val="00690962"/>
    <w:rsid w:val="00690C3D"/>
    <w:rsid w:val="00690C4A"/>
    <w:rsid w:val="00690CA5"/>
    <w:rsid w:val="00691056"/>
    <w:rsid w:val="00691443"/>
    <w:rsid w:val="00691585"/>
    <w:rsid w:val="00691659"/>
    <w:rsid w:val="00691692"/>
    <w:rsid w:val="006917C4"/>
    <w:rsid w:val="00691850"/>
    <w:rsid w:val="00691941"/>
    <w:rsid w:val="00691AFF"/>
    <w:rsid w:val="00691BA1"/>
    <w:rsid w:val="00691F2D"/>
    <w:rsid w:val="00692037"/>
    <w:rsid w:val="00692671"/>
    <w:rsid w:val="006929ED"/>
    <w:rsid w:val="00692A92"/>
    <w:rsid w:val="00692FDD"/>
    <w:rsid w:val="006930B2"/>
    <w:rsid w:val="006932DC"/>
    <w:rsid w:val="0069340D"/>
    <w:rsid w:val="00693414"/>
    <w:rsid w:val="006934E1"/>
    <w:rsid w:val="00693625"/>
    <w:rsid w:val="00693708"/>
    <w:rsid w:val="0069386B"/>
    <w:rsid w:val="0069388C"/>
    <w:rsid w:val="00693CA4"/>
    <w:rsid w:val="00693D26"/>
    <w:rsid w:val="00693E44"/>
    <w:rsid w:val="00693F1A"/>
    <w:rsid w:val="00693F5F"/>
    <w:rsid w:val="00694231"/>
    <w:rsid w:val="0069429A"/>
    <w:rsid w:val="0069438D"/>
    <w:rsid w:val="006945A7"/>
    <w:rsid w:val="00694B6F"/>
    <w:rsid w:val="00694C4B"/>
    <w:rsid w:val="00694FE7"/>
    <w:rsid w:val="0069505D"/>
    <w:rsid w:val="00695094"/>
    <w:rsid w:val="0069518E"/>
    <w:rsid w:val="00695371"/>
    <w:rsid w:val="00695471"/>
    <w:rsid w:val="00695C4D"/>
    <w:rsid w:val="00695DC4"/>
    <w:rsid w:val="00695EAB"/>
    <w:rsid w:val="006961A7"/>
    <w:rsid w:val="00696392"/>
    <w:rsid w:val="006964AA"/>
    <w:rsid w:val="00696775"/>
    <w:rsid w:val="006969C5"/>
    <w:rsid w:val="00696A03"/>
    <w:rsid w:val="00696C8E"/>
    <w:rsid w:val="00696E65"/>
    <w:rsid w:val="00696E6B"/>
    <w:rsid w:val="0069710E"/>
    <w:rsid w:val="00697227"/>
    <w:rsid w:val="00697250"/>
    <w:rsid w:val="00697505"/>
    <w:rsid w:val="00697573"/>
    <w:rsid w:val="006975B2"/>
    <w:rsid w:val="006975FB"/>
    <w:rsid w:val="00697940"/>
    <w:rsid w:val="00697AA4"/>
    <w:rsid w:val="00697F33"/>
    <w:rsid w:val="006A018B"/>
    <w:rsid w:val="006A025C"/>
    <w:rsid w:val="006A0544"/>
    <w:rsid w:val="006A0547"/>
    <w:rsid w:val="006A070A"/>
    <w:rsid w:val="006A0815"/>
    <w:rsid w:val="006A08AC"/>
    <w:rsid w:val="006A09C1"/>
    <w:rsid w:val="006A0A41"/>
    <w:rsid w:val="006A0B42"/>
    <w:rsid w:val="006A0C61"/>
    <w:rsid w:val="006A0C79"/>
    <w:rsid w:val="006A0E69"/>
    <w:rsid w:val="006A0FF2"/>
    <w:rsid w:val="006A10E5"/>
    <w:rsid w:val="006A11D7"/>
    <w:rsid w:val="006A13E9"/>
    <w:rsid w:val="006A15DD"/>
    <w:rsid w:val="006A18CB"/>
    <w:rsid w:val="006A198C"/>
    <w:rsid w:val="006A1A5B"/>
    <w:rsid w:val="006A1B54"/>
    <w:rsid w:val="006A1B5C"/>
    <w:rsid w:val="006A1DEF"/>
    <w:rsid w:val="006A1E1E"/>
    <w:rsid w:val="006A1FF3"/>
    <w:rsid w:val="006A20CC"/>
    <w:rsid w:val="006A21A6"/>
    <w:rsid w:val="006A247F"/>
    <w:rsid w:val="006A2555"/>
    <w:rsid w:val="006A25AF"/>
    <w:rsid w:val="006A27F7"/>
    <w:rsid w:val="006A2A4A"/>
    <w:rsid w:val="006A2C15"/>
    <w:rsid w:val="006A340B"/>
    <w:rsid w:val="006A34F9"/>
    <w:rsid w:val="006A3598"/>
    <w:rsid w:val="006A35DE"/>
    <w:rsid w:val="006A3781"/>
    <w:rsid w:val="006A37E3"/>
    <w:rsid w:val="006A39B1"/>
    <w:rsid w:val="006A39B7"/>
    <w:rsid w:val="006A3BD6"/>
    <w:rsid w:val="006A3C3B"/>
    <w:rsid w:val="006A3DA1"/>
    <w:rsid w:val="006A3E3F"/>
    <w:rsid w:val="006A3E56"/>
    <w:rsid w:val="006A40EC"/>
    <w:rsid w:val="006A4214"/>
    <w:rsid w:val="006A429C"/>
    <w:rsid w:val="006A4366"/>
    <w:rsid w:val="006A4428"/>
    <w:rsid w:val="006A450C"/>
    <w:rsid w:val="006A45A4"/>
    <w:rsid w:val="006A4989"/>
    <w:rsid w:val="006A4B0A"/>
    <w:rsid w:val="006A4B3F"/>
    <w:rsid w:val="006A4E7C"/>
    <w:rsid w:val="006A512A"/>
    <w:rsid w:val="006A52D4"/>
    <w:rsid w:val="006A555D"/>
    <w:rsid w:val="006A562F"/>
    <w:rsid w:val="006A586E"/>
    <w:rsid w:val="006A58C3"/>
    <w:rsid w:val="006A5A62"/>
    <w:rsid w:val="006A5FDF"/>
    <w:rsid w:val="006A605C"/>
    <w:rsid w:val="006A6090"/>
    <w:rsid w:val="006A627A"/>
    <w:rsid w:val="006A63D8"/>
    <w:rsid w:val="006A6739"/>
    <w:rsid w:val="006A6812"/>
    <w:rsid w:val="006A69C2"/>
    <w:rsid w:val="006A6B8D"/>
    <w:rsid w:val="006A6C63"/>
    <w:rsid w:val="006A7069"/>
    <w:rsid w:val="006A70A9"/>
    <w:rsid w:val="006A7164"/>
    <w:rsid w:val="006A72EC"/>
    <w:rsid w:val="006A7377"/>
    <w:rsid w:val="006A73D9"/>
    <w:rsid w:val="006A7643"/>
    <w:rsid w:val="006A765A"/>
    <w:rsid w:val="006A7768"/>
    <w:rsid w:val="006A7795"/>
    <w:rsid w:val="006A77BF"/>
    <w:rsid w:val="006A77CB"/>
    <w:rsid w:val="006A7AD5"/>
    <w:rsid w:val="006A7C8D"/>
    <w:rsid w:val="006A7EFD"/>
    <w:rsid w:val="006A7F8E"/>
    <w:rsid w:val="006B0093"/>
    <w:rsid w:val="006B02E2"/>
    <w:rsid w:val="006B0955"/>
    <w:rsid w:val="006B0A2B"/>
    <w:rsid w:val="006B0BBD"/>
    <w:rsid w:val="006B0C11"/>
    <w:rsid w:val="006B0DEB"/>
    <w:rsid w:val="006B110E"/>
    <w:rsid w:val="006B129A"/>
    <w:rsid w:val="006B15A9"/>
    <w:rsid w:val="006B170D"/>
    <w:rsid w:val="006B172C"/>
    <w:rsid w:val="006B1759"/>
    <w:rsid w:val="006B185A"/>
    <w:rsid w:val="006B18C0"/>
    <w:rsid w:val="006B1932"/>
    <w:rsid w:val="006B1A32"/>
    <w:rsid w:val="006B1C24"/>
    <w:rsid w:val="006B204F"/>
    <w:rsid w:val="006B2213"/>
    <w:rsid w:val="006B2236"/>
    <w:rsid w:val="006B22D9"/>
    <w:rsid w:val="006B2446"/>
    <w:rsid w:val="006B2596"/>
    <w:rsid w:val="006B27CB"/>
    <w:rsid w:val="006B295B"/>
    <w:rsid w:val="006B29B3"/>
    <w:rsid w:val="006B2B03"/>
    <w:rsid w:val="006B333F"/>
    <w:rsid w:val="006B3359"/>
    <w:rsid w:val="006B3541"/>
    <w:rsid w:val="006B3670"/>
    <w:rsid w:val="006B3B3E"/>
    <w:rsid w:val="006B3B47"/>
    <w:rsid w:val="006B3E98"/>
    <w:rsid w:val="006B3F7E"/>
    <w:rsid w:val="006B3FB6"/>
    <w:rsid w:val="006B4428"/>
    <w:rsid w:val="006B4519"/>
    <w:rsid w:val="006B45AD"/>
    <w:rsid w:val="006B49CB"/>
    <w:rsid w:val="006B4BCC"/>
    <w:rsid w:val="006B4EC4"/>
    <w:rsid w:val="006B509A"/>
    <w:rsid w:val="006B5252"/>
    <w:rsid w:val="006B5310"/>
    <w:rsid w:val="006B5A22"/>
    <w:rsid w:val="006B5C6E"/>
    <w:rsid w:val="006B5D2A"/>
    <w:rsid w:val="006B5E1B"/>
    <w:rsid w:val="006B5E4A"/>
    <w:rsid w:val="006B5F7D"/>
    <w:rsid w:val="006B6095"/>
    <w:rsid w:val="006B625F"/>
    <w:rsid w:val="006B670D"/>
    <w:rsid w:val="006B6784"/>
    <w:rsid w:val="006B67C4"/>
    <w:rsid w:val="006B69D2"/>
    <w:rsid w:val="006B6B37"/>
    <w:rsid w:val="006B6D45"/>
    <w:rsid w:val="006B6E0A"/>
    <w:rsid w:val="006B7450"/>
    <w:rsid w:val="006B75D2"/>
    <w:rsid w:val="006B7805"/>
    <w:rsid w:val="006B785C"/>
    <w:rsid w:val="006B78D8"/>
    <w:rsid w:val="006B7D9F"/>
    <w:rsid w:val="006B7F61"/>
    <w:rsid w:val="006C03D7"/>
    <w:rsid w:val="006C0767"/>
    <w:rsid w:val="006C0791"/>
    <w:rsid w:val="006C087E"/>
    <w:rsid w:val="006C0C7C"/>
    <w:rsid w:val="006C0DFA"/>
    <w:rsid w:val="006C0EEB"/>
    <w:rsid w:val="006C110D"/>
    <w:rsid w:val="006C11DA"/>
    <w:rsid w:val="006C11F4"/>
    <w:rsid w:val="006C13E6"/>
    <w:rsid w:val="006C172D"/>
    <w:rsid w:val="006C198A"/>
    <w:rsid w:val="006C19E9"/>
    <w:rsid w:val="006C19F3"/>
    <w:rsid w:val="006C1C3F"/>
    <w:rsid w:val="006C1D57"/>
    <w:rsid w:val="006C1DA5"/>
    <w:rsid w:val="006C204A"/>
    <w:rsid w:val="006C23C4"/>
    <w:rsid w:val="006C246A"/>
    <w:rsid w:val="006C2569"/>
    <w:rsid w:val="006C258B"/>
    <w:rsid w:val="006C279E"/>
    <w:rsid w:val="006C2842"/>
    <w:rsid w:val="006C284B"/>
    <w:rsid w:val="006C2958"/>
    <w:rsid w:val="006C2A35"/>
    <w:rsid w:val="006C2C37"/>
    <w:rsid w:val="006C2D47"/>
    <w:rsid w:val="006C2EE9"/>
    <w:rsid w:val="006C2FC7"/>
    <w:rsid w:val="006C321F"/>
    <w:rsid w:val="006C3561"/>
    <w:rsid w:val="006C36D5"/>
    <w:rsid w:val="006C372A"/>
    <w:rsid w:val="006C37F2"/>
    <w:rsid w:val="006C38CF"/>
    <w:rsid w:val="006C3B10"/>
    <w:rsid w:val="006C3F5B"/>
    <w:rsid w:val="006C43FF"/>
    <w:rsid w:val="006C458E"/>
    <w:rsid w:val="006C459F"/>
    <w:rsid w:val="006C46C2"/>
    <w:rsid w:val="006C475B"/>
    <w:rsid w:val="006C4801"/>
    <w:rsid w:val="006C498F"/>
    <w:rsid w:val="006C4AD5"/>
    <w:rsid w:val="006C4AF4"/>
    <w:rsid w:val="006C4B34"/>
    <w:rsid w:val="006C4C82"/>
    <w:rsid w:val="006C4FA2"/>
    <w:rsid w:val="006C4FF7"/>
    <w:rsid w:val="006C512C"/>
    <w:rsid w:val="006C5170"/>
    <w:rsid w:val="006C51DF"/>
    <w:rsid w:val="006C53B1"/>
    <w:rsid w:val="006C56B7"/>
    <w:rsid w:val="006C5707"/>
    <w:rsid w:val="006C58C7"/>
    <w:rsid w:val="006C5928"/>
    <w:rsid w:val="006C5A0C"/>
    <w:rsid w:val="006C5CE8"/>
    <w:rsid w:val="006C5D45"/>
    <w:rsid w:val="006C5EFC"/>
    <w:rsid w:val="006C5FC7"/>
    <w:rsid w:val="006C6065"/>
    <w:rsid w:val="006C606F"/>
    <w:rsid w:val="006C607D"/>
    <w:rsid w:val="006C61BD"/>
    <w:rsid w:val="006C62AE"/>
    <w:rsid w:val="006C64A8"/>
    <w:rsid w:val="006C663F"/>
    <w:rsid w:val="006C66F9"/>
    <w:rsid w:val="006C6B87"/>
    <w:rsid w:val="006C6CD1"/>
    <w:rsid w:val="006C6DE2"/>
    <w:rsid w:val="006C6F73"/>
    <w:rsid w:val="006C707D"/>
    <w:rsid w:val="006C720F"/>
    <w:rsid w:val="006C726B"/>
    <w:rsid w:val="006C72B7"/>
    <w:rsid w:val="006C7C95"/>
    <w:rsid w:val="006C7E85"/>
    <w:rsid w:val="006C7E99"/>
    <w:rsid w:val="006C7FF5"/>
    <w:rsid w:val="006D0090"/>
    <w:rsid w:val="006D0139"/>
    <w:rsid w:val="006D01EF"/>
    <w:rsid w:val="006D0260"/>
    <w:rsid w:val="006D02D2"/>
    <w:rsid w:val="006D03CD"/>
    <w:rsid w:val="006D0488"/>
    <w:rsid w:val="006D065D"/>
    <w:rsid w:val="006D095B"/>
    <w:rsid w:val="006D0B3A"/>
    <w:rsid w:val="006D0D46"/>
    <w:rsid w:val="006D0E4F"/>
    <w:rsid w:val="006D0F4D"/>
    <w:rsid w:val="006D111B"/>
    <w:rsid w:val="006D125B"/>
    <w:rsid w:val="006D12C1"/>
    <w:rsid w:val="006D1470"/>
    <w:rsid w:val="006D1B04"/>
    <w:rsid w:val="006D1C01"/>
    <w:rsid w:val="006D227B"/>
    <w:rsid w:val="006D25EA"/>
    <w:rsid w:val="006D2E06"/>
    <w:rsid w:val="006D2EC1"/>
    <w:rsid w:val="006D2EEB"/>
    <w:rsid w:val="006D3133"/>
    <w:rsid w:val="006D3179"/>
    <w:rsid w:val="006D3266"/>
    <w:rsid w:val="006D3272"/>
    <w:rsid w:val="006D3517"/>
    <w:rsid w:val="006D36D7"/>
    <w:rsid w:val="006D3879"/>
    <w:rsid w:val="006D39F8"/>
    <w:rsid w:val="006D3BFF"/>
    <w:rsid w:val="006D3F2F"/>
    <w:rsid w:val="006D3FE3"/>
    <w:rsid w:val="006D40AE"/>
    <w:rsid w:val="006D4163"/>
    <w:rsid w:val="006D41E7"/>
    <w:rsid w:val="006D4860"/>
    <w:rsid w:val="006D4D16"/>
    <w:rsid w:val="006D4D3C"/>
    <w:rsid w:val="006D4F09"/>
    <w:rsid w:val="006D5045"/>
    <w:rsid w:val="006D5275"/>
    <w:rsid w:val="006D547B"/>
    <w:rsid w:val="006D54F1"/>
    <w:rsid w:val="006D56FD"/>
    <w:rsid w:val="006D5F4F"/>
    <w:rsid w:val="006D60BE"/>
    <w:rsid w:val="006D6132"/>
    <w:rsid w:val="006D61F6"/>
    <w:rsid w:val="006D63D7"/>
    <w:rsid w:val="006D64A5"/>
    <w:rsid w:val="006D64F8"/>
    <w:rsid w:val="006D6603"/>
    <w:rsid w:val="006D673E"/>
    <w:rsid w:val="006D67A4"/>
    <w:rsid w:val="006D68F4"/>
    <w:rsid w:val="006D6D4B"/>
    <w:rsid w:val="006D6D4E"/>
    <w:rsid w:val="006D72E2"/>
    <w:rsid w:val="006D7653"/>
    <w:rsid w:val="006D7896"/>
    <w:rsid w:val="006D793D"/>
    <w:rsid w:val="006D7ADD"/>
    <w:rsid w:val="006D7B6B"/>
    <w:rsid w:val="006D7CB8"/>
    <w:rsid w:val="006D7D18"/>
    <w:rsid w:val="006D7E17"/>
    <w:rsid w:val="006D7EA1"/>
    <w:rsid w:val="006D7EF9"/>
    <w:rsid w:val="006D7FDA"/>
    <w:rsid w:val="006E01D5"/>
    <w:rsid w:val="006E03F0"/>
    <w:rsid w:val="006E0674"/>
    <w:rsid w:val="006E0693"/>
    <w:rsid w:val="006E06B1"/>
    <w:rsid w:val="006E074B"/>
    <w:rsid w:val="006E07FD"/>
    <w:rsid w:val="006E0849"/>
    <w:rsid w:val="006E08C6"/>
    <w:rsid w:val="006E08FE"/>
    <w:rsid w:val="006E0A0D"/>
    <w:rsid w:val="006E0A18"/>
    <w:rsid w:val="006E0C58"/>
    <w:rsid w:val="006E0CFC"/>
    <w:rsid w:val="006E0DE5"/>
    <w:rsid w:val="006E0E73"/>
    <w:rsid w:val="006E10CD"/>
    <w:rsid w:val="006E1247"/>
    <w:rsid w:val="006E1463"/>
    <w:rsid w:val="006E14A3"/>
    <w:rsid w:val="006E174B"/>
    <w:rsid w:val="006E1829"/>
    <w:rsid w:val="006E1945"/>
    <w:rsid w:val="006E1B7C"/>
    <w:rsid w:val="006E1D16"/>
    <w:rsid w:val="006E1E6E"/>
    <w:rsid w:val="006E20B8"/>
    <w:rsid w:val="006E211D"/>
    <w:rsid w:val="006E242B"/>
    <w:rsid w:val="006E25AA"/>
    <w:rsid w:val="006E274E"/>
    <w:rsid w:val="006E2794"/>
    <w:rsid w:val="006E29EA"/>
    <w:rsid w:val="006E2A1E"/>
    <w:rsid w:val="006E2B4D"/>
    <w:rsid w:val="006E2E24"/>
    <w:rsid w:val="006E301E"/>
    <w:rsid w:val="006E34C4"/>
    <w:rsid w:val="006E3536"/>
    <w:rsid w:val="006E3610"/>
    <w:rsid w:val="006E36ED"/>
    <w:rsid w:val="006E370D"/>
    <w:rsid w:val="006E388A"/>
    <w:rsid w:val="006E3A5F"/>
    <w:rsid w:val="006E3DA8"/>
    <w:rsid w:val="006E3F51"/>
    <w:rsid w:val="006E44F4"/>
    <w:rsid w:val="006E4791"/>
    <w:rsid w:val="006E4853"/>
    <w:rsid w:val="006E49C3"/>
    <w:rsid w:val="006E4A3F"/>
    <w:rsid w:val="006E4A4B"/>
    <w:rsid w:val="006E4B04"/>
    <w:rsid w:val="006E4B6D"/>
    <w:rsid w:val="006E4DFB"/>
    <w:rsid w:val="006E4E99"/>
    <w:rsid w:val="006E4F8B"/>
    <w:rsid w:val="006E4FC3"/>
    <w:rsid w:val="006E500B"/>
    <w:rsid w:val="006E5045"/>
    <w:rsid w:val="006E50A5"/>
    <w:rsid w:val="006E50CB"/>
    <w:rsid w:val="006E51B7"/>
    <w:rsid w:val="006E51CC"/>
    <w:rsid w:val="006E51D6"/>
    <w:rsid w:val="006E52B8"/>
    <w:rsid w:val="006E530F"/>
    <w:rsid w:val="006E54C5"/>
    <w:rsid w:val="006E56D9"/>
    <w:rsid w:val="006E5873"/>
    <w:rsid w:val="006E58FB"/>
    <w:rsid w:val="006E5B43"/>
    <w:rsid w:val="006E5C70"/>
    <w:rsid w:val="006E5CF1"/>
    <w:rsid w:val="006E5DF2"/>
    <w:rsid w:val="006E61E6"/>
    <w:rsid w:val="006E659E"/>
    <w:rsid w:val="006E675E"/>
    <w:rsid w:val="006E69FC"/>
    <w:rsid w:val="006E6CF5"/>
    <w:rsid w:val="006E6F1C"/>
    <w:rsid w:val="006E6FA5"/>
    <w:rsid w:val="006E703B"/>
    <w:rsid w:val="006E7061"/>
    <w:rsid w:val="006E7074"/>
    <w:rsid w:val="006E7269"/>
    <w:rsid w:val="006E76DF"/>
    <w:rsid w:val="006E7787"/>
    <w:rsid w:val="006E78A5"/>
    <w:rsid w:val="006E796A"/>
    <w:rsid w:val="006E7997"/>
    <w:rsid w:val="006E7CBC"/>
    <w:rsid w:val="006E7CF4"/>
    <w:rsid w:val="006E7FC1"/>
    <w:rsid w:val="006E7FE9"/>
    <w:rsid w:val="006F006D"/>
    <w:rsid w:val="006F03BD"/>
    <w:rsid w:val="006F043A"/>
    <w:rsid w:val="006F04FE"/>
    <w:rsid w:val="006F05F7"/>
    <w:rsid w:val="006F0688"/>
    <w:rsid w:val="006F06CD"/>
    <w:rsid w:val="006F0784"/>
    <w:rsid w:val="006F081F"/>
    <w:rsid w:val="006F0B2D"/>
    <w:rsid w:val="006F0BE1"/>
    <w:rsid w:val="006F0EFE"/>
    <w:rsid w:val="006F0F59"/>
    <w:rsid w:val="006F0F69"/>
    <w:rsid w:val="006F121C"/>
    <w:rsid w:val="006F1297"/>
    <w:rsid w:val="006F13F1"/>
    <w:rsid w:val="006F143E"/>
    <w:rsid w:val="006F1589"/>
    <w:rsid w:val="006F15CF"/>
    <w:rsid w:val="006F1636"/>
    <w:rsid w:val="006F178A"/>
    <w:rsid w:val="006F1A91"/>
    <w:rsid w:val="006F1B71"/>
    <w:rsid w:val="006F1B7B"/>
    <w:rsid w:val="006F1C25"/>
    <w:rsid w:val="006F1CC2"/>
    <w:rsid w:val="006F1E67"/>
    <w:rsid w:val="006F1F1E"/>
    <w:rsid w:val="006F245D"/>
    <w:rsid w:val="006F24D6"/>
    <w:rsid w:val="006F2679"/>
    <w:rsid w:val="006F2B2D"/>
    <w:rsid w:val="006F2D1A"/>
    <w:rsid w:val="006F2F37"/>
    <w:rsid w:val="006F3246"/>
    <w:rsid w:val="006F3406"/>
    <w:rsid w:val="006F34A1"/>
    <w:rsid w:val="006F3A2C"/>
    <w:rsid w:val="006F3E7B"/>
    <w:rsid w:val="006F3F94"/>
    <w:rsid w:val="006F426E"/>
    <w:rsid w:val="006F4440"/>
    <w:rsid w:val="006F444A"/>
    <w:rsid w:val="006F44A7"/>
    <w:rsid w:val="006F44CF"/>
    <w:rsid w:val="006F4574"/>
    <w:rsid w:val="006F4717"/>
    <w:rsid w:val="006F473A"/>
    <w:rsid w:val="006F4887"/>
    <w:rsid w:val="006F4A7F"/>
    <w:rsid w:val="006F4AB9"/>
    <w:rsid w:val="006F4B1D"/>
    <w:rsid w:val="006F4C2C"/>
    <w:rsid w:val="006F4C71"/>
    <w:rsid w:val="006F4F33"/>
    <w:rsid w:val="006F51B3"/>
    <w:rsid w:val="006F51D6"/>
    <w:rsid w:val="006F5241"/>
    <w:rsid w:val="006F5624"/>
    <w:rsid w:val="006F56F8"/>
    <w:rsid w:val="006F575C"/>
    <w:rsid w:val="006F5875"/>
    <w:rsid w:val="006F5A16"/>
    <w:rsid w:val="006F5B30"/>
    <w:rsid w:val="006F5BEE"/>
    <w:rsid w:val="006F5D4D"/>
    <w:rsid w:val="006F5E93"/>
    <w:rsid w:val="006F5EAD"/>
    <w:rsid w:val="006F623C"/>
    <w:rsid w:val="006F6400"/>
    <w:rsid w:val="006F654F"/>
    <w:rsid w:val="006F65D3"/>
    <w:rsid w:val="006F6835"/>
    <w:rsid w:val="006F68C6"/>
    <w:rsid w:val="006F6C21"/>
    <w:rsid w:val="006F6CCB"/>
    <w:rsid w:val="006F733D"/>
    <w:rsid w:val="006F744A"/>
    <w:rsid w:val="006F7497"/>
    <w:rsid w:val="006F76FC"/>
    <w:rsid w:val="006F7722"/>
    <w:rsid w:val="006F7BBC"/>
    <w:rsid w:val="006F7C61"/>
    <w:rsid w:val="006F7DAD"/>
    <w:rsid w:val="006F7E4C"/>
    <w:rsid w:val="006F7E7D"/>
    <w:rsid w:val="0070002C"/>
    <w:rsid w:val="00700223"/>
    <w:rsid w:val="007002F8"/>
    <w:rsid w:val="0070054E"/>
    <w:rsid w:val="00700753"/>
    <w:rsid w:val="00700949"/>
    <w:rsid w:val="007009BD"/>
    <w:rsid w:val="00700F03"/>
    <w:rsid w:val="0070101B"/>
    <w:rsid w:val="0070107B"/>
    <w:rsid w:val="00701100"/>
    <w:rsid w:val="0070144C"/>
    <w:rsid w:val="00701661"/>
    <w:rsid w:val="00701682"/>
    <w:rsid w:val="00701BC1"/>
    <w:rsid w:val="00701BEA"/>
    <w:rsid w:val="00701D47"/>
    <w:rsid w:val="00701D5A"/>
    <w:rsid w:val="00701F14"/>
    <w:rsid w:val="00702028"/>
    <w:rsid w:val="007020D9"/>
    <w:rsid w:val="007021C7"/>
    <w:rsid w:val="007022EF"/>
    <w:rsid w:val="007023BC"/>
    <w:rsid w:val="00702571"/>
    <w:rsid w:val="007025FE"/>
    <w:rsid w:val="00702A97"/>
    <w:rsid w:val="00702B78"/>
    <w:rsid w:val="00702BAA"/>
    <w:rsid w:val="00702C1B"/>
    <w:rsid w:val="00702D2E"/>
    <w:rsid w:val="00702DA9"/>
    <w:rsid w:val="00702EDC"/>
    <w:rsid w:val="00702F8B"/>
    <w:rsid w:val="00703151"/>
    <w:rsid w:val="00703166"/>
    <w:rsid w:val="00703338"/>
    <w:rsid w:val="0070370E"/>
    <w:rsid w:val="0070386F"/>
    <w:rsid w:val="00703B1A"/>
    <w:rsid w:val="00703B8B"/>
    <w:rsid w:val="00703CA1"/>
    <w:rsid w:val="00703D5C"/>
    <w:rsid w:val="00703D7C"/>
    <w:rsid w:val="00703FD9"/>
    <w:rsid w:val="0070402E"/>
    <w:rsid w:val="00704317"/>
    <w:rsid w:val="007043C4"/>
    <w:rsid w:val="007044CD"/>
    <w:rsid w:val="007047CD"/>
    <w:rsid w:val="00704A87"/>
    <w:rsid w:val="00704A98"/>
    <w:rsid w:val="00704D3A"/>
    <w:rsid w:val="00704D47"/>
    <w:rsid w:val="00704DD4"/>
    <w:rsid w:val="00704EFA"/>
    <w:rsid w:val="00705129"/>
    <w:rsid w:val="0070514B"/>
    <w:rsid w:val="00705439"/>
    <w:rsid w:val="00705496"/>
    <w:rsid w:val="007055C7"/>
    <w:rsid w:val="00705B5E"/>
    <w:rsid w:val="00705D37"/>
    <w:rsid w:val="00705E1B"/>
    <w:rsid w:val="00705E82"/>
    <w:rsid w:val="00705FB6"/>
    <w:rsid w:val="00706306"/>
    <w:rsid w:val="0070639C"/>
    <w:rsid w:val="007064D7"/>
    <w:rsid w:val="0070669F"/>
    <w:rsid w:val="007067FD"/>
    <w:rsid w:val="0070681F"/>
    <w:rsid w:val="00706941"/>
    <w:rsid w:val="00706BED"/>
    <w:rsid w:val="00706D4B"/>
    <w:rsid w:val="007071A8"/>
    <w:rsid w:val="0070734D"/>
    <w:rsid w:val="007074F8"/>
    <w:rsid w:val="007076EC"/>
    <w:rsid w:val="00707797"/>
    <w:rsid w:val="00707868"/>
    <w:rsid w:val="00707889"/>
    <w:rsid w:val="007078C9"/>
    <w:rsid w:val="00707A08"/>
    <w:rsid w:val="00707CA8"/>
    <w:rsid w:val="00707D69"/>
    <w:rsid w:val="00707E4B"/>
    <w:rsid w:val="00707E65"/>
    <w:rsid w:val="00707E87"/>
    <w:rsid w:val="00707FB4"/>
    <w:rsid w:val="007100B3"/>
    <w:rsid w:val="007100C8"/>
    <w:rsid w:val="007108D0"/>
    <w:rsid w:val="00710B6A"/>
    <w:rsid w:val="00710BAC"/>
    <w:rsid w:val="00711019"/>
    <w:rsid w:val="00711144"/>
    <w:rsid w:val="00711312"/>
    <w:rsid w:val="00711548"/>
    <w:rsid w:val="007116AB"/>
    <w:rsid w:val="0071172E"/>
    <w:rsid w:val="007117F3"/>
    <w:rsid w:val="00711ADB"/>
    <w:rsid w:val="00711FC7"/>
    <w:rsid w:val="00712122"/>
    <w:rsid w:val="007121C9"/>
    <w:rsid w:val="0071222A"/>
    <w:rsid w:val="00712BA4"/>
    <w:rsid w:val="00712C17"/>
    <w:rsid w:val="00712EE7"/>
    <w:rsid w:val="00712F16"/>
    <w:rsid w:val="0071305A"/>
    <w:rsid w:val="00713075"/>
    <w:rsid w:val="00713099"/>
    <w:rsid w:val="007132DC"/>
    <w:rsid w:val="0071348A"/>
    <w:rsid w:val="007134A3"/>
    <w:rsid w:val="00713547"/>
    <w:rsid w:val="00713B51"/>
    <w:rsid w:val="00713CBE"/>
    <w:rsid w:val="00713DB1"/>
    <w:rsid w:val="00713F09"/>
    <w:rsid w:val="00714488"/>
    <w:rsid w:val="007144E4"/>
    <w:rsid w:val="007145FD"/>
    <w:rsid w:val="007148A9"/>
    <w:rsid w:val="00714BA1"/>
    <w:rsid w:val="00714BB2"/>
    <w:rsid w:val="00714D38"/>
    <w:rsid w:val="00714DE2"/>
    <w:rsid w:val="00714F74"/>
    <w:rsid w:val="00714FBE"/>
    <w:rsid w:val="007150D1"/>
    <w:rsid w:val="00715118"/>
    <w:rsid w:val="007158C6"/>
    <w:rsid w:val="007158FF"/>
    <w:rsid w:val="0071599B"/>
    <w:rsid w:val="00715AB9"/>
    <w:rsid w:val="00715BEF"/>
    <w:rsid w:val="00715CCE"/>
    <w:rsid w:val="00715CDB"/>
    <w:rsid w:val="00715E4B"/>
    <w:rsid w:val="007161E7"/>
    <w:rsid w:val="007165EE"/>
    <w:rsid w:val="007166C9"/>
    <w:rsid w:val="007167B3"/>
    <w:rsid w:val="00716843"/>
    <w:rsid w:val="0071690B"/>
    <w:rsid w:val="0071697D"/>
    <w:rsid w:val="00716B90"/>
    <w:rsid w:val="00716D38"/>
    <w:rsid w:val="00716DB7"/>
    <w:rsid w:val="00716FE5"/>
    <w:rsid w:val="00717049"/>
    <w:rsid w:val="00717402"/>
    <w:rsid w:val="00717A74"/>
    <w:rsid w:val="00717BAF"/>
    <w:rsid w:val="00717D14"/>
    <w:rsid w:val="00717FEE"/>
    <w:rsid w:val="00720144"/>
    <w:rsid w:val="0072020B"/>
    <w:rsid w:val="007204D0"/>
    <w:rsid w:val="00720507"/>
    <w:rsid w:val="007205EE"/>
    <w:rsid w:val="007206BD"/>
    <w:rsid w:val="0072082D"/>
    <w:rsid w:val="0072088E"/>
    <w:rsid w:val="00720CE4"/>
    <w:rsid w:val="00720CEA"/>
    <w:rsid w:val="00720E05"/>
    <w:rsid w:val="00720E7A"/>
    <w:rsid w:val="00720F7B"/>
    <w:rsid w:val="00721384"/>
    <w:rsid w:val="00721479"/>
    <w:rsid w:val="007214C0"/>
    <w:rsid w:val="007214FB"/>
    <w:rsid w:val="007215EF"/>
    <w:rsid w:val="007218D1"/>
    <w:rsid w:val="00721A3E"/>
    <w:rsid w:val="00721E37"/>
    <w:rsid w:val="00722129"/>
    <w:rsid w:val="00722643"/>
    <w:rsid w:val="00722954"/>
    <w:rsid w:val="007229E8"/>
    <w:rsid w:val="00722ACA"/>
    <w:rsid w:val="00722BB8"/>
    <w:rsid w:val="00722C35"/>
    <w:rsid w:val="00722F4D"/>
    <w:rsid w:val="00722FE0"/>
    <w:rsid w:val="007230E4"/>
    <w:rsid w:val="007231AF"/>
    <w:rsid w:val="0072325D"/>
    <w:rsid w:val="0072340F"/>
    <w:rsid w:val="00723597"/>
    <w:rsid w:val="007235C0"/>
    <w:rsid w:val="00723844"/>
    <w:rsid w:val="007239A3"/>
    <w:rsid w:val="00723B51"/>
    <w:rsid w:val="00723C38"/>
    <w:rsid w:val="00723C7F"/>
    <w:rsid w:val="00723F23"/>
    <w:rsid w:val="00724107"/>
    <w:rsid w:val="00724276"/>
    <w:rsid w:val="007243AD"/>
    <w:rsid w:val="0072497F"/>
    <w:rsid w:val="007249D3"/>
    <w:rsid w:val="00724EA9"/>
    <w:rsid w:val="00725202"/>
    <w:rsid w:val="007253F8"/>
    <w:rsid w:val="0072595C"/>
    <w:rsid w:val="00725AD9"/>
    <w:rsid w:val="00725B97"/>
    <w:rsid w:val="00725C61"/>
    <w:rsid w:val="00725D37"/>
    <w:rsid w:val="00725F09"/>
    <w:rsid w:val="00725F25"/>
    <w:rsid w:val="00725FEA"/>
    <w:rsid w:val="00725FFE"/>
    <w:rsid w:val="007261C7"/>
    <w:rsid w:val="007264A2"/>
    <w:rsid w:val="007265EA"/>
    <w:rsid w:val="00726601"/>
    <w:rsid w:val="0072676C"/>
    <w:rsid w:val="007268E2"/>
    <w:rsid w:val="007269FB"/>
    <w:rsid w:val="00726B1B"/>
    <w:rsid w:val="00726C04"/>
    <w:rsid w:val="00726D4F"/>
    <w:rsid w:val="00726ED6"/>
    <w:rsid w:val="0072705C"/>
    <w:rsid w:val="007273AC"/>
    <w:rsid w:val="00727464"/>
    <w:rsid w:val="00727700"/>
    <w:rsid w:val="00727866"/>
    <w:rsid w:val="00727B0B"/>
    <w:rsid w:val="00727D5A"/>
    <w:rsid w:val="00727DFF"/>
    <w:rsid w:val="00730009"/>
    <w:rsid w:val="00730088"/>
    <w:rsid w:val="007300B3"/>
    <w:rsid w:val="00730109"/>
    <w:rsid w:val="007301C9"/>
    <w:rsid w:val="007301D3"/>
    <w:rsid w:val="00730230"/>
    <w:rsid w:val="00730544"/>
    <w:rsid w:val="00730584"/>
    <w:rsid w:val="007305A0"/>
    <w:rsid w:val="00730690"/>
    <w:rsid w:val="00730895"/>
    <w:rsid w:val="00730978"/>
    <w:rsid w:val="00730A36"/>
    <w:rsid w:val="00730ED6"/>
    <w:rsid w:val="00730F3B"/>
    <w:rsid w:val="00730F57"/>
    <w:rsid w:val="00731159"/>
    <w:rsid w:val="00731175"/>
    <w:rsid w:val="007311DC"/>
    <w:rsid w:val="00731281"/>
    <w:rsid w:val="007312BA"/>
    <w:rsid w:val="007314E6"/>
    <w:rsid w:val="0073173C"/>
    <w:rsid w:val="00731743"/>
    <w:rsid w:val="00731926"/>
    <w:rsid w:val="0073195D"/>
    <w:rsid w:val="00731BC9"/>
    <w:rsid w:val="00731FAA"/>
    <w:rsid w:val="00732298"/>
    <w:rsid w:val="00732373"/>
    <w:rsid w:val="007324E9"/>
    <w:rsid w:val="0073272F"/>
    <w:rsid w:val="00732795"/>
    <w:rsid w:val="00732808"/>
    <w:rsid w:val="00732810"/>
    <w:rsid w:val="0073283C"/>
    <w:rsid w:val="00732EB7"/>
    <w:rsid w:val="0073338B"/>
    <w:rsid w:val="0073381F"/>
    <w:rsid w:val="00733834"/>
    <w:rsid w:val="00733979"/>
    <w:rsid w:val="007339A4"/>
    <w:rsid w:val="00733A63"/>
    <w:rsid w:val="00733A94"/>
    <w:rsid w:val="00733B0F"/>
    <w:rsid w:val="00733B39"/>
    <w:rsid w:val="00733CF2"/>
    <w:rsid w:val="0073413D"/>
    <w:rsid w:val="00734162"/>
    <w:rsid w:val="00734277"/>
    <w:rsid w:val="007342E2"/>
    <w:rsid w:val="0073435E"/>
    <w:rsid w:val="007344D8"/>
    <w:rsid w:val="00734579"/>
    <w:rsid w:val="00734679"/>
    <w:rsid w:val="007346C6"/>
    <w:rsid w:val="007348F8"/>
    <w:rsid w:val="00734AC9"/>
    <w:rsid w:val="00734AD4"/>
    <w:rsid w:val="00734DC9"/>
    <w:rsid w:val="00734DF0"/>
    <w:rsid w:val="00734E90"/>
    <w:rsid w:val="00734E9D"/>
    <w:rsid w:val="00735190"/>
    <w:rsid w:val="007351A8"/>
    <w:rsid w:val="00735375"/>
    <w:rsid w:val="007353FB"/>
    <w:rsid w:val="00735536"/>
    <w:rsid w:val="0073554F"/>
    <w:rsid w:val="00735600"/>
    <w:rsid w:val="00735608"/>
    <w:rsid w:val="00735619"/>
    <w:rsid w:val="007356C2"/>
    <w:rsid w:val="0073583F"/>
    <w:rsid w:val="00735A63"/>
    <w:rsid w:val="00735B92"/>
    <w:rsid w:val="00735CBD"/>
    <w:rsid w:val="00735D43"/>
    <w:rsid w:val="00735DE5"/>
    <w:rsid w:val="00735EED"/>
    <w:rsid w:val="00735F68"/>
    <w:rsid w:val="007360A1"/>
    <w:rsid w:val="007360C9"/>
    <w:rsid w:val="00736121"/>
    <w:rsid w:val="00736135"/>
    <w:rsid w:val="00736320"/>
    <w:rsid w:val="00736634"/>
    <w:rsid w:val="007367A6"/>
    <w:rsid w:val="007367DB"/>
    <w:rsid w:val="00736821"/>
    <w:rsid w:val="0073682E"/>
    <w:rsid w:val="0073686E"/>
    <w:rsid w:val="00736A58"/>
    <w:rsid w:val="00736E9C"/>
    <w:rsid w:val="00736ED0"/>
    <w:rsid w:val="0073703D"/>
    <w:rsid w:val="007371E4"/>
    <w:rsid w:val="00737351"/>
    <w:rsid w:val="007373F6"/>
    <w:rsid w:val="0073771D"/>
    <w:rsid w:val="007377B6"/>
    <w:rsid w:val="00737AF7"/>
    <w:rsid w:val="00737D34"/>
    <w:rsid w:val="00740349"/>
    <w:rsid w:val="00740464"/>
    <w:rsid w:val="00740707"/>
    <w:rsid w:val="0074073A"/>
    <w:rsid w:val="00740804"/>
    <w:rsid w:val="00740C10"/>
    <w:rsid w:val="00740C95"/>
    <w:rsid w:val="00740F5C"/>
    <w:rsid w:val="00740F9C"/>
    <w:rsid w:val="007410CE"/>
    <w:rsid w:val="0074128E"/>
    <w:rsid w:val="00741454"/>
    <w:rsid w:val="007414FE"/>
    <w:rsid w:val="00741641"/>
    <w:rsid w:val="00741807"/>
    <w:rsid w:val="007418B2"/>
    <w:rsid w:val="00741991"/>
    <w:rsid w:val="00741C65"/>
    <w:rsid w:val="00741E89"/>
    <w:rsid w:val="00742266"/>
    <w:rsid w:val="00742329"/>
    <w:rsid w:val="0074233F"/>
    <w:rsid w:val="00742398"/>
    <w:rsid w:val="0074253E"/>
    <w:rsid w:val="007425C4"/>
    <w:rsid w:val="007426EE"/>
    <w:rsid w:val="0074281C"/>
    <w:rsid w:val="00742A27"/>
    <w:rsid w:val="00742B01"/>
    <w:rsid w:val="00742E2D"/>
    <w:rsid w:val="00742EC5"/>
    <w:rsid w:val="00742F0D"/>
    <w:rsid w:val="00742F93"/>
    <w:rsid w:val="00743072"/>
    <w:rsid w:val="007431DE"/>
    <w:rsid w:val="0074325F"/>
    <w:rsid w:val="0074333F"/>
    <w:rsid w:val="00743548"/>
    <w:rsid w:val="0074368D"/>
    <w:rsid w:val="00743738"/>
    <w:rsid w:val="007437FF"/>
    <w:rsid w:val="0074393D"/>
    <w:rsid w:val="00743958"/>
    <w:rsid w:val="00743980"/>
    <w:rsid w:val="00743A50"/>
    <w:rsid w:val="00743AC9"/>
    <w:rsid w:val="00743C81"/>
    <w:rsid w:val="00743D1A"/>
    <w:rsid w:val="00743EA7"/>
    <w:rsid w:val="00743F11"/>
    <w:rsid w:val="00744083"/>
    <w:rsid w:val="00744120"/>
    <w:rsid w:val="007441A2"/>
    <w:rsid w:val="007441B9"/>
    <w:rsid w:val="00744302"/>
    <w:rsid w:val="0074458D"/>
    <w:rsid w:val="00744E6A"/>
    <w:rsid w:val="00744FDB"/>
    <w:rsid w:val="007450C4"/>
    <w:rsid w:val="0074518A"/>
    <w:rsid w:val="00745211"/>
    <w:rsid w:val="00745243"/>
    <w:rsid w:val="007453EE"/>
    <w:rsid w:val="00745619"/>
    <w:rsid w:val="00745787"/>
    <w:rsid w:val="007457D9"/>
    <w:rsid w:val="007458BE"/>
    <w:rsid w:val="007459F9"/>
    <w:rsid w:val="00745DEA"/>
    <w:rsid w:val="00745E23"/>
    <w:rsid w:val="00745FAC"/>
    <w:rsid w:val="0074617A"/>
    <w:rsid w:val="007461B0"/>
    <w:rsid w:val="00746222"/>
    <w:rsid w:val="00746228"/>
    <w:rsid w:val="007466D9"/>
    <w:rsid w:val="00746739"/>
    <w:rsid w:val="0074674E"/>
    <w:rsid w:val="00746955"/>
    <w:rsid w:val="00746999"/>
    <w:rsid w:val="007469C6"/>
    <w:rsid w:val="007469CD"/>
    <w:rsid w:val="007469EE"/>
    <w:rsid w:val="00746B28"/>
    <w:rsid w:val="00746F87"/>
    <w:rsid w:val="007471AF"/>
    <w:rsid w:val="00747295"/>
    <w:rsid w:val="00747387"/>
    <w:rsid w:val="00747452"/>
    <w:rsid w:val="00747652"/>
    <w:rsid w:val="00747686"/>
    <w:rsid w:val="0074772B"/>
    <w:rsid w:val="0074774D"/>
    <w:rsid w:val="007477BA"/>
    <w:rsid w:val="007477C3"/>
    <w:rsid w:val="0074790D"/>
    <w:rsid w:val="0074796E"/>
    <w:rsid w:val="00747B9D"/>
    <w:rsid w:val="00747F82"/>
    <w:rsid w:val="0075024D"/>
    <w:rsid w:val="007502E8"/>
    <w:rsid w:val="00750A99"/>
    <w:rsid w:val="00750CC8"/>
    <w:rsid w:val="00750CFE"/>
    <w:rsid w:val="00750D25"/>
    <w:rsid w:val="00750E6B"/>
    <w:rsid w:val="00750F4F"/>
    <w:rsid w:val="0075106A"/>
    <w:rsid w:val="00751137"/>
    <w:rsid w:val="00751140"/>
    <w:rsid w:val="00751175"/>
    <w:rsid w:val="00751A3E"/>
    <w:rsid w:val="00751E5D"/>
    <w:rsid w:val="007520CE"/>
    <w:rsid w:val="00752301"/>
    <w:rsid w:val="00752589"/>
    <w:rsid w:val="007527B0"/>
    <w:rsid w:val="00752A15"/>
    <w:rsid w:val="00752C64"/>
    <w:rsid w:val="00752F33"/>
    <w:rsid w:val="00752FC2"/>
    <w:rsid w:val="0075333C"/>
    <w:rsid w:val="0075386F"/>
    <w:rsid w:val="00753995"/>
    <w:rsid w:val="00753ABF"/>
    <w:rsid w:val="00753B61"/>
    <w:rsid w:val="00753CDE"/>
    <w:rsid w:val="0075421B"/>
    <w:rsid w:val="007542EF"/>
    <w:rsid w:val="007542FD"/>
    <w:rsid w:val="0075447E"/>
    <w:rsid w:val="007546A4"/>
    <w:rsid w:val="007547B7"/>
    <w:rsid w:val="00754812"/>
    <w:rsid w:val="007548A6"/>
    <w:rsid w:val="007548B1"/>
    <w:rsid w:val="00754919"/>
    <w:rsid w:val="00754C11"/>
    <w:rsid w:val="00754E7F"/>
    <w:rsid w:val="007550DF"/>
    <w:rsid w:val="00755135"/>
    <w:rsid w:val="00755137"/>
    <w:rsid w:val="00755682"/>
    <w:rsid w:val="007556AE"/>
    <w:rsid w:val="007556F5"/>
    <w:rsid w:val="00755980"/>
    <w:rsid w:val="007559B3"/>
    <w:rsid w:val="00755A3C"/>
    <w:rsid w:val="00755B56"/>
    <w:rsid w:val="00755C04"/>
    <w:rsid w:val="0075615A"/>
    <w:rsid w:val="00756402"/>
    <w:rsid w:val="00756410"/>
    <w:rsid w:val="007565A0"/>
    <w:rsid w:val="00756CA8"/>
    <w:rsid w:val="00756CBF"/>
    <w:rsid w:val="00756E4F"/>
    <w:rsid w:val="00756E7E"/>
    <w:rsid w:val="00756EB7"/>
    <w:rsid w:val="00756EE4"/>
    <w:rsid w:val="007570DD"/>
    <w:rsid w:val="00757282"/>
    <w:rsid w:val="007572F6"/>
    <w:rsid w:val="0075731E"/>
    <w:rsid w:val="00757593"/>
    <w:rsid w:val="007576D7"/>
    <w:rsid w:val="00757869"/>
    <w:rsid w:val="00757B43"/>
    <w:rsid w:val="00757E55"/>
    <w:rsid w:val="00760005"/>
    <w:rsid w:val="00760037"/>
    <w:rsid w:val="00760304"/>
    <w:rsid w:val="0076030D"/>
    <w:rsid w:val="0076046C"/>
    <w:rsid w:val="007607C0"/>
    <w:rsid w:val="007608CD"/>
    <w:rsid w:val="007609BA"/>
    <w:rsid w:val="00760D5B"/>
    <w:rsid w:val="00760E1B"/>
    <w:rsid w:val="00760E46"/>
    <w:rsid w:val="00760F0A"/>
    <w:rsid w:val="00761005"/>
    <w:rsid w:val="00761032"/>
    <w:rsid w:val="00761081"/>
    <w:rsid w:val="00761228"/>
    <w:rsid w:val="0076131D"/>
    <w:rsid w:val="0076132D"/>
    <w:rsid w:val="00761382"/>
    <w:rsid w:val="00761439"/>
    <w:rsid w:val="00761497"/>
    <w:rsid w:val="0076177D"/>
    <w:rsid w:val="007617D9"/>
    <w:rsid w:val="00761B02"/>
    <w:rsid w:val="00761B84"/>
    <w:rsid w:val="00761BE5"/>
    <w:rsid w:val="00761E4C"/>
    <w:rsid w:val="00761FF3"/>
    <w:rsid w:val="0076207E"/>
    <w:rsid w:val="007623E1"/>
    <w:rsid w:val="00762494"/>
    <w:rsid w:val="00762716"/>
    <w:rsid w:val="007629B6"/>
    <w:rsid w:val="00762AFD"/>
    <w:rsid w:val="00762BB4"/>
    <w:rsid w:val="00762CEE"/>
    <w:rsid w:val="00762D5F"/>
    <w:rsid w:val="00762DE6"/>
    <w:rsid w:val="00762E74"/>
    <w:rsid w:val="00762F69"/>
    <w:rsid w:val="007632E8"/>
    <w:rsid w:val="0076330D"/>
    <w:rsid w:val="00763549"/>
    <w:rsid w:val="00763643"/>
    <w:rsid w:val="0076383C"/>
    <w:rsid w:val="007638E2"/>
    <w:rsid w:val="00763B4A"/>
    <w:rsid w:val="00763B91"/>
    <w:rsid w:val="00763D26"/>
    <w:rsid w:val="00763E6A"/>
    <w:rsid w:val="00763F8E"/>
    <w:rsid w:val="00764150"/>
    <w:rsid w:val="007641D9"/>
    <w:rsid w:val="0076429B"/>
    <w:rsid w:val="00764731"/>
    <w:rsid w:val="00764776"/>
    <w:rsid w:val="0076489F"/>
    <w:rsid w:val="007648BE"/>
    <w:rsid w:val="00764AD2"/>
    <w:rsid w:val="00764C4B"/>
    <w:rsid w:val="00764CDD"/>
    <w:rsid w:val="00764FE1"/>
    <w:rsid w:val="007651B6"/>
    <w:rsid w:val="00765257"/>
    <w:rsid w:val="00765419"/>
    <w:rsid w:val="007654FF"/>
    <w:rsid w:val="007655AC"/>
    <w:rsid w:val="00765719"/>
    <w:rsid w:val="0076573F"/>
    <w:rsid w:val="007659CD"/>
    <w:rsid w:val="00765A26"/>
    <w:rsid w:val="00765A71"/>
    <w:rsid w:val="00765B5D"/>
    <w:rsid w:val="00765E01"/>
    <w:rsid w:val="00765EAD"/>
    <w:rsid w:val="00766034"/>
    <w:rsid w:val="00766312"/>
    <w:rsid w:val="00766412"/>
    <w:rsid w:val="00766507"/>
    <w:rsid w:val="00766707"/>
    <w:rsid w:val="00766816"/>
    <w:rsid w:val="007669DE"/>
    <w:rsid w:val="00766ABE"/>
    <w:rsid w:val="00766BE0"/>
    <w:rsid w:val="007670EE"/>
    <w:rsid w:val="0076719A"/>
    <w:rsid w:val="00767325"/>
    <w:rsid w:val="0076750F"/>
    <w:rsid w:val="00767A19"/>
    <w:rsid w:val="00767D85"/>
    <w:rsid w:val="00767DC5"/>
    <w:rsid w:val="00767EAE"/>
    <w:rsid w:val="00767ED0"/>
    <w:rsid w:val="00770251"/>
    <w:rsid w:val="007708E4"/>
    <w:rsid w:val="00770B1A"/>
    <w:rsid w:val="00770C8F"/>
    <w:rsid w:val="00770D72"/>
    <w:rsid w:val="00770DB0"/>
    <w:rsid w:val="00770F09"/>
    <w:rsid w:val="00770FF6"/>
    <w:rsid w:val="00771194"/>
    <w:rsid w:val="007711B7"/>
    <w:rsid w:val="00771275"/>
    <w:rsid w:val="007712CE"/>
    <w:rsid w:val="00771447"/>
    <w:rsid w:val="00771511"/>
    <w:rsid w:val="007715AE"/>
    <w:rsid w:val="007717CF"/>
    <w:rsid w:val="0077199C"/>
    <w:rsid w:val="00771DF0"/>
    <w:rsid w:val="00771E7C"/>
    <w:rsid w:val="00771F55"/>
    <w:rsid w:val="00772577"/>
    <w:rsid w:val="00772E2B"/>
    <w:rsid w:val="00772FDF"/>
    <w:rsid w:val="00773030"/>
    <w:rsid w:val="007730CC"/>
    <w:rsid w:val="00773554"/>
    <w:rsid w:val="007736AD"/>
    <w:rsid w:val="007736F8"/>
    <w:rsid w:val="00773D36"/>
    <w:rsid w:val="00773DBE"/>
    <w:rsid w:val="00773E42"/>
    <w:rsid w:val="00773E7F"/>
    <w:rsid w:val="00774061"/>
    <w:rsid w:val="007742B4"/>
    <w:rsid w:val="00774425"/>
    <w:rsid w:val="0077465A"/>
    <w:rsid w:val="007747AC"/>
    <w:rsid w:val="007747C0"/>
    <w:rsid w:val="007749E3"/>
    <w:rsid w:val="00774A49"/>
    <w:rsid w:val="00774B0D"/>
    <w:rsid w:val="00774DFB"/>
    <w:rsid w:val="00775165"/>
    <w:rsid w:val="00775187"/>
    <w:rsid w:val="0077525E"/>
    <w:rsid w:val="00775567"/>
    <w:rsid w:val="0077556A"/>
    <w:rsid w:val="00775680"/>
    <w:rsid w:val="0077594D"/>
    <w:rsid w:val="007759ED"/>
    <w:rsid w:val="00775AAD"/>
    <w:rsid w:val="00775CA7"/>
    <w:rsid w:val="007761C5"/>
    <w:rsid w:val="0077633C"/>
    <w:rsid w:val="00776359"/>
    <w:rsid w:val="0077641A"/>
    <w:rsid w:val="0077665F"/>
    <w:rsid w:val="007767B6"/>
    <w:rsid w:val="00776863"/>
    <w:rsid w:val="007769F6"/>
    <w:rsid w:val="00776A9D"/>
    <w:rsid w:val="00776DE3"/>
    <w:rsid w:val="00776F94"/>
    <w:rsid w:val="00777238"/>
    <w:rsid w:val="007774DB"/>
    <w:rsid w:val="00777B78"/>
    <w:rsid w:val="00777CED"/>
    <w:rsid w:val="00777D2D"/>
    <w:rsid w:val="00777E2A"/>
    <w:rsid w:val="00777FE6"/>
    <w:rsid w:val="007803A4"/>
    <w:rsid w:val="00780428"/>
    <w:rsid w:val="0078066A"/>
    <w:rsid w:val="007806A9"/>
    <w:rsid w:val="00780755"/>
    <w:rsid w:val="0078086E"/>
    <w:rsid w:val="007809D2"/>
    <w:rsid w:val="00780C84"/>
    <w:rsid w:val="00780D66"/>
    <w:rsid w:val="00780FF3"/>
    <w:rsid w:val="00781029"/>
    <w:rsid w:val="007813AA"/>
    <w:rsid w:val="00781442"/>
    <w:rsid w:val="00781563"/>
    <w:rsid w:val="00781710"/>
    <w:rsid w:val="0078189D"/>
    <w:rsid w:val="007819A2"/>
    <w:rsid w:val="007819A7"/>
    <w:rsid w:val="00781A02"/>
    <w:rsid w:val="00781C49"/>
    <w:rsid w:val="00781F00"/>
    <w:rsid w:val="00781F3D"/>
    <w:rsid w:val="00782169"/>
    <w:rsid w:val="007822CE"/>
    <w:rsid w:val="0078250F"/>
    <w:rsid w:val="00782538"/>
    <w:rsid w:val="007826DC"/>
    <w:rsid w:val="0078293B"/>
    <w:rsid w:val="00782CFE"/>
    <w:rsid w:val="007830AF"/>
    <w:rsid w:val="00783309"/>
    <w:rsid w:val="007834C3"/>
    <w:rsid w:val="007834E9"/>
    <w:rsid w:val="00783706"/>
    <w:rsid w:val="0078380A"/>
    <w:rsid w:val="00783B04"/>
    <w:rsid w:val="00783B1F"/>
    <w:rsid w:val="00783B67"/>
    <w:rsid w:val="00783C11"/>
    <w:rsid w:val="00783C22"/>
    <w:rsid w:val="00783D6A"/>
    <w:rsid w:val="00783E7A"/>
    <w:rsid w:val="007842AE"/>
    <w:rsid w:val="0078435A"/>
    <w:rsid w:val="00784816"/>
    <w:rsid w:val="0078481E"/>
    <w:rsid w:val="00784AD8"/>
    <w:rsid w:val="00784B92"/>
    <w:rsid w:val="00784CE6"/>
    <w:rsid w:val="0078507B"/>
    <w:rsid w:val="007851BB"/>
    <w:rsid w:val="0078533C"/>
    <w:rsid w:val="007854B7"/>
    <w:rsid w:val="00785507"/>
    <w:rsid w:val="00785781"/>
    <w:rsid w:val="00785862"/>
    <w:rsid w:val="007858A2"/>
    <w:rsid w:val="00785A82"/>
    <w:rsid w:val="00785B52"/>
    <w:rsid w:val="00785EA4"/>
    <w:rsid w:val="00785FE2"/>
    <w:rsid w:val="00786080"/>
    <w:rsid w:val="0078647F"/>
    <w:rsid w:val="00786492"/>
    <w:rsid w:val="0078675F"/>
    <w:rsid w:val="0078695B"/>
    <w:rsid w:val="00786BB9"/>
    <w:rsid w:val="00786C69"/>
    <w:rsid w:val="00786C77"/>
    <w:rsid w:val="00786C87"/>
    <w:rsid w:val="00786C9A"/>
    <w:rsid w:val="00786F45"/>
    <w:rsid w:val="007872FA"/>
    <w:rsid w:val="007873B2"/>
    <w:rsid w:val="007877EB"/>
    <w:rsid w:val="007877FA"/>
    <w:rsid w:val="007878AE"/>
    <w:rsid w:val="00787A58"/>
    <w:rsid w:val="00787C08"/>
    <w:rsid w:val="00787E2D"/>
    <w:rsid w:val="00787E42"/>
    <w:rsid w:val="00790318"/>
    <w:rsid w:val="0079032A"/>
    <w:rsid w:val="007903F4"/>
    <w:rsid w:val="007905EE"/>
    <w:rsid w:val="007906CD"/>
    <w:rsid w:val="007907DB"/>
    <w:rsid w:val="00790906"/>
    <w:rsid w:val="00790CDB"/>
    <w:rsid w:val="0079112C"/>
    <w:rsid w:val="0079113A"/>
    <w:rsid w:val="007912BA"/>
    <w:rsid w:val="00791390"/>
    <w:rsid w:val="007914C1"/>
    <w:rsid w:val="00791627"/>
    <w:rsid w:val="007916A6"/>
    <w:rsid w:val="0079186E"/>
    <w:rsid w:val="007919A0"/>
    <w:rsid w:val="00791BE4"/>
    <w:rsid w:val="00791C62"/>
    <w:rsid w:val="00791D95"/>
    <w:rsid w:val="00791F68"/>
    <w:rsid w:val="00792074"/>
    <w:rsid w:val="00792235"/>
    <w:rsid w:val="007922BC"/>
    <w:rsid w:val="00792570"/>
    <w:rsid w:val="00792675"/>
    <w:rsid w:val="007929C4"/>
    <w:rsid w:val="007929D1"/>
    <w:rsid w:val="00792A63"/>
    <w:rsid w:val="00792AA4"/>
    <w:rsid w:val="00792AA5"/>
    <w:rsid w:val="00792DE6"/>
    <w:rsid w:val="00792F0F"/>
    <w:rsid w:val="0079319C"/>
    <w:rsid w:val="007931F4"/>
    <w:rsid w:val="00793202"/>
    <w:rsid w:val="0079320C"/>
    <w:rsid w:val="007933B5"/>
    <w:rsid w:val="00793534"/>
    <w:rsid w:val="00793577"/>
    <w:rsid w:val="0079358B"/>
    <w:rsid w:val="00793675"/>
    <w:rsid w:val="0079367F"/>
    <w:rsid w:val="007937D3"/>
    <w:rsid w:val="007937DF"/>
    <w:rsid w:val="0079387E"/>
    <w:rsid w:val="00793AAC"/>
    <w:rsid w:val="00793BE8"/>
    <w:rsid w:val="00793FCE"/>
    <w:rsid w:val="0079418F"/>
    <w:rsid w:val="007943DA"/>
    <w:rsid w:val="00794469"/>
    <w:rsid w:val="00794757"/>
    <w:rsid w:val="007947A3"/>
    <w:rsid w:val="007947E4"/>
    <w:rsid w:val="00794B6C"/>
    <w:rsid w:val="00794C07"/>
    <w:rsid w:val="00794F1C"/>
    <w:rsid w:val="0079503F"/>
    <w:rsid w:val="007951F9"/>
    <w:rsid w:val="00795249"/>
    <w:rsid w:val="007957BF"/>
    <w:rsid w:val="0079596E"/>
    <w:rsid w:val="00795C0D"/>
    <w:rsid w:val="00795CD5"/>
    <w:rsid w:val="00796099"/>
    <w:rsid w:val="00796107"/>
    <w:rsid w:val="00796170"/>
    <w:rsid w:val="00796337"/>
    <w:rsid w:val="00796927"/>
    <w:rsid w:val="00796EB3"/>
    <w:rsid w:val="00796F11"/>
    <w:rsid w:val="007972C5"/>
    <w:rsid w:val="007973AD"/>
    <w:rsid w:val="007974A4"/>
    <w:rsid w:val="00797527"/>
    <w:rsid w:val="0079770C"/>
    <w:rsid w:val="00797880"/>
    <w:rsid w:val="0079789F"/>
    <w:rsid w:val="00797BFE"/>
    <w:rsid w:val="00797DDC"/>
    <w:rsid w:val="007A012E"/>
    <w:rsid w:val="007A0197"/>
    <w:rsid w:val="007A01A9"/>
    <w:rsid w:val="007A0203"/>
    <w:rsid w:val="007A0363"/>
    <w:rsid w:val="007A0495"/>
    <w:rsid w:val="007A0527"/>
    <w:rsid w:val="007A0963"/>
    <w:rsid w:val="007A0AAB"/>
    <w:rsid w:val="007A0ACD"/>
    <w:rsid w:val="007A0B05"/>
    <w:rsid w:val="007A0C8E"/>
    <w:rsid w:val="007A0D66"/>
    <w:rsid w:val="007A103B"/>
    <w:rsid w:val="007A131D"/>
    <w:rsid w:val="007A14CF"/>
    <w:rsid w:val="007A1796"/>
    <w:rsid w:val="007A23B0"/>
    <w:rsid w:val="007A2585"/>
    <w:rsid w:val="007A25DB"/>
    <w:rsid w:val="007A2820"/>
    <w:rsid w:val="007A2864"/>
    <w:rsid w:val="007A2923"/>
    <w:rsid w:val="007A2990"/>
    <w:rsid w:val="007A29EB"/>
    <w:rsid w:val="007A2B4A"/>
    <w:rsid w:val="007A2D1F"/>
    <w:rsid w:val="007A2FCE"/>
    <w:rsid w:val="007A3194"/>
    <w:rsid w:val="007A355B"/>
    <w:rsid w:val="007A356D"/>
    <w:rsid w:val="007A358E"/>
    <w:rsid w:val="007A36B1"/>
    <w:rsid w:val="007A3C82"/>
    <w:rsid w:val="007A3E17"/>
    <w:rsid w:val="007A3F4C"/>
    <w:rsid w:val="007A3FE4"/>
    <w:rsid w:val="007A4166"/>
    <w:rsid w:val="007A416B"/>
    <w:rsid w:val="007A4410"/>
    <w:rsid w:val="007A4590"/>
    <w:rsid w:val="007A4663"/>
    <w:rsid w:val="007A4699"/>
    <w:rsid w:val="007A4989"/>
    <w:rsid w:val="007A4AEC"/>
    <w:rsid w:val="007A4B16"/>
    <w:rsid w:val="007A4C17"/>
    <w:rsid w:val="007A4C9C"/>
    <w:rsid w:val="007A4EA8"/>
    <w:rsid w:val="007A4FD3"/>
    <w:rsid w:val="007A5560"/>
    <w:rsid w:val="007A59B5"/>
    <w:rsid w:val="007A59CF"/>
    <w:rsid w:val="007A5A55"/>
    <w:rsid w:val="007A5ABE"/>
    <w:rsid w:val="007A5E7A"/>
    <w:rsid w:val="007A5F65"/>
    <w:rsid w:val="007A5F71"/>
    <w:rsid w:val="007A63C4"/>
    <w:rsid w:val="007A63C6"/>
    <w:rsid w:val="007A64E0"/>
    <w:rsid w:val="007A64E8"/>
    <w:rsid w:val="007A6726"/>
    <w:rsid w:val="007A691A"/>
    <w:rsid w:val="007A6A5A"/>
    <w:rsid w:val="007A6D05"/>
    <w:rsid w:val="007A6DB6"/>
    <w:rsid w:val="007A7054"/>
    <w:rsid w:val="007A72BF"/>
    <w:rsid w:val="007A7721"/>
    <w:rsid w:val="007A7CDD"/>
    <w:rsid w:val="007A7D7E"/>
    <w:rsid w:val="007B001B"/>
    <w:rsid w:val="007B0048"/>
    <w:rsid w:val="007B0539"/>
    <w:rsid w:val="007B0DC0"/>
    <w:rsid w:val="007B0EF9"/>
    <w:rsid w:val="007B0FEA"/>
    <w:rsid w:val="007B1016"/>
    <w:rsid w:val="007B10BE"/>
    <w:rsid w:val="007B1282"/>
    <w:rsid w:val="007B1486"/>
    <w:rsid w:val="007B148D"/>
    <w:rsid w:val="007B15DF"/>
    <w:rsid w:val="007B1943"/>
    <w:rsid w:val="007B197E"/>
    <w:rsid w:val="007B1A49"/>
    <w:rsid w:val="007B1BDD"/>
    <w:rsid w:val="007B1BF3"/>
    <w:rsid w:val="007B1D43"/>
    <w:rsid w:val="007B1D4F"/>
    <w:rsid w:val="007B1FB7"/>
    <w:rsid w:val="007B204A"/>
    <w:rsid w:val="007B23C6"/>
    <w:rsid w:val="007B24F9"/>
    <w:rsid w:val="007B2839"/>
    <w:rsid w:val="007B2BC7"/>
    <w:rsid w:val="007B2C8B"/>
    <w:rsid w:val="007B2D75"/>
    <w:rsid w:val="007B2F22"/>
    <w:rsid w:val="007B30A9"/>
    <w:rsid w:val="007B3683"/>
    <w:rsid w:val="007B3736"/>
    <w:rsid w:val="007B376E"/>
    <w:rsid w:val="007B389F"/>
    <w:rsid w:val="007B3EA9"/>
    <w:rsid w:val="007B4387"/>
    <w:rsid w:val="007B4415"/>
    <w:rsid w:val="007B47C4"/>
    <w:rsid w:val="007B48F0"/>
    <w:rsid w:val="007B4974"/>
    <w:rsid w:val="007B4BA5"/>
    <w:rsid w:val="007B4C0E"/>
    <w:rsid w:val="007B4C74"/>
    <w:rsid w:val="007B4CAB"/>
    <w:rsid w:val="007B4CEE"/>
    <w:rsid w:val="007B4F91"/>
    <w:rsid w:val="007B4FE3"/>
    <w:rsid w:val="007B5459"/>
    <w:rsid w:val="007B55D9"/>
    <w:rsid w:val="007B5621"/>
    <w:rsid w:val="007B577F"/>
    <w:rsid w:val="007B57D4"/>
    <w:rsid w:val="007B5A5E"/>
    <w:rsid w:val="007B5D42"/>
    <w:rsid w:val="007B631C"/>
    <w:rsid w:val="007B6524"/>
    <w:rsid w:val="007B68A9"/>
    <w:rsid w:val="007B6A52"/>
    <w:rsid w:val="007B6C38"/>
    <w:rsid w:val="007B6EFC"/>
    <w:rsid w:val="007B6FF7"/>
    <w:rsid w:val="007B6FF9"/>
    <w:rsid w:val="007B7001"/>
    <w:rsid w:val="007B71CA"/>
    <w:rsid w:val="007B7252"/>
    <w:rsid w:val="007B754F"/>
    <w:rsid w:val="007B76BB"/>
    <w:rsid w:val="007B7889"/>
    <w:rsid w:val="007B7899"/>
    <w:rsid w:val="007B7C2E"/>
    <w:rsid w:val="007B7FAE"/>
    <w:rsid w:val="007C0107"/>
    <w:rsid w:val="007C0171"/>
    <w:rsid w:val="007C0220"/>
    <w:rsid w:val="007C023B"/>
    <w:rsid w:val="007C048C"/>
    <w:rsid w:val="007C05BA"/>
    <w:rsid w:val="007C06AA"/>
    <w:rsid w:val="007C0ADB"/>
    <w:rsid w:val="007C0B4A"/>
    <w:rsid w:val="007C0DB2"/>
    <w:rsid w:val="007C0EDB"/>
    <w:rsid w:val="007C0F50"/>
    <w:rsid w:val="007C1233"/>
    <w:rsid w:val="007C14BB"/>
    <w:rsid w:val="007C16D7"/>
    <w:rsid w:val="007C17AD"/>
    <w:rsid w:val="007C17AE"/>
    <w:rsid w:val="007C1ACD"/>
    <w:rsid w:val="007C1EC4"/>
    <w:rsid w:val="007C1EF3"/>
    <w:rsid w:val="007C212F"/>
    <w:rsid w:val="007C2466"/>
    <w:rsid w:val="007C2653"/>
    <w:rsid w:val="007C2AE3"/>
    <w:rsid w:val="007C2D65"/>
    <w:rsid w:val="007C2E1C"/>
    <w:rsid w:val="007C2F53"/>
    <w:rsid w:val="007C32F6"/>
    <w:rsid w:val="007C32FD"/>
    <w:rsid w:val="007C3319"/>
    <w:rsid w:val="007C3475"/>
    <w:rsid w:val="007C35C7"/>
    <w:rsid w:val="007C3851"/>
    <w:rsid w:val="007C3A80"/>
    <w:rsid w:val="007C3C1B"/>
    <w:rsid w:val="007C3E73"/>
    <w:rsid w:val="007C4049"/>
    <w:rsid w:val="007C40C7"/>
    <w:rsid w:val="007C475F"/>
    <w:rsid w:val="007C47A7"/>
    <w:rsid w:val="007C4873"/>
    <w:rsid w:val="007C4A8E"/>
    <w:rsid w:val="007C4BA4"/>
    <w:rsid w:val="007C4DC8"/>
    <w:rsid w:val="007C4EFC"/>
    <w:rsid w:val="007C5176"/>
    <w:rsid w:val="007C5226"/>
    <w:rsid w:val="007C5294"/>
    <w:rsid w:val="007C52B9"/>
    <w:rsid w:val="007C55C3"/>
    <w:rsid w:val="007C5694"/>
    <w:rsid w:val="007C5745"/>
    <w:rsid w:val="007C579F"/>
    <w:rsid w:val="007C5986"/>
    <w:rsid w:val="007C5A82"/>
    <w:rsid w:val="007C5BDD"/>
    <w:rsid w:val="007C5E8F"/>
    <w:rsid w:val="007C6114"/>
    <w:rsid w:val="007C61A8"/>
    <w:rsid w:val="007C61FC"/>
    <w:rsid w:val="007C63B0"/>
    <w:rsid w:val="007C64A2"/>
    <w:rsid w:val="007C64F7"/>
    <w:rsid w:val="007C67D0"/>
    <w:rsid w:val="007C6939"/>
    <w:rsid w:val="007C72B3"/>
    <w:rsid w:val="007C746C"/>
    <w:rsid w:val="007C75E6"/>
    <w:rsid w:val="007C770F"/>
    <w:rsid w:val="007C7AB6"/>
    <w:rsid w:val="007C7BC6"/>
    <w:rsid w:val="007D0028"/>
    <w:rsid w:val="007D0055"/>
    <w:rsid w:val="007D02A7"/>
    <w:rsid w:val="007D0311"/>
    <w:rsid w:val="007D03A4"/>
    <w:rsid w:val="007D0457"/>
    <w:rsid w:val="007D054D"/>
    <w:rsid w:val="007D06CE"/>
    <w:rsid w:val="007D070C"/>
    <w:rsid w:val="007D0744"/>
    <w:rsid w:val="007D095F"/>
    <w:rsid w:val="007D0982"/>
    <w:rsid w:val="007D09AB"/>
    <w:rsid w:val="007D0ED1"/>
    <w:rsid w:val="007D1227"/>
    <w:rsid w:val="007D1310"/>
    <w:rsid w:val="007D13A7"/>
    <w:rsid w:val="007D151B"/>
    <w:rsid w:val="007D1569"/>
    <w:rsid w:val="007D169C"/>
    <w:rsid w:val="007D1751"/>
    <w:rsid w:val="007D17AB"/>
    <w:rsid w:val="007D1D50"/>
    <w:rsid w:val="007D2266"/>
    <w:rsid w:val="007D232B"/>
    <w:rsid w:val="007D2490"/>
    <w:rsid w:val="007D2568"/>
    <w:rsid w:val="007D25EB"/>
    <w:rsid w:val="007D27BE"/>
    <w:rsid w:val="007D281C"/>
    <w:rsid w:val="007D2AC4"/>
    <w:rsid w:val="007D2B1E"/>
    <w:rsid w:val="007D2B57"/>
    <w:rsid w:val="007D2C83"/>
    <w:rsid w:val="007D2CCA"/>
    <w:rsid w:val="007D2D4C"/>
    <w:rsid w:val="007D2DED"/>
    <w:rsid w:val="007D2DFE"/>
    <w:rsid w:val="007D2E55"/>
    <w:rsid w:val="007D31F0"/>
    <w:rsid w:val="007D328B"/>
    <w:rsid w:val="007D34DB"/>
    <w:rsid w:val="007D377A"/>
    <w:rsid w:val="007D3F46"/>
    <w:rsid w:val="007D3F6D"/>
    <w:rsid w:val="007D3FE3"/>
    <w:rsid w:val="007D40BF"/>
    <w:rsid w:val="007D416A"/>
    <w:rsid w:val="007D42CC"/>
    <w:rsid w:val="007D4931"/>
    <w:rsid w:val="007D497E"/>
    <w:rsid w:val="007D4981"/>
    <w:rsid w:val="007D49C8"/>
    <w:rsid w:val="007D4AFD"/>
    <w:rsid w:val="007D4CBC"/>
    <w:rsid w:val="007D4F7C"/>
    <w:rsid w:val="007D4F8E"/>
    <w:rsid w:val="007D503D"/>
    <w:rsid w:val="007D569A"/>
    <w:rsid w:val="007D5705"/>
    <w:rsid w:val="007D580F"/>
    <w:rsid w:val="007D5973"/>
    <w:rsid w:val="007D5A40"/>
    <w:rsid w:val="007D5A70"/>
    <w:rsid w:val="007D5A7D"/>
    <w:rsid w:val="007D5CA0"/>
    <w:rsid w:val="007D5CD5"/>
    <w:rsid w:val="007D5DA6"/>
    <w:rsid w:val="007D5E85"/>
    <w:rsid w:val="007D619E"/>
    <w:rsid w:val="007D6282"/>
    <w:rsid w:val="007D628B"/>
    <w:rsid w:val="007D65F9"/>
    <w:rsid w:val="007D66C4"/>
    <w:rsid w:val="007D671B"/>
    <w:rsid w:val="007D699D"/>
    <w:rsid w:val="007D6B51"/>
    <w:rsid w:val="007D6B7A"/>
    <w:rsid w:val="007D6D25"/>
    <w:rsid w:val="007D6F5A"/>
    <w:rsid w:val="007D726D"/>
    <w:rsid w:val="007D7393"/>
    <w:rsid w:val="007D7774"/>
    <w:rsid w:val="007D7801"/>
    <w:rsid w:val="007D7909"/>
    <w:rsid w:val="007D79F0"/>
    <w:rsid w:val="007D79F8"/>
    <w:rsid w:val="007D7CA8"/>
    <w:rsid w:val="007D7CCA"/>
    <w:rsid w:val="007D7D8E"/>
    <w:rsid w:val="007D7E28"/>
    <w:rsid w:val="007D7FAC"/>
    <w:rsid w:val="007E01D6"/>
    <w:rsid w:val="007E01E5"/>
    <w:rsid w:val="007E080A"/>
    <w:rsid w:val="007E082F"/>
    <w:rsid w:val="007E0ACD"/>
    <w:rsid w:val="007E0AE7"/>
    <w:rsid w:val="007E0B49"/>
    <w:rsid w:val="007E0DE6"/>
    <w:rsid w:val="007E0F71"/>
    <w:rsid w:val="007E108B"/>
    <w:rsid w:val="007E10F0"/>
    <w:rsid w:val="007E1133"/>
    <w:rsid w:val="007E125A"/>
    <w:rsid w:val="007E1396"/>
    <w:rsid w:val="007E1479"/>
    <w:rsid w:val="007E167B"/>
    <w:rsid w:val="007E1885"/>
    <w:rsid w:val="007E18BF"/>
    <w:rsid w:val="007E1974"/>
    <w:rsid w:val="007E1A38"/>
    <w:rsid w:val="007E1A88"/>
    <w:rsid w:val="007E1D45"/>
    <w:rsid w:val="007E1DAD"/>
    <w:rsid w:val="007E1E85"/>
    <w:rsid w:val="007E2337"/>
    <w:rsid w:val="007E23C2"/>
    <w:rsid w:val="007E24B1"/>
    <w:rsid w:val="007E252A"/>
    <w:rsid w:val="007E28D7"/>
    <w:rsid w:val="007E290A"/>
    <w:rsid w:val="007E2A05"/>
    <w:rsid w:val="007E2AA1"/>
    <w:rsid w:val="007E2B99"/>
    <w:rsid w:val="007E2BA4"/>
    <w:rsid w:val="007E2E04"/>
    <w:rsid w:val="007E2EC5"/>
    <w:rsid w:val="007E2EC6"/>
    <w:rsid w:val="007E2FC1"/>
    <w:rsid w:val="007E30E3"/>
    <w:rsid w:val="007E3208"/>
    <w:rsid w:val="007E34F0"/>
    <w:rsid w:val="007E37CC"/>
    <w:rsid w:val="007E3A2A"/>
    <w:rsid w:val="007E3A9E"/>
    <w:rsid w:val="007E3D4D"/>
    <w:rsid w:val="007E4194"/>
    <w:rsid w:val="007E41EB"/>
    <w:rsid w:val="007E424B"/>
    <w:rsid w:val="007E4320"/>
    <w:rsid w:val="007E4390"/>
    <w:rsid w:val="007E4510"/>
    <w:rsid w:val="007E4560"/>
    <w:rsid w:val="007E47C9"/>
    <w:rsid w:val="007E4A68"/>
    <w:rsid w:val="007E4B3B"/>
    <w:rsid w:val="007E4EB9"/>
    <w:rsid w:val="007E535F"/>
    <w:rsid w:val="007E53DA"/>
    <w:rsid w:val="007E54BF"/>
    <w:rsid w:val="007E5526"/>
    <w:rsid w:val="007E5574"/>
    <w:rsid w:val="007E5680"/>
    <w:rsid w:val="007E5760"/>
    <w:rsid w:val="007E5810"/>
    <w:rsid w:val="007E5EDE"/>
    <w:rsid w:val="007E62A5"/>
    <w:rsid w:val="007E63ED"/>
    <w:rsid w:val="007E6486"/>
    <w:rsid w:val="007E6592"/>
    <w:rsid w:val="007E67DD"/>
    <w:rsid w:val="007E68EC"/>
    <w:rsid w:val="007E6AD9"/>
    <w:rsid w:val="007E6BC7"/>
    <w:rsid w:val="007E6D3F"/>
    <w:rsid w:val="007E6D45"/>
    <w:rsid w:val="007E70A1"/>
    <w:rsid w:val="007E75DC"/>
    <w:rsid w:val="007E7896"/>
    <w:rsid w:val="007E7B54"/>
    <w:rsid w:val="007E7BFB"/>
    <w:rsid w:val="007E7CD5"/>
    <w:rsid w:val="007E7D50"/>
    <w:rsid w:val="007E7F29"/>
    <w:rsid w:val="007F0060"/>
    <w:rsid w:val="007F012C"/>
    <w:rsid w:val="007F0554"/>
    <w:rsid w:val="007F0604"/>
    <w:rsid w:val="007F0670"/>
    <w:rsid w:val="007F0700"/>
    <w:rsid w:val="007F07BB"/>
    <w:rsid w:val="007F0961"/>
    <w:rsid w:val="007F0AF1"/>
    <w:rsid w:val="007F0F25"/>
    <w:rsid w:val="007F1268"/>
    <w:rsid w:val="007F12E7"/>
    <w:rsid w:val="007F13FF"/>
    <w:rsid w:val="007F142A"/>
    <w:rsid w:val="007F171D"/>
    <w:rsid w:val="007F1817"/>
    <w:rsid w:val="007F1951"/>
    <w:rsid w:val="007F196E"/>
    <w:rsid w:val="007F1B37"/>
    <w:rsid w:val="007F1B7D"/>
    <w:rsid w:val="007F1C35"/>
    <w:rsid w:val="007F1FAE"/>
    <w:rsid w:val="007F1FC3"/>
    <w:rsid w:val="007F22AF"/>
    <w:rsid w:val="007F249E"/>
    <w:rsid w:val="007F2639"/>
    <w:rsid w:val="007F2699"/>
    <w:rsid w:val="007F28BB"/>
    <w:rsid w:val="007F28F0"/>
    <w:rsid w:val="007F29CA"/>
    <w:rsid w:val="007F2B76"/>
    <w:rsid w:val="007F2BB0"/>
    <w:rsid w:val="007F2BC6"/>
    <w:rsid w:val="007F2C93"/>
    <w:rsid w:val="007F2E7C"/>
    <w:rsid w:val="007F2F2F"/>
    <w:rsid w:val="007F2F3A"/>
    <w:rsid w:val="007F2F7F"/>
    <w:rsid w:val="007F3046"/>
    <w:rsid w:val="007F327E"/>
    <w:rsid w:val="007F334C"/>
    <w:rsid w:val="007F3404"/>
    <w:rsid w:val="007F35A1"/>
    <w:rsid w:val="007F35A9"/>
    <w:rsid w:val="007F35FA"/>
    <w:rsid w:val="007F3643"/>
    <w:rsid w:val="007F364E"/>
    <w:rsid w:val="007F384F"/>
    <w:rsid w:val="007F3C36"/>
    <w:rsid w:val="007F3CFD"/>
    <w:rsid w:val="007F3D78"/>
    <w:rsid w:val="007F3F27"/>
    <w:rsid w:val="007F40B8"/>
    <w:rsid w:val="007F4120"/>
    <w:rsid w:val="007F4311"/>
    <w:rsid w:val="007F44C1"/>
    <w:rsid w:val="007F490B"/>
    <w:rsid w:val="007F4A97"/>
    <w:rsid w:val="007F4AAA"/>
    <w:rsid w:val="007F4AE5"/>
    <w:rsid w:val="007F4AF2"/>
    <w:rsid w:val="007F4B2F"/>
    <w:rsid w:val="007F4B4F"/>
    <w:rsid w:val="007F4D6A"/>
    <w:rsid w:val="007F4E36"/>
    <w:rsid w:val="007F5112"/>
    <w:rsid w:val="007F526A"/>
    <w:rsid w:val="007F534F"/>
    <w:rsid w:val="007F53F6"/>
    <w:rsid w:val="007F54E3"/>
    <w:rsid w:val="007F55E8"/>
    <w:rsid w:val="007F5776"/>
    <w:rsid w:val="007F57A9"/>
    <w:rsid w:val="007F5848"/>
    <w:rsid w:val="007F58D3"/>
    <w:rsid w:val="007F5AAD"/>
    <w:rsid w:val="007F5AB4"/>
    <w:rsid w:val="007F5AFB"/>
    <w:rsid w:val="007F5B8F"/>
    <w:rsid w:val="007F5BDE"/>
    <w:rsid w:val="007F5C33"/>
    <w:rsid w:val="007F5D13"/>
    <w:rsid w:val="007F62D3"/>
    <w:rsid w:val="007F65B8"/>
    <w:rsid w:val="007F687F"/>
    <w:rsid w:val="007F6CCD"/>
    <w:rsid w:val="007F6ECF"/>
    <w:rsid w:val="007F6F66"/>
    <w:rsid w:val="007F7144"/>
    <w:rsid w:val="007F73B0"/>
    <w:rsid w:val="007F7574"/>
    <w:rsid w:val="007F7892"/>
    <w:rsid w:val="007F794C"/>
    <w:rsid w:val="007F7A46"/>
    <w:rsid w:val="007F7A8A"/>
    <w:rsid w:val="00800230"/>
    <w:rsid w:val="00800239"/>
    <w:rsid w:val="0080033E"/>
    <w:rsid w:val="0080044E"/>
    <w:rsid w:val="00800591"/>
    <w:rsid w:val="008005E8"/>
    <w:rsid w:val="008008CB"/>
    <w:rsid w:val="008009E8"/>
    <w:rsid w:val="00800D09"/>
    <w:rsid w:val="00800E30"/>
    <w:rsid w:val="00800E38"/>
    <w:rsid w:val="00800EBF"/>
    <w:rsid w:val="00801271"/>
    <w:rsid w:val="0080132C"/>
    <w:rsid w:val="00801529"/>
    <w:rsid w:val="00801597"/>
    <w:rsid w:val="0080169B"/>
    <w:rsid w:val="008017BC"/>
    <w:rsid w:val="00801957"/>
    <w:rsid w:val="00801A88"/>
    <w:rsid w:val="00801C6B"/>
    <w:rsid w:val="00801D55"/>
    <w:rsid w:val="00801E82"/>
    <w:rsid w:val="0080209A"/>
    <w:rsid w:val="008022EA"/>
    <w:rsid w:val="0080238B"/>
    <w:rsid w:val="0080256E"/>
    <w:rsid w:val="0080275D"/>
    <w:rsid w:val="008027AB"/>
    <w:rsid w:val="00802825"/>
    <w:rsid w:val="008028E4"/>
    <w:rsid w:val="00802CAD"/>
    <w:rsid w:val="00802CB3"/>
    <w:rsid w:val="00802D31"/>
    <w:rsid w:val="00802FAE"/>
    <w:rsid w:val="0080306A"/>
    <w:rsid w:val="008030FA"/>
    <w:rsid w:val="0080322B"/>
    <w:rsid w:val="0080339C"/>
    <w:rsid w:val="0080342C"/>
    <w:rsid w:val="008035C3"/>
    <w:rsid w:val="00803758"/>
    <w:rsid w:val="008037A7"/>
    <w:rsid w:val="00803B42"/>
    <w:rsid w:val="00803C69"/>
    <w:rsid w:val="00803CAA"/>
    <w:rsid w:val="00803DD2"/>
    <w:rsid w:val="00803E41"/>
    <w:rsid w:val="00803E73"/>
    <w:rsid w:val="00803F26"/>
    <w:rsid w:val="00804030"/>
    <w:rsid w:val="008040D5"/>
    <w:rsid w:val="0080414F"/>
    <w:rsid w:val="0080437D"/>
    <w:rsid w:val="008043A8"/>
    <w:rsid w:val="008043F3"/>
    <w:rsid w:val="0080455E"/>
    <w:rsid w:val="008046BD"/>
    <w:rsid w:val="008046D7"/>
    <w:rsid w:val="00804A12"/>
    <w:rsid w:val="00804A5C"/>
    <w:rsid w:val="00804B8B"/>
    <w:rsid w:val="00804F3D"/>
    <w:rsid w:val="00804F3E"/>
    <w:rsid w:val="00804F68"/>
    <w:rsid w:val="0080518C"/>
    <w:rsid w:val="00805248"/>
    <w:rsid w:val="008054BF"/>
    <w:rsid w:val="00805576"/>
    <w:rsid w:val="008055EE"/>
    <w:rsid w:val="00805910"/>
    <w:rsid w:val="008059A3"/>
    <w:rsid w:val="00805E36"/>
    <w:rsid w:val="00805ED7"/>
    <w:rsid w:val="00805EF5"/>
    <w:rsid w:val="00806035"/>
    <w:rsid w:val="008061EC"/>
    <w:rsid w:val="0080628C"/>
    <w:rsid w:val="008062AC"/>
    <w:rsid w:val="0080632C"/>
    <w:rsid w:val="0080634A"/>
    <w:rsid w:val="0080654E"/>
    <w:rsid w:val="008065A9"/>
    <w:rsid w:val="008067B8"/>
    <w:rsid w:val="008067D0"/>
    <w:rsid w:val="00806818"/>
    <w:rsid w:val="00806A88"/>
    <w:rsid w:val="00806AB1"/>
    <w:rsid w:val="00806BC0"/>
    <w:rsid w:val="00806CBD"/>
    <w:rsid w:val="00806EFB"/>
    <w:rsid w:val="00806F63"/>
    <w:rsid w:val="008073D6"/>
    <w:rsid w:val="0080754F"/>
    <w:rsid w:val="00807603"/>
    <w:rsid w:val="00807894"/>
    <w:rsid w:val="00807924"/>
    <w:rsid w:val="008079C3"/>
    <w:rsid w:val="00807A31"/>
    <w:rsid w:val="00807E29"/>
    <w:rsid w:val="00807EB2"/>
    <w:rsid w:val="00807F06"/>
    <w:rsid w:val="00807F7C"/>
    <w:rsid w:val="0081068C"/>
    <w:rsid w:val="008106E0"/>
    <w:rsid w:val="00810866"/>
    <w:rsid w:val="00810909"/>
    <w:rsid w:val="008109FF"/>
    <w:rsid w:val="00810CAE"/>
    <w:rsid w:val="00810EA8"/>
    <w:rsid w:val="00811023"/>
    <w:rsid w:val="00811117"/>
    <w:rsid w:val="00811196"/>
    <w:rsid w:val="0081128B"/>
    <w:rsid w:val="008114C2"/>
    <w:rsid w:val="0081153D"/>
    <w:rsid w:val="008115AD"/>
    <w:rsid w:val="0081166B"/>
    <w:rsid w:val="008116B7"/>
    <w:rsid w:val="008118A2"/>
    <w:rsid w:val="00811920"/>
    <w:rsid w:val="00811957"/>
    <w:rsid w:val="00811B8B"/>
    <w:rsid w:val="00811C8A"/>
    <w:rsid w:val="00811CDC"/>
    <w:rsid w:val="00811DAF"/>
    <w:rsid w:val="00811F4C"/>
    <w:rsid w:val="00812159"/>
    <w:rsid w:val="0081220A"/>
    <w:rsid w:val="00812260"/>
    <w:rsid w:val="0081250C"/>
    <w:rsid w:val="00812667"/>
    <w:rsid w:val="008126E7"/>
    <w:rsid w:val="00812804"/>
    <w:rsid w:val="008128AF"/>
    <w:rsid w:val="008129B3"/>
    <w:rsid w:val="008129D3"/>
    <w:rsid w:val="00812A48"/>
    <w:rsid w:val="00812B4F"/>
    <w:rsid w:val="0081307C"/>
    <w:rsid w:val="00813106"/>
    <w:rsid w:val="00813184"/>
    <w:rsid w:val="008134D9"/>
    <w:rsid w:val="00813AB5"/>
    <w:rsid w:val="00813C86"/>
    <w:rsid w:val="00813D4F"/>
    <w:rsid w:val="00813DB3"/>
    <w:rsid w:val="00813DDE"/>
    <w:rsid w:val="0081403A"/>
    <w:rsid w:val="00814087"/>
    <w:rsid w:val="00814179"/>
    <w:rsid w:val="008142DC"/>
    <w:rsid w:val="008144E2"/>
    <w:rsid w:val="0081454E"/>
    <w:rsid w:val="0081457A"/>
    <w:rsid w:val="0081472D"/>
    <w:rsid w:val="008148D4"/>
    <w:rsid w:val="008148EE"/>
    <w:rsid w:val="00814BF2"/>
    <w:rsid w:val="00814E13"/>
    <w:rsid w:val="0081512F"/>
    <w:rsid w:val="0081533C"/>
    <w:rsid w:val="0081545A"/>
    <w:rsid w:val="008154F3"/>
    <w:rsid w:val="00815521"/>
    <w:rsid w:val="00815763"/>
    <w:rsid w:val="00815C30"/>
    <w:rsid w:val="00815C5D"/>
    <w:rsid w:val="00815DD7"/>
    <w:rsid w:val="00815ECD"/>
    <w:rsid w:val="00815ED5"/>
    <w:rsid w:val="00815F45"/>
    <w:rsid w:val="0081619A"/>
    <w:rsid w:val="008161D7"/>
    <w:rsid w:val="008165D4"/>
    <w:rsid w:val="00816737"/>
    <w:rsid w:val="008168F1"/>
    <w:rsid w:val="00816A10"/>
    <w:rsid w:val="00816A46"/>
    <w:rsid w:val="00816B90"/>
    <w:rsid w:val="00816D21"/>
    <w:rsid w:val="00816DC8"/>
    <w:rsid w:val="00816E59"/>
    <w:rsid w:val="0081705F"/>
    <w:rsid w:val="0081706B"/>
    <w:rsid w:val="0081713F"/>
    <w:rsid w:val="0081770C"/>
    <w:rsid w:val="008177CB"/>
    <w:rsid w:val="00817873"/>
    <w:rsid w:val="0081798D"/>
    <w:rsid w:val="00817C37"/>
    <w:rsid w:val="00817C7F"/>
    <w:rsid w:val="00817CA2"/>
    <w:rsid w:val="0082001C"/>
    <w:rsid w:val="008200D8"/>
    <w:rsid w:val="0082016A"/>
    <w:rsid w:val="00820247"/>
    <w:rsid w:val="008204E5"/>
    <w:rsid w:val="008204E9"/>
    <w:rsid w:val="008205E0"/>
    <w:rsid w:val="00820661"/>
    <w:rsid w:val="0082085F"/>
    <w:rsid w:val="00820A10"/>
    <w:rsid w:val="00820B31"/>
    <w:rsid w:val="00820B77"/>
    <w:rsid w:val="00820C6B"/>
    <w:rsid w:val="00820F57"/>
    <w:rsid w:val="00821041"/>
    <w:rsid w:val="008210FB"/>
    <w:rsid w:val="00821198"/>
    <w:rsid w:val="00821288"/>
    <w:rsid w:val="008214AD"/>
    <w:rsid w:val="008215A9"/>
    <w:rsid w:val="008215AC"/>
    <w:rsid w:val="0082176F"/>
    <w:rsid w:val="00821BAB"/>
    <w:rsid w:val="00821CB7"/>
    <w:rsid w:val="00821E32"/>
    <w:rsid w:val="00821FF8"/>
    <w:rsid w:val="00822145"/>
    <w:rsid w:val="00822200"/>
    <w:rsid w:val="008223F1"/>
    <w:rsid w:val="0082247B"/>
    <w:rsid w:val="008224DB"/>
    <w:rsid w:val="00822588"/>
    <w:rsid w:val="0082290E"/>
    <w:rsid w:val="0082296D"/>
    <w:rsid w:val="00822A20"/>
    <w:rsid w:val="00822B87"/>
    <w:rsid w:val="00822CDF"/>
    <w:rsid w:val="00822DD4"/>
    <w:rsid w:val="00822E1E"/>
    <w:rsid w:val="0082304E"/>
    <w:rsid w:val="00823099"/>
    <w:rsid w:val="00823179"/>
    <w:rsid w:val="0082388A"/>
    <w:rsid w:val="00823B9A"/>
    <w:rsid w:val="00823BB1"/>
    <w:rsid w:val="00823C0A"/>
    <w:rsid w:val="00823D3D"/>
    <w:rsid w:val="00824022"/>
    <w:rsid w:val="008240E9"/>
    <w:rsid w:val="0082412A"/>
    <w:rsid w:val="008241C3"/>
    <w:rsid w:val="008242D3"/>
    <w:rsid w:val="00824345"/>
    <w:rsid w:val="00824377"/>
    <w:rsid w:val="0082437F"/>
    <w:rsid w:val="008243F6"/>
    <w:rsid w:val="0082443E"/>
    <w:rsid w:val="0082454D"/>
    <w:rsid w:val="008245D2"/>
    <w:rsid w:val="00824A6B"/>
    <w:rsid w:val="00824BB6"/>
    <w:rsid w:val="00824E75"/>
    <w:rsid w:val="008252A5"/>
    <w:rsid w:val="008252B9"/>
    <w:rsid w:val="008252DE"/>
    <w:rsid w:val="00825441"/>
    <w:rsid w:val="008257C1"/>
    <w:rsid w:val="00825B12"/>
    <w:rsid w:val="00825B63"/>
    <w:rsid w:val="00825BE3"/>
    <w:rsid w:val="00825C13"/>
    <w:rsid w:val="00825C4F"/>
    <w:rsid w:val="00825E1C"/>
    <w:rsid w:val="00825E3F"/>
    <w:rsid w:val="00825F8F"/>
    <w:rsid w:val="0082609B"/>
    <w:rsid w:val="008260EA"/>
    <w:rsid w:val="008263E4"/>
    <w:rsid w:val="00826421"/>
    <w:rsid w:val="0082656B"/>
    <w:rsid w:val="00826649"/>
    <w:rsid w:val="008267CC"/>
    <w:rsid w:val="00826A47"/>
    <w:rsid w:val="00826ACB"/>
    <w:rsid w:val="00826B55"/>
    <w:rsid w:val="00826BD1"/>
    <w:rsid w:val="00826EFE"/>
    <w:rsid w:val="00826FA7"/>
    <w:rsid w:val="00826FFA"/>
    <w:rsid w:val="008270BB"/>
    <w:rsid w:val="008271EA"/>
    <w:rsid w:val="008275FA"/>
    <w:rsid w:val="0082769D"/>
    <w:rsid w:val="008277F2"/>
    <w:rsid w:val="00827BF0"/>
    <w:rsid w:val="00827EB0"/>
    <w:rsid w:val="00827EC0"/>
    <w:rsid w:val="00827F51"/>
    <w:rsid w:val="0083021E"/>
    <w:rsid w:val="008304AA"/>
    <w:rsid w:val="008306CB"/>
    <w:rsid w:val="008307F6"/>
    <w:rsid w:val="00830867"/>
    <w:rsid w:val="00830BC0"/>
    <w:rsid w:val="00830D42"/>
    <w:rsid w:val="00830F5A"/>
    <w:rsid w:val="008310C7"/>
    <w:rsid w:val="008310F6"/>
    <w:rsid w:val="0083112E"/>
    <w:rsid w:val="008311DE"/>
    <w:rsid w:val="00831772"/>
    <w:rsid w:val="008318AF"/>
    <w:rsid w:val="00831971"/>
    <w:rsid w:val="00831999"/>
    <w:rsid w:val="008319D2"/>
    <w:rsid w:val="00831A36"/>
    <w:rsid w:val="00831D84"/>
    <w:rsid w:val="00831DFD"/>
    <w:rsid w:val="00831F3E"/>
    <w:rsid w:val="00831FB2"/>
    <w:rsid w:val="008321B4"/>
    <w:rsid w:val="00832350"/>
    <w:rsid w:val="008326E1"/>
    <w:rsid w:val="0083282E"/>
    <w:rsid w:val="00832FB9"/>
    <w:rsid w:val="00833213"/>
    <w:rsid w:val="0083336E"/>
    <w:rsid w:val="0083346F"/>
    <w:rsid w:val="00833606"/>
    <w:rsid w:val="0083389E"/>
    <w:rsid w:val="008339EE"/>
    <w:rsid w:val="00833A1A"/>
    <w:rsid w:val="00833A92"/>
    <w:rsid w:val="00833B5B"/>
    <w:rsid w:val="00833BCC"/>
    <w:rsid w:val="00833C56"/>
    <w:rsid w:val="00833CAF"/>
    <w:rsid w:val="00833D19"/>
    <w:rsid w:val="00833D57"/>
    <w:rsid w:val="00833DD7"/>
    <w:rsid w:val="00833E5C"/>
    <w:rsid w:val="008340DB"/>
    <w:rsid w:val="00834264"/>
    <w:rsid w:val="0083428E"/>
    <w:rsid w:val="0083429E"/>
    <w:rsid w:val="008344E2"/>
    <w:rsid w:val="00834574"/>
    <w:rsid w:val="008345F3"/>
    <w:rsid w:val="00834684"/>
    <w:rsid w:val="008347E3"/>
    <w:rsid w:val="00834A5A"/>
    <w:rsid w:val="00834A6B"/>
    <w:rsid w:val="00834AD9"/>
    <w:rsid w:val="00834B3B"/>
    <w:rsid w:val="00834BA5"/>
    <w:rsid w:val="00834D94"/>
    <w:rsid w:val="00834DD7"/>
    <w:rsid w:val="00834E41"/>
    <w:rsid w:val="00834EAE"/>
    <w:rsid w:val="0083500D"/>
    <w:rsid w:val="008351CC"/>
    <w:rsid w:val="0083520A"/>
    <w:rsid w:val="00835230"/>
    <w:rsid w:val="008356B9"/>
    <w:rsid w:val="0083589E"/>
    <w:rsid w:val="0083592E"/>
    <w:rsid w:val="00835A69"/>
    <w:rsid w:val="00835BC0"/>
    <w:rsid w:val="00835F48"/>
    <w:rsid w:val="00836070"/>
    <w:rsid w:val="008360DF"/>
    <w:rsid w:val="008361BE"/>
    <w:rsid w:val="00836262"/>
    <w:rsid w:val="00836382"/>
    <w:rsid w:val="00836479"/>
    <w:rsid w:val="008364EB"/>
    <w:rsid w:val="00836829"/>
    <w:rsid w:val="0083692D"/>
    <w:rsid w:val="00836A9D"/>
    <w:rsid w:val="00836BA9"/>
    <w:rsid w:val="00836C6F"/>
    <w:rsid w:val="00836C70"/>
    <w:rsid w:val="00836DF6"/>
    <w:rsid w:val="00836E0F"/>
    <w:rsid w:val="00836E3A"/>
    <w:rsid w:val="008370AB"/>
    <w:rsid w:val="00837210"/>
    <w:rsid w:val="00837289"/>
    <w:rsid w:val="008372A7"/>
    <w:rsid w:val="0083762E"/>
    <w:rsid w:val="00837637"/>
    <w:rsid w:val="00837B56"/>
    <w:rsid w:val="00837BAB"/>
    <w:rsid w:val="00837E0F"/>
    <w:rsid w:val="00837ED9"/>
    <w:rsid w:val="00840065"/>
    <w:rsid w:val="008400EA"/>
    <w:rsid w:val="008402B4"/>
    <w:rsid w:val="00840518"/>
    <w:rsid w:val="00840562"/>
    <w:rsid w:val="00840737"/>
    <w:rsid w:val="008408E1"/>
    <w:rsid w:val="00840E04"/>
    <w:rsid w:val="00841180"/>
    <w:rsid w:val="008411D2"/>
    <w:rsid w:val="008411E2"/>
    <w:rsid w:val="00841290"/>
    <w:rsid w:val="00841324"/>
    <w:rsid w:val="008413F0"/>
    <w:rsid w:val="00841742"/>
    <w:rsid w:val="008417A2"/>
    <w:rsid w:val="008417B4"/>
    <w:rsid w:val="00841A2D"/>
    <w:rsid w:val="00841DD5"/>
    <w:rsid w:val="00841E6E"/>
    <w:rsid w:val="00841EB2"/>
    <w:rsid w:val="00842049"/>
    <w:rsid w:val="00842349"/>
    <w:rsid w:val="0084238D"/>
    <w:rsid w:val="008423A8"/>
    <w:rsid w:val="008423EB"/>
    <w:rsid w:val="008424F0"/>
    <w:rsid w:val="00842789"/>
    <w:rsid w:val="00842897"/>
    <w:rsid w:val="008428C2"/>
    <w:rsid w:val="00842B64"/>
    <w:rsid w:val="00842B9D"/>
    <w:rsid w:val="00842C51"/>
    <w:rsid w:val="00842C70"/>
    <w:rsid w:val="00842C7E"/>
    <w:rsid w:val="00842C8B"/>
    <w:rsid w:val="00842E47"/>
    <w:rsid w:val="00842F1C"/>
    <w:rsid w:val="0084306A"/>
    <w:rsid w:val="008430C8"/>
    <w:rsid w:val="00843134"/>
    <w:rsid w:val="008434EA"/>
    <w:rsid w:val="00843768"/>
    <w:rsid w:val="008437CA"/>
    <w:rsid w:val="008437E7"/>
    <w:rsid w:val="00843A9E"/>
    <w:rsid w:val="00843AAE"/>
    <w:rsid w:val="00843FB6"/>
    <w:rsid w:val="008440C1"/>
    <w:rsid w:val="00844132"/>
    <w:rsid w:val="008443A6"/>
    <w:rsid w:val="008449E6"/>
    <w:rsid w:val="00844A85"/>
    <w:rsid w:val="008450BC"/>
    <w:rsid w:val="0084540C"/>
    <w:rsid w:val="008454EA"/>
    <w:rsid w:val="008458B7"/>
    <w:rsid w:val="008458D8"/>
    <w:rsid w:val="0084590E"/>
    <w:rsid w:val="0084591A"/>
    <w:rsid w:val="00845AC7"/>
    <w:rsid w:val="00845B02"/>
    <w:rsid w:val="00845C6A"/>
    <w:rsid w:val="00846295"/>
    <w:rsid w:val="008462C1"/>
    <w:rsid w:val="00846639"/>
    <w:rsid w:val="0084672E"/>
    <w:rsid w:val="0084690D"/>
    <w:rsid w:val="00846936"/>
    <w:rsid w:val="00846B1A"/>
    <w:rsid w:val="00846B4A"/>
    <w:rsid w:val="00846E81"/>
    <w:rsid w:val="00847143"/>
    <w:rsid w:val="008471B3"/>
    <w:rsid w:val="008472B8"/>
    <w:rsid w:val="00847371"/>
    <w:rsid w:val="00847472"/>
    <w:rsid w:val="008478C4"/>
    <w:rsid w:val="00847B78"/>
    <w:rsid w:val="00847BA6"/>
    <w:rsid w:val="00847BB5"/>
    <w:rsid w:val="00847BF4"/>
    <w:rsid w:val="00847C2C"/>
    <w:rsid w:val="00847CB3"/>
    <w:rsid w:val="00847E7B"/>
    <w:rsid w:val="0085024D"/>
    <w:rsid w:val="00850684"/>
    <w:rsid w:val="0085088F"/>
    <w:rsid w:val="00850C3B"/>
    <w:rsid w:val="00851206"/>
    <w:rsid w:val="0085122B"/>
    <w:rsid w:val="00851257"/>
    <w:rsid w:val="0085129E"/>
    <w:rsid w:val="0085137B"/>
    <w:rsid w:val="00851560"/>
    <w:rsid w:val="00851C17"/>
    <w:rsid w:val="00851CBA"/>
    <w:rsid w:val="00851D01"/>
    <w:rsid w:val="00851EBB"/>
    <w:rsid w:val="00851EEA"/>
    <w:rsid w:val="00851F4A"/>
    <w:rsid w:val="008522DA"/>
    <w:rsid w:val="008525A5"/>
    <w:rsid w:val="008527F9"/>
    <w:rsid w:val="008529A2"/>
    <w:rsid w:val="008529B8"/>
    <w:rsid w:val="00852C0A"/>
    <w:rsid w:val="00852DB8"/>
    <w:rsid w:val="00852FA0"/>
    <w:rsid w:val="00852FDB"/>
    <w:rsid w:val="008533CE"/>
    <w:rsid w:val="008533E2"/>
    <w:rsid w:val="008533E7"/>
    <w:rsid w:val="00853519"/>
    <w:rsid w:val="008537FA"/>
    <w:rsid w:val="00853B17"/>
    <w:rsid w:val="00853BA0"/>
    <w:rsid w:val="00853E61"/>
    <w:rsid w:val="00853FAD"/>
    <w:rsid w:val="008540DF"/>
    <w:rsid w:val="0085439B"/>
    <w:rsid w:val="00854401"/>
    <w:rsid w:val="008546A5"/>
    <w:rsid w:val="00854709"/>
    <w:rsid w:val="008549FC"/>
    <w:rsid w:val="00854D99"/>
    <w:rsid w:val="00854DF7"/>
    <w:rsid w:val="00854E0A"/>
    <w:rsid w:val="00854E29"/>
    <w:rsid w:val="00854E37"/>
    <w:rsid w:val="0085529B"/>
    <w:rsid w:val="008552F2"/>
    <w:rsid w:val="00855489"/>
    <w:rsid w:val="008555C5"/>
    <w:rsid w:val="00855669"/>
    <w:rsid w:val="00855BC4"/>
    <w:rsid w:val="00855CBA"/>
    <w:rsid w:val="008561AD"/>
    <w:rsid w:val="00856485"/>
    <w:rsid w:val="0085668F"/>
    <w:rsid w:val="0085697D"/>
    <w:rsid w:val="00856BFF"/>
    <w:rsid w:val="00856C58"/>
    <w:rsid w:val="00856CA6"/>
    <w:rsid w:val="00856E12"/>
    <w:rsid w:val="00856FE0"/>
    <w:rsid w:val="00856FFA"/>
    <w:rsid w:val="00857232"/>
    <w:rsid w:val="0085724D"/>
    <w:rsid w:val="008574D1"/>
    <w:rsid w:val="0085763D"/>
    <w:rsid w:val="008576EA"/>
    <w:rsid w:val="00857810"/>
    <w:rsid w:val="00857850"/>
    <w:rsid w:val="008578A8"/>
    <w:rsid w:val="008579B4"/>
    <w:rsid w:val="00857BFA"/>
    <w:rsid w:val="00857C46"/>
    <w:rsid w:val="00857D4B"/>
    <w:rsid w:val="00857E8F"/>
    <w:rsid w:val="00857F67"/>
    <w:rsid w:val="0086006E"/>
    <w:rsid w:val="00860096"/>
    <w:rsid w:val="00860230"/>
    <w:rsid w:val="00860339"/>
    <w:rsid w:val="0086044C"/>
    <w:rsid w:val="00860493"/>
    <w:rsid w:val="00860623"/>
    <w:rsid w:val="00860807"/>
    <w:rsid w:val="008609FD"/>
    <w:rsid w:val="00860BE7"/>
    <w:rsid w:val="00860C41"/>
    <w:rsid w:val="0086110B"/>
    <w:rsid w:val="0086122E"/>
    <w:rsid w:val="00861649"/>
    <w:rsid w:val="00861743"/>
    <w:rsid w:val="00861963"/>
    <w:rsid w:val="00861C7C"/>
    <w:rsid w:val="00861D96"/>
    <w:rsid w:val="00861DFA"/>
    <w:rsid w:val="00861FD0"/>
    <w:rsid w:val="0086201C"/>
    <w:rsid w:val="008622BB"/>
    <w:rsid w:val="00862AE9"/>
    <w:rsid w:val="00862B88"/>
    <w:rsid w:val="00862BBF"/>
    <w:rsid w:val="00862E17"/>
    <w:rsid w:val="00862E48"/>
    <w:rsid w:val="0086325B"/>
    <w:rsid w:val="008634B3"/>
    <w:rsid w:val="008637B4"/>
    <w:rsid w:val="00863964"/>
    <w:rsid w:val="00863A02"/>
    <w:rsid w:val="00863A83"/>
    <w:rsid w:val="00863B47"/>
    <w:rsid w:val="00863B98"/>
    <w:rsid w:val="00863CBC"/>
    <w:rsid w:val="00863F37"/>
    <w:rsid w:val="00864011"/>
    <w:rsid w:val="0086416C"/>
    <w:rsid w:val="008641D3"/>
    <w:rsid w:val="00864279"/>
    <w:rsid w:val="008642A8"/>
    <w:rsid w:val="00864A29"/>
    <w:rsid w:val="00864C88"/>
    <w:rsid w:val="00864EA9"/>
    <w:rsid w:val="00864F6D"/>
    <w:rsid w:val="00864F88"/>
    <w:rsid w:val="0086500F"/>
    <w:rsid w:val="008654BA"/>
    <w:rsid w:val="00865625"/>
    <w:rsid w:val="008656BE"/>
    <w:rsid w:val="00865795"/>
    <w:rsid w:val="0086588B"/>
    <w:rsid w:val="00865C62"/>
    <w:rsid w:val="00865CC7"/>
    <w:rsid w:val="00865D3A"/>
    <w:rsid w:val="00865FDD"/>
    <w:rsid w:val="00866001"/>
    <w:rsid w:val="00866324"/>
    <w:rsid w:val="008663A4"/>
    <w:rsid w:val="008664F8"/>
    <w:rsid w:val="008667A6"/>
    <w:rsid w:val="008667BE"/>
    <w:rsid w:val="00866888"/>
    <w:rsid w:val="00866E90"/>
    <w:rsid w:val="00866FEF"/>
    <w:rsid w:val="0086704F"/>
    <w:rsid w:val="00867088"/>
    <w:rsid w:val="00867139"/>
    <w:rsid w:val="0086729F"/>
    <w:rsid w:val="00867450"/>
    <w:rsid w:val="00867597"/>
    <w:rsid w:val="008675D5"/>
    <w:rsid w:val="0086760F"/>
    <w:rsid w:val="008676CE"/>
    <w:rsid w:val="00867969"/>
    <w:rsid w:val="008679E8"/>
    <w:rsid w:val="00867BB4"/>
    <w:rsid w:val="00867BD4"/>
    <w:rsid w:val="00867F0D"/>
    <w:rsid w:val="00870161"/>
    <w:rsid w:val="0087016E"/>
    <w:rsid w:val="0087036D"/>
    <w:rsid w:val="008703EC"/>
    <w:rsid w:val="00870410"/>
    <w:rsid w:val="0087049A"/>
    <w:rsid w:val="0087077B"/>
    <w:rsid w:val="008708AD"/>
    <w:rsid w:val="008708BC"/>
    <w:rsid w:val="00870C37"/>
    <w:rsid w:val="00870D18"/>
    <w:rsid w:val="00870D1A"/>
    <w:rsid w:val="00870E69"/>
    <w:rsid w:val="00870FCA"/>
    <w:rsid w:val="00871005"/>
    <w:rsid w:val="00871121"/>
    <w:rsid w:val="008714F6"/>
    <w:rsid w:val="008718C7"/>
    <w:rsid w:val="00871A06"/>
    <w:rsid w:val="00871A6C"/>
    <w:rsid w:val="00871C38"/>
    <w:rsid w:val="00871CCD"/>
    <w:rsid w:val="00871D48"/>
    <w:rsid w:val="00871ED8"/>
    <w:rsid w:val="00871F1C"/>
    <w:rsid w:val="00871F9B"/>
    <w:rsid w:val="008720A9"/>
    <w:rsid w:val="00872140"/>
    <w:rsid w:val="008722E4"/>
    <w:rsid w:val="00872372"/>
    <w:rsid w:val="00872A6F"/>
    <w:rsid w:val="00872C2B"/>
    <w:rsid w:val="00872C69"/>
    <w:rsid w:val="0087325B"/>
    <w:rsid w:val="0087349C"/>
    <w:rsid w:val="008734CD"/>
    <w:rsid w:val="00873564"/>
    <w:rsid w:val="00873821"/>
    <w:rsid w:val="00873896"/>
    <w:rsid w:val="00873B20"/>
    <w:rsid w:val="00873C2F"/>
    <w:rsid w:val="00873C58"/>
    <w:rsid w:val="00873CDF"/>
    <w:rsid w:val="00873CEA"/>
    <w:rsid w:val="00873DA1"/>
    <w:rsid w:val="00873F06"/>
    <w:rsid w:val="008741B6"/>
    <w:rsid w:val="008742E7"/>
    <w:rsid w:val="00874380"/>
    <w:rsid w:val="00874395"/>
    <w:rsid w:val="00874554"/>
    <w:rsid w:val="0087468C"/>
    <w:rsid w:val="00874907"/>
    <w:rsid w:val="00874A26"/>
    <w:rsid w:val="00874E11"/>
    <w:rsid w:val="00875117"/>
    <w:rsid w:val="00875348"/>
    <w:rsid w:val="00875415"/>
    <w:rsid w:val="00875617"/>
    <w:rsid w:val="0087571E"/>
    <w:rsid w:val="008758F8"/>
    <w:rsid w:val="0087594A"/>
    <w:rsid w:val="00875A4A"/>
    <w:rsid w:val="00875A61"/>
    <w:rsid w:val="00875CCB"/>
    <w:rsid w:val="00875E0B"/>
    <w:rsid w:val="00875FFE"/>
    <w:rsid w:val="00876214"/>
    <w:rsid w:val="008762B7"/>
    <w:rsid w:val="0087647E"/>
    <w:rsid w:val="00876812"/>
    <w:rsid w:val="0087697E"/>
    <w:rsid w:val="00876C0B"/>
    <w:rsid w:val="00876DA4"/>
    <w:rsid w:val="008772A8"/>
    <w:rsid w:val="00877472"/>
    <w:rsid w:val="00877512"/>
    <w:rsid w:val="0087762F"/>
    <w:rsid w:val="008776C5"/>
    <w:rsid w:val="00877825"/>
    <w:rsid w:val="00877932"/>
    <w:rsid w:val="00877BCE"/>
    <w:rsid w:val="00877DE0"/>
    <w:rsid w:val="00877FED"/>
    <w:rsid w:val="00880025"/>
    <w:rsid w:val="008800B9"/>
    <w:rsid w:val="0088030D"/>
    <w:rsid w:val="00880311"/>
    <w:rsid w:val="00880417"/>
    <w:rsid w:val="00880497"/>
    <w:rsid w:val="008805F5"/>
    <w:rsid w:val="008806B8"/>
    <w:rsid w:val="008806EB"/>
    <w:rsid w:val="00880A16"/>
    <w:rsid w:val="00880B16"/>
    <w:rsid w:val="00880B4E"/>
    <w:rsid w:val="00880B7E"/>
    <w:rsid w:val="0088109E"/>
    <w:rsid w:val="008816FD"/>
    <w:rsid w:val="00881A0F"/>
    <w:rsid w:val="00881A49"/>
    <w:rsid w:val="00881BC6"/>
    <w:rsid w:val="00881BDF"/>
    <w:rsid w:val="00881CAF"/>
    <w:rsid w:val="00881CC5"/>
    <w:rsid w:val="00881D8A"/>
    <w:rsid w:val="00881D92"/>
    <w:rsid w:val="00881DA4"/>
    <w:rsid w:val="00882132"/>
    <w:rsid w:val="008821D4"/>
    <w:rsid w:val="00882580"/>
    <w:rsid w:val="00882753"/>
    <w:rsid w:val="00882958"/>
    <w:rsid w:val="00882C0E"/>
    <w:rsid w:val="00882D54"/>
    <w:rsid w:val="00882D9E"/>
    <w:rsid w:val="00882F67"/>
    <w:rsid w:val="008833F3"/>
    <w:rsid w:val="00883438"/>
    <w:rsid w:val="008838B1"/>
    <w:rsid w:val="008838E5"/>
    <w:rsid w:val="008839FA"/>
    <w:rsid w:val="00883BDF"/>
    <w:rsid w:val="00883E6B"/>
    <w:rsid w:val="008842B1"/>
    <w:rsid w:val="008842B3"/>
    <w:rsid w:val="008842BC"/>
    <w:rsid w:val="00884413"/>
    <w:rsid w:val="008844A5"/>
    <w:rsid w:val="0088450C"/>
    <w:rsid w:val="0088462A"/>
    <w:rsid w:val="00884696"/>
    <w:rsid w:val="008847B3"/>
    <w:rsid w:val="0088484F"/>
    <w:rsid w:val="008848D1"/>
    <w:rsid w:val="0088491F"/>
    <w:rsid w:val="008849D4"/>
    <w:rsid w:val="00884A2C"/>
    <w:rsid w:val="00885051"/>
    <w:rsid w:val="0088525C"/>
    <w:rsid w:val="008852F1"/>
    <w:rsid w:val="008853C4"/>
    <w:rsid w:val="00885B66"/>
    <w:rsid w:val="00885C1E"/>
    <w:rsid w:val="00885C71"/>
    <w:rsid w:val="00885DD2"/>
    <w:rsid w:val="00886000"/>
    <w:rsid w:val="008860D4"/>
    <w:rsid w:val="0088610E"/>
    <w:rsid w:val="008863BA"/>
    <w:rsid w:val="00886580"/>
    <w:rsid w:val="00886845"/>
    <w:rsid w:val="00886975"/>
    <w:rsid w:val="008869AA"/>
    <w:rsid w:val="00886A1D"/>
    <w:rsid w:val="00886A9D"/>
    <w:rsid w:val="00886A9E"/>
    <w:rsid w:val="00886A9F"/>
    <w:rsid w:val="00886B16"/>
    <w:rsid w:val="00886EEB"/>
    <w:rsid w:val="00886F91"/>
    <w:rsid w:val="008871BD"/>
    <w:rsid w:val="00887245"/>
    <w:rsid w:val="008872A0"/>
    <w:rsid w:val="00887467"/>
    <w:rsid w:val="008875DC"/>
    <w:rsid w:val="00887B76"/>
    <w:rsid w:val="00887E7E"/>
    <w:rsid w:val="00887EE9"/>
    <w:rsid w:val="008902F2"/>
    <w:rsid w:val="0089059D"/>
    <w:rsid w:val="008906E1"/>
    <w:rsid w:val="0089075D"/>
    <w:rsid w:val="008909C3"/>
    <w:rsid w:val="00890A88"/>
    <w:rsid w:val="00890A91"/>
    <w:rsid w:val="00890AC9"/>
    <w:rsid w:val="00890B8B"/>
    <w:rsid w:val="00890B8C"/>
    <w:rsid w:val="00890CA5"/>
    <w:rsid w:val="00890D56"/>
    <w:rsid w:val="00890D89"/>
    <w:rsid w:val="00890F05"/>
    <w:rsid w:val="0089104E"/>
    <w:rsid w:val="0089113A"/>
    <w:rsid w:val="00891221"/>
    <w:rsid w:val="0089146E"/>
    <w:rsid w:val="008914BF"/>
    <w:rsid w:val="00891AB1"/>
    <w:rsid w:val="00891CA0"/>
    <w:rsid w:val="00891D21"/>
    <w:rsid w:val="00892252"/>
    <w:rsid w:val="0089252A"/>
    <w:rsid w:val="008925B3"/>
    <w:rsid w:val="008925B7"/>
    <w:rsid w:val="008925CB"/>
    <w:rsid w:val="00892653"/>
    <w:rsid w:val="00892695"/>
    <w:rsid w:val="00892890"/>
    <w:rsid w:val="008928D9"/>
    <w:rsid w:val="00892D65"/>
    <w:rsid w:val="00893083"/>
    <w:rsid w:val="0089321A"/>
    <w:rsid w:val="0089326D"/>
    <w:rsid w:val="008936AD"/>
    <w:rsid w:val="00893721"/>
    <w:rsid w:val="00893856"/>
    <w:rsid w:val="00893870"/>
    <w:rsid w:val="008939F1"/>
    <w:rsid w:val="00893A09"/>
    <w:rsid w:val="00893CBC"/>
    <w:rsid w:val="00893DB3"/>
    <w:rsid w:val="008942B9"/>
    <w:rsid w:val="00894598"/>
    <w:rsid w:val="00894879"/>
    <w:rsid w:val="00894B29"/>
    <w:rsid w:val="00894F09"/>
    <w:rsid w:val="00894FE8"/>
    <w:rsid w:val="00894FF4"/>
    <w:rsid w:val="0089504E"/>
    <w:rsid w:val="008951AF"/>
    <w:rsid w:val="0089523B"/>
    <w:rsid w:val="0089528B"/>
    <w:rsid w:val="00895FE9"/>
    <w:rsid w:val="008961AE"/>
    <w:rsid w:val="00896255"/>
    <w:rsid w:val="0089653B"/>
    <w:rsid w:val="0089657A"/>
    <w:rsid w:val="00896667"/>
    <w:rsid w:val="00896669"/>
    <w:rsid w:val="00896929"/>
    <w:rsid w:val="00896943"/>
    <w:rsid w:val="00896E8B"/>
    <w:rsid w:val="00896F60"/>
    <w:rsid w:val="00896FA5"/>
    <w:rsid w:val="008971C6"/>
    <w:rsid w:val="008973A7"/>
    <w:rsid w:val="0089758F"/>
    <w:rsid w:val="008975B7"/>
    <w:rsid w:val="00897615"/>
    <w:rsid w:val="00897784"/>
    <w:rsid w:val="00897793"/>
    <w:rsid w:val="0089785E"/>
    <w:rsid w:val="008978EE"/>
    <w:rsid w:val="00897CAC"/>
    <w:rsid w:val="00897E78"/>
    <w:rsid w:val="00897F08"/>
    <w:rsid w:val="00897F4D"/>
    <w:rsid w:val="00897FA4"/>
    <w:rsid w:val="008A010E"/>
    <w:rsid w:val="008A0194"/>
    <w:rsid w:val="008A0271"/>
    <w:rsid w:val="008A0469"/>
    <w:rsid w:val="008A060E"/>
    <w:rsid w:val="008A0A0E"/>
    <w:rsid w:val="008A0EFD"/>
    <w:rsid w:val="008A0F22"/>
    <w:rsid w:val="008A11D8"/>
    <w:rsid w:val="008A14A5"/>
    <w:rsid w:val="008A154A"/>
    <w:rsid w:val="008A1632"/>
    <w:rsid w:val="008A1B0E"/>
    <w:rsid w:val="008A1BAB"/>
    <w:rsid w:val="008A1CD1"/>
    <w:rsid w:val="008A2403"/>
    <w:rsid w:val="008A24EB"/>
    <w:rsid w:val="008A2585"/>
    <w:rsid w:val="008A2672"/>
    <w:rsid w:val="008A2780"/>
    <w:rsid w:val="008A27BD"/>
    <w:rsid w:val="008A27F4"/>
    <w:rsid w:val="008A2CD5"/>
    <w:rsid w:val="008A2F3C"/>
    <w:rsid w:val="008A2FCE"/>
    <w:rsid w:val="008A300B"/>
    <w:rsid w:val="008A320B"/>
    <w:rsid w:val="008A335B"/>
    <w:rsid w:val="008A33B7"/>
    <w:rsid w:val="008A360D"/>
    <w:rsid w:val="008A3763"/>
    <w:rsid w:val="008A3A8C"/>
    <w:rsid w:val="008A3B34"/>
    <w:rsid w:val="008A3B8B"/>
    <w:rsid w:val="008A3E2A"/>
    <w:rsid w:val="008A3E83"/>
    <w:rsid w:val="008A3F7F"/>
    <w:rsid w:val="008A3FF0"/>
    <w:rsid w:val="008A3FF1"/>
    <w:rsid w:val="008A4052"/>
    <w:rsid w:val="008A4156"/>
    <w:rsid w:val="008A4325"/>
    <w:rsid w:val="008A44A4"/>
    <w:rsid w:val="008A455C"/>
    <w:rsid w:val="008A4584"/>
    <w:rsid w:val="008A4622"/>
    <w:rsid w:val="008A46F6"/>
    <w:rsid w:val="008A4779"/>
    <w:rsid w:val="008A4828"/>
    <w:rsid w:val="008A4893"/>
    <w:rsid w:val="008A48A3"/>
    <w:rsid w:val="008A4993"/>
    <w:rsid w:val="008A4ABF"/>
    <w:rsid w:val="008A4ACA"/>
    <w:rsid w:val="008A4CEA"/>
    <w:rsid w:val="008A4E42"/>
    <w:rsid w:val="008A4F8D"/>
    <w:rsid w:val="008A4FBB"/>
    <w:rsid w:val="008A5262"/>
    <w:rsid w:val="008A55CE"/>
    <w:rsid w:val="008A5681"/>
    <w:rsid w:val="008A56BE"/>
    <w:rsid w:val="008A5879"/>
    <w:rsid w:val="008A5965"/>
    <w:rsid w:val="008A5A34"/>
    <w:rsid w:val="008A5BF9"/>
    <w:rsid w:val="008A5DE0"/>
    <w:rsid w:val="008A5ECF"/>
    <w:rsid w:val="008A5EE4"/>
    <w:rsid w:val="008A606F"/>
    <w:rsid w:val="008A61CF"/>
    <w:rsid w:val="008A62A6"/>
    <w:rsid w:val="008A62C4"/>
    <w:rsid w:val="008A62DE"/>
    <w:rsid w:val="008A66F7"/>
    <w:rsid w:val="008A67DA"/>
    <w:rsid w:val="008A6974"/>
    <w:rsid w:val="008A6A36"/>
    <w:rsid w:val="008A6B68"/>
    <w:rsid w:val="008A6CAD"/>
    <w:rsid w:val="008A6DAB"/>
    <w:rsid w:val="008A6F83"/>
    <w:rsid w:val="008A70AD"/>
    <w:rsid w:val="008A70E0"/>
    <w:rsid w:val="008A7240"/>
    <w:rsid w:val="008A7636"/>
    <w:rsid w:val="008A76EE"/>
    <w:rsid w:val="008A7812"/>
    <w:rsid w:val="008A794B"/>
    <w:rsid w:val="008A7A75"/>
    <w:rsid w:val="008A7C3F"/>
    <w:rsid w:val="008B00ED"/>
    <w:rsid w:val="008B011F"/>
    <w:rsid w:val="008B0340"/>
    <w:rsid w:val="008B05C3"/>
    <w:rsid w:val="008B0A34"/>
    <w:rsid w:val="008B0BE7"/>
    <w:rsid w:val="008B0F29"/>
    <w:rsid w:val="008B0F99"/>
    <w:rsid w:val="008B1229"/>
    <w:rsid w:val="008B1996"/>
    <w:rsid w:val="008B1C5D"/>
    <w:rsid w:val="008B1EFF"/>
    <w:rsid w:val="008B20B1"/>
    <w:rsid w:val="008B21E4"/>
    <w:rsid w:val="008B239E"/>
    <w:rsid w:val="008B2477"/>
    <w:rsid w:val="008B25E1"/>
    <w:rsid w:val="008B29BF"/>
    <w:rsid w:val="008B2C07"/>
    <w:rsid w:val="008B2E58"/>
    <w:rsid w:val="008B34E8"/>
    <w:rsid w:val="008B35D1"/>
    <w:rsid w:val="008B35D4"/>
    <w:rsid w:val="008B3A80"/>
    <w:rsid w:val="008B3A9F"/>
    <w:rsid w:val="008B3EC1"/>
    <w:rsid w:val="008B3F99"/>
    <w:rsid w:val="008B4294"/>
    <w:rsid w:val="008B4323"/>
    <w:rsid w:val="008B4551"/>
    <w:rsid w:val="008B46D1"/>
    <w:rsid w:val="008B4965"/>
    <w:rsid w:val="008B4BDB"/>
    <w:rsid w:val="008B4CC5"/>
    <w:rsid w:val="008B4F41"/>
    <w:rsid w:val="008B515C"/>
    <w:rsid w:val="008B527C"/>
    <w:rsid w:val="008B541C"/>
    <w:rsid w:val="008B556D"/>
    <w:rsid w:val="008B55A5"/>
    <w:rsid w:val="008B56CF"/>
    <w:rsid w:val="008B5740"/>
    <w:rsid w:val="008B5877"/>
    <w:rsid w:val="008B5883"/>
    <w:rsid w:val="008B5979"/>
    <w:rsid w:val="008B59A2"/>
    <w:rsid w:val="008B5F9F"/>
    <w:rsid w:val="008B5FB3"/>
    <w:rsid w:val="008B6005"/>
    <w:rsid w:val="008B600A"/>
    <w:rsid w:val="008B6122"/>
    <w:rsid w:val="008B617D"/>
    <w:rsid w:val="008B636C"/>
    <w:rsid w:val="008B6448"/>
    <w:rsid w:val="008B64E5"/>
    <w:rsid w:val="008B64EC"/>
    <w:rsid w:val="008B6876"/>
    <w:rsid w:val="008B68AA"/>
    <w:rsid w:val="008B68D3"/>
    <w:rsid w:val="008B68F6"/>
    <w:rsid w:val="008B69D7"/>
    <w:rsid w:val="008B6B29"/>
    <w:rsid w:val="008B6BB0"/>
    <w:rsid w:val="008B6E86"/>
    <w:rsid w:val="008B6F52"/>
    <w:rsid w:val="008B7011"/>
    <w:rsid w:val="008B7054"/>
    <w:rsid w:val="008B74D5"/>
    <w:rsid w:val="008B75C0"/>
    <w:rsid w:val="008B75EF"/>
    <w:rsid w:val="008B78B1"/>
    <w:rsid w:val="008B78E3"/>
    <w:rsid w:val="008B79F5"/>
    <w:rsid w:val="008B7AE4"/>
    <w:rsid w:val="008B7B93"/>
    <w:rsid w:val="008B7C22"/>
    <w:rsid w:val="008B7F5E"/>
    <w:rsid w:val="008C0106"/>
    <w:rsid w:val="008C0300"/>
    <w:rsid w:val="008C04EE"/>
    <w:rsid w:val="008C0740"/>
    <w:rsid w:val="008C0765"/>
    <w:rsid w:val="008C0794"/>
    <w:rsid w:val="008C08C4"/>
    <w:rsid w:val="008C0966"/>
    <w:rsid w:val="008C0A80"/>
    <w:rsid w:val="008C0A97"/>
    <w:rsid w:val="008C0BB1"/>
    <w:rsid w:val="008C0CAB"/>
    <w:rsid w:val="008C0CD5"/>
    <w:rsid w:val="008C0DE4"/>
    <w:rsid w:val="008C0DE9"/>
    <w:rsid w:val="008C0DFF"/>
    <w:rsid w:val="008C0E73"/>
    <w:rsid w:val="008C1113"/>
    <w:rsid w:val="008C1144"/>
    <w:rsid w:val="008C11B9"/>
    <w:rsid w:val="008C130A"/>
    <w:rsid w:val="008C1408"/>
    <w:rsid w:val="008C1749"/>
    <w:rsid w:val="008C19BF"/>
    <w:rsid w:val="008C1CCF"/>
    <w:rsid w:val="008C1CF9"/>
    <w:rsid w:val="008C1D1F"/>
    <w:rsid w:val="008C1DCC"/>
    <w:rsid w:val="008C1F0B"/>
    <w:rsid w:val="008C2010"/>
    <w:rsid w:val="008C2067"/>
    <w:rsid w:val="008C2079"/>
    <w:rsid w:val="008C210F"/>
    <w:rsid w:val="008C2219"/>
    <w:rsid w:val="008C23C3"/>
    <w:rsid w:val="008C25FE"/>
    <w:rsid w:val="008C292A"/>
    <w:rsid w:val="008C2AFF"/>
    <w:rsid w:val="008C2D4B"/>
    <w:rsid w:val="008C2E1B"/>
    <w:rsid w:val="008C2E1D"/>
    <w:rsid w:val="008C30BA"/>
    <w:rsid w:val="008C30E1"/>
    <w:rsid w:val="008C33B7"/>
    <w:rsid w:val="008C34B1"/>
    <w:rsid w:val="008C34F8"/>
    <w:rsid w:val="008C3722"/>
    <w:rsid w:val="008C3A42"/>
    <w:rsid w:val="008C3A7B"/>
    <w:rsid w:val="008C3A87"/>
    <w:rsid w:val="008C3AFB"/>
    <w:rsid w:val="008C3CC3"/>
    <w:rsid w:val="008C3E0E"/>
    <w:rsid w:val="008C3E31"/>
    <w:rsid w:val="008C408F"/>
    <w:rsid w:val="008C4235"/>
    <w:rsid w:val="008C4747"/>
    <w:rsid w:val="008C47AC"/>
    <w:rsid w:val="008C48E6"/>
    <w:rsid w:val="008C4900"/>
    <w:rsid w:val="008C516A"/>
    <w:rsid w:val="008C55CC"/>
    <w:rsid w:val="008C564C"/>
    <w:rsid w:val="008C59B5"/>
    <w:rsid w:val="008C5E7A"/>
    <w:rsid w:val="008C5F06"/>
    <w:rsid w:val="008C5F3E"/>
    <w:rsid w:val="008C606D"/>
    <w:rsid w:val="008C6505"/>
    <w:rsid w:val="008C650F"/>
    <w:rsid w:val="008C65E6"/>
    <w:rsid w:val="008C6883"/>
    <w:rsid w:val="008C68EF"/>
    <w:rsid w:val="008C6951"/>
    <w:rsid w:val="008C6B94"/>
    <w:rsid w:val="008C6BFF"/>
    <w:rsid w:val="008C7179"/>
    <w:rsid w:val="008C7328"/>
    <w:rsid w:val="008C74FE"/>
    <w:rsid w:val="008C7606"/>
    <w:rsid w:val="008C76E1"/>
    <w:rsid w:val="008C76EF"/>
    <w:rsid w:val="008C773D"/>
    <w:rsid w:val="008C7A51"/>
    <w:rsid w:val="008C7AD7"/>
    <w:rsid w:val="008C7C97"/>
    <w:rsid w:val="008C7CA7"/>
    <w:rsid w:val="008C7CE5"/>
    <w:rsid w:val="008C7F4E"/>
    <w:rsid w:val="008D02A3"/>
    <w:rsid w:val="008D0451"/>
    <w:rsid w:val="008D060F"/>
    <w:rsid w:val="008D08D8"/>
    <w:rsid w:val="008D08FC"/>
    <w:rsid w:val="008D099C"/>
    <w:rsid w:val="008D0C1B"/>
    <w:rsid w:val="008D0C5A"/>
    <w:rsid w:val="008D0D00"/>
    <w:rsid w:val="008D0D66"/>
    <w:rsid w:val="008D0EB1"/>
    <w:rsid w:val="008D0F84"/>
    <w:rsid w:val="008D1271"/>
    <w:rsid w:val="008D1405"/>
    <w:rsid w:val="008D1429"/>
    <w:rsid w:val="008D14D2"/>
    <w:rsid w:val="008D1559"/>
    <w:rsid w:val="008D17AE"/>
    <w:rsid w:val="008D19FD"/>
    <w:rsid w:val="008D1ABD"/>
    <w:rsid w:val="008D1D8C"/>
    <w:rsid w:val="008D1E29"/>
    <w:rsid w:val="008D2223"/>
    <w:rsid w:val="008D257C"/>
    <w:rsid w:val="008D2619"/>
    <w:rsid w:val="008D2798"/>
    <w:rsid w:val="008D27E9"/>
    <w:rsid w:val="008D28B8"/>
    <w:rsid w:val="008D28FD"/>
    <w:rsid w:val="008D2F53"/>
    <w:rsid w:val="008D31F5"/>
    <w:rsid w:val="008D3309"/>
    <w:rsid w:val="008D3489"/>
    <w:rsid w:val="008D34D3"/>
    <w:rsid w:val="008D37A3"/>
    <w:rsid w:val="008D37BE"/>
    <w:rsid w:val="008D3818"/>
    <w:rsid w:val="008D3861"/>
    <w:rsid w:val="008D3A0D"/>
    <w:rsid w:val="008D3BBF"/>
    <w:rsid w:val="008D3F83"/>
    <w:rsid w:val="008D4130"/>
    <w:rsid w:val="008D43A9"/>
    <w:rsid w:val="008D47C9"/>
    <w:rsid w:val="008D4813"/>
    <w:rsid w:val="008D48A3"/>
    <w:rsid w:val="008D4950"/>
    <w:rsid w:val="008D49FC"/>
    <w:rsid w:val="008D4D4F"/>
    <w:rsid w:val="008D505B"/>
    <w:rsid w:val="008D5234"/>
    <w:rsid w:val="008D53B4"/>
    <w:rsid w:val="008D5581"/>
    <w:rsid w:val="008D55C5"/>
    <w:rsid w:val="008D55D8"/>
    <w:rsid w:val="008D56FF"/>
    <w:rsid w:val="008D5ABD"/>
    <w:rsid w:val="008D5B4E"/>
    <w:rsid w:val="008D60B6"/>
    <w:rsid w:val="008D6133"/>
    <w:rsid w:val="008D61B4"/>
    <w:rsid w:val="008D634F"/>
    <w:rsid w:val="008D636F"/>
    <w:rsid w:val="008D63F8"/>
    <w:rsid w:val="008D6526"/>
    <w:rsid w:val="008D679A"/>
    <w:rsid w:val="008D67F0"/>
    <w:rsid w:val="008D6A82"/>
    <w:rsid w:val="008D6B2C"/>
    <w:rsid w:val="008D6DCC"/>
    <w:rsid w:val="008D6E0A"/>
    <w:rsid w:val="008D6EAB"/>
    <w:rsid w:val="008D7105"/>
    <w:rsid w:val="008D72C3"/>
    <w:rsid w:val="008D753C"/>
    <w:rsid w:val="008D75EF"/>
    <w:rsid w:val="008D77D6"/>
    <w:rsid w:val="008D7A5B"/>
    <w:rsid w:val="008D7A74"/>
    <w:rsid w:val="008D7AC6"/>
    <w:rsid w:val="008D7D33"/>
    <w:rsid w:val="008D7D89"/>
    <w:rsid w:val="008D7E32"/>
    <w:rsid w:val="008E0285"/>
    <w:rsid w:val="008E05F8"/>
    <w:rsid w:val="008E0636"/>
    <w:rsid w:val="008E0686"/>
    <w:rsid w:val="008E06B6"/>
    <w:rsid w:val="008E0BDD"/>
    <w:rsid w:val="008E0BE0"/>
    <w:rsid w:val="008E0C42"/>
    <w:rsid w:val="008E0D8F"/>
    <w:rsid w:val="008E0E98"/>
    <w:rsid w:val="008E1008"/>
    <w:rsid w:val="008E1074"/>
    <w:rsid w:val="008E1094"/>
    <w:rsid w:val="008E11F7"/>
    <w:rsid w:val="008E1313"/>
    <w:rsid w:val="008E164A"/>
    <w:rsid w:val="008E19AA"/>
    <w:rsid w:val="008E1E31"/>
    <w:rsid w:val="008E20EF"/>
    <w:rsid w:val="008E22F4"/>
    <w:rsid w:val="008E2538"/>
    <w:rsid w:val="008E25D6"/>
    <w:rsid w:val="008E25F7"/>
    <w:rsid w:val="008E268B"/>
    <w:rsid w:val="008E2826"/>
    <w:rsid w:val="008E29D8"/>
    <w:rsid w:val="008E2A12"/>
    <w:rsid w:val="008E2A13"/>
    <w:rsid w:val="008E2C18"/>
    <w:rsid w:val="008E2C26"/>
    <w:rsid w:val="008E2E88"/>
    <w:rsid w:val="008E2F1B"/>
    <w:rsid w:val="008E2FB5"/>
    <w:rsid w:val="008E2FEC"/>
    <w:rsid w:val="008E31E6"/>
    <w:rsid w:val="008E3243"/>
    <w:rsid w:val="008E3266"/>
    <w:rsid w:val="008E32EF"/>
    <w:rsid w:val="008E335E"/>
    <w:rsid w:val="008E3493"/>
    <w:rsid w:val="008E36D0"/>
    <w:rsid w:val="008E37DD"/>
    <w:rsid w:val="008E3A3B"/>
    <w:rsid w:val="008E3BA9"/>
    <w:rsid w:val="008E3C4D"/>
    <w:rsid w:val="008E3CED"/>
    <w:rsid w:val="008E3D43"/>
    <w:rsid w:val="008E3DED"/>
    <w:rsid w:val="008E4169"/>
    <w:rsid w:val="008E4207"/>
    <w:rsid w:val="008E46E6"/>
    <w:rsid w:val="008E478A"/>
    <w:rsid w:val="008E480C"/>
    <w:rsid w:val="008E49A3"/>
    <w:rsid w:val="008E4C66"/>
    <w:rsid w:val="008E4CE4"/>
    <w:rsid w:val="008E4DF3"/>
    <w:rsid w:val="008E4E1F"/>
    <w:rsid w:val="008E4EA2"/>
    <w:rsid w:val="008E5031"/>
    <w:rsid w:val="008E53B6"/>
    <w:rsid w:val="008E562A"/>
    <w:rsid w:val="008E5840"/>
    <w:rsid w:val="008E5866"/>
    <w:rsid w:val="008E5938"/>
    <w:rsid w:val="008E5E2B"/>
    <w:rsid w:val="008E5F35"/>
    <w:rsid w:val="008E6054"/>
    <w:rsid w:val="008E6792"/>
    <w:rsid w:val="008E6882"/>
    <w:rsid w:val="008E6A27"/>
    <w:rsid w:val="008E6C3D"/>
    <w:rsid w:val="008E701C"/>
    <w:rsid w:val="008E720E"/>
    <w:rsid w:val="008E7352"/>
    <w:rsid w:val="008E754A"/>
    <w:rsid w:val="008E7637"/>
    <w:rsid w:val="008E77A1"/>
    <w:rsid w:val="008E7BD4"/>
    <w:rsid w:val="008E7C1C"/>
    <w:rsid w:val="008E7D37"/>
    <w:rsid w:val="008E7F27"/>
    <w:rsid w:val="008F0098"/>
    <w:rsid w:val="008F026A"/>
    <w:rsid w:val="008F093D"/>
    <w:rsid w:val="008F095D"/>
    <w:rsid w:val="008F0A95"/>
    <w:rsid w:val="008F0B4D"/>
    <w:rsid w:val="008F0C1D"/>
    <w:rsid w:val="008F0C36"/>
    <w:rsid w:val="008F0C6F"/>
    <w:rsid w:val="008F0D5A"/>
    <w:rsid w:val="008F0EA6"/>
    <w:rsid w:val="008F0FE3"/>
    <w:rsid w:val="008F11C6"/>
    <w:rsid w:val="008F11FA"/>
    <w:rsid w:val="008F1748"/>
    <w:rsid w:val="008F1B50"/>
    <w:rsid w:val="008F1BF6"/>
    <w:rsid w:val="008F1CA7"/>
    <w:rsid w:val="008F1E68"/>
    <w:rsid w:val="008F1E9F"/>
    <w:rsid w:val="008F20C8"/>
    <w:rsid w:val="008F22B8"/>
    <w:rsid w:val="008F22CA"/>
    <w:rsid w:val="008F2333"/>
    <w:rsid w:val="008F23F9"/>
    <w:rsid w:val="008F241A"/>
    <w:rsid w:val="008F2482"/>
    <w:rsid w:val="008F263D"/>
    <w:rsid w:val="008F2863"/>
    <w:rsid w:val="008F2957"/>
    <w:rsid w:val="008F29B9"/>
    <w:rsid w:val="008F2A20"/>
    <w:rsid w:val="008F2AA2"/>
    <w:rsid w:val="008F2C12"/>
    <w:rsid w:val="008F2C8B"/>
    <w:rsid w:val="008F2DEA"/>
    <w:rsid w:val="008F2F9B"/>
    <w:rsid w:val="008F313F"/>
    <w:rsid w:val="008F3233"/>
    <w:rsid w:val="008F3416"/>
    <w:rsid w:val="008F38D9"/>
    <w:rsid w:val="008F3982"/>
    <w:rsid w:val="008F3A00"/>
    <w:rsid w:val="008F3B74"/>
    <w:rsid w:val="008F3BAD"/>
    <w:rsid w:val="008F43EB"/>
    <w:rsid w:val="008F47A7"/>
    <w:rsid w:val="008F4912"/>
    <w:rsid w:val="008F49CD"/>
    <w:rsid w:val="008F4ABB"/>
    <w:rsid w:val="008F4D81"/>
    <w:rsid w:val="008F5151"/>
    <w:rsid w:val="008F5237"/>
    <w:rsid w:val="008F52A4"/>
    <w:rsid w:val="008F535F"/>
    <w:rsid w:val="008F53A4"/>
    <w:rsid w:val="008F53E4"/>
    <w:rsid w:val="008F567D"/>
    <w:rsid w:val="008F584D"/>
    <w:rsid w:val="008F58E8"/>
    <w:rsid w:val="008F5BDE"/>
    <w:rsid w:val="008F5DA1"/>
    <w:rsid w:val="008F5EA4"/>
    <w:rsid w:val="008F6177"/>
    <w:rsid w:val="008F61D4"/>
    <w:rsid w:val="008F6884"/>
    <w:rsid w:val="008F6B05"/>
    <w:rsid w:val="008F6BCA"/>
    <w:rsid w:val="008F6EB0"/>
    <w:rsid w:val="008F6F1A"/>
    <w:rsid w:val="008F71E9"/>
    <w:rsid w:val="008F7359"/>
    <w:rsid w:val="008F735D"/>
    <w:rsid w:val="008F7398"/>
    <w:rsid w:val="008F770B"/>
    <w:rsid w:val="008F77EB"/>
    <w:rsid w:val="008F784D"/>
    <w:rsid w:val="008F7852"/>
    <w:rsid w:val="008F786B"/>
    <w:rsid w:val="008F7897"/>
    <w:rsid w:val="008F79AE"/>
    <w:rsid w:val="008F7C08"/>
    <w:rsid w:val="008F7CE0"/>
    <w:rsid w:val="008F7D41"/>
    <w:rsid w:val="008F7DF9"/>
    <w:rsid w:val="008F7E78"/>
    <w:rsid w:val="008F7EC4"/>
    <w:rsid w:val="008F7FA7"/>
    <w:rsid w:val="00900048"/>
    <w:rsid w:val="00900385"/>
    <w:rsid w:val="0090045E"/>
    <w:rsid w:val="00900572"/>
    <w:rsid w:val="009005AE"/>
    <w:rsid w:val="00900638"/>
    <w:rsid w:val="00900868"/>
    <w:rsid w:val="00900AE0"/>
    <w:rsid w:val="00900E80"/>
    <w:rsid w:val="009010EE"/>
    <w:rsid w:val="0090120B"/>
    <w:rsid w:val="009012A5"/>
    <w:rsid w:val="0090137A"/>
    <w:rsid w:val="009016E5"/>
    <w:rsid w:val="009016F5"/>
    <w:rsid w:val="00901704"/>
    <w:rsid w:val="009017FE"/>
    <w:rsid w:val="0090180D"/>
    <w:rsid w:val="00901898"/>
    <w:rsid w:val="009018B4"/>
    <w:rsid w:val="009018E9"/>
    <w:rsid w:val="00901932"/>
    <w:rsid w:val="00901B0F"/>
    <w:rsid w:val="00901DBD"/>
    <w:rsid w:val="00901E33"/>
    <w:rsid w:val="00901EA8"/>
    <w:rsid w:val="00901EB6"/>
    <w:rsid w:val="009023F7"/>
    <w:rsid w:val="0090243F"/>
    <w:rsid w:val="00902451"/>
    <w:rsid w:val="00902514"/>
    <w:rsid w:val="00902631"/>
    <w:rsid w:val="00902841"/>
    <w:rsid w:val="0090298F"/>
    <w:rsid w:val="00902A58"/>
    <w:rsid w:val="00902B27"/>
    <w:rsid w:val="00902CB9"/>
    <w:rsid w:val="00902D53"/>
    <w:rsid w:val="00902EDE"/>
    <w:rsid w:val="00903000"/>
    <w:rsid w:val="00903370"/>
    <w:rsid w:val="00903606"/>
    <w:rsid w:val="009036C8"/>
    <w:rsid w:val="00903796"/>
    <w:rsid w:val="00903800"/>
    <w:rsid w:val="00903909"/>
    <w:rsid w:val="00903A0B"/>
    <w:rsid w:val="00903D74"/>
    <w:rsid w:val="00904081"/>
    <w:rsid w:val="0090414C"/>
    <w:rsid w:val="00904663"/>
    <w:rsid w:val="009046D8"/>
    <w:rsid w:val="009046FE"/>
    <w:rsid w:val="00904808"/>
    <w:rsid w:val="00904943"/>
    <w:rsid w:val="00904B23"/>
    <w:rsid w:val="00904D9B"/>
    <w:rsid w:val="00904EB5"/>
    <w:rsid w:val="0090530E"/>
    <w:rsid w:val="0090538B"/>
    <w:rsid w:val="00905395"/>
    <w:rsid w:val="00905715"/>
    <w:rsid w:val="0090585A"/>
    <w:rsid w:val="009058E2"/>
    <w:rsid w:val="00905968"/>
    <w:rsid w:val="009059A4"/>
    <w:rsid w:val="00905A81"/>
    <w:rsid w:val="00905BFC"/>
    <w:rsid w:val="00905EAC"/>
    <w:rsid w:val="00905F4C"/>
    <w:rsid w:val="00906245"/>
    <w:rsid w:val="00906379"/>
    <w:rsid w:val="009063B5"/>
    <w:rsid w:val="0090710C"/>
    <w:rsid w:val="009073A1"/>
    <w:rsid w:val="00907A5D"/>
    <w:rsid w:val="00907AA8"/>
    <w:rsid w:val="00907ACD"/>
    <w:rsid w:val="00907B7A"/>
    <w:rsid w:val="00907D8C"/>
    <w:rsid w:val="00907ECD"/>
    <w:rsid w:val="00910093"/>
    <w:rsid w:val="00910133"/>
    <w:rsid w:val="009101BB"/>
    <w:rsid w:val="00910255"/>
    <w:rsid w:val="0091026F"/>
    <w:rsid w:val="009102F1"/>
    <w:rsid w:val="00910343"/>
    <w:rsid w:val="009103F1"/>
    <w:rsid w:val="009105B3"/>
    <w:rsid w:val="009106D3"/>
    <w:rsid w:val="0091073B"/>
    <w:rsid w:val="0091098A"/>
    <w:rsid w:val="009109FF"/>
    <w:rsid w:val="00910A0E"/>
    <w:rsid w:val="00910A3B"/>
    <w:rsid w:val="00910AE5"/>
    <w:rsid w:val="00910B86"/>
    <w:rsid w:val="0091122B"/>
    <w:rsid w:val="0091153A"/>
    <w:rsid w:val="0091181B"/>
    <w:rsid w:val="00911ABC"/>
    <w:rsid w:val="00911DFB"/>
    <w:rsid w:val="00911E75"/>
    <w:rsid w:val="0091241F"/>
    <w:rsid w:val="00912835"/>
    <w:rsid w:val="009128DD"/>
    <w:rsid w:val="00912993"/>
    <w:rsid w:val="009129DB"/>
    <w:rsid w:val="00912AE0"/>
    <w:rsid w:val="00912DD4"/>
    <w:rsid w:val="00912EFB"/>
    <w:rsid w:val="00912F18"/>
    <w:rsid w:val="0091311E"/>
    <w:rsid w:val="00913120"/>
    <w:rsid w:val="00913145"/>
    <w:rsid w:val="009131F4"/>
    <w:rsid w:val="0091336D"/>
    <w:rsid w:val="0091349A"/>
    <w:rsid w:val="00913779"/>
    <w:rsid w:val="00913785"/>
    <w:rsid w:val="00913797"/>
    <w:rsid w:val="009137A2"/>
    <w:rsid w:val="009139EE"/>
    <w:rsid w:val="00913B7D"/>
    <w:rsid w:val="00913CEC"/>
    <w:rsid w:val="00913DA6"/>
    <w:rsid w:val="00913E9A"/>
    <w:rsid w:val="00914099"/>
    <w:rsid w:val="00914136"/>
    <w:rsid w:val="00914310"/>
    <w:rsid w:val="00914399"/>
    <w:rsid w:val="0091441F"/>
    <w:rsid w:val="0091449E"/>
    <w:rsid w:val="009144E0"/>
    <w:rsid w:val="0091492B"/>
    <w:rsid w:val="00914B9C"/>
    <w:rsid w:val="00914C73"/>
    <w:rsid w:val="00914D5F"/>
    <w:rsid w:val="00914E5F"/>
    <w:rsid w:val="00914FC0"/>
    <w:rsid w:val="00914FE2"/>
    <w:rsid w:val="0091501E"/>
    <w:rsid w:val="00915146"/>
    <w:rsid w:val="0091530C"/>
    <w:rsid w:val="0091531A"/>
    <w:rsid w:val="00915449"/>
    <w:rsid w:val="0091585F"/>
    <w:rsid w:val="009158BF"/>
    <w:rsid w:val="00915901"/>
    <w:rsid w:val="00915E69"/>
    <w:rsid w:val="009160B8"/>
    <w:rsid w:val="009161AD"/>
    <w:rsid w:val="00916412"/>
    <w:rsid w:val="0091641A"/>
    <w:rsid w:val="0091648C"/>
    <w:rsid w:val="00916612"/>
    <w:rsid w:val="009166C9"/>
    <w:rsid w:val="009168BA"/>
    <w:rsid w:val="00916A8C"/>
    <w:rsid w:val="00916BD2"/>
    <w:rsid w:val="00916E48"/>
    <w:rsid w:val="00916F62"/>
    <w:rsid w:val="00916FDE"/>
    <w:rsid w:val="00917099"/>
    <w:rsid w:val="00917159"/>
    <w:rsid w:val="00917192"/>
    <w:rsid w:val="009174FE"/>
    <w:rsid w:val="009175AF"/>
    <w:rsid w:val="009175D1"/>
    <w:rsid w:val="00917830"/>
    <w:rsid w:val="00917912"/>
    <w:rsid w:val="00917A83"/>
    <w:rsid w:val="00917D1A"/>
    <w:rsid w:val="00917D37"/>
    <w:rsid w:val="00917FF5"/>
    <w:rsid w:val="00920129"/>
    <w:rsid w:val="0092034A"/>
    <w:rsid w:val="0092066C"/>
    <w:rsid w:val="00920762"/>
    <w:rsid w:val="00920931"/>
    <w:rsid w:val="00920A06"/>
    <w:rsid w:val="009210A4"/>
    <w:rsid w:val="009210D9"/>
    <w:rsid w:val="00921AD6"/>
    <w:rsid w:val="00921C97"/>
    <w:rsid w:val="00922567"/>
    <w:rsid w:val="00922723"/>
    <w:rsid w:val="0092278E"/>
    <w:rsid w:val="009227CF"/>
    <w:rsid w:val="00922A37"/>
    <w:rsid w:val="00922A76"/>
    <w:rsid w:val="00922C79"/>
    <w:rsid w:val="00922F6D"/>
    <w:rsid w:val="00922FA0"/>
    <w:rsid w:val="0092319C"/>
    <w:rsid w:val="00923299"/>
    <w:rsid w:val="0092339C"/>
    <w:rsid w:val="009234AC"/>
    <w:rsid w:val="009235A6"/>
    <w:rsid w:val="009235C2"/>
    <w:rsid w:val="00923A2A"/>
    <w:rsid w:val="00923AB4"/>
    <w:rsid w:val="00923AC5"/>
    <w:rsid w:val="00923C23"/>
    <w:rsid w:val="00923D82"/>
    <w:rsid w:val="00923DD1"/>
    <w:rsid w:val="00923DFA"/>
    <w:rsid w:val="00923E9D"/>
    <w:rsid w:val="00923F03"/>
    <w:rsid w:val="009240E4"/>
    <w:rsid w:val="0092431A"/>
    <w:rsid w:val="00924465"/>
    <w:rsid w:val="00924B8F"/>
    <w:rsid w:val="00924CE5"/>
    <w:rsid w:val="00924FD8"/>
    <w:rsid w:val="0092501C"/>
    <w:rsid w:val="00925189"/>
    <w:rsid w:val="009253A9"/>
    <w:rsid w:val="00925435"/>
    <w:rsid w:val="009254EC"/>
    <w:rsid w:val="00925592"/>
    <w:rsid w:val="0092568E"/>
    <w:rsid w:val="009256B6"/>
    <w:rsid w:val="00925953"/>
    <w:rsid w:val="009259B7"/>
    <w:rsid w:val="009259B9"/>
    <w:rsid w:val="00925AF1"/>
    <w:rsid w:val="00925E0C"/>
    <w:rsid w:val="00925E70"/>
    <w:rsid w:val="00926174"/>
    <w:rsid w:val="009261E6"/>
    <w:rsid w:val="00926219"/>
    <w:rsid w:val="00926594"/>
    <w:rsid w:val="0092659D"/>
    <w:rsid w:val="009266AE"/>
    <w:rsid w:val="00926983"/>
    <w:rsid w:val="00926B4E"/>
    <w:rsid w:val="00926E63"/>
    <w:rsid w:val="00926FE0"/>
    <w:rsid w:val="00927003"/>
    <w:rsid w:val="0092702A"/>
    <w:rsid w:val="00927064"/>
    <w:rsid w:val="009270BF"/>
    <w:rsid w:val="00927155"/>
    <w:rsid w:val="00927257"/>
    <w:rsid w:val="00927381"/>
    <w:rsid w:val="00927458"/>
    <w:rsid w:val="00927501"/>
    <w:rsid w:val="0092778B"/>
    <w:rsid w:val="00927835"/>
    <w:rsid w:val="0092783C"/>
    <w:rsid w:val="0092787D"/>
    <w:rsid w:val="00927ADA"/>
    <w:rsid w:val="00927AFC"/>
    <w:rsid w:val="00930056"/>
    <w:rsid w:val="009300CA"/>
    <w:rsid w:val="00930265"/>
    <w:rsid w:val="0093034F"/>
    <w:rsid w:val="009304AD"/>
    <w:rsid w:val="00930582"/>
    <w:rsid w:val="009306F3"/>
    <w:rsid w:val="00930933"/>
    <w:rsid w:val="00930AB0"/>
    <w:rsid w:val="00930AB8"/>
    <w:rsid w:val="00930C7D"/>
    <w:rsid w:val="00930E0B"/>
    <w:rsid w:val="0093103D"/>
    <w:rsid w:val="0093132F"/>
    <w:rsid w:val="00931389"/>
    <w:rsid w:val="00931407"/>
    <w:rsid w:val="0093149F"/>
    <w:rsid w:val="00931593"/>
    <w:rsid w:val="00931737"/>
    <w:rsid w:val="009317C3"/>
    <w:rsid w:val="0093195C"/>
    <w:rsid w:val="00931B6F"/>
    <w:rsid w:val="00931CCA"/>
    <w:rsid w:val="00931CE6"/>
    <w:rsid w:val="00931F56"/>
    <w:rsid w:val="00932035"/>
    <w:rsid w:val="009320D4"/>
    <w:rsid w:val="009321B1"/>
    <w:rsid w:val="009321B6"/>
    <w:rsid w:val="0093222E"/>
    <w:rsid w:val="009322E4"/>
    <w:rsid w:val="0093298F"/>
    <w:rsid w:val="00932FCB"/>
    <w:rsid w:val="00933043"/>
    <w:rsid w:val="009331E5"/>
    <w:rsid w:val="009331F5"/>
    <w:rsid w:val="0093325F"/>
    <w:rsid w:val="00933571"/>
    <w:rsid w:val="009335A6"/>
    <w:rsid w:val="0093362D"/>
    <w:rsid w:val="009336FE"/>
    <w:rsid w:val="00933827"/>
    <w:rsid w:val="0093385A"/>
    <w:rsid w:val="009338B2"/>
    <w:rsid w:val="0093391F"/>
    <w:rsid w:val="009339A8"/>
    <w:rsid w:val="00933AA7"/>
    <w:rsid w:val="00933BF8"/>
    <w:rsid w:val="00933D48"/>
    <w:rsid w:val="00933DB3"/>
    <w:rsid w:val="00933E08"/>
    <w:rsid w:val="00933E87"/>
    <w:rsid w:val="009340D5"/>
    <w:rsid w:val="00934294"/>
    <w:rsid w:val="009342FC"/>
    <w:rsid w:val="00934382"/>
    <w:rsid w:val="00934426"/>
    <w:rsid w:val="0093443C"/>
    <w:rsid w:val="00934608"/>
    <w:rsid w:val="009346AF"/>
    <w:rsid w:val="0093493E"/>
    <w:rsid w:val="00934976"/>
    <w:rsid w:val="00934B56"/>
    <w:rsid w:val="00934BF3"/>
    <w:rsid w:val="00934EFE"/>
    <w:rsid w:val="009353F9"/>
    <w:rsid w:val="0093540F"/>
    <w:rsid w:val="0093548F"/>
    <w:rsid w:val="009356C1"/>
    <w:rsid w:val="009356D9"/>
    <w:rsid w:val="0093577C"/>
    <w:rsid w:val="0093578C"/>
    <w:rsid w:val="0093588A"/>
    <w:rsid w:val="009358EC"/>
    <w:rsid w:val="00935B7C"/>
    <w:rsid w:val="00935BDD"/>
    <w:rsid w:val="00935CA3"/>
    <w:rsid w:val="00935CB8"/>
    <w:rsid w:val="00935D71"/>
    <w:rsid w:val="00935DD3"/>
    <w:rsid w:val="00935DDC"/>
    <w:rsid w:val="00935DFD"/>
    <w:rsid w:val="00935E11"/>
    <w:rsid w:val="00935E51"/>
    <w:rsid w:val="0093604D"/>
    <w:rsid w:val="00936068"/>
    <w:rsid w:val="00936144"/>
    <w:rsid w:val="00936412"/>
    <w:rsid w:val="009364D6"/>
    <w:rsid w:val="00936656"/>
    <w:rsid w:val="00936932"/>
    <w:rsid w:val="00936A65"/>
    <w:rsid w:val="00936BDD"/>
    <w:rsid w:val="00936D65"/>
    <w:rsid w:val="00936F29"/>
    <w:rsid w:val="00936F87"/>
    <w:rsid w:val="00936FFA"/>
    <w:rsid w:val="0093725A"/>
    <w:rsid w:val="00937348"/>
    <w:rsid w:val="009374D2"/>
    <w:rsid w:val="00937871"/>
    <w:rsid w:val="009378A8"/>
    <w:rsid w:val="00937965"/>
    <w:rsid w:val="00937B3C"/>
    <w:rsid w:val="00937B92"/>
    <w:rsid w:val="00937BD2"/>
    <w:rsid w:val="00937EF5"/>
    <w:rsid w:val="00937FF8"/>
    <w:rsid w:val="00940015"/>
    <w:rsid w:val="0094011E"/>
    <w:rsid w:val="009404C1"/>
    <w:rsid w:val="009404CF"/>
    <w:rsid w:val="00940516"/>
    <w:rsid w:val="00940641"/>
    <w:rsid w:val="00940661"/>
    <w:rsid w:val="009406C5"/>
    <w:rsid w:val="0094088C"/>
    <w:rsid w:val="00940E55"/>
    <w:rsid w:val="009413CA"/>
    <w:rsid w:val="009416D0"/>
    <w:rsid w:val="00941910"/>
    <w:rsid w:val="00941AEA"/>
    <w:rsid w:val="00941B2F"/>
    <w:rsid w:val="00941BFF"/>
    <w:rsid w:val="00941D79"/>
    <w:rsid w:val="00941F1B"/>
    <w:rsid w:val="009420DF"/>
    <w:rsid w:val="00942153"/>
    <w:rsid w:val="0094217A"/>
    <w:rsid w:val="0094235A"/>
    <w:rsid w:val="009423C8"/>
    <w:rsid w:val="009424E4"/>
    <w:rsid w:val="009426AD"/>
    <w:rsid w:val="00942817"/>
    <w:rsid w:val="00942F1E"/>
    <w:rsid w:val="00943323"/>
    <w:rsid w:val="009434FA"/>
    <w:rsid w:val="00943512"/>
    <w:rsid w:val="00943691"/>
    <w:rsid w:val="009437A7"/>
    <w:rsid w:val="00943806"/>
    <w:rsid w:val="0094386E"/>
    <w:rsid w:val="0094398B"/>
    <w:rsid w:val="009439E8"/>
    <w:rsid w:val="00943B58"/>
    <w:rsid w:val="00943BC0"/>
    <w:rsid w:val="00943BD4"/>
    <w:rsid w:val="00943C06"/>
    <w:rsid w:val="00943C6A"/>
    <w:rsid w:val="00944112"/>
    <w:rsid w:val="00944473"/>
    <w:rsid w:val="009446DF"/>
    <w:rsid w:val="0094479B"/>
    <w:rsid w:val="009448DA"/>
    <w:rsid w:val="00944994"/>
    <w:rsid w:val="00944ACE"/>
    <w:rsid w:val="00944B4C"/>
    <w:rsid w:val="00944C24"/>
    <w:rsid w:val="00944F3D"/>
    <w:rsid w:val="00945133"/>
    <w:rsid w:val="00945214"/>
    <w:rsid w:val="009452E7"/>
    <w:rsid w:val="009454CB"/>
    <w:rsid w:val="009455B2"/>
    <w:rsid w:val="0094566A"/>
    <w:rsid w:val="009456C5"/>
    <w:rsid w:val="0094575A"/>
    <w:rsid w:val="0094585B"/>
    <w:rsid w:val="009459FE"/>
    <w:rsid w:val="00945A83"/>
    <w:rsid w:val="00945BFE"/>
    <w:rsid w:val="00945D43"/>
    <w:rsid w:val="00945D51"/>
    <w:rsid w:val="00945FAF"/>
    <w:rsid w:val="009461C3"/>
    <w:rsid w:val="00946303"/>
    <w:rsid w:val="00946351"/>
    <w:rsid w:val="00946419"/>
    <w:rsid w:val="00946695"/>
    <w:rsid w:val="009466D1"/>
    <w:rsid w:val="00946703"/>
    <w:rsid w:val="00946B3D"/>
    <w:rsid w:val="00946D72"/>
    <w:rsid w:val="00946EB2"/>
    <w:rsid w:val="00946EFE"/>
    <w:rsid w:val="00946F78"/>
    <w:rsid w:val="00946F79"/>
    <w:rsid w:val="00947122"/>
    <w:rsid w:val="0094722F"/>
    <w:rsid w:val="00947243"/>
    <w:rsid w:val="00947290"/>
    <w:rsid w:val="009473D9"/>
    <w:rsid w:val="00947404"/>
    <w:rsid w:val="009474F0"/>
    <w:rsid w:val="009476D3"/>
    <w:rsid w:val="00947714"/>
    <w:rsid w:val="009477EB"/>
    <w:rsid w:val="009478E3"/>
    <w:rsid w:val="009479C4"/>
    <w:rsid w:val="00947A18"/>
    <w:rsid w:val="00947A4A"/>
    <w:rsid w:val="00947A53"/>
    <w:rsid w:val="00947DD1"/>
    <w:rsid w:val="009500C5"/>
    <w:rsid w:val="009501B9"/>
    <w:rsid w:val="0095022D"/>
    <w:rsid w:val="0095026E"/>
    <w:rsid w:val="0095048D"/>
    <w:rsid w:val="00950498"/>
    <w:rsid w:val="009505A5"/>
    <w:rsid w:val="00950961"/>
    <w:rsid w:val="00950A17"/>
    <w:rsid w:val="00950AC5"/>
    <w:rsid w:val="00950BE9"/>
    <w:rsid w:val="00950F33"/>
    <w:rsid w:val="009512B2"/>
    <w:rsid w:val="009512D9"/>
    <w:rsid w:val="00951307"/>
    <w:rsid w:val="009517CC"/>
    <w:rsid w:val="00951849"/>
    <w:rsid w:val="0095193E"/>
    <w:rsid w:val="00951BD6"/>
    <w:rsid w:val="00951D32"/>
    <w:rsid w:val="00951E7F"/>
    <w:rsid w:val="00951EAC"/>
    <w:rsid w:val="00951F5B"/>
    <w:rsid w:val="0095209E"/>
    <w:rsid w:val="009523F2"/>
    <w:rsid w:val="00952902"/>
    <w:rsid w:val="00952B03"/>
    <w:rsid w:val="00952C54"/>
    <w:rsid w:val="00952E6A"/>
    <w:rsid w:val="00952E8F"/>
    <w:rsid w:val="00952EC8"/>
    <w:rsid w:val="00953026"/>
    <w:rsid w:val="00953074"/>
    <w:rsid w:val="0095308B"/>
    <w:rsid w:val="0095315E"/>
    <w:rsid w:val="00953288"/>
    <w:rsid w:val="00953303"/>
    <w:rsid w:val="009533C9"/>
    <w:rsid w:val="0095341F"/>
    <w:rsid w:val="00953642"/>
    <w:rsid w:val="009536A0"/>
    <w:rsid w:val="009537D0"/>
    <w:rsid w:val="00953858"/>
    <w:rsid w:val="009538DF"/>
    <w:rsid w:val="00953904"/>
    <w:rsid w:val="009539FE"/>
    <w:rsid w:val="00953A0C"/>
    <w:rsid w:val="00953C39"/>
    <w:rsid w:val="00953F33"/>
    <w:rsid w:val="0095408A"/>
    <w:rsid w:val="00954248"/>
    <w:rsid w:val="009542BE"/>
    <w:rsid w:val="00954352"/>
    <w:rsid w:val="00954389"/>
    <w:rsid w:val="0095445D"/>
    <w:rsid w:val="009546E8"/>
    <w:rsid w:val="009549F9"/>
    <w:rsid w:val="00954E20"/>
    <w:rsid w:val="00954ECF"/>
    <w:rsid w:val="00955026"/>
    <w:rsid w:val="00955122"/>
    <w:rsid w:val="009551AD"/>
    <w:rsid w:val="00955369"/>
    <w:rsid w:val="009556BB"/>
    <w:rsid w:val="00955C91"/>
    <w:rsid w:val="00955D36"/>
    <w:rsid w:val="00955F7B"/>
    <w:rsid w:val="00955FCE"/>
    <w:rsid w:val="00955FF1"/>
    <w:rsid w:val="00956104"/>
    <w:rsid w:val="00956123"/>
    <w:rsid w:val="0095622F"/>
    <w:rsid w:val="00956240"/>
    <w:rsid w:val="009563A1"/>
    <w:rsid w:val="0095646C"/>
    <w:rsid w:val="0095654D"/>
    <w:rsid w:val="009565B8"/>
    <w:rsid w:val="00956892"/>
    <w:rsid w:val="00956A26"/>
    <w:rsid w:val="00956A37"/>
    <w:rsid w:val="00956C74"/>
    <w:rsid w:val="00956CBA"/>
    <w:rsid w:val="00956DE7"/>
    <w:rsid w:val="00956FD6"/>
    <w:rsid w:val="00957099"/>
    <w:rsid w:val="009570D9"/>
    <w:rsid w:val="009570E8"/>
    <w:rsid w:val="00957171"/>
    <w:rsid w:val="00957249"/>
    <w:rsid w:val="00957351"/>
    <w:rsid w:val="00957388"/>
    <w:rsid w:val="009573B1"/>
    <w:rsid w:val="0095749E"/>
    <w:rsid w:val="00957525"/>
    <w:rsid w:val="00957716"/>
    <w:rsid w:val="00957727"/>
    <w:rsid w:val="009578E1"/>
    <w:rsid w:val="00957E61"/>
    <w:rsid w:val="00957F4C"/>
    <w:rsid w:val="009601D9"/>
    <w:rsid w:val="009604E2"/>
    <w:rsid w:val="009606DA"/>
    <w:rsid w:val="00960769"/>
    <w:rsid w:val="00960B3F"/>
    <w:rsid w:val="00960C58"/>
    <w:rsid w:val="0096111B"/>
    <w:rsid w:val="00961194"/>
    <w:rsid w:val="009615D4"/>
    <w:rsid w:val="00961837"/>
    <w:rsid w:val="009618FA"/>
    <w:rsid w:val="00961988"/>
    <w:rsid w:val="00961A4A"/>
    <w:rsid w:val="00961E4C"/>
    <w:rsid w:val="00961F09"/>
    <w:rsid w:val="009622A4"/>
    <w:rsid w:val="00962327"/>
    <w:rsid w:val="009623DC"/>
    <w:rsid w:val="00962905"/>
    <w:rsid w:val="00962BB4"/>
    <w:rsid w:val="00962DFB"/>
    <w:rsid w:val="00962FB7"/>
    <w:rsid w:val="009631BF"/>
    <w:rsid w:val="009633C5"/>
    <w:rsid w:val="009633EC"/>
    <w:rsid w:val="00963749"/>
    <w:rsid w:val="00963A3A"/>
    <w:rsid w:val="00963BEF"/>
    <w:rsid w:val="00963EBC"/>
    <w:rsid w:val="00963EC6"/>
    <w:rsid w:val="00963F69"/>
    <w:rsid w:val="00964054"/>
    <w:rsid w:val="009640E4"/>
    <w:rsid w:val="00964289"/>
    <w:rsid w:val="0096437A"/>
    <w:rsid w:val="009643FF"/>
    <w:rsid w:val="0096449C"/>
    <w:rsid w:val="009644A7"/>
    <w:rsid w:val="009644E2"/>
    <w:rsid w:val="00964740"/>
    <w:rsid w:val="00964A12"/>
    <w:rsid w:val="00964AF3"/>
    <w:rsid w:val="00964B3E"/>
    <w:rsid w:val="00964B7C"/>
    <w:rsid w:val="00964BC0"/>
    <w:rsid w:val="00964EA7"/>
    <w:rsid w:val="00964EBC"/>
    <w:rsid w:val="009650AD"/>
    <w:rsid w:val="00965288"/>
    <w:rsid w:val="00965473"/>
    <w:rsid w:val="009655B6"/>
    <w:rsid w:val="009655BB"/>
    <w:rsid w:val="009656B3"/>
    <w:rsid w:val="009657B8"/>
    <w:rsid w:val="0096591F"/>
    <w:rsid w:val="00965AB7"/>
    <w:rsid w:val="00965BDC"/>
    <w:rsid w:val="00965BE1"/>
    <w:rsid w:val="00965D03"/>
    <w:rsid w:val="00965F19"/>
    <w:rsid w:val="00966276"/>
    <w:rsid w:val="009663C6"/>
    <w:rsid w:val="0096646D"/>
    <w:rsid w:val="009665CB"/>
    <w:rsid w:val="009669A1"/>
    <w:rsid w:val="00966A64"/>
    <w:rsid w:val="00966A6C"/>
    <w:rsid w:val="00966F2D"/>
    <w:rsid w:val="00966FE7"/>
    <w:rsid w:val="009671A6"/>
    <w:rsid w:val="00967447"/>
    <w:rsid w:val="00967524"/>
    <w:rsid w:val="009676DE"/>
    <w:rsid w:val="0096787D"/>
    <w:rsid w:val="00967969"/>
    <w:rsid w:val="00967D90"/>
    <w:rsid w:val="00967F63"/>
    <w:rsid w:val="009705F2"/>
    <w:rsid w:val="0097079E"/>
    <w:rsid w:val="00970A20"/>
    <w:rsid w:val="00970CEA"/>
    <w:rsid w:val="00970D13"/>
    <w:rsid w:val="00970D4A"/>
    <w:rsid w:val="00970DA3"/>
    <w:rsid w:val="00970EEA"/>
    <w:rsid w:val="00970F4C"/>
    <w:rsid w:val="0097103C"/>
    <w:rsid w:val="0097163D"/>
    <w:rsid w:val="009716C8"/>
    <w:rsid w:val="009717D0"/>
    <w:rsid w:val="0097198A"/>
    <w:rsid w:val="00971A33"/>
    <w:rsid w:val="00971BC2"/>
    <w:rsid w:val="00971C21"/>
    <w:rsid w:val="00971CD6"/>
    <w:rsid w:val="009721F8"/>
    <w:rsid w:val="009723DE"/>
    <w:rsid w:val="009723FF"/>
    <w:rsid w:val="00972743"/>
    <w:rsid w:val="0097275D"/>
    <w:rsid w:val="00972972"/>
    <w:rsid w:val="00972A26"/>
    <w:rsid w:val="0097333F"/>
    <w:rsid w:val="00973353"/>
    <w:rsid w:val="009733C8"/>
    <w:rsid w:val="00973584"/>
    <w:rsid w:val="00973791"/>
    <w:rsid w:val="00973867"/>
    <w:rsid w:val="00973B95"/>
    <w:rsid w:val="00973BCD"/>
    <w:rsid w:val="00973E6F"/>
    <w:rsid w:val="0097412F"/>
    <w:rsid w:val="0097420A"/>
    <w:rsid w:val="00974362"/>
    <w:rsid w:val="009745A6"/>
    <w:rsid w:val="009745FF"/>
    <w:rsid w:val="00974625"/>
    <w:rsid w:val="00974677"/>
    <w:rsid w:val="00974695"/>
    <w:rsid w:val="00974701"/>
    <w:rsid w:val="00974855"/>
    <w:rsid w:val="00974B7C"/>
    <w:rsid w:val="00974CB8"/>
    <w:rsid w:val="00974D35"/>
    <w:rsid w:val="00974D7C"/>
    <w:rsid w:val="00974ED4"/>
    <w:rsid w:val="009752AE"/>
    <w:rsid w:val="00975435"/>
    <w:rsid w:val="0097562D"/>
    <w:rsid w:val="0097588C"/>
    <w:rsid w:val="00975915"/>
    <w:rsid w:val="00975A43"/>
    <w:rsid w:val="00975B27"/>
    <w:rsid w:val="00975C2C"/>
    <w:rsid w:val="00975C3F"/>
    <w:rsid w:val="00975ECE"/>
    <w:rsid w:val="00975FEA"/>
    <w:rsid w:val="00976023"/>
    <w:rsid w:val="009760D4"/>
    <w:rsid w:val="0097613E"/>
    <w:rsid w:val="009762AF"/>
    <w:rsid w:val="0097642F"/>
    <w:rsid w:val="009764BC"/>
    <w:rsid w:val="00976629"/>
    <w:rsid w:val="009766AC"/>
    <w:rsid w:val="00976868"/>
    <w:rsid w:val="00976931"/>
    <w:rsid w:val="00976C44"/>
    <w:rsid w:val="00976D0E"/>
    <w:rsid w:val="00977045"/>
    <w:rsid w:val="0097710A"/>
    <w:rsid w:val="00977219"/>
    <w:rsid w:val="0097749F"/>
    <w:rsid w:val="00977A19"/>
    <w:rsid w:val="00977CD7"/>
    <w:rsid w:val="00977DE8"/>
    <w:rsid w:val="00977E00"/>
    <w:rsid w:val="00977FE7"/>
    <w:rsid w:val="00977FF6"/>
    <w:rsid w:val="00980461"/>
    <w:rsid w:val="009805D6"/>
    <w:rsid w:val="00980731"/>
    <w:rsid w:val="009807B1"/>
    <w:rsid w:val="00980805"/>
    <w:rsid w:val="0098098A"/>
    <w:rsid w:val="00980B85"/>
    <w:rsid w:val="00980C65"/>
    <w:rsid w:val="00980D48"/>
    <w:rsid w:val="00980FE7"/>
    <w:rsid w:val="009810D5"/>
    <w:rsid w:val="00981103"/>
    <w:rsid w:val="00981600"/>
    <w:rsid w:val="00981653"/>
    <w:rsid w:val="00981A9D"/>
    <w:rsid w:val="00981B4A"/>
    <w:rsid w:val="00981C86"/>
    <w:rsid w:val="009822BD"/>
    <w:rsid w:val="00982368"/>
    <w:rsid w:val="0098244A"/>
    <w:rsid w:val="00982556"/>
    <w:rsid w:val="00982832"/>
    <w:rsid w:val="00982882"/>
    <w:rsid w:val="009828EC"/>
    <w:rsid w:val="00982927"/>
    <w:rsid w:val="009829CA"/>
    <w:rsid w:val="00982A3B"/>
    <w:rsid w:val="00982A52"/>
    <w:rsid w:val="00982BAB"/>
    <w:rsid w:val="00982BED"/>
    <w:rsid w:val="00982E2B"/>
    <w:rsid w:val="00982E95"/>
    <w:rsid w:val="0098327D"/>
    <w:rsid w:val="009832C1"/>
    <w:rsid w:val="009836E2"/>
    <w:rsid w:val="00983A98"/>
    <w:rsid w:val="00983D6F"/>
    <w:rsid w:val="00984161"/>
    <w:rsid w:val="00984255"/>
    <w:rsid w:val="0098437A"/>
    <w:rsid w:val="009843C5"/>
    <w:rsid w:val="009847D4"/>
    <w:rsid w:val="009848AB"/>
    <w:rsid w:val="009848BA"/>
    <w:rsid w:val="009849C0"/>
    <w:rsid w:val="00984A65"/>
    <w:rsid w:val="00984B77"/>
    <w:rsid w:val="00984D21"/>
    <w:rsid w:val="00984ED7"/>
    <w:rsid w:val="009853ED"/>
    <w:rsid w:val="00985F2A"/>
    <w:rsid w:val="00986114"/>
    <w:rsid w:val="009864AF"/>
    <w:rsid w:val="00986544"/>
    <w:rsid w:val="0098672B"/>
    <w:rsid w:val="0098672C"/>
    <w:rsid w:val="00986889"/>
    <w:rsid w:val="00986C1F"/>
    <w:rsid w:val="00986EDC"/>
    <w:rsid w:val="009871C5"/>
    <w:rsid w:val="009871F3"/>
    <w:rsid w:val="00987207"/>
    <w:rsid w:val="009873F8"/>
    <w:rsid w:val="00987705"/>
    <w:rsid w:val="00987A7C"/>
    <w:rsid w:val="00987B83"/>
    <w:rsid w:val="00987D07"/>
    <w:rsid w:val="00987D29"/>
    <w:rsid w:val="009900C0"/>
    <w:rsid w:val="009901D4"/>
    <w:rsid w:val="009901F4"/>
    <w:rsid w:val="009902ED"/>
    <w:rsid w:val="00990444"/>
    <w:rsid w:val="009904F5"/>
    <w:rsid w:val="009905B6"/>
    <w:rsid w:val="009907A2"/>
    <w:rsid w:val="00990976"/>
    <w:rsid w:val="00990A63"/>
    <w:rsid w:val="00990C0B"/>
    <w:rsid w:val="00990C81"/>
    <w:rsid w:val="00990D04"/>
    <w:rsid w:val="00990E52"/>
    <w:rsid w:val="00990F64"/>
    <w:rsid w:val="00990F92"/>
    <w:rsid w:val="00991170"/>
    <w:rsid w:val="009912AB"/>
    <w:rsid w:val="00991398"/>
    <w:rsid w:val="00991430"/>
    <w:rsid w:val="0099152B"/>
    <w:rsid w:val="0099172E"/>
    <w:rsid w:val="009918DE"/>
    <w:rsid w:val="00991BBA"/>
    <w:rsid w:val="00991BE7"/>
    <w:rsid w:val="00991C57"/>
    <w:rsid w:val="00991EF6"/>
    <w:rsid w:val="00992010"/>
    <w:rsid w:val="009923A2"/>
    <w:rsid w:val="009923B5"/>
    <w:rsid w:val="009923BB"/>
    <w:rsid w:val="009924E8"/>
    <w:rsid w:val="0099265D"/>
    <w:rsid w:val="0099277E"/>
    <w:rsid w:val="009928E0"/>
    <w:rsid w:val="00992A2F"/>
    <w:rsid w:val="00992B1E"/>
    <w:rsid w:val="00992B81"/>
    <w:rsid w:val="00992C47"/>
    <w:rsid w:val="00992E42"/>
    <w:rsid w:val="00992E82"/>
    <w:rsid w:val="009933DC"/>
    <w:rsid w:val="009934B3"/>
    <w:rsid w:val="009935AF"/>
    <w:rsid w:val="00993737"/>
    <w:rsid w:val="0099373A"/>
    <w:rsid w:val="00993783"/>
    <w:rsid w:val="00993A81"/>
    <w:rsid w:val="00993B25"/>
    <w:rsid w:val="00993C56"/>
    <w:rsid w:val="00993C77"/>
    <w:rsid w:val="00993CF5"/>
    <w:rsid w:val="00993FD5"/>
    <w:rsid w:val="00994202"/>
    <w:rsid w:val="00994344"/>
    <w:rsid w:val="00994349"/>
    <w:rsid w:val="0099434F"/>
    <w:rsid w:val="0099468B"/>
    <w:rsid w:val="009946AE"/>
    <w:rsid w:val="00994812"/>
    <w:rsid w:val="00994814"/>
    <w:rsid w:val="00994BB3"/>
    <w:rsid w:val="00994D52"/>
    <w:rsid w:val="00994F1D"/>
    <w:rsid w:val="00995270"/>
    <w:rsid w:val="009952B5"/>
    <w:rsid w:val="009955BA"/>
    <w:rsid w:val="00995823"/>
    <w:rsid w:val="0099596A"/>
    <w:rsid w:val="00995AC5"/>
    <w:rsid w:val="00995B1A"/>
    <w:rsid w:val="00995DBB"/>
    <w:rsid w:val="00995E41"/>
    <w:rsid w:val="00995F42"/>
    <w:rsid w:val="00995FA0"/>
    <w:rsid w:val="009962D6"/>
    <w:rsid w:val="00996777"/>
    <w:rsid w:val="0099689F"/>
    <w:rsid w:val="009969AD"/>
    <w:rsid w:val="009969C3"/>
    <w:rsid w:val="009969F1"/>
    <w:rsid w:val="00996A42"/>
    <w:rsid w:val="00996F10"/>
    <w:rsid w:val="00996F54"/>
    <w:rsid w:val="009971A1"/>
    <w:rsid w:val="00997285"/>
    <w:rsid w:val="00997516"/>
    <w:rsid w:val="00997523"/>
    <w:rsid w:val="0099761C"/>
    <w:rsid w:val="009976C0"/>
    <w:rsid w:val="009978BD"/>
    <w:rsid w:val="009978D4"/>
    <w:rsid w:val="00997AAE"/>
    <w:rsid w:val="00997CFD"/>
    <w:rsid w:val="00997D16"/>
    <w:rsid w:val="00997E28"/>
    <w:rsid w:val="009A0470"/>
    <w:rsid w:val="009A0765"/>
    <w:rsid w:val="009A0823"/>
    <w:rsid w:val="009A0A49"/>
    <w:rsid w:val="009A0B45"/>
    <w:rsid w:val="009A0B7F"/>
    <w:rsid w:val="009A0D76"/>
    <w:rsid w:val="009A0DD3"/>
    <w:rsid w:val="009A0F34"/>
    <w:rsid w:val="009A0FF9"/>
    <w:rsid w:val="009A1161"/>
    <w:rsid w:val="009A1374"/>
    <w:rsid w:val="009A1519"/>
    <w:rsid w:val="009A1DA6"/>
    <w:rsid w:val="009A1E74"/>
    <w:rsid w:val="009A1F84"/>
    <w:rsid w:val="009A2111"/>
    <w:rsid w:val="009A22A7"/>
    <w:rsid w:val="009A2629"/>
    <w:rsid w:val="009A2630"/>
    <w:rsid w:val="009A27F2"/>
    <w:rsid w:val="009A2927"/>
    <w:rsid w:val="009A2D38"/>
    <w:rsid w:val="009A2D91"/>
    <w:rsid w:val="009A2F17"/>
    <w:rsid w:val="009A2F8F"/>
    <w:rsid w:val="009A315C"/>
    <w:rsid w:val="009A31E4"/>
    <w:rsid w:val="009A32F6"/>
    <w:rsid w:val="009A345C"/>
    <w:rsid w:val="009A35A6"/>
    <w:rsid w:val="009A36E3"/>
    <w:rsid w:val="009A3844"/>
    <w:rsid w:val="009A394C"/>
    <w:rsid w:val="009A3C2B"/>
    <w:rsid w:val="009A3C81"/>
    <w:rsid w:val="009A3DF3"/>
    <w:rsid w:val="009A3E01"/>
    <w:rsid w:val="009A3EC4"/>
    <w:rsid w:val="009A4303"/>
    <w:rsid w:val="009A4442"/>
    <w:rsid w:val="009A47A2"/>
    <w:rsid w:val="009A4872"/>
    <w:rsid w:val="009A489B"/>
    <w:rsid w:val="009A494A"/>
    <w:rsid w:val="009A4BE8"/>
    <w:rsid w:val="009A4CC6"/>
    <w:rsid w:val="009A4D3C"/>
    <w:rsid w:val="009A56D2"/>
    <w:rsid w:val="009A577D"/>
    <w:rsid w:val="009A58A6"/>
    <w:rsid w:val="009A58B5"/>
    <w:rsid w:val="009A58BA"/>
    <w:rsid w:val="009A5969"/>
    <w:rsid w:val="009A59C5"/>
    <w:rsid w:val="009A5A16"/>
    <w:rsid w:val="009A5AD8"/>
    <w:rsid w:val="009A5CC2"/>
    <w:rsid w:val="009A66A5"/>
    <w:rsid w:val="009A66CD"/>
    <w:rsid w:val="009A6A14"/>
    <w:rsid w:val="009A6A27"/>
    <w:rsid w:val="009A6A92"/>
    <w:rsid w:val="009A6AAF"/>
    <w:rsid w:val="009A6B1F"/>
    <w:rsid w:val="009A6D3E"/>
    <w:rsid w:val="009A6D71"/>
    <w:rsid w:val="009A723B"/>
    <w:rsid w:val="009A728F"/>
    <w:rsid w:val="009A72F2"/>
    <w:rsid w:val="009A77CE"/>
    <w:rsid w:val="009A7D97"/>
    <w:rsid w:val="009A7EAB"/>
    <w:rsid w:val="009A7F21"/>
    <w:rsid w:val="009B019D"/>
    <w:rsid w:val="009B02F7"/>
    <w:rsid w:val="009B0350"/>
    <w:rsid w:val="009B041B"/>
    <w:rsid w:val="009B04F5"/>
    <w:rsid w:val="009B05B6"/>
    <w:rsid w:val="009B0A2A"/>
    <w:rsid w:val="009B0B08"/>
    <w:rsid w:val="009B0D34"/>
    <w:rsid w:val="009B0EC3"/>
    <w:rsid w:val="009B0F97"/>
    <w:rsid w:val="009B107D"/>
    <w:rsid w:val="009B143D"/>
    <w:rsid w:val="009B14E1"/>
    <w:rsid w:val="009B1663"/>
    <w:rsid w:val="009B1697"/>
    <w:rsid w:val="009B188B"/>
    <w:rsid w:val="009B199E"/>
    <w:rsid w:val="009B1BF8"/>
    <w:rsid w:val="009B1D8E"/>
    <w:rsid w:val="009B1E19"/>
    <w:rsid w:val="009B2004"/>
    <w:rsid w:val="009B2020"/>
    <w:rsid w:val="009B2202"/>
    <w:rsid w:val="009B229F"/>
    <w:rsid w:val="009B231F"/>
    <w:rsid w:val="009B2392"/>
    <w:rsid w:val="009B2866"/>
    <w:rsid w:val="009B2BC4"/>
    <w:rsid w:val="009B2DB3"/>
    <w:rsid w:val="009B2E2A"/>
    <w:rsid w:val="009B30B0"/>
    <w:rsid w:val="009B30B9"/>
    <w:rsid w:val="009B3762"/>
    <w:rsid w:val="009B3A86"/>
    <w:rsid w:val="009B3AF5"/>
    <w:rsid w:val="009B3C25"/>
    <w:rsid w:val="009B3E9A"/>
    <w:rsid w:val="009B3E9B"/>
    <w:rsid w:val="009B3F34"/>
    <w:rsid w:val="009B3FA0"/>
    <w:rsid w:val="009B3FF4"/>
    <w:rsid w:val="009B4169"/>
    <w:rsid w:val="009B435B"/>
    <w:rsid w:val="009B43D3"/>
    <w:rsid w:val="009B44EB"/>
    <w:rsid w:val="009B477E"/>
    <w:rsid w:val="009B4A8B"/>
    <w:rsid w:val="009B4C2B"/>
    <w:rsid w:val="009B4C2E"/>
    <w:rsid w:val="009B4CDF"/>
    <w:rsid w:val="009B4DF3"/>
    <w:rsid w:val="009B4DF6"/>
    <w:rsid w:val="009B4E1E"/>
    <w:rsid w:val="009B4E95"/>
    <w:rsid w:val="009B4ED1"/>
    <w:rsid w:val="009B50E8"/>
    <w:rsid w:val="009B5140"/>
    <w:rsid w:val="009B5228"/>
    <w:rsid w:val="009B5293"/>
    <w:rsid w:val="009B5613"/>
    <w:rsid w:val="009B5664"/>
    <w:rsid w:val="009B58B2"/>
    <w:rsid w:val="009B5ADD"/>
    <w:rsid w:val="009B5C49"/>
    <w:rsid w:val="009B5ECA"/>
    <w:rsid w:val="009B5F81"/>
    <w:rsid w:val="009B60A9"/>
    <w:rsid w:val="009B647C"/>
    <w:rsid w:val="009B64E1"/>
    <w:rsid w:val="009B6505"/>
    <w:rsid w:val="009B65A1"/>
    <w:rsid w:val="009B66C1"/>
    <w:rsid w:val="009B6737"/>
    <w:rsid w:val="009B67B5"/>
    <w:rsid w:val="009B6964"/>
    <w:rsid w:val="009B6B66"/>
    <w:rsid w:val="009B6C90"/>
    <w:rsid w:val="009B6F68"/>
    <w:rsid w:val="009B702C"/>
    <w:rsid w:val="009B708E"/>
    <w:rsid w:val="009B773B"/>
    <w:rsid w:val="009B79EB"/>
    <w:rsid w:val="009B7C4A"/>
    <w:rsid w:val="009B7D36"/>
    <w:rsid w:val="009B7E9E"/>
    <w:rsid w:val="009B7EDD"/>
    <w:rsid w:val="009C0084"/>
    <w:rsid w:val="009C03E3"/>
    <w:rsid w:val="009C03E8"/>
    <w:rsid w:val="009C04B9"/>
    <w:rsid w:val="009C054D"/>
    <w:rsid w:val="009C055E"/>
    <w:rsid w:val="009C05E8"/>
    <w:rsid w:val="009C0614"/>
    <w:rsid w:val="009C06DF"/>
    <w:rsid w:val="009C0829"/>
    <w:rsid w:val="009C0ABD"/>
    <w:rsid w:val="009C0C59"/>
    <w:rsid w:val="009C0CE5"/>
    <w:rsid w:val="009C0D2A"/>
    <w:rsid w:val="009C103C"/>
    <w:rsid w:val="009C11AF"/>
    <w:rsid w:val="009C121E"/>
    <w:rsid w:val="009C1376"/>
    <w:rsid w:val="009C13BA"/>
    <w:rsid w:val="009C1446"/>
    <w:rsid w:val="009C177C"/>
    <w:rsid w:val="009C1843"/>
    <w:rsid w:val="009C1924"/>
    <w:rsid w:val="009C1BC1"/>
    <w:rsid w:val="009C1D09"/>
    <w:rsid w:val="009C1D2C"/>
    <w:rsid w:val="009C1EBB"/>
    <w:rsid w:val="009C2139"/>
    <w:rsid w:val="009C236D"/>
    <w:rsid w:val="009C241A"/>
    <w:rsid w:val="009C26B5"/>
    <w:rsid w:val="009C29D3"/>
    <w:rsid w:val="009C2D3A"/>
    <w:rsid w:val="009C2ECC"/>
    <w:rsid w:val="009C2F88"/>
    <w:rsid w:val="009C301C"/>
    <w:rsid w:val="009C30A7"/>
    <w:rsid w:val="009C30B9"/>
    <w:rsid w:val="009C3111"/>
    <w:rsid w:val="009C31A8"/>
    <w:rsid w:val="009C334E"/>
    <w:rsid w:val="009C356A"/>
    <w:rsid w:val="009C3999"/>
    <w:rsid w:val="009C39BD"/>
    <w:rsid w:val="009C39EA"/>
    <w:rsid w:val="009C3BCA"/>
    <w:rsid w:val="009C41B0"/>
    <w:rsid w:val="009C42D5"/>
    <w:rsid w:val="009C4387"/>
    <w:rsid w:val="009C43ED"/>
    <w:rsid w:val="009C4458"/>
    <w:rsid w:val="009C44B1"/>
    <w:rsid w:val="009C44F4"/>
    <w:rsid w:val="009C4629"/>
    <w:rsid w:val="009C48C5"/>
    <w:rsid w:val="009C49C6"/>
    <w:rsid w:val="009C4C44"/>
    <w:rsid w:val="009C4F66"/>
    <w:rsid w:val="009C4F7E"/>
    <w:rsid w:val="009C51BD"/>
    <w:rsid w:val="009C522E"/>
    <w:rsid w:val="009C5313"/>
    <w:rsid w:val="009C53AD"/>
    <w:rsid w:val="009C5465"/>
    <w:rsid w:val="009C586E"/>
    <w:rsid w:val="009C58D7"/>
    <w:rsid w:val="009C58E8"/>
    <w:rsid w:val="009C5A11"/>
    <w:rsid w:val="009C5A9D"/>
    <w:rsid w:val="009C5BA1"/>
    <w:rsid w:val="009C5C63"/>
    <w:rsid w:val="009C5C89"/>
    <w:rsid w:val="009C5EF3"/>
    <w:rsid w:val="009C5FE8"/>
    <w:rsid w:val="009C602A"/>
    <w:rsid w:val="009C6075"/>
    <w:rsid w:val="009C611C"/>
    <w:rsid w:val="009C6166"/>
    <w:rsid w:val="009C61B8"/>
    <w:rsid w:val="009C61D5"/>
    <w:rsid w:val="009C6619"/>
    <w:rsid w:val="009C661D"/>
    <w:rsid w:val="009C698E"/>
    <w:rsid w:val="009C6B1F"/>
    <w:rsid w:val="009C6FB1"/>
    <w:rsid w:val="009C704A"/>
    <w:rsid w:val="009C7053"/>
    <w:rsid w:val="009C7170"/>
    <w:rsid w:val="009C7270"/>
    <w:rsid w:val="009C7515"/>
    <w:rsid w:val="009C7526"/>
    <w:rsid w:val="009C764E"/>
    <w:rsid w:val="009C766A"/>
    <w:rsid w:val="009C797A"/>
    <w:rsid w:val="009C7DF8"/>
    <w:rsid w:val="009C7E9A"/>
    <w:rsid w:val="009C7F40"/>
    <w:rsid w:val="009C7FB0"/>
    <w:rsid w:val="009D0041"/>
    <w:rsid w:val="009D0181"/>
    <w:rsid w:val="009D0203"/>
    <w:rsid w:val="009D037E"/>
    <w:rsid w:val="009D0542"/>
    <w:rsid w:val="009D089E"/>
    <w:rsid w:val="009D0AA7"/>
    <w:rsid w:val="009D0B46"/>
    <w:rsid w:val="009D0BF7"/>
    <w:rsid w:val="009D0BFA"/>
    <w:rsid w:val="009D0C47"/>
    <w:rsid w:val="009D0C58"/>
    <w:rsid w:val="009D15AE"/>
    <w:rsid w:val="009D15D2"/>
    <w:rsid w:val="009D1708"/>
    <w:rsid w:val="009D1BA9"/>
    <w:rsid w:val="009D1EC3"/>
    <w:rsid w:val="009D24F5"/>
    <w:rsid w:val="009D2702"/>
    <w:rsid w:val="009D28BA"/>
    <w:rsid w:val="009D29AE"/>
    <w:rsid w:val="009D29B7"/>
    <w:rsid w:val="009D2BFF"/>
    <w:rsid w:val="009D2C5C"/>
    <w:rsid w:val="009D2EED"/>
    <w:rsid w:val="009D3049"/>
    <w:rsid w:val="009D3109"/>
    <w:rsid w:val="009D31AF"/>
    <w:rsid w:val="009D31B9"/>
    <w:rsid w:val="009D381E"/>
    <w:rsid w:val="009D3F7B"/>
    <w:rsid w:val="009D4070"/>
    <w:rsid w:val="009D437A"/>
    <w:rsid w:val="009D46E5"/>
    <w:rsid w:val="009D4813"/>
    <w:rsid w:val="009D4874"/>
    <w:rsid w:val="009D4894"/>
    <w:rsid w:val="009D4A0A"/>
    <w:rsid w:val="009D4CC8"/>
    <w:rsid w:val="009D504A"/>
    <w:rsid w:val="009D5224"/>
    <w:rsid w:val="009D522D"/>
    <w:rsid w:val="009D53D8"/>
    <w:rsid w:val="009D5536"/>
    <w:rsid w:val="009D566F"/>
    <w:rsid w:val="009D568F"/>
    <w:rsid w:val="009D57C1"/>
    <w:rsid w:val="009D593F"/>
    <w:rsid w:val="009D5C0A"/>
    <w:rsid w:val="009D5D3B"/>
    <w:rsid w:val="009D5EAF"/>
    <w:rsid w:val="009D628B"/>
    <w:rsid w:val="009D63A1"/>
    <w:rsid w:val="009D63E3"/>
    <w:rsid w:val="009D63FD"/>
    <w:rsid w:val="009D652C"/>
    <w:rsid w:val="009D65A8"/>
    <w:rsid w:val="009D6692"/>
    <w:rsid w:val="009D67FD"/>
    <w:rsid w:val="009D690D"/>
    <w:rsid w:val="009D6C10"/>
    <w:rsid w:val="009D6DC0"/>
    <w:rsid w:val="009D6EBA"/>
    <w:rsid w:val="009D6EDC"/>
    <w:rsid w:val="009D7068"/>
    <w:rsid w:val="009D757F"/>
    <w:rsid w:val="009D777D"/>
    <w:rsid w:val="009D779A"/>
    <w:rsid w:val="009D789C"/>
    <w:rsid w:val="009D78EA"/>
    <w:rsid w:val="009D79B6"/>
    <w:rsid w:val="009D79EF"/>
    <w:rsid w:val="009D7A38"/>
    <w:rsid w:val="009D7D0E"/>
    <w:rsid w:val="009E001C"/>
    <w:rsid w:val="009E0133"/>
    <w:rsid w:val="009E0319"/>
    <w:rsid w:val="009E050D"/>
    <w:rsid w:val="009E0A50"/>
    <w:rsid w:val="009E0FF1"/>
    <w:rsid w:val="009E129C"/>
    <w:rsid w:val="009E1431"/>
    <w:rsid w:val="009E1625"/>
    <w:rsid w:val="009E1734"/>
    <w:rsid w:val="009E173B"/>
    <w:rsid w:val="009E19A3"/>
    <w:rsid w:val="009E1A7D"/>
    <w:rsid w:val="009E1CFD"/>
    <w:rsid w:val="009E1DB7"/>
    <w:rsid w:val="009E21AB"/>
    <w:rsid w:val="009E2306"/>
    <w:rsid w:val="009E2504"/>
    <w:rsid w:val="009E253F"/>
    <w:rsid w:val="009E275E"/>
    <w:rsid w:val="009E2A3D"/>
    <w:rsid w:val="009E2A6A"/>
    <w:rsid w:val="009E2B03"/>
    <w:rsid w:val="009E2BF5"/>
    <w:rsid w:val="009E2DFE"/>
    <w:rsid w:val="009E2EFD"/>
    <w:rsid w:val="009E3201"/>
    <w:rsid w:val="009E326E"/>
    <w:rsid w:val="009E3286"/>
    <w:rsid w:val="009E328D"/>
    <w:rsid w:val="009E32C3"/>
    <w:rsid w:val="009E37A1"/>
    <w:rsid w:val="009E37D1"/>
    <w:rsid w:val="009E37F8"/>
    <w:rsid w:val="009E3AE2"/>
    <w:rsid w:val="009E3CB7"/>
    <w:rsid w:val="009E41A9"/>
    <w:rsid w:val="009E41B1"/>
    <w:rsid w:val="009E4242"/>
    <w:rsid w:val="009E4620"/>
    <w:rsid w:val="009E49ED"/>
    <w:rsid w:val="009E4AF0"/>
    <w:rsid w:val="009E4B25"/>
    <w:rsid w:val="009E4BDD"/>
    <w:rsid w:val="009E4C53"/>
    <w:rsid w:val="009E4C98"/>
    <w:rsid w:val="009E4DC0"/>
    <w:rsid w:val="009E4EB1"/>
    <w:rsid w:val="009E4EBF"/>
    <w:rsid w:val="009E4FB0"/>
    <w:rsid w:val="009E5196"/>
    <w:rsid w:val="009E547F"/>
    <w:rsid w:val="009E5524"/>
    <w:rsid w:val="009E5531"/>
    <w:rsid w:val="009E55AA"/>
    <w:rsid w:val="009E572D"/>
    <w:rsid w:val="009E5AD6"/>
    <w:rsid w:val="009E5B5D"/>
    <w:rsid w:val="009E5BFA"/>
    <w:rsid w:val="009E604E"/>
    <w:rsid w:val="009E60A6"/>
    <w:rsid w:val="009E61A8"/>
    <w:rsid w:val="009E6368"/>
    <w:rsid w:val="009E6374"/>
    <w:rsid w:val="009E6377"/>
    <w:rsid w:val="009E63D5"/>
    <w:rsid w:val="009E63F1"/>
    <w:rsid w:val="009E63F8"/>
    <w:rsid w:val="009E640C"/>
    <w:rsid w:val="009E6752"/>
    <w:rsid w:val="009E681B"/>
    <w:rsid w:val="009E6850"/>
    <w:rsid w:val="009E693C"/>
    <w:rsid w:val="009E6AC1"/>
    <w:rsid w:val="009E6BD7"/>
    <w:rsid w:val="009E6D32"/>
    <w:rsid w:val="009E7532"/>
    <w:rsid w:val="009E764E"/>
    <w:rsid w:val="009E76D6"/>
    <w:rsid w:val="009E791C"/>
    <w:rsid w:val="009E7B9A"/>
    <w:rsid w:val="009E7BB9"/>
    <w:rsid w:val="009E7D10"/>
    <w:rsid w:val="009E7E7C"/>
    <w:rsid w:val="009E7E9F"/>
    <w:rsid w:val="009F0044"/>
    <w:rsid w:val="009F04ED"/>
    <w:rsid w:val="009F05DB"/>
    <w:rsid w:val="009F0991"/>
    <w:rsid w:val="009F0A73"/>
    <w:rsid w:val="009F0BA3"/>
    <w:rsid w:val="009F0BC6"/>
    <w:rsid w:val="009F0DF7"/>
    <w:rsid w:val="009F0F12"/>
    <w:rsid w:val="009F1112"/>
    <w:rsid w:val="009F1156"/>
    <w:rsid w:val="009F1564"/>
    <w:rsid w:val="009F17AB"/>
    <w:rsid w:val="009F181B"/>
    <w:rsid w:val="009F1828"/>
    <w:rsid w:val="009F183D"/>
    <w:rsid w:val="009F18F2"/>
    <w:rsid w:val="009F1BF3"/>
    <w:rsid w:val="009F1CFD"/>
    <w:rsid w:val="009F1F70"/>
    <w:rsid w:val="009F1FF4"/>
    <w:rsid w:val="009F210F"/>
    <w:rsid w:val="009F2311"/>
    <w:rsid w:val="009F241C"/>
    <w:rsid w:val="009F286F"/>
    <w:rsid w:val="009F2B39"/>
    <w:rsid w:val="009F2D70"/>
    <w:rsid w:val="009F2D77"/>
    <w:rsid w:val="009F2DA8"/>
    <w:rsid w:val="009F3186"/>
    <w:rsid w:val="009F32E9"/>
    <w:rsid w:val="009F355E"/>
    <w:rsid w:val="009F375D"/>
    <w:rsid w:val="009F38B8"/>
    <w:rsid w:val="009F3971"/>
    <w:rsid w:val="009F3A59"/>
    <w:rsid w:val="009F3B4B"/>
    <w:rsid w:val="009F3EE5"/>
    <w:rsid w:val="009F3FB4"/>
    <w:rsid w:val="009F41C6"/>
    <w:rsid w:val="009F42E9"/>
    <w:rsid w:val="009F4347"/>
    <w:rsid w:val="009F439A"/>
    <w:rsid w:val="009F441E"/>
    <w:rsid w:val="009F4864"/>
    <w:rsid w:val="009F4923"/>
    <w:rsid w:val="009F4991"/>
    <w:rsid w:val="009F49AC"/>
    <w:rsid w:val="009F4DF8"/>
    <w:rsid w:val="009F5079"/>
    <w:rsid w:val="009F5088"/>
    <w:rsid w:val="009F51A2"/>
    <w:rsid w:val="009F55B2"/>
    <w:rsid w:val="009F56C3"/>
    <w:rsid w:val="009F58F1"/>
    <w:rsid w:val="009F598D"/>
    <w:rsid w:val="009F5FD6"/>
    <w:rsid w:val="009F6054"/>
    <w:rsid w:val="009F68F2"/>
    <w:rsid w:val="009F6932"/>
    <w:rsid w:val="009F6D80"/>
    <w:rsid w:val="009F7015"/>
    <w:rsid w:val="009F7021"/>
    <w:rsid w:val="009F70AC"/>
    <w:rsid w:val="009F71CA"/>
    <w:rsid w:val="009F753D"/>
    <w:rsid w:val="009F7543"/>
    <w:rsid w:val="009F75E4"/>
    <w:rsid w:val="009F78D2"/>
    <w:rsid w:val="009F79C8"/>
    <w:rsid w:val="009F79E7"/>
    <w:rsid w:val="009F7AD4"/>
    <w:rsid w:val="009F7D4E"/>
    <w:rsid w:val="009F7DCE"/>
    <w:rsid w:val="009F7DE3"/>
    <w:rsid w:val="009F7E92"/>
    <w:rsid w:val="009F7FAD"/>
    <w:rsid w:val="00A00090"/>
    <w:rsid w:val="00A0013F"/>
    <w:rsid w:val="00A0070D"/>
    <w:rsid w:val="00A00731"/>
    <w:rsid w:val="00A0090F"/>
    <w:rsid w:val="00A00BDC"/>
    <w:rsid w:val="00A00BE4"/>
    <w:rsid w:val="00A00BF8"/>
    <w:rsid w:val="00A00C57"/>
    <w:rsid w:val="00A00D77"/>
    <w:rsid w:val="00A00DEA"/>
    <w:rsid w:val="00A010E2"/>
    <w:rsid w:val="00A0148A"/>
    <w:rsid w:val="00A017BA"/>
    <w:rsid w:val="00A01806"/>
    <w:rsid w:val="00A0196C"/>
    <w:rsid w:val="00A01986"/>
    <w:rsid w:val="00A01B57"/>
    <w:rsid w:val="00A01BF8"/>
    <w:rsid w:val="00A01FB7"/>
    <w:rsid w:val="00A02046"/>
    <w:rsid w:val="00A021B8"/>
    <w:rsid w:val="00A029C0"/>
    <w:rsid w:val="00A02A7C"/>
    <w:rsid w:val="00A02B84"/>
    <w:rsid w:val="00A02F6D"/>
    <w:rsid w:val="00A0305F"/>
    <w:rsid w:val="00A032A7"/>
    <w:rsid w:val="00A032CF"/>
    <w:rsid w:val="00A0335B"/>
    <w:rsid w:val="00A034C5"/>
    <w:rsid w:val="00A038DC"/>
    <w:rsid w:val="00A038FE"/>
    <w:rsid w:val="00A0390E"/>
    <w:rsid w:val="00A039FA"/>
    <w:rsid w:val="00A03B61"/>
    <w:rsid w:val="00A03BA2"/>
    <w:rsid w:val="00A03CE8"/>
    <w:rsid w:val="00A03E0E"/>
    <w:rsid w:val="00A03E47"/>
    <w:rsid w:val="00A03E50"/>
    <w:rsid w:val="00A041BC"/>
    <w:rsid w:val="00A0439A"/>
    <w:rsid w:val="00A044D7"/>
    <w:rsid w:val="00A045D1"/>
    <w:rsid w:val="00A046DF"/>
    <w:rsid w:val="00A04889"/>
    <w:rsid w:val="00A04946"/>
    <w:rsid w:val="00A04A6B"/>
    <w:rsid w:val="00A04AC1"/>
    <w:rsid w:val="00A04AD2"/>
    <w:rsid w:val="00A04B51"/>
    <w:rsid w:val="00A04CA8"/>
    <w:rsid w:val="00A04D63"/>
    <w:rsid w:val="00A051F1"/>
    <w:rsid w:val="00A05259"/>
    <w:rsid w:val="00A0534D"/>
    <w:rsid w:val="00A055D6"/>
    <w:rsid w:val="00A05637"/>
    <w:rsid w:val="00A057FB"/>
    <w:rsid w:val="00A0590E"/>
    <w:rsid w:val="00A05926"/>
    <w:rsid w:val="00A059C3"/>
    <w:rsid w:val="00A06144"/>
    <w:rsid w:val="00A0628D"/>
    <w:rsid w:val="00A06337"/>
    <w:rsid w:val="00A063AD"/>
    <w:rsid w:val="00A0640C"/>
    <w:rsid w:val="00A06698"/>
    <w:rsid w:val="00A068BF"/>
    <w:rsid w:val="00A068DE"/>
    <w:rsid w:val="00A069A9"/>
    <w:rsid w:val="00A073DB"/>
    <w:rsid w:val="00A0757A"/>
    <w:rsid w:val="00A075A0"/>
    <w:rsid w:val="00A07794"/>
    <w:rsid w:val="00A077A2"/>
    <w:rsid w:val="00A077D4"/>
    <w:rsid w:val="00A078EC"/>
    <w:rsid w:val="00A07A24"/>
    <w:rsid w:val="00A07A94"/>
    <w:rsid w:val="00A07B20"/>
    <w:rsid w:val="00A07BB9"/>
    <w:rsid w:val="00A07EBB"/>
    <w:rsid w:val="00A07F6B"/>
    <w:rsid w:val="00A10395"/>
    <w:rsid w:val="00A103C3"/>
    <w:rsid w:val="00A10575"/>
    <w:rsid w:val="00A10BC8"/>
    <w:rsid w:val="00A10F2E"/>
    <w:rsid w:val="00A1100B"/>
    <w:rsid w:val="00A1137C"/>
    <w:rsid w:val="00A114CF"/>
    <w:rsid w:val="00A11B5F"/>
    <w:rsid w:val="00A11B7B"/>
    <w:rsid w:val="00A11D3F"/>
    <w:rsid w:val="00A12485"/>
    <w:rsid w:val="00A12685"/>
    <w:rsid w:val="00A1270A"/>
    <w:rsid w:val="00A1272C"/>
    <w:rsid w:val="00A128B7"/>
    <w:rsid w:val="00A128D4"/>
    <w:rsid w:val="00A128FB"/>
    <w:rsid w:val="00A12A94"/>
    <w:rsid w:val="00A12B19"/>
    <w:rsid w:val="00A12D79"/>
    <w:rsid w:val="00A1305B"/>
    <w:rsid w:val="00A1309B"/>
    <w:rsid w:val="00A1328D"/>
    <w:rsid w:val="00A13362"/>
    <w:rsid w:val="00A13491"/>
    <w:rsid w:val="00A134CE"/>
    <w:rsid w:val="00A1358A"/>
    <w:rsid w:val="00A135EE"/>
    <w:rsid w:val="00A13660"/>
    <w:rsid w:val="00A13664"/>
    <w:rsid w:val="00A13670"/>
    <w:rsid w:val="00A136A3"/>
    <w:rsid w:val="00A136D0"/>
    <w:rsid w:val="00A136FD"/>
    <w:rsid w:val="00A137B4"/>
    <w:rsid w:val="00A1387F"/>
    <w:rsid w:val="00A138D8"/>
    <w:rsid w:val="00A13953"/>
    <w:rsid w:val="00A1398E"/>
    <w:rsid w:val="00A13BDF"/>
    <w:rsid w:val="00A13EF3"/>
    <w:rsid w:val="00A13F7C"/>
    <w:rsid w:val="00A1400C"/>
    <w:rsid w:val="00A14073"/>
    <w:rsid w:val="00A140C5"/>
    <w:rsid w:val="00A14103"/>
    <w:rsid w:val="00A14144"/>
    <w:rsid w:val="00A143FD"/>
    <w:rsid w:val="00A14447"/>
    <w:rsid w:val="00A146AD"/>
    <w:rsid w:val="00A147D9"/>
    <w:rsid w:val="00A147F4"/>
    <w:rsid w:val="00A14E5D"/>
    <w:rsid w:val="00A150A9"/>
    <w:rsid w:val="00A151EA"/>
    <w:rsid w:val="00A1521A"/>
    <w:rsid w:val="00A15248"/>
    <w:rsid w:val="00A1558C"/>
    <w:rsid w:val="00A156B0"/>
    <w:rsid w:val="00A15821"/>
    <w:rsid w:val="00A15910"/>
    <w:rsid w:val="00A15CAD"/>
    <w:rsid w:val="00A15CF0"/>
    <w:rsid w:val="00A15F1E"/>
    <w:rsid w:val="00A15F4B"/>
    <w:rsid w:val="00A15F9C"/>
    <w:rsid w:val="00A163FE"/>
    <w:rsid w:val="00A16665"/>
    <w:rsid w:val="00A166E1"/>
    <w:rsid w:val="00A167DD"/>
    <w:rsid w:val="00A168D9"/>
    <w:rsid w:val="00A168EC"/>
    <w:rsid w:val="00A1691D"/>
    <w:rsid w:val="00A16BEE"/>
    <w:rsid w:val="00A16D05"/>
    <w:rsid w:val="00A16DCE"/>
    <w:rsid w:val="00A17231"/>
    <w:rsid w:val="00A172D3"/>
    <w:rsid w:val="00A1755C"/>
    <w:rsid w:val="00A176EC"/>
    <w:rsid w:val="00A17A25"/>
    <w:rsid w:val="00A17FD6"/>
    <w:rsid w:val="00A201C2"/>
    <w:rsid w:val="00A2047A"/>
    <w:rsid w:val="00A204CE"/>
    <w:rsid w:val="00A20BCF"/>
    <w:rsid w:val="00A20C19"/>
    <w:rsid w:val="00A20CEA"/>
    <w:rsid w:val="00A20D06"/>
    <w:rsid w:val="00A20D4B"/>
    <w:rsid w:val="00A21152"/>
    <w:rsid w:val="00A2119B"/>
    <w:rsid w:val="00A21596"/>
    <w:rsid w:val="00A2186A"/>
    <w:rsid w:val="00A218B0"/>
    <w:rsid w:val="00A21B95"/>
    <w:rsid w:val="00A21C4E"/>
    <w:rsid w:val="00A21FB5"/>
    <w:rsid w:val="00A222DB"/>
    <w:rsid w:val="00A22429"/>
    <w:rsid w:val="00A2258B"/>
    <w:rsid w:val="00A22C15"/>
    <w:rsid w:val="00A22D7F"/>
    <w:rsid w:val="00A22F74"/>
    <w:rsid w:val="00A22F91"/>
    <w:rsid w:val="00A22FF0"/>
    <w:rsid w:val="00A2308A"/>
    <w:rsid w:val="00A2318E"/>
    <w:rsid w:val="00A231C7"/>
    <w:rsid w:val="00A23483"/>
    <w:rsid w:val="00A23681"/>
    <w:rsid w:val="00A237A1"/>
    <w:rsid w:val="00A237B7"/>
    <w:rsid w:val="00A23B99"/>
    <w:rsid w:val="00A23D82"/>
    <w:rsid w:val="00A23E02"/>
    <w:rsid w:val="00A246C9"/>
    <w:rsid w:val="00A24DA2"/>
    <w:rsid w:val="00A24DAA"/>
    <w:rsid w:val="00A24FBA"/>
    <w:rsid w:val="00A25090"/>
    <w:rsid w:val="00A252C7"/>
    <w:rsid w:val="00A25625"/>
    <w:rsid w:val="00A25782"/>
    <w:rsid w:val="00A25970"/>
    <w:rsid w:val="00A259B7"/>
    <w:rsid w:val="00A25A30"/>
    <w:rsid w:val="00A25D4A"/>
    <w:rsid w:val="00A25D89"/>
    <w:rsid w:val="00A25F9C"/>
    <w:rsid w:val="00A26217"/>
    <w:rsid w:val="00A2697D"/>
    <w:rsid w:val="00A26C8B"/>
    <w:rsid w:val="00A26D4A"/>
    <w:rsid w:val="00A27520"/>
    <w:rsid w:val="00A27785"/>
    <w:rsid w:val="00A277C7"/>
    <w:rsid w:val="00A27DF9"/>
    <w:rsid w:val="00A27E5D"/>
    <w:rsid w:val="00A27EE1"/>
    <w:rsid w:val="00A27F14"/>
    <w:rsid w:val="00A30399"/>
    <w:rsid w:val="00A30532"/>
    <w:rsid w:val="00A30952"/>
    <w:rsid w:val="00A31060"/>
    <w:rsid w:val="00A31243"/>
    <w:rsid w:val="00A31378"/>
    <w:rsid w:val="00A31411"/>
    <w:rsid w:val="00A31477"/>
    <w:rsid w:val="00A316D5"/>
    <w:rsid w:val="00A316F4"/>
    <w:rsid w:val="00A31AB4"/>
    <w:rsid w:val="00A31B81"/>
    <w:rsid w:val="00A31DFC"/>
    <w:rsid w:val="00A32025"/>
    <w:rsid w:val="00A32133"/>
    <w:rsid w:val="00A32407"/>
    <w:rsid w:val="00A3256D"/>
    <w:rsid w:val="00A32737"/>
    <w:rsid w:val="00A328BE"/>
    <w:rsid w:val="00A32997"/>
    <w:rsid w:val="00A32CA5"/>
    <w:rsid w:val="00A32D67"/>
    <w:rsid w:val="00A3312E"/>
    <w:rsid w:val="00A33208"/>
    <w:rsid w:val="00A333DE"/>
    <w:rsid w:val="00A3364C"/>
    <w:rsid w:val="00A338D9"/>
    <w:rsid w:val="00A33A28"/>
    <w:rsid w:val="00A33CCF"/>
    <w:rsid w:val="00A33D0B"/>
    <w:rsid w:val="00A33DE6"/>
    <w:rsid w:val="00A33E52"/>
    <w:rsid w:val="00A340E2"/>
    <w:rsid w:val="00A34221"/>
    <w:rsid w:val="00A34346"/>
    <w:rsid w:val="00A34422"/>
    <w:rsid w:val="00A34513"/>
    <w:rsid w:val="00A34C6D"/>
    <w:rsid w:val="00A34D14"/>
    <w:rsid w:val="00A34ED8"/>
    <w:rsid w:val="00A3504F"/>
    <w:rsid w:val="00A3516E"/>
    <w:rsid w:val="00A351E3"/>
    <w:rsid w:val="00A3537D"/>
    <w:rsid w:val="00A353DA"/>
    <w:rsid w:val="00A3557F"/>
    <w:rsid w:val="00A356BB"/>
    <w:rsid w:val="00A35941"/>
    <w:rsid w:val="00A35A63"/>
    <w:rsid w:val="00A35ABE"/>
    <w:rsid w:val="00A35CD2"/>
    <w:rsid w:val="00A35CF2"/>
    <w:rsid w:val="00A35D80"/>
    <w:rsid w:val="00A36161"/>
    <w:rsid w:val="00A36405"/>
    <w:rsid w:val="00A366B3"/>
    <w:rsid w:val="00A36735"/>
    <w:rsid w:val="00A36909"/>
    <w:rsid w:val="00A36AB3"/>
    <w:rsid w:val="00A36CEB"/>
    <w:rsid w:val="00A36E3F"/>
    <w:rsid w:val="00A36F42"/>
    <w:rsid w:val="00A36F58"/>
    <w:rsid w:val="00A370C8"/>
    <w:rsid w:val="00A370F0"/>
    <w:rsid w:val="00A3725D"/>
    <w:rsid w:val="00A372DF"/>
    <w:rsid w:val="00A372F7"/>
    <w:rsid w:val="00A373E7"/>
    <w:rsid w:val="00A37825"/>
    <w:rsid w:val="00A378A8"/>
    <w:rsid w:val="00A379BF"/>
    <w:rsid w:val="00A37A99"/>
    <w:rsid w:val="00A37A9D"/>
    <w:rsid w:val="00A37B18"/>
    <w:rsid w:val="00A37B7F"/>
    <w:rsid w:val="00A37C5F"/>
    <w:rsid w:val="00A37C90"/>
    <w:rsid w:val="00A37CDE"/>
    <w:rsid w:val="00A37CE8"/>
    <w:rsid w:val="00A37D0A"/>
    <w:rsid w:val="00A37F14"/>
    <w:rsid w:val="00A403DA"/>
    <w:rsid w:val="00A404AD"/>
    <w:rsid w:val="00A404C4"/>
    <w:rsid w:val="00A40707"/>
    <w:rsid w:val="00A40726"/>
    <w:rsid w:val="00A409B5"/>
    <w:rsid w:val="00A409F7"/>
    <w:rsid w:val="00A40A6D"/>
    <w:rsid w:val="00A40B05"/>
    <w:rsid w:val="00A40B80"/>
    <w:rsid w:val="00A40DFC"/>
    <w:rsid w:val="00A40E9C"/>
    <w:rsid w:val="00A40F11"/>
    <w:rsid w:val="00A40FC7"/>
    <w:rsid w:val="00A410CA"/>
    <w:rsid w:val="00A411FE"/>
    <w:rsid w:val="00A416AD"/>
    <w:rsid w:val="00A4187A"/>
    <w:rsid w:val="00A41BC0"/>
    <w:rsid w:val="00A41BE3"/>
    <w:rsid w:val="00A41D28"/>
    <w:rsid w:val="00A41E7E"/>
    <w:rsid w:val="00A41F76"/>
    <w:rsid w:val="00A4234B"/>
    <w:rsid w:val="00A423DE"/>
    <w:rsid w:val="00A423FE"/>
    <w:rsid w:val="00A4277E"/>
    <w:rsid w:val="00A4289D"/>
    <w:rsid w:val="00A42905"/>
    <w:rsid w:val="00A42906"/>
    <w:rsid w:val="00A42C07"/>
    <w:rsid w:val="00A42DE0"/>
    <w:rsid w:val="00A42E1D"/>
    <w:rsid w:val="00A42E92"/>
    <w:rsid w:val="00A42EC0"/>
    <w:rsid w:val="00A433FA"/>
    <w:rsid w:val="00A434F5"/>
    <w:rsid w:val="00A435FC"/>
    <w:rsid w:val="00A43830"/>
    <w:rsid w:val="00A4385C"/>
    <w:rsid w:val="00A43DC2"/>
    <w:rsid w:val="00A43E57"/>
    <w:rsid w:val="00A44044"/>
    <w:rsid w:val="00A442ED"/>
    <w:rsid w:val="00A445EA"/>
    <w:rsid w:val="00A44612"/>
    <w:rsid w:val="00A44897"/>
    <w:rsid w:val="00A448D8"/>
    <w:rsid w:val="00A44930"/>
    <w:rsid w:val="00A45023"/>
    <w:rsid w:val="00A454B4"/>
    <w:rsid w:val="00A4562F"/>
    <w:rsid w:val="00A45640"/>
    <w:rsid w:val="00A4589D"/>
    <w:rsid w:val="00A459DA"/>
    <w:rsid w:val="00A45E59"/>
    <w:rsid w:val="00A45F39"/>
    <w:rsid w:val="00A46142"/>
    <w:rsid w:val="00A46269"/>
    <w:rsid w:val="00A462D3"/>
    <w:rsid w:val="00A46882"/>
    <w:rsid w:val="00A46956"/>
    <w:rsid w:val="00A469A1"/>
    <w:rsid w:val="00A47199"/>
    <w:rsid w:val="00A471AE"/>
    <w:rsid w:val="00A4722F"/>
    <w:rsid w:val="00A47277"/>
    <w:rsid w:val="00A472BE"/>
    <w:rsid w:val="00A472E9"/>
    <w:rsid w:val="00A4753D"/>
    <w:rsid w:val="00A47870"/>
    <w:rsid w:val="00A47A7D"/>
    <w:rsid w:val="00A47B30"/>
    <w:rsid w:val="00A47BDC"/>
    <w:rsid w:val="00A47CF0"/>
    <w:rsid w:val="00A47D9F"/>
    <w:rsid w:val="00A47E1D"/>
    <w:rsid w:val="00A5005B"/>
    <w:rsid w:val="00A50160"/>
    <w:rsid w:val="00A5049B"/>
    <w:rsid w:val="00A505E5"/>
    <w:rsid w:val="00A50650"/>
    <w:rsid w:val="00A50677"/>
    <w:rsid w:val="00A508DF"/>
    <w:rsid w:val="00A50939"/>
    <w:rsid w:val="00A50975"/>
    <w:rsid w:val="00A50A24"/>
    <w:rsid w:val="00A50B31"/>
    <w:rsid w:val="00A50CD9"/>
    <w:rsid w:val="00A50D15"/>
    <w:rsid w:val="00A50E24"/>
    <w:rsid w:val="00A50EDA"/>
    <w:rsid w:val="00A510C6"/>
    <w:rsid w:val="00A51374"/>
    <w:rsid w:val="00A51479"/>
    <w:rsid w:val="00A51B5F"/>
    <w:rsid w:val="00A51C32"/>
    <w:rsid w:val="00A51D7C"/>
    <w:rsid w:val="00A520FD"/>
    <w:rsid w:val="00A52352"/>
    <w:rsid w:val="00A5235C"/>
    <w:rsid w:val="00A52809"/>
    <w:rsid w:val="00A5283B"/>
    <w:rsid w:val="00A5298D"/>
    <w:rsid w:val="00A52B7E"/>
    <w:rsid w:val="00A52C69"/>
    <w:rsid w:val="00A52D4D"/>
    <w:rsid w:val="00A53440"/>
    <w:rsid w:val="00A5361D"/>
    <w:rsid w:val="00A536DE"/>
    <w:rsid w:val="00A537D8"/>
    <w:rsid w:val="00A539AA"/>
    <w:rsid w:val="00A53E47"/>
    <w:rsid w:val="00A54024"/>
    <w:rsid w:val="00A54102"/>
    <w:rsid w:val="00A5420A"/>
    <w:rsid w:val="00A5423D"/>
    <w:rsid w:val="00A542E8"/>
    <w:rsid w:val="00A54308"/>
    <w:rsid w:val="00A543E6"/>
    <w:rsid w:val="00A546CB"/>
    <w:rsid w:val="00A5484F"/>
    <w:rsid w:val="00A54CF1"/>
    <w:rsid w:val="00A54D65"/>
    <w:rsid w:val="00A54DD1"/>
    <w:rsid w:val="00A54EAC"/>
    <w:rsid w:val="00A54FE4"/>
    <w:rsid w:val="00A550D2"/>
    <w:rsid w:val="00A5529A"/>
    <w:rsid w:val="00A5596B"/>
    <w:rsid w:val="00A559E9"/>
    <w:rsid w:val="00A55F6F"/>
    <w:rsid w:val="00A55F8F"/>
    <w:rsid w:val="00A55FE5"/>
    <w:rsid w:val="00A56272"/>
    <w:rsid w:val="00A56305"/>
    <w:rsid w:val="00A56321"/>
    <w:rsid w:val="00A564A5"/>
    <w:rsid w:val="00A5656F"/>
    <w:rsid w:val="00A56791"/>
    <w:rsid w:val="00A56847"/>
    <w:rsid w:val="00A56A41"/>
    <w:rsid w:val="00A56AB2"/>
    <w:rsid w:val="00A5703F"/>
    <w:rsid w:val="00A57071"/>
    <w:rsid w:val="00A57101"/>
    <w:rsid w:val="00A57113"/>
    <w:rsid w:val="00A57215"/>
    <w:rsid w:val="00A57258"/>
    <w:rsid w:val="00A5734B"/>
    <w:rsid w:val="00A57396"/>
    <w:rsid w:val="00A5743B"/>
    <w:rsid w:val="00A57496"/>
    <w:rsid w:val="00A574CF"/>
    <w:rsid w:val="00A5776A"/>
    <w:rsid w:val="00A577DC"/>
    <w:rsid w:val="00A5789F"/>
    <w:rsid w:val="00A57BEE"/>
    <w:rsid w:val="00A57C2D"/>
    <w:rsid w:val="00A57CF0"/>
    <w:rsid w:val="00A57E09"/>
    <w:rsid w:val="00A60099"/>
    <w:rsid w:val="00A600F7"/>
    <w:rsid w:val="00A6025D"/>
    <w:rsid w:val="00A605EF"/>
    <w:rsid w:val="00A606CA"/>
    <w:rsid w:val="00A607B6"/>
    <w:rsid w:val="00A60C86"/>
    <w:rsid w:val="00A60DF8"/>
    <w:rsid w:val="00A60FA9"/>
    <w:rsid w:val="00A6102D"/>
    <w:rsid w:val="00A611A0"/>
    <w:rsid w:val="00A6133C"/>
    <w:rsid w:val="00A616C0"/>
    <w:rsid w:val="00A618CF"/>
    <w:rsid w:val="00A61A72"/>
    <w:rsid w:val="00A61BEF"/>
    <w:rsid w:val="00A61E90"/>
    <w:rsid w:val="00A622FC"/>
    <w:rsid w:val="00A62344"/>
    <w:rsid w:val="00A6244B"/>
    <w:rsid w:val="00A62523"/>
    <w:rsid w:val="00A629AF"/>
    <w:rsid w:val="00A62CB5"/>
    <w:rsid w:val="00A62F88"/>
    <w:rsid w:val="00A631DA"/>
    <w:rsid w:val="00A6323E"/>
    <w:rsid w:val="00A632AC"/>
    <w:rsid w:val="00A632EA"/>
    <w:rsid w:val="00A63491"/>
    <w:rsid w:val="00A63600"/>
    <w:rsid w:val="00A63759"/>
    <w:rsid w:val="00A63782"/>
    <w:rsid w:val="00A6392B"/>
    <w:rsid w:val="00A63BE1"/>
    <w:rsid w:val="00A63F58"/>
    <w:rsid w:val="00A6449E"/>
    <w:rsid w:val="00A6474C"/>
    <w:rsid w:val="00A649B8"/>
    <w:rsid w:val="00A649F7"/>
    <w:rsid w:val="00A64B93"/>
    <w:rsid w:val="00A64CB0"/>
    <w:rsid w:val="00A64D95"/>
    <w:rsid w:val="00A64E07"/>
    <w:rsid w:val="00A64F25"/>
    <w:rsid w:val="00A64FAF"/>
    <w:rsid w:val="00A6512B"/>
    <w:rsid w:val="00A65209"/>
    <w:rsid w:val="00A6548D"/>
    <w:rsid w:val="00A656D2"/>
    <w:rsid w:val="00A65737"/>
    <w:rsid w:val="00A659C5"/>
    <w:rsid w:val="00A65D12"/>
    <w:rsid w:val="00A65DC3"/>
    <w:rsid w:val="00A65DCB"/>
    <w:rsid w:val="00A66306"/>
    <w:rsid w:val="00A66480"/>
    <w:rsid w:val="00A6658A"/>
    <w:rsid w:val="00A6661D"/>
    <w:rsid w:val="00A666F6"/>
    <w:rsid w:val="00A668D5"/>
    <w:rsid w:val="00A669ED"/>
    <w:rsid w:val="00A66B25"/>
    <w:rsid w:val="00A66BDE"/>
    <w:rsid w:val="00A66BF5"/>
    <w:rsid w:val="00A66C5B"/>
    <w:rsid w:val="00A66D24"/>
    <w:rsid w:val="00A66D83"/>
    <w:rsid w:val="00A66DEE"/>
    <w:rsid w:val="00A671BC"/>
    <w:rsid w:val="00A67587"/>
    <w:rsid w:val="00A67698"/>
    <w:rsid w:val="00A67C8C"/>
    <w:rsid w:val="00A67E50"/>
    <w:rsid w:val="00A67F08"/>
    <w:rsid w:val="00A67F17"/>
    <w:rsid w:val="00A70109"/>
    <w:rsid w:val="00A705BE"/>
    <w:rsid w:val="00A706C5"/>
    <w:rsid w:val="00A70A9D"/>
    <w:rsid w:val="00A70BAB"/>
    <w:rsid w:val="00A70C6D"/>
    <w:rsid w:val="00A70CF1"/>
    <w:rsid w:val="00A70D16"/>
    <w:rsid w:val="00A70D26"/>
    <w:rsid w:val="00A70DF8"/>
    <w:rsid w:val="00A70F21"/>
    <w:rsid w:val="00A70F51"/>
    <w:rsid w:val="00A7131C"/>
    <w:rsid w:val="00A7138D"/>
    <w:rsid w:val="00A713C5"/>
    <w:rsid w:val="00A717DD"/>
    <w:rsid w:val="00A71946"/>
    <w:rsid w:val="00A71ABA"/>
    <w:rsid w:val="00A71B22"/>
    <w:rsid w:val="00A71B75"/>
    <w:rsid w:val="00A71BA7"/>
    <w:rsid w:val="00A71DC0"/>
    <w:rsid w:val="00A71EAC"/>
    <w:rsid w:val="00A71F08"/>
    <w:rsid w:val="00A7218E"/>
    <w:rsid w:val="00A72201"/>
    <w:rsid w:val="00A72211"/>
    <w:rsid w:val="00A724AA"/>
    <w:rsid w:val="00A72502"/>
    <w:rsid w:val="00A726F7"/>
    <w:rsid w:val="00A727AE"/>
    <w:rsid w:val="00A727B6"/>
    <w:rsid w:val="00A72840"/>
    <w:rsid w:val="00A72AE6"/>
    <w:rsid w:val="00A72B6E"/>
    <w:rsid w:val="00A72D0A"/>
    <w:rsid w:val="00A72D58"/>
    <w:rsid w:val="00A72DFE"/>
    <w:rsid w:val="00A7326C"/>
    <w:rsid w:val="00A73305"/>
    <w:rsid w:val="00A73551"/>
    <w:rsid w:val="00A736A5"/>
    <w:rsid w:val="00A738E7"/>
    <w:rsid w:val="00A73A44"/>
    <w:rsid w:val="00A73CFD"/>
    <w:rsid w:val="00A74153"/>
    <w:rsid w:val="00A74172"/>
    <w:rsid w:val="00A742E5"/>
    <w:rsid w:val="00A744DD"/>
    <w:rsid w:val="00A744FD"/>
    <w:rsid w:val="00A747E7"/>
    <w:rsid w:val="00A74A04"/>
    <w:rsid w:val="00A74CC7"/>
    <w:rsid w:val="00A74DE4"/>
    <w:rsid w:val="00A74E55"/>
    <w:rsid w:val="00A751CA"/>
    <w:rsid w:val="00A751D1"/>
    <w:rsid w:val="00A75319"/>
    <w:rsid w:val="00A75525"/>
    <w:rsid w:val="00A756D9"/>
    <w:rsid w:val="00A75848"/>
    <w:rsid w:val="00A75900"/>
    <w:rsid w:val="00A7597F"/>
    <w:rsid w:val="00A75A5C"/>
    <w:rsid w:val="00A75A9C"/>
    <w:rsid w:val="00A75DCB"/>
    <w:rsid w:val="00A75E22"/>
    <w:rsid w:val="00A76941"/>
    <w:rsid w:val="00A76C10"/>
    <w:rsid w:val="00A76F6C"/>
    <w:rsid w:val="00A77019"/>
    <w:rsid w:val="00A77335"/>
    <w:rsid w:val="00A7736B"/>
    <w:rsid w:val="00A7751D"/>
    <w:rsid w:val="00A77534"/>
    <w:rsid w:val="00A77621"/>
    <w:rsid w:val="00A77820"/>
    <w:rsid w:val="00A77AB3"/>
    <w:rsid w:val="00A77D26"/>
    <w:rsid w:val="00A77F2F"/>
    <w:rsid w:val="00A800FF"/>
    <w:rsid w:val="00A80323"/>
    <w:rsid w:val="00A80499"/>
    <w:rsid w:val="00A804A4"/>
    <w:rsid w:val="00A805F9"/>
    <w:rsid w:val="00A8087D"/>
    <w:rsid w:val="00A808CB"/>
    <w:rsid w:val="00A80978"/>
    <w:rsid w:val="00A8157F"/>
    <w:rsid w:val="00A81804"/>
    <w:rsid w:val="00A81824"/>
    <w:rsid w:val="00A8183A"/>
    <w:rsid w:val="00A818FB"/>
    <w:rsid w:val="00A8199E"/>
    <w:rsid w:val="00A81CCB"/>
    <w:rsid w:val="00A81D45"/>
    <w:rsid w:val="00A81FAF"/>
    <w:rsid w:val="00A8206A"/>
    <w:rsid w:val="00A8208D"/>
    <w:rsid w:val="00A821B8"/>
    <w:rsid w:val="00A821E6"/>
    <w:rsid w:val="00A822FC"/>
    <w:rsid w:val="00A8251B"/>
    <w:rsid w:val="00A825FE"/>
    <w:rsid w:val="00A827BB"/>
    <w:rsid w:val="00A82906"/>
    <w:rsid w:val="00A82B11"/>
    <w:rsid w:val="00A82BC5"/>
    <w:rsid w:val="00A82E46"/>
    <w:rsid w:val="00A82F1A"/>
    <w:rsid w:val="00A82F54"/>
    <w:rsid w:val="00A830BF"/>
    <w:rsid w:val="00A8342B"/>
    <w:rsid w:val="00A8363F"/>
    <w:rsid w:val="00A83682"/>
    <w:rsid w:val="00A836D5"/>
    <w:rsid w:val="00A83893"/>
    <w:rsid w:val="00A83898"/>
    <w:rsid w:val="00A83973"/>
    <w:rsid w:val="00A83A56"/>
    <w:rsid w:val="00A83BF4"/>
    <w:rsid w:val="00A83C7A"/>
    <w:rsid w:val="00A83CF8"/>
    <w:rsid w:val="00A83D02"/>
    <w:rsid w:val="00A84006"/>
    <w:rsid w:val="00A8402A"/>
    <w:rsid w:val="00A84B03"/>
    <w:rsid w:val="00A84CA6"/>
    <w:rsid w:val="00A84D89"/>
    <w:rsid w:val="00A84F72"/>
    <w:rsid w:val="00A854E1"/>
    <w:rsid w:val="00A85661"/>
    <w:rsid w:val="00A85A22"/>
    <w:rsid w:val="00A85AD5"/>
    <w:rsid w:val="00A85DAB"/>
    <w:rsid w:val="00A85F87"/>
    <w:rsid w:val="00A85F8F"/>
    <w:rsid w:val="00A85F9D"/>
    <w:rsid w:val="00A8600B"/>
    <w:rsid w:val="00A86051"/>
    <w:rsid w:val="00A8605A"/>
    <w:rsid w:val="00A8625F"/>
    <w:rsid w:val="00A86330"/>
    <w:rsid w:val="00A8666E"/>
    <w:rsid w:val="00A866F2"/>
    <w:rsid w:val="00A86744"/>
    <w:rsid w:val="00A868AB"/>
    <w:rsid w:val="00A868ED"/>
    <w:rsid w:val="00A86D70"/>
    <w:rsid w:val="00A86FF0"/>
    <w:rsid w:val="00A870E8"/>
    <w:rsid w:val="00A87199"/>
    <w:rsid w:val="00A87596"/>
    <w:rsid w:val="00A8770C"/>
    <w:rsid w:val="00A8783C"/>
    <w:rsid w:val="00A87AB4"/>
    <w:rsid w:val="00A87AB5"/>
    <w:rsid w:val="00A87D9D"/>
    <w:rsid w:val="00A87F2B"/>
    <w:rsid w:val="00A87FC0"/>
    <w:rsid w:val="00A87FD5"/>
    <w:rsid w:val="00A90151"/>
    <w:rsid w:val="00A901B5"/>
    <w:rsid w:val="00A901D3"/>
    <w:rsid w:val="00A90256"/>
    <w:rsid w:val="00A906AF"/>
    <w:rsid w:val="00A90715"/>
    <w:rsid w:val="00A908A4"/>
    <w:rsid w:val="00A90999"/>
    <w:rsid w:val="00A909BD"/>
    <w:rsid w:val="00A90B1F"/>
    <w:rsid w:val="00A90B94"/>
    <w:rsid w:val="00A90D7F"/>
    <w:rsid w:val="00A90DCB"/>
    <w:rsid w:val="00A90ED1"/>
    <w:rsid w:val="00A9128E"/>
    <w:rsid w:val="00A91382"/>
    <w:rsid w:val="00A91551"/>
    <w:rsid w:val="00A91861"/>
    <w:rsid w:val="00A91A05"/>
    <w:rsid w:val="00A91F94"/>
    <w:rsid w:val="00A91FAA"/>
    <w:rsid w:val="00A922A6"/>
    <w:rsid w:val="00A927F7"/>
    <w:rsid w:val="00A928B4"/>
    <w:rsid w:val="00A929F3"/>
    <w:rsid w:val="00A92B56"/>
    <w:rsid w:val="00A92DB7"/>
    <w:rsid w:val="00A92DF9"/>
    <w:rsid w:val="00A92EC3"/>
    <w:rsid w:val="00A92F10"/>
    <w:rsid w:val="00A92F22"/>
    <w:rsid w:val="00A93195"/>
    <w:rsid w:val="00A93294"/>
    <w:rsid w:val="00A932C7"/>
    <w:rsid w:val="00A93359"/>
    <w:rsid w:val="00A933E6"/>
    <w:rsid w:val="00A934AC"/>
    <w:rsid w:val="00A93502"/>
    <w:rsid w:val="00A9359B"/>
    <w:rsid w:val="00A935A3"/>
    <w:rsid w:val="00A936A6"/>
    <w:rsid w:val="00A93799"/>
    <w:rsid w:val="00A93864"/>
    <w:rsid w:val="00A93D2E"/>
    <w:rsid w:val="00A93DAE"/>
    <w:rsid w:val="00A93EA2"/>
    <w:rsid w:val="00A93EB9"/>
    <w:rsid w:val="00A941E3"/>
    <w:rsid w:val="00A94200"/>
    <w:rsid w:val="00A94203"/>
    <w:rsid w:val="00A94254"/>
    <w:rsid w:val="00A943B5"/>
    <w:rsid w:val="00A944DF"/>
    <w:rsid w:val="00A9463E"/>
    <w:rsid w:val="00A94679"/>
    <w:rsid w:val="00A94757"/>
    <w:rsid w:val="00A94942"/>
    <w:rsid w:val="00A94964"/>
    <w:rsid w:val="00A949A6"/>
    <w:rsid w:val="00A949ED"/>
    <w:rsid w:val="00A949F7"/>
    <w:rsid w:val="00A94B10"/>
    <w:rsid w:val="00A94C2B"/>
    <w:rsid w:val="00A94CFF"/>
    <w:rsid w:val="00A94EFB"/>
    <w:rsid w:val="00A951DE"/>
    <w:rsid w:val="00A952BA"/>
    <w:rsid w:val="00A95341"/>
    <w:rsid w:val="00A9545C"/>
    <w:rsid w:val="00A954D5"/>
    <w:rsid w:val="00A95856"/>
    <w:rsid w:val="00A959E9"/>
    <w:rsid w:val="00A95CB7"/>
    <w:rsid w:val="00A95EA6"/>
    <w:rsid w:val="00A960F0"/>
    <w:rsid w:val="00A961A4"/>
    <w:rsid w:val="00A96219"/>
    <w:rsid w:val="00A9627C"/>
    <w:rsid w:val="00A962B6"/>
    <w:rsid w:val="00A963D0"/>
    <w:rsid w:val="00A96420"/>
    <w:rsid w:val="00A96447"/>
    <w:rsid w:val="00A9649B"/>
    <w:rsid w:val="00A9652E"/>
    <w:rsid w:val="00A9677E"/>
    <w:rsid w:val="00A96847"/>
    <w:rsid w:val="00A96DD5"/>
    <w:rsid w:val="00A970A6"/>
    <w:rsid w:val="00A972D4"/>
    <w:rsid w:val="00A97300"/>
    <w:rsid w:val="00A97302"/>
    <w:rsid w:val="00A9751D"/>
    <w:rsid w:val="00A9764B"/>
    <w:rsid w:val="00A9777C"/>
    <w:rsid w:val="00A97AD1"/>
    <w:rsid w:val="00A97CFA"/>
    <w:rsid w:val="00AA0046"/>
    <w:rsid w:val="00AA0165"/>
    <w:rsid w:val="00AA0195"/>
    <w:rsid w:val="00AA045C"/>
    <w:rsid w:val="00AA0636"/>
    <w:rsid w:val="00AA06CD"/>
    <w:rsid w:val="00AA0A0F"/>
    <w:rsid w:val="00AA0AF4"/>
    <w:rsid w:val="00AA0E09"/>
    <w:rsid w:val="00AA0EBA"/>
    <w:rsid w:val="00AA109B"/>
    <w:rsid w:val="00AA1191"/>
    <w:rsid w:val="00AA11D3"/>
    <w:rsid w:val="00AA1528"/>
    <w:rsid w:val="00AA1615"/>
    <w:rsid w:val="00AA163B"/>
    <w:rsid w:val="00AA1771"/>
    <w:rsid w:val="00AA1AD6"/>
    <w:rsid w:val="00AA1BE2"/>
    <w:rsid w:val="00AA1C86"/>
    <w:rsid w:val="00AA1F12"/>
    <w:rsid w:val="00AA21F0"/>
    <w:rsid w:val="00AA243E"/>
    <w:rsid w:val="00AA2756"/>
    <w:rsid w:val="00AA2854"/>
    <w:rsid w:val="00AA2A0C"/>
    <w:rsid w:val="00AA2A24"/>
    <w:rsid w:val="00AA2AFB"/>
    <w:rsid w:val="00AA2C84"/>
    <w:rsid w:val="00AA2E17"/>
    <w:rsid w:val="00AA32DD"/>
    <w:rsid w:val="00AA32FB"/>
    <w:rsid w:val="00AA3533"/>
    <w:rsid w:val="00AA3539"/>
    <w:rsid w:val="00AA3569"/>
    <w:rsid w:val="00AA3636"/>
    <w:rsid w:val="00AA3640"/>
    <w:rsid w:val="00AA3665"/>
    <w:rsid w:val="00AA37A6"/>
    <w:rsid w:val="00AA38AB"/>
    <w:rsid w:val="00AA3B30"/>
    <w:rsid w:val="00AA3C6D"/>
    <w:rsid w:val="00AA3F5F"/>
    <w:rsid w:val="00AA416E"/>
    <w:rsid w:val="00AA41F4"/>
    <w:rsid w:val="00AA43E0"/>
    <w:rsid w:val="00AA44F8"/>
    <w:rsid w:val="00AA45BD"/>
    <w:rsid w:val="00AA470C"/>
    <w:rsid w:val="00AA4B0A"/>
    <w:rsid w:val="00AA4BD3"/>
    <w:rsid w:val="00AA4F63"/>
    <w:rsid w:val="00AA5002"/>
    <w:rsid w:val="00AA5187"/>
    <w:rsid w:val="00AA5247"/>
    <w:rsid w:val="00AA535A"/>
    <w:rsid w:val="00AA5384"/>
    <w:rsid w:val="00AA53A5"/>
    <w:rsid w:val="00AA54AD"/>
    <w:rsid w:val="00AA5880"/>
    <w:rsid w:val="00AA5B01"/>
    <w:rsid w:val="00AA5B43"/>
    <w:rsid w:val="00AA5C7D"/>
    <w:rsid w:val="00AA5CD2"/>
    <w:rsid w:val="00AA5D9B"/>
    <w:rsid w:val="00AA6366"/>
    <w:rsid w:val="00AA6393"/>
    <w:rsid w:val="00AA6645"/>
    <w:rsid w:val="00AA667A"/>
    <w:rsid w:val="00AA6754"/>
    <w:rsid w:val="00AA6936"/>
    <w:rsid w:val="00AA6972"/>
    <w:rsid w:val="00AA697C"/>
    <w:rsid w:val="00AA69C2"/>
    <w:rsid w:val="00AA6CDF"/>
    <w:rsid w:val="00AA6E5E"/>
    <w:rsid w:val="00AA6F7E"/>
    <w:rsid w:val="00AA6FE5"/>
    <w:rsid w:val="00AA709B"/>
    <w:rsid w:val="00AA7468"/>
    <w:rsid w:val="00AA74FD"/>
    <w:rsid w:val="00AA7597"/>
    <w:rsid w:val="00AA75C7"/>
    <w:rsid w:val="00AA78C6"/>
    <w:rsid w:val="00AA79B2"/>
    <w:rsid w:val="00AA7C09"/>
    <w:rsid w:val="00AA7CA1"/>
    <w:rsid w:val="00AA7CFD"/>
    <w:rsid w:val="00AA7D43"/>
    <w:rsid w:val="00AA7D75"/>
    <w:rsid w:val="00AB001A"/>
    <w:rsid w:val="00AB0121"/>
    <w:rsid w:val="00AB0244"/>
    <w:rsid w:val="00AB0319"/>
    <w:rsid w:val="00AB0463"/>
    <w:rsid w:val="00AB064D"/>
    <w:rsid w:val="00AB08A7"/>
    <w:rsid w:val="00AB08AF"/>
    <w:rsid w:val="00AB0942"/>
    <w:rsid w:val="00AB0C46"/>
    <w:rsid w:val="00AB0D03"/>
    <w:rsid w:val="00AB0D72"/>
    <w:rsid w:val="00AB1080"/>
    <w:rsid w:val="00AB10F4"/>
    <w:rsid w:val="00AB11C9"/>
    <w:rsid w:val="00AB12B2"/>
    <w:rsid w:val="00AB137A"/>
    <w:rsid w:val="00AB142B"/>
    <w:rsid w:val="00AB19F2"/>
    <w:rsid w:val="00AB1C16"/>
    <w:rsid w:val="00AB2079"/>
    <w:rsid w:val="00AB2173"/>
    <w:rsid w:val="00AB24AE"/>
    <w:rsid w:val="00AB2599"/>
    <w:rsid w:val="00AB2991"/>
    <w:rsid w:val="00AB2A20"/>
    <w:rsid w:val="00AB2D17"/>
    <w:rsid w:val="00AB2D94"/>
    <w:rsid w:val="00AB2DDC"/>
    <w:rsid w:val="00AB2E75"/>
    <w:rsid w:val="00AB2FC3"/>
    <w:rsid w:val="00AB3063"/>
    <w:rsid w:val="00AB31FA"/>
    <w:rsid w:val="00AB33DA"/>
    <w:rsid w:val="00AB34AD"/>
    <w:rsid w:val="00AB3708"/>
    <w:rsid w:val="00AB37EE"/>
    <w:rsid w:val="00AB3A2B"/>
    <w:rsid w:val="00AB3CD4"/>
    <w:rsid w:val="00AB4132"/>
    <w:rsid w:val="00AB4492"/>
    <w:rsid w:val="00AB4693"/>
    <w:rsid w:val="00AB46B3"/>
    <w:rsid w:val="00AB46E2"/>
    <w:rsid w:val="00AB48DB"/>
    <w:rsid w:val="00AB492D"/>
    <w:rsid w:val="00AB49F1"/>
    <w:rsid w:val="00AB4C47"/>
    <w:rsid w:val="00AB4CFF"/>
    <w:rsid w:val="00AB4D6A"/>
    <w:rsid w:val="00AB4EDA"/>
    <w:rsid w:val="00AB503D"/>
    <w:rsid w:val="00AB515C"/>
    <w:rsid w:val="00AB51D2"/>
    <w:rsid w:val="00AB5323"/>
    <w:rsid w:val="00AB53E4"/>
    <w:rsid w:val="00AB5450"/>
    <w:rsid w:val="00AB5459"/>
    <w:rsid w:val="00AB54D7"/>
    <w:rsid w:val="00AB54E0"/>
    <w:rsid w:val="00AB56C6"/>
    <w:rsid w:val="00AB58BC"/>
    <w:rsid w:val="00AB5985"/>
    <w:rsid w:val="00AB5B10"/>
    <w:rsid w:val="00AB5F0D"/>
    <w:rsid w:val="00AB5F6F"/>
    <w:rsid w:val="00AB5FBE"/>
    <w:rsid w:val="00AB6102"/>
    <w:rsid w:val="00AB6135"/>
    <w:rsid w:val="00AB6225"/>
    <w:rsid w:val="00AB6314"/>
    <w:rsid w:val="00AB639E"/>
    <w:rsid w:val="00AB676D"/>
    <w:rsid w:val="00AB6BD9"/>
    <w:rsid w:val="00AB6D57"/>
    <w:rsid w:val="00AB6ECD"/>
    <w:rsid w:val="00AB700E"/>
    <w:rsid w:val="00AB72A9"/>
    <w:rsid w:val="00AB73AE"/>
    <w:rsid w:val="00AB7733"/>
    <w:rsid w:val="00AB7934"/>
    <w:rsid w:val="00AB7DCC"/>
    <w:rsid w:val="00AB7EEE"/>
    <w:rsid w:val="00AB7F3B"/>
    <w:rsid w:val="00AC00EA"/>
    <w:rsid w:val="00AC0AA4"/>
    <w:rsid w:val="00AC0BB6"/>
    <w:rsid w:val="00AC0BF0"/>
    <w:rsid w:val="00AC0D37"/>
    <w:rsid w:val="00AC0E2A"/>
    <w:rsid w:val="00AC0E5D"/>
    <w:rsid w:val="00AC1542"/>
    <w:rsid w:val="00AC15A3"/>
    <w:rsid w:val="00AC15BE"/>
    <w:rsid w:val="00AC1709"/>
    <w:rsid w:val="00AC1741"/>
    <w:rsid w:val="00AC1818"/>
    <w:rsid w:val="00AC1953"/>
    <w:rsid w:val="00AC1A9E"/>
    <w:rsid w:val="00AC1E0D"/>
    <w:rsid w:val="00AC1E52"/>
    <w:rsid w:val="00AC214E"/>
    <w:rsid w:val="00AC2238"/>
    <w:rsid w:val="00AC2326"/>
    <w:rsid w:val="00AC27C6"/>
    <w:rsid w:val="00AC27E5"/>
    <w:rsid w:val="00AC2887"/>
    <w:rsid w:val="00AC289E"/>
    <w:rsid w:val="00AC28B0"/>
    <w:rsid w:val="00AC3187"/>
    <w:rsid w:val="00AC323D"/>
    <w:rsid w:val="00AC33CC"/>
    <w:rsid w:val="00AC34AB"/>
    <w:rsid w:val="00AC36D2"/>
    <w:rsid w:val="00AC388D"/>
    <w:rsid w:val="00AC3A7E"/>
    <w:rsid w:val="00AC3E10"/>
    <w:rsid w:val="00AC3E41"/>
    <w:rsid w:val="00AC3E7C"/>
    <w:rsid w:val="00AC3FC5"/>
    <w:rsid w:val="00AC4040"/>
    <w:rsid w:val="00AC4196"/>
    <w:rsid w:val="00AC42F7"/>
    <w:rsid w:val="00AC4463"/>
    <w:rsid w:val="00AC453B"/>
    <w:rsid w:val="00AC465F"/>
    <w:rsid w:val="00AC498A"/>
    <w:rsid w:val="00AC4A4B"/>
    <w:rsid w:val="00AC4C04"/>
    <w:rsid w:val="00AC4D65"/>
    <w:rsid w:val="00AC4E9F"/>
    <w:rsid w:val="00AC4EAC"/>
    <w:rsid w:val="00AC4EF3"/>
    <w:rsid w:val="00AC4F7C"/>
    <w:rsid w:val="00AC4F82"/>
    <w:rsid w:val="00AC50A9"/>
    <w:rsid w:val="00AC50D1"/>
    <w:rsid w:val="00AC50F5"/>
    <w:rsid w:val="00AC512D"/>
    <w:rsid w:val="00AC522A"/>
    <w:rsid w:val="00AC5256"/>
    <w:rsid w:val="00AC52C5"/>
    <w:rsid w:val="00AC530A"/>
    <w:rsid w:val="00AC54BB"/>
    <w:rsid w:val="00AC5701"/>
    <w:rsid w:val="00AC57BF"/>
    <w:rsid w:val="00AC587D"/>
    <w:rsid w:val="00AC58EE"/>
    <w:rsid w:val="00AC5E57"/>
    <w:rsid w:val="00AC5EB6"/>
    <w:rsid w:val="00AC5FCD"/>
    <w:rsid w:val="00AC6190"/>
    <w:rsid w:val="00AC6345"/>
    <w:rsid w:val="00AC638B"/>
    <w:rsid w:val="00AC6537"/>
    <w:rsid w:val="00AC66B2"/>
    <w:rsid w:val="00AC679B"/>
    <w:rsid w:val="00AC67AF"/>
    <w:rsid w:val="00AC67C7"/>
    <w:rsid w:val="00AC68C6"/>
    <w:rsid w:val="00AC6AA3"/>
    <w:rsid w:val="00AC6AC2"/>
    <w:rsid w:val="00AC6CA6"/>
    <w:rsid w:val="00AC70A1"/>
    <w:rsid w:val="00AC74A2"/>
    <w:rsid w:val="00AC7543"/>
    <w:rsid w:val="00AC75B2"/>
    <w:rsid w:val="00AC75DA"/>
    <w:rsid w:val="00AC76E2"/>
    <w:rsid w:val="00AC77D4"/>
    <w:rsid w:val="00AC77E8"/>
    <w:rsid w:val="00AC7A60"/>
    <w:rsid w:val="00AC7C10"/>
    <w:rsid w:val="00AC7E0F"/>
    <w:rsid w:val="00AC7F7C"/>
    <w:rsid w:val="00AC7FE5"/>
    <w:rsid w:val="00AC7FEC"/>
    <w:rsid w:val="00AD0444"/>
    <w:rsid w:val="00AD0452"/>
    <w:rsid w:val="00AD0699"/>
    <w:rsid w:val="00AD0A7C"/>
    <w:rsid w:val="00AD0B80"/>
    <w:rsid w:val="00AD0DC7"/>
    <w:rsid w:val="00AD0FEB"/>
    <w:rsid w:val="00AD1016"/>
    <w:rsid w:val="00AD1302"/>
    <w:rsid w:val="00AD16BD"/>
    <w:rsid w:val="00AD1AA2"/>
    <w:rsid w:val="00AD1C29"/>
    <w:rsid w:val="00AD1E12"/>
    <w:rsid w:val="00AD1E42"/>
    <w:rsid w:val="00AD20A8"/>
    <w:rsid w:val="00AD20F2"/>
    <w:rsid w:val="00AD21E8"/>
    <w:rsid w:val="00AD2453"/>
    <w:rsid w:val="00AD264C"/>
    <w:rsid w:val="00AD27BE"/>
    <w:rsid w:val="00AD2870"/>
    <w:rsid w:val="00AD2931"/>
    <w:rsid w:val="00AD2974"/>
    <w:rsid w:val="00AD2BC0"/>
    <w:rsid w:val="00AD3248"/>
    <w:rsid w:val="00AD3664"/>
    <w:rsid w:val="00AD388C"/>
    <w:rsid w:val="00AD38F2"/>
    <w:rsid w:val="00AD4491"/>
    <w:rsid w:val="00AD45FD"/>
    <w:rsid w:val="00AD476F"/>
    <w:rsid w:val="00AD4A48"/>
    <w:rsid w:val="00AD4BE2"/>
    <w:rsid w:val="00AD4D5F"/>
    <w:rsid w:val="00AD4DCF"/>
    <w:rsid w:val="00AD4F06"/>
    <w:rsid w:val="00AD506E"/>
    <w:rsid w:val="00AD534D"/>
    <w:rsid w:val="00AD5397"/>
    <w:rsid w:val="00AD5495"/>
    <w:rsid w:val="00AD5A54"/>
    <w:rsid w:val="00AD5AD4"/>
    <w:rsid w:val="00AD5CB9"/>
    <w:rsid w:val="00AD5D36"/>
    <w:rsid w:val="00AD5D88"/>
    <w:rsid w:val="00AD601C"/>
    <w:rsid w:val="00AD61D3"/>
    <w:rsid w:val="00AD6340"/>
    <w:rsid w:val="00AD670D"/>
    <w:rsid w:val="00AD6993"/>
    <w:rsid w:val="00AD6D99"/>
    <w:rsid w:val="00AD6E18"/>
    <w:rsid w:val="00AD71F8"/>
    <w:rsid w:val="00AD7364"/>
    <w:rsid w:val="00AD77EC"/>
    <w:rsid w:val="00AD7A30"/>
    <w:rsid w:val="00AD7ACE"/>
    <w:rsid w:val="00AD7D8A"/>
    <w:rsid w:val="00AD7D9C"/>
    <w:rsid w:val="00AD7DDC"/>
    <w:rsid w:val="00AD7E2B"/>
    <w:rsid w:val="00AD7EB6"/>
    <w:rsid w:val="00AE0066"/>
    <w:rsid w:val="00AE01D8"/>
    <w:rsid w:val="00AE054E"/>
    <w:rsid w:val="00AE06CA"/>
    <w:rsid w:val="00AE0799"/>
    <w:rsid w:val="00AE07AD"/>
    <w:rsid w:val="00AE096F"/>
    <w:rsid w:val="00AE0BFE"/>
    <w:rsid w:val="00AE0D08"/>
    <w:rsid w:val="00AE1040"/>
    <w:rsid w:val="00AE1304"/>
    <w:rsid w:val="00AE131A"/>
    <w:rsid w:val="00AE14B5"/>
    <w:rsid w:val="00AE150F"/>
    <w:rsid w:val="00AE1AB5"/>
    <w:rsid w:val="00AE1B2D"/>
    <w:rsid w:val="00AE1B84"/>
    <w:rsid w:val="00AE1CC5"/>
    <w:rsid w:val="00AE1D84"/>
    <w:rsid w:val="00AE2274"/>
    <w:rsid w:val="00AE2332"/>
    <w:rsid w:val="00AE25FB"/>
    <w:rsid w:val="00AE282E"/>
    <w:rsid w:val="00AE28D2"/>
    <w:rsid w:val="00AE29CC"/>
    <w:rsid w:val="00AE2FEE"/>
    <w:rsid w:val="00AE30EE"/>
    <w:rsid w:val="00AE32C1"/>
    <w:rsid w:val="00AE33B6"/>
    <w:rsid w:val="00AE3569"/>
    <w:rsid w:val="00AE356F"/>
    <w:rsid w:val="00AE36B5"/>
    <w:rsid w:val="00AE3C3C"/>
    <w:rsid w:val="00AE3D8B"/>
    <w:rsid w:val="00AE3E67"/>
    <w:rsid w:val="00AE3E83"/>
    <w:rsid w:val="00AE4368"/>
    <w:rsid w:val="00AE4376"/>
    <w:rsid w:val="00AE449D"/>
    <w:rsid w:val="00AE49E4"/>
    <w:rsid w:val="00AE4A4F"/>
    <w:rsid w:val="00AE4D72"/>
    <w:rsid w:val="00AE4F25"/>
    <w:rsid w:val="00AE517E"/>
    <w:rsid w:val="00AE5241"/>
    <w:rsid w:val="00AE528A"/>
    <w:rsid w:val="00AE52A7"/>
    <w:rsid w:val="00AE5388"/>
    <w:rsid w:val="00AE5567"/>
    <w:rsid w:val="00AE5589"/>
    <w:rsid w:val="00AE5614"/>
    <w:rsid w:val="00AE5704"/>
    <w:rsid w:val="00AE59A7"/>
    <w:rsid w:val="00AE59D7"/>
    <w:rsid w:val="00AE5A4C"/>
    <w:rsid w:val="00AE5A9F"/>
    <w:rsid w:val="00AE5BF5"/>
    <w:rsid w:val="00AE5CDC"/>
    <w:rsid w:val="00AE5D1B"/>
    <w:rsid w:val="00AE5DD0"/>
    <w:rsid w:val="00AE5DF9"/>
    <w:rsid w:val="00AE603D"/>
    <w:rsid w:val="00AE63A9"/>
    <w:rsid w:val="00AE67DD"/>
    <w:rsid w:val="00AE6B5B"/>
    <w:rsid w:val="00AE6C5E"/>
    <w:rsid w:val="00AE71B1"/>
    <w:rsid w:val="00AE7231"/>
    <w:rsid w:val="00AE7303"/>
    <w:rsid w:val="00AE78C4"/>
    <w:rsid w:val="00AE7A68"/>
    <w:rsid w:val="00AE7B57"/>
    <w:rsid w:val="00AE7C7A"/>
    <w:rsid w:val="00AE7D20"/>
    <w:rsid w:val="00AE7D52"/>
    <w:rsid w:val="00AE7E03"/>
    <w:rsid w:val="00AE7EC1"/>
    <w:rsid w:val="00AE7F05"/>
    <w:rsid w:val="00AF003F"/>
    <w:rsid w:val="00AF006F"/>
    <w:rsid w:val="00AF0225"/>
    <w:rsid w:val="00AF025C"/>
    <w:rsid w:val="00AF026B"/>
    <w:rsid w:val="00AF0501"/>
    <w:rsid w:val="00AF08F1"/>
    <w:rsid w:val="00AF097B"/>
    <w:rsid w:val="00AF0BC0"/>
    <w:rsid w:val="00AF0D72"/>
    <w:rsid w:val="00AF0D76"/>
    <w:rsid w:val="00AF0E61"/>
    <w:rsid w:val="00AF0F51"/>
    <w:rsid w:val="00AF12D9"/>
    <w:rsid w:val="00AF143F"/>
    <w:rsid w:val="00AF14FE"/>
    <w:rsid w:val="00AF15F3"/>
    <w:rsid w:val="00AF182B"/>
    <w:rsid w:val="00AF1DB0"/>
    <w:rsid w:val="00AF1E93"/>
    <w:rsid w:val="00AF1FA6"/>
    <w:rsid w:val="00AF2046"/>
    <w:rsid w:val="00AF2192"/>
    <w:rsid w:val="00AF2210"/>
    <w:rsid w:val="00AF254E"/>
    <w:rsid w:val="00AF25C5"/>
    <w:rsid w:val="00AF25E9"/>
    <w:rsid w:val="00AF264A"/>
    <w:rsid w:val="00AF2735"/>
    <w:rsid w:val="00AF28A2"/>
    <w:rsid w:val="00AF290D"/>
    <w:rsid w:val="00AF2AF5"/>
    <w:rsid w:val="00AF2B70"/>
    <w:rsid w:val="00AF2BBC"/>
    <w:rsid w:val="00AF2C96"/>
    <w:rsid w:val="00AF2FCE"/>
    <w:rsid w:val="00AF33B8"/>
    <w:rsid w:val="00AF3535"/>
    <w:rsid w:val="00AF360F"/>
    <w:rsid w:val="00AF36FD"/>
    <w:rsid w:val="00AF37CD"/>
    <w:rsid w:val="00AF38C1"/>
    <w:rsid w:val="00AF39AC"/>
    <w:rsid w:val="00AF3AFC"/>
    <w:rsid w:val="00AF3B16"/>
    <w:rsid w:val="00AF3BD9"/>
    <w:rsid w:val="00AF3C13"/>
    <w:rsid w:val="00AF3C41"/>
    <w:rsid w:val="00AF3CFA"/>
    <w:rsid w:val="00AF3D3C"/>
    <w:rsid w:val="00AF3E8A"/>
    <w:rsid w:val="00AF3F16"/>
    <w:rsid w:val="00AF3F51"/>
    <w:rsid w:val="00AF409F"/>
    <w:rsid w:val="00AF479F"/>
    <w:rsid w:val="00AF48AB"/>
    <w:rsid w:val="00AF492A"/>
    <w:rsid w:val="00AF4B5C"/>
    <w:rsid w:val="00AF4C02"/>
    <w:rsid w:val="00AF4D70"/>
    <w:rsid w:val="00AF4D8B"/>
    <w:rsid w:val="00AF4E0B"/>
    <w:rsid w:val="00AF4EF5"/>
    <w:rsid w:val="00AF5101"/>
    <w:rsid w:val="00AF56A0"/>
    <w:rsid w:val="00AF5868"/>
    <w:rsid w:val="00AF5AB6"/>
    <w:rsid w:val="00AF5C0B"/>
    <w:rsid w:val="00AF5C99"/>
    <w:rsid w:val="00AF63C3"/>
    <w:rsid w:val="00AF6779"/>
    <w:rsid w:val="00AF6A29"/>
    <w:rsid w:val="00AF6FB5"/>
    <w:rsid w:val="00AF6FC0"/>
    <w:rsid w:val="00AF70E7"/>
    <w:rsid w:val="00AF7330"/>
    <w:rsid w:val="00AF740B"/>
    <w:rsid w:val="00AF762D"/>
    <w:rsid w:val="00AF7C26"/>
    <w:rsid w:val="00AF7CC4"/>
    <w:rsid w:val="00AF7CEC"/>
    <w:rsid w:val="00AF7E43"/>
    <w:rsid w:val="00AF7EF1"/>
    <w:rsid w:val="00AF7F2E"/>
    <w:rsid w:val="00B0005F"/>
    <w:rsid w:val="00B00060"/>
    <w:rsid w:val="00B000D3"/>
    <w:rsid w:val="00B001FD"/>
    <w:rsid w:val="00B0049A"/>
    <w:rsid w:val="00B0063B"/>
    <w:rsid w:val="00B0066A"/>
    <w:rsid w:val="00B0074C"/>
    <w:rsid w:val="00B00931"/>
    <w:rsid w:val="00B00A09"/>
    <w:rsid w:val="00B00A2F"/>
    <w:rsid w:val="00B00CFC"/>
    <w:rsid w:val="00B00F65"/>
    <w:rsid w:val="00B0128E"/>
    <w:rsid w:val="00B01339"/>
    <w:rsid w:val="00B01955"/>
    <w:rsid w:val="00B019D5"/>
    <w:rsid w:val="00B01B41"/>
    <w:rsid w:val="00B01BB9"/>
    <w:rsid w:val="00B01C61"/>
    <w:rsid w:val="00B01F01"/>
    <w:rsid w:val="00B02018"/>
    <w:rsid w:val="00B02382"/>
    <w:rsid w:val="00B023A0"/>
    <w:rsid w:val="00B023E1"/>
    <w:rsid w:val="00B0253E"/>
    <w:rsid w:val="00B0263A"/>
    <w:rsid w:val="00B027C1"/>
    <w:rsid w:val="00B02A95"/>
    <w:rsid w:val="00B02B75"/>
    <w:rsid w:val="00B02C64"/>
    <w:rsid w:val="00B02D07"/>
    <w:rsid w:val="00B0330D"/>
    <w:rsid w:val="00B03315"/>
    <w:rsid w:val="00B0331F"/>
    <w:rsid w:val="00B0340A"/>
    <w:rsid w:val="00B03563"/>
    <w:rsid w:val="00B0358B"/>
    <w:rsid w:val="00B037CF"/>
    <w:rsid w:val="00B037F8"/>
    <w:rsid w:val="00B0385D"/>
    <w:rsid w:val="00B03BEF"/>
    <w:rsid w:val="00B03CC0"/>
    <w:rsid w:val="00B04174"/>
    <w:rsid w:val="00B04190"/>
    <w:rsid w:val="00B041F8"/>
    <w:rsid w:val="00B044BC"/>
    <w:rsid w:val="00B045F5"/>
    <w:rsid w:val="00B0488A"/>
    <w:rsid w:val="00B0488D"/>
    <w:rsid w:val="00B0498F"/>
    <w:rsid w:val="00B04A63"/>
    <w:rsid w:val="00B04E18"/>
    <w:rsid w:val="00B04E36"/>
    <w:rsid w:val="00B04F2D"/>
    <w:rsid w:val="00B05256"/>
    <w:rsid w:val="00B052EA"/>
    <w:rsid w:val="00B05763"/>
    <w:rsid w:val="00B05930"/>
    <w:rsid w:val="00B05A21"/>
    <w:rsid w:val="00B05B6B"/>
    <w:rsid w:val="00B05E2A"/>
    <w:rsid w:val="00B05F7C"/>
    <w:rsid w:val="00B062D4"/>
    <w:rsid w:val="00B06469"/>
    <w:rsid w:val="00B06529"/>
    <w:rsid w:val="00B0699D"/>
    <w:rsid w:val="00B069A3"/>
    <w:rsid w:val="00B069AF"/>
    <w:rsid w:val="00B069E3"/>
    <w:rsid w:val="00B06D9F"/>
    <w:rsid w:val="00B06DD4"/>
    <w:rsid w:val="00B070EE"/>
    <w:rsid w:val="00B07142"/>
    <w:rsid w:val="00B0737E"/>
    <w:rsid w:val="00B07548"/>
    <w:rsid w:val="00B07703"/>
    <w:rsid w:val="00B07741"/>
    <w:rsid w:val="00B07909"/>
    <w:rsid w:val="00B0793E"/>
    <w:rsid w:val="00B07A3C"/>
    <w:rsid w:val="00B07F9A"/>
    <w:rsid w:val="00B10402"/>
    <w:rsid w:val="00B10693"/>
    <w:rsid w:val="00B10695"/>
    <w:rsid w:val="00B10D99"/>
    <w:rsid w:val="00B10DD7"/>
    <w:rsid w:val="00B10FEC"/>
    <w:rsid w:val="00B111AD"/>
    <w:rsid w:val="00B1121B"/>
    <w:rsid w:val="00B114C6"/>
    <w:rsid w:val="00B114C8"/>
    <w:rsid w:val="00B116D7"/>
    <w:rsid w:val="00B1171B"/>
    <w:rsid w:val="00B11AC2"/>
    <w:rsid w:val="00B11B7F"/>
    <w:rsid w:val="00B11C61"/>
    <w:rsid w:val="00B11CB0"/>
    <w:rsid w:val="00B11CE5"/>
    <w:rsid w:val="00B11D1D"/>
    <w:rsid w:val="00B11DC6"/>
    <w:rsid w:val="00B11EC2"/>
    <w:rsid w:val="00B11F21"/>
    <w:rsid w:val="00B11F80"/>
    <w:rsid w:val="00B11F84"/>
    <w:rsid w:val="00B120BD"/>
    <w:rsid w:val="00B1253C"/>
    <w:rsid w:val="00B126A3"/>
    <w:rsid w:val="00B127FB"/>
    <w:rsid w:val="00B1284A"/>
    <w:rsid w:val="00B12C5D"/>
    <w:rsid w:val="00B12CEB"/>
    <w:rsid w:val="00B12D8F"/>
    <w:rsid w:val="00B12E49"/>
    <w:rsid w:val="00B13338"/>
    <w:rsid w:val="00B1348C"/>
    <w:rsid w:val="00B13696"/>
    <w:rsid w:val="00B13960"/>
    <w:rsid w:val="00B1399E"/>
    <w:rsid w:val="00B139FA"/>
    <w:rsid w:val="00B13BD3"/>
    <w:rsid w:val="00B13C45"/>
    <w:rsid w:val="00B13D64"/>
    <w:rsid w:val="00B14063"/>
    <w:rsid w:val="00B1422D"/>
    <w:rsid w:val="00B14238"/>
    <w:rsid w:val="00B1423B"/>
    <w:rsid w:val="00B14360"/>
    <w:rsid w:val="00B1445E"/>
    <w:rsid w:val="00B14560"/>
    <w:rsid w:val="00B14676"/>
    <w:rsid w:val="00B14774"/>
    <w:rsid w:val="00B14942"/>
    <w:rsid w:val="00B14957"/>
    <w:rsid w:val="00B14976"/>
    <w:rsid w:val="00B14AC8"/>
    <w:rsid w:val="00B14B99"/>
    <w:rsid w:val="00B14C59"/>
    <w:rsid w:val="00B14DBA"/>
    <w:rsid w:val="00B151F6"/>
    <w:rsid w:val="00B1521E"/>
    <w:rsid w:val="00B15459"/>
    <w:rsid w:val="00B156A4"/>
    <w:rsid w:val="00B15701"/>
    <w:rsid w:val="00B15867"/>
    <w:rsid w:val="00B1595B"/>
    <w:rsid w:val="00B15D20"/>
    <w:rsid w:val="00B15EB8"/>
    <w:rsid w:val="00B15FB8"/>
    <w:rsid w:val="00B161D4"/>
    <w:rsid w:val="00B16334"/>
    <w:rsid w:val="00B16445"/>
    <w:rsid w:val="00B16456"/>
    <w:rsid w:val="00B165EA"/>
    <w:rsid w:val="00B166A8"/>
    <w:rsid w:val="00B1693E"/>
    <w:rsid w:val="00B169A9"/>
    <w:rsid w:val="00B169C3"/>
    <w:rsid w:val="00B16BBD"/>
    <w:rsid w:val="00B16E5A"/>
    <w:rsid w:val="00B16EBB"/>
    <w:rsid w:val="00B16FCA"/>
    <w:rsid w:val="00B1722B"/>
    <w:rsid w:val="00B173D3"/>
    <w:rsid w:val="00B17479"/>
    <w:rsid w:val="00B174A1"/>
    <w:rsid w:val="00B17616"/>
    <w:rsid w:val="00B179F1"/>
    <w:rsid w:val="00B179FB"/>
    <w:rsid w:val="00B17B04"/>
    <w:rsid w:val="00B17DE3"/>
    <w:rsid w:val="00B17F04"/>
    <w:rsid w:val="00B17FF5"/>
    <w:rsid w:val="00B20036"/>
    <w:rsid w:val="00B201B0"/>
    <w:rsid w:val="00B201EE"/>
    <w:rsid w:val="00B20351"/>
    <w:rsid w:val="00B20507"/>
    <w:rsid w:val="00B20598"/>
    <w:rsid w:val="00B20727"/>
    <w:rsid w:val="00B20807"/>
    <w:rsid w:val="00B20879"/>
    <w:rsid w:val="00B20903"/>
    <w:rsid w:val="00B20A8F"/>
    <w:rsid w:val="00B20AF2"/>
    <w:rsid w:val="00B20BF7"/>
    <w:rsid w:val="00B20C20"/>
    <w:rsid w:val="00B20D1F"/>
    <w:rsid w:val="00B20E96"/>
    <w:rsid w:val="00B21185"/>
    <w:rsid w:val="00B211F0"/>
    <w:rsid w:val="00B213EF"/>
    <w:rsid w:val="00B21728"/>
    <w:rsid w:val="00B21731"/>
    <w:rsid w:val="00B2195F"/>
    <w:rsid w:val="00B21A0E"/>
    <w:rsid w:val="00B21B97"/>
    <w:rsid w:val="00B21BF1"/>
    <w:rsid w:val="00B21CF2"/>
    <w:rsid w:val="00B21DEE"/>
    <w:rsid w:val="00B21DF0"/>
    <w:rsid w:val="00B21E6C"/>
    <w:rsid w:val="00B2219D"/>
    <w:rsid w:val="00B2222D"/>
    <w:rsid w:val="00B2229B"/>
    <w:rsid w:val="00B222CF"/>
    <w:rsid w:val="00B223FC"/>
    <w:rsid w:val="00B22563"/>
    <w:rsid w:val="00B225D1"/>
    <w:rsid w:val="00B22854"/>
    <w:rsid w:val="00B22A3E"/>
    <w:rsid w:val="00B22AFE"/>
    <w:rsid w:val="00B22B7B"/>
    <w:rsid w:val="00B231D9"/>
    <w:rsid w:val="00B23258"/>
    <w:rsid w:val="00B232E7"/>
    <w:rsid w:val="00B23360"/>
    <w:rsid w:val="00B23367"/>
    <w:rsid w:val="00B233D2"/>
    <w:rsid w:val="00B23603"/>
    <w:rsid w:val="00B2364F"/>
    <w:rsid w:val="00B237AB"/>
    <w:rsid w:val="00B2381D"/>
    <w:rsid w:val="00B23A52"/>
    <w:rsid w:val="00B23B19"/>
    <w:rsid w:val="00B23BA4"/>
    <w:rsid w:val="00B23D7E"/>
    <w:rsid w:val="00B23DC1"/>
    <w:rsid w:val="00B23FDC"/>
    <w:rsid w:val="00B2427D"/>
    <w:rsid w:val="00B24494"/>
    <w:rsid w:val="00B244F7"/>
    <w:rsid w:val="00B24B72"/>
    <w:rsid w:val="00B24BEC"/>
    <w:rsid w:val="00B2515A"/>
    <w:rsid w:val="00B2519F"/>
    <w:rsid w:val="00B258D7"/>
    <w:rsid w:val="00B259A5"/>
    <w:rsid w:val="00B25A2C"/>
    <w:rsid w:val="00B25A82"/>
    <w:rsid w:val="00B25AA6"/>
    <w:rsid w:val="00B25DD2"/>
    <w:rsid w:val="00B25E98"/>
    <w:rsid w:val="00B25F7A"/>
    <w:rsid w:val="00B25FD9"/>
    <w:rsid w:val="00B26190"/>
    <w:rsid w:val="00B262B9"/>
    <w:rsid w:val="00B263AE"/>
    <w:rsid w:val="00B263B7"/>
    <w:rsid w:val="00B2644F"/>
    <w:rsid w:val="00B26480"/>
    <w:rsid w:val="00B26C36"/>
    <w:rsid w:val="00B26D69"/>
    <w:rsid w:val="00B26F01"/>
    <w:rsid w:val="00B274C1"/>
    <w:rsid w:val="00B27515"/>
    <w:rsid w:val="00B27974"/>
    <w:rsid w:val="00B27A6D"/>
    <w:rsid w:val="00B27FD6"/>
    <w:rsid w:val="00B3008E"/>
    <w:rsid w:val="00B300C6"/>
    <w:rsid w:val="00B3011F"/>
    <w:rsid w:val="00B301B3"/>
    <w:rsid w:val="00B302FA"/>
    <w:rsid w:val="00B30301"/>
    <w:rsid w:val="00B30527"/>
    <w:rsid w:val="00B3083C"/>
    <w:rsid w:val="00B30BED"/>
    <w:rsid w:val="00B30C73"/>
    <w:rsid w:val="00B30DF6"/>
    <w:rsid w:val="00B30F28"/>
    <w:rsid w:val="00B31184"/>
    <w:rsid w:val="00B315F0"/>
    <w:rsid w:val="00B31A4C"/>
    <w:rsid w:val="00B31AA8"/>
    <w:rsid w:val="00B31C76"/>
    <w:rsid w:val="00B322AE"/>
    <w:rsid w:val="00B323BD"/>
    <w:rsid w:val="00B325E4"/>
    <w:rsid w:val="00B32829"/>
    <w:rsid w:val="00B32A97"/>
    <w:rsid w:val="00B32BC4"/>
    <w:rsid w:val="00B32CEF"/>
    <w:rsid w:val="00B32D6C"/>
    <w:rsid w:val="00B32E72"/>
    <w:rsid w:val="00B32E76"/>
    <w:rsid w:val="00B32FB5"/>
    <w:rsid w:val="00B3308B"/>
    <w:rsid w:val="00B330C8"/>
    <w:rsid w:val="00B33591"/>
    <w:rsid w:val="00B33628"/>
    <w:rsid w:val="00B336D6"/>
    <w:rsid w:val="00B33733"/>
    <w:rsid w:val="00B33AAE"/>
    <w:rsid w:val="00B33B5A"/>
    <w:rsid w:val="00B33DA5"/>
    <w:rsid w:val="00B33DD2"/>
    <w:rsid w:val="00B34048"/>
    <w:rsid w:val="00B340C9"/>
    <w:rsid w:val="00B34107"/>
    <w:rsid w:val="00B34391"/>
    <w:rsid w:val="00B343AD"/>
    <w:rsid w:val="00B34488"/>
    <w:rsid w:val="00B34683"/>
    <w:rsid w:val="00B34707"/>
    <w:rsid w:val="00B34787"/>
    <w:rsid w:val="00B3484F"/>
    <w:rsid w:val="00B349D0"/>
    <w:rsid w:val="00B34B84"/>
    <w:rsid w:val="00B34CE9"/>
    <w:rsid w:val="00B34DD3"/>
    <w:rsid w:val="00B34FDA"/>
    <w:rsid w:val="00B3513B"/>
    <w:rsid w:val="00B354A3"/>
    <w:rsid w:val="00B35553"/>
    <w:rsid w:val="00B3558F"/>
    <w:rsid w:val="00B355EC"/>
    <w:rsid w:val="00B35A1E"/>
    <w:rsid w:val="00B35C07"/>
    <w:rsid w:val="00B35C18"/>
    <w:rsid w:val="00B35E4C"/>
    <w:rsid w:val="00B362B2"/>
    <w:rsid w:val="00B36331"/>
    <w:rsid w:val="00B36452"/>
    <w:rsid w:val="00B36643"/>
    <w:rsid w:val="00B368C3"/>
    <w:rsid w:val="00B36A18"/>
    <w:rsid w:val="00B36B35"/>
    <w:rsid w:val="00B36E00"/>
    <w:rsid w:val="00B36EC1"/>
    <w:rsid w:val="00B37142"/>
    <w:rsid w:val="00B3748B"/>
    <w:rsid w:val="00B3749D"/>
    <w:rsid w:val="00B375D5"/>
    <w:rsid w:val="00B3777B"/>
    <w:rsid w:val="00B377B4"/>
    <w:rsid w:val="00B37816"/>
    <w:rsid w:val="00B378F1"/>
    <w:rsid w:val="00B37967"/>
    <w:rsid w:val="00B40189"/>
    <w:rsid w:val="00B4046B"/>
    <w:rsid w:val="00B404AD"/>
    <w:rsid w:val="00B404C4"/>
    <w:rsid w:val="00B40553"/>
    <w:rsid w:val="00B405B6"/>
    <w:rsid w:val="00B406E6"/>
    <w:rsid w:val="00B40930"/>
    <w:rsid w:val="00B40A03"/>
    <w:rsid w:val="00B40B46"/>
    <w:rsid w:val="00B40C0B"/>
    <w:rsid w:val="00B40C54"/>
    <w:rsid w:val="00B40C71"/>
    <w:rsid w:val="00B40D56"/>
    <w:rsid w:val="00B40D6C"/>
    <w:rsid w:val="00B40F98"/>
    <w:rsid w:val="00B40FF4"/>
    <w:rsid w:val="00B41103"/>
    <w:rsid w:val="00B41146"/>
    <w:rsid w:val="00B4133B"/>
    <w:rsid w:val="00B414D6"/>
    <w:rsid w:val="00B415AF"/>
    <w:rsid w:val="00B416B9"/>
    <w:rsid w:val="00B4182E"/>
    <w:rsid w:val="00B41AA6"/>
    <w:rsid w:val="00B41BA4"/>
    <w:rsid w:val="00B41DD9"/>
    <w:rsid w:val="00B41FE7"/>
    <w:rsid w:val="00B42118"/>
    <w:rsid w:val="00B42188"/>
    <w:rsid w:val="00B42208"/>
    <w:rsid w:val="00B42472"/>
    <w:rsid w:val="00B42580"/>
    <w:rsid w:val="00B4258F"/>
    <w:rsid w:val="00B425D1"/>
    <w:rsid w:val="00B428C4"/>
    <w:rsid w:val="00B428E2"/>
    <w:rsid w:val="00B42C79"/>
    <w:rsid w:val="00B42C90"/>
    <w:rsid w:val="00B42CA4"/>
    <w:rsid w:val="00B42FC7"/>
    <w:rsid w:val="00B4315F"/>
    <w:rsid w:val="00B4337D"/>
    <w:rsid w:val="00B4349B"/>
    <w:rsid w:val="00B43D7A"/>
    <w:rsid w:val="00B43D89"/>
    <w:rsid w:val="00B43DBB"/>
    <w:rsid w:val="00B43E92"/>
    <w:rsid w:val="00B440A9"/>
    <w:rsid w:val="00B440B7"/>
    <w:rsid w:val="00B440E8"/>
    <w:rsid w:val="00B443CC"/>
    <w:rsid w:val="00B44558"/>
    <w:rsid w:val="00B446CC"/>
    <w:rsid w:val="00B447EA"/>
    <w:rsid w:val="00B447FE"/>
    <w:rsid w:val="00B44CE4"/>
    <w:rsid w:val="00B44E6B"/>
    <w:rsid w:val="00B44E72"/>
    <w:rsid w:val="00B44E9A"/>
    <w:rsid w:val="00B44ED6"/>
    <w:rsid w:val="00B44EFF"/>
    <w:rsid w:val="00B44FDE"/>
    <w:rsid w:val="00B4508F"/>
    <w:rsid w:val="00B45664"/>
    <w:rsid w:val="00B4591A"/>
    <w:rsid w:val="00B45D20"/>
    <w:rsid w:val="00B45D36"/>
    <w:rsid w:val="00B45D88"/>
    <w:rsid w:val="00B45EE6"/>
    <w:rsid w:val="00B45F5C"/>
    <w:rsid w:val="00B45FF6"/>
    <w:rsid w:val="00B460D9"/>
    <w:rsid w:val="00B462CF"/>
    <w:rsid w:val="00B46338"/>
    <w:rsid w:val="00B465C5"/>
    <w:rsid w:val="00B467FC"/>
    <w:rsid w:val="00B4687D"/>
    <w:rsid w:val="00B4691B"/>
    <w:rsid w:val="00B46939"/>
    <w:rsid w:val="00B469A3"/>
    <w:rsid w:val="00B46E59"/>
    <w:rsid w:val="00B46EA1"/>
    <w:rsid w:val="00B47038"/>
    <w:rsid w:val="00B471DF"/>
    <w:rsid w:val="00B47335"/>
    <w:rsid w:val="00B4745F"/>
    <w:rsid w:val="00B47480"/>
    <w:rsid w:val="00B474EB"/>
    <w:rsid w:val="00B47744"/>
    <w:rsid w:val="00B4794B"/>
    <w:rsid w:val="00B47955"/>
    <w:rsid w:val="00B47BBA"/>
    <w:rsid w:val="00B47C93"/>
    <w:rsid w:val="00B47D22"/>
    <w:rsid w:val="00B50061"/>
    <w:rsid w:val="00B50189"/>
    <w:rsid w:val="00B501D8"/>
    <w:rsid w:val="00B5022D"/>
    <w:rsid w:val="00B50568"/>
    <w:rsid w:val="00B50BB2"/>
    <w:rsid w:val="00B50DFD"/>
    <w:rsid w:val="00B51076"/>
    <w:rsid w:val="00B5134A"/>
    <w:rsid w:val="00B51427"/>
    <w:rsid w:val="00B51746"/>
    <w:rsid w:val="00B51BF2"/>
    <w:rsid w:val="00B51C73"/>
    <w:rsid w:val="00B521AE"/>
    <w:rsid w:val="00B5220B"/>
    <w:rsid w:val="00B523F0"/>
    <w:rsid w:val="00B52637"/>
    <w:rsid w:val="00B52656"/>
    <w:rsid w:val="00B5266D"/>
    <w:rsid w:val="00B526BD"/>
    <w:rsid w:val="00B52C5B"/>
    <w:rsid w:val="00B52EF8"/>
    <w:rsid w:val="00B53108"/>
    <w:rsid w:val="00B531B3"/>
    <w:rsid w:val="00B533FB"/>
    <w:rsid w:val="00B53742"/>
    <w:rsid w:val="00B53753"/>
    <w:rsid w:val="00B53766"/>
    <w:rsid w:val="00B537B4"/>
    <w:rsid w:val="00B538E4"/>
    <w:rsid w:val="00B53AD4"/>
    <w:rsid w:val="00B53DF1"/>
    <w:rsid w:val="00B53EAC"/>
    <w:rsid w:val="00B53F53"/>
    <w:rsid w:val="00B5408B"/>
    <w:rsid w:val="00B540BC"/>
    <w:rsid w:val="00B542AF"/>
    <w:rsid w:val="00B54349"/>
    <w:rsid w:val="00B5455A"/>
    <w:rsid w:val="00B5455F"/>
    <w:rsid w:val="00B54730"/>
    <w:rsid w:val="00B549ED"/>
    <w:rsid w:val="00B54EB2"/>
    <w:rsid w:val="00B54F83"/>
    <w:rsid w:val="00B5504E"/>
    <w:rsid w:val="00B55205"/>
    <w:rsid w:val="00B55283"/>
    <w:rsid w:val="00B553F9"/>
    <w:rsid w:val="00B5547E"/>
    <w:rsid w:val="00B5547F"/>
    <w:rsid w:val="00B55492"/>
    <w:rsid w:val="00B554E1"/>
    <w:rsid w:val="00B55526"/>
    <w:rsid w:val="00B55643"/>
    <w:rsid w:val="00B55B9C"/>
    <w:rsid w:val="00B55D39"/>
    <w:rsid w:val="00B55DAE"/>
    <w:rsid w:val="00B55EB4"/>
    <w:rsid w:val="00B56191"/>
    <w:rsid w:val="00B561E4"/>
    <w:rsid w:val="00B56414"/>
    <w:rsid w:val="00B56423"/>
    <w:rsid w:val="00B56591"/>
    <w:rsid w:val="00B567DA"/>
    <w:rsid w:val="00B56964"/>
    <w:rsid w:val="00B56CF6"/>
    <w:rsid w:val="00B56E58"/>
    <w:rsid w:val="00B57103"/>
    <w:rsid w:val="00B57177"/>
    <w:rsid w:val="00B57246"/>
    <w:rsid w:val="00B57267"/>
    <w:rsid w:val="00B574B0"/>
    <w:rsid w:val="00B57597"/>
    <w:rsid w:val="00B57632"/>
    <w:rsid w:val="00B57784"/>
    <w:rsid w:val="00B5797A"/>
    <w:rsid w:val="00B57B51"/>
    <w:rsid w:val="00B57D60"/>
    <w:rsid w:val="00B60072"/>
    <w:rsid w:val="00B600F1"/>
    <w:rsid w:val="00B60185"/>
    <w:rsid w:val="00B601D6"/>
    <w:rsid w:val="00B60301"/>
    <w:rsid w:val="00B60460"/>
    <w:rsid w:val="00B60666"/>
    <w:rsid w:val="00B60722"/>
    <w:rsid w:val="00B6093B"/>
    <w:rsid w:val="00B609CF"/>
    <w:rsid w:val="00B60E71"/>
    <w:rsid w:val="00B60EEF"/>
    <w:rsid w:val="00B60F34"/>
    <w:rsid w:val="00B61435"/>
    <w:rsid w:val="00B61459"/>
    <w:rsid w:val="00B614AC"/>
    <w:rsid w:val="00B61659"/>
    <w:rsid w:val="00B6191A"/>
    <w:rsid w:val="00B61996"/>
    <w:rsid w:val="00B61CD8"/>
    <w:rsid w:val="00B61FE8"/>
    <w:rsid w:val="00B6207B"/>
    <w:rsid w:val="00B620D1"/>
    <w:rsid w:val="00B62143"/>
    <w:rsid w:val="00B6221B"/>
    <w:rsid w:val="00B62298"/>
    <w:rsid w:val="00B6231D"/>
    <w:rsid w:val="00B62330"/>
    <w:rsid w:val="00B623FA"/>
    <w:rsid w:val="00B6243F"/>
    <w:rsid w:val="00B62446"/>
    <w:rsid w:val="00B62778"/>
    <w:rsid w:val="00B627C1"/>
    <w:rsid w:val="00B627D8"/>
    <w:rsid w:val="00B62A17"/>
    <w:rsid w:val="00B62BFE"/>
    <w:rsid w:val="00B63306"/>
    <w:rsid w:val="00B633EA"/>
    <w:rsid w:val="00B635A3"/>
    <w:rsid w:val="00B635E0"/>
    <w:rsid w:val="00B63708"/>
    <w:rsid w:val="00B638C0"/>
    <w:rsid w:val="00B63A7B"/>
    <w:rsid w:val="00B63AFC"/>
    <w:rsid w:val="00B63E10"/>
    <w:rsid w:val="00B6410C"/>
    <w:rsid w:val="00B64267"/>
    <w:rsid w:val="00B6446E"/>
    <w:rsid w:val="00B64570"/>
    <w:rsid w:val="00B64668"/>
    <w:rsid w:val="00B647C2"/>
    <w:rsid w:val="00B64A1B"/>
    <w:rsid w:val="00B64A3A"/>
    <w:rsid w:val="00B64B51"/>
    <w:rsid w:val="00B64B79"/>
    <w:rsid w:val="00B653F4"/>
    <w:rsid w:val="00B655B8"/>
    <w:rsid w:val="00B65A87"/>
    <w:rsid w:val="00B65B8E"/>
    <w:rsid w:val="00B65DAA"/>
    <w:rsid w:val="00B65EFD"/>
    <w:rsid w:val="00B65F50"/>
    <w:rsid w:val="00B65F59"/>
    <w:rsid w:val="00B664A7"/>
    <w:rsid w:val="00B6665A"/>
    <w:rsid w:val="00B666F9"/>
    <w:rsid w:val="00B6671E"/>
    <w:rsid w:val="00B667F2"/>
    <w:rsid w:val="00B66AD9"/>
    <w:rsid w:val="00B66B2F"/>
    <w:rsid w:val="00B66BCB"/>
    <w:rsid w:val="00B66C2C"/>
    <w:rsid w:val="00B6729F"/>
    <w:rsid w:val="00B6730F"/>
    <w:rsid w:val="00B673E8"/>
    <w:rsid w:val="00B673F7"/>
    <w:rsid w:val="00B67622"/>
    <w:rsid w:val="00B676D2"/>
    <w:rsid w:val="00B678A5"/>
    <w:rsid w:val="00B67954"/>
    <w:rsid w:val="00B67A44"/>
    <w:rsid w:val="00B67E40"/>
    <w:rsid w:val="00B67F53"/>
    <w:rsid w:val="00B700DC"/>
    <w:rsid w:val="00B7027B"/>
    <w:rsid w:val="00B7027C"/>
    <w:rsid w:val="00B7080B"/>
    <w:rsid w:val="00B709B6"/>
    <w:rsid w:val="00B70B30"/>
    <w:rsid w:val="00B70CD6"/>
    <w:rsid w:val="00B70CE9"/>
    <w:rsid w:val="00B70D27"/>
    <w:rsid w:val="00B70D83"/>
    <w:rsid w:val="00B70DBC"/>
    <w:rsid w:val="00B710D3"/>
    <w:rsid w:val="00B71134"/>
    <w:rsid w:val="00B7123E"/>
    <w:rsid w:val="00B7138F"/>
    <w:rsid w:val="00B7146E"/>
    <w:rsid w:val="00B71593"/>
    <w:rsid w:val="00B71B73"/>
    <w:rsid w:val="00B71C91"/>
    <w:rsid w:val="00B71CC8"/>
    <w:rsid w:val="00B71EBB"/>
    <w:rsid w:val="00B720EC"/>
    <w:rsid w:val="00B7220E"/>
    <w:rsid w:val="00B72480"/>
    <w:rsid w:val="00B72498"/>
    <w:rsid w:val="00B724E5"/>
    <w:rsid w:val="00B7262E"/>
    <w:rsid w:val="00B727B1"/>
    <w:rsid w:val="00B7295A"/>
    <w:rsid w:val="00B72A93"/>
    <w:rsid w:val="00B72AF2"/>
    <w:rsid w:val="00B72E2C"/>
    <w:rsid w:val="00B72E6A"/>
    <w:rsid w:val="00B72F15"/>
    <w:rsid w:val="00B72FBB"/>
    <w:rsid w:val="00B732A8"/>
    <w:rsid w:val="00B73764"/>
    <w:rsid w:val="00B737BE"/>
    <w:rsid w:val="00B73D9C"/>
    <w:rsid w:val="00B73DF4"/>
    <w:rsid w:val="00B74041"/>
    <w:rsid w:val="00B742F1"/>
    <w:rsid w:val="00B74472"/>
    <w:rsid w:val="00B74632"/>
    <w:rsid w:val="00B74827"/>
    <w:rsid w:val="00B74942"/>
    <w:rsid w:val="00B74B25"/>
    <w:rsid w:val="00B74F7F"/>
    <w:rsid w:val="00B74FDC"/>
    <w:rsid w:val="00B75677"/>
    <w:rsid w:val="00B7578F"/>
    <w:rsid w:val="00B757BC"/>
    <w:rsid w:val="00B757BD"/>
    <w:rsid w:val="00B757DD"/>
    <w:rsid w:val="00B75867"/>
    <w:rsid w:val="00B758EB"/>
    <w:rsid w:val="00B75B08"/>
    <w:rsid w:val="00B75B6E"/>
    <w:rsid w:val="00B75D20"/>
    <w:rsid w:val="00B75F93"/>
    <w:rsid w:val="00B76084"/>
    <w:rsid w:val="00B761A5"/>
    <w:rsid w:val="00B761D1"/>
    <w:rsid w:val="00B7620A"/>
    <w:rsid w:val="00B763DF"/>
    <w:rsid w:val="00B7663C"/>
    <w:rsid w:val="00B76827"/>
    <w:rsid w:val="00B76836"/>
    <w:rsid w:val="00B769B1"/>
    <w:rsid w:val="00B76CAE"/>
    <w:rsid w:val="00B77598"/>
    <w:rsid w:val="00B77761"/>
    <w:rsid w:val="00B77771"/>
    <w:rsid w:val="00B7778C"/>
    <w:rsid w:val="00B777FC"/>
    <w:rsid w:val="00B77BFA"/>
    <w:rsid w:val="00B77D9F"/>
    <w:rsid w:val="00B77E32"/>
    <w:rsid w:val="00B77F97"/>
    <w:rsid w:val="00B800A2"/>
    <w:rsid w:val="00B8022D"/>
    <w:rsid w:val="00B8024B"/>
    <w:rsid w:val="00B80339"/>
    <w:rsid w:val="00B80690"/>
    <w:rsid w:val="00B807E9"/>
    <w:rsid w:val="00B80921"/>
    <w:rsid w:val="00B80C36"/>
    <w:rsid w:val="00B80E8B"/>
    <w:rsid w:val="00B80EA4"/>
    <w:rsid w:val="00B80EC7"/>
    <w:rsid w:val="00B80FDB"/>
    <w:rsid w:val="00B81479"/>
    <w:rsid w:val="00B815DC"/>
    <w:rsid w:val="00B81BCB"/>
    <w:rsid w:val="00B81D7D"/>
    <w:rsid w:val="00B81E77"/>
    <w:rsid w:val="00B81E84"/>
    <w:rsid w:val="00B81FA5"/>
    <w:rsid w:val="00B81FFF"/>
    <w:rsid w:val="00B82095"/>
    <w:rsid w:val="00B82124"/>
    <w:rsid w:val="00B821D2"/>
    <w:rsid w:val="00B82844"/>
    <w:rsid w:val="00B828DA"/>
    <w:rsid w:val="00B82905"/>
    <w:rsid w:val="00B82A80"/>
    <w:rsid w:val="00B82F04"/>
    <w:rsid w:val="00B82F09"/>
    <w:rsid w:val="00B83057"/>
    <w:rsid w:val="00B8310C"/>
    <w:rsid w:val="00B83177"/>
    <w:rsid w:val="00B83425"/>
    <w:rsid w:val="00B83439"/>
    <w:rsid w:val="00B83604"/>
    <w:rsid w:val="00B83693"/>
    <w:rsid w:val="00B838E0"/>
    <w:rsid w:val="00B83904"/>
    <w:rsid w:val="00B83946"/>
    <w:rsid w:val="00B83A82"/>
    <w:rsid w:val="00B83C58"/>
    <w:rsid w:val="00B83D57"/>
    <w:rsid w:val="00B83FCD"/>
    <w:rsid w:val="00B8404F"/>
    <w:rsid w:val="00B8414E"/>
    <w:rsid w:val="00B841EE"/>
    <w:rsid w:val="00B84242"/>
    <w:rsid w:val="00B8434A"/>
    <w:rsid w:val="00B8443E"/>
    <w:rsid w:val="00B84859"/>
    <w:rsid w:val="00B84869"/>
    <w:rsid w:val="00B84980"/>
    <w:rsid w:val="00B84A04"/>
    <w:rsid w:val="00B84AEC"/>
    <w:rsid w:val="00B84E4F"/>
    <w:rsid w:val="00B85211"/>
    <w:rsid w:val="00B8532D"/>
    <w:rsid w:val="00B855C9"/>
    <w:rsid w:val="00B8580A"/>
    <w:rsid w:val="00B85C30"/>
    <w:rsid w:val="00B85C4F"/>
    <w:rsid w:val="00B85CBD"/>
    <w:rsid w:val="00B85EB1"/>
    <w:rsid w:val="00B860FB"/>
    <w:rsid w:val="00B8614E"/>
    <w:rsid w:val="00B86240"/>
    <w:rsid w:val="00B86404"/>
    <w:rsid w:val="00B86607"/>
    <w:rsid w:val="00B86B4E"/>
    <w:rsid w:val="00B86BD5"/>
    <w:rsid w:val="00B86C38"/>
    <w:rsid w:val="00B86D5E"/>
    <w:rsid w:val="00B86E7B"/>
    <w:rsid w:val="00B87285"/>
    <w:rsid w:val="00B87308"/>
    <w:rsid w:val="00B8732F"/>
    <w:rsid w:val="00B87660"/>
    <w:rsid w:val="00B87859"/>
    <w:rsid w:val="00B87AA1"/>
    <w:rsid w:val="00B87AF1"/>
    <w:rsid w:val="00B87B43"/>
    <w:rsid w:val="00B87D31"/>
    <w:rsid w:val="00B87D87"/>
    <w:rsid w:val="00B87ECD"/>
    <w:rsid w:val="00B87F13"/>
    <w:rsid w:val="00B87F77"/>
    <w:rsid w:val="00B9005A"/>
    <w:rsid w:val="00B9008C"/>
    <w:rsid w:val="00B900B3"/>
    <w:rsid w:val="00B902C0"/>
    <w:rsid w:val="00B90458"/>
    <w:rsid w:val="00B909F3"/>
    <w:rsid w:val="00B90BA9"/>
    <w:rsid w:val="00B90BFF"/>
    <w:rsid w:val="00B90C26"/>
    <w:rsid w:val="00B90D96"/>
    <w:rsid w:val="00B90E00"/>
    <w:rsid w:val="00B90EB5"/>
    <w:rsid w:val="00B910D3"/>
    <w:rsid w:val="00B91179"/>
    <w:rsid w:val="00B91204"/>
    <w:rsid w:val="00B91316"/>
    <w:rsid w:val="00B91338"/>
    <w:rsid w:val="00B91651"/>
    <w:rsid w:val="00B918A3"/>
    <w:rsid w:val="00B91BA8"/>
    <w:rsid w:val="00B91BC7"/>
    <w:rsid w:val="00B91D47"/>
    <w:rsid w:val="00B91D53"/>
    <w:rsid w:val="00B91E1E"/>
    <w:rsid w:val="00B91F27"/>
    <w:rsid w:val="00B91FAB"/>
    <w:rsid w:val="00B92305"/>
    <w:rsid w:val="00B92378"/>
    <w:rsid w:val="00B924B1"/>
    <w:rsid w:val="00B924CF"/>
    <w:rsid w:val="00B926DD"/>
    <w:rsid w:val="00B92A73"/>
    <w:rsid w:val="00B92B2C"/>
    <w:rsid w:val="00B92CEB"/>
    <w:rsid w:val="00B93720"/>
    <w:rsid w:val="00B938BA"/>
    <w:rsid w:val="00B93983"/>
    <w:rsid w:val="00B93C8A"/>
    <w:rsid w:val="00B93D2D"/>
    <w:rsid w:val="00B93D97"/>
    <w:rsid w:val="00B93DF2"/>
    <w:rsid w:val="00B93E60"/>
    <w:rsid w:val="00B94111"/>
    <w:rsid w:val="00B94159"/>
    <w:rsid w:val="00B941DA"/>
    <w:rsid w:val="00B943F9"/>
    <w:rsid w:val="00B94642"/>
    <w:rsid w:val="00B94C00"/>
    <w:rsid w:val="00B94E1E"/>
    <w:rsid w:val="00B94F14"/>
    <w:rsid w:val="00B951F3"/>
    <w:rsid w:val="00B953E2"/>
    <w:rsid w:val="00B9541C"/>
    <w:rsid w:val="00B955B4"/>
    <w:rsid w:val="00B955D3"/>
    <w:rsid w:val="00B9567C"/>
    <w:rsid w:val="00B9572B"/>
    <w:rsid w:val="00B95835"/>
    <w:rsid w:val="00B958E7"/>
    <w:rsid w:val="00B95D40"/>
    <w:rsid w:val="00B95E8D"/>
    <w:rsid w:val="00B9600E"/>
    <w:rsid w:val="00B96516"/>
    <w:rsid w:val="00B96590"/>
    <w:rsid w:val="00B96603"/>
    <w:rsid w:val="00B966B6"/>
    <w:rsid w:val="00B9675E"/>
    <w:rsid w:val="00B968E2"/>
    <w:rsid w:val="00B96A9D"/>
    <w:rsid w:val="00B96CE3"/>
    <w:rsid w:val="00B96DF6"/>
    <w:rsid w:val="00B9705E"/>
    <w:rsid w:val="00B971E0"/>
    <w:rsid w:val="00B9721D"/>
    <w:rsid w:val="00B972BE"/>
    <w:rsid w:val="00B97708"/>
    <w:rsid w:val="00B97A55"/>
    <w:rsid w:val="00B97C18"/>
    <w:rsid w:val="00B97D10"/>
    <w:rsid w:val="00B97E90"/>
    <w:rsid w:val="00BA00B4"/>
    <w:rsid w:val="00BA01B4"/>
    <w:rsid w:val="00BA0903"/>
    <w:rsid w:val="00BA09A5"/>
    <w:rsid w:val="00BA0BC4"/>
    <w:rsid w:val="00BA0CC2"/>
    <w:rsid w:val="00BA0D20"/>
    <w:rsid w:val="00BA0DA4"/>
    <w:rsid w:val="00BA0E51"/>
    <w:rsid w:val="00BA11DD"/>
    <w:rsid w:val="00BA12A0"/>
    <w:rsid w:val="00BA1448"/>
    <w:rsid w:val="00BA1763"/>
    <w:rsid w:val="00BA1932"/>
    <w:rsid w:val="00BA19A3"/>
    <w:rsid w:val="00BA1C76"/>
    <w:rsid w:val="00BA1CF4"/>
    <w:rsid w:val="00BA1EAE"/>
    <w:rsid w:val="00BA1F69"/>
    <w:rsid w:val="00BA1FCF"/>
    <w:rsid w:val="00BA207D"/>
    <w:rsid w:val="00BA20A8"/>
    <w:rsid w:val="00BA2457"/>
    <w:rsid w:val="00BA2619"/>
    <w:rsid w:val="00BA26BB"/>
    <w:rsid w:val="00BA2774"/>
    <w:rsid w:val="00BA2898"/>
    <w:rsid w:val="00BA29D7"/>
    <w:rsid w:val="00BA2B25"/>
    <w:rsid w:val="00BA2E43"/>
    <w:rsid w:val="00BA2E9E"/>
    <w:rsid w:val="00BA2FAD"/>
    <w:rsid w:val="00BA306C"/>
    <w:rsid w:val="00BA35A5"/>
    <w:rsid w:val="00BA38EC"/>
    <w:rsid w:val="00BA3B5C"/>
    <w:rsid w:val="00BA3C49"/>
    <w:rsid w:val="00BA3CB8"/>
    <w:rsid w:val="00BA3DAB"/>
    <w:rsid w:val="00BA3E0A"/>
    <w:rsid w:val="00BA4533"/>
    <w:rsid w:val="00BA471B"/>
    <w:rsid w:val="00BA47D2"/>
    <w:rsid w:val="00BA489C"/>
    <w:rsid w:val="00BA4B1F"/>
    <w:rsid w:val="00BA4B97"/>
    <w:rsid w:val="00BA4C9B"/>
    <w:rsid w:val="00BA4CAF"/>
    <w:rsid w:val="00BA4D0E"/>
    <w:rsid w:val="00BA4DBF"/>
    <w:rsid w:val="00BA4E10"/>
    <w:rsid w:val="00BA4E71"/>
    <w:rsid w:val="00BA4F86"/>
    <w:rsid w:val="00BA5293"/>
    <w:rsid w:val="00BA549B"/>
    <w:rsid w:val="00BA572A"/>
    <w:rsid w:val="00BA574C"/>
    <w:rsid w:val="00BA5763"/>
    <w:rsid w:val="00BA583A"/>
    <w:rsid w:val="00BA59F0"/>
    <w:rsid w:val="00BA69D2"/>
    <w:rsid w:val="00BA6B35"/>
    <w:rsid w:val="00BA6D8D"/>
    <w:rsid w:val="00BA6FA5"/>
    <w:rsid w:val="00BA71E6"/>
    <w:rsid w:val="00BA736B"/>
    <w:rsid w:val="00BA7612"/>
    <w:rsid w:val="00BA7623"/>
    <w:rsid w:val="00BA768F"/>
    <w:rsid w:val="00BA7840"/>
    <w:rsid w:val="00BA791F"/>
    <w:rsid w:val="00BA796A"/>
    <w:rsid w:val="00BA798A"/>
    <w:rsid w:val="00BA7A50"/>
    <w:rsid w:val="00BA7C33"/>
    <w:rsid w:val="00BA7D78"/>
    <w:rsid w:val="00BA7F67"/>
    <w:rsid w:val="00BB0147"/>
    <w:rsid w:val="00BB0169"/>
    <w:rsid w:val="00BB05AA"/>
    <w:rsid w:val="00BB05F0"/>
    <w:rsid w:val="00BB0761"/>
    <w:rsid w:val="00BB076B"/>
    <w:rsid w:val="00BB0900"/>
    <w:rsid w:val="00BB09B1"/>
    <w:rsid w:val="00BB0C40"/>
    <w:rsid w:val="00BB0F64"/>
    <w:rsid w:val="00BB0FEA"/>
    <w:rsid w:val="00BB1049"/>
    <w:rsid w:val="00BB1280"/>
    <w:rsid w:val="00BB1826"/>
    <w:rsid w:val="00BB18BE"/>
    <w:rsid w:val="00BB1A90"/>
    <w:rsid w:val="00BB1D93"/>
    <w:rsid w:val="00BB1FD7"/>
    <w:rsid w:val="00BB1FF3"/>
    <w:rsid w:val="00BB2010"/>
    <w:rsid w:val="00BB27A2"/>
    <w:rsid w:val="00BB2A7E"/>
    <w:rsid w:val="00BB2FD5"/>
    <w:rsid w:val="00BB3781"/>
    <w:rsid w:val="00BB3792"/>
    <w:rsid w:val="00BB39BC"/>
    <w:rsid w:val="00BB3BFB"/>
    <w:rsid w:val="00BB3C15"/>
    <w:rsid w:val="00BB3CB6"/>
    <w:rsid w:val="00BB3D3E"/>
    <w:rsid w:val="00BB416A"/>
    <w:rsid w:val="00BB428D"/>
    <w:rsid w:val="00BB4383"/>
    <w:rsid w:val="00BB441E"/>
    <w:rsid w:val="00BB46D2"/>
    <w:rsid w:val="00BB4884"/>
    <w:rsid w:val="00BB4C41"/>
    <w:rsid w:val="00BB4E02"/>
    <w:rsid w:val="00BB4FF8"/>
    <w:rsid w:val="00BB4FFF"/>
    <w:rsid w:val="00BB5077"/>
    <w:rsid w:val="00BB5409"/>
    <w:rsid w:val="00BB5481"/>
    <w:rsid w:val="00BB54BF"/>
    <w:rsid w:val="00BB5619"/>
    <w:rsid w:val="00BB583B"/>
    <w:rsid w:val="00BB5852"/>
    <w:rsid w:val="00BB58C7"/>
    <w:rsid w:val="00BB59FE"/>
    <w:rsid w:val="00BB5A39"/>
    <w:rsid w:val="00BB5C4B"/>
    <w:rsid w:val="00BB5D8C"/>
    <w:rsid w:val="00BB6253"/>
    <w:rsid w:val="00BB646C"/>
    <w:rsid w:val="00BB6513"/>
    <w:rsid w:val="00BB673A"/>
    <w:rsid w:val="00BB6807"/>
    <w:rsid w:val="00BB683C"/>
    <w:rsid w:val="00BB6E5F"/>
    <w:rsid w:val="00BB6E66"/>
    <w:rsid w:val="00BB6E78"/>
    <w:rsid w:val="00BB6F56"/>
    <w:rsid w:val="00BB7119"/>
    <w:rsid w:val="00BB728C"/>
    <w:rsid w:val="00BB742E"/>
    <w:rsid w:val="00BB7531"/>
    <w:rsid w:val="00BB755D"/>
    <w:rsid w:val="00BB7582"/>
    <w:rsid w:val="00BB75F0"/>
    <w:rsid w:val="00BB78F7"/>
    <w:rsid w:val="00BB7B2B"/>
    <w:rsid w:val="00BB7BEA"/>
    <w:rsid w:val="00BB7D26"/>
    <w:rsid w:val="00BC002F"/>
    <w:rsid w:val="00BC03A5"/>
    <w:rsid w:val="00BC04CB"/>
    <w:rsid w:val="00BC06B1"/>
    <w:rsid w:val="00BC0810"/>
    <w:rsid w:val="00BC0A77"/>
    <w:rsid w:val="00BC0CEF"/>
    <w:rsid w:val="00BC0DCE"/>
    <w:rsid w:val="00BC0E46"/>
    <w:rsid w:val="00BC0F85"/>
    <w:rsid w:val="00BC0F89"/>
    <w:rsid w:val="00BC10FF"/>
    <w:rsid w:val="00BC11CE"/>
    <w:rsid w:val="00BC127C"/>
    <w:rsid w:val="00BC12C6"/>
    <w:rsid w:val="00BC12DF"/>
    <w:rsid w:val="00BC145B"/>
    <w:rsid w:val="00BC1546"/>
    <w:rsid w:val="00BC16C4"/>
    <w:rsid w:val="00BC16EF"/>
    <w:rsid w:val="00BC197E"/>
    <w:rsid w:val="00BC19A2"/>
    <w:rsid w:val="00BC19BE"/>
    <w:rsid w:val="00BC1A6C"/>
    <w:rsid w:val="00BC1BE3"/>
    <w:rsid w:val="00BC1C19"/>
    <w:rsid w:val="00BC1D81"/>
    <w:rsid w:val="00BC1DE0"/>
    <w:rsid w:val="00BC1E7D"/>
    <w:rsid w:val="00BC2053"/>
    <w:rsid w:val="00BC2186"/>
    <w:rsid w:val="00BC219C"/>
    <w:rsid w:val="00BC233E"/>
    <w:rsid w:val="00BC24AF"/>
    <w:rsid w:val="00BC2613"/>
    <w:rsid w:val="00BC268C"/>
    <w:rsid w:val="00BC28CD"/>
    <w:rsid w:val="00BC2AFF"/>
    <w:rsid w:val="00BC2D08"/>
    <w:rsid w:val="00BC2E45"/>
    <w:rsid w:val="00BC3034"/>
    <w:rsid w:val="00BC33E7"/>
    <w:rsid w:val="00BC355C"/>
    <w:rsid w:val="00BC3664"/>
    <w:rsid w:val="00BC3731"/>
    <w:rsid w:val="00BC373D"/>
    <w:rsid w:val="00BC3A10"/>
    <w:rsid w:val="00BC3BA6"/>
    <w:rsid w:val="00BC3CA5"/>
    <w:rsid w:val="00BC3E4C"/>
    <w:rsid w:val="00BC3EEF"/>
    <w:rsid w:val="00BC3F40"/>
    <w:rsid w:val="00BC40F0"/>
    <w:rsid w:val="00BC44A9"/>
    <w:rsid w:val="00BC44B9"/>
    <w:rsid w:val="00BC4703"/>
    <w:rsid w:val="00BC4953"/>
    <w:rsid w:val="00BC4A07"/>
    <w:rsid w:val="00BC4AD5"/>
    <w:rsid w:val="00BC4CFC"/>
    <w:rsid w:val="00BC4ED1"/>
    <w:rsid w:val="00BC500D"/>
    <w:rsid w:val="00BC5145"/>
    <w:rsid w:val="00BC51E3"/>
    <w:rsid w:val="00BC5323"/>
    <w:rsid w:val="00BC542C"/>
    <w:rsid w:val="00BC5485"/>
    <w:rsid w:val="00BC548E"/>
    <w:rsid w:val="00BC5500"/>
    <w:rsid w:val="00BC553E"/>
    <w:rsid w:val="00BC554F"/>
    <w:rsid w:val="00BC557C"/>
    <w:rsid w:val="00BC5637"/>
    <w:rsid w:val="00BC57FD"/>
    <w:rsid w:val="00BC588E"/>
    <w:rsid w:val="00BC59B8"/>
    <w:rsid w:val="00BC5A6E"/>
    <w:rsid w:val="00BC5C8E"/>
    <w:rsid w:val="00BC5E8B"/>
    <w:rsid w:val="00BC5E93"/>
    <w:rsid w:val="00BC60D9"/>
    <w:rsid w:val="00BC6464"/>
    <w:rsid w:val="00BC6606"/>
    <w:rsid w:val="00BC670E"/>
    <w:rsid w:val="00BC676A"/>
    <w:rsid w:val="00BC6772"/>
    <w:rsid w:val="00BC6804"/>
    <w:rsid w:val="00BC6931"/>
    <w:rsid w:val="00BC6C93"/>
    <w:rsid w:val="00BC6CC3"/>
    <w:rsid w:val="00BC6DD9"/>
    <w:rsid w:val="00BC6DED"/>
    <w:rsid w:val="00BC6ECB"/>
    <w:rsid w:val="00BC7276"/>
    <w:rsid w:val="00BC72A2"/>
    <w:rsid w:val="00BC7392"/>
    <w:rsid w:val="00BC74FF"/>
    <w:rsid w:val="00BC752C"/>
    <w:rsid w:val="00BC758D"/>
    <w:rsid w:val="00BC7753"/>
    <w:rsid w:val="00BC7ACF"/>
    <w:rsid w:val="00BC7B17"/>
    <w:rsid w:val="00BC7B9B"/>
    <w:rsid w:val="00BC7C1B"/>
    <w:rsid w:val="00BC7CC7"/>
    <w:rsid w:val="00BC7D2A"/>
    <w:rsid w:val="00BC7D49"/>
    <w:rsid w:val="00BC7F11"/>
    <w:rsid w:val="00BC7FC2"/>
    <w:rsid w:val="00BD0184"/>
    <w:rsid w:val="00BD030F"/>
    <w:rsid w:val="00BD040D"/>
    <w:rsid w:val="00BD0759"/>
    <w:rsid w:val="00BD07F0"/>
    <w:rsid w:val="00BD0A77"/>
    <w:rsid w:val="00BD0BBB"/>
    <w:rsid w:val="00BD0D0C"/>
    <w:rsid w:val="00BD0D92"/>
    <w:rsid w:val="00BD122C"/>
    <w:rsid w:val="00BD143C"/>
    <w:rsid w:val="00BD146A"/>
    <w:rsid w:val="00BD14FC"/>
    <w:rsid w:val="00BD169F"/>
    <w:rsid w:val="00BD190D"/>
    <w:rsid w:val="00BD1979"/>
    <w:rsid w:val="00BD1B2B"/>
    <w:rsid w:val="00BD1C71"/>
    <w:rsid w:val="00BD1D3B"/>
    <w:rsid w:val="00BD231A"/>
    <w:rsid w:val="00BD2325"/>
    <w:rsid w:val="00BD2567"/>
    <w:rsid w:val="00BD25B1"/>
    <w:rsid w:val="00BD25D9"/>
    <w:rsid w:val="00BD261A"/>
    <w:rsid w:val="00BD2642"/>
    <w:rsid w:val="00BD2A52"/>
    <w:rsid w:val="00BD2ACF"/>
    <w:rsid w:val="00BD2B3C"/>
    <w:rsid w:val="00BD2B66"/>
    <w:rsid w:val="00BD2C1C"/>
    <w:rsid w:val="00BD2C2A"/>
    <w:rsid w:val="00BD2CCF"/>
    <w:rsid w:val="00BD2EA0"/>
    <w:rsid w:val="00BD3687"/>
    <w:rsid w:val="00BD36C4"/>
    <w:rsid w:val="00BD3939"/>
    <w:rsid w:val="00BD3B6A"/>
    <w:rsid w:val="00BD3C98"/>
    <w:rsid w:val="00BD3CF8"/>
    <w:rsid w:val="00BD3FD5"/>
    <w:rsid w:val="00BD4192"/>
    <w:rsid w:val="00BD419F"/>
    <w:rsid w:val="00BD4335"/>
    <w:rsid w:val="00BD4489"/>
    <w:rsid w:val="00BD4532"/>
    <w:rsid w:val="00BD46B4"/>
    <w:rsid w:val="00BD479E"/>
    <w:rsid w:val="00BD483E"/>
    <w:rsid w:val="00BD48AC"/>
    <w:rsid w:val="00BD4B12"/>
    <w:rsid w:val="00BD4B96"/>
    <w:rsid w:val="00BD4D80"/>
    <w:rsid w:val="00BD4E33"/>
    <w:rsid w:val="00BD4E3A"/>
    <w:rsid w:val="00BD4F34"/>
    <w:rsid w:val="00BD50D8"/>
    <w:rsid w:val="00BD520A"/>
    <w:rsid w:val="00BD5376"/>
    <w:rsid w:val="00BD5532"/>
    <w:rsid w:val="00BD562F"/>
    <w:rsid w:val="00BD5734"/>
    <w:rsid w:val="00BD578C"/>
    <w:rsid w:val="00BD5919"/>
    <w:rsid w:val="00BD592A"/>
    <w:rsid w:val="00BD5C7F"/>
    <w:rsid w:val="00BD5DE5"/>
    <w:rsid w:val="00BD5EEE"/>
    <w:rsid w:val="00BD5F84"/>
    <w:rsid w:val="00BD6092"/>
    <w:rsid w:val="00BD615B"/>
    <w:rsid w:val="00BD61DA"/>
    <w:rsid w:val="00BD67D4"/>
    <w:rsid w:val="00BD69A5"/>
    <w:rsid w:val="00BD69F3"/>
    <w:rsid w:val="00BD6E6E"/>
    <w:rsid w:val="00BD7021"/>
    <w:rsid w:val="00BD702D"/>
    <w:rsid w:val="00BD729B"/>
    <w:rsid w:val="00BD7603"/>
    <w:rsid w:val="00BD7640"/>
    <w:rsid w:val="00BD76C7"/>
    <w:rsid w:val="00BD77A1"/>
    <w:rsid w:val="00BD7B34"/>
    <w:rsid w:val="00BD7BE2"/>
    <w:rsid w:val="00BD7C72"/>
    <w:rsid w:val="00BD7D9E"/>
    <w:rsid w:val="00BD7E16"/>
    <w:rsid w:val="00BD7EE2"/>
    <w:rsid w:val="00BD7F8D"/>
    <w:rsid w:val="00BD7FF9"/>
    <w:rsid w:val="00BE00B7"/>
    <w:rsid w:val="00BE00C1"/>
    <w:rsid w:val="00BE01F3"/>
    <w:rsid w:val="00BE0562"/>
    <w:rsid w:val="00BE075B"/>
    <w:rsid w:val="00BE07A8"/>
    <w:rsid w:val="00BE093B"/>
    <w:rsid w:val="00BE09E6"/>
    <w:rsid w:val="00BE0ADC"/>
    <w:rsid w:val="00BE0AE3"/>
    <w:rsid w:val="00BE0C41"/>
    <w:rsid w:val="00BE0CB6"/>
    <w:rsid w:val="00BE0E14"/>
    <w:rsid w:val="00BE0EBF"/>
    <w:rsid w:val="00BE0F11"/>
    <w:rsid w:val="00BE0F7A"/>
    <w:rsid w:val="00BE1478"/>
    <w:rsid w:val="00BE14A3"/>
    <w:rsid w:val="00BE15A2"/>
    <w:rsid w:val="00BE166E"/>
    <w:rsid w:val="00BE16D1"/>
    <w:rsid w:val="00BE1CAF"/>
    <w:rsid w:val="00BE1F47"/>
    <w:rsid w:val="00BE244E"/>
    <w:rsid w:val="00BE2598"/>
    <w:rsid w:val="00BE25DE"/>
    <w:rsid w:val="00BE25F0"/>
    <w:rsid w:val="00BE2637"/>
    <w:rsid w:val="00BE26D7"/>
    <w:rsid w:val="00BE292B"/>
    <w:rsid w:val="00BE2A21"/>
    <w:rsid w:val="00BE2B86"/>
    <w:rsid w:val="00BE2D6D"/>
    <w:rsid w:val="00BE2E2F"/>
    <w:rsid w:val="00BE2E69"/>
    <w:rsid w:val="00BE31FD"/>
    <w:rsid w:val="00BE339E"/>
    <w:rsid w:val="00BE33D6"/>
    <w:rsid w:val="00BE3665"/>
    <w:rsid w:val="00BE37FB"/>
    <w:rsid w:val="00BE386D"/>
    <w:rsid w:val="00BE3981"/>
    <w:rsid w:val="00BE3B7E"/>
    <w:rsid w:val="00BE3BCB"/>
    <w:rsid w:val="00BE3C8D"/>
    <w:rsid w:val="00BE3DB3"/>
    <w:rsid w:val="00BE3EA1"/>
    <w:rsid w:val="00BE3F2B"/>
    <w:rsid w:val="00BE3F6E"/>
    <w:rsid w:val="00BE3FE6"/>
    <w:rsid w:val="00BE4116"/>
    <w:rsid w:val="00BE4233"/>
    <w:rsid w:val="00BE43A2"/>
    <w:rsid w:val="00BE486B"/>
    <w:rsid w:val="00BE4A42"/>
    <w:rsid w:val="00BE4BA0"/>
    <w:rsid w:val="00BE4CB0"/>
    <w:rsid w:val="00BE4F5A"/>
    <w:rsid w:val="00BE4FB9"/>
    <w:rsid w:val="00BE4FDA"/>
    <w:rsid w:val="00BE5090"/>
    <w:rsid w:val="00BE5198"/>
    <w:rsid w:val="00BE5250"/>
    <w:rsid w:val="00BE52E4"/>
    <w:rsid w:val="00BE5387"/>
    <w:rsid w:val="00BE5648"/>
    <w:rsid w:val="00BE56F0"/>
    <w:rsid w:val="00BE598A"/>
    <w:rsid w:val="00BE59CE"/>
    <w:rsid w:val="00BE59DE"/>
    <w:rsid w:val="00BE5BA2"/>
    <w:rsid w:val="00BE5E24"/>
    <w:rsid w:val="00BE5E73"/>
    <w:rsid w:val="00BE5EEC"/>
    <w:rsid w:val="00BE5F4D"/>
    <w:rsid w:val="00BE6160"/>
    <w:rsid w:val="00BE63F0"/>
    <w:rsid w:val="00BE648F"/>
    <w:rsid w:val="00BE64BD"/>
    <w:rsid w:val="00BE64D9"/>
    <w:rsid w:val="00BE6598"/>
    <w:rsid w:val="00BE6604"/>
    <w:rsid w:val="00BE6B19"/>
    <w:rsid w:val="00BE6C98"/>
    <w:rsid w:val="00BE6D2D"/>
    <w:rsid w:val="00BE6E61"/>
    <w:rsid w:val="00BE75A4"/>
    <w:rsid w:val="00BE7656"/>
    <w:rsid w:val="00BE78A8"/>
    <w:rsid w:val="00BE78E3"/>
    <w:rsid w:val="00BE7F47"/>
    <w:rsid w:val="00BF0074"/>
    <w:rsid w:val="00BF00D4"/>
    <w:rsid w:val="00BF0210"/>
    <w:rsid w:val="00BF041F"/>
    <w:rsid w:val="00BF05AF"/>
    <w:rsid w:val="00BF0651"/>
    <w:rsid w:val="00BF066B"/>
    <w:rsid w:val="00BF0949"/>
    <w:rsid w:val="00BF0C1B"/>
    <w:rsid w:val="00BF0C26"/>
    <w:rsid w:val="00BF0EF2"/>
    <w:rsid w:val="00BF11A0"/>
    <w:rsid w:val="00BF12A7"/>
    <w:rsid w:val="00BF140C"/>
    <w:rsid w:val="00BF14A0"/>
    <w:rsid w:val="00BF15EC"/>
    <w:rsid w:val="00BF16BE"/>
    <w:rsid w:val="00BF16C1"/>
    <w:rsid w:val="00BF16DF"/>
    <w:rsid w:val="00BF18E2"/>
    <w:rsid w:val="00BF1931"/>
    <w:rsid w:val="00BF1934"/>
    <w:rsid w:val="00BF1C6F"/>
    <w:rsid w:val="00BF1CBD"/>
    <w:rsid w:val="00BF1FB8"/>
    <w:rsid w:val="00BF214D"/>
    <w:rsid w:val="00BF262F"/>
    <w:rsid w:val="00BF26E1"/>
    <w:rsid w:val="00BF275F"/>
    <w:rsid w:val="00BF2820"/>
    <w:rsid w:val="00BF28F9"/>
    <w:rsid w:val="00BF2B2A"/>
    <w:rsid w:val="00BF2D4F"/>
    <w:rsid w:val="00BF2E62"/>
    <w:rsid w:val="00BF2FAF"/>
    <w:rsid w:val="00BF2FCE"/>
    <w:rsid w:val="00BF2FEE"/>
    <w:rsid w:val="00BF31D0"/>
    <w:rsid w:val="00BF33CC"/>
    <w:rsid w:val="00BF354B"/>
    <w:rsid w:val="00BF3589"/>
    <w:rsid w:val="00BF39A3"/>
    <w:rsid w:val="00BF3B28"/>
    <w:rsid w:val="00BF3D0F"/>
    <w:rsid w:val="00BF3F20"/>
    <w:rsid w:val="00BF40A3"/>
    <w:rsid w:val="00BF432A"/>
    <w:rsid w:val="00BF44DB"/>
    <w:rsid w:val="00BF44FB"/>
    <w:rsid w:val="00BF45ED"/>
    <w:rsid w:val="00BF473B"/>
    <w:rsid w:val="00BF4985"/>
    <w:rsid w:val="00BF4A89"/>
    <w:rsid w:val="00BF4C05"/>
    <w:rsid w:val="00BF4DAC"/>
    <w:rsid w:val="00BF4EC9"/>
    <w:rsid w:val="00BF50DC"/>
    <w:rsid w:val="00BF52F2"/>
    <w:rsid w:val="00BF556B"/>
    <w:rsid w:val="00BF578C"/>
    <w:rsid w:val="00BF58C3"/>
    <w:rsid w:val="00BF592F"/>
    <w:rsid w:val="00BF5986"/>
    <w:rsid w:val="00BF5AB4"/>
    <w:rsid w:val="00BF5C22"/>
    <w:rsid w:val="00BF5C2F"/>
    <w:rsid w:val="00BF5FAA"/>
    <w:rsid w:val="00BF61C5"/>
    <w:rsid w:val="00BF6642"/>
    <w:rsid w:val="00BF6760"/>
    <w:rsid w:val="00BF6878"/>
    <w:rsid w:val="00BF68C8"/>
    <w:rsid w:val="00BF6A9A"/>
    <w:rsid w:val="00BF6DC6"/>
    <w:rsid w:val="00BF6E1A"/>
    <w:rsid w:val="00BF7154"/>
    <w:rsid w:val="00BF71A3"/>
    <w:rsid w:val="00BF729E"/>
    <w:rsid w:val="00BF740D"/>
    <w:rsid w:val="00BF75D8"/>
    <w:rsid w:val="00BF7640"/>
    <w:rsid w:val="00BF766B"/>
    <w:rsid w:val="00BF797D"/>
    <w:rsid w:val="00BF7E00"/>
    <w:rsid w:val="00C00120"/>
    <w:rsid w:val="00C002F8"/>
    <w:rsid w:val="00C00471"/>
    <w:rsid w:val="00C0049D"/>
    <w:rsid w:val="00C007F2"/>
    <w:rsid w:val="00C0084A"/>
    <w:rsid w:val="00C00878"/>
    <w:rsid w:val="00C008CC"/>
    <w:rsid w:val="00C00E30"/>
    <w:rsid w:val="00C00EDF"/>
    <w:rsid w:val="00C010E3"/>
    <w:rsid w:val="00C01189"/>
    <w:rsid w:val="00C0150B"/>
    <w:rsid w:val="00C016A3"/>
    <w:rsid w:val="00C017C7"/>
    <w:rsid w:val="00C0185D"/>
    <w:rsid w:val="00C01A18"/>
    <w:rsid w:val="00C01C1E"/>
    <w:rsid w:val="00C01CDF"/>
    <w:rsid w:val="00C01D15"/>
    <w:rsid w:val="00C01E68"/>
    <w:rsid w:val="00C02188"/>
    <w:rsid w:val="00C02397"/>
    <w:rsid w:val="00C02546"/>
    <w:rsid w:val="00C0255F"/>
    <w:rsid w:val="00C0262A"/>
    <w:rsid w:val="00C02775"/>
    <w:rsid w:val="00C027B2"/>
    <w:rsid w:val="00C027CB"/>
    <w:rsid w:val="00C02BC8"/>
    <w:rsid w:val="00C02C3A"/>
    <w:rsid w:val="00C02DBA"/>
    <w:rsid w:val="00C02DE9"/>
    <w:rsid w:val="00C02DF2"/>
    <w:rsid w:val="00C02ED3"/>
    <w:rsid w:val="00C02ED5"/>
    <w:rsid w:val="00C02ED9"/>
    <w:rsid w:val="00C02EEE"/>
    <w:rsid w:val="00C03028"/>
    <w:rsid w:val="00C03378"/>
    <w:rsid w:val="00C033B4"/>
    <w:rsid w:val="00C03648"/>
    <w:rsid w:val="00C036C6"/>
    <w:rsid w:val="00C03740"/>
    <w:rsid w:val="00C03903"/>
    <w:rsid w:val="00C03915"/>
    <w:rsid w:val="00C039C6"/>
    <w:rsid w:val="00C03C36"/>
    <w:rsid w:val="00C03DFD"/>
    <w:rsid w:val="00C04154"/>
    <w:rsid w:val="00C04189"/>
    <w:rsid w:val="00C042F3"/>
    <w:rsid w:val="00C043F5"/>
    <w:rsid w:val="00C04480"/>
    <w:rsid w:val="00C044A8"/>
    <w:rsid w:val="00C0451F"/>
    <w:rsid w:val="00C045AE"/>
    <w:rsid w:val="00C04743"/>
    <w:rsid w:val="00C047D1"/>
    <w:rsid w:val="00C0480C"/>
    <w:rsid w:val="00C04E8D"/>
    <w:rsid w:val="00C04F44"/>
    <w:rsid w:val="00C0500A"/>
    <w:rsid w:val="00C051BB"/>
    <w:rsid w:val="00C05233"/>
    <w:rsid w:val="00C05281"/>
    <w:rsid w:val="00C05655"/>
    <w:rsid w:val="00C05717"/>
    <w:rsid w:val="00C05830"/>
    <w:rsid w:val="00C05A60"/>
    <w:rsid w:val="00C05A83"/>
    <w:rsid w:val="00C05DFA"/>
    <w:rsid w:val="00C05F93"/>
    <w:rsid w:val="00C05FA2"/>
    <w:rsid w:val="00C05FFB"/>
    <w:rsid w:val="00C06170"/>
    <w:rsid w:val="00C061D3"/>
    <w:rsid w:val="00C06423"/>
    <w:rsid w:val="00C0648C"/>
    <w:rsid w:val="00C064AB"/>
    <w:rsid w:val="00C06521"/>
    <w:rsid w:val="00C0656B"/>
    <w:rsid w:val="00C06815"/>
    <w:rsid w:val="00C0690E"/>
    <w:rsid w:val="00C0697D"/>
    <w:rsid w:val="00C06B4E"/>
    <w:rsid w:val="00C06BCC"/>
    <w:rsid w:val="00C06BF6"/>
    <w:rsid w:val="00C06CD8"/>
    <w:rsid w:val="00C06E45"/>
    <w:rsid w:val="00C06E51"/>
    <w:rsid w:val="00C06F41"/>
    <w:rsid w:val="00C070F6"/>
    <w:rsid w:val="00C07308"/>
    <w:rsid w:val="00C0731B"/>
    <w:rsid w:val="00C07484"/>
    <w:rsid w:val="00C0753A"/>
    <w:rsid w:val="00C07667"/>
    <w:rsid w:val="00C076B1"/>
    <w:rsid w:val="00C0776A"/>
    <w:rsid w:val="00C07968"/>
    <w:rsid w:val="00C07A2D"/>
    <w:rsid w:val="00C07B61"/>
    <w:rsid w:val="00C07CE8"/>
    <w:rsid w:val="00C10C34"/>
    <w:rsid w:val="00C10C67"/>
    <w:rsid w:val="00C10DA4"/>
    <w:rsid w:val="00C11179"/>
    <w:rsid w:val="00C11845"/>
    <w:rsid w:val="00C11924"/>
    <w:rsid w:val="00C11A10"/>
    <w:rsid w:val="00C11A9C"/>
    <w:rsid w:val="00C11AFF"/>
    <w:rsid w:val="00C11B28"/>
    <w:rsid w:val="00C11B4E"/>
    <w:rsid w:val="00C11D12"/>
    <w:rsid w:val="00C11F45"/>
    <w:rsid w:val="00C1200B"/>
    <w:rsid w:val="00C122EF"/>
    <w:rsid w:val="00C124CB"/>
    <w:rsid w:val="00C12507"/>
    <w:rsid w:val="00C12611"/>
    <w:rsid w:val="00C127B2"/>
    <w:rsid w:val="00C128EA"/>
    <w:rsid w:val="00C1293B"/>
    <w:rsid w:val="00C12B34"/>
    <w:rsid w:val="00C12C48"/>
    <w:rsid w:val="00C12EB9"/>
    <w:rsid w:val="00C12F65"/>
    <w:rsid w:val="00C13033"/>
    <w:rsid w:val="00C13095"/>
    <w:rsid w:val="00C13165"/>
    <w:rsid w:val="00C131F5"/>
    <w:rsid w:val="00C1321F"/>
    <w:rsid w:val="00C1341A"/>
    <w:rsid w:val="00C134BB"/>
    <w:rsid w:val="00C135C0"/>
    <w:rsid w:val="00C13688"/>
    <w:rsid w:val="00C137C2"/>
    <w:rsid w:val="00C1398E"/>
    <w:rsid w:val="00C13BF1"/>
    <w:rsid w:val="00C13C04"/>
    <w:rsid w:val="00C14016"/>
    <w:rsid w:val="00C14186"/>
    <w:rsid w:val="00C1424B"/>
    <w:rsid w:val="00C14572"/>
    <w:rsid w:val="00C1464E"/>
    <w:rsid w:val="00C14BD8"/>
    <w:rsid w:val="00C14C49"/>
    <w:rsid w:val="00C15113"/>
    <w:rsid w:val="00C152D8"/>
    <w:rsid w:val="00C15311"/>
    <w:rsid w:val="00C155AA"/>
    <w:rsid w:val="00C1560E"/>
    <w:rsid w:val="00C15647"/>
    <w:rsid w:val="00C1565B"/>
    <w:rsid w:val="00C156CF"/>
    <w:rsid w:val="00C15718"/>
    <w:rsid w:val="00C15720"/>
    <w:rsid w:val="00C15A1A"/>
    <w:rsid w:val="00C15E66"/>
    <w:rsid w:val="00C15E9C"/>
    <w:rsid w:val="00C15F67"/>
    <w:rsid w:val="00C1611D"/>
    <w:rsid w:val="00C1624A"/>
    <w:rsid w:val="00C16437"/>
    <w:rsid w:val="00C1682C"/>
    <w:rsid w:val="00C16980"/>
    <w:rsid w:val="00C1725C"/>
    <w:rsid w:val="00C1727E"/>
    <w:rsid w:val="00C1748C"/>
    <w:rsid w:val="00C1761D"/>
    <w:rsid w:val="00C17B40"/>
    <w:rsid w:val="00C17B6B"/>
    <w:rsid w:val="00C17DD6"/>
    <w:rsid w:val="00C17DFF"/>
    <w:rsid w:val="00C17E96"/>
    <w:rsid w:val="00C200C0"/>
    <w:rsid w:val="00C200FB"/>
    <w:rsid w:val="00C20130"/>
    <w:rsid w:val="00C20595"/>
    <w:rsid w:val="00C20A64"/>
    <w:rsid w:val="00C20D6A"/>
    <w:rsid w:val="00C20D8D"/>
    <w:rsid w:val="00C20E37"/>
    <w:rsid w:val="00C20E95"/>
    <w:rsid w:val="00C2102E"/>
    <w:rsid w:val="00C21262"/>
    <w:rsid w:val="00C21711"/>
    <w:rsid w:val="00C21E74"/>
    <w:rsid w:val="00C221A0"/>
    <w:rsid w:val="00C221C6"/>
    <w:rsid w:val="00C2224B"/>
    <w:rsid w:val="00C22272"/>
    <w:rsid w:val="00C222B5"/>
    <w:rsid w:val="00C22705"/>
    <w:rsid w:val="00C2271A"/>
    <w:rsid w:val="00C2285C"/>
    <w:rsid w:val="00C2290E"/>
    <w:rsid w:val="00C22991"/>
    <w:rsid w:val="00C22C1A"/>
    <w:rsid w:val="00C22ECB"/>
    <w:rsid w:val="00C22F21"/>
    <w:rsid w:val="00C22F4E"/>
    <w:rsid w:val="00C230D0"/>
    <w:rsid w:val="00C230DD"/>
    <w:rsid w:val="00C2310F"/>
    <w:rsid w:val="00C233A0"/>
    <w:rsid w:val="00C235F8"/>
    <w:rsid w:val="00C23870"/>
    <w:rsid w:val="00C238D1"/>
    <w:rsid w:val="00C23AFF"/>
    <w:rsid w:val="00C23E07"/>
    <w:rsid w:val="00C23F2E"/>
    <w:rsid w:val="00C23F47"/>
    <w:rsid w:val="00C242C6"/>
    <w:rsid w:val="00C24483"/>
    <w:rsid w:val="00C2448A"/>
    <w:rsid w:val="00C24517"/>
    <w:rsid w:val="00C2454F"/>
    <w:rsid w:val="00C245DE"/>
    <w:rsid w:val="00C248E0"/>
    <w:rsid w:val="00C24A00"/>
    <w:rsid w:val="00C24A47"/>
    <w:rsid w:val="00C24CB8"/>
    <w:rsid w:val="00C24E49"/>
    <w:rsid w:val="00C24F0A"/>
    <w:rsid w:val="00C24F4A"/>
    <w:rsid w:val="00C255D3"/>
    <w:rsid w:val="00C2568C"/>
    <w:rsid w:val="00C2583F"/>
    <w:rsid w:val="00C2589C"/>
    <w:rsid w:val="00C2594E"/>
    <w:rsid w:val="00C25B4D"/>
    <w:rsid w:val="00C25C46"/>
    <w:rsid w:val="00C25ECD"/>
    <w:rsid w:val="00C26166"/>
    <w:rsid w:val="00C262BD"/>
    <w:rsid w:val="00C2632C"/>
    <w:rsid w:val="00C266E9"/>
    <w:rsid w:val="00C26716"/>
    <w:rsid w:val="00C26872"/>
    <w:rsid w:val="00C268C5"/>
    <w:rsid w:val="00C26D9B"/>
    <w:rsid w:val="00C26DC6"/>
    <w:rsid w:val="00C26E28"/>
    <w:rsid w:val="00C26E45"/>
    <w:rsid w:val="00C26EBB"/>
    <w:rsid w:val="00C26ECC"/>
    <w:rsid w:val="00C26F2C"/>
    <w:rsid w:val="00C26FDB"/>
    <w:rsid w:val="00C2705A"/>
    <w:rsid w:val="00C27184"/>
    <w:rsid w:val="00C27227"/>
    <w:rsid w:val="00C27792"/>
    <w:rsid w:val="00C27A57"/>
    <w:rsid w:val="00C27BAB"/>
    <w:rsid w:val="00C27CC3"/>
    <w:rsid w:val="00C27FE3"/>
    <w:rsid w:val="00C3006D"/>
    <w:rsid w:val="00C30220"/>
    <w:rsid w:val="00C30412"/>
    <w:rsid w:val="00C30685"/>
    <w:rsid w:val="00C3090B"/>
    <w:rsid w:val="00C3095B"/>
    <w:rsid w:val="00C30A59"/>
    <w:rsid w:val="00C30FA7"/>
    <w:rsid w:val="00C31012"/>
    <w:rsid w:val="00C31160"/>
    <w:rsid w:val="00C31236"/>
    <w:rsid w:val="00C31510"/>
    <w:rsid w:val="00C3184A"/>
    <w:rsid w:val="00C31D56"/>
    <w:rsid w:val="00C31E23"/>
    <w:rsid w:val="00C31EE6"/>
    <w:rsid w:val="00C31FBC"/>
    <w:rsid w:val="00C3224B"/>
    <w:rsid w:val="00C322BF"/>
    <w:rsid w:val="00C3238A"/>
    <w:rsid w:val="00C323B6"/>
    <w:rsid w:val="00C325B4"/>
    <w:rsid w:val="00C32689"/>
    <w:rsid w:val="00C326F9"/>
    <w:rsid w:val="00C32813"/>
    <w:rsid w:val="00C32882"/>
    <w:rsid w:val="00C32B63"/>
    <w:rsid w:val="00C32B99"/>
    <w:rsid w:val="00C32CE9"/>
    <w:rsid w:val="00C32D40"/>
    <w:rsid w:val="00C32E3D"/>
    <w:rsid w:val="00C32FDC"/>
    <w:rsid w:val="00C33014"/>
    <w:rsid w:val="00C33024"/>
    <w:rsid w:val="00C33060"/>
    <w:rsid w:val="00C332D7"/>
    <w:rsid w:val="00C333F1"/>
    <w:rsid w:val="00C33581"/>
    <w:rsid w:val="00C339C6"/>
    <w:rsid w:val="00C33BF8"/>
    <w:rsid w:val="00C33C04"/>
    <w:rsid w:val="00C33EF9"/>
    <w:rsid w:val="00C342C6"/>
    <w:rsid w:val="00C3440D"/>
    <w:rsid w:val="00C346F3"/>
    <w:rsid w:val="00C34B3D"/>
    <w:rsid w:val="00C34B6D"/>
    <w:rsid w:val="00C34E74"/>
    <w:rsid w:val="00C34FB1"/>
    <w:rsid w:val="00C35213"/>
    <w:rsid w:val="00C35273"/>
    <w:rsid w:val="00C3544A"/>
    <w:rsid w:val="00C3548B"/>
    <w:rsid w:val="00C354C2"/>
    <w:rsid w:val="00C3554A"/>
    <w:rsid w:val="00C355D5"/>
    <w:rsid w:val="00C3562B"/>
    <w:rsid w:val="00C356D2"/>
    <w:rsid w:val="00C35771"/>
    <w:rsid w:val="00C35825"/>
    <w:rsid w:val="00C359D4"/>
    <w:rsid w:val="00C359F4"/>
    <w:rsid w:val="00C35A69"/>
    <w:rsid w:val="00C35B3B"/>
    <w:rsid w:val="00C35BFF"/>
    <w:rsid w:val="00C35CDB"/>
    <w:rsid w:val="00C35D8C"/>
    <w:rsid w:val="00C35DDD"/>
    <w:rsid w:val="00C35DFA"/>
    <w:rsid w:val="00C35E21"/>
    <w:rsid w:val="00C35F94"/>
    <w:rsid w:val="00C362BE"/>
    <w:rsid w:val="00C36595"/>
    <w:rsid w:val="00C36931"/>
    <w:rsid w:val="00C369E4"/>
    <w:rsid w:val="00C36D0F"/>
    <w:rsid w:val="00C36F30"/>
    <w:rsid w:val="00C36FFC"/>
    <w:rsid w:val="00C37538"/>
    <w:rsid w:val="00C376C3"/>
    <w:rsid w:val="00C377A6"/>
    <w:rsid w:val="00C377AD"/>
    <w:rsid w:val="00C377CA"/>
    <w:rsid w:val="00C377E5"/>
    <w:rsid w:val="00C37A29"/>
    <w:rsid w:val="00C37A3F"/>
    <w:rsid w:val="00C37CE4"/>
    <w:rsid w:val="00C37EDA"/>
    <w:rsid w:val="00C37F5E"/>
    <w:rsid w:val="00C37F98"/>
    <w:rsid w:val="00C401CC"/>
    <w:rsid w:val="00C403A1"/>
    <w:rsid w:val="00C4047C"/>
    <w:rsid w:val="00C404C4"/>
    <w:rsid w:val="00C407B1"/>
    <w:rsid w:val="00C409EB"/>
    <w:rsid w:val="00C40A3D"/>
    <w:rsid w:val="00C40A63"/>
    <w:rsid w:val="00C40F7F"/>
    <w:rsid w:val="00C40FD3"/>
    <w:rsid w:val="00C4133C"/>
    <w:rsid w:val="00C416AD"/>
    <w:rsid w:val="00C4170C"/>
    <w:rsid w:val="00C4180D"/>
    <w:rsid w:val="00C41AB1"/>
    <w:rsid w:val="00C41F16"/>
    <w:rsid w:val="00C41FEC"/>
    <w:rsid w:val="00C421EB"/>
    <w:rsid w:val="00C4222D"/>
    <w:rsid w:val="00C42578"/>
    <w:rsid w:val="00C428BD"/>
    <w:rsid w:val="00C4297B"/>
    <w:rsid w:val="00C42D6F"/>
    <w:rsid w:val="00C42F39"/>
    <w:rsid w:val="00C43150"/>
    <w:rsid w:val="00C431DD"/>
    <w:rsid w:val="00C432DB"/>
    <w:rsid w:val="00C43385"/>
    <w:rsid w:val="00C433D0"/>
    <w:rsid w:val="00C436CF"/>
    <w:rsid w:val="00C43837"/>
    <w:rsid w:val="00C43883"/>
    <w:rsid w:val="00C438F6"/>
    <w:rsid w:val="00C43901"/>
    <w:rsid w:val="00C4392E"/>
    <w:rsid w:val="00C439E5"/>
    <w:rsid w:val="00C43A4F"/>
    <w:rsid w:val="00C43A57"/>
    <w:rsid w:val="00C43AE2"/>
    <w:rsid w:val="00C43B12"/>
    <w:rsid w:val="00C43B40"/>
    <w:rsid w:val="00C43DFD"/>
    <w:rsid w:val="00C43EEC"/>
    <w:rsid w:val="00C442B7"/>
    <w:rsid w:val="00C445C0"/>
    <w:rsid w:val="00C4473D"/>
    <w:rsid w:val="00C44879"/>
    <w:rsid w:val="00C44894"/>
    <w:rsid w:val="00C448FD"/>
    <w:rsid w:val="00C44A74"/>
    <w:rsid w:val="00C44C01"/>
    <w:rsid w:val="00C44E8C"/>
    <w:rsid w:val="00C44F70"/>
    <w:rsid w:val="00C4514D"/>
    <w:rsid w:val="00C4589E"/>
    <w:rsid w:val="00C45D73"/>
    <w:rsid w:val="00C45E52"/>
    <w:rsid w:val="00C45F02"/>
    <w:rsid w:val="00C46073"/>
    <w:rsid w:val="00C4614A"/>
    <w:rsid w:val="00C46160"/>
    <w:rsid w:val="00C4622C"/>
    <w:rsid w:val="00C462F0"/>
    <w:rsid w:val="00C46515"/>
    <w:rsid w:val="00C465EF"/>
    <w:rsid w:val="00C469B5"/>
    <w:rsid w:val="00C469CF"/>
    <w:rsid w:val="00C46AF3"/>
    <w:rsid w:val="00C46C98"/>
    <w:rsid w:val="00C46CDA"/>
    <w:rsid w:val="00C46FE6"/>
    <w:rsid w:val="00C471A6"/>
    <w:rsid w:val="00C471FE"/>
    <w:rsid w:val="00C4730A"/>
    <w:rsid w:val="00C47393"/>
    <w:rsid w:val="00C4740B"/>
    <w:rsid w:val="00C4740F"/>
    <w:rsid w:val="00C4742F"/>
    <w:rsid w:val="00C47472"/>
    <w:rsid w:val="00C476E0"/>
    <w:rsid w:val="00C47799"/>
    <w:rsid w:val="00C477E5"/>
    <w:rsid w:val="00C47B6C"/>
    <w:rsid w:val="00C47BAA"/>
    <w:rsid w:val="00C47ED9"/>
    <w:rsid w:val="00C500E0"/>
    <w:rsid w:val="00C5017F"/>
    <w:rsid w:val="00C50544"/>
    <w:rsid w:val="00C50B1E"/>
    <w:rsid w:val="00C50B51"/>
    <w:rsid w:val="00C50BD6"/>
    <w:rsid w:val="00C50CE3"/>
    <w:rsid w:val="00C50E62"/>
    <w:rsid w:val="00C50F58"/>
    <w:rsid w:val="00C51354"/>
    <w:rsid w:val="00C51395"/>
    <w:rsid w:val="00C51717"/>
    <w:rsid w:val="00C5176B"/>
    <w:rsid w:val="00C51A4C"/>
    <w:rsid w:val="00C51B0D"/>
    <w:rsid w:val="00C51CF3"/>
    <w:rsid w:val="00C51F88"/>
    <w:rsid w:val="00C51FF2"/>
    <w:rsid w:val="00C520EE"/>
    <w:rsid w:val="00C52129"/>
    <w:rsid w:val="00C5241C"/>
    <w:rsid w:val="00C52847"/>
    <w:rsid w:val="00C52940"/>
    <w:rsid w:val="00C5296B"/>
    <w:rsid w:val="00C52BD5"/>
    <w:rsid w:val="00C52E25"/>
    <w:rsid w:val="00C52E75"/>
    <w:rsid w:val="00C52E79"/>
    <w:rsid w:val="00C52E8D"/>
    <w:rsid w:val="00C53089"/>
    <w:rsid w:val="00C53542"/>
    <w:rsid w:val="00C535D3"/>
    <w:rsid w:val="00C53733"/>
    <w:rsid w:val="00C539EC"/>
    <w:rsid w:val="00C53EA5"/>
    <w:rsid w:val="00C543C8"/>
    <w:rsid w:val="00C54540"/>
    <w:rsid w:val="00C54559"/>
    <w:rsid w:val="00C5456E"/>
    <w:rsid w:val="00C5465A"/>
    <w:rsid w:val="00C54B20"/>
    <w:rsid w:val="00C54BFF"/>
    <w:rsid w:val="00C54DB2"/>
    <w:rsid w:val="00C54ED6"/>
    <w:rsid w:val="00C54F05"/>
    <w:rsid w:val="00C5511F"/>
    <w:rsid w:val="00C551A3"/>
    <w:rsid w:val="00C551F0"/>
    <w:rsid w:val="00C5524C"/>
    <w:rsid w:val="00C553BB"/>
    <w:rsid w:val="00C5576F"/>
    <w:rsid w:val="00C55BEF"/>
    <w:rsid w:val="00C55C3D"/>
    <w:rsid w:val="00C55E2B"/>
    <w:rsid w:val="00C561A3"/>
    <w:rsid w:val="00C564D1"/>
    <w:rsid w:val="00C56567"/>
    <w:rsid w:val="00C565EB"/>
    <w:rsid w:val="00C56695"/>
    <w:rsid w:val="00C569DB"/>
    <w:rsid w:val="00C56A38"/>
    <w:rsid w:val="00C56A45"/>
    <w:rsid w:val="00C56B09"/>
    <w:rsid w:val="00C56B75"/>
    <w:rsid w:val="00C56BB7"/>
    <w:rsid w:val="00C56BE5"/>
    <w:rsid w:val="00C56D0B"/>
    <w:rsid w:val="00C56EB6"/>
    <w:rsid w:val="00C56F30"/>
    <w:rsid w:val="00C57036"/>
    <w:rsid w:val="00C571BE"/>
    <w:rsid w:val="00C573C1"/>
    <w:rsid w:val="00C573DC"/>
    <w:rsid w:val="00C57801"/>
    <w:rsid w:val="00C57A84"/>
    <w:rsid w:val="00C57B70"/>
    <w:rsid w:val="00C57C86"/>
    <w:rsid w:val="00C57D3E"/>
    <w:rsid w:val="00C6007E"/>
    <w:rsid w:val="00C600C0"/>
    <w:rsid w:val="00C60126"/>
    <w:rsid w:val="00C60297"/>
    <w:rsid w:val="00C605D4"/>
    <w:rsid w:val="00C6065C"/>
    <w:rsid w:val="00C60870"/>
    <w:rsid w:val="00C60C3B"/>
    <w:rsid w:val="00C60CAA"/>
    <w:rsid w:val="00C60D72"/>
    <w:rsid w:val="00C60EC3"/>
    <w:rsid w:val="00C6139D"/>
    <w:rsid w:val="00C613A7"/>
    <w:rsid w:val="00C6162A"/>
    <w:rsid w:val="00C61687"/>
    <w:rsid w:val="00C61BFB"/>
    <w:rsid w:val="00C61D5A"/>
    <w:rsid w:val="00C61E85"/>
    <w:rsid w:val="00C621F0"/>
    <w:rsid w:val="00C62335"/>
    <w:rsid w:val="00C6241B"/>
    <w:rsid w:val="00C624D6"/>
    <w:rsid w:val="00C6274D"/>
    <w:rsid w:val="00C6294A"/>
    <w:rsid w:val="00C62B40"/>
    <w:rsid w:val="00C62BCC"/>
    <w:rsid w:val="00C62D3D"/>
    <w:rsid w:val="00C62D44"/>
    <w:rsid w:val="00C63255"/>
    <w:rsid w:val="00C632D9"/>
    <w:rsid w:val="00C634B0"/>
    <w:rsid w:val="00C634EE"/>
    <w:rsid w:val="00C6355A"/>
    <w:rsid w:val="00C6382D"/>
    <w:rsid w:val="00C6388C"/>
    <w:rsid w:val="00C63A62"/>
    <w:rsid w:val="00C63AB8"/>
    <w:rsid w:val="00C63BC1"/>
    <w:rsid w:val="00C64220"/>
    <w:rsid w:val="00C6433B"/>
    <w:rsid w:val="00C6447A"/>
    <w:rsid w:val="00C64821"/>
    <w:rsid w:val="00C64B0F"/>
    <w:rsid w:val="00C64BA3"/>
    <w:rsid w:val="00C64BB6"/>
    <w:rsid w:val="00C64D2F"/>
    <w:rsid w:val="00C64E2C"/>
    <w:rsid w:val="00C6566F"/>
    <w:rsid w:val="00C658FC"/>
    <w:rsid w:val="00C65A5E"/>
    <w:rsid w:val="00C65B98"/>
    <w:rsid w:val="00C65DAE"/>
    <w:rsid w:val="00C65FBA"/>
    <w:rsid w:val="00C66011"/>
    <w:rsid w:val="00C666B5"/>
    <w:rsid w:val="00C668F4"/>
    <w:rsid w:val="00C66939"/>
    <w:rsid w:val="00C66B6A"/>
    <w:rsid w:val="00C66F5E"/>
    <w:rsid w:val="00C67085"/>
    <w:rsid w:val="00C6737B"/>
    <w:rsid w:val="00C674DC"/>
    <w:rsid w:val="00C6779A"/>
    <w:rsid w:val="00C67A0D"/>
    <w:rsid w:val="00C67B8C"/>
    <w:rsid w:val="00C67F78"/>
    <w:rsid w:val="00C7004A"/>
    <w:rsid w:val="00C7007F"/>
    <w:rsid w:val="00C700D6"/>
    <w:rsid w:val="00C70203"/>
    <w:rsid w:val="00C70351"/>
    <w:rsid w:val="00C70616"/>
    <w:rsid w:val="00C70677"/>
    <w:rsid w:val="00C708FC"/>
    <w:rsid w:val="00C7096D"/>
    <w:rsid w:val="00C70B43"/>
    <w:rsid w:val="00C70D4A"/>
    <w:rsid w:val="00C70D80"/>
    <w:rsid w:val="00C70D89"/>
    <w:rsid w:val="00C70E4E"/>
    <w:rsid w:val="00C70EFC"/>
    <w:rsid w:val="00C712C8"/>
    <w:rsid w:val="00C71688"/>
    <w:rsid w:val="00C716C0"/>
    <w:rsid w:val="00C718BA"/>
    <w:rsid w:val="00C71946"/>
    <w:rsid w:val="00C71954"/>
    <w:rsid w:val="00C71D02"/>
    <w:rsid w:val="00C72196"/>
    <w:rsid w:val="00C723DB"/>
    <w:rsid w:val="00C727C1"/>
    <w:rsid w:val="00C728BB"/>
    <w:rsid w:val="00C72C80"/>
    <w:rsid w:val="00C72DD1"/>
    <w:rsid w:val="00C72EAD"/>
    <w:rsid w:val="00C72FED"/>
    <w:rsid w:val="00C73063"/>
    <w:rsid w:val="00C73349"/>
    <w:rsid w:val="00C7335A"/>
    <w:rsid w:val="00C73409"/>
    <w:rsid w:val="00C73504"/>
    <w:rsid w:val="00C73600"/>
    <w:rsid w:val="00C73731"/>
    <w:rsid w:val="00C73948"/>
    <w:rsid w:val="00C73A97"/>
    <w:rsid w:val="00C73DCF"/>
    <w:rsid w:val="00C74001"/>
    <w:rsid w:val="00C740D3"/>
    <w:rsid w:val="00C7417B"/>
    <w:rsid w:val="00C741A7"/>
    <w:rsid w:val="00C741EE"/>
    <w:rsid w:val="00C743ED"/>
    <w:rsid w:val="00C744AB"/>
    <w:rsid w:val="00C7473E"/>
    <w:rsid w:val="00C74A9D"/>
    <w:rsid w:val="00C74C42"/>
    <w:rsid w:val="00C74D87"/>
    <w:rsid w:val="00C750BD"/>
    <w:rsid w:val="00C75128"/>
    <w:rsid w:val="00C7518A"/>
    <w:rsid w:val="00C75379"/>
    <w:rsid w:val="00C75515"/>
    <w:rsid w:val="00C755F3"/>
    <w:rsid w:val="00C75928"/>
    <w:rsid w:val="00C75C56"/>
    <w:rsid w:val="00C75C70"/>
    <w:rsid w:val="00C763E2"/>
    <w:rsid w:val="00C7656A"/>
    <w:rsid w:val="00C76666"/>
    <w:rsid w:val="00C767D0"/>
    <w:rsid w:val="00C767EF"/>
    <w:rsid w:val="00C769A3"/>
    <w:rsid w:val="00C77082"/>
    <w:rsid w:val="00C77143"/>
    <w:rsid w:val="00C77428"/>
    <w:rsid w:val="00C7747C"/>
    <w:rsid w:val="00C77480"/>
    <w:rsid w:val="00C77536"/>
    <w:rsid w:val="00C7771C"/>
    <w:rsid w:val="00C7793E"/>
    <w:rsid w:val="00C77A35"/>
    <w:rsid w:val="00C77ACF"/>
    <w:rsid w:val="00C77C4A"/>
    <w:rsid w:val="00C77F23"/>
    <w:rsid w:val="00C77F4E"/>
    <w:rsid w:val="00C800EB"/>
    <w:rsid w:val="00C8012C"/>
    <w:rsid w:val="00C8046D"/>
    <w:rsid w:val="00C80582"/>
    <w:rsid w:val="00C80619"/>
    <w:rsid w:val="00C806D7"/>
    <w:rsid w:val="00C806FF"/>
    <w:rsid w:val="00C8077B"/>
    <w:rsid w:val="00C808F9"/>
    <w:rsid w:val="00C808FE"/>
    <w:rsid w:val="00C80968"/>
    <w:rsid w:val="00C80B84"/>
    <w:rsid w:val="00C80C85"/>
    <w:rsid w:val="00C80E77"/>
    <w:rsid w:val="00C80FE0"/>
    <w:rsid w:val="00C81323"/>
    <w:rsid w:val="00C81422"/>
    <w:rsid w:val="00C8142F"/>
    <w:rsid w:val="00C816AB"/>
    <w:rsid w:val="00C816EA"/>
    <w:rsid w:val="00C817B1"/>
    <w:rsid w:val="00C81804"/>
    <w:rsid w:val="00C81960"/>
    <w:rsid w:val="00C81A33"/>
    <w:rsid w:val="00C81A6E"/>
    <w:rsid w:val="00C81C2A"/>
    <w:rsid w:val="00C81E17"/>
    <w:rsid w:val="00C81F03"/>
    <w:rsid w:val="00C81F94"/>
    <w:rsid w:val="00C8232F"/>
    <w:rsid w:val="00C824D1"/>
    <w:rsid w:val="00C82565"/>
    <w:rsid w:val="00C8259D"/>
    <w:rsid w:val="00C825E4"/>
    <w:rsid w:val="00C82624"/>
    <w:rsid w:val="00C82648"/>
    <w:rsid w:val="00C82A03"/>
    <w:rsid w:val="00C82EE5"/>
    <w:rsid w:val="00C82F5E"/>
    <w:rsid w:val="00C8307C"/>
    <w:rsid w:val="00C830FB"/>
    <w:rsid w:val="00C832D6"/>
    <w:rsid w:val="00C83C7C"/>
    <w:rsid w:val="00C83DCA"/>
    <w:rsid w:val="00C84001"/>
    <w:rsid w:val="00C841A0"/>
    <w:rsid w:val="00C842AF"/>
    <w:rsid w:val="00C8459A"/>
    <w:rsid w:val="00C846B8"/>
    <w:rsid w:val="00C846ED"/>
    <w:rsid w:val="00C8481A"/>
    <w:rsid w:val="00C84A6B"/>
    <w:rsid w:val="00C84D78"/>
    <w:rsid w:val="00C84DA6"/>
    <w:rsid w:val="00C84F17"/>
    <w:rsid w:val="00C84FE5"/>
    <w:rsid w:val="00C85242"/>
    <w:rsid w:val="00C856D8"/>
    <w:rsid w:val="00C856DF"/>
    <w:rsid w:val="00C85BD5"/>
    <w:rsid w:val="00C85CA8"/>
    <w:rsid w:val="00C85EA9"/>
    <w:rsid w:val="00C86265"/>
    <w:rsid w:val="00C862BE"/>
    <w:rsid w:val="00C86435"/>
    <w:rsid w:val="00C86748"/>
    <w:rsid w:val="00C869A1"/>
    <w:rsid w:val="00C869B8"/>
    <w:rsid w:val="00C86A56"/>
    <w:rsid w:val="00C86AC6"/>
    <w:rsid w:val="00C86C8A"/>
    <w:rsid w:val="00C86E9A"/>
    <w:rsid w:val="00C86F9F"/>
    <w:rsid w:val="00C87230"/>
    <w:rsid w:val="00C87239"/>
    <w:rsid w:val="00C87268"/>
    <w:rsid w:val="00C8744F"/>
    <w:rsid w:val="00C87955"/>
    <w:rsid w:val="00C87B04"/>
    <w:rsid w:val="00C87C1F"/>
    <w:rsid w:val="00C87EBA"/>
    <w:rsid w:val="00C87F8C"/>
    <w:rsid w:val="00C9033B"/>
    <w:rsid w:val="00C9036A"/>
    <w:rsid w:val="00C904C5"/>
    <w:rsid w:val="00C90615"/>
    <w:rsid w:val="00C90643"/>
    <w:rsid w:val="00C908C1"/>
    <w:rsid w:val="00C90938"/>
    <w:rsid w:val="00C90B3A"/>
    <w:rsid w:val="00C90B4B"/>
    <w:rsid w:val="00C90D22"/>
    <w:rsid w:val="00C90DDE"/>
    <w:rsid w:val="00C9143B"/>
    <w:rsid w:val="00C914EA"/>
    <w:rsid w:val="00C9170F"/>
    <w:rsid w:val="00C91872"/>
    <w:rsid w:val="00C91A35"/>
    <w:rsid w:val="00C91B74"/>
    <w:rsid w:val="00C91D82"/>
    <w:rsid w:val="00C91DD2"/>
    <w:rsid w:val="00C91E91"/>
    <w:rsid w:val="00C91F25"/>
    <w:rsid w:val="00C92054"/>
    <w:rsid w:val="00C92084"/>
    <w:rsid w:val="00C92296"/>
    <w:rsid w:val="00C92382"/>
    <w:rsid w:val="00C92C1E"/>
    <w:rsid w:val="00C92D70"/>
    <w:rsid w:val="00C92DAA"/>
    <w:rsid w:val="00C932F3"/>
    <w:rsid w:val="00C9355E"/>
    <w:rsid w:val="00C938DF"/>
    <w:rsid w:val="00C93AB8"/>
    <w:rsid w:val="00C93B34"/>
    <w:rsid w:val="00C93BCA"/>
    <w:rsid w:val="00C93FF5"/>
    <w:rsid w:val="00C941CE"/>
    <w:rsid w:val="00C943BF"/>
    <w:rsid w:val="00C949A8"/>
    <w:rsid w:val="00C94A63"/>
    <w:rsid w:val="00C94B15"/>
    <w:rsid w:val="00C94C4F"/>
    <w:rsid w:val="00C94CCB"/>
    <w:rsid w:val="00C94CCC"/>
    <w:rsid w:val="00C94DBA"/>
    <w:rsid w:val="00C94E10"/>
    <w:rsid w:val="00C950E8"/>
    <w:rsid w:val="00C95168"/>
    <w:rsid w:val="00C95511"/>
    <w:rsid w:val="00C95637"/>
    <w:rsid w:val="00C95780"/>
    <w:rsid w:val="00C95839"/>
    <w:rsid w:val="00C95DC5"/>
    <w:rsid w:val="00C95F6B"/>
    <w:rsid w:val="00C95F8F"/>
    <w:rsid w:val="00C961C5"/>
    <w:rsid w:val="00C961E1"/>
    <w:rsid w:val="00C963A0"/>
    <w:rsid w:val="00C96673"/>
    <w:rsid w:val="00C9691E"/>
    <w:rsid w:val="00C96962"/>
    <w:rsid w:val="00C96A8B"/>
    <w:rsid w:val="00C96CA4"/>
    <w:rsid w:val="00C96D58"/>
    <w:rsid w:val="00C96EFF"/>
    <w:rsid w:val="00C97398"/>
    <w:rsid w:val="00C97725"/>
    <w:rsid w:val="00C9786F"/>
    <w:rsid w:val="00C97893"/>
    <w:rsid w:val="00C97AC6"/>
    <w:rsid w:val="00C97C2E"/>
    <w:rsid w:val="00C97D16"/>
    <w:rsid w:val="00C97DC4"/>
    <w:rsid w:val="00C97FB9"/>
    <w:rsid w:val="00C97FF8"/>
    <w:rsid w:val="00CA0050"/>
    <w:rsid w:val="00CA0260"/>
    <w:rsid w:val="00CA02C9"/>
    <w:rsid w:val="00CA04CD"/>
    <w:rsid w:val="00CA057E"/>
    <w:rsid w:val="00CA06E3"/>
    <w:rsid w:val="00CA09B1"/>
    <w:rsid w:val="00CA0B3F"/>
    <w:rsid w:val="00CA0D47"/>
    <w:rsid w:val="00CA0D58"/>
    <w:rsid w:val="00CA0D5F"/>
    <w:rsid w:val="00CA0E99"/>
    <w:rsid w:val="00CA0F8B"/>
    <w:rsid w:val="00CA0FCD"/>
    <w:rsid w:val="00CA10FF"/>
    <w:rsid w:val="00CA11A0"/>
    <w:rsid w:val="00CA1428"/>
    <w:rsid w:val="00CA152E"/>
    <w:rsid w:val="00CA1545"/>
    <w:rsid w:val="00CA1571"/>
    <w:rsid w:val="00CA15FF"/>
    <w:rsid w:val="00CA1615"/>
    <w:rsid w:val="00CA1639"/>
    <w:rsid w:val="00CA169C"/>
    <w:rsid w:val="00CA1741"/>
    <w:rsid w:val="00CA19AD"/>
    <w:rsid w:val="00CA1A66"/>
    <w:rsid w:val="00CA1A68"/>
    <w:rsid w:val="00CA1B59"/>
    <w:rsid w:val="00CA1BAC"/>
    <w:rsid w:val="00CA1C10"/>
    <w:rsid w:val="00CA1C93"/>
    <w:rsid w:val="00CA1F29"/>
    <w:rsid w:val="00CA1F82"/>
    <w:rsid w:val="00CA2060"/>
    <w:rsid w:val="00CA2340"/>
    <w:rsid w:val="00CA2548"/>
    <w:rsid w:val="00CA2809"/>
    <w:rsid w:val="00CA28E7"/>
    <w:rsid w:val="00CA2903"/>
    <w:rsid w:val="00CA2AE5"/>
    <w:rsid w:val="00CA2DAC"/>
    <w:rsid w:val="00CA2E85"/>
    <w:rsid w:val="00CA2FC4"/>
    <w:rsid w:val="00CA3245"/>
    <w:rsid w:val="00CA33FF"/>
    <w:rsid w:val="00CA342B"/>
    <w:rsid w:val="00CA355D"/>
    <w:rsid w:val="00CA37B1"/>
    <w:rsid w:val="00CA3982"/>
    <w:rsid w:val="00CA3A63"/>
    <w:rsid w:val="00CA3B75"/>
    <w:rsid w:val="00CA3BAA"/>
    <w:rsid w:val="00CA3C17"/>
    <w:rsid w:val="00CA3C20"/>
    <w:rsid w:val="00CA3CC9"/>
    <w:rsid w:val="00CA3EBD"/>
    <w:rsid w:val="00CA3FD8"/>
    <w:rsid w:val="00CA40C3"/>
    <w:rsid w:val="00CA4331"/>
    <w:rsid w:val="00CA4500"/>
    <w:rsid w:val="00CA45D6"/>
    <w:rsid w:val="00CA47B6"/>
    <w:rsid w:val="00CA47BE"/>
    <w:rsid w:val="00CA4AB8"/>
    <w:rsid w:val="00CA4B2C"/>
    <w:rsid w:val="00CA4BCB"/>
    <w:rsid w:val="00CA4F7C"/>
    <w:rsid w:val="00CA517B"/>
    <w:rsid w:val="00CA51AC"/>
    <w:rsid w:val="00CA54E8"/>
    <w:rsid w:val="00CA584A"/>
    <w:rsid w:val="00CA5978"/>
    <w:rsid w:val="00CA5AD8"/>
    <w:rsid w:val="00CA5B5C"/>
    <w:rsid w:val="00CA5B60"/>
    <w:rsid w:val="00CA5BB0"/>
    <w:rsid w:val="00CA5FA9"/>
    <w:rsid w:val="00CA605D"/>
    <w:rsid w:val="00CA6365"/>
    <w:rsid w:val="00CA63AF"/>
    <w:rsid w:val="00CA63D7"/>
    <w:rsid w:val="00CA65A1"/>
    <w:rsid w:val="00CA662C"/>
    <w:rsid w:val="00CA69E8"/>
    <w:rsid w:val="00CA6A36"/>
    <w:rsid w:val="00CA6AE8"/>
    <w:rsid w:val="00CA6B6A"/>
    <w:rsid w:val="00CA6D56"/>
    <w:rsid w:val="00CA6EAC"/>
    <w:rsid w:val="00CA6F2F"/>
    <w:rsid w:val="00CA6F45"/>
    <w:rsid w:val="00CA7042"/>
    <w:rsid w:val="00CA7195"/>
    <w:rsid w:val="00CA752D"/>
    <w:rsid w:val="00CA7531"/>
    <w:rsid w:val="00CA77A8"/>
    <w:rsid w:val="00CA7B1B"/>
    <w:rsid w:val="00CA7D21"/>
    <w:rsid w:val="00CA7D23"/>
    <w:rsid w:val="00CA7ED6"/>
    <w:rsid w:val="00CA7F73"/>
    <w:rsid w:val="00CB01E1"/>
    <w:rsid w:val="00CB07B7"/>
    <w:rsid w:val="00CB0804"/>
    <w:rsid w:val="00CB08E8"/>
    <w:rsid w:val="00CB0C90"/>
    <w:rsid w:val="00CB0DDC"/>
    <w:rsid w:val="00CB0DE0"/>
    <w:rsid w:val="00CB0E06"/>
    <w:rsid w:val="00CB0ED9"/>
    <w:rsid w:val="00CB1036"/>
    <w:rsid w:val="00CB1195"/>
    <w:rsid w:val="00CB1356"/>
    <w:rsid w:val="00CB1386"/>
    <w:rsid w:val="00CB1554"/>
    <w:rsid w:val="00CB16B0"/>
    <w:rsid w:val="00CB1705"/>
    <w:rsid w:val="00CB175B"/>
    <w:rsid w:val="00CB180F"/>
    <w:rsid w:val="00CB197D"/>
    <w:rsid w:val="00CB19ED"/>
    <w:rsid w:val="00CB21E3"/>
    <w:rsid w:val="00CB2379"/>
    <w:rsid w:val="00CB2385"/>
    <w:rsid w:val="00CB2739"/>
    <w:rsid w:val="00CB277F"/>
    <w:rsid w:val="00CB2891"/>
    <w:rsid w:val="00CB2CF9"/>
    <w:rsid w:val="00CB2EC1"/>
    <w:rsid w:val="00CB2FD5"/>
    <w:rsid w:val="00CB30BE"/>
    <w:rsid w:val="00CB32CA"/>
    <w:rsid w:val="00CB3789"/>
    <w:rsid w:val="00CB37AF"/>
    <w:rsid w:val="00CB3811"/>
    <w:rsid w:val="00CB3A9A"/>
    <w:rsid w:val="00CB3C9D"/>
    <w:rsid w:val="00CB3D01"/>
    <w:rsid w:val="00CB42B3"/>
    <w:rsid w:val="00CB4356"/>
    <w:rsid w:val="00CB4469"/>
    <w:rsid w:val="00CB4511"/>
    <w:rsid w:val="00CB47A0"/>
    <w:rsid w:val="00CB4833"/>
    <w:rsid w:val="00CB483D"/>
    <w:rsid w:val="00CB4961"/>
    <w:rsid w:val="00CB55DE"/>
    <w:rsid w:val="00CB57FC"/>
    <w:rsid w:val="00CB6096"/>
    <w:rsid w:val="00CB626F"/>
    <w:rsid w:val="00CB6294"/>
    <w:rsid w:val="00CB637E"/>
    <w:rsid w:val="00CB669C"/>
    <w:rsid w:val="00CB6A93"/>
    <w:rsid w:val="00CB6D83"/>
    <w:rsid w:val="00CB6F84"/>
    <w:rsid w:val="00CB7115"/>
    <w:rsid w:val="00CB71AE"/>
    <w:rsid w:val="00CB7296"/>
    <w:rsid w:val="00CB751E"/>
    <w:rsid w:val="00CB75E1"/>
    <w:rsid w:val="00CB76D3"/>
    <w:rsid w:val="00CB7836"/>
    <w:rsid w:val="00CB7838"/>
    <w:rsid w:val="00CB7C5A"/>
    <w:rsid w:val="00CB7C77"/>
    <w:rsid w:val="00CB7CDA"/>
    <w:rsid w:val="00CB7F0A"/>
    <w:rsid w:val="00CC006F"/>
    <w:rsid w:val="00CC0330"/>
    <w:rsid w:val="00CC03B9"/>
    <w:rsid w:val="00CC08A2"/>
    <w:rsid w:val="00CC0AB5"/>
    <w:rsid w:val="00CC0B0E"/>
    <w:rsid w:val="00CC0CD6"/>
    <w:rsid w:val="00CC0E6E"/>
    <w:rsid w:val="00CC0F35"/>
    <w:rsid w:val="00CC101B"/>
    <w:rsid w:val="00CC10FE"/>
    <w:rsid w:val="00CC15AE"/>
    <w:rsid w:val="00CC163B"/>
    <w:rsid w:val="00CC1659"/>
    <w:rsid w:val="00CC196F"/>
    <w:rsid w:val="00CC1A2C"/>
    <w:rsid w:val="00CC1B57"/>
    <w:rsid w:val="00CC1D24"/>
    <w:rsid w:val="00CC1F98"/>
    <w:rsid w:val="00CC2187"/>
    <w:rsid w:val="00CC237D"/>
    <w:rsid w:val="00CC27FA"/>
    <w:rsid w:val="00CC2A89"/>
    <w:rsid w:val="00CC2B8B"/>
    <w:rsid w:val="00CC2BF8"/>
    <w:rsid w:val="00CC2C30"/>
    <w:rsid w:val="00CC2E7A"/>
    <w:rsid w:val="00CC2EC6"/>
    <w:rsid w:val="00CC2F1E"/>
    <w:rsid w:val="00CC2F55"/>
    <w:rsid w:val="00CC2F61"/>
    <w:rsid w:val="00CC34F7"/>
    <w:rsid w:val="00CC3BAB"/>
    <w:rsid w:val="00CC3BB5"/>
    <w:rsid w:val="00CC3D60"/>
    <w:rsid w:val="00CC3DE4"/>
    <w:rsid w:val="00CC3F85"/>
    <w:rsid w:val="00CC448C"/>
    <w:rsid w:val="00CC44C8"/>
    <w:rsid w:val="00CC4528"/>
    <w:rsid w:val="00CC459B"/>
    <w:rsid w:val="00CC47F1"/>
    <w:rsid w:val="00CC47F9"/>
    <w:rsid w:val="00CC4987"/>
    <w:rsid w:val="00CC508B"/>
    <w:rsid w:val="00CC5227"/>
    <w:rsid w:val="00CC5718"/>
    <w:rsid w:val="00CC5782"/>
    <w:rsid w:val="00CC57D3"/>
    <w:rsid w:val="00CC587A"/>
    <w:rsid w:val="00CC5AAC"/>
    <w:rsid w:val="00CC5AD0"/>
    <w:rsid w:val="00CC5DE1"/>
    <w:rsid w:val="00CC5E59"/>
    <w:rsid w:val="00CC5E64"/>
    <w:rsid w:val="00CC5F5B"/>
    <w:rsid w:val="00CC5F6A"/>
    <w:rsid w:val="00CC6010"/>
    <w:rsid w:val="00CC6016"/>
    <w:rsid w:val="00CC612F"/>
    <w:rsid w:val="00CC6494"/>
    <w:rsid w:val="00CC6497"/>
    <w:rsid w:val="00CC64AA"/>
    <w:rsid w:val="00CC65F6"/>
    <w:rsid w:val="00CC66AA"/>
    <w:rsid w:val="00CC687C"/>
    <w:rsid w:val="00CC68E0"/>
    <w:rsid w:val="00CC6989"/>
    <w:rsid w:val="00CC6BE6"/>
    <w:rsid w:val="00CC6D18"/>
    <w:rsid w:val="00CC6DEB"/>
    <w:rsid w:val="00CC6E42"/>
    <w:rsid w:val="00CC6FAE"/>
    <w:rsid w:val="00CC706E"/>
    <w:rsid w:val="00CC7100"/>
    <w:rsid w:val="00CC735A"/>
    <w:rsid w:val="00CC737A"/>
    <w:rsid w:val="00CC7482"/>
    <w:rsid w:val="00CC751D"/>
    <w:rsid w:val="00CC7705"/>
    <w:rsid w:val="00CC77C0"/>
    <w:rsid w:val="00CC788E"/>
    <w:rsid w:val="00CC78BB"/>
    <w:rsid w:val="00CC78F0"/>
    <w:rsid w:val="00CC7D02"/>
    <w:rsid w:val="00CC7DD6"/>
    <w:rsid w:val="00CC7E65"/>
    <w:rsid w:val="00CD0036"/>
    <w:rsid w:val="00CD004D"/>
    <w:rsid w:val="00CD007C"/>
    <w:rsid w:val="00CD028C"/>
    <w:rsid w:val="00CD0598"/>
    <w:rsid w:val="00CD06E7"/>
    <w:rsid w:val="00CD0973"/>
    <w:rsid w:val="00CD0A4A"/>
    <w:rsid w:val="00CD0A72"/>
    <w:rsid w:val="00CD0A8E"/>
    <w:rsid w:val="00CD0B91"/>
    <w:rsid w:val="00CD0ECA"/>
    <w:rsid w:val="00CD0F01"/>
    <w:rsid w:val="00CD107A"/>
    <w:rsid w:val="00CD115A"/>
    <w:rsid w:val="00CD13B6"/>
    <w:rsid w:val="00CD1507"/>
    <w:rsid w:val="00CD161C"/>
    <w:rsid w:val="00CD1ABF"/>
    <w:rsid w:val="00CD1D4D"/>
    <w:rsid w:val="00CD1F10"/>
    <w:rsid w:val="00CD1FE2"/>
    <w:rsid w:val="00CD2072"/>
    <w:rsid w:val="00CD2168"/>
    <w:rsid w:val="00CD2408"/>
    <w:rsid w:val="00CD2492"/>
    <w:rsid w:val="00CD26F6"/>
    <w:rsid w:val="00CD2764"/>
    <w:rsid w:val="00CD281E"/>
    <w:rsid w:val="00CD2905"/>
    <w:rsid w:val="00CD2C6E"/>
    <w:rsid w:val="00CD2DED"/>
    <w:rsid w:val="00CD2E27"/>
    <w:rsid w:val="00CD3103"/>
    <w:rsid w:val="00CD315E"/>
    <w:rsid w:val="00CD31AE"/>
    <w:rsid w:val="00CD3228"/>
    <w:rsid w:val="00CD33A4"/>
    <w:rsid w:val="00CD3489"/>
    <w:rsid w:val="00CD36B1"/>
    <w:rsid w:val="00CD374E"/>
    <w:rsid w:val="00CD3C81"/>
    <w:rsid w:val="00CD3C9A"/>
    <w:rsid w:val="00CD3D09"/>
    <w:rsid w:val="00CD3E6D"/>
    <w:rsid w:val="00CD3ED2"/>
    <w:rsid w:val="00CD4164"/>
    <w:rsid w:val="00CD41BA"/>
    <w:rsid w:val="00CD43FB"/>
    <w:rsid w:val="00CD4531"/>
    <w:rsid w:val="00CD45E4"/>
    <w:rsid w:val="00CD4659"/>
    <w:rsid w:val="00CD4788"/>
    <w:rsid w:val="00CD4801"/>
    <w:rsid w:val="00CD4957"/>
    <w:rsid w:val="00CD49A6"/>
    <w:rsid w:val="00CD4BE1"/>
    <w:rsid w:val="00CD4D4F"/>
    <w:rsid w:val="00CD4DFF"/>
    <w:rsid w:val="00CD4E35"/>
    <w:rsid w:val="00CD5274"/>
    <w:rsid w:val="00CD5711"/>
    <w:rsid w:val="00CD5A38"/>
    <w:rsid w:val="00CD5D2F"/>
    <w:rsid w:val="00CD5FF4"/>
    <w:rsid w:val="00CD61EB"/>
    <w:rsid w:val="00CD6335"/>
    <w:rsid w:val="00CD6489"/>
    <w:rsid w:val="00CD65B6"/>
    <w:rsid w:val="00CD67AA"/>
    <w:rsid w:val="00CD67DF"/>
    <w:rsid w:val="00CD684D"/>
    <w:rsid w:val="00CD6E90"/>
    <w:rsid w:val="00CD6FA1"/>
    <w:rsid w:val="00CD70F9"/>
    <w:rsid w:val="00CD72AB"/>
    <w:rsid w:val="00CD75F3"/>
    <w:rsid w:val="00CD767C"/>
    <w:rsid w:val="00CD7898"/>
    <w:rsid w:val="00CD7A3B"/>
    <w:rsid w:val="00CD7A64"/>
    <w:rsid w:val="00CD7E60"/>
    <w:rsid w:val="00CD7F44"/>
    <w:rsid w:val="00CE02CF"/>
    <w:rsid w:val="00CE0323"/>
    <w:rsid w:val="00CE03DF"/>
    <w:rsid w:val="00CE040C"/>
    <w:rsid w:val="00CE0566"/>
    <w:rsid w:val="00CE058E"/>
    <w:rsid w:val="00CE0732"/>
    <w:rsid w:val="00CE079C"/>
    <w:rsid w:val="00CE08DE"/>
    <w:rsid w:val="00CE0995"/>
    <w:rsid w:val="00CE09E6"/>
    <w:rsid w:val="00CE0BDF"/>
    <w:rsid w:val="00CE0F6B"/>
    <w:rsid w:val="00CE1028"/>
    <w:rsid w:val="00CE117B"/>
    <w:rsid w:val="00CE12D9"/>
    <w:rsid w:val="00CE15F0"/>
    <w:rsid w:val="00CE163E"/>
    <w:rsid w:val="00CE19CD"/>
    <w:rsid w:val="00CE1F00"/>
    <w:rsid w:val="00CE207B"/>
    <w:rsid w:val="00CE2505"/>
    <w:rsid w:val="00CE2640"/>
    <w:rsid w:val="00CE293E"/>
    <w:rsid w:val="00CE2C40"/>
    <w:rsid w:val="00CE2C77"/>
    <w:rsid w:val="00CE2FFD"/>
    <w:rsid w:val="00CE303D"/>
    <w:rsid w:val="00CE3135"/>
    <w:rsid w:val="00CE326E"/>
    <w:rsid w:val="00CE35F2"/>
    <w:rsid w:val="00CE3603"/>
    <w:rsid w:val="00CE3631"/>
    <w:rsid w:val="00CE3D65"/>
    <w:rsid w:val="00CE3F54"/>
    <w:rsid w:val="00CE42CA"/>
    <w:rsid w:val="00CE43AF"/>
    <w:rsid w:val="00CE4424"/>
    <w:rsid w:val="00CE452C"/>
    <w:rsid w:val="00CE45C0"/>
    <w:rsid w:val="00CE483D"/>
    <w:rsid w:val="00CE4D3A"/>
    <w:rsid w:val="00CE4EB4"/>
    <w:rsid w:val="00CE511D"/>
    <w:rsid w:val="00CE556E"/>
    <w:rsid w:val="00CE5586"/>
    <w:rsid w:val="00CE56EA"/>
    <w:rsid w:val="00CE575F"/>
    <w:rsid w:val="00CE602B"/>
    <w:rsid w:val="00CE60F6"/>
    <w:rsid w:val="00CE61EA"/>
    <w:rsid w:val="00CE6219"/>
    <w:rsid w:val="00CE6267"/>
    <w:rsid w:val="00CE634C"/>
    <w:rsid w:val="00CE6358"/>
    <w:rsid w:val="00CE6392"/>
    <w:rsid w:val="00CE63E7"/>
    <w:rsid w:val="00CE6403"/>
    <w:rsid w:val="00CE64FD"/>
    <w:rsid w:val="00CE6554"/>
    <w:rsid w:val="00CE6635"/>
    <w:rsid w:val="00CE670D"/>
    <w:rsid w:val="00CE67A8"/>
    <w:rsid w:val="00CE6A4C"/>
    <w:rsid w:val="00CE6A88"/>
    <w:rsid w:val="00CE6A97"/>
    <w:rsid w:val="00CE6E5C"/>
    <w:rsid w:val="00CE7236"/>
    <w:rsid w:val="00CE748C"/>
    <w:rsid w:val="00CE74EC"/>
    <w:rsid w:val="00CE756D"/>
    <w:rsid w:val="00CE7716"/>
    <w:rsid w:val="00CE78B8"/>
    <w:rsid w:val="00CE795E"/>
    <w:rsid w:val="00CE79B6"/>
    <w:rsid w:val="00CE7A57"/>
    <w:rsid w:val="00CE7B90"/>
    <w:rsid w:val="00CE7BC0"/>
    <w:rsid w:val="00CE7DEA"/>
    <w:rsid w:val="00CE7DF7"/>
    <w:rsid w:val="00CF0088"/>
    <w:rsid w:val="00CF013C"/>
    <w:rsid w:val="00CF01D9"/>
    <w:rsid w:val="00CF01E5"/>
    <w:rsid w:val="00CF01F7"/>
    <w:rsid w:val="00CF0253"/>
    <w:rsid w:val="00CF02F0"/>
    <w:rsid w:val="00CF03B1"/>
    <w:rsid w:val="00CF051C"/>
    <w:rsid w:val="00CF05FE"/>
    <w:rsid w:val="00CF07CB"/>
    <w:rsid w:val="00CF0811"/>
    <w:rsid w:val="00CF0AB5"/>
    <w:rsid w:val="00CF0B24"/>
    <w:rsid w:val="00CF0C9D"/>
    <w:rsid w:val="00CF0D7D"/>
    <w:rsid w:val="00CF0F52"/>
    <w:rsid w:val="00CF1021"/>
    <w:rsid w:val="00CF11B3"/>
    <w:rsid w:val="00CF1212"/>
    <w:rsid w:val="00CF1235"/>
    <w:rsid w:val="00CF1484"/>
    <w:rsid w:val="00CF14F4"/>
    <w:rsid w:val="00CF161A"/>
    <w:rsid w:val="00CF199E"/>
    <w:rsid w:val="00CF1B82"/>
    <w:rsid w:val="00CF1BC7"/>
    <w:rsid w:val="00CF1E0C"/>
    <w:rsid w:val="00CF1F11"/>
    <w:rsid w:val="00CF2444"/>
    <w:rsid w:val="00CF2463"/>
    <w:rsid w:val="00CF255F"/>
    <w:rsid w:val="00CF260C"/>
    <w:rsid w:val="00CF2731"/>
    <w:rsid w:val="00CF2762"/>
    <w:rsid w:val="00CF2ADD"/>
    <w:rsid w:val="00CF2D1A"/>
    <w:rsid w:val="00CF2D9B"/>
    <w:rsid w:val="00CF31B4"/>
    <w:rsid w:val="00CF34AB"/>
    <w:rsid w:val="00CF377C"/>
    <w:rsid w:val="00CF3879"/>
    <w:rsid w:val="00CF391A"/>
    <w:rsid w:val="00CF39D4"/>
    <w:rsid w:val="00CF39E9"/>
    <w:rsid w:val="00CF3A7D"/>
    <w:rsid w:val="00CF3B20"/>
    <w:rsid w:val="00CF3C87"/>
    <w:rsid w:val="00CF3CA7"/>
    <w:rsid w:val="00CF3D06"/>
    <w:rsid w:val="00CF3E1D"/>
    <w:rsid w:val="00CF3E5E"/>
    <w:rsid w:val="00CF3FCA"/>
    <w:rsid w:val="00CF4051"/>
    <w:rsid w:val="00CF40E4"/>
    <w:rsid w:val="00CF423E"/>
    <w:rsid w:val="00CF4410"/>
    <w:rsid w:val="00CF4734"/>
    <w:rsid w:val="00CF495E"/>
    <w:rsid w:val="00CF499A"/>
    <w:rsid w:val="00CF4A17"/>
    <w:rsid w:val="00CF4AD0"/>
    <w:rsid w:val="00CF4B9E"/>
    <w:rsid w:val="00CF4BC6"/>
    <w:rsid w:val="00CF4CA2"/>
    <w:rsid w:val="00CF4CEC"/>
    <w:rsid w:val="00CF4E23"/>
    <w:rsid w:val="00CF5105"/>
    <w:rsid w:val="00CF5324"/>
    <w:rsid w:val="00CF53FB"/>
    <w:rsid w:val="00CF55A6"/>
    <w:rsid w:val="00CF55AD"/>
    <w:rsid w:val="00CF564A"/>
    <w:rsid w:val="00CF5DE0"/>
    <w:rsid w:val="00CF5E56"/>
    <w:rsid w:val="00CF6850"/>
    <w:rsid w:val="00CF68EA"/>
    <w:rsid w:val="00CF6D43"/>
    <w:rsid w:val="00CF6E70"/>
    <w:rsid w:val="00CF7098"/>
    <w:rsid w:val="00CF71D0"/>
    <w:rsid w:val="00CF723C"/>
    <w:rsid w:val="00CF7695"/>
    <w:rsid w:val="00CF7A50"/>
    <w:rsid w:val="00CF7CCB"/>
    <w:rsid w:val="00CF7EC4"/>
    <w:rsid w:val="00CF7F06"/>
    <w:rsid w:val="00CF7F1D"/>
    <w:rsid w:val="00CF7FD6"/>
    <w:rsid w:val="00D001C9"/>
    <w:rsid w:val="00D0072E"/>
    <w:rsid w:val="00D008E6"/>
    <w:rsid w:val="00D00B50"/>
    <w:rsid w:val="00D00BB7"/>
    <w:rsid w:val="00D00C9A"/>
    <w:rsid w:val="00D00CCE"/>
    <w:rsid w:val="00D00D01"/>
    <w:rsid w:val="00D01382"/>
    <w:rsid w:val="00D013B0"/>
    <w:rsid w:val="00D01615"/>
    <w:rsid w:val="00D016B4"/>
    <w:rsid w:val="00D01704"/>
    <w:rsid w:val="00D01D28"/>
    <w:rsid w:val="00D01E93"/>
    <w:rsid w:val="00D01EC5"/>
    <w:rsid w:val="00D01F50"/>
    <w:rsid w:val="00D0218F"/>
    <w:rsid w:val="00D021B2"/>
    <w:rsid w:val="00D022D1"/>
    <w:rsid w:val="00D023F4"/>
    <w:rsid w:val="00D02433"/>
    <w:rsid w:val="00D0243F"/>
    <w:rsid w:val="00D02549"/>
    <w:rsid w:val="00D02557"/>
    <w:rsid w:val="00D027B2"/>
    <w:rsid w:val="00D02985"/>
    <w:rsid w:val="00D02C21"/>
    <w:rsid w:val="00D02C96"/>
    <w:rsid w:val="00D02CF2"/>
    <w:rsid w:val="00D02E19"/>
    <w:rsid w:val="00D03183"/>
    <w:rsid w:val="00D032EF"/>
    <w:rsid w:val="00D032FD"/>
    <w:rsid w:val="00D0352E"/>
    <w:rsid w:val="00D0363A"/>
    <w:rsid w:val="00D03853"/>
    <w:rsid w:val="00D03986"/>
    <w:rsid w:val="00D039F1"/>
    <w:rsid w:val="00D03C3D"/>
    <w:rsid w:val="00D04400"/>
    <w:rsid w:val="00D044CD"/>
    <w:rsid w:val="00D047B4"/>
    <w:rsid w:val="00D048D0"/>
    <w:rsid w:val="00D0498E"/>
    <w:rsid w:val="00D04B59"/>
    <w:rsid w:val="00D04B8C"/>
    <w:rsid w:val="00D04BFA"/>
    <w:rsid w:val="00D04C8F"/>
    <w:rsid w:val="00D04D47"/>
    <w:rsid w:val="00D04D55"/>
    <w:rsid w:val="00D04EF0"/>
    <w:rsid w:val="00D0512E"/>
    <w:rsid w:val="00D05149"/>
    <w:rsid w:val="00D0521C"/>
    <w:rsid w:val="00D0538A"/>
    <w:rsid w:val="00D055C0"/>
    <w:rsid w:val="00D055F5"/>
    <w:rsid w:val="00D05975"/>
    <w:rsid w:val="00D05B40"/>
    <w:rsid w:val="00D05B58"/>
    <w:rsid w:val="00D05BBE"/>
    <w:rsid w:val="00D05D36"/>
    <w:rsid w:val="00D05E6A"/>
    <w:rsid w:val="00D05E95"/>
    <w:rsid w:val="00D060F7"/>
    <w:rsid w:val="00D06342"/>
    <w:rsid w:val="00D064DD"/>
    <w:rsid w:val="00D06605"/>
    <w:rsid w:val="00D069F8"/>
    <w:rsid w:val="00D06B37"/>
    <w:rsid w:val="00D06B6B"/>
    <w:rsid w:val="00D06F5A"/>
    <w:rsid w:val="00D07128"/>
    <w:rsid w:val="00D07187"/>
    <w:rsid w:val="00D0734A"/>
    <w:rsid w:val="00D074BE"/>
    <w:rsid w:val="00D074F8"/>
    <w:rsid w:val="00D0762F"/>
    <w:rsid w:val="00D076E6"/>
    <w:rsid w:val="00D07806"/>
    <w:rsid w:val="00D07929"/>
    <w:rsid w:val="00D07D1F"/>
    <w:rsid w:val="00D07EAA"/>
    <w:rsid w:val="00D10BE1"/>
    <w:rsid w:val="00D10BF1"/>
    <w:rsid w:val="00D10C77"/>
    <w:rsid w:val="00D10D06"/>
    <w:rsid w:val="00D10F14"/>
    <w:rsid w:val="00D11073"/>
    <w:rsid w:val="00D1120E"/>
    <w:rsid w:val="00D1167A"/>
    <w:rsid w:val="00D116A5"/>
    <w:rsid w:val="00D116FF"/>
    <w:rsid w:val="00D117D7"/>
    <w:rsid w:val="00D117E6"/>
    <w:rsid w:val="00D11CCD"/>
    <w:rsid w:val="00D11E8B"/>
    <w:rsid w:val="00D11EE9"/>
    <w:rsid w:val="00D120D8"/>
    <w:rsid w:val="00D122F5"/>
    <w:rsid w:val="00D12336"/>
    <w:rsid w:val="00D1243D"/>
    <w:rsid w:val="00D125A3"/>
    <w:rsid w:val="00D12654"/>
    <w:rsid w:val="00D1276B"/>
    <w:rsid w:val="00D1278F"/>
    <w:rsid w:val="00D12865"/>
    <w:rsid w:val="00D12944"/>
    <w:rsid w:val="00D12FD6"/>
    <w:rsid w:val="00D131FA"/>
    <w:rsid w:val="00D133A2"/>
    <w:rsid w:val="00D135CC"/>
    <w:rsid w:val="00D1389C"/>
    <w:rsid w:val="00D139D7"/>
    <w:rsid w:val="00D13A83"/>
    <w:rsid w:val="00D13C3D"/>
    <w:rsid w:val="00D13EC9"/>
    <w:rsid w:val="00D13FA9"/>
    <w:rsid w:val="00D142BB"/>
    <w:rsid w:val="00D1430B"/>
    <w:rsid w:val="00D14371"/>
    <w:rsid w:val="00D143B1"/>
    <w:rsid w:val="00D1449F"/>
    <w:rsid w:val="00D1467D"/>
    <w:rsid w:val="00D14AC1"/>
    <w:rsid w:val="00D14D8F"/>
    <w:rsid w:val="00D14DAE"/>
    <w:rsid w:val="00D14DBC"/>
    <w:rsid w:val="00D14F2A"/>
    <w:rsid w:val="00D14F2E"/>
    <w:rsid w:val="00D150E4"/>
    <w:rsid w:val="00D15113"/>
    <w:rsid w:val="00D152E5"/>
    <w:rsid w:val="00D157B5"/>
    <w:rsid w:val="00D157C4"/>
    <w:rsid w:val="00D15887"/>
    <w:rsid w:val="00D15931"/>
    <w:rsid w:val="00D15A32"/>
    <w:rsid w:val="00D15B7C"/>
    <w:rsid w:val="00D15B7D"/>
    <w:rsid w:val="00D15C56"/>
    <w:rsid w:val="00D15C6F"/>
    <w:rsid w:val="00D15F75"/>
    <w:rsid w:val="00D15FA1"/>
    <w:rsid w:val="00D1601B"/>
    <w:rsid w:val="00D160CB"/>
    <w:rsid w:val="00D1613F"/>
    <w:rsid w:val="00D161A2"/>
    <w:rsid w:val="00D162C4"/>
    <w:rsid w:val="00D16C9E"/>
    <w:rsid w:val="00D16E6D"/>
    <w:rsid w:val="00D16E7F"/>
    <w:rsid w:val="00D16EA0"/>
    <w:rsid w:val="00D16F74"/>
    <w:rsid w:val="00D172A6"/>
    <w:rsid w:val="00D172BF"/>
    <w:rsid w:val="00D173FD"/>
    <w:rsid w:val="00D17602"/>
    <w:rsid w:val="00D20001"/>
    <w:rsid w:val="00D20234"/>
    <w:rsid w:val="00D20478"/>
    <w:rsid w:val="00D207C9"/>
    <w:rsid w:val="00D2089D"/>
    <w:rsid w:val="00D209E5"/>
    <w:rsid w:val="00D20B53"/>
    <w:rsid w:val="00D20D29"/>
    <w:rsid w:val="00D20E42"/>
    <w:rsid w:val="00D20E94"/>
    <w:rsid w:val="00D20FB0"/>
    <w:rsid w:val="00D2115A"/>
    <w:rsid w:val="00D21171"/>
    <w:rsid w:val="00D211F0"/>
    <w:rsid w:val="00D21246"/>
    <w:rsid w:val="00D213C3"/>
    <w:rsid w:val="00D214CD"/>
    <w:rsid w:val="00D21626"/>
    <w:rsid w:val="00D216C1"/>
    <w:rsid w:val="00D2176D"/>
    <w:rsid w:val="00D2199F"/>
    <w:rsid w:val="00D219D3"/>
    <w:rsid w:val="00D21B76"/>
    <w:rsid w:val="00D21D05"/>
    <w:rsid w:val="00D21DFC"/>
    <w:rsid w:val="00D224F8"/>
    <w:rsid w:val="00D225AA"/>
    <w:rsid w:val="00D22722"/>
    <w:rsid w:val="00D22A0E"/>
    <w:rsid w:val="00D22AC0"/>
    <w:rsid w:val="00D22BC0"/>
    <w:rsid w:val="00D22D90"/>
    <w:rsid w:val="00D22FF8"/>
    <w:rsid w:val="00D23053"/>
    <w:rsid w:val="00D230A3"/>
    <w:rsid w:val="00D23131"/>
    <w:rsid w:val="00D23225"/>
    <w:rsid w:val="00D23226"/>
    <w:rsid w:val="00D2395B"/>
    <w:rsid w:val="00D23BEE"/>
    <w:rsid w:val="00D23E87"/>
    <w:rsid w:val="00D241BB"/>
    <w:rsid w:val="00D241CC"/>
    <w:rsid w:val="00D24268"/>
    <w:rsid w:val="00D2445E"/>
    <w:rsid w:val="00D2455F"/>
    <w:rsid w:val="00D246D8"/>
    <w:rsid w:val="00D24729"/>
    <w:rsid w:val="00D2477C"/>
    <w:rsid w:val="00D24A1C"/>
    <w:rsid w:val="00D25069"/>
    <w:rsid w:val="00D25460"/>
    <w:rsid w:val="00D25713"/>
    <w:rsid w:val="00D25C8C"/>
    <w:rsid w:val="00D25E17"/>
    <w:rsid w:val="00D25F71"/>
    <w:rsid w:val="00D26351"/>
    <w:rsid w:val="00D2636B"/>
    <w:rsid w:val="00D263ED"/>
    <w:rsid w:val="00D264EA"/>
    <w:rsid w:val="00D26721"/>
    <w:rsid w:val="00D268BD"/>
    <w:rsid w:val="00D26B13"/>
    <w:rsid w:val="00D26B7F"/>
    <w:rsid w:val="00D26B9F"/>
    <w:rsid w:val="00D26C2C"/>
    <w:rsid w:val="00D26DF6"/>
    <w:rsid w:val="00D273C7"/>
    <w:rsid w:val="00D27552"/>
    <w:rsid w:val="00D27624"/>
    <w:rsid w:val="00D2773D"/>
    <w:rsid w:val="00D27A9D"/>
    <w:rsid w:val="00D27B43"/>
    <w:rsid w:val="00D27BF7"/>
    <w:rsid w:val="00D27C32"/>
    <w:rsid w:val="00D27CCA"/>
    <w:rsid w:val="00D27FCB"/>
    <w:rsid w:val="00D3021F"/>
    <w:rsid w:val="00D30401"/>
    <w:rsid w:val="00D305DD"/>
    <w:rsid w:val="00D305E6"/>
    <w:rsid w:val="00D30636"/>
    <w:rsid w:val="00D30789"/>
    <w:rsid w:val="00D30791"/>
    <w:rsid w:val="00D308AC"/>
    <w:rsid w:val="00D30E00"/>
    <w:rsid w:val="00D30FA6"/>
    <w:rsid w:val="00D31045"/>
    <w:rsid w:val="00D310F6"/>
    <w:rsid w:val="00D312BE"/>
    <w:rsid w:val="00D3176A"/>
    <w:rsid w:val="00D31E3E"/>
    <w:rsid w:val="00D31F13"/>
    <w:rsid w:val="00D320EB"/>
    <w:rsid w:val="00D3225C"/>
    <w:rsid w:val="00D3228F"/>
    <w:rsid w:val="00D3239E"/>
    <w:rsid w:val="00D326F1"/>
    <w:rsid w:val="00D32AD2"/>
    <w:rsid w:val="00D32B80"/>
    <w:rsid w:val="00D32BF7"/>
    <w:rsid w:val="00D32DDA"/>
    <w:rsid w:val="00D32E18"/>
    <w:rsid w:val="00D330CA"/>
    <w:rsid w:val="00D3316D"/>
    <w:rsid w:val="00D33677"/>
    <w:rsid w:val="00D3388E"/>
    <w:rsid w:val="00D3389A"/>
    <w:rsid w:val="00D338CF"/>
    <w:rsid w:val="00D33B30"/>
    <w:rsid w:val="00D33F53"/>
    <w:rsid w:val="00D3405E"/>
    <w:rsid w:val="00D342AB"/>
    <w:rsid w:val="00D3476B"/>
    <w:rsid w:val="00D347A4"/>
    <w:rsid w:val="00D3482A"/>
    <w:rsid w:val="00D3499F"/>
    <w:rsid w:val="00D3502D"/>
    <w:rsid w:val="00D350DB"/>
    <w:rsid w:val="00D35183"/>
    <w:rsid w:val="00D35285"/>
    <w:rsid w:val="00D352C9"/>
    <w:rsid w:val="00D35373"/>
    <w:rsid w:val="00D3566D"/>
    <w:rsid w:val="00D356DD"/>
    <w:rsid w:val="00D35724"/>
    <w:rsid w:val="00D358F3"/>
    <w:rsid w:val="00D35983"/>
    <w:rsid w:val="00D359F4"/>
    <w:rsid w:val="00D35B93"/>
    <w:rsid w:val="00D364EE"/>
    <w:rsid w:val="00D36611"/>
    <w:rsid w:val="00D3664F"/>
    <w:rsid w:val="00D36765"/>
    <w:rsid w:val="00D36784"/>
    <w:rsid w:val="00D367AF"/>
    <w:rsid w:val="00D3694D"/>
    <w:rsid w:val="00D36B50"/>
    <w:rsid w:val="00D36DED"/>
    <w:rsid w:val="00D3707B"/>
    <w:rsid w:val="00D3717A"/>
    <w:rsid w:val="00D37285"/>
    <w:rsid w:val="00D37360"/>
    <w:rsid w:val="00D3750B"/>
    <w:rsid w:val="00D37596"/>
    <w:rsid w:val="00D37631"/>
    <w:rsid w:val="00D3781A"/>
    <w:rsid w:val="00D37882"/>
    <w:rsid w:val="00D37F6D"/>
    <w:rsid w:val="00D37FE1"/>
    <w:rsid w:val="00D400C5"/>
    <w:rsid w:val="00D4014B"/>
    <w:rsid w:val="00D40295"/>
    <w:rsid w:val="00D40B1C"/>
    <w:rsid w:val="00D40B3B"/>
    <w:rsid w:val="00D40B77"/>
    <w:rsid w:val="00D40C3D"/>
    <w:rsid w:val="00D40F21"/>
    <w:rsid w:val="00D411EC"/>
    <w:rsid w:val="00D41AD7"/>
    <w:rsid w:val="00D41B16"/>
    <w:rsid w:val="00D41DDC"/>
    <w:rsid w:val="00D4239A"/>
    <w:rsid w:val="00D423A6"/>
    <w:rsid w:val="00D4248F"/>
    <w:rsid w:val="00D42568"/>
    <w:rsid w:val="00D425F6"/>
    <w:rsid w:val="00D4279D"/>
    <w:rsid w:val="00D42883"/>
    <w:rsid w:val="00D4298C"/>
    <w:rsid w:val="00D429E6"/>
    <w:rsid w:val="00D42ADA"/>
    <w:rsid w:val="00D42D55"/>
    <w:rsid w:val="00D42DA1"/>
    <w:rsid w:val="00D42DE3"/>
    <w:rsid w:val="00D43620"/>
    <w:rsid w:val="00D437D3"/>
    <w:rsid w:val="00D437FC"/>
    <w:rsid w:val="00D438B8"/>
    <w:rsid w:val="00D4390A"/>
    <w:rsid w:val="00D43931"/>
    <w:rsid w:val="00D43A57"/>
    <w:rsid w:val="00D43A7E"/>
    <w:rsid w:val="00D43AFB"/>
    <w:rsid w:val="00D43B59"/>
    <w:rsid w:val="00D43C43"/>
    <w:rsid w:val="00D43C79"/>
    <w:rsid w:val="00D43F10"/>
    <w:rsid w:val="00D43FD3"/>
    <w:rsid w:val="00D44556"/>
    <w:rsid w:val="00D445F9"/>
    <w:rsid w:val="00D44735"/>
    <w:rsid w:val="00D44875"/>
    <w:rsid w:val="00D44876"/>
    <w:rsid w:val="00D44AA2"/>
    <w:rsid w:val="00D44C38"/>
    <w:rsid w:val="00D450C2"/>
    <w:rsid w:val="00D45115"/>
    <w:rsid w:val="00D45168"/>
    <w:rsid w:val="00D456DB"/>
    <w:rsid w:val="00D45708"/>
    <w:rsid w:val="00D45735"/>
    <w:rsid w:val="00D45810"/>
    <w:rsid w:val="00D45853"/>
    <w:rsid w:val="00D458A1"/>
    <w:rsid w:val="00D45AC0"/>
    <w:rsid w:val="00D45C07"/>
    <w:rsid w:val="00D45C2D"/>
    <w:rsid w:val="00D45CA4"/>
    <w:rsid w:val="00D45DE5"/>
    <w:rsid w:val="00D4608C"/>
    <w:rsid w:val="00D46213"/>
    <w:rsid w:val="00D46257"/>
    <w:rsid w:val="00D46518"/>
    <w:rsid w:val="00D4652E"/>
    <w:rsid w:val="00D46771"/>
    <w:rsid w:val="00D46824"/>
    <w:rsid w:val="00D468AC"/>
    <w:rsid w:val="00D46B9E"/>
    <w:rsid w:val="00D46E7B"/>
    <w:rsid w:val="00D46FD9"/>
    <w:rsid w:val="00D470DE"/>
    <w:rsid w:val="00D47101"/>
    <w:rsid w:val="00D47155"/>
    <w:rsid w:val="00D47291"/>
    <w:rsid w:val="00D474D3"/>
    <w:rsid w:val="00D474D8"/>
    <w:rsid w:val="00D4765C"/>
    <w:rsid w:val="00D47911"/>
    <w:rsid w:val="00D47967"/>
    <w:rsid w:val="00D47A29"/>
    <w:rsid w:val="00D47A64"/>
    <w:rsid w:val="00D47B0C"/>
    <w:rsid w:val="00D47C69"/>
    <w:rsid w:val="00D47DD3"/>
    <w:rsid w:val="00D47E1C"/>
    <w:rsid w:val="00D47F00"/>
    <w:rsid w:val="00D50149"/>
    <w:rsid w:val="00D50437"/>
    <w:rsid w:val="00D50984"/>
    <w:rsid w:val="00D509B5"/>
    <w:rsid w:val="00D509BB"/>
    <w:rsid w:val="00D509D4"/>
    <w:rsid w:val="00D50AF2"/>
    <w:rsid w:val="00D50B85"/>
    <w:rsid w:val="00D50C5F"/>
    <w:rsid w:val="00D50D2B"/>
    <w:rsid w:val="00D51077"/>
    <w:rsid w:val="00D511FB"/>
    <w:rsid w:val="00D5142C"/>
    <w:rsid w:val="00D5175D"/>
    <w:rsid w:val="00D517F7"/>
    <w:rsid w:val="00D51940"/>
    <w:rsid w:val="00D5198A"/>
    <w:rsid w:val="00D51997"/>
    <w:rsid w:val="00D51AC4"/>
    <w:rsid w:val="00D51ACA"/>
    <w:rsid w:val="00D51C02"/>
    <w:rsid w:val="00D51CD1"/>
    <w:rsid w:val="00D51DBE"/>
    <w:rsid w:val="00D520A5"/>
    <w:rsid w:val="00D520E7"/>
    <w:rsid w:val="00D52111"/>
    <w:rsid w:val="00D521AF"/>
    <w:rsid w:val="00D521CC"/>
    <w:rsid w:val="00D52354"/>
    <w:rsid w:val="00D523E8"/>
    <w:rsid w:val="00D52526"/>
    <w:rsid w:val="00D5266F"/>
    <w:rsid w:val="00D52690"/>
    <w:rsid w:val="00D52698"/>
    <w:rsid w:val="00D5282A"/>
    <w:rsid w:val="00D52834"/>
    <w:rsid w:val="00D52902"/>
    <w:rsid w:val="00D52938"/>
    <w:rsid w:val="00D52985"/>
    <w:rsid w:val="00D52A4A"/>
    <w:rsid w:val="00D52C56"/>
    <w:rsid w:val="00D5305F"/>
    <w:rsid w:val="00D53159"/>
    <w:rsid w:val="00D53244"/>
    <w:rsid w:val="00D53269"/>
    <w:rsid w:val="00D5398F"/>
    <w:rsid w:val="00D53A88"/>
    <w:rsid w:val="00D53C92"/>
    <w:rsid w:val="00D53CB1"/>
    <w:rsid w:val="00D53D0C"/>
    <w:rsid w:val="00D53E05"/>
    <w:rsid w:val="00D53EB7"/>
    <w:rsid w:val="00D53FA9"/>
    <w:rsid w:val="00D542AE"/>
    <w:rsid w:val="00D54318"/>
    <w:rsid w:val="00D54330"/>
    <w:rsid w:val="00D544F5"/>
    <w:rsid w:val="00D54619"/>
    <w:rsid w:val="00D5463A"/>
    <w:rsid w:val="00D546CA"/>
    <w:rsid w:val="00D5476F"/>
    <w:rsid w:val="00D547B7"/>
    <w:rsid w:val="00D54B04"/>
    <w:rsid w:val="00D54B27"/>
    <w:rsid w:val="00D54C75"/>
    <w:rsid w:val="00D54E0D"/>
    <w:rsid w:val="00D550CF"/>
    <w:rsid w:val="00D55396"/>
    <w:rsid w:val="00D553D2"/>
    <w:rsid w:val="00D553EE"/>
    <w:rsid w:val="00D554EC"/>
    <w:rsid w:val="00D5556B"/>
    <w:rsid w:val="00D5573F"/>
    <w:rsid w:val="00D558B7"/>
    <w:rsid w:val="00D559E3"/>
    <w:rsid w:val="00D559EA"/>
    <w:rsid w:val="00D55B1B"/>
    <w:rsid w:val="00D55C75"/>
    <w:rsid w:val="00D55CFC"/>
    <w:rsid w:val="00D55E52"/>
    <w:rsid w:val="00D55EA7"/>
    <w:rsid w:val="00D55EE8"/>
    <w:rsid w:val="00D55F0A"/>
    <w:rsid w:val="00D55F82"/>
    <w:rsid w:val="00D56079"/>
    <w:rsid w:val="00D5608E"/>
    <w:rsid w:val="00D5613B"/>
    <w:rsid w:val="00D561E1"/>
    <w:rsid w:val="00D5624C"/>
    <w:rsid w:val="00D563BD"/>
    <w:rsid w:val="00D564F8"/>
    <w:rsid w:val="00D566C9"/>
    <w:rsid w:val="00D56A22"/>
    <w:rsid w:val="00D56B84"/>
    <w:rsid w:val="00D56CD0"/>
    <w:rsid w:val="00D56D61"/>
    <w:rsid w:val="00D56EEE"/>
    <w:rsid w:val="00D56F1E"/>
    <w:rsid w:val="00D56F46"/>
    <w:rsid w:val="00D56FE9"/>
    <w:rsid w:val="00D57011"/>
    <w:rsid w:val="00D57018"/>
    <w:rsid w:val="00D5715E"/>
    <w:rsid w:val="00D57198"/>
    <w:rsid w:val="00D57613"/>
    <w:rsid w:val="00D577DB"/>
    <w:rsid w:val="00D57824"/>
    <w:rsid w:val="00D57928"/>
    <w:rsid w:val="00D57BDC"/>
    <w:rsid w:val="00D57D16"/>
    <w:rsid w:val="00D57F1F"/>
    <w:rsid w:val="00D57F6A"/>
    <w:rsid w:val="00D60268"/>
    <w:rsid w:val="00D603E2"/>
    <w:rsid w:val="00D60484"/>
    <w:rsid w:val="00D60614"/>
    <w:rsid w:val="00D60649"/>
    <w:rsid w:val="00D60789"/>
    <w:rsid w:val="00D607FC"/>
    <w:rsid w:val="00D60914"/>
    <w:rsid w:val="00D60AC9"/>
    <w:rsid w:val="00D60B3C"/>
    <w:rsid w:val="00D60E28"/>
    <w:rsid w:val="00D60E8A"/>
    <w:rsid w:val="00D60EBC"/>
    <w:rsid w:val="00D614F2"/>
    <w:rsid w:val="00D6191B"/>
    <w:rsid w:val="00D6192F"/>
    <w:rsid w:val="00D61A3F"/>
    <w:rsid w:val="00D61DC9"/>
    <w:rsid w:val="00D61DDF"/>
    <w:rsid w:val="00D61E88"/>
    <w:rsid w:val="00D61E93"/>
    <w:rsid w:val="00D61EA8"/>
    <w:rsid w:val="00D62035"/>
    <w:rsid w:val="00D6254C"/>
    <w:rsid w:val="00D6254D"/>
    <w:rsid w:val="00D62574"/>
    <w:rsid w:val="00D62700"/>
    <w:rsid w:val="00D627D3"/>
    <w:rsid w:val="00D627E1"/>
    <w:rsid w:val="00D62876"/>
    <w:rsid w:val="00D62ADD"/>
    <w:rsid w:val="00D62EF6"/>
    <w:rsid w:val="00D62F8F"/>
    <w:rsid w:val="00D63014"/>
    <w:rsid w:val="00D63016"/>
    <w:rsid w:val="00D630B0"/>
    <w:rsid w:val="00D630BA"/>
    <w:rsid w:val="00D63242"/>
    <w:rsid w:val="00D632D1"/>
    <w:rsid w:val="00D633F8"/>
    <w:rsid w:val="00D6360F"/>
    <w:rsid w:val="00D63632"/>
    <w:rsid w:val="00D63777"/>
    <w:rsid w:val="00D63874"/>
    <w:rsid w:val="00D63CC6"/>
    <w:rsid w:val="00D63D84"/>
    <w:rsid w:val="00D63E19"/>
    <w:rsid w:val="00D63EE2"/>
    <w:rsid w:val="00D63F3E"/>
    <w:rsid w:val="00D641CC"/>
    <w:rsid w:val="00D6444D"/>
    <w:rsid w:val="00D6448F"/>
    <w:rsid w:val="00D645C6"/>
    <w:rsid w:val="00D646CA"/>
    <w:rsid w:val="00D6471A"/>
    <w:rsid w:val="00D647DE"/>
    <w:rsid w:val="00D64EE8"/>
    <w:rsid w:val="00D64F45"/>
    <w:rsid w:val="00D64F77"/>
    <w:rsid w:val="00D6552A"/>
    <w:rsid w:val="00D65604"/>
    <w:rsid w:val="00D6575F"/>
    <w:rsid w:val="00D657E6"/>
    <w:rsid w:val="00D65809"/>
    <w:rsid w:val="00D6581F"/>
    <w:rsid w:val="00D6593C"/>
    <w:rsid w:val="00D65A89"/>
    <w:rsid w:val="00D65AE1"/>
    <w:rsid w:val="00D65C7A"/>
    <w:rsid w:val="00D66048"/>
    <w:rsid w:val="00D6650A"/>
    <w:rsid w:val="00D665FD"/>
    <w:rsid w:val="00D666AE"/>
    <w:rsid w:val="00D668A7"/>
    <w:rsid w:val="00D66C53"/>
    <w:rsid w:val="00D66D81"/>
    <w:rsid w:val="00D670A1"/>
    <w:rsid w:val="00D670F6"/>
    <w:rsid w:val="00D6727E"/>
    <w:rsid w:val="00D67799"/>
    <w:rsid w:val="00D678B8"/>
    <w:rsid w:val="00D67965"/>
    <w:rsid w:val="00D67983"/>
    <w:rsid w:val="00D67A4C"/>
    <w:rsid w:val="00D67BB4"/>
    <w:rsid w:val="00D67BE5"/>
    <w:rsid w:val="00D67D4D"/>
    <w:rsid w:val="00D67D56"/>
    <w:rsid w:val="00D67F9E"/>
    <w:rsid w:val="00D7007A"/>
    <w:rsid w:val="00D702A6"/>
    <w:rsid w:val="00D70A97"/>
    <w:rsid w:val="00D70B15"/>
    <w:rsid w:val="00D70B44"/>
    <w:rsid w:val="00D70C7B"/>
    <w:rsid w:val="00D710B0"/>
    <w:rsid w:val="00D7119A"/>
    <w:rsid w:val="00D711D8"/>
    <w:rsid w:val="00D71326"/>
    <w:rsid w:val="00D713A4"/>
    <w:rsid w:val="00D713FE"/>
    <w:rsid w:val="00D71A95"/>
    <w:rsid w:val="00D71AC5"/>
    <w:rsid w:val="00D71B86"/>
    <w:rsid w:val="00D71BBE"/>
    <w:rsid w:val="00D71D94"/>
    <w:rsid w:val="00D71E20"/>
    <w:rsid w:val="00D71EBC"/>
    <w:rsid w:val="00D71F29"/>
    <w:rsid w:val="00D72004"/>
    <w:rsid w:val="00D7252F"/>
    <w:rsid w:val="00D72653"/>
    <w:rsid w:val="00D727C4"/>
    <w:rsid w:val="00D72973"/>
    <w:rsid w:val="00D72B07"/>
    <w:rsid w:val="00D72CB3"/>
    <w:rsid w:val="00D72DA2"/>
    <w:rsid w:val="00D72F76"/>
    <w:rsid w:val="00D732B9"/>
    <w:rsid w:val="00D73313"/>
    <w:rsid w:val="00D735C4"/>
    <w:rsid w:val="00D7361F"/>
    <w:rsid w:val="00D7365F"/>
    <w:rsid w:val="00D73672"/>
    <w:rsid w:val="00D73A33"/>
    <w:rsid w:val="00D73B78"/>
    <w:rsid w:val="00D73C5E"/>
    <w:rsid w:val="00D73F10"/>
    <w:rsid w:val="00D74099"/>
    <w:rsid w:val="00D74398"/>
    <w:rsid w:val="00D743B9"/>
    <w:rsid w:val="00D7473B"/>
    <w:rsid w:val="00D74860"/>
    <w:rsid w:val="00D74887"/>
    <w:rsid w:val="00D7489A"/>
    <w:rsid w:val="00D748A4"/>
    <w:rsid w:val="00D748CE"/>
    <w:rsid w:val="00D749D1"/>
    <w:rsid w:val="00D74C10"/>
    <w:rsid w:val="00D74F01"/>
    <w:rsid w:val="00D75070"/>
    <w:rsid w:val="00D75099"/>
    <w:rsid w:val="00D752CC"/>
    <w:rsid w:val="00D7534D"/>
    <w:rsid w:val="00D756C7"/>
    <w:rsid w:val="00D75959"/>
    <w:rsid w:val="00D75DB4"/>
    <w:rsid w:val="00D7618B"/>
    <w:rsid w:val="00D7622D"/>
    <w:rsid w:val="00D763C9"/>
    <w:rsid w:val="00D768C1"/>
    <w:rsid w:val="00D76918"/>
    <w:rsid w:val="00D7698D"/>
    <w:rsid w:val="00D76AB4"/>
    <w:rsid w:val="00D76B31"/>
    <w:rsid w:val="00D76C05"/>
    <w:rsid w:val="00D76C0A"/>
    <w:rsid w:val="00D76DB2"/>
    <w:rsid w:val="00D76EB9"/>
    <w:rsid w:val="00D76F3E"/>
    <w:rsid w:val="00D76F62"/>
    <w:rsid w:val="00D7721B"/>
    <w:rsid w:val="00D77456"/>
    <w:rsid w:val="00D7746A"/>
    <w:rsid w:val="00D77565"/>
    <w:rsid w:val="00D7763E"/>
    <w:rsid w:val="00D778A1"/>
    <w:rsid w:val="00D77A4C"/>
    <w:rsid w:val="00D77B16"/>
    <w:rsid w:val="00D77CE3"/>
    <w:rsid w:val="00D77D19"/>
    <w:rsid w:val="00D77F4B"/>
    <w:rsid w:val="00D77FBB"/>
    <w:rsid w:val="00D80050"/>
    <w:rsid w:val="00D801DD"/>
    <w:rsid w:val="00D80224"/>
    <w:rsid w:val="00D80C95"/>
    <w:rsid w:val="00D80CCC"/>
    <w:rsid w:val="00D80FAA"/>
    <w:rsid w:val="00D811A5"/>
    <w:rsid w:val="00D8143A"/>
    <w:rsid w:val="00D819D2"/>
    <w:rsid w:val="00D81B03"/>
    <w:rsid w:val="00D81E0E"/>
    <w:rsid w:val="00D81E81"/>
    <w:rsid w:val="00D81EC6"/>
    <w:rsid w:val="00D82220"/>
    <w:rsid w:val="00D8241C"/>
    <w:rsid w:val="00D82B49"/>
    <w:rsid w:val="00D82C61"/>
    <w:rsid w:val="00D82CEA"/>
    <w:rsid w:val="00D82F4A"/>
    <w:rsid w:val="00D83039"/>
    <w:rsid w:val="00D8305E"/>
    <w:rsid w:val="00D832C3"/>
    <w:rsid w:val="00D834F0"/>
    <w:rsid w:val="00D835F2"/>
    <w:rsid w:val="00D837FF"/>
    <w:rsid w:val="00D83923"/>
    <w:rsid w:val="00D83949"/>
    <w:rsid w:val="00D83AF3"/>
    <w:rsid w:val="00D841BE"/>
    <w:rsid w:val="00D842F7"/>
    <w:rsid w:val="00D848C4"/>
    <w:rsid w:val="00D84931"/>
    <w:rsid w:val="00D8498B"/>
    <w:rsid w:val="00D849E7"/>
    <w:rsid w:val="00D84B4F"/>
    <w:rsid w:val="00D84B64"/>
    <w:rsid w:val="00D84CD5"/>
    <w:rsid w:val="00D8500C"/>
    <w:rsid w:val="00D850DF"/>
    <w:rsid w:val="00D850EA"/>
    <w:rsid w:val="00D853E8"/>
    <w:rsid w:val="00D8554F"/>
    <w:rsid w:val="00D857E4"/>
    <w:rsid w:val="00D85846"/>
    <w:rsid w:val="00D8598F"/>
    <w:rsid w:val="00D85ADC"/>
    <w:rsid w:val="00D85CC4"/>
    <w:rsid w:val="00D85CEB"/>
    <w:rsid w:val="00D85EF0"/>
    <w:rsid w:val="00D86100"/>
    <w:rsid w:val="00D86128"/>
    <w:rsid w:val="00D86606"/>
    <w:rsid w:val="00D86683"/>
    <w:rsid w:val="00D8677A"/>
    <w:rsid w:val="00D86795"/>
    <w:rsid w:val="00D867FC"/>
    <w:rsid w:val="00D86884"/>
    <w:rsid w:val="00D86989"/>
    <w:rsid w:val="00D86DCF"/>
    <w:rsid w:val="00D8708D"/>
    <w:rsid w:val="00D87272"/>
    <w:rsid w:val="00D8740E"/>
    <w:rsid w:val="00D87489"/>
    <w:rsid w:val="00D87AAC"/>
    <w:rsid w:val="00D87BCD"/>
    <w:rsid w:val="00D87D3C"/>
    <w:rsid w:val="00D87EE1"/>
    <w:rsid w:val="00D87F1E"/>
    <w:rsid w:val="00D901D8"/>
    <w:rsid w:val="00D905C3"/>
    <w:rsid w:val="00D906A2"/>
    <w:rsid w:val="00D909E6"/>
    <w:rsid w:val="00D90C8A"/>
    <w:rsid w:val="00D90D0C"/>
    <w:rsid w:val="00D90E09"/>
    <w:rsid w:val="00D90EDD"/>
    <w:rsid w:val="00D90F3A"/>
    <w:rsid w:val="00D90F9C"/>
    <w:rsid w:val="00D91034"/>
    <w:rsid w:val="00D9123B"/>
    <w:rsid w:val="00D914DA"/>
    <w:rsid w:val="00D915CF"/>
    <w:rsid w:val="00D9171E"/>
    <w:rsid w:val="00D91991"/>
    <w:rsid w:val="00D91CCB"/>
    <w:rsid w:val="00D91CFB"/>
    <w:rsid w:val="00D91DCF"/>
    <w:rsid w:val="00D921BA"/>
    <w:rsid w:val="00D922CC"/>
    <w:rsid w:val="00D924E8"/>
    <w:rsid w:val="00D925B6"/>
    <w:rsid w:val="00D926EE"/>
    <w:rsid w:val="00D92D29"/>
    <w:rsid w:val="00D92DE2"/>
    <w:rsid w:val="00D92F29"/>
    <w:rsid w:val="00D9333F"/>
    <w:rsid w:val="00D935AE"/>
    <w:rsid w:val="00D93DFD"/>
    <w:rsid w:val="00D93FBE"/>
    <w:rsid w:val="00D9419D"/>
    <w:rsid w:val="00D941D7"/>
    <w:rsid w:val="00D94638"/>
    <w:rsid w:val="00D94789"/>
    <w:rsid w:val="00D94846"/>
    <w:rsid w:val="00D949D2"/>
    <w:rsid w:val="00D94BE6"/>
    <w:rsid w:val="00D95097"/>
    <w:rsid w:val="00D9525B"/>
    <w:rsid w:val="00D95461"/>
    <w:rsid w:val="00D9560A"/>
    <w:rsid w:val="00D963C6"/>
    <w:rsid w:val="00D96733"/>
    <w:rsid w:val="00D96879"/>
    <w:rsid w:val="00D968CC"/>
    <w:rsid w:val="00D96BCC"/>
    <w:rsid w:val="00D96F65"/>
    <w:rsid w:val="00D97113"/>
    <w:rsid w:val="00D9712B"/>
    <w:rsid w:val="00D971DD"/>
    <w:rsid w:val="00D97220"/>
    <w:rsid w:val="00D9729A"/>
    <w:rsid w:val="00D972EF"/>
    <w:rsid w:val="00D973CB"/>
    <w:rsid w:val="00D973EF"/>
    <w:rsid w:val="00D97818"/>
    <w:rsid w:val="00D97A56"/>
    <w:rsid w:val="00D97B50"/>
    <w:rsid w:val="00D97DA3"/>
    <w:rsid w:val="00D97E6E"/>
    <w:rsid w:val="00D97E9A"/>
    <w:rsid w:val="00D97F72"/>
    <w:rsid w:val="00DA03AF"/>
    <w:rsid w:val="00DA04BD"/>
    <w:rsid w:val="00DA0585"/>
    <w:rsid w:val="00DA09CE"/>
    <w:rsid w:val="00DA09E0"/>
    <w:rsid w:val="00DA0D18"/>
    <w:rsid w:val="00DA11CB"/>
    <w:rsid w:val="00DA134F"/>
    <w:rsid w:val="00DA136C"/>
    <w:rsid w:val="00DA182A"/>
    <w:rsid w:val="00DA1850"/>
    <w:rsid w:val="00DA188B"/>
    <w:rsid w:val="00DA19A9"/>
    <w:rsid w:val="00DA1C8E"/>
    <w:rsid w:val="00DA1DA0"/>
    <w:rsid w:val="00DA2036"/>
    <w:rsid w:val="00DA20A8"/>
    <w:rsid w:val="00DA227D"/>
    <w:rsid w:val="00DA2344"/>
    <w:rsid w:val="00DA25C9"/>
    <w:rsid w:val="00DA25D6"/>
    <w:rsid w:val="00DA26A2"/>
    <w:rsid w:val="00DA26EB"/>
    <w:rsid w:val="00DA270D"/>
    <w:rsid w:val="00DA2754"/>
    <w:rsid w:val="00DA2A1F"/>
    <w:rsid w:val="00DA2B6E"/>
    <w:rsid w:val="00DA2FA2"/>
    <w:rsid w:val="00DA3017"/>
    <w:rsid w:val="00DA301C"/>
    <w:rsid w:val="00DA334F"/>
    <w:rsid w:val="00DA3628"/>
    <w:rsid w:val="00DA3647"/>
    <w:rsid w:val="00DA3A4D"/>
    <w:rsid w:val="00DA3C62"/>
    <w:rsid w:val="00DA3D96"/>
    <w:rsid w:val="00DA3EE4"/>
    <w:rsid w:val="00DA41A0"/>
    <w:rsid w:val="00DA4325"/>
    <w:rsid w:val="00DA4411"/>
    <w:rsid w:val="00DA4435"/>
    <w:rsid w:val="00DA45B1"/>
    <w:rsid w:val="00DA45EB"/>
    <w:rsid w:val="00DA4918"/>
    <w:rsid w:val="00DA4C11"/>
    <w:rsid w:val="00DA4D7A"/>
    <w:rsid w:val="00DA4F28"/>
    <w:rsid w:val="00DA4F96"/>
    <w:rsid w:val="00DA5270"/>
    <w:rsid w:val="00DA52F4"/>
    <w:rsid w:val="00DA5484"/>
    <w:rsid w:val="00DA5A21"/>
    <w:rsid w:val="00DA5BFE"/>
    <w:rsid w:val="00DA5D35"/>
    <w:rsid w:val="00DA5DAA"/>
    <w:rsid w:val="00DA5E69"/>
    <w:rsid w:val="00DA601D"/>
    <w:rsid w:val="00DA61E6"/>
    <w:rsid w:val="00DA63FC"/>
    <w:rsid w:val="00DA6403"/>
    <w:rsid w:val="00DA6414"/>
    <w:rsid w:val="00DA647A"/>
    <w:rsid w:val="00DA64AE"/>
    <w:rsid w:val="00DA656E"/>
    <w:rsid w:val="00DA65B8"/>
    <w:rsid w:val="00DA6613"/>
    <w:rsid w:val="00DA6633"/>
    <w:rsid w:val="00DA69F0"/>
    <w:rsid w:val="00DA6ACB"/>
    <w:rsid w:val="00DA6B99"/>
    <w:rsid w:val="00DA6C81"/>
    <w:rsid w:val="00DA6DA6"/>
    <w:rsid w:val="00DA6ED1"/>
    <w:rsid w:val="00DA6F39"/>
    <w:rsid w:val="00DA700C"/>
    <w:rsid w:val="00DA71E2"/>
    <w:rsid w:val="00DA7293"/>
    <w:rsid w:val="00DA7408"/>
    <w:rsid w:val="00DA7449"/>
    <w:rsid w:val="00DA7462"/>
    <w:rsid w:val="00DA7491"/>
    <w:rsid w:val="00DA77E4"/>
    <w:rsid w:val="00DA7AEC"/>
    <w:rsid w:val="00DA7B17"/>
    <w:rsid w:val="00DA7BA8"/>
    <w:rsid w:val="00DA7C87"/>
    <w:rsid w:val="00DA7DD9"/>
    <w:rsid w:val="00DA7E1C"/>
    <w:rsid w:val="00DB0076"/>
    <w:rsid w:val="00DB00F9"/>
    <w:rsid w:val="00DB01F7"/>
    <w:rsid w:val="00DB024F"/>
    <w:rsid w:val="00DB0561"/>
    <w:rsid w:val="00DB05BA"/>
    <w:rsid w:val="00DB06FC"/>
    <w:rsid w:val="00DB076D"/>
    <w:rsid w:val="00DB0925"/>
    <w:rsid w:val="00DB09D4"/>
    <w:rsid w:val="00DB0A10"/>
    <w:rsid w:val="00DB0B14"/>
    <w:rsid w:val="00DB0CB1"/>
    <w:rsid w:val="00DB0FE2"/>
    <w:rsid w:val="00DB0FF3"/>
    <w:rsid w:val="00DB123B"/>
    <w:rsid w:val="00DB12B3"/>
    <w:rsid w:val="00DB13AE"/>
    <w:rsid w:val="00DB1695"/>
    <w:rsid w:val="00DB1753"/>
    <w:rsid w:val="00DB1A5C"/>
    <w:rsid w:val="00DB1BA2"/>
    <w:rsid w:val="00DB1EC5"/>
    <w:rsid w:val="00DB1FDB"/>
    <w:rsid w:val="00DB2437"/>
    <w:rsid w:val="00DB2721"/>
    <w:rsid w:val="00DB2765"/>
    <w:rsid w:val="00DB27D6"/>
    <w:rsid w:val="00DB2C4F"/>
    <w:rsid w:val="00DB2CC2"/>
    <w:rsid w:val="00DB2DCC"/>
    <w:rsid w:val="00DB2E3F"/>
    <w:rsid w:val="00DB2EA8"/>
    <w:rsid w:val="00DB2F4C"/>
    <w:rsid w:val="00DB309B"/>
    <w:rsid w:val="00DB3119"/>
    <w:rsid w:val="00DB31E7"/>
    <w:rsid w:val="00DB3370"/>
    <w:rsid w:val="00DB34F5"/>
    <w:rsid w:val="00DB3619"/>
    <w:rsid w:val="00DB3A42"/>
    <w:rsid w:val="00DB3ADC"/>
    <w:rsid w:val="00DB3BE0"/>
    <w:rsid w:val="00DB3CEE"/>
    <w:rsid w:val="00DB3D75"/>
    <w:rsid w:val="00DB4059"/>
    <w:rsid w:val="00DB4066"/>
    <w:rsid w:val="00DB40BE"/>
    <w:rsid w:val="00DB465E"/>
    <w:rsid w:val="00DB46C4"/>
    <w:rsid w:val="00DB4AA9"/>
    <w:rsid w:val="00DB4B0D"/>
    <w:rsid w:val="00DB4D30"/>
    <w:rsid w:val="00DB4E02"/>
    <w:rsid w:val="00DB4FA4"/>
    <w:rsid w:val="00DB4FFF"/>
    <w:rsid w:val="00DB5063"/>
    <w:rsid w:val="00DB534D"/>
    <w:rsid w:val="00DB53A6"/>
    <w:rsid w:val="00DB53C2"/>
    <w:rsid w:val="00DB55C7"/>
    <w:rsid w:val="00DB55D8"/>
    <w:rsid w:val="00DB565D"/>
    <w:rsid w:val="00DB56EC"/>
    <w:rsid w:val="00DB592E"/>
    <w:rsid w:val="00DB5A4F"/>
    <w:rsid w:val="00DB5E64"/>
    <w:rsid w:val="00DB5EEB"/>
    <w:rsid w:val="00DB600B"/>
    <w:rsid w:val="00DB627C"/>
    <w:rsid w:val="00DB65A5"/>
    <w:rsid w:val="00DB65C5"/>
    <w:rsid w:val="00DB6734"/>
    <w:rsid w:val="00DB673B"/>
    <w:rsid w:val="00DB6955"/>
    <w:rsid w:val="00DB6C02"/>
    <w:rsid w:val="00DB6EFF"/>
    <w:rsid w:val="00DB6FE2"/>
    <w:rsid w:val="00DB701E"/>
    <w:rsid w:val="00DB71C4"/>
    <w:rsid w:val="00DB7344"/>
    <w:rsid w:val="00DB765E"/>
    <w:rsid w:val="00DB77A1"/>
    <w:rsid w:val="00DB787C"/>
    <w:rsid w:val="00DB79DC"/>
    <w:rsid w:val="00DB7A31"/>
    <w:rsid w:val="00DB7A38"/>
    <w:rsid w:val="00DB7E8D"/>
    <w:rsid w:val="00DB7F13"/>
    <w:rsid w:val="00DC029E"/>
    <w:rsid w:val="00DC0413"/>
    <w:rsid w:val="00DC0658"/>
    <w:rsid w:val="00DC0708"/>
    <w:rsid w:val="00DC07AD"/>
    <w:rsid w:val="00DC07B8"/>
    <w:rsid w:val="00DC083B"/>
    <w:rsid w:val="00DC088F"/>
    <w:rsid w:val="00DC0907"/>
    <w:rsid w:val="00DC0AF0"/>
    <w:rsid w:val="00DC0DF4"/>
    <w:rsid w:val="00DC0F68"/>
    <w:rsid w:val="00DC1012"/>
    <w:rsid w:val="00DC103B"/>
    <w:rsid w:val="00DC10C2"/>
    <w:rsid w:val="00DC1111"/>
    <w:rsid w:val="00DC12F3"/>
    <w:rsid w:val="00DC1471"/>
    <w:rsid w:val="00DC166D"/>
    <w:rsid w:val="00DC18D8"/>
    <w:rsid w:val="00DC1B37"/>
    <w:rsid w:val="00DC1B8B"/>
    <w:rsid w:val="00DC1BD0"/>
    <w:rsid w:val="00DC1E18"/>
    <w:rsid w:val="00DC1E6A"/>
    <w:rsid w:val="00DC2089"/>
    <w:rsid w:val="00DC254D"/>
    <w:rsid w:val="00DC25B8"/>
    <w:rsid w:val="00DC261C"/>
    <w:rsid w:val="00DC2A6E"/>
    <w:rsid w:val="00DC2C5F"/>
    <w:rsid w:val="00DC2D2C"/>
    <w:rsid w:val="00DC2D9C"/>
    <w:rsid w:val="00DC2F69"/>
    <w:rsid w:val="00DC31BD"/>
    <w:rsid w:val="00DC358C"/>
    <w:rsid w:val="00DC36B7"/>
    <w:rsid w:val="00DC36E6"/>
    <w:rsid w:val="00DC3783"/>
    <w:rsid w:val="00DC37C0"/>
    <w:rsid w:val="00DC3C21"/>
    <w:rsid w:val="00DC4163"/>
    <w:rsid w:val="00DC4357"/>
    <w:rsid w:val="00DC4374"/>
    <w:rsid w:val="00DC4394"/>
    <w:rsid w:val="00DC44EA"/>
    <w:rsid w:val="00DC46D5"/>
    <w:rsid w:val="00DC4784"/>
    <w:rsid w:val="00DC4858"/>
    <w:rsid w:val="00DC4A39"/>
    <w:rsid w:val="00DC4B07"/>
    <w:rsid w:val="00DC4D76"/>
    <w:rsid w:val="00DC4E8E"/>
    <w:rsid w:val="00DC4ED6"/>
    <w:rsid w:val="00DC4F90"/>
    <w:rsid w:val="00DC534B"/>
    <w:rsid w:val="00DC5531"/>
    <w:rsid w:val="00DC56EF"/>
    <w:rsid w:val="00DC5916"/>
    <w:rsid w:val="00DC598C"/>
    <w:rsid w:val="00DC59C3"/>
    <w:rsid w:val="00DC5AA2"/>
    <w:rsid w:val="00DC5B9D"/>
    <w:rsid w:val="00DC5DFF"/>
    <w:rsid w:val="00DC6292"/>
    <w:rsid w:val="00DC6326"/>
    <w:rsid w:val="00DC63B9"/>
    <w:rsid w:val="00DC6482"/>
    <w:rsid w:val="00DC6550"/>
    <w:rsid w:val="00DC656A"/>
    <w:rsid w:val="00DC68A0"/>
    <w:rsid w:val="00DC69F0"/>
    <w:rsid w:val="00DC6C1E"/>
    <w:rsid w:val="00DC6DD7"/>
    <w:rsid w:val="00DC6EBF"/>
    <w:rsid w:val="00DC7322"/>
    <w:rsid w:val="00DC74CB"/>
    <w:rsid w:val="00DC750A"/>
    <w:rsid w:val="00DC7582"/>
    <w:rsid w:val="00DC7668"/>
    <w:rsid w:val="00DC769F"/>
    <w:rsid w:val="00DC76B6"/>
    <w:rsid w:val="00DC7747"/>
    <w:rsid w:val="00DC777F"/>
    <w:rsid w:val="00DC79AF"/>
    <w:rsid w:val="00DC7A9F"/>
    <w:rsid w:val="00DC7C36"/>
    <w:rsid w:val="00DC7D2F"/>
    <w:rsid w:val="00DC7E97"/>
    <w:rsid w:val="00DC7ED5"/>
    <w:rsid w:val="00DC7F03"/>
    <w:rsid w:val="00DD00BC"/>
    <w:rsid w:val="00DD0417"/>
    <w:rsid w:val="00DD057D"/>
    <w:rsid w:val="00DD05E2"/>
    <w:rsid w:val="00DD070D"/>
    <w:rsid w:val="00DD0B54"/>
    <w:rsid w:val="00DD0B6E"/>
    <w:rsid w:val="00DD0BB8"/>
    <w:rsid w:val="00DD0C05"/>
    <w:rsid w:val="00DD0FEA"/>
    <w:rsid w:val="00DD12BF"/>
    <w:rsid w:val="00DD134A"/>
    <w:rsid w:val="00DD17CA"/>
    <w:rsid w:val="00DD1952"/>
    <w:rsid w:val="00DD1B3C"/>
    <w:rsid w:val="00DD1D5A"/>
    <w:rsid w:val="00DD1D66"/>
    <w:rsid w:val="00DD202D"/>
    <w:rsid w:val="00DD210B"/>
    <w:rsid w:val="00DD230D"/>
    <w:rsid w:val="00DD23BD"/>
    <w:rsid w:val="00DD246E"/>
    <w:rsid w:val="00DD24FF"/>
    <w:rsid w:val="00DD2508"/>
    <w:rsid w:val="00DD2598"/>
    <w:rsid w:val="00DD26CF"/>
    <w:rsid w:val="00DD2737"/>
    <w:rsid w:val="00DD2943"/>
    <w:rsid w:val="00DD2BD0"/>
    <w:rsid w:val="00DD2EA8"/>
    <w:rsid w:val="00DD30A7"/>
    <w:rsid w:val="00DD3189"/>
    <w:rsid w:val="00DD332B"/>
    <w:rsid w:val="00DD33E9"/>
    <w:rsid w:val="00DD361D"/>
    <w:rsid w:val="00DD3AB1"/>
    <w:rsid w:val="00DD3D68"/>
    <w:rsid w:val="00DD43D9"/>
    <w:rsid w:val="00DD4539"/>
    <w:rsid w:val="00DD4559"/>
    <w:rsid w:val="00DD47C8"/>
    <w:rsid w:val="00DD4DB0"/>
    <w:rsid w:val="00DD4EC4"/>
    <w:rsid w:val="00DD4F8C"/>
    <w:rsid w:val="00DD511B"/>
    <w:rsid w:val="00DD52EC"/>
    <w:rsid w:val="00DD54C3"/>
    <w:rsid w:val="00DD5836"/>
    <w:rsid w:val="00DD592B"/>
    <w:rsid w:val="00DD59AF"/>
    <w:rsid w:val="00DD5A6D"/>
    <w:rsid w:val="00DD5AD4"/>
    <w:rsid w:val="00DD5DE7"/>
    <w:rsid w:val="00DD5E6F"/>
    <w:rsid w:val="00DD5F8D"/>
    <w:rsid w:val="00DD5FD9"/>
    <w:rsid w:val="00DD60ED"/>
    <w:rsid w:val="00DD6473"/>
    <w:rsid w:val="00DD64C8"/>
    <w:rsid w:val="00DD665E"/>
    <w:rsid w:val="00DD6A53"/>
    <w:rsid w:val="00DD6B73"/>
    <w:rsid w:val="00DD6BD4"/>
    <w:rsid w:val="00DD6BF8"/>
    <w:rsid w:val="00DD6D16"/>
    <w:rsid w:val="00DD6D38"/>
    <w:rsid w:val="00DD6D97"/>
    <w:rsid w:val="00DD6E2E"/>
    <w:rsid w:val="00DD6FD3"/>
    <w:rsid w:val="00DD7090"/>
    <w:rsid w:val="00DD7206"/>
    <w:rsid w:val="00DD7286"/>
    <w:rsid w:val="00DD751E"/>
    <w:rsid w:val="00DD7698"/>
    <w:rsid w:val="00DD7C25"/>
    <w:rsid w:val="00DD7EA5"/>
    <w:rsid w:val="00DE02D6"/>
    <w:rsid w:val="00DE0349"/>
    <w:rsid w:val="00DE09CE"/>
    <w:rsid w:val="00DE0A2B"/>
    <w:rsid w:val="00DE0B13"/>
    <w:rsid w:val="00DE0B2F"/>
    <w:rsid w:val="00DE0CF8"/>
    <w:rsid w:val="00DE0CFE"/>
    <w:rsid w:val="00DE0F83"/>
    <w:rsid w:val="00DE12B1"/>
    <w:rsid w:val="00DE1371"/>
    <w:rsid w:val="00DE1432"/>
    <w:rsid w:val="00DE1630"/>
    <w:rsid w:val="00DE1726"/>
    <w:rsid w:val="00DE18E7"/>
    <w:rsid w:val="00DE1978"/>
    <w:rsid w:val="00DE19D6"/>
    <w:rsid w:val="00DE1AD8"/>
    <w:rsid w:val="00DE1B94"/>
    <w:rsid w:val="00DE1C03"/>
    <w:rsid w:val="00DE1D4B"/>
    <w:rsid w:val="00DE1FDB"/>
    <w:rsid w:val="00DE1FE2"/>
    <w:rsid w:val="00DE20AD"/>
    <w:rsid w:val="00DE2478"/>
    <w:rsid w:val="00DE2829"/>
    <w:rsid w:val="00DE296F"/>
    <w:rsid w:val="00DE2E2E"/>
    <w:rsid w:val="00DE3172"/>
    <w:rsid w:val="00DE3739"/>
    <w:rsid w:val="00DE388F"/>
    <w:rsid w:val="00DE3B35"/>
    <w:rsid w:val="00DE3BDB"/>
    <w:rsid w:val="00DE3C53"/>
    <w:rsid w:val="00DE3CE9"/>
    <w:rsid w:val="00DE3D91"/>
    <w:rsid w:val="00DE3E6D"/>
    <w:rsid w:val="00DE3E99"/>
    <w:rsid w:val="00DE4014"/>
    <w:rsid w:val="00DE40C6"/>
    <w:rsid w:val="00DE41C2"/>
    <w:rsid w:val="00DE42FB"/>
    <w:rsid w:val="00DE4691"/>
    <w:rsid w:val="00DE47B0"/>
    <w:rsid w:val="00DE4839"/>
    <w:rsid w:val="00DE4935"/>
    <w:rsid w:val="00DE498A"/>
    <w:rsid w:val="00DE4A8E"/>
    <w:rsid w:val="00DE4C83"/>
    <w:rsid w:val="00DE5133"/>
    <w:rsid w:val="00DE5147"/>
    <w:rsid w:val="00DE56D5"/>
    <w:rsid w:val="00DE571B"/>
    <w:rsid w:val="00DE573A"/>
    <w:rsid w:val="00DE575D"/>
    <w:rsid w:val="00DE5B94"/>
    <w:rsid w:val="00DE5C16"/>
    <w:rsid w:val="00DE61EB"/>
    <w:rsid w:val="00DE6298"/>
    <w:rsid w:val="00DE69C0"/>
    <w:rsid w:val="00DE6F2F"/>
    <w:rsid w:val="00DE70A6"/>
    <w:rsid w:val="00DE7218"/>
    <w:rsid w:val="00DE7563"/>
    <w:rsid w:val="00DE77ED"/>
    <w:rsid w:val="00DE79B0"/>
    <w:rsid w:val="00DE79BD"/>
    <w:rsid w:val="00DE79D2"/>
    <w:rsid w:val="00DE7A9A"/>
    <w:rsid w:val="00DE7C8F"/>
    <w:rsid w:val="00DE7CC8"/>
    <w:rsid w:val="00DE7D17"/>
    <w:rsid w:val="00DE7DA4"/>
    <w:rsid w:val="00DE7F0A"/>
    <w:rsid w:val="00DE7F12"/>
    <w:rsid w:val="00DE7F1C"/>
    <w:rsid w:val="00DE7F3F"/>
    <w:rsid w:val="00DF004F"/>
    <w:rsid w:val="00DF0182"/>
    <w:rsid w:val="00DF03EF"/>
    <w:rsid w:val="00DF0491"/>
    <w:rsid w:val="00DF0592"/>
    <w:rsid w:val="00DF0598"/>
    <w:rsid w:val="00DF05BF"/>
    <w:rsid w:val="00DF068D"/>
    <w:rsid w:val="00DF06A2"/>
    <w:rsid w:val="00DF075D"/>
    <w:rsid w:val="00DF07C5"/>
    <w:rsid w:val="00DF07C7"/>
    <w:rsid w:val="00DF09A7"/>
    <w:rsid w:val="00DF0A56"/>
    <w:rsid w:val="00DF1261"/>
    <w:rsid w:val="00DF1445"/>
    <w:rsid w:val="00DF1518"/>
    <w:rsid w:val="00DF1941"/>
    <w:rsid w:val="00DF1A3D"/>
    <w:rsid w:val="00DF1A7B"/>
    <w:rsid w:val="00DF1C7D"/>
    <w:rsid w:val="00DF1D87"/>
    <w:rsid w:val="00DF1F96"/>
    <w:rsid w:val="00DF217D"/>
    <w:rsid w:val="00DF2473"/>
    <w:rsid w:val="00DF262D"/>
    <w:rsid w:val="00DF2736"/>
    <w:rsid w:val="00DF2C4A"/>
    <w:rsid w:val="00DF2CEB"/>
    <w:rsid w:val="00DF2DEE"/>
    <w:rsid w:val="00DF32ED"/>
    <w:rsid w:val="00DF3363"/>
    <w:rsid w:val="00DF33A0"/>
    <w:rsid w:val="00DF3430"/>
    <w:rsid w:val="00DF370D"/>
    <w:rsid w:val="00DF383E"/>
    <w:rsid w:val="00DF3A73"/>
    <w:rsid w:val="00DF3B68"/>
    <w:rsid w:val="00DF3BBB"/>
    <w:rsid w:val="00DF3C19"/>
    <w:rsid w:val="00DF3D53"/>
    <w:rsid w:val="00DF4417"/>
    <w:rsid w:val="00DF468A"/>
    <w:rsid w:val="00DF469F"/>
    <w:rsid w:val="00DF46EB"/>
    <w:rsid w:val="00DF4816"/>
    <w:rsid w:val="00DF4833"/>
    <w:rsid w:val="00DF4CF2"/>
    <w:rsid w:val="00DF4DE4"/>
    <w:rsid w:val="00DF4E3E"/>
    <w:rsid w:val="00DF4F6A"/>
    <w:rsid w:val="00DF51AF"/>
    <w:rsid w:val="00DF5375"/>
    <w:rsid w:val="00DF546E"/>
    <w:rsid w:val="00DF54BC"/>
    <w:rsid w:val="00DF577C"/>
    <w:rsid w:val="00DF57D9"/>
    <w:rsid w:val="00DF5833"/>
    <w:rsid w:val="00DF58B5"/>
    <w:rsid w:val="00DF5A6B"/>
    <w:rsid w:val="00DF5ABC"/>
    <w:rsid w:val="00DF5BAA"/>
    <w:rsid w:val="00DF5D1F"/>
    <w:rsid w:val="00DF5E02"/>
    <w:rsid w:val="00DF5E78"/>
    <w:rsid w:val="00DF5F7C"/>
    <w:rsid w:val="00DF60B9"/>
    <w:rsid w:val="00DF62B2"/>
    <w:rsid w:val="00DF63B7"/>
    <w:rsid w:val="00DF65BD"/>
    <w:rsid w:val="00DF6684"/>
    <w:rsid w:val="00DF6B03"/>
    <w:rsid w:val="00DF6B67"/>
    <w:rsid w:val="00DF6C45"/>
    <w:rsid w:val="00DF6EBD"/>
    <w:rsid w:val="00DF7137"/>
    <w:rsid w:val="00DF71E6"/>
    <w:rsid w:val="00DF72B0"/>
    <w:rsid w:val="00DF7344"/>
    <w:rsid w:val="00DF73E8"/>
    <w:rsid w:val="00DF75D1"/>
    <w:rsid w:val="00DF7889"/>
    <w:rsid w:val="00DF7904"/>
    <w:rsid w:val="00DF7BEE"/>
    <w:rsid w:val="00DF7BFB"/>
    <w:rsid w:val="00DF7D17"/>
    <w:rsid w:val="00DF7DB3"/>
    <w:rsid w:val="00DF7FDB"/>
    <w:rsid w:val="00E00097"/>
    <w:rsid w:val="00E000F9"/>
    <w:rsid w:val="00E00150"/>
    <w:rsid w:val="00E00270"/>
    <w:rsid w:val="00E006F2"/>
    <w:rsid w:val="00E00706"/>
    <w:rsid w:val="00E00721"/>
    <w:rsid w:val="00E007F8"/>
    <w:rsid w:val="00E0092C"/>
    <w:rsid w:val="00E00997"/>
    <w:rsid w:val="00E00A17"/>
    <w:rsid w:val="00E00DDE"/>
    <w:rsid w:val="00E00F94"/>
    <w:rsid w:val="00E01025"/>
    <w:rsid w:val="00E010CD"/>
    <w:rsid w:val="00E01108"/>
    <w:rsid w:val="00E0113A"/>
    <w:rsid w:val="00E0115D"/>
    <w:rsid w:val="00E01D92"/>
    <w:rsid w:val="00E01E0F"/>
    <w:rsid w:val="00E0215B"/>
    <w:rsid w:val="00E024F7"/>
    <w:rsid w:val="00E02911"/>
    <w:rsid w:val="00E029A6"/>
    <w:rsid w:val="00E02B2C"/>
    <w:rsid w:val="00E02BA7"/>
    <w:rsid w:val="00E02C3D"/>
    <w:rsid w:val="00E02DE1"/>
    <w:rsid w:val="00E02F27"/>
    <w:rsid w:val="00E03119"/>
    <w:rsid w:val="00E03284"/>
    <w:rsid w:val="00E032CF"/>
    <w:rsid w:val="00E033B2"/>
    <w:rsid w:val="00E033DC"/>
    <w:rsid w:val="00E033F9"/>
    <w:rsid w:val="00E03406"/>
    <w:rsid w:val="00E03415"/>
    <w:rsid w:val="00E0360C"/>
    <w:rsid w:val="00E03964"/>
    <w:rsid w:val="00E03B7F"/>
    <w:rsid w:val="00E03DEE"/>
    <w:rsid w:val="00E03F36"/>
    <w:rsid w:val="00E03FE2"/>
    <w:rsid w:val="00E04161"/>
    <w:rsid w:val="00E0417D"/>
    <w:rsid w:val="00E0453D"/>
    <w:rsid w:val="00E0467C"/>
    <w:rsid w:val="00E046B5"/>
    <w:rsid w:val="00E04C69"/>
    <w:rsid w:val="00E04D34"/>
    <w:rsid w:val="00E04DD7"/>
    <w:rsid w:val="00E04F10"/>
    <w:rsid w:val="00E04F24"/>
    <w:rsid w:val="00E04F4A"/>
    <w:rsid w:val="00E04F55"/>
    <w:rsid w:val="00E04F96"/>
    <w:rsid w:val="00E050C6"/>
    <w:rsid w:val="00E050F6"/>
    <w:rsid w:val="00E0520E"/>
    <w:rsid w:val="00E05333"/>
    <w:rsid w:val="00E0540F"/>
    <w:rsid w:val="00E05655"/>
    <w:rsid w:val="00E0575C"/>
    <w:rsid w:val="00E058A4"/>
    <w:rsid w:val="00E05A00"/>
    <w:rsid w:val="00E05A77"/>
    <w:rsid w:val="00E05B1B"/>
    <w:rsid w:val="00E05BF1"/>
    <w:rsid w:val="00E05DC6"/>
    <w:rsid w:val="00E05FA6"/>
    <w:rsid w:val="00E06428"/>
    <w:rsid w:val="00E0680C"/>
    <w:rsid w:val="00E06A0E"/>
    <w:rsid w:val="00E06A12"/>
    <w:rsid w:val="00E06BF5"/>
    <w:rsid w:val="00E06EC1"/>
    <w:rsid w:val="00E06EC2"/>
    <w:rsid w:val="00E06EC5"/>
    <w:rsid w:val="00E07092"/>
    <w:rsid w:val="00E070B2"/>
    <w:rsid w:val="00E0736E"/>
    <w:rsid w:val="00E073FB"/>
    <w:rsid w:val="00E0742F"/>
    <w:rsid w:val="00E078D1"/>
    <w:rsid w:val="00E07A27"/>
    <w:rsid w:val="00E07CE7"/>
    <w:rsid w:val="00E07F5B"/>
    <w:rsid w:val="00E07F73"/>
    <w:rsid w:val="00E07FF1"/>
    <w:rsid w:val="00E10230"/>
    <w:rsid w:val="00E103F1"/>
    <w:rsid w:val="00E10562"/>
    <w:rsid w:val="00E105FA"/>
    <w:rsid w:val="00E10780"/>
    <w:rsid w:val="00E10854"/>
    <w:rsid w:val="00E1085F"/>
    <w:rsid w:val="00E10942"/>
    <w:rsid w:val="00E10C65"/>
    <w:rsid w:val="00E10D7B"/>
    <w:rsid w:val="00E10E7D"/>
    <w:rsid w:val="00E10EC8"/>
    <w:rsid w:val="00E10EE8"/>
    <w:rsid w:val="00E10EEB"/>
    <w:rsid w:val="00E10F03"/>
    <w:rsid w:val="00E1111B"/>
    <w:rsid w:val="00E112F6"/>
    <w:rsid w:val="00E11484"/>
    <w:rsid w:val="00E1179E"/>
    <w:rsid w:val="00E119D6"/>
    <w:rsid w:val="00E11C56"/>
    <w:rsid w:val="00E11E8B"/>
    <w:rsid w:val="00E11FBD"/>
    <w:rsid w:val="00E122AD"/>
    <w:rsid w:val="00E12610"/>
    <w:rsid w:val="00E1265B"/>
    <w:rsid w:val="00E12723"/>
    <w:rsid w:val="00E12BD5"/>
    <w:rsid w:val="00E12CD9"/>
    <w:rsid w:val="00E12D37"/>
    <w:rsid w:val="00E12F01"/>
    <w:rsid w:val="00E13038"/>
    <w:rsid w:val="00E13365"/>
    <w:rsid w:val="00E1347F"/>
    <w:rsid w:val="00E13691"/>
    <w:rsid w:val="00E136F2"/>
    <w:rsid w:val="00E13889"/>
    <w:rsid w:val="00E13B80"/>
    <w:rsid w:val="00E14102"/>
    <w:rsid w:val="00E14214"/>
    <w:rsid w:val="00E142E3"/>
    <w:rsid w:val="00E14303"/>
    <w:rsid w:val="00E14357"/>
    <w:rsid w:val="00E143DD"/>
    <w:rsid w:val="00E14693"/>
    <w:rsid w:val="00E14701"/>
    <w:rsid w:val="00E14865"/>
    <w:rsid w:val="00E14A9B"/>
    <w:rsid w:val="00E14B2F"/>
    <w:rsid w:val="00E14BFB"/>
    <w:rsid w:val="00E14D09"/>
    <w:rsid w:val="00E14E2D"/>
    <w:rsid w:val="00E14E3C"/>
    <w:rsid w:val="00E14F6A"/>
    <w:rsid w:val="00E150E1"/>
    <w:rsid w:val="00E15173"/>
    <w:rsid w:val="00E1546F"/>
    <w:rsid w:val="00E15A24"/>
    <w:rsid w:val="00E15A2F"/>
    <w:rsid w:val="00E15DB3"/>
    <w:rsid w:val="00E15E0B"/>
    <w:rsid w:val="00E15EF3"/>
    <w:rsid w:val="00E15F2B"/>
    <w:rsid w:val="00E160EA"/>
    <w:rsid w:val="00E1620B"/>
    <w:rsid w:val="00E16313"/>
    <w:rsid w:val="00E163F5"/>
    <w:rsid w:val="00E164F9"/>
    <w:rsid w:val="00E166A0"/>
    <w:rsid w:val="00E167A6"/>
    <w:rsid w:val="00E1694D"/>
    <w:rsid w:val="00E16A05"/>
    <w:rsid w:val="00E16F11"/>
    <w:rsid w:val="00E174F6"/>
    <w:rsid w:val="00E175CD"/>
    <w:rsid w:val="00E1769B"/>
    <w:rsid w:val="00E177AA"/>
    <w:rsid w:val="00E17C7F"/>
    <w:rsid w:val="00E17DE4"/>
    <w:rsid w:val="00E17F34"/>
    <w:rsid w:val="00E20090"/>
    <w:rsid w:val="00E2010B"/>
    <w:rsid w:val="00E2026B"/>
    <w:rsid w:val="00E20339"/>
    <w:rsid w:val="00E205C1"/>
    <w:rsid w:val="00E20699"/>
    <w:rsid w:val="00E20A11"/>
    <w:rsid w:val="00E20A63"/>
    <w:rsid w:val="00E20C16"/>
    <w:rsid w:val="00E2140D"/>
    <w:rsid w:val="00E21415"/>
    <w:rsid w:val="00E214E0"/>
    <w:rsid w:val="00E214F3"/>
    <w:rsid w:val="00E215FB"/>
    <w:rsid w:val="00E21654"/>
    <w:rsid w:val="00E2170C"/>
    <w:rsid w:val="00E21983"/>
    <w:rsid w:val="00E21AFE"/>
    <w:rsid w:val="00E21B00"/>
    <w:rsid w:val="00E21B02"/>
    <w:rsid w:val="00E21B0C"/>
    <w:rsid w:val="00E21EB5"/>
    <w:rsid w:val="00E21EF7"/>
    <w:rsid w:val="00E2210B"/>
    <w:rsid w:val="00E22152"/>
    <w:rsid w:val="00E22461"/>
    <w:rsid w:val="00E22585"/>
    <w:rsid w:val="00E2267D"/>
    <w:rsid w:val="00E22832"/>
    <w:rsid w:val="00E228A5"/>
    <w:rsid w:val="00E229BE"/>
    <w:rsid w:val="00E2302C"/>
    <w:rsid w:val="00E2304D"/>
    <w:rsid w:val="00E231AA"/>
    <w:rsid w:val="00E232E7"/>
    <w:rsid w:val="00E23332"/>
    <w:rsid w:val="00E234A7"/>
    <w:rsid w:val="00E23526"/>
    <w:rsid w:val="00E23535"/>
    <w:rsid w:val="00E235AA"/>
    <w:rsid w:val="00E235B4"/>
    <w:rsid w:val="00E235B6"/>
    <w:rsid w:val="00E23671"/>
    <w:rsid w:val="00E23792"/>
    <w:rsid w:val="00E23797"/>
    <w:rsid w:val="00E23987"/>
    <w:rsid w:val="00E23A5D"/>
    <w:rsid w:val="00E241A2"/>
    <w:rsid w:val="00E24414"/>
    <w:rsid w:val="00E24CAB"/>
    <w:rsid w:val="00E24F6A"/>
    <w:rsid w:val="00E25079"/>
    <w:rsid w:val="00E250FD"/>
    <w:rsid w:val="00E25474"/>
    <w:rsid w:val="00E257ED"/>
    <w:rsid w:val="00E258F0"/>
    <w:rsid w:val="00E259EF"/>
    <w:rsid w:val="00E25AB3"/>
    <w:rsid w:val="00E25ACC"/>
    <w:rsid w:val="00E25B56"/>
    <w:rsid w:val="00E25CDC"/>
    <w:rsid w:val="00E262E2"/>
    <w:rsid w:val="00E264C1"/>
    <w:rsid w:val="00E26529"/>
    <w:rsid w:val="00E2654F"/>
    <w:rsid w:val="00E26A8A"/>
    <w:rsid w:val="00E26C8D"/>
    <w:rsid w:val="00E26CDA"/>
    <w:rsid w:val="00E26DB6"/>
    <w:rsid w:val="00E27114"/>
    <w:rsid w:val="00E27277"/>
    <w:rsid w:val="00E27405"/>
    <w:rsid w:val="00E274BD"/>
    <w:rsid w:val="00E274FC"/>
    <w:rsid w:val="00E275FF"/>
    <w:rsid w:val="00E27B4C"/>
    <w:rsid w:val="00E27B67"/>
    <w:rsid w:val="00E27B9C"/>
    <w:rsid w:val="00E27C28"/>
    <w:rsid w:val="00E27C60"/>
    <w:rsid w:val="00E27E72"/>
    <w:rsid w:val="00E27EB7"/>
    <w:rsid w:val="00E3000F"/>
    <w:rsid w:val="00E30120"/>
    <w:rsid w:val="00E301CF"/>
    <w:rsid w:val="00E301E9"/>
    <w:rsid w:val="00E306DB"/>
    <w:rsid w:val="00E30774"/>
    <w:rsid w:val="00E3083F"/>
    <w:rsid w:val="00E308B9"/>
    <w:rsid w:val="00E308E0"/>
    <w:rsid w:val="00E30977"/>
    <w:rsid w:val="00E30B21"/>
    <w:rsid w:val="00E30BDC"/>
    <w:rsid w:val="00E30CB3"/>
    <w:rsid w:val="00E30CB8"/>
    <w:rsid w:val="00E30E0A"/>
    <w:rsid w:val="00E30E36"/>
    <w:rsid w:val="00E310C2"/>
    <w:rsid w:val="00E31321"/>
    <w:rsid w:val="00E3139D"/>
    <w:rsid w:val="00E31443"/>
    <w:rsid w:val="00E31708"/>
    <w:rsid w:val="00E31720"/>
    <w:rsid w:val="00E317D0"/>
    <w:rsid w:val="00E31918"/>
    <w:rsid w:val="00E3196D"/>
    <w:rsid w:val="00E319ED"/>
    <w:rsid w:val="00E31AB4"/>
    <w:rsid w:val="00E31B27"/>
    <w:rsid w:val="00E31D98"/>
    <w:rsid w:val="00E31E08"/>
    <w:rsid w:val="00E31F06"/>
    <w:rsid w:val="00E32220"/>
    <w:rsid w:val="00E3228C"/>
    <w:rsid w:val="00E322C3"/>
    <w:rsid w:val="00E328AE"/>
    <w:rsid w:val="00E32AAE"/>
    <w:rsid w:val="00E32B9F"/>
    <w:rsid w:val="00E32E6A"/>
    <w:rsid w:val="00E32EE5"/>
    <w:rsid w:val="00E32F5D"/>
    <w:rsid w:val="00E32F93"/>
    <w:rsid w:val="00E33189"/>
    <w:rsid w:val="00E332F0"/>
    <w:rsid w:val="00E333AB"/>
    <w:rsid w:val="00E33720"/>
    <w:rsid w:val="00E33722"/>
    <w:rsid w:val="00E338CE"/>
    <w:rsid w:val="00E33AC7"/>
    <w:rsid w:val="00E33C23"/>
    <w:rsid w:val="00E33C64"/>
    <w:rsid w:val="00E34034"/>
    <w:rsid w:val="00E3412D"/>
    <w:rsid w:val="00E342EC"/>
    <w:rsid w:val="00E343E2"/>
    <w:rsid w:val="00E344F8"/>
    <w:rsid w:val="00E3458A"/>
    <w:rsid w:val="00E3461F"/>
    <w:rsid w:val="00E346C0"/>
    <w:rsid w:val="00E3475C"/>
    <w:rsid w:val="00E34816"/>
    <w:rsid w:val="00E34865"/>
    <w:rsid w:val="00E34B1D"/>
    <w:rsid w:val="00E34CD3"/>
    <w:rsid w:val="00E34DB0"/>
    <w:rsid w:val="00E3529C"/>
    <w:rsid w:val="00E353C2"/>
    <w:rsid w:val="00E3558A"/>
    <w:rsid w:val="00E35AA0"/>
    <w:rsid w:val="00E35AF6"/>
    <w:rsid w:val="00E35B21"/>
    <w:rsid w:val="00E35CDB"/>
    <w:rsid w:val="00E35E5D"/>
    <w:rsid w:val="00E36063"/>
    <w:rsid w:val="00E3685E"/>
    <w:rsid w:val="00E3689C"/>
    <w:rsid w:val="00E36965"/>
    <w:rsid w:val="00E36B37"/>
    <w:rsid w:val="00E36C51"/>
    <w:rsid w:val="00E36C8F"/>
    <w:rsid w:val="00E3703E"/>
    <w:rsid w:val="00E3706A"/>
    <w:rsid w:val="00E371C3"/>
    <w:rsid w:val="00E376E1"/>
    <w:rsid w:val="00E3797B"/>
    <w:rsid w:val="00E379F7"/>
    <w:rsid w:val="00E37A0F"/>
    <w:rsid w:val="00E37A20"/>
    <w:rsid w:val="00E37B0E"/>
    <w:rsid w:val="00E37D73"/>
    <w:rsid w:val="00E37E31"/>
    <w:rsid w:val="00E37E56"/>
    <w:rsid w:val="00E37FB4"/>
    <w:rsid w:val="00E40796"/>
    <w:rsid w:val="00E40CF0"/>
    <w:rsid w:val="00E40DA9"/>
    <w:rsid w:val="00E40E7F"/>
    <w:rsid w:val="00E40FFE"/>
    <w:rsid w:val="00E4142A"/>
    <w:rsid w:val="00E4142B"/>
    <w:rsid w:val="00E416F1"/>
    <w:rsid w:val="00E417BD"/>
    <w:rsid w:val="00E418D2"/>
    <w:rsid w:val="00E41AC1"/>
    <w:rsid w:val="00E41B0E"/>
    <w:rsid w:val="00E41B35"/>
    <w:rsid w:val="00E41BE4"/>
    <w:rsid w:val="00E41DA5"/>
    <w:rsid w:val="00E41E52"/>
    <w:rsid w:val="00E41F08"/>
    <w:rsid w:val="00E41FC7"/>
    <w:rsid w:val="00E42000"/>
    <w:rsid w:val="00E4207B"/>
    <w:rsid w:val="00E4230D"/>
    <w:rsid w:val="00E42359"/>
    <w:rsid w:val="00E42458"/>
    <w:rsid w:val="00E42583"/>
    <w:rsid w:val="00E42746"/>
    <w:rsid w:val="00E427CD"/>
    <w:rsid w:val="00E42874"/>
    <w:rsid w:val="00E42A23"/>
    <w:rsid w:val="00E42A6B"/>
    <w:rsid w:val="00E42A7B"/>
    <w:rsid w:val="00E42B08"/>
    <w:rsid w:val="00E42C0A"/>
    <w:rsid w:val="00E42C60"/>
    <w:rsid w:val="00E42D86"/>
    <w:rsid w:val="00E42E4D"/>
    <w:rsid w:val="00E42F34"/>
    <w:rsid w:val="00E43524"/>
    <w:rsid w:val="00E4377F"/>
    <w:rsid w:val="00E43818"/>
    <w:rsid w:val="00E43826"/>
    <w:rsid w:val="00E4385E"/>
    <w:rsid w:val="00E43EB2"/>
    <w:rsid w:val="00E44016"/>
    <w:rsid w:val="00E442A5"/>
    <w:rsid w:val="00E44314"/>
    <w:rsid w:val="00E444FA"/>
    <w:rsid w:val="00E44528"/>
    <w:rsid w:val="00E445A6"/>
    <w:rsid w:val="00E4469B"/>
    <w:rsid w:val="00E4491A"/>
    <w:rsid w:val="00E4491C"/>
    <w:rsid w:val="00E4492D"/>
    <w:rsid w:val="00E44A4B"/>
    <w:rsid w:val="00E44BDF"/>
    <w:rsid w:val="00E44D85"/>
    <w:rsid w:val="00E44E1B"/>
    <w:rsid w:val="00E45221"/>
    <w:rsid w:val="00E454B0"/>
    <w:rsid w:val="00E45989"/>
    <w:rsid w:val="00E45C3B"/>
    <w:rsid w:val="00E45F46"/>
    <w:rsid w:val="00E45F8C"/>
    <w:rsid w:val="00E4608A"/>
    <w:rsid w:val="00E460B3"/>
    <w:rsid w:val="00E46132"/>
    <w:rsid w:val="00E46620"/>
    <w:rsid w:val="00E46736"/>
    <w:rsid w:val="00E467CB"/>
    <w:rsid w:val="00E4690A"/>
    <w:rsid w:val="00E469E1"/>
    <w:rsid w:val="00E46D46"/>
    <w:rsid w:val="00E46EC5"/>
    <w:rsid w:val="00E47107"/>
    <w:rsid w:val="00E471E4"/>
    <w:rsid w:val="00E474AE"/>
    <w:rsid w:val="00E4760E"/>
    <w:rsid w:val="00E478F8"/>
    <w:rsid w:val="00E4799D"/>
    <w:rsid w:val="00E47E7F"/>
    <w:rsid w:val="00E47EBC"/>
    <w:rsid w:val="00E47F05"/>
    <w:rsid w:val="00E50736"/>
    <w:rsid w:val="00E508BF"/>
    <w:rsid w:val="00E50BC2"/>
    <w:rsid w:val="00E5115B"/>
    <w:rsid w:val="00E512C1"/>
    <w:rsid w:val="00E51362"/>
    <w:rsid w:val="00E513D7"/>
    <w:rsid w:val="00E51405"/>
    <w:rsid w:val="00E515BF"/>
    <w:rsid w:val="00E515E5"/>
    <w:rsid w:val="00E51793"/>
    <w:rsid w:val="00E51A11"/>
    <w:rsid w:val="00E51AF6"/>
    <w:rsid w:val="00E51B78"/>
    <w:rsid w:val="00E51C04"/>
    <w:rsid w:val="00E51C12"/>
    <w:rsid w:val="00E51CB8"/>
    <w:rsid w:val="00E51DBF"/>
    <w:rsid w:val="00E51DC9"/>
    <w:rsid w:val="00E51FDE"/>
    <w:rsid w:val="00E520B2"/>
    <w:rsid w:val="00E520D7"/>
    <w:rsid w:val="00E52283"/>
    <w:rsid w:val="00E5229B"/>
    <w:rsid w:val="00E523AA"/>
    <w:rsid w:val="00E5253F"/>
    <w:rsid w:val="00E52637"/>
    <w:rsid w:val="00E526E4"/>
    <w:rsid w:val="00E52B9D"/>
    <w:rsid w:val="00E52C14"/>
    <w:rsid w:val="00E531CD"/>
    <w:rsid w:val="00E532B2"/>
    <w:rsid w:val="00E5337F"/>
    <w:rsid w:val="00E533ED"/>
    <w:rsid w:val="00E53427"/>
    <w:rsid w:val="00E535B0"/>
    <w:rsid w:val="00E538B4"/>
    <w:rsid w:val="00E53A61"/>
    <w:rsid w:val="00E53AF5"/>
    <w:rsid w:val="00E53BDA"/>
    <w:rsid w:val="00E53BF6"/>
    <w:rsid w:val="00E53C6F"/>
    <w:rsid w:val="00E53DBD"/>
    <w:rsid w:val="00E53ECE"/>
    <w:rsid w:val="00E54234"/>
    <w:rsid w:val="00E54306"/>
    <w:rsid w:val="00E54345"/>
    <w:rsid w:val="00E543A9"/>
    <w:rsid w:val="00E543D7"/>
    <w:rsid w:val="00E54442"/>
    <w:rsid w:val="00E54654"/>
    <w:rsid w:val="00E5466E"/>
    <w:rsid w:val="00E546CA"/>
    <w:rsid w:val="00E54710"/>
    <w:rsid w:val="00E5471D"/>
    <w:rsid w:val="00E549F2"/>
    <w:rsid w:val="00E54ACD"/>
    <w:rsid w:val="00E54B2B"/>
    <w:rsid w:val="00E54B2C"/>
    <w:rsid w:val="00E54CBC"/>
    <w:rsid w:val="00E55028"/>
    <w:rsid w:val="00E552BB"/>
    <w:rsid w:val="00E556F4"/>
    <w:rsid w:val="00E55A7A"/>
    <w:rsid w:val="00E55BB8"/>
    <w:rsid w:val="00E55CF4"/>
    <w:rsid w:val="00E55D9E"/>
    <w:rsid w:val="00E55F69"/>
    <w:rsid w:val="00E55F89"/>
    <w:rsid w:val="00E56187"/>
    <w:rsid w:val="00E561C9"/>
    <w:rsid w:val="00E56442"/>
    <w:rsid w:val="00E5656D"/>
    <w:rsid w:val="00E5658B"/>
    <w:rsid w:val="00E5675F"/>
    <w:rsid w:val="00E5679C"/>
    <w:rsid w:val="00E568B2"/>
    <w:rsid w:val="00E568F2"/>
    <w:rsid w:val="00E56D64"/>
    <w:rsid w:val="00E56FEA"/>
    <w:rsid w:val="00E572E5"/>
    <w:rsid w:val="00E57302"/>
    <w:rsid w:val="00E57332"/>
    <w:rsid w:val="00E574F4"/>
    <w:rsid w:val="00E57553"/>
    <w:rsid w:val="00E57705"/>
    <w:rsid w:val="00E5783E"/>
    <w:rsid w:val="00E578CB"/>
    <w:rsid w:val="00E57CB2"/>
    <w:rsid w:val="00E57CB7"/>
    <w:rsid w:val="00E57E10"/>
    <w:rsid w:val="00E57E8C"/>
    <w:rsid w:val="00E57F30"/>
    <w:rsid w:val="00E57F9B"/>
    <w:rsid w:val="00E6001C"/>
    <w:rsid w:val="00E6010A"/>
    <w:rsid w:val="00E60187"/>
    <w:rsid w:val="00E60341"/>
    <w:rsid w:val="00E6077F"/>
    <w:rsid w:val="00E607D3"/>
    <w:rsid w:val="00E607DA"/>
    <w:rsid w:val="00E60810"/>
    <w:rsid w:val="00E60902"/>
    <w:rsid w:val="00E6096D"/>
    <w:rsid w:val="00E609DA"/>
    <w:rsid w:val="00E60BBC"/>
    <w:rsid w:val="00E60D77"/>
    <w:rsid w:val="00E60F2E"/>
    <w:rsid w:val="00E61179"/>
    <w:rsid w:val="00E6142B"/>
    <w:rsid w:val="00E61632"/>
    <w:rsid w:val="00E61776"/>
    <w:rsid w:val="00E61998"/>
    <w:rsid w:val="00E61B17"/>
    <w:rsid w:val="00E61D9C"/>
    <w:rsid w:val="00E61EA7"/>
    <w:rsid w:val="00E61F8D"/>
    <w:rsid w:val="00E62019"/>
    <w:rsid w:val="00E62040"/>
    <w:rsid w:val="00E62181"/>
    <w:rsid w:val="00E622B7"/>
    <w:rsid w:val="00E622F2"/>
    <w:rsid w:val="00E626A6"/>
    <w:rsid w:val="00E626AA"/>
    <w:rsid w:val="00E626C9"/>
    <w:rsid w:val="00E627B3"/>
    <w:rsid w:val="00E62937"/>
    <w:rsid w:val="00E62AA9"/>
    <w:rsid w:val="00E62D34"/>
    <w:rsid w:val="00E62FAC"/>
    <w:rsid w:val="00E63002"/>
    <w:rsid w:val="00E63276"/>
    <w:rsid w:val="00E63930"/>
    <w:rsid w:val="00E63BD4"/>
    <w:rsid w:val="00E63D6A"/>
    <w:rsid w:val="00E63DFF"/>
    <w:rsid w:val="00E63FAE"/>
    <w:rsid w:val="00E64190"/>
    <w:rsid w:val="00E642E7"/>
    <w:rsid w:val="00E642FB"/>
    <w:rsid w:val="00E64706"/>
    <w:rsid w:val="00E6484B"/>
    <w:rsid w:val="00E64AA2"/>
    <w:rsid w:val="00E64B49"/>
    <w:rsid w:val="00E64B60"/>
    <w:rsid w:val="00E64BEB"/>
    <w:rsid w:val="00E64C7B"/>
    <w:rsid w:val="00E64E2B"/>
    <w:rsid w:val="00E64F70"/>
    <w:rsid w:val="00E65353"/>
    <w:rsid w:val="00E65445"/>
    <w:rsid w:val="00E65827"/>
    <w:rsid w:val="00E658AE"/>
    <w:rsid w:val="00E6599B"/>
    <w:rsid w:val="00E65B1D"/>
    <w:rsid w:val="00E65C59"/>
    <w:rsid w:val="00E65CB6"/>
    <w:rsid w:val="00E65D38"/>
    <w:rsid w:val="00E65D58"/>
    <w:rsid w:val="00E65FA5"/>
    <w:rsid w:val="00E6609E"/>
    <w:rsid w:val="00E662B0"/>
    <w:rsid w:val="00E6630E"/>
    <w:rsid w:val="00E66414"/>
    <w:rsid w:val="00E66744"/>
    <w:rsid w:val="00E6685B"/>
    <w:rsid w:val="00E66C23"/>
    <w:rsid w:val="00E66D63"/>
    <w:rsid w:val="00E66ECB"/>
    <w:rsid w:val="00E66EE4"/>
    <w:rsid w:val="00E66FAC"/>
    <w:rsid w:val="00E6738C"/>
    <w:rsid w:val="00E675D9"/>
    <w:rsid w:val="00E676C3"/>
    <w:rsid w:val="00E677D7"/>
    <w:rsid w:val="00E67A64"/>
    <w:rsid w:val="00E67AC7"/>
    <w:rsid w:val="00E67B7B"/>
    <w:rsid w:val="00E67E75"/>
    <w:rsid w:val="00E7001E"/>
    <w:rsid w:val="00E700BE"/>
    <w:rsid w:val="00E701E6"/>
    <w:rsid w:val="00E703DA"/>
    <w:rsid w:val="00E70453"/>
    <w:rsid w:val="00E705E5"/>
    <w:rsid w:val="00E707F4"/>
    <w:rsid w:val="00E70805"/>
    <w:rsid w:val="00E7092D"/>
    <w:rsid w:val="00E70B6A"/>
    <w:rsid w:val="00E70C3B"/>
    <w:rsid w:val="00E70CD8"/>
    <w:rsid w:val="00E70DD7"/>
    <w:rsid w:val="00E711EE"/>
    <w:rsid w:val="00E71207"/>
    <w:rsid w:val="00E7153B"/>
    <w:rsid w:val="00E71558"/>
    <w:rsid w:val="00E71690"/>
    <w:rsid w:val="00E716A5"/>
    <w:rsid w:val="00E7175F"/>
    <w:rsid w:val="00E71797"/>
    <w:rsid w:val="00E71AD0"/>
    <w:rsid w:val="00E71B55"/>
    <w:rsid w:val="00E71F01"/>
    <w:rsid w:val="00E71F75"/>
    <w:rsid w:val="00E723A2"/>
    <w:rsid w:val="00E725E9"/>
    <w:rsid w:val="00E726BA"/>
    <w:rsid w:val="00E72898"/>
    <w:rsid w:val="00E72D09"/>
    <w:rsid w:val="00E72EC6"/>
    <w:rsid w:val="00E72ED7"/>
    <w:rsid w:val="00E72EE0"/>
    <w:rsid w:val="00E73193"/>
    <w:rsid w:val="00E73285"/>
    <w:rsid w:val="00E73315"/>
    <w:rsid w:val="00E733D9"/>
    <w:rsid w:val="00E73528"/>
    <w:rsid w:val="00E7358A"/>
    <w:rsid w:val="00E7359B"/>
    <w:rsid w:val="00E73617"/>
    <w:rsid w:val="00E7373D"/>
    <w:rsid w:val="00E73831"/>
    <w:rsid w:val="00E7390C"/>
    <w:rsid w:val="00E73B0A"/>
    <w:rsid w:val="00E73BEE"/>
    <w:rsid w:val="00E73CA0"/>
    <w:rsid w:val="00E73F7A"/>
    <w:rsid w:val="00E73FB4"/>
    <w:rsid w:val="00E7409E"/>
    <w:rsid w:val="00E74158"/>
    <w:rsid w:val="00E741F8"/>
    <w:rsid w:val="00E741FB"/>
    <w:rsid w:val="00E743CD"/>
    <w:rsid w:val="00E74565"/>
    <w:rsid w:val="00E7467E"/>
    <w:rsid w:val="00E7477F"/>
    <w:rsid w:val="00E7478D"/>
    <w:rsid w:val="00E749CE"/>
    <w:rsid w:val="00E74BFE"/>
    <w:rsid w:val="00E74CC6"/>
    <w:rsid w:val="00E74D45"/>
    <w:rsid w:val="00E74E94"/>
    <w:rsid w:val="00E74F38"/>
    <w:rsid w:val="00E75000"/>
    <w:rsid w:val="00E751FB"/>
    <w:rsid w:val="00E75309"/>
    <w:rsid w:val="00E7533F"/>
    <w:rsid w:val="00E7584B"/>
    <w:rsid w:val="00E75890"/>
    <w:rsid w:val="00E7592A"/>
    <w:rsid w:val="00E75A08"/>
    <w:rsid w:val="00E75BE3"/>
    <w:rsid w:val="00E75F4E"/>
    <w:rsid w:val="00E76157"/>
    <w:rsid w:val="00E76362"/>
    <w:rsid w:val="00E766D7"/>
    <w:rsid w:val="00E76721"/>
    <w:rsid w:val="00E76A54"/>
    <w:rsid w:val="00E76A72"/>
    <w:rsid w:val="00E76BB6"/>
    <w:rsid w:val="00E76CA2"/>
    <w:rsid w:val="00E76D2F"/>
    <w:rsid w:val="00E76E2D"/>
    <w:rsid w:val="00E76E45"/>
    <w:rsid w:val="00E76F4F"/>
    <w:rsid w:val="00E76FE2"/>
    <w:rsid w:val="00E7711B"/>
    <w:rsid w:val="00E77283"/>
    <w:rsid w:val="00E772FB"/>
    <w:rsid w:val="00E774A4"/>
    <w:rsid w:val="00E774A7"/>
    <w:rsid w:val="00E7775D"/>
    <w:rsid w:val="00E777F5"/>
    <w:rsid w:val="00E7781B"/>
    <w:rsid w:val="00E77894"/>
    <w:rsid w:val="00E779A5"/>
    <w:rsid w:val="00E77B1A"/>
    <w:rsid w:val="00E77C57"/>
    <w:rsid w:val="00E77EF6"/>
    <w:rsid w:val="00E77F47"/>
    <w:rsid w:val="00E802C3"/>
    <w:rsid w:val="00E8031C"/>
    <w:rsid w:val="00E8051D"/>
    <w:rsid w:val="00E8068D"/>
    <w:rsid w:val="00E80731"/>
    <w:rsid w:val="00E809B2"/>
    <w:rsid w:val="00E80A0E"/>
    <w:rsid w:val="00E80A21"/>
    <w:rsid w:val="00E80BBC"/>
    <w:rsid w:val="00E80DFF"/>
    <w:rsid w:val="00E81017"/>
    <w:rsid w:val="00E813DD"/>
    <w:rsid w:val="00E8151F"/>
    <w:rsid w:val="00E8152A"/>
    <w:rsid w:val="00E8160D"/>
    <w:rsid w:val="00E81732"/>
    <w:rsid w:val="00E8175F"/>
    <w:rsid w:val="00E81784"/>
    <w:rsid w:val="00E8193F"/>
    <w:rsid w:val="00E819B1"/>
    <w:rsid w:val="00E81B79"/>
    <w:rsid w:val="00E81C1A"/>
    <w:rsid w:val="00E81FB3"/>
    <w:rsid w:val="00E81FE1"/>
    <w:rsid w:val="00E82230"/>
    <w:rsid w:val="00E8245F"/>
    <w:rsid w:val="00E8275D"/>
    <w:rsid w:val="00E8278A"/>
    <w:rsid w:val="00E82995"/>
    <w:rsid w:val="00E82C33"/>
    <w:rsid w:val="00E83032"/>
    <w:rsid w:val="00E83065"/>
    <w:rsid w:val="00E83172"/>
    <w:rsid w:val="00E83264"/>
    <w:rsid w:val="00E83342"/>
    <w:rsid w:val="00E8335E"/>
    <w:rsid w:val="00E83466"/>
    <w:rsid w:val="00E834D2"/>
    <w:rsid w:val="00E834D6"/>
    <w:rsid w:val="00E8352B"/>
    <w:rsid w:val="00E83553"/>
    <w:rsid w:val="00E836E9"/>
    <w:rsid w:val="00E83760"/>
    <w:rsid w:val="00E839F2"/>
    <w:rsid w:val="00E83B35"/>
    <w:rsid w:val="00E83B57"/>
    <w:rsid w:val="00E84173"/>
    <w:rsid w:val="00E84374"/>
    <w:rsid w:val="00E844DA"/>
    <w:rsid w:val="00E8464E"/>
    <w:rsid w:val="00E8464F"/>
    <w:rsid w:val="00E846AA"/>
    <w:rsid w:val="00E84725"/>
    <w:rsid w:val="00E84902"/>
    <w:rsid w:val="00E84BEE"/>
    <w:rsid w:val="00E84C3E"/>
    <w:rsid w:val="00E84C67"/>
    <w:rsid w:val="00E84DD1"/>
    <w:rsid w:val="00E85028"/>
    <w:rsid w:val="00E852DB"/>
    <w:rsid w:val="00E8558D"/>
    <w:rsid w:val="00E858F3"/>
    <w:rsid w:val="00E85B26"/>
    <w:rsid w:val="00E85BFA"/>
    <w:rsid w:val="00E85D5B"/>
    <w:rsid w:val="00E85D5C"/>
    <w:rsid w:val="00E86112"/>
    <w:rsid w:val="00E86135"/>
    <w:rsid w:val="00E86183"/>
    <w:rsid w:val="00E86272"/>
    <w:rsid w:val="00E86338"/>
    <w:rsid w:val="00E86866"/>
    <w:rsid w:val="00E86B75"/>
    <w:rsid w:val="00E86D7F"/>
    <w:rsid w:val="00E86DC5"/>
    <w:rsid w:val="00E87014"/>
    <w:rsid w:val="00E87034"/>
    <w:rsid w:val="00E870D9"/>
    <w:rsid w:val="00E8750C"/>
    <w:rsid w:val="00E8783D"/>
    <w:rsid w:val="00E87A99"/>
    <w:rsid w:val="00E87BB7"/>
    <w:rsid w:val="00E87DAF"/>
    <w:rsid w:val="00E87E30"/>
    <w:rsid w:val="00E90024"/>
    <w:rsid w:val="00E90062"/>
    <w:rsid w:val="00E90203"/>
    <w:rsid w:val="00E90254"/>
    <w:rsid w:val="00E903ED"/>
    <w:rsid w:val="00E907A5"/>
    <w:rsid w:val="00E9082D"/>
    <w:rsid w:val="00E90990"/>
    <w:rsid w:val="00E90BDF"/>
    <w:rsid w:val="00E90E43"/>
    <w:rsid w:val="00E90EEC"/>
    <w:rsid w:val="00E91287"/>
    <w:rsid w:val="00E913A6"/>
    <w:rsid w:val="00E9143F"/>
    <w:rsid w:val="00E917ED"/>
    <w:rsid w:val="00E919AC"/>
    <w:rsid w:val="00E91A7E"/>
    <w:rsid w:val="00E91B57"/>
    <w:rsid w:val="00E91EE8"/>
    <w:rsid w:val="00E91F27"/>
    <w:rsid w:val="00E91FED"/>
    <w:rsid w:val="00E92121"/>
    <w:rsid w:val="00E9212D"/>
    <w:rsid w:val="00E92277"/>
    <w:rsid w:val="00E92498"/>
    <w:rsid w:val="00E92562"/>
    <w:rsid w:val="00E92696"/>
    <w:rsid w:val="00E926B8"/>
    <w:rsid w:val="00E92702"/>
    <w:rsid w:val="00E9270E"/>
    <w:rsid w:val="00E92839"/>
    <w:rsid w:val="00E92C13"/>
    <w:rsid w:val="00E92C5C"/>
    <w:rsid w:val="00E92CD9"/>
    <w:rsid w:val="00E92D20"/>
    <w:rsid w:val="00E92DBD"/>
    <w:rsid w:val="00E92EA4"/>
    <w:rsid w:val="00E93179"/>
    <w:rsid w:val="00E9334A"/>
    <w:rsid w:val="00E9346B"/>
    <w:rsid w:val="00E93479"/>
    <w:rsid w:val="00E9356C"/>
    <w:rsid w:val="00E93689"/>
    <w:rsid w:val="00E939F0"/>
    <w:rsid w:val="00E93C4A"/>
    <w:rsid w:val="00E93D40"/>
    <w:rsid w:val="00E93E2E"/>
    <w:rsid w:val="00E93FE7"/>
    <w:rsid w:val="00E94043"/>
    <w:rsid w:val="00E94604"/>
    <w:rsid w:val="00E946E1"/>
    <w:rsid w:val="00E94A7B"/>
    <w:rsid w:val="00E94B04"/>
    <w:rsid w:val="00E94B0A"/>
    <w:rsid w:val="00E94C49"/>
    <w:rsid w:val="00E94C5B"/>
    <w:rsid w:val="00E94D18"/>
    <w:rsid w:val="00E950BC"/>
    <w:rsid w:val="00E95104"/>
    <w:rsid w:val="00E95152"/>
    <w:rsid w:val="00E953ED"/>
    <w:rsid w:val="00E9541A"/>
    <w:rsid w:val="00E95511"/>
    <w:rsid w:val="00E9554A"/>
    <w:rsid w:val="00E95586"/>
    <w:rsid w:val="00E9572E"/>
    <w:rsid w:val="00E95932"/>
    <w:rsid w:val="00E95A64"/>
    <w:rsid w:val="00E95C42"/>
    <w:rsid w:val="00E95D9A"/>
    <w:rsid w:val="00E95EE4"/>
    <w:rsid w:val="00E95FC7"/>
    <w:rsid w:val="00E96498"/>
    <w:rsid w:val="00E96715"/>
    <w:rsid w:val="00E967F9"/>
    <w:rsid w:val="00E968E3"/>
    <w:rsid w:val="00E96936"/>
    <w:rsid w:val="00E97060"/>
    <w:rsid w:val="00E971D7"/>
    <w:rsid w:val="00E971DF"/>
    <w:rsid w:val="00E972E0"/>
    <w:rsid w:val="00E9739F"/>
    <w:rsid w:val="00E973E4"/>
    <w:rsid w:val="00E975F7"/>
    <w:rsid w:val="00E97655"/>
    <w:rsid w:val="00E9768B"/>
    <w:rsid w:val="00E979AE"/>
    <w:rsid w:val="00E97AAF"/>
    <w:rsid w:val="00E97B80"/>
    <w:rsid w:val="00E97F0B"/>
    <w:rsid w:val="00EA0166"/>
    <w:rsid w:val="00EA0214"/>
    <w:rsid w:val="00EA0255"/>
    <w:rsid w:val="00EA07B7"/>
    <w:rsid w:val="00EA081E"/>
    <w:rsid w:val="00EA0876"/>
    <w:rsid w:val="00EA0A9A"/>
    <w:rsid w:val="00EA0AFD"/>
    <w:rsid w:val="00EA0DB0"/>
    <w:rsid w:val="00EA0E58"/>
    <w:rsid w:val="00EA0FBC"/>
    <w:rsid w:val="00EA142A"/>
    <w:rsid w:val="00EA1496"/>
    <w:rsid w:val="00EA15A0"/>
    <w:rsid w:val="00EA16BF"/>
    <w:rsid w:val="00EA1925"/>
    <w:rsid w:val="00EA1943"/>
    <w:rsid w:val="00EA19AF"/>
    <w:rsid w:val="00EA1A51"/>
    <w:rsid w:val="00EA1CC6"/>
    <w:rsid w:val="00EA1D55"/>
    <w:rsid w:val="00EA244E"/>
    <w:rsid w:val="00EA250E"/>
    <w:rsid w:val="00EA26F1"/>
    <w:rsid w:val="00EA28F5"/>
    <w:rsid w:val="00EA2AC1"/>
    <w:rsid w:val="00EA2B98"/>
    <w:rsid w:val="00EA2E45"/>
    <w:rsid w:val="00EA303A"/>
    <w:rsid w:val="00EA30AC"/>
    <w:rsid w:val="00EA316D"/>
    <w:rsid w:val="00EA342F"/>
    <w:rsid w:val="00EA35F4"/>
    <w:rsid w:val="00EA3705"/>
    <w:rsid w:val="00EA3724"/>
    <w:rsid w:val="00EA381B"/>
    <w:rsid w:val="00EA39DC"/>
    <w:rsid w:val="00EA3B3F"/>
    <w:rsid w:val="00EA3C98"/>
    <w:rsid w:val="00EA3F13"/>
    <w:rsid w:val="00EA40F4"/>
    <w:rsid w:val="00EA455D"/>
    <w:rsid w:val="00EA4F2D"/>
    <w:rsid w:val="00EA5009"/>
    <w:rsid w:val="00EA5083"/>
    <w:rsid w:val="00EA5285"/>
    <w:rsid w:val="00EA5444"/>
    <w:rsid w:val="00EA54B2"/>
    <w:rsid w:val="00EA5598"/>
    <w:rsid w:val="00EA5656"/>
    <w:rsid w:val="00EA5729"/>
    <w:rsid w:val="00EA574D"/>
    <w:rsid w:val="00EA5A74"/>
    <w:rsid w:val="00EA5F60"/>
    <w:rsid w:val="00EA5FE2"/>
    <w:rsid w:val="00EA613B"/>
    <w:rsid w:val="00EA6304"/>
    <w:rsid w:val="00EA6864"/>
    <w:rsid w:val="00EA6AF4"/>
    <w:rsid w:val="00EA6EE5"/>
    <w:rsid w:val="00EA7070"/>
    <w:rsid w:val="00EA795E"/>
    <w:rsid w:val="00EA79CA"/>
    <w:rsid w:val="00EA7DB5"/>
    <w:rsid w:val="00EB01FD"/>
    <w:rsid w:val="00EB075D"/>
    <w:rsid w:val="00EB0934"/>
    <w:rsid w:val="00EB093C"/>
    <w:rsid w:val="00EB09EA"/>
    <w:rsid w:val="00EB0A64"/>
    <w:rsid w:val="00EB0AE2"/>
    <w:rsid w:val="00EB0CC0"/>
    <w:rsid w:val="00EB0D18"/>
    <w:rsid w:val="00EB0EA6"/>
    <w:rsid w:val="00EB0EE7"/>
    <w:rsid w:val="00EB0F61"/>
    <w:rsid w:val="00EB0F6E"/>
    <w:rsid w:val="00EB10D7"/>
    <w:rsid w:val="00EB120B"/>
    <w:rsid w:val="00EB14E4"/>
    <w:rsid w:val="00EB183B"/>
    <w:rsid w:val="00EB1D82"/>
    <w:rsid w:val="00EB1F87"/>
    <w:rsid w:val="00EB2080"/>
    <w:rsid w:val="00EB20FC"/>
    <w:rsid w:val="00EB2169"/>
    <w:rsid w:val="00EB2175"/>
    <w:rsid w:val="00EB24E6"/>
    <w:rsid w:val="00EB259B"/>
    <w:rsid w:val="00EB2670"/>
    <w:rsid w:val="00EB276E"/>
    <w:rsid w:val="00EB2A11"/>
    <w:rsid w:val="00EB2F29"/>
    <w:rsid w:val="00EB2F9F"/>
    <w:rsid w:val="00EB2FAD"/>
    <w:rsid w:val="00EB305A"/>
    <w:rsid w:val="00EB30BE"/>
    <w:rsid w:val="00EB30DA"/>
    <w:rsid w:val="00EB32C5"/>
    <w:rsid w:val="00EB3475"/>
    <w:rsid w:val="00EB3850"/>
    <w:rsid w:val="00EB385C"/>
    <w:rsid w:val="00EB38A6"/>
    <w:rsid w:val="00EB38DB"/>
    <w:rsid w:val="00EB3C2A"/>
    <w:rsid w:val="00EB3CC7"/>
    <w:rsid w:val="00EB3F34"/>
    <w:rsid w:val="00EB3F9D"/>
    <w:rsid w:val="00EB404C"/>
    <w:rsid w:val="00EB41F2"/>
    <w:rsid w:val="00EB42E6"/>
    <w:rsid w:val="00EB442F"/>
    <w:rsid w:val="00EB4478"/>
    <w:rsid w:val="00EB45C1"/>
    <w:rsid w:val="00EB4719"/>
    <w:rsid w:val="00EB47B2"/>
    <w:rsid w:val="00EB4936"/>
    <w:rsid w:val="00EB499B"/>
    <w:rsid w:val="00EB49E7"/>
    <w:rsid w:val="00EB4B03"/>
    <w:rsid w:val="00EB4C47"/>
    <w:rsid w:val="00EB4D10"/>
    <w:rsid w:val="00EB4DAC"/>
    <w:rsid w:val="00EB4EBE"/>
    <w:rsid w:val="00EB512C"/>
    <w:rsid w:val="00EB522A"/>
    <w:rsid w:val="00EB5413"/>
    <w:rsid w:val="00EB545B"/>
    <w:rsid w:val="00EB57A1"/>
    <w:rsid w:val="00EB58F2"/>
    <w:rsid w:val="00EB59E6"/>
    <w:rsid w:val="00EB5AEA"/>
    <w:rsid w:val="00EB5B9C"/>
    <w:rsid w:val="00EB5C48"/>
    <w:rsid w:val="00EB5DB5"/>
    <w:rsid w:val="00EB5DC6"/>
    <w:rsid w:val="00EB5E19"/>
    <w:rsid w:val="00EB5E64"/>
    <w:rsid w:val="00EB60A1"/>
    <w:rsid w:val="00EB60ED"/>
    <w:rsid w:val="00EB61C7"/>
    <w:rsid w:val="00EB62E8"/>
    <w:rsid w:val="00EB62F3"/>
    <w:rsid w:val="00EB6693"/>
    <w:rsid w:val="00EB678A"/>
    <w:rsid w:val="00EB6801"/>
    <w:rsid w:val="00EB685E"/>
    <w:rsid w:val="00EB6892"/>
    <w:rsid w:val="00EB6919"/>
    <w:rsid w:val="00EB6A11"/>
    <w:rsid w:val="00EB6F77"/>
    <w:rsid w:val="00EB7061"/>
    <w:rsid w:val="00EB7388"/>
    <w:rsid w:val="00EB742A"/>
    <w:rsid w:val="00EB74BB"/>
    <w:rsid w:val="00EB74DE"/>
    <w:rsid w:val="00EB772F"/>
    <w:rsid w:val="00EB7863"/>
    <w:rsid w:val="00EB79B9"/>
    <w:rsid w:val="00EB79C4"/>
    <w:rsid w:val="00EB7AF8"/>
    <w:rsid w:val="00EC02DC"/>
    <w:rsid w:val="00EC055F"/>
    <w:rsid w:val="00EC0601"/>
    <w:rsid w:val="00EC0660"/>
    <w:rsid w:val="00EC0892"/>
    <w:rsid w:val="00EC0A02"/>
    <w:rsid w:val="00EC0AFA"/>
    <w:rsid w:val="00EC0B59"/>
    <w:rsid w:val="00EC0BC8"/>
    <w:rsid w:val="00EC0DFC"/>
    <w:rsid w:val="00EC1005"/>
    <w:rsid w:val="00EC1109"/>
    <w:rsid w:val="00EC111B"/>
    <w:rsid w:val="00EC1148"/>
    <w:rsid w:val="00EC1273"/>
    <w:rsid w:val="00EC1290"/>
    <w:rsid w:val="00EC1387"/>
    <w:rsid w:val="00EC16F0"/>
    <w:rsid w:val="00EC187B"/>
    <w:rsid w:val="00EC1A8F"/>
    <w:rsid w:val="00EC1BDD"/>
    <w:rsid w:val="00EC1BEE"/>
    <w:rsid w:val="00EC1C11"/>
    <w:rsid w:val="00EC1D94"/>
    <w:rsid w:val="00EC1DB8"/>
    <w:rsid w:val="00EC2047"/>
    <w:rsid w:val="00EC21B4"/>
    <w:rsid w:val="00EC23CD"/>
    <w:rsid w:val="00EC2517"/>
    <w:rsid w:val="00EC2711"/>
    <w:rsid w:val="00EC29E4"/>
    <w:rsid w:val="00EC2A1C"/>
    <w:rsid w:val="00EC2B21"/>
    <w:rsid w:val="00EC2B30"/>
    <w:rsid w:val="00EC2EB7"/>
    <w:rsid w:val="00EC2F0E"/>
    <w:rsid w:val="00EC2F5C"/>
    <w:rsid w:val="00EC308C"/>
    <w:rsid w:val="00EC310E"/>
    <w:rsid w:val="00EC33A6"/>
    <w:rsid w:val="00EC3687"/>
    <w:rsid w:val="00EC38AA"/>
    <w:rsid w:val="00EC3A00"/>
    <w:rsid w:val="00EC3CA8"/>
    <w:rsid w:val="00EC3DEA"/>
    <w:rsid w:val="00EC3E55"/>
    <w:rsid w:val="00EC3F58"/>
    <w:rsid w:val="00EC41BF"/>
    <w:rsid w:val="00EC43B7"/>
    <w:rsid w:val="00EC4431"/>
    <w:rsid w:val="00EC443B"/>
    <w:rsid w:val="00EC4561"/>
    <w:rsid w:val="00EC457A"/>
    <w:rsid w:val="00EC4717"/>
    <w:rsid w:val="00EC49F8"/>
    <w:rsid w:val="00EC4A0A"/>
    <w:rsid w:val="00EC4ADA"/>
    <w:rsid w:val="00EC4C0B"/>
    <w:rsid w:val="00EC533D"/>
    <w:rsid w:val="00EC54D6"/>
    <w:rsid w:val="00EC555B"/>
    <w:rsid w:val="00EC55D9"/>
    <w:rsid w:val="00EC55F9"/>
    <w:rsid w:val="00EC562D"/>
    <w:rsid w:val="00EC5759"/>
    <w:rsid w:val="00EC579C"/>
    <w:rsid w:val="00EC57A4"/>
    <w:rsid w:val="00EC5824"/>
    <w:rsid w:val="00EC5B20"/>
    <w:rsid w:val="00EC60D9"/>
    <w:rsid w:val="00EC61BA"/>
    <w:rsid w:val="00EC625F"/>
    <w:rsid w:val="00EC6631"/>
    <w:rsid w:val="00EC685B"/>
    <w:rsid w:val="00EC6AA0"/>
    <w:rsid w:val="00EC6BCA"/>
    <w:rsid w:val="00EC6BE9"/>
    <w:rsid w:val="00EC6BEA"/>
    <w:rsid w:val="00EC6D8B"/>
    <w:rsid w:val="00EC6E57"/>
    <w:rsid w:val="00EC7524"/>
    <w:rsid w:val="00EC7616"/>
    <w:rsid w:val="00EC7695"/>
    <w:rsid w:val="00EC7750"/>
    <w:rsid w:val="00EC77D6"/>
    <w:rsid w:val="00EC788A"/>
    <w:rsid w:val="00EC78F8"/>
    <w:rsid w:val="00EC7A30"/>
    <w:rsid w:val="00EC7B37"/>
    <w:rsid w:val="00EC7D66"/>
    <w:rsid w:val="00EC7DE0"/>
    <w:rsid w:val="00EC7E56"/>
    <w:rsid w:val="00EC7E8D"/>
    <w:rsid w:val="00ED01C8"/>
    <w:rsid w:val="00ED02A2"/>
    <w:rsid w:val="00ED0373"/>
    <w:rsid w:val="00ED06A3"/>
    <w:rsid w:val="00ED0B2A"/>
    <w:rsid w:val="00ED0B91"/>
    <w:rsid w:val="00ED0BF7"/>
    <w:rsid w:val="00ED0CA4"/>
    <w:rsid w:val="00ED0EDE"/>
    <w:rsid w:val="00ED10AB"/>
    <w:rsid w:val="00ED13DE"/>
    <w:rsid w:val="00ED14C2"/>
    <w:rsid w:val="00ED1603"/>
    <w:rsid w:val="00ED1646"/>
    <w:rsid w:val="00ED1957"/>
    <w:rsid w:val="00ED1EE6"/>
    <w:rsid w:val="00ED237E"/>
    <w:rsid w:val="00ED2660"/>
    <w:rsid w:val="00ED2720"/>
    <w:rsid w:val="00ED2888"/>
    <w:rsid w:val="00ED28A6"/>
    <w:rsid w:val="00ED2B75"/>
    <w:rsid w:val="00ED2E8B"/>
    <w:rsid w:val="00ED3024"/>
    <w:rsid w:val="00ED327E"/>
    <w:rsid w:val="00ED331D"/>
    <w:rsid w:val="00ED33BB"/>
    <w:rsid w:val="00ED349A"/>
    <w:rsid w:val="00ED34A3"/>
    <w:rsid w:val="00ED3596"/>
    <w:rsid w:val="00ED361B"/>
    <w:rsid w:val="00ED36B0"/>
    <w:rsid w:val="00ED374C"/>
    <w:rsid w:val="00ED37BD"/>
    <w:rsid w:val="00ED3901"/>
    <w:rsid w:val="00ED3CA0"/>
    <w:rsid w:val="00ED3CD9"/>
    <w:rsid w:val="00ED3CFF"/>
    <w:rsid w:val="00ED3E0C"/>
    <w:rsid w:val="00ED3E13"/>
    <w:rsid w:val="00ED3ED1"/>
    <w:rsid w:val="00ED3F6A"/>
    <w:rsid w:val="00ED415D"/>
    <w:rsid w:val="00ED420B"/>
    <w:rsid w:val="00ED4330"/>
    <w:rsid w:val="00ED45C7"/>
    <w:rsid w:val="00ED45D7"/>
    <w:rsid w:val="00ED4983"/>
    <w:rsid w:val="00ED4B98"/>
    <w:rsid w:val="00ED4BEB"/>
    <w:rsid w:val="00ED4CBB"/>
    <w:rsid w:val="00ED4D39"/>
    <w:rsid w:val="00ED504A"/>
    <w:rsid w:val="00ED50A5"/>
    <w:rsid w:val="00ED50EE"/>
    <w:rsid w:val="00ED51F0"/>
    <w:rsid w:val="00ED5290"/>
    <w:rsid w:val="00ED52BD"/>
    <w:rsid w:val="00ED5309"/>
    <w:rsid w:val="00ED5372"/>
    <w:rsid w:val="00ED542A"/>
    <w:rsid w:val="00ED54AE"/>
    <w:rsid w:val="00ED5937"/>
    <w:rsid w:val="00ED599E"/>
    <w:rsid w:val="00ED5E3A"/>
    <w:rsid w:val="00ED5EF9"/>
    <w:rsid w:val="00ED609E"/>
    <w:rsid w:val="00ED6202"/>
    <w:rsid w:val="00ED6377"/>
    <w:rsid w:val="00ED6413"/>
    <w:rsid w:val="00ED6515"/>
    <w:rsid w:val="00ED65F8"/>
    <w:rsid w:val="00ED66CB"/>
    <w:rsid w:val="00ED6A44"/>
    <w:rsid w:val="00ED6C99"/>
    <w:rsid w:val="00ED6D78"/>
    <w:rsid w:val="00ED708C"/>
    <w:rsid w:val="00ED71DC"/>
    <w:rsid w:val="00ED7207"/>
    <w:rsid w:val="00ED7273"/>
    <w:rsid w:val="00ED7378"/>
    <w:rsid w:val="00ED75F5"/>
    <w:rsid w:val="00ED768B"/>
    <w:rsid w:val="00ED776D"/>
    <w:rsid w:val="00ED79C2"/>
    <w:rsid w:val="00ED7A5F"/>
    <w:rsid w:val="00ED7C0D"/>
    <w:rsid w:val="00ED7CC8"/>
    <w:rsid w:val="00ED7DA4"/>
    <w:rsid w:val="00EE0068"/>
    <w:rsid w:val="00EE0144"/>
    <w:rsid w:val="00EE01F3"/>
    <w:rsid w:val="00EE0204"/>
    <w:rsid w:val="00EE026F"/>
    <w:rsid w:val="00EE03A9"/>
    <w:rsid w:val="00EE0400"/>
    <w:rsid w:val="00EE068E"/>
    <w:rsid w:val="00EE06D6"/>
    <w:rsid w:val="00EE0743"/>
    <w:rsid w:val="00EE0865"/>
    <w:rsid w:val="00EE0A4B"/>
    <w:rsid w:val="00EE0BBB"/>
    <w:rsid w:val="00EE0D95"/>
    <w:rsid w:val="00EE0E3B"/>
    <w:rsid w:val="00EE10DF"/>
    <w:rsid w:val="00EE119F"/>
    <w:rsid w:val="00EE11C3"/>
    <w:rsid w:val="00EE12BD"/>
    <w:rsid w:val="00EE14C4"/>
    <w:rsid w:val="00EE14E0"/>
    <w:rsid w:val="00EE156B"/>
    <w:rsid w:val="00EE1652"/>
    <w:rsid w:val="00EE1769"/>
    <w:rsid w:val="00EE176E"/>
    <w:rsid w:val="00EE19A0"/>
    <w:rsid w:val="00EE1AE0"/>
    <w:rsid w:val="00EE1B7A"/>
    <w:rsid w:val="00EE1CB5"/>
    <w:rsid w:val="00EE1E1F"/>
    <w:rsid w:val="00EE21D6"/>
    <w:rsid w:val="00EE257E"/>
    <w:rsid w:val="00EE275B"/>
    <w:rsid w:val="00EE27BD"/>
    <w:rsid w:val="00EE2929"/>
    <w:rsid w:val="00EE2934"/>
    <w:rsid w:val="00EE2C9C"/>
    <w:rsid w:val="00EE2CCA"/>
    <w:rsid w:val="00EE2FD6"/>
    <w:rsid w:val="00EE300C"/>
    <w:rsid w:val="00EE30B4"/>
    <w:rsid w:val="00EE30D8"/>
    <w:rsid w:val="00EE35CA"/>
    <w:rsid w:val="00EE3702"/>
    <w:rsid w:val="00EE3834"/>
    <w:rsid w:val="00EE3A56"/>
    <w:rsid w:val="00EE3A66"/>
    <w:rsid w:val="00EE3D95"/>
    <w:rsid w:val="00EE3EE5"/>
    <w:rsid w:val="00EE3FB7"/>
    <w:rsid w:val="00EE4218"/>
    <w:rsid w:val="00EE438A"/>
    <w:rsid w:val="00EE43EE"/>
    <w:rsid w:val="00EE44AC"/>
    <w:rsid w:val="00EE465C"/>
    <w:rsid w:val="00EE4966"/>
    <w:rsid w:val="00EE4A02"/>
    <w:rsid w:val="00EE4AEA"/>
    <w:rsid w:val="00EE4C91"/>
    <w:rsid w:val="00EE4F0F"/>
    <w:rsid w:val="00EE511E"/>
    <w:rsid w:val="00EE5181"/>
    <w:rsid w:val="00EE519F"/>
    <w:rsid w:val="00EE5436"/>
    <w:rsid w:val="00EE553F"/>
    <w:rsid w:val="00EE55AF"/>
    <w:rsid w:val="00EE5632"/>
    <w:rsid w:val="00EE59CA"/>
    <w:rsid w:val="00EE5A1A"/>
    <w:rsid w:val="00EE5BDD"/>
    <w:rsid w:val="00EE5C4F"/>
    <w:rsid w:val="00EE5ECF"/>
    <w:rsid w:val="00EE5F39"/>
    <w:rsid w:val="00EE5FB3"/>
    <w:rsid w:val="00EE60BF"/>
    <w:rsid w:val="00EE61F7"/>
    <w:rsid w:val="00EE6406"/>
    <w:rsid w:val="00EE642B"/>
    <w:rsid w:val="00EE6494"/>
    <w:rsid w:val="00EE65E6"/>
    <w:rsid w:val="00EE660B"/>
    <w:rsid w:val="00EE6637"/>
    <w:rsid w:val="00EE67DA"/>
    <w:rsid w:val="00EE6910"/>
    <w:rsid w:val="00EE6A9D"/>
    <w:rsid w:val="00EE6E17"/>
    <w:rsid w:val="00EE6F14"/>
    <w:rsid w:val="00EE7085"/>
    <w:rsid w:val="00EE70E7"/>
    <w:rsid w:val="00EE721B"/>
    <w:rsid w:val="00EE725B"/>
    <w:rsid w:val="00EE7352"/>
    <w:rsid w:val="00EE747B"/>
    <w:rsid w:val="00EE7552"/>
    <w:rsid w:val="00EE7696"/>
    <w:rsid w:val="00EE77B3"/>
    <w:rsid w:val="00EE7819"/>
    <w:rsid w:val="00EE78C0"/>
    <w:rsid w:val="00EE78D0"/>
    <w:rsid w:val="00EE7B44"/>
    <w:rsid w:val="00EE7C3F"/>
    <w:rsid w:val="00EE7DA5"/>
    <w:rsid w:val="00EE7DC5"/>
    <w:rsid w:val="00EE7EFD"/>
    <w:rsid w:val="00EF0340"/>
    <w:rsid w:val="00EF03E6"/>
    <w:rsid w:val="00EF0569"/>
    <w:rsid w:val="00EF072E"/>
    <w:rsid w:val="00EF07E0"/>
    <w:rsid w:val="00EF0879"/>
    <w:rsid w:val="00EF0886"/>
    <w:rsid w:val="00EF091D"/>
    <w:rsid w:val="00EF0D0E"/>
    <w:rsid w:val="00EF0E3D"/>
    <w:rsid w:val="00EF0F01"/>
    <w:rsid w:val="00EF1057"/>
    <w:rsid w:val="00EF10B6"/>
    <w:rsid w:val="00EF110E"/>
    <w:rsid w:val="00EF12BB"/>
    <w:rsid w:val="00EF12D4"/>
    <w:rsid w:val="00EF1361"/>
    <w:rsid w:val="00EF13DF"/>
    <w:rsid w:val="00EF1596"/>
    <w:rsid w:val="00EF15AA"/>
    <w:rsid w:val="00EF18BF"/>
    <w:rsid w:val="00EF19A5"/>
    <w:rsid w:val="00EF1C2F"/>
    <w:rsid w:val="00EF1DD6"/>
    <w:rsid w:val="00EF1F4C"/>
    <w:rsid w:val="00EF2022"/>
    <w:rsid w:val="00EF203B"/>
    <w:rsid w:val="00EF2397"/>
    <w:rsid w:val="00EF2586"/>
    <w:rsid w:val="00EF271E"/>
    <w:rsid w:val="00EF2823"/>
    <w:rsid w:val="00EF297F"/>
    <w:rsid w:val="00EF29AA"/>
    <w:rsid w:val="00EF29EA"/>
    <w:rsid w:val="00EF2C24"/>
    <w:rsid w:val="00EF2D7F"/>
    <w:rsid w:val="00EF2E54"/>
    <w:rsid w:val="00EF357E"/>
    <w:rsid w:val="00EF35D8"/>
    <w:rsid w:val="00EF3644"/>
    <w:rsid w:val="00EF3723"/>
    <w:rsid w:val="00EF397D"/>
    <w:rsid w:val="00EF3B87"/>
    <w:rsid w:val="00EF3BC9"/>
    <w:rsid w:val="00EF3DD6"/>
    <w:rsid w:val="00EF3F23"/>
    <w:rsid w:val="00EF3FBD"/>
    <w:rsid w:val="00EF400F"/>
    <w:rsid w:val="00EF4017"/>
    <w:rsid w:val="00EF411A"/>
    <w:rsid w:val="00EF460A"/>
    <w:rsid w:val="00EF4AD0"/>
    <w:rsid w:val="00EF4C9E"/>
    <w:rsid w:val="00EF4DA7"/>
    <w:rsid w:val="00EF5040"/>
    <w:rsid w:val="00EF5647"/>
    <w:rsid w:val="00EF57CE"/>
    <w:rsid w:val="00EF58D4"/>
    <w:rsid w:val="00EF5A5C"/>
    <w:rsid w:val="00EF5A7E"/>
    <w:rsid w:val="00EF5C98"/>
    <w:rsid w:val="00EF5CB2"/>
    <w:rsid w:val="00EF5CFB"/>
    <w:rsid w:val="00EF5D27"/>
    <w:rsid w:val="00EF61A4"/>
    <w:rsid w:val="00EF627B"/>
    <w:rsid w:val="00EF63B6"/>
    <w:rsid w:val="00EF6683"/>
    <w:rsid w:val="00EF66B6"/>
    <w:rsid w:val="00EF6888"/>
    <w:rsid w:val="00EF6B20"/>
    <w:rsid w:val="00EF6BD8"/>
    <w:rsid w:val="00EF6C20"/>
    <w:rsid w:val="00EF6E39"/>
    <w:rsid w:val="00EF6E8D"/>
    <w:rsid w:val="00EF6F97"/>
    <w:rsid w:val="00EF6F9D"/>
    <w:rsid w:val="00EF7100"/>
    <w:rsid w:val="00EF7113"/>
    <w:rsid w:val="00EF741A"/>
    <w:rsid w:val="00EF741F"/>
    <w:rsid w:val="00EF7431"/>
    <w:rsid w:val="00EF74C0"/>
    <w:rsid w:val="00EF75D8"/>
    <w:rsid w:val="00EF7991"/>
    <w:rsid w:val="00EF7B4D"/>
    <w:rsid w:val="00EF7B4F"/>
    <w:rsid w:val="00EF7D69"/>
    <w:rsid w:val="00EF7EFF"/>
    <w:rsid w:val="00F00246"/>
    <w:rsid w:val="00F002A1"/>
    <w:rsid w:val="00F00496"/>
    <w:rsid w:val="00F004C1"/>
    <w:rsid w:val="00F005DC"/>
    <w:rsid w:val="00F00C12"/>
    <w:rsid w:val="00F00CF5"/>
    <w:rsid w:val="00F014E0"/>
    <w:rsid w:val="00F015D8"/>
    <w:rsid w:val="00F015F8"/>
    <w:rsid w:val="00F018BE"/>
    <w:rsid w:val="00F019C5"/>
    <w:rsid w:val="00F01AF8"/>
    <w:rsid w:val="00F01BCD"/>
    <w:rsid w:val="00F0216F"/>
    <w:rsid w:val="00F02202"/>
    <w:rsid w:val="00F02607"/>
    <w:rsid w:val="00F02675"/>
    <w:rsid w:val="00F027AD"/>
    <w:rsid w:val="00F027CF"/>
    <w:rsid w:val="00F029D5"/>
    <w:rsid w:val="00F02C0E"/>
    <w:rsid w:val="00F02CE7"/>
    <w:rsid w:val="00F02D75"/>
    <w:rsid w:val="00F02D84"/>
    <w:rsid w:val="00F03291"/>
    <w:rsid w:val="00F0349C"/>
    <w:rsid w:val="00F036EC"/>
    <w:rsid w:val="00F03713"/>
    <w:rsid w:val="00F03847"/>
    <w:rsid w:val="00F03895"/>
    <w:rsid w:val="00F03B28"/>
    <w:rsid w:val="00F03B34"/>
    <w:rsid w:val="00F03D98"/>
    <w:rsid w:val="00F03DC8"/>
    <w:rsid w:val="00F03FE1"/>
    <w:rsid w:val="00F04253"/>
    <w:rsid w:val="00F045F6"/>
    <w:rsid w:val="00F0481C"/>
    <w:rsid w:val="00F04865"/>
    <w:rsid w:val="00F04A0A"/>
    <w:rsid w:val="00F04B1B"/>
    <w:rsid w:val="00F04EA7"/>
    <w:rsid w:val="00F0511C"/>
    <w:rsid w:val="00F0518F"/>
    <w:rsid w:val="00F05211"/>
    <w:rsid w:val="00F05220"/>
    <w:rsid w:val="00F0535B"/>
    <w:rsid w:val="00F05682"/>
    <w:rsid w:val="00F05AFB"/>
    <w:rsid w:val="00F05C6D"/>
    <w:rsid w:val="00F05C78"/>
    <w:rsid w:val="00F05E38"/>
    <w:rsid w:val="00F062E2"/>
    <w:rsid w:val="00F06367"/>
    <w:rsid w:val="00F064C5"/>
    <w:rsid w:val="00F0675A"/>
    <w:rsid w:val="00F067D5"/>
    <w:rsid w:val="00F069AD"/>
    <w:rsid w:val="00F0705E"/>
    <w:rsid w:val="00F071D5"/>
    <w:rsid w:val="00F07408"/>
    <w:rsid w:val="00F07650"/>
    <w:rsid w:val="00F0778B"/>
    <w:rsid w:val="00F07904"/>
    <w:rsid w:val="00F07966"/>
    <w:rsid w:val="00F07A2B"/>
    <w:rsid w:val="00F07A87"/>
    <w:rsid w:val="00F07F07"/>
    <w:rsid w:val="00F07F86"/>
    <w:rsid w:val="00F1005D"/>
    <w:rsid w:val="00F100B8"/>
    <w:rsid w:val="00F102A5"/>
    <w:rsid w:val="00F1031F"/>
    <w:rsid w:val="00F10554"/>
    <w:rsid w:val="00F10CDD"/>
    <w:rsid w:val="00F10E09"/>
    <w:rsid w:val="00F10F84"/>
    <w:rsid w:val="00F11102"/>
    <w:rsid w:val="00F111D4"/>
    <w:rsid w:val="00F112BA"/>
    <w:rsid w:val="00F1135F"/>
    <w:rsid w:val="00F11411"/>
    <w:rsid w:val="00F1189F"/>
    <w:rsid w:val="00F119D3"/>
    <w:rsid w:val="00F11ABA"/>
    <w:rsid w:val="00F11CC4"/>
    <w:rsid w:val="00F12299"/>
    <w:rsid w:val="00F124C1"/>
    <w:rsid w:val="00F12766"/>
    <w:rsid w:val="00F127A2"/>
    <w:rsid w:val="00F12927"/>
    <w:rsid w:val="00F12A4A"/>
    <w:rsid w:val="00F12D00"/>
    <w:rsid w:val="00F12E81"/>
    <w:rsid w:val="00F130A7"/>
    <w:rsid w:val="00F1316D"/>
    <w:rsid w:val="00F13206"/>
    <w:rsid w:val="00F13222"/>
    <w:rsid w:val="00F133BD"/>
    <w:rsid w:val="00F13742"/>
    <w:rsid w:val="00F13779"/>
    <w:rsid w:val="00F13783"/>
    <w:rsid w:val="00F138D8"/>
    <w:rsid w:val="00F13A2E"/>
    <w:rsid w:val="00F13BF1"/>
    <w:rsid w:val="00F13C03"/>
    <w:rsid w:val="00F13CDD"/>
    <w:rsid w:val="00F13E04"/>
    <w:rsid w:val="00F143D8"/>
    <w:rsid w:val="00F14401"/>
    <w:rsid w:val="00F14489"/>
    <w:rsid w:val="00F145DE"/>
    <w:rsid w:val="00F14792"/>
    <w:rsid w:val="00F14866"/>
    <w:rsid w:val="00F14991"/>
    <w:rsid w:val="00F14B3D"/>
    <w:rsid w:val="00F14B82"/>
    <w:rsid w:val="00F14B9C"/>
    <w:rsid w:val="00F14BC5"/>
    <w:rsid w:val="00F14C04"/>
    <w:rsid w:val="00F14D37"/>
    <w:rsid w:val="00F14F75"/>
    <w:rsid w:val="00F14FB0"/>
    <w:rsid w:val="00F151A0"/>
    <w:rsid w:val="00F151A8"/>
    <w:rsid w:val="00F15244"/>
    <w:rsid w:val="00F15356"/>
    <w:rsid w:val="00F153BE"/>
    <w:rsid w:val="00F15530"/>
    <w:rsid w:val="00F1555E"/>
    <w:rsid w:val="00F15578"/>
    <w:rsid w:val="00F15583"/>
    <w:rsid w:val="00F15598"/>
    <w:rsid w:val="00F15599"/>
    <w:rsid w:val="00F15620"/>
    <w:rsid w:val="00F156EB"/>
    <w:rsid w:val="00F1579E"/>
    <w:rsid w:val="00F15B15"/>
    <w:rsid w:val="00F15BE5"/>
    <w:rsid w:val="00F15E26"/>
    <w:rsid w:val="00F1611B"/>
    <w:rsid w:val="00F16130"/>
    <w:rsid w:val="00F1622D"/>
    <w:rsid w:val="00F162D4"/>
    <w:rsid w:val="00F165A0"/>
    <w:rsid w:val="00F16687"/>
    <w:rsid w:val="00F16857"/>
    <w:rsid w:val="00F16C15"/>
    <w:rsid w:val="00F16F65"/>
    <w:rsid w:val="00F170E8"/>
    <w:rsid w:val="00F170ED"/>
    <w:rsid w:val="00F170FE"/>
    <w:rsid w:val="00F173EF"/>
    <w:rsid w:val="00F17475"/>
    <w:rsid w:val="00F17504"/>
    <w:rsid w:val="00F17B49"/>
    <w:rsid w:val="00F17CF1"/>
    <w:rsid w:val="00F17E78"/>
    <w:rsid w:val="00F17F4F"/>
    <w:rsid w:val="00F2009E"/>
    <w:rsid w:val="00F200FE"/>
    <w:rsid w:val="00F202B4"/>
    <w:rsid w:val="00F203DC"/>
    <w:rsid w:val="00F204AD"/>
    <w:rsid w:val="00F204D5"/>
    <w:rsid w:val="00F20533"/>
    <w:rsid w:val="00F20556"/>
    <w:rsid w:val="00F2058B"/>
    <w:rsid w:val="00F20617"/>
    <w:rsid w:val="00F20867"/>
    <w:rsid w:val="00F20B2B"/>
    <w:rsid w:val="00F20C8C"/>
    <w:rsid w:val="00F21001"/>
    <w:rsid w:val="00F21002"/>
    <w:rsid w:val="00F211A0"/>
    <w:rsid w:val="00F2125A"/>
    <w:rsid w:val="00F21358"/>
    <w:rsid w:val="00F21604"/>
    <w:rsid w:val="00F21606"/>
    <w:rsid w:val="00F218CD"/>
    <w:rsid w:val="00F2195F"/>
    <w:rsid w:val="00F21A98"/>
    <w:rsid w:val="00F21B53"/>
    <w:rsid w:val="00F21BEB"/>
    <w:rsid w:val="00F21CD3"/>
    <w:rsid w:val="00F21E2A"/>
    <w:rsid w:val="00F21F6C"/>
    <w:rsid w:val="00F21FDA"/>
    <w:rsid w:val="00F220E3"/>
    <w:rsid w:val="00F221BB"/>
    <w:rsid w:val="00F221FE"/>
    <w:rsid w:val="00F22298"/>
    <w:rsid w:val="00F222B6"/>
    <w:rsid w:val="00F22346"/>
    <w:rsid w:val="00F223F5"/>
    <w:rsid w:val="00F22611"/>
    <w:rsid w:val="00F2262F"/>
    <w:rsid w:val="00F22716"/>
    <w:rsid w:val="00F22736"/>
    <w:rsid w:val="00F22798"/>
    <w:rsid w:val="00F22873"/>
    <w:rsid w:val="00F22DE4"/>
    <w:rsid w:val="00F22E2C"/>
    <w:rsid w:val="00F22FA0"/>
    <w:rsid w:val="00F23337"/>
    <w:rsid w:val="00F23453"/>
    <w:rsid w:val="00F23523"/>
    <w:rsid w:val="00F23797"/>
    <w:rsid w:val="00F23850"/>
    <w:rsid w:val="00F238A0"/>
    <w:rsid w:val="00F239B9"/>
    <w:rsid w:val="00F23A17"/>
    <w:rsid w:val="00F23A68"/>
    <w:rsid w:val="00F23BA6"/>
    <w:rsid w:val="00F23C2D"/>
    <w:rsid w:val="00F23CB1"/>
    <w:rsid w:val="00F23DAF"/>
    <w:rsid w:val="00F23DF1"/>
    <w:rsid w:val="00F2402F"/>
    <w:rsid w:val="00F240B2"/>
    <w:rsid w:val="00F24148"/>
    <w:rsid w:val="00F241C3"/>
    <w:rsid w:val="00F242CD"/>
    <w:rsid w:val="00F2432E"/>
    <w:rsid w:val="00F243E8"/>
    <w:rsid w:val="00F24684"/>
    <w:rsid w:val="00F249B8"/>
    <w:rsid w:val="00F24CE0"/>
    <w:rsid w:val="00F24E20"/>
    <w:rsid w:val="00F24E21"/>
    <w:rsid w:val="00F250BE"/>
    <w:rsid w:val="00F251B4"/>
    <w:rsid w:val="00F25288"/>
    <w:rsid w:val="00F256B8"/>
    <w:rsid w:val="00F257AE"/>
    <w:rsid w:val="00F259BF"/>
    <w:rsid w:val="00F25A12"/>
    <w:rsid w:val="00F25AE6"/>
    <w:rsid w:val="00F25D1A"/>
    <w:rsid w:val="00F262A8"/>
    <w:rsid w:val="00F264CE"/>
    <w:rsid w:val="00F2651B"/>
    <w:rsid w:val="00F268F2"/>
    <w:rsid w:val="00F26970"/>
    <w:rsid w:val="00F26BD9"/>
    <w:rsid w:val="00F26D6B"/>
    <w:rsid w:val="00F26D6C"/>
    <w:rsid w:val="00F26EC9"/>
    <w:rsid w:val="00F271D6"/>
    <w:rsid w:val="00F27233"/>
    <w:rsid w:val="00F27403"/>
    <w:rsid w:val="00F27496"/>
    <w:rsid w:val="00F27843"/>
    <w:rsid w:val="00F27977"/>
    <w:rsid w:val="00F27B3B"/>
    <w:rsid w:val="00F27BFE"/>
    <w:rsid w:val="00F300B3"/>
    <w:rsid w:val="00F30198"/>
    <w:rsid w:val="00F30290"/>
    <w:rsid w:val="00F30AA4"/>
    <w:rsid w:val="00F30BD7"/>
    <w:rsid w:val="00F30F7F"/>
    <w:rsid w:val="00F3110E"/>
    <w:rsid w:val="00F31159"/>
    <w:rsid w:val="00F3118F"/>
    <w:rsid w:val="00F3157B"/>
    <w:rsid w:val="00F316A0"/>
    <w:rsid w:val="00F31BA7"/>
    <w:rsid w:val="00F31CA9"/>
    <w:rsid w:val="00F31E93"/>
    <w:rsid w:val="00F31F32"/>
    <w:rsid w:val="00F3204A"/>
    <w:rsid w:val="00F32086"/>
    <w:rsid w:val="00F3209B"/>
    <w:rsid w:val="00F3214C"/>
    <w:rsid w:val="00F3222E"/>
    <w:rsid w:val="00F3233B"/>
    <w:rsid w:val="00F323EA"/>
    <w:rsid w:val="00F32406"/>
    <w:rsid w:val="00F324B8"/>
    <w:rsid w:val="00F326AE"/>
    <w:rsid w:val="00F32887"/>
    <w:rsid w:val="00F32AEE"/>
    <w:rsid w:val="00F32DA3"/>
    <w:rsid w:val="00F32E16"/>
    <w:rsid w:val="00F32E5F"/>
    <w:rsid w:val="00F33041"/>
    <w:rsid w:val="00F33181"/>
    <w:rsid w:val="00F332F2"/>
    <w:rsid w:val="00F335CC"/>
    <w:rsid w:val="00F3361A"/>
    <w:rsid w:val="00F337B5"/>
    <w:rsid w:val="00F33AC4"/>
    <w:rsid w:val="00F33B58"/>
    <w:rsid w:val="00F33C04"/>
    <w:rsid w:val="00F33D45"/>
    <w:rsid w:val="00F33D69"/>
    <w:rsid w:val="00F33E1C"/>
    <w:rsid w:val="00F33E99"/>
    <w:rsid w:val="00F33F8D"/>
    <w:rsid w:val="00F342BC"/>
    <w:rsid w:val="00F3431A"/>
    <w:rsid w:val="00F345DA"/>
    <w:rsid w:val="00F34794"/>
    <w:rsid w:val="00F34B13"/>
    <w:rsid w:val="00F34B86"/>
    <w:rsid w:val="00F34BD4"/>
    <w:rsid w:val="00F34ECE"/>
    <w:rsid w:val="00F34ED9"/>
    <w:rsid w:val="00F34FD2"/>
    <w:rsid w:val="00F35185"/>
    <w:rsid w:val="00F3522D"/>
    <w:rsid w:val="00F35317"/>
    <w:rsid w:val="00F35437"/>
    <w:rsid w:val="00F3553C"/>
    <w:rsid w:val="00F356B3"/>
    <w:rsid w:val="00F357B2"/>
    <w:rsid w:val="00F357BA"/>
    <w:rsid w:val="00F35BC2"/>
    <w:rsid w:val="00F35C44"/>
    <w:rsid w:val="00F35E55"/>
    <w:rsid w:val="00F35FEF"/>
    <w:rsid w:val="00F3601F"/>
    <w:rsid w:val="00F36116"/>
    <w:rsid w:val="00F36309"/>
    <w:rsid w:val="00F36430"/>
    <w:rsid w:val="00F36562"/>
    <w:rsid w:val="00F36680"/>
    <w:rsid w:val="00F366BA"/>
    <w:rsid w:val="00F3675E"/>
    <w:rsid w:val="00F36AB5"/>
    <w:rsid w:val="00F36ADE"/>
    <w:rsid w:val="00F36C92"/>
    <w:rsid w:val="00F36D11"/>
    <w:rsid w:val="00F36DDB"/>
    <w:rsid w:val="00F36E73"/>
    <w:rsid w:val="00F37079"/>
    <w:rsid w:val="00F370CB"/>
    <w:rsid w:val="00F371B7"/>
    <w:rsid w:val="00F37378"/>
    <w:rsid w:val="00F379EB"/>
    <w:rsid w:val="00F37A6A"/>
    <w:rsid w:val="00F37CB6"/>
    <w:rsid w:val="00F37DD3"/>
    <w:rsid w:val="00F37F44"/>
    <w:rsid w:val="00F37F65"/>
    <w:rsid w:val="00F40057"/>
    <w:rsid w:val="00F4010B"/>
    <w:rsid w:val="00F4014D"/>
    <w:rsid w:val="00F4032D"/>
    <w:rsid w:val="00F40403"/>
    <w:rsid w:val="00F409F7"/>
    <w:rsid w:val="00F40AA6"/>
    <w:rsid w:val="00F40BA8"/>
    <w:rsid w:val="00F40BC0"/>
    <w:rsid w:val="00F40F85"/>
    <w:rsid w:val="00F40FD2"/>
    <w:rsid w:val="00F41048"/>
    <w:rsid w:val="00F414E1"/>
    <w:rsid w:val="00F41649"/>
    <w:rsid w:val="00F4187C"/>
    <w:rsid w:val="00F418FC"/>
    <w:rsid w:val="00F41B8B"/>
    <w:rsid w:val="00F41CEB"/>
    <w:rsid w:val="00F41DB8"/>
    <w:rsid w:val="00F41DEC"/>
    <w:rsid w:val="00F41E85"/>
    <w:rsid w:val="00F41F92"/>
    <w:rsid w:val="00F420EA"/>
    <w:rsid w:val="00F4219F"/>
    <w:rsid w:val="00F42340"/>
    <w:rsid w:val="00F42524"/>
    <w:rsid w:val="00F42794"/>
    <w:rsid w:val="00F42806"/>
    <w:rsid w:val="00F42A2D"/>
    <w:rsid w:val="00F42B84"/>
    <w:rsid w:val="00F42E31"/>
    <w:rsid w:val="00F43006"/>
    <w:rsid w:val="00F43133"/>
    <w:rsid w:val="00F431D5"/>
    <w:rsid w:val="00F43275"/>
    <w:rsid w:val="00F43691"/>
    <w:rsid w:val="00F436F0"/>
    <w:rsid w:val="00F4373B"/>
    <w:rsid w:val="00F43B9F"/>
    <w:rsid w:val="00F43DDE"/>
    <w:rsid w:val="00F43ED2"/>
    <w:rsid w:val="00F43F3F"/>
    <w:rsid w:val="00F43FF5"/>
    <w:rsid w:val="00F44444"/>
    <w:rsid w:val="00F44494"/>
    <w:rsid w:val="00F4463B"/>
    <w:rsid w:val="00F44681"/>
    <w:rsid w:val="00F44744"/>
    <w:rsid w:val="00F447CE"/>
    <w:rsid w:val="00F44AAC"/>
    <w:rsid w:val="00F44B07"/>
    <w:rsid w:val="00F44D53"/>
    <w:rsid w:val="00F4503D"/>
    <w:rsid w:val="00F45091"/>
    <w:rsid w:val="00F45129"/>
    <w:rsid w:val="00F4512C"/>
    <w:rsid w:val="00F452A8"/>
    <w:rsid w:val="00F45356"/>
    <w:rsid w:val="00F45408"/>
    <w:rsid w:val="00F45689"/>
    <w:rsid w:val="00F45789"/>
    <w:rsid w:val="00F459F5"/>
    <w:rsid w:val="00F45A56"/>
    <w:rsid w:val="00F45BA4"/>
    <w:rsid w:val="00F45C50"/>
    <w:rsid w:val="00F45EEA"/>
    <w:rsid w:val="00F45FC9"/>
    <w:rsid w:val="00F46126"/>
    <w:rsid w:val="00F46132"/>
    <w:rsid w:val="00F46160"/>
    <w:rsid w:val="00F46420"/>
    <w:rsid w:val="00F464CE"/>
    <w:rsid w:val="00F4659D"/>
    <w:rsid w:val="00F46787"/>
    <w:rsid w:val="00F4687C"/>
    <w:rsid w:val="00F468FC"/>
    <w:rsid w:val="00F46A79"/>
    <w:rsid w:val="00F46B63"/>
    <w:rsid w:val="00F46CE9"/>
    <w:rsid w:val="00F46D25"/>
    <w:rsid w:val="00F46E42"/>
    <w:rsid w:val="00F46F81"/>
    <w:rsid w:val="00F4702C"/>
    <w:rsid w:val="00F47112"/>
    <w:rsid w:val="00F4717F"/>
    <w:rsid w:val="00F4731D"/>
    <w:rsid w:val="00F473DE"/>
    <w:rsid w:val="00F4764C"/>
    <w:rsid w:val="00F47668"/>
    <w:rsid w:val="00F476BE"/>
    <w:rsid w:val="00F476EC"/>
    <w:rsid w:val="00F476FA"/>
    <w:rsid w:val="00F4773C"/>
    <w:rsid w:val="00F47793"/>
    <w:rsid w:val="00F477B4"/>
    <w:rsid w:val="00F47913"/>
    <w:rsid w:val="00F47915"/>
    <w:rsid w:val="00F479A1"/>
    <w:rsid w:val="00F47BEB"/>
    <w:rsid w:val="00F47CC0"/>
    <w:rsid w:val="00F47ED4"/>
    <w:rsid w:val="00F5003A"/>
    <w:rsid w:val="00F50109"/>
    <w:rsid w:val="00F50337"/>
    <w:rsid w:val="00F50412"/>
    <w:rsid w:val="00F505B8"/>
    <w:rsid w:val="00F50727"/>
    <w:rsid w:val="00F50A97"/>
    <w:rsid w:val="00F50C09"/>
    <w:rsid w:val="00F50E03"/>
    <w:rsid w:val="00F50FCA"/>
    <w:rsid w:val="00F50FE1"/>
    <w:rsid w:val="00F51065"/>
    <w:rsid w:val="00F5111B"/>
    <w:rsid w:val="00F51220"/>
    <w:rsid w:val="00F51322"/>
    <w:rsid w:val="00F513DC"/>
    <w:rsid w:val="00F51730"/>
    <w:rsid w:val="00F5175C"/>
    <w:rsid w:val="00F51961"/>
    <w:rsid w:val="00F51EE2"/>
    <w:rsid w:val="00F52079"/>
    <w:rsid w:val="00F52185"/>
    <w:rsid w:val="00F5240A"/>
    <w:rsid w:val="00F52576"/>
    <w:rsid w:val="00F52611"/>
    <w:rsid w:val="00F5266E"/>
    <w:rsid w:val="00F5293A"/>
    <w:rsid w:val="00F52974"/>
    <w:rsid w:val="00F52A7C"/>
    <w:rsid w:val="00F52AE3"/>
    <w:rsid w:val="00F52B34"/>
    <w:rsid w:val="00F52C87"/>
    <w:rsid w:val="00F52D00"/>
    <w:rsid w:val="00F52D85"/>
    <w:rsid w:val="00F52DC0"/>
    <w:rsid w:val="00F52F97"/>
    <w:rsid w:val="00F52FCF"/>
    <w:rsid w:val="00F53742"/>
    <w:rsid w:val="00F53757"/>
    <w:rsid w:val="00F5385E"/>
    <w:rsid w:val="00F53AF7"/>
    <w:rsid w:val="00F53BD5"/>
    <w:rsid w:val="00F53E1B"/>
    <w:rsid w:val="00F53E56"/>
    <w:rsid w:val="00F53E6F"/>
    <w:rsid w:val="00F53E74"/>
    <w:rsid w:val="00F53EA0"/>
    <w:rsid w:val="00F53EFE"/>
    <w:rsid w:val="00F53F63"/>
    <w:rsid w:val="00F54056"/>
    <w:rsid w:val="00F54142"/>
    <w:rsid w:val="00F54152"/>
    <w:rsid w:val="00F54410"/>
    <w:rsid w:val="00F544EA"/>
    <w:rsid w:val="00F546E8"/>
    <w:rsid w:val="00F54A88"/>
    <w:rsid w:val="00F54E65"/>
    <w:rsid w:val="00F54F15"/>
    <w:rsid w:val="00F55139"/>
    <w:rsid w:val="00F55255"/>
    <w:rsid w:val="00F55454"/>
    <w:rsid w:val="00F55628"/>
    <w:rsid w:val="00F55749"/>
    <w:rsid w:val="00F55770"/>
    <w:rsid w:val="00F558F9"/>
    <w:rsid w:val="00F55B96"/>
    <w:rsid w:val="00F55BD7"/>
    <w:rsid w:val="00F56171"/>
    <w:rsid w:val="00F561B8"/>
    <w:rsid w:val="00F56205"/>
    <w:rsid w:val="00F56650"/>
    <w:rsid w:val="00F566EE"/>
    <w:rsid w:val="00F5674C"/>
    <w:rsid w:val="00F56A39"/>
    <w:rsid w:val="00F56AE8"/>
    <w:rsid w:val="00F56CB6"/>
    <w:rsid w:val="00F56D48"/>
    <w:rsid w:val="00F56F4A"/>
    <w:rsid w:val="00F5719F"/>
    <w:rsid w:val="00F573E0"/>
    <w:rsid w:val="00F57580"/>
    <w:rsid w:val="00F57589"/>
    <w:rsid w:val="00F5764A"/>
    <w:rsid w:val="00F57729"/>
    <w:rsid w:val="00F5787D"/>
    <w:rsid w:val="00F57B04"/>
    <w:rsid w:val="00F57C29"/>
    <w:rsid w:val="00F57C7A"/>
    <w:rsid w:val="00F57F5A"/>
    <w:rsid w:val="00F57FBB"/>
    <w:rsid w:val="00F60154"/>
    <w:rsid w:val="00F60424"/>
    <w:rsid w:val="00F6067F"/>
    <w:rsid w:val="00F60BA2"/>
    <w:rsid w:val="00F60C62"/>
    <w:rsid w:val="00F60D1C"/>
    <w:rsid w:val="00F60D68"/>
    <w:rsid w:val="00F60DA5"/>
    <w:rsid w:val="00F60E20"/>
    <w:rsid w:val="00F60EB5"/>
    <w:rsid w:val="00F60EFD"/>
    <w:rsid w:val="00F6115D"/>
    <w:rsid w:val="00F6162F"/>
    <w:rsid w:val="00F617E3"/>
    <w:rsid w:val="00F61B59"/>
    <w:rsid w:val="00F61F2F"/>
    <w:rsid w:val="00F620AD"/>
    <w:rsid w:val="00F620F2"/>
    <w:rsid w:val="00F62134"/>
    <w:rsid w:val="00F62138"/>
    <w:rsid w:val="00F628D9"/>
    <w:rsid w:val="00F62A6B"/>
    <w:rsid w:val="00F62A9E"/>
    <w:rsid w:val="00F62B0B"/>
    <w:rsid w:val="00F62BF1"/>
    <w:rsid w:val="00F62C1B"/>
    <w:rsid w:val="00F62D64"/>
    <w:rsid w:val="00F63292"/>
    <w:rsid w:val="00F634BD"/>
    <w:rsid w:val="00F634F6"/>
    <w:rsid w:val="00F63851"/>
    <w:rsid w:val="00F6433D"/>
    <w:rsid w:val="00F645EB"/>
    <w:rsid w:val="00F6493A"/>
    <w:rsid w:val="00F64BEC"/>
    <w:rsid w:val="00F64D63"/>
    <w:rsid w:val="00F64DFF"/>
    <w:rsid w:val="00F64E3F"/>
    <w:rsid w:val="00F64EF6"/>
    <w:rsid w:val="00F64EFD"/>
    <w:rsid w:val="00F65123"/>
    <w:rsid w:val="00F65230"/>
    <w:rsid w:val="00F65270"/>
    <w:rsid w:val="00F655C7"/>
    <w:rsid w:val="00F65689"/>
    <w:rsid w:val="00F65734"/>
    <w:rsid w:val="00F65815"/>
    <w:rsid w:val="00F658C0"/>
    <w:rsid w:val="00F65902"/>
    <w:rsid w:val="00F6598D"/>
    <w:rsid w:val="00F659CE"/>
    <w:rsid w:val="00F65EB9"/>
    <w:rsid w:val="00F65FC0"/>
    <w:rsid w:val="00F662E2"/>
    <w:rsid w:val="00F6631E"/>
    <w:rsid w:val="00F664C6"/>
    <w:rsid w:val="00F6669D"/>
    <w:rsid w:val="00F666D7"/>
    <w:rsid w:val="00F668BA"/>
    <w:rsid w:val="00F668CB"/>
    <w:rsid w:val="00F66908"/>
    <w:rsid w:val="00F66994"/>
    <w:rsid w:val="00F66A72"/>
    <w:rsid w:val="00F66CA3"/>
    <w:rsid w:val="00F66E40"/>
    <w:rsid w:val="00F66EEF"/>
    <w:rsid w:val="00F66F52"/>
    <w:rsid w:val="00F670C6"/>
    <w:rsid w:val="00F670DD"/>
    <w:rsid w:val="00F67114"/>
    <w:rsid w:val="00F671DF"/>
    <w:rsid w:val="00F672B1"/>
    <w:rsid w:val="00F672CF"/>
    <w:rsid w:val="00F67412"/>
    <w:rsid w:val="00F6755D"/>
    <w:rsid w:val="00F67944"/>
    <w:rsid w:val="00F67A90"/>
    <w:rsid w:val="00F67CBC"/>
    <w:rsid w:val="00F67CE7"/>
    <w:rsid w:val="00F67CFA"/>
    <w:rsid w:val="00F67DA4"/>
    <w:rsid w:val="00F67F09"/>
    <w:rsid w:val="00F70311"/>
    <w:rsid w:val="00F703FA"/>
    <w:rsid w:val="00F704C9"/>
    <w:rsid w:val="00F70501"/>
    <w:rsid w:val="00F705A6"/>
    <w:rsid w:val="00F705AD"/>
    <w:rsid w:val="00F70702"/>
    <w:rsid w:val="00F7085C"/>
    <w:rsid w:val="00F70B7E"/>
    <w:rsid w:val="00F7141A"/>
    <w:rsid w:val="00F71629"/>
    <w:rsid w:val="00F717A8"/>
    <w:rsid w:val="00F71935"/>
    <w:rsid w:val="00F71ADF"/>
    <w:rsid w:val="00F71E69"/>
    <w:rsid w:val="00F720BB"/>
    <w:rsid w:val="00F7224A"/>
    <w:rsid w:val="00F723E4"/>
    <w:rsid w:val="00F7244B"/>
    <w:rsid w:val="00F725CF"/>
    <w:rsid w:val="00F7291E"/>
    <w:rsid w:val="00F72BB3"/>
    <w:rsid w:val="00F72BD7"/>
    <w:rsid w:val="00F72DB8"/>
    <w:rsid w:val="00F731FD"/>
    <w:rsid w:val="00F7359E"/>
    <w:rsid w:val="00F73749"/>
    <w:rsid w:val="00F738F0"/>
    <w:rsid w:val="00F73A01"/>
    <w:rsid w:val="00F73B54"/>
    <w:rsid w:val="00F73B76"/>
    <w:rsid w:val="00F73C0B"/>
    <w:rsid w:val="00F73D49"/>
    <w:rsid w:val="00F73F9B"/>
    <w:rsid w:val="00F73FF6"/>
    <w:rsid w:val="00F740CC"/>
    <w:rsid w:val="00F741CD"/>
    <w:rsid w:val="00F742FF"/>
    <w:rsid w:val="00F74348"/>
    <w:rsid w:val="00F743ED"/>
    <w:rsid w:val="00F74456"/>
    <w:rsid w:val="00F745AC"/>
    <w:rsid w:val="00F7483B"/>
    <w:rsid w:val="00F748A8"/>
    <w:rsid w:val="00F749C2"/>
    <w:rsid w:val="00F74A01"/>
    <w:rsid w:val="00F74C3B"/>
    <w:rsid w:val="00F74D3F"/>
    <w:rsid w:val="00F74E9C"/>
    <w:rsid w:val="00F75149"/>
    <w:rsid w:val="00F75265"/>
    <w:rsid w:val="00F75326"/>
    <w:rsid w:val="00F7569B"/>
    <w:rsid w:val="00F758FB"/>
    <w:rsid w:val="00F75913"/>
    <w:rsid w:val="00F75A4F"/>
    <w:rsid w:val="00F75BAB"/>
    <w:rsid w:val="00F75C91"/>
    <w:rsid w:val="00F75EAB"/>
    <w:rsid w:val="00F75FA5"/>
    <w:rsid w:val="00F75FE8"/>
    <w:rsid w:val="00F7625F"/>
    <w:rsid w:val="00F76388"/>
    <w:rsid w:val="00F7664C"/>
    <w:rsid w:val="00F7670C"/>
    <w:rsid w:val="00F76782"/>
    <w:rsid w:val="00F76F3A"/>
    <w:rsid w:val="00F76F76"/>
    <w:rsid w:val="00F77003"/>
    <w:rsid w:val="00F77078"/>
    <w:rsid w:val="00F771F0"/>
    <w:rsid w:val="00F77351"/>
    <w:rsid w:val="00F77462"/>
    <w:rsid w:val="00F776E2"/>
    <w:rsid w:val="00F778D5"/>
    <w:rsid w:val="00F779B4"/>
    <w:rsid w:val="00F77A6D"/>
    <w:rsid w:val="00F77A7B"/>
    <w:rsid w:val="00F77ABA"/>
    <w:rsid w:val="00F77B25"/>
    <w:rsid w:val="00F77B4D"/>
    <w:rsid w:val="00F77B7A"/>
    <w:rsid w:val="00F77BB3"/>
    <w:rsid w:val="00F77EA4"/>
    <w:rsid w:val="00F77FAF"/>
    <w:rsid w:val="00F8004A"/>
    <w:rsid w:val="00F801AA"/>
    <w:rsid w:val="00F80552"/>
    <w:rsid w:val="00F807EB"/>
    <w:rsid w:val="00F80BE2"/>
    <w:rsid w:val="00F80C39"/>
    <w:rsid w:val="00F80CA3"/>
    <w:rsid w:val="00F81021"/>
    <w:rsid w:val="00F81024"/>
    <w:rsid w:val="00F81112"/>
    <w:rsid w:val="00F812CD"/>
    <w:rsid w:val="00F813C4"/>
    <w:rsid w:val="00F817FB"/>
    <w:rsid w:val="00F818A0"/>
    <w:rsid w:val="00F81A68"/>
    <w:rsid w:val="00F81FB9"/>
    <w:rsid w:val="00F821A9"/>
    <w:rsid w:val="00F82268"/>
    <w:rsid w:val="00F8281E"/>
    <w:rsid w:val="00F82873"/>
    <w:rsid w:val="00F82A31"/>
    <w:rsid w:val="00F82DB6"/>
    <w:rsid w:val="00F82E0F"/>
    <w:rsid w:val="00F83424"/>
    <w:rsid w:val="00F83685"/>
    <w:rsid w:val="00F836DA"/>
    <w:rsid w:val="00F838F7"/>
    <w:rsid w:val="00F83A3F"/>
    <w:rsid w:val="00F83A4A"/>
    <w:rsid w:val="00F83B7F"/>
    <w:rsid w:val="00F83C5C"/>
    <w:rsid w:val="00F83D10"/>
    <w:rsid w:val="00F83D2C"/>
    <w:rsid w:val="00F83E88"/>
    <w:rsid w:val="00F84050"/>
    <w:rsid w:val="00F840DD"/>
    <w:rsid w:val="00F8444F"/>
    <w:rsid w:val="00F844A8"/>
    <w:rsid w:val="00F84582"/>
    <w:rsid w:val="00F84A16"/>
    <w:rsid w:val="00F84D9E"/>
    <w:rsid w:val="00F84F13"/>
    <w:rsid w:val="00F85058"/>
    <w:rsid w:val="00F85214"/>
    <w:rsid w:val="00F85574"/>
    <w:rsid w:val="00F857D7"/>
    <w:rsid w:val="00F85A4A"/>
    <w:rsid w:val="00F85C19"/>
    <w:rsid w:val="00F85D30"/>
    <w:rsid w:val="00F85E46"/>
    <w:rsid w:val="00F85F2D"/>
    <w:rsid w:val="00F85F3F"/>
    <w:rsid w:val="00F86092"/>
    <w:rsid w:val="00F86353"/>
    <w:rsid w:val="00F8635B"/>
    <w:rsid w:val="00F8650C"/>
    <w:rsid w:val="00F86689"/>
    <w:rsid w:val="00F869A0"/>
    <w:rsid w:val="00F86A43"/>
    <w:rsid w:val="00F86A63"/>
    <w:rsid w:val="00F86B36"/>
    <w:rsid w:val="00F86F20"/>
    <w:rsid w:val="00F87058"/>
    <w:rsid w:val="00F8717D"/>
    <w:rsid w:val="00F871A9"/>
    <w:rsid w:val="00F872E0"/>
    <w:rsid w:val="00F87713"/>
    <w:rsid w:val="00F877AC"/>
    <w:rsid w:val="00F87806"/>
    <w:rsid w:val="00F87B07"/>
    <w:rsid w:val="00F87BE2"/>
    <w:rsid w:val="00F87E34"/>
    <w:rsid w:val="00F87E46"/>
    <w:rsid w:val="00F87ECB"/>
    <w:rsid w:val="00F90099"/>
    <w:rsid w:val="00F9018D"/>
    <w:rsid w:val="00F9038F"/>
    <w:rsid w:val="00F9067B"/>
    <w:rsid w:val="00F909AE"/>
    <w:rsid w:val="00F90B30"/>
    <w:rsid w:val="00F90B74"/>
    <w:rsid w:val="00F90B9B"/>
    <w:rsid w:val="00F90BF0"/>
    <w:rsid w:val="00F90C8A"/>
    <w:rsid w:val="00F90EB0"/>
    <w:rsid w:val="00F90EF7"/>
    <w:rsid w:val="00F90FC8"/>
    <w:rsid w:val="00F9108E"/>
    <w:rsid w:val="00F91092"/>
    <w:rsid w:val="00F91124"/>
    <w:rsid w:val="00F9135D"/>
    <w:rsid w:val="00F91418"/>
    <w:rsid w:val="00F9148F"/>
    <w:rsid w:val="00F91E16"/>
    <w:rsid w:val="00F922B4"/>
    <w:rsid w:val="00F925F0"/>
    <w:rsid w:val="00F926FF"/>
    <w:rsid w:val="00F928FC"/>
    <w:rsid w:val="00F92A20"/>
    <w:rsid w:val="00F92A39"/>
    <w:rsid w:val="00F92BB5"/>
    <w:rsid w:val="00F92D8D"/>
    <w:rsid w:val="00F93052"/>
    <w:rsid w:val="00F93526"/>
    <w:rsid w:val="00F9372B"/>
    <w:rsid w:val="00F93990"/>
    <w:rsid w:val="00F93A0C"/>
    <w:rsid w:val="00F93B9E"/>
    <w:rsid w:val="00F93C1D"/>
    <w:rsid w:val="00F93D8A"/>
    <w:rsid w:val="00F93E3F"/>
    <w:rsid w:val="00F941F2"/>
    <w:rsid w:val="00F942F4"/>
    <w:rsid w:val="00F9439F"/>
    <w:rsid w:val="00F94495"/>
    <w:rsid w:val="00F944C6"/>
    <w:rsid w:val="00F94758"/>
    <w:rsid w:val="00F94768"/>
    <w:rsid w:val="00F94791"/>
    <w:rsid w:val="00F94880"/>
    <w:rsid w:val="00F9493A"/>
    <w:rsid w:val="00F949F4"/>
    <w:rsid w:val="00F94CB2"/>
    <w:rsid w:val="00F94DB7"/>
    <w:rsid w:val="00F94FE2"/>
    <w:rsid w:val="00F951F7"/>
    <w:rsid w:val="00F951FA"/>
    <w:rsid w:val="00F9522A"/>
    <w:rsid w:val="00F9531A"/>
    <w:rsid w:val="00F9532D"/>
    <w:rsid w:val="00F95684"/>
    <w:rsid w:val="00F95707"/>
    <w:rsid w:val="00F95988"/>
    <w:rsid w:val="00F95D03"/>
    <w:rsid w:val="00F95D37"/>
    <w:rsid w:val="00F95D68"/>
    <w:rsid w:val="00F9604C"/>
    <w:rsid w:val="00F9611F"/>
    <w:rsid w:val="00F9682D"/>
    <w:rsid w:val="00F96848"/>
    <w:rsid w:val="00F968D1"/>
    <w:rsid w:val="00F968D5"/>
    <w:rsid w:val="00F96930"/>
    <w:rsid w:val="00F96BE9"/>
    <w:rsid w:val="00F96CD5"/>
    <w:rsid w:val="00F96D04"/>
    <w:rsid w:val="00F9705E"/>
    <w:rsid w:val="00F972CE"/>
    <w:rsid w:val="00F973CD"/>
    <w:rsid w:val="00F976A7"/>
    <w:rsid w:val="00F9775C"/>
    <w:rsid w:val="00F97B6A"/>
    <w:rsid w:val="00F97D7A"/>
    <w:rsid w:val="00F97EBD"/>
    <w:rsid w:val="00FA014F"/>
    <w:rsid w:val="00FA0303"/>
    <w:rsid w:val="00FA0343"/>
    <w:rsid w:val="00FA0477"/>
    <w:rsid w:val="00FA0489"/>
    <w:rsid w:val="00FA0894"/>
    <w:rsid w:val="00FA093C"/>
    <w:rsid w:val="00FA0A5E"/>
    <w:rsid w:val="00FA0A6F"/>
    <w:rsid w:val="00FA0BFF"/>
    <w:rsid w:val="00FA0FF3"/>
    <w:rsid w:val="00FA116B"/>
    <w:rsid w:val="00FA135A"/>
    <w:rsid w:val="00FA1494"/>
    <w:rsid w:val="00FA14D3"/>
    <w:rsid w:val="00FA1714"/>
    <w:rsid w:val="00FA17B4"/>
    <w:rsid w:val="00FA186B"/>
    <w:rsid w:val="00FA1978"/>
    <w:rsid w:val="00FA1B8C"/>
    <w:rsid w:val="00FA1BD7"/>
    <w:rsid w:val="00FA1C14"/>
    <w:rsid w:val="00FA1C52"/>
    <w:rsid w:val="00FA1D53"/>
    <w:rsid w:val="00FA1E53"/>
    <w:rsid w:val="00FA1E5E"/>
    <w:rsid w:val="00FA1EA3"/>
    <w:rsid w:val="00FA1EEF"/>
    <w:rsid w:val="00FA1EF8"/>
    <w:rsid w:val="00FA1F01"/>
    <w:rsid w:val="00FA1F34"/>
    <w:rsid w:val="00FA1FCE"/>
    <w:rsid w:val="00FA2060"/>
    <w:rsid w:val="00FA20A1"/>
    <w:rsid w:val="00FA2210"/>
    <w:rsid w:val="00FA2418"/>
    <w:rsid w:val="00FA2525"/>
    <w:rsid w:val="00FA252E"/>
    <w:rsid w:val="00FA2652"/>
    <w:rsid w:val="00FA266D"/>
    <w:rsid w:val="00FA26C7"/>
    <w:rsid w:val="00FA2926"/>
    <w:rsid w:val="00FA29E7"/>
    <w:rsid w:val="00FA2B9C"/>
    <w:rsid w:val="00FA2BD7"/>
    <w:rsid w:val="00FA2CA9"/>
    <w:rsid w:val="00FA2D33"/>
    <w:rsid w:val="00FA2DCB"/>
    <w:rsid w:val="00FA2E04"/>
    <w:rsid w:val="00FA2FDD"/>
    <w:rsid w:val="00FA3275"/>
    <w:rsid w:val="00FA33D2"/>
    <w:rsid w:val="00FA36F9"/>
    <w:rsid w:val="00FA37B2"/>
    <w:rsid w:val="00FA380A"/>
    <w:rsid w:val="00FA3961"/>
    <w:rsid w:val="00FA3E1E"/>
    <w:rsid w:val="00FA3EE0"/>
    <w:rsid w:val="00FA3F70"/>
    <w:rsid w:val="00FA41C2"/>
    <w:rsid w:val="00FA42DC"/>
    <w:rsid w:val="00FA4348"/>
    <w:rsid w:val="00FA4511"/>
    <w:rsid w:val="00FA4A01"/>
    <w:rsid w:val="00FA4AA2"/>
    <w:rsid w:val="00FA4B36"/>
    <w:rsid w:val="00FA4B6E"/>
    <w:rsid w:val="00FA4D79"/>
    <w:rsid w:val="00FA4E8E"/>
    <w:rsid w:val="00FA50E5"/>
    <w:rsid w:val="00FA539E"/>
    <w:rsid w:val="00FA5885"/>
    <w:rsid w:val="00FA5A1A"/>
    <w:rsid w:val="00FA5A47"/>
    <w:rsid w:val="00FA5AB0"/>
    <w:rsid w:val="00FA5AF4"/>
    <w:rsid w:val="00FA5D44"/>
    <w:rsid w:val="00FA5E50"/>
    <w:rsid w:val="00FA5E6C"/>
    <w:rsid w:val="00FA5EA2"/>
    <w:rsid w:val="00FA5F54"/>
    <w:rsid w:val="00FA62C4"/>
    <w:rsid w:val="00FA63A4"/>
    <w:rsid w:val="00FA6938"/>
    <w:rsid w:val="00FA6A66"/>
    <w:rsid w:val="00FA6BD3"/>
    <w:rsid w:val="00FA6F37"/>
    <w:rsid w:val="00FA7010"/>
    <w:rsid w:val="00FA7222"/>
    <w:rsid w:val="00FA7232"/>
    <w:rsid w:val="00FA725E"/>
    <w:rsid w:val="00FA748C"/>
    <w:rsid w:val="00FA7C12"/>
    <w:rsid w:val="00FA7C3C"/>
    <w:rsid w:val="00FA7D5A"/>
    <w:rsid w:val="00FB016C"/>
    <w:rsid w:val="00FB0321"/>
    <w:rsid w:val="00FB0359"/>
    <w:rsid w:val="00FB06F7"/>
    <w:rsid w:val="00FB0757"/>
    <w:rsid w:val="00FB0789"/>
    <w:rsid w:val="00FB081F"/>
    <w:rsid w:val="00FB0EBA"/>
    <w:rsid w:val="00FB12E0"/>
    <w:rsid w:val="00FB13A6"/>
    <w:rsid w:val="00FB1415"/>
    <w:rsid w:val="00FB1458"/>
    <w:rsid w:val="00FB1508"/>
    <w:rsid w:val="00FB16DB"/>
    <w:rsid w:val="00FB1856"/>
    <w:rsid w:val="00FB19DD"/>
    <w:rsid w:val="00FB19FA"/>
    <w:rsid w:val="00FB2025"/>
    <w:rsid w:val="00FB21EF"/>
    <w:rsid w:val="00FB21F9"/>
    <w:rsid w:val="00FB2391"/>
    <w:rsid w:val="00FB2796"/>
    <w:rsid w:val="00FB2858"/>
    <w:rsid w:val="00FB2897"/>
    <w:rsid w:val="00FB2979"/>
    <w:rsid w:val="00FB2B9D"/>
    <w:rsid w:val="00FB2C1E"/>
    <w:rsid w:val="00FB2C44"/>
    <w:rsid w:val="00FB2E2D"/>
    <w:rsid w:val="00FB2F0C"/>
    <w:rsid w:val="00FB2FD1"/>
    <w:rsid w:val="00FB3086"/>
    <w:rsid w:val="00FB3159"/>
    <w:rsid w:val="00FB31E4"/>
    <w:rsid w:val="00FB33EE"/>
    <w:rsid w:val="00FB36BB"/>
    <w:rsid w:val="00FB3D8C"/>
    <w:rsid w:val="00FB3DC9"/>
    <w:rsid w:val="00FB4001"/>
    <w:rsid w:val="00FB4334"/>
    <w:rsid w:val="00FB4429"/>
    <w:rsid w:val="00FB44B9"/>
    <w:rsid w:val="00FB4A37"/>
    <w:rsid w:val="00FB4B31"/>
    <w:rsid w:val="00FB4E93"/>
    <w:rsid w:val="00FB4EB4"/>
    <w:rsid w:val="00FB509B"/>
    <w:rsid w:val="00FB509F"/>
    <w:rsid w:val="00FB51C4"/>
    <w:rsid w:val="00FB555A"/>
    <w:rsid w:val="00FB5568"/>
    <w:rsid w:val="00FB55F3"/>
    <w:rsid w:val="00FB5633"/>
    <w:rsid w:val="00FB5688"/>
    <w:rsid w:val="00FB588B"/>
    <w:rsid w:val="00FB58D0"/>
    <w:rsid w:val="00FB5BB4"/>
    <w:rsid w:val="00FB5D12"/>
    <w:rsid w:val="00FB6209"/>
    <w:rsid w:val="00FB629B"/>
    <w:rsid w:val="00FB6356"/>
    <w:rsid w:val="00FB6A3A"/>
    <w:rsid w:val="00FB6BCF"/>
    <w:rsid w:val="00FB6D7F"/>
    <w:rsid w:val="00FB6FCD"/>
    <w:rsid w:val="00FB70AA"/>
    <w:rsid w:val="00FB72DD"/>
    <w:rsid w:val="00FB7538"/>
    <w:rsid w:val="00FB7567"/>
    <w:rsid w:val="00FB7629"/>
    <w:rsid w:val="00FB7655"/>
    <w:rsid w:val="00FB767A"/>
    <w:rsid w:val="00FB7983"/>
    <w:rsid w:val="00FB79C9"/>
    <w:rsid w:val="00FB7B5A"/>
    <w:rsid w:val="00FB7CB0"/>
    <w:rsid w:val="00FB7D29"/>
    <w:rsid w:val="00FC0080"/>
    <w:rsid w:val="00FC0137"/>
    <w:rsid w:val="00FC0193"/>
    <w:rsid w:val="00FC0349"/>
    <w:rsid w:val="00FC0864"/>
    <w:rsid w:val="00FC0924"/>
    <w:rsid w:val="00FC094A"/>
    <w:rsid w:val="00FC09CD"/>
    <w:rsid w:val="00FC0A49"/>
    <w:rsid w:val="00FC116D"/>
    <w:rsid w:val="00FC11D1"/>
    <w:rsid w:val="00FC149A"/>
    <w:rsid w:val="00FC1566"/>
    <w:rsid w:val="00FC18F2"/>
    <w:rsid w:val="00FC19B2"/>
    <w:rsid w:val="00FC1BEA"/>
    <w:rsid w:val="00FC1CDA"/>
    <w:rsid w:val="00FC1D96"/>
    <w:rsid w:val="00FC1E1C"/>
    <w:rsid w:val="00FC2197"/>
    <w:rsid w:val="00FC21A1"/>
    <w:rsid w:val="00FC21B2"/>
    <w:rsid w:val="00FC22BC"/>
    <w:rsid w:val="00FC2559"/>
    <w:rsid w:val="00FC25AF"/>
    <w:rsid w:val="00FC25CC"/>
    <w:rsid w:val="00FC2816"/>
    <w:rsid w:val="00FC28A1"/>
    <w:rsid w:val="00FC2949"/>
    <w:rsid w:val="00FC2A6B"/>
    <w:rsid w:val="00FC2C18"/>
    <w:rsid w:val="00FC2D3C"/>
    <w:rsid w:val="00FC2D50"/>
    <w:rsid w:val="00FC2D8B"/>
    <w:rsid w:val="00FC2F2D"/>
    <w:rsid w:val="00FC308C"/>
    <w:rsid w:val="00FC31D7"/>
    <w:rsid w:val="00FC3362"/>
    <w:rsid w:val="00FC33A8"/>
    <w:rsid w:val="00FC3634"/>
    <w:rsid w:val="00FC3709"/>
    <w:rsid w:val="00FC3929"/>
    <w:rsid w:val="00FC39EC"/>
    <w:rsid w:val="00FC3A51"/>
    <w:rsid w:val="00FC3AD7"/>
    <w:rsid w:val="00FC3E58"/>
    <w:rsid w:val="00FC3F6F"/>
    <w:rsid w:val="00FC4020"/>
    <w:rsid w:val="00FC43AB"/>
    <w:rsid w:val="00FC446F"/>
    <w:rsid w:val="00FC4548"/>
    <w:rsid w:val="00FC4611"/>
    <w:rsid w:val="00FC46F1"/>
    <w:rsid w:val="00FC4705"/>
    <w:rsid w:val="00FC5108"/>
    <w:rsid w:val="00FC5295"/>
    <w:rsid w:val="00FC54A0"/>
    <w:rsid w:val="00FC5607"/>
    <w:rsid w:val="00FC564D"/>
    <w:rsid w:val="00FC5928"/>
    <w:rsid w:val="00FC5B7B"/>
    <w:rsid w:val="00FC5B9A"/>
    <w:rsid w:val="00FC5C1E"/>
    <w:rsid w:val="00FC5D4A"/>
    <w:rsid w:val="00FC5D5A"/>
    <w:rsid w:val="00FC5DE5"/>
    <w:rsid w:val="00FC62DD"/>
    <w:rsid w:val="00FC64BE"/>
    <w:rsid w:val="00FC6507"/>
    <w:rsid w:val="00FC6A4D"/>
    <w:rsid w:val="00FC6E08"/>
    <w:rsid w:val="00FC703E"/>
    <w:rsid w:val="00FC706A"/>
    <w:rsid w:val="00FC72AB"/>
    <w:rsid w:val="00FC7350"/>
    <w:rsid w:val="00FC73AD"/>
    <w:rsid w:val="00FC73C8"/>
    <w:rsid w:val="00FC747A"/>
    <w:rsid w:val="00FC7768"/>
    <w:rsid w:val="00FC7D19"/>
    <w:rsid w:val="00FC7D1E"/>
    <w:rsid w:val="00FC7EF3"/>
    <w:rsid w:val="00FC7F85"/>
    <w:rsid w:val="00FD026F"/>
    <w:rsid w:val="00FD027F"/>
    <w:rsid w:val="00FD02C5"/>
    <w:rsid w:val="00FD02E8"/>
    <w:rsid w:val="00FD033C"/>
    <w:rsid w:val="00FD04FF"/>
    <w:rsid w:val="00FD059E"/>
    <w:rsid w:val="00FD06B0"/>
    <w:rsid w:val="00FD07E3"/>
    <w:rsid w:val="00FD0960"/>
    <w:rsid w:val="00FD0B66"/>
    <w:rsid w:val="00FD0C5D"/>
    <w:rsid w:val="00FD0D4F"/>
    <w:rsid w:val="00FD10AE"/>
    <w:rsid w:val="00FD1232"/>
    <w:rsid w:val="00FD1721"/>
    <w:rsid w:val="00FD1787"/>
    <w:rsid w:val="00FD17DE"/>
    <w:rsid w:val="00FD1885"/>
    <w:rsid w:val="00FD19C4"/>
    <w:rsid w:val="00FD1AF4"/>
    <w:rsid w:val="00FD1B1F"/>
    <w:rsid w:val="00FD1B3C"/>
    <w:rsid w:val="00FD1C0E"/>
    <w:rsid w:val="00FD1E1E"/>
    <w:rsid w:val="00FD1E3C"/>
    <w:rsid w:val="00FD1E3F"/>
    <w:rsid w:val="00FD1FBD"/>
    <w:rsid w:val="00FD2232"/>
    <w:rsid w:val="00FD22E5"/>
    <w:rsid w:val="00FD2348"/>
    <w:rsid w:val="00FD238E"/>
    <w:rsid w:val="00FD24BC"/>
    <w:rsid w:val="00FD2547"/>
    <w:rsid w:val="00FD2666"/>
    <w:rsid w:val="00FD2BE7"/>
    <w:rsid w:val="00FD2C6F"/>
    <w:rsid w:val="00FD3009"/>
    <w:rsid w:val="00FD3077"/>
    <w:rsid w:val="00FD3306"/>
    <w:rsid w:val="00FD3318"/>
    <w:rsid w:val="00FD3537"/>
    <w:rsid w:val="00FD36B1"/>
    <w:rsid w:val="00FD3826"/>
    <w:rsid w:val="00FD397D"/>
    <w:rsid w:val="00FD3E1A"/>
    <w:rsid w:val="00FD3F81"/>
    <w:rsid w:val="00FD3FE4"/>
    <w:rsid w:val="00FD41D3"/>
    <w:rsid w:val="00FD45A8"/>
    <w:rsid w:val="00FD463E"/>
    <w:rsid w:val="00FD46F3"/>
    <w:rsid w:val="00FD47D7"/>
    <w:rsid w:val="00FD4853"/>
    <w:rsid w:val="00FD4906"/>
    <w:rsid w:val="00FD4A3D"/>
    <w:rsid w:val="00FD4B1B"/>
    <w:rsid w:val="00FD4EEF"/>
    <w:rsid w:val="00FD502B"/>
    <w:rsid w:val="00FD5519"/>
    <w:rsid w:val="00FD55F7"/>
    <w:rsid w:val="00FD5717"/>
    <w:rsid w:val="00FD5B87"/>
    <w:rsid w:val="00FD5DB8"/>
    <w:rsid w:val="00FD5E6C"/>
    <w:rsid w:val="00FD5F3E"/>
    <w:rsid w:val="00FD5F83"/>
    <w:rsid w:val="00FD6049"/>
    <w:rsid w:val="00FD604E"/>
    <w:rsid w:val="00FD6183"/>
    <w:rsid w:val="00FD61C1"/>
    <w:rsid w:val="00FD6440"/>
    <w:rsid w:val="00FD66B1"/>
    <w:rsid w:val="00FD67E5"/>
    <w:rsid w:val="00FD693B"/>
    <w:rsid w:val="00FD69A4"/>
    <w:rsid w:val="00FD6B68"/>
    <w:rsid w:val="00FD6DA5"/>
    <w:rsid w:val="00FD6F71"/>
    <w:rsid w:val="00FD6F99"/>
    <w:rsid w:val="00FD7070"/>
    <w:rsid w:val="00FD708B"/>
    <w:rsid w:val="00FD7258"/>
    <w:rsid w:val="00FD733E"/>
    <w:rsid w:val="00FD73BD"/>
    <w:rsid w:val="00FD73CD"/>
    <w:rsid w:val="00FD7516"/>
    <w:rsid w:val="00FD7533"/>
    <w:rsid w:val="00FD7633"/>
    <w:rsid w:val="00FD7A57"/>
    <w:rsid w:val="00FD7C48"/>
    <w:rsid w:val="00FE00BD"/>
    <w:rsid w:val="00FE03E7"/>
    <w:rsid w:val="00FE089C"/>
    <w:rsid w:val="00FE0C35"/>
    <w:rsid w:val="00FE0DBF"/>
    <w:rsid w:val="00FE0E8C"/>
    <w:rsid w:val="00FE0F51"/>
    <w:rsid w:val="00FE0FFF"/>
    <w:rsid w:val="00FE107F"/>
    <w:rsid w:val="00FE10AF"/>
    <w:rsid w:val="00FE110C"/>
    <w:rsid w:val="00FE11BD"/>
    <w:rsid w:val="00FE1564"/>
    <w:rsid w:val="00FE17BE"/>
    <w:rsid w:val="00FE188C"/>
    <w:rsid w:val="00FE19AD"/>
    <w:rsid w:val="00FE1AE2"/>
    <w:rsid w:val="00FE1B0A"/>
    <w:rsid w:val="00FE2375"/>
    <w:rsid w:val="00FE24B1"/>
    <w:rsid w:val="00FE2551"/>
    <w:rsid w:val="00FE26E1"/>
    <w:rsid w:val="00FE2742"/>
    <w:rsid w:val="00FE291F"/>
    <w:rsid w:val="00FE294B"/>
    <w:rsid w:val="00FE2E10"/>
    <w:rsid w:val="00FE317D"/>
    <w:rsid w:val="00FE3A8B"/>
    <w:rsid w:val="00FE3ADD"/>
    <w:rsid w:val="00FE3B9D"/>
    <w:rsid w:val="00FE3BA0"/>
    <w:rsid w:val="00FE3E2A"/>
    <w:rsid w:val="00FE4031"/>
    <w:rsid w:val="00FE40F1"/>
    <w:rsid w:val="00FE4149"/>
    <w:rsid w:val="00FE4325"/>
    <w:rsid w:val="00FE4385"/>
    <w:rsid w:val="00FE4625"/>
    <w:rsid w:val="00FE473D"/>
    <w:rsid w:val="00FE48D7"/>
    <w:rsid w:val="00FE4D54"/>
    <w:rsid w:val="00FE51D1"/>
    <w:rsid w:val="00FE5279"/>
    <w:rsid w:val="00FE5353"/>
    <w:rsid w:val="00FE53A4"/>
    <w:rsid w:val="00FE5587"/>
    <w:rsid w:val="00FE562C"/>
    <w:rsid w:val="00FE5645"/>
    <w:rsid w:val="00FE57EF"/>
    <w:rsid w:val="00FE59FD"/>
    <w:rsid w:val="00FE5C5A"/>
    <w:rsid w:val="00FE5DD3"/>
    <w:rsid w:val="00FE5E4B"/>
    <w:rsid w:val="00FE5F6D"/>
    <w:rsid w:val="00FE605C"/>
    <w:rsid w:val="00FE61B1"/>
    <w:rsid w:val="00FE62EA"/>
    <w:rsid w:val="00FE654B"/>
    <w:rsid w:val="00FE674D"/>
    <w:rsid w:val="00FE6C34"/>
    <w:rsid w:val="00FE6C74"/>
    <w:rsid w:val="00FE6CA1"/>
    <w:rsid w:val="00FE6D56"/>
    <w:rsid w:val="00FE6DF4"/>
    <w:rsid w:val="00FE722A"/>
    <w:rsid w:val="00FE72AB"/>
    <w:rsid w:val="00FE7377"/>
    <w:rsid w:val="00FE74A4"/>
    <w:rsid w:val="00FE7526"/>
    <w:rsid w:val="00FE7649"/>
    <w:rsid w:val="00FE772D"/>
    <w:rsid w:val="00FE79CA"/>
    <w:rsid w:val="00FE7AC2"/>
    <w:rsid w:val="00FE7B2B"/>
    <w:rsid w:val="00FE7B82"/>
    <w:rsid w:val="00FE7C76"/>
    <w:rsid w:val="00FE7CBD"/>
    <w:rsid w:val="00FE7F20"/>
    <w:rsid w:val="00FE7F98"/>
    <w:rsid w:val="00FF00F5"/>
    <w:rsid w:val="00FF0231"/>
    <w:rsid w:val="00FF02A5"/>
    <w:rsid w:val="00FF038A"/>
    <w:rsid w:val="00FF0567"/>
    <w:rsid w:val="00FF0583"/>
    <w:rsid w:val="00FF0614"/>
    <w:rsid w:val="00FF0A78"/>
    <w:rsid w:val="00FF0A79"/>
    <w:rsid w:val="00FF0D2E"/>
    <w:rsid w:val="00FF0D92"/>
    <w:rsid w:val="00FF11D3"/>
    <w:rsid w:val="00FF1223"/>
    <w:rsid w:val="00FF1317"/>
    <w:rsid w:val="00FF1797"/>
    <w:rsid w:val="00FF1902"/>
    <w:rsid w:val="00FF1AE7"/>
    <w:rsid w:val="00FF1B27"/>
    <w:rsid w:val="00FF1C37"/>
    <w:rsid w:val="00FF1FDC"/>
    <w:rsid w:val="00FF1FF7"/>
    <w:rsid w:val="00FF204F"/>
    <w:rsid w:val="00FF24C7"/>
    <w:rsid w:val="00FF27FD"/>
    <w:rsid w:val="00FF294E"/>
    <w:rsid w:val="00FF29E3"/>
    <w:rsid w:val="00FF2AAE"/>
    <w:rsid w:val="00FF2DE6"/>
    <w:rsid w:val="00FF2E7F"/>
    <w:rsid w:val="00FF2F68"/>
    <w:rsid w:val="00FF3025"/>
    <w:rsid w:val="00FF306D"/>
    <w:rsid w:val="00FF3195"/>
    <w:rsid w:val="00FF3221"/>
    <w:rsid w:val="00FF32AE"/>
    <w:rsid w:val="00FF334C"/>
    <w:rsid w:val="00FF34B6"/>
    <w:rsid w:val="00FF35E0"/>
    <w:rsid w:val="00FF3609"/>
    <w:rsid w:val="00FF3730"/>
    <w:rsid w:val="00FF378D"/>
    <w:rsid w:val="00FF38CB"/>
    <w:rsid w:val="00FF3C2C"/>
    <w:rsid w:val="00FF3D89"/>
    <w:rsid w:val="00FF3DAC"/>
    <w:rsid w:val="00FF3F7D"/>
    <w:rsid w:val="00FF401B"/>
    <w:rsid w:val="00FF4032"/>
    <w:rsid w:val="00FF4039"/>
    <w:rsid w:val="00FF40FC"/>
    <w:rsid w:val="00FF439D"/>
    <w:rsid w:val="00FF47AC"/>
    <w:rsid w:val="00FF4816"/>
    <w:rsid w:val="00FF48A4"/>
    <w:rsid w:val="00FF4A31"/>
    <w:rsid w:val="00FF4ADE"/>
    <w:rsid w:val="00FF4BFE"/>
    <w:rsid w:val="00FF4C82"/>
    <w:rsid w:val="00FF4E4C"/>
    <w:rsid w:val="00FF4E90"/>
    <w:rsid w:val="00FF4FAA"/>
    <w:rsid w:val="00FF50FC"/>
    <w:rsid w:val="00FF5267"/>
    <w:rsid w:val="00FF52C1"/>
    <w:rsid w:val="00FF52D5"/>
    <w:rsid w:val="00FF5364"/>
    <w:rsid w:val="00FF53EA"/>
    <w:rsid w:val="00FF5465"/>
    <w:rsid w:val="00FF55D9"/>
    <w:rsid w:val="00FF5C74"/>
    <w:rsid w:val="00FF5E2A"/>
    <w:rsid w:val="00FF5EC4"/>
    <w:rsid w:val="00FF5FA4"/>
    <w:rsid w:val="00FF6009"/>
    <w:rsid w:val="00FF6040"/>
    <w:rsid w:val="00FF62EF"/>
    <w:rsid w:val="00FF635E"/>
    <w:rsid w:val="00FF658F"/>
    <w:rsid w:val="00FF65A7"/>
    <w:rsid w:val="00FF667E"/>
    <w:rsid w:val="00FF6903"/>
    <w:rsid w:val="00FF6939"/>
    <w:rsid w:val="00FF6CEC"/>
    <w:rsid w:val="00FF6D9B"/>
    <w:rsid w:val="00FF6FD8"/>
    <w:rsid w:val="00FF7012"/>
    <w:rsid w:val="00FF735D"/>
    <w:rsid w:val="00FF767E"/>
    <w:rsid w:val="00FF775F"/>
    <w:rsid w:val="00FF7B71"/>
    <w:rsid w:val="00FF7E7E"/>
    <w:rsid w:val="00FF7EE7"/>
    <w:rsid w:val="00FF7EEC"/>
    <w:rsid w:val="0265A96B"/>
    <w:rsid w:val="02F3E64F"/>
    <w:rsid w:val="03A5F185"/>
    <w:rsid w:val="053BD760"/>
    <w:rsid w:val="076472CA"/>
    <w:rsid w:val="0885320D"/>
    <w:rsid w:val="098DDC33"/>
    <w:rsid w:val="09F8F4A5"/>
    <w:rsid w:val="0A2D4928"/>
    <w:rsid w:val="0A31EB15"/>
    <w:rsid w:val="0B91BA83"/>
    <w:rsid w:val="0D52951D"/>
    <w:rsid w:val="10D833ED"/>
    <w:rsid w:val="11CF9C03"/>
    <w:rsid w:val="12163437"/>
    <w:rsid w:val="13A04561"/>
    <w:rsid w:val="152809AE"/>
    <w:rsid w:val="162D34BB"/>
    <w:rsid w:val="16C077FE"/>
    <w:rsid w:val="17BBF914"/>
    <w:rsid w:val="17F02C0A"/>
    <w:rsid w:val="19DCA23F"/>
    <w:rsid w:val="19DD7FDB"/>
    <w:rsid w:val="1AADEEC4"/>
    <w:rsid w:val="1C22C759"/>
    <w:rsid w:val="1C398928"/>
    <w:rsid w:val="1CB6DC8D"/>
    <w:rsid w:val="1DBE16B6"/>
    <w:rsid w:val="1DFBA0D5"/>
    <w:rsid w:val="1E55222C"/>
    <w:rsid w:val="1F458075"/>
    <w:rsid w:val="213E816A"/>
    <w:rsid w:val="2253F448"/>
    <w:rsid w:val="25BEFD27"/>
    <w:rsid w:val="26B4FB15"/>
    <w:rsid w:val="2B970109"/>
    <w:rsid w:val="2E706D9B"/>
    <w:rsid w:val="2F9F3733"/>
    <w:rsid w:val="2FFDA63D"/>
    <w:rsid w:val="30A68458"/>
    <w:rsid w:val="31AB908B"/>
    <w:rsid w:val="322550BD"/>
    <w:rsid w:val="330F3559"/>
    <w:rsid w:val="334FBE27"/>
    <w:rsid w:val="33DF6F22"/>
    <w:rsid w:val="34693862"/>
    <w:rsid w:val="352F47AB"/>
    <w:rsid w:val="354DA61F"/>
    <w:rsid w:val="362C96D4"/>
    <w:rsid w:val="36E52DD4"/>
    <w:rsid w:val="38FF7FB2"/>
    <w:rsid w:val="3A26BA46"/>
    <w:rsid w:val="3C5D0ECB"/>
    <w:rsid w:val="3E39F6E9"/>
    <w:rsid w:val="3E724A7F"/>
    <w:rsid w:val="3F2AF84F"/>
    <w:rsid w:val="3F4A5375"/>
    <w:rsid w:val="40B2E058"/>
    <w:rsid w:val="42814493"/>
    <w:rsid w:val="43058D15"/>
    <w:rsid w:val="43485221"/>
    <w:rsid w:val="439E7F92"/>
    <w:rsid w:val="43E4CE9F"/>
    <w:rsid w:val="45358338"/>
    <w:rsid w:val="45EBAEFD"/>
    <w:rsid w:val="469BAE12"/>
    <w:rsid w:val="47233A69"/>
    <w:rsid w:val="4799D9D2"/>
    <w:rsid w:val="48DAB7D2"/>
    <w:rsid w:val="4901DE1A"/>
    <w:rsid w:val="49A27BEE"/>
    <w:rsid w:val="4A461E96"/>
    <w:rsid w:val="4C9315E1"/>
    <w:rsid w:val="4CEAF59E"/>
    <w:rsid w:val="4E161E32"/>
    <w:rsid w:val="4ED44227"/>
    <w:rsid w:val="4F4D1483"/>
    <w:rsid w:val="51656ADF"/>
    <w:rsid w:val="52415262"/>
    <w:rsid w:val="52F4DC66"/>
    <w:rsid w:val="562A460E"/>
    <w:rsid w:val="57A84A01"/>
    <w:rsid w:val="57AD488E"/>
    <w:rsid w:val="591A892B"/>
    <w:rsid w:val="59312275"/>
    <w:rsid w:val="595BFD89"/>
    <w:rsid w:val="59D547E0"/>
    <w:rsid w:val="5B0C1125"/>
    <w:rsid w:val="5C5ED7CF"/>
    <w:rsid w:val="5D64AEE1"/>
    <w:rsid w:val="5DFCB75E"/>
    <w:rsid w:val="5FC7A97D"/>
    <w:rsid w:val="60B93F88"/>
    <w:rsid w:val="6234C742"/>
    <w:rsid w:val="63290DD7"/>
    <w:rsid w:val="64057BB9"/>
    <w:rsid w:val="64CFA4EA"/>
    <w:rsid w:val="67657A8E"/>
    <w:rsid w:val="67C9DF56"/>
    <w:rsid w:val="69487D98"/>
    <w:rsid w:val="69B1908C"/>
    <w:rsid w:val="69EE1074"/>
    <w:rsid w:val="6B5860D3"/>
    <w:rsid w:val="6DB83839"/>
    <w:rsid w:val="6EDF3519"/>
    <w:rsid w:val="71456ABF"/>
    <w:rsid w:val="71A22B8E"/>
    <w:rsid w:val="72125985"/>
    <w:rsid w:val="739AAB1C"/>
    <w:rsid w:val="74AB893E"/>
    <w:rsid w:val="74BF565A"/>
    <w:rsid w:val="74F26CA8"/>
    <w:rsid w:val="7589B51C"/>
    <w:rsid w:val="795B7308"/>
    <w:rsid w:val="7A042827"/>
    <w:rsid w:val="7A04DFBA"/>
    <w:rsid w:val="7B86A486"/>
    <w:rsid w:val="7C172084"/>
    <w:rsid w:val="7C7C34D4"/>
    <w:rsid w:val="7D7B6881"/>
    <w:rsid w:val="7D8ADA90"/>
    <w:rsid w:val="7D98595C"/>
    <w:rsid w:val="7DA6F16D"/>
    <w:rsid w:val="7F29A358"/>
    <w:rsid w:val="7FFFF55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D3E45"/>
  <w15:chartTrackingRefBased/>
  <w15:docId w15:val="{0FF43440-368F-43D0-80A6-54AB000BD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nhideWhenUsed="1" w:qFormat="1"/>
    <w:lsdException w:name="List Bullet 3" w:semiHidden="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2"/>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083F00"/>
    <w:pPr>
      <w:spacing w:before="120" w:after="120" w:line="280" w:lineRule="atLeast"/>
    </w:pPr>
    <w:rPr>
      <w:rFonts w:ascii="Open Sans" w:hAnsi="Open Sans"/>
      <w:sz w:val="20"/>
      <w:szCs w:val="20"/>
    </w:rPr>
  </w:style>
  <w:style w:type="paragraph" w:styleId="Heading1">
    <w:name w:val="heading 1"/>
    <w:basedOn w:val="Normal"/>
    <w:next w:val="BodyText"/>
    <w:link w:val="Heading1Char"/>
    <w:uiPriority w:val="9"/>
    <w:qFormat/>
    <w:rsid w:val="00083F00"/>
    <w:pPr>
      <w:numPr>
        <w:numId w:val="14"/>
      </w:numPr>
      <w:pBdr>
        <w:top w:val="single" w:sz="4" w:space="31" w:color="E7F6FD"/>
        <w:left w:val="single" w:sz="4" w:space="26" w:color="E7F6FD"/>
        <w:bottom w:val="single" w:sz="4" w:space="26" w:color="E7F6FD"/>
        <w:right w:val="single" w:sz="4" w:space="26" w:color="E7F6FD"/>
      </w:pBdr>
      <w:shd w:val="clear" w:color="auto" w:fill="E7F6FD"/>
      <w:spacing w:before="240" w:after="480" w:line="504" w:lineRule="atLeast"/>
      <w:ind w:right="567"/>
      <w:outlineLvl w:val="0"/>
    </w:pPr>
    <w:rPr>
      <w:rFonts w:ascii="Open Sans Extrabold" w:hAnsi="Open Sans Extrabold"/>
      <w:color w:val="1C4373" w:themeColor="background2" w:themeShade="BF"/>
      <w:sz w:val="42"/>
    </w:rPr>
  </w:style>
  <w:style w:type="paragraph" w:styleId="Heading2">
    <w:name w:val="heading 2"/>
    <w:basedOn w:val="Normal"/>
    <w:next w:val="BodyText"/>
    <w:link w:val="Heading2Char"/>
    <w:uiPriority w:val="9"/>
    <w:qFormat/>
    <w:rsid w:val="00083F00"/>
    <w:pPr>
      <w:keepNext/>
      <w:keepLines/>
      <w:numPr>
        <w:ilvl w:val="2"/>
        <w:numId w:val="14"/>
      </w:numPr>
      <w:spacing w:before="480" w:line="340" w:lineRule="atLeast"/>
      <w:outlineLvl w:val="1"/>
    </w:pPr>
    <w:rPr>
      <w:rFonts w:ascii="Open Sans Extrabold" w:eastAsiaTheme="majorEastAsia" w:hAnsi="Open Sans Extrabold" w:cstheme="majorBidi"/>
      <w:color w:val="1C4373" w:themeColor="background2" w:themeShade="BF"/>
      <w:sz w:val="30"/>
      <w:szCs w:val="60"/>
    </w:rPr>
  </w:style>
  <w:style w:type="paragraph" w:styleId="Heading3">
    <w:name w:val="heading 3"/>
    <w:basedOn w:val="Normal"/>
    <w:next w:val="BodyText"/>
    <w:link w:val="Heading3Char"/>
    <w:uiPriority w:val="9"/>
    <w:qFormat/>
    <w:rsid w:val="00083F00"/>
    <w:pPr>
      <w:keepNext/>
      <w:keepLines/>
      <w:spacing w:before="240" w:line="300" w:lineRule="atLeast"/>
      <w:outlineLvl w:val="2"/>
    </w:pPr>
    <w:rPr>
      <w:rFonts w:ascii="Open Sans Extrabold" w:eastAsiaTheme="majorEastAsia" w:hAnsi="Open Sans Extrabold" w:cstheme="majorBidi"/>
      <w:color w:val="207291" w:themeColor="text2" w:themeShade="BF"/>
      <w:sz w:val="26"/>
      <w:szCs w:val="37"/>
    </w:rPr>
  </w:style>
  <w:style w:type="paragraph" w:styleId="Heading4">
    <w:name w:val="heading 4"/>
    <w:basedOn w:val="Normal"/>
    <w:next w:val="BodyText"/>
    <w:link w:val="Heading4Char"/>
    <w:uiPriority w:val="9"/>
    <w:qFormat/>
    <w:rsid w:val="00083F00"/>
    <w:pPr>
      <w:keepNext/>
      <w:keepLines/>
      <w:spacing w:before="240" w:line="264" w:lineRule="atLeast"/>
      <w:outlineLvl w:val="3"/>
    </w:pPr>
    <w:rPr>
      <w:rFonts w:ascii="Open Sans Extrabold" w:eastAsiaTheme="majorEastAsia" w:hAnsi="Open Sans Extrabold" w:cstheme="majorBidi"/>
      <w:iCs/>
      <w:color w:val="1C4373" w:themeColor="background2" w:themeShade="BF"/>
      <w:sz w:val="22"/>
      <w:szCs w:val="33"/>
    </w:rPr>
  </w:style>
  <w:style w:type="paragraph" w:styleId="Heading5">
    <w:name w:val="heading 5"/>
    <w:basedOn w:val="Normal"/>
    <w:next w:val="BodyText"/>
    <w:link w:val="Heading5Char"/>
    <w:uiPriority w:val="9"/>
    <w:qFormat/>
    <w:rsid w:val="00083F00"/>
    <w:pPr>
      <w:keepNext/>
      <w:keepLines/>
      <w:spacing w:before="240"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083F00"/>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083F00"/>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083F00"/>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083F00"/>
    <w:pPr>
      <w:spacing w:line="240" w:lineRule="auto"/>
      <w:outlineLvl w:val="8"/>
    </w:pPr>
    <w:rPr>
      <w:rFonts w:asciiTheme="majorHAnsi" w:hAnsiTheme="majorHAnsi"/>
      <w:color w:val="8956A3" w:themeColor="accen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3F00"/>
    <w:rPr>
      <w:color w:val="808080"/>
    </w:rPr>
  </w:style>
  <w:style w:type="paragraph" w:styleId="Date">
    <w:name w:val="Date"/>
    <w:basedOn w:val="Normal"/>
    <w:next w:val="Normal"/>
    <w:link w:val="DateChar"/>
    <w:uiPriority w:val="99"/>
    <w:unhideWhenUsed/>
    <w:rsid w:val="00083F00"/>
    <w:pPr>
      <w:spacing w:after="360" w:line="293" w:lineRule="auto"/>
    </w:pPr>
  </w:style>
  <w:style w:type="character" w:customStyle="1" w:styleId="DateChar">
    <w:name w:val="Date Char"/>
    <w:basedOn w:val="DefaultParagraphFont"/>
    <w:link w:val="Date"/>
    <w:uiPriority w:val="99"/>
    <w:rsid w:val="00083F00"/>
    <w:rPr>
      <w:rFonts w:ascii="Open Sans" w:hAnsi="Open Sans"/>
      <w:sz w:val="20"/>
      <w:szCs w:val="20"/>
    </w:rPr>
  </w:style>
  <w:style w:type="paragraph" w:styleId="NoSpacing">
    <w:name w:val="No Spacing"/>
    <w:basedOn w:val="Normal"/>
    <w:link w:val="NoSpacingChar"/>
    <w:uiPriority w:val="10"/>
    <w:qFormat/>
    <w:rsid w:val="00083F00"/>
    <w:pPr>
      <w:spacing w:before="0" w:after="0"/>
    </w:pPr>
  </w:style>
  <w:style w:type="paragraph" w:styleId="ListBullet">
    <w:name w:val="List Bullet"/>
    <w:basedOn w:val="Normal"/>
    <w:link w:val="ListBulletChar"/>
    <w:uiPriority w:val="1"/>
    <w:qFormat/>
    <w:rsid w:val="00083F00"/>
    <w:pPr>
      <w:numPr>
        <w:numId w:val="16"/>
      </w:numPr>
      <w:contextualSpacing/>
    </w:pPr>
  </w:style>
  <w:style w:type="paragraph" w:styleId="ListBullet2">
    <w:name w:val="List Bullet 2"/>
    <w:basedOn w:val="Normal"/>
    <w:uiPriority w:val="1"/>
    <w:qFormat/>
    <w:rsid w:val="00083F00"/>
    <w:pPr>
      <w:numPr>
        <w:ilvl w:val="1"/>
        <w:numId w:val="16"/>
      </w:numPr>
      <w:contextualSpacing/>
    </w:pPr>
  </w:style>
  <w:style w:type="paragraph" w:styleId="ListNumber">
    <w:name w:val="List Number"/>
    <w:basedOn w:val="Normal"/>
    <w:uiPriority w:val="2"/>
    <w:qFormat/>
    <w:rsid w:val="00083F00"/>
    <w:pPr>
      <w:numPr>
        <w:numId w:val="15"/>
      </w:numPr>
      <w:spacing w:before="60"/>
      <w:contextualSpacing/>
    </w:pPr>
  </w:style>
  <w:style w:type="numbering" w:customStyle="1" w:styleId="Bullets">
    <w:name w:val="Bullets"/>
    <w:uiPriority w:val="99"/>
    <w:rsid w:val="00083F00"/>
    <w:pPr>
      <w:numPr>
        <w:numId w:val="6"/>
      </w:numPr>
    </w:pPr>
  </w:style>
  <w:style w:type="character" w:customStyle="1" w:styleId="Heading1Char">
    <w:name w:val="Heading 1 Char"/>
    <w:basedOn w:val="DefaultParagraphFont"/>
    <w:link w:val="Heading1"/>
    <w:uiPriority w:val="9"/>
    <w:rsid w:val="00083F00"/>
    <w:rPr>
      <w:rFonts w:ascii="Open Sans Extrabold" w:hAnsi="Open Sans Extrabold"/>
      <w:color w:val="1C4373" w:themeColor="background2" w:themeShade="BF"/>
      <w:sz w:val="42"/>
      <w:szCs w:val="20"/>
      <w:shd w:val="clear" w:color="auto" w:fill="E7F6FD"/>
    </w:rPr>
  </w:style>
  <w:style w:type="paragraph" w:styleId="ListNumber2">
    <w:name w:val="List Number 2"/>
    <w:basedOn w:val="Normal"/>
    <w:uiPriority w:val="13"/>
    <w:semiHidden/>
    <w:qFormat/>
    <w:rsid w:val="00083F00"/>
    <w:pPr>
      <w:numPr>
        <w:ilvl w:val="1"/>
        <w:numId w:val="15"/>
      </w:numPr>
      <w:spacing w:before="60"/>
      <w:contextualSpacing/>
    </w:pPr>
  </w:style>
  <w:style w:type="character" w:customStyle="1" w:styleId="Heading2Char">
    <w:name w:val="Heading 2 Char"/>
    <w:basedOn w:val="DefaultParagraphFont"/>
    <w:link w:val="Heading2"/>
    <w:uiPriority w:val="9"/>
    <w:rsid w:val="00083F00"/>
    <w:rPr>
      <w:rFonts w:ascii="Open Sans Extrabold" w:eastAsiaTheme="majorEastAsia" w:hAnsi="Open Sans Extrabold" w:cstheme="majorBidi"/>
      <w:color w:val="1C4373" w:themeColor="background2" w:themeShade="BF"/>
      <w:sz w:val="30"/>
      <w:szCs w:val="60"/>
    </w:rPr>
  </w:style>
  <w:style w:type="paragraph" w:styleId="ListParagraph">
    <w:name w:val="List Paragraph"/>
    <w:basedOn w:val="Normal"/>
    <w:uiPriority w:val="34"/>
    <w:rsid w:val="00083F00"/>
    <w:pPr>
      <w:spacing w:line="293" w:lineRule="auto"/>
      <w:ind w:left="284"/>
      <w:contextualSpacing/>
    </w:pPr>
  </w:style>
  <w:style w:type="paragraph" w:styleId="Header">
    <w:name w:val="header"/>
    <w:basedOn w:val="Normal"/>
    <w:link w:val="HeaderChar"/>
    <w:uiPriority w:val="99"/>
    <w:unhideWhenUsed/>
    <w:rsid w:val="00083F00"/>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083F00"/>
    <w:rPr>
      <w:rFonts w:ascii="Open Sans" w:hAnsi="Open Sans"/>
      <w:sz w:val="16"/>
      <w:szCs w:val="20"/>
    </w:rPr>
  </w:style>
  <w:style w:type="paragraph" w:styleId="Footer">
    <w:name w:val="footer"/>
    <w:basedOn w:val="Normal"/>
    <w:link w:val="FooterChar"/>
    <w:uiPriority w:val="11"/>
    <w:rsid w:val="00083F00"/>
    <w:pPr>
      <w:tabs>
        <w:tab w:val="center" w:pos="4513"/>
        <w:tab w:val="right" w:pos="9026"/>
      </w:tabs>
      <w:spacing w:after="0" w:line="240" w:lineRule="auto"/>
      <w:contextualSpacing/>
    </w:pPr>
    <w:rPr>
      <w:rFonts w:ascii="Open Sans Extrabold" w:hAnsi="Open Sans Extrabold"/>
      <w:sz w:val="17"/>
      <w:szCs w:val="22"/>
    </w:rPr>
  </w:style>
  <w:style w:type="character" w:customStyle="1" w:styleId="FooterChar">
    <w:name w:val="Footer Char"/>
    <w:basedOn w:val="DefaultParagraphFont"/>
    <w:link w:val="Footer"/>
    <w:uiPriority w:val="11"/>
    <w:rsid w:val="00083F00"/>
    <w:rPr>
      <w:rFonts w:ascii="Open Sans Extrabold" w:hAnsi="Open Sans Extrabold"/>
      <w:sz w:val="17"/>
    </w:rPr>
  </w:style>
  <w:style w:type="numbering" w:customStyle="1" w:styleId="Numbering">
    <w:name w:val="Numbering"/>
    <w:uiPriority w:val="99"/>
    <w:rsid w:val="00083F00"/>
    <w:pPr>
      <w:numPr>
        <w:numId w:val="15"/>
      </w:numPr>
    </w:pPr>
  </w:style>
  <w:style w:type="paragraph" w:styleId="ListBullet3">
    <w:name w:val="List Bullet 3"/>
    <w:basedOn w:val="Normal"/>
    <w:uiPriority w:val="1"/>
    <w:qFormat/>
    <w:rsid w:val="00083F00"/>
    <w:pPr>
      <w:numPr>
        <w:ilvl w:val="2"/>
        <w:numId w:val="16"/>
      </w:numPr>
      <w:contextualSpacing/>
    </w:pPr>
  </w:style>
  <w:style w:type="paragraph" w:styleId="ListContinue2">
    <w:name w:val="List Continue 2"/>
    <w:basedOn w:val="Normal"/>
    <w:uiPriority w:val="3"/>
    <w:unhideWhenUsed/>
    <w:qFormat/>
    <w:rsid w:val="00083F00"/>
    <w:pPr>
      <w:spacing w:before="60"/>
      <w:ind w:left="454"/>
    </w:pPr>
  </w:style>
  <w:style w:type="paragraph" w:styleId="ListNumber3">
    <w:name w:val="List Number 3"/>
    <w:basedOn w:val="Normal"/>
    <w:uiPriority w:val="13"/>
    <w:semiHidden/>
    <w:qFormat/>
    <w:rsid w:val="00083F00"/>
    <w:pPr>
      <w:numPr>
        <w:ilvl w:val="2"/>
        <w:numId w:val="15"/>
      </w:numPr>
      <w:spacing w:before="60"/>
      <w:contextualSpacing/>
    </w:pPr>
  </w:style>
  <w:style w:type="paragraph" w:styleId="ListNumber4">
    <w:name w:val="List Number 4"/>
    <w:basedOn w:val="Normal"/>
    <w:uiPriority w:val="13"/>
    <w:semiHidden/>
    <w:qFormat/>
    <w:rsid w:val="00083F00"/>
    <w:pPr>
      <w:numPr>
        <w:ilvl w:val="3"/>
        <w:numId w:val="15"/>
      </w:numPr>
      <w:spacing w:after="200" w:line="293" w:lineRule="auto"/>
      <w:contextualSpacing/>
    </w:pPr>
  </w:style>
  <w:style w:type="paragraph" w:styleId="ListNumber5">
    <w:name w:val="List Number 5"/>
    <w:basedOn w:val="Normal"/>
    <w:uiPriority w:val="13"/>
    <w:semiHidden/>
    <w:rsid w:val="00083F00"/>
    <w:pPr>
      <w:numPr>
        <w:ilvl w:val="4"/>
        <w:numId w:val="15"/>
      </w:numPr>
      <w:spacing w:after="200" w:line="293" w:lineRule="auto"/>
      <w:contextualSpacing/>
    </w:pPr>
  </w:style>
  <w:style w:type="paragraph" w:styleId="ListContinue">
    <w:name w:val="List Continue"/>
    <w:basedOn w:val="Normal"/>
    <w:uiPriority w:val="3"/>
    <w:unhideWhenUsed/>
    <w:qFormat/>
    <w:rsid w:val="00083F00"/>
    <w:pPr>
      <w:spacing w:before="60"/>
      <w:ind w:left="227"/>
    </w:pPr>
  </w:style>
  <w:style w:type="paragraph" w:styleId="ListContinue3">
    <w:name w:val="List Continue 3"/>
    <w:basedOn w:val="Normal"/>
    <w:uiPriority w:val="3"/>
    <w:unhideWhenUsed/>
    <w:qFormat/>
    <w:rsid w:val="00083F00"/>
    <w:pPr>
      <w:spacing w:before="60"/>
      <w:ind w:left="907"/>
    </w:pPr>
  </w:style>
  <w:style w:type="paragraph" w:styleId="ListContinue4">
    <w:name w:val="List Continue 4"/>
    <w:basedOn w:val="Normal"/>
    <w:uiPriority w:val="3"/>
    <w:unhideWhenUsed/>
    <w:qFormat/>
    <w:rsid w:val="00083F00"/>
    <w:pPr>
      <w:spacing w:line="293" w:lineRule="auto"/>
      <w:ind w:left="907"/>
      <w:contextualSpacing/>
    </w:pPr>
  </w:style>
  <w:style w:type="character" w:customStyle="1" w:styleId="Heading3Char">
    <w:name w:val="Heading 3 Char"/>
    <w:basedOn w:val="DefaultParagraphFont"/>
    <w:link w:val="Heading3"/>
    <w:uiPriority w:val="9"/>
    <w:rsid w:val="00083F00"/>
    <w:rPr>
      <w:rFonts w:ascii="Open Sans Extrabold" w:eastAsiaTheme="majorEastAsia" w:hAnsi="Open Sans Extrabold" w:cstheme="majorBidi"/>
      <w:color w:val="207291" w:themeColor="text2" w:themeShade="BF"/>
      <w:sz w:val="26"/>
      <w:szCs w:val="37"/>
    </w:rPr>
  </w:style>
  <w:style w:type="character" w:customStyle="1" w:styleId="Heading4Char">
    <w:name w:val="Heading 4 Char"/>
    <w:basedOn w:val="DefaultParagraphFont"/>
    <w:link w:val="Heading4"/>
    <w:uiPriority w:val="9"/>
    <w:rsid w:val="00083F00"/>
    <w:rPr>
      <w:rFonts w:ascii="Open Sans Extrabold" w:eastAsiaTheme="majorEastAsia" w:hAnsi="Open Sans Extrabold" w:cstheme="majorBidi"/>
      <w:iCs/>
      <w:color w:val="1C4373" w:themeColor="background2" w:themeShade="BF"/>
      <w:szCs w:val="33"/>
    </w:rPr>
  </w:style>
  <w:style w:type="character" w:customStyle="1" w:styleId="Heading5Char">
    <w:name w:val="Heading 5 Char"/>
    <w:basedOn w:val="DefaultParagraphFont"/>
    <w:link w:val="Heading5"/>
    <w:uiPriority w:val="9"/>
    <w:rsid w:val="00083F00"/>
    <w:rPr>
      <w:rFonts w:ascii="Open Sans" w:eastAsiaTheme="majorEastAsia" w:hAnsi="Open Sans" w:cstheme="majorBidi"/>
      <w:b/>
      <w:color w:val="265A9A" w:themeColor="background2"/>
      <w:szCs w:val="29"/>
    </w:rPr>
  </w:style>
  <w:style w:type="numbering" w:customStyle="1" w:styleId="ListHeadings">
    <w:name w:val="List Headings"/>
    <w:uiPriority w:val="99"/>
    <w:rsid w:val="00083F00"/>
    <w:pPr>
      <w:numPr>
        <w:numId w:val="13"/>
      </w:numPr>
    </w:pPr>
  </w:style>
  <w:style w:type="paragraph" w:styleId="Title">
    <w:name w:val="Title"/>
    <w:basedOn w:val="Heading1"/>
    <w:next w:val="Normal"/>
    <w:link w:val="TitleChar"/>
    <w:uiPriority w:val="39"/>
    <w:rsid w:val="00083F00"/>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6"/>
      <w:szCs w:val="56"/>
    </w:rPr>
  </w:style>
  <w:style w:type="character" w:customStyle="1" w:styleId="TitleChar">
    <w:name w:val="Title Char"/>
    <w:basedOn w:val="DefaultParagraphFont"/>
    <w:link w:val="Title"/>
    <w:uiPriority w:val="39"/>
    <w:rsid w:val="00083F00"/>
    <w:rPr>
      <w:rFonts w:ascii="Open Sans Extrabold" w:eastAsiaTheme="majorEastAsia" w:hAnsi="Open Sans Extrabold" w:cstheme="majorBidi"/>
      <w:color w:val="1C4373" w:themeColor="background2" w:themeShade="BF"/>
      <w:kern w:val="28"/>
      <w:sz w:val="56"/>
      <w:szCs w:val="56"/>
    </w:rPr>
  </w:style>
  <w:style w:type="paragraph" w:customStyle="1" w:styleId="Pull-outQuote">
    <w:name w:val="Pull-out Quote"/>
    <w:basedOn w:val="Normal"/>
    <w:link w:val="Pull-outQuoteChar"/>
    <w:uiPriority w:val="99"/>
    <w:semiHidden/>
    <w:rsid w:val="00083F00"/>
    <w:pPr>
      <w:pBdr>
        <w:top w:val="single" w:sz="4" w:space="4" w:color="2B9AC2" w:themeColor="text2"/>
        <w:left w:val="single" w:sz="4" w:space="4" w:color="2B9AC2" w:themeColor="text2"/>
        <w:bottom w:val="single" w:sz="4" w:space="4" w:color="2B9AC2" w:themeColor="text2"/>
        <w:right w:val="single" w:sz="4" w:space="4" w:color="2B9AC2" w:themeColor="text2"/>
      </w:pBdr>
      <w:shd w:val="clear" w:color="auto" w:fill="2B9AC2"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083F00"/>
    <w:rPr>
      <w:b/>
    </w:rPr>
  </w:style>
  <w:style w:type="character" w:customStyle="1" w:styleId="Pull-outQuoteChar">
    <w:name w:val="Pull-out Quote Char"/>
    <w:basedOn w:val="DefaultParagraphFont"/>
    <w:link w:val="Pull-outQuote"/>
    <w:uiPriority w:val="99"/>
    <w:semiHidden/>
    <w:rsid w:val="00083F00"/>
    <w:rPr>
      <w:rFonts w:ascii="Open Sans" w:hAnsi="Open Sans"/>
      <w:color w:val="FFFFFF" w:themeColor="background1"/>
      <w:sz w:val="20"/>
      <w:szCs w:val="20"/>
      <w:shd w:val="clear" w:color="auto" w:fill="2B9AC2" w:themeFill="text2"/>
    </w:rPr>
  </w:style>
  <w:style w:type="character" w:customStyle="1" w:styleId="Pull-outQuoteHeadingChar">
    <w:name w:val="Pull-out Quote Heading Char"/>
    <w:basedOn w:val="Pull-outQuoteChar"/>
    <w:link w:val="Pull-outQuoteHeading"/>
    <w:uiPriority w:val="99"/>
    <w:semiHidden/>
    <w:rsid w:val="00083F00"/>
    <w:rPr>
      <w:rFonts w:ascii="Open Sans" w:hAnsi="Open Sans"/>
      <w:b/>
      <w:color w:val="FFFFFF" w:themeColor="background1"/>
      <w:sz w:val="20"/>
      <w:szCs w:val="20"/>
      <w:shd w:val="clear" w:color="auto" w:fill="2B9AC2" w:themeFill="text2"/>
    </w:rPr>
  </w:style>
  <w:style w:type="paragraph" w:customStyle="1" w:styleId="NumberedHeading1">
    <w:name w:val="Numbered Heading 1"/>
    <w:basedOn w:val="Heading1"/>
    <w:next w:val="Normal"/>
    <w:link w:val="NumberedHeading1Char"/>
    <w:uiPriority w:val="9"/>
    <w:semiHidden/>
    <w:rsid w:val="00083F00"/>
  </w:style>
  <w:style w:type="paragraph" w:customStyle="1" w:styleId="NumberedHeading2">
    <w:name w:val="Numbered Heading 2"/>
    <w:basedOn w:val="Heading2"/>
    <w:next w:val="Normal"/>
    <w:link w:val="NumberedHeading2Char"/>
    <w:uiPriority w:val="9"/>
    <w:semiHidden/>
    <w:rsid w:val="00083F00"/>
  </w:style>
  <w:style w:type="character" w:customStyle="1" w:styleId="NumberedHeading1Char">
    <w:name w:val="Numbered Heading 1 Char"/>
    <w:basedOn w:val="Heading1Char"/>
    <w:link w:val="NumberedHeading1"/>
    <w:uiPriority w:val="9"/>
    <w:semiHidden/>
    <w:rsid w:val="00083F00"/>
    <w:rPr>
      <w:rFonts w:ascii="Open Sans Extrabold" w:hAnsi="Open Sans Extrabold"/>
      <w:color w:val="1C4373" w:themeColor="background2" w:themeShade="BF"/>
      <w:sz w:val="42"/>
      <w:szCs w:val="20"/>
      <w:shd w:val="clear" w:color="auto" w:fill="E7F6FD"/>
    </w:rPr>
  </w:style>
  <w:style w:type="character" w:customStyle="1" w:styleId="NumberedHeading2Char">
    <w:name w:val="Numbered Heading 2 Char"/>
    <w:basedOn w:val="Heading2Char"/>
    <w:link w:val="NumberedHeading2"/>
    <w:uiPriority w:val="9"/>
    <w:semiHidden/>
    <w:rsid w:val="00083F00"/>
    <w:rPr>
      <w:rFonts w:ascii="Open Sans Extrabold" w:eastAsiaTheme="majorEastAsia" w:hAnsi="Open Sans Extrabold" w:cstheme="majorBidi"/>
      <w:color w:val="1C4373" w:themeColor="background2" w:themeShade="BF"/>
      <w:sz w:val="30"/>
      <w:szCs w:val="60"/>
    </w:rPr>
  </w:style>
  <w:style w:type="paragraph" w:styleId="ListContinue5">
    <w:name w:val="List Continue 5"/>
    <w:basedOn w:val="Normal"/>
    <w:uiPriority w:val="3"/>
    <w:unhideWhenUsed/>
    <w:qFormat/>
    <w:rsid w:val="00083F00"/>
    <w:pPr>
      <w:ind w:left="1134"/>
      <w:contextualSpacing/>
    </w:pPr>
  </w:style>
  <w:style w:type="table" w:styleId="TableGrid">
    <w:name w:val="Table Grid"/>
    <w:basedOn w:val="TableNormal"/>
    <w:uiPriority w:val="39"/>
    <w:rsid w:val="00083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083F00"/>
    <w:pPr>
      <w:spacing w:before="0" w:after="40"/>
    </w:pPr>
    <w:rPr>
      <w:rFonts w:ascii="Open Sans Extrabold" w:hAnsi="Open Sans Extrabold"/>
      <w:iCs/>
      <w:color w:val="000000" w:themeColor="text1"/>
      <w:szCs w:val="18"/>
    </w:rPr>
  </w:style>
  <w:style w:type="paragraph" w:styleId="List">
    <w:name w:val="List"/>
    <w:basedOn w:val="Normal"/>
    <w:uiPriority w:val="99"/>
    <w:semiHidden/>
    <w:qFormat/>
    <w:rsid w:val="00083F00"/>
    <w:pPr>
      <w:numPr>
        <w:numId w:val="10"/>
      </w:numPr>
      <w:spacing w:before="60"/>
    </w:pPr>
  </w:style>
  <w:style w:type="paragraph" w:styleId="List2">
    <w:name w:val="List 2"/>
    <w:basedOn w:val="Normal"/>
    <w:uiPriority w:val="99"/>
    <w:semiHidden/>
    <w:qFormat/>
    <w:rsid w:val="00083F00"/>
    <w:pPr>
      <w:numPr>
        <w:ilvl w:val="1"/>
        <w:numId w:val="10"/>
      </w:numPr>
      <w:spacing w:before="60"/>
    </w:pPr>
  </w:style>
  <w:style w:type="numbering" w:customStyle="1" w:styleId="LetteredList">
    <w:name w:val="Lettered List"/>
    <w:uiPriority w:val="99"/>
    <w:rsid w:val="00083F00"/>
    <w:pPr>
      <w:numPr>
        <w:numId w:val="9"/>
      </w:numPr>
    </w:pPr>
  </w:style>
  <w:style w:type="paragraph" w:styleId="Subtitle">
    <w:name w:val="Subtitle"/>
    <w:basedOn w:val="Normal"/>
    <w:next w:val="Normal"/>
    <w:link w:val="SubtitleChar"/>
    <w:uiPriority w:val="39"/>
    <w:rsid w:val="00083F00"/>
    <w:pPr>
      <w:numPr>
        <w:ilvl w:val="1"/>
      </w:numPr>
      <w:spacing w:before="240" w:after="240" w:line="240" w:lineRule="auto"/>
    </w:pPr>
    <w:rPr>
      <w:rFonts w:eastAsiaTheme="minorEastAsia"/>
      <w:color w:val="1C4373" w:themeColor="background2" w:themeShade="BF"/>
      <w:sz w:val="48"/>
    </w:rPr>
  </w:style>
  <w:style w:type="character" w:customStyle="1" w:styleId="SubtitleChar">
    <w:name w:val="Subtitle Char"/>
    <w:basedOn w:val="DefaultParagraphFont"/>
    <w:link w:val="Subtitle"/>
    <w:uiPriority w:val="39"/>
    <w:rsid w:val="00083F00"/>
    <w:rPr>
      <w:rFonts w:ascii="Open Sans" w:eastAsiaTheme="minorEastAsia" w:hAnsi="Open Sans"/>
      <w:color w:val="1C4373" w:themeColor="background2" w:themeShade="BF"/>
      <w:sz w:val="48"/>
      <w:szCs w:val="20"/>
    </w:rPr>
  </w:style>
  <w:style w:type="character" w:styleId="Strong">
    <w:name w:val="Strong"/>
    <w:basedOn w:val="DefaultParagraphFont"/>
    <w:uiPriority w:val="22"/>
    <w:qFormat/>
    <w:rsid w:val="00083F00"/>
    <w:rPr>
      <w:rFonts w:ascii="Open Sans" w:hAnsi="Open Sans"/>
      <w:b/>
      <w:bCs/>
    </w:rPr>
  </w:style>
  <w:style w:type="paragraph" w:customStyle="1" w:styleId="Header-Keyline">
    <w:name w:val="Header - Keyline"/>
    <w:basedOn w:val="Header"/>
    <w:link w:val="Header-KeylineChar"/>
    <w:uiPriority w:val="99"/>
    <w:rsid w:val="00083F00"/>
    <w:pPr>
      <w:pBdr>
        <w:bottom w:val="single" w:sz="4" w:space="31" w:color="2B9AC2" w:themeColor="text2"/>
      </w:pBdr>
      <w:spacing w:after="600"/>
    </w:pPr>
  </w:style>
  <w:style w:type="character" w:customStyle="1" w:styleId="Heading6Char">
    <w:name w:val="Heading 6 Char"/>
    <w:basedOn w:val="DefaultParagraphFont"/>
    <w:link w:val="Heading6"/>
    <w:uiPriority w:val="9"/>
    <w:rsid w:val="00083F00"/>
    <w:rPr>
      <w:rFonts w:ascii="Open Sans" w:eastAsiaTheme="majorEastAsia" w:hAnsi="Open Sans"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083F00"/>
    <w:rPr>
      <w:rFonts w:ascii="Open Sans" w:hAnsi="Open Sans"/>
      <w:sz w:val="16"/>
      <w:szCs w:val="20"/>
    </w:rPr>
  </w:style>
  <w:style w:type="character" w:customStyle="1" w:styleId="Heading7Char">
    <w:name w:val="Heading 7 Char"/>
    <w:basedOn w:val="DefaultParagraphFont"/>
    <w:link w:val="Heading7"/>
    <w:uiPriority w:val="9"/>
    <w:semiHidden/>
    <w:rsid w:val="00083F00"/>
    <w:rPr>
      <w:rFonts w:ascii="Open Sans" w:eastAsiaTheme="majorEastAsia" w:hAnsi="Open Sans" w:cstheme="minorHAnsi"/>
      <w:b/>
      <w:bCs/>
      <w:i/>
      <w:iCs/>
      <w:color w:val="265A9A" w:themeColor="background2"/>
      <w:sz w:val="20"/>
    </w:rPr>
  </w:style>
  <w:style w:type="character" w:customStyle="1" w:styleId="Heading8Char">
    <w:name w:val="Heading 8 Char"/>
    <w:basedOn w:val="DefaultParagraphFont"/>
    <w:link w:val="Heading8"/>
    <w:uiPriority w:val="9"/>
    <w:semiHidden/>
    <w:rsid w:val="00083F00"/>
    <w:rPr>
      <w:rFonts w:ascii="Open Sans" w:eastAsiaTheme="majorEastAsia" w:hAnsi="Open Sans" w:cstheme="majorBidi"/>
      <w:b/>
      <w:sz w:val="18"/>
      <w:szCs w:val="21"/>
    </w:rPr>
  </w:style>
  <w:style w:type="table" w:customStyle="1" w:styleId="ProductivityCommissionTable1">
    <w:name w:val="Productivity Commission Table 1"/>
    <w:basedOn w:val="TableNormal"/>
    <w:uiPriority w:val="99"/>
    <w:rsid w:val="00083F00"/>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083F00"/>
    <w:rPr>
      <w:rFonts w:asciiTheme="majorHAnsi" w:hAnsiTheme="majorHAnsi"/>
      <w:color w:val="8956A3" w:themeColor="accent2"/>
      <w:sz w:val="18"/>
      <w:szCs w:val="18"/>
    </w:rPr>
  </w:style>
  <w:style w:type="table" w:customStyle="1" w:styleId="ProductivityCommissionTable3">
    <w:name w:val="Productivity Commission Table 3"/>
    <w:basedOn w:val="TableNormal"/>
    <w:uiPriority w:val="99"/>
    <w:rsid w:val="00083F00"/>
    <w:pPr>
      <w:spacing w:after="0" w:line="240" w:lineRule="auto"/>
      <w:jc w:val="right"/>
    </w:pPr>
    <w:tblPr>
      <w:tblCellMar>
        <w:top w:w="45" w:type="dxa"/>
        <w:left w:w="0" w:type="dxa"/>
        <w:bottom w:w="45" w:type="dxa"/>
        <w:right w:w="28" w:type="dxa"/>
      </w:tblCellMar>
    </w:tblPr>
    <w:tblStylePr w:type="firstRow">
      <w:rPr>
        <w:b/>
        <w:color w:val="2B9AC2" w:themeColor="text2"/>
      </w:rPr>
      <w:tblPr/>
      <w:tcPr>
        <w:tcBorders>
          <w:top w:val="nil"/>
          <w:left w:val="nil"/>
          <w:bottom w:val="single" w:sz="4" w:space="0" w:color="71CBD5" w:themeColor="accent3"/>
          <w:right w:val="nil"/>
          <w:insideH w:val="nil"/>
          <w:insideV w:val="nil"/>
          <w:tl2br w:val="nil"/>
          <w:tr2bl w:val="nil"/>
        </w:tcBorders>
      </w:tcPr>
    </w:tblStylePr>
    <w:tblStylePr w:type="lastRow">
      <w:rPr>
        <w:b/>
      </w:rPr>
      <w:tblPr/>
      <w:tcPr>
        <w:tcBorders>
          <w:top w:val="single" w:sz="4" w:space="0" w:color="71CBD5" w:themeColor="accent3"/>
          <w:left w:val="nil"/>
          <w:bottom w:val="single" w:sz="4" w:space="0" w:color="71CBD5"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083F00"/>
    <w:pPr>
      <w:spacing w:before="240" w:after="240" w:line="500" w:lineRule="atLeast"/>
      <w:outlineLvl w:val="0"/>
    </w:pPr>
    <w:rPr>
      <w:rFonts w:ascii="Open Sans Extrabold" w:hAnsi="Open Sans Extrabold"/>
      <w:color w:val="1C4373" w:themeColor="background2" w:themeShade="BF"/>
      <w:sz w:val="42"/>
      <w:szCs w:val="20"/>
    </w:rPr>
  </w:style>
  <w:style w:type="paragraph" w:styleId="FootnoteText">
    <w:name w:val="footnote text"/>
    <w:basedOn w:val="Normal"/>
    <w:link w:val="FootnoteTextChar"/>
    <w:uiPriority w:val="99"/>
    <w:rsid w:val="00083F00"/>
    <w:pPr>
      <w:spacing w:before="60" w:after="60" w:line="293" w:lineRule="auto"/>
      <w:contextualSpacing/>
    </w:pPr>
    <w:rPr>
      <w:sz w:val="18"/>
    </w:rPr>
  </w:style>
  <w:style w:type="paragraph" w:styleId="TOC1">
    <w:name w:val="toc 1"/>
    <w:basedOn w:val="Normal"/>
    <w:next w:val="BodyText"/>
    <w:autoRedefine/>
    <w:uiPriority w:val="39"/>
    <w:unhideWhenUsed/>
    <w:rsid w:val="00083F00"/>
    <w:pPr>
      <w:tabs>
        <w:tab w:val="left" w:pos="567"/>
        <w:tab w:val="right" w:pos="7938"/>
      </w:tabs>
      <w:spacing w:after="100" w:line="293" w:lineRule="auto"/>
      <w:ind w:left="567" w:right="1701" w:hanging="567"/>
    </w:pPr>
    <w:rPr>
      <w:rFonts w:ascii="Open Sans Extrabold" w:hAnsi="Open Sans Extrabold"/>
      <w:color w:val="1C4373" w:themeColor="background2" w:themeShade="BF"/>
    </w:rPr>
  </w:style>
  <w:style w:type="character" w:customStyle="1" w:styleId="FootnoteTextChar">
    <w:name w:val="Footnote Text Char"/>
    <w:basedOn w:val="DefaultParagraphFont"/>
    <w:link w:val="FootnoteText"/>
    <w:uiPriority w:val="99"/>
    <w:rsid w:val="00083F00"/>
    <w:rPr>
      <w:rFonts w:ascii="Open Sans" w:hAnsi="Open Sans"/>
      <w:sz w:val="18"/>
      <w:szCs w:val="20"/>
    </w:rPr>
  </w:style>
  <w:style w:type="character" w:styleId="FootnoteReference">
    <w:name w:val="footnote reference"/>
    <w:basedOn w:val="DefaultParagraphFont"/>
    <w:uiPriority w:val="99"/>
    <w:semiHidden/>
    <w:unhideWhenUsed/>
    <w:rsid w:val="00083F00"/>
    <w:rPr>
      <w:vertAlign w:val="superscript"/>
    </w:rPr>
  </w:style>
  <w:style w:type="character" w:styleId="Hyperlink">
    <w:name w:val="Hyperlink"/>
    <w:basedOn w:val="DefaultParagraphFont"/>
    <w:uiPriority w:val="99"/>
    <w:unhideWhenUsed/>
    <w:rsid w:val="00083F00"/>
    <w:rPr>
      <w:color w:val="000000" w:themeColor="hyperlink"/>
      <w:u w:val="single"/>
    </w:rPr>
  </w:style>
  <w:style w:type="character" w:styleId="HTMLVariable">
    <w:name w:val="HTML Variable"/>
    <w:basedOn w:val="DefaultParagraphFont"/>
    <w:uiPriority w:val="99"/>
    <w:unhideWhenUsed/>
    <w:rsid w:val="00083F00"/>
    <w:rPr>
      <w:i/>
      <w:iCs/>
    </w:rPr>
  </w:style>
  <w:style w:type="paragraph" w:styleId="TOC2">
    <w:name w:val="toc 2"/>
    <w:basedOn w:val="Normal"/>
    <w:next w:val="Normal"/>
    <w:autoRedefine/>
    <w:uiPriority w:val="39"/>
    <w:unhideWhenUsed/>
    <w:rsid w:val="00083F00"/>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083F00"/>
    <w:pPr>
      <w:tabs>
        <w:tab w:val="right" w:pos="7938"/>
      </w:tabs>
      <w:spacing w:after="100" w:line="293" w:lineRule="auto"/>
      <w:ind w:right="1701"/>
    </w:pPr>
    <w:rPr>
      <w:rFonts w:asciiTheme="majorHAnsi" w:hAnsiTheme="majorHAnsi"/>
      <w:color w:val="1C4373" w:themeColor="background2" w:themeShade="BF"/>
    </w:rPr>
  </w:style>
  <w:style w:type="paragraph" w:customStyle="1" w:styleId="Subtitle2">
    <w:name w:val="Subtitle 2"/>
    <w:basedOn w:val="Normal"/>
    <w:link w:val="Subtitle2Char"/>
    <w:uiPriority w:val="39"/>
    <w:rsid w:val="00083F00"/>
    <w:pPr>
      <w:spacing w:before="0" w:after="160" w:line="259" w:lineRule="auto"/>
    </w:pPr>
    <w:rPr>
      <w:color w:val="1C4373" w:themeColor="background2" w:themeShade="BF"/>
      <w:sz w:val="28"/>
      <w:szCs w:val="36"/>
    </w:rPr>
  </w:style>
  <w:style w:type="paragraph" w:customStyle="1" w:styleId="Copyrightpage-Heading2">
    <w:name w:val="Copyright page-Heading 2"/>
    <w:basedOn w:val="NoSpacing"/>
    <w:link w:val="Copyrightpage-Heading2Char"/>
    <w:uiPriority w:val="19"/>
    <w:rsid w:val="00083F00"/>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083F00"/>
    <w:rPr>
      <w:rFonts w:ascii="Open Sans" w:hAnsi="Open Sans"/>
      <w:color w:val="1C4373" w:themeColor="background2" w:themeShade="BF"/>
      <w:sz w:val="28"/>
      <w:szCs w:val="36"/>
    </w:rPr>
  </w:style>
  <w:style w:type="paragraph" w:customStyle="1" w:styleId="Copyrightpage-BodyText">
    <w:name w:val="Copyright page-Body Text"/>
    <w:basedOn w:val="Normal"/>
    <w:link w:val="Copyrightpage-BodyTextChar"/>
    <w:uiPriority w:val="19"/>
    <w:rsid w:val="00083F00"/>
    <w:pPr>
      <w:spacing w:before="80" w:line="250" w:lineRule="atLeast"/>
    </w:pPr>
    <w:rPr>
      <w:color w:val="000000" w:themeColor="text1"/>
      <w:sz w:val="16"/>
    </w:rPr>
  </w:style>
  <w:style w:type="character" w:customStyle="1" w:styleId="NoSpacingChar">
    <w:name w:val="No Spacing Char"/>
    <w:basedOn w:val="DefaultParagraphFont"/>
    <w:link w:val="NoSpacing"/>
    <w:uiPriority w:val="10"/>
    <w:rsid w:val="00083F00"/>
    <w:rPr>
      <w:rFonts w:ascii="Open Sans" w:hAnsi="Open Sans"/>
      <w:sz w:val="20"/>
      <w:szCs w:val="20"/>
    </w:rPr>
  </w:style>
  <w:style w:type="character" w:customStyle="1" w:styleId="Copyrightpage-Heading2Char">
    <w:name w:val="Copyright page-Heading 2 Char"/>
    <w:basedOn w:val="NoSpacingChar"/>
    <w:link w:val="Copyrightpage-Heading2"/>
    <w:uiPriority w:val="19"/>
    <w:rsid w:val="00083F00"/>
    <w:rPr>
      <w:rFonts w:ascii="Open Sans" w:hAnsi="Open Sans"/>
      <w:b/>
      <w:color w:val="FFFFFF" w:themeColor="background1"/>
      <w:sz w:val="16"/>
      <w:szCs w:val="16"/>
    </w:rPr>
  </w:style>
  <w:style w:type="paragraph" w:customStyle="1" w:styleId="Copyrightpage-Heading">
    <w:name w:val="Copyright page-Heading"/>
    <w:basedOn w:val="Subtitle2"/>
    <w:link w:val="Copyrightpage-HeadingChar"/>
    <w:uiPriority w:val="19"/>
    <w:rsid w:val="00083F00"/>
    <w:pPr>
      <w:spacing w:line="240" w:lineRule="auto"/>
    </w:pPr>
    <w:rPr>
      <w:rFonts w:ascii="Open Sans Semibold" w:hAnsi="Open Sans Semibold"/>
      <w:spacing w:val="4"/>
      <w:sz w:val="19"/>
      <w:szCs w:val="18"/>
    </w:rPr>
  </w:style>
  <w:style w:type="character" w:customStyle="1" w:styleId="Copyrightpage-BodyTextChar">
    <w:name w:val="Copyright page-Body Text Char"/>
    <w:basedOn w:val="DefaultParagraphFont"/>
    <w:link w:val="Copyrightpage-BodyText"/>
    <w:uiPriority w:val="19"/>
    <w:rsid w:val="00083F00"/>
    <w:rPr>
      <w:rFonts w:ascii="Open Sans" w:hAnsi="Open Sans"/>
      <w:color w:val="000000" w:themeColor="text1"/>
      <w:sz w:val="16"/>
      <w:szCs w:val="20"/>
    </w:rPr>
  </w:style>
  <w:style w:type="paragraph" w:customStyle="1" w:styleId="Subtitle4">
    <w:name w:val="Subtitle 4"/>
    <w:basedOn w:val="Copyrightpage-Heading"/>
    <w:link w:val="Subtitle4Char"/>
    <w:uiPriority w:val="39"/>
    <w:rsid w:val="00C63BC1"/>
    <w:pPr>
      <w:spacing w:after="40"/>
    </w:pPr>
    <w:rPr>
      <w:b/>
      <w:sz w:val="16"/>
    </w:rPr>
  </w:style>
  <w:style w:type="character" w:customStyle="1" w:styleId="Copyrightpage-HeadingChar">
    <w:name w:val="Copyright page-Heading Char"/>
    <w:basedOn w:val="Subtitle2Char"/>
    <w:link w:val="Copyrightpage-Heading"/>
    <w:uiPriority w:val="19"/>
    <w:rsid w:val="00083F00"/>
    <w:rPr>
      <w:rFonts w:ascii="Open Sans Semibold" w:hAnsi="Open Sans Semibold"/>
      <w:color w:val="1C4373" w:themeColor="background2" w:themeShade="BF"/>
      <w:spacing w:val="4"/>
      <w:sz w:val="19"/>
      <w:szCs w:val="18"/>
    </w:rPr>
  </w:style>
  <w:style w:type="paragraph" w:customStyle="1" w:styleId="Heading1-noTOC">
    <w:name w:val="Heading 1-no TOC"/>
    <w:next w:val="BodyText"/>
    <w:uiPriority w:val="9"/>
    <w:qFormat/>
    <w:rsid w:val="00083F00"/>
    <w:pPr>
      <w:spacing w:before="600" w:after="480" w:line="504" w:lineRule="atLeast"/>
    </w:pPr>
    <w:rPr>
      <w:rFonts w:ascii="Open Sans Extrabold" w:eastAsiaTheme="majorEastAsia" w:hAnsi="Open Sans Extrabold" w:cstheme="majorBidi"/>
      <w:b/>
      <w:color w:val="1C4373" w:themeColor="background2" w:themeShade="BF"/>
      <w:sz w:val="42"/>
      <w:szCs w:val="68"/>
    </w:rPr>
  </w:style>
  <w:style w:type="character" w:customStyle="1" w:styleId="Subtitle4Char">
    <w:name w:val="Subtitle 4 Char"/>
    <w:basedOn w:val="Copyrightpage-HeadingChar"/>
    <w:link w:val="Subtitle4"/>
    <w:uiPriority w:val="39"/>
    <w:rsid w:val="00C63BC1"/>
    <w:rPr>
      <w:rFonts w:ascii="Open Sans Semibold" w:hAnsi="Open Sans Semibold"/>
      <w:b/>
      <w:color w:val="132D4D" w:themeColor="background2" w:themeShade="80"/>
      <w:spacing w:val="4"/>
      <w:sz w:val="16"/>
      <w:szCs w:val="18"/>
    </w:rPr>
  </w:style>
  <w:style w:type="paragraph" w:customStyle="1" w:styleId="Heading2-noTOC">
    <w:name w:val="Heading 2-no TOC"/>
    <w:next w:val="BodyText"/>
    <w:uiPriority w:val="9"/>
    <w:unhideWhenUsed/>
    <w:qFormat/>
    <w:rsid w:val="00083F00"/>
    <w:pPr>
      <w:spacing w:before="240" w:after="120" w:line="360" w:lineRule="atLeast"/>
    </w:pPr>
    <w:rPr>
      <w:rFonts w:ascii="Open Sans Extrabold" w:eastAsiaTheme="majorEastAsia" w:hAnsi="Open Sans Extrabold" w:cstheme="majorBidi"/>
      <w:color w:val="1C4373" w:themeColor="background2" w:themeShade="BF"/>
      <w:sz w:val="30"/>
      <w:szCs w:val="60"/>
    </w:rPr>
  </w:style>
  <w:style w:type="paragraph" w:styleId="TOC4">
    <w:name w:val="toc 4"/>
    <w:basedOn w:val="Normal"/>
    <w:next w:val="Normal"/>
    <w:autoRedefine/>
    <w:uiPriority w:val="39"/>
    <w:unhideWhenUsed/>
    <w:rsid w:val="00083F00"/>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083F00"/>
    <w:pPr>
      <w:spacing w:line="360" w:lineRule="auto"/>
      <w:jc w:val="right"/>
    </w:pPr>
    <w:rPr>
      <w:sz w:val="16"/>
    </w:rPr>
  </w:style>
  <w:style w:type="paragraph" w:customStyle="1" w:styleId="Letterlogo">
    <w:name w:val="Letter logo"/>
    <w:basedOn w:val="LetterRight"/>
    <w:uiPriority w:val="99"/>
    <w:rsid w:val="00083F00"/>
    <w:pPr>
      <w:spacing w:after="320"/>
    </w:pPr>
  </w:style>
  <w:style w:type="character" w:customStyle="1" w:styleId="LetterRightChar">
    <w:name w:val="Letter Right Char"/>
    <w:basedOn w:val="DefaultParagraphFont"/>
    <w:link w:val="LetterRight"/>
    <w:uiPriority w:val="99"/>
    <w:rsid w:val="00083F00"/>
    <w:rPr>
      <w:rFonts w:ascii="Open Sans" w:hAnsi="Open Sans"/>
      <w:sz w:val="16"/>
      <w:szCs w:val="20"/>
    </w:rPr>
  </w:style>
  <w:style w:type="character" w:styleId="UnresolvedMention">
    <w:name w:val="Unresolved Mention"/>
    <w:basedOn w:val="DefaultParagraphFont"/>
    <w:uiPriority w:val="99"/>
    <w:semiHidden/>
    <w:unhideWhenUsed/>
    <w:rsid w:val="00083F00"/>
    <w:rPr>
      <w:color w:val="605E5C"/>
      <w:shd w:val="clear" w:color="auto" w:fill="E1DFDD"/>
    </w:rPr>
  </w:style>
  <w:style w:type="paragraph" w:customStyle="1" w:styleId="LetterRight-NoSpace">
    <w:name w:val="Letter Right-No Space"/>
    <w:basedOn w:val="LetterRight"/>
    <w:uiPriority w:val="99"/>
    <w:rsid w:val="00083F00"/>
    <w:pPr>
      <w:spacing w:after="0"/>
    </w:pPr>
  </w:style>
  <w:style w:type="table" w:customStyle="1" w:styleId="Blank">
    <w:name w:val="Blank"/>
    <w:basedOn w:val="TableNormal"/>
    <w:uiPriority w:val="99"/>
    <w:rsid w:val="00083F00"/>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083F00"/>
    <w:pPr>
      <w:numPr>
        <w:numId w:val="12"/>
      </w:numPr>
      <w:contextualSpacing/>
    </w:pPr>
  </w:style>
  <w:style w:type="paragraph" w:customStyle="1" w:styleId="Coverdate">
    <w:name w:val="Cover date"/>
    <w:basedOn w:val="Normal"/>
    <w:uiPriority w:val="29"/>
    <w:rsid w:val="00083F00"/>
    <w:pPr>
      <w:framePr w:wrap="around" w:vAnchor="page" w:hAnchor="margin" w:xAlign="right" w:y="1135" w:anchorLock="1"/>
      <w:spacing w:before="0" w:after="0"/>
      <w:jc w:val="right"/>
    </w:pPr>
    <w:rPr>
      <w:rFonts w:ascii="Open Sans Semibold" w:hAnsi="Open Sans Semibold"/>
      <w:sz w:val="18"/>
    </w:rPr>
  </w:style>
  <w:style w:type="table" w:customStyle="1" w:styleId="ProductivityCommissionTable2">
    <w:name w:val="Productivity Commission Table 2"/>
    <w:basedOn w:val="ProductivityCommissionTable1"/>
    <w:uiPriority w:val="99"/>
    <w:rsid w:val="00083F00"/>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083F00"/>
    <w:rPr>
      <w:color w:val="FFFFFF" w:themeColor="background1"/>
    </w:rPr>
  </w:style>
  <w:style w:type="paragraph" w:customStyle="1" w:styleId="Copyrightpage-Keylinenotext">
    <w:name w:val="Copyright page-Keyline (no text)"/>
    <w:basedOn w:val="Copyrightpage-Heading2"/>
    <w:uiPriority w:val="19"/>
    <w:rsid w:val="00083F00"/>
    <w:pPr>
      <w:pBdr>
        <w:top w:val="single" w:sz="4" w:space="8" w:color="2B9AC2"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083F00"/>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083F00"/>
    <w:pPr>
      <w:spacing w:before="46" w:after="46"/>
      <w:ind w:left="57" w:right="108"/>
    </w:pPr>
    <w:rPr>
      <w:b/>
      <w:sz w:val="18"/>
    </w:rPr>
  </w:style>
  <w:style w:type="paragraph" w:customStyle="1" w:styleId="CoverImage">
    <w:name w:val="Cover Image"/>
    <w:basedOn w:val="Normal"/>
    <w:uiPriority w:val="29"/>
    <w:rsid w:val="00083F00"/>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083F00"/>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083F00"/>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083F00"/>
    <w:pPr>
      <w:spacing w:before="60"/>
      <w:ind w:left="113" w:right="851"/>
    </w:pPr>
    <w:rPr>
      <w:color w:val="58585B"/>
    </w:rPr>
  </w:style>
  <w:style w:type="numbering" w:customStyle="1" w:styleId="TOCList">
    <w:name w:val="TOC List"/>
    <w:uiPriority w:val="99"/>
    <w:rsid w:val="00083F00"/>
    <w:pPr>
      <w:numPr>
        <w:numId w:val="18"/>
      </w:numPr>
    </w:pPr>
  </w:style>
  <w:style w:type="paragraph" w:customStyle="1" w:styleId="Heading1-Section-fullpage">
    <w:name w:val="Heading 1-Section-full page"/>
    <w:basedOn w:val="Heading1-nobackground"/>
    <w:uiPriority w:val="9"/>
    <w:qFormat/>
    <w:rsid w:val="00083F00"/>
    <w:pPr>
      <w:framePr w:w="9639" w:h="13041" w:hRule="exact" w:wrap="around" w:vAnchor="text" w:hAnchor="text" w:y="1" w:anchorLock="1"/>
      <w:pBdr>
        <w:top w:val="single" w:sz="4" w:space="31" w:color="E7F6FD"/>
        <w:left w:val="single" w:sz="4" w:space="26" w:color="E7F6FD"/>
        <w:bottom w:val="single" w:sz="4" w:space="26" w:color="E7F6FD"/>
        <w:right w:val="single" w:sz="4" w:space="26" w:color="E7F6FD"/>
      </w:pBdr>
      <w:shd w:val="clear" w:color="auto" w:fill="E7F6FD"/>
      <w:spacing w:before="0"/>
      <w:ind w:left="567" w:right="567"/>
    </w:pPr>
  </w:style>
  <w:style w:type="table" w:customStyle="1" w:styleId="Texttable-Paleblue">
    <w:name w:val="Text table-Pale blue"/>
    <w:basedOn w:val="TableNormal"/>
    <w:uiPriority w:val="99"/>
    <w:rsid w:val="00083F00"/>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083F00"/>
    <w:pPr>
      <w:keepNext/>
      <w:spacing w:before="240"/>
    </w:pPr>
  </w:style>
  <w:style w:type="paragraph" w:customStyle="1" w:styleId="Source">
    <w:name w:val="Source"/>
    <w:basedOn w:val="Normal"/>
    <w:uiPriority w:val="9"/>
    <w:qFormat/>
    <w:rsid w:val="00083F00"/>
    <w:pPr>
      <w:spacing w:before="80" w:after="240" w:line="216" w:lineRule="atLeast"/>
    </w:pPr>
    <w:rPr>
      <w:sz w:val="18"/>
    </w:rPr>
  </w:style>
  <w:style w:type="paragraph" w:customStyle="1" w:styleId="Note">
    <w:name w:val="Note"/>
    <w:basedOn w:val="Source"/>
    <w:uiPriority w:val="9"/>
    <w:qFormat/>
    <w:rsid w:val="00083F00"/>
    <w:pPr>
      <w:spacing w:after="20"/>
    </w:pPr>
  </w:style>
  <w:style w:type="numbering" w:customStyle="1" w:styleId="Figure">
    <w:name w:val="Figure"/>
    <w:uiPriority w:val="99"/>
    <w:rsid w:val="00083F00"/>
    <w:pPr>
      <w:numPr>
        <w:numId w:val="7"/>
      </w:numPr>
    </w:pPr>
  </w:style>
  <w:style w:type="table" w:customStyle="1" w:styleId="Boxtable">
    <w:name w:val="Box table"/>
    <w:basedOn w:val="Texttable-Paleblue"/>
    <w:uiPriority w:val="99"/>
    <w:rsid w:val="00083F00"/>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083F00"/>
    <w:pPr>
      <w:numPr>
        <w:numId w:val="5"/>
      </w:numPr>
    </w:pPr>
  </w:style>
  <w:style w:type="paragraph" w:customStyle="1" w:styleId="BoxHeading2">
    <w:name w:val="Box Heading 2"/>
    <w:basedOn w:val="Normal"/>
    <w:next w:val="BodyText"/>
    <w:uiPriority w:val="4"/>
    <w:qFormat/>
    <w:rsid w:val="00083F00"/>
    <w:rPr>
      <w:b/>
    </w:rPr>
  </w:style>
  <w:style w:type="table" w:customStyle="1" w:styleId="ProductivityCommissionTable2-Dark">
    <w:name w:val="Productivity Commission Table 2 - Dark"/>
    <w:basedOn w:val="ProductivityCommissionTable2"/>
    <w:uiPriority w:val="99"/>
    <w:rsid w:val="00083F00"/>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083F00"/>
    <w:rPr>
      <w:i/>
    </w:rPr>
  </w:style>
  <w:style w:type="paragraph" w:customStyle="1" w:styleId="TableHeading">
    <w:name w:val="Table Heading"/>
    <w:basedOn w:val="NoSpacing"/>
    <w:link w:val="TableHeadingChar"/>
    <w:uiPriority w:val="4"/>
    <w:qFormat/>
    <w:rsid w:val="00083F00"/>
    <w:pPr>
      <w:spacing w:before="46" w:after="46"/>
      <w:ind w:left="57" w:right="108"/>
    </w:pPr>
    <w:rPr>
      <w:b/>
      <w:color w:val="132D4D" w:themeColor="background2" w:themeShade="80"/>
      <w:sz w:val="18"/>
    </w:rPr>
  </w:style>
  <w:style w:type="paragraph" w:customStyle="1" w:styleId="BodyText-Blue">
    <w:name w:val="Body Text-Blue"/>
    <w:basedOn w:val="BodyText"/>
    <w:link w:val="BodyText-BlueChar"/>
    <w:semiHidden/>
    <w:qFormat/>
    <w:rsid w:val="00083F00"/>
    <w:rPr>
      <w:color w:val="265A9A" w:themeColor="background2"/>
    </w:rPr>
  </w:style>
  <w:style w:type="table" w:customStyle="1" w:styleId="Texttable-Keyline">
    <w:name w:val="Text table-Keyline"/>
    <w:basedOn w:val="Texttable-Paleblue"/>
    <w:uiPriority w:val="99"/>
    <w:rsid w:val="00083F00"/>
    <w:tblPr>
      <w:tblBorders>
        <w:top w:val="single" w:sz="4" w:space="0" w:color="2B9AC2" w:themeColor="text2"/>
        <w:left w:val="single" w:sz="4" w:space="0" w:color="2B9AC2" w:themeColor="text2"/>
        <w:bottom w:val="single" w:sz="4" w:space="0" w:color="2B9AC2" w:themeColor="text2"/>
        <w:right w:val="single" w:sz="4" w:space="0" w:color="2B9AC2" w:themeColor="text2"/>
      </w:tblBorders>
    </w:tblPr>
    <w:tcPr>
      <w:shd w:val="clear" w:color="auto" w:fill="auto"/>
    </w:tcPr>
  </w:style>
  <w:style w:type="paragraph" w:customStyle="1" w:styleId="Header-KeylineRight">
    <w:name w:val="Header - Keyline Right"/>
    <w:basedOn w:val="Header-Keyline"/>
    <w:uiPriority w:val="99"/>
    <w:rsid w:val="00083F00"/>
    <w:pPr>
      <w:jc w:val="right"/>
    </w:pPr>
  </w:style>
  <w:style w:type="table" w:customStyle="1" w:styleId="CopyrightPage">
    <w:name w:val="Copyright Page"/>
    <w:basedOn w:val="OverviewPageBannerTableStyle"/>
    <w:uiPriority w:val="99"/>
    <w:rsid w:val="00083F00"/>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083F00"/>
    <w:pPr>
      <w:spacing w:line="312" w:lineRule="atLeast"/>
    </w:pPr>
  </w:style>
  <w:style w:type="paragraph" w:styleId="BodyText">
    <w:name w:val="Body Text"/>
    <w:basedOn w:val="Normal"/>
    <w:link w:val="BodyTextChar"/>
    <w:qFormat/>
    <w:rsid w:val="00083F00"/>
  </w:style>
  <w:style w:type="character" w:customStyle="1" w:styleId="BodyTextChar">
    <w:name w:val="Body Text Char"/>
    <w:basedOn w:val="DefaultParagraphFont"/>
    <w:link w:val="BodyText"/>
    <w:rsid w:val="00083F00"/>
    <w:rPr>
      <w:rFonts w:ascii="Open Sans" w:hAnsi="Open Sans"/>
      <w:sz w:val="20"/>
      <w:szCs w:val="20"/>
    </w:rPr>
  </w:style>
  <w:style w:type="paragraph" w:styleId="List4">
    <w:name w:val="List 4"/>
    <w:basedOn w:val="Normal"/>
    <w:uiPriority w:val="99"/>
    <w:semiHidden/>
    <w:rsid w:val="00083F00"/>
    <w:pPr>
      <w:numPr>
        <w:ilvl w:val="3"/>
        <w:numId w:val="10"/>
      </w:numPr>
      <w:contextualSpacing/>
    </w:pPr>
  </w:style>
  <w:style w:type="paragraph" w:styleId="List3">
    <w:name w:val="List 3"/>
    <w:basedOn w:val="Normal"/>
    <w:uiPriority w:val="99"/>
    <w:semiHidden/>
    <w:rsid w:val="00083F00"/>
    <w:pPr>
      <w:numPr>
        <w:ilvl w:val="2"/>
        <w:numId w:val="10"/>
      </w:numPr>
      <w:contextualSpacing/>
    </w:pPr>
  </w:style>
  <w:style w:type="paragraph" w:customStyle="1" w:styleId="Heading1-nonumber">
    <w:name w:val="Heading 1-no number"/>
    <w:basedOn w:val="Heading1"/>
    <w:next w:val="BodyText"/>
    <w:uiPriority w:val="9"/>
    <w:qFormat/>
    <w:rsid w:val="00083F00"/>
    <w:pPr>
      <w:numPr>
        <w:numId w:val="0"/>
      </w:numPr>
      <w:ind w:left="567"/>
    </w:pPr>
  </w:style>
  <w:style w:type="paragraph" w:customStyle="1" w:styleId="ListAlpha1">
    <w:name w:val="List Alpha 1"/>
    <w:basedOn w:val="Normal"/>
    <w:uiPriority w:val="3"/>
    <w:qFormat/>
    <w:rsid w:val="00083F00"/>
    <w:pPr>
      <w:numPr>
        <w:numId w:val="11"/>
      </w:numPr>
      <w:spacing w:before="60"/>
      <w:contextualSpacing/>
    </w:pPr>
  </w:style>
  <w:style w:type="paragraph" w:customStyle="1" w:styleId="ListAlpha2">
    <w:name w:val="List Alpha 2"/>
    <w:basedOn w:val="ListAlpha1"/>
    <w:uiPriority w:val="3"/>
    <w:qFormat/>
    <w:rsid w:val="00083F00"/>
    <w:pPr>
      <w:numPr>
        <w:ilvl w:val="1"/>
      </w:numPr>
    </w:pPr>
  </w:style>
  <w:style w:type="paragraph" w:customStyle="1" w:styleId="ListAlpha3">
    <w:name w:val="List Alpha 3"/>
    <w:basedOn w:val="ListAlpha2"/>
    <w:uiPriority w:val="3"/>
    <w:qFormat/>
    <w:rsid w:val="00083F00"/>
    <w:pPr>
      <w:numPr>
        <w:ilvl w:val="2"/>
      </w:numPr>
    </w:pPr>
  </w:style>
  <w:style w:type="paragraph" w:customStyle="1" w:styleId="ListAlpha4">
    <w:name w:val="List Alpha 4"/>
    <w:basedOn w:val="ListAlpha3"/>
    <w:uiPriority w:val="3"/>
    <w:semiHidden/>
    <w:qFormat/>
    <w:rsid w:val="00083F00"/>
    <w:pPr>
      <w:numPr>
        <w:ilvl w:val="3"/>
      </w:numPr>
    </w:pPr>
  </w:style>
  <w:style w:type="numbering" w:customStyle="1" w:styleId="Alphalist">
    <w:name w:val="Alpha list"/>
    <w:uiPriority w:val="99"/>
    <w:rsid w:val="00083F00"/>
    <w:pPr>
      <w:numPr>
        <w:numId w:val="2"/>
      </w:numPr>
    </w:pPr>
  </w:style>
  <w:style w:type="paragraph" w:customStyle="1" w:styleId="KeyPoints-Bold">
    <w:name w:val="Key Points-Bold"/>
    <w:basedOn w:val="Normal"/>
    <w:uiPriority w:val="10"/>
    <w:qFormat/>
    <w:rsid w:val="00083F00"/>
    <w:pPr>
      <w:spacing w:before="40" w:after="60" w:line="274" w:lineRule="atLeast"/>
    </w:pPr>
    <w:rPr>
      <w:b/>
      <w:sz w:val="18"/>
    </w:rPr>
  </w:style>
  <w:style w:type="paragraph" w:customStyle="1" w:styleId="Copyrightpage-BodyBold">
    <w:name w:val="Copyright page-Body Bold"/>
    <w:basedOn w:val="Copyrightpage-BodyText"/>
    <w:uiPriority w:val="19"/>
    <w:rsid w:val="00083F00"/>
    <w:rPr>
      <w:b/>
    </w:rPr>
  </w:style>
  <w:style w:type="paragraph" w:customStyle="1" w:styleId="KeyPoints-Bullet">
    <w:name w:val="Key Points-Bullet"/>
    <w:basedOn w:val="ListBullet"/>
    <w:uiPriority w:val="10"/>
    <w:qFormat/>
    <w:rsid w:val="00083F00"/>
    <w:pPr>
      <w:spacing w:after="60" w:line="274" w:lineRule="atLeast"/>
    </w:pPr>
    <w:rPr>
      <w:sz w:val="18"/>
    </w:rPr>
  </w:style>
  <w:style w:type="paragraph" w:customStyle="1" w:styleId="BodyText-Grey">
    <w:name w:val="Body Text-Grey"/>
    <w:basedOn w:val="BodyText"/>
    <w:link w:val="BodyText-GreyChar"/>
    <w:semiHidden/>
    <w:qFormat/>
    <w:rsid w:val="00083F00"/>
    <w:rPr>
      <w:color w:val="58585B"/>
    </w:rPr>
  </w:style>
  <w:style w:type="character" w:customStyle="1" w:styleId="BodyText-GreyChar">
    <w:name w:val="Body Text-Grey Char"/>
    <w:basedOn w:val="BodyTextChar"/>
    <w:link w:val="BodyText-Grey"/>
    <w:semiHidden/>
    <w:rsid w:val="00083F00"/>
    <w:rPr>
      <w:rFonts w:ascii="Open Sans" w:hAnsi="Open Sans"/>
      <w:color w:val="58585B"/>
      <w:sz w:val="20"/>
      <w:szCs w:val="20"/>
    </w:rPr>
  </w:style>
  <w:style w:type="paragraph" w:styleId="BalloonText">
    <w:name w:val="Balloon Text"/>
    <w:basedOn w:val="Normal"/>
    <w:link w:val="BalloonTextChar"/>
    <w:uiPriority w:val="99"/>
    <w:semiHidden/>
    <w:unhideWhenUsed/>
    <w:rsid w:val="00083F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F00"/>
    <w:rPr>
      <w:rFonts w:ascii="Segoe UI" w:hAnsi="Segoe UI" w:cs="Segoe UI"/>
      <w:sz w:val="18"/>
      <w:szCs w:val="18"/>
    </w:rPr>
  </w:style>
  <w:style w:type="character" w:styleId="CommentReference">
    <w:name w:val="annotation reference"/>
    <w:basedOn w:val="DefaultParagraphFont"/>
    <w:uiPriority w:val="99"/>
    <w:semiHidden/>
    <w:unhideWhenUsed/>
    <w:rsid w:val="00083F00"/>
    <w:rPr>
      <w:sz w:val="16"/>
      <w:szCs w:val="16"/>
    </w:rPr>
  </w:style>
  <w:style w:type="paragraph" w:styleId="CommentText">
    <w:name w:val="annotation text"/>
    <w:basedOn w:val="Normal"/>
    <w:link w:val="CommentTextChar"/>
    <w:uiPriority w:val="99"/>
    <w:unhideWhenUsed/>
    <w:rsid w:val="00083F00"/>
    <w:pPr>
      <w:spacing w:line="240" w:lineRule="auto"/>
    </w:pPr>
  </w:style>
  <w:style w:type="character" w:customStyle="1" w:styleId="CommentTextChar">
    <w:name w:val="Comment Text Char"/>
    <w:basedOn w:val="DefaultParagraphFont"/>
    <w:link w:val="CommentText"/>
    <w:uiPriority w:val="99"/>
    <w:rsid w:val="00083F00"/>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083F00"/>
    <w:rPr>
      <w:b/>
      <w:bCs/>
    </w:rPr>
  </w:style>
  <w:style w:type="character" w:customStyle="1" w:styleId="CommentSubjectChar">
    <w:name w:val="Comment Subject Char"/>
    <w:basedOn w:val="CommentTextChar"/>
    <w:link w:val="CommentSubject"/>
    <w:uiPriority w:val="99"/>
    <w:semiHidden/>
    <w:rsid w:val="00083F00"/>
    <w:rPr>
      <w:rFonts w:ascii="Open Sans" w:hAnsi="Open Sans"/>
      <w:b/>
      <w:bCs/>
      <w:sz w:val="20"/>
      <w:szCs w:val="20"/>
    </w:rPr>
  </w:style>
  <w:style w:type="character" w:customStyle="1" w:styleId="ColourBlue">
    <w:name w:val="Colour Blue"/>
    <w:basedOn w:val="DefaultParagraphFont"/>
    <w:uiPriority w:val="22"/>
    <w:qFormat/>
    <w:rsid w:val="00083F00"/>
    <w:rPr>
      <w:color w:val="2B9AC2" w:themeColor="text2"/>
    </w:rPr>
  </w:style>
  <w:style w:type="character" w:customStyle="1" w:styleId="ColourDarkBlue">
    <w:name w:val="Colour Dark Blue"/>
    <w:basedOn w:val="ColourBlue"/>
    <w:uiPriority w:val="22"/>
    <w:qFormat/>
    <w:rsid w:val="00083F00"/>
    <w:rPr>
      <w:color w:val="265A9A" w:themeColor="background2"/>
    </w:rPr>
  </w:style>
  <w:style w:type="paragraph" w:customStyle="1" w:styleId="BodyText-Beforebullet">
    <w:name w:val="Body Text-Before bullet"/>
    <w:basedOn w:val="BodyText"/>
    <w:link w:val="BodyText-BeforebulletChar"/>
    <w:semiHidden/>
    <w:unhideWhenUsed/>
    <w:rsid w:val="00083F00"/>
    <w:pPr>
      <w:spacing w:after="20"/>
    </w:pPr>
  </w:style>
  <w:style w:type="paragraph" w:customStyle="1" w:styleId="PullQuote">
    <w:name w:val="Pull Quote"/>
    <w:basedOn w:val="BodyText"/>
    <w:next w:val="BodyText"/>
    <w:uiPriority w:val="10"/>
    <w:qFormat/>
    <w:rsid w:val="00083F00"/>
    <w:pPr>
      <w:spacing w:before="60"/>
      <w:ind w:left="113" w:right="1134"/>
    </w:pPr>
    <w:rPr>
      <w:rFonts w:ascii="Open Sans Extrabold" w:hAnsi="Open Sans Extrabold"/>
      <w:color w:val="207291" w:themeColor="text2" w:themeShade="BF"/>
      <w:sz w:val="24"/>
    </w:rPr>
  </w:style>
  <w:style w:type="character" w:customStyle="1" w:styleId="BodyText-BeforebulletChar">
    <w:name w:val="Body Text-Before bullet Char"/>
    <w:basedOn w:val="BodyTextChar"/>
    <w:link w:val="BodyText-Beforebullet"/>
    <w:semiHidden/>
    <w:rsid w:val="00083F00"/>
    <w:rPr>
      <w:rFonts w:ascii="Open Sans" w:hAnsi="Open Sans"/>
      <w:sz w:val="20"/>
      <w:szCs w:val="20"/>
    </w:rPr>
  </w:style>
  <w:style w:type="paragraph" w:customStyle="1" w:styleId="TableBody">
    <w:name w:val="Table Body"/>
    <w:basedOn w:val="NoSpacing"/>
    <w:uiPriority w:val="4"/>
    <w:qFormat/>
    <w:rsid w:val="00083F00"/>
    <w:pPr>
      <w:spacing w:before="46" w:after="46"/>
      <w:ind w:left="57"/>
    </w:pPr>
    <w:rPr>
      <w:sz w:val="18"/>
    </w:rPr>
  </w:style>
  <w:style w:type="paragraph" w:styleId="Revision">
    <w:name w:val="Revision"/>
    <w:hidden/>
    <w:uiPriority w:val="99"/>
    <w:semiHidden/>
    <w:rsid w:val="008D19FD"/>
    <w:pPr>
      <w:spacing w:after="0" w:line="240" w:lineRule="auto"/>
    </w:pPr>
    <w:rPr>
      <w:sz w:val="20"/>
      <w:szCs w:val="20"/>
    </w:rPr>
  </w:style>
  <w:style w:type="paragraph" w:customStyle="1" w:styleId="KeyPointsicon">
    <w:name w:val="Key Points icon"/>
    <w:basedOn w:val="Normal"/>
    <w:uiPriority w:val="10"/>
    <w:qFormat/>
    <w:rsid w:val="00083F00"/>
    <w:pPr>
      <w:spacing w:before="60"/>
      <w:jc w:val="right"/>
    </w:pPr>
  </w:style>
  <w:style w:type="paragraph" w:customStyle="1" w:styleId="FigureTableSubheading">
    <w:name w:val="Figure/Table Subheading"/>
    <w:basedOn w:val="FigureTableHeading"/>
    <w:uiPriority w:val="4"/>
    <w:qFormat/>
    <w:rsid w:val="00083F00"/>
    <w:pPr>
      <w:spacing w:before="40"/>
    </w:pPr>
    <w:rPr>
      <w:color w:val="58585B"/>
    </w:rPr>
  </w:style>
  <w:style w:type="table" w:customStyle="1" w:styleId="TextTable-Grey">
    <w:name w:val="Text Table-Grey"/>
    <w:basedOn w:val="Texttable-Paleblue"/>
    <w:uiPriority w:val="99"/>
    <w:rsid w:val="00083F00"/>
    <w:rPr>
      <w:color w:val="265A9A" w:themeColor="background2"/>
    </w:rPr>
    <w:tblPr/>
    <w:tcPr>
      <w:shd w:val="clear" w:color="auto" w:fill="F2F2F2"/>
    </w:tcPr>
  </w:style>
  <w:style w:type="character" w:customStyle="1" w:styleId="BodyText-BlueChar">
    <w:name w:val="Body Text-Blue Char"/>
    <w:basedOn w:val="BodyTextChar"/>
    <w:link w:val="BodyText-Blue"/>
    <w:semiHidden/>
    <w:rsid w:val="00083F00"/>
    <w:rPr>
      <w:rFonts w:ascii="Open Sans" w:hAnsi="Open Sans"/>
      <w:color w:val="265A9A" w:themeColor="background2"/>
      <w:sz w:val="20"/>
      <w:szCs w:val="20"/>
    </w:rPr>
  </w:style>
  <w:style w:type="paragraph" w:customStyle="1" w:styleId="Heading3-nonumber">
    <w:name w:val="Heading 3-no number"/>
    <w:basedOn w:val="Heading3"/>
    <w:uiPriority w:val="9"/>
    <w:semiHidden/>
    <w:qFormat/>
    <w:rsid w:val="00083F00"/>
  </w:style>
  <w:style w:type="paragraph" w:customStyle="1" w:styleId="Heading1-nobackground">
    <w:name w:val="Heading 1-no background"/>
    <w:basedOn w:val="Heading1"/>
    <w:next w:val="BodyText"/>
    <w:uiPriority w:val="9"/>
    <w:qFormat/>
    <w:rsid w:val="00083F00"/>
    <w:pPr>
      <w:numPr>
        <w:numId w:val="0"/>
      </w:numPr>
      <w:pBdr>
        <w:top w:val="none" w:sz="0" w:space="0" w:color="auto"/>
        <w:left w:val="none" w:sz="0" w:space="0" w:color="auto"/>
        <w:bottom w:val="none" w:sz="0" w:space="0" w:color="auto"/>
        <w:right w:val="none" w:sz="0" w:space="0" w:color="auto"/>
      </w:pBdr>
      <w:shd w:val="clear" w:color="auto" w:fill="auto"/>
      <w:spacing w:before="600"/>
      <w:ind w:right="0"/>
    </w:pPr>
  </w:style>
  <w:style w:type="character" w:customStyle="1" w:styleId="QuoteChar">
    <w:name w:val="Quote Char"/>
    <w:basedOn w:val="DefaultParagraphFont"/>
    <w:link w:val="Quote"/>
    <w:uiPriority w:val="1"/>
    <w:rsid w:val="00083F00"/>
    <w:rPr>
      <w:rFonts w:ascii="Open Sans" w:hAnsi="Open Sans"/>
      <w:color w:val="58585B"/>
      <w:sz w:val="20"/>
      <w:szCs w:val="20"/>
    </w:rPr>
  </w:style>
  <w:style w:type="paragraph" w:customStyle="1" w:styleId="TableHeading-numbered">
    <w:name w:val="Table Heading-numbered"/>
    <w:basedOn w:val="Normal"/>
    <w:semiHidden/>
    <w:qFormat/>
    <w:rsid w:val="00083F00"/>
    <w:pPr>
      <w:numPr>
        <w:numId w:val="17"/>
      </w:numPr>
      <w:spacing w:before="60"/>
      <w:contextualSpacing/>
    </w:pPr>
    <w:rPr>
      <w:b/>
      <w:color w:val="265A9A" w:themeColor="background2"/>
    </w:rPr>
  </w:style>
  <w:style w:type="numbering" w:customStyle="1" w:styleId="TableList">
    <w:name w:val="TableList"/>
    <w:uiPriority w:val="99"/>
    <w:rsid w:val="00083F00"/>
    <w:pPr>
      <w:numPr>
        <w:numId w:val="17"/>
      </w:numPr>
    </w:pPr>
  </w:style>
  <w:style w:type="paragraph" w:customStyle="1" w:styleId="Footer-right">
    <w:name w:val="Footer-right"/>
    <w:basedOn w:val="Footer"/>
    <w:uiPriority w:val="11"/>
    <w:rsid w:val="00083F00"/>
    <w:pPr>
      <w:jc w:val="right"/>
    </w:pPr>
    <w:rPr>
      <w:szCs w:val="24"/>
    </w:rPr>
  </w:style>
  <w:style w:type="paragraph" w:customStyle="1" w:styleId="Heading2-nonumber">
    <w:name w:val="Heading 2-no number"/>
    <w:basedOn w:val="Heading2"/>
    <w:uiPriority w:val="9"/>
    <w:qFormat/>
    <w:rsid w:val="00083F00"/>
    <w:pPr>
      <w:numPr>
        <w:ilvl w:val="0"/>
        <w:numId w:val="0"/>
      </w:numPr>
    </w:pPr>
  </w:style>
  <w:style w:type="paragraph" w:customStyle="1" w:styleId="Heading-Appendix">
    <w:name w:val="Heading-Appendix"/>
    <w:basedOn w:val="Heading1-nonumber"/>
    <w:next w:val="BodyText"/>
    <w:uiPriority w:val="9"/>
    <w:qFormat/>
    <w:rsid w:val="00083F00"/>
    <w:pPr>
      <w:numPr>
        <w:numId w:val="8"/>
      </w:numPr>
    </w:pPr>
  </w:style>
  <w:style w:type="numbering" w:customStyle="1" w:styleId="AppendixHeading">
    <w:name w:val="AppendixHeading"/>
    <w:uiPriority w:val="99"/>
    <w:rsid w:val="00083F00"/>
    <w:pPr>
      <w:numPr>
        <w:numId w:val="4"/>
      </w:numPr>
    </w:pPr>
  </w:style>
  <w:style w:type="paragraph" w:customStyle="1" w:styleId="DraftingNote">
    <w:name w:val="Drafting Note"/>
    <w:basedOn w:val="BodyText"/>
    <w:link w:val="DraftingNoteChar"/>
    <w:qFormat/>
    <w:rsid w:val="00083F00"/>
    <w:pPr>
      <w:contextualSpacing/>
    </w:pPr>
    <w:rPr>
      <w:color w:val="A22D2B"/>
      <w:sz w:val="24"/>
      <w:u w:val="dotted"/>
    </w:rPr>
  </w:style>
  <w:style w:type="character" w:customStyle="1" w:styleId="DraftingNoteChar">
    <w:name w:val="Drafting Note Char"/>
    <w:basedOn w:val="BodyTextChar"/>
    <w:link w:val="DraftingNote"/>
    <w:rsid w:val="00083F00"/>
    <w:rPr>
      <w:rFonts w:ascii="Open Sans" w:hAnsi="Open Sans"/>
      <w:color w:val="A22D2B"/>
      <w:sz w:val="24"/>
      <w:szCs w:val="20"/>
      <w:u w:val="dotted"/>
    </w:rPr>
  </w:style>
  <w:style w:type="paragraph" w:customStyle="1" w:styleId="BoxHeading1">
    <w:name w:val="Box Heading 1"/>
    <w:basedOn w:val="FigureTableHeading"/>
    <w:next w:val="BodyText"/>
    <w:uiPriority w:val="4"/>
    <w:qFormat/>
    <w:rsid w:val="00083F00"/>
    <w:pPr>
      <w:spacing w:after="0"/>
    </w:pPr>
  </w:style>
  <w:style w:type="character" w:styleId="Emphasis">
    <w:name w:val="Emphasis"/>
    <w:basedOn w:val="DefaultParagraphFont"/>
    <w:uiPriority w:val="22"/>
    <w:qFormat/>
    <w:rsid w:val="00083F00"/>
    <w:rPr>
      <w:i/>
      <w:iCs/>
    </w:rPr>
  </w:style>
  <w:style w:type="paragraph" w:customStyle="1" w:styleId="Reference">
    <w:name w:val="Reference"/>
    <w:basedOn w:val="BodyText"/>
    <w:qFormat/>
    <w:rsid w:val="00083F00"/>
    <w:pPr>
      <w:spacing w:before="0" w:after="60" w:line="200" w:lineRule="exact"/>
    </w:pPr>
    <w:rPr>
      <w:sz w:val="16"/>
    </w:rPr>
  </w:style>
  <w:style w:type="paragraph" w:customStyle="1" w:styleId="Keypoints-heading">
    <w:name w:val="Key points-heading"/>
    <w:basedOn w:val="Heading3"/>
    <w:uiPriority w:val="10"/>
    <w:qFormat/>
    <w:rsid w:val="00083F00"/>
    <w:rPr>
      <w:color w:val="auto"/>
    </w:rPr>
  </w:style>
  <w:style w:type="paragraph" w:customStyle="1" w:styleId="Heading2-Appendix">
    <w:name w:val="Heading 2-Appendix"/>
    <w:basedOn w:val="Heading2-nonumber"/>
    <w:next w:val="Normal"/>
    <w:uiPriority w:val="10"/>
    <w:qFormat/>
    <w:rsid w:val="00083F00"/>
    <w:pPr>
      <w:numPr>
        <w:ilvl w:val="1"/>
        <w:numId w:val="8"/>
      </w:numPr>
    </w:pPr>
  </w:style>
  <w:style w:type="numbering" w:customStyle="1" w:styleId="AppendixHeadingList">
    <w:name w:val="Appendix Heading List"/>
    <w:uiPriority w:val="99"/>
    <w:rsid w:val="00083F00"/>
    <w:pPr>
      <w:numPr>
        <w:numId w:val="3"/>
      </w:numPr>
    </w:pPr>
  </w:style>
  <w:style w:type="paragraph" w:customStyle="1" w:styleId="Space">
    <w:name w:val="Space"/>
    <w:basedOn w:val="BodyText"/>
    <w:uiPriority w:val="1"/>
    <w:rsid w:val="00083F00"/>
    <w:pPr>
      <w:spacing w:before="0" w:after="0"/>
    </w:pPr>
  </w:style>
  <w:style w:type="paragraph" w:customStyle="1" w:styleId="QuoteBullet">
    <w:name w:val="Quote Bullet"/>
    <w:basedOn w:val="ListBullet"/>
    <w:link w:val="QuoteBulletChar"/>
    <w:uiPriority w:val="1"/>
    <w:qFormat/>
    <w:rsid w:val="00083F00"/>
    <w:pPr>
      <w:spacing w:before="60"/>
      <w:ind w:left="340" w:right="851"/>
    </w:pPr>
    <w:rPr>
      <w:color w:val="58585B"/>
    </w:rPr>
  </w:style>
  <w:style w:type="character" w:customStyle="1" w:styleId="ListBulletChar">
    <w:name w:val="List Bullet Char"/>
    <w:basedOn w:val="DefaultParagraphFont"/>
    <w:link w:val="ListBullet"/>
    <w:uiPriority w:val="1"/>
    <w:rsid w:val="00083F00"/>
    <w:rPr>
      <w:rFonts w:ascii="Open Sans" w:hAnsi="Open Sans"/>
      <w:sz w:val="20"/>
      <w:szCs w:val="20"/>
    </w:rPr>
  </w:style>
  <w:style w:type="character" w:customStyle="1" w:styleId="QuoteBulletChar">
    <w:name w:val="Quote Bullet Char"/>
    <w:basedOn w:val="ListBulletChar"/>
    <w:link w:val="QuoteBullet"/>
    <w:uiPriority w:val="1"/>
    <w:rsid w:val="00083F00"/>
    <w:rPr>
      <w:rFonts w:ascii="Open Sans" w:hAnsi="Open Sans"/>
      <w:color w:val="58585B"/>
      <w:sz w:val="20"/>
      <w:szCs w:val="20"/>
    </w:rPr>
  </w:style>
  <w:style w:type="paragraph" w:customStyle="1" w:styleId="Figurecharttitle">
    <w:name w:val="Figure chart title"/>
    <w:basedOn w:val="BodyText"/>
    <w:uiPriority w:val="10"/>
    <w:qFormat/>
    <w:rsid w:val="00083F00"/>
    <w:pPr>
      <w:spacing w:before="0" w:after="0"/>
      <w:ind w:left="284" w:hanging="284"/>
    </w:pPr>
    <w:rPr>
      <w:sz w:val="18"/>
      <w:szCs w:val="18"/>
    </w:rPr>
  </w:style>
  <w:style w:type="paragraph" w:customStyle="1" w:styleId="TableListBullet">
    <w:name w:val="Table List Bullet"/>
    <w:basedOn w:val="ListBullet"/>
    <w:uiPriority w:val="10"/>
    <w:qFormat/>
    <w:rsid w:val="00083F00"/>
    <w:pPr>
      <w:spacing w:before="46" w:after="46"/>
      <w:ind w:left="170" w:hanging="113"/>
    </w:pPr>
    <w:rPr>
      <w:sz w:val="18"/>
    </w:rPr>
  </w:style>
  <w:style w:type="character" w:styleId="FollowedHyperlink">
    <w:name w:val="FollowedHyperlink"/>
    <w:basedOn w:val="DefaultParagraphFont"/>
    <w:uiPriority w:val="99"/>
    <w:semiHidden/>
    <w:unhideWhenUsed/>
    <w:rsid w:val="0000387A"/>
    <w:rPr>
      <w:color w:val="BFBFBF" w:themeColor="followedHyperlink"/>
      <w:u w:val="single"/>
    </w:rPr>
  </w:style>
  <w:style w:type="paragraph" w:customStyle="1" w:styleId="PullQuoteNoSpacing">
    <w:name w:val="Pull Quote No Spacing"/>
    <w:basedOn w:val="NoSpacing"/>
    <w:link w:val="PullQuoteNoSpacingChar"/>
    <w:uiPriority w:val="10"/>
    <w:qFormat/>
    <w:rsid w:val="00083F00"/>
    <w:pPr>
      <w:spacing w:line="160" w:lineRule="exact"/>
    </w:pPr>
  </w:style>
  <w:style w:type="character" w:customStyle="1" w:styleId="PullQuoteNoSpacingChar">
    <w:name w:val="Pull Quote No Spacing Char"/>
    <w:basedOn w:val="NoSpacingChar"/>
    <w:link w:val="PullQuoteNoSpacing"/>
    <w:uiPriority w:val="10"/>
    <w:rsid w:val="00083F00"/>
    <w:rPr>
      <w:rFonts w:ascii="Open Sans" w:hAnsi="Open Sans"/>
      <w:sz w:val="20"/>
      <w:szCs w:val="20"/>
    </w:rPr>
  </w:style>
  <w:style w:type="paragraph" w:customStyle="1" w:styleId="PullQuote-Indigenous">
    <w:name w:val="Pull Quote-Indigenous"/>
    <w:basedOn w:val="PullQuote"/>
    <w:uiPriority w:val="10"/>
    <w:qFormat/>
    <w:rsid w:val="00083F00"/>
    <w:pPr>
      <w:ind w:right="680"/>
    </w:pPr>
    <w:rPr>
      <w:rFonts w:ascii="Open Sans" w:hAnsi="Open Sans" w:cs="Arial"/>
      <w:color w:val="auto"/>
      <w:spacing w:val="6"/>
      <w:sz w:val="22"/>
      <w:szCs w:val="22"/>
    </w:rPr>
  </w:style>
  <w:style w:type="paragraph" w:customStyle="1" w:styleId="Boxsp">
    <w:name w:val="Box sp"/>
    <w:basedOn w:val="BodyText"/>
    <w:rsid w:val="00D5282A"/>
    <w:rPr>
      <w:smallCaps/>
      <w:vanish/>
      <w:color w:val="FF00FF"/>
    </w:rPr>
  </w:style>
  <w:style w:type="character" w:styleId="Mention">
    <w:name w:val="Mention"/>
    <w:basedOn w:val="DefaultParagraphFont"/>
    <w:uiPriority w:val="99"/>
    <w:unhideWhenUsed/>
    <w:rsid w:val="006424BB"/>
    <w:rPr>
      <w:color w:val="2B579A"/>
      <w:shd w:val="clear" w:color="auto" w:fill="E1DFDD"/>
    </w:rPr>
  </w:style>
  <w:style w:type="paragraph" w:styleId="Bibliography">
    <w:name w:val="Bibliography"/>
    <w:basedOn w:val="Normal"/>
    <w:next w:val="Normal"/>
    <w:uiPriority w:val="37"/>
    <w:unhideWhenUsed/>
    <w:rsid w:val="00DA26A2"/>
  </w:style>
  <w:style w:type="character" w:styleId="EndnoteReference">
    <w:name w:val="endnote reference"/>
    <w:basedOn w:val="DefaultParagraphFont"/>
    <w:uiPriority w:val="99"/>
    <w:semiHidden/>
    <w:unhideWhenUsed/>
    <w:rsid w:val="00882580"/>
    <w:rPr>
      <w:vertAlign w:val="superscript"/>
    </w:rPr>
  </w:style>
  <w:style w:type="paragraph" w:customStyle="1" w:styleId="CoverdisclaimerwhiteCover">
    <w:name w:val="Cover – disclaimer (white) (Cover)"/>
    <w:basedOn w:val="Normal"/>
    <w:uiPriority w:val="99"/>
    <w:rsid w:val="00083F00"/>
    <w:pPr>
      <w:tabs>
        <w:tab w:val="left" w:pos="170"/>
        <w:tab w:val="left" w:pos="6236"/>
      </w:tabs>
      <w:suppressAutoHyphens/>
      <w:autoSpaceDE w:val="0"/>
      <w:autoSpaceDN w:val="0"/>
      <w:adjustRightInd w:val="0"/>
      <w:spacing w:before="0" w:after="0" w:line="288" w:lineRule="auto"/>
      <w:textAlignment w:val="center"/>
    </w:pPr>
    <w:rPr>
      <w:rFonts w:cs="Open Sans"/>
      <w:color w:val="FFFFFF" w:themeColor="background1"/>
      <w:sz w:val="18"/>
      <w:szCs w:val="18"/>
      <w:lang w:val="en-US"/>
    </w:rPr>
  </w:style>
  <w:style w:type="character" w:customStyle="1" w:styleId="TableHeadingChar">
    <w:name w:val="Table Heading Char"/>
    <w:basedOn w:val="NoSpacingChar"/>
    <w:link w:val="TableHeading"/>
    <w:uiPriority w:val="4"/>
    <w:rsid w:val="00083F00"/>
    <w:rPr>
      <w:rFonts w:ascii="Open Sans" w:hAnsi="Open Sans"/>
      <w:b/>
      <w:color w:val="132D4D" w:themeColor="background2" w:themeShade="80"/>
      <w:sz w:val="18"/>
      <w:szCs w:val="20"/>
    </w:rPr>
  </w:style>
  <w:style w:type="paragraph" w:customStyle="1" w:styleId="FindingRecRequesttitle">
    <w:name w:val="Finding/Rec/Request title"/>
    <w:basedOn w:val="TableHeading"/>
    <w:link w:val="FindingRecRequesttitleChar"/>
    <w:uiPriority w:val="10"/>
    <w:qFormat/>
    <w:rsid w:val="00083F00"/>
    <w:pPr>
      <w:keepNext/>
      <w:keepLines/>
      <w:spacing w:before="120" w:after="120"/>
      <w:contextualSpacing/>
    </w:pPr>
    <w:rPr>
      <w:color w:val="265A9A" w:themeColor="background2"/>
      <w:sz w:val="20"/>
    </w:rPr>
  </w:style>
  <w:style w:type="character" w:customStyle="1" w:styleId="FindingRecRequesttitleChar">
    <w:name w:val="Finding/Rec/Request title Char"/>
    <w:basedOn w:val="TableHeadingChar"/>
    <w:link w:val="FindingRecRequesttitle"/>
    <w:uiPriority w:val="10"/>
    <w:rsid w:val="00083F00"/>
    <w:rPr>
      <w:rFonts w:ascii="Open Sans" w:hAnsi="Open Sans"/>
      <w:b/>
      <w:color w:val="265A9A" w:themeColor="background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5.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emf"/><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image" Target="media/image9.emf"/><Relationship Id="rId27"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pcgov.sharepoint.com/sites/sce/FormServerTemplates/PC-report-template.dotx" TargetMode="External"/></Relationships>
</file>

<file path=word/theme/theme1.xml><?xml version="1.0" encoding="utf-8"?>
<a:theme xmlns:a="http://schemas.openxmlformats.org/drawingml/2006/main" name="Office Theme">
  <a:themeElements>
    <a:clrScheme name="PC colour scheme 2025">
      <a:dk1>
        <a:srgbClr val="000000"/>
      </a:dk1>
      <a:lt1>
        <a:srgbClr val="FFFFFF"/>
      </a:lt1>
      <a:dk2>
        <a:srgbClr val="2B9AC2"/>
      </a:dk2>
      <a:lt2>
        <a:srgbClr val="265A9A"/>
      </a:lt2>
      <a:accent1>
        <a:srgbClr val="66BCDB"/>
      </a:accent1>
      <a:accent2>
        <a:srgbClr val="8956A3"/>
      </a:accent2>
      <a:accent3>
        <a:srgbClr val="71CBD5"/>
      </a:accent3>
      <a:accent4>
        <a:srgbClr val="90D8F7"/>
      </a:accent4>
      <a:accent5>
        <a:srgbClr val="14315B"/>
      </a:accent5>
      <a:accent6>
        <a:srgbClr val="542972"/>
      </a:accent6>
      <a:hlink>
        <a:srgbClr val="000000"/>
      </a:hlink>
      <a:folHlink>
        <a:srgbClr val="BFBFBF"/>
      </a:folHlink>
    </a:clrScheme>
    <a:fontScheme name="ACDC">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TemplafyTemplateConfiguration><![CDATA[{"elementsMetadata":[],"transformationConfigurations":[],"templateName":"chapter","templateDescription":"","enableDocumentContentUpdater":false,"version":"2.0"}]]></TemplafyTemplateConfiguration>
</file>

<file path=customXml/item4.xml><?xml version="1.0" encoding="utf-8"?>
<TemplafyFormConfiguration><![CDATA[{"formFields":[],"formDataEntries":[]}]]></TemplafyFormConfiguration>
</file>

<file path=customXml/item5.xml><?xml version="1.0" encoding="utf-8"?>
<p:properties xmlns:p="http://schemas.microsoft.com/office/2006/metadata/properties" xmlns:xsi="http://www.w3.org/2001/XMLSchema-instance" xmlns:pc="http://schemas.microsoft.com/office/infopath/2007/PartnerControls">
  <documentManagement>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20393cdf-440a-4521-8f19-00ba43423d00">
      <Value>1</Value>
    </TaxCatchAll>
    <lcf76f155ced4ddcb4097134ff3c332f xmlns="3d385984-9344-419b-a80b-49c06a2bdab8">
      <Terms xmlns="http://schemas.microsoft.com/office/infopath/2007/PartnerControls"/>
    </lcf76f155ced4ddcb4097134ff3c332f>
    <thumbnail xmlns="3d385984-9344-419b-a80b-49c06a2bdab8" xsi:nil="true"/>
    <Status xmlns="3d385984-9344-419b-a80b-49c06a2bdab8" xsi:nil="true"/>
    <_Flow_SignoffStatus xmlns="3d385984-9344-419b-a80b-49c06a2bdab8" xsi:nil="true"/>
    <_dlc_DocId xmlns="20393cdf-440a-4521-8f19-00ba43423d00">MPWT-2140667901-109682</_dlc_DocId>
    <_dlc_DocIdUrl xmlns="20393cdf-440a-4521-8f19-00ba43423d00">
      <Url>https://pcgov.sharepoint.com/sites/sceteam/_layouts/15/DocIdRedir.aspx?ID=MPWT-2140667901-109682</Url>
      <Description>MPWT-2140667901-109682</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0" ma:contentTypeDescription="" ma:contentTypeScope="" ma:versionID="c23251bed3d0ef9404a49a41843dcf41">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7898c787e18e6c7779e8f1c3e93452b9"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C5FCB-ADF8-464D-9830-E76C268395B0}">
  <ds:schemaRefs>
    <ds:schemaRef ds:uri="http://schemas.microsoft.com/sharepoint/v3/contenttype/forms"/>
  </ds:schemaRefs>
</ds:datastoreItem>
</file>

<file path=customXml/itemProps2.xml><?xml version="1.0" encoding="utf-8"?>
<ds:datastoreItem xmlns:ds="http://schemas.openxmlformats.org/officeDocument/2006/customXml" ds:itemID="{4E16FD9D-6288-4623-8750-0F2AE2032535}">
  <ds:schemaRefs>
    <ds:schemaRef ds:uri="http://schemas.microsoft.com/sharepoint/events"/>
  </ds:schemaRefs>
</ds:datastoreItem>
</file>

<file path=customXml/itemProps3.xml><?xml version="1.0" encoding="utf-8"?>
<ds:datastoreItem xmlns:ds="http://schemas.openxmlformats.org/officeDocument/2006/customXml" ds:itemID="{5CCDCE8C-2FF2-479D-91C1-79A7A7683D3C}">
  <ds:schemaRefs/>
</ds:datastoreItem>
</file>

<file path=customXml/itemProps4.xml><?xml version="1.0" encoding="utf-8"?>
<ds:datastoreItem xmlns:ds="http://schemas.openxmlformats.org/officeDocument/2006/customXml" ds:itemID="{9897F752-2238-441E-ABA5-DB8C10DEA577}">
  <ds:schemaRefs/>
</ds:datastoreItem>
</file>

<file path=customXml/itemProps5.xml><?xml version="1.0" encoding="utf-8"?>
<ds:datastoreItem xmlns:ds="http://schemas.openxmlformats.org/officeDocument/2006/customXml" ds:itemID="{A9375862-7444-4178-95BA-49A058BB7408}">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customXml/itemProps6.xml><?xml version="1.0" encoding="utf-8"?>
<ds:datastoreItem xmlns:ds="http://schemas.openxmlformats.org/officeDocument/2006/customXml" ds:itemID="{90E3F935-5D71-46C5-AA2C-DDB7AF5D6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PC-report-template.dotx</Template>
  <TotalTime>123</TotalTime>
  <Pages>20</Pages>
  <Words>7360</Words>
  <Characters>40999</Characters>
  <Application>Microsoft Office Word</Application>
  <DocSecurity>0</DocSecurity>
  <Lines>640</Lines>
  <Paragraphs>225</Paragraphs>
  <ScaleCrop>false</ScaleCrop>
  <HeadingPairs>
    <vt:vector size="2" baseType="variant">
      <vt:variant>
        <vt:lpstr>Title</vt:lpstr>
      </vt:variant>
      <vt:variant>
        <vt:i4>1</vt:i4>
      </vt:variant>
    </vt:vector>
  </HeadingPairs>
  <TitlesOfParts>
    <vt:vector size="1" baseType="lpstr">
      <vt:lpstr>Understanding Australia’s system of fiscal transfers - Supporting paper - Interim report - GST distribution reforms</vt:lpstr>
    </vt:vector>
  </TitlesOfParts>
  <Company>Productivity Commission</Company>
  <LinksUpToDate>false</LinksUpToDate>
  <CharactersWithSpaces>48134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Australia’s system of fiscal transfers - Supporting paper - Interim report - GST distribution reforms</dc:title>
  <dc:subject>Supporting paper</dc:subject>
  <dc:creator>Productivity Commission</dc:creator>
  <cp:keywords/>
  <dc:description/>
  <cp:lastModifiedBy>Chris Alston</cp:lastModifiedBy>
  <cp:revision>59</cp:revision>
  <cp:lastPrinted>2026-08-13T10:13:00Z</cp:lastPrinted>
  <dcterms:created xsi:type="dcterms:W3CDTF">2026-08-13T06:43:00Z</dcterms:created>
  <dcterms:modified xsi:type="dcterms:W3CDTF">2026-08-14T01:08:00Z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ournalAbbreviations" value="true"/&gt;&lt;/prefs&gt;&lt;/data&gt;</vt:lpwstr>
  </property>
  <property fmtid="{D5CDD505-2E9C-101B-9397-08002B2CF9AE}" pid="3" name="RevIMBCS">
    <vt:lpwstr>1;#Unclassified|3955eeb1-2d18-4582-aeb2-00144ec3aaf5</vt:lpwstr>
  </property>
  <property fmtid="{D5CDD505-2E9C-101B-9397-08002B2CF9AE}" pid="4" name="_dlc_DocIdItemGuid">
    <vt:lpwstr>bd31a762-d8a5-4d89-836a-c3ef22d3ef0a</vt:lpwstr>
  </property>
  <property fmtid="{D5CDD505-2E9C-101B-9397-08002B2CF9AE}" pid="5" name="MediaServiceImageTags">
    <vt:lpwstr/>
  </property>
  <property fmtid="{D5CDD505-2E9C-101B-9397-08002B2CF9AE}" pid="6" name="TemplafyTenantId">
    <vt:lpwstr>productivitycommission</vt:lpwstr>
  </property>
  <property fmtid="{D5CDD505-2E9C-101B-9397-08002B2CF9AE}" pid="7" name="TemplafyTemplateId">
    <vt:lpwstr>637629323564275408</vt:lpwstr>
  </property>
  <property fmtid="{D5CDD505-2E9C-101B-9397-08002B2CF9AE}" pid="8" name="TemplafyUserProfileId">
    <vt:lpwstr>1370185054791139465</vt:lpwstr>
  </property>
  <property fmtid="{D5CDD505-2E9C-101B-9397-08002B2CF9AE}" pid="9" name="TemplafyFromBlank">
    <vt:bool>false</vt:bool>
  </property>
  <property fmtid="{D5CDD505-2E9C-101B-9397-08002B2CF9AE}" pid="10" name="docLang">
    <vt:lpwstr>en</vt:lpwstr>
  </property>
  <property fmtid="{D5CDD505-2E9C-101B-9397-08002B2CF9AE}" pid="11" name="ClassificationContentMarkingHeaderShapeIds">
    <vt:lpwstr>6375f601,625f7d63,6377da5e</vt:lpwstr>
  </property>
  <property fmtid="{D5CDD505-2E9C-101B-9397-08002B2CF9AE}" pid="12" name="ClassificationContentMarkingHeaderFontProps">
    <vt:lpwstr>#000000,12,Aptos</vt:lpwstr>
  </property>
  <property fmtid="{D5CDD505-2E9C-101B-9397-08002B2CF9AE}" pid="13" name="ClassificationContentMarkingHeaderText">
    <vt:lpwstr>OFFICIAL // FOR INTERNAL USE ONLY</vt:lpwstr>
  </property>
  <property fmtid="{D5CDD505-2E9C-101B-9397-08002B2CF9AE}" pid="14" name="ZOTERO_PREF_1">
    <vt:lpwstr>&lt;data data-version="3" zotero-version="9.0.6"&gt;&lt;session id="BmJqTnG9"/&gt;&lt;style id="http://www.zotero.org/styles/Productivity-Commission" hasBibliography="1" bibliographyStyleHasBeenSet="1"/&gt;&lt;prefs&gt;&lt;pref name="fieldType" value="Field"/&gt;&lt;pref name="automaticJ</vt:lpwstr>
  </property>
  <property fmtid="{D5CDD505-2E9C-101B-9397-08002B2CF9AE}" pid="15" name="MSIP_Label_c1f2b1ce-4212-46db-a901-dd8453f57141_Enabled">
    <vt:lpwstr>true</vt:lpwstr>
  </property>
  <property fmtid="{D5CDD505-2E9C-101B-9397-08002B2CF9AE}" pid="16" name="MSIP_Label_c1f2b1ce-4212-46db-a901-dd8453f57141_SetDate">
    <vt:lpwstr>2026-08-13T06:44:16Z</vt:lpwstr>
  </property>
  <property fmtid="{D5CDD505-2E9C-101B-9397-08002B2CF9AE}" pid="17" name="MSIP_Label_c1f2b1ce-4212-46db-a901-dd8453f57141_Method">
    <vt:lpwstr>Privileged</vt:lpwstr>
  </property>
  <property fmtid="{D5CDD505-2E9C-101B-9397-08002B2CF9AE}" pid="18" name="MSIP_Label_c1f2b1ce-4212-46db-a901-dd8453f57141_Name">
    <vt:lpwstr>Publish</vt:lpwstr>
  </property>
  <property fmtid="{D5CDD505-2E9C-101B-9397-08002B2CF9AE}" pid="19" name="MSIP_Label_c1f2b1ce-4212-46db-a901-dd8453f57141_SiteId">
    <vt:lpwstr>29f9330b-c0fe-4244-830e-ba9f275d6c34</vt:lpwstr>
  </property>
  <property fmtid="{D5CDD505-2E9C-101B-9397-08002B2CF9AE}" pid="20" name="MSIP_Label_c1f2b1ce-4212-46db-a901-dd8453f57141_ActionId">
    <vt:lpwstr>053ccac6-0368-42cf-a0ae-805c5e4db1bc</vt:lpwstr>
  </property>
  <property fmtid="{D5CDD505-2E9C-101B-9397-08002B2CF9AE}" pid="21" name="MSIP_Label_c1f2b1ce-4212-46db-a901-dd8453f57141_ContentBits">
    <vt:lpwstr>0</vt:lpwstr>
  </property>
  <property fmtid="{D5CDD505-2E9C-101B-9397-08002B2CF9AE}" pid="22" name="MSIP_Label_c1f2b1ce-4212-46db-a901-dd8453f57141_Tag">
    <vt:lpwstr>10, 0, 1, 1</vt:lpwstr>
  </property>
  <property fmtid="{D5CDD505-2E9C-101B-9397-08002B2CF9AE}" pid="23" name="ContentTypeId">
    <vt:lpwstr>0x0101006C0B5E815648EF46B6FA6D42F17E5E9F000C963E276195B04F83BC027CFDC94A8D</vt:lpwstr>
  </property>
  <property fmtid="{D5CDD505-2E9C-101B-9397-08002B2CF9AE}" pid="24" name="MSIP_Label_0b6c7bd6-484a-4db3-95ba-dac3a08e6b47_Tag">
    <vt:lpwstr>10, 0, 1, 1</vt:lpwstr>
  </property>
  <property fmtid="{D5CDD505-2E9C-101B-9397-08002B2CF9AE}" pid="25" name="MSIP_Label_0b6c7bd6-484a-4db3-95ba-dac3a08e6b47_Enabled">
    <vt:lpwstr>true</vt:lpwstr>
  </property>
  <property fmtid="{D5CDD505-2E9C-101B-9397-08002B2CF9AE}" pid="26" name="MSIP_Label_0b6c7bd6-484a-4db3-95ba-dac3a08e6b47_SetDate">
    <vt:lpwstr>2026-03-03T23:00:31Z</vt:lpwstr>
  </property>
  <property fmtid="{D5CDD505-2E9C-101B-9397-08002B2CF9AE}" pid="27" name="MSIP_Label_0b6c7bd6-484a-4db3-95ba-dac3a08e6b47_Name">
    <vt:lpwstr>OFFICIAL - FOR INTERNAL USE ONLY</vt:lpwstr>
  </property>
  <property fmtid="{D5CDD505-2E9C-101B-9397-08002B2CF9AE}" pid="28" name="MSIP_Label_0b6c7bd6-484a-4db3-95ba-dac3a08e6b47_ActionId">
    <vt:lpwstr>efc1b2d0-8bde-46af-95da-068ade3287fd</vt:lpwstr>
  </property>
  <property fmtid="{D5CDD505-2E9C-101B-9397-08002B2CF9AE}" pid="29" name="MSIP_Label_0b6c7bd6-484a-4db3-95ba-dac3a08e6b47_SiteId">
    <vt:lpwstr>29f9330b-c0fe-4244-830e-ba9f275d6c34</vt:lpwstr>
  </property>
  <property fmtid="{D5CDD505-2E9C-101B-9397-08002B2CF9AE}" pid="30" name="MSIP_Label_0b6c7bd6-484a-4db3-95ba-dac3a08e6b47_ContentBits">
    <vt:lpwstr>1</vt:lpwstr>
  </property>
  <property fmtid="{D5CDD505-2E9C-101B-9397-08002B2CF9AE}" pid="31" name="MSIP_Label_0b6c7bd6-484a-4db3-95ba-dac3a08e6b47_Method">
    <vt:lpwstr>Privileged</vt:lpwstr>
  </property>
</Properties>
</file>