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25.xml" ContentType="application/vnd.openxmlformats-officedocument.wordprocessingml.header+xml"/>
  <Override PartName="/word/footer14.xml" ContentType="application/vnd.openxmlformats-officedocument.wordprocessingml.footer+xml"/>
  <Override PartName="/word/header2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40.xml" ContentType="application/vnd.openxmlformats-officedocument.wordprocessingml.header+xml"/>
  <Override PartName="/word/footer2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6F1A9" w14:textId="1FAC7652" w:rsidR="00B302FA" w:rsidRPr="008B22C7" w:rsidRDefault="000D74AB" w:rsidP="00BF791E">
      <w:pPr>
        <w:pStyle w:val="Title"/>
        <w:numPr>
          <w:ilvl w:val="0"/>
          <w:numId w:val="0"/>
        </w:numPr>
        <w:rPr>
          <w:color w:val="265999"/>
        </w:rPr>
      </w:pPr>
      <w:r w:rsidRPr="008B22C7">
        <w:rPr>
          <w:color w:val="265999"/>
        </w:rPr>
        <w:t>GST distribution reforms</w:t>
      </w:r>
    </w:p>
    <w:p w14:paraId="10A19CBF" w14:textId="2C8584B7" w:rsidR="00B302FA" w:rsidRPr="00C5197C" w:rsidRDefault="00AB66AE" w:rsidP="00C5197C">
      <w:pPr>
        <w:pStyle w:val="Subtitle"/>
        <w:rPr>
          <w:sz w:val="52"/>
          <w:szCs w:val="52"/>
        </w:rPr>
      </w:pPr>
      <w:r w:rsidRPr="00C5197C">
        <w:rPr>
          <w:sz w:val="52"/>
          <w:szCs w:val="52"/>
        </w:rPr>
        <w:t>I</w:t>
      </w:r>
      <w:r w:rsidR="00A25715" w:rsidRPr="00C5197C">
        <w:rPr>
          <w:sz w:val="52"/>
          <w:szCs w:val="52"/>
        </w:rPr>
        <w:t xml:space="preserve">nterim </w:t>
      </w:r>
      <w:r w:rsidR="007453FC" w:rsidRPr="00C5197C">
        <w:rPr>
          <w:sz w:val="52"/>
          <w:szCs w:val="52"/>
        </w:rPr>
        <w:t>report</w:t>
      </w:r>
    </w:p>
    <w:p w14:paraId="2306F3E0" w14:textId="0B854CC0" w:rsidR="007C11E5" w:rsidRPr="00E74787" w:rsidRDefault="00DC346E" w:rsidP="00C5197C">
      <w:pPr>
        <w:pStyle w:val="BodyText"/>
      </w:pPr>
      <w:r w:rsidRPr="004F7BE2">
        <w:rPr>
          <w:noProof/>
        </w:rPr>
        <mc:AlternateContent>
          <mc:Choice Requires="wps">
            <w:drawing>
              <wp:anchor distT="0" distB="0" distL="114300" distR="114300" simplePos="0" relativeHeight="251658241" behindDoc="0" locked="0" layoutInCell="1" allowOverlap="1" wp14:anchorId="294FBECB" wp14:editId="041DD9B1">
                <wp:simplePos x="0" y="0"/>
                <wp:positionH relativeFrom="margin">
                  <wp:align>left</wp:align>
                </wp:positionH>
                <wp:positionV relativeFrom="margin">
                  <wp:posOffset>7278461</wp:posOffset>
                </wp:positionV>
                <wp:extent cx="2232992" cy="89798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2232992" cy="897980"/>
                        </a:xfrm>
                        <a:prstGeom prst="rect">
                          <a:avLst/>
                        </a:prstGeom>
                        <a:solidFill>
                          <a:srgbClr val="E7F6FD"/>
                        </a:solidFill>
                        <a:ln w="6350">
                          <a:noFill/>
                        </a:ln>
                      </wps:spPr>
                      <wps:txbx>
                        <w:txbxContent>
                          <w:p w14:paraId="635CE90D" w14:textId="1E1882A3" w:rsidR="00A25715" w:rsidRPr="004C6A51" w:rsidRDefault="00A25715" w:rsidP="00EA2F19">
                            <w:pPr>
                              <w:pStyle w:val="CoverdisclaimerwhiteCover"/>
                              <w:rPr>
                                <w:color w:val="1C4373" w:themeColor="background2" w:themeShade="BF"/>
                              </w:rPr>
                            </w:pPr>
                            <w:r w:rsidRPr="004C6A51">
                              <w:rPr>
                                <w:color w:val="1C4373" w:themeColor="background2" w:themeShade="BF"/>
                              </w:rPr>
                              <w:t>This is a</w:t>
                            </w:r>
                            <w:r w:rsidR="00217F4D" w:rsidRPr="004C6A51">
                              <w:rPr>
                                <w:color w:val="1C4373" w:themeColor="background2" w:themeShade="BF"/>
                              </w:rPr>
                              <w:t>n</w:t>
                            </w:r>
                            <w:r w:rsidRPr="004C6A51">
                              <w:rPr>
                                <w:color w:val="1C4373" w:themeColor="background2" w:themeShade="BF"/>
                              </w:rPr>
                              <w:t xml:space="preserve"> </w:t>
                            </w:r>
                            <w:r w:rsidR="00217F4D" w:rsidRPr="004C6A51">
                              <w:rPr>
                                <w:color w:val="1C4373" w:themeColor="background2" w:themeShade="BF"/>
                              </w:rPr>
                              <w:t>interim</w:t>
                            </w:r>
                            <w:r w:rsidRPr="004C6A51">
                              <w:rPr>
                                <w:color w:val="1C4373" w:themeColor="background2" w:themeShade="BF"/>
                              </w:rPr>
                              <w:t xml:space="preserve"> report prepared for further public consultation and input. The </w:t>
                            </w:r>
                            <w:r w:rsidR="00DD2F67" w:rsidRPr="004C6A51">
                              <w:rPr>
                                <w:color w:val="1C4373" w:themeColor="background2" w:themeShade="BF"/>
                              </w:rPr>
                              <w:t>PC</w:t>
                            </w:r>
                            <w:r w:rsidRPr="004C6A51">
                              <w:rPr>
                                <w:color w:val="1C4373" w:themeColor="background2" w:themeShade="BF"/>
                              </w:rPr>
                              <w:t xml:space="preserve"> will finalise its report after these processes have taken place.</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FBECB" id="_x0000_t202" coordsize="21600,21600" o:spt="202" path="m,l,21600r21600,l21600,xe">
                <v:stroke joinstyle="miter"/>
                <v:path gradientshapeok="t" o:connecttype="rect"/>
              </v:shapetype>
              <v:shape id="Text Box 15" o:spid="_x0000_s1026" type="#_x0000_t202" style="position:absolute;margin-left:0;margin-top:573.1pt;width:175.85pt;height:70.7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" fillcolor="#e7f6fd" stroked="f" strokeweight=".5pt">
                <v:textbox>
                  <w:txbxContent>
                    <w:p w14:paraId="635CE90D" w14:textId="1E1882A3" w:rsidR="00A25715" w:rsidRPr="004C6A51" w:rsidRDefault="00A25715" w:rsidP="00EA2F19">
                      <w:pPr>
                        <w:pStyle w:val="CoverdisclaimerwhiteCover"/>
                        <w:rPr>
                          <w:color w:val="1C4373" w:themeColor="background2" w:themeShade="BF"/>
                        </w:rPr>
                      </w:pPr>
                      <w:r w:rsidRPr="004C6A51">
                        <w:rPr>
                          <w:color w:val="1C4373" w:themeColor="background2" w:themeShade="BF"/>
                        </w:rPr>
                        <w:t>This is a</w:t>
                      </w:r>
                      <w:r w:rsidR="00217F4D" w:rsidRPr="004C6A51">
                        <w:rPr>
                          <w:color w:val="1C4373" w:themeColor="background2" w:themeShade="BF"/>
                        </w:rPr>
                        <w:t>n</w:t>
                      </w:r>
                      <w:r w:rsidRPr="004C6A51">
                        <w:rPr>
                          <w:color w:val="1C4373" w:themeColor="background2" w:themeShade="BF"/>
                        </w:rPr>
                        <w:t xml:space="preserve"> </w:t>
                      </w:r>
                      <w:r w:rsidR="00217F4D" w:rsidRPr="004C6A51">
                        <w:rPr>
                          <w:color w:val="1C4373" w:themeColor="background2" w:themeShade="BF"/>
                        </w:rPr>
                        <w:t>interim</w:t>
                      </w:r>
                      <w:r w:rsidRPr="004C6A51">
                        <w:rPr>
                          <w:color w:val="1C4373" w:themeColor="background2" w:themeShade="BF"/>
                        </w:rPr>
                        <w:t xml:space="preserve"> report prepared for further public consultation and input. The </w:t>
                      </w:r>
                      <w:r w:rsidR="00DD2F67" w:rsidRPr="004C6A51">
                        <w:rPr>
                          <w:color w:val="1C4373" w:themeColor="background2" w:themeShade="BF"/>
                        </w:rPr>
                        <w:t>PC</w:t>
                      </w:r>
                      <w:r w:rsidRPr="004C6A51">
                        <w:rPr>
                          <w:color w:val="1C4373" w:themeColor="background2" w:themeShade="BF"/>
                        </w:rPr>
                        <w:t xml:space="preserve"> will finalise its report after these processes have taken place.</w:t>
                      </w:r>
                    </w:p>
                  </w:txbxContent>
                </v:textbox>
                <w10:wrap anchorx="margin" anchory="margin"/>
              </v:shape>
            </w:pict>
          </mc:Fallback>
        </mc:AlternateContent>
      </w:r>
      <w:r w:rsidRPr="004F7BE2">
        <w:rPr>
          <w:noProof/>
        </w:rPr>
        <mc:AlternateContent>
          <mc:Choice Requires="wps">
            <w:drawing>
              <wp:anchor distT="0" distB="0" distL="114300" distR="114300" simplePos="0" relativeHeight="251658242" behindDoc="0" locked="0" layoutInCell="1" allowOverlap="1" wp14:anchorId="681B397C" wp14:editId="3E761C28">
                <wp:simplePos x="0" y="0"/>
                <wp:positionH relativeFrom="margin">
                  <wp:posOffset>4308573</wp:posOffset>
                </wp:positionH>
                <wp:positionV relativeFrom="margin">
                  <wp:posOffset>7892415</wp:posOffset>
                </wp:positionV>
                <wp:extent cx="1799590" cy="276860"/>
                <wp:effectExtent l="0" t="0" r="0" b="0"/>
                <wp:wrapNone/>
                <wp:docPr id="1536576944" name="Text Box 1536576944"/>
                <wp:cNvGraphicFramePr/>
                <a:graphic xmlns:a="http://schemas.openxmlformats.org/drawingml/2006/main">
                  <a:graphicData uri="http://schemas.microsoft.com/office/word/2010/wordprocessingShape">
                    <wps:wsp>
                      <wps:cNvSpPr txBox="1"/>
                      <wps:spPr>
                        <a:xfrm>
                          <a:off x="0" y="0"/>
                          <a:ext cx="1799590" cy="276860"/>
                        </a:xfrm>
                        <a:prstGeom prst="rect">
                          <a:avLst/>
                        </a:prstGeom>
                        <a:noFill/>
                        <a:ln w="6350">
                          <a:noFill/>
                        </a:ln>
                      </wps:spPr>
                      <wps:txbx>
                        <w:txbxContent>
                          <w:p w14:paraId="17299750" w14:textId="10FEB60F" w:rsidR="00AD0025" w:rsidRPr="004C6A51" w:rsidRDefault="00217F4D" w:rsidP="00EA2F19">
                            <w:pPr>
                              <w:pStyle w:val="Coverdate"/>
                              <w:rPr>
                                <w:color w:val="1C4373" w:themeColor="background2" w:themeShade="BF"/>
                                <w:lang w:val="en-US"/>
                              </w:rPr>
                            </w:pPr>
                            <w:r w:rsidRPr="004C6A51">
                              <w:rPr>
                                <w:color w:val="1C4373" w:themeColor="background2" w:themeShade="BF"/>
                                <w:lang w:val="en-US"/>
                              </w:rPr>
                              <w:t>August 2026</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1B397C" id="Text Box 1536576944" o:spid="_x0000_s1027" type="#_x0000_t202" style="position:absolute;margin-left:339.25pt;margin-top:621.45pt;width:141.7pt;height:21.8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" filled="f" stroked="f" strokeweight=".5pt">
                <v:textbox>
                  <w:txbxContent>
                    <w:p w14:paraId="17299750" w14:textId="10FEB60F" w:rsidR="00AD0025" w:rsidRPr="004C6A51" w:rsidRDefault="00217F4D" w:rsidP="00EA2F19">
                      <w:pPr>
                        <w:pStyle w:val="Coverdate"/>
                        <w:rPr>
                          <w:color w:val="1C4373" w:themeColor="background2" w:themeShade="BF"/>
                          <w:lang w:val="en-US"/>
                        </w:rPr>
                      </w:pPr>
                      <w:r w:rsidRPr="004C6A51">
                        <w:rPr>
                          <w:color w:val="1C4373" w:themeColor="background2" w:themeShade="BF"/>
                          <w:lang w:val="en-US"/>
                        </w:rPr>
                        <w:t>August 2026</w:t>
                      </w:r>
                    </w:p>
                  </w:txbxContent>
                </v:textbox>
                <w10:wrap anchorx="margin" anchory="margin"/>
              </v:shape>
            </w:pict>
          </mc:Fallback>
        </mc:AlternateContent>
      </w:r>
    </w:p>
    <w:p w14:paraId="5CC68EEC" w14:textId="77777777" w:rsidR="00B302FA" w:rsidRDefault="00B302FA">
      <w:pPr>
        <w:spacing w:after="160" w:line="259" w:lineRule="auto"/>
        <w:sectPr w:rsidR="00B302FA" w:rsidSect="002E3F19">
          <w:headerReference w:type="even" r:id="rId14"/>
          <w:headerReference w:type="default" r:id="rId15"/>
          <w:footerReference w:type="even" r:id="rId16"/>
          <w:footerReference w:type="default" r:id="rId17"/>
          <w:headerReference w:type="first" r:id="rId18"/>
          <w:footerReference w:type="first" r:id="rId19"/>
          <w:footnotePr>
            <w:numRestart w:val="eachSect"/>
          </w:footnotePr>
          <w:pgSz w:w="11906" w:h="16838" w:code="9"/>
          <w:pgMar w:top="2835" w:right="1134" w:bottom="1134" w:left="1134" w:header="624" w:footer="510" w:gutter="0"/>
          <w:pgNumType w:fmt="lowerRoman"/>
          <w:cols w:space="708"/>
          <w:titlePg/>
          <w:docGrid w:linePitch="360"/>
        </w:sectPr>
      </w:pPr>
    </w:p>
    <w:tbl>
      <w:tblPr>
        <w:tblStyle w:val="CopyrightPage"/>
        <w:tblW w:w="0" w:type="auto"/>
        <w:shd w:val="clear" w:color="auto" w:fill="E7F6FD"/>
        <w:tblLook w:val="04A0" w:firstRow="1" w:lastRow="0" w:firstColumn="1" w:lastColumn="0" w:noHBand="0" w:noVBand="1"/>
      </w:tblPr>
      <w:tblGrid>
        <w:gridCol w:w="9638"/>
      </w:tblGrid>
      <w:tr w:rsidR="00C31E23" w:rsidRPr="00116FF3" w14:paraId="16AB882C" w14:textId="77777777" w:rsidTr="00BA2796">
        <w:trPr>
          <w:trHeight w:hRule="exact" w:val="12756"/>
        </w:trPr>
        <w:tc>
          <w:tcPr>
            <w:tcW w:w="9638" w:type="dxa"/>
            <w:shd w:val="clear" w:color="auto" w:fill="E7F6FD"/>
            <w:tcMar>
              <w:top w:w="340" w:type="dxa"/>
            </w:tcMar>
            <w:vAlign w:val="top"/>
          </w:tcPr>
          <w:p w14:paraId="4865D691" w14:textId="77777777" w:rsidR="00682373" w:rsidRPr="00993031" w:rsidRDefault="00B302FA" w:rsidP="00BA2796">
            <w:pPr>
              <w:pStyle w:val="Copyrightpage-Heading"/>
            </w:pPr>
            <w:r>
              <w:rPr>
                <w:rStyle w:val="White"/>
              </w:rPr>
              <w:lastRenderedPageBreak/>
              <w:br w:type="page"/>
            </w:r>
            <w:r w:rsidR="00682373" w:rsidRPr="00993031">
              <w:t>Acknowledgment of Country</w:t>
            </w:r>
          </w:p>
          <w:p w14:paraId="05E5428F" w14:textId="77777777" w:rsidR="00682373" w:rsidRPr="000049DB" w:rsidRDefault="00682373" w:rsidP="00682373">
            <w:pPr>
              <w:pStyle w:val="Copyrightpage-BodyBold"/>
              <w:ind w:right="-284"/>
              <w:rPr>
                <w:rFonts w:cs="Arial"/>
                <w:b w:val="0"/>
                <w:bCs/>
                <w:color w:val="auto"/>
                <w:spacing w:val="2"/>
              </w:rPr>
            </w:pPr>
            <w:r w:rsidRPr="000049DB">
              <w:rPr>
                <w:rFonts w:cs="Arial"/>
                <w:b w:val="0"/>
                <w:bCs/>
                <w:noProof/>
                <w:color w:val="auto"/>
              </w:rPr>
              <w:drawing>
                <wp:anchor distT="0" distB="0" distL="114300" distR="114300" simplePos="0" relativeHeight="251658240" behindDoc="0" locked="0" layoutInCell="1" allowOverlap="1" wp14:anchorId="7638DD4C" wp14:editId="6D08AF8D">
                  <wp:simplePos x="0" y="0"/>
                  <wp:positionH relativeFrom="column">
                    <wp:posOffset>0</wp:posOffset>
                  </wp:positionH>
                  <wp:positionV relativeFrom="paragraph">
                    <wp:posOffset>-36195</wp:posOffset>
                  </wp:positionV>
                  <wp:extent cx="630000" cy="640800"/>
                  <wp:effectExtent l="0" t="0" r="0" b="6985"/>
                  <wp:wrapSquare wrapText="right"/>
                  <wp:docPr id="47409023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090232" name="Picture 1">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0000" cy="640800"/>
                          </a:xfrm>
                          <a:prstGeom prst="rect">
                            <a:avLst/>
                          </a:prstGeom>
                        </pic:spPr>
                      </pic:pic>
                    </a:graphicData>
                  </a:graphic>
                  <wp14:sizeRelH relativeFrom="margin">
                    <wp14:pctWidth>0</wp14:pctWidth>
                  </wp14:sizeRelH>
                  <wp14:sizeRelV relativeFrom="margin">
                    <wp14:pctHeight>0</wp14:pctHeight>
                  </wp14:sizeRelV>
                </wp:anchor>
              </w:drawing>
            </w:r>
            <w:r w:rsidRPr="000049DB">
              <w:rPr>
                <w:rFonts w:cs="Arial"/>
                <w:b w:val="0"/>
                <w:bCs/>
                <w:color w:val="auto"/>
                <w:spacing w:val="2"/>
              </w:rPr>
              <w:t>The Productivity Commission acknowledges the Traditional Owners of Country throughout Australia and their continuing connection to land, waters and community. We pay our respects to their Cultures, Country and Elders past and present.</w:t>
            </w:r>
          </w:p>
          <w:p w14:paraId="47371F2C" w14:textId="77777777" w:rsidR="00682373" w:rsidRPr="00157240" w:rsidRDefault="00682373" w:rsidP="00682373">
            <w:pPr>
              <w:pStyle w:val="Copyrightpage-Keylinenotext"/>
              <w:ind w:right="-284"/>
              <w:rPr>
                <w:color w:val="auto"/>
              </w:rPr>
            </w:pPr>
          </w:p>
          <w:p w14:paraId="28B3AFCE" w14:textId="77777777" w:rsidR="00C31E23" w:rsidRPr="00D96F65" w:rsidRDefault="00BE5E7E" w:rsidP="00BE5E7E">
            <w:pPr>
              <w:pStyle w:val="Copyrightpage-Heading"/>
            </w:pPr>
            <w:r>
              <w:t>About us</w:t>
            </w:r>
          </w:p>
          <w:p w14:paraId="106C3CFE" w14:textId="77777777" w:rsidR="00C31E23" w:rsidRPr="00BE5E7E" w:rsidRDefault="00C31E23" w:rsidP="00BE5E7E">
            <w:pPr>
              <w:pStyle w:val="Copyrightpage-BodyText"/>
              <w:rPr>
                <w:spacing w:val="2"/>
              </w:rPr>
            </w:pPr>
            <w:r w:rsidRPr="00BE5E7E">
              <w:rPr>
                <w:spacing w:val="2"/>
              </w:rPr>
              <w:t xml:space="preserve">The </w:t>
            </w:r>
            <w:r w:rsidR="00434A53">
              <w:rPr>
                <w:spacing w:val="2"/>
              </w:rPr>
              <w:t xml:space="preserve">PC </w:t>
            </w:r>
            <w:r w:rsidRPr="00BE5E7E">
              <w:rPr>
                <w:spacing w:val="2"/>
              </w:rPr>
              <w:t xml:space="preserve">is the Australian Government’s independent research and advisory body on a range of economic, social and environmental issues affecting the welfare of Australians. Its role, expressed most simply, is to help governments make better policies, in the </w:t>
            </w:r>
            <w:r w:rsidR="00BE5E7E" w:rsidRPr="00BE5E7E">
              <w:rPr>
                <w:spacing w:val="2"/>
              </w:rPr>
              <w:t>long-term</w:t>
            </w:r>
            <w:r w:rsidRPr="00BE5E7E">
              <w:rPr>
                <w:spacing w:val="2"/>
              </w:rPr>
              <w:t xml:space="preserve"> interest of the Australian community.</w:t>
            </w:r>
          </w:p>
          <w:p w14:paraId="236C96DF" w14:textId="77777777" w:rsidR="00C31E23" w:rsidRPr="000F4488" w:rsidRDefault="00C31E23" w:rsidP="00BE5E7E">
            <w:pPr>
              <w:pStyle w:val="Copyrightpage-BodyText"/>
            </w:pPr>
            <w:r w:rsidRPr="000561CF">
              <w:t xml:space="preserve">The </w:t>
            </w:r>
            <w:r w:rsidR="00BE5E7E">
              <w:t>PC’s</w:t>
            </w:r>
            <w:r w:rsidRPr="000561CF">
              <w:t xml:space="preserve"> independence is underpinned by an Act of Parliament. Its processes and outputs are open to public scrutiny and are driven by concern for the wellbeing of the community as a whole.</w:t>
            </w:r>
          </w:p>
          <w:p w14:paraId="17E49E23" w14:textId="77777777" w:rsidR="00C31E23" w:rsidRPr="00434A53" w:rsidRDefault="00682373" w:rsidP="00BE5E7E">
            <w:pPr>
              <w:pStyle w:val="Copyrightpage-BodyText"/>
              <w:rPr>
                <w:u w:val="single"/>
              </w:rPr>
            </w:pPr>
            <w:r>
              <w:t>For more</w:t>
            </w:r>
            <w:r w:rsidR="00C31E23" w:rsidRPr="000561CF">
              <w:t xml:space="preserve"> information </w:t>
            </w:r>
            <w:r>
              <w:t xml:space="preserve">visit our </w:t>
            </w:r>
            <w:r w:rsidR="00C31E23" w:rsidRPr="000561CF">
              <w:t>website</w:t>
            </w:r>
            <w:r w:rsidRPr="00434A53">
              <w:t xml:space="preserve">: </w:t>
            </w:r>
            <w:hyperlink r:id="rId21" w:history="1">
              <w:r w:rsidR="00C31E23" w:rsidRPr="00434A53">
                <w:rPr>
                  <w:rStyle w:val="Hyperlink"/>
                </w:rPr>
                <w:t>www.pc.gov.au</w:t>
              </w:r>
            </w:hyperlink>
            <w:r w:rsidR="00C31E23" w:rsidRPr="00434A53">
              <w:rPr>
                <w:u w:val="single"/>
              </w:rPr>
              <w:t>.</w:t>
            </w:r>
          </w:p>
          <w:p w14:paraId="3893763D" w14:textId="77777777" w:rsidR="00C31E23" w:rsidRPr="007C4801" w:rsidRDefault="00C31E23" w:rsidP="00BE5E7E">
            <w:pPr>
              <w:pStyle w:val="Copyrightpage-Keylinenotext"/>
              <w:ind w:right="-284"/>
              <w:rPr>
                <w:b/>
                <w:bCs/>
                <w:color w:val="auto"/>
              </w:rPr>
            </w:pPr>
          </w:p>
          <w:p w14:paraId="0C2BCD9E" w14:textId="77777777" w:rsidR="00C31E23" w:rsidRPr="00B1487B" w:rsidRDefault="00C31E23" w:rsidP="00A84F65">
            <w:pPr>
              <w:pStyle w:val="Copyrightpage-BodyText"/>
              <w:spacing w:before="0"/>
            </w:pPr>
            <w:r w:rsidRPr="00B1487B">
              <w:t>© Commonwealth of Australia 202</w:t>
            </w:r>
            <w:r w:rsidR="00D20B05">
              <w:t>6</w:t>
            </w:r>
          </w:p>
          <w:p w14:paraId="077BD682" w14:textId="77777777" w:rsidR="00C31E23" w:rsidRPr="00B1487B" w:rsidRDefault="00C31E23" w:rsidP="00BE5E7E">
            <w:pPr>
              <w:pStyle w:val="Copyrightpage-Heading2"/>
              <w:spacing w:before="0"/>
              <w:ind w:right="-284"/>
              <w:rPr>
                <w:bCs/>
                <w:color w:val="auto"/>
              </w:rPr>
            </w:pPr>
            <w:r w:rsidRPr="00E72EE0">
              <w:rPr>
                <w:bCs/>
                <w:noProof/>
              </w:rPr>
              <w:drawing>
                <wp:inline distT="0" distB="0" distL="0" distR="0" wp14:anchorId="1CA98808" wp14:editId="3FAE69C9">
                  <wp:extent cx="774000" cy="270000"/>
                  <wp:effectExtent l="0" t="0" r="7620" b="0"/>
                  <wp:docPr id="6" name="Graphic 5" descr="CC BY logo">
                    <a:extLst xmlns:a="http://schemas.openxmlformats.org/drawingml/2006/main">
                      <a:ext uri="{FF2B5EF4-FFF2-40B4-BE49-F238E27FC236}">
                        <a16:creationId xmlns:a16="http://schemas.microsoft.com/office/drawing/2014/main" id="{F54E5013-412A-4F91-9DD3-DA71DB1337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CC BY logo">
                            <a:extLst>
                              <a:ext uri="{FF2B5EF4-FFF2-40B4-BE49-F238E27FC236}">
                                <a16:creationId xmlns:a16="http://schemas.microsoft.com/office/drawing/2014/main" id="{F54E5013-412A-4F91-9DD3-DA71DB1337DF}"/>
                              </a:ext>
                            </a:extLst>
                          </pic:cNvPr>
                          <pic:cNvPicPr>
                            <a:picLocks noChangeAspect="1"/>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774000" cy="270000"/>
                          </a:xfrm>
                          <a:prstGeom prst="rect">
                            <a:avLst/>
                          </a:prstGeom>
                        </pic:spPr>
                      </pic:pic>
                    </a:graphicData>
                  </a:graphic>
                </wp:inline>
              </w:drawing>
            </w:r>
          </w:p>
          <w:p w14:paraId="34E0DDDE" w14:textId="77777777" w:rsidR="00C31E23" w:rsidRPr="007C4801" w:rsidRDefault="00C31E23" w:rsidP="00BE5E7E">
            <w:pPr>
              <w:pStyle w:val="Copyrightpage-BodyText"/>
              <w:rPr>
                <w:spacing w:val="-2"/>
              </w:rPr>
            </w:pPr>
            <w:r w:rsidRPr="007C4801">
              <w:rPr>
                <w:spacing w:val="-2"/>
              </w:rPr>
              <w:t>With the exception of the Commonwealth Coat of Arms and content supplied by third parties, this copyright work is licensed under a Creative Commons Attribution</w:t>
            </w:r>
            <w:r w:rsidR="007C4801" w:rsidRPr="007C4801">
              <w:rPr>
                <w:spacing w:val="-2"/>
              </w:rPr>
              <w:t> </w:t>
            </w:r>
            <w:r w:rsidRPr="007C4801">
              <w:rPr>
                <w:spacing w:val="-2"/>
              </w:rPr>
              <w:t xml:space="preserve">4.0 International licence. In essence, you are free to copy, communicate and adapt the work, as long as you attribute the work to the </w:t>
            </w:r>
            <w:r w:rsidR="00BE5E7E" w:rsidRPr="007C4801">
              <w:rPr>
                <w:spacing w:val="-2"/>
              </w:rPr>
              <w:t xml:space="preserve">PC </w:t>
            </w:r>
            <w:r w:rsidRPr="007C4801">
              <w:rPr>
                <w:spacing w:val="-2"/>
              </w:rPr>
              <w:t xml:space="preserve">(but not in any way that suggests the </w:t>
            </w:r>
            <w:r w:rsidR="00BE5E7E" w:rsidRPr="007C4801">
              <w:rPr>
                <w:spacing w:val="-2"/>
              </w:rPr>
              <w:t>PC</w:t>
            </w:r>
            <w:r w:rsidRPr="007C4801">
              <w:rPr>
                <w:spacing w:val="-2"/>
              </w:rPr>
              <w:t xml:space="preserve"> endorses you or your use) and abide by the other licence terms. The licence can be viewed at: https://creativecommons.org/licenses/by/4.0.</w:t>
            </w:r>
          </w:p>
          <w:p w14:paraId="31AC60AC" w14:textId="77777777" w:rsidR="00C31E23" w:rsidRPr="000F4488" w:rsidRDefault="00C31E23" w:rsidP="00BE5E7E">
            <w:pPr>
              <w:pStyle w:val="Copyrightpage-BodyText"/>
            </w:pPr>
            <w:r w:rsidRPr="000561CF">
              <w:t>The terms under which the Coat of Arms can be used are detailed at: www.pmc.gov.au/government/commonwealth-coat-arms.</w:t>
            </w:r>
          </w:p>
          <w:p w14:paraId="3D0563DA" w14:textId="77777777" w:rsidR="00C31E23" w:rsidRPr="000561CF" w:rsidRDefault="00C31E23" w:rsidP="00BE5E7E">
            <w:pPr>
              <w:pStyle w:val="Copyrightpage-BodyText"/>
            </w:pPr>
            <w:r w:rsidRPr="000561CF">
              <w:t>Wherever a third party holds copyright in this material the copyright remains with that party. Their permission may be required to use the material, please contact them directly.</w:t>
            </w:r>
          </w:p>
          <w:p w14:paraId="12D472F9" w14:textId="2FD6D1B7" w:rsidR="00C31E23" w:rsidRPr="00553C10" w:rsidRDefault="00C31E23" w:rsidP="00BE5E7E">
            <w:pPr>
              <w:pStyle w:val="Copyrightpage-BodyText"/>
              <w:rPr>
                <w:spacing w:val="-4"/>
              </w:rPr>
            </w:pPr>
            <w:r w:rsidRPr="000F4488">
              <w:t>An appropriate reference for this publication is:</w:t>
            </w:r>
            <w:r>
              <w:br/>
            </w:r>
            <w:r w:rsidR="00A25715" w:rsidRPr="00553C10">
              <w:rPr>
                <w:spacing w:val="-4"/>
              </w:rPr>
              <w:t xml:space="preserve">Productivity Commission 2026, </w:t>
            </w:r>
            <w:sdt>
              <w:sdtPr>
                <w:rPr>
                  <w:i/>
                  <w:iCs/>
                  <w:spacing w:val="-4"/>
                </w:rPr>
                <w:alias w:val="Title"/>
                <w:id w:val="93518128"/>
                <w:placeholder>
                  <w:docPart w:val="C34A9AB5316D43E28621C579F3BCC4E0"/>
                </w:placeholder>
                <w:dataBinding w:prefixMappings="xmlns:ns0='http://purl.org/dc/elements/1.1/' xmlns:ns1='http://schemas.openxmlformats.org/package/2006/metadata/core-properties' " w:xpath="/ns1:coreProperties[1]/ns0:title[1]" w:storeItemID="{6C3C8BC8-F283-45AE-878A-BAB7291924A1}"/>
                <w:text/>
              </w:sdtPr>
              <w:sdtContent>
                <w:r w:rsidR="00A67AFB">
                  <w:rPr>
                    <w:i/>
                    <w:iCs/>
                    <w:spacing w:val="-4"/>
                  </w:rPr>
                  <w:t>Interim report - GST distribution reforms</w:t>
                </w:r>
              </w:sdtContent>
            </w:sdt>
            <w:r w:rsidR="00A25715" w:rsidRPr="00553C10">
              <w:rPr>
                <w:spacing w:val="-4"/>
              </w:rPr>
              <w:t xml:space="preserve">, </w:t>
            </w:r>
            <w:r w:rsidR="00EE6BE2" w:rsidRPr="00553C10">
              <w:rPr>
                <w:spacing w:val="-4"/>
              </w:rPr>
              <w:t>Interim</w:t>
            </w:r>
            <w:r w:rsidR="00A25715" w:rsidRPr="00553C10">
              <w:rPr>
                <w:spacing w:val="-4"/>
              </w:rPr>
              <w:t xml:space="preserve"> report, Canberra, </w:t>
            </w:r>
            <w:r w:rsidR="0081596A" w:rsidRPr="00553C10">
              <w:rPr>
                <w:spacing w:val="-4"/>
              </w:rPr>
              <w:t>August.</w:t>
            </w:r>
          </w:p>
          <w:p w14:paraId="7B4B6696" w14:textId="77777777" w:rsidR="00C31E23" w:rsidRPr="00444318" w:rsidRDefault="00C31E23" w:rsidP="00BE5E7E">
            <w:pPr>
              <w:pStyle w:val="Copyrightpage-BodyText"/>
              <w:rPr>
                <w:lang w:val="fr-FR"/>
              </w:rPr>
            </w:pPr>
            <w:r w:rsidRPr="00444318">
              <w:rPr>
                <w:lang w:val="fr-FR"/>
              </w:rPr>
              <w:t xml:space="preserve">Publication enquiries: </w:t>
            </w:r>
            <w:r w:rsidRPr="00444318">
              <w:rPr>
                <w:lang w:val="fr-FR"/>
              </w:rPr>
              <w:br/>
            </w:r>
            <w:r w:rsidR="00390E05" w:rsidRPr="00444318">
              <w:rPr>
                <w:lang w:val="fr-FR"/>
              </w:rPr>
              <w:t>P</w:t>
            </w:r>
            <w:r w:rsidRPr="00444318">
              <w:rPr>
                <w:lang w:val="fr-FR"/>
              </w:rPr>
              <w:t xml:space="preserve">hone 03 9653 2244 | email </w:t>
            </w:r>
            <w:hyperlink r:id="rId24" w:history="1">
              <w:r w:rsidR="001E2FE4" w:rsidRPr="00444318">
                <w:rPr>
                  <w:lang w:val="fr-FR"/>
                </w:rPr>
                <w:t>publications@pc.gov.au</w:t>
              </w:r>
            </w:hyperlink>
          </w:p>
        </w:tc>
      </w:tr>
    </w:tbl>
    <w:p w14:paraId="4D93C73E" w14:textId="77777777" w:rsidR="00E74787" w:rsidRPr="00444318" w:rsidRDefault="00E74787" w:rsidP="00DA3017">
      <w:pPr>
        <w:spacing w:before="0" w:after="160" w:line="259" w:lineRule="auto"/>
        <w:rPr>
          <w:rStyle w:val="White"/>
          <w:b/>
          <w:lang w:val="fr-FR"/>
        </w:rPr>
        <w:sectPr w:rsidR="00E74787" w:rsidRPr="00444318" w:rsidSect="00C138F6">
          <w:headerReference w:type="even" r:id="rId25"/>
          <w:headerReference w:type="default" r:id="rId26"/>
          <w:footerReference w:type="even" r:id="rId27"/>
          <w:footerReference w:type="default" r:id="rId28"/>
          <w:headerReference w:type="first" r:id="rId29"/>
          <w:footnotePr>
            <w:numRestart w:val="eachSect"/>
          </w:footnotePr>
          <w:pgSz w:w="11906" w:h="16838" w:code="9"/>
          <w:pgMar w:top="1134" w:right="1134" w:bottom="1134" w:left="1134" w:header="794" w:footer="510" w:gutter="0"/>
          <w:pgNumType w:fmt="lowerRoman"/>
          <w:cols w:space="708"/>
          <w:docGrid w:linePitch="360"/>
        </w:sectPr>
      </w:pPr>
    </w:p>
    <w:tbl>
      <w:tblPr>
        <w:tblStyle w:val="NoBorderwithPadding"/>
        <w:tblW w:w="0" w:type="auto"/>
        <w:shd w:val="clear" w:color="auto" w:fill="2B9AC2" w:themeFill="text2"/>
        <w:tblLook w:val="04A0" w:firstRow="1" w:lastRow="0" w:firstColumn="1" w:lastColumn="0" w:noHBand="0" w:noVBand="1"/>
      </w:tblPr>
      <w:tblGrid>
        <w:gridCol w:w="9638"/>
      </w:tblGrid>
      <w:tr w:rsidR="00A25715" w14:paraId="25D80DB8" w14:textId="77777777" w:rsidTr="00EE6BE2">
        <w:trPr>
          <w:trHeight w:hRule="exact" w:val="12756"/>
        </w:trPr>
        <w:tc>
          <w:tcPr>
            <w:tcW w:w="9638" w:type="dxa"/>
            <w:shd w:val="clear" w:color="auto" w:fill="F4F5F6"/>
          </w:tcPr>
          <w:p w14:paraId="394F6566" w14:textId="77777777" w:rsidR="00A25715" w:rsidRDefault="00A25715" w:rsidP="000664B8">
            <w:pPr>
              <w:pStyle w:val="Heading1-nobackground"/>
              <w:numPr>
                <w:ilvl w:val="0"/>
                <w:numId w:val="0"/>
              </w:numPr>
            </w:pPr>
            <w:bookmarkStart w:id="0" w:name="_Toc132456074"/>
            <w:bookmarkStart w:id="1" w:name="_Toc236904057"/>
            <w:r>
              <w:lastRenderedPageBreak/>
              <w:t>Opportunity for comment</w:t>
            </w:r>
            <w:bookmarkEnd w:id="0"/>
            <w:bookmarkEnd w:id="1"/>
          </w:p>
          <w:p w14:paraId="780050E2" w14:textId="6B90AA75" w:rsidR="009970F6" w:rsidRDefault="009970F6">
            <w:pPr>
              <w:pStyle w:val="BodyText"/>
            </w:pPr>
            <w:r>
              <w:t>The PC thanks all participants for their contribution to this inquiry and now seeks additional input for the final report</w:t>
            </w:r>
            <w:r w:rsidR="00B82961">
              <w:t>.</w:t>
            </w:r>
          </w:p>
          <w:p w14:paraId="19086FA3" w14:textId="081F4FEE" w:rsidR="007E6D4F" w:rsidRDefault="00A25715">
            <w:pPr>
              <w:pStyle w:val="BodyText"/>
            </w:pPr>
            <w:r>
              <w:t xml:space="preserve">You are invited to examine this </w:t>
            </w:r>
            <w:r w:rsidR="00FD1923">
              <w:t>interim report and comment</w:t>
            </w:r>
            <w:r w:rsidR="00EC23CF">
              <w:t xml:space="preserve"> on</w:t>
            </w:r>
            <w:r w:rsidR="00FD1923">
              <w:t xml:space="preserve"> it by written submission</w:t>
            </w:r>
            <w:r w:rsidR="00975758">
              <w:t xml:space="preserve"> or brief comment</w:t>
            </w:r>
            <w:r w:rsidR="00FD1923">
              <w:t xml:space="preserve"> to the PC, preferably in an electronic format, by</w:t>
            </w:r>
            <w:r w:rsidR="000F2110">
              <w:t xml:space="preserve"> </w:t>
            </w:r>
            <w:r w:rsidR="00582819">
              <w:t>30</w:t>
            </w:r>
            <w:r w:rsidR="000F2110">
              <w:t xml:space="preserve"> September 2026</w:t>
            </w:r>
            <w:r w:rsidR="007E6D4F">
              <w:t>.</w:t>
            </w:r>
          </w:p>
          <w:p w14:paraId="35F1C5A9" w14:textId="02F4BCCA" w:rsidR="00A25715" w:rsidRDefault="0004134B">
            <w:pPr>
              <w:pStyle w:val="BodyText"/>
            </w:pPr>
            <w:r>
              <w:t xml:space="preserve">Feedback can also be provided </w:t>
            </w:r>
            <w:r w:rsidR="00814810">
              <w:t xml:space="preserve">by appearing at a public hearing. </w:t>
            </w:r>
            <w:r w:rsidR="001B076D">
              <w:t xml:space="preserve">Proposed dates of public hearings are outlined below. </w:t>
            </w:r>
            <w:r w:rsidR="00D21E2A">
              <w:t xml:space="preserve">You can register your interest to attend or present at a public hearing </w:t>
            </w:r>
            <w:r w:rsidR="009D7420">
              <w:t>on the inquiry website (</w:t>
            </w:r>
            <w:hyperlink r:id="rId30" w:history="1">
              <w:r w:rsidR="006F470B" w:rsidRPr="0077752C">
                <w:rPr>
                  <w:rStyle w:val="Hyperlink"/>
                </w:rPr>
                <w:t>www.pc.gov.au/inquiries-and-research/gst-reforms/</w:t>
              </w:r>
            </w:hyperlink>
            <w:r w:rsidR="006429FA">
              <w:t>).</w:t>
            </w:r>
          </w:p>
          <w:p w14:paraId="1738A270" w14:textId="3F8CA670" w:rsidR="00A25715" w:rsidRDefault="00522FCD">
            <w:pPr>
              <w:pStyle w:val="BodyText"/>
            </w:pPr>
            <w:r>
              <w:t xml:space="preserve">The PC will prepare its final report </w:t>
            </w:r>
            <w:r w:rsidR="00886174">
              <w:t xml:space="preserve">after </w:t>
            </w:r>
            <w:r w:rsidR="00EA093C">
              <w:t xml:space="preserve">considering the evidence provided in further submissions and public hearings and </w:t>
            </w:r>
            <w:r w:rsidR="00C33FCD">
              <w:t>after undertaking further analysis. The final report is due to be delivered to the Australian Government by 31 December 2026.</w:t>
            </w:r>
          </w:p>
          <w:p w14:paraId="72BC6572" w14:textId="2626D6F8" w:rsidR="00A25715" w:rsidRPr="007151C7" w:rsidRDefault="00A25715" w:rsidP="00741BF5">
            <w:pPr>
              <w:pStyle w:val="Heading2-noTOC"/>
            </w:pPr>
            <w:r w:rsidRPr="00741BF5">
              <w:t>Public</w:t>
            </w:r>
            <w:r w:rsidRPr="00B146AA">
              <w:t xml:space="preserve"> hearing date</w:t>
            </w:r>
            <w:r>
              <w:t>s</w:t>
            </w:r>
          </w:p>
          <w:tbl>
            <w:tblPr>
              <w:tblStyle w:val="TableGrid"/>
              <w:tblW w:w="5000" w:type="pct"/>
              <w:tblBorders>
                <w:top w:val="none" w:sz="0" w:space="0" w:color="auto"/>
                <w:left w:val="none" w:sz="0" w:space="0" w:color="auto"/>
                <w:bottom w:val="single" w:sz="4" w:space="0" w:color="B3B3B3"/>
                <w:right w:val="none" w:sz="0" w:space="0" w:color="auto"/>
                <w:insideH w:val="single" w:sz="4" w:space="0" w:color="B3B3B3"/>
                <w:insideV w:val="none" w:sz="0" w:space="0" w:color="auto"/>
              </w:tblBorders>
              <w:tblCellMar>
                <w:left w:w="0" w:type="dxa"/>
                <w:right w:w="0" w:type="dxa"/>
              </w:tblCellMar>
              <w:tblLook w:val="06A0" w:firstRow="1" w:lastRow="0" w:firstColumn="1" w:lastColumn="0" w:noHBand="1" w:noVBand="1"/>
              <w:tblDescription w:val="{&quot;Ott&quot;:{&quot;FirstRow&quot;:{&quot;Font&quot;:{&quot;Bold&quot;:true,&quot;Color&quot;:{&quot;Key&quot;:&quot;TableHeading&quot;},&quot;BulletColor&quot;:{&quot;Key&quot;:&quot;TableHeading&quot;}},&quot;Alignment&quot;:{&quot;Vertical&quot;:&quot;Bottom&quot;}},&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Color&quot;:{&quot;Key&quot;:&quot;BorderColor&quot;},&quot;BorderWeight&quot;:&quot;Pt0_5&quot;,&quot;Type&quot;:&quot;Solid&quot;,&quot;Visible&quot;:true},&quot;Top&quot;:{&quot;Visible&quot;:fals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false,&quot;BandedColumns&quot;:false},&quot;Aaf&quot;:false}"/>
            </w:tblPr>
            <w:tblGrid>
              <w:gridCol w:w="4535"/>
              <w:gridCol w:w="4535"/>
            </w:tblGrid>
            <w:tr w:rsidR="006F470B" w:rsidRPr="007B4DD2" w14:paraId="01BA0033" w14:textId="77777777" w:rsidTr="006F470B">
              <w:trPr>
                <w:tblHeader/>
              </w:trPr>
              <w:tc>
                <w:tcPr>
                  <w:tcW w:w="2500" w:type="pct"/>
                  <w:vAlign w:val="bottom"/>
                </w:tcPr>
                <w:p w14:paraId="11E21858" w14:textId="25A83EEB" w:rsidR="006F470B" w:rsidRPr="007B4DD2" w:rsidRDefault="006F470B" w:rsidP="006F470B">
                  <w:pPr>
                    <w:pStyle w:val="FigureTableHeading"/>
                    <w:spacing w:before="45" w:after="45"/>
                    <w:ind w:left="57" w:right="108"/>
                    <w:rPr>
                      <w:rFonts w:ascii="Open Sans" w:hAnsi="Open Sans" w:cs="Open Sans"/>
                      <w:b/>
                      <w:color w:val="1C4373" w:themeColor="background2" w:themeShade="BF"/>
                      <w:szCs w:val="20"/>
                    </w:rPr>
                  </w:pPr>
                  <w:r w:rsidRPr="007B4DD2">
                    <w:rPr>
                      <w:rFonts w:ascii="Open Sans" w:hAnsi="Open Sans" w:cs="Open Sans"/>
                      <w:b/>
                      <w:color w:val="1C4373" w:themeColor="background2" w:themeShade="BF"/>
                      <w:szCs w:val="20"/>
                    </w:rPr>
                    <w:t>Dates</w:t>
                  </w:r>
                </w:p>
              </w:tc>
              <w:tc>
                <w:tcPr>
                  <w:tcW w:w="2500" w:type="pct"/>
                  <w:tcMar>
                    <w:left w:w="0" w:type="dxa"/>
                    <w:right w:w="0" w:type="dxa"/>
                  </w:tcMar>
                  <w:vAlign w:val="bottom"/>
                </w:tcPr>
                <w:p w14:paraId="408CC08C" w14:textId="02B26BE6" w:rsidR="006F470B" w:rsidRPr="007B4DD2" w:rsidRDefault="006F470B" w:rsidP="006F470B">
                  <w:pPr>
                    <w:pStyle w:val="FigureTableHeading"/>
                    <w:spacing w:before="45" w:after="45"/>
                    <w:ind w:left="57" w:right="108"/>
                    <w:rPr>
                      <w:rFonts w:ascii="Open Sans" w:hAnsi="Open Sans" w:cs="Open Sans"/>
                      <w:b/>
                      <w:color w:val="1C4373" w:themeColor="background2" w:themeShade="BF"/>
                      <w:szCs w:val="20"/>
                    </w:rPr>
                  </w:pPr>
                  <w:r w:rsidRPr="007B4DD2">
                    <w:rPr>
                      <w:rFonts w:ascii="Open Sans" w:hAnsi="Open Sans" w:cs="Open Sans"/>
                      <w:b/>
                      <w:color w:val="1C4373" w:themeColor="background2" w:themeShade="BF"/>
                      <w:szCs w:val="20"/>
                    </w:rPr>
                    <w:t>Location</w:t>
                  </w:r>
                </w:p>
              </w:tc>
            </w:tr>
            <w:tr w:rsidR="006F470B" w:rsidRPr="00BF38DF" w14:paraId="0A5F4A68" w14:textId="77777777" w:rsidTr="006F470B">
              <w:tc>
                <w:tcPr>
                  <w:tcW w:w="2500" w:type="pct"/>
                </w:tcPr>
                <w:p w14:paraId="61596324" w14:textId="25A1069F" w:rsidR="006F470B" w:rsidRPr="00482B3B" w:rsidRDefault="006F470B" w:rsidP="006F470B">
                  <w:pPr>
                    <w:pStyle w:val="BodyText"/>
                    <w:spacing w:before="45" w:after="45" w:line="280" w:lineRule="exact"/>
                    <w:ind w:left="57" w:right="108"/>
                    <w:rPr>
                      <w:rFonts w:cs="Open Sans"/>
                      <w:bCs/>
                    </w:rPr>
                  </w:pPr>
                  <w:r w:rsidRPr="00482B3B">
                    <w:rPr>
                      <w:rFonts w:cs="Open Sans"/>
                      <w:color w:val="000000"/>
                    </w:rPr>
                    <w:t>14</w:t>
                  </w:r>
                  <w:r w:rsidR="007B4DD2">
                    <w:rPr>
                      <w:rFonts w:cs="Open Sans"/>
                      <w:color w:val="000000"/>
                    </w:rPr>
                    <w:t>, 15, 16 and</w:t>
                  </w:r>
                  <w:r w:rsidRPr="00482B3B">
                    <w:rPr>
                      <w:rFonts w:cs="Open Sans"/>
                      <w:color w:val="000000"/>
                    </w:rPr>
                    <w:t xml:space="preserve"> 18 September 2026</w:t>
                  </w:r>
                </w:p>
              </w:tc>
              <w:tc>
                <w:tcPr>
                  <w:tcW w:w="2500" w:type="pct"/>
                  <w:tcMar>
                    <w:left w:w="0" w:type="dxa"/>
                    <w:right w:w="0" w:type="dxa"/>
                  </w:tcMar>
                </w:tcPr>
                <w:p w14:paraId="29E3978C" w14:textId="6567FCC8" w:rsidR="006F470B" w:rsidRPr="00482B3B" w:rsidRDefault="006F470B" w:rsidP="006F470B">
                  <w:pPr>
                    <w:pStyle w:val="BodyText"/>
                    <w:spacing w:before="45" w:after="45" w:line="280" w:lineRule="exact"/>
                    <w:ind w:left="57" w:right="108"/>
                    <w:rPr>
                      <w:rFonts w:cs="Open Sans"/>
                      <w:bCs/>
                      <w:color w:val="1D4374"/>
                    </w:rPr>
                  </w:pPr>
                  <w:r w:rsidRPr="00482B3B">
                    <w:rPr>
                      <w:rFonts w:cs="Open Sans"/>
                      <w:bCs/>
                    </w:rPr>
                    <w:t>Online</w:t>
                  </w:r>
                </w:p>
              </w:tc>
            </w:tr>
          </w:tbl>
          <w:p w14:paraId="355ADD6B" w14:textId="293DCDA1" w:rsidR="008B48A3" w:rsidRDefault="008B48A3" w:rsidP="008B48A3">
            <w:pPr>
              <w:pStyle w:val="BodyText"/>
            </w:pPr>
            <w:r>
              <w:t>Further information on public hearings will be available on the PC website</w:t>
            </w:r>
            <w:r w:rsidR="005E47A3">
              <w:t>.</w:t>
            </w:r>
          </w:p>
          <w:p w14:paraId="04B64137" w14:textId="00C58A64" w:rsidR="00A25715" w:rsidRPr="00683E2C" w:rsidRDefault="00A25715">
            <w:pPr>
              <w:pStyle w:val="Heading2-noTOC"/>
            </w:pPr>
            <w:r w:rsidRPr="00683E2C">
              <w:t>Commissioners</w:t>
            </w:r>
          </w:p>
          <w:p w14:paraId="0360ABB3" w14:textId="4DA96070" w:rsidR="00A25715" w:rsidRDefault="00A25715">
            <w:pPr>
              <w:pStyle w:val="BodyText"/>
            </w:pPr>
            <w:r w:rsidRPr="007151C7">
              <w:t xml:space="preserve">For the purposes of this inquiry and </w:t>
            </w:r>
            <w:r w:rsidR="00E224ED">
              <w:t>interim</w:t>
            </w:r>
            <w:r w:rsidRPr="007151C7">
              <w:t xml:space="preserve"> report, in accordance with section 40 of the </w:t>
            </w:r>
            <w:r w:rsidRPr="00297BB6">
              <w:rPr>
                <w:i/>
              </w:rPr>
              <w:t>Productivity Commission Act 1998</w:t>
            </w:r>
            <w:r w:rsidRPr="007151C7">
              <w:t xml:space="preserve"> the powers of the </w:t>
            </w:r>
            <w:r>
              <w:t xml:space="preserve">PC </w:t>
            </w:r>
            <w:r w:rsidRPr="007151C7">
              <w:t>have been exercised by:</w:t>
            </w:r>
          </w:p>
          <w:tbl>
            <w:tblPr>
              <w:tblW w:w="0" w:type="auto"/>
              <w:tblLook w:val="01E0" w:firstRow="1" w:lastRow="1" w:firstColumn="1" w:lastColumn="1" w:noHBand="0" w:noVBand="0"/>
            </w:tblPr>
            <w:tblGrid>
              <w:gridCol w:w="3827"/>
              <w:gridCol w:w="4962"/>
            </w:tblGrid>
            <w:tr w:rsidR="00A25715" w14:paraId="79CC2BD9" w14:textId="77777777" w:rsidTr="00DC1C59">
              <w:tc>
                <w:tcPr>
                  <w:tcW w:w="3827" w:type="dxa"/>
                  <w:tcMar>
                    <w:left w:w="0" w:type="dxa"/>
                    <w:right w:w="0" w:type="dxa"/>
                  </w:tcMar>
                </w:tcPr>
                <w:p w14:paraId="2EA7AB33" w14:textId="1B362C65" w:rsidR="00A25715" w:rsidRDefault="00483BED" w:rsidP="003D5945">
                  <w:pPr>
                    <w:pStyle w:val="BodyText"/>
                    <w:spacing w:after="0"/>
                  </w:pPr>
                  <w:r>
                    <w:t>Alex Robson</w:t>
                  </w:r>
                  <w:r w:rsidR="00DC1C59">
                    <w:t xml:space="preserve">, Deputy Chair </w:t>
                  </w:r>
                </w:p>
              </w:tc>
              <w:tc>
                <w:tcPr>
                  <w:tcW w:w="4962" w:type="dxa"/>
                </w:tcPr>
                <w:p w14:paraId="715F8DB4" w14:textId="0B839E2E" w:rsidR="00A25715" w:rsidRDefault="00A25715" w:rsidP="003D5945">
                  <w:pPr>
                    <w:pStyle w:val="BodyText"/>
                    <w:spacing w:after="0"/>
                  </w:pPr>
                </w:p>
              </w:tc>
            </w:tr>
            <w:tr w:rsidR="00A25715" w14:paraId="576E1015" w14:textId="77777777" w:rsidTr="00DC1C59">
              <w:tc>
                <w:tcPr>
                  <w:tcW w:w="3827" w:type="dxa"/>
                  <w:tcMar>
                    <w:left w:w="0" w:type="dxa"/>
                    <w:right w:w="0" w:type="dxa"/>
                  </w:tcMar>
                </w:tcPr>
                <w:p w14:paraId="28BB0E9B" w14:textId="5E14904D" w:rsidR="00A25715" w:rsidRDefault="00483BED" w:rsidP="003D5945">
                  <w:pPr>
                    <w:pStyle w:val="BodyText"/>
                    <w:spacing w:after="0"/>
                  </w:pPr>
                  <w:r>
                    <w:t>Angela Jackson</w:t>
                  </w:r>
                  <w:r w:rsidR="00DC1C59">
                    <w:t>, Commissioner</w:t>
                  </w:r>
                </w:p>
              </w:tc>
              <w:tc>
                <w:tcPr>
                  <w:tcW w:w="4962" w:type="dxa"/>
                </w:tcPr>
                <w:p w14:paraId="2B2C2401" w14:textId="5357F56C" w:rsidR="00A25715" w:rsidRDefault="00A25715" w:rsidP="003D5945">
                  <w:pPr>
                    <w:pStyle w:val="BodyText"/>
                    <w:spacing w:after="0"/>
                  </w:pPr>
                </w:p>
              </w:tc>
            </w:tr>
          </w:tbl>
          <w:p w14:paraId="346BC7AD" w14:textId="77777777" w:rsidR="00A25715" w:rsidRPr="00DD6473" w:rsidRDefault="00A25715">
            <w:pPr>
              <w:pStyle w:val="BodyText"/>
            </w:pPr>
          </w:p>
        </w:tc>
      </w:tr>
    </w:tbl>
    <w:p w14:paraId="6C930576" w14:textId="77777777" w:rsidR="00E76EEC" w:rsidRDefault="00E76EEC" w:rsidP="00E76EEC">
      <w:pPr>
        <w:pStyle w:val="BodyText"/>
        <w:sectPr w:rsidR="00E76EEC" w:rsidSect="00E76EEC">
          <w:headerReference w:type="even" r:id="rId31"/>
          <w:headerReference w:type="default" r:id="rId32"/>
          <w:footerReference w:type="even" r:id="rId33"/>
          <w:footerReference w:type="default" r:id="rId34"/>
          <w:headerReference w:type="first" r:id="rId35"/>
          <w:footnotePr>
            <w:numRestart w:val="eachSect"/>
          </w:footnotePr>
          <w:type w:val="oddPage"/>
          <w:pgSz w:w="11906" w:h="16838" w:code="9"/>
          <w:pgMar w:top="1134" w:right="1134" w:bottom="1134" w:left="1134" w:header="794" w:footer="510" w:gutter="0"/>
          <w:pgNumType w:fmt="lowerRoman" w:start="2"/>
          <w:cols w:space="708"/>
          <w:docGrid w:linePitch="360"/>
        </w:sectPr>
      </w:pPr>
    </w:p>
    <w:p w14:paraId="5F4573DB" w14:textId="247E0B4B" w:rsidR="00E76EEC" w:rsidRPr="003B7DB1" w:rsidRDefault="00E76EEC" w:rsidP="00BF791E">
      <w:pPr>
        <w:pStyle w:val="Heading1-nobackground"/>
        <w:numPr>
          <w:ilvl w:val="0"/>
          <w:numId w:val="0"/>
        </w:numPr>
      </w:pPr>
      <w:bookmarkStart w:id="2" w:name="_Toc236904058"/>
      <w:r w:rsidRPr="003B7DB1">
        <w:lastRenderedPageBreak/>
        <w:t xml:space="preserve">Terms of </w:t>
      </w:r>
      <w:r w:rsidRPr="002E7A0E">
        <w:t>reference</w:t>
      </w:r>
      <w:bookmarkEnd w:id="2"/>
    </w:p>
    <w:p w14:paraId="067A794B" w14:textId="226AED16" w:rsidR="00E76EEC" w:rsidRPr="00A550A0" w:rsidRDefault="00A550A0" w:rsidP="00E76EEC">
      <w:pPr>
        <w:pStyle w:val="BodyText"/>
        <w:rPr>
          <w:rFonts w:asciiTheme="minorHAnsi" w:hAnsiTheme="minorHAnsi"/>
        </w:rPr>
      </w:pPr>
      <w:bookmarkStart w:id="3" w:name="_Toc214005978"/>
      <w:r>
        <w:t>I, the Hon Jim Chalmers MP, Treasurer, pursuant to Parts 2 and 3 of the </w:t>
      </w:r>
      <w:r>
        <w:rPr>
          <w:i/>
        </w:rPr>
        <w:t>Productivity Commission Act</w:t>
      </w:r>
      <w:r w:rsidR="0011075F">
        <w:rPr>
          <w:i/>
        </w:rPr>
        <w:t> </w:t>
      </w:r>
      <w:r>
        <w:rPr>
          <w:i/>
        </w:rPr>
        <w:t>1998</w:t>
      </w:r>
      <w:r>
        <w:t>, and Section 4 of the </w:t>
      </w:r>
      <w:r>
        <w:rPr>
          <w:i/>
        </w:rPr>
        <w:t>Treasury Laws Amendment (Making Sure Every State and Territory Gets Their Fair Share of GST)</w:t>
      </w:r>
      <w:r>
        <w:t> Act 2018 (the 2018 legislation), request the Productivity Commission (the Commission) undertake an inquiry into the 2018 Goods and Services Tax (GST) distribution reforms. The inquiry will also examine ways in which the federal financial relations system can best promote fiscal sustainability across the states and territories (the states) and the Commonwealth, while delivering the best outcomes for all members of the Australian community</w:t>
      </w:r>
      <w:bookmarkEnd w:id="3"/>
      <w:r w:rsidR="00E76EEC" w:rsidRPr="003B7DB1">
        <w:t>.</w:t>
      </w:r>
    </w:p>
    <w:p w14:paraId="238BF8D5" w14:textId="488001EB" w:rsidR="00E76EEC" w:rsidRDefault="00E76EEC" w:rsidP="00EA07EA">
      <w:pPr>
        <w:pStyle w:val="Heading2-noTOC"/>
      </w:pPr>
      <w:r w:rsidRPr="003B7DB1">
        <w:t>Background</w:t>
      </w:r>
    </w:p>
    <w:p w14:paraId="1D95E6D5" w14:textId="77777777" w:rsidR="0000516B" w:rsidRDefault="0000516B" w:rsidP="0000516B">
      <w:pPr>
        <w:pStyle w:val="BodyText"/>
        <w:rPr>
          <w:rFonts w:asciiTheme="minorHAnsi" w:hAnsiTheme="minorHAnsi"/>
          <w:i/>
          <w:iCs/>
        </w:rPr>
      </w:pPr>
      <w:r>
        <w:t>Australia’s system of federal financial relations involves the transfer of revenue collected by the Commonwealth to the states. An important part of the system is the Goods and Services Tax (GST), collected by the Commonwealth and distributed to the states in accordance with the </w:t>
      </w:r>
      <w:r>
        <w:rPr>
          <w:i/>
          <w:iCs/>
        </w:rPr>
        <w:t>Federal Financial Relations Act 2009</w:t>
      </w:r>
      <w:r>
        <w:t> and the </w:t>
      </w:r>
      <w:r>
        <w:rPr>
          <w:i/>
          <w:iCs/>
        </w:rPr>
        <w:t xml:space="preserve">Commonwealth Grants Commission Act 1973. </w:t>
      </w:r>
    </w:p>
    <w:p w14:paraId="1AC533FA" w14:textId="77777777" w:rsidR="0000516B" w:rsidRDefault="0000516B" w:rsidP="0000516B">
      <w:pPr>
        <w:pStyle w:val="BodyText"/>
      </w:pPr>
      <w:r>
        <w:t xml:space="preserve">Since the inception of the GST in 2000, the principle of Horizontal Fiscal Equalisation (HFE) has determined GST distribution to the states (a similar HFE principle was often used prior to 2000). It has been an accepted policy position across jurisdictions that Commonwealth GST grants should aim to compensate for or narrow the gap between fiscally stronger and weaker states and territories. </w:t>
      </w:r>
    </w:p>
    <w:p w14:paraId="1A67B2F2" w14:textId="77777777" w:rsidR="0000516B" w:rsidRDefault="0000516B" w:rsidP="0000516B">
      <w:pPr>
        <w:pStyle w:val="BodyText"/>
      </w:pPr>
      <w:r>
        <w:t>In recent times, the objective of HFE was to ensure each state had the fiscal capacity to provide services and infrastructure at the same standard, if each made the same effort to raise revenue from its own</w:t>
      </w:r>
      <w:r>
        <w:noBreakHyphen/>
        <w:t xml:space="preserve">sources and operated at the same level of efficiency. The model also accounted for material factors beyond the control of state governments that may affect state revenues or spending – the demographics or relative remoteness of its population, for example. </w:t>
      </w:r>
    </w:p>
    <w:p w14:paraId="1748BF70" w14:textId="77777777" w:rsidR="0000516B" w:rsidRDefault="0000516B" w:rsidP="0000516B">
      <w:pPr>
        <w:pStyle w:val="BodyText"/>
      </w:pPr>
      <w:r>
        <w:t xml:space="preserve">In 2018, the Commonwealth Parliament changed the way GST revenue is distributed among the states to address concerns about the volatility of this revenue source. </w:t>
      </w:r>
    </w:p>
    <w:p w14:paraId="5CE4F724" w14:textId="77777777" w:rsidR="0000516B" w:rsidRPr="00372762" w:rsidRDefault="0000516B" w:rsidP="0000516B">
      <w:pPr>
        <w:pStyle w:val="BodyText"/>
        <w:rPr>
          <w:spacing w:val="2"/>
        </w:rPr>
      </w:pPr>
      <w:r w:rsidRPr="00372762">
        <w:rPr>
          <w:spacing w:val="2"/>
        </w:rPr>
        <w:t>The main reforms legislated via amendments to the </w:t>
      </w:r>
      <w:r w:rsidRPr="00372762">
        <w:rPr>
          <w:i/>
          <w:iCs/>
          <w:spacing w:val="2"/>
        </w:rPr>
        <w:t>Commonwealth Grants Commission Act 1973 </w:t>
      </w:r>
      <w:r w:rsidRPr="00372762">
        <w:rPr>
          <w:spacing w:val="2"/>
        </w:rPr>
        <w:t xml:space="preserve">in 2018 were: </w:t>
      </w:r>
    </w:p>
    <w:p w14:paraId="56E9F68B" w14:textId="77777777" w:rsidR="0000516B" w:rsidRPr="0031611E" w:rsidRDefault="0000516B" w:rsidP="0031611E">
      <w:pPr>
        <w:pStyle w:val="ListBullet"/>
      </w:pPr>
      <w:r w:rsidRPr="0031611E">
        <w:t xml:space="preserve">changing the equalisation benchmark so that each state’s relativity is at least as high as the relativity of the fiscally stronger of New South Wales or Victoria </w:t>
      </w:r>
    </w:p>
    <w:p w14:paraId="68A423DC" w14:textId="77777777" w:rsidR="0000516B" w:rsidRPr="0031611E" w:rsidRDefault="0000516B" w:rsidP="0031611E">
      <w:pPr>
        <w:pStyle w:val="ListBullet"/>
      </w:pPr>
      <w:r w:rsidRPr="0031611E">
        <w:t>ensuring an additional minimum GST revenue</w:t>
      </w:r>
      <w:r w:rsidRPr="0031611E">
        <w:noBreakHyphen/>
        <w:t xml:space="preserve">sharing relativity (now 0.75) </w:t>
      </w:r>
    </w:p>
    <w:p w14:paraId="7C00A84D" w14:textId="77777777" w:rsidR="0000516B" w:rsidRPr="0031611E" w:rsidRDefault="0000516B" w:rsidP="0031611E">
      <w:pPr>
        <w:pStyle w:val="ListBullet"/>
      </w:pPr>
      <w:r w:rsidRPr="0031611E">
        <w:t>requiring the GST pool to be ’topped</w:t>
      </w:r>
      <w:r w:rsidRPr="0031611E">
        <w:noBreakHyphen/>
        <w:t>up’ by the Commonwealth into perpetuity, and for that ’top</w:t>
      </w:r>
      <w:r w:rsidRPr="0031611E">
        <w:noBreakHyphen/>
        <w:t xml:space="preserve">up’ to grow at an indexed rate </w:t>
      </w:r>
    </w:p>
    <w:p w14:paraId="40459C11" w14:textId="017F8917" w:rsidR="0000516B" w:rsidRPr="0031611E" w:rsidRDefault="0000516B" w:rsidP="0031611E">
      <w:pPr>
        <w:pStyle w:val="ListBullet"/>
      </w:pPr>
      <w:r w:rsidRPr="0031611E">
        <w:t xml:space="preserve">during a transition period of six years from </w:t>
      </w:r>
      <w:r w:rsidR="00F065AC" w:rsidRPr="0031611E">
        <w:t>2021–22</w:t>
      </w:r>
      <w:r w:rsidRPr="0031611E">
        <w:t xml:space="preserve"> to </w:t>
      </w:r>
      <w:r w:rsidR="00F34590" w:rsidRPr="0031611E">
        <w:t>2026–27</w:t>
      </w:r>
      <w:r w:rsidRPr="0031611E">
        <w:t xml:space="preserve">, any state that received less than it would have received under the previous GST distribution system would be entitled to additional ‘no worse off’ (NoWO) payments. </w:t>
      </w:r>
    </w:p>
    <w:p w14:paraId="49810906" w14:textId="77777777" w:rsidR="0000516B" w:rsidRDefault="0000516B" w:rsidP="0000516B">
      <w:pPr>
        <w:pStyle w:val="BodyText"/>
      </w:pPr>
      <w:r>
        <w:t xml:space="preserve">The 2018 legislation also provides for a review of the operation of the Act by the Productivity Commission by 31 December 2026. </w:t>
      </w:r>
    </w:p>
    <w:p w14:paraId="5514B5EE" w14:textId="0F148C96" w:rsidR="00AF668A" w:rsidRPr="00AF668A" w:rsidRDefault="0000516B" w:rsidP="00AF668A">
      <w:pPr>
        <w:pStyle w:val="BodyText"/>
      </w:pPr>
      <w:r>
        <w:t xml:space="preserve">In November 2024, the NoWO was extended to </w:t>
      </w:r>
      <w:r w:rsidR="00F34590">
        <w:t>2029–30</w:t>
      </w:r>
      <w:r>
        <w:t xml:space="preserve"> through a Funding Agreement with all states except Western Australia. </w:t>
      </w:r>
    </w:p>
    <w:p w14:paraId="616FFA3F" w14:textId="3136F40E" w:rsidR="00E76EEC" w:rsidRPr="003B7DB1" w:rsidRDefault="00E76EEC" w:rsidP="00EA07EA">
      <w:pPr>
        <w:pStyle w:val="Heading2-noTOC"/>
      </w:pPr>
      <w:r w:rsidRPr="003B7DB1">
        <w:lastRenderedPageBreak/>
        <w:t>Scope of the inquiry</w:t>
      </w:r>
    </w:p>
    <w:p w14:paraId="782913CB" w14:textId="77777777" w:rsidR="00ED6EB2" w:rsidRPr="00372762" w:rsidRDefault="00ED6EB2" w:rsidP="00ED6EB2">
      <w:pPr>
        <w:pStyle w:val="BodyText"/>
        <w:rPr>
          <w:rFonts w:asciiTheme="minorHAnsi" w:hAnsiTheme="minorHAnsi"/>
          <w:spacing w:val="2"/>
        </w:rPr>
      </w:pPr>
      <w:r w:rsidRPr="00372762">
        <w:rPr>
          <w:spacing w:val="2"/>
        </w:rPr>
        <w:t xml:space="preserve">The Commission will inquire into the operation of the 2018 legislation, including whether the 2018 changes to the GST distribution system are operating efficiently, effectively and as intended and the fiscal implications for each state and territory, and for the Commonwealth, of the changes made by the 2018 legislation. </w:t>
      </w:r>
    </w:p>
    <w:p w14:paraId="5AE95A84" w14:textId="77777777" w:rsidR="00ED6EB2" w:rsidRDefault="00ED6EB2" w:rsidP="00ED6EB2">
      <w:pPr>
        <w:pStyle w:val="BodyText"/>
      </w:pPr>
      <w:r>
        <w:t xml:space="preserve">The Commission is to investigate: </w:t>
      </w:r>
    </w:p>
    <w:p w14:paraId="454258E3" w14:textId="77777777" w:rsidR="00ED6EB2" w:rsidRDefault="00ED6EB2" w:rsidP="004438DA">
      <w:pPr>
        <w:pStyle w:val="ListBullet"/>
      </w:pPr>
      <w:r>
        <w:t xml:space="preserve">To what extent the current arrangements are: </w:t>
      </w:r>
    </w:p>
    <w:p w14:paraId="1D58DBA0" w14:textId="77777777" w:rsidR="00ED6EB2" w:rsidRPr="004438DA" w:rsidRDefault="00ED6EB2" w:rsidP="003D5906">
      <w:pPr>
        <w:pStyle w:val="ListNumber"/>
      </w:pPr>
      <w:r w:rsidRPr="004438DA">
        <w:t>Delivering a reasonable level of horizontal fiscal equalisation</w:t>
      </w:r>
    </w:p>
    <w:p w14:paraId="74EE56D3" w14:textId="77777777" w:rsidR="00ED6EB2" w:rsidRPr="004438DA" w:rsidRDefault="00ED6EB2" w:rsidP="004438DA">
      <w:pPr>
        <w:pStyle w:val="ListNumber"/>
      </w:pPr>
      <w:r w:rsidRPr="004438DA">
        <w:t>Appropriately balancing the objective of responsiveness to changing circumstances with the objectives of reducing volatility and improving the certainty of GST revenue streams to support state fiscal planning</w:t>
      </w:r>
    </w:p>
    <w:p w14:paraId="7685C45A" w14:textId="77777777" w:rsidR="00ED6EB2" w:rsidRPr="004438DA" w:rsidRDefault="00ED6EB2" w:rsidP="004438DA">
      <w:pPr>
        <w:pStyle w:val="ListNumber"/>
      </w:pPr>
      <w:r w:rsidRPr="004438DA">
        <w:t xml:space="preserve">Supporting states and territories to pursue reforms, including to the efficiency of service delivery and state and territory revenue bases, and </w:t>
      </w:r>
    </w:p>
    <w:p w14:paraId="04CA9986" w14:textId="77777777" w:rsidR="00ED6EB2" w:rsidRPr="004438DA" w:rsidRDefault="00ED6EB2" w:rsidP="004438DA">
      <w:pPr>
        <w:pStyle w:val="ListNumber"/>
      </w:pPr>
      <w:r w:rsidRPr="004438DA">
        <w:t xml:space="preserve">Fiscally sustainable for the Commonwealth and states and territories. </w:t>
      </w:r>
    </w:p>
    <w:p w14:paraId="6B7061A6" w14:textId="77777777" w:rsidR="00ED6EB2" w:rsidRDefault="00ED6EB2" w:rsidP="003D5906">
      <w:pPr>
        <w:pStyle w:val="ListBullet"/>
      </w:pPr>
      <w:r>
        <w:t>Whether alternative arrangements would better achieve some or all of these outcomes.</w:t>
      </w:r>
    </w:p>
    <w:p w14:paraId="515F1171" w14:textId="77777777" w:rsidR="00ED6EB2" w:rsidRDefault="00ED6EB2" w:rsidP="003D5906">
      <w:pPr>
        <w:pStyle w:val="ListBullet"/>
      </w:pPr>
      <w:r>
        <w:t xml:space="preserve">The interaction between GST payments and other Commonwealth payments to states, including the principles for exempting payments from the Commonwealth Grants Commission’s assessments. </w:t>
      </w:r>
    </w:p>
    <w:p w14:paraId="472D0ADF" w14:textId="77777777" w:rsidR="00ED6EB2" w:rsidRDefault="00ED6EB2" w:rsidP="00ED6EB2">
      <w:pPr>
        <w:pStyle w:val="BodyText"/>
      </w:pPr>
      <w:r>
        <w:t>Any recommendations made by the Commission should include an assessment of implementation feasibility and risks, and be cognisant of the Commonwealth’s policy commitments in relation to GST distribution. In its recommendations, the Commission should provide a range of options including options with a funding relativity floor comparable to the current level, with and without top</w:t>
      </w:r>
      <w:r>
        <w:noBreakHyphen/>
        <w:t>up funding from the Commonwealth.</w:t>
      </w:r>
    </w:p>
    <w:p w14:paraId="74CED0D3" w14:textId="370F5126" w:rsidR="00E76EEC" w:rsidRPr="003B7DB1" w:rsidRDefault="00E76EEC" w:rsidP="00EA07EA">
      <w:pPr>
        <w:pStyle w:val="Heading2-noTOC"/>
      </w:pPr>
      <w:r w:rsidRPr="003B7DB1">
        <w:t>Process</w:t>
      </w:r>
    </w:p>
    <w:p w14:paraId="39722C2C" w14:textId="77777777" w:rsidR="00B355AD" w:rsidRPr="00A13EDF" w:rsidRDefault="00B355AD" w:rsidP="00A13EDF">
      <w:pPr>
        <w:pStyle w:val="BodyText"/>
      </w:pPr>
      <w:r w:rsidRPr="00A13EDF">
        <w:t xml:space="preserve">The Commission should engage widely and undertake appropriate public consultation processes, including inviting public submissions and holding hearings. The Commission should engage actively with other Commonwealth entities (notably the Commonwealth Treasury and Commonwealth Grants Commission) and all state and territory governments (notably state and territory Treasuries). </w:t>
      </w:r>
    </w:p>
    <w:p w14:paraId="6C155EFC" w14:textId="77777777" w:rsidR="00B355AD" w:rsidRPr="00A13EDF" w:rsidRDefault="00B355AD" w:rsidP="00A13EDF">
      <w:pPr>
        <w:pStyle w:val="BodyText"/>
      </w:pPr>
      <w:r w:rsidRPr="00A13EDF">
        <w:t>In undertaking the review, the Commission should have regard to previous inquiries where relevant, including the 2018 Horizontal Fiscal Equalisation inquiry, along with any relevant Government reforms and reform directions.</w:t>
      </w:r>
    </w:p>
    <w:p w14:paraId="393D715A" w14:textId="122D4C1A" w:rsidR="00B355AD" w:rsidRDefault="00B355AD" w:rsidP="00B355AD">
      <w:pPr>
        <w:pStyle w:val="Heading2-noTOC"/>
      </w:pPr>
      <w:r>
        <w:t xml:space="preserve">Deliverables </w:t>
      </w:r>
    </w:p>
    <w:p w14:paraId="71691CF6" w14:textId="77777777" w:rsidR="00B04AD8" w:rsidRPr="00B04AD8" w:rsidRDefault="00B04AD8" w:rsidP="00B04AD8">
      <w:pPr>
        <w:pStyle w:val="BodyText"/>
      </w:pPr>
      <w:r w:rsidRPr="00B04AD8">
        <w:t>The Commission should provide an interim report to Government by 28 August 2026 and a final report to Government ahead of the legislated deadline of 31 December 2026.</w:t>
      </w:r>
    </w:p>
    <w:p w14:paraId="2DEB2EC6" w14:textId="77777777" w:rsidR="00E76EEC" w:rsidRPr="003B7DB1" w:rsidRDefault="00E76EEC" w:rsidP="0031611E">
      <w:pPr>
        <w:pStyle w:val="BodyText"/>
        <w:spacing w:before="480"/>
      </w:pPr>
      <w:r w:rsidRPr="007D1569">
        <w:rPr>
          <w:b/>
          <w:bCs/>
        </w:rPr>
        <w:t xml:space="preserve">The Hon </w:t>
      </w:r>
      <w:r>
        <w:rPr>
          <w:b/>
          <w:bCs/>
        </w:rPr>
        <w:t xml:space="preserve">Dr Jim Chalmers </w:t>
      </w:r>
      <w:r w:rsidRPr="007D1569">
        <w:rPr>
          <w:b/>
          <w:bCs/>
        </w:rPr>
        <w:t>MP</w:t>
      </w:r>
      <w:r>
        <w:br/>
      </w:r>
      <w:r w:rsidRPr="003B7DB1">
        <w:t>Treasurer</w:t>
      </w:r>
    </w:p>
    <w:p w14:paraId="326E3BD8" w14:textId="33924419" w:rsidR="00E76EEC" w:rsidRPr="003B7DB1" w:rsidRDefault="00EA07EA" w:rsidP="00E76EEC">
      <w:pPr>
        <w:pStyle w:val="BodyText"/>
      </w:pPr>
      <w:r>
        <w:t xml:space="preserve">[Received </w:t>
      </w:r>
      <w:sdt>
        <w:sdtPr>
          <w:id w:val="1805112169"/>
          <w:placeholder>
            <w:docPart w:val="14670343A43C403695BC1EB786EE776D"/>
          </w:placeholder>
          <w:date w:fullDate="2025-09-24T00:00:00Z">
            <w:dateFormat w:val="d MMMM yyyy"/>
            <w:lid w:val="en-AU"/>
            <w:storeMappedDataAs w:val="dateTime"/>
            <w:calendar w:val="gregorian"/>
          </w:date>
        </w:sdtPr>
        <w:sdtContent>
          <w:r w:rsidR="003D6789">
            <w:t>24 September 2025</w:t>
          </w:r>
        </w:sdtContent>
      </w:sdt>
      <w:r>
        <w:t>]</w:t>
      </w:r>
    </w:p>
    <w:p w14:paraId="72A93806" w14:textId="77777777" w:rsidR="00197EF1" w:rsidRDefault="00197EF1" w:rsidP="00E76EEC">
      <w:pPr>
        <w:pStyle w:val="BodyText"/>
        <w:sectPr w:rsidR="00197EF1" w:rsidSect="00E76EEC">
          <w:headerReference w:type="even" r:id="rId36"/>
          <w:headerReference w:type="default" r:id="rId37"/>
          <w:headerReference w:type="first" r:id="rId38"/>
          <w:footnotePr>
            <w:numRestart w:val="eachSect"/>
          </w:footnotePr>
          <w:pgSz w:w="11906" w:h="16838" w:code="9"/>
          <w:pgMar w:top="1134" w:right="1134" w:bottom="1134" w:left="1134" w:header="794" w:footer="510" w:gutter="0"/>
          <w:pgNumType w:fmt="lowerRoman"/>
          <w:cols w:space="708"/>
          <w:docGrid w:linePitch="360"/>
        </w:sectPr>
      </w:pPr>
    </w:p>
    <w:p w14:paraId="2306F056" w14:textId="2ABA3E00" w:rsidR="00197EF1" w:rsidRPr="007D1569" w:rsidRDefault="00197EF1" w:rsidP="00197EF1">
      <w:pPr>
        <w:pStyle w:val="Heading2-noTOC"/>
      </w:pPr>
      <w:r w:rsidRPr="007D1569">
        <w:lastRenderedPageBreak/>
        <w:t>Disclosure of interests</w:t>
      </w:r>
    </w:p>
    <w:p w14:paraId="5C3EC897" w14:textId="77777777" w:rsidR="00197EF1" w:rsidRDefault="00197EF1" w:rsidP="00197EF1">
      <w:pPr>
        <w:pStyle w:val="BodyText"/>
      </w:pPr>
      <w:r w:rsidRPr="00E51135">
        <w:t xml:space="preserve">The </w:t>
      </w:r>
      <w:r w:rsidRPr="00E51135">
        <w:rPr>
          <w:i/>
          <w:iCs/>
        </w:rPr>
        <w:t>Productivity Commission Act 1998</w:t>
      </w:r>
      <w:r w:rsidRPr="00E51135">
        <w:t xml:space="preserve"> specifies that where Commissioners have or acquire interests, pecuniary or otherwise, that could conflict with the proper performance of their functions they must disclose those interests. </w:t>
      </w:r>
    </w:p>
    <w:p w14:paraId="6FA22F48" w14:textId="5422FD15" w:rsidR="00197EF1" w:rsidRDefault="00197EF1" w:rsidP="00197EF1">
      <w:pPr>
        <w:pStyle w:val="BodyText"/>
      </w:pPr>
      <w:r>
        <w:t xml:space="preserve">Commissioner Alex Robson discloses </w:t>
      </w:r>
      <w:r w:rsidRPr="00C153AF">
        <w:t>he was an advis</w:t>
      </w:r>
      <w:r>
        <w:t>e</w:t>
      </w:r>
      <w:r w:rsidRPr="00C153AF">
        <w:t xml:space="preserve">r in the Office of the then Prime Minister, </w:t>
      </w:r>
      <w:r>
        <w:br/>
      </w:r>
      <w:r w:rsidRPr="00C153AF">
        <w:t>the Hon Malcolm Turnbull, from November 2015 to August 2018</w:t>
      </w:r>
      <w:r>
        <w:t>.</w:t>
      </w:r>
    </w:p>
    <w:p w14:paraId="3BFCC29C" w14:textId="77777777" w:rsidR="00197EF1" w:rsidRDefault="00197EF1" w:rsidP="00197EF1">
      <w:pPr>
        <w:pStyle w:val="BodyText"/>
      </w:pPr>
      <w:r>
        <w:t>Commissioner Angela Jackson discloses she was a part-time Commissioner at the Commonwealth Grants Commission from August 2022 to April 2025.</w:t>
      </w:r>
    </w:p>
    <w:p w14:paraId="6AC2B269" w14:textId="77777777" w:rsidR="00197EF1" w:rsidRPr="00DD14E4" w:rsidRDefault="00197EF1" w:rsidP="00197EF1">
      <w:pPr>
        <w:pStyle w:val="Heading2-noTOC"/>
      </w:pPr>
      <w:r w:rsidRPr="00DD14E4">
        <w:t xml:space="preserve">Acknowledgments </w:t>
      </w:r>
    </w:p>
    <w:p w14:paraId="4A435AE2" w14:textId="77777777" w:rsidR="00197EF1" w:rsidRDefault="00197EF1" w:rsidP="00197EF1">
      <w:pPr>
        <w:pStyle w:val="BodyText"/>
      </w:pPr>
      <w:r>
        <w:t>The Commissioners express their gratitude to the many individuals and organisations who have taken the time to contribute to this inquiry, including those who participated in visits and provided public submissions.</w:t>
      </w:r>
    </w:p>
    <w:p w14:paraId="150269CB" w14:textId="77777777" w:rsidR="00197EF1" w:rsidRDefault="00197EF1" w:rsidP="00197EF1">
      <w:pPr>
        <w:pStyle w:val="BodyText"/>
      </w:pPr>
      <w:r>
        <w:t xml:space="preserve">In particular, the Commissioners wish to thank the staff of the Commonwealth Grants Commission, who have reviewed many of the PC’s calculations included in this report, and provided data and responses to questions raised by the PC during the course of the inquiry. </w:t>
      </w:r>
    </w:p>
    <w:p w14:paraId="18A1547C" w14:textId="77777777" w:rsidR="00197EF1" w:rsidRDefault="00197EF1" w:rsidP="00197EF1">
      <w:pPr>
        <w:pStyle w:val="BodyText"/>
      </w:pPr>
      <w:r>
        <w:t xml:space="preserve">The Commissioners also wish to thank the Commonwealth Treasury and state and territory Treasuries for providing their experiences and perspectives to the inquiry. </w:t>
      </w:r>
    </w:p>
    <w:p w14:paraId="0032D452" w14:textId="77777777" w:rsidR="00197EF1" w:rsidRDefault="00197EF1" w:rsidP="00197EF1">
      <w:pPr>
        <w:pStyle w:val="BodyText"/>
      </w:pPr>
      <w:r>
        <w:t xml:space="preserve">The Commissioners also wish to express their appreciation to the PC team who worked on the interim report. </w:t>
      </w:r>
    </w:p>
    <w:p w14:paraId="3907F4E7" w14:textId="77777777" w:rsidR="00197EF1" w:rsidRDefault="00197EF1" w:rsidP="00197EF1">
      <w:pPr>
        <w:pStyle w:val="BodyText"/>
      </w:pPr>
      <w:r>
        <w:t xml:space="preserve">The conclusions and views reached by the PC on the basis of the information and data provided to the inquiry are those of the PC. They should not be attributed to other organisations. </w:t>
      </w:r>
    </w:p>
    <w:p w14:paraId="014B14B8" w14:textId="77777777" w:rsidR="00197EF1" w:rsidRDefault="00197EF1" w:rsidP="00197EF1">
      <w:pPr>
        <w:pStyle w:val="Heading2-noTOC"/>
      </w:pPr>
      <w:r>
        <w:t>AI disclosure</w:t>
      </w:r>
    </w:p>
    <w:p w14:paraId="38668DB1" w14:textId="77777777" w:rsidR="00197EF1" w:rsidRDefault="00197EF1" w:rsidP="00197EF1">
      <w:pPr>
        <w:pStyle w:val="BodyText"/>
      </w:pPr>
      <w:r w:rsidRPr="00976607">
        <w:t>This report was prepared using the assistance of AI tools for purposes of general research, summarising material from consultations</w:t>
      </w:r>
      <w:r>
        <w:t xml:space="preserve"> and editing</w:t>
      </w:r>
      <w:r w:rsidRPr="00976607">
        <w:t>. PC staff reviewed all AI-generated outputs for accuracy and quality</w:t>
      </w:r>
      <w:r>
        <w:t>.</w:t>
      </w:r>
    </w:p>
    <w:p w14:paraId="515697A4" w14:textId="77777777" w:rsidR="00197EF1" w:rsidRPr="007D1569" w:rsidRDefault="00197EF1" w:rsidP="00197EF1">
      <w:pPr>
        <w:pStyle w:val="BodyText"/>
      </w:pPr>
    </w:p>
    <w:p w14:paraId="2FC35571" w14:textId="77777777" w:rsidR="00197EF1" w:rsidRDefault="00197EF1" w:rsidP="00E76EEC">
      <w:pPr>
        <w:spacing w:before="0" w:after="160" w:line="259" w:lineRule="auto"/>
        <w:sectPr w:rsidR="00197EF1" w:rsidSect="006E134E">
          <w:headerReference w:type="default" r:id="rId39"/>
          <w:footnotePr>
            <w:numRestart w:val="eachSect"/>
          </w:footnotePr>
          <w:pgSz w:w="11906" w:h="16838" w:code="9"/>
          <w:pgMar w:top="1134" w:right="1134" w:bottom="1134" w:left="1134" w:header="794" w:footer="510" w:gutter="0"/>
          <w:pgNumType w:fmt="lowerRoman"/>
          <w:cols w:space="708"/>
          <w:docGrid w:linePitch="360"/>
        </w:sectPr>
      </w:pPr>
    </w:p>
    <w:p w14:paraId="73B19EA6" w14:textId="77777777" w:rsidR="00E76EEC" w:rsidRDefault="00E76EEC" w:rsidP="00BF791E">
      <w:pPr>
        <w:pStyle w:val="Heading1-nobackground"/>
        <w:numPr>
          <w:ilvl w:val="0"/>
          <w:numId w:val="0"/>
        </w:numPr>
      </w:pPr>
      <w:bookmarkStart w:id="4" w:name="_Toc87865131"/>
      <w:bookmarkStart w:id="5" w:name="_Toc226473600"/>
      <w:bookmarkStart w:id="6" w:name="_Toc226474526"/>
      <w:bookmarkStart w:id="7" w:name="_Toc226548683"/>
      <w:bookmarkStart w:id="8" w:name="_Toc236406848"/>
      <w:bookmarkStart w:id="9" w:name="_Toc236817627"/>
      <w:bookmarkStart w:id="10" w:name="_Toc236904059"/>
      <w:r w:rsidRPr="00EA07EA">
        <w:lastRenderedPageBreak/>
        <w:t>Contents</w:t>
      </w:r>
      <w:bookmarkEnd w:id="4"/>
      <w:bookmarkEnd w:id="5"/>
      <w:bookmarkEnd w:id="6"/>
      <w:bookmarkEnd w:id="7"/>
      <w:bookmarkEnd w:id="8"/>
      <w:bookmarkEnd w:id="9"/>
      <w:bookmarkEnd w:id="10"/>
    </w:p>
    <w:sdt>
      <w:sdtPr>
        <w:rPr>
          <w:rFonts w:asciiTheme="minorHAnsi" w:hAnsiTheme="minorHAnsi"/>
          <w:b/>
          <w:color w:val="auto"/>
        </w:rPr>
        <w:id w:val="-896974578"/>
        <w:docPartObj>
          <w:docPartGallery w:val="Table of Contents"/>
          <w:docPartUnique/>
        </w:docPartObj>
      </w:sdtPr>
      <w:sdtEndPr>
        <w:rPr>
          <w:b w:val="0"/>
        </w:rPr>
      </w:sdtEndPr>
      <w:sdtContent>
        <w:p w14:paraId="6C0242F5" w14:textId="17A3D68B" w:rsidR="00AB1160" w:rsidRDefault="00E76EEC">
          <w:pPr>
            <w:pStyle w:val="TOC1"/>
            <w:rPr>
              <w:rFonts w:asciiTheme="minorHAnsi" w:eastAsiaTheme="minorEastAsia" w:hAnsiTheme="minorHAnsi"/>
              <w:noProof/>
              <w:color w:val="auto"/>
              <w:kern w:val="2"/>
              <w:sz w:val="24"/>
              <w:szCs w:val="24"/>
              <w:lang w:eastAsia="en-AU"/>
              <w14:ligatures w14:val="standardContextual"/>
            </w:rPr>
          </w:pPr>
          <w:r>
            <w:rPr>
              <w:rFonts w:asciiTheme="majorHAnsi" w:hAnsiTheme="majorHAnsi"/>
              <w:noProof/>
              <w:color w:val="265A9A" w:themeColor="background2"/>
            </w:rPr>
            <w:fldChar w:fldCharType="begin"/>
          </w:r>
          <w:r>
            <w:instrText xml:space="preserve"> TOC \\h \z \t "Heading 1,1,</w:instrText>
          </w:r>
          <w:r w:rsidRPr="00484E96">
            <w:instrText>Heading-Appendix</w:instrText>
          </w:r>
          <w:r>
            <w:instrText>,1,</w:instrText>
          </w:r>
          <w:r w:rsidRPr="00F37F65">
            <w:instrText xml:space="preserve"> Heading 1</w:instrText>
          </w:r>
          <w:r>
            <w:instrText>-no number</w:instrText>
          </w:r>
          <w:r w:rsidRPr="00F37F65">
            <w:instrText>,1</w:instrText>
          </w:r>
          <w:r>
            <w:instrText>, Heading 1-no background,1,</w:instrText>
          </w:r>
          <w:r w:rsidRPr="00F37F65">
            <w:instrText xml:space="preserve"> Heading 1-Section blue background</w:instrText>
          </w:r>
          <w:r>
            <w:instrText>,3,</w:instrText>
          </w:r>
          <w:r w:rsidRPr="00F37F65">
            <w:instrText xml:space="preserve"> Heading 1-Section-full page</w:instrText>
          </w:r>
          <w:r>
            <w:instrText xml:space="preserve">,3,Heading 2,2,Heading 2-no number,2,Heading 2-Appendix,2,Heading 1 - Intro,3,Heading 1-numbered,3,Section Heading-pale blue,3" </w:instrText>
          </w:r>
          <w:r>
            <w:rPr>
              <w:rFonts w:asciiTheme="majorHAnsi" w:hAnsiTheme="majorHAnsi"/>
              <w:noProof/>
              <w:color w:val="265A9A" w:themeColor="background2"/>
            </w:rPr>
            <w:fldChar w:fldCharType="separate"/>
          </w:r>
          <w:r w:rsidR="00AB1160">
            <w:rPr>
              <w:noProof/>
            </w:rPr>
            <w:t>Opportunity for comment</w:t>
          </w:r>
          <w:r w:rsidR="00AB1160">
            <w:rPr>
              <w:noProof/>
              <w:webHidden/>
            </w:rPr>
            <w:tab/>
          </w:r>
          <w:r w:rsidR="00AB1160">
            <w:rPr>
              <w:noProof/>
              <w:webHidden/>
            </w:rPr>
            <w:fldChar w:fldCharType="begin"/>
          </w:r>
          <w:r w:rsidR="00AB1160">
            <w:rPr>
              <w:noProof/>
              <w:webHidden/>
            </w:rPr>
            <w:instrText xml:space="preserve"> PAGEREF _Toc236904057 \h </w:instrText>
          </w:r>
          <w:r w:rsidR="00AB1160">
            <w:rPr>
              <w:noProof/>
              <w:webHidden/>
            </w:rPr>
          </w:r>
          <w:r w:rsidR="00AB1160">
            <w:rPr>
              <w:noProof/>
              <w:webHidden/>
            </w:rPr>
            <w:fldChar w:fldCharType="separate"/>
          </w:r>
          <w:r w:rsidR="001F73C1">
            <w:rPr>
              <w:noProof/>
              <w:webHidden/>
            </w:rPr>
            <w:t>iii</w:t>
          </w:r>
          <w:r w:rsidR="00AB1160">
            <w:rPr>
              <w:noProof/>
              <w:webHidden/>
            </w:rPr>
            <w:fldChar w:fldCharType="end"/>
          </w:r>
        </w:p>
        <w:p w14:paraId="2DCF9E41" w14:textId="235B0178" w:rsidR="00AB1160" w:rsidRDefault="00AB1160">
          <w:pPr>
            <w:pStyle w:val="TOC1"/>
            <w:rPr>
              <w:rFonts w:asciiTheme="minorHAnsi" w:eastAsiaTheme="minorEastAsia" w:hAnsiTheme="minorHAnsi"/>
              <w:noProof/>
              <w:color w:val="auto"/>
              <w:kern w:val="2"/>
              <w:sz w:val="24"/>
              <w:szCs w:val="24"/>
              <w:lang w:eastAsia="en-AU"/>
              <w14:ligatures w14:val="standardContextual"/>
            </w:rPr>
          </w:pPr>
          <w:r>
            <w:rPr>
              <w:noProof/>
            </w:rPr>
            <w:t>Terms of reference</w:t>
          </w:r>
          <w:r>
            <w:rPr>
              <w:noProof/>
              <w:webHidden/>
            </w:rPr>
            <w:tab/>
          </w:r>
          <w:r>
            <w:rPr>
              <w:noProof/>
              <w:webHidden/>
            </w:rPr>
            <w:fldChar w:fldCharType="begin"/>
          </w:r>
          <w:r>
            <w:rPr>
              <w:noProof/>
              <w:webHidden/>
            </w:rPr>
            <w:instrText xml:space="preserve"> PAGEREF _Toc236904058 \h </w:instrText>
          </w:r>
          <w:r>
            <w:rPr>
              <w:noProof/>
              <w:webHidden/>
            </w:rPr>
          </w:r>
          <w:r>
            <w:rPr>
              <w:noProof/>
              <w:webHidden/>
            </w:rPr>
            <w:fldChar w:fldCharType="separate"/>
          </w:r>
          <w:r w:rsidR="001F73C1">
            <w:rPr>
              <w:noProof/>
              <w:webHidden/>
            </w:rPr>
            <w:t>iv</w:t>
          </w:r>
          <w:r>
            <w:rPr>
              <w:noProof/>
              <w:webHidden/>
            </w:rPr>
            <w:fldChar w:fldCharType="end"/>
          </w:r>
        </w:p>
        <w:p w14:paraId="69D71151" w14:textId="389E6F54" w:rsidR="00AB1160" w:rsidRDefault="00AB1160">
          <w:pPr>
            <w:pStyle w:val="TOC1"/>
            <w:rPr>
              <w:rFonts w:asciiTheme="minorHAnsi" w:eastAsiaTheme="minorEastAsia" w:hAnsiTheme="minorHAnsi"/>
              <w:noProof/>
              <w:color w:val="auto"/>
              <w:kern w:val="2"/>
              <w:sz w:val="24"/>
              <w:szCs w:val="24"/>
              <w:lang w:eastAsia="en-AU"/>
              <w14:ligatures w14:val="standardContextual"/>
            </w:rPr>
          </w:pPr>
          <w:r>
            <w:rPr>
              <w:noProof/>
            </w:rPr>
            <w:t>Executive summary</w:t>
          </w:r>
          <w:r>
            <w:rPr>
              <w:noProof/>
              <w:webHidden/>
            </w:rPr>
            <w:tab/>
          </w:r>
          <w:r>
            <w:rPr>
              <w:noProof/>
              <w:webHidden/>
            </w:rPr>
            <w:fldChar w:fldCharType="begin"/>
          </w:r>
          <w:r>
            <w:rPr>
              <w:noProof/>
              <w:webHidden/>
            </w:rPr>
            <w:instrText xml:space="preserve"> PAGEREF _Toc236904060 \h </w:instrText>
          </w:r>
          <w:r>
            <w:rPr>
              <w:noProof/>
              <w:webHidden/>
            </w:rPr>
          </w:r>
          <w:r>
            <w:rPr>
              <w:noProof/>
              <w:webHidden/>
            </w:rPr>
            <w:fldChar w:fldCharType="separate"/>
          </w:r>
          <w:r w:rsidR="001F73C1">
            <w:rPr>
              <w:noProof/>
              <w:webHidden/>
            </w:rPr>
            <w:t>1</w:t>
          </w:r>
          <w:r>
            <w:rPr>
              <w:noProof/>
              <w:webHidden/>
            </w:rPr>
            <w:fldChar w:fldCharType="end"/>
          </w:r>
        </w:p>
        <w:p w14:paraId="7AC04157" w14:textId="73C3F498" w:rsidR="00AB1160" w:rsidRDefault="00AB1160">
          <w:pPr>
            <w:pStyle w:val="TOC1"/>
            <w:rPr>
              <w:rFonts w:asciiTheme="minorHAnsi" w:eastAsiaTheme="minorEastAsia" w:hAnsiTheme="minorHAnsi"/>
              <w:noProof/>
              <w:color w:val="auto"/>
              <w:kern w:val="2"/>
              <w:sz w:val="24"/>
              <w:szCs w:val="24"/>
              <w:lang w:eastAsia="en-AU"/>
              <w14:ligatures w14:val="standardContextual"/>
            </w:rPr>
          </w:pPr>
          <w:r>
            <w:rPr>
              <w:noProof/>
            </w:rPr>
            <w:t>1.</w:t>
          </w:r>
          <w:r>
            <w:rPr>
              <w:rFonts w:asciiTheme="minorHAnsi" w:eastAsiaTheme="minorEastAsia" w:hAnsiTheme="minorHAnsi"/>
              <w:noProof/>
              <w:color w:val="auto"/>
              <w:kern w:val="2"/>
              <w:sz w:val="24"/>
              <w:szCs w:val="24"/>
              <w:lang w:eastAsia="en-AU"/>
              <w14:ligatures w14:val="standardContextual"/>
            </w:rPr>
            <w:tab/>
          </w:r>
          <w:r>
            <w:rPr>
              <w:noProof/>
            </w:rPr>
            <w:t>Horizontal Fiscal Equalisation in Australia</w:t>
          </w:r>
          <w:r>
            <w:rPr>
              <w:noProof/>
              <w:webHidden/>
            </w:rPr>
            <w:tab/>
          </w:r>
          <w:r>
            <w:rPr>
              <w:noProof/>
              <w:webHidden/>
            </w:rPr>
            <w:fldChar w:fldCharType="begin"/>
          </w:r>
          <w:r>
            <w:rPr>
              <w:noProof/>
              <w:webHidden/>
            </w:rPr>
            <w:instrText xml:space="preserve"> PAGEREF _Toc236904061 \h </w:instrText>
          </w:r>
          <w:r>
            <w:rPr>
              <w:noProof/>
              <w:webHidden/>
            </w:rPr>
          </w:r>
          <w:r>
            <w:rPr>
              <w:noProof/>
              <w:webHidden/>
            </w:rPr>
            <w:fldChar w:fldCharType="separate"/>
          </w:r>
          <w:r w:rsidR="001F73C1">
            <w:rPr>
              <w:noProof/>
              <w:webHidden/>
            </w:rPr>
            <w:t>7</w:t>
          </w:r>
          <w:r>
            <w:rPr>
              <w:noProof/>
              <w:webHidden/>
            </w:rPr>
            <w:fldChar w:fldCharType="end"/>
          </w:r>
        </w:p>
        <w:p w14:paraId="3C979C8B" w14:textId="62432460" w:rsidR="00AB1160" w:rsidRDefault="00AB1160">
          <w:pPr>
            <w:pStyle w:val="TOC2"/>
            <w:rPr>
              <w:rFonts w:asciiTheme="minorHAnsi" w:eastAsiaTheme="minorEastAsia" w:hAnsiTheme="minorHAnsi"/>
              <w:kern w:val="2"/>
              <w:sz w:val="24"/>
              <w:szCs w:val="24"/>
              <w:lang w:eastAsia="en-AU"/>
              <w14:ligatures w14:val="standardContextual"/>
            </w:rPr>
          </w:pPr>
          <w:r>
            <w:t>1.1</w:t>
          </w:r>
          <w:r>
            <w:rPr>
              <w:rFonts w:asciiTheme="minorHAnsi" w:eastAsiaTheme="minorEastAsia" w:hAnsiTheme="minorHAnsi"/>
              <w:kern w:val="2"/>
              <w:sz w:val="24"/>
              <w:szCs w:val="24"/>
              <w:lang w:eastAsia="en-AU"/>
              <w14:ligatures w14:val="standardContextual"/>
            </w:rPr>
            <w:tab/>
          </w:r>
          <w:r>
            <w:t>Australia’s system of fiscal transfers</w:t>
          </w:r>
          <w:r>
            <w:rPr>
              <w:webHidden/>
            </w:rPr>
            <w:tab/>
          </w:r>
          <w:r>
            <w:rPr>
              <w:webHidden/>
            </w:rPr>
            <w:fldChar w:fldCharType="begin"/>
          </w:r>
          <w:r>
            <w:rPr>
              <w:webHidden/>
            </w:rPr>
            <w:instrText xml:space="preserve"> PAGEREF _Toc236904062 \h </w:instrText>
          </w:r>
          <w:r>
            <w:rPr>
              <w:webHidden/>
            </w:rPr>
          </w:r>
          <w:r>
            <w:rPr>
              <w:webHidden/>
            </w:rPr>
            <w:fldChar w:fldCharType="separate"/>
          </w:r>
          <w:r w:rsidR="001F73C1">
            <w:rPr>
              <w:webHidden/>
            </w:rPr>
            <w:t>7</w:t>
          </w:r>
          <w:r>
            <w:rPr>
              <w:webHidden/>
            </w:rPr>
            <w:fldChar w:fldCharType="end"/>
          </w:r>
        </w:p>
        <w:p w14:paraId="1F5D56BE" w14:textId="17FA77B5" w:rsidR="00AB1160" w:rsidRDefault="00AB1160">
          <w:pPr>
            <w:pStyle w:val="TOC2"/>
            <w:rPr>
              <w:rFonts w:asciiTheme="minorHAnsi" w:eastAsiaTheme="minorEastAsia" w:hAnsiTheme="minorHAnsi"/>
              <w:kern w:val="2"/>
              <w:sz w:val="24"/>
              <w:szCs w:val="24"/>
              <w:lang w:eastAsia="en-AU"/>
              <w14:ligatures w14:val="standardContextual"/>
            </w:rPr>
          </w:pPr>
          <w:r>
            <w:t>1.2</w:t>
          </w:r>
          <w:r>
            <w:rPr>
              <w:rFonts w:asciiTheme="minorHAnsi" w:eastAsiaTheme="minorEastAsia" w:hAnsiTheme="minorHAnsi"/>
              <w:kern w:val="2"/>
              <w:sz w:val="24"/>
              <w:szCs w:val="24"/>
              <w:lang w:eastAsia="en-AU"/>
              <w14:ligatures w14:val="standardContextual"/>
            </w:rPr>
            <w:tab/>
          </w:r>
          <w:r>
            <w:t>The HFE system was under pressure prior to the 2018 reforms</w:t>
          </w:r>
          <w:r>
            <w:rPr>
              <w:webHidden/>
            </w:rPr>
            <w:tab/>
          </w:r>
          <w:r>
            <w:rPr>
              <w:webHidden/>
            </w:rPr>
            <w:fldChar w:fldCharType="begin"/>
          </w:r>
          <w:r>
            <w:rPr>
              <w:webHidden/>
            </w:rPr>
            <w:instrText xml:space="preserve"> PAGEREF _Toc236904063 \h </w:instrText>
          </w:r>
          <w:r>
            <w:rPr>
              <w:webHidden/>
            </w:rPr>
          </w:r>
          <w:r>
            <w:rPr>
              <w:webHidden/>
            </w:rPr>
            <w:fldChar w:fldCharType="separate"/>
          </w:r>
          <w:r w:rsidR="001F73C1">
            <w:rPr>
              <w:webHidden/>
            </w:rPr>
            <w:t>16</w:t>
          </w:r>
          <w:r>
            <w:rPr>
              <w:webHidden/>
            </w:rPr>
            <w:fldChar w:fldCharType="end"/>
          </w:r>
        </w:p>
        <w:p w14:paraId="5AD56D1F" w14:textId="6CC5AC89" w:rsidR="00AB1160" w:rsidRDefault="00AB1160">
          <w:pPr>
            <w:pStyle w:val="TOC1"/>
            <w:rPr>
              <w:rFonts w:asciiTheme="minorHAnsi" w:eastAsiaTheme="minorEastAsia" w:hAnsiTheme="minorHAnsi"/>
              <w:noProof/>
              <w:color w:val="auto"/>
              <w:kern w:val="2"/>
              <w:sz w:val="24"/>
              <w:szCs w:val="24"/>
              <w:lang w:eastAsia="en-AU"/>
              <w14:ligatures w14:val="standardContextual"/>
            </w:rPr>
          </w:pPr>
          <w:r>
            <w:rPr>
              <w:noProof/>
            </w:rPr>
            <w:t>2.</w:t>
          </w:r>
          <w:r>
            <w:rPr>
              <w:rFonts w:asciiTheme="minorHAnsi" w:eastAsiaTheme="minorEastAsia" w:hAnsiTheme="minorHAnsi"/>
              <w:noProof/>
              <w:color w:val="auto"/>
              <w:kern w:val="2"/>
              <w:sz w:val="24"/>
              <w:szCs w:val="24"/>
              <w:lang w:eastAsia="en-AU"/>
              <w14:ligatures w14:val="standardContextual"/>
            </w:rPr>
            <w:tab/>
          </w:r>
          <w:r>
            <w:rPr>
              <w:noProof/>
            </w:rPr>
            <w:t>Impacts of the 2018 reforms</w:t>
          </w:r>
          <w:r>
            <w:rPr>
              <w:noProof/>
              <w:webHidden/>
            </w:rPr>
            <w:tab/>
          </w:r>
          <w:r>
            <w:rPr>
              <w:noProof/>
              <w:webHidden/>
            </w:rPr>
            <w:fldChar w:fldCharType="begin"/>
          </w:r>
          <w:r>
            <w:rPr>
              <w:noProof/>
              <w:webHidden/>
            </w:rPr>
            <w:instrText xml:space="preserve"> PAGEREF _Toc236904064 \h </w:instrText>
          </w:r>
          <w:r>
            <w:rPr>
              <w:noProof/>
              <w:webHidden/>
            </w:rPr>
          </w:r>
          <w:r>
            <w:rPr>
              <w:noProof/>
              <w:webHidden/>
            </w:rPr>
            <w:fldChar w:fldCharType="separate"/>
          </w:r>
          <w:r w:rsidR="001F73C1">
            <w:rPr>
              <w:noProof/>
              <w:webHidden/>
            </w:rPr>
            <w:t>23</w:t>
          </w:r>
          <w:r>
            <w:rPr>
              <w:noProof/>
              <w:webHidden/>
            </w:rPr>
            <w:fldChar w:fldCharType="end"/>
          </w:r>
        </w:p>
        <w:p w14:paraId="48C81DA5" w14:textId="1B88F9FB" w:rsidR="00AB1160" w:rsidRDefault="00AB1160">
          <w:pPr>
            <w:pStyle w:val="TOC2"/>
            <w:rPr>
              <w:rFonts w:asciiTheme="minorHAnsi" w:eastAsiaTheme="minorEastAsia" w:hAnsiTheme="minorHAnsi"/>
              <w:kern w:val="2"/>
              <w:sz w:val="24"/>
              <w:szCs w:val="24"/>
              <w:lang w:eastAsia="en-AU"/>
              <w14:ligatures w14:val="standardContextual"/>
            </w:rPr>
          </w:pPr>
          <w:r>
            <w:t>2.1</w:t>
          </w:r>
          <w:r>
            <w:rPr>
              <w:rFonts w:asciiTheme="minorHAnsi" w:eastAsiaTheme="minorEastAsia" w:hAnsiTheme="minorHAnsi"/>
              <w:kern w:val="2"/>
              <w:sz w:val="24"/>
              <w:szCs w:val="24"/>
              <w:lang w:eastAsia="en-AU"/>
              <w14:ligatures w14:val="standardContextual"/>
            </w:rPr>
            <w:tab/>
          </w:r>
          <w:r>
            <w:t>The intent of the 2018 reforms was not explicitly defined</w:t>
          </w:r>
          <w:r>
            <w:rPr>
              <w:webHidden/>
            </w:rPr>
            <w:tab/>
          </w:r>
          <w:r>
            <w:rPr>
              <w:webHidden/>
            </w:rPr>
            <w:fldChar w:fldCharType="begin"/>
          </w:r>
          <w:r>
            <w:rPr>
              <w:webHidden/>
            </w:rPr>
            <w:instrText xml:space="preserve"> PAGEREF _Toc236904065 \h </w:instrText>
          </w:r>
          <w:r>
            <w:rPr>
              <w:webHidden/>
            </w:rPr>
          </w:r>
          <w:r>
            <w:rPr>
              <w:webHidden/>
            </w:rPr>
            <w:fldChar w:fldCharType="separate"/>
          </w:r>
          <w:r w:rsidR="001F73C1">
            <w:rPr>
              <w:webHidden/>
            </w:rPr>
            <w:t>24</w:t>
          </w:r>
          <w:r>
            <w:rPr>
              <w:webHidden/>
            </w:rPr>
            <w:fldChar w:fldCharType="end"/>
          </w:r>
        </w:p>
        <w:p w14:paraId="4026258C" w14:textId="7E5F4001" w:rsidR="00AB1160" w:rsidRDefault="00AB1160" w:rsidP="00AB1160">
          <w:pPr>
            <w:pStyle w:val="TOC2"/>
            <w:ind w:left="1134" w:hanging="567"/>
            <w:rPr>
              <w:rFonts w:asciiTheme="minorHAnsi" w:eastAsiaTheme="minorEastAsia" w:hAnsiTheme="minorHAnsi"/>
              <w:kern w:val="2"/>
              <w:sz w:val="24"/>
              <w:szCs w:val="24"/>
              <w:lang w:eastAsia="en-AU"/>
              <w14:ligatures w14:val="standardContextual"/>
            </w:rPr>
          </w:pPr>
          <w:r>
            <w:t>2.2</w:t>
          </w:r>
          <w:r>
            <w:rPr>
              <w:rFonts w:asciiTheme="minorHAnsi" w:eastAsiaTheme="minorEastAsia" w:hAnsiTheme="minorHAnsi"/>
              <w:kern w:val="2"/>
              <w:sz w:val="24"/>
              <w:szCs w:val="24"/>
              <w:lang w:eastAsia="en-AU"/>
              <w14:ligatures w14:val="standardContextual"/>
            </w:rPr>
            <w:tab/>
          </w:r>
          <w:r>
            <w:t>The 2018 reforms have so far had several (primarily negative) impacts on Australia’s GST distribution system</w:t>
          </w:r>
          <w:r>
            <w:rPr>
              <w:webHidden/>
            </w:rPr>
            <w:tab/>
          </w:r>
          <w:r>
            <w:rPr>
              <w:webHidden/>
            </w:rPr>
            <w:fldChar w:fldCharType="begin"/>
          </w:r>
          <w:r>
            <w:rPr>
              <w:webHidden/>
            </w:rPr>
            <w:instrText xml:space="preserve"> PAGEREF _Toc236904066 \h </w:instrText>
          </w:r>
          <w:r>
            <w:rPr>
              <w:webHidden/>
            </w:rPr>
          </w:r>
          <w:r>
            <w:rPr>
              <w:webHidden/>
            </w:rPr>
            <w:fldChar w:fldCharType="separate"/>
          </w:r>
          <w:r w:rsidR="001F73C1">
            <w:rPr>
              <w:webHidden/>
            </w:rPr>
            <w:t>25</w:t>
          </w:r>
          <w:r>
            <w:rPr>
              <w:webHidden/>
            </w:rPr>
            <w:fldChar w:fldCharType="end"/>
          </w:r>
        </w:p>
        <w:p w14:paraId="127B4733" w14:textId="2E1514BC" w:rsidR="00AB1160" w:rsidRDefault="00AB1160">
          <w:pPr>
            <w:pStyle w:val="TOC2"/>
            <w:rPr>
              <w:rFonts w:asciiTheme="minorHAnsi" w:eastAsiaTheme="minorEastAsia" w:hAnsiTheme="minorHAnsi"/>
              <w:kern w:val="2"/>
              <w:sz w:val="24"/>
              <w:szCs w:val="24"/>
              <w:lang w:eastAsia="en-AU"/>
              <w14:ligatures w14:val="standardContextual"/>
            </w:rPr>
          </w:pPr>
          <w:r>
            <w:t>2.3</w:t>
          </w:r>
          <w:r>
            <w:rPr>
              <w:rFonts w:asciiTheme="minorHAnsi" w:eastAsiaTheme="minorEastAsia" w:hAnsiTheme="minorHAnsi"/>
              <w:kern w:val="2"/>
              <w:sz w:val="24"/>
              <w:szCs w:val="24"/>
              <w:lang w:eastAsia="en-AU"/>
              <w14:ligatures w14:val="standardContextual"/>
            </w:rPr>
            <w:tab/>
          </w:r>
          <w:r w:rsidRPr="00AB1160">
            <w:rPr>
              <w:spacing w:val="-4"/>
            </w:rPr>
            <w:t>The 2018 reforms are not operating efficiently, effectively or as intended</w:t>
          </w:r>
          <w:r>
            <w:rPr>
              <w:webHidden/>
            </w:rPr>
            <w:tab/>
          </w:r>
          <w:r>
            <w:rPr>
              <w:webHidden/>
            </w:rPr>
            <w:fldChar w:fldCharType="begin"/>
          </w:r>
          <w:r>
            <w:rPr>
              <w:webHidden/>
            </w:rPr>
            <w:instrText xml:space="preserve"> PAGEREF _Toc236904067 \h </w:instrText>
          </w:r>
          <w:r>
            <w:rPr>
              <w:webHidden/>
            </w:rPr>
          </w:r>
          <w:r>
            <w:rPr>
              <w:webHidden/>
            </w:rPr>
            <w:fldChar w:fldCharType="separate"/>
          </w:r>
          <w:r w:rsidR="001F73C1">
            <w:rPr>
              <w:webHidden/>
            </w:rPr>
            <w:t>36</w:t>
          </w:r>
          <w:r>
            <w:rPr>
              <w:webHidden/>
            </w:rPr>
            <w:fldChar w:fldCharType="end"/>
          </w:r>
        </w:p>
        <w:p w14:paraId="1E67331D" w14:textId="36FAB73F" w:rsidR="00AB1160" w:rsidRDefault="00AB1160">
          <w:pPr>
            <w:pStyle w:val="TOC1"/>
            <w:rPr>
              <w:rFonts w:asciiTheme="minorHAnsi" w:eastAsiaTheme="minorEastAsia" w:hAnsiTheme="minorHAnsi"/>
              <w:noProof/>
              <w:color w:val="auto"/>
              <w:kern w:val="2"/>
              <w:sz w:val="24"/>
              <w:szCs w:val="24"/>
              <w:lang w:eastAsia="en-AU"/>
              <w14:ligatures w14:val="standardContextual"/>
            </w:rPr>
          </w:pPr>
          <w:r>
            <w:rPr>
              <w:noProof/>
            </w:rPr>
            <w:t>3.</w:t>
          </w:r>
          <w:r>
            <w:rPr>
              <w:rFonts w:asciiTheme="minorHAnsi" w:eastAsiaTheme="minorEastAsia" w:hAnsiTheme="minorHAnsi"/>
              <w:noProof/>
              <w:color w:val="auto"/>
              <w:kern w:val="2"/>
              <w:sz w:val="24"/>
              <w:szCs w:val="24"/>
              <w:lang w:eastAsia="en-AU"/>
              <w14:ligatures w14:val="standardContextual"/>
            </w:rPr>
            <w:tab/>
          </w:r>
          <w:r>
            <w:rPr>
              <w:noProof/>
            </w:rPr>
            <w:t>The PC’s assessment of the current system</w:t>
          </w:r>
          <w:r>
            <w:rPr>
              <w:noProof/>
              <w:webHidden/>
            </w:rPr>
            <w:tab/>
          </w:r>
          <w:r>
            <w:rPr>
              <w:noProof/>
              <w:webHidden/>
            </w:rPr>
            <w:fldChar w:fldCharType="begin"/>
          </w:r>
          <w:r>
            <w:rPr>
              <w:noProof/>
              <w:webHidden/>
            </w:rPr>
            <w:instrText xml:space="preserve"> PAGEREF _Toc236904068 \h </w:instrText>
          </w:r>
          <w:r>
            <w:rPr>
              <w:noProof/>
              <w:webHidden/>
            </w:rPr>
          </w:r>
          <w:r>
            <w:rPr>
              <w:noProof/>
              <w:webHidden/>
            </w:rPr>
            <w:fldChar w:fldCharType="separate"/>
          </w:r>
          <w:r w:rsidR="001F73C1">
            <w:rPr>
              <w:noProof/>
              <w:webHidden/>
            </w:rPr>
            <w:t>39</w:t>
          </w:r>
          <w:r>
            <w:rPr>
              <w:noProof/>
              <w:webHidden/>
            </w:rPr>
            <w:fldChar w:fldCharType="end"/>
          </w:r>
        </w:p>
        <w:p w14:paraId="7820B33A" w14:textId="0BED9C5F" w:rsidR="00AB1160" w:rsidRDefault="00AB1160">
          <w:pPr>
            <w:pStyle w:val="TOC2"/>
            <w:rPr>
              <w:rFonts w:asciiTheme="minorHAnsi" w:eastAsiaTheme="minorEastAsia" w:hAnsiTheme="minorHAnsi"/>
              <w:kern w:val="2"/>
              <w:sz w:val="24"/>
              <w:szCs w:val="24"/>
              <w:lang w:eastAsia="en-AU"/>
              <w14:ligatures w14:val="standardContextual"/>
            </w:rPr>
          </w:pPr>
          <w:r>
            <w:t>3.1</w:t>
          </w:r>
          <w:r>
            <w:rPr>
              <w:rFonts w:asciiTheme="minorHAnsi" w:eastAsiaTheme="minorEastAsia" w:hAnsiTheme="minorHAnsi"/>
              <w:kern w:val="2"/>
              <w:sz w:val="24"/>
              <w:szCs w:val="24"/>
              <w:lang w:eastAsia="en-AU"/>
              <w14:ligatures w14:val="standardContextual"/>
            </w:rPr>
            <w:tab/>
          </w:r>
          <w:r>
            <w:t>The framework for assessing GST distribution systems</w:t>
          </w:r>
          <w:r>
            <w:rPr>
              <w:webHidden/>
            </w:rPr>
            <w:tab/>
          </w:r>
          <w:r>
            <w:rPr>
              <w:webHidden/>
            </w:rPr>
            <w:fldChar w:fldCharType="begin"/>
          </w:r>
          <w:r>
            <w:rPr>
              <w:webHidden/>
            </w:rPr>
            <w:instrText xml:space="preserve"> PAGEREF _Toc236904069 \h </w:instrText>
          </w:r>
          <w:r>
            <w:rPr>
              <w:webHidden/>
            </w:rPr>
          </w:r>
          <w:r>
            <w:rPr>
              <w:webHidden/>
            </w:rPr>
            <w:fldChar w:fldCharType="separate"/>
          </w:r>
          <w:r w:rsidR="001F73C1">
            <w:rPr>
              <w:webHidden/>
            </w:rPr>
            <w:t>39</w:t>
          </w:r>
          <w:r>
            <w:rPr>
              <w:webHidden/>
            </w:rPr>
            <w:fldChar w:fldCharType="end"/>
          </w:r>
        </w:p>
        <w:p w14:paraId="1988B427" w14:textId="1F651F47" w:rsidR="00AB1160" w:rsidRDefault="00AB1160" w:rsidP="00AB1160">
          <w:pPr>
            <w:pStyle w:val="TOC2"/>
            <w:ind w:left="1134" w:hanging="567"/>
            <w:rPr>
              <w:rFonts w:asciiTheme="minorHAnsi" w:eastAsiaTheme="minorEastAsia" w:hAnsiTheme="minorHAnsi"/>
              <w:kern w:val="2"/>
              <w:sz w:val="24"/>
              <w:szCs w:val="24"/>
              <w:lang w:eastAsia="en-AU"/>
              <w14:ligatures w14:val="standardContextual"/>
            </w:rPr>
          </w:pPr>
          <w:r>
            <w:t>3.2</w:t>
          </w:r>
          <w:r>
            <w:rPr>
              <w:rFonts w:asciiTheme="minorHAnsi" w:eastAsiaTheme="minorEastAsia" w:hAnsiTheme="minorHAnsi"/>
              <w:kern w:val="2"/>
              <w:sz w:val="24"/>
              <w:szCs w:val="24"/>
              <w:lang w:eastAsia="en-AU"/>
              <w14:ligatures w14:val="standardContextual"/>
            </w:rPr>
            <w:tab/>
          </w:r>
          <w:r>
            <w:t>HFE can support equality of opportunity in Australia, but this is reduced</w:t>
          </w:r>
          <w:r w:rsidR="00322BA0">
            <w:t> </w:t>
          </w:r>
          <w:r>
            <w:t>by the current system</w:t>
          </w:r>
          <w:r>
            <w:rPr>
              <w:webHidden/>
            </w:rPr>
            <w:tab/>
          </w:r>
          <w:r>
            <w:rPr>
              <w:webHidden/>
            </w:rPr>
            <w:fldChar w:fldCharType="begin"/>
          </w:r>
          <w:r>
            <w:rPr>
              <w:webHidden/>
            </w:rPr>
            <w:instrText xml:space="preserve"> PAGEREF _Toc236904070 \h </w:instrText>
          </w:r>
          <w:r>
            <w:rPr>
              <w:webHidden/>
            </w:rPr>
          </w:r>
          <w:r>
            <w:rPr>
              <w:webHidden/>
            </w:rPr>
            <w:fldChar w:fldCharType="separate"/>
          </w:r>
          <w:r w:rsidR="001F73C1">
            <w:rPr>
              <w:webHidden/>
            </w:rPr>
            <w:t>41</w:t>
          </w:r>
          <w:r>
            <w:rPr>
              <w:webHidden/>
            </w:rPr>
            <w:fldChar w:fldCharType="end"/>
          </w:r>
        </w:p>
        <w:p w14:paraId="2C740E37" w14:textId="59C6CF19" w:rsidR="00AB1160" w:rsidRDefault="00AB1160">
          <w:pPr>
            <w:pStyle w:val="TOC2"/>
            <w:rPr>
              <w:rFonts w:asciiTheme="minorHAnsi" w:eastAsiaTheme="minorEastAsia" w:hAnsiTheme="minorHAnsi"/>
              <w:kern w:val="2"/>
              <w:sz w:val="24"/>
              <w:szCs w:val="24"/>
              <w:lang w:eastAsia="en-AU"/>
              <w14:ligatures w14:val="standardContextual"/>
            </w:rPr>
          </w:pPr>
          <w:r>
            <w:t>3.3</w:t>
          </w:r>
          <w:r>
            <w:rPr>
              <w:rFonts w:asciiTheme="minorHAnsi" w:eastAsiaTheme="minorEastAsia" w:hAnsiTheme="minorHAnsi"/>
              <w:kern w:val="2"/>
              <w:sz w:val="24"/>
              <w:szCs w:val="24"/>
              <w:lang w:eastAsia="en-AU"/>
              <w14:ligatures w14:val="standardContextual"/>
            </w:rPr>
            <w:tab/>
          </w:r>
          <w:r>
            <w:t>HFE is broadly policy neutral</w:t>
          </w:r>
          <w:r>
            <w:rPr>
              <w:webHidden/>
            </w:rPr>
            <w:tab/>
          </w:r>
          <w:r>
            <w:rPr>
              <w:webHidden/>
            </w:rPr>
            <w:fldChar w:fldCharType="begin"/>
          </w:r>
          <w:r>
            <w:rPr>
              <w:webHidden/>
            </w:rPr>
            <w:instrText xml:space="preserve"> PAGEREF _Toc236904071 \h </w:instrText>
          </w:r>
          <w:r>
            <w:rPr>
              <w:webHidden/>
            </w:rPr>
          </w:r>
          <w:r>
            <w:rPr>
              <w:webHidden/>
            </w:rPr>
            <w:fldChar w:fldCharType="separate"/>
          </w:r>
          <w:r w:rsidR="001F73C1">
            <w:rPr>
              <w:webHidden/>
            </w:rPr>
            <w:t>44</w:t>
          </w:r>
          <w:r>
            <w:rPr>
              <w:webHidden/>
            </w:rPr>
            <w:fldChar w:fldCharType="end"/>
          </w:r>
        </w:p>
        <w:p w14:paraId="7B5229D8" w14:textId="1D8A5933" w:rsidR="00AB1160" w:rsidRDefault="00AB1160" w:rsidP="00AB1160">
          <w:pPr>
            <w:pStyle w:val="TOC2"/>
            <w:ind w:left="1134" w:hanging="567"/>
            <w:rPr>
              <w:rFonts w:asciiTheme="minorHAnsi" w:eastAsiaTheme="minorEastAsia" w:hAnsiTheme="minorHAnsi"/>
              <w:kern w:val="2"/>
              <w:sz w:val="24"/>
              <w:szCs w:val="24"/>
              <w:lang w:eastAsia="en-AU"/>
              <w14:ligatures w14:val="standardContextual"/>
            </w:rPr>
          </w:pPr>
          <w:r>
            <w:t>3.4</w:t>
          </w:r>
          <w:r>
            <w:rPr>
              <w:rFonts w:asciiTheme="minorHAnsi" w:eastAsiaTheme="minorEastAsia" w:hAnsiTheme="minorHAnsi"/>
              <w:kern w:val="2"/>
              <w:sz w:val="24"/>
              <w:szCs w:val="24"/>
              <w:lang w:eastAsia="en-AU"/>
              <w14:ligatures w14:val="standardContextual"/>
            </w:rPr>
            <w:tab/>
          </w:r>
          <w:r>
            <w:t>Considering fiscal sustainability is necessary, given how much the GST distribution impacts government budgets</w:t>
          </w:r>
          <w:r>
            <w:rPr>
              <w:webHidden/>
            </w:rPr>
            <w:tab/>
          </w:r>
          <w:r>
            <w:rPr>
              <w:webHidden/>
            </w:rPr>
            <w:fldChar w:fldCharType="begin"/>
          </w:r>
          <w:r>
            <w:rPr>
              <w:webHidden/>
            </w:rPr>
            <w:instrText xml:space="preserve"> PAGEREF _Toc236904072 \h </w:instrText>
          </w:r>
          <w:r>
            <w:rPr>
              <w:webHidden/>
            </w:rPr>
          </w:r>
          <w:r>
            <w:rPr>
              <w:webHidden/>
            </w:rPr>
            <w:fldChar w:fldCharType="separate"/>
          </w:r>
          <w:r w:rsidR="001F73C1">
            <w:rPr>
              <w:webHidden/>
            </w:rPr>
            <w:t>51</w:t>
          </w:r>
          <w:r>
            <w:rPr>
              <w:webHidden/>
            </w:rPr>
            <w:fldChar w:fldCharType="end"/>
          </w:r>
        </w:p>
        <w:p w14:paraId="1A1C49D1" w14:textId="34F7F877" w:rsidR="00AB1160" w:rsidRDefault="00AB1160" w:rsidP="00AB1160">
          <w:pPr>
            <w:pStyle w:val="TOC2"/>
            <w:ind w:left="1134" w:hanging="567"/>
            <w:rPr>
              <w:rFonts w:asciiTheme="minorHAnsi" w:eastAsiaTheme="minorEastAsia" w:hAnsiTheme="minorHAnsi"/>
              <w:kern w:val="2"/>
              <w:sz w:val="24"/>
              <w:szCs w:val="24"/>
              <w:lang w:eastAsia="en-AU"/>
              <w14:ligatures w14:val="standardContextual"/>
            </w:rPr>
          </w:pPr>
          <w:r>
            <w:t>3.5</w:t>
          </w:r>
          <w:r>
            <w:rPr>
              <w:rFonts w:asciiTheme="minorHAnsi" w:eastAsiaTheme="minorEastAsia" w:hAnsiTheme="minorHAnsi"/>
              <w:kern w:val="2"/>
              <w:sz w:val="24"/>
              <w:szCs w:val="24"/>
              <w:lang w:eastAsia="en-AU"/>
              <w14:ligatures w14:val="standardContextual"/>
            </w:rPr>
            <w:tab/>
          </w:r>
          <w:r>
            <w:t>The GST distribution has limited impact on states’ already reasonable revenue certainty</w:t>
          </w:r>
          <w:r>
            <w:rPr>
              <w:webHidden/>
            </w:rPr>
            <w:tab/>
          </w:r>
          <w:r>
            <w:rPr>
              <w:webHidden/>
            </w:rPr>
            <w:fldChar w:fldCharType="begin"/>
          </w:r>
          <w:r>
            <w:rPr>
              <w:webHidden/>
            </w:rPr>
            <w:instrText xml:space="preserve"> PAGEREF _Toc236904073 \h </w:instrText>
          </w:r>
          <w:r>
            <w:rPr>
              <w:webHidden/>
            </w:rPr>
          </w:r>
          <w:r>
            <w:rPr>
              <w:webHidden/>
            </w:rPr>
            <w:fldChar w:fldCharType="separate"/>
          </w:r>
          <w:r w:rsidR="001F73C1">
            <w:rPr>
              <w:webHidden/>
            </w:rPr>
            <w:t>60</w:t>
          </w:r>
          <w:r>
            <w:rPr>
              <w:webHidden/>
            </w:rPr>
            <w:fldChar w:fldCharType="end"/>
          </w:r>
        </w:p>
        <w:p w14:paraId="4A48A4A0" w14:textId="318BEB26" w:rsidR="00AB1160" w:rsidRDefault="00AB1160" w:rsidP="00AB1160">
          <w:pPr>
            <w:pStyle w:val="TOC2"/>
            <w:ind w:left="1134" w:hanging="567"/>
            <w:rPr>
              <w:rFonts w:asciiTheme="minorHAnsi" w:eastAsiaTheme="minorEastAsia" w:hAnsiTheme="minorHAnsi"/>
              <w:kern w:val="2"/>
              <w:sz w:val="24"/>
              <w:szCs w:val="24"/>
              <w:lang w:eastAsia="en-AU"/>
              <w14:ligatures w14:val="standardContextual"/>
            </w:rPr>
          </w:pPr>
          <w:r>
            <w:rPr>
              <w:lang w:eastAsia="en-AU"/>
            </w:rPr>
            <w:t>3.6</w:t>
          </w:r>
          <w:r>
            <w:rPr>
              <w:rFonts w:asciiTheme="minorHAnsi" w:eastAsiaTheme="minorEastAsia" w:hAnsiTheme="minorHAnsi"/>
              <w:kern w:val="2"/>
              <w:sz w:val="24"/>
              <w:szCs w:val="24"/>
              <w:lang w:eastAsia="en-AU"/>
              <w14:ligatures w14:val="standardContextual"/>
            </w:rPr>
            <w:tab/>
          </w:r>
          <w:r>
            <w:rPr>
              <w:lang w:eastAsia="en-AU"/>
            </w:rPr>
            <w:t>The current system reduces equalisation, with limited gains against other framework objectives</w:t>
          </w:r>
          <w:r>
            <w:rPr>
              <w:webHidden/>
            </w:rPr>
            <w:tab/>
          </w:r>
          <w:r>
            <w:rPr>
              <w:webHidden/>
            </w:rPr>
            <w:fldChar w:fldCharType="begin"/>
          </w:r>
          <w:r>
            <w:rPr>
              <w:webHidden/>
            </w:rPr>
            <w:instrText xml:space="preserve"> PAGEREF _Toc236904074 \h </w:instrText>
          </w:r>
          <w:r>
            <w:rPr>
              <w:webHidden/>
            </w:rPr>
          </w:r>
          <w:r>
            <w:rPr>
              <w:webHidden/>
            </w:rPr>
            <w:fldChar w:fldCharType="separate"/>
          </w:r>
          <w:r w:rsidR="001F73C1">
            <w:rPr>
              <w:webHidden/>
            </w:rPr>
            <w:t>64</w:t>
          </w:r>
          <w:r>
            <w:rPr>
              <w:webHidden/>
            </w:rPr>
            <w:fldChar w:fldCharType="end"/>
          </w:r>
        </w:p>
        <w:p w14:paraId="5FE075D3" w14:textId="35388328" w:rsidR="00AB1160" w:rsidRDefault="00AB1160">
          <w:pPr>
            <w:pStyle w:val="TOC1"/>
            <w:rPr>
              <w:rFonts w:asciiTheme="minorHAnsi" w:eastAsiaTheme="minorEastAsia" w:hAnsiTheme="minorHAnsi"/>
              <w:noProof/>
              <w:color w:val="auto"/>
              <w:kern w:val="2"/>
              <w:sz w:val="24"/>
              <w:szCs w:val="24"/>
              <w:lang w:eastAsia="en-AU"/>
              <w14:ligatures w14:val="standardContextual"/>
            </w:rPr>
          </w:pPr>
          <w:r>
            <w:rPr>
              <w:noProof/>
            </w:rPr>
            <w:t>4.</w:t>
          </w:r>
          <w:r>
            <w:rPr>
              <w:rFonts w:asciiTheme="minorHAnsi" w:eastAsiaTheme="minorEastAsia" w:hAnsiTheme="minorHAnsi"/>
              <w:noProof/>
              <w:color w:val="auto"/>
              <w:kern w:val="2"/>
              <w:sz w:val="24"/>
              <w:szCs w:val="24"/>
              <w:lang w:eastAsia="en-AU"/>
              <w14:ligatures w14:val="standardContextual"/>
            </w:rPr>
            <w:tab/>
          </w:r>
          <w:r>
            <w:rPr>
              <w:noProof/>
            </w:rPr>
            <w:t>Assessing alternative GST distribution arrangements</w:t>
          </w:r>
          <w:r>
            <w:rPr>
              <w:noProof/>
              <w:webHidden/>
            </w:rPr>
            <w:tab/>
          </w:r>
          <w:r>
            <w:rPr>
              <w:noProof/>
              <w:webHidden/>
            </w:rPr>
            <w:fldChar w:fldCharType="begin"/>
          </w:r>
          <w:r>
            <w:rPr>
              <w:noProof/>
              <w:webHidden/>
            </w:rPr>
            <w:instrText xml:space="preserve"> PAGEREF _Toc236904075 \h </w:instrText>
          </w:r>
          <w:r>
            <w:rPr>
              <w:noProof/>
              <w:webHidden/>
            </w:rPr>
          </w:r>
          <w:r>
            <w:rPr>
              <w:noProof/>
              <w:webHidden/>
            </w:rPr>
            <w:fldChar w:fldCharType="separate"/>
          </w:r>
          <w:r w:rsidR="001F73C1">
            <w:rPr>
              <w:noProof/>
              <w:webHidden/>
            </w:rPr>
            <w:t>65</w:t>
          </w:r>
          <w:r>
            <w:rPr>
              <w:noProof/>
              <w:webHidden/>
            </w:rPr>
            <w:fldChar w:fldCharType="end"/>
          </w:r>
        </w:p>
        <w:p w14:paraId="4115087A" w14:textId="790004E0" w:rsidR="00AB1160" w:rsidRDefault="00AB1160">
          <w:pPr>
            <w:pStyle w:val="TOC2"/>
            <w:rPr>
              <w:rFonts w:asciiTheme="minorHAnsi" w:eastAsiaTheme="minorEastAsia" w:hAnsiTheme="minorHAnsi"/>
              <w:kern w:val="2"/>
              <w:sz w:val="24"/>
              <w:szCs w:val="24"/>
              <w:lang w:eastAsia="en-AU"/>
              <w14:ligatures w14:val="standardContextual"/>
            </w:rPr>
          </w:pPr>
          <w:r>
            <w:t>4.1</w:t>
          </w:r>
          <w:r>
            <w:rPr>
              <w:rFonts w:asciiTheme="minorHAnsi" w:eastAsiaTheme="minorEastAsia" w:hAnsiTheme="minorHAnsi"/>
              <w:kern w:val="2"/>
              <w:sz w:val="24"/>
              <w:szCs w:val="24"/>
              <w:lang w:eastAsia="en-AU"/>
              <w14:ligatures w14:val="standardContextual"/>
            </w:rPr>
            <w:tab/>
          </w:r>
          <w:r>
            <w:t>Assessing the current system, with and without the NoWO guarantee</w:t>
          </w:r>
          <w:r>
            <w:rPr>
              <w:webHidden/>
            </w:rPr>
            <w:tab/>
          </w:r>
          <w:r>
            <w:rPr>
              <w:webHidden/>
            </w:rPr>
            <w:fldChar w:fldCharType="begin"/>
          </w:r>
          <w:r>
            <w:rPr>
              <w:webHidden/>
            </w:rPr>
            <w:instrText xml:space="preserve"> PAGEREF _Toc236904076 \h </w:instrText>
          </w:r>
          <w:r>
            <w:rPr>
              <w:webHidden/>
            </w:rPr>
          </w:r>
          <w:r>
            <w:rPr>
              <w:webHidden/>
            </w:rPr>
            <w:fldChar w:fldCharType="separate"/>
          </w:r>
          <w:r w:rsidR="001F73C1">
            <w:rPr>
              <w:webHidden/>
            </w:rPr>
            <w:t>67</w:t>
          </w:r>
          <w:r>
            <w:rPr>
              <w:webHidden/>
            </w:rPr>
            <w:fldChar w:fldCharType="end"/>
          </w:r>
        </w:p>
        <w:p w14:paraId="5EF30E94" w14:textId="62742891" w:rsidR="00AB1160" w:rsidRDefault="00AB1160" w:rsidP="00AB1160">
          <w:pPr>
            <w:pStyle w:val="TOC2"/>
            <w:ind w:left="1134" w:hanging="567"/>
            <w:rPr>
              <w:rFonts w:asciiTheme="minorHAnsi" w:eastAsiaTheme="minorEastAsia" w:hAnsiTheme="minorHAnsi"/>
              <w:kern w:val="2"/>
              <w:sz w:val="24"/>
              <w:szCs w:val="24"/>
              <w:lang w:eastAsia="en-AU"/>
              <w14:ligatures w14:val="standardContextual"/>
            </w:rPr>
          </w:pPr>
          <w:r w:rsidRPr="007B1F98">
            <w:rPr>
              <w:kern w:val="2"/>
              <w:lang w:eastAsia="en-AU"/>
              <w14:ligatures w14:val="standardContextual"/>
            </w:rPr>
            <w:t>4.2</w:t>
          </w:r>
          <w:r>
            <w:rPr>
              <w:rFonts w:asciiTheme="minorHAnsi" w:eastAsiaTheme="minorEastAsia" w:hAnsiTheme="minorHAnsi"/>
              <w:kern w:val="2"/>
              <w:sz w:val="24"/>
              <w:szCs w:val="24"/>
              <w:lang w:eastAsia="en-AU"/>
              <w14:ligatures w14:val="standardContextual"/>
            </w:rPr>
            <w:tab/>
          </w:r>
          <w:r>
            <w:t>Assessing the current system with minimum changes to address critical issues with the system</w:t>
          </w:r>
          <w:r>
            <w:rPr>
              <w:webHidden/>
            </w:rPr>
            <w:tab/>
          </w:r>
          <w:r>
            <w:rPr>
              <w:webHidden/>
            </w:rPr>
            <w:fldChar w:fldCharType="begin"/>
          </w:r>
          <w:r>
            <w:rPr>
              <w:webHidden/>
            </w:rPr>
            <w:instrText xml:space="preserve"> PAGEREF _Toc236904077 \h </w:instrText>
          </w:r>
          <w:r>
            <w:rPr>
              <w:webHidden/>
            </w:rPr>
          </w:r>
          <w:r>
            <w:rPr>
              <w:webHidden/>
            </w:rPr>
            <w:fldChar w:fldCharType="separate"/>
          </w:r>
          <w:r w:rsidR="001F73C1">
            <w:rPr>
              <w:webHidden/>
            </w:rPr>
            <w:t>70</w:t>
          </w:r>
          <w:r>
            <w:rPr>
              <w:webHidden/>
            </w:rPr>
            <w:fldChar w:fldCharType="end"/>
          </w:r>
        </w:p>
        <w:p w14:paraId="2D8330F0" w14:textId="00411BAC" w:rsidR="00AB1160" w:rsidRDefault="00AB1160">
          <w:pPr>
            <w:pStyle w:val="TOC2"/>
            <w:rPr>
              <w:rFonts w:asciiTheme="minorHAnsi" w:eastAsiaTheme="minorEastAsia" w:hAnsiTheme="minorHAnsi"/>
              <w:kern w:val="2"/>
              <w:sz w:val="24"/>
              <w:szCs w:val="24"/>
              <w:lang w:eastAsia="en-AU"/>
              <w14:ligatures w14:val="standardContextual"/>
            </w:rPr>
          </w:pPr>
          <w:r w:rsidRPr="007B1F98">
            <w:rPr>
              <w:kern w:val="2"/>
              <w:lang w:eastAsia="en-AU"/>
              <w14:ligatures w14:val="standardContextual"/>
            </w:rPr>
            <w:t>4.3</w:t>
          </w:r>
          <w:r>
            <w:rPr>
              <w:rFonts w:asciiTheme="minorHAnsi" w:eastAsiaTheme="minorEastAsia" w:hAnsiTheme="minorHAnsi"/>
              <w:kern w:val="2"/>
              <w:sz w:val="24"/>
              <w:szCs w:val="24"/>
              <w:lang w:eastAsia="en-AU"/>
              <w14:ligatures w14:val="standardContextual"/>
            </w:rPr>
            <w:tab/>
          </w:r>
          <w:r>
            <w:t>Alternative arrangements</w:t>
          </w:r>
          <w:r>
            <w:rPr>
              <w:webHidden/>
            </w:rPr>
            <w:tab/>
          </w:r>
          <w:r>
            <w:rPr>
              <w:webHidden/>
            </w:rPr>
            <w:fldChar w:fldCharType="begin"/>
          </w:r>
          <w:r>
            <w:rPr>
              <w:webHidden/>
            </w:rPr>
            <w:instrText xml:space="preserve"> PAGEREF _Toc236904078 \h </w:instrText>
          </w:r>
          <w:r>
            <w:rPr>
              <w:webHidden/>
            </w:rPr>
          </w:r>
          <w:r>
            <w:rPr>
              <w:webHidden/>
            </w:rPr>
            <w:fldChar w:fldCharType="separate"/>
          </w:r>
          <w:r w:rsidR="001F73C1">
            <w:rPr>
              <w:webHidden/>
            </w:rPr>
            <w:t>73</w:t>
          </w:r>
          <w:r>
            <w:rPr>
              <w:webHidden/>
            </w:rPr>
            <w:fldChar w:fldCharType="end"/>
          </w:r>
        </w:p>
        <w:p w14:paraId="1CF9339E" w14:textId="158E09CC" w:rsidR="00AB1160" w:rsidRDefault="00AB1160">
          <w:pPr>
            <w:pStyle w:val="TOC2"/>
            <w:rPr>
              <w:rFonts w:asciiTheme="minorHAnsi" w:eastAsiaTheme="minorEastAsia" w:hAnsiTheme="minorHAnsi"/>
              <w:kern w:val="2"/>
              <w:sz w:val="24"/>
              <w:szCs w:val="24"/>
              <w:lang w:eastAsia="en-AU"/>
              <w14:ligatures w14:val="standardContextual"/>
            </w:rPr>
          </w:pPr>
          <w:r>
            <w:t>4.4</w:t>
          </w:r>
          <w:r>
            <w:rPr>
              <w:rFonts w:asciiTheme="minorHAnsi" w:eastAsiaTheme="minorEastAsia" w:hAnsiTheme="minorHAnsi"/>
              <w:kern w:val="2"/>
              <w:sz w:val="24"/>
              <w:szCs w:val="24"/>
              <w:lang w:eastAsia="en-AU"/>
              <w14:ligatures w14:val="standardContextual"/>
            </w:rPr>
            <w:tab/>
          </w:r>
          <w:r>
            <w:t>Preliminary findings and recommendations</w:t>
          </w:r>
          <w:r>
            <w:rPr>
              <w:webHidden/>
            </w:rPr>
            <w:tab/>
          </w:r>
          <w:r>
            <w:rPr>
              <w:webHidden/>
            </w:rPr>
            <w:fldChar w:fldCharType="begin"/>
          </w:r>
          <w:r>
            <w:rPr>
              <w:webHidden/>
            </w:rPr>
            <w:instrText xml:space="preserve"> PAGEREF _Toc236904079 \h </w:instrText>
          </w:r>
          <w:r>
            <w:rPr>
              <w:webHidden/>
            </w:rPr>
          </w:r>
          <w:r>
            <w:rPr>
              <w:webHidden/>
            </w:rPr>
            <w:fldChar w:fldCharType="separate"/>
          </w:r>
          <w:r w:rsidR="001F73C1">
            <w:rPr>
              <w:webHidden/>
            </w:rPr>
            <w:t>85</w:t>
          </w:r>
          <w:r>
            <w:rPr>
              <w:webHidden/>
            </w:rPr>
            <w:fldChar w:fldCharType="end"/>
          </w:r>
        </w:p>
        <w:p w14:paraId="1F3DF25E" w14:textId="65EA522C" w:rsidR="00AB1160" w:rsidRDefault="00AB1160">
          <w:pPr>
            <w:pStyle w:val="TOC2"/>
            <w:rPr>
              <w:rFonts w:asciiTheme="minorHAnsi" w:eastAsiaTheme="minorEastAsia" w:hAnsiTheme="minorHAnsi"/>
              <w:kern w:val="2"/>
              <w:sz w:val="24"/>
              <w:szCs w:val="24"/>
              <w:lang w:eastAsia="en-AU"/>
              <w14:ligatures w14:val="standardContextual"/>
            </w:rPr>
          </w:pPr>
          <w:r>
            <w:lastRenderedPageBreak/>
            <w:t>4.5</w:t>
          </w:r>
          <w:r>
            <w:rPr>
              <w:rFonts w:asciiTheme="minorHAnsi" w:eastAsiaTheme="minorEastAsia" w:hAnsiTheme="minorHAnsi"/>
              <w:kern w:val="2"/>
              <w:sz w:val="24"/>
              <w:szCs w:val="24"/>
              <w:lang w:eastAsia="en-AU"/>
              <w14:ligatures w14:val="standardContextual"/>
            </w:rPr>
            <w:tab/>
          </w:r>
          <w:r>
            <w:t>Implementation considerations</w:t>
          </w:r>
          <w:r>
            <w:rPr>
              <w:webHidden/>
            </w:rPr>
            <w:tab/>
          </w:r>
          <w:r>
            <w:rPr>
              <w:webHidden/>
            </w:rPr>
            <w:fldChar w:fldCharType="begin"/>
          </w:r>
          <w:r>
            <w:rPr>
              <w:webHidden/>
            </w:rPr>
            <w:instrText xml:space="preserve"> PAGEREF _Toc236904080 \h </w:instrText>
          </w:r>
          <w:r>
            <w:rPr>
              <w:webHidden/>
            </w:rPr>
          </w:r>
          <w:r>
            <w:rPr>
              <w:webHidden/>
            </w:rPr>
            <w:fldChar w:fldCharType="separate"/>
          </w:r>
          <w:r w:rsidR="001F73C1">
            <w:rPr>
              <w:webHidden/>
            </w:rPr>
            <w:t>87</w:t>
          </w:r>
          <w:r>
            <w:rPr>
              <w:webHidden/>
            </w:rPr>
            <w:fldChar w:fldCharType="end"/>
          </w:r>
        </w:p>
        <w:p w14:paraId="2687BBF1" w14:textId="075B6A3F" w:rsidR="00AB1160" w:rsidRDefault="00AB1160">
          <w:pPr>
            <w:pStyle w:val="TOC1"/>
            <w:rPr>
              <w:rFonts w:asciiTheme="minorHAnsi" w:eastAsiaTheme="minorEastAsia" w:hAnsiTheme="minorHAnsi"/>
              <w:noProof/>
              <w:color w:val="auto"/>
              <w:kern w:val="2"/>
              <w:sz w:val="24"/>
              <w:szCs w:val="24"/>
              <w:lang w:eastAsia="en-AU"/>
              <w14:ligatures w14:val="standardContextual"/>
            </w:rPr>
          </w:pPr>
          <w:r>
            <w:rPr>
              <w:noProof/>
            </w:rPr>
            <w:t>5.</w:t>
          </w:r>
          <w:r>
            <w:rPr>
              <w:rFonts w:asciiTheme="minorHAnsi" w:eastAsiaTheme="minorEastAsia" w:hAnsiTheme="minorHAnsi"/>
              <w:noProof/>
              <w:color w:val="auto"/>
              <w:kern w:val="2"/>
              <w:sz w:val="24"/>
              <w:szCs w:val="24"/>
              <w:lang w:eastAsia="en-AU"/>
              <w14:ligatures w14:val="standardContextual"/>
            </w:rPr>
            <w:tab/>
          </w:r>
          <w:r>
            <w:rPr>
              <w:noProof/>
            </w:rPr>
            <w:t>Governance arrangements for an effective FFR system</w:t>
          </w:r>
          <w:r>
            <w:rPr>
              <w:noProof/>
              <w:webHidden/>
            </w:rPr>
            <w:tab/>
          </w:r>
          <w:r>
            <w:rPr>
              <w:noProof/>
              <w:webHidden/>
            </w:rPr>
            <w:fldChar w:fldCharType="begin"/>
          </w:r>
          <w:r>
            <w:rPr>
              <w:noProof/>
              <w:webHidden/>
            </w:rPr>
            <w:instrText xml:space="preserve"> PAGEREF _Toc236904081 \h </w:instrText>
          </w:r>
          <w:r>
            <w:rPr>
              <w:noProof/>
              <w:webHidden/>
            </w:rPr>
          </w:r>
          <w:r>
            <w:rPr>
              <w:noProof/>
              <w:webHidden/>
            </w:rPr>
            <w:fldChar w:fldCharType="separate"/>
          </w:r>
          <w:r w:rsidR="001F73C1">
            <w:rPr>
              <w:noProof/>
              <w:webHidden/>
            </w:rPr>
            <w:t>89</w:t>
          </w:r>
          <w:r>
            <w:rPr>
              <w:noProof/>
              <w:webHidden/>
            </w:rPr>
            <w:fldChar w:fldCharType="end"/>
          </w:r>
        </w:p>
        <w:p w14:paraId="4041E471" w14:textId="18464FC6" w:rsidR="00AB1160" w:rsidRDefault="00AB1160">
          <w:pPr>
            <w:pStyle w:val="TOC2"/>
            <w:rPr>
              <w:rFonts w:asciiTheme="minorHAnsi" w:eastAsiaTheme="minorEastAsia" w:hAnsiTheme="minorHAnsi"/>
              <w:kern w:val="2"/>
              <w:sz w:val="24"/>
              <w:szCs w:val="24"/>
              <w:lang w:eastAsia="en-AU"/>
              <w14:ligatures w14:val="standardContextual"/>
            </w:rPr>
          </w:pPr>
          <w:r>
            <w:t>5.1</w:t>
          </w:r>
          <w:r>
            <w:rPr>
              <w:rFonts w:asciiTheme="minorHAnsi" w:eastAsiaTheme="minorEastAsia" w:hAnsiTheme="minorHAnsi"/>
              <w:kern w:val="2"/>
              <w:sz w:val="24"/>
              <w:szCs w:val="24"/>
              <w:lang w:eastAsia="en-AU"/>
              <w14:ligatures w14:val="standardContextual"/>
            </w:rPr>
            <w:tab/>
          </w:r>
          <w:r>
            <w:t>The CGC’s approach to exercising its key functions is broadly sound</w:t>
          </w:r>
          <w:r>
            <w:rPr>
              <w:webHidden/>
            </w:rPr>
            <w:tab/>
          </w:r>
          <w:r>
            <w:rPr>
              <w:webHidden/>
            </w:rPr>
            <w:fldChar w:fldCharType="begin"/>
          </w:r>
          <w:r>
            <w:rPr>
              <w:webHidden/>
            </w:rPr>
            <w:instrText xml:space="preserve"> PAGEREF _Toc236904082 \h </w:instrText>
          </w:r>
          <w:r>
            <w:rPr>
              <w:webHidden/>
            </w:rPr>
          </w:r>
          <w:r>
            <w:rPr>
              <w:webHidden/>
            </w:rPr>
            <w:fldChar w:fldCharType="separate"/>
          </w:r>
          <w:r w:rsidR="001F73C1">
            <w:rPr>
              <w:webHidden/>
            </w:rPr>
            <w:t>89</w:t>
          </w:r>
          <w:r>
            <w:rPr>
              <w:webHidden/>
            </w:rPr>
            <w:fldChar w:fldCharType="end"/>
          </w:r>
        </w:p>
        <w:p w14:paraId="3AE59F5D" w14:textId="2FFBE518" w:rsidR="00AB1160" w:rsidRDefault="00AB1160" w:rsidP="00AB1160">
          <w:pPr>
            <w:pStyle w:val="TOC2"/>
            <w:ind w:left="1134" w:hanging="567"/>
            <w:rPr>
              <w:rFonts w:asciiTheme="minorHAnsi" w:eastAsiaTheme="minorEastAsia" w:hAnsiTheme="minorHAnsi"/>
              <w:kern w:val="2"/>
              <w:sz w:val="24"/>
              <w:szCs w:val="24"/>
              <w:lang w:eastAsia="en-AU"/>
              <w14:ligatures w14:val="standardContextual"/>
            </w:rPr>
          </w:pPr>
          <w:r>
            <w:t>5.2</w:t>
          </w:r>
          <w:r>
            <w:rPr>
              <w:rFonts w:asciiTheme="minorHAnsi" w:eastAsiaTheme="minorEastAsia" w:hAnsiTheme="minorHAnsi"/>
              <w:kern w:val="2"/>
              <w:sz w:val="24"/>
              <w:szCs w:val="24"/>
              <w:lang w:eastAsia="en-AU"/>
              <w14:ligatures w14:val="standardContextual"/>
            </w:rPr>
            <w:tab/>
          </w:r>
          <w:r>
            <w:t>The extent that the HFE system may be contributing to diverging outcomes should be monitored</w:t>
          </w:r>
          <w:r>
            <w:rPr>
              <w:webHidden/>
            </w:rPr>
            <w:tab/>
          </w:r>
          <w:r>
            <w:rPr>
              <w:webHidden/>
            </w:rPr>
            <w:fldChar w:fldCharType="begin"/>
          </w:r>
          <w:r>
            <w:rPr>
              <w:webHidden/>
            </w:rPr>
            <w:instrText xml:space="preserve"> PAGEREF _Toc236904083 \h </w:instrText>
          </w:r>
          <w:r>
            <w:rPr>
              <w:webHidden/>
            </w:rPr>
          </w:r>
          <w:r>
            <w:rPr>
              <w:webHidden/>
            </w:rPr>
            <w:fldChar w:fldCharType="separate"/>
          </w:r>
          <w:r w:rsidR="001F73C1">
            <w:rPr>
              <w:webHidden/>
            </w:rPr>
            <w:t>93</w:t>
          </w:r>
          <w:r>
            <w:rPr>
              <w:webHidden/>
            </w:rPr>
            <w:fldChar w:fldCharType="end"/>
          </w:r>
        </w:p>
        <w:p w14:paraId="161F843C" w14:textId="61B14D2E" w:rsidR="00AB1160" w:rsidRDefault="00AB1160" w:rsidP="00AB1160">
          <w:pPr>
            <w:pStyle w:val="TOC2"/>
            <w:ind w:left="1134" w:hanging="567"/>
            <w:rPr>
              <w:rFonts w:asciiTheme="minorHAnsi" w:eastAsiaTheme="minorEastAsia" w:hAnsiTheme="minorHAnsi"/>
              <w:kern w:val="2"/>
              <w:sz w:val="24"/>
              <w:szCs w:val="24"/>
              <w:lang w:eastAsia="en-AU"/>
              <w14:ligatures w14:val="standardContextual"/>
            </w:rPr>
          </w:pPr>
          <w:r>
            <w:t>5.3</w:t>
          </w:r>
          <w:r>
            <w:rPr>
              <w:rFonts w:asciiTheme="minorHAnsi" w:eastAsiaTheme="minorEastAsia" w:hAnsiTheme="minorHAnsi"/>
              <w:kern w:val="2"/>
              <w:sz w:val="24"/>
              <w:szCs w:val="24"/>
              <w:lang w:eastAsia="en-AU"/>
              <w14:ligatures w14:val="standardContextual"/>
            </w:rPr>
            <w:tab/>
          </w:r>
          <w:r w:rsidRPr="00AB1160">
            <w:rPr>
              <w:spacing w:val="2"/>
            </w:rPr>
            <w:t>Non</w:t>
          </w:r>
          <w:r w:rsidRPr="00AB1160">
            <w:rPr>
              <w:spacing w:val="2"/>
            </w:rPr>
            <w:noBreakHyphen/>
            <w:t>GST Commonwealth payments can be administered more efficiently</w:t>
          </w:r>
          <w:r>
            <w:rPr>
              <w:webHidden/>
            </w:rPr>
            <w:tab/>
          </w:r>
          <w:r>
            <w:rPr>
              <w:webHidden/>
            </w:rPr>
            <w:fldChar w:fldCharType="begin"/>
          </w:r>
          <w:r>
            <w:rPr>
              <w:webHidden/>
            </w:rPr>
            <w:instrText xml:space="preserve"> PAGEREF _Toc236904084 \h </w:instrText>
          </w:r>
          <w:r>
            <w:rPr>
              <w:webHidden/>
            </w:rPr>
          </w:r>
          <w:r>
            <w:rPr>
              <w:webHidden/>
            </w:rPr>
            <w:fldChar w:fldCharType="separate"/>
          </w:r>
          <w:r w:rsidR="001F73C1">
            <w:rPr>
              <w:webHidden/>
            </w:rPr>
            <w:t>94</w:t>
          </w:r>
          <w:r>
            <w:rPr>
              <w:webHidden/>
            </w:rPr>
            <w:fldChar w:fldCharType="end"/>
          </w:r>
        </w:p>
        <w:p w14:paraId="5220B648" w14:textId="6D6AE410" w:rsidR="00AB1160" w:rsidRDefault="00AB1160">
          <w:pPr>
            <w:pStyle w:val="TOC2"/>
            <w:rPr>
              <w:rFonts w:asciiTheme="minorHAnsi" w:eastAsiaTheme="minorEastAsia" w:hAnsiTheme="minorHAnsi"/>
              <w:kern w:val="2"/>
              <w:sz w:val="24"/>
              <w:szCs w:val="24"/>
              <w:lang w:eastAsia="en-AU"/>
              <w14:ligatures w14:val="standardContextual"/>
            </w:rPr>
          </w:pPr>
          <w:r>
            <w:t>5.4</w:t>
          </w:r>
          <w:r>
            <w:rPr>
              <w:rFonts w:asciiTheme="minorHAnsi" w:eastAsiaTheme="minorEastAsia" w:hAnsiTheme="minorHAnsi"/>
              <w:kern w:val="2"/>
              <w:sz w:val="24"/>
              <w:szCs w:val="24"/>
              <w:lang w:eastAsia="en-AU"/>
              <w14:ligatures w14:val="standardContextual"/>
            </w:rPr>
            <w:tab/>
          </w:r>
          <w:r>
            <w:t>CFFR’s role in the FFR system is diminishing</w:t>
          </w:r>
          <w:r>
            <w:rPr>
              <w:webHidden/>
            </w:rPr>
            <w:tab/>
          </w:r>
          <w:r>
            <w:rPr>
              <w:webHidden/>
            </w:rPr>
            <w:fldChar w:fldCharType="begin"/>
          </w:r>
          <w:r>
            <w:rPr>
              <w:webHidden/>
            </w:rPr>
            <w:instrText xml:space="preserve"> PAGEREF _Toc236904085 \h </w:instrText>
          </w:r>
          <w:r>
            <w:rPr>
              <w:webHidden/>
            </w:rPr>
          </w:r>
          <w:r>
            <w:rPr>
              <w:webHidden/>
            </w:rPr>
            <w:fldChar w:fldCharType="separate"/>
          </w:r>
          <w:r w:rsidR="001F73C1">
            <w:rPr>
              <w:webHidden/>
            </w:rPr>
            <w:t>100</w:t>
          </w:r>
          <w:r>
            <w:rPr>
              <w:webHidden/>
            </w:rPr>
            <w:fldChar w:fldCharType="end"/>
          </w:r>
        </w:p>
        <w:p w14:paraId="4BFDC2BF" w14:textId="2707C8D7" w:rsidR="00AB1160" w:rsidRDefault="00AB1160">
          <w:pPr>
            <w:pStyle w:val="TOC2"/>
            <w:rPr>
              <w:rFonts w:asciiTheme="minorHAnsi" w:eastAsiaTheme="minorEastAsia" w:hAnsiTheme="minorHAnsi"/>
              <w:kern w:val="2"/>
              <w:sz w:val="24"/>
              <w:szCs w:val="24"/>
              <w:lang w:eastAsia="en-AU"/>
              <w14:ligatures w14:val="standardContextual"/>
            </w:rPr>
          </w:pPr>
          <w:r>
            <w:t>5.5</w:t>
          </w:r>
          <w:r>
            <w:rPr>
              <w:rFonts w:asciiTheme="minorHAnsi" w:eastAsiaTheme="minorEastAsia" w:hAnsiTheme="minorHAnsi"/>
              <w:kern w:val="2"/>
              <w:sz w:val="24"/>
              <w:szCs w:val="24"/>
              <w:lang w:eastAsia="en-AU"/>
              <w14:ligatures w14:val="standardContextual"/>
            </w:rPr>
            <w:tab/>
          </w:r>
          <w:r>
            <w:t>Governments should take steps to improve their fiscal transparency</w:t>
          </w:r>
          <w:r>
            <w:rPr>
              <w:webHidden/>
            </w:rPr>
            <w:tab/>
          </w:r>
          <w:r>
            <w:rPr>
              <w:webHidden/>
            </w:rPr>
            <w:fldChar w:fldCharType="begin"/>
          </w:r>
          <w:r>
            <w:rPr>
              <w:webHidden/>
            </w:rPr>
            <w:instrText xml:space="preserve"> PAGEREF _Toc236904086 \h </w:instrText>
          </w:r>
          <w:r>
            <w:rPr>
              <w:webHidden/>
            </w:rPr>
          </w:r>
          <w:r>
            <w:rPr>
              <w:webHidden/>
            </w:rPr>
            <w:fldChar w:fldCharType="separate"/>
          </w:r>
          <w:r w:rsidR="001F73C1">
            <w:rPr>
              <w:webHidden/>
            </w:rPr>
            <w:t>103</w:t>
          </w:r>
          <w:r>
            <w:rPr>
              <w:webHidden/>
            </w:rPr>
            <w:fldChar w:fldCharType="end"/>
          </w:r>
        </w:p>
        <w:p w14:paraId="6124E403" w14:textId="45EBB552" w:rsidR="00AB1160" w:rsidRDefault="00AB1160">
          <w:pPr>
            <w:pStyle w:val="TOC1"/>
            <w:rPr>
              <w:rFonts w:asciiTheme="minorHAnsi" w:eastAsiaTheme="minorEastAsia" w:hAnsiTheme="minorHAnsi"/>
              <w:noProof/>
              <w:color w:val="auto"/>
              <w:kern w:val="2"/>
              <w:sz w:val="24"/>
              <w:szCs w:val="24"/>
              <w:lang w:eastAsia="en-AU"/>
              <w14:ligatures w14:val="standardContextual"/>
            </w:rPr>
          </w:pPr>
          <w:r>
            <w:rPr>
              <w:noProof/>
            </w:rPr>
            <w:t>A.</w:t>
          </w:r>
          <w:r>
            <w:rPr>
              <w:rFonts w:asciiTheme="minorHAnsi" w:eastAsiaTheme="minorEastAsia" w:hAnsiTheme="minorHAnsi"/>
              <w:noProof/>
              <w:color w:val="auto"/>
              <w:kern w:val="2"/>
              <w:sz w:val="24"/>
              <w:szCs w:val="24"/>
              <w:lang w:eastAsia="en-AU"/>
              <w14:ligatures w14:val="standardContextual"/>
            </w:rPr>
            <w:tab/>
          </w:r>
          <w:r>
            <w:rPr>
              <w:noProof/>
            </w:rPr>
            <w:t>Public engagement</w:t>
          </w:r>
          <w:r>
            <w:rPr>
              <w:noProof/>
              <w:webHidden/>
            </w:rPr>
            <w:tab/>
          </w:r>
          <w:r>
            <w:rPr>
              <w:noProof/>
              <w:webHidden/>
            </w:rPr>
            <w:fldChar w:fldCharType="begin"/>
          </w:r>
          <w:r>
            <w:rPr>
              <w:noProof/>
              <w:webHidden/>
            </w:rPr>
            <w:instrText xml:space="preserve"> PAGEREF _Toc236904087 \h </w:instrText>
          </w:r>
          <w:r>
            <w:rPr>
              <w:noProof/>
              <w:webHidden/>
            </w:rPr>
          </w:r>
          <w:r>
            <w:rPr>
              <w:noProof/>
              <w:webHidden/>
            </w:rPr>
            <w:fldChar w:fldCharType="separate"/>
          </w:r>
          <w:r w:rsidR="001F73C1">
            <w:rPr>
              <w:noProof/>
              <w:webHidden/>
            </w:rPr>
            <w:t>107</w:t>
          </w:r>
          <w:r>
            <w:rPr>
              <w:noProof/>
              <w:webHidden/>
            </w:rPr>
            <w:fldChar w:fldCharType="end"/>
          </w:r>
        </w:p>
        <w:p w14:paraId="5F4C43FE" w14:textId="23A0CC5F" w:rsidR="00AB1160" w:rsidRDefault="00AB1160">
          <w:pPr>
            <w:pStyle w:val="TOC1"/>
            <w:rPr>
              <w:rFonts w:asciiTheme="minorHAnsi" w:eastAsiaTheme="minorEastAsia" w:hAnsiTheme="minorHAnsi"/>
              <w:noProof/>
              <w:color w:val="auto"/>
              <w:kern w:val="2"/>
              <w:sz w:val="24"/>
              <w:szCs w:val="24"/>
              <w:lang w:eastAsia="en-AU"/>
              <w14:ligatures w14:val="standardContextual"/>
            </w:rPr>
          </w:pPr>
          <w:r>
            <w:rPr>
              <w:noProof/>
            </w:rPr>
            <w:t>Abbreviations</w:t>
          </w:r>
          <w:r>
            <w:rPr>
              <w:noProof/>
              <w:webHidden/>
            </w:rPr>
            <w:tab/>
          </w:r>
          <w:r>
            <w:rPr>
              <w:noProof/>
              <w:webHidden/>
            </w:rPr>
            <w:fldChar w:fldCharType="begin"/>
          </w:r>
          <w:r>
            <w:rPr>
              <w:noProof/>
              <w:webHidden/>
            </w:rPr>
            <w:instrText xml:space="preserve"> PAGEREF _Toc236904088 \h </w:instrText>
          </w:r>
          <w:r>
            <w:rPr>
              <w:noProof/>
              <w:webHidden/>
            </w:rPr>
          </w:r>
          <w:r>
            <w:rPr>
              <w:noProof/>
              <w:webHidden/>
            </w:rPr>
            <w:fldChar w:fldCharType="separate"/>
          </w:r>
          <w:r w:rsidR="001F73C1">
            <w:rPr>
              <w:noProof/>
              <w:webHidden/>
            </w:rPr>
            <w:t>111</w:t>
          </w:r>
          <w:r>
            <w:rPr>
              <w:noProof/>
              <w:webHidden/>
            </w:rPr>
            <w:fldChar w:fldCharType="end"/>
          </w:r>
        </w:p>
        <w:p w14:paraId="0BD95F9D" w14:textId="582C30C1" w:rsidR="00AB1160" w:rsidRDefault="00AB1160">
          <w:pPr>
            <w:pStyle w:val="TOC1"/>
            <w:rPr>
              <w:rFonts w:asciiTheme="minorHAnsi" w:eastAsiaTheme="minorEastAsia" w:hAnsiTheme="minorHAnsi"/>
              <w:noProof/>
              <w:color w:val="auto"/>
              <w:kern w:val="2"/>
              <w:sz w:val="24"/>
              <w:szCs w:val="24"/>
              <w:lang w:eastAsia="en-AU"/>
              <w14:ligatures w14:val="standardContextual"/>
            </w:rPr>
          </w:pPr>
          <w:r>
            <w:rPr>
              <w:noProof/>
            </w:rPr>
            <w:t>Glossary</w:t>
          </w:r>
          <w:r>
            <w:rPr>
              <w:noProof/>
              <w:webHidden/>
            </w:rPr>
            <w:tab/>
          </w:r>
          <w:r>
            <w:rPr>
              <w:noProof/>
              <w:webHidden/>
            </w:rPr>
            <w:fldChar w:fldCharType="begin"/>
          </w:r>
          <w:r>
            <w:rPr>
              <w:noProof/>
              <w:webHidden/>
            </w:rPr>
            <w:instrText xml:space="preserve"> PAGEREF _Toc236904089 \h </w:instrText>
          </w:r>
          <w:r>
            <w:rPr>
              <w:noProof/>
              <w:webHidden/>
            </w:rPr>
          </w:r>
          <w:r>
            <w:rPr>
              <w:noProof/>
              <w:webHidden/>
            </w:rPr>
            <w:fldChar w:fldCharType="separate"/>
          </w:r>
          <w:r w:rsidR="001F73C1">
            <w:rPr>
              <w:noProof/>
              <w:webHidden/>
            </w:rPr>
            <w:t>112</w:t>
          </w:r>
          <w:r>
            <w:rPr>
              <w:noProof/>
              <w:webHidden/>
            </w:rPr>
            <w:fldChar w:fldCharType="end"/>
          </w:r>
        </w:p>
        <w:p w14:paraId="2D35B293" w14:textId="55C0AEB1" w:rsidR="00AB1160" w:rsidRDefault="00AB1160">
          <w:pPr>
            <w:pStyle w:val="TOC1"/>
            <w:rPr>
              <w:rFonts w:asciiTheme="minorHAnsi" w:eastAsiaTheme="minorEastAsia" w:hAnsiTheme="minorHAnsi"/>
              <w:noProof/>
              <w:color w:val="auto"/>
              <w:kern w:val="2"/>
              <w:sz w:val="24"/>
              <w:szCs w:val="24"/>
              <w:lang w:eastAsia="en-AU"/>
              <w14:ligatures w14:val="standardContextual"/>
            </w:rPr>
          </w:pPr>
          <w:r>
            <w:rPr>
              <w:noProof/>
            </w:rPr>
            <w:t>References</w:t>
          </w:r>
          <w:r>
            <w:rPr>
              <w:noProof/>
              <w:webHidden/>
            </w:rPr>
            <w:tab/>
          </w:r>
          <w:r>
            <w:rPr>
              <w:noProof/>
              <w:webHidden/>
            </w:rPr>
            <w:fldChar w:fldCharType="begin"/>
          </w:r>
          <w:r>
            <w:rPr>
              <w:noProof/>
              <w:webHidden/>
            </w:rPr>
            <w:instrText xml:space="preserve"> PAGEREF _Toc236904090 \h </w:instrText>
          </w:r>
          <w:r>
            <w:rPr>
              <w:noProof/>
              <w:webHidden/>
            </w:rPr>
          </w:r>
          <w:r>
            <w:rPr>
              <w:noProof/>
              <w:webHidden/>
            </w:rPr>
            <w:fldChar w:fldCharType="separate"/>
          </w:r>
          <w:r w:rsidR="001F73C1">
            <w:rPr>
              <w:noProof/>
              <w:webHidden/>
            </w:rPr>
            <w:t>113</w:t>
          </w:r>
          <w:r>
            <w:rPr>
              <w:noProof/>
              <w:webHidden/>
            </w:rPr>
            <w:fldChar w:fldCharType="end"/>
          </w:r>
        </w:p>
        <w:p w14:paraId="2D94AEA4" w14:textId="00106F26" w:rsidR="00E76EEC" w:rsidRDefault="00E76EEC" w:rsidP="00E76EEC">
          <w:pPr>
            <w:rPr>
              <w:bCs/>
              <w:noProof/>
            </w:rPr>
          </w:pPr>
          <w:r>
            <w:rPr>
              <w:sz w:val="18"/>
            </w:rPr>
            <w:fldChar w:fldCharType="end"/>
          </w:r>
        </w:p>
      </w:sdtContent>
    </w:sdt>
    <w:p w14:paraId="4929770E" w14:textId="3AD0E5D7" w:rsidR="0091513E" w:rsidRDefault="0091513E">
      <w:pPr>
        <w:pStyle w:val="BodyText"/>
        <w:rPr>
          <w:kern w:val="2"/>
          <w:lang w:eastAsia="en-AU"/>
          <w14:ligatures w14:val="standardContextual"/>
        </w:rPr>
      </w:pPr>
      <w:r>
        <w:t>Appendices B to E and the supporting paper for chapter 1 are referenced in the report but are available only on the PC website (</w:t>
      </w:r>
      <w:hyperlink r:id="rId40" w:history="1">
        <w:r>
          <w:rPr>
            <w:rStyle w:val="Hyperlink"/>
          </w:rPr>
          <w:t>www.pc.gov.au/inquiries-and-research/gst-reforms/</w:t>
        </w:r>
      </w:hyperlink>
      <w:r>
        <w:t>).</w:t>
      </w:r>
    </w:p>
    <w:p w14:paraId="7372867E" w14:textId="76279A06" w:rsidR="00B16F2A" w:rsidRPr="00B16F2A" w:rsidRDefault="00B16F2A" w:rsidP="00221334">
      <w:pPr>
        <w:pStyle w:val="TOC1"/>
        <w:rPr>
          <w:noProof/>
        </w:rPr>
      </w:pPr>
      <w:r w:rsidRPr="00B16F2A">
        <w:rPr>
          <w:noProof/>
        </w:rPr>
        <w:t>B</w:t>
      </w:r>
      <w:r w:rsidR="00A2067A">
        <w:rPr>
          <w:noProof/>
        </w:rPr>
        <w:t>.</w:t>
      </w:r>
      <w:r w:rsidR="00221334">
        <w:rPr>
          <w:noProof/>
        </w:rPr>
        <w:tab/>
      </w:r>
      <w:r w:rsidRPr="00221334">
        <w:rPr>
          <w:noProof/>
        </w:rPr>
        <w:t>The</w:t>
      </w:r>
      <w:r w:rsidRPr="00B16F2A">
        <w:rPr>
          <w:noProof/>
        </w:rPr>
        <w:t xml:space="preserve"> </w:t>
      </w:r>
      <w:r w:rsidRPr="00221334">
        <w:rPr>
          <w:noProof/>
        </w:rPr>
        <w:t>inquiry’s framework</w:t>
      </w:r>
      <w:r w:rsidR="00221334" w:rsidRPr="00B16F2A">
        <w:rPr>
          <w:noProof/>
        </w:rPr>
        <w:t xml:space="preserve"> </w:t>
      </w:r>
    </w:p>
    <w:p w14:paraId="5AF5535D" w14:textId="653EC0E4" w:rsidR="00B16F2A" w:rsidRPr="00B16F2A" w:rsidRDefault="00B16F2A" w:rsidP="00221334">
      <w:pPr>
        <w:pStyle w:val="TOC1"/>
        <w:rPr>
          <w:noProof/>
        </w:rPr>
      </w:pPr>
      <w:r w:rsidRPr="00B16F2A">
        <w:rPr>
          <w:noProof/>
        </w:rPr>
        <w:t>C</w:t>
      </w:r>
      <w:r w:rsidR="00221334">
        <w:rPr>
          <w:noProof/>
        </w:rPr>
        <w:t>.</w:t>
      </w:r>
      <w:r w:rsidR="00221334">
        <w:rPr>
          <w:noProof/>
        </w:rPr>
        <w:tab/>
      </w:r>
      <w:r w:rsidRPr="00221334">
        <w:rPr>
          <w:noProof/>
        </w:rPr>
        <w:t>PC modelling</w:t>
      </w:r>
      <w:r w:rsidR="00221334" w:rsidRPr="00B16F2A">
        <w:rPr>
          <w:noProof/>
        </w:rPr>
        <w:t xml:space="preserve"> </w:t>
      </w:r>
    </w:p>
    <w:p w14:paraId="633C2010" w14:textId="45E9D2F6" w:rsidR="00B16F2A" w:rsidRPr="00B16F2A" w:rsidRDefault="00B16F2A" w:rsidP="00221334">
      <w:pPr>
        <w:pStyle w:val="TOC1"/>
        <w:rPr>
          <w:noProof/>
        </w:rPr>
      </w:pPr>
      <w:r w:rsidRPr="00B16F2A">
        <w:rPr>
          <w:noProof/>
        </w:rPr>
        <w:t>D</w:t>
      </w:r>
      <w:r w:rsidR="00221334">
        <w:rPr>
          <w:noProof/>
        </w:rPr>
        <w:t>.</w:t>
      </w:r>
      <w:r w:rsidR="00221334">
        <w:rPr>
          <w:noProof/>
        </w:rPr>
        <w:tab/>
      </w:r>
      <w:r w:rsidRPr="00221334">
        <w:rPr>
          <w:noProof/>
        </w:rPr>
        <w:t>State fiscal sustainability</w:t>
      </w:r>
    </w:p>
    <w:p w14:paraId="63EF9808" w14:textId="37699347" w:rsidR="00B16F2A" w:rsidRDefault="00B16F2A" w:rsidP="00221334">
      <w:pPr>
        <w:pStyle w:val="TOC1"/>
        <w:rPr>
          <w:noProof/>
        </w:rPr>
      </w:pPr>
      <w:r w:rsidRPr="00B16F2A">
        <w:rPr>
          <w:noProof/>
        </w:rPr>
        <w:t>E</w:t>
      </w:r>
      <w:r w:rsidR="00221334">
        <w:rPr>
          <w:noProof/>
        </w:rPr>
        <w:t>.</w:t>
      </w:r>
      <w:r w:rsidR="00221334">
        <w:rPr>
          <w:noProof/>
        </w:rPr>
        <w:tab/>
      </w:r>
      <w:r w:rsidRPr="00221334">
        <w:rPr>
          <w:noProof/>
        </w:rPr>
        <w:t>Commonwealth payments</w:t>
      </w:r>
    </w:p>
    <w:p w14:paraId="26BCF21F" w14:textId="5AAA316F" w:rsidR="00A2067A" w:rsidRPr="00A2067A" w:rsidRDefault="004445EA" w:rsidP="004445EA">
      <w:pPr>
        <w:pStyle w:val="TOC1"/>
        <w:rPr>
          <w:noProof/>
        </w:rPr>
      </w:pPr>
      <w:r>
        <w:rPr>
          <w:noProof/>
        </w:rPr>
        <w:t>Supporting paper 1</w:t>
      </w:r>
      <w:r w:rsidR="00802962">
        <w:rPr>
          <w:noProof/>
        </w:rPr>
        <w:t xml:space="preserve">: </w:t>
      </w:r>
      <w:r>
        <w:rPr>
          <w:noProof/>
        </w:rPr>
        <w:t xml:space="preserve">Understanding </w:t>
      </w:r>
      <w:r w:rsidRPr="00BC2AFF">
        <w:rPr>
          <w:noProof/>
        </w:rPr>
        <w:t>Australia’s system of fiscal transfers</w:t>
      </w:r>
    </w:p>
    <w:p w14:paraId="706335F1" w14:textId="77777777" w:rsidR="00B16F2A" w:rsidRDefault="00B16F2A" w:rsidP="004445EA">
      <w:pPr>
        <w:pStyle w:val="TOC1"/>
        <w:rPr>
          <w:noProof/>
        </w:rPr>
      </w:pPr>
    </w:p>
    <w:p w14:paraId="64CE6049" w14:textId="190CB5CC" w:rsidR="00802962" w:rsidRPr="00802962" w:rsidRDefault="00802962" w:rsidP="00802962">
      <w:pPr>
        <w:pStyle w:val="BodyText"/>
        <w:sectPr w:rsidR="00802962" w:rsidRPr="00802962" w:rsidSect="00E76EEC">
          <w:headerReference w:type="default" r:id="rId41"/>
          <w:headerReference w:type="first" r:id="rId42"/>
          <w:footnotePr>
            <w:numRestart w:val="eachSect"/>
          </w:footnotePr>
          <w:type w:val="oddPage"/>
          <w:pgSz w:w="11906" w:h="16838" w:code="9"/>
          <w:pgMar w:top="1134" w:right="1134" w:bottom="1134" w:left="1134" w:header="794" w:footer="510" w:gutter="0"/>
          <w:pgNumType w:fmt="lowerRoman"/>
          <w:cols w:space="708"/>
          <w:docGrid w:linePitch="360"/>
        </w:sectPr>
      </w:pPr>
    </w:p>
    <w:p w14:paraId="4C17FB57" w14:textId="77777777" w:rsidR="00E51755" w:rsidRDefault="00E51755" w:rsidP="00BF791E">
      <w:pPr>
        <w:pStyle w:val="Heading1"/>
        <w:numPr>
          <w:ilvl w:val="0"/>
          <w:numId w:val="0"/>
        </w:numPr>
        <w:ind w:left="567"/>
      </w:pPr>
      <w:bookmarkStart w:id="11" w:name="_Toc236904060"/>
      <w:r>
        <w:lastRenderedPageBreak/>
        <w:t>Executive summary</w:t>
      </w:r>
      <w:bookmarkEnd w:id="11"/>
    </w:p>
    <w:p w14:paraId="4F1227E0" w14:textId="77777777" w:rsidR="00E51755" w:rsidRDefault="00E51755">
      <w:pPr>
        <w:pStyle w:val="BodyText"/>
      </w:pPr>
      <w:r>
        <w:t xml:space="preserve">Since Federation, the Australian Government has aimed to limit the fiscal gap between the states and territories (hereafter ‘states’). This has evolved into the principle known as horizontal fiscal equalisation (HFE), which holds that the Australian Government should ‘equalise’ the financial capacity of the states, such that they can provide services to a similar standard. </w:t>
      </w:r>
      <w:r w:rsidRPr="001513FB">
        <w:rPr>
          <w:lang w:val="en-US"/>
        </w:rPr>
        <w:t xml:space="preserve">The principle is supported by all states, but historically they have held different views about </w:t>
      </w:r>
      <w:r>
        <w:rPr>
          <w:lang w:val="en-US"/>
        </w:rPr>
        <w:t xml:space="preserve">the level of </w:t>
      </w:r>
      <w:r w:rsidRPr="001513FB">
        <w:rPr>
          <w:lang w:val="en-US"/>
        </w:rPr>
        <w:t>equalisation the system should seek to achieve</w:t>
      </w:r>
      <w:r>
        <w:rPr>
          <w:lang w:val="en-US"/>
        </w:rPr>
        <w:t>, and whether this level is reasonable</w:t>
      </w:r>
      <w:r w:rsidRPr="001513FB">
        <w:rPr>
          <w:lang w:val="en-US"/>
        </w:rPr>
        <w:t>.</w:t>
      </w:r>
    </w:p>
    <w:p w14:paraId="06908C1A" w14:textId="77777777" w:rsidR="00E51755" w:rsidRDefault="00E51755">
      <w:pPr>
        <w:pStyle w:val="BodyText"/>
      </w:pPr>
      <w:r>
        <w:t>Today, the Australian Government pursues HFE</w:t>
      </w:r>
      <w:r w:rsidDel="00BD5B76">
        <w:t xml:space="preserve"> </w:t>
      </w:r>
      <w:r>
        <w:t>by collecting GST and distributing it to the states. Every year, the Commonwealth Grants Commission (CGC) compares the fiscal positions of the states and makes recommendations about how much GST revenue per person a state should receive – which is known as a state’s ‘GST relativity’. States with less fiscal capacity have a higher relativity, as they need more funding per person than the average state to provide a similar level of services, and states with greater fiscal capacity have a lower relativity.</w:t>
      </w:r>
      <w:r w:rsidRPr="00D63FB4">
        <w:rPr>
          <w:rStyle w:val="FootnoteReference"/>
        </w:rPr>
        <w:t xml:space="preserve"> </w:t>
      </w:r>
      <w:r w:rsidRPr="00201B0D">
        <w:rPr>
          <w:rStyle w:val="FootnoteReference"/>
        </w:rPr>
        <w:footnoteReference w:id="2"/>
      </w:r>
    </w:p>
    <w:p w14:paraId="725B7F1C" w14:textId="77777777" w:rsidR="00E51755" w:rsidRDefault="00E51755">
      <w:pPr>
        <w:pStyle w:val="BodyText"/>
      </w:pPr>
      <w:r>
        <w:t xml:space="preserve">The onset of the mining boom in the early 2000s resulted in Western Australia becoming the fiscally strongest state, sending its relativity, and its GST share, to unprecedented lows. </w:t>
      </w:r>
      <w:r w:rsidRPr="7330E8A3">
        <w:t>In response to Western Australian concerns</w:t>
      </w:r>
      <w:r>
        <w:t xml:space="preserve"> and other</w:t>
      </w:r>
      <w:r w:rsidRPr="7330E8A3">
        <w:t xml:space="preserve"> longstanding criticisms of the HFE system, </w:t>
      </w:r>
      <w:r>
        <w:t>the Australian Government passed a series of reforms in 2018.</w:t>
      </w:r>
    </w:p>
    <w:p w14:paraId="3B2841D2" w14:textId="77777777" w:rsidR="00E51755" w:rsidRPr="00930E91" w:rsidRDefault="00E51755">
      <w:pPr>
        <w:pStyle w:val="BodyText"/>
      </w:pPr>
      <w:r>
        <w:t xml:space="preserve">The Australian Government has asked the Productivity Commission (PC) to review the 2018 reforms to the GST distribution system and whether alternative arrangements would better deliver on the objectives of equity, efficiency, fiscal sustainability and certainty. </w:t>
      </w:r>
    </w:p>
    <w:p w14:paraId="1271D774" w14:textId="77777777" w:rsidR="00E51755" w:rsidRDefault="00E51755">
      <w:pPr>
        <w:pStyle w:val="Heading3"/>
      </w:pPr>
      <w:r>
        <w:t>Understanding the 2018 reforms</w:t>
      </w:r>
    </w:p>
    <w:p w14:paraId="34633F87" w14:textId="77777777" w:rsidR="00E51755" w:rsidRDefault="00E51755">
      <w:pPr>
        <w:pStyle w:val="BodyText"/>
      </w:pPr>
      <w:r>
        <w:t xml:space="preserve">The 2018 reforms to HFE consisted of 3 measures. </w:t>
      </w:r>
    </w:p>
    <w:p w14:paraId="5E88F555" w14:textId="77777777" w:rsidR="00E51755" w:rsidRPr="00B310DC" w:rsidRDefault="00E51755" w:rsidP="003D5906">
      <w:pPr>
        <w:pStyle w:val="ListNumber"/>
        <w:numPr>
          <w:ilvl w:val="0"/>
          <w:numId w:val="25"/>
        </w:numPr>
        <w:ind w:left="454"/>
      </w:pPr>
      <w:r w:rsidRPr="00B310DC">
        <w:t>A new fiscal equalisation standard, set at the relativity</w:t>
      </w:r>
      <w:r w:rsidRPr="00B310DC" w:rsidDel="00660CCE">
        <w:t xml:space="preserve"> </w:t>
      </w:r>
      <w:r w:rsidRPr="00B310DC" w:rsidDel="00C337E3">
        <w:t xml:space="preserve">of whichever of New South Wales or Victoria has the greater fiscal capacity </w:t>
      </w:r>
      <w:r w:rsidRPr="00B310DC">
        <w:t>(the ‘standard state’). This standard was phased</w:t>
      </w:r>
      <w:r w:rsidRPr="00B310DC">
        <w:noBreakHyphen/>
        <w:t>in over 6 years</w:t>
      </w:r>
      <w:r w:rsidRPr="00B310DC" w:rsidDel="006C759D">
        <w:t>.</w:t>
      </w:r>
    </w:p>
    <w:p w14:paraId="4738AF2C" w14:textId="78152AB2" w:rsidR="00E51755" w:rsidRPr="00B310DC" w:rsidRDefault="00E51755" w:rsidP="00B310DC">
      <w:pPr>
        <w:pStyle w:val="ListNumber"/>
        <w:ind w:left="454"/>
      </w:pPr>
      <w:r w:rsidRPr="00B310DC">
        <w:t xml:space="preserve">A GST relativity floor, set at 0.70 in </w:t>
      </w:r>
      <w:r w:rsidR="00932B6F">
        <w:t>2022–23</w:t>
      </w:r>
      <w:r w:rsidRPr="00B310DC">
        <w:t>, then increased to 0.75 from 2024</w:t>
      </w:r>
      <w:r w:rsidR="00932B6F">
        <w:t>–</w:t>
      </w:r>
      <w:r w:rsidRPr="00B310DC">
        <w:t>25.</w:t>
      </w:r>
    </w:p>
    <w:p w14:paraId="64A4F709" w14:textId="77777777" w:rsidR="00E51755" w:rsidRPr="0078145D" w:rsidRDefault="00E51755" w:rsidP="00B310DC">
      <w:pPr>
        <w:pStyle w:val="ListNumber"/>
        <w:ind w:left="454"/>
      </w:pPr>
      <w:r w:rsidRPr="00B310DC">
        <w:t>A boost to</w:t>
      </w:r>
      <w:r w:rsidRPr="00930E91">
        <w:t xml:space="preserve"> the GST pool</w:t>
      </w:r>
      <w:r w:rsidRPr="0078145D">
        <w:t xml:space="preserve"> </w:t>
      </w:r>
      <w:r>
        <w:t xml:space="preserve">through a </w:t>
      </w:r>
      <w:r w:rsidRPr="0078145D">
        <w:t xml:space="preserve">perpetual yearly </w:t>
      </w:r>
      <w:r>
        <w:t>increase</w:t>
      </w:r>
      <w:r w:rsidRPr="0078145D">
        <w:t xml:space="preserve"> from the Australian Government.</w:t>
      </w:r>
    </w:p>
    <w:p w14:paraId="27A5FC1F" w14:textId="77777777" w:rsidR="00E51755" w:rsidRDefault="00E51755">
      <w:pPr>
        <w:spacing w:before="0" w:after="160" w:line="259" w:lineRule="auto"/>
      </w:pPr>
      <w:r>
        <w:br w:type="page"/>
      </w:r>
    </w:p>
    <w:p w14:paraId="25C601A9" w14:textId="77777777" w:rsidR="00E51755" w:rsidRDefault="00E51755">
      <w:pPr>
        <w:spacing w:before="0" w:after="160" w:line="259" w:lineRule="auto"/>
        <w:rPr>
          <w:rFonts w:eastAsia="Open Sans" w:cs="Open Sans"/>
        </w:rPr>
      </w:pPr>
      <w:r>
        <w:lastRenderedPageBreak/>
        <w:t xml:space="preserve">These changes were intended to make the system more resilient to economic shocks and improve stability and predictability of state revenue, while simultaneously making all states better off from the reforms. </w:t>
      </w:r>
      <w:r w:rsidRPr="6664EA93">
        <w:rPr>
          <w:rFonts w:eastAsia="Open Sans" w:cs="Open Sans"/>
        </w:rPr>
        <w:t>Every state other than Western Australia opposed the changes, but their approval was not required</w:t>
      </w:r>
      <w:r w:rsidRPr="1E9B0AD6">
        <w:rPr>
          <w:rFonts w:eastAsia="Open Sans" w:cs="Open Sans"/>
        </w:rPr>
        <w:t xml:space="preserve"> for the changes to become law</w:t>
      </w:r>
      <w:r w:rsidRPr="6664EA93">
        <w:rPr>
          <w:rFonts w:eastAsia="Open Sans" w:cs="Open Sans"/>
        </w:rPr>
        <w:t>.</w:t>
      </w:r>
    </w:p>
    <w:p w14:paraId="383A866A" w14:textId="3E12C23E" w:rsidR="00E51755" w:rsidRDefault="00E51755">
      <w:pPr>
        <w:pStyle w:val="BodyText"/>
      </w:pPr>
      <w:r>
        <w:t xml:space="preserve">At the time the reforms were introduced, the mining boom was projected to moderate. The boom – and especially strong iron ore prices and production – was the main driver of Western Australia’s high assessed fiscal capacity and record low GST relativity. A moderation of the boom would have seen Western Australia’s relativity revert towards its historical average. It would also have meant the GST pool boost – which was $600 million from </w:t>
      </w:r>
      <w:r w:rsidR="00F065AC">
        <w:t>2021–22</w:t>
      </w:r>
      <w:r>
        <w:t xml:space="preserve">, then $850 million from </w:t>
      </w:r>
      <w:r w:rsidR="003B5DC0">
        <w:t xml:space="preserve">2024–25 </w:t>
      </w:r>
      <w:r>
        <w:t>(indexed to GST pool growth) – would have left all states better off.</w:t>
      </w:r>
    </w:p>
    <w:p w14:paraId="38435811" w14:textId="7DCA0C3D" w:rsidR="00E51755" w:rsidRDefault="00E51755">
      <w:pPr>
        <w:pStyle w:val="BodyText"/>
      </w:pPr>
      <w:r>
        <w:t>However, not all states shared the expectation that the mining boom would ease and that all states would benefit from the reforms. Many argued that the 2018 reforms should be accompanied by a (Australian Government funded) No Worse</w:t>
      </w:r>
      <w:r w:rsidR="005633BF">
        <w:t xml:space="preserve"> </w:t>
      </w:r>
      <w:r>
        <w:t>Off (NoWO) guarantee to ensure that no state was left financially worse off because of the changes. A temporary NoWO guarantee was therefore introduced, although the Australian Government did not expect it to be required. However, it quickly became clear that the NoWO guarantee would be called upon, and in the lead</w:t>
      </w:r>
      <w:r>
        <w:noBreakHyphen/>
        <w:t>up to its original expiry in 2026</w:t>
      </w:r>
      <w:r w:rsidR="00F34590">
        <w:t>–</w:t>
      </w:r>
      <w:r>
        <w:t xml:space="preserve">27, the Australian Government and states agreed for it to be extended until </w:t>
      </w:r>
      <w:r w:rsidR="00F34590">
        <w:t>2029–30</w:t>
      </w:r>
      <w:r>
        <w:t>.</w:t>
      </w:r>
    </w:p>
    <w:p w14:paraId="0A964990" w14:textId="77777777" w:rsidR="00E51755" w:rsidRPr="001838AB" w:rsidRDefault="00E51755">
      <w:pPr>
        <w:pStyle w:val="Heading3"/>
      </w:pPr>
      <w:r>
        <w:t>The 2018 reforms are costing more than expected</w:t>
      </w:r>
    </w:p>
    <w:p w14:paraId="4290D46E" w14:textId="69D48105" w:rsidR="00E51755" w:rsidRDefault="00E51755">
      <w:pPr>
        <w:pStyle w:val="BodyText"/>
      </w:pPr>
      <w:r>
        <w:t xml:space="preserve">The 2018 reforms were expected to cost the Australian Government about $5 billion by </w:t>
      </w:r>
      <w:r w:rsidR="00246A5F">
        <w:t>2024–25</w:t>
      </w:r>
      <w:r>
        <w:t xml:space="preserve">, but have ended up costing almost $23 billion, largely due to payments made under the NoWO guarantee (figure 1). While Western Australia was expected to benefit by a cumulative amount of about $3.9 billion by </w:t>
      </w:r>
      <w:r w:rsidR="00246A5F">
        <w:t>2024–25</w:t>
      </w:r>
      <w:r>
        <w:t>, it has received the majority of the benefit from the $23 billion spent by the Australian Government. Other states were expected to be better off by about $1.1 billion by 2024</w:t>
      </w:r>
      <w:r w:rsidR="00246A5F">
        <w:t>–</w:t>
      </w:r>
      <w:r>
        <w:t>25, but have not ended up benefiting from the reforms. Instead, they only remained no worse off due to the NoWO guarantee.</w:t>
      </w:r>
    </w:p>
    <w:p w14:paraId="493265DD" w14:textId="77777777" w:rsidR="00E51755" w:rsidRPr="001838AB" w:rsidRDefault="00E51755">
      <w:pPr>
        <w:pStyle w:val="Heading3"/>
      </w:pPr>
      <w:r>
        <w:t>The</w:t>
      </w:r>
      <w:r w:rsidRPr="001838AB">
        <w:t xml:space="preserve"> 2018 reforms have largely </w:t>
      </w:r>
      <w:r>
        <w:t>not</w:t>
      </w:r>
      <w:r w:rsidRPr="001838AB">
        <w:t xml:space="preserve"> achieved</w:t>
      </w:r>
      <w:r>
        <w:t xml:space="preserve"> their intent</w:t>
      </w:r>
    </w:p>
    <w:p w14:paraId="2D7AAA53" w14:textId="77777777" w:rsidR="00E51755" w:rsidRDefault="00E51755">
      <w:pPr>
        <w:pStyle w:val="BodyText"/>
      </w:pPr>
      <w:r>
        <w:t>After reviewing the evidence, consulting with all state governments and reviewing over 60 submissions from the public, the PC has determined that the 2018 reforms have largely not met their intent and have introduced a range of undesirable features into Australia’s HFE system.</w:t>
      </w:r>
    </w:p>
    <w:p w14:paraId="55E5003A" w14:textId="77777777" w:rsidR="00E51755" w:rsidRDefault="00E51755">
      <w:pPr>
        <w:pStyle w:val="Heading4"/>
      </w:pPr>
      <w:r>
        <w:t>The standard state equalisation benchmark is not working as intended</w:t>
      </w:r>
    </w:p>
    <w:p w14:paraId="4D469540" w14:textId="77777777" w:rsidR="00E51755" w:rsidRDefault="00E51755">
      <w:pPr>
        <w:pStyle w:val="BodyText"/>
      </w:pPr>
      <w:r>
        <w:t xml:space="preserve">The standard state benchmark has introduced the possibility of the system producing </w:t>
      </w:r>
      <w:r w:rsidRPr="4D880225">
        <w:rPr>
          <w:b/>
          <w:bCs/>
        </w:rPr>
        <w:t>perverse outcomes that invert the logic of HFE</w:t>
      </w:r>
      <w:r w:rsidRPr="00B4315F">
        <w:t>.</w:t>
      </w:r>
      <w:r w:rsidRPr="4D880225">
        <w:rPr>
          <w:b/>
          <w:bCs/>
        </w:rPr>
        <w:t xml:space="preserve"> </w:t>
      </w:r>
      <w:r>
        <w:t>For example, the benchmark means that Western Australia could gain additional GST revenue when New South Wales</w:t>
      </w:r>
      <w:r w:rsidDel="70E57B2A">
        <w:t xml:space="preserve"> </w:t>
      </w:r>
      <w:r>
        <w:t>or Victoria experiences a natural disaster. If New South Wales incurs net fiscal costs associated with a bushfire for example, its relative fiscal capacity decreases, leading to a higher GST relativity and share of GST revenue. While all other states would experience a reduction in their share of the GST pool, Western Australia would have its GST share increased to match the now higher standard state benchmark.</w:t>
      </w:r>
      <w:r w:rsidRPr="00201B0D">
        <w:rPr>
          <w:rStyle w:val="FootnoteReference"/>
        </w:rPr>
        <w:footnoteReference w:id="3"/>
      </w:r>
      <w:r>
        <w:t xml:space="preserve"> In some circumstances, the operation of the standard state benchmark can also mean that increases in Western Australia’s own</w:t>
      </w:r>
      <w:r>
        <w:noBreakHyphen/>
        <w:t xml:space="preserve">source revenue can lead to an </w:t>
      </w:r>
      <w:r w:rsidRPr="7F45F66F">
        <w:rPr>
          <w:i/>
          <w:iCs/>
        </w:rPr>
        <w:t>increase</w:t>
      </w:r>
      <w:r>
        <w:t xml:space="preserve"> in its share of GST revenue. </w:t>
      </w:r>
    </w:p>
    <w:p w14:paraId="27D88C79" w14:textId="55887C96" w:rsidR="00E51755" w:rsidRPr="00146382" w:rsidRDefault="00E51755">
      <w:pPr>
        <w:pStyle w:val="FigureTableHeading"/>
      </w:pPr>
      <w:r>
        <w:lastRenderedPageBreak/>
        <w:t xml:space="preserve">Figure </w:t>
      </w:r>
      <w:r w:rsidR="00974281">
        <w:t>1</w:t>
      </w:r>
      <w:r>
        <w:t xml:space="preserve"> – </w:t>
      </w:r>
      <w:r w:rsidRPr="00810064">
        <w:t xml:space="preserve">The cost of the 2018 reforms has been higher than </w:t>
      </w:r>
      <w:r>
        <w:t>anticipated</w:t>
      </w:r>
    </w:p>
    <w:p w14:paraId="3991B7BA" w14:textId="3C5B51BF" w:rsidR="00E51755" w:rsidRPr="00146382" w:rsidRDefault="00E51755">
      <w:pPr>
        <w:pStyle w:val="FigureTableSubheading"/>
      </w:pPr>
      <w:r>
        <w:t xml:space="preserve">Annual actual and forecast costs (nominal), </w:t>
      </w:r>
      <w:r w:rsidR="00932B6F">
        <w:t xml:space="preserve">2018–19 </w:t>
      </w:r>
      <w:r>
        <w:t>to 2024</w:t>
      </w:r>
      <w:r w:rsidR="00932B6F">
        <w:t>–</w:t>
      </w:r>
      <w:r>
        <w:t>25</w:t>
      </w:r>
    </w:p>
    <w:p w14:paraId="26423622" w14:textId="77777777" w:rsidR="00E51755" w:rsidRDefault="00E51755">
      <w:pPr>
        <w:pStyle w:val="Note"/>
        <w:keepLines/>
      </w:pPr>
      <w:r w:rsidRPr="001470CB">
        <w:rPr>
          <w:noProof/>
        </w:rPr>
        <w:drawing>
          <wp:inline distT="0" distB="0" distL="0" distR="0" wp14:anchorId="5F831E46" wp14:editId="442D5924">
            <wp:extent cx="6120130" cy="2879725"/>
            <wp:effectExtent l="0" t="0" r="0" b="0"/>
            <wp:docPr id="363061097" name="Picture 6" descr="Figure 1 – A line graph comparing the actual and expected annual costs of the 2018 reforms for the Australian Government between 2018-19 and 2024-25. The cost of the reforms has been significantly higher than anticipated (over $6 billion in 2024-25 compared to an initial estimate of about $1 billion in 2024-2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061097" name="Picture 6" descr="Figure 1 – A line graph comparing the actual and expected annual costs of the 2018 reforms for the Australian Government between 2018-19 and 2024-25. The cost of the reforms has been significantly higher than anticipated (over $6 billion in 2024-25 compared to an initial estimate of about $1 billion in 2024-25). "/>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20130" cy="2879725"/>
                    </a:xfrm>
                    <a:prstGeom prst="rect">
                      <a:avLst/>
                    </a:prstGeom>
                    <a:noFill/>
                    <a:ln>
                      <a:noFill/>
                    </a:ln>
                  </pic:spPr>
                </pic:pic>
              </a:graphicData>
            </a:graphic>
          </wp:inline>
        </w:drawing>
      </w:r>
    </w:p>
    <w:p w14:paraId="55238ED7" w14:textId="4B569C2A" w:rsidR="00E51755" w:rsidRPr="007D785A" w:rsidRDefault="00E51755">
      <w:pPr>
        <w:pStyle w:val="Note"/>
      </w:pPr>
      <w:r w:rsidRPr="007D785A">
        <w:t>’Forecasts’ includes data from both Budget documents and longer</w:t>
      </w:r>
      <w:r w:rsidRPr="007D785A">
        <w:noBreakHyphen/>
        <w:t xml:space="preserve">term estimates from the Australian Government’s interim response to the PC’s 2018 inquiry into </w:t>
      </w:r>
      <w:r w:rsidRPr="002E6BEE">
        <w:rPr>
          <w:i/>
          <w:iCs/>
        </w:rPr>
        <w:t>Horizontal Fiscal Equalisation</w:t>
      </w:r>
      <w:r w:rsidRPr="007D785A">
        <w:t xml:space="preserve">. ‘Actual’ data is from Final Budget Outcomes, with </w:t>
      </w:r>
      <w:r w:rsidR="003B5DC0">
        <w:t xml:space="preserve">2024–25 </w:t>
      </w:r>
      <w:r w:rsidRPr="007D785A">
        <w:t>being the most recent year of published data.</w:t>
      </w:r>
    </w:p>
    <w:p w14:paraId="502BBBCD" w14:textId="327514B5" w:rsidR="00E51755" w:rsidRPr="0065682F" w:rsidRDefault="00E51755">
      <w:pPr>
        <w:pStyle w:val="Source"/>
        <w:rPr>
          <w:spacing w:val="-4"/>
        </w:rPr>
      </w:pPr>
      <w:r w:rsidRPr="0065682F">
        <w:rPr>
          <w:spacing w:val="-4"/>
        </w:rPr>
        <w:t xml:space="preserve">Source: Australian Government (2018, p. 21) (various years); Commonwealth of Australia </w:t>
      </w:r>
      <w:r w:rsidR="00546FEC" w:rsidRPr="0065682F">
        <w:rPr>
          <w:rFonts w:cs="Open Sans"/>
          <w:spacing w:val="-4"/>
        </w:rPr>
        <w:t>(2024a, 2025)</w:t>
      </w:r>
      <w:r w:rsidRPr="0065682F">
        <w:rPr>
          <w:spacing w:val="-4"/>
        </w:rPr>
        <w:t xml:space="preserve"> (various years).</w:t>
      </w:r>
    </w:p>
    <w:p w14:paraId="38D07E51" w14:textId="77777777" w:rsidR="00E51755" w:rsidRPr="00B714F9" w:rsidRDefault="00E51755">
      <w:pPr>
        <w:pStyle w:val="BodyText"/>
      </w:pPr>
      <w:r>
        <w:t xml:space="preserve">The standard state benchmark has created a </w:t>
      </w:r>
      <w:r w:rsidRPr="48612AA2">
        <w:rPr>
          <w:b/>
          <w:bCs/>
        </w:rPr>
        <w:t>two</w:t>
      </w:r>
      <w:r>
        <w:rPr>
          <w:b/>
          <w:bCs/>
        </w:rPr>
        <w:noBreakHyphen/>
      </w:r>
      <w:r w:rsidRPr="48612AA2">
        <w:rPr>
          <w:b/>
          <w:bCs/>
        </w:rPr>
        <w:t xml:space="preserve">tiered GST distribution system </w:t>
      </w:r>
      <w:r>
        <w:t>where a</w:t>
      </w:r>
      <w:r w:rsidRPr="00B714F9">
        <w:t xml:space="preserve"> state like South Australia that has </w:t>
      </w:r>
      <w:r>
        <w:t>a lower fiscal capacity</w:t>
      </w:r>
      <w:r w:rsidRPr="00B714F9">
        <w:t xml:space="preserve"> than N</w:t>
      </w:r>
      <w:r>
        <w:t xml:space="preserve">ew </w:t>
      </w:r>
      <w:r w:rsidRPr="00B714F9">
        <w:t>S</w:t>
      </w:r>
      <w:r>
        <w:t xml:space="preserve">outh </w:t>
      </w:r>
      <w:r w:rsidRPr="00B714F9">
        <w:t>W</w:t>
      </w:r>
      <w:r>
        <w:t>ales</w:t>
      </w:r>
      <w:r w:rsidRPr="00B714F9">
        <w:t xml:space="preserve"> </w:t>
      </w:r>
      <w:r>
        <w:t xml:space="preserve">or </w:t>
      </w:r>
      <w:r w:rsidRPr="00B714F9">
        <w:t>Victoria does not benefit from the equalisation benchmark. This means that if South Australia improves their financial position, they receive less GST</w:t>
      </w:r>
      <w:r>
        <w:t xml:space="preserve"> revenue</w:t>
      </w:r>
      <w:r w:rsidRPr="00B714F9">
        <w:t>.</w:t>
      </w:r>
    </w:p>
    <w:p w14:paraId="318AB0E9" w14:textId="77777777" w:rsidR="00E51755" w:rsidRDefault="00E51755">
      <w:pPr>
        <w:pStyle w:val="BodyText"/>
      </w:pPr>
      <w:r w:rsidRPr="00B714F9">
        <w:t xml:space="preserve">On the other hand, a state </w:t>
      </w:r>
      <w:r>
        <w:t xml:space="preserve">with greater fiscal capacity, </w:t>
      </w:r>
      <w:r w:rsidRPr="00B714F9">
        <w:t>like Western Australia</w:t>
      </w:r>
      <w:r>
        <w:t>,</w:t>
      </w:r>
      <w:r w:rsidRPr="00B714F9">
        <w:t xml:space="preserve"> now has its</w:t>
      </w:r>
      <w:r>
        <w:t xml:space="preserve"> </w:t>
      </w:r>
      <w:r w:rsidRPr="00B714F9">
        <w:t>relativity automatically increased to the same as Victoria or N</w:t>
      </w:r>
      <w:r>
        <w:t xml:space="preserve">ew </w:t>
      </w:r>
      <w:r w:rsidRPr="00B714F9">
        <w:t>S</w:t>
      </w:r>
      <w:r>
        <w:t xml:space="preserve">outh </w:t>
      </w:r>
      <w:r w:rsidRPr="00B714F9">
        <w:t>W</w:t>
      </w:r>
      <w:r>
        <w:t>ale</w:t>
      </w:r>
      <w:r w:rsidRPr="00B714F9">
        <w:t xml:space="preserve">s. This means that if Western Australia improves its financial position, it </w:t>
      </w:r>
      <w:r>
        <w:t>can receive</w:t>
      </w:r>
      <w:r w:rsidRPr="00B714F9">
        <w:t xml:space="preserve"> the same or even more GST</w:t>
      </w:r>
      <w:r>
        <w:t xml:space="preserve"> revenue</w:t>
      </w:r>
      <w:r w:rsidRPr="00B714F9">
        <w:t xml:space="preserve"> than it otherwise would</w:t>
      </w:r>
      <w:r>
        <w:t>.</w:t>
      </w:r>
    </w:p>
    <w:p w14:paraId="30B19910" w14:textId="77777777" w:rsidR="00E51755" w:rsidRDefault="00E51755">
      <w:pPr>
        <w:pStyle w:val="Heading4"/>
      </w:pPr>
      <w:r>
        <w:t>Only Western Australia has benefited from the reforms</w:t>
      </w:r>
    </w:p>
    <w:p w14:paraId="2849BA0E" w14:textId="77777777" w:rsidR="00E51755" w:rsidRDefault="00E51755">
      <w:pPr>
        <w:pStyle w:val="BodyText"/>
      </w:pPr>
      <w:r>
        <w:t xml:space="preserve">The GST pool boost that was introduced as part of the 2018 reforms was intended to make all states ‘better off’ by increasing the amount of GST revenue available for distribution. But the reforms have only materially benefited Western Australia, improving its fiscal position relative to other states. </w:t>
      </w:r>
    </w:p>
    <w:p w14:paraId="2F736A40" w14:textId="44EEBAE9" w:rsidR="00E51755" w:rsidRPr="003B5DC0" w:rsidRDefault="00E51755">
      <w:pPr>
        <w:pStyle w:val="BodyText"/>
        <w:rPr>
          <w:spacing w:val="-2"/>
        </w:rPr>
      </w:pPr>
      <w:r w:rsidRPr="003B5DC0">
        <w:rPr>
          <w:spacing w:val="-2"/>
        </w:rPr>
        <w:t xml:space="preserve">Prior to 2018, all states received enough GST revenue to meet 100% of their assessed fiscal needs, consistent with the principle of HFE. However, as a result of the reforms, Western Australia received enough GST revenue to meet 113% of its assessed fiscal needs in </w:t>
      </w:r>
      <w:r w:rsidR="003B5DC0" w:rsidRPr="003B5DC0">
        <w:rPr>
          <w:spacing w:val="-2"/>
        </w:rPr>
        <w:t xml:space="preserve">2024–25 </w:t>
      </w:r>
      <w:r w:rsidRPr="003B5DC0">
        <w:rPr>
          <w:spacing w:val="-2"/>
        </w:rPr>
        <w:t xml:space="preserve">– compared with 98% for all other states (figure 2). The Australian Government’s $5.4 billion of NoWO payments in </w:t>
      </w:r>
      <w:r w:rsidR="003B5DC0" w:rsidRPr="003B5DC0">
        <w:rPr>
          <w:spacing w:val="-2"/>
        </w:rPr>
        <w:t xml:space="preserve">2024–25 </w:t>
      </w:r>
      <w:r w:rsidRPr="003B5DC0">
        <w:rPr>
          <w:spacing w:val="-2"/>
        </w:rPr>
        <w:t>ensured all states received 100% of their assessed fiscal needs, but the PC estimates that an additional $47 billion would be required to provide all states with the same fiscal capacity as Western Australia. This calculation illustrates the extent to which the current system has departed from the pre</w:t>
      </w:r>
      <w:r w:rsidRPr="003B5DC0">
        <w:rPr>
          <w:spacing w:val="-2"/>
        </w:rPr>
        <w:noBreakHyphen/>
        <w:t>2018 version of HFE.</w:t>
      </w:r>
    </w:p>
    <w:p w14:paraId="79BFF7CE" w14:textId="75441784" w:rsidR="00E51755" w:rsidRPr="00146382" w:rsidRDefault="00E51755">
      <w:pPr>
        <w:pStyle w:val="FigureTableHeading"/>
      </w:pPr>
      <w:r>
        <w:lastRenderedPageBreak/>
        <w:t xml:space="preserve">Figure </w:t>
      </w:r>
      <w:r w:rsidR="00974281">
        <w:t>2</w:t>
      </w:r>
      <w:r>
        <w:rPr>
          <w:noProof/>
        </w:rPr>
        <w:t xml:space="preserve"> </w:t>
      </w:r>
      <w:r>
        <w:t xml:space="preserve">– </w:t>
      </w:r>
      <w:r w:rsidRPr="00125E10">
        <w:t>GST payments no longer equalise states’ assessed budgets</w:t>
      </w:r>
    </w:p>
    <w:p w14:paraId="5492A2E1" w14:textId="3C647290" w:rsidR="00E51755" w:rsidRDefault="00E51755">
      <w:pPr>
        <w:pStyle w:val="FigureTableSubheading"/>
        <w:keepLines/>
      </w:pPr>
      <w:r w:rsidRPr="00322479">
        <w:t>Assessed 202</w:t>
      </w:r>
      <w:r>
        <w:t>4</w:t>
      </w:r>
      <w:r w:rsidR="003B5DC0">
        <w:t>–</w:t>
      </w:r>
      <w:r w:rsidRPr="00322479">
        <w:t>2</w:t>
      </w:r>
      <w:r>
        <w:t>5</w:t>
      </w:r>
      <w:r w:rsidRPr="00322479">
        <w:t xml:space="preserve"> fiscal need met, by distribution system</w:t>
      </w:r>
      <w:r>
        <w:t xml:space="preserve"> and revenue source</w:t>
      </w:r>
    </w:p>
    <w:p w14:paraId="187F741F" w14:textId="77777777" w:rsidR="00E51755" w:rsidRDefault="00E51755">
      <w:pPr>
        <w:pStyle w:val="Note"/>
        <w:keepLines/>
      </w:pPr>
      <w:r w:rsidRPr="003B545E">
        <w:rPr>
          <w:noProof/>
        </w:rPr>
        <w:drawing>
          <wp:inline distT="0" distB="0" distL="0" distR="0" wp14:anchorId="1AC1A1A2" wp14:editId="11627861">
            <wp:extent cx="6120130" cy="2844165"/>
            <wp:effectExtent l="0" t="0" r="0" b="0"/>
            <wp:docPr id="1519450435" name="Picture 4" descr="Figure 2 – A stacked column chart showing the proportion of states' 2024-25 assessed fiscal need met by each revenue source. Under the pre-2018 distribution system, both WA and other states would have each had 100% of their fiscal need met by own-source revenue, Commonwealth transfers, net borrowing and GST. Under the current distribution system (without NoWO), WA has 113% of its fiscal need met, while other states have only 98% of their fiscal need m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450435" name="Picture 4" descr="Figure 2 – A stacked column chart showing the proportion of states' 2024-25 assessed fiscal need met by each revenue source. Under the pre-2018 distribution system, both WA and other states would have each had 100% of their fiscal need met by own-source revenue, Commonwealth transfers, net borrowing and GST. Under the current distribution system (without NoWO), WA has 113% of its fiscal need met, while other states have only 98% of their fiscal need met. "/>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20130" cy="2844165"/>
                    </a:xfrm>
                    <a:prstGeom prst="rect">
                      <a:avLst/>
                    </a:prstGeom>
                    <a:noFill/>
                    <a:ln>
                      <a:noFill/>
                    </a:ln>
                  </pic:spPr>
                </pic:pic>
              </a:graphicData>
            </a:graphic>
          </wp:inline>
        </w:drawing>
      </w:r>
      <w:r w:rsidRPr="003B545E">
        <w:t xml:space="preserve"> </w:t>
      </w:r>
      <w:r w:rsidRPr="00F84C36">
        <w:t>NoWO payments are not incorporated in assessed budgets. States’ GST requirements under the pre</w:t>
      </w:r>
      <w:r w:rsidRPr="00F84C36">
        <w:rPr>
          <w:rFonts w:ascii="Cambria Math" w:hAnsi="Cambria Math" w:cs="Cambria Math"/>
        </w:rPr>
        <w:t>‑</w:t>
      </w:r>
      <w:r w:rsidRPr="00F84C36">
        <w:t>2018 distribution system were calculated as a residual to balance assessed revenue and assessed expenditure</w:t>
      </w:r>
      <w:r>
        <w:t>.</w:t>
      </w:r>
    </w:p>
    <w:p w14:paraId="6C968FB1" w14:textId="4CE3A0C1" w:rsidR="00E51755" w:rsidRPr="007E695B" w:rsidRDefault="00E51755">
      <w:pPr>
        <w:pStyle w:val="Source"/>
      </w:pPr>
      <w:r w:rsidRPr="00387BE9">
        <w:t xml:space="preserve">Source: PC estimates using CGC </w:t>
      </w:r>
      <w:r w:rsidRPr="00CA7DBC">
        <w:rPr>
          <w:rFonts w:cs="Open Sans"/>
        </w:rPr>
        <w:t>(2024)</w:t>
      </w:r>
      <w:r>
        <w:t xml:space="preserve">; Commonwealth of Australia </w:t>
      </w:r>
      <w:r w:rsidR="00546FEC" w:rsidRPr="00546FEC">
        <w:rPr>
          <w:rFonts w:cs="Open Sans"/>
        </w:rPr>
        <w:t>(2025, p. 67)</w:t>
      </w:r>
      <w:r w:rsidRPr="00696447">
        <w:t>.</w:t>
      </w:r>
    </w:p>
    <w:p w14:paraId="67136F9C" w14:textId="735C9FAA" w:rsidR="00E51755" w:rsidRDefault="00E51755">
      <w:pPr>
        <w:pStyle w:val="BodyText"/>
      </w:pPr>
      <w:r w:rsidRPr="008952FD">
        <w:t>A key criticism of the pre</w:t>
      </w:r>
      <w:r w:rsidRPr="008952FD">
        <w:noBreakHyphen/>
        <w:t>2018 system was that it was too volatile – with GST distributions to the states varying widely and unpredictably between years. The 2018 reforms have only decreased this volatility for Western Australia, and they have done this at the expense of the Australian Government. Consequently,</w:t>
      </w:r>
      <w:r w:rsidR="00337D9E" w:rsidRPr="008952FD">
        <w:t xml:space="preserve"> the cost</w:t>
      </w:r>
      <w:r w:rsidR="00EA6EB6" w:rsidRPr="008952FD">
        <w:t xml:space="preserve"> of</w:t>
      </w:r>
      <w:r w:rsidRPr="008952FD">
        <w:t xml:space="preserve"> revenue volatility has not been eliminated; it has merely been shifted and spread between governments.</w:t>
      </w:r>
    </w:p>
    <w:p w14:paraId="6FADACAE" w14:textId="77777777" w:rsidR="00E51755" w:rsidRDefault="00E51755">
      <w:pPr>
        <w:pStyle w:val="Heading4"/>
      </w:pPr>
      <w:r>
        <w:t>The reforms have imposed a significant ongoing cost on the Australian Government</w:t>
      </w:r>
    </w:p>
    <w:p w14:paraId="74C67676" w14:textId="0FC4D871" w:rsidR="00E51755" w:rsidRDefault="00E51755">
      <w:pPr>
        <w:pStyle w:val="BodyText"/>
      </w:pPr>
      <w:r w:rsidRPr="00611054">
        <w:t xml:space="preserve">The need for ongoing NoWO payments has created </w:t>
      </w:r>
      <w:r>
        <w:t>an</w:t>
      </w:r>
      <w:r w:rsidRPr="00611054">
        <w:t xml:space="preserve"> open</w:t>
      </w:r>
      <w:r>
        <w:noBreakHyphen/>
      </w:r>
      <w:r w:rsidRPr="00611054">
        <w:t>ended fiscal liability</w:t>
      </w:r>
      <w:r w:rsidRPr="0011691E">
        <w:t xml:space="preserve"> </w:t>
      </w:r>
      <w:r w:rsidRPr="00611054">
        <w:t>for the Australian</w:t>
      </w:r>
      <w:r w:rsidRPr="0011691E">
        <w:t xml:space="preserve"> Government</w:t>
      </w:r>
      <w:r>
        <w:t xml:space="preserve"> that moves in line with commodity prices. These payments are forecast to cost $6 billion in </w:t>
      </w:r>
      <w:r w:rsidR="003B5DC0">
        <w:t>2025–26</w:t>
      </w:r>
      <w:r>
        <w:t xml:space="preserve">, but if iron ore prices or production increase, the payments could reach $12 billion per year. </w:t>
      </w:r>
    </w:p>
    <w:p w14:paraId="7CBB7264" w14:textId="0F702B35" w:rsidR="00E51755" w:rsidRDefault="00E51755">
      <w:pPr>
        <w:pStyle w:val="BodyText"/>
      </w:pPr>
      <w:r>
        <w:t>On the other hand, i</w:t>
      </w:r>
      <w:r w:rsidRPr="00183A38">
        <w:t>f the NoW</w:t>
      </w:r>
      <w:r>
        <w:t>O guarantee</w:t>
      </w:r>
      <w:r w:rsidRPr="00183A38">
        <w:t xml:space="preserve"> is allowed to expire, the $</w:t>
      </w:r>
      <w:r>
        <w:t>6 billion</w:t>
      </w:r>
      <w:r w:rsidRPr="00183A38">
        <w:t xml:space="preserve"> cost of servicing the current arrangement</w:t>
      </w:r>
      <w:r>
        <w:t xml:space="preserve"> </w:t>
      </w:r>
      <w:r w:rsidR="00097638">
        <w:t>–</w:t>
      </w:r>
      <w:r>
        <w:t xml:space="preserve"> </w:t>
      </w:r>
      <w:r w:rsidRPr="00183A38">
        <w:t xml:space="preserve">which largely goes towards </w:t>
      </w:r>
      <w:r>
        <w:t xml:space="preserve">Western Australia </w:t>
      </w:r>
      <w:r>
        <w:noBreakHyphen/>
      </w:r>
      <w:r w:rsidRPr="00183A38">
        <w:t xml:space="preserve"> will shift from the Australian Government to the </w:t>
      </w:r>
      <w:r>
        <w:t>other s</w:t>
      </w:r>
      <w:r w:rsidRPr="00183A38">
        <w:t>tates</w:t>
      </w:r>
      <w:r>
        <w:t xml:space="preserve">. </w:t>
      </w:r>
    </w:p>
    <w:p w14:paraId="3E206B54" w14:textId="77777777" w:rsidR="00E51755" w:rsidRDefault="00E51755">
      <w:pPr>
        <w:pStyle w:val="Heading4"/>
      </w:pPr>
      <w:r>
        <w:t>There have been minimal efficiency gains from the reforms</w:t>
      </w:r>
    </w:p>
    <w:p w14:paraId="7CC238DF" w14:textId="77777777" w:rsidR="00E51755" w:rsidRDefault="00E51755">
      <w:pPr>
        <w:pStyle w:val="BodyText"/>
      </w:pPr>
      <w:r w:rsidRPr="2D8CD701">
        <w:rPr>
          <w:lang w:eastAsia="en-AU"/>
        </w:rPr>
        <w:t xml:space="preserve">The </w:t>
      </w:r>
      <w:r>
        <w:rPr>
          <w:lang w:eastAsia="en-AU"/>
        </w:rPr>
        <w:t xml:space="preserve">greater the </w:t>
      </w:r>
      <w:r w:rsidRPr="2D8CD701">
        <w:rPr>
          <w:lang w:eastAsia="en-AU"/>
        </w:rPr>
        <w:t>extent to which a HFE system influences state government policy choices</w:t>
      </w:r>
      <w:r w:rsidRPr="4E731722">
        <w:rPr>
          <w:lang w:eastAsia="en-AU"/>
        </w:rPr>
        <w:t>,</w:t>
      </w:r>
      <w:r w:rsidRPr="2D8CD701">
        <w:rPr>
          <w:lang w:eastAsia="en-AU"/>
        </w:rPr>
        <w:t xml:space="preserve"> </w:t>
      </w:r>
      <w:r>
        <w:rPr>
          <w:lang w:eastAsia="en-AU"/>
        </w:rPr>
        <w:t>the lower its</w:t>
      </w:r>
      <w:r w:rsidRPr="2D8CD701">
        <w:rPr>
          <w:lang w:eastAsia="en-AU"/>
        </w:rPr>
        <w:t xml:space="preserve"> efficiency</w:t>
      </w:r>
      <w:r>
        <w:rPr>
          <w:lang w:eastAsia="en-AU"/>
        </w:rPr>
        <w:t xml:space="preserve">. </w:t>
      </w:r>
      <w:r w:rsidRPr="4E731722">
        <w:rPr>
          <w:lang w:eastAsia="en-AU"/>
        </w:rPr>
        <w:t>For this reason, the</w:t>
      </w:r>
      <w:r>
        <w:rPr>
          <w:lang w:eastAsia="en-AU"/>
        </w:rPr>
        <w:t xml:space="preserve"> CGC seeks to prevent a </w:t>
      </w:r>
      <w:r w:rsidRPr="2D8CD701">
        <w:rPr>
          <w:lang w:eastAsia="en-AU"/>
        </w:rPr>
        <w:t>state</w:t>
      </w:r>
      <w:r>
        <w:rPr>
          <w:lang w:eastAsia="en-AU"/>
        </w:rPr>
        <w:t xml:space="preserve"> </w:t>
      </w:r>
      <w:r w:rsidRPr="2D8CD701">
        <w:rPr>
          <w:lang w:eastAsia="en-AU"/>
        </w:rPr>
        <w:t>government</w:t>
      </w:r>
      <w:r>
        <w:rPr>
          <w:lang w:eastAsia="en-AU"/>
        </w:rPr>
        <w:t>’s</w:t>
      </w:r>
      <w:r w:rsidRPr="2D8CD701">
        <w:rPr>
          <w:lang w:eastAsia="en-AU"/>
        </w:rPr>
        <w:t xml:space="preserve"> policy choices</w:t>
      </w:r>
      <w:r>
        <w:rPr>
          <w:lang w:eastAsia="en-AU"/>
        </w:rPr>
        <w:t xml:space="preserve"> from unduly affecting its share of GST revenue. In the past, </w:t>
      </w:r>
      <w:r>
        <w:t xml:space="preserve">and during this review, concerns have been raised that the system of HFE creates disincentives for states to reform and grow their economies, because they could lose GST revenue. </w:t>
      </w:r>
    </w:p>
    <w:p w14:paraId="420CCE87" w14:textId="77777777" w:rsidR="00E51755" w:rsidRDefault="00E51755">
      <w:pPr>
        <w:spacing w:before="0" w:after="160" w:line="259" w:lineRule="auto"/>
      </w:pPr>
      <w:r>
        <w:br w:type="page"/>
      </w:r>
    </w:p>
    <w:p w14:paraId="005BF347" w14:textId="77777777" w:rsidR="00E51755" w:rsidRDefault="00E51755">
      <w:pPr>
        <w:pStyle w:val="BodyText"/>
      </w:pPr>
      <w:r>
        <w:lastRenderedPageBreak/>
        <w:t>New PC modelling for this review has found that the incentives for reform have only been marginally improved as a result of the 2018 reforms</w:t>
      </w:r>
      <w:r w:rsidRPr="004501FC">
        <w:t>,</w:t>
      </w:r>
      <w:r w:rsidRPr="00772015">
        <w:t xml:space="preserve"> </w:t>
      </w:r>
      <w:r>
        <w:t xml:space="preserve">as </w:t>
      </w:r>
      <w:r w:rsidRPr="00772015">
        <w:t>the</w:t>
      </w:r>
      <w:r>
        <w:t xml:space="preserve">y </w:t>
      </w:r>
      <w:r w:rsidRPr="00772015">
        <w:t>reduced dominant</w:t>
      </w:r>
      <w:r>
        <w:noBreakHyphen/>
      </w:r>
      <w:r w:rsidRPr="00772015">
        <w:t>state effects in the mining assessment in an untargeted way through an across</w:t>
      </w:r>
      <w:r>
        <w:noBreakHyphen/>
      </w:r>
      <w:r w:rsidRPr="00772015">
        <w:t>the</w:t>
      </w:r>
      <w:r>
        <w:noBreakHyphen/>
      </w:r>
      <w:r w:rsidRPr="00772015">
        <w:t>board GST relativity floor</w:t>
      </w:r>
      <w:r>
        <w:t>, but have a minimal impact outside those effects.</w:t>
      </w:r>
      <w:r w:rsidRPr="00201B0D">
        <w:rPr>
          <w:rStyle w:val="FootnoteReference"/>
        </w:rPr>
        <w:footnoteReference w:id="4"/>
      </w:r>
      <w:r>
        <w:t xml:space="preserve"> </w:t>
      </w:r>
    </w:p>
    <w:p w14:paraId="6290A34A" w14:textId="77777777" w:rsidR="00E51755" w:rsidRDefault="00E51755">
      <w:pPr>
        <w:pStyle w:val="BodyText"/>
      </w:pPr>
      <w:r>
        <w:t>To the extent disincentives for reform exist, there is limited evidence they have played a role in state policy decisions. Other fiscal tools are available outside the HFE system to mitigate any disincentives.</w:t>
      </w:r>
    </w:p>
    <w:p w14:paraId="61D52613" w14:textId="77777777" w:rsidR="00E51755" w:rsidRPr="003D5906" w:rsidRDefault="00E51755">
      <w:pPr>
        <w:pStyle w:val="BodyText"/>
        <w:rPr>
          <w:spacing w:val="-4"/>
        </w:rPr>
      </w:pPr>
      <w:r w:rsidRPr="003D5906">
        <w:rPr>
          <w:spacing w:val="-4"/>
        </w:rPr>
        <w:t>Overall, the 2018 reforms have made the GST distribution system more complex and less consistent with its core purpose. In doing so, the changes have created ongoing challenges for harmonious and productive federal financial relations and imposed a large and ongoing cost on the Australian Government.</w:t>
      </w:r>
    </w:p>
    <w:p w14:paraId="4922871C" w14:textId="77777777" w:rsidR="00E51755" w:rsidRPr="00BA129C" w:rsidRDefault="00E51755">
      <w:pPr>
        <w:pStyle w:val="Heading4"/>
        <w:rPr>
          <w:iCs w:val="0"/>
          <w:color w:val="207291" w:themeColor="text2" w:themeShade="BF"/>
          <w:sz w:val="26"/>
          <w:szCs w:val="37"/>
        </w:rPr>
      </w:pPr>
      <w:r w:rsidRPr="00BA129C">
        <w:rPr>
          <w:iCs w:val="0"/>
          <w:color w:val="207291" w:themeColor="text2" w:themeShade="BF"/>
          <w:sz w:val="26"/>
          <w:szCs w:val="37"/>
        </w:rPr>
        <w:t>The system needs to change</w:t>
      </w:r>
    </w:p>
    <w:p w14:paraId="4CA61FB4" w14:textId="77777777" w:rsidR="00E51755" w:rsidRDefault="00E51755">
      <w:pPr>
        <w:pStyle w:val="BodyText"/>
      </w:pPr>
      <w:r>
        <w:t>Taken together, these shortcomings point to a system that needs reform. As requested by the Australian Government, the PC has considered a number of alternatives. The PC has developed an analytical framework to consider alternative arrangements identified through submissions and a review of the literature. Developing such a framework requires clarity on what the HFE system should actually be seeking to achieve.</w:t>
      </w:r>
      <w:r w:rsidRPr="00201B0D">
        <w:rPr>
          <w:rStyle w:val="FootnoteReference"/>
        </w:rPr>
        <w:footnoteReference w:id="5"/>
      </w:r>
      <w:r>
        <w:t xml:space="preserve"> </w:t>
      </w:r>
    </w:p>
    <w:p w14:paraId="1C1B10C3" w14:textId="77777777" w:rsidR="00E51755" w:rsidRDefault="00E51755">
      <w:pPr>
        <w:pStyle w:val="BodyText"/>
      </w:pPr>
      <w:r>
        <w:t xml:space="preserve">Consistent with the broad views provided by states and other participants in this inquiry, the PC regards the reasonable level of fiscal equalisation to be that which can be achieved without creating costly challenges to efficiency (policy neutrality), fiscal sustainability and certainty that cannot be managed by other policy tools. </w:t>
      </w:r>
    </w:p>
    <w:p w14:paraId="555ED08C" w14:textId="234A4AB2" w:rsidR="00E51755" w:rsidRDefault="00E51755">
      <w:pPr>
        <w:pStyle w:val="BodyText"/>
      </w:pPr>
      <w:r>
        <w:t xml:space="preserve">This recognises that the primary goal of the HFE system should be to drive equity – or more precisely, drive equality of fiscal opportunity – between jurisdictions. The other objectives </w:t>
      </w:r>
      <w:r w:rsidR="002032E4">
        <w:t>–</w:t>
      </w:r>
      <w:r>
        <w:t xml:space="preserve"> efficiency, sustainability and certainty – are constraints on the extent to which HFE is pursued and achieved.</w:t>
      </w:r>
    </w:p>
    <w:p w14:paraId="31735E2E" w14:textId="77777777" w:rsidR="00E51755" w:rsidRDefault="00E51755">
      <w:pPr>
        <w:pStyle w:val="BodyText"/>
      </w:pPr>
      <w:r>
        <w:t>The PC applied this framework to consider the strength of a range of reform directions and different policy parameters. This analysis has led the PC to recommend 3 preliminary options for reform (presented in decreasing order of their assessed benefits).</w:t>
      </w:r>
    </w:p>
    <w:p w14:paraId="31F0E3F4" w14:textId="77777777" w:rsidR="00E51755" w:rsidRDefault="00E51755">
      <w:pPr>
        <w:pStyle w:val="ListBullet"/>
      </w:pPr>
      <w:r>
        <w:t xml:space="preserve">The </w:t>
      </w:r>
      <w:r w:rsidRPr="5699B321">
        <w:rPr>
          <w:b/>
          <w:bCs/>
        </w:rPr>
        <w:t>first</w:t>
      </w:r>
      <w:r>
        <w:rPr>
          <w:b/>
          <w:bCs/>
        </w:rPr>
        <w:noBreakHyphen/>
      </w:r>
      <w:r w:rsidRPr="5699B321">
        <w:rPr>
          <w:b/>
          <w:bCs/>
        </w:rPr>
        <w:t xml:space="preserve">best option </w:t>
      </w:r>
      <w:r>
        <w:t>is for the Australian Government to transition back to the pre</w:t>
      </w:r>
      <w:r>
        <w:noBreakHyphen/>
        <w:t>2018 GST distribution system, but with a direction from the Australian Treasurer to the CGC to address costly dominant</w:t>
      </w:r>
      <w:r>
        <w:noBreakHyphen/>
        <w:t>state effects where they arise. The PC envisages that dominant</w:t>
      </w:r>
      <w:r>
        <w:noBreakHyphen/>
        <w:t>state effects in the mining assessment would be one area where a direction from the Treasurer would occur.</w:t>
      </w:r>
    </w:p>
    <w:p w14:paraId="0165C7EF" w14:textId="77777777" w:rsidR="00E51755" w:rsidRDefault="00E51755">
      <w:pPr>
        <w:pStyle w:val="ListBullet"/>
      </w:pPr>
      <w:r>
        <w:t xml:space="preserve">The </w:t>
      </w:r>
      <w:r>
        <w:rPr>
          <w:b/>
          <w:bCs/>
        </w:rPr>
        <w:t>second</w:t>
      </w:r>
      <w:r>
        <w:rPr>
          <w:b/>
          <w:bCs/>
        </w:rPr>
        <w:noBreakHyphen/>
        <w:t>best option</w:t>
      </w:r>
      <w:r>
        <w:t>, which is less desirable but would still overcome the major shortcomings of the current system set out above, is to return to the pre</w:t>
      </w:r>
      <w:r>
        <w:noBreakHyphen/>
        <w:t>2018 system, but with a commitment from the Australian Government to make direct and transparent payments to states it considers to be materially impacted by dominant</w:t>
      </w:r>
      <w:r>
        <w:noBreakHyphen/>
        <w:t>state effects (instead of the Treasurer directing the CGC to account for these impacts ‘in</w:t>
      </w:r>
      <w:r>
        <w:noBreakHyphen/>
        <w:t>system’).</w:t>
      </w:r>
    </w:p>
    <w:p w14:paraId="38B3C975" w14:textId="77777777" w:rsidR="00E51755" w:rsidRDefault="00E51755">
      <w:pPr>
        <w:pStyle w:val="ListBullet"/>
      </w:pPr>
      <w:r>
        <w:lastRenderedPageBreak/>
        <w:t xml:space="preserve">The </w:t>
      </w:r>
      <w:r w:rsidRPr="00BA129C">
        <w:rPr>
          <w:b/>
          <w:bCs/>
        </w:rPr>
        <w:t>final</w:t>
      </w:r>
      <w:r>
        <w:t xml:space="preserve"> </w:t>
      </w:r>
      <w:r w:rsidRPr="56FF058E">
        <w:rPr>
          <w:b/>
          <w:bCs/>
        </w:rPr>
        <w:t>option</w:t>
      </w:r>
      <w:r>
        <w:t>, which should be considered if the Australian Government is only minded to make minimal and critical changes to the current system, is to remove the standard state benchmark (which would result in the relativity floor of 0.75 being reactivated). This option would have an enduring detrimental impact on the fiscal position of states other than Western Australia relative to the pre</w:t>
      </w:r>
      <w:r>
        <w:noBreakHyphen/>
        <w:t>2018 system. Therefore, if this option is adopted – and only if this option is adopted – the NoWO guarantee should be made permanent. The GST pool boost, which has failed to make all states better off, should also be removed. This would ensure that the Australian Government – rather than the states other than Western Australia – continues to bear the ongoing cost of its policy choice to change the system in 2018.</w:t>
      </w:r>
    </w:p>
    <w:p w14:paraId="644458BB" w14:textId="77777777" w:rsidR="00E51755" w:rsidRDefault="00E51755">
      <w:pPr>
        <w:pStyle w:val="BodyText"/>
      </w:pPr>
      <w:r>
        <w:t>Regardless of whether they pursue any of these reforms, the Australian Government should also take steps to address a number of governance issues to strengthen the stability and productivity of the broader federal financial relations system. These include:</w:t>
      </w:r>
    </w:p>
    <w:p w14:paraId="2D0CF153" w14:textId="77777777" w:rsidR="00E51755" w:rsidRDefault="00E51755">
      <w:pPr>
        <w:pStyle w:val="ListBullet"/>
      </w:pPr>
      <w:r>
        <w:t>ensuring that there is cross</w:t>
      </w:r>
      <w:r>
        <w:noBreakHyphen/>
        <w:t>jurisdictional consultation on any changes to the GST distribution system</w:t>
      </w:r>
    </w:p>
    <w:p w14:paraId="6492CC80" w14:textId="77777777" w:rsidR="00E51755" w:rsidRDefault="00E51755">
      <w:pPr>
        <w:pStyle w:val="ListBullet"/>
      </w:pPr>
      <w:r>
        <w:t>more regular engagement (through the Council on Federal Financial Relations) between the Australian Government Treasurer and their state counterparts, with a focus on future economic and fiscal challenges and how these may be addressed</w:t>
      </w:r>
    </w:p>
    <w:p w14:paraId="6EBC320C" w14:textId="77777777" w:rsidR="00E51755" w:rsidRDefault="00E51755">
      <w:pPr>
        <w:pStyle w:val="ListBullet"/>
      </w:pPr>
      <w:r>
        <w:t>more transparency in the treatment of non</w:t>
      </w:r>
      <w:r>
        <w:noBreakHyphen/>
        <w:t xml:space="preserve">GST Commonwealth payments in the HFE system. </w:t>
      </w:r>
    </w:p>
    <w:p w14:paraId="44D8F79C" w14:textId="77777777" w:rsidR="00E51755" w:rsidRDefault="00E51755">
      <w:r>
        <w:t>The PC recognises that recommendations in this report, if adopted, would substantially change the GST distribution and the broader federal financial relation system. Stakeholders will have the opportunity to share views on the merits of the PC’s interim recommendations and transitional issues through public hearings in September 2026, and we welcome further submissions to the inquiry on the PC’s proposals. This input will inform the PC’s final report, due to be provided to the Australian Government by 31 December 2026.</w:t>
      </w:r>
      <w:r w:rsidRPr="001170D5">
        <w:t xml:space="preserve"> </w:t>
      </w:r>
    </w:p>
    <w:p w14:paraId="52A0023F" w14:textId="77777777" w:rsidR="00E51755" w:rsidRDefault="00E51755">
      <w:pPr>
        <w:pStyle w:val="BodyText"/>
      </w:pPr>
    </w:p>
    <w:p w14:paraId="167DF5EB" w14:textId="77777777" w:rsidR="0007750C" w:rsidRDefault="0007750C" w:rsidP="00E76EEC">
      <w:pPr>
        <w:pStyle w:val="BodyText"/>
        <w:sectPr w:rsidR="0007750C" w:rsidSect="00E51755">
          <w:headerReference w:type="even" r:id="rId45"/>
          <w:headerReference w:type="default" r:id="rId46"/>
          <w:footerReference w:type="even" r:id="rId47"/>
          <w:footerReference w:type="default" r:id="rId48"/>
          <w:headerReference w:type="first" r:id="rId49"/>
          <w:footnotePr>
            <w:numRestart w:val="eachSect"/>
          </w:footnotePr>
          <w:type w:val="oddPage"/>
          <w:pgSz w:w="11906" w:h="16838" w:code="9"/>
          <w:pgMar w:top="1134" w:right="1134" w:bottom="1134" w:left="1134" w:header="794" w:footer="510" w:gutter="0"/>
          <w:pgNumType w:start="1"/>
          <w:cols w:space="708"/>
          <w:docGrid w:linePitch="360"/>
        </w:sectPr>
      </w:pPr>
    </w:p>
    <w:p w14:paraId="708B2272" w14:textId="77777777" w:rsidR="0007750C" w:rsidRDefault="0007750C" w:rsidP="003D5906">
      <w:pPr>
        <w:pStyle w:val="Heading1"/>
        <w:numPr>
          <w:ilvl w:val="0"/>
          <w:numId w:val="23"/>
        </w:numPr>
      </w:pPr>
      <w:bookmarkStart w:id="12" w:name="_Toc236904061"/>
      <w:r>
        <w:lastRenderedPageBreak/>
        <w:t>Horizontal Fiscal Equalisation in Australia</w:t>
      </w:r>
      <w:bookmarkEnd w:id="12"/>
    </w:p>
    <w:p w14:paraId="24B55A1D" w14:textId="577C8226" w:rsidR="0007750C" w:rsidRDefault="0007750C">
      <w:pPr>
        <w:pStyle w:val="BodyText"/>
      </w:pPr>
      <w:bookmarkStart w:id="13" w:name="_Toc234008086"/>
      <w:r>
        <w:t xml:space="preserve">Fiscal transfers from the Australian Government to state and territory governments (hereafter ‘states’) are critical to states’ ability to deliver the public services for which they are responsible. GST payments comprise around half of these transfers and totalled to $91.1 billion in 2024–25 </w:t>
      </w:r>
      <w:r w:rsidRPr="005713AC">
        <w:rPr>
          <w:rFonts w:cs="Open Sans"/>
        </w:rPr>
        <w:t>(Commonwealth of Australia 2025, p. 64)</w:t>
      </w:r>
      <w:r>
        <w:t xml:space="preserve">. The GST pool is distributed based on the principle of horizontal fiscal equalisation (HFE), which recognises and seeks to account for differences in states’ capacities to provide and fund public services. </w:t>
      </w:r>
    </w:p>
    <w:p w14:paraId="5C4ED72F" w14:textId="77777777" w:rsidR="0007750C" w:rsidRPr="00681C83" w:rsidRDefault="0007750C">
      <w:pPr>
        <w:pStyle w:val="BodyText"/>
      </w:pPr>
      <w:r>
        <w:t xml:space="preserve">The principle of HFE is a key and longstanding feature of Australia’s Federation. It is widely supported </w:t>
      </w:r>
      <w:r w:rsidRPr="00656E21">
        <w:t xml:space="preserve">for its objective of </w:t>
      </w:r>
      <w:r>
        <w:t xml:space="preserve">enabling </w:t>
      </w:r>
      <w:r w:rsidRPr="00656E21">
        <w:t xml:space="preserve">states to </w:t>
      </w:r>
      <w:r>
        <w:t>provide</w:t>
      </w:r>
      <w:r w:rsidRPr="00656E21">
        <w:t xml:space="preserve"> </w:t>
      </w:r>
      <w:r>
        <w:t>a similar standard of public services. However, the outcomes HFE creates when applied are often contested. Following the 2000s mining boom, the fiscal capacity of Western Australia – Australia’s most resource</w:t>
      </w:r>
      <w:r>
        <w:noBreakHyphen/>
        <w:t>rich jurisdiction – increased and diverged significantly from other states. GST payments to Western Australia decreased in recognition of its greater fiscal capacity, which strained community acceptance of the HFE system in the state. Political pressure from the Western Australian Government and public, alongside broader concerns that the HFE system could act as a barrier to state policy reform ultimately led the Australian Government to introduce reforms to the system in 2018. The context for these reforms is explored later in this chapter. The impact of these reforms on the HFE system is explored in chapter 2.</w:t>
      </w:r>
      <w:r w:rsidRPr="008D1E9D">
        <w:rPr>
          <w:color w:val="A22D2B"/>
          <w:sz w:val="24"/>
          <w:u w:val="dotted"/>
        </w:rPr>
        <w:t xml:space="preserve"> </w:t>
      </w:r>
    </w:p>
    <w:p w14:paraId="57A21F4F" w14:textId="77777777" w:rsidR="0007750C" w:rsidRPr="00A06240" w:rsidRDefault="0007750C">
      <w:pPr>
        <w:pStyle w:val="BodyText"/>
      </w:pPr>
      <w:r>
        <w:t xml:space="preserve">The supporting paper </w:t>
      </w:r>
      <w:r>
        <w:rPr>
          <w:i/>
          <w:iCs/>
        </w:rPr>
        <w:t xml:space="preserve">Understanding Australia’s system of fiscal transfers </w:t>
      </w:r>
      <w:r>
        <w:t>(hereafter ‘supporting paper’) provides a more detailed explanation of Australia’s HFE system.</w:t>
      </w:r>
    </w:p>
    <w:p w14:paraId="0197EF7F" w14:textId="77777777" w:rsidR="0007750C" w:rsidRDefault="0007750C" w:rsidP="001147D0">
      <w:pPr>
        <w:pStyle w:val="Heading2"/>
      </w:pPr>
      <w:bookmarkStart w:id="14" w:name="_Toc235447968"/>
      <w:bookmarkStart w:id="15" w:name="_Toc236904062"/>
      <w:r>
        <w:t>Australia’s system of fiscal transfers</w:t>
      </w:r>
      <w:bookmarkEnd w:id="13"/>
      <w:bookmarkEnd w:id="14"/>
      <w:bookmarkEnd w:id="15"/>
    </w:p>
    <w:p w14:paraId="3CCB8DCA" w14:textId="2ED76D87" w:rsidR="0007750C" w:rsidRPr="006844EC" w:rsidRDefault="0007750C">
      <w:pPr>
        <w:pStyle w:val="Heading3"/>
        <w:rPr>
          <w:spacing w:val="-2"/>
        </w:rPr>
      </w:pPr>
      <w:r w:rsidRPr="006844EC">
        <w:rPr>
          <w:spacing w:val="-2"/>
        </w:rPr>
        <w:t>States collect insufficient revenue to fund their policy responsibilities</w:t>
      </w:r>
      <w:r w:rsidR="006844EC" w:rsidRPr="006844EC">
        <w:rPr>
          <w:spacing w:val="-2"/>
        </w:rPr>
        <w:t xml:space="preserve"> </w:t>
      </w:r>
      <w:r w:rsidRPr="006844EC">
        <w:rPr>
          <w:spacing w:val="-2"/>
        </w:rPr>
        <w:t>…</w:t>
      </w:r>
    </w:p>
    <w:p w14:paraId="680B5021" w14:textId="7C0A812F" w:rsidR="0007750C" w:rsidRDefault="0007750C">
      <w:pPr>
        <w:pStyle w:val="BodyText"/>
      </w:pPr>
      <w:r>
        <w:t xml:space="preserve">Australia experiences vertical fiscal imbalance (VFI): the Australian Government raises more revenue than required to provide the services it is responsible for, while </w:t>
      </w:r>
      <w:r w:rsidRPr="00673107">
        <w:t>states</w:t>
      </w:r>
      <w:r>
        <w:t xml:space="preserve"> raise less revenue than required to fund their spending responsibilities (figure 1.1). For various constitutional and historical reasons, Australia experiences a high degree of VFI compared to similar federations like Canada and Germany </w:t>
      </w:r>
      <w:r w:rsidR="00546FEC" w:rsidRPr="00546FEC">
        <w:rPr>
          <w:rFonts w:cs="Open Sans"/>
        </w:rPr>
        <w:t>(CGC 2022c, p. 1)</w:t>
      </w:r>
      <w:r>
        <w:t>. This imbalance has persisted over time due to factors including policy decisions which consolidated revenue-raising at the national level, state policy choices about tax rates and bases, and High Court decisions which have constrained states’ ability to raise revenue.</w:t>
      </w:r>
      <w:r w:rsidRPr="00201B0D">
        <w:rPr>
          <w:rStyle w:val="FootnoteReference"/>
        </w:rPr>
        <w:footnoteReference w:id="6"/>
      </w:r>
    </w:p>
    <w:p w14:paraId="150DEDD0" w14:textId="4D358A2C" w:rsidR="0007750C" w:rsidRPr="00146382" w:rsidRDefault="0007750C">
      <w:pPr>
        <w:pStyle w:val="FigureTableHeading"/>
      </w:pPr>
      <w:r>
        <w:lastRenderedPageBreak/>
        <w:t xml:space="preserve">Figure </w:t>
      </w:r>
      <w:r>
        <w:fldChar w:fldCharType="begin"/>
      </w:r>
      <w:r>
        <w:instrText>STYLEREF 1 \s</w:instrText>
      </w:r>
      <w:r>
        <w:fldChar w:fldCharType="separate"/>
      </w:r>
      <w:r w:rsidR="009C08C4">
        <w:rPr>
          <w:noProof/>
        </w:rPr>
        <w:t>1</w:t>
      </w:r>
      <w:r>
        <w:fldChar w:fldCharType="end"/>
      </w:r>
      <w:r>
        <w:t>.</w:t>
      </w:r>
      <w:r>
        <w:fldChar w:fldCharType="begin"/>
      </w:r>
      <w:r>
        <w:instrText>SEQ Figure \* ARABIC \s 1</w:instrText>
      </w:r>
      <w:r>
        <w:fldChar w:fldCharType="separate"/>
      </w:r>
      <w:r w:rsidR="009C08C4">
        <w:rPr>
          <w:noProof/>
        </w:rPr>
        <w:t>1</w:t>
      </w:r>
      <w:r>
        <w:fldChar w:fldCharType="end"/>
      </w:r>
      <w:r>
        <w:rPr>
          <w:noProof/>
        </w:rPr>
        <w:t xml:space="preserve"> </w:t>
      </w:r>
      <w:r>
        <w:t>– The states raise insufficient revenue to meet their policy responsibilities</w:t>
      </w:r>
    </w:p>
    <w:p w14:paraId="526906A6" w14:textId="77777777" w:rsidR="0007750C" w:rsidRPr="00547734" w:rsidRDefault="0007750C">
      <w:pPr>
        <w:pStyle w:val="FigureTableSubheading"/>
        <w:keepLines/>
        <w:rPr>
          <w:spacing w:val="-4"/>
        </w:rPr>
      </w:pPr>
      <w:r w:rsidRPr="00547734">
        <w:rPr>
          <w:spacing w:val="-4"/>
        </w:rPr>
        <w:t>Difference between Australian Government own-source revenue and expenses, and combined state own-source revenue and expenses, 2014–15 to 2024–25, constant prices 2024–‍25 basis</w:t>
      </w:r>
    </w:p>
    <w:p w14:paraId="2230F017" w14:textId="77777777" w:rsidR="0007750C" w:rsidRPr="005550A0" w:rsidRDefault="0007750C">
      <w:pPr>
        <w:pStyle w:val="BodyText"/>
      </w:pPr>
      <w:r w:rsidRPr="007A35CD">
        <w:rPr>
          <w:noProof/>
        </w:rPr>
        <w:drawing>
          <wp:inline distT="0" distB="0" distL="0" distR="0" wp14:anchorId="2F5A0FC0" wp14:editId="2A0698EB">
            <wp:extent cx="6120130" cy="2875915"/>
            <wp:effectExtent l="0" t="0" r="0" b="0"/>
            <wp:docPr id="996983137" name="Picture 4" descr="Figure 1.1 – A column graph comparing the difference between Commonwealth Government own-source revenue and expenses, and combined state government own-source revenue and expenses between 2014-15 and 2024-15. The Commonwealth Government has raised more own-source revenue than required to meet its expenses in all years except 2020-21, while state governments have raised less own-source revenue than required to meet their expenses in all yea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983137" name="Picture 4" descr="Figure 1.1 – A column graph comparing the difference between Commonwealth Government own-source revenue and expenses, and combined state government own-source revenue and expenses between 2014-15 and 2024-15. The Commonwealth Government has raised more own-source revenue than required to meet its expenses in all years except 2020-21, while state governments have raised less own-source revenue than required to meet their expenses in all years. "/>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120130" cy="2875915"/>
                    </a:xfrm>
                    <a:prstGeom prst="rect">
                      <a:avLst/>
                    </a:prstGeom>
                    <a:noFill/>
                    <a:ln>
                      <a:noFill/>
                    </a:ln>
                  </pic:spPr>
                </pic:pic>
              </a:graphicData>
            </a:graphic>
          </wp:inline>
        </w:drawing>
      </w:r>
    </w:p>
    <w:p w14:paraId="4A775768" w14:textId="77777777" w:rsidR="0007750C" w:rsidRDefault="0007750C">
      <w:pPr>
        <w:pStyle w:val="Note"/>
      </w:pPr>
      <w:r>
        <w:t>Australian Government expenses exclude grant expenses to states.</w:t>
      </w:r>
    </w:p>
    <w:p w14:paraId="5F60FB55" w14:textId="1A9FC7CE" w:rsidR="0007750C" w:rsidRDefault="0007750C">
      <w:pPr>
        <w:pStyle w:val="Source"/>
      </w:pPr>
      <w:r w:rsidRPr="00696447">
        <w:t>Source:</w:t>
      </w:r>
      <w:r>
        <w:t xml:space="preserve"> PC estimates using ABS</w:t>
      </w:r>
      <w:r w:rsidRPr="00696447">
        <w:t xml:space="preserve"> </w:t>
      </w:r>
      <w:r w:rsidR="00546FEC" w:rsidRPr="00546FEC">
        <w:rPr>
          <w:rFonts w:cs="Open Sans"/>
        </w:rPr>
        <w:t>(2026a and various other years)</w:t>
      </w:r>
      <w:r>
        <w:t>.</w:t>
      </w:r>
    </w:p>
    <w:p w14:paraId="2696E1D1" w14:textId="77777777" w:rsidR="0007750C" w:rsidRDefault="0007750C">
      <w:pPr>
        <w:pStyle w:val="BodyText"/>
      </w:pPr>
      <w:r>
        <w:t xml:space="preserve">States also differ in their ability to fund policy responsibilities. This is known as horizontal fiscal imbalance (HFI): some states can raise revenue more easily or provide services more efficiently than others because of structural factors, such as resource endowments and the demographic composition of their populations. The supporting paper </w:t>
      </w:r>
      <w:r w:rsidRPr="00CD7C78">
        <w:t xml:space="preserve">contains </w:t>
      </w:r>
      <w:r>
        <w:t>further</w:t>
      </w:r>
      <w:r w:rsidRPr="00CD7C78">
        <w:t xml:space="preserve"> discussion of VFI and HFI in Australia</w:t>
      </w:r>
      <w:r>
        <w:t>.</w:t>
      </w:r>
    </w:p>
    <w:p w14:paraId="0561E506" w14:textId="77777777" w:rsidR="0007750C" w:rsidRPr="0078378A" w:rsidRDefault="0007750C">
      <w:pPr>
        <w:pStyle w:val="Heading3"/>
      </w:pPr>
      <w:r>
        <w:t>… so the Australian Government provides states with fiscal transfers</w:t>
      </w:r>
    </w:p>
    <w:p w14:paraId="179BBF58" w14:textId="5AA09DB8" w:rsidR="0007750C" w:rsidRPr="00D96377" w:rsidRDefault="0007750C">
      <w:pPr>
        <w:pStyle w:val="BodyText"/>
        <w:rPr>
          <w:spacing w:val="-2"/>
        </w:rPr>
      </w:pPr>
      <w:r w:rsidRPr="00D96377">
        <w:rPr>
          <w:spacing w:val="-2"/>
        </w:rPr>
        <w:t xml:space="preserve">The Australian Government provides grants to states each year to assist them in undertaking their policy responsibilities. In 2024–25, the total value of grants was $195 billion, equivalent to approximately 27% of total Australian Government revenue and 49% of total state revenue </w:t>
      </w:r>
      <w:r w:rsidR="00546FEC" w:rsidRPr="00D96377">
        <w:rPr>
          <w:rFonts w:cs="Open Sans"/>
          <w:spacing w:val="-2"/>
        </w:rPr>
        <w:t>(PC</w:t>
      </w:r>
      <w:r w:rsidR="00D96377" w:rsidRPr="00D96377">
        <w:rPr>
          <w:rFonts w:cs="Open Sans"/>
          <w:spacing w:val="-2"/>
        </w:rPr>
        <w:t> </w:t>
      </w:r>
      <w:r w:rsidR="00546FEC" w:rsidRPr="00D96377">
        <w:rPr>
          <w:rFonts w:cs="Open Sans"/>
          <w:spacing w:val="-2"/>
        </w:rPr>
        <w:t>estimates using ABS 2026a; Commonwealth of Australia 2025)</w:t>
      </w:r>
      <w:r w:rsidRPr="00D96377">
        <w:rPr>
          <w:spacing w:val="-2"/>
        </w:rPr>
        <w:t xml:space="preserve">. Australia has the largest transfers as a share of government revenue among OECD federations, reflecting Australia’s high degree of VFI (Dougherty and Forman 2021, p. 13). These grants supplement revenue raised by states from their own sources to better align states’ revenues with their service delivery responsibilities. They also ensure the benefits of decentralised governance are retained </w:t>
      </w:r>
      <w:r w:rsidR="00563D46" w:rsidRPr="00D96377">
        <w:rPr>
          <w:rFonts w:cs="Open Sans"/>
          <w:spacing w:val="-2"/>
        </w:rPr>
        <w:t>(CGC 2020a, p. 2)</w:t>
      </w:r>
      <w:r w:rsidRPr="00D96377">
        <w:rPr>
          <w:spacing w:val="-2"/>
        </w:rPr>
        <w:t xml:space="preserve">. </w:t>
      </w:r>
    </w:p>
    <w:p w14:paraId="4D08543B" w14:textId="77777777" w:rsidR="0007750C" w:rsidRPr="008D1222" w:rsidRDefault="0007750C">
      <w:pPr>
        <w:pStyle w:val="Heading4"/>
      </w:pPr>
      <w:r>
        <w:t>Tied grants are used to fund service delivery in specific policy areas</w:t>
      </w:r>
    </w:p>
    <w:p w14:paraId="53943D4A" w14:textId="1CF50136" w:rsidR="0007750C" w:rsidRDefault="0007750C">
      <w:pPr>
        <w:pStyle w:val="BodyText"/>
      </w:pPr>
      <w:r>
        <w:t>I</w:t>
      </w:r>
      <w:r w:rsidRPr="00BC2AFF">
        <w:t>n 2024</w:t>
      </w:r>
      <w:r>
        <w:t>–</w:t>
      </w:r>
      <w:r w:rsidRPr="00BC2AFF">
        <w:t>25</w:t>
      </w:r>
      <w:r>
        <w:t>,</w:t>
      </w:r>
      <w:r w:rsidRPr="00BC2AFF">
        <w:t xml:space="preserve"> </w:t>
      </w:r>
      <w:r>
        <w:t>t</w:t>
      </w:r>
      <w:r w:rsidRPr="00BC2AFF">
        <w:t xml:space="preserve">he </w:t>
      </w:r>
      <w:r>
        <w:t>Australian Government</w:t>
      </w:r>
      <w:r w:rsidRPr="00BC2AFF">
        <w:t xml:space="preserve"> provided </w:t>
      </w:r>
      <w:r>
        <w:t>about</w:t>
      </w:r>
      <w:r w:rsidRPr="00BC2AFF">
        <w:t xml:space="preserve"> $97.4</w:t>
      </w:r>
      <w:r>
        <w:t> </w:t>
      </w:r>
      <w:r w:rsidRPr="00BC2AFF">
        <w:t xml:space="preserve">billion in </w:t>
      </w:r>
      <w:r>
        <w:t>tied grants to states,</w:t>
      </w:r>
      <w:r w:rsidRPr="00BC2AFF">
        <w:t xml:space="preserve"> </w:t>
      </w:r>
      <w:r>
        <w:t xml:space="preserve">accounting for approximately </w:t>
      </w:r>
      <w:r w:rsidRPr="00573D08">
        <w:t>half of total grants</w:t>
      </w:r>
      <w:r w:rsidRPr="001A14D1">
        <w:t xml:space="preserve"> </w:t>
      </w:r>
      <w:r w:rsidRPr="005713AC">
        <w:rPr>
          <w:rFonts w:cs="Open Sans"/>
        </w:rPr>
        <w:t>(PC estimates using Commonwealth of Australia 2025)</w:t>
      </w:r>
      <w:r w:rsidRPr="001A14D1">
        <w:t>.</w:t>
      </w:r>
      <w:r>
        <w:t xml:space="preserve"> Tied grants are payments to states that must be used for pre-agreed purposes and are usually made in policy areas where the states are primarily responsible for service delivery (such as health, education or infrastructure) </w:t>
      </w:r>
      <w:r w:rsidRPr="005713AC">
        <w:rPr>
          <w:rFonts w:cs="Open Sans"/>
        </w:rPr>
        <w:t>(Commonwealth of Australia 2025, p. 60)</w:t>
      </w:r>
      <w:r>
        <w:t xml:space="preserve">. </w:t>
      </w:r>
    </w:p>
    <w:p w14:paraId="79002243" w14:textId="77777777" w:rsidR="0007750C" w:rsidRDefault="0007750C">
      <w:pPr>
        <w:pStyle w:val="BodyText"/>
      </w:pPr>
      <w:r>
        <w:t xml:space="preserve">These tied grants are negotiated between the Australian Government and states to support, incentivise or reward the delivery of a particular service, project, or reform by the states (chapter 5). </w:t>
      </w:r>
    </w:p>
    <w:p w14:paraId="152F5123" w14:textId="77777777" w:rsidR="0007750C" w:rsidRDefault="0007750C">
      <w:pPr>
        <w:pStyle w:val="BodyText"/>
      </w:pPr>
      <w:r>
        <w:lastRenderedPageBreak/>
        <w:t xml:space="preserve">While other factors play a role in negotiations, the quantum of tied grants is primarily driven by the cost (or value) of achieving the agreed outcomes, and not the broader fiscal circumstances of states. This means that a state’s fiscal capacity, or its capacity to raise revenue to deliver public services, </w:t>
      </w:r>
      <w:r w:rsidRPr="00573D08">
        <w:t>is not necessarily indicative of how much it receives in tied grants (supporting paper, section 3).</w:t>
      </w:r>
      <w:r>
        <w:t xml:space="preserve"> </w:t>
      </w:r>
    </w:p>
    <w:p w14:paraId="53487BAA" w14:textId="77777777" w:rsidR="0007750C" w:rsidRDefault="0007750C">
      <w:pPr>
        <w:pStyle w:val="Heading4"/>
      </w:pPr>
      <w:r>
        <w:t>The GST pool – the primary source of untied grants – is distributed with the intent of delivering HFE</w:t>
      </w:r>
    </w:p>
    <w:p w14:paraId="1EBCFB55" w14:textId="581479E0" w:rsidR="0007750C" w:rsidRPr="007315A5" w:rsidRDefault="0007750C">
      <w:pPr>
        <w:pStyle w:val="BodyText"/>
      </w:pPr>
      <w:r w:rsidRPr="007315A5">
        <w:t xml:space="preserve">The </w:t>
      </w:r>
      <w:r>
        <w:t>Australian Government</w:t>
      </w:r>
      <w:r w:rsidRPr="007315A5">
        <w:t xml:space="preserve"> also provides untied grants, which states </w:t>
      </w:r>
      <w:r>
        <w:t xml:space="preserve">have greater autonomy </w:t>
      </w:r>
      <w:r w:rsidRPr="007315A5">
        <w:t xml:space="preserve">to spend according to their own budget priorities </w:t>
      </w:r>
      <w:r w:rsidRPr="005713AC">
        <w:rPr>
          <w:rFonts w:cs="Open Sans"/>
        </w:rPr>
        <w:t>(Commonwealth of Australia 2025, p. 64)</w:t>
      </w:r>
      <w:r w:rsidRPr="007315A5">
        <w:t xml:space="preserve">. Most untied funding is delivered through the distribution of </w:t>
      </w:r>
      <w:r>
        <w:t xml:space="preserve">the </w:t>
      </w:r>
      <w:r w:rsidRPr="007315A5">
        <w:t>GST</w:t>
      </w:r>
      <w:r>
        <w:t xml:space="preserve"> pool</w:t>
      </w:r>
      <w:r w:rsidRPr="007315A5">
        <w:t>,</w:t>
      </w:r>
      <w:r w:rsidRPr="00201B0D">
        <w:rPr>
          <w:rStyle w:val="FootnoteReference"/>
        </w:rPr>
        <w:footnoteReference w:id="7"/>
      </w:r>
      <w:r w:rsidRPr="007315A5">
        <w:t xml:space="preserve"> which is </w:t>
      </w:r>
      <w:r>
        <w:t>an Australian Government</w:t>
      </w:r>
      <w:r w:rsidRPr="007315A5">
        <w:t xml:space="preserve"> </w:t>
      </w:r>
      <w:r>
        <w:t xml:space="preserve">tax that is </w:t>
      </w:r>
      <w:r w:rsidRPr="007315A5">
        <w:t>passed on</w:t>
      </w:r>
      <w:r>
        <w:t xml:space="preserve"> </w:t>
      </w:r>
      <w:r w:rsidRPr="007315A5">
        <w:t>to the states. In 2024</w:t>
      </w:r>
      <w:r>
        <w:t>–</w:t>
      </w:r>
      <w:r w:rsidRPr="007315A5">
        <w:t xml:space="preserve">25, states received $97.3 billion in untied funding, of which </w:t>
      </w:r>
      <w:r w:rsidRPr="00573D08">
        <w:t>$91.2 billion,</w:t>
      </w:r>
      <w:r w:rsidRPr="007315A5">
        <w:t xml:space="preserve"> or 94%, was GST payments </w:t>
      </w:r>
      <w:r w:rsidRPr="005713AC">
        <w:rPr>
          <w:rFonts w:cs="Open Sans"/>
        </w:rPr>
        <w:t>(PC estimates using Commonwealth of Australia 2025, p. 64)</w:t>
      </w:r>
      <w:r w:rsidRPr="007315A5">
        <w:t xml:space="preserve">. </w:t>
      </w:r>
    </w:p>
    <w:p w14:paraId="5302A5CC" w14:textId="02B83127" w:rsidR="0007750C" w:rsidRPr="00DF5A1C" w:rsidRDefault="0007750C">
      <w:pPr>
        <w:pStyle w:val="BodyText"/>
        <w:rPr>
          <w:spacing w:val="-4"/>
        </w:rPr>
      </w:pPr>
      <w:r w:rsidRPr="00DF5A1C">
        <w:rPr>
          <w:spacing w:val="-4"/>
        </w:rPr>
        <w:t xml:space="preserve">The GST pool is distributed to the states with the explicit intent of delivering HFE. HFE involves the transfer of financial resources to and between subnational governments with the aim of mitigating regional differences in fiscal capacity and expenditure needs (Dougherty and Forman 2021, p. 5). States have different fiscal capacities because of differences in their ability to raise revenue from their own sources and differences in the expenditure needs of their populations. Australia’s HFE system seeks to address HFI by providing states with the fiscal capacity to deliver public services of a similar standard </w:t>
      </w:r>
      <w:r w:rsidR="00546FEC" w:rsidRPr="00DF5A1C">
        <w:rPr>
          <w:rFonts w:cs="Open Sans"/>
          <w:spacing w:val="-4"/>
        </w:rPr>
        <w:t>(CGC 2025f, p. 231)</w:t>
      </w:r>
      <w:r w:rsidRPr="00DF5A1C">
        <w:rPr>
          <w:spacing w:val="-4"/>
        </w:rPr>
        <w:t>.</w:t>
      </w:r>
      <w:r w:rsidRPr="00DF5A1C">
        <w:rPr>
          <w:rStyle w:val="FootnoteReference"/>
          <w:spacing w:val="-4"/>
        </w:rPr>
        <w:footnoteReference w:id="8"/>
      </w:r>
      <w:r w:rsidRPr="00DF5A1C">
        <w:rPr>
          <w:spacing w:val="-4"/>
        </w:rPr>
        <w:t xml:space="preserve"> Without HFE, the capacity of states to provide a similar standard of services would depend on structural factors, such as the demographic makeup of the population or resource endowments.</w:t>
      </w:r>
    </w:p>
    <w:p w14:paraId="279F6C9C" w14:textId="77777777" w:rsidR="0007750C" w:rsidRPr="007315A5" w:rsidRDefault="0007750C">
      <w:pPr>
        <w:pStyle w:val="BodyText"/>
      </w:pPr>
      <w:r w:rsidRPr="007315A5">
        <w:t xml:space="preserve">In practice, </w:t>
      </w:r>
      <w:r>
        <w:t xml:space="preserve">HFE </w:t>
      </w:r>
      <w:r w:rsidRPr="007315A5">
        <w:t xml:space="preserve">means that states with a relatively lower fiscal capacity </w:t>
      </w:r>
      <w:r>
        <w:t>–</w:t>
      </w:r>
      <w:r w:rsidRPr="007315A5">
        <w:t xml:space="preserve"> because of higher</w:t>
      </w:r>
      <w:r>
        <w:t xml:space="preserve"> </w:t>
      </w:r>
      <w:r w:rsidRPr="007315A5">
        <w:t xml:space="preserve">costs of delivering services and/or </w:t>
      </w:r>
      <w:r>
        <w:t xml:space="preserve">a </w:t>
      </w:r>
      <w:r w:rsidRPr="007315A5">
        <w:t xml:space="preserve">lower capacity to raise revenue (including from other </w:t>
      </w:r>
      <w:r>
        <w:t xml:space="preserve">non-GST </w:t>
      </w:r>
      <w:r w:rsidRPr="007315A5">
        <w:t>Commonwealth</w:t>
      </w:r>
      <w:r>
        <w:t xml:space="preserve"> payments</w:t>
      </w:r>
      <w:r w:rsidRPr="007315A5">
        <w:t xml:space="preserve">) </w:t>
      </w:r>
      <w:r>
        <w:t xml:space="preserve">– receive a greater share of the </w:t>
      </w:r>
      <w:r w:rsidRPr="007315A5">
        <w:t xml:space="preserve">GST </w:t>
      </w:r>
      <w:r>
        <w:t xml:space="preserve">pool </w:t>
      </w:r>
      <w:r w:rsidRPr="007315A5">
        <w:t xml:space="preserve">to supplement </w:t>
      </w:r>
      <w:r>
        <w:t xml:space="preserve">their other </w:t>
      </w:r>
      <w:r w:rsidRPr="007315A5">
        <w:t xml:space="preserve">revenue than states with a relatively higher fiscal capacity (figure 1.2). </w:t>
      </w:r>
    </w:p>
    <w:p w14:paraId="2A166CEC" w14:textId="49DE1C25" w:rsidR="0007750C" w:rsidRDefault="0007750C">
      <w:pPr>
        <w:pStyle w:val="FigureTableHeading"/>
      </w:pPr>
      <w:r>
        <w:lastRenderedPageBreak/>
        <w:t xml:space="preserve">Figure </w:t>
      </w:r>
      <w:r>
        <w:fldChar w:fldCharType="begin"/>
      </w:r>
      <w:r>
        <w:instrText>STYLEREF 1 \s</w:instrText>
      </w:r>
      <w:r>
        <w:fldChar w:fldCharType="separate"/>
      </w:r>
      <w:r w:rsidR="009C08C4">
        <w:rPr>
          <w:noProof/>
        </w:rPr>
        <w:t>1</w:t>
      </w:r>
      <w:r>
        <w:fldChar w:fldCharType="end"/>
      </w:r>
      <w:r>
        <w:t>.</w:t>
      </w:r>
      <w:r>
        <w:fldChar w:fldCharType="begin"/>
      </w:r>
      <w:r>
        <w:instrText>SEQ Figure \* ARABIC \s 1</w:instrText>
      </w:r>
      <w:r>
        <w:fldChar w:fldCharType="separate"/>
      </w:r>
      <w:r w:rsidR="009C08C4">
        <w:rPr>
          <w:noProof/>
        </w:rPr>
        <w:t>2</w:t>
      </w:r>
      <w:r>
        <w:fldChar w:fldCharType="end"/>
      </w:r>
      <w:r>
        <w:rPr>
          <w:noProof/>
        </w:rPr>
        <w:t xml:space="preserve"> </w:t>
      </w:r>
      <w:r>
        <w:t xml:space="preserve">– The importance of GST payments varies between states </w:t>
      </w:r>
    </w:p>
    <w:p w14:paraId="395D61D1" w14:textId="77777777" w:rsidR="0007750C" w:rsidRDefault="0007750C">
      <w:pPr>
        <w:pStyle w:val="FigureTableSubheading"/>
        <w:keepLines/>
      </w:pPr>
      <w:r>
        <w:t>Average contribution of own-source revenue, non-GST payments and GST payments to total state revenue, 2000–01 to 2024–25</w:t>
      </w:r>
    </w:p>
    <w:p w14:paraId="4E7E5EB9" w14:textId="77777777" w:rsidR="0007750C" w:rsidRPr="00146382" w:rsidRDefault="0007750C" w:rsidP="00F612C4">
      <w:pPr>
        <w:pStyle w:val="BodyText"/>
      </w:pPr>
      <w:r w:rsidRPr="007A27D8">
        <w:rPr>
          <w:noProof/>
        </w:rPr>
        <w:drawing>
          <wp:inline distT="0" distB="0" distL="0" distR="0" wp14:anchorId="7FCADD5F" wp14:editId="375B2F69">
            <wp:extent cx="6120130" cy="2875915"/>
            <wp:effectExtent l="0" t="0" r="0" b="0"/>
            <wp:docPr id="997234770" name="Picture 5" descr="Figure 1.2 – A stacked column graph showing the contribution of own-source revenue, non-GST Commonwealth payments and GST payments to total state revenue for all states between 2000-01 and 2024-25. Own-source revenue makes up more than half of NSW, VIC, QLD, WA and the ACT’s total revenue, whereas more than half of SA, TAS and the NT’s total revenue is comprised of Commonwealth payments, including G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234770" name="Picture 5" descr="Figure 1.2 – A stacked column graph showing the contribution of own-source revenue, non-GST Commonwealth payments and GST payments to total state revenue for all states between 2000-01 and 2024-25. Own-source revenue makes up more than half of NSW, VIC, QLD, WA and the ACT’s total revenue, whereas more than half of SA, TAS and the NT’s total revenue is comprised of Commonwealth payments, including GST."/>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20130" cy="2875915"/>
                    </a:xfrm>
                    <a:prstGeom prst="rect">
                      <a:avLst/>
                    </a:prstGeom>
                    <a:noFill/>
                    <a:ln>
                      <a:noFill/>
                    </a:ln>
                  </pic:spPr>
                </pic:pic>
              </a:graphicData>
            </a:graphic>
          </wp:inline>
        </w:drawing>
      </w:r>
    </w:p>
    <w:p w14:paraId="6104CA34" w14:textId="7402AFFB" w:rsidR="0007750C" w:rsidRDefault="0007750C">
      <w:pPr>
        <w:pStyle w:val="Note"/>
        <w:keepLines/>
      </w:pPr>
      <w:r>
        <w:t>All non-GST general revenue assistance (including payments under the No Worse</w:t>
      </w:r>
      <w:r w:rsidR="005633BF">
        <w:t xml:space="preserve"> </w:t>
      </w:r>
      <w:r>
        <w:t xml:space="preserve">Off guarantee and GST transitional top-up payments) are included in non-GST payments. </w:t>
      </w:r>
    </w:p>
    <w:p w14:paraId="0FCE156B" w14:textId="62B7B337" w:rsidR="0007750C" w:rsidRPr="00BC2AFF" w:rsidRDefault="0007750C" w:rsidP="008A5BC3">
      <w:pPr>
        <w:pStyle w:val="Source"/>
      </w:pPr>
      <w:r w:rsidRPr="00696447">
        <w:t>Source:</w:t>
      </w:r>
      <w:r>
        <w:t xml:space="preserve"> PC estimates using ABS </w:t>
      </w:r>
      <w:r w:rsidR="00546FEC" w:rsidRPr="00546FEC">
        <w:rPr>
          <w:rFonts w:cs="Open Sans"/>
        </w:rPr>
        <w:t>(2026a)</w:t>
      </w:r>
      <w:r>
        <w:t xml:space="preserve"> and Commonwealth of Australia</w:t>
      </w:r>
      <w:r w:rsidRPr="00696447">
        <w:t xml:space="preserve"> </w:t>
      </w:r>
      <w:r w:rsidRPr="006C46A3">
        <w:rPr>
          <w:rFonts w:cs="Open Sans"/>
        </w:rPr>
        <w:t>(2025 and various other years)</w:t>
      </w:r>
      <w:r>
        <w:t>.</w:t>
      </w:r>
    </w:p>
    <w:p w14:paraId="70186C41" w14:textId="77777777" w:rsidR="0007750C" w:rsidRDefault="0007750C">
      <w:pPr>
        <w:pStyle w:val="Heading3"/>
      </w:pPr>
      <w:r>
        <w:t>Australia chooses to undertake HFE for several reasons</w:t>
      </w:r>
    </w:p>
    <w:p w14:paraId="73FDF744" w14:textId="68A2201E" w:rsidR="0007750C" w:rsidRDefault="0007750C">
      <w:pPr>
        <w:pStyle w:val="BodyText"/>
      </w:pPr>
      <w:r>
        <w:t xml:space="preserve">HFE supports </w:t>
      </w:r>
      <w:r w:rsidRPr="468A8F42">
        <w:rPr>
          <w:b/>
          <w:bCs/>
        </w:rPr>
        <w:t xml:space="preserve">equality of </w:t>
      </w:r>
      <w:r>
        <w:rPr>
          <w:b/>
          <w:bCs/>
        </w:rPr>
        <w:t xml:space="preserve">fiscal </w:t>
      </w:r>
      <w:r w:rsidRPr="468A8F42">
        <w:rPr>
          <w:b/>
          <w:bCs/>
        </w:rPr>
        <w:t>opportunity</w:t>
      </w:r>
      <w:r>
        <w:t xml:space="preserve"> by supporting the ability of states to provide a similar level and quality of public services to citizens, regardless of the state in which they reside </w:t>
      </w:r>
      <w:r w:rsidRPr="009F3A67">
        <w:t xml:space="preserve">(chapter </w:t>
      </w:r>
      <w:r>
        <w:t>3</w:t>
      </w:r>
      <w:r w:rsidRPr="009F3A67">
        <w:t>).</w:t>
      </w:r>
      <w:r>
        <w:t xml:space="preserve"> This objective was widely supported by inquiry participants.</w:t>
      </w:r>
      <w:r w:rsidRPr="00201B0D">
        <w:rPr>
          <w:rStyle w:val="FootnoteReference"/>
        </w:rPr>
        <w:footnoteReference w:id="9"/>
      </w:r>
      <w:r>
        <w:t xml:space="preserve"> To the extent that HFE </w:t>
      </w:r>
      <w:r w:rsidRPr="474FFF6E">
        <w:rPr>
          <w:i/>
          <w:iCs/>
        </w:rPr>
        <w:t xml:space="preserve">actually </w:t>
      </w:r>
      <w:r>
        <w:t xml:space="preserve">reduces geographical differences (as opposed to providing states with the capacity to do so), it may also have broad positive implications for </w:t>
      </w:r>
      <w:r w:rsidRPr="468A8F42">
        <w:rPr>
          <w:b/>
          <w:bCs/>
        </w:rPr>
        <w:t xml:space="preserve">social cohesion </w:t>
      </w:r>
      <w:r>
        <w:t>as access to high</w:t>
      </w:r>
      <w:r>
        <w:noBreakHyphen/>
        <w:t xml:space="preserve">quality public services can reduce the negative consequences of income and wealth inequality and foster upward </w:t>
      </w:r>
      <w:r w:rsidRPr="0072321D">
        <w:t xml:space="preserve">mobility </w:t>
      </w:r>
      <w:r w:rsidRPr="007E78C7">
        <w:rPr>
          <w:rFonts w:cs="Open Sans"/>
          <w:szCs w:val="24"/>
        </w:rPr>
        <w:t>(OECD 2015, p. 80, 2025, pp. 1, 7–12; Verbist et al. 2012, p. 62)</w:t>
      </w:r>
      <w:r w:rsidRPr="0072321D">
        <w:t>.</w:t>
      </w:r>
      <w:r>
        <w:t xml:space="preserve"> This finding was also supported by several participants in this inquiry, who noted the role HFE plays in promoting </w:t>
      </w:r>
      <w:r w:rsidRPr="468A8F42">
        <w:rPr>
          <w:b/>
          <w:bCs/>
        </w:rPr>
        <w:t>national cohesion</w:t>
      </w:r>
      <w:r>
        <w:t>.</w:t>
      </w:r>
      <w:r w:rsidRPr="00201B0D">
        <w:rPr>
          <w:rStyle w:val="FootnoteReference"/>
        </w:rPr>
        <w:footnoteReference w:id="10"/>
      </w:r>
    </w:p>
    <w:p w14:paraId="7103DD11" w14:textId="756CA2BF" w:rsidR="0007750C" w:rsidRDefault="0007750C">
      <w:pPr>
        <w:pStyle w:val="BodyText"/>
      </w:pPr>
      <w:r>
        <w:t xml:space="preserve">By recognising changes in states’ relative fiscal capacities, HFE can help to </w:t>
      </w:r>
      <w:r w:rsidRPr="007F6856">
        <w:t>cushion state budgets</w:t>
      </w:r>
      <w:r>
        <w:t xml:space="preserve"> from localised economic downturns and therefore can act as a </w:t>
      </w:r>
      <w:r>
        <w:rPr>
          <w:b/>
        </w:rPr>
        <w:t>fiscal</w:t>
      </w:r>
      <w:r w:rsidRPr="00193F84">
        <w:rPr>
          <w:b/>
        </w:rPr>
        <w:t xml:space="preserve"> stabiliser</w:t>
      </w:r>
      <w:r>
        <w:t xml:space="preserve"> in a federation where states do not have their own exchange rate or monetary poli</w:t>
      </w:r>
      <w:r w:rsidRPr="0072321D">
        <w:t xml:space="preserve">cy </w:t>
      </w:r>
      <w:r w:rsidRPr="00182969">
        <w:rPr>
          <w:rFonts w:cs="Open Sans"/>
          <w:szCs w:val="24"/>
        </w:rPr>
        <w:t>(Asdrubali et al. 1996, p. 1082,1092; PC 2018, p. 132; Smart 2004, pp. 197–198)</w:t>
      </w:r>
      <w:r w:rsidRPr="0072321D">
        <w:t>.</w:t>
      </w:r>
      <w:r>
        <w:t xml:space="preserve"> </w:t>
      </w:r>
    </w:p>
    <w:p w14:paraId="36B807A0" w14:textId="372E16DC" w:rsidR="0007750C" w:rsidRPr="00EF6DB2" w:rsidRDefault="0007750C">
      <w:pPr>
        <w:pStyle w:val="BodyText"/>
      </w:pPr>
      <w:r>
        <w:t xml:space="preserve">HFE may also enhance the </w:t>
      </w:r>
      <w:r w:rsidRPr="00193F84">
        <w:rPr>
          <w:b/>
        </w:rPr>
        <w:t>efficient</w:t>
      </w:r>
      <w:r w:rsidR="003F4439">
        <w:rPr>
          <w:b/>
        </w:rPr>
        <w:t xml:space="preserve"> </w:t>
      </w:r>
      <w:r w:rsidRPr="00193F84">
        <w:rPr>
          <w:b/>
        </w:rPr>
        <w:t>distribution of productive resources</w:t>
      </w:r>
      <w:r>
        <w:t xml:space="preserve"> across Australia by neutralising some of the distortionary incentives for people to migrate based on the fiscal benefits a </w:t>
      </w:r>
      <w:r>
        <w:lastRenderedPageBreak/>
        <w:t xml:space="preserve">state can offer (such as lower taxes or better funded services) rather than genuine economic </w:t>
      </w:r>
      <w:r w:rsidRPr="0072321D">
        <w:t xml:space="preserve">opportunities </w:t>
      </w:r>
      <w:r w:rsidRPr="002453C8">
        <w:rPr>
          <w:rFonts w:cs="Open Sans"/>
          <w:szCs w:val="24"/>
        </w:rPr>
        <w:t>(Chris Murphy, sub. 45, p. 24; Buchanan 1950, p. 589; Murphy 2018, p. 9)</w:t>
      </w:r>
      <w:r w:rsidRPr="0072321D">
        <w:t xml:space="preserve">. However, </w:t>
      </w:r>
      <w:r>
        <w:t xml:space="preserve">it is important to note that </w:t>
      </w:r>
      <w:r w:rsidRPr="0072321D">
        <w:t xml:space="preserve">this </w:t>
      </w:r>
      <w:r>
        <w:t>justification</w:t>
      </w:r>
      <w:r w:rsidRPr="0072321D" w:rsidDel="00C932AB">
        <w:t xml:space="preserve"> </w:t>
      </w:r>
      <w:r w:rsidRPr="0072321D">
        <w:t>is contested</w:t>
      </w:r>
      <w:r>
        <w:t>,</w:t>
      </w:r>
      <w:r w:rsidRPr="0072321D">
        <w:t xml:space="preserve"> </w:t>
      </w:r>
      <w:r>
        <w:t xml:space="preserve">with an alternative view holding that through dissuading migration to locations where public services can be provided at a relatively lower cost, HFE detracts from the efficient distribution of labour </w:t>
      </w:r>
      <w:r w:rsidRPr="00A55D80">
        <w:rPr>
          <w:rFonts w:cs="Open Sans"/>
          <w:szCs w:val="24"/>
        </w:rPr>
        <w:t>(NSW Government, sub. 61, p. 8; Garnaut and Fitzgerald 2002, p. 134; OECD 2013, p. 111)</w:t>
      </w:r>
      <w:r>
        <w:t>.</w:t>
      </w:r>
      <w:r w:rsidRPr="0072321D">
        <w:t xml:space="preserve"> </w:t>
      </w:r>
      <w:r>
        <w:t>T</w:t>
      </w:r>
      <w:r w:rsidRPr="0072321D">
        <w:t>here is limited empirical evidence in the</w:t>
      </w:r>
      <w:r>
        <w:t xml:space="preserve"> Australian context demonstrating the impact of HFE on the efficient distribution of resources, either positive or negative. The supporting paper discusses these justifications for undertaking HFE in more detail.</w:t>
      </w:r>
    </w:p>
    <w:p w14:paraId="4D0958BF" w14:textId="77777777" w:rsidR="0007750C" w:rsidRDefault="0007750C">
      <w:pPr>
        <w:pStyle w:val="Heading3"/>
      </w:pPr>
      <w:r>
        <w:t>The introduction of the GST linked the HFE system to a single revenue source</w:t>
      </w:r>
    </w:p>
    <w:p w14:paraId="7A9E6622" w14:textId="77777777" w:rsidR="0007750C" w:rsidRDefault="0007750C">
      <w:pPr>
        <w:pStyle w:val="BodyText"/>
      </w:pPr>
      <w:r>
        <w:t>HFE has taken various forms throughout the history of Australia’s Federation (</w:t>
      </w:r>
      <w:r w:rsidRPr="008641D1">
        <w:t>supporting</w:t>
      </w:r>
      <w:r>
        <w:t> </w:t>
      </w:r>
      <w:r w:rsidRPr="008641D1">
        <w:t>paper</w:t>
      </w:r>
      <w:r>
        <w:t>, section 5). From the 1970s, the HFE system was effectively a constant</w:t>
      </w:r>
      <w:r>
        <w:noBreakHyphen/>
        <w:t>sum game, whereby additional funding given to one state meant the same amount was foregone by the other states. States negotiated the size of the pool of funds used for HFE with the Australian Government each year.</w:t>
      </w:r>
    </w:p>
    <w:p w14:paraId="29C122E2" w14:textId="0DEBC95B" w:rsidR="0007750C" w:rsidRDefault="0007750C">
      <w:pPr>
        <w:pStyle w:val="BodyText"/>
      </w:pPr>
      <w:r>
        <w:t xml:space="preserve">The HFE system remained a constant-sum game when it was linked to GST receipts in 2000, but the size of the pool could no longer be negotiated with the Australian Government. It was legislated that the GST pool would be shared with the states based on the principle of HFE, on the condition that states abolished several other inefficient taxes </w:t>
      </w:r>
      <w:r w:rsidRPr="00010590">
        <w:rPr>
          <w:rFonts w:cs="Open Sans"/>
          <w:szCs w:val="24"/>
        </w:rPr>
        <w:t>(Commonwealth of Australia 1999; Costello 1998, p. 83)</w:t>
      </w:r>
      <w:r>
        <w:t xml:space="preserve">. The introduction of a fixed pool shifted the focus from the size of the pool to how the pool was allocated between states. The supporting paper discusses the context of the GST’s introduction and its impact on the HFE system in more detail. </w:t>
      </w:r>
    </w:p>
    <w:p w14:paraId="71640DBE" w14:textId="4DAD2418" w:rsidR="0007750C" w:rsidRDefault="0007750C">
      <w:pPr>
        <w:pStyle w:val="BodyText"/>
      </w:pPr>
      <w:r>
        <w:t xml:space="preserve">The GST is an Australian Government tax, collected and administered centrally. It is not possible to calculate with any level of confidence the amount of GST ‘paid’ by residents of each state </w:t>
      </w:r>
      <w:r w:rsidR="00546FEC" w:rsidRPr="00546FEC">
        <w:rPr>
          <w:rFonts w:cs="Open Sans"/>
        </w:rPr>
        <w:t>(CGC 2025g, p. 3)</w:t>
      </w:r>
      <w:r>
        <w:t>. However, it is often perceived to be the ‘states’ tax’ as GST revenue collected by the Australian Government is passed on to states. This perception has created a sense of geographic entitlement to GST revenue, which has been exacerbated by the misconception that equal per capita GST allocations are identical to GST paid by residents within a state.</w:t>
      </w:r>
    </w:p>
    <w:p w14:paraId="26702377" w14:textId="77777777" w:rsidR="0007750C" w:rsidRDefault="0007750C">
      <w:pPr>
        <w:pStyle w:val="Heading3"/>
      </w:pPr>
      <w:r>
        <w:t>The Commonwealth Grants Commission provides recommendations on the distribution of the GST pool based on the principle of HFE</w:t>
      </w:r>
    </w:p>
    <w:p w14:paraId="370D665F" w14:textId="1D92FC4D" w:rsidR="0007750C" w:rsidRPr="0072321D" w:rsidRDefault="0007750C">
      <w:pPr>
        <w:pStyle w:val="BodyText"/>
      </w:pPr>
      <w:r>
        <w:t xml:space="preserve">The Commonwealth Grants Commission (CGC) – an independent agency established in 1933 – provides </w:t>
      </w:r>
      <w:r w:rsidRPr="00713D91">
        <w:t xml:space="preserve">recommendations to the Treasurer on the distribution of the GST pool based on the objective of achieving HFE. The distribution is governed by legislation and an </w:t>
      </w:r>
      <w:bookmarkStart w:id="16" w:name="_Int_fZUPjGbl"/>
      <w:r w:rsidRPr="00713D91">
        <w:t>annual terms of reference</w:t>
      </w:r>
      <w:bookmarkEnd w:id="16"/>
      <w:r w:rsidRPr="00713D91">
        <w:t xml:space="preserve"> issued by the </w:t>
      </w:r>
      <w:r>
        <w:t xml:space="preserve">Treasurer (CGC, sub. 34, p. 2). Although the Treasurer can decide not to accept the CGC’s recommendations, historically they have always been accepted </w:t>
      </w:r>
      <w:r w:rsidR="00546FEC" w:rsidRPr="00546FEC">
        <w:rPr>
          <w:rFonts w:cs="Open Sans"/>
        </w:rPr>
        <w:t>(Commonwealth of Australia 2024c, pp. 121–122)</w:t>
      </w:r>
      <w:r>
        <w:t xml:space="preserve">. </w:t>
      </w:r>
    </w:p>
    <w:p w14:paraId="181D11B2" w14:textId="142336E7" w:rsidR="0007750C" w:rsidRPr="00BC2AFF" w:rsidRDefault="0007750C">
      <w:pPr>
        <w:pStyle w:val="BodyText"/>
      </w:pPr>
      <w:r>
        <w:t xml:space="preserve">Australia implements HFE in a more comprehensive way than similar federations by assessing revenue, expenditure and investment capacities, compared to the revenue-only assessment conducted by Canada, for example </w:t>
      </w:r>
      <w:r w:rsidR="00546FEC" w:rsidRPr="00546FEC">
        <w:rPr>
          <w:rFonts w:cs="Open Sans"/>
        </w:rPr>
        <w:t>(CGC, sub. 34, p. 2; CGC 2022c, p. 20; chapter 3)</w:t>
      </w:r>
      <w:r>
        <w:t xml:space="preserve">. The </w:t>
      </w:r>
      <w:r w:rsidRPr="008641D1">
        <w:t>supporting paper</w:t>
      </w:r>
      <w:r>
        <w:t xml:space="preserve"> provides more detail on the CGC’s assessments.</w:t>
      </w:r>
    </w:p>
    <w:p w14:paraId="2E3CA292" w14:textId="644D8E39" w:rsidR="0007750C" w:rsidRDefault="0007750C">
      <w:pPr>
        <w:pStyle w:val="BodyText"/>
        <w:rPr>
          <w:rStyle w:val="BodyTextChar"/>
        </w:rPr>
      </w:pPr>
      <w:r>
        <w:rPr>
          <w:rStyle w:val="BodyTextChar"/>
        </w:rPr>
        <w:t xml:space="preserve">The CGC’s goal is to reduce fiscal disparities between states, meaning each state has a similar fiscal capacity to provide services and associated infrastructure </w:t>
      </w:r>
      <w:r w:rsidR="00546FEC" w:rsidRPr="00546FEC">
        <w:rPr>
          <w:rFonts w:cs="Open Sans"/>
        </w:rPr>
        <w:t>(CGC 2026f)</w:t>
      </w:r>
      <w:r w:rsidRPr="00EC63EC">
        <w:rPr>
          <w:rStyle w:val="BodyTextChar"/>
        </w:rPr>
        <w:t>.</w:t>
      </w:r>
      <w:r>
        <w:rPr>
          <w:rStyle w:val="BodyTextChar"/>
        </w:rPr>
        <w:t xml:space="preserve"> To do this, the CGC determines the national average policy – this is the benchmark. If each state operated at the national average </w:t>
      </w:r>
      <w:r>
        <w:rPr>
          <w:rStyle w:val="BodyTextChar"/>
        </w:rPr>
        <w:lastRenderedPageBreak/>
        <w:t xml:space="preserve">policy, </w:t>
      </w:r>
      <w:r w:rsidRPr="009453D3">
        <w:rPr>
          <w:rStyle w:val="BodyTextChar"/>
        </w:rPr>
        <w:t>the GST pool would simply be distributed on an equal per capita basis.</w:t>
      </w:r>
      <w:r w:rsidRPr="009453D3" w:rsidDel="0078378A">
        <w:rPr>
          <w:rStyle w:val="BodyTextChar"/>
        </w:rPr>
        <w:t xml:space="preserve"> </w:t>
      </w:r>
      <w:r w:rsidRPr="009453D3">
        <w:rPr>
          <w:rStyle w:val="BodyTextChar"/>
        </w:rPr>
        <w:t xml:space="preserve">In other words, </w:t>
      </w:r>
      <w:r>
        <w:rPr>
          <w:rStyle w:val="BodyTextChar"/>
        </w:rPr>
        <w:t xml:space="preserve">each </w:t>
      </w:r>
      <w:r w:rsidRPr="009453D3">
        <w:rPr>
          <w:rStyle w:val="BodyTextChar"/>
        </w:rPr>
        <w:t xml:space="preserve">state would receive the same amount </w:t>
      </w:r>
      <w:r>
        <w:rPr>
          <w:rStyle w:val="BodyTextChar"/>
        </w:rPr>
        <w:t xml:space="preserve">in </w:t>
      </w:r>
      <w:r w:rsidRPr="009453D3">
        <w:rPr>
          <w:rStyle w:val="BodyTextChar"/>
        </w:rPr>
        <w:t xml:space="preserve">GST </w:t>
      </w:r>
      <w:r>
        <w:rPr>
          <w:rStyle w:val="BodyTextChar"/>
        </w:rPr>
        <w:t xml:space="preserve">payments </w:t>
      </w:r>
      <w:r w:rsidRPr="009453D3">
        <w:rPr>
          <w:rStyle w:val="BodyTextChar"/>
        </w:rPr>
        <w:t>per</w:t>
      </w:r>
      <w:r>
        <w:rPr>
          <w:rStyle w:val="BodyTextChar"/>
        </w:rPr>
        <w:t xml:space="preserve"> capita</w:t>
      </w:r>
      <w:r w:rsidRPr="009453D3">
        <w:rPr>
          <w:rStyle w:val="BodyTextChar"/>
        </w:rPr>
        <w:t>.</w:t>
      </w:r>
      <w:r w:rsidRPr="78C2562A" w:rsidDel="0078378A">
        <w:rPr>
          <w:rStyle w:val="BodyTextChar"/>
        </w:rPr>
        <w:t xml:space="preserve"> </w:t>
      </w:r>
    </w:p>
    <w:p w14:paraId="67358AC3" w14:textId="77777777" w:rsidR="0007750C" w:rsidRDefault="0007750C">
      <w:pPr>
        <w:pStyle w:val="BodyText"/>
      </w:pPr>
      <w:r>
        <w:t xml:space="preserve">However, not all states have the fiscal capacity to meet the benchmark. </w:t>
      </w:r>
      <w:r w:rsidRPr="009453D3">
        <w:t>The CGC the</w:t>
      </w:r>
      <w:r>
        <w:t>refore</w:t>
      </w:r>
      <w:r w:rsidRPr="009453D3">
        <w:t xml:space="preserve"> determines each state’s relative fiscal capacity and the level of support each state requires to be able to provide </w:t>
      </w:r>
      <w:r>
        <w:t xml:space="preserve">the benchmark standard of </w:t>
      </w:r>
      <w:r w:rsidRPr="009453D3">
        <w:t>services and infrastructure</w:t>
      </w:r>
      <w:r w:rsidRPr="00606852">
        <w:t>.</w:t>
      </w:r>
      <w:r w:rsidRPr="009453D3">
        <w:rPr>
          <w:rStyle w:val="BodyTextChar"/>
        </w:rPr>
        <w:t xml:space="preserve"> States’ relative fiscal capacities are determined by examining differences between states’ capacities to raise revenue and their costs of providing services (</w:t>
      </w:r>
      <w:r w:rsidRPr="008641D1">
        <w:rPr>
          <w:rStyle w:val="BodyTextChar"/>
        </w:rPr>
        <w:t>supporting paper</w:t>
      </w:r>
      <w:r w:rsidRPr="009453D3">
        <w:rPr>
          <w:rStyle w:val="BodyTextChar"/>
        </w:rPr>
        <w:t xml:space="preserve">, section </w:t>
      </w:r>
      <w:r>
        <w:rPr>
          <w:rStyle w:val="BodyTextChar"/>
        </w:rPr>
        <w:t>6</w:t>
      </w:r>
      <w:r w:rsidRPr="009453D3">
        <w:rPr>
          <w:rStyle w:val="BodyTextChar"/>
        </w:rPr>
        <w:t>).</w:t>
      </w:r>
      <w:r>
        <w:rPr>
          <w:rStyle w:val="BodyTextChar"/>
        </w:rPr>
        <w:t xml:space="preserve"> </w:t>
      </w:r>
      <w:r w:rsidRPr="78C2562A">
        <w:rPr>
          <w:rStyle w:val="BodyTextChar"/>
        </w:rPr>
        <w:t xml:space="preserve">Each state’s GST </w:t>
      </w:r>
      <w:r>
        <w:rPr>
          <w:rStyle w:val="BodyTextChar"/>
        </w:rPr>
        <w:t>requirement</w:t>
      </w:r>
      <w:r w:rsidRPr="78C2562A">
        <w:rPr>
          <w:rStyle w:val="BodyTextChar"/>
        </w:rPr>
        <w:t xml:space="preserve"> therefore equals their </w:t>
      </w:r>
      <w:r>
        <w:rPr>
          <w:rStyle w:val="BodyTextChar"/>
        </w:rPr>
        <w:t xml:space="preserve">equal </w:t>
      </w:r>
      <w:r w:rsidRPr="78C2562A">
        <w:rPr>
          <w:rStyle w:val="BodyTextChar"/>
        </w:rPr>
        <w:t>per capita allocation plus or minus the level of support they are assessed to need</w:t>
      </w:r>
      <w:r>
        <w:rPr>
          <w:rStyle w:val="BodyTextChar"/>
        </w:rPr>
        <w:t>.</w:t>
      </w:r>
    </w:p>
    <w:p w14:paraId="0C193EDF" w14:textId="77777777" w:rsidR="0007750C" w:rsidRDefault="0007750C">
      <w:pPr>
        <w:pStyle w:val="BodyText"/>
      </w:pPr>
      <w:r>
        <w:t>Each state’s relativity is based on their assessed relative fiscal capacity. Relativities reflect a state’s share of the GST pool</w:t>
      </w:r>
      <w:r w:rsidDel="00B554B6">
        <w:t xml:space="preserve"> </w:t>
      </w:r>
      <w:r>
        <w:t>relative to its share of the national population. For example, a state with a relativity of 1.05 would receive 105% of its population share of the GST pool. This is not equivalent to the percentage of GST returned to the state relative to the amount collected.</w:t>
      </w:r>
    </w:p>
    <w:p w14:paraId="3F8DB74B" w14:textId="77777777" w:rsidR="0007750C" w:rsidRDefault="0007750C">
      <w:pPr>
        <w:pStyle w:val="BodyText"/>
      </w:pPr>
      <w:r w:rsidRPr="00BC2AFF">
        <w:t xml:space="preserve">If all states were assessed to be equal in fiscal capacity, each would have a relativity </w:t>
      </w:r>
      <w:r>
        <w:t>of 1</w:t>
      </w:r>
      <w:r w:rsidRPr="00BC2AFF">
        <w:t xml:space="preserve">. States with a </w:t>
      </w:r>
      <w:r>
        <w:t>greater-</w:t>
      </w:r>
      <w:r w:rsidRPr="00BC2AFF">
        <w:t>than</w:t>
      </w:r>
      <w:r>
        <w:t>-</w:t>
      </w:r>
      <w:r w:rsidRPr="00BC2AFF">
        <w:t xml:space="preserve">average fiscal capacity have a relativity </w:t>
      </w:r>
      <w:r>
        <w:t>of</w:t>
      </w:r>
      <w:r w:rsidRPr="00BC2AFF">
        <w:t xml:space="preserve"> less than </w:t>
      </w:r>
      <w:r>
        <w:t>1</w:t>
      </w:r>
      <w:r w:rsidRPr="00BC2AFF">
        <w:t xml:space="preserve"> and states with a </w:t>
      </w:r>
      <w:r>
        <w:t>below-</w:t>
      </w:r>
      <w:r w:rsidRPr="00BC2AFF">
        <w:t xml:space="preserve">average fiscal capacity have a relativity </w:t>
      </w:r>
      <w:r>
        <w:t xml:space="preserve">of </w:t>
      </w:r>
      <w:r w:rsidRPr="00BC2AFF">
        <w:t xml:space="preserve">greater than </w:t>
      </w:r>
      <w:r>
        <w:t>1 (figure 1.3).</w:t>
      </w:r>
    </w:p>
    <w:p w14:paraId="3ABDA09F" w14:textId="77777777" w:rsidR="0007750C" w:rsidRDefault="0007750C">
      <w:pPr>
        <w:pStyle w:val="BodyText"/>
      </w:pPr>
      <w:r w:rsidRPr="00A06337">
        <w:t>Following</w:t>
      </w:r>
      <w:r>
        <w:t xml:space="preserve"> the 2018 reforms, the CGC’s approach has additional steps which are discussed in chapter 2.</w:t>
      </w:r>
    </w:p>
    <w:p w14:paraId="17C7CE94" w14:textId="75A43C82" w:rsidR="0007750C" w:rsidRPr="00146382" w:rsidRDefault="0007750C">
      <w:pPr>
        <w:pStyle w:val="FigureTableHeading"/>
      </w:pPr>
      <w:r>
        <w:t xml:space="preserve">Figure </w:t>
      </w:r>
      <w:r w:rsidRPr="6E3AF809">
        <w:fldChar w:fldCharType="begin"/>
      </w:r>
      <w:r>
        <w:instrText xml:space="preserve"> STYLEREF 1 \s </w:instrText>
      </w:r>
      <w:r w:rsidRPr="6E3AF809">
        <w:fldChar w:fldCharType="separate"/>
      </w:r>
      <w:r w:rsidR="009C08C4">
        <w:rPr>
          <w:noProof/>
        </w:rPr>
        <w:t>1</w:t>
      </w:r>
      <w:r w:rsidRPr="6E3AF809">
        <w:rPr>
          <w:noProof/>
        </w:rPr>
        <w:fldChar w:fldCharType="end"/>
      </w:r>
      <w:r>
        <w:t>.</w:t>
      </w:r>
      <w:r w:rsidRPr="6E3AF809">
        <w:fldChar w:fldCharType="begin"/>
      </w:r>
      <w:r>
        <w:instrText xml:space="preserve"> SEQ Figure \* ARABIC \s 1 </w:instrText>
      </w:r>
      <w:r w:rsidRPr="6E3AF809">
        <w:fldChar w:fldCharType="separate"/>
      </w:r>
      <w:r w:rsidR="009C08C4">
        <w:rPr>
          <w:noProof/>
        </w:rPr>
        <w:t>3</w:t>
      </w:r>
      <w:r w:rsidRPr="6E3AF809">
        <w:rPr>
          <w:noProof/>
        </w:rPr>
        <w:fldChar w:fldCharType="end"/>
      </w:r>
      <w:r w:rsidRPr="6E3AF809">
        <w:rPr>
          <w:noProof/>
        </w:rPr>
        <w:t xml:space="preserve"> </w:t>
      </w:r>
      <w:r>
        <w:t>– The CGC determines relativities based on the relative fiscal capacity of states</w:t>
      </w:r>
    </w:p>
    <w:p w14:paraId="674CBCEF" w14:textId="77777777" w:rsidR="0007750C" w:rsidRDefault="0007750C">
      <w:pPr>
        <w:pStyle w:val="FigureTableSubheading"/>
        <w:keepLines/>
      </w:pPr>
      <w:r>
        <w:t>Average state relativities, 2000–01 to 2018–19</w:t>
      </w:r>
    </w:p>
    <w:p w14:paraId="05F90D5F" w14:textId="77777777" w:rsidR="0007750C" w:rsidRPr="005550A0" w:rsidRDefault="0007750C">
      <w:pPr>
        <w:pStyle w:val="BodyText"/>
      </w:pPr>
      <w:r w:rsidRPr="00D249B9">
        <w:rPr>
          <w:noProof/>
        </w:rPr>
        <w:drawing>
          <wp:inline distT="0" distB="0" distL="0" distR="0" wp14:anchorId="7EF7FD1E" wp14:editId="14BC8C08">
            <wp:extent cx="6120130" cy="2875915"/>
            <wp:effectExtent l="0" t="0" r="0" b="0"/>
            <wp:docPr id="617498696" name="Picture 6" descr="Figure 1.3 – A graph with dots which represent the average relativity for each state between 2000-01 and 2018-19, and a line which represents a relativity of 1, meaning the GST pool would be allocated on an equal per capita basis. States with a relativity above the equal per capita allocation line are marked as having a weaker than average fiscal capacity, and states with a relativity below the line are marked as having a stronger than average fiscal capa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498696" name="Picture 6" descr="Figure 1.3 – A graph with dots which represent the average relativity for each state between 2000-01 and 2018-19, and a line which represents a relativity of 1, meaning the GST pool would be allocated on an equal per capita basis. States with a relativity above the equal per capita allocation line are marked as having a weaker than average fiscal capacity, and states with a relativity below the line are marked as having a stronger than average fiscal capacity."/>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120130" cy="2875915"/>
                    </a:xfrm>
                    <a:prstGeom prst="rect">
                      <a:avLst/>
                    </a:prstGeom>
                    <a:noFill/>
                    <a:ln>
                      <a:noFill/>
                    </a:ln>
                  </pic:spPr>
                </pic:pic>
              </a:graphicData>
            </a:graphic>
          </wp:inline>
        </w:drawing>
      </w:r>
    </w:p>
    <w:p w14:paraId="2882AF86" w14:textId="77777777" w:rsidR="00350C2B" w:rsidRDefault="0007750C" w:rsidP="00350C2B">
      <w:pPr>
        <w:pStyle w:val="Note"/>
      </w:pPr>
      <w:r>
        <w:t>Average state relativities are shown for 2000–01 to 2018–19 only as 2018–19 was the last financial year before the 2018 reforms came into effect.</w:t>
      </w:r>
    </w:p>
    <w:p w14:paraId="3E82A23F" w14:textId="6213B139" w:rsidR="0007750C" w:rsidRDefault="0007750C" w:rsidP="00350C2B">
      <w:pPr>
        <w:pStyle w:val="Source"/>
      </w:pPr>
      <w:r w:rsidRPr="00696447">
        <w:t>Source:</w:t>
      </w:r>
      <w:r>
        <w:t xml:space="preserve"> PC estimates using CGC </w:t>
      </w:r>
      <w:r w:rsidR="00546FEC" w:rsidRPr="00546FEC">
        <w:rPr>
          <w:rFonts w:cs="Open Sans"/>
        </w:rPr>
        <w:t>(2026b)</w:t>
      </w:r>
      <w:r>
        <w:t>.</w:t>
      </w:r>
    </w:p>
    <w:p w14:paraId="222FCA5C" w14:textId="77777777" w:rsidR="0007750C" w:rsidRDefault="0007750C">
      <w:pPr>
        <w:pStyle w:val="BodyText"/>
      </w:pPr>
      <w:r>
        <w:t>The CGC’s assessments are informed by a number of supporting principles, however these are secondary to the primary objective of pursuing HFE (box 1.1).</w:t>
      </w:r>
    </w:p>
    <w:p w14:paraId="1E72FE4C" w14:textId="08D4C43B" w:rsidR="0007750C" w:rsidRPr="00F82BD9" w:rsidRDefault="0007750C">
      <w:pPr>
        <w:pStyle w:val="NoSpacing"/>
      </w:pPr>
    </w:p>
    <w:tbl>
      <w:tblPr>
        <w:tblStyle w:val="Boxtable"/>
        <w:tblW w:w="5000" w:type="pct"/>
        <w:tblLook w:val="04A0" w:firstRow="1" w:lastRow="0" w:firstColumn="1" w:lastColumn="0" w:noHBand="0" w:noVBand="1"/>
      </w:tblPr>
      <w:tblGrid>
        <w:gridCol w:w="9638"/>
      </w:tblGrid>
      <w:tr w:rsidR="0007750C" w14:paraId="556EADA6" w14:textId="77777777">
        <w:trPr>
          <w:tblHeader/>
        </w:trPr>
        <w:tc>
          <w:tcPr>
            <w:tcW w:w="9638" w:type="dxa"/>
            <w:shd w:val="clear" w:color="auto" w:fill="EBEBEB"/>
            <w:tcMar>
              <w:top w:w="170" w:type="dxa"/>
              <w:left w:w="170" w:type="dxa"/>
              <w:bottom w:w="113" w:type="dxa"/>
              <w:right w:w="170" w:type="dxa"/>
            </w:tcMar>
            <w:hideMark/>
          </w:tcPr>
          <w:p w14:paraId="3C92590A" w14:textId="1C6CB037" w:rsidR="0007750C" w:rsidRDefault="0007750C">
            <w:pPr>
              <w:pStyle w:val="BoxHeading1"/>
            </w:pPr>
            <w:bookmarkStart w:id="17" w:name="_Ref78902111"/>
            <w:r>
              <w:lastRenderedPageBreak/>
              <w:t xml:space="preserve">Box </w:t>
            </w:r>
            <w:fldSimple w:instr=" STYLEREF 1 \s ">
              <w:r w:rsidR="009C08C4">
                <w:rPr>
                  <w:noProof/>
                </w:rPr>
                <w:t>1</w:t>
              </w:r>
            </w:fldSimple>
            <w:r>
              <w:t>.</w:t>
            </w:r>
            <w:fldSimple w:instr=" SEQ Box \* ARABIC \s 1 ">
              <w:r w:rsidR="009C08C4">
                <w:rPr>
                  <w:noProof/>
                </w:rPr>
                <w:t>1</w:t>
              </w:r>
            </w:fldSimple>
            <w:r>
              <w:t xml:space="preserve"> – </w:t>
            </w:r>
            <w:bookmarkEnd w:id="17"/>
            <w:r>
              <w:t>The CGC’s assessments are guided by 4 supporting principles</w:t>
            </w:r>
          </w:p>
        </w:tc>
      </w:tr>
      <w:tr w:rsidR="0007750C" w14:paraId="26A38A42" w14:textId="77777777">
        <w:tc>
          <w:tcPr>
            <w:tcW w:w="9638" w:type="dxa"/>
            <w:shd w:val="clear" w:color="auto" w:fill="EBEBEB"/>
            <w:tcMar>
              <w:top w:w="28" w:type="dxa"/>
              <w:left w:w="170" w:type="dxa"/>
              <w:bottom w:w="170" w:type="dxa"/>
              <w:right w:w="170" w:type="dxa"/>
            </w:tcMar>
            <w:hideMark/>
          </w:tcPr>
          <w:p w14:paraId="12088B0E" w14:textId="77777777" w:rsidR="0007750C" w:rsidRDefault="0007750C" w:rsidP="0007750C">
            <w:pPr>
              <w:pStyle w:val="ListBullet"/>
            </w:pPr>
            <w:r w:rsidRPr="00B54730">
              <w:rPr>
                <w:b/>
                <w:bCs/>
              </w:rPr>
              <w:t>What states do</w:t>
            </w:r>
            <w:r>
              <w:rPr>
                <w:b/>
                <w:bCs/>
              </w:rPr>
              <w:t xml:space="preserve"> </w:t>
            </w:r>
            <w:r w:rsidRPr="00B54730">
              <w:rPr>
                <w:b/>
                <w:bCs/>
              </w:rPr>
              <w:t>–</w:t>
            </w:r>
            <w:r>
              <w:t xml:space="preserve"> the Commonwealth Grants Commission’s (CGC’s) methods should, as far as possible, reflect what states collectively do, and not make judgements about what they could or should do.</w:t>
            </w:r>
          </w:p>
          <w:p w14:paraId="6CCB5214" w14:textId="77777777" w:rsidR="0007750C" w:rsidRDefault="0007750C" w:rsidP="0007750C">
            <w:pPr>
              <w:pStyle w:val="ListBullet"/>
            </w:pPr>
            <w:r w:rsidRPr="00B54730">
              <w:rPr>
                <w:b/>
                <w:bCs/>
              </w:rPr>
              <w:t>Policy neutrality</w:t>
            </w:r>
            <w:r>
              <w:rPr>
                <w:b/>
                <w:bCs/>
              </w:rPr>
              <w:t xml:space="preserve"> </w:t>
            </w:r>
            <w:r w:rsidRPr="00B54730">
              <w:rPr>
                <w:b/>
                <w:bCs/>
              </w:rPr>
              <w:t>–</w:t>
            </w:r>
            <w:r>
              <w:rPr>
                <w:b/>
                <w:bCs/>
              </w:rPr>
              <w:t xml:space="preserve"> </w:t>
            </w:r>
            <w:r>
              <w:t>a state’s policy choices (for the revenue it raises or the services it provides) should not directly influence its GST payments. The CGC’s assessments should not create incentives or disincentives to choose one policy over another.</w:t>
            </w:r>
          </w:p>
          <w:p w14:paraId="4F18B9BB" w14:textId="77777777" w:rsidR="0007750C" w:rsidRPr="009E2D93" w:rsidRDefault="0007750C" w:rsidP="0007750C">
            <w:pPr>
              <w:pStyle w:val="ListBullet"/>
              <w:rPr>
                <w:spacing w:val="2"/>
              </w:rPr>
            </w:pPr>
            <w:r w:rsidRPr="009E2D93">
              <w:rPr>
                <w:b/>
                <w:bCs/>
                <w:spacing w:val="2"/>
              </w:rPr>
              <w:t xml:space="preserve">Practicality – </w:t>
            </w:r>
            <w:r w:rsidRPr="009E2D93">
              <w:rPr>
                <w:spacing w:val="2"/>
              </w:rPr>
              <w:t>assessments should be based on sound and reliable data and methods. Methods should be as simple as possible, while capturing the major influences on state revenues and expenses.</w:t>
            </w:r>
          </w:p>
          <w:p w14:paraId="029A2D81" w14:textId="77777777" w:rsidR="0007750C" w:rsidRDefault="0007750C" w:rsidP="0007750C">
            <w:pPr>
              <w:pStyle w:val="ListBullet"/>
            </w:pPr>
            <w:r w:rsidRPr="00B54730">
              <w:rPr>
                <w:b/>
                <w:bCs/>
              </w:rPr>
              <w:t>Contemporaneity –</w:t>
            </w:r>
            <w:r>
              <w:t xml:space="preserve"> to the extent reliable data will allow, the GST distribution in a year should reflect state circumstances in that year.</w:t>
            </w:r>
          </w:p>
          <w:p w14:paraId="6FD056EC" w14:textId="77777777" w:rsidR="0007750C" w:rsidRDefault="0007750C">
            <w:pPr>
              <w:pStyle w:val="Source"/>
            </w:pPr>
            <w:r>
              <w:t>Source: CGC (sub. 34, pp. 3–4).</w:t>
            </w:r>
          </w:p>
        </w:tc>
      </w:tr>
      <w:tr w:rsidR="0007750C" w14:paraId="59030669" w14:textId="77777777">
        <w:trPr>
          <w:hidden/>
        </w:trPr>
        <w:tc>
          <w:tcPr>
            <w:tcW w:w="9638" w:type="dxa"/>
            <w:shd w:val="clear" w:color="auto" w:fill="auto"/>
            <w:tcMar>
              <w:top w:w="0" w:type="dxa"/>
              <w:left w:w="170" w:type="dxa"/>
              <w:bottom w:w="0" w:type="dxa"/>
              <w:right w:w="170" w:type="dxa"/>
            </w:tcMar>
          </w:tcPr>
          <w:p w14:paraId="6AFBCD62" w14:textId="6578BA30" w:rsidR="0007750C" w:rsidRPr="00465191" w:rsidRDefault="0007750C">
            <w:pPr>
              <w:pStyle w:val="BodyText"/>
              <w:spacing w:before="0" w:after="0" w:line="80" w:lineRule="atLeast"/>
              <w:rPr>
                <w:smallCaps/>
                <w:vanish/>
              </w:rPr>
            </w:pPr>
          </w:p>
        </w:tc>
      </w:tr>
    </w:tbl>
    <w:p w14:paraId="6419D3DE" w14:textId="77777777" w:rsidR="0007750C" w:rsidRDefault="0007750C">
      <w:pPr>
        <w:pStyle w:val="Heading3"/>
      </w:pPr>
      <w:r>
        <w:t>Correcting the record about the HFE system</w:t>
      </w:r>
    </w:p>
    <w:p w14:paraId="4DE1D0CD" w14:textId="77777777" w:rsidR="0007750C" w:rsidRPr="00BC2AFF" w:rsidRDefault="0007750C">
      <w:pPr>
        <w:pStyle w:val="BodyText"/>
      </w:pPr>
      <w:r>
        <w:t xml:space="preserve">Several inquiry participants noted how the complex nature of the HFE system and the CGC’s methodology has led to a lack of public understanding about how the GST pool is distributed and how HFE is pursued in Australia (Australian Centre for Federalism, sub. 23, p. 7; Andrew Gibbs, sub. 25, p. 3; NSW Government, sub. 61, p. 9). One inquiry participant suggested that the complex nature of the system </w:t>
      </w:r>
      <w:r w:rsidRPr="00BC2AFF">
        <w:t xml:space="preserve">has allowed </w:t>
      </w:r>
      <w:r w:rsidRPr="00646D7E">
        <w:rPr>
          <w:i/>
          <w:iCs/>
        </w:rPr>
        <w:t>‘simplistic and misleading narratives to take hold’</w:t>
      </w:r>
      <w:r w:rsidRPr="00BC2AFF">
        <w:t xml:space="preserve"> (John Purcell, sub. 44</w:t>
      </w:r>
      <w:r>
        <w:t>, p. 6</w:t>
      </w:r>
      <w:r w:rsidRPr="00BC2AFF">
        <w:t xml:space="preserve">), </w:t>
      </w:r>
      <w:r>
        <w:t>while another suggested that the depiction of HFE as overly complex has ‘</w:t>
      </w:r>
      <w:r w:rsidRPr="00646D7E">
        <w:rPr>
          <w:i/>
          <w:iCs/>
        </w:rPr>
        <w:t>allowed the emergence of inaccurate narratives in the public domain’</w:t>
      </w:r>
      <w:r>
        <w:t xml:space="preserve"> (Government of South Australia, sub. 13, p. 17). The prominence of inaccurate narratives has undermined the quality of public debate surrounding the HFE system.</w:t>
      </w:r>
    </w:p>
    <w:p w14:paraId="6B142A8D" w14:textId="77777777" w:rsidR="0007750C" w:rsidRDefault="0007750C">
      <w:pPr>
        <w:pStyle w:val="BodyText"/>
      </w:pPr>
      <w:r w:rsidRPr="008A34CB">
        <w:t>The complexity of the HFE system is</w:t>
      </w:r>
      <w:r>
        <w:t xml:space="preserve"> partly</w:t>
      </w:r>
      <w:r w:rsidRPr="008A34CB">
        <w:t xml:space="preserve"> a by-product of the CGC’s comprehensive approach to capturing state circumstances</w:t>
      </w:r>
      <w:r>
        <w:t xml:space="preserve"> – measuring what the </w:t>
      </w:r>
      <w:r w:rsidRPr="00601B40">
        <w:t>benchmark</w:t>
      </w:r>
      <w:r>
        <w:t xml:space="preserve"> is for various government services is not straightforward and requires judgements from the CGC about the methods and data it uses.</w:t>
      </w:r>
      <w:r w:rsidRPr="00345011">
        <w:t xml:space="preserve"> </w:t>
      </w:r>
      <w:r>
        <w:t>The CGC has itself identified the trade-off: while simpler methods could be adopted, they would likely overlook certain differences between the fiscal capacities of states and ultimately result in a lower level of equalisation (CGC, sub. 34, p. 19).</w:t>
      </w:r>
    </w:p>
    <w:p w14:paraId="7FB15A81" w14:textId="77777777" w:rsidR="0007750C" w:rsidRPr="00A46158" w:rsidRDefault="0007750C">
      <w:pPr>
        <w:pStyle w:val="BodyText"/>
        <w:rPr>
          <w:spacing w:val="-4"/>
        </w:rPr>
      </w:pPr>
      <w:r w:rsidRPr="00A46158">
        <w:rPr>
          <w:spacing w:val="-4"/>
        </w:rPr>
        <w:t xml:space="preserve">While Australia’s system of HFE involves trade-offs between equity, efficiency and certainty, it is important that public debate is based on a factual characterisation of the system, rather than on misconceptions. </w:t>
      </w:r>
    </w:p>
    <w:p w14:paraId="1B1ADD8B" w14:textId="77777777" w:rsidR="0007750C" w:rsidRDefault="0007750C" w:rsidP="00C020FC">
      <w:pPr>
        <w:pStyle w:val="Heading4"/>
      </w:pPr>
      <w:r>
        <w:lastRenderedPageBreak/>
        <w:t>Dispelling some misconceptions about the HFE system</w:t>
      </w:r>
    </w:p>
    <w:p w14:paraId="70B1EC78" w14:textId="77777777" w:rsidR="0007750C" w:rsidRDefault="0007750C" w:rsidP="00C020FC">
      <w:pPr>
        <w:pStyle w:val="BodyText"/>
        <w:keepNext/>
        <w:keepLines/>
      </w:pPr>
      <w:r w:rsidRPr="00E973F2">
        <w:rPr>
          <w:noProof/>
        </w:rPr>
        <w:drawing>
          <wp:inline distT="0" distB="0" distL="0" distR="0" wp14:anchorId="1385169B" wp14:editId="73C0F1B3">
            <wp:extent cx="6120130" cy="469265"/>
            <wp:effectExtent l="0" t="0" r="0" b="6985"/>
            <wp:docPr id="555519195" name="Picture 7" descr="Relativities do not represent 'cents in the dollar' of GST raised in a s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519195" name="Picture 7" descr="Relativities do not represent 'cents in the dollar' of GST raised in a stat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120130" cy="469265"/>
                    </a:xfrm>
                    <a:prstGeom prst="rect">
                      <a:avLst/>
                    </a:prstGeom>
                    <a:noFill/>
                    <a:ln>
                      <a:noFill/>
                    </a:ln>
                  </pic:spPr>
                </pic:pic>
              </a:graphicData>
            </a:graphic>
          </wp:inline>
        </w:drawing>
      </w:r>
    </w:p>
    <w:p w14:paraId="74C9A2AA" w14:textId="77777777" w:rsidR="0007750C" w:rsidRPr="00BC2AFF" w:rsidRDefault="0007750C" w:rsidP="00C020FC">
      <w:pPr>
        <w:pStyle w:val="BodyText"/>
        <w:keepNext/>
        <w:keepLines/>
      </w:pPr>
      <w:r w:rsidRPr="00BC2AFF">
        <w:t>A common misconception about the HFE system is that relativit</w:t>
      </w:r>
      <w:r>
        <w:t xml:space="preserve">ies represent </w:t>
      </w:r>
      <w:r w:rsidRPr="00BC2AFF">
        <w:t xml:space="preserve">the percentage or ‘cents in the dollar’ of GST raised in a state which is being ‘returned’ to it through GST payments. For example, a state with a relativity of 0.85 might </w:t>
      </w:r>
      <w:r>
        <w:t>say</w:t>
      </w:r>
      <w:r w:rsidRPr="00BC2AFF">
        <w:t xml:space="preserve"> they are only receiving 85%, or 85 cents in the dollar, of the GST raised in that state.</w:t>
      </w:r>
    </w:p>
    <w:p w14:paraId="76724353" w14:textId="10EE0276" w:rsidR="0007750C" w:rsidRPr="00BC2AFF" w:rsidRDefault="0007750C">
      <w:pPr>
        <w:pStyle w:val="BodyText"/>
      </w:pPr>
      <w:r>
        <w:t xml:space="preserve">This characterisation is untrue. </w:t>
      </w:r>
      <w:r w:rsidRPr="00BC2AFF">
        <w:t xml:space="preserve">GST is collected by the </w:t>
      </w:r>
      <w:r>
        <w:t xml:space="preserve">Australian Government </w:t>
      </w:r>
      <w:r w:rsidRPr="00BC2AFF">
        <w:t xml:space="preserve">and distributed to the states </w:t>
      </w:r>
      <w:r>
        <w:t xml:space="preserve">based on the principle of </w:t>
      </w:r>
      <w:r w:rsidRPr="00BC2AFF">
        <w:t xml:space="preserve">HFE. </w:t>
      </w:r>
      <w:r>
        <w:t xml:space="preserve">It is not possible to calculate the amount of GST paid in each state with any level of confidence </w:t>
      </w:r>
      <w:r w:rsidR="00546FEC" w:rsidRPr="00546FEC">
        <w:rPr>
          <w:rFonts w:cs="Open Sans"/>
        </w:rPr>
        <w:t>(CGC 2025g, p. 3)</w:t>
      </w:r>
      <w:r>
        <w:t>. Even if data was collected</w:t>
      </w:r>
      <w:r w:rsidRPr="00BC2AFF">
        <w:t>, it would likely be inaccurate as it would need to be consistently classified for every purchase involving GST. For example, if a Canberran purchases a bus ticket to Sydney from a company whose headquarters are based in Victoria, there would be difficulties in determining whether the GST paid on the ticket should be classified as GST raised in the A</w:t>
      </w:r>
      <w:r>
        <w:t xml:space="preserve">ustralian </w:t>
      </w:r>
      <w:r w:rsidRPr="00BC2AFF">
        <w:t>C</w:t>
      </w:r>
      <w:r>
        <w:t xml:space="preserve">apital </w:t>
      </w:r>
      <w:r w:rsidRPr="00BC2AFF">
        <w:t>T</w:t>
      </w:r>
      <w:r>
        <w:t>erritory</w:t>
      </w:r>
      <w:r w:rsidRPr="00BC2AFF">
        <w:t>, N</w:t>
      </w:r>
      <w:r>
        <w:t xml:space="preserve">ew </w:t>
      </w:r>
      <w:r w:rsidRPr="00BC2AFF">
        <w:t>S</w:t>
      </w:r>
      <w:r>
        <w:t xml:space="preserve">outh </w:t>
      </w:r>
      <w:r w:rsidRPr="00BC2AFF">
        <w:t>W</w:t>
      </w:r>
      <w:r>
        <w:t>ales</w:t>
      </w:r>
      <w:r w:rsidRPr="00BC2AFF">
        <w:t xml:space="preserve"> or Victoria. </w:t>
      </w:r>
    </w:p>
    <w:p w14:paraId="188DB2D4" w14:textId="77777777" w:rsidR="0007750C" w:rsidRDefault="0007750C">
      <w:pPr>
        <w:pStyle w:val="BodyText"/>
      </w:pPr>
      <w:r>
        <w:t xml:space="preserve">The argument that </w:t>
      </w:r>
      <w:r w:rsidRPr="00BC2AFF">
        <w:t>states are only ‘getting back’ a certain percentage of the</w:t>
      </w:r>
      <w:r>
        <w:t xml:space="preserve"> </w:t>
      </w:r>
      <w:r w:rsidRPr="00866A49">
        <w:t>GST paid by their population</w:t>
      </w:r>
      <w:r w:rsidRPr="00BC2AFF">
        <w:t xml:space="preserve"> </w:t>
      </w:r>
      <w:r>
        <w:t xml:space="preserve">also </w:t>
      </w:r>
      <w:r w:rsidRPr="00BC2AFF">
        <w:t>rel</w:t>
      </w:r>
      <w:r>
        <w:t>ies</w:t>
      </w:r>
      <w:r w:rsidRPr="00BC2AFF">
        <w:t xml:space="preserve"> on the </w:t>
      </w:r>
      <w:r>
        <w:t xml:space="preserve">assertion </w:t>
      </w:r>
      <w:r w:rsidRPr="00BC2AFF">
        <w:t xml:space="preserve">that </w:t>
      </w:r>
      <w:r>
        <w:t>a state pays its exact population share of GST</w:t>
      </w:r>
      <w:r w:rsidRPr="00BC2AFF">
        <w:t xml:space="preserve"> (Saul Eslake, sub. 3</w:t>
      </w:r>
      <w:r>
        <w:t>, pp. 7–8</w:t>
      </w:r>
      <w:r w:rsidRPr="00BC2AFF">
        <w:t xml:space="preserve">). There is no way of verifying this </w:t>
      </w:r>
      <w:r>
        <w:t xml:space="preserve">assertion </w:t>
      </w:r>
      <w:r w:rsidRPr="00BC2AFF">
        <w:t xml:space="preserve">given the lack of data. </w:t>
      </w:r>
    </w:p>
    <w:p w14:paraId="0F12233E" w14:textId="77777777" w:rsidR="0007750C" w:rsidRDefault="0007750C">
      <w:pPr>
        <w:pStyle w:val="BodyText"/>
      </w:pPr>
      <w:r>
        <w:t xml:space="preserve">Further, the argument that states are not ‘getting back’ their population share of the GST does not align with attitudes towards other key federal taxes in Australia. For example, there is no public expectation that income tax paid by an individual is returned to the state or postcode in which they live. </w:t>
      </w:r>
    </w:p>
    <w:p w14:paraId="45DECC27" w14:textId="2BBA8A20" w:rsidR="0007750C" w:rsidRDefault="0007750C">
      <w:pPr>
        <w:pStyle w:val="BodyText"/>
      </w:pPr>
      <w:r>
        <w:t xml:space="preserve">This misconception may have played a role in shaping the public discourse which ultimately led to pressure to change Australia’s HFE system. For example, media reporting ahead of the 2018 reforms erroneously suggested that the reforms involved modifying the GST distribution system </w:t>
      </w:r>
      <w:r w:rsidRPr="00381088">
        <w:t>so states</w:t>
      </w:r>
      <w:r>
        <w:t xml:space="preserve"> would</w:t>
      </w:r>
      <w:r w:rsidRPr="00381088">
        <w:t xml:space="preserve"> </w:t>
      </w:r>
      <w:r>
        <w:t>‘</w:t>
      </w:r>
      <w:r w:rsidRPr="00532436">
        <w:rPr>
          <w:i/>
          <w:iCs/>
        </w:rPr>
        <w:t>keep more of the GST they collect’</w:t>
      </w:r>
      <w:r>
        <w:t xml:space="preserve">, as well as that Western Australia was receiving </w:t>
      </w:r>
      <w:r w:rsidRPr="00532436">
        <w:rPr>
          <w:i/>
          <w:iCs/>
        </w:rPr>
        <w:t>‘47 cents for every dollar it [sent] to federal coffers’</w:t>
      </w:r>
      <w:r>
        <w:t xml:space="preserve"> in 2017–18 </w:t>
      </w:r>
      <w:r w:rsidRPr="00925C9B">
        <w:rPr>
          <w:rFonts w:cs="Open Sans"/>
          <w:szCs w:val="24"/>
        </w:rPr>
        <w:t>(Elton-Pym 2018; Perpitch and Laschon 2018)</w:t>
      </w:r>
      <w:r>
        <w:t xml:space="preserve">. </w:t>
      </w:r>
    </w:p>
    <w:p w14:paraId="0F4ACAB7" w14:textId="77777777" w:rsidR="0007750C" w:rsidRDefault="0007750C" w:rsidP="00741FD1">
      <w:pPr>
        <w:pStyle w:val="BodyText"/>
        <w:spacing w:before="240"/>
      </w:pPr>
      <w:r w:rsidRPr="00EB3500">
        <w:rPr>
          <w:noProof/>
        </w:rPr>
        <w:drawing>
          <wp:inline distT="0" distB="0" distL="0" distR="0" wp14:anchorId="4C056579" wp14:editId="0AE2EA69">
            <wp:extent cx="6120130" cy="469265"/>
            <wp:effectExtent l="0" t="0" r="0" b="6985"/>
            <wp:docPr id="116493879" name="Picture 8" descr="States are not entitled to receive their population share of the GST 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93879" name="Picture 8" descr="States are not entitled to receive their population share of the GST pool"/>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120130" cy="469265"/>
                    </a:xfrm>
                    <a:prstGeom prst="rect">
                      <a:avLst/>
                    </a:prstGeom>
                    <a:noFill/>
                    <a:ln>
                      <a:noFill/>
                    </a:ln>
                  </pic:spPr>
                </pic:pic>
              </a:graphicData>
            </a:graphic>
          </wp:inline>
        </w:drawing>
      </w:r>
    </w:p>
    <w:p w14:paraId="434F7A17" w14:textId="77777777" w:rsidR="0007750C" w:rsidRDefault="0007750C" w:rsidP="00741FD1">
      <w:pPr>
        <w:pStyle w:val="BodyText"/>
        <w:spacing w:after="240"/>
      </w:pPr>
      <w:r w:rsidRPr="00BC2AFF">
        <w:t>The GST pool is distributed on the basis of HFE with the intention of equalising states</w:t>
      </w:r>
      <w:r>
        <w:t>’</w:t>
      </w:r>
      <w:r w:rsidRPr="00BC2AFF">
        <w:t xml:space="preserve"> fiscal capacities</w:t>
      </w:r>
      <w:r>
        <w:t xml:space="preserve"> to a defined benchmark. If all states had the same fiscal capacity, the GST pool would be distributed on an equal per capita, or population share, basis. However, because state fiscal capacities differ, a</w:t>
      </w:r>
      <w:r w:rsidRPr="00BC2AFF">
        <w:t xml:space="preserve">n equal per capita distribution of the pool would not </w:t>
      </w:r>
      <w:r>
        <w:t>equalise states’ fiscal capacities</w:t>
      </w:r>
      <w:r w:rsidRPr="00BC2AFF">
        <w:t>.</w:t>
      </w:r>
      <w:r>
        <w:t xml:space="preserve"> Rather, it would ensure that some states consistently have a greater fiscal capacity than others, and in the absence of some other mechanism, this would lead to a divergence in the capacity of states to provide services and ultimately actual divergence in the level and quality of services that states are able to provide. </w:t>
      </w:r>
    </w:p>
    <w:p w14:paraId="5B0B9341" w14:textId="77777777" w:rsidR="0007750C" w:rsidRPr="00741FD1" w:rsidRDefault="0007750C" w:rsidP="00741FD1">
      <w:pPr>
        <w:pStyle w:val="BodyText"/>
      </w:pPr>
      <w:r w:rsidRPr="00741FD1">
        <w:rPr>
          <w:noProof/>
        </w:rPr>
        <w:drawing>
          <wp:inline distT="0" distB="0" distL="0" distR="0" wp14:anchorId="18617E6B" wp14:editId="6F3B8CD6">
            <wp:extent cx="6120130" cy="482600"/>
            <wp:effectExtent l="0" t="0" r="0" b="0"/>
            <wp:docPr id="1248291904" name="Picture 12" descr="The GST distribution does not reward states with poor fiscal 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291904" name="Picture 12" descr="The GST distribution does not reward states with poor fiscal management"/>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120130" cy="482600"/>
                    </a:xfrm>
                    <a:prstGeom prst="rect">
                      <a:avLst/>
                    </a:prstGeom>
                    <a:noFill/>
                    <a:ln>
                      <a:noFill/>
                    </a:ln>
                  </pic:spPr>
                </pic:pic>
              </a:graphicData>
            </a:graphic>
          </wp:inline>
        </w:drawing>
      </w:r>
    </w:p>
    <w:p w14:paraId="661D08B7" w14:textId="77777777" w:rsidR="0007750C" w:rsidRDefault="0007750C" w:rsidP="001F471B">
      <w:pPr>
        <w:pStyle w:val="BodyText"/>
        <w:spacing w:after="240"/>
      </w:pPr>
      <w:r w:rsidRPr="00BC2AFF">
        <w:t>The GST pool is distributed based on the principle of HFE</w:t>
      </w:r>
      <w:r>
        <w:t>,</w:t>
      </w:r>
      <w:r w:rsidRPr="00BC2AFF">
        <w:t xml:space="preserve"> which aims to equalise states</w:t>
      </w:r>
      <w:r>
        <w:t>’</w:t>
      </w:r>
      <w:r w:rsidRPr="00BC2AFF">
        <w:t xml:space="preserve"> fiscal capacities. </w:t>
      </w:r>
      <w:r w:rsidRPr="00DE6363">
        <w:t>Just as</w:t>
      </w:r>
      <w:r>
        <w:t xml:space="preserve"> the HFE system is not designed to reward, or punish, a state’s fiscal management, it is also not designed to influence the state’s policy choices. In undertaking its assessments, the CGC applies principles of ‘what states do’ and policy neutrality to minimise any influence their actions may </w:t>
      </w:r>
      <w:r>
        <w:lastRenderedPageBreak/>
        <w:t xml:space="preserve">have on state policy making (box 1.1, above). </w:t>
      </w:r>
      <w:r w:rsidRPr="00C16648">
        <w:t>As</w:t>
      </w:r>
      <w:r>
        <w:t xml:space="preserve"> important as the task of productivity-enhancing reform is, the HFE system is not intended to incentivise or disincentivise states from undertaking such reforms. This issue is explored further in chapter 3.</w:t>
      </w:r>
    </w:p>
    <w:p w14:paraId="02E44819" w14:textId="77777777" w:rsidR="0007750C" w:rsidRDefault="0007750C">
      <w:pPr>
        <w:pStyle w:val="BodyText"/>
      </w:pPr>
      <w:r w:rsidRPr="00961054">
        <w:rPr>
          <w:noProof/>
        </w:rPr>
        <w:drawing>
          <wp:inline distT="0" distB="0" distL="0" distR="0" wp14:anchorId="5A96CFE6" wp14:editId="66B28298">
            <wp:extent cx="6120130" cy="493395"/>
            <wp:effectExtent l="0" t="0" r="0" b="1905"/>
            <wp:docPr id="2064799294" name="Picture 9" descr="A larger share of the GST pool is not, on its own, a fiscal win - it means more support is nee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799294" name="Picture 9" descr="A larger share of the GST pool is not, on its own, a fiscal win - it means more support is needed"/>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120130" cy="493395"/>
                    </a:xfrm>
                    <a:prstGeom prst="rect">
                      <a:avLst/>
                    </a:prstGeom>
                    <a:noFill/>
                    <a:ln>
                      <a:noFill/>
                    </a:ln>
                  </pic:spPr>
                </pic:pic>
              </a:graphicData>
            </a:graphic>
          </wp:inline>
        </w:drawing>
      </w:r>
    </w:p>
    <w:p w14:paraId="0AAEA4FA" w14:textId="77777777" w:rsidR="0007750C" w:rsidRDefault="0007750C">
      <w:pPr>
        <w:pStyle w:val="BodyText"/>
      </w:pPr>
      <w:r w:rsidRPr="00585F39">
        <w:t xml:space="preserve">The </w:t>
      </w:r>
      <w:r>
        <w:t xml:space="preserve">HFE system </w:t>
      </w:r>
      <w:r w:rsidRPr="00585F39">
        <w:t>is not intended to reward strong economic performance or punish weak performance.</w:t>
      </w:r>
      <w:r>
        <w:t xml:space="preserve"> Rather,</w:t>
      </w:r>
      <w:r w:rsidRPr="00585F39">
        <w:t xml:space="preserve"> </w:t>
      </w:r>
      <w:r>
        <w:t>u</w:t>
      </w:r>
      <w:r w:rsidRPr="00585F39">
        <w:t>nder</w:t>
      </w:r>
      <w:r>
        <w:t xml:space="preserve"> HFE</w:t>
      </w:r>
      <w:r w:rsidRPr="00585F39">
        <w:t xml:space="preserve">, </w:t>
      </w:r>
      <w:r>
        <w:t xml:space="preserve">the </w:t>
      </w:r>
      <w:r w:rsidRPr="00585F39">
        <w:t>GST</w:t>
      </w:r>
      <w:r>
        <w:t xml:space="preserve"> pool</w:t>
      </w:r>
      <w:r w:rsidRPr="00585F39">
        <w:t xml:space="preserve"> is distributed to support states’ capacity to provide a </w:t>
      </w:r>
      <w:r>
        <w:t>similar</w:t>
      </w:r>
      <w:r w:rsidRPr="00585F39">
        <w:t xml:space="preserve"> standard of public services and associated infrastructure, assuming </w:t>
      </w:r>
      <w:r>
        <w:t xml:space="preserve">states make a similar </w:t>
      </w:r>
      <w:r w:rsidRPr="00585F39">
        <w:t>effort to raise revenue and deliver services.</w:t>
      </w:r>
    </w:p>
    <w:p w14:paraId="68FBBFA5" w14:textId="77777777" w:rsidR="0007750C" w:rsidRDefault="0007750C">
      <w:pPr>
        <w:pStyle w:val="BodyText"/>
      </w:pPr>
      <w:r w:rsidRPr="000A5CED">
        <w:t xml:space="preserve">For </w:t>
      </w:r>
      <w:r>
        <w:t>this</w:t>
      </w:r>
      <w:r w:rsidRPr="000A5CED">
        <w:t xml:space="preserve"> reason</w:t>
      </w:r>
      <w:r>
        <w:t>, where a state receives a smaller share of the GST pool, it reflects a need for less support to deliver this level of services, relative to other states. In other words, a lower share indicates</w:t>
      </w:r>
      <w:r w:rsidRPr="007057B4">
        <w:t xml:space="preserve"> that a state has a relatively </w:t>
      </w:r>
      <w:r>
        <w:t xml:space="preserve">greater </w:t>
      </w:r>
      <w:r w:rsidRPr="007057B4">
        <w:t xml:space="preserve">fiscal capacity and is less reliant on </w:t>
      </w:r>
      <w:r>
        <w:t>GST payments</w:t>
      </w:r>
      <w:r w:rsidRPr="007057B4">
        <w:t xml:space="preserve"> to provide </w:t>
      </w:r>
      <w:r>
        <w:t xml:space="preserve">a similar standard of </w:t>
      </w:r>
      <w:r w:rsidRPr="007057B4">
        <w:t>services</w:t>
      </w:r>
      <w:r>
        <w:t xml:space="preserve"> to other states</w:t>
      </w:r>
      <w:r w:rsidRPr="007057B4">
        <w:t xml:space="preserve">. In that sense, receiving a smaller share of the GST pool should not automatically be described as a </w:t>
      </w:r>
      <w:r>
        <w:t>‘</w:t>
      </w:r>
      <w:r w:rsidRPr="007057B4">
        <w:t>loss</w:t>
      </w:r>
      <w:r>
        <w:t>’</w:t>
      </w:r>
      <w:r w:rsidRPr="007057B4">
        <w:t xml:space="preserve"> in terms of the state’s overall fiscal position</w:t>
      </w:r>
      <w:r>
        <w:t xml:space="preserve"> – rather, it indicates the state has relatively more scope to provide a similar standard of services to other states with its own fiscal capacity.</w:t>
      </w:r>
    </w:p>
    <w:p w14:paraId="1CF40FF3" w14:textId="77777777" w:rsidR="0007750C" w:rsidRDefault="0007750C">
      <w:pPr>
        <w:pStyle w:val="BodyText"/>
      </w:pPr>
      <w:r w:rsidRPr="007F7A1C">
        <w:t xml:space="preserve">Similarly, receiving a larger share </w:t>
      </w:r>
      <w:r>
        <w:t xml:space="preserve">of the GST pool </w:t>
      </w:r>
      <w:r w:rsidRPr="007F7A1C">
        <w:t xml:space="preserve">should not be characterised as a </w:t>
      </w:r>
      <w:r>
        <w:t>fiscal</w:t>
      </w:r>
      <w:r w:rsidRPr="007F7A1C">
        <w:t xml:space="preserve"> </w:t>
      </w:r>
      <w:r>
        <w:t>‘</w:t>
      </w:r>
      <w:r w:rsidRPr="007F7A1C">
        <w:t>win</w:t>
      </w:r>
      <w:r>
        <w:t>’</w:t>
      </w:r>
      <w:r w:rsidRPr="007F7A1C">
        <w:t>.</w:t>
      </w:r>
      <w:r>
        <w:t xml:space="preserve"> Rather,</w:t>
      </w:r>
      <w:r w:rsidRPr="007F7A1C">
        <w:t xml:space="preserve"> </w:t>
      </w:r>
      <w:r>
        <w:t>a</w:t>
      </w:r>
      <w:r w:rsidRPr="007F7A1C">
        <w:t xml:space="preserve"> larger share reflects </w:t>
      </w:r>
      <w:r>
        <w:t>that a state has a need for relatively more support to be able to deliver a similar standard of services to other states.</w:t>
      </w:r>
    </w:p>
    <w:p w14:paraId="5A14A0DD" w14:textId="77777777" w:rsidR="0007750C" w:rsidRDefault="0007750C" w:rsidP="00377BB9">
      <w:pPr>
        <w:pStyle w:val="BodyText"/>
        <w:spacing w:after="240"/>
      </w:pPr>
      <w:r>
        <w:t>It is also important to recognise that year-on-year increases or decreases in a state’s GST payments are also influenced by a number of factors, including their share of the population, data revisions or methodological changes.</w:t>
      </w:r>
    </w:p>
    <w:p w14:paraId="646C11FA" w14:textId="77777777" w:rsidR="0007750C" w:rsidRDefault="0007750C">
      <w:pPr>
        <w:pStyle w:val="BodyText"/>
      </w:pPr>
      <w:r w:rsidRPr="00744441">
        <w:rPr>
          <w:noProof/>
        </w:rPr>
        <w:drawing>
          <wp:inline distT="0" distB="0" distL="0" distR="0" wp14:anchorId="6948EB77" wp14:editId="2D7E23CD">
            <wp:extent cx="6120130" cy="476250"/>
            <wp:effectExtent l="0" t="0" r="0" b="0"/>
            <wp:docPr id="1412676864" name="Picture 11" descr="GST payments are not intended to influence state policy deci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676864" name="Picture 11" descr="GST payments are not intended to influence state policy decisions"/>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120130" cy="476250"/>
                    </a:xfrm>
                    <a:prstGeom prst="rect">
                      <a:avLst/>
                    </a:prstGeom>
                    <a:noFill/>
                    <a:ln>
                      <a:noFill/>
                    </a:ln>
                  </pic:spPr>
                </pic:pic>
              </a:graphicData>
            </a:graphic>
          </wp:inline>
        </w:drawing>
      </w:r>
    </w:p>
    <w:p w14:paraId="20FA9FE7" w14:textId="77777777" w:rsidR="0007750C" w:rsidRPr="00BC2AFF" w:rsidRDefault="0007750C">
      <w:pPr>
        <w:pStyle w:val="BodyText"/>
      </w:pPr>
      <w:r>
        <w:t>The CGC seeks to account for structural factors – not policy choices – that impact a state’s revenue</w:t>
      </w:r>
      <w:r>
        <w:noBreakHyphen/>
        <w:t xml:space="preserve">raising capacity or </w:t>
      </w:r>
      <w:r w:rsidRPr="00EA6981">
        <w:t>expenditure requirements</w:t>
      </w:r>
      <w:r>
        <w:t xml:space="preserve">. To do this, the CGC’s assessment of individual state fiscal capacities assumes national average policy, which is based on the average of actual state policies. States’ needs are assessed on the basis of this national average policy, meaning that if they make a policy choice to spend above national average policy, they do not receive compensation for this through GST payments (chapter 3). </w:t>
      </w:r>
    </w:p>
    <w:p w14:paraId="49D532F7" w14:textId="77777777" w:rsidR="0007750C" w:rsidRPr="00377BB9" w:rsidRDefault="0007750C">
      <w:pPr>
        <w:pStyle w:val="BodyText"/>
        <w:rPr>
          <w:spacing w:val="-4"/>
        </w:rPr>
      </w:pPr>
      <w:r w:rsidRPr="00377BB9">
        <w:rPr>
          <w:spacing w:val="-4"/>
        </w:rPr>
        <w:t xml:space="preserve">Additionally, the CGC does not assess differences in state debt levels, as these are considered to be the result of policy decisions. While the CGC includes net borrowing costs, this is assessed using the average level of borrowing and interest costs across states and does not reflect the actual debt level of any state. </w:t>
      </w:r>
    </w:p>
    <w:p w14:paraId="1311039A" w14:textId="77777777" w:rsidR="0007750C" w:rsidRPr="00377BB9" w:rsidRDefault="0007750C" w:rsidP="00377BB9">
      <w:pPr>
        <w:pStyle w:val="BodyText"/>
        <w:spacing w:before="240"/>
      </w:pPr>
      <w:r w:rsidRPr="00377BB9">
        <w:rPr>
          <w:noProof/>
        </w:rPr>
        <w:drawing>
          <wp:inline distT="0" distB="0" distL="0" distR="0" wp14:anchorId="5B3034B4" wp14:editId="6362D74C">
            <wp:extent cx="6120130" cy="488315"/>
            <wp:effectExtent l="0" t="0" r="0" b="6985"/>
            <wp:docPr id="195689207" name="Picture 14" descr="GST payments are not intended to address structural disadvant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89207" name="Picture 14" descr="GST payments are not intended to address structural disadvantag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120130" cy="488315"/>
                    </a:xfrm>
                    <a:prstGeom prst="rect">
                      <a:avLst/>
                    </a:prstGeom>
                    <a:noFill/>
                    <a:ln>
                      <a:noFill/>
                    </a:ln>
                  </pic:spPr>
                </pic:pic>
              </a:graphicData>
            </a:graphic>
          </wp:inline>
        </w:drawing>
      </w:r>
    </w:p>
    <w:p w14:paraId="0EC3E492" w14:textId="77777777" w:rsidR="0007750C" w:rsidRDefault="0007750C">
      <w:pPr>
        <w:pStyle w:val="BodyText"/>
      </w:pPr>
      <w:r w:rsidRPr="007A0839">
        <w:t xml:space="preserve">The HFE system assesses differences in states’ fiscal capacities arising from </w:t>
      </w:r>
      <w:r>
        <w:t>structural</w:t>
      </w:r>
      <w:r w:rsidRPr="007A0839">
        <w:t xml:space="preserve"> factors beyond their control.</w:t>
      </w:r>
      <w:r>
        <w:t xml:space="preserve"> However, the system is not intended to address and overcome the underlying causes of these structural differences. For example, a state may be assessed as requiring a greater share of the GST pool to reflect high service delivery costs due to a greater share of their population living in remote </w:t>
      </w:r>
      <w:r>
        <w:lastRenderedPageBreak/>
        <w:t>areas. This allocation is intended to give the state the capacity to provide a similar standard of services to other states, despite their higher costs of service delivery. It is not required – or even expected – that the additional funds be used in a way that would induce more of the population to move to lower-cost urban areas. GST payments are only intended to provide states with the capacity to address the impact their structural disadvantages have on service delivery, rather than providing states with the capacity to overcome their structural disadvantages.</w:t>
      </w:r>
    </w:p>
    <w:p w14:paraId="0C245C4E" w14:textId="77777777" w:rsidR="0007750C" w:rsidRDefault="0007750C">
      <w:pPr>
        <w:pStyle w:val="BodyText"/>
      </w:pPr>
      <w:r>
        <w:t>Additionally, states who receive a greater share of the GST pool to reflect their structural disadvantage are not required to spend the additional revenue on addressing the areas of disadvantage. Indeed, GST payments are unlikely to be sufficient to fix structural disadvantage, and where the Australian Government seeks to address such disadvantage, it often does so through tied funding agreements.</w:t>
      </w:r>
    </w:p>
    <w:p w14:paraId="436770B8" w14:textId="77777777" w:rsidR="00377BB9" w:rsidRDefault="00377BB9" w:rsidP="00377BB9">
      <w:pPr>
        <w:pStyle w:val="NoSpacing"/>
      </w:pPr>
    </w:p>
    <w:tbl>
      <w:tblPr>
        <w:tblStyle w:val="TableGrid"/>
        <w:tblW w:w="5000" w:type="pct"/>
        <w:tblBorders>
          <w:top w:val="single" w:sz="4" w:space="0" w:color="2B9AC2" w:themeColor="text2"/>
          <w:left w:val="single" w:sz="4" w:space="0" w:color="2B9AC2" w:themeColor="text2"/>
          <w:bottom w:val="single" w:sz="4" w:space="0" w:color="2B9AC2" w:themeColor="text2"/>
          <w:right w:val="single" w:sz="4" w:space="0" w:color="2B9AC2" w:themeColor="text2"/>
          <w:insideH w:val="none" w:sz="0" w:space="0" w:color="auto"/>
          <w:insideV w:val="none" w:sz="0" w:space="0" w:color="auto"/>
        </w:tblBorders>
        <w:tblCellMar>
          <w:bottom w:w="113" w:type="dxa"/>
        </w:tblCellMar>
        <w:tblLook w:val="04A0" w:firstRow="1" w:lastRow="0" w:firstColumn="1" w:lastColumn="0" w:noHBand="0" w:noVBand="1"/>
      </w:tblPr>
      <w:tblGrid>
        <w:gridCol w:w="705"/>
        <w:gridCol w:w="8923"/>
      </w:tblGrid>
      <w:tr w:rsidR="0007750C" w14:paraId="2A319D52" w14:textId="77777777">
        <w:trPr>
          <w:trHeight w:val="765"/>
          <w:tblHeader/>
        </w:trPr>
        <w:tc>
          <w:tcPr>
            <w:tcW w:w="366" w:type="pct"/>
            <w:tcBorders>
              <w:bottom w:val="nil"/>
            </w:tcBorders>
            <w:tcMar>
              <w:bottom w:w="0" w:type="dxa"/>
            </w:tcMar>
            <w:vAlign w:val="center"/>
          </w:tcPr>
          <w:p w14:paraId="69F5D6B4" w14:textId="77777777" w:rsidR="0007750C" w:rsidRDefault="0007750C">
            <w:pPr>
              <w:pStyle w:val="NoSpacing"/>
              <w:keepNext/>
              <w:keepLines/>
              <w:jc w:val="right"/>
            </w:pPr>
            <w:r w:rsidRPr="00A51374">
              <w:rPr>
                <w:noProof/>
              </w:rPr>
              <w:drawing>
                <wp:inline distT="0" distB="0" distL="0" distR="0" wp14:anchorId="61EA6CC1" wp14:editId="795B0266">
                  <wp:extent cx="288000" cy="288000"/>
                  <wp:effectExtent l="0" t="0" r="0" b="0"/>
                  <wp:docPr id="970689892" name="Graphic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phic 39">
                            <a:extLst>
                              <a:ext uri="{C183D7F6-B498-43B3-948B-1728B52AA6E4}">
                                <adec:decorative xmlns:adec="http://schemas.microsoft.com/office/drawing/2017/decorative" val="1"/>
                              </a:ext>
                            </a:extLst>
                          </pic:cNvPr>
                          <pic:cNvPicPr/>
                        </pic:nvPicPr>
                        <pic:blipFill>
                          <a:blip r:embed="rId59">
                            <a:extLst>
                              <a:ext uri="{28A0092B-C50C-407E-A947-70E740481C1C}">
                                <a14:useLocalDpi xmlns:a14="http://schemas.microsoft.com/office/drawing/2010/main" val="0"/>
                              </a:ext>
                            </a:extLst>
                          </a:blip>
                          <a:stretch>
                            <a:fillRect/>
                          </a:stretch>
                        </pic:blipFill>
                        <pic:spPr>
                          <a:xfrm>
                            <a:off x="0" y="0"/>
                            <a:ext cx="288000" cy="288000"/>
                          </a:xfrm>
                          <a:prstGeom prst="rect">
                            <a:avLst/>
                          </a:prstGeom>
                        </pic:spPr>
                      </pic:pic>
                    </a:graphicData>
                  </a:graphic>
                </wp:inline>
              </w:drawing>
            </w:r>
          </w:p>
        </w:tc>
        <w:tc>
          <w:tcPr>
            <w:tcW w:w="4634" w:type="pct"/>
            <w:tcBorders>
              <w:bottom w:val="nil"/>
            </w:tcBorders>
            <w:tcMar>
              <w:bottom w:w="0" w:type="dxa"/>
            </w:tcMar>
            <w:vAlign w:val="center"/>
          </w:tcPr>
          <w:p w14:paraId="173AA457" w14:textId="078ED614" w:rsidR="0007750C" w:rsidRPr="009D3A16" w:rsidRDefault="0007750C">
            <w:pPr>
              <w:pStyle w:val="FindingRecRequesttitle"/>
            </w:pPr>
            <w:r w:rsidRPr="009D3A16">
              <w:t xml:space="preserve">Interim finding </w:t>
            </w:r>
            <w:r w:rsidRPr="009D3A16">
              <w:fldChar w:fldCharType="begin"/>
            </w:r>
            <w:r w:rsidRPr="00815CF0">
              <w:instrText xml:space="preserve"> STYLEREF 1 \s </w:instrText>
            </w:r>
            <w:r w:rsidRPr="009D3A16">
              <w:fldChar w:fldCharType="separate"/>
            </w:r>
            <w:r w:rsidR="009C08C4">
              <w:rPr>
                <w:noProof/>
              </w:rPr>
              <w:t>1</w:t>
            </w:r>
            <w:r w:rsidRPr="009D3A16">
              <w:fldChar w:fldCharType="end"/>
            </w:r>
            <w:r w:rsidRPr="009D3A16">
              <w:t>.</w:t>
            </w:r>
            <w:r w:rsidRPr="009D3A16">
              <w:fldChar w:fldCharType="begin"/>
            </w:r>
            <w:r w:rsidRPr="00815CF0">
              <w:instrText xml:space="preserve"> SEQ Finding \* ARABIC \s 1 </w:instrText>
            </w:r>
            <w:r w:rsidRPr="009D3A16">
              <w:fldChar w:fldCharType="separate"/>
            </w:r>
            <w:r w:rsidR="009C08C4">
              <w:rPr>
                <w:noProof/>
              </w:rPr>
              <w:t>1</w:t>
            </w:r>
            <w:r w:rsidRPr="009D3A16">
              <w:fldChar w:fldCharType="end"/>
            </w:r>
          </w:p>
          <w:p w14:paraId="3FBF5521" w14:textId="77777777" w:rsidR="0007750C" w:rsidRDefault="0007750C">
            <w:pPr>
              <w:pStyle w:val="FindingRecRequesttitle"/>
            </w:pPr>
            <w:r w:rsidRPr="009D3A16">
              <w:t xml:space="preserve">A lack of understanding of the HFE system has undermined the quality of public debate </w:t>
            </w:r>
            <w:r w:rsidRPr="0007544C">
              <w:t xml:space="preserve">on </w:t>
            </w:r>
            <w:r w:rsidRPr="009D3A16">
              <w:t>the topic</w:t>
            </w:r>
          </w:p>
        </w:tc>
      </w:tr>
      <w:tr w:rsidR="0007750C" w14:paraId="0EAA23F7" w14:textId="77777777">
        <w:tc>
          <w:tcPr>
            <w:tcW w:w="5000" w:type="pct"/>
            <w:gridSpan w:val="2"/>
            <w:tcBorders>
              <w:top w:val="nil"/>
              <w:bottom w:val="single" w:sz="4" w:space="0" w:color="2B9AC2" w:themeColor="text2"/>
            </w:tcBorders>
          </w:tcPr>
          <w:p w14:paraId="4C6D0D75" w14:textId="77777777" w:rsidR="0007750C" w:rsidRDefault="0007750C">
            <w:pPr>
              <w:pStyle w:val="BodyText"/>
              <w:keepLines/>
            </w:pPr>
            <w:r>
              <w:t xml:space="preserve">The complex nature of the horizontal fiscal equalisation (HFE) system has contributed to a lack of public understanding of the system and caused several misconceptions to become prominent in public debate. The prominence of these misconceptions has undermined the quality of public discourse surrounding the HFE system and resulted in debate which is often based on mischaracterisations of the system. </w:t>
            </w:r>
          </w:p>
        </w:tc>
      </w:tr>
      <w:tr w:rsidR="0007750C" w14:paraId="17DD8E66" w14:textId="77777777">
        <w:tc>
          <w:tcPr>
            <w:tcW w:w="5000" w:type="pct"/>
            <w:gridSpan w:val="2"/>
            <w:tcBorders>
              <w:top w:val="single" w:sz="4" w:space="0" w:color="2B9AC2" w:themeColor="text2"/>
              <w:left w:val="nil"/>
              <w:bottom w:val="nil"/>
              <w:right w:val="nil"/>
            </w:tcBorders>
            <w:tcMar>
              <w:bottom w:w="0" w:type="dxa"/>
            </w:tcMar>
          </w:tcPr>
          <w:p w14:paraId="303261C5" w14:textId="77777777" w:rsidR="0007750C" w:rsidRDefault="0007750C">
            <w:pPr>
              <w:pStyle w:val="NoSpacing"/>
              <w:spacing w:line="200" w:lineRule="atLeast"/>
            </w:pPr>
          </w:p>
        </w:tc>
      </w:tr>
    </w:tbl>
    <w:p w14:paraId="29AC8BA4" w14:textId="77777777" w:rsidR="0007750C" w:rsidRDefault="0007750C" w:rsidP="00A5526E">
      <w:pPr>
        <w:pStyle w:val="Heading2"/>
        <w:keepNext w:val="0"/>
        <w:keepLines w:val="0"/>
      </w:pPr>
      <w:bookmarkStart w:id="18" w:name="_Toc234008087"/>
      <w:bookmarkStart w:id="19" w:name="_Toc235447969"/>
      <w:bookmarkStart w:id="20" w:name="_Toc234579010"/>
      <w:bookmarkStart w:id="21" w:name="_Toc236904063"/>
      <w:r>
        <w:t>The HFE system was under pressure prior to the 2018 reforms</w:t>
      </w:r>
      <w:bookmarkEnd w:id="18"/>
      <w:bookmarkEnd w:id="19"/>
      <w:bookmarkEnd w:id="20"/>
      <w:bookmarkEnd w:id="21"/>
      <w:r>
        <w:t xml:space="preserve"> </w:t>
      </w:r>
    </w:p>
    <w:p w14:paraId="5B75C8FA" w14:textId="77777777" w:rsidR="0007750C" w:rsidRDefault="0007750C" w:rsidP="00A5526E">
      <w:pPr>
        <w:pStyle w:val="Heading3"/>
        <w:keepNext w:val="0"/>
        <w:keepLines w:val="0"/>
      </w:pPr>
      <w:r>
        <w:t>The GST pool has not grown in line with the Australian economy or state expenditures</w:t>
      </w:r>
    </w:p>
    <w:p w14:paraId="50ABF3B7" w14:textId="2A2B9EB9" w:rsidR="0007750C" w:rsidRDefault="0007750C" w:rsidP="00A5526E">
      <w:pPr>
        <w:pStyle w:val="BodyText"/>
      </w:pPr>
      <w:r>
        <w:t xml:space="preserve">When the GST was introduced in 2000, the then Treasurer described it as </w:t>
      </w:r>
      <w:r w:rsidRPr="009D3A16">
        <w:rPr>
          <w:i/>
        </w:rPr>
        <w:t>‘a revenue base that [would grow] in line with the economy’</w:t>
      </w:r>
      <w:r w:rsidRPr="00D216EB">
        <w:t xml:space="preserve"> and claimed it would </w:t>
      </w:r>
      <w:r w:rsidRPr="009D3A16">
        <w:rPr>
          <w:i/>
        </w:rPr>
        <w:t>‘provide a secure base [for states] to fund their services.’</w:t>
      </w:r>
      <w:r w:rsidRPr="00D216EB">
        <w:t xml:space="preserve"> (Costello 2000, p. 3). However, GST pool growth has not kept pace with GDP growth over time. Had the GST pool grown at the same annual nominal rate as GDP since its introduction in 2000</w:t>
      </w:r>
      <w:r>
        <w:t>–</w:t>
      </w:r>
      <w:r w:rsidRPr="00D216EB">
        <w:t>01, states would have received about</w:t>
      </w:r>
      <w:r>
        <w:t xml:space="preserve"> $39 billion more in GST payments (cumulatively, in nominal terms), including about $4 billion more in 2024–25 alone </w:t>
      </w:r>
      <w:r w:rsidR="00546FEC" w:rsidRPr="00546FEC">
        <w:rPr>
          <w:rFonts w:cs="Open Sans"/>
        </w:rPr>
        <w:t>(PC estimates using ABS 2026a; and Commonwealth of Australia 2025 and various other years)</w:t>
      </w:r>
      <w:r>
        <w:t xml:space="preserve">. </w:t>
      </w:r>
    </w:p>
    <w:p w14:paraId="6FB18599" w14:textId="77777777" w:rsidR="0007750C" w:rsidRDefault="0007750C">
      <w:pPr>
        <w:pStyle w:val="BodyText"/>
        <w:keepNext/>
      </w:pPr>
      <w:r>
        <w:t xml:space="preserve">This divergence is due to several interdependent factors. </w:t>
      </w:r>
    </w:p>
    <w:p w14:paraId="085F41C9" w14:textId="53A0276E" w:rsidR="0007750C" w:rsidRPr="00C92F51" w:rsidRDefault="0007750C" w:rsidP="0007750C">
      <w:pPr>
        <w:pStyle w:val="ListBullet"/>
      </w:pPr>
      <w:r w:rsidRPr="00C92F51">
        <w:t>First, household spending as a share of GDP has fallen since the GST was first introduced</w:t>
      </w:r>
      <w:r>
        <w:t xml:space="preserve"> </w:t>
      </w:r>
      <w:r w:rsidRPr="00C92F51">
        <w:t xml:space="preserve">due to </w:t>
      </w:r>
      <w:r>
        <w:t xml:space="preserve">the increasing contribution of largely GST-free mining exports – particularly iron ore exports – to economic activity </w:t>
      </w:r>
      <w:r w:rsidRPr="00C92F51">
        <w:t>and greater propensities among households to save</w:t>
      </w:r>
      <w:r>
        <w:t xml:space="preserve"> </w:t>
      </w:r>
      <w:r w:rsidRPr="00813C61">
        <w:rPr>
          <w:rFonts w:cs="Open Sans"/>
          <w:szCs w:val="24"/>
        </w:rPr>
        <w:t>(PBO 2020, pp. 24–26)</w:t>
      </w:r>
      <w:r w:rsidRPr="00C92F51">
        <w:t xml:space="preserve">. </w:t>
      </w:r>
    </w:p>
    <w:p w14:paraId="39F1A930" w14:textId="776E714A" w:rsidR="0007750C" w:rsidRPr="00C92F51" w:rsidRDefault="0007750C" w:rsidP="000405F7">
      <w:pPr>
        <w:pStyle w:val="ListBullet"/>
        <w:spacing w:before="0" w:after="160" w:line="259" w:lineRule="auto"/>
      </w:pPr>
      <w:r w:rsidRPr="000405F7">
        <w:rPr>
          <w:spacing w:val="-2"/>
        </w:rPr>
        <w:t xml:space="preserve">Second, the relative prices of GST-exempt items like healthcare and rent have risen faster than items that are subject to GST </w:t>
      </w:r>
      <w:r w:rsidRPr="000405F7">
        <w:rPr>
          <w:rFonts w:cs="Open Sans"/>
          <w:spacing w:val="-2"/>
          <w:szCs w:val="24"/>
        </w:rPr>
        <w:t>(PBO 2020, pp. 7–8)</w:t>
      </w:r>
      <w:r w:rsidRPr="000405F7">
        <w:rPr>
          <w:spacing w:val="-2"/>
        </w:rPr>
        <w:t xml:space="preserve">. Consequently, a smaller proportion of household spending is on items that are subject to GST, decreasing the share of taxable expenditure </w:t>
      </w:r>
      <w:r w:rsidRPr="000405F7">
        <w:rPr>
          <w:rFonts w:cs="Open Sans"/>
          <w:spacing w:val="-2"/>
          <w:szCs w:val="24"/>
        </w:rPr>
        <w:t>(PBO 2020, pp. 5, 26)</w:t>
      </w:r>
      <w:r w:rsidRPr="000405F7">
        <w:rPr>
          <w:spacing w:val="-2"/>
        </w:rPr>
        <w:t>.</w:t>
      </w:r>
    </w:p>
    <w:p w14:paraId="06F46F88" w14:textId="52C52778" w:rsidR="0007750C" w:rsidRPr="00A85595" w:rsidRDefault="0007750C">
      <w:pPr>
        <w:pStyle w:val="BodyText"/>
        <w:rPr>
          <w:spacing w:val="-4"/>
        </w:rPr>
      </w:pPr>
      <w:r w:rsidRPr="00A85595">
        <w:rPr>
          <w:spacing w:val="-4"/>
        </w:rPr>
        <w:lastRenderedPageBreak/>
        <w:t>Growth in the current largest state expenditure categories has outpaced growth in the GST pool (figure</w:t>
      </w:r>
      <w:r w:rsidR="00A85595" w:rsidRPr="00A85595">
        <w:rPr>
          <w:spacing w:val="-4"/>
        </w:rPr>
        <w:t> </w:t>
      </w:r>
      <w:r w:rsidRPr="00A85595">
        <w:rPr>
          <w:spacing w:val="-4"/>
        </w:rPr>
        <w:t>1.4). This means that the scope for GST payments to support state service delivery has declined over time.</w:t>
      </w:r>
    </w:p>
    <w:p w14:paraId="6A6766C1" w14:textId="24069989" w:rsidR="0007750C" w:rsidRPr="00146382" w:rsidRDefault="0007750C">
      <w:pPr>
        <w:pStyle w:val="FigureTableHeading"/>
      </w:pPr>
      <w:r>
        <w:t xml:space="preserve">Figure </w:t>
      </w:r>
      <w:r w:rsidRPr="70E04E85">
        <w:fldChar w:fldCharType="begin"/>
      </w:r>
      <w:r>
        <w:instrText xml:space="preserve"> STYLEREF 1 \s </w:instrText>
      </w:r>
      <w:r w:rsidRPr="70E04E85">
        <w:fldChar w:fldCharType="separate"/>
      </w:r>
      <w:r w:rsidR="009C08C4">
        <w:rPr>
          <w:noProof/>
        </w:rPr>
        <w:t>1</w:t>
      </w:r>
      <w:r w:rsidRPr="70E04E85">
        <w:rPr>
          <w:noProof/>
        </w:rPr>
        <w:fldChar w:fldCharType="end"/>
      </w:r>
      <w:r>
        <w:t>.</w:t>
      </w:r>
      <w:r w:rsidRPr="70E04E85">
        <w:fldChar w:fldCharType="begin"/>
      </w:r>
      <w:r>
        <w:instrText xml:space="preserve"> SEQ Figure \* ARABIC \s 1 </w:instrText>
      </w:r>
      <w:r w:rsidRPr="70E04E85">
        <w:fldChar w:fldCharType="separate"/>
      </w:r>
      <w:r w:rsidR="009C08C4">
        <w:rPr>
          <w:noProof/>
        </w:rPr>
        <w:t>4</w:t>
      </w:r>
      <w:r w:rsidRPr="70E04E85">
        <w:rPr>
          <w:noProof/>
        </w:rPr>
        <w:fldChar w:fldCharType="end"/>
      </w:r>
      <w:r w:rsidRPr="70E04E85">
        <w:rPr>
          <w:noProof/>
        </w:rPr>
        <w:t xml:space="preserve"> </w:t>
      </w:r>
      <w:r>
        <w:t>– State expenditure has grown faster than the GST pool</w:t>
      </w:r>
    </w:p>
    <w:p w14:paraId="1BDDFCB7" w14:textId="77777777" w:rsidR="0007750C" w:rsidRDefault="0007750C">
      <w:pPr>
        <w:pStyle w:val="FigureTableSubheading"/>
        <w:keepLines/>
      </w:pPr>
      <w:r>
        <w:t xml:space="preserve">Growth of the GST pool and </w:t>
      </w:r>
      <w:r w:rsidRPr="008E444D">
        <w:t>state expenditure</w:t>
      </w:r>
      <w:r>
        <w:t xml:space="preserve"> categories, constant prices 2024–25 basis</w:t>
      </w:r>
    </w:p>
    <w:p w14:paraId="2E34C2F6" w14:textId="2B4382D3" w:rsidR="0007750C" w:rsidRPr="00012D34" w:rsidRDefault="004726FB">
      <w:pPr>
        <w:pStyle w:val="BodyText"/>
      </w:pPr>
      <w:r w:rsidRPr="004726FB">
        <w:rPr>
          <w:noProof/>
        </w:rPr>
        <w:drawing>
          <wp:inline distT="0" distB="0" distL="0" distR="0" wp14:anchorId="7CB2B1C3" wp14:editId="71E7483C">
            <wp:extent cx="6120130" cy="2871470"/>
            <wp:effectExtent l="0" t="0" r="0" b="0"/>
            <wp:docPr id="947665587" name="Picture 23" descr="Figure 1.4 – A line graph showing the growth in state expenditure categories compared to growth in the GST distribution pool since 2000-01. Capital investment, health and total expenditure have grown more than the GST pool since 2000-01, and education has grown less than the GST pool since 2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665587" name="Picture 23" descr="Figure 1.4 – A line graph showing the growth in state expenditure categories compared to growth in the GST distribution pool since 2000-01. Capital investment, health and total expenditure have grown more than the GST pool since 2000-01, and education has grown less than the GST pool since 2000-0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20130" cy="2871470"/>
                    </a:xfrm>
                    <a:prstGeom prst="rect">
                      <a:avLst/>
                    </a:prstGeom>
                    <a:noFill/>
                    <a:ln>
                      <a:noFill/>
                    </a:ln>
                  </pic:spPr>
                </pic:pic>
              </a:graphicData>
            </a:graphic>
          </wp:inline>
        </w:drawing>
      </w:r>
    </w:p>
    <w:p w14:paraId="39281FF9" w14:textId="108BD4E6" w:rsidR="0007750C" w:rsidRDefault="0007750C">
      <w:pPr>
        <w:pStyle w:val="Note"/>
      </w:pPr>
      <w:r>
        <w:t xml:space="preserve">Total expenditure refers to the sum of total expenses and net acquisition of non-financial assets </w:t>
      </w:r>
      <w:r w:rsidRPr="00C92191">
        <w:rPr>
          <w:rFonts w:cs="Open Sans"/>
          <w:szCs w:val="24"/>
        </w:rPr>
        <w:t>(ABS 2015)</w:t>
      </w:r>
      <w:r>
        <w:t>. Capital investment refers to gross fixed capital formation. The GST pool refers to total GST payments to states.</w:t>
      </w:r>
    </w:p>
    <w:p w14:paraId="535F6DAB" w14:textId="7B78E655" w:rsidR="0007750C" w:rsidRDefault="0007750C" w:rsidP="00C57648">
      <w:pPr>
        <w:pStyle w:val="Source"/>
        <w:spacing w:after="360"/>
      </w:pPr>
      <w:r w:rsidRPr="007F7150">
        <w:t xml:space="preserve">Source: PC estimates using ABS </w:t>
      </w:r>
      <w:r w:rsidR="00546FEC" w:rsidRPr="00546FEC">
        <w:rPr>
          <w:rFonts w:cs="Open Sans"/>
        </w:rPr>
        <w:t>(2026a)</w:t>
      </w:r>
      <w:r w:rsidRPr="007F7150">
        <w:t xml:space="preserve"> and Commonwealth of Australia </w:t>
      </w:r>
      <w:r w:rsidRPr="00BB07EA">
        <w:rPr>
          <w:rFonts w:cs="Open Sans"/>
        </w:rPr>
        <w:t>(2025 and various other years)</w:t>
      </w:r>
      <w:r>
        <w:t>.</w:t>
      </w:r>
      <w:r w:rsidRPr="007F7150">
        <w:t xml:space="preserve"> </w:t>
      </w:r>
    </w:p>
    <w:p w14:paraId="0EFF2DA3" w14:textId="77777777" w:rsidR="0007750C" w:rsidRPr="00BC2AFF" w:rsidRDefault="0007750C">
      <w:pPr>
        <w:pStyle w:val="Heading3"/>
      </w:pPr>
      <w:r>
        <w:t>The mining boom had an unprecedented impact on the HFE system</w:t>
      </w:r>
    </w:p>
    <w:p w14:paraId="6E868AFF" w14:textId="524AC49C" w:rsidR="0007750C" w:rsidRDefault="0007750C">
      <w:pPr>
        <w:pStyle w:val="BodyText"/>
      </w:pPr>
      <w:r>
        <w:t>Australia has experienced a</w:t>
      </w:r>
      <w:r w:rsidRPr="00BC2AFF">
        <w:t xml:space="preserve"> mining boom driven by a </w:t>
      </w:r>
      <w:r>
        <w:t>significant</w:t>
      </w:r>
      <w:r w:rsidRPr="00BC2AFF">
        <w:t xml:space="preserve"> increase in the </w:t>
      </w:r>
      <w:r>
        <w:t xml:space="preserve">demand for, and consequently, the </w:t>
      </w:r>
      <w:r w:rsidRPr="00BC2AFF">
        <w:t>value of</w:t>
      </w:r>
      <w:r>
        <w:t>, a range of mineral commodities, particularly</w:t>
      </w:r>
      <w:r w:rsidRPr="00BC2AFF">
        <w:t xml:space="preserve"> iron ore</w:t>
      </w:r>
      <w:r>
        <w:t xml:space="preserve"> (box 1.2)</w:t>
      </w:r>
      <w:r w:rsidRPr="00EF072E">
        <w:t>.</w:t>
      </w:r>
      <w:r w:rsidRPr="00BC2AFF">
        <w:t xml:space="preserve"> The</w:t>
      </w:r>
      <w:r>
        <w:t xml:space="preserve"> global</w:t>
      </w:r>
      <w:r w:rsidRPr="00BC2AFF">
        <w:t xml:space="preserve"> iron ore price went from being </w:t>
      </w:r>
      <w:r>
        <w:t>AUD</w:t>
      </w:r>
      <w:r w:rsidRPr="009161AD">
        <w:t>$30 per tonne in 2002</w:t>
      </w:r>
      <w:r>
        <w:t>–</w:t>
      </w:r>
      <w:r w:rsidRPr="009161AD">
        <w:t>03</w:t>
      </w:r>
      <w:r>
        <w:t xml:space="preserve"> (a price that had been relatively stable for many years beforehand)</w:t>
      </w:r>
      <w:r w:rsidRPr="00BC2AFF">
        <w:t xml:space="preserve"> to </w:t>
      </w:r>
      <w:r>
        <w:t>AUD$72</w:t>
      </w:r>
      <w:r w:rsidRPr="00BC2AFF">
        <w:t xml:space="preserve"> per tonne in </w:t>
      </w:r>
      <w:r>
        <w:t>2017–18, with a peak at AUD$144 per tonne in 2010–‍11</w:t>
      </w:r>
      <w:r w:rsidRPr="00BC2AFF">
        <w:t xml:space="preserve"> </w:t>
      </w:r>
      <w:r w:rsidRPr="00DB1147">
        <w:rPr>
          <w:rFonts w:cs="Open Sans"/>
        </w:rPr>
        <w:t>(PC estimates using DISR 2025 and various other years)</w:t>
      </w:r>
      <w:r>
        <w:t xml:space="preserve">. </w:t>
      </w:r>
    </w:p>
    <w:p w14:paraId="078349E9" w14:textId="77777777" w:rsidR="00C15719" w:rsidRPr="00C57648" w:rsidRDefault="00C15719" w:rsidP="00C15719">
      <w:pPr>
        <w:pStyle w:val="BodyText"/>
        <w:rPr>
          <w:spacing w:val="-2"/>
        </w:rPr>
      </w:pPr>
      <w:r w:rsidRPr="00C57648">
        <w:rPr>
          <w:spacing w:val="-2"/>
        </w:rPr>
        <w:t xml:space="preserve">The mining boom had a significant effect on the outcomes produced by the HFE system because mineral resources, and consequently mining royalty revenues, are concentrated in a small number of states. About 83% of Australia’s iron ore deposits and 99% of Australia’s iron ore production is concentrated in Western Australia </w:t>
      </w:r>
      <w:r w:rsidRPr="00C57648">
        <w:rPr>
          <w:rFonts w:cs="Open Sans"/>
          <w:spacing w:val="-2"/>
          <w:szCs w:val="24"/>
        </w:rPr>
        <w:t>(Geoscience Australia 2026, p. 10; Government of Western Australia, sub. 37, p. 16)</w:t>
      </w:r>
      <w:r w:rsidRPr="00C57648">
        <w:rPr>
          <w:spacing w:val="-2"/>
        </w:rPr>
        <w:t xml:space="preserve">. </w:t>
      </w:r>
    </w:p>
    <w:p w14:paraId="0BC9EAB9" w14:textId="04213279" w:rsidR="00C15719" w:rsidRPr="00F82BD9" w:rsidRDefault="00C15719">
      <w:pPr>
        <w:pStyle w:val="BodyText"/>
      </w:pPr>
      <w:r>
        <w:t xml:space="preserve">The growth in iron ore prices and production volumes led to Western Australia’s overall royalty revenue increasing from around $1.3 billion in 2001–02 to $8.2 billion in 2013–14 </w:t>
      </w:r>
      <w:r w:rsidRPr="00546FEC">
        <w:rPr>
          <w:rFonts w:cs="Open Sans"/>
        </w:rPr>
        <w:t>(PC estimates using ABS 2026a)</w:t>
      </w:r>
      <w:r>
        <w:t xml:space="preserve">, which demonstrated an unprecedented increase in Western Australia’s ability to generate own-source revenue (figure 1.5). </w:t>
      </w:r>
    </w:p>
    <w:p w14:paraId="5C9A4B12" w14:textId="77777777" w:rsidR="00C57648" w:rsidRPr="00F82BD9" w:rsidRDefault="00C57648" w:rsidP="00C57648">
      <w:pPr>
        <w:pStyle w:val="NoSpacing"/>
      </w:pPr>
    </w:p>
    <w:tbl>
      <w:tblPr>
        <w:tblStyle w:val="Boxtable"/>
        <w:tblW w:w="5000" w:type="pct"/>
        <w:tblLook w:val="04A0" w:firstRow="1" w:lastRow="0" w:firstColumn="1" w:lastColumn="0" w:noHBand="0" w:noVBand="1"/>
      </w:tblPr>
      <w:tblGrid>
        <w:gridCol w:w="9638"/>
      </w:tblGrid>
      <w:tr w:rsidR="0007750C" w14:paraId="071C9F56" w14:textId="77777777">
        <w:trPr>
          <w:tblHeader/>
        </w:trPr>
        <w:tc>
          <w:tcPr>
            <w:tcW w:w="9638" w:type="dxa"/>
            <w:shd w:val="clear" w:color="auto" w:fill="EBEBEB"/>
            <w:tcMar>
              <w:top w:w="170" w:type="dxa"/>
              <w:left w:w="170" w:type="dxa"/>
              <w:bottom w:w="113" w:type="dxa"/>
              <w:right w:w="170" w:type="dxa"/>
            </w:tcMar>
            <w:hideMark/>
          </w:tcPr>
          <w:p w14:paraId="20A222C5" w14:textId="0ACD31D6" w:rsidR="0007750C" w:rsidRDefault="0007750C">
            <w:pPr>
              <w:pStyle w:val="BoxHeading1"/>
            </w:pPr>
            <w:r>
              <w:lastRenderedPageBreak/>
              <w:t xml:space="preserve">Box </w:t>
            </w:r>
            <w:r>
              <w:fldChar w:fldCharType="begin"/>
            </w:r>
            <w:r>
              <w:instrText>STYLEREF 1 \s</w:instrText>
            </w:r>
            <w:r>
              <w:fldChar w:fldCharType="separate"/>
            </w:r>
            <w:r w:rsidR="009C08C4">
              <w:rPr>
                <w:noProof/>
              </w:rPr>
              <w:t>1</w:t>
            </w:r>
            <w:r>
              <w:fldChar w:fldCharType="end"/>
            </w:r>
            <w:r>
              <w:t>.</w:t>
            </w:r>
            <w:r>
              <w:fldChar w:fldCharType="begin"/>
            </w:r>
            <w:r>
              <w:instrText>SEQ Box \* ARABIC \s 1</w:instrText>
            </w:r>
            <w:r>
              <w:fldChar w:fldCharType="separate"/>
            </w:r>
            <w:r w:rsidR="009C08C4">
              <w:rPr>
                <w:noProof/>
              </w:rPr>
              <w:t>2</w:t>
            </w:r>
            <w:r>
              <w:fldChar w:fldCharType="end"/>
            </w:r>
            <w:r>
              <w:t xml:space="preserve"> – The iron ore market changed after the introduction of the GST</w:t>
            </w:r>
          </w:p>
        </w:tc>
      </w:tr>
      <w:tr w:rsidR="0007750C" w:rsidRPr="00434E5A" w14:paraId="25D44138" w14:textId="77777777">
        <w:tc>
          <w:tcPr>
            <w:tcW w:w="9638" w:type="dxa"/>
            <w:shd w:val="clear" w:color="auto" w:fill="EBEBEB"/>
            <w:tcMar>
              <w:top w:w="28" w:type="dxa"/>
              <w:left w:w="170" w:type="dxa"/>
              <w:bottom w:w="170" w:type="dxa"/>
              <w:right w:w="170" w:type="dxa"/>
            </w:tcMar>
            <w:hideMark/>
          </w:tcPr>
          <w:p w14:paraId="70194975" w14:textId="2BE0E3B8" w:rsidR="0007750C" w:rsidRDefault="0007750C">
            <w:pPr>
              <w:rPr>
                <w:color w:val="000000"/>
              </w:rPr>
            </w:pPr>
            <w:r>
              <w:rPr>
                <w:color w:val="000000"/>
              </w:rPr>
              <w:t xml:space="preserve">The GST was introduced in 2000, before the modern iron ore market emerged. Iron ore was previously sold mostly under long-term benchmark contracts, China had not yet joined the World Trade Organisation, and the boom in Chinese steel production had not begun </w:t>
            </w:r>
            <w:r w:rsidRPr="002B5B7B">
              <w:rPr>
                <w:rFonts w:cs="Open Sans"/>
                <w:szCs w:val="24"/>
              </w:rPr>
              <w:t>(Caputo et al. 2013; World Trade Organisation 2026)</w:t>
            </w:r>
            <w:r>
              <w:rPr>
                <w:color w:val="000000"/>
              </w:rPr>
              <w:t>.</w:t>
            </w:r>
          </w:p>
          <w:p w14:paraId="1523F595" w14:textId="3D9C1451" w:rsidR="0007750C" w:rsidRDefault="0007750C">
            <w:pPr>
              <w:pStyle w:val="BodyText"/>
              <w:rPr>
                <w:color w:val="000000"/>
              </w:rPr>
            </w:pPr>
            <w:r>
              <w:t xml:space="preserve">From the mid-2000s, stronger Chinese demand for iron ore lifted structural iron ore prices and volumes. </w:t>
            </w:r>
            <w:r>
              <w:rPr>
                <w:color w:val="000000"/>
              </w:rPr>
              <w:t xml:space="preserve">The shift to shorter-term pricing tied to current market prices – known as spot-linked pricing </w:t>
            </w:r>
            <w:r>
              <w:t>–</w:t>
            </w:r>
            <w:r>
              <w:rPr>
                <w:color w:val="000000"/>
              </w:rPr>
              <w:t xml:space="preserve"> also made royalty revenue more responsive to global market conditions, leading to increased volatility </w:t>
            </w:r>
            <w:r w:rsidRPr="004F69C1">
              <w:rPr>
                <w:rFonts w:cs="Open Sans"/>
                <w:szCs w:val="24"/>
              </w:rPr>
              <w:t>(RBA 2012)</w:t>
            </w:r>
            <w:r>
              <w:rPr>
                <w:color w:val="000000"/>
              </w:rPr>
              <w:t>.</w:t>
            </w:r>
          </w:p>
          <w:p w14:paraId="1F911425" w14:textId="77777777" w:rsidR="0007750C" w:rsidRPr="009D3A16" w:rsidRDefault="0007750C">
            <w:pPr>
              <w:pStyle w:val="BodyText"/>
            </w:pPr>
            <w:r>
              <w:t>Together, these changes increased the scale and volatility of mining-related differences in state revenue-raising capacities, likely beyond what the HFE system’s original designers anticipated. Chapter 3 discusses commodity-driven volatility in the HFE system in more depth.</w:t>
            </w:r>
          </w:p>
          <w:p w14:paraId="1BBEA011" w14:textId="77777777" w:rsidR="0007750C" w:rsidRDefault="0007750C">
            <w:pPr>
              <w:pStyle w:val="FigureTableHeading"/>
            </w:pPr>
            <w:r>
              <w:t>Iron ore prices and Australian iron ore production increased following the mining boom</w:t>
            </w:r>
          </w:p>
          <w:p w14:paraId="7B0F70BB" w14:textId="77777777" w:rsidR="0007750C" w:rsidRPr="005550A0" w:rsidRDefault="0007750C">
            <w:pPr>
              <w:pStyle w:val="Note"/>
            </w:pPr>
            <w:r w:rsidRPr="00952375">
              <w:rPr>
                <w:noProof/>
              </w:rPr>
              <w:drawing>
                <wp:inline distT="0" distB="0" distL="0" distR="0" wp14:anchorId="6E60C694" wp14:editId="282EB8F4">
                  <wp:extent cx="6032500" cy="2876550"/>
                  <wp:effectExtent l="0" t="0" r="0" b="0"/>
                  <wp:docPr id="1531953874" name="Picture 8" descr="Box 1.2 figure - A two-panel graph showing the increase in iron ore prices and Australian iron ore production following the mining boom which started in the early 2000s. &#10;Panel 1 – A line graph showing that iron ore prices have increased and become more volatile following the introduction of the GST and the iron ore spot market. &#10;Panel 2 – a column graph showing a steady and significant increase in the volume of Australian iron ore production from the early 2000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953874" name="Picture 8" descr="Box 1.2 figure - A two-panel graph showing the increase in iron ore prices and Australian iron ore production following the mining boom which started in the early 2000s. &#10;Panel 1 – A line graph showing that iron ore prices have increased and become more volatile following the introduction of the GST and the iron ore spot market. &#10;Panel 2 – a column graph showing a steady and significant increase in the volume of Australian iron ore production from the early 2000s.&#10;&#1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032500" cy="2876550"/>
                          </a:xfrm>
                          <a:prstGeom prst="rect">
                            <a:avLst/>
                          </a:prstGeom>
                          <a:noFill/>
                          <a:ln>
                            <a:noFill/>
                          </a:ln>
                        </pic:spPr>
                      </pic:pic>
                    </a:graphicData>
                  </a:graphic>
                </wp:inline>
              </w:drawing>
            </w:r>
            <w:r w:rsidRPr="00653598">
              <w:t xml:space="preserve"> </w:t>
            </w:r>
            <w:r>
              <w:t xml:space="preserve">Iron ore prices are expressed in US dollars per dry metric tonne unit and reflect the current spot market price, including the cost of shipping to the destination port (or </w:t>
            </w:r>
            <w:r w:rsidRPr="004E6B7B">
              <w:t>US $/dmtu, CFR spot).</w:t>
            </w:r>
            <w:r>
              <w:t xml:space="preserve"> Iron ore price data has been converted from financial years to calendar years, where 1990 data is from the 1990–91 financial year.</w:t>
            </w:r>
          </w:p>
          <w:p w14:paraId="1A64BDDB" w14:textId="15A59038" w:rsidR="0007750C" w:rsidRPr="00434E5A" w:rsidRDefault="0007750C">
            <w:pPr>
              <w:pStyle w:val="Source"/>
              <w:rPr>
                <w:b/>
                <w:bCs/>
              </w:rPr>
            </w:pPr>
            <w:r w:rsidRPr="00434E5A">
              <w:t xml:space="preserve">Source: PC estimates using </w:t>
            </w:r>
            <w:r>
              <w:t xml:space="preserve">DISR </w:t>
            </w:r>
            <w:r w:rsidRPr="00C2055B">
              <w:rPr>
                <w:rFonts w:cs="Open Sans"/>
              </w:rPr>
              <w:t>(2025 and various other years)</w:t>
            </w:r>
            <w:r>
              <w:t>.</w:t>
            </w:r>
            <w:r w:rsidRPr="00434E5A">
              <w:rPr>
                <w:b/>
                <w:bCs/>
              </w:rPr>
              <w:t xml:space="preserve"> </w:t>
            </w:r>
          </w:p>
        </w:tc>
      </w:tr>
    </w:tbl>
    <w:p w14:paraId="01045DB0" w14:textId="244B4B04" w:rsidR="0007750C" w:rsidRPr="00146382" w:rsidRDefault="0007750C">
      <w:pPr>
        <w:pStyle w:val="FigureTableHeading"/>
      </w:pPr>
      <w:r>
        <w:lastRenderedPageBreak/>
        <w:t xml:space="preserve">Figure </w:t>
      </w:r>
      <w:r>
        <w:fldChar w:fldCharType="begin"/>
      </w:r>
      <w:r>
        <w:instrText>STYLEREF 1 \s</w:instrText>
      </w:r>
      <w:r>
        <w:fldChar w:fldCharType="separate"/>
      </w:r>
      <w:r w:rsidR="009C08C4">
        <w:rPr>
          <w:noProof/>
        </w:rPr>
        <w:t>1</w:t>
      </w:r>
      <w:r>
        <w:fldChar w:fldCharType="end"/>
      </w:r>
      <w:r>
        <w:t>.</w:t>
      </w:r>
      <w:r>
        <w:fldChar w:fldCharType="begin"/>
      </w:r>
      <w:r>
        <w:instrText>SEQ Figure \* ARABIC \s 1</w:instrText>
      </w:r>
      <w:r>
        <w:fldChar w:fldCharType="separate"/>
      </w:r>
      <w:r w:rsidR="009C08C4">
        <w:rPr>
          <w:noProof/>
        </w:rPr>
        <w:t>5</w:t>
      </w:r>
      <w:r>
        <w:fldChar w:fldCharType="end"/>
      </w:r>
      <w:r>
        <w:rPr>
          <w:noProof/>
        </w:rPr>
        <w:t xml:space="preserve"> </w:t>
      </w:r>
      <w:r>
        <w:t>– Western Australia’s fiscal capacity increased following the mining boom</w:t>
      </w:r>
    </w:p>
    <w:p w14:paraId="1F8AE183" w14:textId="77777777" w:rsidR="0007750C" w:rsidRDefault="0007750C">
      <w:pPr>
        <w:pStyle w:val="FigureTableSubheading"/>
        <w:keepLines/>
      </w:pPr>
      <w:r>
        <w:t>Growth of own-source revenue and expenses, 2000–01 to 2018–19</w:t>
      </w:r>
    </w:p>
    <w:p w14:paraId="2DFA1763" w14:textId="77777777" w:rsidR="0007750C" w:rsidRPr="005550A0" w:rsidRDefault="0007750C">
      <w:pPr>
        <w:pStyle w:val="BodyText"/>
      </w:pPr>
      <w:r w:rsidRPr="006C6B17">
        <w:rPr>
          <w:noProof/>
        </w:rPr>
        <w:drawing>
          <wp:inline distT="0" distB="0" distL="0" distR="0" wp14:anchorId="0649856A" wp14:editId="4584E647">
            <wp:extent cx="6120130" cy="2803525"/>
            <wp:effectExtent l="0" t="0" r="0" b="0"/>
            <wp:docPr id="111809283" name="Picture 6" descr="Figure 1.5 - A two-panel graph showing the increase in Western Australia versus other states’ own-source revenues and expenses since 2000-01. &#10;Panel 1 – a line graph showing Western Australia’s own-source revenue has increased by 128% since 2000-01 compared to other states’ own-source revenue which has increased by 65%.&#10;Panel 2 – a line graph showing Western Australia’s expenses have increased by 75% since 2000-01 compared to other states’ expenses which have increased by 65%.&#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09283" name="Picture 6" descr="Figure 1.5 - A two-panel graph showing the increase in Western Australia versus other states’ own-source revenues and expenses since 2000-01. &#10;Panel 1 – a line graph showing Western Australia’s own-source revenue has increased by 128% since 2000-01 compared to other states’ own-source revenue which has increased by 65%.&#10;Panel 2 – a line graph showing Western Australia’s expenses have increased by 75% since 2000-01 compared to other states’ expenses which have increased by 65%.&#10;&#1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120130" cy="2803525"/>
                    </a:xfrm>
                    <a:prstGeom prst="rect">
                      <a:avLst/>
                    </a:prstGeom>
                    <a:noFill/>
                    <a:ln>
                      <a:noFill/>
                    </a:ln>
                  </pic:spPr>
                </pic:pic>
              </a:graphicData>
            </a:graphic>
          </wp:inline>
        </w:drawing>
      </w:r>
    </w:p>
    <w:p w14:paraId="6E600A2A" w14:textId="77777777" w:rsidR="0007750C" w:rsidRDefault="0007750C">
      <w:pPr>
        <w:pStyle w:val="Note"/>
        <w:keepLines/>
      </w:pPr>
      <w:r>
        <w:t xml:space="preserve">‘Other states’ </w:t>
      </w:r>
      <w:bookmarkStart w:id="22" w:name="_Int_6r9FRDWE"/>
      <w:r>
        <w:t xml:space="preserve">is </w:t>
      </w:r>
      <w:bookmarkEnd w:id="22"/>
      <w:r>
        <w:t>the sum of total state own-source revenue and expenses, excluding Western Australia.</w:t>
      </w:r>
    </w:p>
    <w:p w14:paraId="7572E39B" w14:textId="0EED3205" w:rsidR="0007750C" w:rsidRDefault="0007750C">
      <w:pPr>
        <w:pStyle w:val="Source"/>
      </w:pPr>
      <w:r w:rsidRPr="00696447">
        <w:t>Source:</w:t>
      </w:r>
      <w:r>
        <w:t xml:space="preserve"> PC estimates using ABS </w:t>
      </w:r>
      <w:r w:rsidR="00546FEC" w:rsidRPr="00546FEC">
        <w:rPr>
          <w:rFonts w:cs="Open Sans"/>
        </w:rPr>
        <w:t>(2026a)</w:t>
      </w:r>
      <w:r>
        <w:t>.</w:t>
      </w:r>
    </w:p>
    <w:p w14:paraId="53929A95" w14:textId="7A348964" w:rsidR="0007750C" w:rsidRPr="00E52F31" w:rsidRDefault="0007750C">
      <w:pPr>
        <w:pStyle w:val="BodyText"/>
        <w:rPr>
          <w:spacing w:val="-4"/>
        </w:rPr>
      </w:pPr>
      <w:r w:rsidRPr="00E52F31">
        <w:rPr>
          <w:spacing w:val="-4"/>
        </w:rPr>
        <w:t>In the 2011–12 Western Australian Budget, the then Western Australian Treasurer announced that the royalty rate on iron ore fines would be gradually increased to 7.5%, despite</w:t>
      </w:r>
      <w:r w:rsidRPr="00E52F31" w:rsidDel="00A63B35">
        <w:rPr>
          <w:spacing w:val="-4"/>
        </w:rPr>
        <w:t xml:space="preserve"> </w:t>
      </w:r>
      <w:r w:rsidRPr="00E52F31">
        <w:rPr>
          <w:spacing w:val="-4"/>
        </w:rPr>
        <w:t xml:space="preserve">the Australian Government warning that this would reduce Western Australia’s GST payments </w:t>
      </w:r>
      <w:r w:rsidRPr="00E52F31">
        <w:rPr>
          <w:rFonts w:cs="Open Sans"/>
          <w:spacing w:val="-4"/>
          <w:szCs w:val="24"/>
        </w:rPr>
        <w:t>(Gillard 2011; Porter 2011, p. 12)</w:t>
      </w:r>
      <w:r w:rsidRPr="00E52F31">
        <w:rPr>
          <w:spacing w:val="-4"/>
        </w:rPr>
        <w:t>.</w:t>
      </w:r>
      <w:r w:rsidRPr="00E52F31">
        <w:rPr>
          <w:rStyle w:val="FootnoteReference"/>
          <w:spacing w:val="-4"/>
        </w:rPr>
        <w:footnoteReference w:id="11"/>
      </w:r>
      <w:r w:rsidRPr="00E52F31">
        <w:rPr>
          <w:spacing w:val="-4"/>
        </w:rPr>
        <w:t xml:space="preserve"> As a result of these changes to prices, volumes and policy decisions on royalty rates, Western Australia’s iron ore royalty revenue increased from around $280 million in 2001–02 to $5.5 billion in 2013–14 </w:t>
      </w:r>
      <w:r w:rsidRPr="00E52F31">
        <w:rPr>
          <w:rFonts w:cs="Open Sans"/>
          <w:spacing w:val="-4"/>
          <w:szCs w:val="24"/>
        </w:rPr>
        <w:t>(Government of Western Australia 2003, p. 120, 2015, p. 115)</w:t>
      </w:r>
      <w:r w:rsidRPr="00E52F31">
        <w:rPr>
          <w:spacing w:val="-4"/>
        </w:rPr>
        <w:t>. Following the 2018 reforms, the state’s royalty revenue from iron ore reached a peak of over $11 billion in 2020–</w:t>
      </w:r>
      <w:r w:rsidRPr="00E52F31">
        <w:rPr>
          <w:rFonts w:ascii="Arial" w:hAnsi="Arial" w:cs="Arial"/>
          <w:spacing w:val="-4"/>
        </w:rPr>
        <w:t>‍‍‍</w:t>
      </w:r>
      <w:r w:rsidRPr="00E52F31">
        <w:rPr>
          <w:spacing w:val="-4"/>
        </w:rPr>
        <w:t xml:space="preserve">21 </w:t>
      </w:r>
      <w:r w:rsidRPr="00E52F31">
        <w:rPr>
          <w:rFonts w:cs="Open Sans"/>
          <w:spacing w:val="-4"/>
          <w:szCs w:val="24"/>
        </w:rPr>
        <w:t>(Government of Western Australia 2022, p. 78)</w:t>
      </w:r>
      <w:r w:rsidRPr="00E52F31">
        <w:rPr>
          <w:spacing w:val="-4"/>
        </w:rPr>
        <w:t>.</w:t>
      </w:r>
    </w:p>
    <w:p w14:paraId="3A4127E9" w14:textId="77777777" w:rsidR="0007750C" w:rsidRDefault="0007750C">
      <w:pPr>
        <w:pStyle w:val="Heading4"/>
      </w:pPr>
      <w:r>
        <w:t>Western Australia’s lower need for GST payments strained community acceptance of the HFE system in the state</w:t>
      </w:r>
    </w:p>
    <w:p w14:paraId="70A4F10E" w14:textId="181EA9D2" w:rsidR="0007750C" w:rsidRPr="002A1123" w:rsidRDefault="0007750C">
      <w:pPr>
        <w:pStyle w:val="BodyText"/>
      </w:pPr>
      <w:r>
        <w:t xml:space="preserve">As discussed earlier in this chapter, all else being equal, lower GST payments reflect a relatively greater fiscal capacity. </w:t>
      </w:r>
      <w:r w:rsidRPr="00E81120">
        <w:t>From 2008</w:t>
      </w:r>
      <w:r>
        <w:t>–</w:t>
      </w:r>
      <w:r w:rsidRPr="00E81120">
        <w:t>09</w:t>
      </w:r>
      <w:r>
        <w:t xml:space="preserve"> onwards</w:t>
      </w:r>
      <w:r w:rsidRPr="00E81120">
        <w:t xml:space="preserve">, Western Australia had the </w:t>
      </w:r>
      <w:r>
        <w:t xml:space="preserve">greatest </w:t>
      </w:r>
      <w:r w:rsidRPr="00E81120">
        <w:t>fiscal capacity</w:t>
      </w:r>
      <w:r>
        <w:t xml:space="preserve"> among the states</w:t>
      </w:r>
      <w:r w:rsidRPr="00E81120">
        <w:t xml:space="preserve"> and </w:t>
      </w:r>
      <w:r>
        <w:t>was therefore assessed as</w:t>
      </w:r>
      <w:r w:rsidRPr="00E81120">
        <w:t xml:space="preserve"> requir</w:t>
      </w:r>
      <w:r>
        <w:t>ing</w:t>
      </w:r>
      <w:r w:rsidRPr="00E81120">
        <w:t xml:space="preserve"> a</w:t>
      </w:r>
      <w:r>
        <w:t>n increasingly</w:t>
      </w:r>
      <w:r w:rsidRPr="00E81120">
        <w:t xml:space="preserve"> lower share of the GST </w:t>
      </w:r>
      <w:r>
        <w:t>pool</w:t>
      </w:r>
      <w:r w:rsidRPr="00E81120">
        <w:t>. By 2015</w:t>
      </w:r>
      <w:r>
        <w:t>–‍</w:t>
      </w:r>
      <w:r w:rsidRPr="00E81120">
        <w:t xml:space="preserve">16, Western Australia’s relativity had fallen to 0.3 </w:t>
      </w:r>
      <w:r>
        <w:t>–</w:t>
      </w:r>
      <w:r w:rsidRPr="00E81120">
        <w:t xml:space="preserve"> the lowest </w:t>
      </w:r>
      <w:r>
        <w:t>of</w:t>
      </w:r>
      <w:r w:rsidRPr="00E81120">
        <w:t xml:space="preserve"> any state </w:t>
      </w:r>
      <w:r>
        <w:t xml:space="preserve">ever </w:t>
      </w:r>
      <w:r w:rsidR="00546FEC" w:rsidRPr="00546FEC">
        <w:rPr>
          <w:rFonts w:cs="Open Sans"/>
        </w:rPr>
        <w:t>(CGC 2025e, p. 68; Kate Chaney MP, sub. 31, p. 1)</w:t>
      </w:r>
      <w:r>
        <w:t>.</w:t>
      </w:r>
      <w:r w:rsidRPr="00D216EB">
        <w:t xml:space="preserve"> This reflected Western Australia’s </w:t>
      </w:r>
      <w:r w:rsidRPr="00D216EB" w:rsidDel="000B6EB3">
        <w:t>unprecedented</w:t>
      </w:r>
      <w:r w:rsidRPr="00D216EB" w:rsidDel="00C524EB">
        <w:t xml:space="preserve"> </w:t>
      </w:r>
      <w:r w:rsidRPr="00D216EB">
        <w:t>capacity to raise own-source revenue, particularly through royalties</w:t>
      </w:r>
      <w:r>
        <w:t xml:space="preserve"> on mining production (figure 1.6). </w:t>
      </w:r>
    </w:p>
    <w:p w14:paraId="02C09702" w14:textId="72A3810E" w:rsidR="0007750C" w:rsidRPr="00146382" w:rsidRDefault="0007750C">
      <w:pPr>
        <w:pStyle w:val="FigureTableHeading"/>
      </w:pPr>
      <w:r>
        <w:lastRenderedPageBreak/>
        <w:t xml:space="preserve">Figure </w:t>
      </w:r>
      <w:r w:rsidRPr="06B84A5A">
        <w:fldChar w:fldCharType="begin"/>
      </w:r>
      <w:r>
        <w:instrText xml:space="preserve"> STYLEREF 1 \s </w:instrText>
      </w:r>
      <w:r w:rsidRPr="06B84A5A">
        <w:fldChar w:fldCharType="separate"/>
      </w:r>
      <w:r w:rsidR="009C08C4">
        <w:rPr>
          <w:noProof/>
        </w:rPr>
        <w:t>1</w:t>
      </w:r>
      <w:r w:rsidRPr="06B84A5A">
        <w:rPr>
          <w:noProof/>
        </w:rPr>
        <w:fldChar w:fldCharType="end"/>
      </w:r>
      <w:r>
        <w:t>.</w:t>
      </w:r>
      <w:r w:rsidRPr="06B84A5A">
        <w:fldChar w:fldCharType="begin"/>
      </w:r>
      <w:r>
        <w:instrText xml:space="preserve"> SEQ Figure \* ARABIC \s 1 </w:instrText>
      </w:r>
      <w:r w:rsidRPr="06B84A5A">
        <w:fldChar w:fldCharType="separate"/>
      </w:r>
      <w:r w:rsidR="009C08C4">
        <w:rPr>
          <w:noProof/>
        </w:rPr>
        <w:t>6</w:t>
      </w:r>
      <w:r w:rsidRPr="06B84A5A">
        <w:rPr>
          <w:noProof/>
        </w:rPr>
        <w:fldChar w:fldCharType="end"/>
      </w:r>
      <w:r w:rsidRPr="06B84A5A">
        <w:rPr>
          <w:noProof/>
        </w:rPr>
        <w:t xml:space="preserve"> </w:t>
      </w:r>
      <w:r>
        <w:t>– Western Australia’s GST payments decreased as royalty revenue increased</w:t>
      </w:r>
    </w:p>
    <w:p w14:paraId="316DD103" w14:textId="77777777" w:rsidR="0007750C" w:rsidRDefault="0007750C">
      <w:pPr>
        <w:pStyle w:val="FigureTableSubheading"/>
        <w:keepLines/>
      </w:pPr>
      <w:r>
        <w:t>Western Australia’s revenue sources by revenue category, 2000–01 to 2018–19</w:t>
      </w:r>
    </w:p>
    <w:p w14:paraId="5CF83D27" w14:textId="77777777" w:rsidR="0007750C" w:rsidRDefault="0007750C">
      <w:pPr>
        <w:pStyle w:val="Note"/>
        <w:keepLines/>
      </w:pPr>
      <w:r w:rsidRPr="00E12008">
        <w:rPr>
          <w:noProof/>
        </w:rPr>
        <w:drawing>
          <wp:inline distT="0" distB="0" distL="0" distR="0" wp14:anchorId="22A619DA" wp14:editId="274221CC">
            <wp:extent cx="6120130" cy="2875915"/>
            <wp:effectExtent l="0" t="0" r="0" b="0"/>
            <wp:docPr id="1406149713" name="Picture 15" descr="Figure 1.6 – A stacked column graph showing Western Australia’s total revenue by revenue source from 2000-01 to 2018-19, including mining revenue, GST payments, other own-source revenue and other Commonwealth transfers. The column graph shows total revenue increasing from 2000-01 to 2018-19. GST payments decrease and mining revenue increases over the time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149713" name="Picture 15" descr="Figure 1.6 – A stacked column graph showing Western Australia’s total revenue by revenue source from 2000-01 to 2018-19, including mining revenue, GST payments, other own-source revenue and other Commonwealth transfers. The column graph shows total revenue increasing from 2000-01 to 2018-19. GST payments decrease and mining revenue increases over the time period."/>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120130" cy="2875915"/>
                    </a:xfrm>
                    <a:prstGeom prst="rect">
                      <a:avLst/>
                    </a:prstGeom>
                    <a:noFill/>
                    <a:ln>
                      <a:noFill/>
                    </a:ln>
                  </pic:spPr>
                </pic:pic>
              </a:graphicData>
            </a:graphic>
          </wp:inline>
        </w:drawing>
      </w:r>
    </w:p>
    <w:p w14:paraId="3A4EE293" w14:textId="77777777" w:rsidR="0007750C" w:rsidRDefault="0007750C">
      <w:pPr>
        <w:pStyle w:val="Note"/>
      </w:pPr>
      <w:r>
        <w:t xml:space="preserve">Other own-source revenue excludes mining revenue. Non-GST payments include all Commonwealth payments except for GST payments. </w:t>
      </w:r>
    </w:p>
    <w:p w14:paraId="7F570055" w14:textId="0AE77D5B" w:rsidR="0007750C" w:rsidRDefault="0007750C" w:rsidP="00E52F31">
      <w:pPr>
        <w:pStyle w:val="Source"/>
        <w:spacing w:after="360"/>
      </w:pPr>
      <w:r w:rsidRPr="00553DC8">
        <w:t>Source:</w:t>
      </w:r>
      <w:r>
        <w:t xml:space="preserve"> PC estimates using ABS </w:t>
      </w:r>
      <w:r w:rsidR="00546FEC" w:rsidRPr="00546FEC">
        <w:rPr>
          <w:rFonts w:cs="Open Sans"/>
        </w:rPr>
        <w:t>(2026a)</w:t>
      </w:r>
      <w:r>
        <w:t xml:space="preserve"> and Commonwealth of Australia </w:t>
      </w:r>
      <w:r w:rsidRPr="00E32ABE">
        <w:rPr>
          <w:rFonts w:cs="Open Sans"/>
        </w:rPr>
        <w:t>(2025 and various other years)</w:t>
      </w:r>
      <w:r>
        <w:t xml:space="preserve">. </w:t>
      </w:r>
    </w:p>
    <w:p w14:paraId="47B4C267" w14:textId="77777777" w:rsidR="0007750C" w:rsidRDefault="0007750C">
      <w:pPr>
        <w:pStyle w:val="BodyText"/>
      </w:pPr>
      <w:r>
        <w:t>However, the prospect of receiving near zero GST payments caused public confidence in the system to erode in Western Australia (Brendan McCarthy, sub. 29, p. 2; Government of Western Australia, sub. 37, p. 23), and led to suggestions that the exceptionally low GST payments demonstrated the pre</w:t>
      </w:r>
      <w:r>
        <w:noBreakHyphen/>
        <w:t xml:space="preserve">2018 HFE system was unsustainable and unfair (Government of Western Australia, sub. 37, p. 92; the Hon Mathias Cormann, sub. 56, p. 1–2). The impact of the mining boom on Western Australia’s GST payments was also exacerbated by </w:t>
      </w:r>
      <w:r w:rsidRPr="0057785A">
        <w:t>changes to the CGC’s mining revenue assessment in the 2015 Methodology Review, including the adoption of a mineral-by-mineral approach to assessing states’ mining revenue capacity</w:t>
      </w:r>
      <w:r>
        <w:t xml:space="preserve"> (chapter 3, box 3.1).</w:t>
      </w:r>
    </w:p>
    <w:p w14:paraId="7C92B744" w14:textId="08FD01C1" w:rsidR="0007750C" w:rsidRDefault="0007750C">
      <w:pPr>
        <w:pStyle w:val="BodyText"/>
      </w:pPr>
      <w:r>
        <w:t xml:space="preserve">Additionally, during the mining boom, divergences from an equal per capita allocation of the GST pool were increasingly caused by states’ relative revenue-raising capacities, rather than differences in the costs of providing services </w:t>
      </w:r>
      <w:r w:rsidR="00546FEC" w:rsidRPr="00546FEC">
        <w:rPr>
          <w:rFonts w:cs="Open Sans"/>
        </w:rPr>
        <w:t>(PC estimates using CGC 2026b and various other years)</w:t>
      </w:r>
      <w:r>
        <w:t xml:space="preserve">. Mining revenue in particular became an increasingly significant determinant of states’ GST </w:t>
      </w:r>
      <w:r w:rsidRPr="00D216EB">
        <w:t xml:space="preserve">payments </w:t>
      </w:r>
      <w:r w:rsidR="00546FEC" w:rsidRPr="00546FEC">
        <w:rPr>
          <w:rFonts w:cs="Open Sans"/>
        </w:rPr>
        <w:t>(CGC 2021b, p. 3)</w:t>
      </w:r>
      <w:r w:rsidRPr="00D216EB">
        <w:t xml:space="preserve">. This produced a sentiment among many Western Australians that the state was ‘losing’ its revenue (Wright 2017). As </w:t>
      </w:r>
      <w:r>
        <w:t xml:space="preserve">the Hon. </w:t>
      </w:r>
      <w:r w:rsidRPr="00D216EB">
        <w:t xml:space="preserve">Colin Barnett (sub. 30, p. 4) noted </w:t>
      </w:r>
      <w:r w:rsidR="0000365D">
        <w:rPr>
          <w:i/>
        </w:rPr>
        <w:t>‘</w:t>
      </w:r>
      <w:r w:rsidRPr="009D3A16">
        <w:rPr>
          <w:i/>
        </w:rPr>
        <w:t xml:space="preserve">the [West Australian] public saw it as </w:t>
      </w:r>
      <w:r w:rsidRPr="00BF7A99">
        <w:rPr>
          <w:i/>
        </w:rPr>
        <w:t xml:space="preserve">Western Australia </w:t>
      </w:r>
      <w:r w:rsidRPr="009D3A16">
        <w:rPr>
          <w:i/>
        </w:rPr>
        <w:t>being penalised for its economic success</w:t>
      </w:r>
      <w:r w:rsidR="0000365D">
        <w:rPr>
          <w:i/>
        </w:rPr>
        <w:t>’</w:t>
      </w:r>
      <w:r>
        <w:t xml:space="preserve">. </w:t>
      </w:r>
    </w:p>
    <w:p w14:paraId="238DA158" w14:textId="77777777" w:rsidR="0007750C" w:rsidRDefault="0007750C">
      <w:pPr>
        <w:pStyle w:val="BodyText"/>
      </w:pPr>
      <w:r>
        <w:t xml:space="preserve">The loss of public confidence was compounded in 2013–14, when Western Australia’s GST payments began to decrease at the same time as its mining royalties because of falling international demand for iron ore. This arose because of the CGC’s longstanding approach of using lagged moving averages in their assessments to reduce volatility in GST payments. The lag meant GST payments in that period were calculated based on data from when iron ore prices were higher </w:t>
      </w:r>
      <w:r w:rsidRPr="00BC2AFF">
        <w:t>(Government</w:t>
      </w:r>
      <w:r>
        <w:t xml:space="preserve"> of Western Australia</w:t>
      </w:r>
      <w:r w:rsidRPr="00BC2AFF">
        <w:t>, sub. 29, p</w:t>
      </w:r>
      <w:r>
        <w:t>. </w:t>
      </w:r>
      <w:r w:rsidRPr="00BC2AFF">
        <w:t>49</w:t>
      </w:r>
      <w:r>
        <w:t>; CCIWA, sub. 49, p. 6</w:t>
      </w:r>
      <w:r w:rsidRPr="00BC2AFF">
        <w:t>).</w:t>
      </w:r>
      <w:r>
        <w:t xml:space="preserve"> However, it is important to note that this lag effect worked in the opposite direction whenever royalties increase to Western Australia’s benefit.</w:t>
      </w:r>
    </w:p>
    <w:p w14:paraId="0B736757" w14:textId="77777777" w:rsidR="0007750C" w:rsidRDefault="0007750C">
      <w:pPr>
        <w:pStyle w:val="Heading3"/>
      </w:pPr>
      <w:r>
        <w:lastRenderedPageBreak/>
        <w:t>The HFE system also faced criticisms beyond mining</w:t>
      </w:r>
    </w:p>
    <w:p w14:paraId="65503B30" w14:textId="7C4E03A6" w:rsidR="0007750C" w:rsidRPr="001758DA" w:rsidRDefault="0007750C">
      <w:pPr>
        <w:pStyle w:val="BodyText"/>
        <w:rPr>
          <w:spacing w:val="-2"/>
        </w:rPr>
      </w:pPr>
      <w:r w:rsidRPr="001758DA">
        <w:rPr>
          <w:spacing w:val="-2"/>
        </w:rPr>
        <w:t>Alongside criticisms of Western Australia’s decreasing GST payments, there were also concerns that the HFE system was disincentivising states from pursuing efficiency-enhancing reform.</w:t>
      </w:r>
      <w:r w:rsidRPr="001758DA">
        <w:rPr>
          <w:rStyle w:val="FootnoteReference"/>
          <w:spacing w:val="-2"/>
        </w:rPr>
        <w:footnoteReference w:id="12"/>
      </w:r>
      <w:r w:rsidRPr="001758DA">
        <w:rPr>
          <w:spacing w:val="-2"/>
        </w:rPr>
        <w:t xml:space="preserve"> This criticism reflects the Garnaut and Fitzgerald report </w:t>
      </w:r>
      <w:r w:rsidRPr="001758DA">
        <w:rPr>
          <w:rFonts w:cs="Open Sans"/>
          <w:spacing w:val="-2"/>
          <w:szCs w:val="24"/>
        </w:rPr>
        <w:t>(2002, p. 2)</w:t>
      </w:r>
      <w:r w:rsidRPr="001758DA">
        <w:rPr>
          <w:spacing w:val="-2"/>
        </w:rPr>
        <w:t xml:space="preserve"> which argued that Australia’s HFE system disincentivises states from undertaking reform by distributing the revenue benefits across states, without similarly sharing the costs borne by the state which undertakes the reform.</w:t>
      </w:r>
      <w:r w:rsidRPr="001758DA">
        <w:rPr>
          <w:rStyle w:val="FootnoteReference"/>
          <w:spacing w:val="-2"/>
        </w:rPr>
        <w:footnoteReference w:id="13"/>
      </w:r>
      <w:r w:rsidRPr="001758DA">
        <w:rPr>
          <w:spacing w:val="-2"/>
        </w:rPr>
        <w:t xml:space="preserve"> However, there is limited evidence of these disincentives existing in practice </w:t>
      </w:r>
      <w:r w:rsidRPr="001758DA">
        <w:rPr>
          <w:rFonts w:cs="Open Sans"/>
          <w:spacing w:val="-2"/>
          <w:szCs w:val="24"/>
        </w:rPr>
        <w:t>(Saul Eslake, sub. 3, pp. 17–18; Government of South Australia, sub.</w:t>
      </w:r>
      <w:r w:rsidR="006B38FF">
        <w:rPr>
          <w:rFonts w:cs="Open Sans"/>
          <w:spacing w:val="-2"/>
          <w:szCs w:val="24"/>
        </w:rPr>
        <w:t> </w:t>
      </w:r>
      <w:r w:rsidRPr="001758DA">
        <w:rPr>
          <w:rFonts w:cs="Open Sans"/>
          <w:spacing w:val="-2"/>
          <w:szCs w:val="24"/>
        </w:rPr>
        <w:t>13, p. 16; Tasmanian Government, sub. 48, p. 40; Commonwealth of Australia 2012, p. 135)</w:t>
      </w:r>
      <w:r w:rsidRPr="001758DA">
        <w:rPr>
          <w:spacing w:val="-2"/>
        </w:rPr>
        <w:t>. Inquiry participants noted that states choose to undertake reforms for a range of reasons, and there are several examples of states undertaking reforms despite an expected decrease in GST payments (Tasmanian Government, sub. 48, p. 41; Government of South Australia, sub. 13, p. 16). In other words, even though impacts on GST payments may exist, they may be inframarginal with respect to policy decisions. The incentive effects of the HFE system are explored further in chapter 3.</w:t>
      </w:r>
    </w:p>
    <w:p w14:paraId="51FB7E52" w14:textId="77777777" w:rsidR="0007750C" w:rsidRPr="001758DA" w:rsidRDefault="0007750C">
      <w:pPr>
        <w:pStyle w:val="BodyText"/>
        <w:rPr>
          <w:spacing w:val="2"/>
        </w:rPr>
      </w:pPr>
      <w:r w:rsidRPr="001758DA">
        <w:rPr>
          <w:spacing w:val="2"/>
        </w:rPr>
        <w:t>Additionally, there were broader concerns raised by Western Australia that where a revenue base is concentrated in one state, the CGC’s assessments were not policy neutral, as the dominant state’s policy would determine the national average policy.</w:t>
      </w:r>
      <w:r w:rsidRPr="001758DA">
        <w:rPr>
          <w:rStyle w:val="FootnoteReference"/>
          <w:spacing w:val="2"/>
        </w:rPr>
        <w:footnoteReference w:id="14"/>
      </w:r>
      <w:r w:rsidRPr="001758DA">
        <w:rPr>
          <w:spacing w:val="2"/>
        </w:rPr>
        <w:t xml:space="preserve"> The dominant-state issue is discussed further in chapter 3.</w:t>
      </w:r>
    </w:p>
    <w:p w14:paraId="382A007B" w14:textId="77777777" w:rsidR="0007750C" w:rsidRDefault="0007750C">
      <w:pPr>
        <w:pStyle w:val="Heading3"/>
      </w:pPr>
      <w:r>
        <w:t>In response to these concerns, the Productivity Commission was asked to undertake an inquiry into the HFE system</w:t>
      </w:r>
    </w:p>
    <w:p w14:paraId="3E614FB7" w14:textId="5BF1117A" w:rsidR="0007750C" w:rsidRDefault="0007750C">
      <w:pPr>
        <w:pStyle w:val="BodyText"/>
      </w:pPr>
      <w:r>
        <w:t xml:space="preserve">In light of these criticisms, the then Treasurer directed the PC to undertake an inquiry into Australia’s HFE system in 2017. The PC was tasked with considering the impact the system had on productivity, efficiency and economic growth </w:t>
      </w:r>
      <w:r w:rsidRPr="00C31841">
        <w:rPr>
          <w:rFonts w:cs="Open Sans"/>
          <w:szCs w:val="24"/>
        </w:rPr>
        <w:t>(PC 2018, pp. iv–v)</w:t>
      </w:r>
      <w:r>
        <w:t>. The PC’s final report was published in 2018, finding parts of the then system were functioning well, but that there were also deficiencies.</w:t>
      </w:r>
    </w:p>
    <w:p w14:paraId="363C01F0" w14:textId="70877BC2" w:rsidR="0007750C" w:rsidRPr="001758DA" w:rsidRDefault="0007750C">
      <w:pPr>
        <w:pStyle w:val="BodyText"/>
        <w:rPr>
          <w:spacing w:val="-2"/>
        </w:rPr>
      </w:pPr>
      <w:r w:rsidRPr="001758DA">
        <w:rPr>
          <w:spacing w:val="-2"/>
        </w:rPr>
        <w:t xml:space="preserve">The inquiry made several recommendations, including that the objective of the HFE system should be changed to ‘reasonable’ (rather than ‘full’) equalisation </w:t>
      </w:r>
      <w:r w:rsidRPr="001758DA">
        <w:rPr>
          <w:rFonts w:cs="Open Sans"/>
          <w:spacing w:val="-2"/>
          <w:szCs w:val="24"/>
        </w:rPr>
        <w:t>(PC 2018, p. 39)</w:t>
      </w:r>
      <w:r w:rsidRPr="001758DA">
        <w:rPr>
          <w:spacing w:val="-2"/>
        </w:rPr>
        <w:t xml:space="preserve">. It also recommended steps be taken to simplify the CGC’s approach and improve the policy neutrality of its assessments </w:t>
      </w:r>
      <w:r w:rsidRPr="001758DA">
        <w:rPr>
          <w:rFonts w:cs="Open Sans"/>
          <w:spacing w:val="-2"/>
          <w:szCs w:val="24"/>
        </w:rPr>
        <w:t>(PC 2018, p. 42)</w:t>
      </w:r>
      <w:r w:rsidRPr="001758DA">
        <w:rPr>
          <w:spacing w:val="-2"/>
        </w:rPr>
        <w:t>.</w:t>
      </w:r>
    </w:p>
    <w:p w14:paraId="37232197" w14:textId="0718FD37" w:rsidR="0007750C" w:rsidRDefault="0007750C">
      <w:pPr>
        <w:pStyle w:val="BodyText"/>
      </w:pPr>
      <w:r w:rsidRPr="00E53BF6">
        <w:t>Against the backdrop of the PC’s inquiry</w:t>
      </w:r>
      <w:r>
        <w:t>, longstanding criticisms of the incentive</w:t>
      </w:r>
      <w:r w:rsidDel="00CA26FE">
        <w:t xml:space="preserve"> </w:t>
      </w:r>
      <w:r>
        <w:t>effects and volatility of the HFE system</w:t>
      </w:r>
      <w:r w:rsidRPr="002F7007">
        <w:t>,</w:t>
      </w:r>
      <w:r>
        <w:t xml:space="preserve"> </w:t>
      </w:r>
      <w:r w:rsidRPr="00E53BF6">
        <w:t xml:space="preserve">and political pressure from </w:t>
      </w:r>
      <w:r>
        <w:t xml:space="preserve">the </w:t>
      </w:r>
      <w:r w:rsidRPr="00E53BF6">
        <w:t>Western Australia</w:t>
      </w:r>
      <w:r>
        <w:t>n Government and public</w:t>
      </w:r>
      <w:r w:rsidRPr="00E53BF6">
        <w:t xml:space="preserve">, the </w:t>
      </w:r>
      <w:r>
        <w:t>Australian Government</w:t>
      </w:r>
      <w:r w:rsidRPr="00E53BF6">
        <w:t xml:space="preserve"> introduced reforms to the HFE </w:t>
      </w:r>
      <w:r w:rsidRPr="00187F42">
        <w:t xml:space="preserve">system in 2018 </w:t>
      </w:r>
      <w:r w:rsidRPr="006D179D">
        <w:rPr>
          <w:rFonts w:cs="Open Sans"/>
          <w:szCs w:val="24"/>
        </w:rPr>
        <w:t>(Fenwick and Stewart 2025, p. 99; Wright 2018)</w:t>
      </w:r>
      <w:r w:rsidRPr="00187F42">
        <w:t xml:space="preserve">. Every state other than Western Australia opposed the changes, </w:t>
      </w:r>
      <w:r>
        <w:t xml:space="preserve">but their unanimous approval was not required </w:t>
      </w:r>
      <w:r w:rsidRPr="00C31841">
        <w:rPr>
          <w:rFonts w:cs="Open Sans"/>
          <w:szCs w:val="24"/>
        </w:rPr>
        <w:t>(Senate Economics Legislation Committee 2018, pp. 8–9)</w:t>
      </w:r>
      <w:r w:rsidRPr="00187F42">
        <w:t>.</w:t>
      </w:r>
    </w:p>
    <w:p w14:paraId="4295BC9C" w14:textId="2A0EF2CD" w:rsidR="00403455" w:rsidRDefault="00403455">
      <w:pPr>
        <w:pStyle w:val="NoSpacing"/>
      </w:pPr>
    </w:p>
    <w:tbl>
      <w:tblPr>
        <w:tblStyle w:val="TableGrid"/>
        <w:tblW w:w="5000" w:type="pct"/>
        <w:tblBorders>
          <w:top w:val="single" w:sz="4" w:space="0" w:color="2B9AC2" w:themeColor="text2"/>
          <w:left w:val="single" w:sz="4" w:space="0" w:color="2B9AC2" w:themeColor="text2"/>
          <w:bottom w:val="single" w:sz="4" w:space="0" w:color="2B9AC2" w:themeColor="text2"/>
          <w:right w:val="single" w:sz="4" w:space="0" w:color="2B9AC2" w:themeColor="text2"/>
          <w:insideH w:val="none" w:sz="0" w:space="0" w:color="auto"/>
          <w:insideV w:val="none" w:sz="0" w:space="0" w:color="auto"/>
        </w:tblBorders>
        <w:tblCellMar>
          <w:bottom w:w="113" w:type="dxa"/>
        </w:tblCellMar>
        <w:tblLook w:val="04A0" w:firstRow="1" w:lastRow="0" w:firstColumn="1" w:lastColumn="0" w:noHBand="0" w:noVBand="1"/>
      </w:tblPr>
      <w:tblGrid>
        <w:gridCol w:w="705"/>
        <w:gridCol w:w="8923"/>
      </w:tblGrid>
      <w:tr w:rsidR="00403455" w14:paraId="0BF25A6A" w14:textId="77777777">
        <w:trPr>
          <w:trHeight w:val="765"/>
          <w:tblHeader/>
        </w:trPr>
        <w:tc>
          <w:tcPr>
            <w:tcW w:w="366" w:type="pct"/>
            <w:tcBorders>
              <w:bottom w:val="nil"/>
            </w:tcBorders>
            <w:tcMar>
              <w:bottom w:w="0" w:type="dxa"/>
            </w:tcMar>
            <w:vAlign w:val="center"/>
          </w:tcPr>
          <w:p w14:paraId="05718EAF" w14:textId="77777777" w:rsidR="00403455" w:rsidRDefault="00403455">
            <w:pPr>
              <w:pStyle w:val="NoSpacing"/>
              <w:keepNext/>
              <w:keepLines/>
              <w:jc w:val="right"/>
            </w:pPr>
            <w:r w:rsidRPr="00A51374">
              <w:rPr>
                <w:noProof/>
              </w:rPr>
              <w:lastRenderedPageBreak/>
              <w:drawing>
                <wp:inline distT="0" distB="0" distL="0" distR="0" wp14:anchorId="5157AAF9" wp14:editId="2B46E674">
                  <wp:extent cx="288000" cy="288000"/>
                  <wp:effectExtent l="0" t="0" r="0" b="0"/>
                  <wp:docPr id="1771532879" name="Graphic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phic 39">
                            <a:extLst>
                              <a:ext uri="{C183D7F6-B498-43B3-948B-1728B52AA6E4}">
                                <adec:decorative xmlns:adec="http://schemas.microsoft.com/office/drawing/2017/decorative" val="1"/>
                              </a:ext>
                            </a:extLst>
                          </pic:cNvPr>
                          <pic:cNvPicPr/>
                        </pic:nvPicPr>
                        <pic:blipFill>
                          <a:blip r:embed="rId59">
                            <a:extLst>
                              <a:ext uri="{28A0092B-C50C-407E-A947-70E740481C1C}">
                                <a14:useLocalDpi xmlns:a14="http://schemas.microsoft.com/office/drawing/2010/main" val="0"/>
                              </a:ext>
                            </a:extLst>
                          </a:blip>
                          <a:stretch>
                            <a:fillRect/>
                          </a:stretch>
                        </pic:blipFill>
                        <pic:spPr>
                          <a:xfrm>
                            <a:off x="0" y="0"/>
                            <a:ext cx="288000" cy="288000"/>
                          </a:xfrm>
                          <a:prstGeom prst="rect">
                            <a:avLst/>
                          </a:prstGeom>
                        </pic:spPr>
                      </pic:pic>
                    </a:graphicData>
                  </a:graphic>
                </wp:inline>
              </w:drawing>
            </w:r>
          </w:p>
        </w:tc>
        <w:tc>
          <w:tcPr>
            <w:tcW w:w="4634" w:type="pct"/>
            <w:tcBorders>
              <w:bottom w:val="nil"/>
            </w:tcBorders>
            <w:tcMar>
              <w:bottom w:w="0" w:type="dxa"/>
            </w:tcMar>
            <w:vAlign w:val="center"/>
          </w:tcPr>
          <w:p w14:paraId="707B732A" w14:textId="1FFE8D8B" w:rsidR="00403455" w:rsidRPr="00A4395A" w:rsidRDefault="00403455">
            <w:pPr>
              <w:pStyle w:val="Findingtitle"/>
            </w:pPr>
            <w:r>
              <w:t>Interim f</w:t>
            </w:r>
            <w:r w:rsidRPr="00A4395A">
              <w:t xml:space="preserve">inding </w:t>
            </w:r>
            <w:fldSimple w:instr=" STYLEREF 1 \s ">
              <w:r w:rsidR="009C08C4">
                <w:rPr>
                  <w:noProof/>
                </w:rPr>
                <w:t>1</w:t>
              </w:r>
            </w:fldSimple>
            <w:r w:rsidRPr="00A4395A">
              <w:t>.</w:t>
            </w:r>
            <w:fldSimple w:instr=" SEQ Finding \* ARABIC \s 1 ">
              <w:r w:rsidR="009C08C4">
                <w:rPr>
                  <w:noProof/>
                </w:rPr>
                <w:t>2</w:t>
              </w:r>
            </w:fldSimple>
          </w:p>
          <w:p w14:paraId="4AFDF6D0" w14:textId="7DC83566" w:rsidR="00403455" w:rsidRDefault="00403455">
            <w:pPr>
              <w:pStyle w:val="Findingtitle"/>
            </w:pPr>
            <w:r w:rsidRPr="009D3A16">
              <w:t>An unprecedentedly low relativity – arising from the impacts of the mining boom – strained community acceptance of the HFE system in Western Australia and was a catalyst for the 2018 reforms</w:t>
            </w:r>
          </w:p>
        </w:tc>
      </w:tr>
      <w:tr w:rsidR="00403455" w14:paraId="265F00DE" w14:textId="77777777">
        <w:tc>
          <w:tcPr>
            <w:tcW w:w="5000" w:type="pct"/>
            <w:gridSpan w:val="2"/>
            <w:tcBorders>
              <w:top w:val="nil"/>
              <w:bottom w:val="single" w:sz="4" w:space="0" w:color="2B9AC2" w:themeColor="text2"/>
            </w:tcBorders>
          </w:tcPr>
          <w:p w14:paraId="22082D64" w14:textId="77777777" w:rsidR="00403455" w:rsidRDefault="00403455" w:rsidP="00403455">
            <w:pPr>
              <w:pStyle w:val="BodyText"/>
              <w:keepLines/>
            </w:pPr>
            <w:r>
              <w:t>Strong and sustained demand for key mining commodities has resulted in a significant and prolonged increase in Western Australia’s own</w:t>
            </w:r>
            <w:r>
              <w:noBreakHyphen/>
              <w:t>source revenue-raising capacity. This caused Western Australia’s relativity to reach unprecedented lows, straining community acceptance of the horizontal fiscal equalisation (HFE) system in the state.</w:t>
            </w:r>
          </w:p>
          <w:p w14:paraId="6B83479B" w14:textId="2EC222CE" w:rsidR="00403455" w:rsidRDefault="00403455" w:rsidP="00403455">
            <w:pPr>
              <w:pStyle w:val="BodyText"/>
              <w:keepLines/>
            </w:pPr>
            <w:r>
              <w:t xml:space="preserve">Dissatisfaction with the HFE system in Western Australia further intensified when GST payments began to fall at the same time as royalty revenues due to the Commonwealth Grants Commission’s use of lagged data. Political pressure from the Western Australian Government and public, </w:t>
            </w:r>
            <w:r w:rsidRPr="00CA5528">
              <w:t xml:space="preserve">alongside longstanding criticisms of the incentive </w:t>
            </w:r>
            <w:r>
              <w:t>effects</w:t>
            </w:r>
            <w:r w:rsidRPr="00CA5528">
              <w:t xml:space="preserve"> and volatility of the HFE system,</w:t>
            </w:r>
            <w:r>
              <w:t xml:space="preserve"> led the Australian Government to introduce the 2018 reforms.</w:t>
            </w:r>
          </w:p>
        </w:tc>
      </w:tr>
      <w:tr w:rsidR="00403455" w14:paraId="1433D262" w14:textId="77777777">
        <w:tc>
          <w:tcPr>
            <w:tcW w:w="5000" w:type="pct"/>
            <w:gridSpan w:val="2"/>
            <w:tcBorders>
              <w:top w:val="single" w:sz="4" w:space="0" w:color="2B9AC2" w:themeColor="text2"/>
              <w:left w:val="nil"/>
              <w:bottom w:val="nil"/>
              <w:right w:val="nil"/>
            </w:tcBorders>
            <w:tcMar>
              <w:bottom w:w="0" w:type="dxa"/>
            </w:tcMar>
          </w:tcPr>
          <w:p w14:paraId="25B10C5B" w14:textId="1A855C9F" w:rsidR="00403455" w:rsidRDefault="00403455">
            <w:pPr>
              <w:pStyle w:val="NoSpacing"/>
              <w:spacing w:line="200" w:lineRule="atLeast"/>
            </w:pPr>
          </w:p>
        </w:tc>
      </w:tr>
    </w:tbl>
    <w:p w14:paraId="744C54B1" w14:textId="77777777" w:rsidR="0007750C" w:rsidRPr="00A91551" w:rsidRDefault="0007750C">
      <w:pPr>
        <w:pStyle w:val="BodyText"/>
      </w:pPr>
    </w:p>
    <w:p w14:paraId="30270310" w14:textId="77777777" w:rsidR="000C5687" w:rsidRDefault="000C5687" w:rsidP="00E76EEC">
      <w:pPr>
        <w:pStyle w:val="BodyText"/>
        <w:sectPr w:rsidR="000C5687" w:rsidSect="00652DE5">
          <w:headerReference w:type="even" r:id="rId64"/>
          <w:footnotePr>
            <w:numRestart w:val="eachSect"/>
          </w:footnotePr>
          <w:pgSz w:w="11906" w:h="16838" w:code="9"/>
          <w:pgMar w:top="1134" w:right="1134" w:bottom="1134" w:left="1134" w:header="794" w:footer="510" w:gutter="0"/>
          <w:cols w:space="708"/>
          <w:docGrid w:linePitch="360"/>
        </w:sectPr>
      </w:pPr>
    </w:p>
    <w:p w14:paraId="7CEC72EB" w14:textId="77777777" w:rsidR="000C5687" w:rsidRDefault="000C5687" w:rsidP="00116D44">
      <w:pPr>
        <w:pStyle w:val="Heading1"/>
        <w:numPr>
          <w:ilvl w:val="0"/>
          <w:numId w:val="23"/>
        </w:numPr>
      </w:pPr>
      <w:bookmarkStart w:id="23" w:name="_Toc236904064"/>
      <w:r>
        <w:lastRenderedPageBreak/>
        <w:t>Impacts of the 2018 reforms</w:t>
      </w:r>
      <w:bookmarkEnd w:id="23"/>
    </w:p>
    <w:p w14:paraId="16018B79" w14:textId="77777777" w:rsidR="000C5687" w:rsidRDefault="000C5687">
      <w:pPr>
        <w:pStyle w:val="BodyText"/>
        <w:keepNext/>
      </w:pPr>
      <w:r>
        <w:t xml:space="preserve">In 2018, the Australian </w:t>
      </w:r>
      <w:r w:rsidRPr="001A40E3">
        <w:t xml:space="preserve">Parliament passed the </w:t>
      </w:r>
      <w:r w:rsidRPr="001A40E3">
        <w:rPr>
          <w:i/>
          <w:iCs/>
        </w:rPr>
        <w:t>Treasury Laws Amendment (Making Sure Every State and Territory Gets Their Fair Share of GST) Act 2018</w:t>
      </w:r>
      <w:r w:rsidRPr="001A40E3">
        <w:t xml:space="preserve"> (Cth) (the Act)</w:t>
      </w:r>
      <w:r>
        <w:t>. Schedule 1 of the Act made 4 substantial changes to how horizontal fiscal equalisation (HFE) is implemented in Australia by introducing:</w:t>
      </w:r>
    </w:p>
    <w:p w14:paraId="54506A9C" w14:textId="77777777" w:rsidR="000C5687" w:rsidRDefault="000C5687" w:rsidP="000C5687">
      <w:pPr>
        <w:pStyle w:val="ListBullet"/>
      </w:pPr>
      <w:r>
        <w:t xml:space="preserve">a new </w:t>
      </w:r>
      <w:r>
        <w:rPr>
          <w:b/>
          <w:bCs/>
        </w:rPr>
        <w:t xml:space="preserve">fiscal equalisation standard </w:t>
      </w:r>
      <w:r>
        <w:t>(with transitional arrangements) – set at the relativity of whichever of New South Wales or Victoria has the greater fiscal capacity (figure 2.1; s. 1)</w:t>
      </w:r>
    </w:p>
    <w:p w14:paraId="2C16D1B8" w14:textId="77777777" w:rsidR="000C5687" w:rsidRDefault="000C5687" w:rsidP="000C5687">
      <w:pPr>
        <w:pStyle w:val="ListBullet"/>
      </w:pPr>
      <w:r w:rsidRPr="009C7FD5">
        <w:t xml:space="preserve">a GST </w:t>
      </w:r>
      <w:r w:rsidRPr="00D47D57">
        <w:rPr>
          <w:b/>
          <w:bCs/>
        </w:rPr>
        <w:t>relativity floor</w:t>
      </w:r>
      <w:r>
        <w:rPr>
          <w:b/>
          <w:bCs/>
        </w:rPr>
        <w:t xml:space="preserve"> </w:t>
      </w:r>
      <w:r>
        <w:t xml:space="preserve">– </w:t>
      </w:r>
      <w:r w:rsidRPr="009C7FD5">
        <w:t>set at 0.70 in 2022</w:t>
      </w:r>
      <w:r>
        <w:t>–</w:t>
      </w:r>
      <w:r w:rsidRPr="009C7FD5">
        <w:t>23</w:t>
      </w:r>
      <w:r>
        <w:t>,</w:t>
      </w:r>
      <w:r w:rsidRPr="009C7FD5">
        <w:t xml:space="preserve"> then increased to 0.75 from 2024</w:t>
      </w:r>
      <w:r>
        <w:t>–</w:t>
      </w:r>
      <w:r w:rsidRPr="009C7FD5">
        <w:t>25</w:t>
      </w:r>
      <w:r>
        <w:t xml:space="preserve"> (s. 4)</w:t>
      </w:r>
    </w:p>
    <w:p w14:paraId="02783AAB" w14:textId="77777777" w:rsidR="000C5687" w:rsidRDefault="000C5687" w:rsidP="000C5687">
      <w:pPr>
        <w:pStyle w:val="ListBullet"/>
      </w:pPr>
      <w:r>
        <w:t xml:space="preserve">a GST </w:t>
      </w:r>
      <w:r w:rsidRPr="0050681A">
        <w:rPr>
          <w:b/>
          <w:bCs/>
        </w:rPr>
        <w:t>pool boost</w:t>
      </w:r>
      <w:r>
        <w:rPr>
          <w:b/>
          <w:bCs/>
        </w:rPr>
        <w:t xml:space="preserve"> </w:t>
      </w:r>
      <w:r>
        <w:t>– perpetual yearly top</w:t>
      </w:r>
      <w:r>
        <w:noBreakHyphen/>
        <w:t xml:space="preserve">ups of the GST pool by the Australian Government ($600 million from 2021–22, then $850 million from 2024–25, indexed to GST pool growth), which was introduced with the intent of making all states and territories (hereafter ‘states’) better off following the reforms (explanatory memorandum (EM) 1.28; s. 5) </w:t>
      </w:r>
    </w:p>
    <w:p w14:paraId="596F55C9" w14:textId="7F160A20" w:rsidR="000C5687" w:rsidRDefault="000C5687" w:rsidP="000C5687">
      <w:pPr>
        <w:pStyle w:val="ListBullet"/>
      </w:pPr>
      <w:r>
        <w:t xml:space="preserve">a </w:t>
      </w:r>
      <w:r w:rsidRPr="00E06C80">
        <w:rPr>
          <w:b/>
          <w:bCs/>
        </w:rPr>
        <w:t>No Worse</w:t>
      </w:r>
      <w:r w:rsidR="005633BF">
        <w:rPr>
          <w:b/>
          <w:bCs/>
        </w:rPr>
        <w:t xml:space="preserve"> </w:t>
      </w:r>
      <w:r w:rsidRPr="00E06C80">
        <w:rPr>
          <w:b/>
          <w:bCs/>
        </w:rPr>
        <w:t>Off (NoWO) guarantee</w:t>
      </w:r>
      <w:r>
        <w:t xml:space="preserve"> – </w:t>
      </w:r>
      <w:r w:rsidRPr="0050681A">
        <w:t>ensur</w:t>
      </w:r>
      <w:r>
        <w:t>ing</w:t>
      </w:r>
      <w:r w:rsidRPr="0050681A">
        <w:t xml:space="preserve"> that no state</w:t>
      </w:r>
      <w:r>
        <w:t xml:space="preserve"> </w:t>
      </w:r>
      <w:r w:rsidRPr="0050681A">
        <w:t>receive</w:t>
      </w:r>
      <w:r>
        <w:t>s</w:t>
      </w:r>
      <w:r w:rsidRPr="0050681A">
        <w:t xml:space="preserve"> less under the </w:t>
      </w:r>
      <w:r>
        <w:t>current</w:t>
      </w:r>
      <w:r w:rsidRPr="0050681A">
        <w:t xml:space="preserve"> </w:t>
      </w:r>
      <w:r>
        <w:t xml:space="preserve">GST </w:t>
      </w:r>
      <w:r w:rsidRPr="0050681A">
        <w:t xml:space="preserve">distribution system than it would have received under the </w:t>
      </w:r>
      <w:r>
        <w:t>pre</w:t>
      </w:r>
      <w:r>
        <w:noBreakHyphen/>
        <w:t>2018</w:t>
      </w:r>
      <w:r w:rsidRPr="0050681A">
        <w:t xml:space="preserve"> system</w:t>
      </w:r>
      <w:r>
        <w:t xml:space="preserve"> (s. 3).</w:t>
      </w:r>
    </w:p>
    <w:p w14:paraId="1F3AEB8C" w14:textId="2D9D1914" w:rsidR="000C5687" w:rsidRDefault="000C5687">
      <w:pPr>
        <w:pStyle w:val="BodyText"/>
      </w:pPr>
      <w:r w:rsidRPr="0022530E">
        <w:t xml:space="preserve">NoWO payments </w:t>
      </w:r>
      <w:r w:rsidRPr="0050681A">
        <w:t>were set to end in 2026</w:t>
      </w:r>
      <w:r>
        <w:t>–</w:t>
      </w:r>
      <w:r w:rsidRPr="0050681A">
        <w:t>27</w:t>
      </w:r>
      <w:r>
        <w:t>. However,</w:t>
      </w:r>
      <w:r w:rsidRPr="0050681A">
        <w:t xml:space="preserve"> </w:t>
      </w:r>
      <w:r>
        <w:t xml:space="preserve">the NoWO guarantee was subsequently extended by 3 years to the end of 2029–30 </w:t>
      </w:r>
      <w:r w:rsidRPr="009D3A16">
        <w:rPr>
          <w:i/>
        </w:rPr>
        <w:t xml:space="preserve">‘as part of </w:t>
      </w:r>
      <w:r>
        <w:rPr>
          <w:i/>
        </w:rPr>
        <w:t>[</w:t>
      </w:r>
      <w:r w:rsidRPr="009D3A16">
        <w:rPr>
          <w:i/>
        </w:rPr>
        <w:t>a</w:t>
      </w:r>
      <w:r>
        <w:rPr>
          <w:i/>
        </w:rPr>
        <w:t>]</w:t>
      </w:r>
      <w:r w:rsidRPr="009D3A16">
        <w:rPr>
          <w:i/>
        </w:rPr>
        <w:t xml:space="preserve"> broader health and </w:t>
      </w:r>
      <w:r>
        <w:rPr>
          <w:i/>
        </w:rPr>
        <w:t>[</w:t>
      </w:r>
      <w:r w:rsidRPr="002C466F">
        <w:rPr>
          <w:i/>
        </w:rPr>
        <w:t>National Disability Insurance Scheme</w:t>
      </w:r>
      <w:r>
        <w:rPr>
          <w:i/>
        </w:rPr>
        <w:t>]</w:t>
      </w:r>
      <w:r w:rsidRPr="009D3A16">
        <w:rPr>
          <w:i/>
        </w:rPr>
        <w:t xml:space="preserve"> deal … to provide </w:t>
      </w:r>
      <w:r>
        <w:rPr>
          <w:i/>
        </w:rPr>
        <w:t>[</w:t>
      </w:r>
      <w:r w:rsidRPr="009D3A16">
        <w:rPr>
          <w:i/>
        </w:rPr>
        <w:t>states</w:t>
      </w:r>
      <w:r>
        <w:rPr>
          <w:i/>
        </w:rPr>
        <w:t>]</w:t>
      </w:r>
      <w:r w:rsidRPr="009D3A16">
        <w:rPr>
          <w:i/>
        </w:rPr>
        <w:t xml:space="preserve"> with certainty in their coming budgets’</w:t>
      </w:r>
      <w:r>
        <w:t xml:space="preserve"> </w:t>
      </w:r>
      <w:r w:rsidRPr="0050681A">
        <w:t>(Chalmers 2023).</w:t>
      </w:r>
      <w:r>
        <w:t xml:space="preserve"> The Act was not amended to </w:t>
      </w:r>
      <w:r w:rsidDel="00844697">
        <w:t>give effect to</w:t>
      </w:r>
      <w:r>
        <w:t xml:space="preserve"> the extension. Separately from the legislation, until</w:t>
      </w:r>
      <w:r w:rsidRPr="0050681A">
        <w:t xml:space="preserve"> 2021</w:t>
      </w:r>
      <w:r>
        <w:t>–</w:t>
      </w:r>
      <w:r w:rsidRPr="0050681A">
        <w:t xml:space="preserve">22, the </w:t>
      </w:r>
      <w:r>
        <w:t>Australian Government</w:t>
      </w:r>
      <w:r w:rsidRPr="0050681A">
        <w:t xml:space="preserve"> provided </w:t>
      </w:r>
      <w:r w:rsidRPr="002573BE">
        <w:rPr>
          <w:b/>
          <w:bCs/>
        </w:rPr>
        <w:t>transitional top</w:t>
      </w:r>
      <w:r w:rsidRPr="002573BE">
        <w:rPr>
          <w:b/>
          <w:bCs/>
        </w:rPr>
        <w:noBreakHyphen/>
        <w:t>up payments</w:t>
      </w:r>
      <w:r w:rsidRPr="0050681A">
        <w:t xml:space="preserve"> to any </w:t>
      </w:r>
      <w:r>
        <w:t>state</w:t>
      </w:r>
      <w:r w:rsidRPr="0050681A">
        <w:t xml:space="preserve"> with a GST relativity below 0.7 and to the Northern Territory if its GST relativity fell below its 2017</w:t>
      </w:r>
      <w:r>
        <w:t>–</w:t>
      </w:r>
      <w:r w:rsidRPr="0050681A">
        <w:t xml:space="preserve">18 level. </w:t>
      </w:r>
    </w:p>
    <w:p w14:paraId="326B1714" w14:textId="77777777" w:rsidR="000C5687" w:rsidRDefault="000C5687">
      <w:pPr>
        <w:pStyle w:val="BodyText"/>
      </w:pPr>
      <w:r w:rsidRPr="0050681A">
        <w:t>Together, these changes (hereafter ‘the 2018 reforms’) represent a significant change to how HFE is undertaken in Australia</w:t>
      </w:r>
      <w:r>
        <w:t xml:space="preserve">. And while not directly related to the 2018 reforms, the </w:t>
      </w:r>
      <w:r w:rsidRPr="0050681A">
        <w:t>C</w:t>
      </w:r>
      <w:r>
        <w:t xml:space="preserve">ommonwealth </w:t>
      </w:r>
      <w:r w:rsidRPr="0050681A">
        <w:t>G</w:t>
      </w:r>
      <w:r>
        <w:t xml:space="preserve">rants </w:t>
      </w:r>
      <w:r w:rsidRPr="0050681A">
        <w:t>C</w:t>
      </w:r>
      <w:r>
        <w:t>ommission (</w:t>
      </w:r>
      <w:r w:rsidRPr="0050681A">
        <w:t>CGC</w:t>
      </w:r>
      <w:r>
        <w:t>)</w:t>
      </w:r>
      <w:r w:rsidRPr="0050681A">
        <w:t xml:space="preserve"> has made several changes to their operations since 2018 (box 2.</w:t>
      </w:r>
      <w:r>
        <w:t>1</w:t>
      </w:r>
      <w:r w:rsidRPr="0050681A">
        <w:t>).</w:t>
      </w:r>
    </w:p>
    <w:p w14:paraId="51611D1A" w14:textId="75F07F8F" w:rsidR="000C5687" w:rsidRPr="00F82BD9" w:rsidRDefault="000C5687">
      <w:pPr>
        <w:pStyle w:val="NoSpacing"/>
      </w:pPr>
    </w:p>
    <w:tbl>
      <w:tblPr>
        <w:tblStyle w:val="Boxtable"/>
        <w:tblW w:w="5000" w:type="pct"/>
        <w:tblLook w:val="04A0" w:firstRow="1" w:lastRow="0" w:firstColumn="1" w:lastColumn="0" w:noHBand="0" w:noVBand="1"/>
      </w:tblPr>
      <w:tblGrid>
        <w:gridCol w:w="9638"/>
      </w:tblGrid>
      <w:tr w:rsidR="000C5687" w14:paraId="275268A4" w14:textId="77777777">
        <w:trPr>
          <w:tblHeader/>
        </w:trPr>
        <w:tc>
          <w:tcPr>
            <w:tcW w:w="9638" w:type="dxa"/>
            <w:shd w:val="clear" w:color="auto" w:fill="EBEBEB"/>
            <w:tcMar>
              <w:top w:w="170" w:type="dxa"/>
              <w:left w:w="170" w:type="dxa"/>
              <w:bottom w:w="113" w:type="dxa"/>
              <w:right w:w="170" w:type="dxa"/>
            </w:tcMar>
            <w:hideMark/>
          </w:tcPr>
          <w:p w14:paraId="15A64930" w14:textId="0E644488" w:rsidR="000C5687" w:rsidRDefault="000C5687">
            <w:pPr>
              <w:pStyle w:val="BoxHeading1"/>
            </w:pPr>
            <w:r>
              <w:t>Box </w:t>
            </w:r>
            <w:r>
              <w:fldChar w:fldCharType="begin"/>
            </w:r>
            <w:r>
              <w:instrText>STYLEREF 1 \s</w:instrText>
            </w:r>
            <w:r>
              <w:fldChar w:fldCharType="separate"/>
            </w:r>
            <w:r w:rsidR="009C08C4">
              <w:rPr>
                <w:noProof/>
              </w:rPr>
              <w:t>2</w:t>
            </w:r>
            <w:r>
              <w:fldChar w:fldCharType="end"/>
            </w:r>
            <w:r>
              <w:t>.</w:t>
            </w:r>
            <w:r>
              <w:fldChar w:fldCharType="begin"/>
            </w:r>
            <w:r>
              <w:instrText>SEQ Box \* ARABIC \s 1</w:instrText>
            </w:r>
            <w:r>
              <w:fldChar w:fldCharType="separate"/>
            </w:r>
            <w:r w:rsidR="009C08C4">
              <w:rPr>
                <w:noProof/>
              </w:rPr>
              <w:t>1</w:t>
            </w:r>
            <w:r>
              <w:fldChar w:fldCharType="end"/>
            </w:r>
            <w:r>
              <w:t xml:space="preserve"> – </w:t>
            </w:r>
            <w:r w:rsidRPr="00810064">
              <w:t xml:space="preserve">The CGC </w:t>
            </w:r>
            <w:r>
              <w:t>has taken</w:t>
            </w:r>
            <w:r w:rsidRPr="00810064">
              <w:t xml:space="preserve"> several actions following the 2018</w:t>
            </w:r>
            <w:r>
              <w:t xml:space="preserve"> reforms</w:t>
            </w:r>
          </w:p>
        </w:tc>
      </w:tr>
      <w:tr w:rsidR="000C5687" w14:paraId="0954C9BA" w14:textId="77777777">
        <w:tc>
          <w:tcPr>
            <w:tcW w:w="9638" w:type="dxa"/>
            <w:shd w:val="clear" w:color="auto" w:fill="EBEBEB"/>
            <w:tcMar>
              <w:top w:w="28" w:type="dxa"/>
              <w:left w:w="170" w:type="dxa"/>
              <w:bottom w:w="170" w:type="dxa"/>
              <w:right w:w="170" w:type="dxa"/>
            </w:tcMar>
            <w:hideMark/>
          </w:tcPr>
          <w:p w14:paraId="1F8529E1" w14:textId="77777777" w:rsidR="000C5687" w:rsidRDefault="000C5687">
            <w:pPr>
              <w:pStyle w:val="BodyText"/>
            </w:pPr>
            <w:r w:rsidRPr="00810064">
              <w:t>Since 2018</w:t>
            </w:r>
            <w:r>
              <w:t>,</w:t>
            </w:r>
            <w:r w:rsidRPr="00810064">
              <w:t xml:space="preserve"> the CGC has </w:t>
            </w:r>
            <w:r>
              <w:t>established an</w:t>
            </w:r>
            <w:r w:rsidRPr="00810064">
              <w:t xml:space="preserve"> Occasional Paper and Research Paper series that provide non</w:t>
            </w:r>
            <w:r w:rsidRPr="00810064">
              <w:noBreakHyphen/>
              <w:t>technical discussions of the CGC’s work. Additionally, recent CGC publications – including the release of the 2025</w:t>
            </w:r>
            <w:r>
              <w:t>–</w:t>
            </w:r>
            <w:r w:rsidRPr="00810064">
              <w:t>26 GST relativities and 2025 Methodology Review – were accompanied by a media release and plain</w:t>
            </w:r>
            <w:r>
              <w:noBreakHyphen/>
            </w:r>
            <w:r w:rsidRPr="00810064">
              <w:t>English supporting</w:t>
            </w:r>
            <w:r>
              <w:t xml:space="preserve"> documentation</w:t>
            </w:r>
            <w:r w:rsidRPr="00810064">
              <w:t>. The CGC has also introduced a forward work program of research topics (</w:t>
            </w:r>
            <w:r>
              <w:t>giving</w:t>
            </w:r>
            <w:r w:rsidRPr="00810064">
              <w:t xml:space="preserve"> states the opportunity to provide inputs to the CGC’s research work) and a Data Working Group (enabling the CGC and states to look for ways to improve data </w:t>
            </w:r>
            <w:r>
              <w:t xml:space="preserve">quality, </w:t>
            </w:r>
            <w:r w:rsidRPr="00810064">
              <w:t>processes and procedures, such as exploring opportunities to reduce data confidentiality restrictions).</w:t>
            </w:r>
          </w:p>
          <w:p w14:paraId="52A46F75" w14:textId="77777777" w:rsidR="000C5687" w:rsidRDefault="000C5687">
            <w:pPr>
              <w:pStyle w:val="BodyText"/>
            </w:pPr>
            <w:r>
              <w:t>Source: CGC (sub. 34, pp. 20–21).</w:t>
            </w:r>
          </w:p>
        </w:tc>
      </w:tr>
    </w:tbl>
    <w:p w14:paraId="14CB9F78" w14:textId="77777777" w:rsidR="000C5687" w:rsidRDefault="000C5687">
      <w:pPr>
        <w:pStyle w:val="BodyText"/>
        <w:keepNext/>
      </w:pPr>
      <w:r>
        <w:lastRenderedPageBreak/>
        <w:t>As part of this inquiry, t</w:t>
      </w:r>
      <w:r w:rsidRPr="0050681A">
        <w:t>he P</w:t>
      </w:r>
      <w:r>
        <w:t xml:space="preserve">roductivity </w:t>
      </w:r>
      <w:r w:rsidRPr="0050681A">
        <w:t>C</w:t>
      </w:r>
      <w:r>
        <w:t>ommission</w:t>
      </w:r>
      <w:r w:rsidRPr="0050681A">
        <w:t xml:space="preserve"> has been asked to examine whether the</w:t>
      </w:r>
      <w:r>
        <w:t xml:space="preserve"> 2018</w:t>
      </w:r>
      <w:r w:rsidRPr="0050681A">
        <w:t xml:space="preserve"> reforms are ‘operating efficiently, effectively and as intended’.</w:t>
      </w:r>
      <w:r>
        <w:t xml:space="preserve"> As such, this chapter: </w:t>
      </w:r>
    </w:p>
    <w:p w14:paraId="62B1693A" w14:textId="77777777" w:rsidR="000C5687" w:rsidRDefault="000C5687" w:rsidP="000C5687">
      <w:pPr>
        <w:pStyle w:val="ListBullet"/>
      </w:pPr>
      <w:r>
        <w:t>explores the intent of the 2018 reforms (section</w:t>
      </w:r>
      <w:r w:rsidRPr="007E7AAB">
        <w:rPr>
          <w:rFonts w:ascii="Arial" w:hAnsi="Arial" w:cs="Arial"/>
        </w:rPr>
        <w:t> </w:t>
      </w:r>
      <w:r>
        <w:t xml:space="preserve">2.1) </w:t>
      </w:r>
    </w:p>
    <w:p w14:paraId="4B1EBD79" w14:textId="77777777" w:rsidR="000C5687" w:rsidRDefault="000C5687" w:rsidP="000C5687">
      <w:pPr>
        <w:pStyle w:val="ListBullet"/>
      </w:pPr>
      <w:r>
        <w:t>analyses the impact of the reforms (section</w:t>
      </w:r>
      <w:r w:rsidRPr="007E7AAB">
        <w:rPr>
          <w:rFonts w:ascii="Arial" w:hAnsi="Arial" w:cs="Arial"/>
        </w:rPr>
        <w:t> </w:t>
      </w:r>
      <w:r>
        <w:t xml:space="preserve">2.2) </w:t>
      </w:r>
    </w:p>
    <w:p w14:paraId="755797E8" w14:textId="77777777" w:rsidR="000C5687" w:rsidRPr="00F82BD9" w:rsidRDefault="000C5687" w:rsidP="000C5687">
      <w:pPr>
        <w:pStyle w:val="ListBullet"/>
      </w:pPr>
      <w:r>
        <w:t>evaluates, to the extent possible, whether the reforms are operating ‘efficiently, effectively and as intended’ (section</w:t>
      </w:r>
      <w:r w:rsidRPr="00050BEA">
        <w:rPr>
          <w:rFonts w:ascii="Arial" w:hAnsi="Arial" w:cs="Arial"/>
        </w:rPr>
        <w:t> </w:t>
      </w:r>
      <w:r>
        <w:t>2.3).</w:t>
      </w:r>
    </w:p>
    <w:p w14:paraId="3C6B8E07" w14:textId="5B1E09AB" w:rsidR="000C5687" w:rsidRPr="00146382" w:rsidRDefault="000C5687">
      <w:pPr>
        <w:pStyle w:val="FigureTableHeading"/>
      </w:pPr>
      <w:r>
        <w:t>Figure </w:t>
      </w:r>
      <w:r>
        <w:fldChar w:fldCharType="begin"/>
      </w:r>
      <w:r>
        <w:instrText>STYLEREF 1 \s</w:instrText>
      </w:r>
      <w:r>
        <w:fldChar w:fldCharType="separate"/>
      </w:r>
      <w:r w:rsidR="009C08C4">
        <w:rPr>
          <w:noProof/>
        </w:rPr>
        <w:t>2</w:t>
      </w:r>
      <w:r>
        <w:fldChar w:fldCharType="end"/>
      </w:r>
      <w:r>
        <w:t>.</w:t>
      </w:r>
      <w:r>
        <w:fldChar w:fldCharType="begin"/>
      </w:r>
      <w:r>
        <w:instrText>SEQ Figure \* ARABIC \s 1</w:instrText>
      </w:r>
      <w:r>
        <w:fldChar w:fldCharType="separate"/>
      </w:r>
      <w:r w:rsidR="009C08C4">
        <w:rPr>
          <w:noProof/>
        </w:rPr>
        <w:t>1</w:t>
      </w:r>
      <w:r>
        <w:fldChar w:fldCharType="end"/>
      </w:r>
      <w:r>
        <w:rPr>
          <w:noProof/>
        </w:rPr>
        <w:t xml:space="preserve"> </w:t>
      </w:r>
      <w:r>
        <w:t>– The 2018 reforms have introduced more steps to the GST distribution process, making the system more complex</w:t>
      </w:r>
    </w:p>
    <w:p w14:paraId="6320BED2" w14:textId="77777777" w:rsidR="00521822" w:rsidRDefault="00521822">
      <w:pPr>
        <w:pStyle w:val="Note"/>
        <w:keepLines/>
      </w:pPr>
      <w:r w:rsidRPr="00521822">
        <w:rPr>
          <w:noProof/>
        </w:rPr>
        <w:drawing>
          <wp:inline distT="0" distB="0" distL="0" distR="0" wp14:anchorId="534B59A0" wp14:editId="5D83B515">
            <wp:extent cx="6120130" cy="3559175"/>
            <wp:effectExtent l="0" t="0" r="0" b="0"/>
            <wp:docPr id="1005313911" name="Picture 19" descr="Figure 2.1 – A figure with three panels that outlines the steps involved in calculating GST relativities before and after the 2018 reforms. &#10;&#10;Panel 1 – Prior to the 2018 reforms, the CGC calculated assessed relativities. Each state’s relative capacity to raise revenue is compared with its relative cost of providing services. Assessed relativities match a state’s assessed expenditure with its assessed revenue  &#10;&#10;(including GST). Assessed relativities are used to determine NoWO payments. &#10;&#10;Panels 2 and 3 – Following the 2018 reforms, after calculating assessed relativities, the CGC must now also calculate standard state relativities and GST relativities. For standard state relativities, relativities are adjusted so that no state has a relativity less than the lower of NSW or Victoria (the ‘standard state’). Any state that is fiscally stronger than (and has a lower assessed relativity than) the standard state will have its relativity increased. All other states’ relativities are adjusted down to accommodate this. For GST relativities, if a standard state’s relativity is below the floor, its GST relativity is adjusted up to the 0.75 floor (along with the relativities of any other states that have had their relativities lifted to match the standard state). All other states’ relativities are adjusted down to accommodate this. GST relativities are the ‘final numbers’ in the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313911" name="Picture 19" descr="Figure 2.1 – A figure with three panels that outlines the steps involved in calculating GST relativities before and after the 2018 reforms. &#10;&#10;Panel 1 – Prior to the 2018 reforms, the CGC calculated assessed relativities. Each state’s relative capacity to raise revenue is compared with its relative cost of providing services. Assessed relativities match a state’s assessed expenditure with its assessed revenue  &#10;&#10;(including GST). Assessed relativities are used to determine NoWO payments. &#10;&#10;Panels 2 and 3 – Following the 2018 reforms, after calculating assessed relativities, the CGC must now also calculate standard state relativities and GST relativities. For standard state relativities, relativities are adjusted so that no state has a relativity less than the lower of NSW or Victoria (the ‘standard state’). Any state that is fiscally stronger than (and has a lower assessed relativity than) the standard state will have its relativity increased. All other states’ relativities are adjusted down to accommodate this. For GST relativities, if a standard state’s relativity is below the floor, its GST relativity is adjusted up to the 0.75 floor (along with the relativities of any other states that have had their relativities lifted to match the standard state). All other states’ relativities are adjusted down to accommodate this. GST relativities are the ‘final numbers’ in the process."/>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120130" cy="3559175"/>
                    </a:xfrm>
                    <a:prstGeom prst="rect">
                      <a:avLst/>
                    </a:prstGeom>
                    <a:noFill/>
                    <a:ln>
                      <a:noFill/>
                    </a:ln>
                  </pic:spPr>
                </pic:pic>
              </a:graphicData>
            </a:graphic>
          </wp:inline>
        </w:drawing>
      </w:r>
    </w:p>
    <w:p w14:paraId="05346801" w14:textId="3F7024FA" w:rsidR="000C5687" w:rsidRDefault="000C5687">
      <w:pPr>
        <w:pStyle w:val="Note"/>
        <w:keepLines/>
      </w:pPr>
      <w:r w:rsidRPr="00482803">
        <w:t xml:space="preserve"> </w:t>
      </w:r>
      <w:r>
        <w:t xml:space="preserve">Chapter 1 includes a more comprehensive explanation of relativities and their role in the GST distribution system. This figure relates to the GST distribution system after the conclusion of transitional arrangements. </w:t>
      </w:r>
      <w:r w:rsidRPr="00180E66">
        <w:rPr>
          <w:b/>
          <w:bCs/>
        </w:rPr>
        <w:t>a.</w:t>
      </w:r>
      <w:r>
        <w:t xml:space="preserve"> States’ relativities are adjusted down on a population share basis.</w:t>
      </w:r>
    </w:p>
    <w:p w14:paraId="4686B073" w14:textId="77777777" w:rsidR="000C5687" w:rsidRPr="00F82BD9" w:rsidRDefault="000C5687" w:rsidP="00C77450">
      <w:pPr>
        <w:pStyle w:val="Source"/>
        <w:spacing w:after="360"/>
      </w:pPr>
      <w:r w:rsidRPr="00696447">
        <w:t xml:space="preserve">Source: </w:t>
      </w:r>
      <w:r>
        <w:t>adapted from CGC (sub. 34, p. 22)</w:t>
      </w:r>
      <w:r w:rsidRPr="00696447">
        <w:t>.</w:t>
      </w:r>
    </w:p>
    <w:p w14:paraId="382C0D8F" w14:textId="77777777" w:rsidR="000C5687" w:rsidRDefault="000C5687" w:rsidP="001147D0">
      <w:pPr>
        <w:pStyle w:val="Heading2"/>
      </w:pPr>
      <w:bookmarkStart w:id="24" w:name="_Toc235447971"/>
      <w:bookmarkStart w:id="25" w:name="_Toc236904065"/>
      <w:r>
        <w:t>The intent of the 2018 reforms was not explicitly defined</w:t>
      </w:r>
      <w:bookmarkEnd w:id="24"/>
      <w:bookmarkEnd w:id="25"/>
    </w:p>
    <w:p w14:paraId="0D11025D" w14:textId="77777777" w:rsidR="000C5687" w:rsidRDefault="000C5687">
      <w:pPr>
        <w:pStyle w:val="BodyText"/>
      </w:pPr>
      <w:r w:rsidRPr="00247692">
        <w:t xml:space="preserve">The then </w:t>
      </w:r>
      <w:r>
        <w:t>Australian Government</w:t>
      </w:r>
      <w:r w:rsidRPr="00247692">
        <w:t>’s broad rationale for the 2018 reforms</w:t>
      </w:r>
      <w:r>
        <w:t xml:space="preserve"> was that </w:t>
      </w:r>
      <w:r w:rsidRPr="00247692">
        <w:t xml:space="preserve">the mining boom revealed that Australia’s </w:t>
      </w:r>
      <w:r>
        <w:t>GST distribution</w:t>
      </w:r>
      <w:r w:rsidRPr="00247692">
        <w:t xml:space="preserve"> system </w:t>
      </w:r>
      <w:r w:rsidRPr="009D3A16">
        <w:rPr>
          <w:i/>
        </w:rPr>
        <w:t>‘[did] not function well when faced with economic shocks</w:t>
      </w:r>
      <w:r>
        <w:rPr>
          <w:i/>
        </w:rPr>
        <w:t>’</w:t>
      </w:r>
      <w:r w:rsidRPr="009D3A16">
        <w:rPr>
          <w:i/>
        </w:rPr>
        <w:t xml:space="preserve">, </w:t>
      </w:r>
      <w:r w:rsidRPr="00724F8B">
        <w:rPr>
          <w:iCs/>
        </w:rPr>
        <w:t>resulting in a need to reform the system amid</w:t>
      </w:r>
      <w:r w:rsidRPr="009D3A16">
        <w:rPr>
          <w:i/>
        </w:rPr>
        <w:t xml:space="preserve"> </w:t>
      </w:r>
      <w:r>
        <w:rPr>
          <w:i/>
        </w:rPr>
        <w:t>‘</w:t>
      </w:r>
      <w:r w:rsidRPr="009D3A16">
        <w:rPr>
          <w:i/>
        </w:rPr>
        <w:t xml:space="preserve">declining community </w:t>
      </w:r>
      <w:r>
        <w:rPr>
          <w:i/>
        </w:rPr>
        <w:t>confidence</w:t>
      </w:r>
      <w:r>
        <w:rPr>
          <w:i/>
          <w:iCs/>
        </w:rPr>
        <w:t xml:space="preserve">’ </w:t>
      </w:r>
      <w:r>
        <w:t>(EM 1.11–1.13)</w:t>
      </w:r>
      <w:r w:rsidRPr="00810064">
        <w:t>.</w:t>
      </w:r>
      <w:r w:rsidRPr="00201B0D">
        <w:rPr>
          <w:rStyle w:val="FootnoteReference"/>
        </w:rPr>
        <w:footnoteReference w:id="15"/>
      </w:r>
    </w:p>
    <w:p w14:paraId="60947456" w14:textId="77777777" w:rsidR="000C5687" w:rsidRDefault="000C5687">
      <w:pPr>
        <w:pStyle w:val="BodyText"/>
      </w:pPr>
      <w:r w:rsidRPr="00B30707">
        <w:t xml:space="preserve">However, the </w:t>
      </w:r>
      <w:r>
        <w:t>ultimate</w:t>
      </w:r>
      <w:r w:rsidRPr="00B30707">
        <w:t xml:space="preserve"> ‘intent’</w:t>
      </w:r>
      <w:r>
        <w:t xml:space="preserve"> of the 2018 reforms – or in other words, the specific outcomes the Australian Government was seeking to achieve – was not explicitly defined in the Act. Instead, the EM contained several statements about the aims of the reforms that can be interpreted as ‘intent’. These statements covered concepts such as predictability, fairness and sustainability, and referenced states </w:t>
      </w:r>
      <w:r>
        <w:lastRenderedPageBreak/>
        <w:t xml:space="preserve">being both </w:t>
      </w:r>
      <w:r w:rsidRPr="00724F8B">
        <w:rPr>
          <w:i/>
          <w:iCs/>
        </w:rPr>
        <w:t>‘better off’</w:t>
      </w:r>
      <w:r>
        <w:t xml:space="preserve"> and </w:t>
      </w:r>
      <w:r w:rsidRPr="00724F8B">
        <w:rPr>
          <w:i/>
          <w:iCs/>
        </w:rPr>
        <w:t>‘no worse off’</w:t>
      </w:r>
      <w:r>
        <w:t xml:space="preserve"> as a result of the reforms (figure 2.2).</w:t>
      </w:r>
      <w:r w:rsidRPr="00201B0D">
        <w:rPr>
          <w:rStyle w:val="FootnoteReference"/>
        </w:rPr>
        <w:footnoteReference w:id="16"/>
      </w:r>
      <w:r>
        <w:t xml:space="preserve"> The EM also referred to recommendations from the PC’s 2018 inquiry into </w:t>
      </w:r>
      <w:r>
        <w:rPr>
          <w:i/>
          <w:iCs/>
        </w:rPr>
        <w:t xml:space="preserve">Horizontal Fiscal Equalisation </w:t>
      </w:r>
      <w:r>
        <w:t>around better balancing equity and efficiency in the GST distribution system (EM 1.20).</w:t>
      </w:r>
      <w:r w:rsidRPr="00201B0D">
        <w:rPr>
          <w:rStyle w:val="FootnoteReference"/>
        </w:rPr>
        <w:footnoteReference w:id="17"/>
      </w:r>
      <w:r>
        <w:t xml:space="preserve"> </w:t>
      </w:r>
    </w:p>
    <w:p w14:paraId="3A3FFD2E" w14:textId="4FD2D1F9" w:rsidR="000C5687" w:rsidRPr="001D03B2" w:rsidRDefault="000C5687">
      <w:pPr>
        <w:pStyle w:val="BodyText"/>
        <w:rPr>
          <w:rStyle w:val="BodyTextChar"/>
          <w:spacing w:val="-4"/>
        </w:rPr>
      </w:pPr>
      <w:r w:rsidRPr="001D03B2">
        <w:rPr>
          <w:spacing w:val="-4"/>
        </w:rPr>
        <w:t>The Australian Government’s interim response to the PC’s 2018 inquiry, along with Government members’ second reading speeches on the Bill introducing the 2018 reforms, expressed similar themes</w:t>
      </w:r>
      <w:r w:rsidRPr="001D03B2">
        <w:rPr>
          <w:rStyle w:val="BodyTextChar"/>
          <w:spacing w:val="-4"/>
        </w:rPr>
        <w:t xml:space="preserve"> </w:t>
      </w:r>
      <w:r w:rsidR="00546FEC" w:rsidRPr="001D03B2">
        <w:rPr>
          <w:rFonts w:cs="Open Sans"/>
          <w:spacing w:val="-4"/>
        </w:rPr>
        <w:t>(Australian Government 2018, p. 11; House of Representatives 2018, pp. 10799–10800; Senate 2018, p. 7804)</w:t>
      </w:r>
      <w:r w:rsidRPr="001D03B2">
        <w:rPr>
          <w:rStyle w:val="BodyTextChar"/>
          <w:spacing w:val="-4"/>
        </w:rPr>
        <w:t>.</w:t>
      </w:r>
    </w:p>
    <w:p w14:paraId="43E0A3CE" w14:textId="5D04A41B" w:rsidR="000C5687" w:rsidRPr="00146382" w:rsidRDefault="000C5687">
      <w:pPr>
        <w:pStyle w:val="FigureTableHeading"/>
      </w:pPr>
      <w:r>
        <w:t>Figure </w:t>
      </w:r>
      <w:r>
        <w:fldChar w:fldCharType="begin"/>
      </w:r>
      <w:r>
        <w:instrText>STYLEREF 1 \s</w:instrText>
      </w:r>
      <w:r>
        <w:fldChar w:fldCharType="separate"/>
      </w:r>
      <w:r w:rsidR="009C08C4">
        <w:rPr>
          <w:noProof/>
        </w:rPr>
        <w:t>2</w:t>
      </w:r>
      <w:r>
        <w:fldChar w:fldCharType="end"/>
      </w:r>
      <w:r>
        <w:t>.</w:t>
      </w:r>
      <w:r>
        <w:fldChar w:fldCharType="begin"/>
      </w:r>
      <w:r>
        <w:instrText>SEQ Figure \* ARABIC \s 1</w:instrText>
      </w:r>
      <w:r>
        <w:fldChar w:fldCharType="separate"/>
      </w:r>
      <w:r w:rsidR="009C08C4">
        <w:rPr>
          <w:noProof/>
        </w:rPr>
        <w:t>2</w:t>
      </w:r>
      <w:r>
        <w:fldChar w:fldCharType="end"/>
      </w:r>
      <w:r>
        <w:rPr>
          <w:noProof/>
        </w:rPr>
        <w:t xml:space="preserve"> </w:t>
      </w:r>
      <w:r>
        <w:t>– The intent of the 2018 reforms had several elements</w:t>
      </w:r>
    </w:p>
    <w:p w14:paraId="1BF8E45D" w14:textId="77777777" w:rsidR="000C5687" w:rsidRDefault="000C5687" w:rsidP="007D4ECD">
      <w:pPr>
        <w:pStyle w:val="BodyText"/>
      </w:pPr>
      <w:r w:rsidRPr="00E90991">
        <w:rPr>
          <w:noProof/>
        </w:rPr>
        <w:drawing>
          <wp:inline distT="0" distB="0" distL="0" distR="0" wp14:anchorId="3F51805D" wp14:editId="34B63552">
            <wp:extent cx="6120130" cy="1950085"/>
            <wp:effectExtent l="0" t="0" r="0" b="0"/>
            <wp:docPr id="419013468" name="Picture 5" descr="Figure 2.2 – A figure with four panels that outlines the intent of the 2018 reforms (as identified by the PC). &#10;&#10;Panel 1 – Guard against the negative effects of economic shocks (on states’ GST revenue) by moving to an updated HFE system. &#10;&#10;Panel 2 – Maintain and improve the HFE system with minimal disruption, now and into the future. &#10;&#10;Panel 3 – Provide a long-term solution with more stable and predictable revenue for all states and territories, while preserving equity in the HFE system and leaving all states better off. &#10;&#10;Panel 4 – Transition Australia’s HFE system in a fair, reasonable and sustainable way that leaves no state worse of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013468" name="Picture 5" descr="Figure 2.2 – A figure with four panels that outlines the intent of the 2018 reforms (as identified by the PC). &#10;&#10;Panel 1 – Guard against the negative effects of economic shocks (on states’ GST revenue) by moving to an updated HFE system. &#10;&#10;Panel 2 – Maintain and improve the HFE system with minimal disruption, now and into the future. &#10;&#10;Panel 3 – Provide a long-term solution with more stable and predictable revenue for all states and territories, while preserving equity in the HFE system and leaving all states better off. &#10;&#10;Panel 4 – Transition Australia’s HFE system in a fair, reasonable and sustainable way that leaves no state worse off. "/>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120130" cy="1950085"/>
                    </a:xfrm>
                    <a:prstGeom prst="rect">
                      <a:avLst/>
                    </a:prstGeom>
                    <a:noFill/>
                    <a:ln>
                      <a:noFill/>
                    </a:ln>
                  </pic:spPr>
                </pic:pic>
              </a:graphicData>
            </a:graphic>
          </wp:inline>
        </w:drawing>
      </w:r>
    </w:p>
    <w:p w14:paraId="365D850C" w14:textId="77777777" w:rsidR="000C5687" w:rsidRDefault="000C5687">
      <w:pPr>
        <w:pStyle w:val="Source"/>
      </w:pPr>
      <w:r w:rsidRPr="00696447">
        <w:t xml:space="preserve">Source: </w:t>
      </w:r>
      <w:r w:rsidRPr="00810064">
        <w:t xml:space="preserve">adapted from </w:t>
      </w:r>
      <w:r>
        <w:t>EM (1.14, 1.16, 1.17, 1.23)</w:t>
      </w:r>
      <w:r w:rsidRPr="00696447">
        <w:t>.</w:t>
      </w:r>
    </w:p>
    <w:p w14:paraId="3CC5FF37" w14:textId="77777777" w:rsidR="000C5687" w:rsidRPr="00783554" w:rsidRDefault="000C5687" w:rsidP="001147D0">
      <w:pPr>
        <w:pStyle w:val="Heading2"/>
      </w:pPr>
      <w:bookmarkStart w:id="26" w:name="_Toc235447972"/>
      <w:bookmarkStart w:id="27" w:name="_Toc234579013"/>
      <w:bookmarkStart w:id="28" w:name="_Toc236904066"/>
      <w:r w:rsidRPr="00783554">
        <w:t xml:space="preserve">The 2018 reforms have so far had several (primarily negative) impacts on Australia’s </w:t>
      </w:r>
      <w:r>
        <w:t>GST distribution</w:t>
      </w:r>
      <w:r w:rsidRPr="00783554">
        <w:t xml:space="preserve"> system</w:t>
      </w:r>
      <w:bookmarkEnd w:id="26"/>
      <w:bookmarkEnd w:id="27"/>
      <w:bookmarkEnd w:id="28"/>
    </w:p>
    <w:p w14:paraId="12DCC35D" w14:textId="77777777" w:rsidR="000C5687" w:rsidRPr="00810064" w:rsidRDefault="000C5687">
      <w:pPr>
        <w:pStyle w:val="BodyText"/>
        <w:keepNext/>
      </w:pPr>
      <w:r>
        <w:t xml:space="preserve">As arrangements to transition to the new fiscal equalisation standard were only completed in 2025–‍26 and the NoWO guarantee has been extended to 2029–30, </w:t>
      </w:r>
      <w:r w:rsidRPr="00810064">
        <w:t>the</w:t>
      </w:r>
      <w:r>
        <w:t xml:space="preserve"> complete effects</w:t>
      </w:r>
      <w:r w:rsidRPr="00810064">
        <w:t xml:space="preserve"> of the</w:t>
      </w:r>
      <w:r>
        <w:t xml:space="preserve"> 2018</w:t>
      </w:r>
      <w:r w:rsidRPr="00810064">
        <w:t xml:space="preserve"> reforms have not yet</w:t>
      </w:r>
      <w:r>
        <w:t xml:space="preserve"> fully</w:t>
      </w:r>
      <w:r w:rsidRPr="00810064">
        <w:t xml:space="preserve"> </w:t>
      </w:r>
      <w:r>
        <w:t>emerged</w:t>
      </w:r>
      <w:r w:rsidRPr="00810064">
        <w:t xml:space="preserve">. However, it is clear the 2018 reforms have already affected Australia’s </w:t>
      </w:r>
      <w:r>
        <w:t>GST distribution</w:t>
      </w:r>
      <w:r w:rsidRPr="00810064">
        <w:t xml:space="preserve"> system in several ways. Specifically, the reforms have:</w:t>
      </w:r>
    </w:p>
    <w:p w14:paraId="3A3F8D38" w14:textId="77777777" w:rsidR="000C5687" w:rsidRDefault="000C5687" w:rsidP="000C5687">
      <w:pPr>
        <w:pStyle w:val="ListBullet"/>
      </w:pPr>
      <w:r w:rsidRPr="00CB57BA">
        <w:t xml:space="preserve">reduced the </w:t>
      </w:r>
      <w:r>
        <w:t>level</w:t>
      </w:r>
      <w:r w:rsidRPr="00CB57BA">
        <w:t xml:space="preserve"> of HFE achieved in Australia</w:t>
      </w:r>
    </w:p>
    <w:p w14:paraId="33196D4B" w14:textId="77777777" w:rsidR="000C5687" w:rsidRPr="00CB57BA" w:rsidRDefault="000C5687" w:rsidP="000C5687">
      <w:pPr>
        <w:pStyle w:val="ListBullet"/>
      </w:pPr>
      <w:r w:rsidRPr="00CB57BA">
        <w:t>introduced</w:t>
      </w:r>
      <w:r>
        <w:t xml:space="preserve"> </w:t>
      </w:r>
      <w:r w:rsidRPr="00CB57BA">
        <w:t xml:space="preserve">perverse outcomes to the </w:t>
      </w:r>
      <w:r>
        <w:t>GST distribution</w:t>
      </w:r>
      <w:r w:rsidRPr="00CB57BA">
        <w:t xml:space="preserve"> system</w:t>
      </w:r>
    </w:p>
    <w:p w14:paraId="7182A8D0" w14:textId="77777777" w:rsidR="000C5687" w:rsidRPr="00CB57BA" w:rsidRDefault="000C5687" w:rsidP="000C5687">
      <w:pPr>
        <w:pStyle w:val="ListBullet"/>
      </w:pPr>
      <w:r w:rsidRPr="00CB57BA">
        <w:t>come at a significantly higher cost to the Australian Government than expected</w:t>
      </w:r>
    </w:p>
    <w:p w14:paraId="3C933A36" w14:textId="77777777" w:rsidR="000C5687" w:rsidRPr="00CB57BA" w:rsidRDefault="000C5687" w:rsidP="000C5687">
      <w:pPr>
        <w:pStyle w:val="ListBullet"/>
      </w:pPr>
      <w:r w:rsidRPr="00CB57BA">
        <w:t>had mixed impacts on states’ fiscal positions –</w:t>
      </w:r>
      <w:r>
        <w:t xml:space="preserve"> with</w:t>
      </w:r>
      <w:r w:rsidRPr="00CB57BA">
        <w:t xml:space="preserve"> Western Australia </w:t>
      </w:r>
      <w:r>
        <w:t>being</w:t>
      </w:r>
      <w:r w:rsidRPr="00CB57BA">
        <w:t xml:space="preserve"> better off, and other states no worse off</w:t>
      </w:r>
      <w:r>
        <w:t xml:space="preserve"> –</w:t>
      </w:r>
      <w:r w:rsidRPr="00CB57BA">
        <w:t xml:space="preserve"> while creating additional fiscal uncertainty for </w:t>
      </w:r>
      <w:r w:rsidRPr="00CB57BA" w:rsidDel="00FD64DD">
        <w:t>governments</w:t>
      </w:r>
    </w:p>
    <w:p w14:paraId="1186583C" w14:textId="6F651C36" w:rsidR="000C5687" w:rsidRPr="00CB57BA" w:rsidRDefault="000C5687" w:rsidP="00A85871">
      <w:pPr>
        <w:pStyle w:val="ListBullet"/>
      </w:pPr>
      <w:r w:rsidRPr="00CB57BA">
        <w:t xml:space="preserve">increased the complexity of the </w:t>
      </w:r>
      <w:r>
        <w:t>GST distribution</w:t>
      </w:r>
      <w:r w:rsidRPr="00CB57BA">
        <w:t xml:space="preserve"> system, making it less transparent.</w:t>
      </w:r>
    </w:p>
    <w:p w14:paraId="69F3B9C1" w14:textId="77777777" w:rsidR="000C5687" w:rsidRDefault="000C5687">
      <w:pPr>
        <w:pStyle w:val="Heading3"/>
      </w:pPr>
      <w:r>
        <w:t>The 2018 reforms deliver a lower degree of HFE</w:t>
      </w:r>
    </w:p>
    <w:p w14:paraId="462A17A6" w14:textId="77777777" w:rsidR="000C5687" w:rsidRPr="00810064" w:rsidRDefault="000C5687">
      <w:pPr>
        <w:pStyle w:val="BodyText"/>
      </w:pPr>
      <w:r w:rsidRPr="00810064">
        <w:t xml:space="preserve">HFE </w:t>
      </w:r>
      <w:r w:rsidRPr="009D3A16">
        <w:rPr>
          <w:i/>
        </w:rPr>
        <w:t>‘is not an exact science’</w:t>
      </w:r>
      <w:r w:rsidRPr="00810064">
        <w:t xml:space="preserve"> and involves </w:t>
      </w:r>
      <w:r w:rsidRPr="009D3A16">
        <w:rPr>
          <w:i/>
        </w:rPr>
        <w:t>‘estimates, trade</w:t>
      </w:r>
      <w:r w:rsidRPr="009D3A16">
        <w:rPr>
          <w:i/>
        </w:rPr>
        <w:noBreakHyphen/>
        <w:t>offs and judgements’</w:t>
      </w:r>
      <w:r w:rsidRPr="00810064">
        <w:t xml:space="preserve"> (CGC, sub. 34, p. 3). </w:t>
      </w:r>
      <w:r>
        <w:t>As a result, it is not possible for the CGC to a</w:t>
      </w:r>
      <w:r w:rsidRPr="00810064">
        <w:t>chiev</w:t>
      </w:r>
      <w:r>
        <w:t>e</w:t>
      </w:r>
      <w:r w:rsidRPr="00810064">
        <w:t xml:space="preserve"> ‘perfect’ equalisation between states. </w:t>
      </w:r>
      <w:r>
        <w:t>However,</w:t>
      </w:r>
      <w:r w:rsidRPr="00810064">
        <w:t xml:space="preserve"> while </w:t>
      </w:r>
      <w:r w:rsidRPr="00810064">
        <w:lastRenderedPageBreak/>
        <w:t>departures from perfect equalisation are inevitable, different GST distribution systems vary in the extent to which they stray from the best available estimate of perfect equalisation.</w:t>
      </w:r>
    </w:p>
    <w:p w14:paraId="57DA22C8" w14:textId="4E40C7FF" w:rsidR="000C5687" w:rsidRPr="00810064" w:rsidRDefault="000C5687">
      <w:pPr>
        <w:pStyle w:val="BodyText"/>
        <w:keepNext/>
      </w:pPr>
      <w:r w:rsidRPr="00810064">
        <w:t>Under the pre</w:t>
      </w:r>
      <w:r w:rsidRPr="00810064">
        <w:noBreakHyphen/>
        <w:t>2018 distribution system, the CGC’s recommended distribution of the GST</w:t>
      </w:r>
      <w:r>
        <w:t xml:space="preserve"> pool</w:t>
      </w:r>
      <w:r w:rsidRPr="00810064">
        <w:t xml:space="preserve"> balanced</w:t>
      </w:r>
      <w:r>
        <w:t xml:space="preserve"> these estimates, trade</w:t>
      </w:r>
      <w:r>
        <w:noBreakHyphen/>
        <w:t>offs and judgements as best as it could</w:t>
      </w:r>
      <w:r w:rsidRPr="00810064">
        <w:t>. Consequently, if each state made the same effort to raise own</w:t>
      </w:r>
      <w:r>
        <w:noBreakHyphen/>
      </w:r>
      <w:r w:rsidRPr="00810064">
        <w:t xml:space="preserve">source revenue and operated at the average level of efficiency, </w:t>
      </w:r>
      <w:r>
        <w:t>it</w:t>
      </w:r>
      <w:r w:rsidRPr="00810064">
        <w:t xml:space="preserve"> could provide a </w:t>
      </w:r>
      <w:r w:rsidRPr="00631387">
        <w:rPr>
          <w:i/>
          <w:iCs/>
        </w:rPr>
        <w:t>similar</w:t>
      </w:r>
      <w:r w:rsidRPr="00810064">
        <w:t xml:space="preserve"> standard of services and infrastructure</w:t>
      </w:r>
      <w:r>
        <w:t xml:space="preserve"> as other states</w:t>
      </w:r>
      <w:r w:rsidRPr="00810064">
        <w:t xml:space="preserve"> </w:t>
      </w:r>
      <w:r w:rsidR="00546FEC" w:rsidRPr="00546FEC">
        <w:rPr>
          <w:rFonts w:cs="Open Sans"/>
        </w:rPr>
        <w:t>(CGC 2025f, p. 230)</w:t>
      </w:r>
      <w:r>
        <w:t>. In other words, each state’s assessed revenues (including GST revenue) met their assessed expenditures (figure 2.3, left panel)</w:t>
      </w:r>
      <w:r w:rsidRPr="00810064">
        <w:t xml:space="preserve">. The </w:t>
      </w:r>
      <w:r>
        <w:t xml:space="preserve">current </w:t>
      </w:r>
      <w:r w:rsidRPr="00810064">
        <w:t xml:space="preserve">distribution system now delivers a lower degree of equalisation, with </w:t>
      </w:r>
      <w:r>
        <w:t>Western Australia receiving a higher amount of GST revenue than required to meet their assessed expenditure, with</w:t>
      </w:r>
      <w:r w:rsidRPr="00810064">
        <w:t xml:space="preserve"> all other states’ </w:t>
      </w:r>
      <w:r>
        <w:t xml:space="preserve">total </w:t>
      </w:r>
      <w:r w:rsidRPr="00810064">
        <w:t xml:space="preserve">assessed revenues (excluding NoWO payments) </w:t>
      </w:r>
      <w:r>
        <w:t>failing</w:t>
      </w:r>
      <w:r w:rsidRPr="00810064">
        <w:t xml:space="preserve"> to cover </w:t>
      </w:r>
      <w:r>
        <w:t>their</w:t>
      </w:r>
      <w:r w:rsidRPr="00810064">
        <w:t xml:space="preserve"> assessed expenditure</w:t>
      </w:r>
      <w:r>
        <w:t xml:space="preserve"> (figure 2.3, right panel)</w:t>
      </w:r>
      <w:r w:rsidRPr="00810064">
        <w:t>. As summarised by the CGC:</w:t>
      </w:r>
    </w:p>
    <w:p w14:paraId="66752693" w14:textId="77777777" w:rsidR="000C5687" w:rsidRDefault="000C5687">
      <w:pPr>
        <w:pStyle w:val="Quote"/>
      </w:pPr>
      <w:r w:rsidRPr="00810064">
        <w:t>the [reforms] have put limits on equalisation … Most states receive less GST revenue than would be needed to provide the average level of services … Western Australia receives more GST revenue than would be needed to provide the average level of services. (sub. 34, p. 9)</w:t>
      </w:r>
    </w:p>
    <w:p w14:paraId="3755C007" w14:textId="081586D9" w:rsidR="000C5687" w:rsidRPr="00146382" w:rsidRDefault="000C5687">
      <w:pPr>
        <w:pStyle w:val="FigureTableHeading"/>
      </w:pPr>
      <w:r>
        <w:t>Figure </w:t>
      </w:r>
      <w:fldSimple w:instr=" STYLEREF 1 \s ">
        <w:r w:rsidR="009C08C4">
          <w:rPr>
            <w:noProof/>
          </w:rPr>
          <w:t>2</w:t>
        </w:r>
      </w:fldSimple>
      <w:r>
        <w:t>.</w:t>
      </w:r>
      <w:fldSimple w:instr=" SEQ Figure \* ARABIC \s 1 ">
        <w:r w:rsidR="009C08C4">
          <w:rPr>
            <w:noProof/>
          </w:rPr>
          <w:t>3</w:t>
        </w:r>
      </w:fldSimple>
      <w:r>
        <w:rPr>
          <w:noProof/>
        </w:rPr>
        <w:t xml:space="preserve"> </w:t>
      </w:r>
      <w:r>
        <w:t xml:space="preserve">– </w:t>
      </w:r>
      <w:r w:rsidRPr="00125E10">
        <w:t xml:space="preserve">GST </w:t>
      </w:r>
      <w:r>
        <w:t>revenues</w:t>
      </w:r>
      <w:r w:rsidRPr="00125E10">
        <w:t xml:space="preserve"> no longer equalise states’ assessed budgets</w:t>
      </w:r>
    </w:p>
    <w:p w14:paraId="6FB49239" w14:textId="77777777" w:rsidR="000C5687" w:rsidRDefault="000C5687">
      <w:pPr>
        <w:pStyle w:val="FigureTableSubheading"/>
        <w:keepLines/>
      </w:pPr>
      <w:r w:rsidRPr="00322479">
        <w:t>Assessed 202</w:t>
      </w:r>
      <w:r>
        <w:t>4–</w:t>
      </w:r>
      <w:r w:rsidRPr="00322479">
        <w:t>2</w:t>
      </w:r>
      <w:r>
        <w:t>5</w:t>
      </w:r>
      <w:r w:rsidRPr="00322479">
        <w:t xml:space="preserve"> fiscal need met, by distribution system</w:t>
      </w:r>
      <w:r>
        <w:t xml:space="preserve"> and revenue source</w:t>
      </w:r>
    </w:p>
    <w:p w14:paraId="7D5A920F" w14:textId="77777777" w:rsidR="000C5687" w:rsidRDefault="000C5687">
      <w:pPr>
        <w:pStyle w:val="Note"/>
        <w:keepLines/>
      </w:pPr>
      <w:r w:rsidRPr="008640F9">
        <w:rPr>
          <w:noProof/>
        </w:rPr>
        <w:drawing>
          <wp:inline distT="0" distB="0" distL="0" distR="0" wp14:anchorId="4D2853D8" wp14:editId="1F256322">
            <wp:extent cx="6120130" cy="2844165"/>
            <wp:effectExtent l="0" t="0" r="0" b="0"/>
            <wp:docPr id="162449315" name="Picture 6" descr="Figure 2.3 – A stacked column chart showing the proportion of states' 2024-25 assessed fiscal need met by each revenue source. Under the pre-2018 distribution system, both WA and other states would have each had 100% of their fiscal need met by own-source revenue, Commonwealth transfers, net borrowing and GST. Under the current distribution system (without NoWO), WA has 113% of its fiscal need met, while other states have only 98% of their fiscal need m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49315" name="Picture 6" descr="Figure 2.3 – A stacked column chart showing the proportion of states' 2024-25 assessed fiscal need met by each revenue source. Under the pre-2018 distribution system, both WA and other states would have each had 100% of their fiscal need met by own-source revenue, Commonwealth transfers, net borrowing and GST. Under the current distribution system (without NoWO), WA has 113% of its fiscal need met, while other states have only 98% of their fiscal need met. "/>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120130" cy="2844165"/>
                    </a:xfrm>
                    <a:prstGeom prst="rect">
                      <a:avLst/>
                    </a:prstGeom>
                    <a:noFill/>
                    <a:ln>
                      <a:noFill/>
                    </a:ln>
                  </pic:spPr>
                </pic:pic>
              </a:graphicData>
            </a:graphic>
          </wp:inline>
        </w:drawing>
      </w:r>
      <w:r w:rsidRPr="003B545E">
        <w:t xml:space="preserve"> </w:t>
      </w:r>
      <w:r w:rsidRPr="00F84C36">
        <w:t>NoWO payments are not incorporated in assessed budgets. States’ GST requirements under the pre</w:t>
      </w:r>
      <w:r w:rsidRPr="00F84C36">
        <w:rPr>
          <w:rFonts w:ascii="Cambria Math" w:hAnsi="Cambria Math" w:cs="Cambria Math"/>
        </w:rPr>
        <w:t>‑</w:t>
      </w:r>
      <w:r w:rsidRPr="00F84C36">
        <w:t>2018 distribution system were calculated as a residual to balance assessed revenue and assessed expenditure</w:t>
      </w:r>
      <w:r>
        <w:t>.</w:t>
      </w:r>
    </w:p>
    <w:p w14:paraId="16A2454F" w14:textId="054D8874" w:rsidR="000C5687" w:rsidRPr="007E695B" w:rsidRDefault="000C5687" w:rsidP="005D0EC1">
      <w:pPr>
        <w:pStyle w:val="Source"/>
        <w:spacing w:after="360"/>
      </w:pPr>
      <w:r w:rsidRPr="00387BE9">
        <w:t xml:space="preserve">Source: PC estimates using CGC </w:t>
      </w:r>
      <w:r w:rsidRPr="000929DD">
        <w:rPr>
          <w:rFonts w:cs="Open Sans"/>
        </w:rPr>
        <w:t>(2024, figure 1–1)</w:t>
      </w:r>
      <w:r>
        <w:t xml:space="preserve">; Commonwealth of Australia </w:t>
      </w:r>
      <w:r w:rsidRPr="000929DD">
        <w:rPr>
          <w:rFonts w:cs="Open Sans"/>
        </w:rPr>
        <w:t>(2025, p. 67)</w:t>
      </w:r>
      <w:r w:rsidRPr="00696447">
        <w:t>.</w:t>
      </w:r>
    </w:p>
    <w:p w14:paraId="6A49A4EA" w14:textId="3726795F" w:rsidR="000C5687" w:rsidRPr="007E695B" w:rsidRDefault="000C5687">
      <w:pPr>
        <w:pStyle w:val="BodyText"/>
      </w:pPr>
      <w:r>
        <w:t xml:space="preserve">While NoWO payments (worth $5.4 billion in 2024–25) have so far ensured that other states’ assessed revenues have continued to meet their assessed expenditures, the Australian Government would have needed to provide these states with about $47 billion in additional assessed revenue to ensure they had the same relative fiscal capacity as Western Australia in 2024–25 </w:t>
      </w:r>
      <w:r w:rsidRPr="000929DD">
        <w:rPr>
          <w:rFonts w:cs="Open Sans"/>
        </w:rPr>
        <w:t>(PC estimates using CGC 2024; Commonwealth of Australia 2025, pp. 64, 67)</w:t>
      </w:r>
      <w:r>
        <w:t>.</w:t>
      </w:r>
    </w:p>
    <w:p w14:paraId="26488E36" w14:textId="77777777" w:rsidR="000C5687" w:rsidRPr="005D0EC1" w:rsidRDefault="000C5687" w:rsidP="005D0EC1">
      <w:pPr>
        <w:pStyle w:val="BodyText"/>
      </w:pPr>
      <w:r w:rsidRPr="005D0EC1">
        <w:br w:type="page"/>
      </w:r>
    </w:p>
    <w:p w14:paraId="488461FE" w14:textId="77777777" w:rsidR="000C5687" w:rsidRPr="00BD2709" w:rsidRDefault="000C5687">
      <w:pPr>
        <w:pStyle w:val="Heading3"/>
      </w:pPr>
      <w:r w:rsidRPr="2C2385F6">
        <w:lastRenderedPageBreak/>
        <w:t xml:space="preserve">The new fiscal equalisation standard </w:t>
      </w:r>
      <w:r>
        <w:t xml:space="preserve">can </w:t>
      </w:r>
      <w:r w:rsidRPr="2C2385F6">
        <w:t xml:space="preserve">create perverse </w:t>
      </w:r>
      <w:r>
        <w:t>outcomes</w:t>
      </w:r>
    </w:p>
    <w:p w14:paraId="19B025D7" w14:textId="77777777" w:rsidR="000C5687" w:rsidRDefault="000C5687">
      <w:pPr>
        <w:pStyle w:val="BodyText"/>
      </w:pPr>
      <w:r w:rsidRPr="00810E30">
        <w:t>HFE is intended to respond to structural differences</w:t>
      </w:r>
      <w:r>
        <w:t xml:space="preserve"> in states’ fiscal capacities</w:t>
      </w:r>
      <w:r w:rsidRPr="00810E30">
        <w:t>, including</w:t>
      </w:r>
      <w:r>
        <w:t xml:space="preserve"> because of</w:t>
      </w:r>
      <w:r w:rsidRPr="00810E30">
        <w:t xml:space="preserve"> resource endowments, and to do so consistently between states. </w:t>
      </w:r>
      <w:r>
        <w:t>As such, prior to the 2018 reforms, if a state’s relative fiscal capacity weakened, it would receive a larger share of the GST pool, and the shares of other states would fall to accommodate this. Likewise, if a state’s relative fiscal capacity rose, it would receive a smaller share of the GST pool, with other states receiving a larger share.</w:t>
      </w:r>
    </w:p>
    <w:p w14:paraId="15A87769" w14:textId="77777777" w:rsidR="000C5687" w:rsidRDefault="000C5687">
      <w:pPr>
        <w:pStyle w:val="BodyText"/>
        <w:keepNext/>
      </w:pPr>
      <w:r>
        <w:t xml:space="preserve">The new equalisation standard introduced as part of the 2018 reforms requires that no state has a relativity lower than whichever of New South Wales or Victoria has the greatest fiscal capacity (the ‘standard state’) (figure 2.1, panel 2). This standard state benchmark can create perverse outcomes in the GST distribution system, as state </w:t>
      </w:r>
      <w:r w:rsidRPr="00810E30">
        <w:t xml:space="preserve">policy choices </w:t>
      </w:r>
      <w:r>
        <w:t xml:space="preserve">and </w:t>
      </w:r>
      <w:r w:rsidRPr="00810E30">
        <w:t xml:space="preserve">external shocks </w:t>
      </w:r>
      <w:r>
        <w:t xml:space="preserve">now </w:t>
      </w:r>
      <w:r w:rsidRPr="00810E30">
        <w:t xml:space="preserve">impact different states in different ways. </w:t>
      </w:r>
      <w:r>
        <w:t xml:space="preserve">As a result of the 2018 reforms: </w:t>
      </w:r>
    </w:p>
    <w:p w14:paraId="7AF9A380" w14:textId="7CA21887" w:rsidR="000C5687" w:rsidRDefault="0092308A" w:rsidP="000C5687">
      <w:pPr>
        <w:pStyle w:val="ListBullet"/>
      </w:pPr>
      <w:r>
        <w:rPr>
          <w:b/>
          <w:bCs/>
        </w:rPr>
        <w:t>S</w:t>
      </w:r>
      <w:r w:rsidR="000C5687" w:rsidRPr="00BD74A2">
        <w:rPr>
          <w:b/>
          <w:bCs/>
        </w:rPr>
        <w:t xml:space="preserve">tates that </w:t>
      </w:r>
      <w:r w:rsidR="000C5687">
        <w:rPr>
          <w:b/>
          <w:bCs/>
        </w:rPr>
        <w:t>have a lower fiscal capacity</w:t>
      </w:r>
      <w:r w:rsidR="000C5687" w:rsidRPr="00BD74A2">
        <w:rPr>
          <w:b/>
          <w:bCs/>
        </w:rPr>
        <w:t xml:space="preserve"> than the standard state</w:t>
      </w:r>
      <w:r w:rsidR="000C5687">
        <w:t xml:space="preserve"> do not need to have their relativity adjusted upwards to meet the standard state benchmark. For these states, a relative improvement (weakening) in their fiscal capacity would reduce (increase) their GST share. This is consistent with the logic of HFE. </w:t>
      </w:r>
    </w:p>
    <w:p w14:paraId="560253B8" w14:textId="771CFF30" w:rsidR="000C5687" w:rsidRPr="00302D43" w:rsidRDefault="0092308A" w:rsidP="000C5687">
      <w:pPr>
        <w:pStyle w:val="ListBullet"/>
        <w:contextualSpacing w:val="0"/>
      </w:pPr>
      <w:r>
        <w:rPr>
          <w:b/>
          <w:bCs/>
        </w:rPr>
        <w:t>S</w:t>
      </w:r>
      <w:r w:rsidR="000C5687" w:rsidRPr="00BD74A2">
        <w:rPr>
          <w:b/>
          <w:bCs/>
        </w:rPr>
        <w:t xml:space="preserve">tates that </w:t>
      </w:r>
      <w:r w:rsidR="000C5687">
        <w:rPr>
          <w:b/>
          <w:bCs/>
        </w:rPr>
        <w:t>have a greater fiscal capacity</w:t>
      </w:r>
      <w:r w:rsidR="000C5687" w:rsidRPr="00BD74A2">
        <w:rPr>
          <w:b/>
          <w:bCs/>
        </w:rPr>
        <w:t xml:space="preserve"> than the standard state</w:t>
      </w:r>
      <w:r w:rsidR="000C5687" w:rsidRPr="00302D43">
        <w:t xml:space="preserve"> (</w:t>
      </w:r>
      <w:r w:rsidR="000C5687">
        <w:t>currently</w:t>
      </w:r>
      <w:r w:rsidR="000C5687" w:rsidRPr="00302D43">
        <w:t xml:space="preserve"> only Western Australia) have their relativities adjusted upwards</w:t>
      </w:r>
      <w:r w:rsidR="000C5687">
        <w:t xml:space="preserve"> to meet the standard state benchmark</w:t>
      </w:r>
      <w:r w:rsidR="000C5687" w:rsidRPr="00302D43">
        <w:t xml:space="preserve">. In response to a state policy change or external shock, states in this position can now experience a relative improvement in their fiscal capacity and see their GST </w:t>
      </w:r>
      <w:r w:rsidR="000C5687">
        <w:t>share</w:t>
      </w:r>
      <w:r w:rsidR="000C5687" w:rsidRPr="00302D43">
        <w:t xml:space="preserve"> increase, rather than fall. This runs counter to the logic of HFE: a state with a greater revenue</w:t>
      </w:r>
      <w:r w:rsidR="000C5687" w:rsidRPr="00302D43">
        <w:noBreakHyphen/>
        <w:t xml:space="preserve">raising </w:t>
      </w:r>
      <w:r w:rsidR="000C5687">
        <w:t>capacity</w:t>
      </w:r>
      <w:r w:rsidR="000C5687" w:rsidRPr="00302D43">
        <w:t xml:space="preserve"> should need less GST </w:t>
      </w:r>
      <w:r w:rsidR="000C5687">
        <w:t xml:space="preserve">revenue </w:t>
      </w:r>
      <w:r w:rsidR="000C5687" w:rsidRPr="00302D43">
        <w:t xml:space="preserve">as its relative fiscal capacity </w:t>
      </w:r>
      <w:r w:rsidR="000C5687">
        <w:t>increases</w:t>
      </w:r>
      <w:r w:rsidR="000C5687" w:rsidRPr="00302D43">
        <w:t>, not more.</w:t>
      </w:r>
      <w:r w:rsidR="000C5687">
        <w:t xml:space="preserve"> </w:t>
      </w:r>
    </w:p>
    <w:p w14:paraId="32529B2D" w14:textId="77777777" w:rsidR="000C5687" w:rsidRPr="00302D43" w:rsidRDefault="000C5687">
      <w:pPr>
        <w:pStyle w:val="BodyText"/>
      </w:pPr>
      <w:r w:rsidRPr="00302D43">
        <w:t>The PC has explored a non</w:t>
      </w:r>
      <w:r>
        <w:noBreakHyphen/>
      </w:r>
      <w:r w:rsidRPr="00302D43">
        <w:t xml:space="preserve">exhaustive number of perverse outcomes arising from the introduction of the </w:t>
      </w:r>
      <w:r>
        <w:t xml:space="preserve">new fiscal equalisation </w:t>
      </w:r>
      <w:r w:rsidRPr="00302D43">
        <w:t xml:space="preserve">standard. These cases involve natural disaster payments, </w:t>
      </w:r>
      <w:r>
        <w:t>as well as</w:t>
      </w:r>
      <w:r w:rsidRPr="00302D43">
        <w:t xml:space="preserve"> mining revenue rising because of either state policy choices or increases in commodity prices</w:t>
      </w:r>
      <w:r>
        <w:t xml:space="preserve"> or volumes</w:t>
      </w:r>
      <w:r w:rsidRPr="00302D43">
        <w:t xml:space="preserve">. These perverse outcomes create equity concerns that could undermine community confidence in the </w:t>
      </w:r>
      <w:r>
        <w:t>GST distribution</w:t>
      </w:r>
      <w:r w:rsidRPr="00302D43">
        <w:t xml:space="preserve"> system.</w:t>
      </w:r>
    </w:p>
    <w:p w14:paraId="2617E551" w14:textId="77777777" w:rsidR="000C5687" w:rsidRPr="00553845" w:rsidRDefault="000C5687">
      <w:pPr>
        <w:pStyle w:val="Heading4"/>
      </w:pPr>
      <w:r>
        <w:t>The 2018 reforms mean a natural disaster impacting New South Wales could result in Western Australia receiving more GST revenue</w:t>
      </w:r>
    </w:p>
    <w:p w14:paraId="7DC51157" w14:textId="77777777" w:rsidR="000C5687" w:rsidRDefault="000C5687">
      <w:pPr>
        <w:pStyle w:val="BodyText"/>
      </w:pPr>
      <w:r w:rsidRPr="00532BC6">
        <w:t>As natural disaster</w:t>
      </w:r>
      <w:r>
        <w:t xml:space="preserve"> damage</w:t>
      </w:r>
      <w:r w:rsidRPr="00532BC6">
        <w:t xml:space="preserve"> is largely outside of state control and not influenced by state </w:t>
      </w:r>
      <w:r>
        <w:t>policy</w:t>
      </w:r>
      <w:r w:rsidRPr="00532BC6">
        <w:t xml:space="preserve">, it is consistent with the </w:t>
      </w:r>
      <w:r>
        <w:t>logic</w:t>
      </w:r>
      <w:r w:rsidRPr="00532BC6">
        <w:t xml:space="preserve"> of HFE that </w:t>
      </w:r>
      <w:r>
        <w:t>rela</w:t>
      </w:r>
      <w:r w:rsidRPr="00532BC6">
        <w:t>ted expenses are</w:t>
      </w:r>
      <w:r>
        <w:t xml:space="preserve"> incorporated in </w:t>
      </w:r>
      <w:r w:rsidRPr="00532BC6">
        <w:t>assessed relativities.</w:t>
      </w:r>
      <w:r w:rsidRPr="00201B0D">
        <w:rPr>
          <w:rStyle w:val="FootnoteReference"/>
        </w:rPr>
        <w:footnoteReference w:id="18"/>
      </w:r>
      <w:r>
        <w:t xml:space="preserve"> A natural disaster, such as a bushfire, in New South Wales (the current standard state) would negatively impact its relative fiscal capacity, increasing its assessed relativity. However, a state with an assessed relativity below that of New South Wales</w:t>
      </w:r>
      <w:r w:rsidRPr="00201B0D">
        <w:rPr>
          <w:rStyle w:val="FootnoteReference"/>
        </w:rPr>
        <w:footnoteReference w:id="19"/>
      </w:r>
      <w:r>
        <w:t xml:space="preserve"> – as Western Australia’s currently is – would also need to be adjusted upwards to the (now higher)</w:t>
      </w:r>
      <w:r w:rsidRPr="00B15302">
        <w:t xml:space="preserve"> standard state benchmark</w:t>
      </w:r>
      <w:r>
        <w:t xml:space="preserve">. Consequently, Western Australia would receive more GST revenue. The policy case for increased GST revenue for Western Australia in response to a natural disaster in New South Wales is unclear and this could </w:t>
      </w:r>
      <w:r w:rsidRPr="00463255">
        <w:t>create community concerns about the fairness of the GST distribution system</w:t>
      </w:r>
      <w:r>
        <w:t>.</w:t>
      </w:r>
    </w:p>
    <w:p w14:paraId="0C372A4C" w14:textId="77777777" w:rsidR="000C5687" w:rsidRDefault="000C5687">
      <w:pPr>
        <w:pStyle w:val="BodyText"/>
      </w:pPr>
      <w:r>
        <w:lastRenderedPageBreak/>
        <w:t>Table 2.1 and figure 2.4 illustrate this using the example of a bushfire that imposes $100 million in costs (outside Australian Government support and insurance) on New South Wales. Prior to the 2018 reforms, the disaster would have resulted in $69 million additional GST revenue for New South Wales, with other states’ GST revenues adjusted downwards on a population share basis in response. I</w:t>
      </w:r>
      <w:r w:rsidRPr="00B71496">
        <w:t>n essence, the fiscal burden of th</w:t>
      </w:r>
      <w:r>
        <w:t xml:space="preserve">e bushfire </w:t>
      </w:r>
      <w:r w:rsidRPr="00B71496">
        <w:t>w</w:t>
      </w:r>
      <w:r>
        <w:t>ould have been</w:t>
      </w:r>
      <w:r w:rsidRPr="00B71496">
        <w:t xml:space="preserve"> shared between </w:t>
      </w:r>
      <w:r w:rsidRPr="00BD74A2">
        <w:rPr>
          <w:i/>
          <w:iCs/>
        </w:rPr>
        <w:t>all states</w:t>
      </w:r>
      <w:r>
        <w:t xml:space="preserve">. </w:t>
      </w:r>
    </w:p>
    <w:p w14:paraId="3B5E6A78" w14:textId="77777777" w:rsidR="000C5687" w:rsidRDefault="000C5687">
      <w:pPr>
        <w:pStyle w:val="BodyText"/>
      </w:pPr>
      <w:r>
        <w:t xml:space="preserve">By contrast, following the 2018 reforms, Western Australia would </w:t>
      </w:r>
      <w:r>
        <w:rPr>
          <w:i/>
          <w:iCs/>
        </w:rPr>
        <w:t>receive</w:t>
      </w:r>
      <w:r>
        <w:t xml:space="preserve"> $21 million GST revenue following the bushfire in New South Wales, while other states, including the disaster</w:t>
      </w:r>
      <w:r>
        <w:noBreakHyphen/>
        <w:t>affected New South Wales, would receive less GST revenue. As such</w:t>
      </w:r>
      <w:r w:rsidRPr="00720B7D">
        <w:t>, the cost of this natural disaster would no longer be fully shared between all states</w:t>
      </w:r>
      <w:r>
        <w:t>. Until the end of 2029–30, states other than Western Australia are compensated for this reduction in GST revenue through $32 million in additional NoWO payments.</w:t>
      </w:r>
    </w:p>
    <w:p w14:paraId="302754A9" w14:textId="7FA795D5" w:rsidR="000C5687" w:rsidRPr="00A91551" w:rsidRDefault="000C5687">
      <w:pPr>
        <w:pStyle w:val="FigureTableHeading"/>
      </w:pPr>
      <w:r w:rsidRPr="00292315">
        <w:t>Table</w:t>
      </w:r>
      <w:r>
        <w:t> </w:t>
      </w:r>
      <w:fldSimple w:instr=" STYLEREF 1 \s ">
        <w:r w:rsidR="009C08C4">
          <w:rPr>
            <w:noProof/>
          </w:rPr>
          <w:t>2</w:t>
        </w:r>
      </w:fldSimple>
      <w:r>
        <w:t>.</w:t>
      </w:r>
      <w:fldSimple w:instr=" SEQ Table \* ARABIC \s 1 ">
        <w:r w:rsidR="009C08C4">
          <w:rPr>
            <w:noProof/>
          </w:rPr>
          <w:t>1</w:t>
        </w:r>
      </w:fldSimple>
      <w:r>
        <w:rPr>
          <w:noProof/>
        </w:rPr>
        <w:t xml:space="preserve"> </w:t>
      </w:r>
      <w:r>
        <w:t>– The fiscal burden of natural disasters is no longer shared between all states</w:t>
      </w:r>
    </w:p>
    <w:p w14:paraId="6FE7B3C7" w14:textId="77777777" w:rsidR="000C5687" w:rsidRPr="00A91551" w:rsidRDefault="000C5687">
      <w:pPr>
        <w:pStyle w:val="FigureTableSubheading"/>
      </w:pPr>
      <w:r>
        <w:t>GST impacts of a $100 million increase in New South Wales natural disaster expenses ($m)</w:t>
      </w:r>
    </w:p>
    <w:tbl>
      <w:tblPr>
        <w:tblW w:w="5000" w:type="pct"/>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3124"/>
        <w:gridCol w:w="814"/>
        <w:gridCol w:w="815"/>
        <w:gridCol w:w="815"/>
        <w:gridCol w:w="815"/>
        <w:gridCol w:w="813"/>
        <w:gridCol w:w="815"/>
        <w:gridCol w:w="815"/>
        <w:gridCol w:w="812"/>
      </w:tblGrid>
      <w:tr w:rsidR="000C5687" w:rsidRPr="001B679A" w14:paraId="07A512DC" w14:textId="77777777">
        <w:trPr>
          <w:trHeight w:val="370"/>
          <w:tblHeader/>
        </w:trPr>
        <w:tc>
          <w:tcPr>
            <w:tcW w:w="1620" w:type="pct"/>
            <w:tcBorders>
              <w:bottom w:val="single" w:sz="4" w:space="0" w:color="B3B3B3"/>
            </w:tcBorders>
            <w:shd w:val="clear" w:color="000000" w:fill="auto"/>
            <w:noWrap/>
            <w:vAlign w:val="bottom"/>
            <w:hideMark/>
          </w:tcPr>
          <w:p w14:paraId="26E8D813" w14:textId="77777777" w:rsidR="000C5687" w:rsidRPr="00865E4F" w:rsidRDefault="000C5687">
            <w:pPr>
              <w:spacing w:before="45" w:after="45" w:line="240" w:lineRule="auto"/>
              <w:ind w:left="57" w:right="108"/>
              <w:rPr>
                <w:rFonts w:eastAsia="Times New Roman" w:cs="Open Sans"/>
                <w:b/>
                <w:color w:val="1D4374"/>
                <w:sz w:val="18"/>
                <w:szCs w:val="22"/>
                <w:lang w:eastAsia="en-AU"/>
              </w:rPr>
            </w:pPr>
            <w:r w:rsidRPr="00865E4F">
              <w:rPr>
                <w:rFonts w:eastAsia="Times New Roman" w:cs="Open Sans"/>
                <w:b/>
                <w:color w:val="1D4374"/>
                <w:sz w:val="18"/>
                <w:szCs w:val="22"/>
                <w:lang w:eastAsia="en-AU"/>
              </w:rPr>
              <w:t> </w:t>
            </w:r>
          </w:p>
        </w:tc>
        <w:tc>
          <w:tcPr>
            <w:tcW w:w="422" w:type="pct"/>
            <w:tcBorders>
              <w:bottom w:val="single" w:sz="4" w:space="0" w:color="B3B3B3"/>
            </w:tcBorders>
            <w:shd w:val="clear" w:color="000000" w:fill="auto"/>
            <w:vAlign w:val="bottom"/>
            <w:hideMark/>
          </w:tcPr>
          <w:p w14:paraId="4DB61144" w14:textId="77777777" w:rsidR="000C5687" w:rsidRPr="00865E4F" w:rsidRDefault="000C5687" w:rsidP="001E642B">
            <w:pPr>
              <w:spacing w:before="45" w:after="45" w:line="240" w:lineRule="auto"/>
              <w:ind w:left="57" w:right="108"/>
              <w:jc w:val="right"/>
              <w:rPr>
                <w:rFonts w:eastAsia="Times New Roman" w:cs="Open Sans"/>
                <w:b/>
                <w:bCs/>
                <w:color w:val="1D4374"/>
                <w:sz w:val="18"/>
                <w:szCs w:val="22"/>
                <w:lang w:eastAsia="en-AU"/>
              </w:rPr>
            </w:pPr>
            <w:r w:rsidRPr="0052260F">
              <w:rPr>
                <w:rFonts w:eastAsia="Times New Roman" w:cs="Open Sans"/>
                <w:b/>
                <w:bCs/>
                <w:color w:val="1D4374"/>
                <w:sz w:val="18"/>
                <w:szCs w:val="22"/>
                <w:lang w:eastAsia="en-AU"/>
              </w:rPr>
              <w:t>NSW</w:t>
            </w:r>
          </w:p>
        </w:tc>
        <w:tc>
          <w:tcPr>
            <w:tcW w:w="423" w:type="pct"/>
            <w:tcBorders>
              <w:bottom w:val="single" w:sz="4" w:space="0" w:color="B3B3B3"/>
            </w:tcBorders>
            <w:shd w:val="clear" w:color="000000" w:fill="auto"/>
            <w:vAlign w:val="bottom"/>
            <w:hideMark/>
          </w:tcPr>
          <w:p w14:paraId="5CC138AA" w14:textId="0C37EDAF" w:rsidR="000C5687" w:rsidRPr="00865E4F" w:rsidRDefault="000C5687" w:rsidP="001E642B">
            <w:pPr>
              <w:spacing w:before="45" w:after="45" w:line="240" w:lineRule="auto"/>
              <w:ind w:left="57" w:right="108"/>
              <w:jc w:val="right"/>
              <w:rPr>
                <w:rFonts w:eastAsia="Times New Roman" w:cs="Open Sans"/>
                <w:b/>
                <w:bCs/>
                <w:color w:val="1D4374"/>
                <w:sz w:val="18"/>
                <w:szCs w:val="22"/>
                <w:lang w:eastAsia="en-AU"/>
              </w:rPr>
            </w:pPr>
            <w:r w:rsidRPr="00865E4F">
              <w:rPr>
                <w:rFonts w:eastAsia="Times New Roman" w:cs="Open Sans"/>
                <w:b/>
                <w:bCs/>
                <w:color w:val="1D4374"/>
                <w:sz w:val="18"/>
                <w:szCs w:val="22"/>
                <w:lang w:eastAsia="en-AU"/>
              </w:rPr>
              <w:t>V</w:t>
            </w:r>
            <w:r w:rsidR="00441300">
              <w:rPr>
                <w:rFonts w:eastAsia="Times New Roman" w:cs="Open Sans"/>
                <w:b/>
                <w:bCs/>
                <w:color w:val="1D4374"/>
                <w:sz w:val="18"/>
                <w:szCs w:val="22"/>
                <w:lang w:eastAsia="en-AU"/>
              </w:rPr>
              <w:t>IC</w:t>
            </w:r>
          </w:p>
        </w:tc>
        <w:tc>
          <w:tcPr>
            <w:tcW w:w="423" w:type="pct"/>
            <w:tcBorders>
              <w:bottom w:val="single" w:sz="4" w:space="0" w:color="B3B3B3"/>
            </w:tcBorders>
            <w:shd w:val="clear" w:color="000000" w:fill="auto"/>
            <w:vAlign w:val="bottom"/>
            <w:hideMark/>
          </w:tcPr>
          <w:p w14:paraId="7BA7BF3A" w14:textId="77777777" w:rsidR="000C5687" w:rsidRPr="00865E4F" w:rsidRDefault="000C5687" w:rsidP="001E642B">
            <w:pPr>
              <w:spacing w:before="45" w:after="45" w:line="240" w:lineRule="auto"/>
              <w:ind w:left="57" w:right="108"/>
              <w:jc w:val="right"/>
              <w:rPr>
                <w:rFonts w:eastAsia="Times New Roman" w:cs="Open Sans"/>
                <w:b/>
                <w:bCs/>
                <w:color w:val="1D4374"/>
                <w:sz w:val="18"/>
                <w:szCs w:val="22"/>
                <w:lang w:eastAsia="en-AU"/>
              </w:rPr>
            </w:pPr>
            <w:r w:rsidRPr="00865E4F">
              <w:rPr>
                <w:rFonts w:eastAsia="Times New Roman" w:cs="Open Sans"/>
                <w:b/>
                <w:bCs/>
                <w:color w:val="1D4374"/>
                <w:sz w:val="18"/>
                <w:szCs w:val="22"/>
                <w:lang w:eastAsia="en-AU"/>
              </w:rPr>
              <w:t>Q</w:t>
            </w:r>
            <w:r>
              <w:rPr>
                <w:rFonts w:eastAsia="Times New Roman" w:cs="Open Sans"/>
                <w:b/>
                <w:bCs/>
                <w:color w:val="1D4374"/>
                <w:sz w:val="18"/>
                <w:szCs w:val="22"/>
                <w:lang w:eastAsia="en-AU"/>
              </w:rPr>
              <w:t>LD</w:t>
            </w:r>
          </w:p>
        </w:tc>
        <w:tc>
          <w:tcPr>
            <w:tcW w:w="423" w:type="pct"/>
            <w:tcBorders>
              <w:bottom w:val="single" w:sz="4" w:space="0" w:color="B3B3B3"/>
            </w:tcBorders>
            <w:shd w:val="clear" w:color="000000" w:fill="auto"/>
            <w:vAlign w:val="bottom"/>
            <w:hideMark/>
          </w:tcPr>
          <w:p w14:paraId="6D5FFC5E" w14:textId="77777777" w:rsidR="000C5687" w:rsidRPr="00865E4F" w:rsidRDefault="000C5687" w:rsidP="001E642B">
            <w:pPr>
              <w:spacing w:before="45" w:after="45" w:line="240" w:lineRule="auto"/>
              <w:ind w:left="57" w:right="108"/>
              <w:jc w:val="right"/>
              <w:rPr>
                <w:rFonts w:eastAsia="Times New Roman" w:cs="Open Sans"/>
                <w:b/>
                <w:bCs/>
                <w:color w:val="1D4374"/>
                <w:sz w:val="18"/>
                <w:szCs w:val="22"/>
                <w:lang w:eastAsia="en-AU"/>
              </w:rPr>
            </w:pPr>
            <w:r w:rsidRPr="00865E4F">
              <w:rPr>
                <w:rFonts w:eastAsia="Times New Roman" w:cs="Open Sans"/>
                <w:b/>
                <w:bCs/>
                <w:color w:val="1D4374"/>
                <w:sz w:val="18"/>
                <w:szCs w:val="22"/>
                <w:lang w:eastAsia="en-AU"/>
              </w:rPr>
              <w:t>WA</w:t>
            </w:r>
          </w:p>
        </w:tc>
        <w:tc>
          <w:tcPr>
            <w:tcW w:w="422" w:type="pct"/>
            <w:tcBorders>
              <w:bottom w:val="single" w:sz="4" w:space="0" w:color="B3B3B3"/>
            </w:tcBorders>
            <w:shd w:val="clear" w:color="000000" w:fill="auto"/>
            <w:vAlign w:val="bottom"/>
            <w:hideMark/>
          </w:tcPr>
          <w:p w14:paraId="16619C5C" w14:textId="77777777" w:rsidR="000C5687" w:rsidRPr="00865E4F" w:rsidRDefault="000C5687" w:rsidP="001E642B">
            <w:pPr>
              <w:spacing w:before="45" w:after="45" w:line="240" w:lineRule="auto"/>
              <w:ind w:left="57" w:right="108"/>
              <w:jc w:val="right"/>
              <w:rPr>
                <w:rFonts w:eastAsia="Times New Roman" w:cs="Open Sans"/>
                <w:b/>
                <w:bCs/>
                <w:color w:val="1D4374"/>
                <w:sz w:val="18"/>
                <w:szCs w:val="22"/>
                <w:lang w:eastAsia="en-AU"/>
              </w:rPr>
            </w:pPr>
            <w:r w:rsidRPr="00865E4F">
              <w:rPr>
                <w:rFonts w:eastAsia="Times New Roman" w:cs="Open Sans"/>
                <w:b/>
                <w:bCs/>
                <w:color w:val="1D4374"/>
                <w:sz w:val="18"/>
                <w:szCs w:val="22"/>
                <w:lang w:eastAsia="en-AU"/>
              </w:rPr>
              <w:t>SA</w:t>
            </w:r>
          </w:p>
        </w:tc>
        <w:tc>
          <w:tcPr>
            <w:tcW w:w="423" w:type="pct"/>
            <w:tcBorders>
              <w:bottom w:val="single" w:sz="4" w:space="0" w:color="B3B3B3"/>
            </w:tcBorders>
            <w:shd w:val="clear" w:color="000000" w:fill="auto"/>
            <w:vAlign w:val="bottom"/>
            <w:hideMark/>
          </w:tcPr>
          <w:p w14:paraId="39B832CA" w14:textId="7856A257" w:rsidR="000C5687" w:rsidRPr="00865E4F" w:rsidRDefault="000C5687" w:rsidP="001E642B">
            <w:pPr>
              <w:spacing w:before="45" w:after="45" w:line="240" w:lineRule="auto"/>
              <w:ind w:left="57" w:right="108"/>
              <w:jc w:val="right"/>
              <w:rPr>
                <w:rFonts w:eastAsia="Times New Roman" w:cs="Open Sans"/>
                <w:b/>
                <w:bCs/>
                <w:color w:val="1D4374"/>
                <w:sz w:val="18"/>
                <w:szCs w:val="22"/>
                <w:lang w:eastAsia="en-AU"/>
              </w:rPr>
            </w:pPr>
            <w:r w:rsidRPr="00865E4F">
              <w:rPr>
                <w:rFonts w:eastAsia="Times New Roman" w:cs="Open Sans"/>
                <w:b/>
                <w:bCs/>
                <w:color w:val="1D4374"/>
                <w:sz w:val="18"/>
                <w:szCs w:val="22"/>
                <w:lang w:eastAsia="en-AU"/>
              </w:rPr>
              <w:t>T</w:t>
            </w:r>
            <w:r w:rsidR="00441300">
              <w:rPr>
                <w:rFonts w:eastAsia="Times New Roman" w:cs="Open Sans"/>
                <w:b/>
                <w:bCs/>
                <w:color w:val="1D4374"/>
                <w:sz w:val="18"/>
                <w:szCs w:val="22"/>
                <w:lang w:eastAsia="en-AU"/>
              </w:rPr>
              <w:t>AS</w:t>
            </w:r>
          </w:p>
        </w:tc>
        <w:tc>
          <w:tcPr>
            <w:tcW w:w="423" w:type="pct"/>
            <w:tcBorders>
              <w:bottom w:val="single" w:sz="4" w:space="0" w:color="B3B3B3"/>
            </w:tcBorders>
            <w:shd w:val="clear" w:color="000000" w:fill="auto"/>
            <w:vAlign w:val="bottom"/>
            <w:hideMark/>
          </w:tcPr>
          <w:p w14:paraId="6A814027" w14:textId="77777777" w:rsidR="000C5687" w:rsidRPr="00865E4F" w:rsidRDefault="000C5687" w:rsidP="001E642B">
            <w:pPr>
              <w:spacing w:before="45" w:after="45" w:line="240" w:lineRule="auto"/>
              <w:ind w:left="57" w:right="108"/>
              <w:jc w:val="right"/>
              <w:rPr>
                <w:rFonts w:eastAsia="Times New Roman" w:cs="Open Sans"/>
                <w:b/>
                <w:bCs/>
                <w:color w:val="1D4374"/>
                <w:sz w:val="18"/>
                <w:szCs w:val="22"/>
                <w:lang w:eastAsia="en-AU"/>
              </w:rPr>
            </w:pPr>
            <w:r w:rsidRPr="00865E4F">
              <w:rPr>
                <w:rFonts w:eastAsia="Times New Roman" w:cs="Open Sans"/>
                <w:b/>
                <w:bCs/>
                <w:color w:val="1D4374"/>
                <w:sz w:val="18"/>
                <w:szCs w:val="22"/>
                <w:lang w:eastAsia="en-AU"/>
              </w:rPr>
              <w:t>ACT</w:t>
            </w:r>
          </w:p>
        </w:tc>
        <w:tc>
          <w:tcPr>
            <w:tcW w:w="422" w:type="pct"/>
            <w:tcBorders>
              <w:bottom w:val="single" w:sz="4" w:space="0" w:color="B3B3B3"/>
            </w:tcBorders>
            <w:shd w:val="clear" w:color="000000" w:fill="auto"/>
            <w:vAlign w:val="bottom"/>
            <w:hideMark/>
          </w:tcPr>
          <w:p w14:paraId="7B871106" w14:textId="77777777" w:rsidR="000C5687" w:rsidRPr="00865E4F" w:rsidRDefault="000C5687" w:rsidP="001E642B">
            <w:pPr>
              <w:spacing w:before="45" w:after="45" w:line="240" w:lineRule="auto"/>
              <w:ind w:left="57" w:right="108"/>
              <w:jc w:val="right"/>
              <w:rPr>
                <w:rFonts w:eastAsia="Times New Roman" w:cs="Open Sans"/>
                <w:b/>
                <w:bCs/>
                <w:color w:val="1D4374"/>
                <w:sz w:val="18"/>
                <w:szCs w:val="22"/>
                <w:lang w:eastAsia="en-AU"/>
              </w:rPr>
            </w:pPr>
            <w:r w:rsidRPr="00865E4F">
              <w:rPr>
                <w:rFonts w:eastAsia="Times New Roman" w:cs="Open Sans"/>
                <w:b/>
                <w:bCs/>
                <w:color w:val="1D4374"/>
                <w:sz w:val="18"/>
                <w:szCs w:val="22"/>
                <w:lang w:eastAsia="en-AU"/>
              </w:rPr>
              <w:t>NT</w:t>
            </w:r>
          </w:p>
        </w:tc>
      </w:tr>
      <w:tr w:rsidR="000C5687" w:rsidRPr="001B679A" w14:paraId="2E86D511" w14:textId="77777777">
        <w:trPr>
          <w:trHeight w:val="39"/>
        </w:trPr>
        <w:tc>
          <w:tcPr>
            <w:tcW w:w="1620" w:type="pct"/>
            <w:tcBorders>
              <w:top w:val="single" w:sz="4" w:space="0" w:color="B3B3B3"/>
              <w:bottom w:val="nil"/>
            </w:tcBorders>
            <w:shd w:val="clear" w:color="000000" w:fill="E6E6E6"/>
            <w:noWrap/>
            <w:hideMark/>
          </w:tcPr>
          <w:p w14:paraId="62D1492D" w14:textId="77777777" w:rsidR="000C5687" w:rsidRPr="0052260F" w:rsidRDefault="000C5687">
            <w:pPr>
              <w:spacing w:before="45" w:after="45" w:line="240" w:lineRule="auto"/>
              <w:ind w:left="57" w:right="108"/>
              <w:rPr>
                <w:rFonts w:eastAsia="Times New Roman" w:cs="Open Sans"/>
                <w:b/>
                <w:color w:val="1D4374"/>
                <w:sz w:val="18"/>
                <w:szCs w:val="22"/>
                <w:lang w:eastAsia="en-AU"/>
              </w:rPr>
            </w:pPr>
            <w:r w:rsidRPr="0052260F">
              <w:rPr>
                <w:rFonts w:eastAsia="Times New Roman" w:cs="Open Sans"/>
                <w:b/>
                <w:color w:val="1D4374"/>
                <w:sz w:val="18"/>
                <w:szCs w:val="22"/>
                <w:lang w:eastAsia="en-AU"/>
              </w:rPr>
              <w:t>Expense increase for NSW</w:t>
            </w:r>
          </w:p>
        </w:tc>
        <w:tc>
          <w:tcPr>
            <w:tcW w:w="422" w:type="pct"/>
            <w:tcBorders>
              <w:top w:val="single" w:sz="4" w:space="0" w:color="B3B3B3"/>
              <w:bottom w:val="nil"/>
            </w:tcBorders>
            <w:shd w:val="clear" w:color="000000" w:fill="E6E6E6"/>
            <w:noWrap/>
            <w:hideMark/>
          </w:tcPr>
          <w:p w14:paraId="11F13996" w14:textId="77777777" w:rsidR="000C5687" w:rsidRPr="00865E4F" w:rsidRDefault="000C5687" w:rsidP="001E642B">
            <w:pPr>
              <w:spacing w:before="45" w:after="45" w:line="240" w:lineRule="auto"/>
              <w:ind w:left="57" w:right="108"/>
              <w:jc w:val="right"/>
              <w:rPr>
                <w:rFonts w:eastAsia="Times New Roman" w:cs="Open Sans"/>
                <w:color w:val="000000"/>
                <w:sz w:val="18"/>
                <w:szCs w:val="22"/>
                <w:lang w:eastAsia="en-AU"/>
              </w:rPr>
            </w:pPr>
            <w:r w:rsidRPr="00865E4F">
              <w:rPr>
                <w:rFonts w:eastAsia="Times New Roman" w:cs="Open Sans"/>
                <w:color w:val="000000"/>
                <w:sz w:val="18"/>
                <w:szCs w:val="22"/>
                <w:lang w:eastAsia="en-AU"/>
              </w:rPr>
              <w:t>100</w:t>
            </w:r>
          </w:p>
        </w:tc>
        <w:tc>
          <w:tcPr>
            <w:tcW w:w="423" w:type="pct"/>
            <w:tcBorders>
              <w:top w:val="single" w:sz="4" w:space="0" w:color="B3B3B3"/>
              <w:bottom w:val="nil"/>
            </w:tcBorders>
            <w:shd w:val="clear" w:color="000000" w:fill="E6E6E6"/>
            <w:noWrap/>
            <w:hideMark/>
          </w:tcPr>
          <w:p w14:paraId="6E3AFB18" w14:textId="77777777" w:rsidR="000C5687" w:rsidRPr="00865E4F" w:rsidRDefault="000C5687" w:rsidP="001E642B">
            <w:pPr>
              <w:spacing w:before="45" w:after="45" w:line="240" w:lineRule="auto"/>
              <w:ind w:left="57" w:right="108"/>
              <w:jc w:val="right"/>
              <w:rPr>
                <w:rFonts w:eastAsia="Times New Roman" w:cs="Open Sans"/>
                <w:color w:val="000000"/>
                <w:sz w:val="18"/>
                <w:szCs w:val="22"/>
                <w:lang w:eastAsia="en-AU"/>
              </w:rPr>
            </w:pPr>
            <w:r w:rsidRPr="00865E4F">
              <w:rPr>
                <w:rFonts w:eastAsia="Times New Roman" w:cs="Open Sans"/>
                <w:color w:val="000000"/>
                <w:sz w:val="18"/>
                <w:szCs w:val="22"/>
                <w:lang w:eastAsia="en-AU"/>
              </w:rPr>
              <w:t>0</w:t>
            </w:r>
          </w:p>
        </w:tc>
        <w:tc>
          <w:tcPr>
            <w:tcW w:w="423" w:type="pct"/>
            <w:tcBorders>
              <w:top w:val="single" w:sz="4" w:space="0" w:color="B3B3B3"/>
              <w:bottom w:val="nil"/>
            </w:tcBorders>
            <w:shd w:val="clear" w:color="000000" w:fill="E6E6E6"/>
            <w:noWrap/>
            <w:hideMark/>
          </w:tcPr>
          <w:p w14:paraId="67BFAC1F" w14:textId="77777777" w:rsidR="000C5687" w:rsidRPr="00865E4F" w:rsidRDefault="000C5687" w:rsidP="001E642B">
            <w:pPr>
              <w:spacing w:before="45" w:after="45" w:line="240" w:lineRule="auto"/>
              <w:ind w:left="57" w:right="108"/>
              <w:jc w:val="right"/>
              <w:rPr>
                <w:rFonts w:eastAsia="Times New Roman" w:cs="Open Sans"/>
                <w:color w:val="000000"/>
                <w:sz w:val="18"/>
                <w:szCs w:val="22"/>
                <w:lang w:eastAsia="en-AU"/>
              </w:rPr>
            </w:pPr>
            <w:r w:rsidRPr="00865E4F">
              <w:rPr>
                <w:rFonts w:eastAsia="Times New Roman" w:cs="Open Sans"/>
                <w:color w:val="000000"/>
                <w:sz w:val="18"/>
                <w:szCs w:val="22"/>
                <w:lang w:eastAsia="en-AU"/>
              </w:rPr>
              <w:t>0</w:t>
            </w:r>
          </w:p>
        </w:tc>
        <w:tc>
          <w:tcPr>
            <w:tcW w:w="423" w:type="pct"/>
            <w:tcBorders>
              <w:top w:val="single" w:sz="4" w:space="0" w:color="B3B3B3"/>
              <w:bottom w:val="nil"/>
            </w:tcBorders>
            <w:shd w:val="clear" w:color="000000" w:fill="E6E6E6"/>
            <w:noWrap/>
            <w:hideMark/>
          </w:tcPr>
          <w:p w14:paraId="3F3B0A63" w14:textId="77777777" w:rsidR="000C5687" w:rsidRPr="00865E4F" w:rsidRDefault="000C5687" w:rsidP="001E642B">
            <w:pPr>
              <w:spacing w:before="45" w:after="45" w:line="240" w:lineRule="auto"/>
              <w:ind w:left="57" w:right="108"/>
              <w:jc w:val="right"/>
              <w:rPr>
                <w:rFonts w:eastAsia="Times New Roman" w:cs="Open Sans"/>
                <w:color w:val="000000"/>
                <w:sz w:val="18"/>
                <w:szCs w:val="22"/>
                <w:lang w:eastAsia="en-AU"/>
              </w:rPr>
            </w:pPr>
            <w:r w:rsidRPr="00865E4F">
              <w:rPr>
                <w:rFonts w:eastAsia="Times New Roman" w:cs="Open Sans"/>
                <w:color w:val="000000"/>
                <w:sz w:val="18"/>
                <w:szCs w:val="22"/>
                <w:lang w:eastAsia="en-AU"/>
              </w:rPr>
              <w:t>0</w:t>
            </w:r>
          </w:p>
        </w:tc>
        <w:tc>
          <w:tcPr>
            <w:tcW w:w="422" w:type="pct"/>
            <w:tcBorders>
              <w:top w:val="single" w:sz="4" w:space="0" w:color="B3B3B3"/>
              <w:bottom w:val="nil"/>
            </w:tcBorders>
            <w:shd w:val="clear" w:color="000000" w:fill="E6E6E6"/>
            <w:noWrap/>
            <w:hideMark/>
          </w:tcPr>
          <w:p w14:paraId="570A4BBC" w14:textId="77777777" w:rsidR="000C5687" w:rsidRPr="00865E4F" w:rsidRDefault="000C5687" w:rsidP="001E642B">
            <w:pPr>
              <w:spacing w:before="45" w:after="45" w:line="240" w:lineRule="auto"/>
              <w:ind w:left="57" w:right="108"/>
              <w:jc w:val="right"/>
              <w:rPr>
                <w:rFonts w:eastAsia="Times New Roman" w:cs="Open Sans"/>
                <w:color w:val="000000"/>
                <w:sz w:val="18"/>
                <w:szCs w:val="22"/>
                <w:lang w:eastAsia="en-AU"/>
              </w:rPr>
            </w:pPr>
            <w:r w:rsidRPr="00865E4F">
              <w:rPr>
                <w:rFonts w:eastAsia="Times New Roman" w:cs="Open Sans"/>
                <w:color w:val="000000"/>
                <w:sz w:val="18"/>
                <w:szCs w:val="22"/>
                <w:lang w:eastAsia="en-AU"/>
              </w:rPr>
              <w:t>0</w:t>
            </w:r>
          </w:p>
        </w:tc>
        <w:tc>
          <w:tcPr>
            <w:tcW w:w="423" w:type="pct"/>
            <w:tcBorders>
              <w:top w:val="single" w:sz="4" w:space="0" w:color="B3B3B3"/>
              <w:bottom w:val="nil"/>
            </w:tcBorders>
            <w:shd w:val="clear" w:color="000000" w:fill="E6E6E6"/>
            <w:noWrap/>
            <w:hideMark/>
          </w:tcPr>
          <w:p w14:paraId="410847FC" w14:textId="77777777" w:rsidR="000C5687" w:rsidRPr="00865E4F" w:rsidRDefault="000C5687" w:rsidP="001E642B">
            <w:pPr>
              <w:spacing w:before="45" w:after="45" w:line="240" w:lineRule="auto"/>
              <w:ind w:left="57" w:right="108"/>
              <w:jc w:val="right"/>
              <w:rPr>
                <w:rFonts w:eastAsia="Times New Roman" w:cs="Open Sans"/>
                <w:color w:val="000000"/>
                <w:sz w:val="18"/>
                <w:szCs w:val="22"/>
                <w:lang w:eastAsia="en-AU"/>
              </w:rPr>
            </w:pPr>
            <w:r w:rsidRPr="00865E4F">
              <w:rPr>
                <w:rFonts w:eastAsia="Times New Roman" w:cs="Open Sans"/>
                <w:color w:val="000000"/>
                <w:sz w:val="18"/>
                <w:szCs w:val="22"/>
                <w:lang w:eastAsia="en-AU"/>
              </w:rPr>
              <w:t>0</w:t>
            </w:r>
          </w:p>
        </w:tc>
        <w:tc>
          <w:tcPr>
            <w:tcW w:w="423" w:type="pct"/>
            <w:tcBorders>
              <w:top w:val="single" w:sz="4" w:space="0" w:color="B3B3B3"/>
              <w:bottom w:val="nil"/>
            </w:tcBorders>
            <w:shd w:val="clear" w:color="000000" w:fill="E6E6E6"/>
            <w:noWrap/>
            <w:hideMark/>
          </w:tcPr>
          <w:p w14:paraId="75BE5C78" w14:textId="77777777" w:rsidR="000C5687" w:rsidRPr="00865E4F" w:rsidRDefault="000C5687" w:rsidP="001E642B">
            <w:pPr>
              <w:spacing w:before="45" w:after="45" w:line="240" w:lineRule="auto"/>
              <w:ind w:left="57" w:right="108"/>
              <w:jc w:val="right"/>
              <w:rPr>
                <w:rFonts w:eastAsia="Times New Roman" w:cs="Open Sans"/>
                <w:color w:val="000000"/>
                <w:sz w:val="18"/>
                <w:szCs w:val="22"/>
                <w:lang w:eastAsia="en-AU"/>
              </w:rPr>
            </w:pPr>
            <w:r w:rsidRPr="00865E4F">
              <w:rPr>
                <w:rFonts w:eastAsia="Times New Roman" w:cs="Open Sans"/>
                <w:color w:val="000000"/>
                <w:sz w:val="18"/>
                <w:szCs w:val="22"/>
                <w:lang w:eastAsia="en-AU"/>
              </w:rPr>
              <w:t>0</w:t>
            </w:r>
          </w:p>
        </w:tc>
        <w:tc>
          <w:tcPr>
            <w:tcW w:w="422" w:type="pct"/>
            <w:tcBorders>
              <w:top w:val="single" w:sz="4" w:space="0" w:color="B3B3B3"/>
              <w:bottom w:val="nil"/>
            </w:tcBorders>
            <w:shd w:val="clear" w:color="000000" w:fill="E6E6E6"/>
            <w:noWrap/>
            <w:hideMark/>
          </w:tcPr>
          <w:p w14:paraId="22EE6434" w14:textId="77777777" w:rsidR="000C5687" w:rsidRPr="00865E4F" w:rsidRDefault="000C5687" w:rsidP="001E642B">
            <w:pPr>
              <w:spacing w:before="45" w:after="45" w:line="240" w:lineRule="auto"/>
              <w:ind w:left="57" w:right="108"/>
              <w:jc w:val="right"/>
              <w:rPr>
                <w:rFonts w:eastAsia="Times New Roman" w:cs="Open Sans"/>
                <w:color w:val="000000"/>
                <w:sz w:val="18"/>
                <w:szCs w:val="22"/>
                <w:lang w:eastAsia="en-AU"/>
              </w:rPr>
            </w:pPr>
            <w:r w:rsidRPr="00865E4F">
              <w:rPr>
                <w:rFonts w:eastAsia="Times New Roman" w:cs="Open Sans"/>
                <w:color w:val="000000"/>
                <w:sz w:val="18"/>
                <w:szCs w:val="22"/>
                <w:lang w:eastAsia="en-AU"/>
              </w:rPr>
              <w:t>0</w:t>
            </w:r>
          </w:p>
        </w:tc>
      </w:tr>
      <w:tr w:rsidR="000C5687" w:rsidRPr="001B679A" w14:paraId="0BF3A1D2" w14:textId="77777777">
        <w:trPr>
          <w:trHeight w:val="373"/>
        </w:trPr>
        <w:tc>
          <w:tcPr>
            <w:tcW w:w="1620" w:type="pct"/>
            <w:tcBorders>
              <w:top w:val="nil"/>
              <w:bottom w:val="nil"/>
            </w:tcBorders>
            <w:shd w:val="clear" w:color="000000" w:fill="auto"/>
            <w:noWrap/>
            <w:hideMark/>
          </w:tcPr>
          <w:p w14:paraId="05A8AD2B" w14:textId="77777777" w:rsidR="000C5687" w:rsidRPr="0052260F" w:rsidRDefault="000C5687">
            <w:pPr>
              <w:spacing w:before="45" w:after="45" w:line="240" w:lineRule="auto"/>
              <w:ind w:left="57" w:right="108"/>
              <w:rPr>
                <w:rFonts w:eastAsia="Times New Roman" w:cs="Open Sans"/>
                <w:b/>
                <w:color w:val="1D4374"/>
                <w:sz w:val="18"/>
                <w:szCs w:val="22"/>
                <w:lang w:eastAsia="en-AU"/>
              </w:rPr>
            </w:pPr>
            <w:r w:rsidRPr="0052260F">
              <w:rPr>
                <w:rFonts w:eastAsia="Times New Roman" w:cs="Open Sans"/>
                <w:b/>
                <w:color w:val="1D4374"/>
                <w:sz w:val="18"/>
                <w:szCs w:val="22"/>
                <w:lang w:eastAsia="en-AU"/>
              </w:rPr>
              <w:t>Pre</w:t>
            </w:r>
            <w:r w:rsidRPr="0052260F">
              <w:rPr>
                <w:rFonts w:eastAsia="Times New Roman" w:cs="Open Sans"/>
                <w:b/>
                <w:color w:val="1D4374"/>
                <w:sz w:val="18"/>
                <w:szCs w:val="22"/>
                <w:lang w:eastAsia="en-AU"/>
              </w:rPr>
              <w:noBreakHyphen/>
              <w:t>2018 system change in GST outcome</w:t>
            </w:r>
          </w:p>
        </w:tc>
        <w:tc>
          <w:tcPr>
            <w:tcW w:w="422" w:type="pct"/>
            <w:tcBorders>
              <w:top w:val="nil"/>
              <w:bottom w:val="nil"/>
            </w:tcBorders>
            <w:shd w:val="clear" w:color="000000" w:fill="auto"/>
            <w:noWrap/>
            <w:hideMark/>
          </w:tcPr>
          <w:p w14:paraId="330802BE" w14:textId="77777777" w:rsidR="000C5687" w:rsidRPr="00865E4F" w:rsidRDefault="000C5687" w:rsidP="001E642B">
            <w:pPr>
              <w:spacing w:before="45" w:after="45" w:line="240" w:lineRule="auto"/>
              <w:ind w:left="57" w:right="108"/>
              <w:jc w:val="right"/>
              <w:rPr>
                <w:rFonts w:eastAsia="Times New Roman" w:cs="Open Sans"/>
                <w:color w:val="000000"/>
                <w:sz w:val="18"/>
                <w:szCs w:val="22"/>
                <w:lang w:eastAsia="en-AU"/>
              </w:rPr>
            </w:pPr>
            <w:r w:rsidRPr="00865E4F">
              <w:rPr>
                <w:rFonts w:eastAsia="Times New Roman" w:cs="Open Sans"/>
                <w:color w:val="000000"/>
                <w:sz w:val="18"/>
                <w:szCs w:val="22"/>
                <w:lang w:eastAsia="en-AU"/>
              </w:rPr>
              <w:t>6</w:t>
            </w:r>
            <w:r>
              <w:rPr>
                <w:rFonts w:eastAsia="Times New Roman" w:cs="Open Sans"/>
                <w:color w:val="000000"/>
                <w:sz w:val="18"/>
                <w:szCs w:val="22"/>
                <w:lang w:eastAsia="en-AU"/>
              </w:rPr>
              <w:t>8.7</w:t>
            </w:r>
          </w:p>
        </w:tc>
        <w:tc>
          <w:tcPr>
            <w:tcW w:w="423" w:type="pct"/>
            <w:tcBorders>
              <w:top w:val="nil"/>
              <w:bottom w:val="nil"/>
            </w:tcBorders>
            <w:shd w:val="clear" w:color="000000" w:fill="auto"/>
            <w:noWrap/>
            <w:hideMark/>
          </w:tcPr>
          <w:p w14:paraId="555E0EBC" w14:textId="77777777" w:rsidR="000C5687" w:rsidRPr="00865E4F" w:rsidRDefault="000C5687" w:rsidP="001E642B">
            <w:pPr>
              <w:spacing w:before="45" w:after="45" w:line="240" w:lineRule="auto"/>
              <w:ind w:left="57" w:right="108"/>
              <w:jc w:val="right"/>
              <w:rPr>
                <w:rFonts w:eastAsia="Times New Roman" w:cs="Open Sans"/>
                <w:color w:val="000000"/>
                <w:sz w:val="18"/>
                <w:szCs w:val="22"/>
                <w:lang w:eastAsia="en-AU"/>
              </w:rPr>
            </w:pPr>
            <w:r>
              <w:rPr>
                <w:rFonts w:eastAsia="Times New Roman" w:cs="Open Sans"/>
                <w:color w:val="000000"/>
                <w:sz w:val="18"/>
                <w:szCs w:val="22"/>
                <w:lang w:eastAsia="en-AU"/>
              </w:rPr>
              <w:noBreakHyphen/>
            </w:r>
            <w:r w:rsidRPr="00865E4F">
              <w:rPr>
                <w:rFonts w:eastAsia="Times New Roman" w:cs="Open Sans"/>
                <w:color w:val="000000"/>
                <w:sz w:val="18"/>
                <w:szCs w:val="22"/>
                <w:lang w:eastAsia="en-AU"/>
              </w:rPr>
              <w:t>2</w:t>
            </w:r>
            <w:r>
              <w:rPr>
                <w:rFonts w:eastAsia="Times New Roman" w:cs="Open Sans"/>
                <w:color w:val="000000"/>
                <w:sz w:val="18"/>
                <w:szCs w:val="22"/>
                <w:lang w:eastAsia="en-AU"/>
              </w:rPr>
              <w:t>5.8</w:t>
            </w:r>
          </w:p>
        </w:tc>
        <w:tc>
          <w:tcPr>
            <w:tcW w:w="423" w:type="pct"/>
            <w:tcBorders>
              <w:top w:val="nil"/>
              <w:bottom w:val="nil"/>
            </w:tcBorders>
            <w:shd w:val="clear" w:color="000000" w:fill="auto"/>
            <w:noWrap/>
            <w:hideMark/>
          </w:tcPr>
          <w:p w14:paraId="146828BA" w14:textId="77777777" w:rsidR="000C5687" w:rsidRPr="00865E4F" w:rsidRDefault="000C5687" w:rsidP="001E642B">
            <w:pPr>
              <w:spacing w:before="45" w:after="45" w:line="240" w:lineRule="auto"/>
              <w:ind w:left="57" w:right="108"/>
              <w:jc w:val="right"/>
              <w:rPr>
                <w:rFonts w:eastAsia="Times New Roman" w:cs="Open Sans"/>
                <w:color w:val="000000"/>
                <w:sz w:val="18"/>
                <w:szCs w:val="22"/>
                <w:lang w:eastAsia="en-AU"/>
              </w:rPr>
            </w:pPr>
            <w:r>
              <w:rPr>
                <w:rFonts w:eastAsia="Times New Roman" w:cs="Open Sans"/>
                <w:color w:val="000000"/>
                <w:sz w:val="18"/>
                <w:szCs w:val="22"/>
                <w:lang w:eastAsia="en-AU"/>
              </w:rPr>
              <w:noBreakHyphen/>
              <w:t>20.6</w:t>
            </w:r>
          </w:p>
        </w:tc>
        <w:tc>
          <w:tcPr>
            <w:tcW w:w="423" w:type="pct"/>
            <w:tcBorders>
              <w:top w:val="nil"/>
              <w:bottom w:val="nil"/>
            </w:tcBorders>
            <w:shd w:val="clear" w:color="000000" w:fill="auto"/>
            <w:noWrap/>
            <w:hideMark/>
          </w:tcPr>
          <w:p w14:paraId="7AEF26A8" w14:textId="77777777" w:rsidR="000C5687" w:rsidRPr="00865E4F" w:rsidRDefault="000C5687" w:rsidP="001E642B">
            <w:pPr>
              <w:spacing w:before="45" w:after="45" w:line="240" w:lineRule="auto"/>
              <w:ind w:left="57" w:right="108"/>
              <w:jc w:val="right"/>
              <w:rPr>
                <w:rFonts w:eastAsia="Times New Roman" w:cs="Open Sans"/>
                <w:color w:val="000000"/>
                <w:sz w:val="18"/>
                <w:szCs w:val="22"/>
                <w:lang w:eastAsia="en-AU"/>
              </w:rPr>
            </w:pPr>
            <w:r>
              <w:rPr>
                <w:rFonts w:eastAsia="Times New Roman" w:cs="Open Sans"/>
                <w:color w:val="000000"/>
                <w:sz w:val="18"/>
                <w:szCs w:val="22"/>
                <w:lang w:eastAsia="en-AU"/>
              </w:rPr>
              <w:noBreakHyphen/>
            </w:r>
            <w:r w:rsidRPr="00865E4F">
              <w:rPr>
                <w:rFonts w:eastAsia="Times New Roman" w:cs="Open Sans"/>
                <w:color w:val="000000"/>
                <w:sz w:val="18"/>
                <w:szCs w:val="22"/>
                <w:lang w:eastAsia="en-AU"/>
              </w:rPr>
              <w:t>11</w:t>
            </w:r>
            <w:r>
              <w:rPr>
                <w:rFonts w:eastAsia="Times New Roman" w:cs="Open Sans"/>
                <w:color w:val="000000"/>
                <w:sz w:val="18"/>
                <w:szCs w:val="22"/>
                <w:lang w:eastAsia="en-AU"/>
              </w:rPr>
              <w:t>.1</w:t>
            </w:r>
          </w:p>
        </w:tc>
        <w:tc>
          <w:tcPr>
            <w:tcW w:w="422" w:type="pct"/>
            <w:tcBorders>
              <w:top w:val="nil"/>
              <w:bottom w:val="nil"/>
            </w:tcBorders>
            <w:shd w:val="clear" w:color="000000" w:fill="auto"/>
            <w:noWrap/>
            <w:hideMark/>
          </w:tcPr>
          <w:p w14:paraId="43AAF8FC" w14:textId="77777777" w:rsidR="000C5687" w:rsidRPr="00865E4F" w:rsidRDefault="000C5687" w:rsidP="001E642B">
            <w:pPr>
              <w:spacing w:before="45" w:after="45" w:line="240" w:lineRule="auto"/>
              <w:ind w:left="57" w:right="108"/>
              <w:jc w:val="right"/>
              <w:rPr>
                <w:rFonts w:eastAsia="Times New Roman" w:cs="Open Sans"/>
                <w:color w:val="000000"/>
                <w:sz w:val="18"/>
                <w:szCs w:val="22"/>
                <w:lang w:eastAsia="en-AU"/>
              </w:rPr>
            </w:pPr>
            <w:r>
              <w:rPr>
                <w:rFonts w:eastAsia="Times New Roman" w:cs="Open Sans"/>
                <w:color w:val="000000"/>
                <w:sz w:val="18"/>
                <w:szCs w:val="22"/>
                <w:lang w:eastAsia="en-AU"/>
              </w:rPr>
              <w:noBreakHyphen/>
              <w:t>6.</w:t>
            </w:r>
            <w:r w:rsidRPr="00865E4F">
              <w:rPr>
                <w:rFonts w:eastAsia="Times New Roman" w:cs="Open Sans"/>
                <w:color w:val="000000"/>
                <w:sz w:val="18"/>
                <w:szCs w:val="22"/>
                <w:lang w:eastAsia="en-AU"/>
              </w:rPr>
              <w:t>7</w:t>
            </w:r>
          </w:p>
        </w:tc>
        <w:tc>
          <w:tcPr>
            <w:tcW w:w="423" w:type="pct"/>
            <w:tcBorders>
              <w:top w:val="nil"/>
              <w:bottom w:val="nil"/>
            </w:tcBorders>
            <w:shd w:val="clear" w:color="000000" w:fill="auto"/>
            <w:noWrap/>
            <w:hideMark/>
          </w:tcPr>
          <w:p w14:paraId="111EC26D" w14:textId="77777777" w:rsidR="000C5687" w:rsidRPr="00865E4F" w:rsidRDefault="000C5687" w:rsidP="001E642B">
            <w:pPr>
              <w:spacing w:before="45" w:after="45" w:line="240" w:lineRule="auto"/>
              <w:ind w:left="57" w:right="108"/>
              <w:jc w:val="right"/>
              <w:rPr>
                <w:rFonts w:eastAsia="Times New Roman" w:cs="Open Sans"/>
                <w:color w:val="000000"/>
                <w:sz w:val="18"/>
                <w:szCs w:val="22"/>
                <w:lang w:eastAsia="en-AU"/>
              </w:rPr>
            </w:pPr>
            <w:r>
              <w:rPr>
                <w:rFonts w:eastAsia="Times New Roman" w:cs="Open Sans"/>
                <w:color w:val="000000"/>
                <w:sz w:val="18"/>
                <w:szCs w:val="22"/>
                <w:lang w:eastAsia="en-AU"/>
              </w:rPr>
              <w:noBreakHyphen/>
            </w:r>
            <w:r w:rsidRPr="00865E4F">
              <w:rPr>
                <w:rFonts w:eastAsia="Times New Roman" w:cs="Open Sans"/>
                <w:color w:val="000000"/>
                <w:sz w:val="18"/>
                <w:szCs w:val="22"/>
                <w:lang w:eastAsia="en-AU"/>
              </w:rPr>
              <w:t>2</w:t>
            </w:r>
            <w:r>
              <w:rPr>
                <w:rFonts w:eastAsia="Times New Roman" w:cs="Open Sans"/>
                <w:color w:val="000000"/>
                <w:sz w:val="18"/>
                <w:szCs w:val="22"/>
                <w:lang w:eastAsia="en-AU"/>
              </w:rPr>
              <w:t>.0</w:t>
            </w:r>
          </w:p>
        </w:tc>
        <w:tc>
          <w:tcPr>
            <w:tcW w:w="423" w:type="pct"/>
            <w:tcBorders>
              <w:top w:val="nil"/>
              <w:bottom w:val="nil"/>
            </w:tcBorders>
            <w:shd w:val="clear" w:color="000000" w:fill="auto"/>
            <w:noWrap/>
            <w:hideMark/>
          </w:tcPr>
          <w:p w14:paraId="64159222" w14:textId="77777777" w:rsidR="000C5687" w:rsidRPr="00865E4F" w:rsidRDefault="000C5687" w:rsidP="001E642B">
            <w:pPr>
              <w:spacing w:before="45" w:after="45" w:line="240" w:lineRule="auto"/>
              <w:ind w:left="57" w:right="108"/>
              <w:jc w:val="right"/>
              <w:rPr>
                <w:rFonts w:eastAsia="Times New Roman" w:cs="Open Sans"/>
                <w:color w:val="000000"/>
                <w:sz w:val="18"/>
                <w:szCs w:val="22"/>
                <w:lang w:eastAsia="en-AU"/>
              </w:rPr>
            </w:pPr>
            <w:r>
              <w:rPr>
                <w:rFonts w:eastAsia="Times New Roman" w:cs="Open Sans"/>
                <w:color w:val="000000"/>
                <w:sz w:val="18"/>
                <w:szCs w:val="22"/>
                <w:lang w:eastAsia="en-AU"/>
              </w:rPr>
              <w:noBreakHyphen/>
              <w:t>1.7</w:t>
            </w:r>
          </w:p>
        </w:tc>
        <w:tc>
          <w:tcPr>
            <w:tcW w:w="422" w:type="pct"/>
            <w:tcBorders>
              <w:top w:val="nil"/>
              <w:bottom w:val="nil"/>
            </w:tcBorders>
            <w:shd w:val="clear" w:color="000000" w:fill="auto"/>
            <w:noWrap/>
            <w:hideMark/>
          </w:tcPr>
          <w:p w14:paraId="2A940795" w14:textId="77777777" w:rsidR="000C5687" w:rsidRPr="00865E4F" w:rsidRDefault="000C5687" w:rsidP="001E642B">
            <w:pPr>
              <w:spacing w:before="45" w:after="45" w:line="240" w:lineRule="auto"/>
              <w:ind w:left="57" w:right="108"/>
              <w:jc w:val="right"/>
              <w:rPr>
                <w:rFonts w:eastAsia="Times New Roman" w:cs="Open Sans"/>
                <w:color w:val="000000"/>
                <w:sz w:val="18"/>
                <w:szCs w:val="22"/>
                <w:lang w:eastAsia="en-AU"/>
              </w:rPr>
            </w:pPr>
            <w:r>
              <w:rPr>
                <w:rFonts w:eastAsia="Times New Roman" w:cs="Open Sans"/>
                <w:color w:val="000000"/>
                <w:sz w:val="18"/>
                <w:szCs w:val="22"/>
                <w:lang w:eastAsia="en-AU"/>
              </w:rPr>
              <w:noBreakHyphen/>
              <w:t>0.9</w:t>
            </w:r>
          </w:p>
        </w:tc>
      </w:tr>
      <w:tr w:rsidR="000C5687" w:rsidRPr="001B679A" w14:paraId="667321A8" w14:textId="77777777" w:rsidTr="0052260F">
        <w:trPr>
          <w:trHeight w:val="373"/>
        </w:trPr>
        <w:tc>
          <w:tcPr>
            <w:tcW w:w="1620" w:type="pct"/>
            <w:tcBorders>
              <w:bottom w:val="nil"/>
            </w:tcBorders>
            <w:shd w:val="clear" w:color="000000" w:fill="E6E6E6"/>
            <w:noWrap/>
            <w:hideMark/>
          </w:tcPr>
          <w:p w14:paraId="1C939BBB" w14:textId="77777777" w:rsidR="000C5687" w:rsidRPr="0052260F" w:rsidRDefault="000C5687">
            <w:pPr>
              <w:spacing w:before="45" w:after="45" w:line="240" w:lineRule="auto"/>
              <w:ind w:left="57" w:right="108"/>
              <w:rPr>
                <w:rFonts w:eastAsia="Times New Roman" w:cs="Open Sans"/>
                <w:b/>
                <w:color w:val="1D4374"/>
                <w:sz w:val="18"/>
                <w:szCs w:val="22"/>
                <w:lang w:eastAsia="en-AU"/>
              </w:rPr>
            </w:pPr>
            <w:r w:rsidRPr="0052260F">
              <w:rPr>
                <w:rFonts w:eastAsia="Times New Roman" w:cs="Open Sans"/>
                <w:b/>
                <w:color w:val="1D4374"/>
                <w:sz w:val="18"/>
                <w:szCs w:val="22"/>
                <w:lang w:eastAsia="en-AU"/>
              </w:rPr>
              <w:t>Current (no NoWO guarantee) system change in GST outcome</w:t>
            </w:r>
          </w:p>
        </w:tc>
        <w:tc>
          <w:tcPr>
            <w:tcW w:w="422" w:type="pct"/>
            <w:tcBorders>
              <w:bottom w:val="nil"/>
            </w:tcBorders>
            <w:shd w:val="clear" w:color="000000" w:fill="E6E6E6"/>
            <w:noWrap/>
            <w:hideMark/>
          </w:tcPr>
          <w:p w14:paraId="65CA0F60" w14:textId="77777777" w:rsidR="000C5687" w:rsidRPr="00865E4F" w:rsidRDefault="000C5687" w:rsidP="001E642B">
            <w:pPr>
              <w:spacing w:before="45" w:after="45" w:line="240" w:lineRule="auto"/>
              <w:ind w:left="57" w:right="108"/>
              <w:jc w:val="right"/>
              <w:rPr>
                <w:rFonts w:eastAsia="Times New Roman" w:cs="Open Sans"/>
                <w:color w:val="000000"/>
                <w:sz w:val="18"/>
                <w:szCs w:val="22"/>
                <w:lang w:eastAsia="en-AU"/>
              </w:rPr>
            </w:pPr>
            <w:r w:rsidRPr="00865E4F">
              <w:rPr>
                <w:rFonts w:eastAsia="Times New Roman" w:cs="Open Sans"/>
                <w:color w:val="000000"/>
                <w:sz w:val="18"/>
                <w:szCs w:val="22"/>
                <w:lang w:eastAsia="en-AU"/>
              </w:rPr>
              <w:t>5</w:t>
            </w:r>
            <w:r>
              <w:rPr>
                <w:rFonts w:eastAsia="Times New Roman" w:cs="Open Sans"/>
                <w:color w:val="000000"/>
                <w:sz w:val="18"/>
                <w:szCs w:val="22"/>
                <w:lang w:eastAsia="en-AU"/>
              </w:rPr>
              <w:t>7.7</w:t>
            </w:r>
          </w:p>
        </w:tc>
        <w:tc>
          <w:tcPr>
            <w:tcW w:w="423" w:type="pct"/>
            <w:tcBorders>
              <w:bottom w:val="nil"/>
            </w:tcBorders>
            <w:shd w:val="clear" w:color="000000" w:fill="E6E6E6"/>
            <w:noWrap/>
            <w:hideMark/>
          </w:tcPr>
          <w:p w14:paraId="13BCC9CB" w14:textId="77777777" w:rsidR="000C5687" w:rsidRPr="00865E4F" w:rsidRDefault="000C5687" w:rsidP="001E642B">
            <w:pPr>
              <w:spacing w:before="45" w:after="45" w:line="240" w:lineRule="auto"/>
              <w:ind w:left="57" w:right="108"/>
              <w:jc w:val="right"/>
              <w:rPr>
                <w:rFonts w:eastAsia="Times New Roman" w:cs="Open Sans"/>
                <w:color w:val="000000"/>
                <w:sz w:val="18"/>
                <w:szCs w:val="22"/>
                <w:lang w:eastAsia="en-AU"/>
              </w:rPr>
            </w:pPr>
            <w:r>
              <w:rPr>
                <w:rFonts w:eastAsia="Times New Roman" w:cs="Open Sans"/>
                <w:color w:val="000000"/>
                <w:sz w:val="18"/>
                <w:szCs w:val="22"/>
                <w:lang w:eastAsia="en-AU"/>
              </w:rPr>
              <w:noBreakHyphen/>
            </w:r>
            <w:r w:rsidRPr="00865E4F">
              <w:rPr>
                <w:rFonts w:eastAsia="Times New Roman" w:cs="Open Sans"/>
                <w:color w:val="000000"/>
                <w:sz w:val="18"/>
                <w:szCs w:val="22"/>
                <w:lang w:eastAsia="en-AU"/>
              </w:rPr>
              <w:t>35</w:t>
            </w:r>
            <w:r>
              <w:rPr>
                <w:rFonts w:eastAsia="Times New Roman" w:cs="Open Sans"/>
                <w:color w:val="000000"/>
                <w:sz w:val="18"/>
                <w:szCs w:val="22"/>
                <w:lang w:eastAsia="en-AU"/>
              </w:rPr>
              <w:t>.0</w:t>
            </w:r>
          </w:p>
        </w:tc>
        <w:tc>
          <w:tcPr>
            <w:tcW w:w="423" w:type="pct"/>
            <w:tcBorders>
              <w:bottom w:val="nil"/>
            </w:tcBorders>
            <w:shd w:val="clear" w:color="000000" w:fill="E6E6E6"/>
            <w:noWrap/>
            <w:hideMark/>
          </w:tcPr>
          <w:p w14:paraId="4C962425" w14:textId="77777777" w:rsidR="000C5687" w:rsidRPr="00865E4F" w:rsidRDefault="000C5687" w:rsidP="001E642B">
            <w:pPr>
              <w:spacing w:before="45" w:after="45" w:line="240" w:lineRule="auto"/>
              <w:ind w:left="57" w:right="108"/>
              <w:jc w:val="right"/>
              <w:rPr>
                <w:rFonts w:eastAsia="Times New Roman" w:cs="Open Sans"/>
                <w:color w:val="000000"/>
                <w:sz w:val="18"/>
                <w:szCs w:val="22"/>
                <w:lang w:eastAsia="en-AU"/>
              </w:rPr>
            </w:pPr>
            <w:r>
              <w:rPr>
                <w:rFonts w:eastAsia="Times New Roman" w:cs="Open Sans"/>
                <w:color w:val="000000"/>
                <w:sz w:val="18"/>
                <w:szCs w:val="22"/>
                <w:lang w:eastAsia="en-AU"/>
              </w:rPr>
              <w:noBreakHyphen/>
            </w:r>
            <w:r w:rsidRPr="00865E4F">
              <w:rPr>
                <w:rFonts w:eastAsia="Times New Roman" w:cs="Open Sans"/>
                <w:color w:val="000000"/>
                <w:sz w:val="18"/>
                <w:szCs w:val="22"/>
                <w:lang w:eastAsia="en-AU"/>
              </w:rPr>
              <w:t>2</w:t>
            </w:r>
            <w:r>
              <w:rPr>
                <w:rFonts w:eastAsia="Times New Roman" w:cs="Open Sans"/>
                <w:color w:val="000000"/>
                <w:sz w:val="18"/>
                <w:szCs w:val="22"/>
                <w:lang w:eastAsia="en-AU"/>
              </w:rPr>
              <w:t>7.9</w:t>
            </w:r>
          </w:p>
        </w:tc>
        <w:tc>
          <w:tcPr>
            <w:tcW w:w="423" w:type="pct"/>
            <w:tcBorders>
              <w:bottom w:val="nil"/>
            </w:tcBorders>
            <w:shd w:val="clear" w:color="000000" w:fill="E6E6E6"/>
            <w:noWrap/>
            <w:hideMark/>
          </w:tcPr>
          <w:p w14:paraId="36F59082" w14:textId="77777777" w:rsidR="000C5687" w:rsidRPr="00865E4F" w:rsidRDefault="000C5687" w:rsidP="001E642B">
            <w:pPr>
              <w:spacing w:before="45" w:after="45" w:line="240" w:lineRule="auto"/>
              <w:ind w:left="57" w:right="108"/>
              <w:jc w:val="right"/>
              <w:rPr>
                <w:rFonts w:eastAsia="Times New Roman" w:cs="Open Sans"/>
                <w:color w:val="000000"/>
                <w:sz w:val="18"/>
                <w:szCs w:val="22"/>
                <w:lang w:eastAsia="en-AU"/>
              </w:rPr>
            </w:pPr>
            <w:r w:rsidRPr="00865E4F">
              <w:rPr>
                <w:rFonts w:eastAsia="Times New Roman" w:cs="Open Sans"/>
                <w:color w:val="000000"/>
                <w:sz w:val="18"/>
                <w:szCs w:val="22"/>
                <w:lang w:eastAsia="en-AU"/>
              </w:rPr>
              <w:t>2</w:t>
            </w:r>
            <w:r>
              <w:rPr>
                <w:rFonts w:eastAsia="Times New Roman" w:cs="Open Sans"/>
                <w:color w:val="000000"/>
                <w:sz w:val="18"/>
                <w:szCs w:val="22"/>
                <w:lang w:eastAsia="en-AU"/>
              </w:rPr>
              <w:t>0.6</w:t>
            </w:r>
          </w:p>
        </w:tc>
        <w:tc>
          <w:tcPr>
            <w:tcW w:w="422" w:type="pct"/>
            <w:tcBorders>
              <w:bottom w:val="nil"/>
            </w:tcBorders>
            <w:shd w:val="clear" w:color="000000" w:fill="E6E6E6"/>
            <w:noWrap/>
            <w:hideMark/>
          </w:tcPr>
          <w:p w14:paraId="05B5A8BE" w14:textId="77777777" w:rsidR="000C5687" w:rsidRPr="00865E4F" w:rsidRDefault="000C5687" w:rsidP="001E642B">
            <w:pPr>
              <w:spacing w:before="45" w:after="45" w:line="240" w:lineRule="auto"/>
              <w:ind w:left="57" w:right="108"/>
              <w:jc w:val="right"/>
              <w:rPr>
                <w:rFonts w:eastAsia="Times New Roman" w:cs="Open Sans"/>
                <w:color w:val="000000"/>
                <w:sz w:val="18"/>
                <w:szCs w:val="22"/>
                <w:lang w:eastAsia="en-AU"/>
              </w:rPr>
            </w:pPr>
            <w:r>
              <w:rPr>
                <w:rFonts w:eastAsia="Times New Roman" w:cs="Open Sans"/>
                <w:color w:val="000000"/>
                <w:sz w:val="18"/>
                <w:szCs w:val="22"/>
                <w:lang w:eastAsia="en-AU"/>
              </w:rPr>
              <w:noBreakHyphen/>
            </w:r>
            <w:r w:rsidRPr="00865E4F">
              <w:rPr>
                <w:rFonts w:eastAsia="Times New Roman" w:cs="Open Sans"/>
                <w:color w:val="000000"/>
                <w:sz w:val="18"/>
                <w:szCs w:val="22"/>
                <w:lang w:eastAsia="en-AU"/>
              </w:rPr>
              <w:t>9</w:t>
            </w:r>
            <w:r>
              <w:rPr>
                <w:rFonts w:eastAsia="Times New Roman" w:cs="Open Sans"/>
                <w:color w:val="000000"/>
                <w:sz w:val="18"/>
                <w:szCs w:val="22"/>
                <w:lang w:eastAsia="en-AU"/>
              </w:rPr>
              <w:t>.1</w:t>
            </w:r>
          </w:p>
        </w:tc>
        <w:tc>
          <w:tcPr>
            <w:tcW w:w="423" w:type="pct"/>
            <w:tcBorders>
              <w:bottom w:val="nil"/>
            </w:tcBorders>
            <w:shd w:val="clear" w:color="000000" w:fill="E6E6E6"/>
            <w:noWrap/>
            <w:hideMark/>
          </w:tcPr>
          <w:p w14:paraId="25172883" w14:textId="77777777" w:rsidR="000C5687" w:rsidRPr="00865E4F" w:rsidRDefault="000C5687" w:rsidP="001E642B">
            <w:pPr>
              <w:spacing w:before="45" w:after="45" w:line="240" w:lineRule="auto"/>
              <w:ind w:left="57" w:right="108"/>
              <w:jc w:val="right"/>
              <w:rPr>
                <w:rFonts w:eastAsia="Times New Roman" w:cs="Open Sans"/>
                <w:color w:val="000000"/>
                <w:sz w:val="18"/>
                <w:szCs w:val="22"/>
                <w:lang w:eastAsia="en-AU"/>
              </w:rPr>
            </w:pPr>
            <w:r>
              <w:rPr>
                <w:rFonts w:eastAsia="Times New Roman" w:cs="Open Sans"/>
                <w:color w:val="000000"/>
                <w:sz w:val="18"/>
                <w:szCs w:val="22"/>
                <w:lang w:eastAsia="en-AU"/>
              </w:rPr>
              <w:noBreakHyphen/>
              <w:t>2.7</w:t>
            </w:r>
          </w:p>
        </w:tc>
        <w:tc>
          <w:tcPr>
            <w:tcW w:w="423" w:type="pct"/>
            <w:tcBorders>
              <w:bottom w:val="nil"/>
            </w:tcBorders>
            <w:shd w:val="clear" w:color="000000" w:fill="E6E6E6"/>
            <w:noWrap/>
            <w:hideMark/>
          </w:tcPr>
          <w:p w14:paraId="0479F8DE" w14:textId="77777777" w:rsidR="000C5687" w:rsidRPr="00865E4F" w:rsidRDefault="000C5687" w:rsidP="001E642B">
            <w:pPr>
              <w:spacing w:before="45" w:after="45" w:line="240" w:lineRule="auto"/>
              <w:ind w:left="57" w:right="108"/>
              <w:jc w:val="right"/>
              <w:rPr>
                <w:rFonts w:eastAsia="Times New Roman" w:cs="Open Sans"/>
                <w:color w:val="000000"/>
                <w:sz w:val="18"/>
                <w:szCs w:val="22"/>
                <w:lang w:eastAsia="en-AU"/>
              </w:rPr>
            </w:pPr>
            <w:r>
              <w:rPr>
                <w:rFonts w:eastAsia="Times New Roman" w:cs="Open Sans"/>
                <w:color w:val="000000"/>
                <w:sz w:val="18"/>
                <w:szCs w:val="22"/>
                <w:lang w:eastAsia="en-AU"/>
              </w:rPr>
              <w:noBreakHyphen/>
            </w:r>
            <w:r w:rsidRPr="00865E4F">
              <w:rPr>
                <w:rFonts w:eastAsia="Times New Roman" w:cs="Open Sans"/>
                <w:color w:val="000000"/>
                <w:sz w:val="18"/>
                <w:szCs w:val="22"/>
                <w:lang w:eastAsia="en-AU"/>
              </w:rPr>
              <w:t>2</w:t>
            </w:r>
            <w:r>
              <w:rPr>
                <w:rFonts w:eastAsia="Times New Roman" w:cs="Open Sans"/>
                <w:color w:val="000000"/>
                <w:sz w:val="18"/>
                <w:szCs w:val="22"/>
                <w:lang w:eastAsia="en-AU"/>
              </w:rPr>
              <w:t>.4</w:t>
            </w:r>
          </w:p>
        </w:tc>
        <w:tc>
          <w:tcPr>
            <w:tcW w:w="422" w:type="pct"/>
            <w:tcBorders>
              <w:bottom w:val="nil"/>
            </w:tcBorders>
            <w:shd w:val="clear" w:color="000000" w:fill="E6E6E6"/>
            <w:noWrap/>
            <w:hideMark/>
          </w:tcPr>
          <w:p w14:paraId="564D16DE" w14:textId="77777777" w:rsidR="000C5687" w:rsidRPr="00865E4F" w:rsidRDefault="000C5687" w:rsidP="001E642B">
            <w:pPr>
              <w:spacing w:before="45" w:after="45" w:line="240" w:lineRule="auto"/>
              <w:ind w:left="57" w:right="108"/>
              <w:jc w:val="right"/>
              <w:rPr>
                <w:rFonts w:eastAsia="Times New Roman" w:cs="Open Sans"/>
                <w:color w:val="000000"/>
                <w:sz w:val="18"/>
                <w:szCs w:val="22"/>
                <w:lang w:eastAsia="en-AU"/>
              </w:rPr>
            </w:pPr>
            <w:r>
              <w:rPr>
                <w:rFonts w:eastAsia="Times New Roman" w:cs="Open Sans"/>
                <w:color w:val="000000"/>
                <w:sz w:val="18"/>
                <w:szCs w:val="22"/>
                <w:lang w:eastAsia="en-AU"/>
              </w:rPr>
              <w:noBreakHyphen/>
            </w:r>
            <w:r w:rsidRPr="00865E4F">
              <w:rPr>
                <w:rFonts w:eastAsia="Times New Roman" w:cs="Open Sans"/>
                <w:color w:val="000000"/>
                <w:sz w:val="18"/>
                <w:szCs w:val="22"/>
                <w:lang w:eastAsia="en-AU"/>
              </w:rPr>
              <w:t>1</w:t>
            </w:r>
            <w:r>
              <w:rPr>
                <w:rFonts w:eastAsia="Times New Roman" w:cs="Open Sans"/>
                <w:color w:val="000000"/>
                <w:sz w:val="18"/>
                <w:szCs w:val="22"/>
                <w:lang w:eastAsia="en-AU"/>
              </w:rPr>
              <w:t>.2</w:t>
            </w:r>
          </w:p>
        </w:tc>
      </w:tr>
      <w:tr w:rsidR="000C5687" w:rsidRPr="001B679A" w14:paraId="7BF39E87" w14:textId="77777777" w:rsidTr="0052260F">
        <w:trPr>
          <w:trHeight w:val="81"/>
        </w:trPr>
        <w:tc>
          <w:tcPr>
            <w:tcW w:w="1620" w:type="pct"/>
            <w:tcBorders>
              <w:bottom w:val="single" w:sz="4" w:space="0" w:color="BFBFBF" w:themeColor="background1" w:themeShade="BF"/>
            </w:tcBorders>
            <w:noWrap/>
          </w:tcPr>
          <w:p w14:paraId="69DF1028" w14:textId="77777777" w:rsidR="000C5687" w:rsidRPr="0052260F" w:rsidDel="003F4D0A" w:rsidRDefault="000C5687">
            <w:pPr>
              <w:spacing w:before="45" w:after="45" w:line="240" w:lineRule="auto"/>
              <w:ind w:left="57" w:right="108"/>
              <w:rPr>
                <w:rFonts w:eastAsia="Times New Roman" w:cs="Open Sans"/>
                <w:b/>
                <w:color w:val="1D4374"/>
                <w:sz w:val="18"/>
                <w:szCs w:val="22"/>
                <w:lang w:eastAsia="en-AU"/>
              </w:rPr>
            </w:pPr>
            <w:r w:rsidRPr="0052260F">
              <w:rPr>
                <w:rFonts w:eastAsia="Times New Roman" w:cs="Open Sans"/>
                <w:b/>
                <w:color w:val="1D4374"/>
                <w:sz w:val="18"/>
                <w:szCs w:val="22"/>
                <w:lang w:eastAsia="en-AU"/>
              </w:rPr>
              <w:t>Change in GST revenue between pre</w:t>
            </w:r>
            <w:r w:rsidRPr="0052260F">
              <w:rPr>
                <w:rFonts w:eastAsia="Times New Roman" w:cs="Open Sans"/>
                <w:b/>
                <w:color w:val="1D4374"/>
                <w:sz w:val="18"/>
                <w:szCs w:val="22"/>
                <w:lang w:eastAsia="en-AU"/>
              </w:rPr>
              <w:noBreakHyphen/>
              <w:t>2018 and current (no NoWO guarantee) systems</w:t>
            </w:r>
          </w:p>
        </w:tc>
        <w:tc>
          <w:tcPr>
            <w:tcW w:w="422" w:type="pct"/>
            <w:tcBorders>
              <w:bottom w:val="single" w:sz="4" w:space="0" w:color="BFBFBF" w:themeColor="background1" w:themeShade="BF"/>
            </w:tcBorders>
            <w:noWrap/>
          </w:tcPr>
          <w:p w14:paraId="2D7BBE7A" w14:textId="77777777" w:rsidR="000C5687" w:rsidRPr="0052260F" w:rsidRDefault="000C5687" w:rsidP="001E642B">
            <w:pPr>
              <w:spacing w:before="45" w:after="45" w:line="240" w:lineRule="auto"/>
              <w:ind w:left="57" w:right="108"/>
              <w:jc w:val="right"/>
              <w:rPr>
                <w:rFonts w:eastAsia="Times New Roman" w:cs="Open Sans"/>
                <w:b/>
                <w:bCs/>
                <w:color w:val="1D4374"/>
                <w:sz w:val="18"/>
                <w:szCs w:val="22"/>
                <w:lang w:eastAsia="en-AU"/>
              </w:rPr>
            </w:pPr>
            <w:r w:rsidRPr="0052260F">
              <w:rPr>
                <w:rFonts w:eastAsia="Times New Roman" w:cs="Open Sans"/>
                <w:b/>
                <w:bCs/>
                <w:color w:val="1D4374"/>
                <w:sz w:val="18"/>
                <w:szCs w:val="22"/>
                <w:lang w:eastAsia="en-AU"/>
              </w:rPr>
              <w:noBreakHyphen/>
              <w:t>11.0</w:t>
            </w:r>
          </w:p>
        </w:tc>
        <w:tc>
          <w:tcPr>
            <w:tcW w:w="423" w:type="pct"/>
            <w:tcBorders>
              <w:bottom w:val="single" w:sz="4" w:space="0" w:color="BFBFBF" w:themeColor="background1" w:themeShade="BF"/>
            </w:tcBorders>
            <w:noWrap/>
          </w:tcPr>
          <w:p w14:paraId="7F471007" w14:textId="77777777" w:rsidR="000C5687" w:rsidRPr="0052260F" w:rsidRDefault="000C5687" w:rsidP="001E642B">
            <w:pPr>
              <w:spacing w:before="45" w:after="45" w:line="240" w:lineRule="auto"/>
              <w:ind w:left="57" w:right="108"/>
              <w:jc w:val="right"/>
              <w:rPr>
                <w:rFonts w:eastAsia="Times New Roman" w:cs="Open Sans"/>
                <w:b/>
                <w:bCs/>
                <w:color w:val="1D4374"/>
                <w:sz w:val="18"/>
                <w:szCs w:val="22"/>
                <w:lang w:eastAsia="en-AU"/>
              </w:rPr>
            </w:pPr>
            <w:r w:rsidRPr="0052260F">
              <w:rPr>
                <w:rFonts w:eastAsia="Times New Roman" w:cs="Open Sans"/>
                <w:b/>
                <w:bCs/>
                <w:color w:val="1D4374"/>
                <w:sz w:val="18"/>
                <w:szCs w:val="22"/>
                <w:lang w:eastAsia="en-AU"/>
              </w:rPr>
              <w:noBreakHyphen/>
              <w:t>9.2</w:t>
            </w:r>
          </w:p>
        </w:tc>
        <w:tc>
          <w:tcPr>
            <w:tcW w:w="423" w:type="pct"/>
            <w:tcBorders>
              <w:bottom w:val="single" w:sz="4" w:space="0" w:color="BFBFBF" w:themeColor="background1" w:themeShade="BF"/>
            </w:tcBorders>
            <w:noWrap/>
          </w:tcPr>
          <w:p w14:paraId="643EE835" w14:textId="77777777" w:rsidR="000C5687" w:rsidRPr="0052260F" w:rsidRDefault="000C5687" w:rsidP="001E642B">
            <w:pPr>
              <w:spacing w:before="45" w:after="45" w:line="240" w:lineRule="auto"/>
              <w:ind w:left="57" w:right="108"/>
              <w:jc w:val="right"/>
              <w:rPr>
                <w:rFonts w:eastAsia="Times New Roman" w:cs="Open Sans"/>
                <w:b/>
                <w:bCs/>
                <w:color w:val="1D4374"/>
                <w:sz w:val="18"/>
                <w:szCs w:val="22"/>
                <w:lang w:eastAsia="en-AU"/>
              </w:rPr>
            </w:pPr>
            <w:r w:rsidRPr="0052260F">
              <w:rPr>
                <w:rFonts w:eastAsia="Times New Roman" w:cs="Open Sans"/>
                <w:b/>
                <w:bCs/>
                <w:color w:val="1D4374"/>
                <w:sz w:val="18"/>
                <w:szCs w:val="22"/>
                <w:lang w:eastAsia="en-AU"/>
              </w:rPr>
              <w:noBreakHyphen/>
              <w:t>7.3</w:t>
            </w:r>
          </w:p>
        </w:tc>
        <w:tc>
          <w:tcPr>
            <w:tcW w:w="423" w:type="pct"/>
            <w:tcBorders>
              <w:bottom w:val="single" w:sz="4" w:space="0" w:color="BFBFBF" w:themeColor="background1" w:themeShade="BF"/>
            </w:tcBorders>
            <w:noWrap/>
          </w:tcPr>
          <w:p w14:paraId="5C5F2945" w14:textId="77777777" w:rsidR="000C5687" w:rsidRPr="0052260F" w:rsidRDefault="000C5687" w:rsidP="001E642B">
            <w:pPr>
              <w:spacing w:before="45" w:after="45" w:line="240" w:lineRule="auto"/>
              <w:ind w:left="57" w:right="108"/>
              <w:jc w:val="right"/>
              <w:rPr>
                <w:rFonts w:eastAsia="Times New Roman" w:cs="Open Sans"/>
                <w:b/>
                <w:bCs/>
                <w:color w:val="1D4374"/>
                <w:sz w:val="18"/>
                <w:szCs w:val="22"/>
                <w:lang w:eastAsia="en-AU"/>
              </w:rPr>
            </w:pPr>
            <w:r w:rsidRPr="0052260F">
              <w:rPr>
                <w:rFonts w:eastAsia="Times New Roman" w:cs="Open Sans"/>
                <w:b/>
                <w:bCs/>
                <w:color w:val="1D4374"/>
                <w:sz w:val="18"/>
                <w:szCs w:val="22"/>
                <w:lang w:eastAsia="en-AU"/>
              </w:rPr>
              <w:t>31.7</w:t>
            </w:r>
          </w:p>
        </w:tc>
        <w:tc>
          <w:tcPr>
            <w:tcW w:w="422" w:type="pct"/>
            <w:tcBorders>
              <w:bottom w:val="single" w:sz="4" w:space="0" w:color="BFBFBF" w:themeColor="background1" w:themeShade="BF"/>
            </w:tcBorders>
            <w:noWrap/>
          </w:tcPr>
          <w:p w14:paraId="49BF2B1C" w14:textId="77777777" w:rsidR="000C5687" w:rsidRPr="0052260F" w:rsidRDefault="000C5687" w:rsidP="001E642B">
            <w:pPr>
              <w:spacing w:before="45" w:after="45" w:line="240" w:lineRule="auto"/>
              <w:ind w:left="57" w:right="108"/>
              <w:jc w:val="right"/>
              <w:rPr>
                <w:rFonts w:eastAsia="Times New Roman" w:cs="Open Sans"/>
                <w:b/>
                <w:bCs/>
                <w:color w:val="1D4374"/>
                <w:sz w:val="18"/>
                <w:szCs w:val="22"/>
                <w:lang w:eastAsia="en-AU"/>
              </w:rPr>
            </w:pPr>
            <w:r w:rsidRPr="0052260F">
              <w:rPr>
                <w:rFonts w:eastAsia="Times New Roman" w:cs="Open Sans"/>
                <w:b/>
                <w:bCs/>
                <w:color w:val="1D4374"/>
                <w:sz w:val="18"/>
                <w:szCs w:val="22"/>
                <w:lang w:eastAsia="en-AU"/>
              </w:rPr>
              <w:noBreakHyphen/>
              <w:t>2.4</w:t>
            </w:r>
          </w:p>
        </w:tc>
        <w:tc>
          <w:tcPr>
            <w:tcW w:w="423" w:type="pct"/>
            <w:tcBorders>
              <w:bottom w:val="single" w:sz="4" w:space="0" w:color="BFBFBF" w:themeColor="background1" w:themeShade="BF"/>
            </w:tcBorders>
            <w:noWrap/>
          </w:tcPr>
          <w:p w14:paraId="45E5B25B" w14:textId="77777777" w:rsidR="000C5687" w:rsidRPr="0052260F" w:rsidRDefault="000C5687" w:rsidP="001E642B">
            <w:pPr>
              <w:spacing w:before="45" w:after="45" w:line="240" w:lineRule="auto"/>
              <w:ind w:left="57" w:right="108"/>
              <w:jc w:val="right"/>
              <w:rPr>
                <w:rFonts w:eastAsia="Times New Roman" w:cs="Open Sans"/>
                <w:b/>
                <w:bCs/>
                <w:color w:val="1D4374"/>
                <w:sz w:val="18"/>
                <w:szCs w:val="22"/>
                <w:lang w:eastAsia="en-AU"/>
              </w:rPr>
            </w:pPr>
            <w:r w:rsidRPr="0052260F">
              <w:rPr>
                <w:rFonts w:eastAsia="Times New Roman" w:cs="Open Sans"/>
                <w:b/>
                <w:bCs/>
                <w:color w:val="1D4374"/>
                <w:sz w:val="18"/>
                <w:szCs w:val="22"/>
                <w:lang w:eastAsia="en-AU"/>
              </w:rPr>
              <w:noBreakHyphen/>
              <w:t>0.7</w:t>
            </w:r>
          </w:p>
        </w:tc>
        <w:tc>
          <w:tcPr>
            <w:tcW w:w="423" w:type="pct"/>
            <w:tcBorders>
              <w:bottom w:val="single" w:sz="4" w:space="0" w:color="BFBFBF" w:themeColor="background1" w:themeShade="BF"/>
            </w:tcBorders>
            <w:noWrap/>
          </w:tcPr>
          <w:p w14:paraId="17F81717" w14:textId="77777777" w:rsidR="000C5687" w:rsidRPr="0052260F" w:rsidRDefault="000C5687" w:rsidP="001E642B">
            <w:pPr>
              <w:spacing w:before="45" w:after="45" w:line="240" w:lineRule="auto"/>
              <w:ind w:left="57" w:right="108"/>
              <w:jc w:val="right"/>
              <w:rPr>
                <w:rFonts w:eastAsia="Times New Roman" w:cs="Open Sans"/>
                <w:b/>
                <w:bCs/>
                <w:color w:val="1D4374"/>
                <w:sz w:val="18"/>
                <w:szCs w:val="22"/>
                <w:lang w:eastAsia="en-AU"/>
              </w:rPr>
            </w:pPr>
            <w:r w:rsidRPr="0052260F">
              <w:rPr>
                <w:rFonts w:eastAsia="Times New Roman" w:cs="Open Sans"/>
                <w:b/>
                <w:bCs/>
                <w:color w:val="1D4374"/>
                <w:sz w:val="18"/>
                <w:szCs w:val="22"/>
                <w:lang w:eastAsia="en-AU"/>
              </w:rPr>
              <w:noBreakHyphen/>
              <w:t>0.7</w:t>
            </w:r>
          </w:p>
        </w:tc>
        <w:tc>
          <w:tcPr>
            <w:tcW w:w="422" w:type="pct"/>
            <w:tcBorders>
              <w:bottom w:val="single" w:sz="4" w:space="0" w:color="BFBFBF" w:themeColor="background1" w:themeShade="BF"/>
            </w:tcBorders>
            <w:noWrap/>
          </w:tcPr>
          <w:p w14:paraId="239A9284" w14:textId="77777777" w:rsidR="000C5687" w:rsidRPr="0052260F" w:rsidRDefault="000C5687" w:rsidP="001E642B">
            <w:pPr>
              <w:spacing w:before="45" w:after="45" w:line="240" w:lineRule="auto"/>
              <w:ind w:left="57" w:right="108"/>
              <w:jc w:val="right"/>
              <w:rPr>
                <w:rFonts w:eastAsia="Times New Roman" w:cs="Open Sans"/>
                <w:b/>
                <w:bCs/>
                <w:color w:val="1D4374"/>
                <w:sz w:val="18"/>
                <w:szCs w:val="22"/>
                <w:lang w:eastAsia="en-AU"/>
              </w:rPr>
            </w:pPr>
            <w:r w:rsidRPr="0052260F">
              <w:rPr>
                <w:rFonts w:eastAsia="Times New Roman" w:cs="Open Sans"/>
                <w:b/>
                <w:bCs/>
                <w:color w:val="1D4374"/>
                <w:sz w:val="18"/>
                <w:szCs w:val="22"/>
                <w:lang w:eastAsia="en-AU"/>
              </w:rPr>
              <w:noBreakHyphen/>
              <w:t>0.3</w:t>
            </w:r>
          </w:p>
        </w:tc>
      </w:tr>
    </w:tbl>
    <w:p w14:paraId="4C15934F" w14:textId="77777777" w:rsidR="000C5687" w:rsidRDefault="000C5687">
      <w:pPr>
        <w:pStyle w:val="Note"/>
      </w:pPr>
      <w:r>
        <w:t xml:space="preserve">Calculated as a </w:t>
      </w:r>
      <w:r w:rsidRPr="00A04965">
        <w:t>static shock to 2024</w:t>
      </w:r>
      <w:r>
        <w:t>–</w:t>
      </w:r>
      <w:r w:rsidRPr="00A04965">
        <w:t>25 assessment data</w:t>
      </w:r>
      <w:r>
        <w:t>. The final row does not sum to zero due to rounding.</w:t>
      </w:r>
    </w:p>
    <w:p w14:paraId="72C117AF" w14:textId="77777777" w:rsidR="000C5687" w:rsidRDefault="000C5687">
      <w:pPr>
        <w:pStyle w:val="Source"/>
      </w:pPr>
      <w:r>
        <w:t>Source: PC estimates using CGC (unpublished) data.</w:t>
      </w:r>
    </w:p>
    <w:p w14:paraId="74B69A8B" w14:textId="53FCEC39" w:rsidR="000C5687" w:rsidRPr="00A91551" w:rsidRDefault="000C5687">
      <w:pPr>
        <w:pStyle w:val="FigureTableHeading"/>
      </w:pPr>
      <w:r>
        <w:t>Figure </w:t>
      </w:r>
      <w:r>
        <w:fldChar w:fldCharType="begin"/>
      </w:r>
      <w:r>
        <w:instrText>STYLEREF 1 \s</w:instrText>
      </w:r>
      <w:r>
        <w:fldChar w:fldCharType="separate"/>
      </w:r>
      <w:r w:rsidR="009C08C4">
        <w:rPr>
          <w:noProof/>
        </w:rPr>
        <w:t>2</w:t>
      </w:r>
      <w:r>
        <w:fldChar w:fldCharType="end"/>
      </w:r>
      <w:r>
        <w:t>.</w:t>
      </w:r>
      <w:r>
        <w:fldChar w:fldCharType="begin"/>
      </w:r>
      <w:r>
        <w:instrText>SEQ Figure \* ARABIC \s 1</w:instrText>
      </w:r>
      <w:r>
        <w:fldChar w:fldCharType="separate"/>
      </w:r>
      <w:r w:rsidR="009C08C4">
        <w:rPr>
          <w:noProof/>
        </w:rPr>
        <w:t>4</w:t>
      </w:r>
      <w:r>
        <w:fldChar w:fldCharType="end"/>
      </w:r>
      <w:r>
        <w:t xml:space="preserve"> – A bushfire in New South Wales can increase Western Australia’s GST revenue</w:t>
      </w:r>
    </w:p>
    <w:p w14:paraId="1C53BE02" w14:textId="77777777" w:rsidR="000C5687" w:rsidRPr="00A91551" w:rsidRDefault="000C5687">
      <w:pPr>
        <w:pStyle w:val="FigureTableSubheading"/>
      </w:pPr>
      <w:r>
        <w:t>GST impacts of a $100 million increase in New South Wales’s natural disaster expenses</w:t>
      </w:r>
    </w:p>
    <w:p w14:paraId="53AD21C6" w14:textId="77777777" w:rsidR="000C5687" w:rsidRDefault="000C5687">
      <w:pPr>
        <w:pStyle w:val="BodyText"/>
      </w:pPr>
      <w:r w:rsidRPr="00E11399">
        <w:rPr>
          <w:noProof/>
        </w:rPr>
        <w:drawing>
          <wp:inline distT="0" distB="0" distL="0" distR="0" wp14:anchorId="7858C4C6" wp14:editId="0081CD54">
            <wp:extent cx="6120130" cy="2875915"/>
            <wp:effectExtent l="0" t="0" r="0" b="0"/>
            <wp:docPr id="1262950471" name="Picture 7" descr="Figure 2.4 – A grouped bar chart showing GST impacts of a $100 million increase in NSW natural disaster expenses under the pre-2018 and current GST distribution systems. In this scenario, WA will receive relatively more GST under the current system (a $11 million reduction in GST under the pre-2018 system to a $21 million increase in GST under the current system). NSW and all other states will receive relatively less GST under the current syste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950471" name="Picture 7" descr="Figure 2.4 – A grouped bar chart showing GST impacts of a $100 million increase in NSW natural disaster expenses under the pre-2018 and current GST distribution systems. In this scenario, WA will receive relatively more GST under the current system (a $11 million reduction in GST under the pre-2018 system to a $21 million increase in GST under the current system). NSW and all other states will receive relatively less GST under the current system. "/>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120130" cy="2875915"/>
                    </a:xfrm>
                    <a:prstGeom prst="rect">
                      <a:avLst/>
                    </a:prstGeom>
                    <a:noFill/>
                    <a:ln>
                      <a:noFill/>
                    </a:ln>
                  </pic:spPr>
                </pic:pic>
              </a:graphicData>
            </a:graphic>
          </wp:inline>
        </w:drawing>
      </w:r>
    </w:p>
    <w:p w14:paraId="33F59AF9" w14:textId="77777777" w:rsidR="000C5687" w:rsidRDefault="000C5687">
      <w:pPr>
        <w:pStyle w:val="Note"/>
      </w:pPr>
      <w:r>
        <w:t xml:space="preserve">Calculated as a </w:t>
      </w:r>
      <w:r w:rsidRPr="00A04965">
        <w:t>static shock to 2024</w:t>
      </w:r>
      <w:r>
        <w:t>–</w:t>
      </w:r>
      <w:r w:rsidRPr="00A04965">
        <w:t>25 assessment data</w:t>
      </w:r>
      <w:r>
        <w:t xml:space="preserve"> (further detail is available in appendix C). </w:t>
      </w:r>
    </w:p>
    <w:p w14:paraId="70470777" w14:textId="77777777" w:rsidR="000C5687" w:rsidRDefault="000C5687">
      <w:pPr>
        <w:pStyle w:val="Source"/>
      </w:pPr>
      <w:r w:rsidRPr="00696447">
        <w:t xml:space="preserve">Source: </w:t>
      </w:r>
      <w:r>
        <w:t>PC estimates using CGC (unpublished) data</w:t>
      </w:r>
      <w:r w:rsidRPr="00696447">
        <w:t>.</w:t>
      </w:r>
    </w:p>
    <w:p w14:paraId="6FF6453B" w14:textId="77777777" w:rsidR="000C5687" w:rsidRPr="00FC6E63" w:rsidRDefault="000C5687">
      <w:pPr>
        <w:pStyle w:val="Heading4"/>
      </w:pPr>
      <w:r>
        <w:lastRenderedPageBreak/>
        <w:t xml:space="preserve">The 2018 reforms mean that Western Australia could receive additional GST revenue when its </w:t>
      </w:r>
      <w:r w:rsidRPr="00FC6E63">
        <w:t>mining revenue</w:t>
      </w:r>
      <w:r>
        <w:t xml:space="preserve"> increases</w:t>
      </w:r>
    </w:p>
    <w:p w14:paraId="55CAE2F1" w14:textId="77777777" w:rsidR="000C5687" w:rsidRDefault="000C5687">
      <w:pPr>
        <w:pStyle w:val="BodyText"/>
      </w:pPr>
      <w:r w:rsidRPr="00810E30">
        <w:t xml:space="preserve">Prior to the 2018 reforms, when </w:t>
      </w:r>
      <w:r>
        <w:t>a state’s</w:t>
      </w:r>
      <w:r w:rsidRPr="00810E30">
        <w:t xml:space="preserve"> </w:t>
      </w:r>
      <w:r>
        <w:t>assessed mining</w:t>
      </w:r>
      <w:r w:rsidRPr="00810E30">
        <w:t xml:space="preserve"> revenue increased, </w:t>
      </w:r>
      <w:r>
        <w:t xml:space="preserve">all else equal, its relative </w:t>
      </w:r>
      <w:r w:rsidRPr="00810E30">
        <w:t>fiscal capacity</w:t>
      </w:r>
      <w:r>
        <w:t xml:space="preserve"> would</w:t>
      </w:r>
      <w:r w:rsidRPr="00810E30">
        <w:t xml:space="preserve"> increase, and </w:t>
      </w:r>
      <w:r>
        <w:t>its</w:t>
      </w:r>
      <w:r w:rsidRPr="00810E30">
        <w:t xml:space="preserve"> GST share </w:t>
      </w:r>
      <w:r>
        <w:t>would</w:t>
      </w:r>
      <w:r w:rsidRPr="00810E30">
        <w:t xml:space="preserve"> decline.</w:t>
      </w:r>
      <w:r>
        <w:t xml:space="preserve"> At the same time, the relative fiscal capacity of other states would weaken, raising their assessed relativity and GST share. This was in line with the logic of HFE – as the relative fiscal strength of a state increases, the GST revenue it requires falls, and the GST revenue required by other states rises. </w:t>
      </w:r>
    </w:p>
    <w:p w14:paraId="637110CA" w14:textId="77777777" w:rsidR="000C5687" w:rsidRDefault="000C5687">
      <w:pPr>
        <w:pStyle w:val="BodyText"/>
      </w:pPr>
      <w:r>
        <w:t xml:space="preserve">However, under the new fiscal equalisation standard, any state with an assessed relativity below the standard state benchmark retains </w:t>
      </w:r>
      <w:r w:rsidRPr="007852D2">
        <w:rPr>
          <w:i/>
        </w:rPr>
        <w:t xml:space="preserve">all additional </w:t>
      </w:r>
      <w:r>
        <w:rPr>
          <w:i/>
          <w:iCs/>
        </w:rPr>
        <w:t>mining</w:t>
      </w:r>
      <w:r w:rsidRPr="00DF0B26">
        <w:rPr>
          <w:i/>
          <w:iCs/>
        </w:rPr>
        <w:t xml:space="preserve"> </w:t>
      </w:r>
      <w:r w:rsidRPr="007852D2">
        <w:rPr>
          <w:i/>
        </w:rPr>
        <w:t>revenue</w:t>
      </w:r>
      <w:r w:rsidRPr="007852D2">
        <w:t xml:space="preserve"> it generates </w:t>
      </w:r>
      <w:r>
        <w:t>– even if it is already the state with the greatest relative fiscal capacity – regardless of whether this revenue increase occurs because of higher iron ore prices, higher production volumes or the imposition of a higher royalty rate.</w:t>
      </w:r>
      <w:r w:rsidRPr="007852D2">
        <w:t xml:space="preserve"> </w:t>
      </w:r>
      <w:r>
        <w:t xml:space="preserve">This is </w:t>
      </w:r>
      <w:r w:rsidRPr="007852D2">
        <w:t xml:space="preserve">because </w:t>
      </w:r>
      <w:r>
        <w:t>it</w:t>
      </w:r>
      <w:r w:rsidRPr="007852D2">
        <w:t xml:space="preserve">s relativity cannot fall below </w:t>
      </w:r>
      <w:r>
        <w:t>that of the</w:t>
      </w:r>
      <w:r w:rsidRPr="007852D2">
        <w:t xml:space="preserve"> standard </w:t>
      </w:r>
      <w:r>
        <w:t>state’s (figure 2.1, panel 2).</w:t>
      </w:r>
    </w:p>
    <w:p w14:paraId="039DFC0A" w14:textId="77777777" w:rsidR="000C5687" w:rsidRDefault="000C5687">
      <w:pPr>
        <w:pStyle w:val="BodyText"/>
      </w:pPr>
      <w:r>
        <w:t>In fact, Western Australia could receive additional GST revenue on top of the increase in mining revenue. This could arise because an increase in Western Australia’s mining revenue would weaken the relative fiscal capacity and increase the assessed relativity of New South Wales, which currently serves as the standard state benchmark that Western Australia is brought up to. This increase in the standard state benchmark could result in Western Australia keeping the additional mining revenue while also receiving an increase in GST revenue. The extent to which this happens can vary based on what the increase in mining revenue is used for – for example, Western Australia’s share of GST revenue would grow if the additional mining revenue was used to fund reductions in payroll tax.</w:t>
      </w:r>
    </w:p>
    <w:p w14:paraId="5EDAB943" w14:textId="77777777" w:rsidR="000C5687" w:rsidRDefault="000C5687">
      <w:pPr>
        <w:pStyle w:val="BodyText"/>
      </w:pPr>
      <w:r>
        <w:t>The PC has not found any evidence that Western Australia has been the beneficiary of such perverse outcomes, and the magnitude of these outcomes is likely to be small. Nevertheless, their existence inverts the logic of HFE and risks undermining community confidence in the GST distribution system.</w:t>
      </w:r>
    </w:p>
    <w:p w14:paraId="080230EF" w14:textId="7B8AD665" w:rsidR="000C5687" w:rsidRDefault="000C5687">
      <w:pPr>
        <w:pStyle w:val="NoSpacing"/>
      </w:pPr>
    </w:p>
    <w:tbl>
      <w:tblPr>
        <w:tblStyle w:val="TableGrid"/>
        <w:tblW w:w="5000" w:type="pct"/>
        <w:tblBorders>
          <w:top w:val="single" w:sz="4" w:space="0" w:color="2B9AC2" w:themeColor="text2"/>
          <w:left w:val="single" w:sz="4" w:space="0" w:color="2B9AC2" w:themeColor="text2"/>
          <w:bottom w:val="single" w:sz="4" w:space="0" w:color="2B9AC2" w:themeColor="text2"/>
          <w:right w:val="single" w:sz="4" w:space="0" w:color="2B9AC2" w:themeColor="text2"/>
          <w:insideH w:val="none" w:sz="0" w:space="0" w:color="auto"/>
          <w:insideV w:val="none" w:sz="0" w:space="0" w:color="auto"/>
        </w:tblBorders>
        <w:tblCellMar>
          <w:bottom w:w="113" w:type="dxa"/>
        </w:tblCellMar>
        <w:tblLook w:val="04A0" w:firstRow="1" w:lastRow="0" w:firstColumn="1" w:lastColumn="0" w:noHBand="0" w:noVBand="1"/>
      </w:tblPr>
      <w:tblGrid>
        <w:gridCol w:w="705"/>
        <w:gridCol w:w="8923"/>
      </w:tblGrid>
      <w:tr w:rsidR="000C5687" w14:paraId="44170F39" w14:textId="77777777">
        <w:trPr>
          <w:trHeight w:val="765"/>
          <w:tblHeader/>
        </w:trPr>
        <w:tc>
          <w:tcPr>
            <w:tcW w:w="366" w:type="pct"/>
            <w:tcBorders>
              <w:bottom w:val="nil"/>
            </w:tcBorders>
            <w:tcMar>
              <w:bottom w:w="0" w:type="dxa"/>
            </w:tcMar>
            <w:vAlign w:val="center"/>
          </w:tcPr>
          <w:p w14:paraId="571C0263" w14:textId="77777777" w:rsidR="000C5687" w:rsidRDefault="000C5687">
            <w:pPr>
              <w:pStyle w:val="NoSpacing"/>
              <w:keepNext/>
              <w:keepLines/>
              <w:jc w:val="right"/>
            </w:pPr>
            <w:r w:rsidRPr="00A51374">
              <w:rPr>
                <w:noProof/>
              </w:rPr>
              <w:drawing>
                <wp:inline distT="0" distB="0" distL="0" distR="0" wp14:anchorId="0EAECA7D" wp14:editId="629ACF03">
                  <wp:extent cx="288000" cy="288000"/>
                  <wp:effectExtent l="0" t="0" r="0" b="0"/>
                  <wp:docPr id="997550805" name="Graphic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phic 39">
                            <a:extLst>
                              <a:ext uri="{C183D7F6-B498-43B3-948B-1728B52AA6E4}">
                                <adec:decorative xmlns:adec="http://schemas.microsoft.com/office/drawing/2017/decorative" val="1"/>
                              </a:ext>
                            </a:extLst>
                          </pic:cNvPr>
                          <pic:cNvPicPr/>
                        </pic:nvPicPr>
                        <pic:blipFill>
                          <a:blip r:embed="rId59">
                            <a:extLst>
                              <a:ext uri="{28A0092B-C50C-407E-A947-70E740481C1C}">
                                <a14:useLocalDpi xmlns:a14="http://schemas.microsoft.com/office/drawing/2010/main" val="0"/>
                              </a:ext>
                            </a:extLst>
                          </a:blip>
                          <a:stretch>
                            <a:fillRect/>
                          </a:stretch>
                        </pic:blipFill>
                        <pic:spPr>
                          <a:xfrm>
                            <a:off x="0" y="0"/>
                            <a:ext cx="288000" cy="288000"/>
                          </a:xfrm>
                          <a:prstGeom prst="rect">
                            <a:avLst/>
                          </a:prstGeom>
                        </pic:spPr>
                      </pic:pic>
                    </a:graphicData>
                  </a:graphic>
                </wp:inline>
              </w:drawing>
            </w:r>
          </w:p>
        </w:tc>
        <w:tc>
          <w:tcPr>
            <w:tcW w:w="4634" w:type="pct"/>
            <w:tcBorders>
              <w:bottom w:val="nil"/>
            </w:tcBorders>
            <w:tcMar>
              <w:bottom w:w="0" w:type="dxa"/>
            </w:tcMar>
            <w:vAlign w:val="center"/>
          </w:tcPr>
          <w:p w14:paraId="68946754" w14:textId="670866BB" w:rsidR="000C5687" w:rsidRPr="0007544C" w:rsidRDefault="000C5687">
            <w:pPr>
              <w:pStyle w:val="Findingtitle"/>
            </w:pPr>
            <w:r w:rsidRPr="0007544C">
              <w:t xml:space="preserve">Interim finding </w:t>
            </w:r>
            <w:fldSimple w:instr=" STYLEREF 1 \s ">
              <w:r w:rsidR="009C08C4">
                <w:rPr>
                  <w:noProof/>
                </w:rPr>
                <w:t>2</w:t>
              </w:r>
            </w:fldSimple>
            <w:r w:rsidRPr="0007544C">
              <w:t>.</w:t>
            </w:r>
            <w:fldSimple w:instr=" SEQ Finding \* ARABIC \s 1 ">
              <w:r w:rsidR="009C08C4">
                <w:rPr>
                  <w:noProof/>
                </w:rPr>
                <w:t>1</w:t>
              </w:r>
            </w:fldSimple>
          </w:p>
          <w:p w14:paraId="204CF9C7" w14:textId="07B2BAB2" w:rsidR="000C5687" w:rsidRPr="0007544C" w:rsidRDefault="000C5687">
            <w:pPr>
              <w:pStyle w:val="Findingtitle"/>
            </w:pPr>
            <w:r w:rsidRPr="0007544C">
              <w:t xml:space="preserve">The new fiscal equalisation standard creates perverse outcomes that invert the logic of HFE – </w:t>
            </w:r>
            <w:r w:rsidR="00FB6074">
              <w:t>i</w:t>
            </w:r>
            <w:r w:rsidRPr="0007544C">
              <w:t>t should not be an ongoing feature of the GST distribution system</w:t>
            </w:r>
          </w:p>
        </w:tc>
      </w:tr>
      <w:tr w:rsidR="000C5687" w14:paraId="4E14CEB3" w14:textId="77777777">
        <w:tc>
          <w:tcPr>
            <w:tcW w:w="5000" w:type="pct"/>
            <w:gridSpan w:val="2"/>
            <w:tcBorders>
              <w:top w:val="nil"/>
              <w:bottom w:val="single" w:sz="4" w:space="0" w:color="2B9AC2" w:themeColor="text2"/>
            </w:tcBorders>
          </w:tcPr>
          <w:p w14:paraId="43AFE5EF" w14:textId="36689363" w:rsidR="000C5687" w:rsidRPr="00FB6074" w:rsidRDefault="000C5687">
            <w:pPr>
              <w:pStyle w:val="BodyText"/>
              <w:keepLines/>
              <w:rPr>
                <w:spacing w:val="-2"/>
              </w:rPr>
            </w:pPr>
            <w:r w:rsidRPr="00FB6074">
              <w:rPr>
                <w:spacing w:val="-2"/>
              </w:rPr>
              <w:t xml:space="preserve">The new fiscal equalisation standard has introduced perverse outcomes to the GST distribution system. One example is the ability for states that have a greater fiscal capacity than the standard state (currently only Western Australia) to receive additional GST revenue following a natural disaster in New South Wales (currently the standard state). This outcome runs counter to the logic of </w:t>
            </w:r>
            <w:r w:rsidR="00E61139" w:rsidRPr="00FB6074">
              <w:rPr>
                <w:spacing w:val="-2"/>
              </w:rPr>
              <w:t>horizontal fiscal equalisation (</w:t>
            </w:r>
            <w:r w:rsidRPr="00FB6074">
              <w:rPr>
                <w:spacing w:val="-2"/>
              </w:rPr>
              <w:t>HFE</w:t>
            </w:r>
            <w:r w:rsidR="00E61139" w:rsidRPr="00FB6074">
              <w:rPr>
                <w:spacing w:val="-2"/>
              </w:rPr>
              <w:t>)</w:t>
            </w:r>
            <w:r w:rsidRPr="00FB6074">
              <w:rPr>
                <w:spacing w:val="-2"/>
              </w:rPr>
              <w:t xml:space="preserve"> and could undermine community support for the current GST distribution system.</w:t>
            </w:r>
          </w:p>
        </w:tc>
      </w:tr>
      <w:tr w:rsidR="000C5687" w14:paraId="3AA1F844" w14:textId="77777777">
        <w:tc>
          <w:tcPr>
            <w:tcW w:w="5000" w:type="pct"/>
            <w:gridSpan w:val="2"/>
            <w:tcBorders>
              <w:top w:val="single" w:sz="4" w:space="0" w:color="2B9AC2" w:themeColor="text2"/>
              <w:left w:val="nil"/>
              <w:bottom w:val="nil"/>
              <w:right w:val="nil"/>
            </w:tcBorders>
            <w:tcMar>
              <w:bottom w:w="0" w:type="dxa"/>
            </w:tcMar>
          </w:tcPr>
          <w:p w14:paraId="0F4A90CE" w14:textId="184FD6EE" w:rsidR="000C5687" w:rsidRDefault="000C5687">
            <w:pPr>
              <w:pStyle w:val="NoSpacing"/>
              <w:spacing w:line="200" w:lineRule="atLeast"/>
            </w:pPr>
          </w:p>
        </w:tc>
      </w:tr>
    </w:tbl>
    <w:p w14:paraId="72BE22D7" w14:textId="77777777" w:rsidR="000C5687" w:rsidRDefault="000C5687">
      <w:pPr>
        <w:pStyle w:val="Heading3"/>
      </w:pPr>
      <w:r>
        <w:t>The 2018 reforms have cost the Australian Government considerably more than expected</w:t>
      </w:r>
    </w:p>
    <w:p w14:paraId="034B7FA8" w14:textId="77777777" w:rsidR="000C5687" w:rsidRDefault="000C5687">
      <w:pPr>
        <w:pStyle w:val="BodyText"/>
      </w:pPr>
      <w:r>
        <w:t>The direct financial cost of the 2018 reforms for the Australian Government comprises 3 parts: transitional top</w:t>
      </w:r>
      <w:r>
        <w:noBreakHyphen/>
        <w:t>up payments (paid between 2018–19</w:t>
      </w:r>
      <w:r w:rsidRPr="00201B0D">
        <w:rPr>
          <w:rStyle w:val="FootnoteReference"/>
        </w:rPr>
        <w:footnoteReference w:id="20"/>
      </w:r>
      <w:r>
        <w:t xml:space="preserve"> and 2021–22); NoWO payments (paid </w:t>
      </w:r>
      <w:r>
        <w:lastRenderedPageBreak/>
        <w:t>since 2021–22); and the GST pool boost (paid since 2021–22). The reforms severed the longstanding nexus between the GST pool and HFE payments, as the Australian Government funds these payments from other revenue sources.</w:t>
      </w:r>
    </w:p>
    <w:p w14:paraId="026CF2BA" w14:textId="137EA6DA" w:rsidR="000C5687" w:rsidRDefault="000C5687">
      <w:pPr>
        <w:pStyle w:val="BodyText"/>
      </w:pPr>
      <w:r w:rsidRPr="00810064">
        <w:t xml:space="preserve">The reforms were initially expected to cost the </w:t>
      </w:r>
      <w:r>
        <w:t>Australian Government</w:t>
      </w:r>
      <w:r w:rsidRPr="00810064">
        <w:t xml:space="preserve"> </w:t>
      </w:r>
      <w:r>
        <w:t xml:space="preserve">a cumulative total of </w:t>
      </w:r>
      <w:r w:rsidRPr="00810064">
        <w:t>about $</w:t>
      </w:r>
      <w:r>
        <w:t>5</w:t>
      </w:r>
      <w:r w:rsidRPr="00810064">
        <w:t> billion by 2024</w:t>
      </w:r>
      <w:r>
        <w:t>–</w:t>
      </w:r>
      <w:r w:rsidRPr="00810064">
        <w:t xml:space="preserve">25 </w:t>
      </w:r>
      <w:r w:rsidR="00546FEC" w:rsidRPr="00546FEC">
        <w:rPr>
          <w:rFonts w:cs="Open Sans"/>
        </w:rPr>
        <w:t>(PC estimates using Australian Government 2018, p. 21)</w:t>
      </w:r>
      <w:r w:rsidRPr="00810064">
        <w:t>.</w:t>
      </w:r>
      <w:r>
        <w:t xml:space="preserve"> This included the cost of transitional top</w:t>
      </w:r>
      <w:r>
        <w:noBreakHyphen/>
        <w:t>up payments and the GST pool boost, but not the cost of NoWO payments (which were not anticipated to be needed).</w:t>
      </w:r>
      <w:r w:rsidRPr="00201B0D">
        <w:rPr>
          <w:rStyle w:val="FootnoteReference"/>
        </w:rPr>
        <w:footnoteReference w:id="21"/>
      </w:r>
      <w:r>
        <w:t xml:space="preserve"> However, the actual cost of the reforms so far has been significantly higher than expected (figure 2.5).</w:t>
      </w:r>
    </w:p>
    <w:p w14:paraId="28A880DF" w14:textId="5CFF31B3" w:rsidR="000C5687" w:rsidRPr="00146382" w:rsidRDefault="000C5687">
      <w:pPr>
        <w:pStyle w:val="FigureTableHeading"/>
      </w:pPr>
      <w:r>
        <w:t>Figure </w:t>
      </w:r>
      <w:r>
        <w:fldChar w:fldCharType="begin"/>
      </w:r>
      <w:r>
        <w:instrText>STYLEREF 1 \s</w:instrText>
      </w:r>
      <w:r>
        <w:fldChar w:fldCharType="separate"/>
      </w:r>
      <w:r w:rsidR="009C08C4">
        <w:rPr>
          <w:noProof/>
        </w:rPr>
        <w:t>2</w:t>
      </w:r>
      <w:r>
        <w:fldChar w:fldCharType="end"/>
      </w:r>
      <w:r>
        <w:t>.</w:t>
      </w:r>
      <w:r>
        <w:fldChar w:fldCharType="begin"/>
      </w:r>
      <w:r>
        <w:instrText>SEQ Figure \* ARABIC \s 1</w:instrText>
      </w:r>
      <w:r>
        <w:fldChar w:fldCharType="separate"/>
      </w:r>
      <w:r w:rsidR="009C08C4">
        <w:rPr>
          <w:noProof/>
        </w:rPr>
        <w:t>5</w:t>
      </w:r>
      <w:r>
        <w:fldChar w:fldCharType="end"/>
      </w:r>
      <w:r>
        <w:rPr>
          <w:noProof/>
        </w:rPr>
        <w:t xml:space="preserve"> </w:t>
      </w:r>
      <w:r>
        <w:t xml:space="preserve">– </w:t>
      </w:r>
      <w:r w:rsidRPr="00810064">
        <w:t xml:space="preserve">The cost of the 2018 reforms has been higher than </w:t>
      </w:r>
      <w:r>
        <w:t>anticipated</w:t>
      </w:r>
    </w:p>
    <w:p w14:paraId="6364B76F" w14:textId="77777777" w:rsidR="000C5687" w:rsidRPr="00146382" w:rsidRDefault="000C5687">
      <w:pPr>
        <w:pStyle w:val="FigureTableSubheading"/>
      </w:pPr>
      <w:r>
        <w:t>Annual actual and forecast costs (nominal), 2018–19 to 2024–25</w:t>
      </w:r>
    </w:p>
    <w:p w14:paraId="29DDFA03" w14:textId="77777777" w:rsidR="000C5687" w:rsidRDefault="000C5687">
      <w:pPr>
        <w:pStyle w:val="Note"/>
        <w:keepLines/>
      </w:pPr>
      <w:r w:rsidRPr="00C440E0">
        <w:rPr>
          <w:noProof/>
        </w:rPr>
        <w:drawing>
          <wp:inline distT="0" distB="0" distL="0" distR="0" wp14:anchorId="680494DF" wp14:editId="2F3D1A74">
            <wp:extent cx="6120130" cy="4311015"/>
            <wp:effectExtent l="0" t="0" r="0" b="0"/>
            <wp:docPr id="1696218963" name="Picture 8" descr="Figure 2.5 – Four line graphs comparing the actual and expected annual costs of the 2018 reforms for the Australian Government (in total and for each cost component) between 2018-19 and 2024-25. &#10;&#10;Top left panel – Total costs have been significantly higher than anticipated (over $6 billion in 2024-25 compared to an initial estimate of about $1 billion). &#10;&#10;Top right panel – Transitional top-up payments were more costly than expected (about $2 billion in 2021-22 compared to an initial estimate of less than $500 million). &#10;&#10;Bottom left panel – The cost of the GST pool boost has been broadly consistent with forecasts. &#10;&#10;Bottom right panel – NoWO payments have been significantly more costly than anticipated (over $5 billion in 2024-25 compared to an initial estimate of zer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218963" name="Picture 8" descr="Figure 2.5 – Four line graphs comparing the actual and expected annual costs of the 2018 reforms for the Australian Government (in total and for each cost component) between 2018-19 and 2024-25. &#10;&#10;Top left panel – Total costs have been significantly higher than anticipated (over $6 billion in 2024-25 compared to an initial estimate of about $1 billion). &#10;&#10;Top right panel – Transitional top-up payments were more costly than expected (about $2 billion in 2021-22 compared to an initial estimate of less than $500 million). &#10;&#10;Bottom left panel – The cost of the GST pool boost has been broadly consistent with forecasts. &#10;&#10;Bottom right panel – NoWO payments have been significantly more costly than anticipated (over $5 billion in 2024-25 compared to an initial estimate of zero). "/>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120130" cy="4311015"/>
                    </a:xfrm>
                    <a:prstGeom prst="rect">
                      <a:avLst/>
                    </a:prstGeom>
                    <a:noFill/>
                    <a:ln>
                      <a:noFill/>
                    </a:ln>
                  </pic:spPr>
                </pic:pic>
              </a:graphicData>
            </a:graphic>
          </wp:inline>
        </w:drawing>
      </w:r>
      <w:r w:rsidRPr="00734408">
        <w:t xml:space="preserve"> </w:t>
      </w:r>
      <w:r w:rsidRPr="3710EA76">
        <w:rPr>
          <w:b/>
          <w:bCs/>
        </w:rPr>
        <w:t>a. </w:t>
      </w:r>
      <w:r>
        <w:t xml:space="preserve">‘Actual’ data is from final budget outcomes, with 2024–25 being the most recent year of published data. </w:t>
      </w:r>
      <w:r>
        <w:rPr>
          <w:b/>
          <w:bCs/>
        </w:rPr>
        <w:t>b. </w:t>
      </w:r>
      <w:r w:rsidRPr="00724F8B">
        <w:t>‘</w:t>
      </w:r>
      <w:r>
        <w:t>Forecasts’ measures include data from both Budget documents and longer</w:t>
      </w:r>
      <w:r>
        <w:noBreakHyphen/>
        <w:t xml:space="preserve">term estimates from the Australian Government’s interim response to the PC’s 2018 inquiry into </w:t>
      </w:r>
      <w:r w:rsidRPr="3710EA76">
        <w:rPr>
          <w:i/>
          <w:iCs/>
        </w:rPr>
        <w:t>Horizontal Fiscal Equalisation</w:t>
      </w:r>
      <w:r>
        <w:t xml:space="preserve">. </w:t>
      </w:r>
      <w:r>
        <w:rPr>
          <w:b/>
          <w:bCs/>
        </w:rPr>
        <w:t xml:space="preserve">c. </w:t>
      </w:r>
      <w:r>
        <w:t>Transitional top</w:t>
      </w:r>
      <w:r>
        <w:noBreakHyphen/>
        <w:t>up payments appear in Budget documents from 2018–19 as Western Australia received an advance on a 2019–‍20 payment in 2018–‍‍19.</w:t>
      </w:r>
      <w:r>
        <w:rPr>
          <w:b/>
          <w:bCs/>
        </w:rPr>
        <w:t> d</w:t>
      </w:r>
      <w:r w:rsidRPr="3710EA76">
        <w:rPr>
          <w:b/>
          <w:bCs/>
        </w:rPr>
        <w:t>. </w:t>
      </w:r>
      <w:r>
        <w:t>NoWO payments are labelled as ‘HFE transition payments’ in documents.</w:t>
      </w:r>
    </w:p>
    <w:p w14:paraId="43CD1304" w14:textId="07F83498" w:rsidR="000C5687" w:rsidRDefault="000C5687">
      <w:pPr>
        <w:pStyle w:val="Source"/>
      </w:pPr>
      <w:r w:rsidRPr="00696447">
        <w:t xml:space="preserve">Source: </w:t>
      </w:r>
      <w:r w:rsidRPr="00810064">
        <w:t xml:space="preserve">Commonwealth of Australia </w:t>
      </w:r>
      <w:r w:rsidR="00546FEC" w:rsidRPr="00546FEC">
        <w:rPr>
          <w:rFonts w:cs="Open Sans"/>
        </w:rPr>
        <w:t>(2018, p. 21</w:t>
      </w:r>
      <w:r w:rsidR="00EA70BA">
        <w:rPr>
          <w:rFonts w:cs="Open Sans"/>
        </w:rPr>
        <w:t>,</w:t>
      </w:r>
      <w:r w:rsidR="00546FEC" w:rsidRPr="00546FEC">
        <w:rPr>
          <w:rFonts w:cs="Open Sans"/>
        </w:rPr>
        <w:t xml:space="preserve"> 2024a (various years), 2025 (various years))</w:t>
      </w:r>
      <w:r w:rsidRPr="00810064">
        <w:t>.</w:t>
      </w:r>
    </w:p>
    <w:p w14:paraId="2D5F56B2" w14:textId="77777777" w:rsidR="000C5687" w:rsidRDefault="000C5687">
      <w:pPr>
        <w:pStyle w:val="BodyText"/>
      </w:pPr>
      <w:r>
        <w:lastRenderedPageBreak/>
        <w:t>The reforms have cumulatively cost the Australian Government almost $23 billion to 2024–‍25 (the latest</w:t>
      </w:r>
      <w:r w:rsidRPr="002E6BEE">
        <w:t xml:space="preserve"> year of published</w:t>
      </w:r>
      <w:r>
        <w:t xml:space="preserve"> final budget outcome</w:t>
      </w:r>
      <w:r w:rsidRPr="002E6BEE">
        <w:t xml:space="preserve"> data</w:t>
      </w:r>
      <w:r>
        <w:t>), more than 4 times the initial estimated cost. This additional spending has been largely driven by iron ore prices and volumes being stronger than forecast, leading to transitional top</w:t>
      </w:r>
      <w:r>
        <w:noBreakHyphen/>
        <w:t>up payments and NoWO payments being significantly more costly than expected (box 2.2).</w:t>
      </w:r>
    </w:p>
    <w:p w14:paraId="3D8DC720" w14:textId="5EE0EDF5" w:rsidR="000C5687" w:rsidRPr="00F82BD9" w:rsidRDefault="000C5687">
      <w:pPr>
        <w:pStyle w:val="NoSpacing"/>
        <w:keepNext/>
      </w:pPr>
    </w:p>
    <w:tbl>
      <w:tblPr>
        <w:tblStyle w:val="Boxtable"/>
        <w:tblW w:w="5000" w:type="pct"/>
        <w:tblLook w:val="04A0" w:firstRow="1" w:lastRow="0" w:firstColumn="1" w:lastColumn="0" w:noHBand="0" w:noVBand="1"/>
      </w:tblPr>
      <w:tblGrid>
        <w:gridCol w:w="9638"/>
      </w:tblGrid>
      <w:tr w:rsidR="000C5687" w14:paraId="09168D56" w14:textId="77777777">
        <w:trPr>
          <w:tblHeader/>
        </w:trPr>
        <w:tc>
          <w:tcPr>
            <w:tcW w:w="9638" w:type="dxa"/>
            <w:shd w:val="clear" w:color="auto" w:fill="EBEBEB"/>
            <w:tcMar>
              <w:top w:w="170" w:type="dxa"/>
              <w:left w:w="170" w:type="dxa"/>
              <w:bottom w:w="113" w:type="dxa"/>
              <w:right w:w="170" w:type="dxa"/>
            </w:tcMar>
            <w:hideMark/>
          </w:tcPr>
          <w:p w14:paraId="031CF603" w14:textId="3C987AD5" w:rsidR="000C5687" w:rsidRDefault="000C5687">
            <w:pPr>
              <w:pStyle w:val="BoxHeading1"/>
            </w:pPr>
            <w:r>
              <w:t>Box </w:t>
            </w:r>
            <w:r>
              <w:fldChar w:fldCharType="begin"/>
            </w:r>
            <w:r>
              <w:instrText>STYLEREF 1 \s</w:instrText>
            </w:r>
            <w:r>
              <w:fldChar w:fldCharType="separate"/>
            </w:r>
            <w:r w:rsidR="009C08C4">
              <w:rPr>
                <w:noProof/>
              </w:rPr>
              <w:t>2</w:t>
            </w:r>
            <w:r>
              <w:fldChar w:fldCharType="end"/>
            </w:r>
            <w:r>
              <w:t>.</w:t>
            </w:r>
            <w:r>
              <w:fldChar w:fldCharType="begin"/>
            </w:r>
            <w:r>
              <w:instrText>SEQ Box \* ARABIC \s 1</w:instrText>
            </w:r>
            <w:r>
              <w:fldChar w:fldCharType="separate"/>
            </w:r>
            <w:r w:rsidR="009C08C4">
              <w:rPr>
                <w:noProof/>
              </w:rPr>
              <w:t>2</w:t>
            </w:r>
            <w:r>
              <w:fldChar w:fldCharType="end"/>
            </w:r>
            <w:r>
              <w:t xml:space="preserve"> – </w:t>
            </w:r>
            <w:r w:rsidRPr="00810064">
              <w:t>Transitional top</w:t>
            </w:r>
            <w:r>
              <w:noBreakHyphen/>
            </w:r>
            <w:r w:rsidRPr="00810064">
              <w:t xml:space="preserve">up and NoWO payments have cost more than </w:t>
            </w:r>
            <w:r>
              <w:t>anticipated</w:t>
            </w:r>
          </w:p>
        </w:tc>
      </w:tr>
      <w:tr w:rsidR="000C5687" w14:paraId="45D6697F" w14:textId="77777777">
        <w:tc>
          <w:tcPr>
            <w:tcW w:w="9638" w:type="dxa"/>
            <w:shd w:val="clear" w:color="auto" w:fill="EBEBEB"/>
            <w:tcMar>
              <w:top w:w="28" w:type="dxa"/>
              <w:left w:w="170" w:type="dxa"/>
              <w:bottom w:w="170" w:type="dxa"/>
              <w:right w:w="170" w:type="dxa"/>
            </w:tcMar>
            <w:hideMark/>
          </w:tcPr>
          <w:p w14:paraId="4138D138" w14:textId="015EA64A" w:rsidR="000C5687" w:rsidRPr="00731779" w:rsidRDefault="000C5687">
            <w:pPr>
              <w:pStyle w:val="BodyText"/>
            </w:pPr>
            <w:r>
              <w:t>T</w:t>
            </w:r>
            <w:r w:rsidRPr="00731779">
              <w:t xml:space="preserve">he </w:t>
            </w:r>
            <w:r>
              <w:t>Australian Government</w:t>
            </w:r>
            <w:r w:rsidRPr="00731779">
              <w:t>’s original</w:t>
            </w:r>
            <w:r>
              <w:t xml:space="preserve"> cost estimates for the 2018 reforms</w:t>
            </w:r>
            <w:r w:rsidRPr="00731779">
              <w:t xml:space="preserve"> were based </w:t>
            </w:r>
            <w:r>
              <w:t xml:space="preserve">in part </w:t>
            </w:r>
            <w:r w:rsidRPr="00731779">
              <w:t>on forecasts of relativities from the PC’s 2018 inquiry into </w:t>
            </w:r>
            <w:r w:rsidRPr="00731779">
              <w:rPr>
                <w:i/>
                <w:iCs/>
              </w:rPr>
              <w:t>Horizontal Fiscal Equalisation</w:t>
            </w:r>
            <w:r w:rsidRPr="00731779">
              <w:t> </w:t>
            </w:r>
            <w:r w:rsidRPr="00810064">
              <w:t>(Tasmanian Government 2018, p. 3; Victorian Government 2018, p. 2)</w:t>
            </w:r>
            <w:r w:rsidRPr="00731779">
              <w:t>.</w:t>
            </w:r>
            <w:r>
              <w:t xml:space="preserve"> </w:t>
            </w:r>
            <w:r w:rsidRPr="00731779">
              <w:t xml:space="preserve">The PC’s estimates were in turn derived by averaging forecast relativities provided by </w:t>
            </w:r>
            <w:r>
              <w:t>selected</w:t>
            </w:r>
            <w:r w:rsidRPr="00731779">
              <w:t xml:space="preserve"> </w:t>
            </w:r>
            <w:r>
              <w:t>s</w:t>
            </w:r>
            <w:r w:rsidRPr="00731779">
              <w:t xml:space="preserve">tate </w:t>
            </w:r>
            <w:r>
              <w:t>t</w:t>
            </w:r>
            <w:r w:rsidRPr="00731779">
              <w:t>reasuries </w:t>
            </w:r>
            <w:r w:rsidRPr="00810064">
              <w:t>(PC 2018, p. 363)</w:t>
            </w:r>
            <w:r w:rsidRPr="00731779">
              <w:t xml:space="preserve">. These estimates assumed that Western Australia’s assessed relativity would rise over the following </w:t>
            </w:r>
            <w:r>
              <w:t>years</w:t>
            </w:r>
            <w:r w:rsidRPr="00731779">
              <w:t xml:space="preserve"> (that is, that</w:t>
            </w:r>
            <w:r>
              <w:t xml:space="preserve"> the</w:t>
            </w:r>
            <w:r w:rsidRPr="00731779">
              <w:t xml:space="preserve"> </w:t>
            </w:r>
            <w:r>
              <w:t xml:space="preserve">iron ore market would weaken and </w:t>
            </w:r>
            <w:r w:rsidRPr="00731779">
              <w:t>Western Australia would be assessed as requiring a larger share of GST re</w:t>
            </w:r>
            <w:r>
              <w:t>venue</w:t>
            </w:r>
            <w:r w:rsidRPr="00731779">
              <w:t>).</w:t>
            </w:r>
          </w:p>
          <w:p w14:paraId="3BBF2BEC" w14:textId="746E0D1D" w:rsidR="000C5687" w:rsidRDefault="000C5687">
            <w:pPr>
              <w:pStyle w:val="BodyText"/>
            </w:pPr>
            <w:r>
              <w:t>However, s</w:t>
            </w:r>
            <w:r w:rsidRPr="00731779">
              <w:t xml:space="preserve">ince the introduction of the 2018 reforms, iron ore prices have remained elevated and Western Australia’s assessed relativity (or in other words, </w:t>
            </w:r>
            <w:r>
              <w:t>the state’s</w:t>
            </w:r>
            <w:r w:rsidRPr="00731779">
              <w:t xml:space="preserve"> relativity if the reforms had not been put in place) has remained lower than expected (CGC, sub. 34, p. 7). </w:t>
            </w:r>
            <w:r>
              <w:t>Consequently, although the GST pool boost has increased the amount of GST revenue available for distribution to all states, the amount of GST revenue needed to bridge the gap between Western Australia’s GST revenue under the pre</w:t>
            </w:r>
            <w:r>
              <w:noBreakHyphen/>
              <w:t xml:space="preserve">2018 and current distribution systems has been larger than expected. This has left other states worse off, requiring </w:t>
            </w:r>
            <w:r w:rsidRPr="00731779">
              <w:t xml:space="preserve">the </w:t>
            </w:r>
            <w:r>
              <w:t>Australian Government</w:t>
            </w:r>
            <w:r w:rsidRPr="00731779">
              <w:t xml:space="preserve"> to make </w:t>
            </w:r>
            <w:r>
              <w:t>NoWO</w:t>
            </w:r>
            <w:r w:rsidRPr="00731779">
              <w:t xml:space="preserve"> payments.</w:t>
            </w:r>
          </w:p>
          <w:p w14:paraId="3004DE71" w14:textId="77777777" w:rsidR="000C5687" w:rsidRPr="006A0B90" w:rsidRDefault="000C5687">
            <w:pPr>
              <w:pStyle w:val="BodyText"/>
              <w:rPr>
                <w:spacing w:val="-4"/>
              </w:rPr>
            </w:pPr>
            <w:r w:rsidRPr="006A0B90">
              <w:rPr>
                <w:spacing w:val="-4"/>
              </w:rPr>
              <w:t>Even once the need for NoWO payments was recognised in the Australian Government Budget, the continued strength of the iron ore market has meant that the magnitude of NoWO payments has been consistently underestimated. Likewise, transitional top</w:t>
            </w:r>
            <w:r w:rsidRPr="006A0B90">
              <w:rPr>
                <w:spacing w:val="-4"/>
              </w:rPr>
              <w:noBreakHyphen/>
              <w:t>up payments were more costly than expected largely because conditions in the iron ore market remained stronger than anticipated until 2021–22.</w:t>
            </w:r>
          </w:p>
        </w:tc>
      </w:tr>
      <w:tr w:rsidR="000C5687" w14:paraId="275E29C3" w14:textId="77777777">
        <w:tc>
          <w:tcPr>
            <w:tcW w:w="9638" w:type="dxa"/>
            <w:shd w:val="clear" w:color="auto" w:fill="auto"/>
            <w:tcMar>
              <w:top w:w="0" w:type="dxa"/>
              <w:left w:w="170" w:type="dxa"/>
              <w:bottom w:w="0" w:type="dxa"/>
              <w:right w:w="170" w:type="dxa"/>
            </w:tcMar>
          </w:tcPr>
          <w:p w14:paraId="4D99FBD0" w14:textId="7615B0E2" w:rsidR="000C5687" w:rsidRPr="00B44F0F" w:rsidRDefault="000C5687">
            <w:pPr>
              <w:pStyle w:val="NoSpacing"/>
              <w:keepNext/>
            </w:pPr>
          </w:p>
        </w:tc>
      </w:tr>
    </w:tbl>
    <w:p w14:paraId="6274F774" w14:textId="3B89AD32" w:rsidR="000C5687" w:rsidRDefault="000C5687">
      <w:pPr>
        <w:pStyle w:val="BodyText"/>
      </w:pPr>
      <w:r>
        <w:t>Although the Australian Government’s spending on the 2018 reforms is relatively small in the context of the wider Australian Government Budget (the cost of the reforms represented 0.8% of Australian Government expenses in 2024–25</w:t>
      </w:r>
      <w:r w:rsidRPr="00810064">
        <w:t xml:space="preserve">) </w:t>
      </w:r>
      <w:r w:rsidRPr="000929DD">
        <w:rPr>
          <w:rFonts w:cs="Open Sans"/>
        </w:rPr>
        <w:t>(PC estimates using Commonwealth of Australia 2025, pp. 4, 64, 66)</w:t>
      </w:r>
      <w:r w:rsidRPr="00810064">
        <w:t>,</w:t>
      </w:r>
      <w:r>
        <w:t xml:space="preserve"> all spending must be considered against its opportunity cost. By way of context, the $6.4 billion spent on the 2018 reforms in 2024–25 could deliver a more than $450 tax cut for each Australian taxpayer,</w:t>
      </w:r>
      <w:r w:rsidRPr="00201B0D">
        <w:rPr>
          <w:rStyle w:val="FootnoteReference"/>
        </w:rPr>
        <w:footnoteReference w:id="22"/>
      </w:r>
      <w:r>
        <w:t xml:space="preserve"> or fund an increase in JobSeeker payments to 90% of the Age Pension including </w:t>
      </w:r>
      <w:r w:rsidRPr="00810064">
        <w:t xml:space="preserve">supplements </w:t>
      </w:r>
      <w:r w:rsidRPr="00471BA9">
        <w:rPr>
          <w:rFonts w:cs="Open Sans"/>
        </w:rPr>
        <w:t>(PC</w:t>
      </w:r>
      <w:r w:rsidR="00056152">
        <w:rPr>
          <w:rFonts w:cs="Open Sans"/>
        </w:rPr>
        <w:t> </w:t>
      </w:r>
      <w:r w:rsidRPr="00471BA9">
        <w:rPr>
          <w:rFonts w:cs="Open Sans"/>
        </w:rPr>
        <w:t>estimates using Commonwealth of Australia 2024b, p. 1; Phillips 2026)</w:t>
      </w:r>
      <w:r>
        <w:t xml:space="preserve">. </w:t>
      </w:r>
    </w:p>
    <w:p w14:paraId="3C460045" w14:textId="77777777" w:rsidR="000C5687" w:rsidRDefault="000C5687">
      <w:pPr>
        <w:pStyle w:val="BodyText"/>
      </w:pPr>
      <w:r>
        <w:t xml:space="preserve">The 2018 reforms have also introduced a new source of fiscal </w:t>
      </w:r>
      <w:r w:rsidRPr="00CB4E30">
        <w:t>uncertainty</w:t>
      </w:r>
      <w:r>
        <w:rPr>
          <w:b/>
          <w:bCs/>
        </w:rPr>
        <w:t xml:space="preserve"> </w:t>
      </w:r>
      <w:r>
        <w:t>for the Australian Government, as the magnitude of NoWO payments is largely determined by external factors that are difficult to forecast and beyond the Australian Government’s direct control, such as iron ore prices. This is discussed more in chapter 3.</w:t>
      </w:r>
    </w:p>
    <w:p w14:paraId="64853CD1" w14:textId="77777777" w:rsidR="000C5687" w:rsidRDefault="000C5687">
      <w:pPr>
        <w:pStyle w:val="Heading3"/>
      </w:pPr>
      <w:r>
        <w:lastRenderedPageBreak/>
        <w:t>The 2018 reforms have had mixed impacts on states’ fiscal positions so far, while introducing significant fiscal uncertainty</w:t>
      </w:r>
    </w:p>
    <w:p w14:paraId="667B1163" w14:textId="77777777" w:rsidR="000C5687" w:rsidRDefault="000C5687">
      <w:pPr>
        <w:pStyle w:val="Heading4"/>
      </w:pPr>
      <w:r>
        <w:t>The NoWO guarantee has ensured that no state is fiscally worse off because of the reforms …</w:t>
      </w:r>
    </w:p>
    <w:p w14:paraId="1A56FFA6" w14:textId="77777777" w:rsidR="000C5687" w:rsidRDefault="000C5687">
      <w:pPr>
        <w:pStyle w:val="BodyText"/>
      </w:pPr>
      <w:r>
        <w:t xml:space="preserve">The GST pool boost that was introduced as part of the 2018 reforms was intended to make all states </w:t>
      </w:r>
      <w:r w:rsidRPr="00087893">
        <w:rPr>
          <w:i/>
          <w:iCs/>
        </w:rPr>
        <w:t>‘better off’</w:t>
      </w:r>
      <w:r>
        <w:t xml:space="preserve"> by increasing the size of the GST pool available for distribution to all states (EM 1.28)</w:t>
      </w:r>
      <w:r w:rsidRPr="00AF7E6D">
        <w:t xml:space="preserve">. </w:t>
      </w:r>
      <w:r>
        <w:t>However, this intent has not been realised: no state other than Western Australia is better off. As the pool boost has not covered the additional GST payments made to Western Australia, other states have relied on the NoWO guarantee to ensure that their GST payments have remained cumulatively equivalent to what they would have received under the pre</w:t>
      </w:r>
      <w:r>
        <w:noBreakHyphen/>
        <w:t xml:space="preserve">2018 distribution system </w:t>
      </w:r>
      <w:r w:rsidRPr="00F24161">
        <w:t>(figure</w:t>
      </w:r>
      <w:r>
        <w:t> 2.6</w:t>
      </w:r>
      <w:r w:rsidRPr="00F24161">
        <w:t>)</w:t>
      </w:r>
      <w:r>
        <w:t>.</w:t>
      </w:r>
      <w:r w:rsidRPr="00201B0D">
        <w:rPr>
          <w:rStyle w:val="FootnoteReference"/>
        </w:rPr>
        <w:footnoteReference w:id="23"/>
      </w:r>
    </w:p>
    <w:p w14:paraId="169A4060" w14:textId="6D6FFF3E" w:rsidR="000C5687" w:rsidRPr="00146382" w:rsidRDefault="000C5687">
      <w:pPr>
        <w:pStyle w:val="FigureTableHeading"/>
      </w:pPr>
      <w:r>
        <w:t>Figure </w:t>
      </w:r>
      <w:r>
        <w:fldChar w:fldCharType="begin"/>
      </w:r>
      <w:r>
        <w:instrText>STYLEREF 1 \s</w:instrText>
      </w:r>
      <w:r>
        <w:fldChar w:fldCharType="separate"/>
      </w:r>
      <w:r w:rsidR="009C08C4">
        <w:rPr>
          <w:noProof/>
        </w:rPr>
        <w:t>2</w:t>
      </w:r>
      <w:r>
        <w:fldChar w:fldCharType="end"/>
      </w:r>
      <w:r>
        <w:t>.</w:t>
      </w:r>
      <w:r>
        <w:fldChar w:fldCharType="begin"/>
      </w:r>
      <w:r>
        <w:instrText>SEQ Figure \* ARABIC \s 1</w:instrText>
      </w:r>
      <w:r>
        <w:fldChar w:fldCharType="separate"/>
      </w:r>
      <w:r w:rsidR="009C08C4">
        <w:rPr>
          <w:noProof/>
        </w:rPr>
        <w:t>6</w:t>
      </w:r>
      <w:r>
        <w:fldChar w:fldCharType="end"/>
      </w:r>
      <w:r>
        <w:rPr>
          <w:noProof/>
        </w:rPr>
        <w:t xml:space="preserve"> </w:t>
      </w:r>
      <w:r>
        <w:t xml:space="preserve">– </w:t>
      </w:r>
      <w:r w:rsidRPr="00810064">
        <w:t xml:space="preserve">The 2018 reforms have </w:t>
      </w:r>
      <w:r>
        <w:t xml:space="preserve">only </w:t>
      </w:r>
      <w:r w:rsidRPr="00810064">
        <w:t xml:space="preserve">improved Western Australia’s fiscal </w:t>
      </w:r>
      <w:r>
        <w:t>position</w:t>
      </w:r>
    </w:p>
    <w:p w14:paraId="36A457C6" w14:textId="77777777" w:rsidR="000C5687" w:rsidRDefault="000C5687">
      <w:pPr>
        <w:pStyle w:val="FigureTableSubheading"/>
        <w:keepLines/>
      </w:pPr>
      <w:r>
        <w:t>GST and related payments (nominal), 2018–19 to 2024–25</w:t>
      </w:r>
    </w:p>
    <w:p w14:paraId="59C829E9" w14:textId="77777777" w:rsidR="000C5687" w:rsidRDefault="000C5687">
      <w:pPr>
        <w:pStyle w:val="Note"/>
        <w:keepLines/>
      </w:pPr>
      <w:r w:rsidRPr="008B3FAA">
        <w:rPr>
          <w:noProof/>
        </w:rPr>
        <w:drawing>
          <wp:inline distT="0" distB="0" distL="0" distR="0" wp14:anchorId="5243C11E" wp14:editId="0C5470DF">
            <wp:extent cx="6120130" cy="3510915"/>
            <wp:effectExtent l="0" t="0" r="0" b="0"/>
            <wp:docPr id="620950455" name="Picture 9" descr="Figure 2.6 – A set of combo charts that highlight each state’s GST and related payments by year. Each state’s pre-2018 allocation is represented by a dashed line, while current GST and related payments are presented as a stacked column for each year. NoWO payments bridge the gap between non-WA states’ pre-2018 and current payments, while transitional top-up payments and changes to the calculation of GST relativities have meant that WA’s current payments exceed the hypothetical pre-2018 pay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950455" name="Picture 9" descr="Figure 2.6 – A set of combo charts that highlight each state’s GST and related payments by year. Each state’s pre-2018 allocation is represented by a dashed line, while current GST and related payments are presented as a stacked column for each year. NoWO payments bridge the gap between non-WA states’ pre-2018 and current payments, while transitional top-up payments and changes to the calculation of GST relativities have meant that WA’s current payments exceed the hypothetical pre-2018 payments."/>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120130" cy="3510915"/>
                    </a:xfrm>
                    <a:prstGeom prst="rect">
                      <a:avLst/>
                    </a:prstGeom>
                    <a:noFill/>
                    <a:ln>
                      <a:noFill/>
                    </a:ln>
                  </pic:spPr>
                </pic:pic>
              </a:graphicData>
            </a:graphic>
          </wp:inline>
        </w:drawing>
      </w:r>
      <w:r w:rsidRPr="00220C41">
        <w:t xml:space="preserve">GST </w:t>
      </w:r>
      <w:r>
        <w:t>payments</w:t>
      </w:r>
      <w:r w:rsidRPr="00220C41">
        <w:t xml:space="preserve"> under </w:t>
      </w:r>
      <w:r>
        <w:t xml:space="preserve">the </w:t>
      </w:r>
      <w:r w:rsidRPr="00220C41">
        <w:t>pre</w:t>
      </w:r>
      <w:r>
        <w:noBreakHyphen/>
      </w:r>
      <w:r w:rsidRPr="00220C41">
        <w:t xml:space="preserve">2018 </w:t>
      </w:r>
      <w:r>
        <w:t>distribution system w</w:t>
      </w:r>
      <w:r w:rsidRPr="00220C41">
        <w:t>ere calculated using the CGC’s assessed relativities</w:t>
      </w:r>
      <w:r>
        <w:t xml:space="preserve"> and</w:t>
      </w:r>
      <w:r w:rsidRPr="00220C41">
        <w:t xml:space="preserve"> applied to </w:t>
      </w:r>
      <w:r>
        <w:t>the GST pool</w:t>
      </w:r>
      <w:r w:rsidRPr="00220C41">
        <w:t xml:space="preserve"> as per </w:t>
      </w:r>
      <w:r>
        <w:t>final budget outcomes</w:t>
      </w:r>
      <w:r w:rsidRPr="00220C41">
        <w:t xml:space="preserve">. GST and </w:t>
      </w:r>
      <w:r>
        <w:t>NoWO</w:t>
      </w:r>
      <w:r w:rsidRPr="00220C41">
        <w:t xml:space="preserve"> payments reflect </w:t>
      </w:r>
      <w:r>
        <w:t>allocations</w:t>
      </w:r>
      <w:r w:rsidRPr="00220C41">
        <w:t>, not actual advances paid or year</w:t>
      </w:r>
      <w:r>
        <w:noBreakHyphen/>
      </w:r>
      <w:r w:rsidRPr="00220C41">
        <w:t>on</w:t>
      </w:r>
      <w:r>
        <w:noBreakHyphen/>
      </w:r>
      <w:r w:rsidRPr="00220C41">
        <w:t>year corrections using balancing items</w:t>
      </w:r>
      <w:r>
        <w:t>.</w:t>
      </w:r>
    </w:p>
    <w:p w14:paraId="6EFCA775" w14:textId="5FD8CE77" w:rsidR="000C5687" w:rsidRDefault="000C5687">
      <w:pPr>
        <w:pStyle w:val="Source"/>
      </w:pPr>
      <w:r w:rsidRPr="00696447">
        <w:t xml:space="preserve">Source: </w:t>
      </w:r>
      <w:r>
        <w:t xml:space="preserve">PC </w:t>
      </w:r>
      <w:r w:rsidRPr="00810064">
        <w:t>estimates using CGC (2024, p. 19) (assessed relativities) (</w:t>
      </w:r>
      <w:r>
        <w:t>various years</w:t>
      </w:r>
      <w:r w:rsidRPr="00810064">
        <w:t xml:space="preserve">); Commonwealth of Australia </w:t>
      </w:r>
      <w:r w:rsidRPr="000929DD">
        <w:rPr>
          <w:rFonts w:cs="Open Sans"/>
        </w:rPr>
        <w:t>(2025, pp. 67–68)</w:t>
      </w:r>
      <w:r w:rsidRPr="00810064">
        <w:t xml:space="preserve"> (</w:t>
      </w:r>
      <w:r>
        <w:t>current GST and NoWO payments, population, GST pool) (various years)</w:t>
      </w:r>
      <w:r w:rsidRPr="00696447">
        <w:t>.</w:t>
      </w:r>
    </w:p>
    <w:p w14:paraId="6DB12F35" w14:textId="77777777" w:rsidR="000C5687" w:rsidRDefault="000C5687">
      <w:pPr>
        <w:pStyle w:val="Heading4"/>
      </w:pPr>
      <w:r>
        <w:lastRenderedPageBreak/>
        <w:t>… while Western Australia is substantially better off</w:t>
      </w:r>
    </w:p>
    <w:p w14:paraId="416D0043" w14:textId="77777777" w:rsidR="000C5687" w:rsidRDefault="000C5687">
      <w:pPr>
        <w:pStyle w:val="BodyText"/>
      </w:pPr>
      <w:r>
        <w:t>For Western Australia, the</w:t>
      </w:r>
      <w:r w:rsidRPr="00F24161">
        <w:t xml:space="preserve"> 2018 reforms ha</w:t>
      </w:r>
      <w:r>
        <w:t>ve</w:t>
      </w:r>
      <w:r w:rsidRPr="00F24161">
        <w:t> </w:t>
      </w:r>
      <w:r>
        <w:t xml:space="preserve">increased its GST </w:t>
      </w:r>
      <w:r w:rsidRPr="00F24161">
        <w:t xml:space="preserve">payments relative to </w:t>
      </w:r>
      <w:r>
        <w:t>the pre</w:t>
      </w:r>
      <w:r>
        <w:noBreakHyphen/>
        <w:t>2018 distribution system (figure 2.6).</w:t>
      </w:r>
      <w:r w:rsidRPr="00F24161">
        <w:t xml:space="preserve"> </w:t>
      </w:r>
      <w:r>
        <w:t>The state received just under $5 billion in transitional top</w:t>
      </w:r>
      <w:r>
        <w:noBreakHyphen/>
        <w:t xml:space="preserve">up payments between </w:t>
      </w:r>
      <w:r w:rsidRPr="00F24161">
        <w:t>2018</w:t>
      </w:r>
      <w:r>
        <w:t>–</w:t>
      </w:r>
      <w:r w:rsidRPr="00F24161">
        <w:t>19 and 2021</w:t>
      </w:r>
      <w:r>
        <w:t>–</w:t>
      </w:r>
      <w:r w:rsidRPr="00F24161">
        <w:t>22</w:t>
      </w:r>
      <w:r>
        <w:t xml:space="preserve">. In addition, changes to Western Australia’s GST </w:t>
      </w:r>
      <w:r w:rsidRPr="00F24161">
        <w:t>relativit</w:t>
      </w:r>
      <w:r>
        <w:t xml:space="preserve">ies as a result of the 2018 reforms have increased its GST revenue by approximately </w:t>
      </w:r>
      <w:r w:rsidRPr="00F24161">
        <w:t>$</w:t>
      </w:r>
      <w:r>
        <w:t>17</w:t>
      </w:r>
      <w:r w:rsidRPr="00F24161">
        <w:t>.4</w:t>
      </w:r>
      <w:r>
        <w:t> </w:t>
      </w:r>
      <w:r w:rsidRPr="00F24161">
        <w:t>b</w:t>
      </w:r>
      <w:r>
        <w:t>illion between 2021–22 and 2024–25, compared with what it would have received under the</w:t>
      </w:r>
      <w:r w:rsidRPr="00F24161">
        <w:t xml:space="preserve"> </w:t>
      </w:r>
      <w:r>
        <w:t>pre</w:t>
      </w:r>
      <w:r>
        <w:noBreakHyphen/>
        <w:t>2018 distribution system</w:t>
      </w:r>
      <w:r w:rsidRPr="00F24161">
        <w:t>.</w:t>
      </w:r>
    </w:p>
    <w:p w14:paraId="0DAFD57F" w14:textId="0C216FD3" w:rsidR="000C5687" w:rsidRDefault="000C5687">
      <w:pPr>
        <w:pStyle w:val="BodyText"/>
      </w:pPr>
      <w:r>
        <w:t>Part of this $17.</w:t>
      </w:r>
      <w:r w:rsidRPr="007111E6">
        <w:t>4</w:t>
      </w:r>
      <w:r>
        <w:t xml:space="preserve"> billion has been funded through the GST pool boost. </w:t>
      </w:r>
      <w:r w:rsidR="0041653A">
        <w:t>I</w:t>
      </w:r>
      <w:r>
        <w:t>n practice</w:t>
      </w:r>
      <w:r w:rsidR="0041653A">
        <w:t xml:space="preserve">, the pool boost </w:t>
      </w:r>
      <w:r>
        <w:t>only benefits states not receiving NoWO payments – to date, only Western Australia has benefited from the additional revenue. B</w:t>
      </w:r>
      <w:r w:rsidRPr="00214EF4">
        <w:t xml:space="preserve">ecause the 2018 reforms </w:t>
      </w:r>
      <w:r>
        <w:t xml:space="preserve">have </w:t>
      </w:r>
      <w:r w:rsidRPr="00214EF4">
        <w:t>increase</w:t>
      </w:r>
      <w:r>
        <w:t>d</w:t>
      </w:r>
      <w:r w:rsidRPr="00214EF4">
        <w:t xml:space="preserve"> Western Australia’s GST </w:t>
      </w:r>
      <w:r>
        <w:t>payments</w:t>
      </w:r>
      <w:r w:rsidRPr="00214EF4">
        <w:t xml:space="preserve"> relative to the pre</w:t>
      </w:r>
      <w:r>
        <w:noBreakHyphen/>
        <w:t>2018</w:t>
      </w:r>
      <w:r w:rsidRPr="00214EF4">
        <w:t xml:space="preserve"> system, the pool boost forms part of the </w:t>
      </w:r>
      <w:r>
        <w:t>Australian Government’s</w:t>
      </w:r>
      <w:r w:rsidRPr="00214EF4">
        <w:t xml:space="preserve"> cost of f</w:t>
      </w:r>
      <w:r>
        <w:t>unding</w:t>
      </w:r>
      <w:r w:rsidRPr="00214EF4">
        <w:t xml:space="preserve"> Western Australia’s improved </w:t>
      </w:r>
      <w:r>
        <w:t xml:space="preserve">fiscal </w:t>
      </w:r>
      <w:r w:rsidRPr="00214EF4">
        <w:t>position.</w:t>
      </w:r>
      <w:r>
        <w:t xml:space="preserve"> The distribution of the pool boost between states is discussed in detail in chapter 3. The remainder of the additional GST payments have been funded out of the GST payments of other states – with these reductions in states’ payments offset by NoWO payments. Without the NoWO guarantee, other states’ GST payments would have fallen to offset the additional payments to Western Australia.</w:t>
      </w:r>
    </w:p>
    <w:p w14:paraId="2D9E23BB" w14:textId="77777777" w:rsidR="000C5687" w:rsidRDefault="000C5687">
      <w:pPr>
        <w:pStyle w:val="BodyText"/>
      </w:pPr>
      <w:r>
        <w:t xml:space="preserve">Every state other than Western Australia agreed </w:t>
      </w:r>
      <w:r w:rsidRPr="00F24161">
        <w:t xml:space="preserve">that the reforms have improved Western Australia’s relative </w:t>
      </w:r>
      <w:r>
        <w:t xml:space="preserve">fiscal </w:t>
      </w:r>
      <w:r w:rsidRPr="00F24161">
        <w:t>capacity</w:t>
      </w:r>
      <w:r>
        <w:t>.</w:t>
      </w:r>
      <w:r w:rsidRPr="00201B0D">
        <w:rPr>
          <w:rStyle w:val="FootnoteReference"/>
        </w:rPr>
        <w:footnoteReference w:id="24"/>
      </w:r>
      <w:r w:rsidRPr="00F24161">
        <w:t xml:space="preserve"> </w:t>
      </w:r>
      <w:r>
        <w:t>These states submitted that the current system provides</w:t>
      </w:r>
      <w:r w:rsidRPr="00F24161">
        <w:t xml:space="preserve"> W</w:t>
      </w:r>
      <w:r>
        <w:t>estern Australia with</w:t>
      </w:r>
      <w:r w:rsidRPr="00F24161">
        <w:t xml:space="preserve"> greater relative capacity to fund services, reduce taxes or debt</w:t>
      </w:r>
      <w:r>
        <w:t>,</w:t>
      </w:r>
      <w:r w:rsidRPr="00F24161">
        <w:t xml:space="preserve"> and support stronger growth</w:t>
      </w:r>
      <w:r>
        <w:t xml:space="preserve">, and that </w:t>
      </w:r>
      <w:r w:rsidRPr="00F24161">
        <w:t>this will create an economic gap between Western Australia and other states</w:t>
      </w:r>
      <w:r>
        <w:t xml:space="preserve"> over time (Government of South Australia, sub. 13, p. 9</w:t>
      </w:r>
      <w:r w:rsidRPr="00F24161">
        <w:t>; N</w:t>
      </w:r>
      <w:r>
        <w:t xml:space="preserve">orthern </w:t>
      </w:r>
      <w:r w:rsidRPr="00F24161">
        <w:t>T</w:t>
      </w:r>
      <w:r>
        <w:t>erritory Department of Treasury and Finance, sub. 39, p. 8</w:t>
      </w:r>
      <w:r w:rsidRPr="00F24161">
        <w:t>; Tas</w:t>
      </w:r>
      <w:r>
        <w:t>manian Government, sub. 48, pp. </w:t>
      </w:r>
      <w:r w:rsidRPr="00F24161">
        <w:t>7,</w:t>
      </w:r>
      <w:r>
        <w:t> </w:t>
      </w:r>
      <w:r w:rsidRPr="00F24161">
        <w:t>10</w:t>
      </w:r>
      <w:r>
        <w:t xml:space="preserve">). </w:t>
      </w:r>
    </w:p>
    <w:p w14:paraId="26CD986C" w14:textId="13DBD167" w:rsidR="000C5687" w:rsidRDefault="000C5687">
      <w:pPr>
        <w:pStyle w:val="BodyText"/>
      </w:pPr>
      <w:r>
        <w:t>By contrast, the Government of Western Australia stated that the additional GST revenue from the 2018 reforms has supported investment that benefits the national economy through flow</w:t>
      </w:r>
      <w:r>
        <w:noBreakHyphen/>
        <w:t xml:space="preserve">on effects on interstate supply chains and higher Australian Government tax receipts (sub. 37, p. 73). The PC also notes that between 2018–19 and 2024–25, the combined real net debt of all states other than Western Australia rose by more than 200% ($129 billion to $425 billion), while Western Australia’s net debt levels </w:t>
      </w:r>
      <w:r w:rsidRPr="00011B27">
        <w:t>fell</w:t>
      </w:r>
      <w:r>
        <w:t xml:space="preserve"> by 32% ($50 billion to $34 billion) </w:t>
      </w:r>
      <w:r w:rsidR="00546FEC" w:rsidRPr="00546FEC">
        <w:rPr>
          <w:rFonts w:cs="Open Sans"/>
        </w:rPr>
        <w:t>(PC estimates using ABS 2026a)</w:t>
      </w:r>
      <w:r>
        <w:t xml:space="preserve">. </w:t>
      </w:r>
    </w:p>
    <w:p w14:paraId="385D38C2" w14:textId="77777777" w:rsidR="000C5687" w:rsidRDefault="000C5687">
      <w:pPr>
        <w:pStyle w:val="BodyText"/>
      </w:pPr>
      <w:r>
        <w:t xml:space="preserve">The fundamental purpose of HFE is supporting states to deliver a </w:t>
      </w:r>
      <w:r w:rsidRPr="00011B27">
        <w:t>similar</w:t>
      </w:r>
      <w:r>
        <w:t xml:space="preserve"> standard of </w:t>
      </w:r>
      <w:r w:rsidRPr="00BC2AFF">
        <w:t>services and infrastructure</w:t>
      </w:r>
      <w:r>
        <w:t xml:space="preserve"> (assuming states make</w:t>
      </w:r>
      <w:r w:rsidRPr="00BC2AFF">
        <w:t xml:space="preserve"> the same effort to raise own</w:t>
      </w:r>
      <w:r>
        <w:noBreakHyphen/>
      </w:r>
      <w:r w:rsidRPr="00BC2AFF">
        <w:t>source revenue and operate at the average level of efficiency</w:t>
      </w:r>
      <w:r>
        <w:t>), not promoting economic investment or superior fiscal conditions in a single state.</w:t>
      </w:r>
      <w:r w:rsidRPr="00BC2AFF">
        <w:t xml:space="preserve"> </w:t>
      </w:r>
      <w:r>
        <w:t>If the Australian Government sees merit in providing additional funds to a state beyond what is needed for HFE, this can be delivered more transparently through payments made outside of the GST distribution system.</w:t>
      </w:r>
    </w:p>
    <w:p w14:paraId="6B5735ED" w14:textId="77777777" w:rsidR="000C5687" w:rsidRPr="0029130C" w:rsidRDefault="000C5687">
      <w:pPr>
        <w:pStyle w:val="BodyText"/>
      </w:pPr>
      <w:r>
        <w:t>In particular, if state activity generates material, uncompensated, policy relevant fiscal spillovers to the Australian Government and there is evidence that in the absence of payments, the state’s activity would be inefficiently low, there is a straightforward policy solution available: the Australian Government can subsidise these activities directly, in a way that reflects the economic characteristics and magnitude of the spillover. There is ample precedent for this, including National Competition Policy payments.</w:t>
      </w:r>
    </w:p>
    <w:p w14:paraId="0BBCC1EF" w14:textId="77777777" w:rsidR="000C5687" w:rsidRDefault="000C5687">
      <w:pPr>
        <w:pStyle w:val="Heading4"/>
      </w:pPr>
      <w:r>
        <w:lastRenderedPageBreak/>
        <w:t>The reforms have had a mixed impact on volatility for states …</w:t>
      </w:r>
    </w:p>
    <w:p w14:paraId="6368929D" w14:textId="77777777" w:rsidR="000C5687" w:rsidRDefault="000C5687">
      <w:pPr>
        <w:pStyle w:val="BodyText"/>
      </w:pPr>
      <w:r>
        <w:t>The 2018 reforms changed the way relativities are calculated and therefore have the potential to impact the volatility of GST payments to individual states. Comparing states’ (theoretical) relativities under the pre</w:t>
      </w:r>
      <w:r>
        <w:noBreakHyphen/>
        <w:t>2018 and current distribution systems between 2001–02 to 2024–25 highlights that the 2018 reforms have had little effect on year</w:t>
      </w:r>
      <w:r>
        <w:noBreakHyphen/>
        <w:t>on</w:t>
      </w:r>
      <w:r>
        <w:noBreakHyphen/>
        <w:t>year volatility, except in Western Australia, where volatility is noticeably reduced (box 2.3; figure 2.7).</w:t>
      </w:r>
      <w:r w:rsidRPr="00201B0D">
        <w:rPr>
          <w:rStyle w:val="FootnoteReference"/>
        </w:rPr>
        <w:footnoteReference w:id="25"/>
      </w:r>
      <w:r>
        <w:t xml:space="preserve"> For the other states, changes are minimal.</w:t>
      </w:r>
    </w:p>
    <w:p w14:paraId="3DCD71FE" w14:textId="2EA6C769" w:rsidR="000C5687" w:rsidRPr="00146382" w:rsidRDefault="000C5687">
      <w:pPr>
        <w:pStyle w:val="FigureTableHeading"/>
      </w:pPr>
      <w:r>
        <w:t>Figure </w:t>
      </w:r>
      <w:r>
        <w:fldChar w:fldCharType="begin"/>
      </w:r>
      <w:r>
        <w:instrText>STYLEREF 1 \s</w:instrText>
      </w:r>
      <w:r>
        <w:fldChar w:fldCharType="separate"/>
      </w:r>
      <w:r w:rsidR="009C08C4">
        <w:rPr>
          <w:noProof/>
        </w:rPr>
        <w:t>2</w:t>
      </w:r>
      <w:r>
        <w:fldChar w:fldCharType="end"/>
      </w:r>
      <w:r>
        <w:t>.</w:t>
      </w:r>
      <w:r>
        <w:fldChar w:fldCharType="begin"/>
      </w:r>
      <w:r>
        <w:instrText>SEQ Figure \* ARABIC \s 1</w:instrText>
      </w:r>
      <w:r>
        <w:fldChar w:fldCharType="separate"/>
      </w:r>
      <w:r w:rsidR="009C08C4">
        <w:rPr>
          <w:noProof/>
        </w:rPr>
        <w:t>7</w:t>
      </w:r>
      <w:r>
        <w:fldChar w:fldCharType="end"/>
      </w:r>
      <w:r>
        <w:rPr>
          <w:noProof/>
        </w:rPr>
        <w:t xml:space="preserve"> </w:t>
      </w:r>
      <w:r>
        <w:t>– The 2018 reforms have had a mixed impact on volatility</w:t>
      </w:r>
    </w:p>
    <w:p w14:paraId="0D9AF8C4" w14:textId="77777777" w:rsidR="000C5687" w:rsidRDefault="000C5687">
      <w:pPr>
        <w:pStyle w:val="FigureTableSubheading"/>
        <w:keepLines/>
      </w:pPr>
      <w:r>
        <w:t>Pre</w:t>
      </w:r>
      <w:r>
        <w:noBreakHyphen/>
        <w:t>2018 and current system year</w:t>
      </w:r>
      <w:r>
        <w:noBreakHyphen/>
        <w:t>on</w:t>
      </w:r>
      <w:r>
        <w:noBreakHyphen/>
        <w:t>year volatility in relativities, 2001–02 to 2024–25</w:t>
      </w:r>
    </w:p>
    <w:p w14:paraId="0D46225E" w14:textId="77777777" w:rsidR="000C5687" w:rsidRDefault="000C5687">
      <w:pPr>
        <w:pStyle w:val="Note"/>
        <w:keepLines/>
      </w:pPr>
      <w:r w:rsidRPr="00D57B94">
        <w:rPr>
          <w:noProof/>
        </w:rPr>
        <w:drawing>
          <wp:inline distT="0" distB="0" distL="0" distR="0" wp14:anchorId="1E7ACDBE" wp14:editId="49938286">
            <wp:extent cx="6120130" cy="2983230"/>
            <wp:effectExtent l="0" t="0" r="0" b="0"/>
            <wp:docPr id="102878838" name="Picture 4" descr="Figure 2.7 – A box and whisker chart comparing the spread of each state’s GST relativities under the pre-2018 and current distribution systems. The reforms have had minimal impact on volatility except in WA, where volatility is noticeably reduced. Volatility is significantly higher in the NT compared to other sta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78838" name="Picture 4" descr="Figure 2.7 – A box and whisker chart comparing the spread of each state’s GST relativities under the pre-2018 and current distribution systems. The reforms have had minimal impact on volatility except in WA, where volatility is noticeably reduced. Volatility is significantly higher in the NT compared to other states. "/>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120130" cy="2983230"/>
                    </a:xfrm>
                    <a:prstGeom prst="rect">
                      <a:avLst/>
                    </a:prstGeom>
                    <a:noFill/>
                    <a:ln>
                      <a:noFill/>
                    </a:ln>
                  </pic:spPr>
                </pic:pic>
              </a:graphicData>
            </a:graphic>
          </wp:inline>
        </w:drawing>
      </w:r>
      <w:r w:rsidRPr="00A61E56">
        <w:t xml:space="preserve"> </w:t>
      </w:r>
    </w:p>
    <w:p w14:paraId="56A1153D" w14:textId="77777777" w:rsidR="000C5687" w:rsidRDefault="000C5687">
      <w:pPr>
        <w:pStyle w:val="Note"/>
        <w:keepLines/>
      </w:pPr>
      <w:r>
        <w:t>‘</w:t>
      </w:r>
      <w:r w:rsidRPr="002F1007">
        <w:t>Pre</w:t>
      </w:r>
      <w:r w:rsidRPr="002F1007">
        <w:noBreakHyphen/>
        <w:t>2018</w:t>
      </w:r>
      <w:r>
        <w:t xml:space="preserve">’ </w:t>
      </w:r>
      <w:r w:rsidRPr="002F1007">
        <w:t>refers to assessed relativities</w:t>
      </w:r>
      <w:r>
        <w:t xml:space="preserve">. ‘Current’ </w:t>
      </w:r>
      <w:r w:rsidRPr="002F1007">
        <w:t>refers to standard state</w:t>
      </w:r>
      <w:r>
        <w:t xml:space="preserve"> (not blended)</w:t>
      </w:r>
      <w:r w:rsidRPr="002F1007">
        <w:t xml:space="preserve"> relativities.</w:t>
      </w:r>
      <w:r>
        <w:t xml:space="preserve"> Year</w:t>
      </w:r>
      <w:r>
        <w:noBreakHyphen/>
        <w:t>on</w:t>
      </w:r>
      <w:r>
        <w:noBreakHyphen/>
        <w:t>year volatility in relativities is the change in relativities each year (for example, relativities of 0.8 in 2023–24 and 0.9 in 2024–25 would create year</w:t>
      </w:r>
      <w:r>
        <w:noBreakHyphen/>
        <w:t>on</w:t>
      </w:r>
      <w:r>
        <w:noBreakHyphen/>
        <w:t>year volatility of 0.1). This analysis does not account for NoWO payments.</w:t>
      </w:r>
    </w:p>
    <w:p w14:paraId="7CB89BA0" w14:textId="77777777" w:rsidR="000C5687" w:rsidRDefault="000C5687">
      <w:pPr>
        <w:pStyle w:val="Source"/>
      </w:pPr>
      <w:r w:rsidRPr="00696447">
        <w:t xml:space="preserve">Source: </w:t>
      </w:r>
      <w:r>
        <w:t>PC estimates using CGC (unpublished) data</w:t>
      </w:r>
      <w:r w:rsidRPr="00696447">
        <w:t>.</w:t>
      </w:r>
    </w:p>
    <w:p w14:paraId="51373A7E" w14:textId="6054ABCA" w:rsidR="000C5687" w:rsidRDefault="000C5687">
      <w:pPr>
        <w:pStyle w:val="BodyText"/>
      </w:pPr>
      <w:r>
        <w:t xml:space="preserve">However, it is important to note that the reduction in revenue volatility for Western Australia has come at the direct expense of the Australian Government, and therefore at the expense of citizens from </w:t>
      </w:r>
      <w:r w:rsidDel="000E6560">
        <w:t>all</w:t>
      </w:r>
      <w:r w:rsidDel="00721492">
        <w:t xml:space="preserve"> </w:t>
      </w:r>
      <w:r>
        <w:t>states. Consequently,</w:t>
      </w:r>
      <w:r w:rsidR="00D01C19">
        <w:t xml:space="preserve"> the cost of</w:t>
      </w:r>
      <w:r>
        <w:t xml:space="preserve"> revenue volatility has not been eliminated; it has merely been shifted and spread between governments.</w:t>
      </w:r>
      <w:r w:rsidRPr="00201B0D">
        <w:rPr>
          <w:rStyle w:val="FootnoteReference"/>
        </w:rPr>
        <w:footnoteReference w:id="26"/>
      </w:r>
      <w:r w:rsidDel="000E6560">
        <w:t xml:space="preserve"> </w:t>
      </w:r>
    </w:p>
    <w:p w14:paraId="4ECBC6DE" w14:textId="77777777" w:rsidR="000C5687" w:rsidRPr="00357E80" w:rsidRDefault="000C5687">
      <w:pPr>
        <w:pStyle w:val="BodyText"/>
        <w:rPr>
          <w:spacing w:val="-2"/>
        </w:rPr>
      </w:pPr>
      <w:r w:rsidRPr="00357E80">
        <w:rPr>
          <w:spacing w:val="-2"/>
        </w:rPr>
        <w:t>Chapter 3 includes a broader assessment of volatility in the GST distribution system – including using other measures to assess the volatility of GST distribution systems that incorporate the NoWO guarantee.</w:t>
      </w:r>
    </w:p>
    <w:p w14:paraId="7A991D58" w14:textId="793E4130" w:rsidR="000C5687" w:rsidRPr="00357E80" w:rsidRDefault="000C5687" w:rsidP="00357E80">
      <w:pPr>
        <w:pStyle w:val="NoSpacing"/>
      </w:pPr>
    </w:p>
    <w:tbl>
      <w:tblPr>
        <w:tblStyle w:val="Boxtable"/>
        <w:tblW w:w="5000" w:type="pct"/>
        <w:tblLook w:val="04A0" w:firstRow="1" w:lastRow="0" w:firstColumn="1" w:lastColumn="0" w:noHBand="0" w:noVBand="1"/>
      </w:tblPr>
      <w:tblGrid>
        <w:gridCol w:w="9638"/>
      </w:tblGrid>
      <w:tr w:rsidR="000C5687" w14:paraId="445DB57E" w14:textId="77777777">
        <w:trPr>
          <w:tblHeader/>
        </w:trPr>
        <w:tc>
          <w:tcPr>
            <w:tcW w:w="9638" w:type="dxa"/>
            <w:shd w:val="clear" w:color="auto" w:fill="EBEBEB"/>
            <w:tcMar>
              <w:top w:w="170" w:type="dxa"/>
              <w:left w:w="170" w:type="dxa"/>
              <w:bottom w:w="113" w:type="dxa"/>
              <w:right w:w="170" w:type="dxa"/>
            </w:tcMar>
            <w:hideMark/>
          </w:tcPr>
          <w:p w14:paraId="5F07ABFB" w14:textId="11039225" w:rsidR="000C5687" w:rsidRDefault="000C5687">
            <w:pPr>
              <w:pStyle w:val="BoxHeading1"/>
            </w:pPr>
            <w:r>
              <w:lastRenderedPageBreak/>
              <w:t>Box </w:t>
            </w:r>
            <w:r>
              <w:fldChar w:fldCharType="begin"/>
            </w:r>
            <w:r>
              <w:instrText>STYLEREF 1 \s</w:instrText>
            </w:r>
            <w:r>
              <w:fldChar w:fldCharType="separate"/>
            </w:r>
            <w:r w:rsidR="009C08C4">
              <w:rPr>
                <w:noProof/>
              </w:rPr>
              <w:t>2</w:t>
            </w:r>
            <w:r>
              <w:fldChar w:fldCharType="end"/>
            </w:r>
            <w:r>
              <w:t>.</w:t>
            </w:r>
            <w:r>
              <w:fldChar w:fldCharType="begin"/>
            </w:r>
            <w:r>
              <w:instrText>SEQ Box \* ARABIC \s 1</w:instrText>
            </w:r>
            <w:r>
              <w:fldChar w:fldCharType="separate"/>
            </w:r>
            <w:r w:rsidR="009C08C4">
              <w:rPr>
                <w:noProof/>
              </w:rPr>
              <w:t>3</w:t>
            </w:r>
            <w:r>
              <w:fldChar w:fldCharType="end"/>
            </w:r>
            <w:r>
              <w:t xml:space="preserve"> – Assessing the volatility</w:t>
            </w:r>
            <w:r>
              <w:noBreakHyphen/>
              <w:t>related impacts of the 2018 reforms</w:t>
            </w:r>
          </w:p>
        </w:tc>
      </w:tr>
      <w:tr w:rsidR="000C5687" w14:paraId="13117FAB" w14:textId="77777777">
        <w:tc>
          <w:tcPr>
            <w:tcW w:w="9638" w:type="dxa"/>
            <w:shd w:val="clear" w:color="auto" w:fill="EBEBEB"/>
            <w:tcMar>
              <w:top w:w="28" w:type="dxa"/>
              <w:left w:w="170" w:type="dxa"/>
              <w:bottom w:w="170" w:type="dxa"/>
              <w:right w:w="170" w:type="dxa"/>
            </w:tcMar>
            <w:hideMark/>
          </w:tcPr>
          <w:p w14:paraId="5A087F89" w14:textId="77777777" w:rsidR="000C5687" w:rsidRDefault="000C5687">
            <w:pPr>
              <w:pStyle w:val="BodyText"/>
            </w:pPr>
            <w:r>
              <w:t>Inquiry participants held diverse views on how to best assess the volatility</w:t>
            </w:r>
            <w:r>
              <w:noBreakHyphen/>
              <w:t xml:space="preserve">related impacts of the 2018 reforms. </w:t>
            </w:r>
            <w:r w:rsidRPr="004927B4">
              <w:t>It is difficult to isolate the</w:t>
            </w:r>
            <w:r>
              <w:t>se</w:t>
            </w:r>
            <w:r w:rsidRPr="004927B4">
              <w:t xml:space="preserve"> impacts using </w:t>
            </w:r>
            <w:r w:rsidRPr="00E52998">
              <w:rPr>
                <w:i/>
                <w:iCs/>
              </w:rPr>
              <w:t>actual GST relativities</w:t>
            </w:r>
            <w:r w:rsidRPr="004927B4">
              <w:t>, as</w:t>
            </w:r>
            <w:r>
              <w:t xml:space="preserve"> throughout the transition period,</w:t>
            </w:r>
            <w:r w:rsidRPr="004927B4">
              <w:t xml:space="preserve"> relativities have been calculated using a blend of the pre</w:t>
            </w:r>
            <w:r w:rsidRPr="004927B4">
              <w:rPr>
                <w:rFonts w:ascii="Cambria Math" w:hAnsi="Cambria Math" w:cs="Cambria Math"/>
              </w:rPr>
              <w:t>‑</w:t>
            </w:r>
            <w:r w:rsidRPr="004927B4">
              <w:t xml:space="preserve">2018 and </w:t>
            </w:r>
            <w:r>
              <w:t>current</w:t>
            </w:r>
            <w:r w:rsidRPr="004927B4">
              <w:t xml:space="preserve"> methodologies. It is also difficult to identify volatility impacts using </w:t>
            </w:r>
            <w:r w:rsidRPr="00E52998">
              <w:rPr>
                <w:i/>
                <w:iCs/>
              </w:rPr>
              <w:t xml:space="preserve">GST </w:t>
            </w:r>
            <w:r w:rsidRPr="00AE2DA9">
              <w:rPr>
                <w:i/>
                <w:iCs/>
              </w:rPr>
              <w:t>payments</w:t>
            </w:r>
            <w:r w:rsidRPr="004927B4">
              <w:t>, as payments are affected by factors external to the impact of the 2018 reforms, such as the size of the GST pool and population changes.</w:t>
            </w:r>
            <w:r>
              <w:t xml:space="preserve"> </w:t>
            </w:r>
            <w:r w:rsidRPr="003A396C">
              <w:t xml:space="preserve">Consequently, the PC has chosen to assess the volatility impacts of the 2018 reforms using </w:t>
            </w:r>
            <w:r w:rsidRPr="00D61FA7">
              <w:rPr>
                <w:i/>
                <w:iCs/>
              </w:rPr>
              <w:t>theoretical relativities</w:t>
            </w:r>
            <w:r w:rsidRPr="003A396C">
              <w:t>: comparing states’ pre</w:t>
            </w:r>
            <w:r w:rsidRPr="003A396C">
              <w:rPr>
                <w:rFonts w:ascii="Cambria Math" w:hAnsi="Cambria Math" w:cs="Cambria Math"/>
              </w:rPr>
              <w:t>‑</w:t>
            </w:r>
            <w:r w:rsidRPr="003A396C">
              <w:t>2018</w:t>
            </w:r>
            <w:r>
              <w:t xml:space="preserve"> (assessed)</w:t>
            </w:r>
            <w:r w:rsidRPr="003A396C">
              <w:t xml:space="preserve"> relativities to </w:t>
            </w:r>
            <w:r>
              <w:t>current</w:t>
            </w:r>
            <w:r w:rsidRPr="003A396C">
              <w:t xml:space="preserve"> </w:t>
            </w:r>
            <w:r>
              <w:t xml:space="preserve">(standard state) </w:t>
            </w:r>
            <w:r w:rsidRPr="003A396C">
              <w:t>relativities f</w:t>
            </w:r>
            <w:r>
              <w:t>rom</w:t>
            </w:r>
            <w:r w:rsidRPr="003A396C">
              <w:t xml:space="preserve"> 2001</w:t>
            </w:r>
            <w:r w:rsidRPr="003A396C">
              <w:rPr>
                <w:rFonts w:ascii="Cambria Math" w:hAnsi="Cambria Math" w:cs="Cambria Math"/>
              </w:rPr>
              <w:t>‑</w:t>
            </w:r>
            <w:r w:rsidRPr="003A396C">
              <w:t>02 to 202</w:t>
            </w:r>
            <w:r>
              <w:t>4</w:t>
            </w:r>
            <w:r w:rsidRPr="003A396C">
              <w:rPr>
                <w:rFonts w:ascii="Cambria Math" w:hAnsi="Cambria Math" w:cs="Cambria Math"/>
              </w:rPr>
              <w:t>‑</w:t>
            </w:r>
            <w:r w:rsidRPr="003A396C">
              <w:t>2</w:t>
            </w:r>
            <w:r>
              <w:t>5</w:t>
            </w:r>
            <w:r w:rsidRPr="003A396C">
              <w:t>.</w:t>
            </w:r>
            <w:r>
              <w:t xml:space="preserve"> Current relativities are calculated as if the current methodology had been implemented in full since 2001–02 (with no transition period or associated NoWO payments). The PC has used other measures to assess volatility in the GST distribution system more broadly (including a NoWO guarantee) in chapter 3.</w:t>
            </w:r>
          </w:p>
        </w:tc>
      </w:tr>
    </w:tbl>
    <w:p w14:paraId="215B6EE2" w14:textId="6457BFE1" w:rsidR="000C5687" w:rsidRDefault="000C5687">
      <w:pPr>
        <w:pStyle w:val="NoSpacing"/>
        <w:keepNext/>
      </w:pPr>
    </w:p>
    <w:p w14:paraId="4BB98A93" w14:textId="77777777" w:rsidR="000C5687" w:rsidRDefault="000C5687">
      <w:pPr>
        <w:pStyle w:val="Heading4"/>
      </w:pPr>
      <w:r>
        <w:t>… while introducing substantial fiscal uncertainty</w:t>
      </w:r>
    </w:p>
    <w:p w14:paraId="28060544" w14:textId="77777777" w:rsidR="000C5687" w:rsidRDefault="000C5687">
      <w:pPr>
        <w:pStyle w:val="BodyText"/>
      </w:pPr>
      <w:r>
        <w:t>Many inquiry participants noted that the lack of a permanent NoWO guarantee has created significant fiscal uncertainty for states, with some likening the end of the guarantee to a ‘fiscal cliff’.</w:t>
      </w:r>
      <w:r w:rsidRPr="00201B0D">
        <w:rPr>
          <w:rStyle w:val="FootnoteReference"/>
        </w:rPr>
        <w:footnoteReference w:id="27"/>
      </w:r>
      <w:r>
        <w:t xml:space="preserve"> </w:t>
      </w:r>
    </w:p>
    <w:p w14:paraId="0A04CFB5" w14:textId="77777777" w:rsidR="000C5687" w:rsidRPr="005B4CB7" w:rsidRDefault="000C5687">
      <w:pPr>
        <w:pStyle w:val="BodyText"/>
        <w:rPr>
          <w:spacing w:val="-4"/>
        </w:rPr>
      </w:pPr>
      <w:r w:rsidRPr="005B4CB7">
        <w:rPr>
          <w:spacing w:val="-4"/>
        </w:rPr>
        <w:t>As noted earlier, the 2018 reforms severed the nexus between the GST pool and HFE payments by committing the Australian Government to provide funding for the ongoing GST pool boost and temporary NoWO payments. All else being equal, this creates budgetary pressure and reduces the ability of the Australian Government to spend in other areas, including non</w:t>
      </w:r>
      <w:r w:rsidRPr="005B4CB7">
        <w:rPr>
          <w:spacing w:val="-4"/>
        </w:rPr>
        <w:noBreakHyphen/>
        <w:t>GST Commonwealth payments. Accordingly, several states raised concerns that the fiscal burden of the 2018 reforms has created uncertainty about the Australian Government’s capacity or willingness to provide funding to states outside the GST distribution system.</w:t>
      </w:r>
      <w:r w:rsidRPr="005B4CB7">
        <w:rPr>
          <w:rStyle w:val="FootnoteReference"/>
          <w:spacing w:val="-4"/>
        </w:rPr>
        <w:footnoteReference w:id="28"/>
      </w:r>
      <w:r w:rsidRPr="005B4CB7">
        <w:rPr>
          <w:spacing w:val="-4"/>
        </w:rPr>
        <w:t xml:space="preserve"> The Victorian Government suggested that these concerns have already been realised to some extent, with the Australian Government ‘</w:t>
      </w:r>
      <w:r w:rsidRPr="005B4CB7">
        <w:rPr>
          <w:i/>
          <w:spacing w:val="-4"/>
        </w:rPr>
        <w:t>effectively link[ing] health and disability negotiations to the extension of the [NoWO guarantee] at National Cabinet in December 2023</w:t>
      </w:r>
      <w:r w:rsidRPr="005B4CB7">
        <w:rPr>
          <w:spacing w:val="-4"/>
        </w:rPr>
        <w:t>’ (sub. 59, p. 34).</w:t>
      </w:r>
    </w:p>
    <w:p w14:paraId="75A10999" w14:textId="77777777" w:rsidR="000C5687" w:rsidRPr="00863E07" w:rsidRDefault="000C5687">
      <w:pPr>
        <w:pStyle w:val="BodyText"/>
      </w:pPr>
      <w:r>
        <w:t>The PC recognises that the fiscal uncertainty stemming from the planned expiration of the NoWO guarantee is problematic for many states and may negatively affect budgetary processes – for example, by reducing states’ confidence in making long</w:t>
      </w:r>
      <w:r>
        <w:noBreakHyphen/>
        <w:t>term investments or in entering long</w:t>
      </w:r>
      <w:r>
        <w:noBreakHyphen/>
        <w:t xml:space="preserve">term funding contracts with service delivery providers. As noted above, the PC also recognises that the NoWO guarantee represents a significant source of fiscal uncertainty </w:t>
      </w:r>
      <w:r w:rsidRPr="008979F1">
        <w:t xml:space="preserve">for the </w:t>
      </w:r>
      <w:r>
        <w:t xml:space="preserve">Australian Government. </w:t>
      </w:r>
    </w:p>
    <w:p w14:paraId="3DFA3149" w14:textId="77777777" w:rsidR="000C5687" w:rsidRDefault="000C5687">
      <w:pPr>
        <w:pStyle w:val="Heading3"/>
      </w:pPr>
      <w:r>
        <w:lastRenderedPageBreak/>
        <w:t>The 2018 reforms have increased complexity in the GST distribution system</w:t>
      </w:r>
    </w:p>
    <w:p w14:paraId="42419D5A" w14:textId="77777777" w:rsidR="000C5687" w:rsidRDefault="000C5687">
      <w:pPr>
        <w:pStyle w:val="BodyText"/>
      </w:pPr>
      <w:r>
        <w:t>Several inquiry participants noted that the 2018 reforms have increased complexity in the GST distribution system (</w:t>
      </w:r>
      <w:r w:rsidRPr="00560B0C">
        <w:t>Government of South Australia, sub.</w:t>
      </w:r>
      <w:r>
        <w:t> </w:t>
      </w:r>
      <w:r w:rsidRPr="00560B0C">
        <w:t>13, p.</w:t>
      </w:r>
      <w:r>
        <w:t> </w:t>
      </w:r>
      <w:r w:rsidRPr="00560B0C">
        <w:t>4</w:t>
      </w:r>
      <w:r>
        <w:t xml:space="preserve">; </w:t>
      </w:r>
      <w:r w:rsidRPr="00560B0C">
        <w:t>NSW Government, sub.</w:t>
      </w:r>
      <w:r>
        <w:t> </w:t>
      </w:r>
      <w:r w:rsidRPr="00560B0C">
        <w:t>61, p.</w:t>
      </w:r>
      <w:r>
        <w:t> </w:t>
      </w:r>
      <w:r w:rsidRPr="00560B0C">
        <w:t>10</w:t>
      </w:r>
      <w:r>
        <w:t xml:space="preserve">; Victorian Government, sub. 59, p. 47). As outlined above, the calculation of relativities has become significantly more involved, with the CGC now required to keep ‘multiple books’ of relativities: assessed relativities, standard state relativities </w:t>
      </w:r>
      <w:r w:rsidRPr="00565822">
        <w:rPr>
          <w:i/>
          <w:iCs/>
        </w:rPr>
        <w:t>and</w:t>
      </w:r>
      <w:r>
        <w:t xml:space="preserve"> GST relativities (figure 2.1).</w:t>
      </w:r>
    </w:p>
    <w:p w14:paraId="6A3E6BBF" w14:textId="77777777" w:rsidR="000C5687" w:rsidRPr="00783554" w:rsidRDefault="000C5687" w:rsidP="001147D0">
      <w:pPr>
        <w:pStyle w:val="Heading2"/>
      </w:pPr>
      <w:bookmarkStart w:id="29" w:name="_Toc235447973"/>
      <w:bookmarkStart w:id="30" w:name="_Toc234579014"/>
      <w:bookmarkStart w:id="31" w:name="_Toc236904067"/>
      <w:r w:rsidRPr="00783554">
        <w:t>The 2018 reforms are not operating efficiently, effectively or as intended</w:t>
      </w:r>
      <w:bookmarkEnd w:id="29"/>
      <w:bookmarkEnd w:id="30"/>
      <w:bookmarkEnd w:id="31"/>
    </w:p>
    <w:p w14:paraId="77B8675C" w14:textId="77777777" w:rsidR="000C5687" w:rsidRDefault="000C5687">
      <w:pPr>
        <w:pStyle w:val="Heading3"/>
      </w:pPr>
      <w:r>
        <w:t>While some aspects of the reforms are operating ‘as intended’ …</w:t>
      </w:r>
    </w:p>
    <w:p w14:paraId="7862209D" w14:textId="7082F53A" w:rsidR="000C5687" w:rsidRDefault="000C5687">
      <w:pPr>
        <w:pStyle w:val="BodyText"/>
      </w:pPr>
      <w:r>
        <w:t xml:space="preserve">From </w:t>
      </w:r>
      <w:r w:rsidR="00932B6F">
        <w:t xml:space="preserve">2018–19 </w:t>
      </w:r>
      <w:r>
        <w:t xml:space="preserve">to </w:t>
      </w:r>
      <w:r w:rsidR="00246A5F">
        <w:t>2024–25</w:t>
      </w:r>
      <w:r>
        <w:t>, Western Australia received about $22 billion in additional revenue through transitional top</w:t>
      </w:r>
      <w:r>
        <w:noBreakHyphen/>
        <w:t>up payments and GST relativity adjustments as a result of the reforms. This revenue has, as intended, largely shielded Western Australia from reductions in GST relativities and payments that the state would have otherwise faced due to the continued strength in the iron ore market.</w:t>
      </w:r>
    </w:p>
    <w:p w14:paraId="678A3253" w14:textId="77777777" w:rsidR="000C5687" w:rsidRDefault="000C5687">
      <w:pPr>
        <w:pStyle w:val="BodyText"/>
      </w:pPr>
      <w:r>
        <w:t>As discussed above, beyond Western Australia, the new relativity floor and fiscal equalisation standard would provide similar protection to any other state experiencing a state</w:t>
      </w:r>
      <w:r>
        <w:noBreakHyphen/>
        <w:t>specific, large, positive economic shock that results in their assessed relativity falling below whichever of New South Wales or Victoria has the greater fiscal capacity.</w:t>
      </w:r>
      <w:r w:rsidRPr="00201B0D">
        <w:rPr>
          <w:rStyle w:val="FootnoteReference"/>
        </w:rPr>
        <w:footnoteReference w:id="29"/>
      </w:r>
      <w:r>
        <w:t xml:space="preserve"> </w:t>
      </w:r>
    </w:p>
    <w:p w14:paraId="3BB98DC4" w14:textId="77777777" w:rsidR="000C5687" w:rsidRDefault="000C5687">
      <w:pPr>
        <w:pStyle w:val="BodyText"/>
      </w:pPr>
      <w:r>
        <w:t>However, a trade</w:t>
      </w:r>
      <w:r>
        <w:noBreakHyphen/>
        <w:t>off of this absolute revenue protection is a loss of responsiveness of GST revenue to broader macroeconomic conditions. For example, consider Western Australia – a state with a greater fiscal capacity than the standard state – experiencing a $3 billion fall in iron ore royalties (all else equal). Under the pre</w:t>
      </w:r>
      <w:r>
        <w:noBreakHyphen/>
        <w:t>2018 system, this reduction in own</w:t>
      </w:r>
      <w:r>
        <w:noBreakHyphen/>
        <w:t>source revenue would have resulted in a substantial</w:t>
      </w:r>
      <w:r w:rsidRPr="00EA4B95">
        <w:rPr>
          <w:i/>
          <w:iCs/>
        </w:rPr>
        <w:t xml:space="preserve"> increase</w:t>
      </w:r>
      <w:r>
        <w:t xml:space="preserve"> in GST revenue for Western Australia (albeit with a lag). By contrast, under the current system, Western Australia’s GST revenue would slightly </w:t>
      </w:r>
      <w:r w:rsidRPr="00EA4B95">
        <w:rPr>
          <w:i/>
          <w:iCs/>
        </w:rPr>
        <w:t>decrease</w:t>
      </w:r>
      <w:r>
        <w:t xml:space="preserve"> in response. This is because the relative fiscal strength of New South Wales (the standard state) would increase following the fall in Western Australia’s own</w:t>
      </w:r>
      <w:r>
        <w:noBreakHyphen/>
        <w:t>source revenue, and Western Australia’s relativity would continue to be pegged to the (now lower) standard state relativity of New South Wales. Essentially, while Western Australia’s absolute revenue position would remain stronger than under the pre</w:t>
      </w:r>
      <w:r>
        <w:noBreakHyphen/>
        <w:t>2018 system, the current system undermines the ability of the GST distribution system to operate as a macroeconomic stabiliser.</w:t>
      </w:r>
    </w:p>
    <w:p w14:paraId="58807C75" w14:textId="08042B28" w:rsidR="000C5687" w:rsidRPr="00C94196" w:rsidRDefault="000C5687">
      <w:pPr>
        <w:pStyle w:val="BodyText"/>
        <w:rPr>
          <w:spacing w:val="2"/>
        </w:rPr>
      </w:pPr>
      <w:r w:rsidRPr="00C94196">
        <w:rPr>
          <w:spacing w:val="2"/>
        </w:rPr>
        <w:t>The NoWO guarantee has also ensured that, to date, the 2018 reforms have met their intended aim</w:t>
      </w:r>
      <w:r w:rsidR="00C94196">
        <w:rPr>
          <w:spacing w:val="2"/>
        </w:rPr>
        <w:t> </w:t>
      </w:r>
      <w:r w:rsidRPr="00C94196">
        <w:rPr>
          <w:spacing w:val="2"/>
        </w:rPr>
        <w:t>of ‘</w:t>
      </w:r>
      <w:r w:rsidRPr="00C94196">
        <w:rPr>
          <w:i/>
          <w:spacing w:val="2"/>
        </w:rPr>
        <w:t>leav[ing] no state … worse off</w:t>
      </w:r>
      <w:r w:rsidRPr="00C94196">
        <w:rPr>
          <w:spacing w:val="2"/>
        </w:rPr>
        <w:t>’, albeit at a high cost to the Australian Government (EM 1.23; figures 2.5 and 2.6).</w:t>
      </w:r>
    </w:p>
    <w:p w14:paraId="54336FB1" w14:textId="77777777" w:rsidR="000C5687" w:rsidRDefault="000C5687">
      <w:pPr>
        <w:pStyle w:val="Heading3"/>
      </w:pPr>
      <w:r>
        <w:lastRenderedPageBreak/>
        <w:t xml:space="preserve">… other aspects are not … </w:t>
      </w:r>
    </w:p>
    <w:p w14:paraId="5450B550" w14:textId="77777777" w:rsidR="000C5687" w:rsidRPr="00AF7E6D" w:rsidRDefault="000C5687">
      <w:pPr>
        <w:pStyle w:val="BodyText"/>
      </w:pPr>
      <w:r w:rsidRPr="00AF7E6D">
        <w:t xml:space="preserve">However, the 2018 reforms have failed to make all states </w:t>
      </w:r>
      <w:r w:rsidRPr="00B97C7B">
        <w:rPr>
          <w:i/>
          <w:iCs/>
        </w:rPr>
        <w:t>‘better off’</w:t>
      </w:r>
      <w:r w:rsidRPr="00AF7E6D">
        <w:t xml:space="preserve"> as intended: Western Australia is better off compared to the pre</w:t>
      </w:r>
      <w:r w:rsidRPr="00AF7E6D">
        <w:noBreakHyphen/>
        <w:t>2018 distribution system</w:t>
      </w:r>
      <w:r>
        <w:t>,</w:t>
      </w:r>
      <w:r w:rsidRPr="00AF7E6D">
        <w:t xml:space="preserve"> while all other states are only no worse off </w:t>
      </w:r>
      <w:r>
        <w:t>(EM 1.17, figure 2.6)</w:t>
      </w:r>
      <w:r w:rsidRPr="00AF7E6D">
        <w:t>.</w:t>
      </w:r>
    </w:p>
    <w:p w14:paraId="37489A00" w14:textId="77777777" w:rsidR="000C5687" w:rsidRPr="00AF7E6D" w:rsidRDefault="000C5687">
      <w:pPr>
        <w:pStyle w:val="BodyText"/>
      </w:pPr>
      <w:r w:rsidRPr="00AF7E6D">
        <w:t xml:space="preserve">The reforms were passed without agreement from all states. All states except Western Australia expressed significant dissatisfaction with the changes, labelling them as </w:t>
      </w:r>
      <w:r w:rsidRPr="0098255E">
        <w:rPr>
          <w:i/>
        </w:rPr>
        <w:t>‘</w:t>
      </w:r>
      <w:r>
        <w:rPr>
          <w:i/>
        </w:rPr>
        <w:t xml:space="preserve">inherently </w:t>
      </w:r>
      <w:r w:rsidRPr="0098255E">
        <w:rPr>
          <w:i/>
        </w:rPr>
        <w:t>inequitable’</w:t>
      </w:r>
      <w:r w:rsidRPr="00AF7E6D">
        <w:t xml:space="preserve">, </w:t>
      </w:r>
      <w:r w:rsidRPr="0098255E">
        <w:rPr>
          <w:i/>
        </w:rPr>
        <w:t>‘increasingly unfair’</w:t>
      </w:r>
      <w:r w:rsidRPr="00AF7E6D">
        <w:t xml:space="preserve"> and </w:t>
      </w:r>
      <w:r w:rsidRPr="0098255E">
        <w:rPr>
          <w:i/>
        </w:rPr>
        <w:t>‘neither fair nor sustainable’</w:t>
      </w:r>
      <w:r w:rsidRPr="00AF7E6D">
        <w:t>.</w:t>
      </w:r>
      <w:r w:rsidRPr="00201B0D">
        <w:rPr>
          <w:rStyle w:val="FootnoteReference"/>
        </w:rPr>
        <w:footnoteReference w:id="30"/>
      </w:r>
      <w:r w:rsidRPr="00AF7E6D">
        <w:t xml:space="preserve"> </w:t>
      </w:r>
      <w:r>
        <w:t xml:space="preserve">Insofar as the GST distribution system is intended to promote national cohesion (chapter 1), the 2018 reforms have done little to encourage this. </w:t>
      </w:r>
      <w:r w:rsidRPr="00AF7E6D">
        <w:t xml:space="preserve">It is far from clear that the reforms are (or will be) the desired </w:t>
      </w:r>
      <w:r w:rsidRPr="00B97C7B">
        <w:rPr>
          <w:i/>
          <w:iCs/>
        </w:rPr>
        <w:t>‘long</w:t>
      </w:r>
      <w:r w:rsidRPr="00B97C7B">
        <w:rPr>
          <w:i/>
          <w:iCs/>
        </w:rPr>
        <w:noBreakHyphen/>
        <w:t>term solution’</w:t>
      </w:r>
      <w:r w:rsidRPr="0098255E">
        <w:rPr>
          <w:i/>
        </w:rPr>
        <w:t xml:space="preserve"> </w:t>
      </w:r>
      <w:r w:rsidRPr="00AF7E6D">
        <w:t xml:space="preserve">to the pressures and challenges facing Australia’s </w:t>
      </w:r>
      <w:r>
        <w:t>GST distribution</w:t>
      </w:r>
      <w:r w:rsidRPr="00AF7E6D">
        <w:t xml:space="preserve"> system</w:t>
      </w:r>
      <w:r>
        <w:t xml:space="preserve"> (EM 1.17)</w:t>
      </w:r>
      <w:r w:rsidRPr="00AF7E6D">
        <w:t>, particularly if the NoWO guarantee is not extended beyond 2029</w:t>
      </w:r>
      <w:r>
        <w:t>–</w:t>
      </w:r>
      <w:r w:rsidRPr="00AF7E6D">
        <w:t>30. And even if the NoWO guarantee is extended, the existing and emerging fiscal pressures facing many states</w:t>
      </w:r>
      <w:r>
        <w:t xml:space="preserve"> (outlined in chapter 3)</w:t>
      </w:r>
      <w:r w:rsidRPr="00AF7E6D" w:rsidDel="003E2FDC">
        <w:t xml:space="preserve"> </w:t>
      </w:r>
      <w:r w:rsidRPr="00AF7E6D">
        <w:t>will likely produce ongoing tension in Australia’s federal fi</w:t>
      </w:r>
      <w:r>
        <w:t>nancial</w:t>
      </w:r>
      <w:r w:rsidRPr="00AF7E6D">
        <w:t xml:space="preserve"> relations system.</w:t>
      </w:r>
    </w:p>
    <w:p w14:paraId="7748C6F7" w14:textId="77777777" w:rsidR="000C5687" w:rsidRPr="00AF7E6D" w:rsidRDefault="000C5687">
      <w:pPr>
        <w:pStyle w:val="BodyText"/>
      </w:pPr>
      <w:r>
        <w:t xml:space="preserve">The 2018 reforms have had a mixed impact on volatility for states, with a clear reduction in volatility seen only for Western Australia (figure 2.7). Therefore, the 2018 reforms have not fully delivered on their aim of providing </w:t>
      </w:r>
      <w:r w:rsidRPr="0098255E">
        <w:rPr>
          <w:i/>
        </w:rPr>
        <w:t xml:space="preserve">‘more stable and predictable [GST revenues] for all </w:t>
      </w:r>
      <w:r>
        <w:rPr>
          <w:i/>
        </w:rPr>
        <w:t>[</w:t>
      </w:r>
      <w:r w:rsidRPr="0098255E">
        <w:rPr>
          <w:i/>
        </w:rPr>
        <w:t>states</w:t>
      </w:r>
      <w:r>
        <w:rPr>
          <w:i/>
        </w:rPr>
        <w:t>]</w:t>
      </w:r>
      <w:r w:rsidRPr="0098255E">
        <w:rPr>
          <w:i/>
        </w:rPr>
        <w:t>’</w:t>
      </w:r>
      <w:r>
        <w:t xml:space="preserve"> (EM 1.17). The scheduled expiry of the NoWO guarantee has also generated fiscal uncertainty for states and reduced the longer</w:t>
      </w:r>
      <w:r>
        <w:noBreakHyphen/>
        <w:t xml:space="preserve">term predictability of GST revenues. </w:t>
      </w:r>
    </w:p>
    <w:p w14:paraId="3E05F12F" w14:textId="77777777" w:rsidR="000C5687" w:rsidRDefault="000C5687">
      <w:pPr>
        <w:pStyle w:val="Heading3"/>
      </w:pPr>
      <w:r>
        <w:t>… and other features of the 2018 reforms detract from their overall efficiency and effectiveness</w:t>
      </w:r>
    </w:p>
    <w:p w14:paraId="050270DE" w14:textId="3BFC5D8E" w:rsidR="000C5687" w:rsidRDefault="000C5687">
      <w:pPr>
        <w:pStyle w:val="BodyText"/>
      </w:pPr>
      <w:r>
        <w:t>The 2018 reforms have introduced perverse outcomes to the GST distribution system (</w:t>
      </w:r>
      <w:r w:rsidR="00602A39">
        <w:t xml:space="preserve">interim </w:t>
      </w:r>
      <w:r>
        <w:t>finding 2.1), have not coincided with greater state tax reform activity (chapter 3), and have reduced the extent of HFE achieved in Australia (figure 2.3). The reforms have also increased complexity in the GST distribution system and cost the Australian Government considerably more than expected (figure 2.5), with a significant associated opportunity cost. And so long as it is in place, the NoWO guarantee is a source of fiscal uncertainty for the Australian Government (chapter 3).</w:t>
      </w:r>
    </w:p>
    <w:p w14:paraId="49B0B17D" w14:textId="77777777" w:rsidR="000C5687" w:rsidRDefault="000C5687">
      <w:pPr>
        <w:pStyle w:val="BodyText"/>
      </w:pPr>
      <w:r>
        <w:t>Taken together – and notwithstanding that some aspects of the reforms’ intent have been met – this evidence has led the PC to conclude that the 2018 reforms are – on the whole – not working efficiently, effectively or as intended.</w:t>
      </w:r>
    </w:p>
    <w:p w14:paraId="1A95F522" w14:textId="768722EB" w:rsidR="000C5687" w:rsidRPr="008F5F39" w:rsidRDefault="000C5687" w:rsidP="008F5F39">
      <w:pPr>
        <w:pStyle w:val="NoSpacing"/>
      </w:pPr>
    </w:p>
    <w:tbl>
      <w:tblPr>
        <w:tblStyle w:val="TableGrid"/>
        <w:tblW w:w="5000" w:type="pct"/>
        <w:tblBorders>
          <w:top w:val="single" w:sz="4" w:space="0" w:color="2B9AC2" w:themeColor="text2"/>
          <w:left w:val="single" w:sz="4" w:space="0" w:color="2B9AC2" w:themeColor="text2"/>
          <w:bottom w:val="single" w:sz="4" w:space="0" w:color="2B9AC2" w:themeColor="text2"/>
          <w:right w:val="single" w:sz="4" w:space="0" w:color="2B9AC2" w:themeColor="text2"/>
          <w:insideH w:val="none" w:sz="0" w:space="0" w:color="auto"/>
          <w:insideV w:val="none" w:sz="0" w:space="0" w:color="auto"/>
        </w:tblBorders>
        <w:tblCellMar>
          <w:bottom w:w="113" w:type="dxa"/>
        </w:tblCellMar>
        <w:tblLook w:val="04A0" w:firstRow="1" w:lastRow="0" w:firstColumn="1" w:lastColumn="0" w:noHBand="0" w:noVBand="1"/>
      </w:tblPr>
      <w:tblGrid>
        <w:gridCol w:w="705"/>
        <w:gridCol w:w="8923"/>
      </w:tblGrid>
      <w:tr w:rsidR="000C5687" w14:paraId="110DC5F0" w14:textId="77777777">
        <w:trPr>
          <w:trHeight w:val="765"/>
          <w:tblHeader/>
        </w:trPr>
        <w:tc>
          <w:tcPr>
            <w:tcW w:w="366" w:type="pct"/>
            <w:tcBorders>
              <w:bottom w:val="nil"/>
            </w:tcBorders>
            <w:tcMar>
              <w:bottom w:w="0" w:type="dxa"/>
            </w:tcMar>
            <w:vAlign w:val="center"/>
          </w:tcPr>
          <w:p w14:paraId="05E9E256" w14:textId="77777777" w:rsidR="000C5687" w:rsidRDefault="000C5687">
            <w:pPr>
              <w:pStyle w:val="NoSpacing"/>
              <w:keepNext/>
              <w:keepLines/>
              <w:jc w:val="right"/>
            </w:pPr>
            <w:r w:rsidRPr="00A51374">
              <w:rPr>
                <w:noProof/>
              </w:rPr>
              <w:lastRenderedPageBreak/>
              <w:drawing>
                <wp:inline distT="0" distB="0" distL="0" distR="0" wp14:anchorId="2035D31D" wp14:editId="4BF0CA03">
                  <wp:extent cx="288000" cy="288000"/>
                  <wp:effectExtent l="0" t="0" r="0" b="0"/>
                  <wp:docPr id="854237154" name="Graphic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phic 39">
                            <a:extLst>
                              <a:ext uri="{C183D7F6-B498-43B3-948B-1728B52AA6E4}">
                                <adec:decorative xmlns:adec="http://schemas.microsoft.com/office/drawing/2017/decorative" val="1"/>
                              </a:ext>
                            </a:extLst>
                          </pic:cNvPr>
                          <pic:cNvPicPr/>
                        </pic:nvPicPr>
                        <pic:blipFill>
                          <a:blip r:embed="rId59">
                            <a:extLst>
                              <a:ext uri="{28A0092B-C50C-407E-A947-70E740481C1C}">
                                <a14:useLocalDpi xmlns:a14="http://schemas.microsoft.com/office/drawing/2010/main" val="0"/>
                              </a:ext>
                            </a:extLst>
                          </a:blip>
                          <a:stretch>
                            <a:fillRect/>
                          </a:stretch>
                        </pic:blipFill>
                        <pic:spPr>
                          <a:xfrm>
                            <a:off x="0" y="0"/>
                            <a:ext cx="288000" cy="288000"/>
                          </a:xfrm>
                          <a:prstGeom prst="rect">
                            <a:avLst/>
                          </a:prstGeom>
                        </pic:spPr>
                      </pic:pic>
                    </a:graphicData>
                  </a:graphic>
                </wp:inline>
              </w:drawing>
            </w:r>
          </w:p>
        </w:tc>
        <w:tc>
          <w:tcPr>
            <w:tcW w:w="4634" w:type="pct"/>
            <w:tcBorders>
              <w:bottom w:val="nil"/>
            </w:tcBorders>
            <w:tcMar>
              <w:bottom w:w="0" w:type="dxa"/>
            </w:tcMar>
            <w:vAlign w:val="center"/>
          </w:tcPr>
          <w:p w14:paraId="789CAD91" w14:textId="75BE5051" w:rsidR="000C5687" w:rsidRPr="00A4395A" w:rsidRDefault="000C5687">
            <w:pPr>
              <w:pStyle w:val="Findingtitle"/>
            </w:pPr>
            <w:r>
              <w:t>Interim f</w:t>
            </w:r>
            <w:r w:rsidRPr="00A4395A">
              <w:t xml:space="preserve">inding </w:t>
            </w:r>
            <w:r>
              <w:fldChar w:fldCharType="begin"/>
            </w:r>
            <w:r>
              <w:instrText>STYLEREF 1 \s</w:instrText>
            </w:r>
            <w:r>
              <w:fldChar w:fldCharType="separate"/>
            </w:r>
            <w:r w:rsidR="009C08C4">
              <w:rPr>
                <w:noProof/>
              </w:rPr>
              <w:t>2</w:t>
            </w:r>
            <w:r>
              <w:fldChar w:fldCharType="end"/>
            </w:r>
            <w:r w:rsidRPr="00A4395A">
              <w:t>.</w:t>
            </w:r>
            <w:r>
              <w:fldChar w:fldCharType="begin"/>
            </w:r>
            <w:r>
              <w:instrText>SEQ Finding \* ARABIC \s 1</w:instrText>
            </w:r>
            <w:r>
              <w:fldChar w:fldCharType="separate"/>
            </w:r>
            <w:r w:rsidR="009C08C4">
              <w:rPr>
                <w:noProof/>
              </w:rPr>
              <w:t>2</w:t>
            </w:r>
            <w:r>
              <w:fldChar w:fldCharType="end"/>
            </w:r>
          </w:p>
          <w:p w14:paraId="2DBB99F3" w14:textId="77777777" w:rsidR="000C5687" w:rsidRDefault="000C5687">
            <w:pPr>
              <w:pStyle w:val="Findingtitle"/>
            </w:pPr>
            <w:r>
              <w:t>The 2018 reforms are not operating efficiently, effectively or as intended</w:t>
            </w:r>
          </w:p>
        </w:tc>
      </w:tr>
      <w:tr w:rsidR="000C5687" w14:paraId="56FFBCE6" w14:textId="77777777">
        <w:tc>
          <w:tcPr>
            <w:tcW w:w="5000" w:type="pct"/>
            <w:gridSpan w:val="2"/>
            <w:tcBorders>
              <w:top w:val="nil"/>
              <w:bottom w:val="single" w:sz="4" w:space="0" w:color="2B9AC2" w:themeColor="text2"/>
            </w:tcBorders>
          </w:tcPr>
          <w:p w14:paraId="586F46AD" w14:textId="77777777" w:rsidR="000C5687" w:rsidRDefault="000C5687">
            <w:pPr>
              <w:pStyle w:val="BodyText"/>
              <w:keepNext/>
              <w:keepLines/>
            </w:pPr>
            <w:r>
              <w:t>In some respects, the 2018 reforms are operating as intended.</w:t>
            </w:r>
          </w:p>
          <w:p w14:paraId="3FF7476B" w14:textId="77777777" w:rsidR="000C5687" w:rsidRDefault="000C5687" w:rsidP="000C5687">
            <w:pPr>
              <w:pStyle w:val="ListBullet"/>
            </w:pPr>
            <w:r w:rsidRPr="0077038C">
              <w:t>The new fiscal equalisation standard and relativity floor limit the extent to which a state’s share of the GST pool can fall in response to a positive economic shock</w:t>
            </w:r>
            <w:r>
              <w:t>.</w:t>
            </w:r>
          </w:p>
          <w:p w14:paraId="0C7BB548" w14:textId="0048A910" w:rsidR="000C5687" w:rsidRDefault="000C5687" w:rsidP="000C5687">
            <w:pPr>
              <w:pStyle w:val="ListBullet"/>
            </w:pPr>
            <w:r>
              <w:t>The No Worse</w:t>
            </w:r>
            <w:r w:rsidR="005633BF">
              <w:t xml:space="preserve"> </w:t>
            </w:r>
            <w:r>
              <w:t>Off (NoWO) guarantee has ensured that, to date, no state has been fiscally worse off following the reforms.</w:t>
            </w:r>
          </w:p>
          <w:p w14:paraId="00E643BB" w14:textId="77777777" w:rsidR="000C5687" w:rsidRDefault="000C5687">
            <w:pPr>
              <w:pStyle w:val="BodyText"/>
              <w:keepNext/>
              <w:keepLines/>
            </w:pPr>
            <w:r>
              <w:t>However, the 2018 reforms are not operating as intended in other ways.</w:t>
            </w:r>
          </w:p>
          <w:p w14:paraId="1CC115BB" w14:textId="77777777" w:rsidR="000C5687" w:rsidRDefault="000C5687" w:rsidP="000C5687">
            <w:pPr>
              <w:pStyle w:val="ListBullet"/>
            </w:pPr>
            <w:r>
              <w:t>Only one state is fiscally better off following the reforms: Western Australia.</w:t>
            </w:r>
          </w:p>
          <w:p w14:paraId="366B74A3" w14:textId="77777777" w:rsidR="000C5687" w:rsidRDefault="000C5687" w:rsidP="000C5687">
            <w:pPr>
              <w:pStyle w:val="ListBullet"/>
            </w:pPr>
            <w:r>
              <w:t>The 2018 reforms have not provided more stable and predictable GST revenues for all states, with the scheduled expiration of the NoWO guarantee reducing the longer</w:t>
            </w:r>
            <w:r>
              <w:noBreakHyphen/>
              <w:t>term predictability of GST revenues and creating fiscal uncertainty for most states.</w:t>
            </w:r>
          </w:p>
          <w:p w14:paraId="53665E0E" w14:textId="77777777" w:rsidR="000C5687" w:rsidRDefault="000C5687" w:rsidP="000C5687">
            <w:pPr>
              <w:pStyle w:val="ListBullet"/>
            </w:pPr>
            <w:r>
              <w:t>There is widespread and deeply felt dissatisfaction with the 2018 reforms among most states, limiting the likelihood that the reforms will be a long</w:t>
            </w:r>
            <w:r>
              <w:noBreakHyphen/>
              <w:t>term solution to the pressures facing the GST distribution system.</w:t>
            </w:r>
          </w:p>
          <w:p w14:paraId="19331029" w14:textId="2C3A7010" w:rsidR="000C5687" w:rsidRPr="007737D3" w:rsidRDefault="000C5687">
            <w:pPr>
              <w:pStyle w:val="BodyText"/>
              <w:keepLines/>
              <w:rPr>
                <w:spacing w:val="-2"/>
              </w:rPr>
            </w:pPr>
            <w:r w:rsidRPr="007737D3">
              <w:rPr>
                <w:spacing w:val="-2"/>
              </w:rPr>
              <w:t>Other impacts of the 2018 reforms – including the introduction of perverse outcomes into the GST distribution system (</w:t>
            </w:r>
            <w:r w:rsidR="00F66CB1" w:rsidRPr="007737D3">
              <w:rPr>
                <w:spacing w:val="-2"/>
              </w:rPr>
              <w:t xml:space="preserve">interim </w:t>
            </w:r>
            <w:r w:rsidRPr="007737D3">
              <w:rPr>
                <w:spacing w:val="-2"/>
              </w:rPr>
              <w:t>finding 2.1), increased complexity, and costs to the Australian Government being significantly higher than expected – detract from their efficiency and effectiveness.</w:t>
            </w:r>
          </w:p>
        </w:tc>
      </w:tr>
    </w:tbl>
    <w:p w14:paraId="2BFEB2C0" w14:textId="77777777" w:rsidR="000C5687" w:rsidRPr="00471D3D" w:rsidRDefault="000C5687">
      <w:pPr>
        <w:pStyle w:val="NoSpacing"/>
        <w:keepNext/>
      </w:pPr>
    </w:p>
    <w:p w14:paraId="6AB098C9" w14:textId="77777777" w:rsidR="000C5687" w:rsidRDefault="000C5687" w:rsidP="00E76EEC">
      <w:pPr>
        <w:pStyle w:val="BodyText"/>
        <w:sectPr w:rsidR="000C5687" w:rsidSect="00782BF5">
          <w:headerReference w:type="even" r:id="rId72"/>
          <w:headerReference w:type="default" r:id="rId73"/>
          <w:footerReference w:type="even" r:id="rId74"/>
          <w:footerReference w:type="default" r:id="rId75"/>
          <w:headerReference w:type="first" r:id="rId76"/>
          <w:footnotePr>
            <w:numRestart w:val="eachSect"/>
          </w:footnotePr>
          <w:type w:val="oddPage"/>
          <w:pgSz w:w="11906" w:h="16838" w:code="9"/>
          <w:pgMar w:top="1134" w:right="1134" w:bottom="1134" w:left="1134" w:header="794" w:footer="510" w:gutter="0"/>
          <w:cols w:space="708"/>
          <w:docGrid w:linePitch="360"/>
        </w:sectPr>
      </w:pPr>
    </w:p>
    <w:p w14:paraId="6E3B4FA8" w14:textId="77777777" w:rsidR="000A62ED" w:rsidRDefault="000A62ED" w:rsidP="003D5906">
      <w:pPr>
        <w:pStyle w:val="Heading1"/>
        <w:numPr>
          <w:ilvl w:val="0"/>
          <w:numId w:val="19"/>
        </w:numPr>
      </w:pPr>
      <w:bookmarkStart w:id="32" w:name="_Toc236904068"/>
      <w:r>
        <w:lastRenderedPageBreak/>
        <w:t>The PC’s assessment of the current system</w:t>
      </w:r>
      <w:bookmarkEnd w:id="32"/>
    </w:p>
    <w:p w14:paraId="746BDF08" w14:textId="77777777" w:rsidR="000A62ED" w:rsidRDefault="000A62ED" w:rsidP="003D5906">
      <w:pPr>
        <w:pStyle w:val="Heading2"/>
        <w:numPr>
          <w:ilvl w:val="2"/>
          <w:numId w:val="18"/>
        </w:numPr>
      </w:pPr>
      <w:bookmarkStart w:id="33" w:name="_Toc236904069"/>
      <w:r>
        <w:t>The framework for assessing GST distribution systems</w:t>
      </w:r>
      <w:bookmarkEnd w:id="33"/>
    </w:p>
    <w:p w14:paraId="6958319C" w14:textId="23577146" w:rsidR="000A62ED" w:rsidRDefault="000A62ED">
      <w:pPr>
        <w:pStyle w:val="BodyText"/>
      </w:pPr>
      <w:r>
        <w:t>The inquiry’s terms of reference identified 4 objectives for the GST distribution system (equity, efficiency, sustainability and certainty). Within these competing objectives, the Productivity Commission views the primary role of the GST distribution system to be driving horizontal fiscal equalisation (HFE) between states (equity). The primacy of the fiscal equalisation task for the GST distribution system was generally supported by state and territory (hereafter ‘states’) submissions to the inquiry,</w:t>
      </w:r>
      <w:r w:rsidRPr="00201B0D">
        <w:rPr>
          <w:rStyle w:val="FootnoteReference"/>
        </w:rPr>
        <w:footnoteReference w:id="31"/>
      </w:r>
      <w:r>
        <w:t xml:space="preserve"> and is consistent with both the governing legislation of the Commonwealth Grants Commission (CGC, sub. 34, p. 2), and the Intergovernmental Agreement on Federal Financial Relations agreed between all jurisdictions when the GST was introduced </w:t>
      </w:r>
      <w:r w:rsidRPr="00751CD1">
        <w:rPr>
          <w:rFonts w:cs="Open Sans"/>
        </w:rPr>
        <w:t>(Commonwealth of Australia 1999, p. 3)</w:t>
      </w:r>
      <w:r>
        <w:t>.</w:t>
      </w:r>
    </w:p>
    <w:p w14:paraId="777429AD" w14:textId="77777777" w:rsidR="000A62ED" w:rsidRDefault="000A62ED">
      <w:pPr>
        <w:pStyle w:val="BodyText"/>
      </w:pPr>
      <w:r>
        <w:t>The goals of efficiency, sustainability and certainty are important, but mainly as constraints on the extent to which HFE is pursued and achieved. Moreover, relying on the GST distribution system to achieve too many goals risks none of these goals being achieved particularly well. The question for this inquiry is the degree of any trade-offs between these objectives, and what degree of equalisation can be sustained before the system begins to create costly challenges to efficiency, sustainability or certainty</w:t>
      </w:r>
      <w:r w:rsidDel="00D239E5">
        <w:t xml:space="preserve"> </w:t>
      </w:r>
      <w:r>
        <w:t xml:space="preserve">that cannot be addressed by other tools. Costs might include discouraging worthwhile state reforms, creating fiscal sustainability pressures for the states that undermines community support for the system, or making future revenues unpredictable to the point where prudent fiscal planning is impeded. Where those problems arise, they may justify some departure from full HFE but only if the costs are material, and only if they cannot be addressed by other policy tools. </w:t>
      </w:r>
    </w:p>
    <w:p w14:paraId="3E6FC34A" w14:textId="732A3716" w:rsidR="000A62ED" w:rsidRDefault="000A62ED">
      <w:pPr>
        <w:pStyle w:val="BodyText"/>
      </w:pPr>
      <w:r>
        <w:t>Taking this approach, the PC defines the reasonable level of HFE to be the highest level of equalisation that can be maintained without creating material costs to efficiency, sustainability or certainty that cannot be addressed by other parts of the federation’s policy toolkit (</w:t>
      </w:r>
      <w:r w:rsidR="000C31F5">
        <w:t>f</w:t>
      </w:r>
      <w:r w:rsidR="000664B8">
        <w:t xml:space="preserve">igure </w:t>
      </w:r>
      <w:r w:rsidR="000664B8">
        <w:rPr>
          <w:noProof/>
        </w:rPr>
        <w:t>3</w:t>
      </w:r>
      <w:r w:rsidR="000664B8">
        <w:t>.</w:t>
      </w:r>
      <w:r w:rsidR="000664B8">
        <w:rPr>
          <w:noProof/>
        </w:rPr>
        <w:t>1</w:t>
      </w:r>
      <w:r>
        <w:t>).</w:t>
      </w:r>
    </w:p>
    <w:p w14:paraId="60A3C805" w14:textId="134B80A4" w:rsidR="000A62ED" w:rsidRPr="00A91551" w:rsidRDefault="000A62ED">
      <w:pPr>
        <w:pStyle w:val="BodyText"/>
      </w:pPr>
      <w:r>
        <w:t>This chapter assesses the extent to which the current system under the 2018 reforms delivers a reasonable level of equalisation, using the 4 goals in the PC’s framework (a</w:t>
      </w:r>
      <w:r w:rsidRPr="00D968D4">
        <w:t>ppendix B</w:t>
      </w:r>
      <w:r>
        <w:t>)</w:t>
      </w:r>
      <w:r w:rsidRPr="00153C4E">
        <w:t>.</w:t>
      </w:r>
      <w:r>
        <w:t xml:space="preserve"> </w:t>
      </w:r>
    </w:p>
    <w:p w14:paraId="063D555E" w14:textId="77777777" w:rsidR="000A62ED" w:rsidRDefault="000A62ED">
      <w:pPr>
        <w:pStyle w:val="BodyText"/>
        <w:keepNext/>
        <w:rPr>
          <w:b/>
          <w:bCs/>
        </w:rPr>
      </w:pPr>
      <w:r>
        <w:lastRenderedPageBreak/>
        <w:t>Two</w:t>
      </w:r>
      <w:r w:rsidRPr="00DE0A0A">
        <w:t xml:space="preserve"> versions of the current system</w:t>
      </w:r>
      <w:r>
        <w:t xml:space="preserve"> are considered in this chapter</w:t>
      </w:r>
      <w:r w:rsidRPr="00DE0A0A">
        <w:t>:</w:t>
      </w:r>
    </w:p>
    <w:p w14:paraId="7A0099B0" w14:textId="413636FD" w:rsidR="000A62ED" w:rsidRDefault="000A62ED" w:rsidP="000A62ED">
      <w:pPr>
        <w:pStyle w:val="ListBullet"/>
        <w:keepNext/>
      </w:pPr>
      <w:r>
        <w:rPr>
          <w:b/>
          <w:bCs/>
        </w:rPr>
        <w:t>Current system without No Worse off (NoWO) payments</w:t>
      </w:r>
      <w:r w:rsidRPr="00DE0A0A">
        <w:rPr>
          <w:b/>
          <w:bCs/>
        </w:rPr>
        <w:t>:</w:t>
      </w:r>
      <w:r w:rsidRPr="00CE677B">
        <w:rPr>
          <w:lang w:eastAsia="en-AU"/>
        </w:rPr>
        <w:t xml:space="preserve"> </w:t>
      </w:r>
      <w:r w:rsidRPr="00DE0A0A">
        <w:t xml:space="preserve">the </w:t>
      </w:r>
      <w:r>
        <w:t>new equalisation standard,</w:t>
      </w:r>
      <w:r w:rsidRPr="00201B0D">
        <w:rPr>
          <w:rStyle w:val="FootnoteReference"/>
        </w:rPr>
        <w:footnoteReference w:id="32"/>
      </w:r>
      <w:r w:rsidRPr="00DE0A0A">
        <w:t xml:space="preserve"> the 0.75 </w:t>
      </w:r>
      <w:r>
        <w:rPr>
          <w:lang w:eastAsia="en-AU"/>
        </w:rPr>
        <w:t xml:space="preserve">relativity </w:t>
      </w:r>
      <w:r w:rsidRPr="00DE0A0A">
        <w:t xml:space="preserve">floor and permanent GST </w:t>
      </w:r>
      <w:r>
        <w:t>pool boost</w:t>
      </w:r>
      <w:r w:rsidRPr="00DE0A0A">
        <w:t xml:space="preserve">, but </w:t>
      </w:r>
      <w:r>
        <w:t xml:space="preserve">without NoWO </w:t>
      </w:r>
      <w:r w:rsidRPr="00DE0A0A">
        <w:t>payments.</w:t>
      </w:r>
    </w:p>
    <w:p w14:paraId="0414EB07" w14:textId="588C49F3" w:rsidR="000A62ED" w:rsidRDefault="000A62ED" w:rsidP="000A62ED">
      <w:pPr>
        <w:pStyle w:val="ListBullet"/>
      </w:pPr>
      <w:r>
        <w:rPr>
          <w:b/>
          <w:bCs/>
        </w:rPr>
        <w:t xml:space="preserve">Current </w:t>
      </w:r>
      <w:r w:rsidRPr="00DE0A0A">
        <w:rPr>
          <w:b/>
          <w:bCs/>
        </w:rPr>
        <w:t>s</w:t>
      </w:r>
      <w:r>
        <w:rPr>
          <w:b/>
          <w:bCs/>
        </w:rPr>
        <w:t>ystem</w:t>
      </w:r>
      <w:r w:rsidRPr="00DE0A0A">
        <w:rPr>
          <w:b/>
          <w:bCs/>
        </w:rPr>
        <w:t xml:space="preserve"> with permanent NoWO payments:</w:t>
      </w:r>
      <w:r w:rsidRPr="00DE0A0A">
        <w:t xml:space="preserve"> the </w:t>
      </w:r>
      <w:r>
        <w:t>system as above</w:t>
      </w:r>
      <w:r w:rsidRPr="00DE0A0A">
        <w:t xml:space="preserve">, but </w:t>
      </w:r>
      <w:r>
        <w:t xml:space="preserve">with </w:t>
      </w:r>
      <w:r w:rsidRPr="00DE0A0A">
        <w:t xml:space="preserve">NoWO payments </w:t>
      </w:r>
      <w:r>
        <w:t>as</w:t>
      </w:r>
      <w:r w:rsidRPr="00DE0A0A">
        <w:t xml:space="preserve"> a permanent feature of the system.</w:t>
      </w:r>
      <w:r>
        <w:t xml:space="preserve"> In the case where the Australian Government retains the 2018 reforms, several state governments indicated to the inquiry that a permanent NoWO guarantee was essential (Victorian Government, sub. 59, p. 44; Tasmanian Government, sub.</w:t>
      </w:r>
      <w:r w:rsidR="00255413">
        <w:t> </w:t>
      </w:r>
      <w:r>
        <w:t xml:space="preserve">48, p. 54; Government of South Australia, sub. 13, p. 17; Queensland Government, sub. 62, p. 7). </w:t>
      </w:r>
    </w:p>
    <w:p w14:paraId="31892936" w14:textId="1AB132EE" w:rsidR="000A62ED" w:rsidRPr="00146382" w:rsidRDefault="000A62ED">
      <w:pPr>
        <w:pStyle w:val="FigureTableHeading"/>
      </w:pPr>
      <w:bookmarkStart w:id="34" w:name="_Ref236249208"/>
      <w:r>
        <w:t xml:space="preserve">Figure </w:t>
      </w:r>
      <w:fldSimple w:instr=" STYLEREF 1 \s ">
        <w:r w:rsidR="009C08C4">
          <w:rPr>
            <w:noProof/>
          </w:rPr>
          <w:t>3</w:t>
        </w:r>
      </w:fldSimple>
      <w:r>
        <w:t>.</w:t>
      </w:r>
      <w:fldSimple w:instr=" SEQ Figure \* ARABIC \s 1 ">
        <w:r w:rsidR="009C08C4">
          <w:rPr>
            <w:noProof/>
          </w:rPr>
          <w:t>1</w:t>
        </w:r>
      </w:fldSimple>
      <w:bookmarkEnd w:id="34"/>
      <w:r>
        <w:rPr>
          <w:noProof/>
        </w:rPr>
        <w:t xml:space="preserve"> </w:t>
      </w:r>
      <w:r>
        <w:t>– Understanding the PC's framework for assessing the GST distribution system</w:t>
      </w:r>
    </w:p>
    <w:p w14:paraId="75FEC2E6" w14:textId="713F10C3" w:rsidR="000A62ED" w:rsidRDefault="00023393" w:rsidP="00F405F7">
      <w:pPr>
        <w:pStyle w:val="BodyText"/>
        <w:spacing w:after="360"/>
        <w:rPr>
          <w:lang w:val="it-IT"/>
        </w:rPr>
      </w:pPr>
      <w:r w:rsidRPr="00023393">
        <w:rPr>
          <w:noProof/>
        </w:rPr>
        <w:drawing>
          <wp:inline distT="0" distB="0" distL="0" distR="0" wp14:anchorId="0FCDCDCF" wp14:editId="6274E169">
            <wp:extent cx="5965190" cy="4745990"/>
            <wp:effectExtent l="0" t="0" r="0" b="0"/>
            <wp:docPr id="55673343" name="Picture 14" descr="Figure 3.1 - A figure with five panels which outlines the PC’s framework for assessing the GST distribution system. &#10;The top left panel discusses equity. Equity is the primary goal in the framework, defined as the extent to which the system equalises fiscal capacity between the states and , supports equality of fiscal opportunity.&#10;The top right panel notes that equity is specifically assessed through examining how much equalisation each model delivers, and how much of the GST pool must be redistributed under each model.&#10;The bottom three panels each outline a secondary criteria in the PC’s assessment framework.&#10;The bottom left panel discusses efficiency. Efficiency means the GST distribution should avoid materially distorting state tax, spending or reform choices unless material distortions can be targeted by other policy tools.&#10;The bottom middle panel discusses sustainability. Sustainability means the GST distribution does not force major state or Australian Government policy changes or pose a threat to their solvency in the longer term, while remaining affordable for the Australian Government. &#10;The bottom right panel discusses certainty. Certainty means states have reliable expectations about their overall revenues to better support budget plann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73343" name="Picture 14" descr="Figure 3.1 - A figure with five panels which outlines the PC’s framework for assessing the GST distribution system. &#10;The top left panel discusses equity. Equity is the primary goal in the framework, defined as the extent to which the system equalises fiscal capacity between the states and , supports equality of fiscal opportunity.&#10;The top right panel notes that equity is specifically assessed through examining how much equalisation each model delivers, and how much of the GST pool must be redistributed under each model.&#10;The bottom three panels each outline a secondary criteria in the PC’s assessment framework.&#10;The bottom left panel discusses efficiency. Efficiency means the GST distribution should avoid materially distorting state tax, spending or reform choices unless material distortions can be targeted by other policy tools.&#10;The bottom middle panel discusses sustainability. Sustainability means the GST distribution does not force major state or Australian Government policy changes or pose a threat to their solvency in the longer term, while remaining affordable for the Australian Government. &#10;The bottom right panel discusses certainty. Certainty means states have reliable expectations about their overall revenues to better support budget planning. &#1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965190" cy="4745990"/>
                    </a:xfrm>
                    <a:prstGeom prst="rect">
                      <a:avLst/>
                    </a:prstGeom>
                    <a:noFill/>
                    <a:ln>
                      <a:noFill/>
                    </a:ln>
                  </pic:spPr>
                </pic:pic>
              </a:graphicData>
            </a:graphic>
          </wp:inline>
        </w:drawing>
      </w:r>
    </w:p>
    <w:p w14:paraId="4987D9EE" w14:textId="77777777" w:rsidR="000A62ED" w:rsidRPr="007B4A96" w:rsidRDefault="000A62ED">
      <w:pPr>
        <w:pStyle w:val="BodyText"/>
      </w:pPr>
      <w:r>
        <w:t>Chapter 4 then compares the current system without</w:t>
      </w:r>
      <w:r w:rsidDel="009D2DE1">
        <w:t xml:space="preserve"> </w:t>
      </w:r>
      <w:r>
        <w:t xml:space="preserve">NoWO payments to a number of alternative GST distribution systems that might allow greater equalisation outcomes while improving or maintaining the efficiency, sustainability, or certainty properties of the system. </w:t>
      </w:r>
      <w:r w:rsidRPr="00D7610E">
        <w:t xml:space="preserve">The PC used </w:t>
      </w:r>
      <w:r>
        <w:t>a mixture of</w:t>
      </w:r>
      <w:r w:rsidRPr="00D7610E">
        <w:t xml:space="preserve"> qualitative and quantitative methods to </w:t>
      </w:r>
      <w:r>
        <w:t>assess</w:t>
      </w:r>
      <w:r w:rsidRPr="00D7610E">
        <w:t xml:space="preserve"> different GST distribution systems against its framework</w:t>
      </w:r>
      <w:r>
        <w:t xml:space="preserve"> and allow comparison. The</w:t>
      </w:r>
      <w:r w:rsidRPr="00D7610E">
        <w:t xml:space="preserve"> </w:t>
      </w:r>
      <w:r>
        <w:t xml:space="preserve">measures chosen for each aspect of the framework are introduced in this chapter. </w:t>
      </w:r>
      <w:r>
        <w:lastRenderedPageBreak/>
        <w:t xml:space="preserve">Further detail on the application of these methods and the framework that supports them is in </w:t>
      </w:r>
      <w:r w:rsidRPr="00D309E8">
        <w:t>appendix B.</w:t>
      </w:r>
      <w:r>
        <w:t xml:space="preserve"> To assess the impacts of different GST distributions arrangements the PC estimated what GST relativities would have been had the alternative arrangement been in place in the past, assuming that all other state budget settings were unchanged. This approach</w:t>
      </w:r>
      <w:r w:rsidRPr="00D7610E">
        <w:t xml:space="preserve"> </w:t>
      </w:r>
      <w:r w:rsidRPr="00916ED3">
        <w:t xml:space="preserve">was preferred to forecasting because </w:t>
      </w:r>
      <w:r>
        <w:t>f</w:t>
      </w:r>
      <w:r w:rsidRPr="00916ED3">
        <w:t>orecasting</w:t>
      </w:r>
      <w:r w:rsidRPr="00D7610E">
        <w:t xml:space="preserve"> GST </w:t>
      </w:r>
      <w:r w:rsidRPr="00916ED3">
        <w:t>relativities would be highly uncertain</w:t>
      </w:r>
      <w:r>
        <w:t xml:space="preserve"> and</w:t>
      </w:r>
      <w:r w:rsidRPr="00916ED3">
        <w:t xml:space="preserve"> </w:t>
      </w:r>
      <w:r>
        <w:t xml:space="preserve">are unlikely to reflect a range of relevant economic circumstances. </w:t>
      </w:r>
    </w:p>
    <w:p w14:paraId="7BC05A58" w14:textId="77777777" w:rsidR="000A62ED" w:rsidRDefault="000A62ED" w:rsidP="003D5906">
      <w:pPr>
        <w:pStyle w:val="Heading2"/>
        <w:numPr>
          <w:ilvl w:val="2"/>
          <w:numId w:val="18"/>
        </w:numPr>
      </w:pPr>
      <w:bookmarkStart w:id="35" w:name="_Toc236904070"/>
      <w:r>
        <w:t>HFE can support equality of opportunity in Australia, but this is reduced by the current system</w:t>
      </w:r>
      <w:bookmarkEnd w:id="35"/>
    </w:p>
    <w:p w14:paraId="1D56EED6" w14:textId="77777777" w:rsidR="000A62ED" w:rsidRPr="00A91551" w:rsidRDefault="000A62ED">
      <w:pPr>
        <w:pStyle w:val="BodyText"/>
      </w:pPr>
      <w:r>
        <w:t>HFE is broadly consistent with the equality of opportunity view of equity, as well as vertical and horizontal equity principles commonly used in public policy. Equity arguments that relate to rewards for policy effort are captured in the inquiry’s efficiency assessments of the alternative arrangements, which assess the degree to which GST distribution outcomes are impacted by the policy choices of the states (further discussion in</w:t>
      </w:r>
      <w:r w:rsidDel="007D27F6">
        <w:t xml:space="preserve"> </w:t>
      </w:r>
      <w:r>
        <w:t>a</w:t>
      </w:r>
      <w:r w:rsidRPr="00D309E8">
        <w:t>ppendix B</w:t>
      </w:r>
      <w:r w:rsidRPr="004641D6">
        <w:t>).</w:t>
      </w:r>
    </w:p>
    <w:p w14:paraId="2B154DCD" w14:textId="29D6FAAB" w:rsidR="000A62ED" w:rsidRDefault="000A62ED">
      <w:pPr>
        <w:pStyle w:val="BodyText"/>
      </w:pPr>
      <w:r>
        <w:t xml:space="preserve">HFE supports equality of fiscal opportunity by reducing differences in states’ fiscal capacities that result from structural factors outside of a state’s control. Equality of opportunity and the principle of a ‘fair go’ are widely recognised and accepted as cultural and political values in Australia </w:t>
      </w:r>
      <w:r w:rsidRPr="00CB2739">
        <w:rPr>
          <w:szCs w:val="24"/>
        </w:rPr>
        <w:t>(Braun 2006, p. 12; Fenwick and Silva 2026, p. 5)</w:t>
      </w:r>
      <w:r>
        <w:t>. HFE aligns with these values by providing support to state governments so the quality of public services which citizens receive are less dependent on which state they live in.</w:t>
      </w:r>
      <w:r w:rsidRPr="00201B0D">
        <w:rPr>
          <w:rStyle w:val="FootnoteReference"/>
        </w:rPr>
        <w:footnoteReference w:id="33"/>
      </w:r>
      <w:r>
        <w:t xml:space="preserve"> Many of these services are important for equality of opportunity. </w:t>
      </w:r>
      <w:r w:rsidRPr="00BC2AFF">
        <w:t xml:space="preserve">Education, for example, can act as an equaliser </w:t>
      </w:r>
      <w:r>
        <w:t xml:space="preserve">between individuals </w:t>
      </w:r>
      <w:r w:rsidRPr="00BC2AFF">
        <w:t xml:space="preserve">by </w:t>
      </w:r>
      <w:r>
        <w:t xml:space="preserve">improving </w:t>
      </w:r>
      <w:r w:rsidRPr="00BC2AFF">
        <w:t>lifetime earnings</w:t>
      </w:r>
      <w:r>
        <w:t xml:space="preserve"> </w:t>
      </w:r>
      <w:r w:rsidRPr="00F7464F">
        <w:rPr>
          <w:rFonts w:cs="Open Sans"/>
        </w:rPr>
        <w:t>(Leigh 2025, p. 1)</w:t>
      </w:r>
      <w:r>
        <w:t>.</w:t>
      </w:r>
    </w:p>
    <w:p w14:paraId="6B5684F1" w14:textId="25B62699" w:rsidR="000A62ED" w:rsidRDefault="000A62ED">
      <w:pPr>
        <w:pStyle w:val="BodyText"/>
      </w:pPr>
      <w:r>
        <w:t>The inquiry uses the degree of equalisation as the primary measure of equity, recognising that the primary goal of the GST distribution system is to drive fiscal equalisation between the Australian states.</w:t>
      </w:r>
      <w:r w:rsidRPr="007678CC">
        <w:t xml:space="preserve"> </w:t>
      </w:r>
      <w:r>
        <w:t>An equalisation rate of 100% means all states have the same fiscal capacity.</w:t>
      </w:r>
      <w:r w:rsidRPr="00201B0D">
        <w:rPr>
          <w:rStyle w:val="FootnoteReference"/>
        </w:rPr>
        <w:footnoteReference w:id="34"/>
      </w:r>
    </w:p>
    <w:p w14:paraId="7136F8B9" w14:textId="47AE7800" w:rsidR="000A62ED" w:rsidRPr="001C3D5C" w:rsidRDefault="000A62ED">
      <w:pPr>
        <w:pStyle w:val="BodyText"/>
        <w:rPr>
          <w:spacing w:val="-4"/>
        </w:rPr>
      </w:pPr>
      <w:r w:rsidRPr="001C3D5C">
        <w:rPr>
          <w:spacing w:val="-4"/>
        </w:rPr>
        <w:t xml:space="preserve">The current system with temporary NoWO payments delivers an equalisation rate of </w:t>
      </w:r>
      <w:r w:rsidRPr="001C3D5C" w:rsidDel="1533EE5C">
        <w:rPr>
          <w:spacing w:val="-4"/>
        </w:rPr>
        <w:t>7</w:t>
      </w:r>
      <w:r w:rsidRPr="001C3D5C">
        <w:rPr>
          <w:spacing w:val="-4"/>
        </w:rPr>
        <w:t xml:space="preserve">7%, which reduces to 73% without NoWO payments. The equalisation rate decreases only marginally without NoWO payments because other states continue to have a much lower fiscal capacity than Western Australia. In order for the current system to have delivered a 100% equalisation rate in </w:t>
      </w:r>
      <w:r w:rsidR="00246A5F" w:rsidRPr="001C3D5C">
        <w:rPr>
          <w:spacing w:val="-4"/>
        </w:rPr>
        <w:t>2024–25</w:t>
      </w:r>
      <w:r w:rsidRPr="001C3D5C">
        <w:rPr>
          <w:spacing w:val="-4"/>
        </w:rPr>
        <w:t xml:space="preserve">, states other than Western Australia would need to have received about $47b extra funding (in addition to the $5.4b in NoWO payments that were made) </w:t>
      </w:r>
      <w:r w:rsidRPr="001C3D5C">
        <w:rPr>
          <w:rFonts w:cs="Open Sans"/>
          <w:spacing w:val="-4"/>
        </w:rPr>
        <w:t>(PC estimates using CGC 2024; Commonwealth of Australia 2025, pp. 64, 67)</w:t>
      </w:r>
      <w:r w:rsidRPr="001C3D5C">
        <w:rPr>
          <w:spacing w:val="-4"/>
        </w:rPr>
        <w:t xml:space="preserve">. </w:t>
      </w:r>
    </w:p>
    <w:p w14:paraId="64F0D60E" w14:textId="65A60108" w:rsidR="000A62ED" w:rsidRDefault="000A62ED">
      <w:pPr>
        <w:pStyle w:val="BodyText"/>
      </w:pPr>
      <w:r>
        <w:t>The equalisation rate for the current system, with or without NoWO payments, compares favourably to international comparators (</w:t>
      </w:r>
      <w:r w:rsidR="00F459A1">
        <w:t>figure 3.2</w:t>
      </w:r>
      <w:r>
        <w:t>).</w:t>
      </w:r>
      <w:r w:rsidDel="007C0816">
        <w:t xml:space="preserve"> </w:t>
      </w:r>
      <w:r>
        <w:t xml:space="preserve">Nevertheless, the inquiry’s issues paper noted </w:t>
      </w:r>
      <w:r w:rsidRPr="00C35075">
        <w:rPr>
          <w:i/>
          <w:iCs/>
        </w:rPr>
        <w:t>‘</w:t>
      </w:r>
      <w:r w:rsidRPr="00C35075">
        <w:rPr>
          <w:i/>
        </w:rPr>
        <w:t>differences in country-specific settings and contexts may limit the extent to which the experience of other federations can be taken as a guide for Australia</w:t>
      </w:r>
      <w:r>
        <w:t xml:space="preserve">’ </w:t>
      </w:r>
      <w:r w:rsidRPr="00D665FB">
        <w:rPr>
          <w:rFonts w:cs="Open Sans"/>
        </w:rPr>
        <w:t>(PC 2025, p. 14)</w:t>
      </w:r>
      <w:r>
        <w:t xml:space="preserve">. These differences may include varied policy contexts that constrain higher levels of fiscal equalisation, as well as different social choices about the desirable </w:t>
      </w:r>
      <w:r>
        <w:lastRenderedPageBreak/>
        <w:t>degree of equalisation in other countries. The framework chosen by the inquiry enables to PC to make policy recommendations that reflect the Australian context.</w:t>
      </w:r>
    </w:p>
    <w:p w14:paraId="0650B2E0" w14:textId="772600FA" w:rsidR="000A62ED" w:rsidRPr="00B163E7" w:rsidRDefault="000A62ED">
      <w:pPr>
        <w:pStyle w:val="FigureTableHeading"/>
        <w:rPr>
          <w:spacing w:val="-4"/>
          <w:kern w:val="2"/>
          <w:szCs w:val="20"/>
          <w:lang w:eastAsia="en-AU"/>
          <w14:ligatures w14:val="standardContextual"/>
        </w:rPr>
      </w:pPr>
      <w:bookmarkStart w:id="36" w:name="_Ref236249357"/>
      <w:r w:rsidRPr="00B163E7">
        <w:rPr>
          <w:spacing w:val="-4"/>
        </w:rPr>
        <w:t xml:space="preserve">Figure </w:t>
      </w:r>
      <w:bookmarkEnd w:id="36"/>
      <w:r w:rsidRPr="00B163E7">
        <w:rPr>
          <w:spacing w:val="-4"/>
        </w:rPr>
        <w:t>3.</w:t>
      </w:r>
      <w:fldSimple w:instr=" SEQ Figure \* ARABIC \s 1 ">
        <w:r w:rsidR="009C08C4">
          <w:rPr>
            <w:noProof/>
          </w:rPr>
          <w:t>2</w:t>
        </w:r>
      </w:fldSimple>
      <w:r w:rsidRPr="00B163E7">
        <w:rPr>
          <w:spacing w:val="-4"/>
        </w:rPr>
        <w:t xml:space="preserve"> – Australia pursued a high rate of equalisation compared to international comparators</w:t>
      </w:r>
    </w:p>
    <w:p w14:paraId="60EB0268" w14:textId="3EEAC36E" w:rsidR="000A62ED" w:rsidRPr="00146382" w:rsidRDefault="00E22BDA" w:rsidP="00414825">
      <w:pPr>
        <w:pStyle w:val="BodyText"/>
      </w:pPr>
      <w:r w:rsidRPr="00E22BDA">
        <w:rPr>
          <w:noProof/>
        </w:rPr>
        <w:drawing>
          <wp:inline distT="0" distB="0" distL="0" distR="0" wp14:anchorId="3AA68254" wp14:editId="73E695DE">
            <wp:extent cx="6120130" cy="1283335"/>
            <wp:effectExtent l="0" t="0" r="0" b="0"/>
            <wp:docPr id="203219012" name="Picture 15" descr="Figure 3.2 – A line chart with arrows on each end which illustrates how Australia’s rate of equalisation compares to other countries. Countries further to the left have a lower equalisation rate, whereas countries to the right have a higher equalisation rate. &#10;On the chart, Italy is located towards the left, with an equalisation rate of 60%. Australia’s system, post-2018 reforms, is located slightly below 80%. Switzerland, Lithuania, and Estonia are grouped around an equalisation rate of 90%, and Japan and Australia, pre-2018 reforms, are grouped around an equalisation rate of 100%.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19012" name="Picture 15" descr="Figure 3.2 – A line chart with arrows on each end which illustrates how Australia’s rate of equalisation compares to other countries. Countries further to the left have a lower equalisation rate, whereas countries to the right have a higher equalisation rate. &#10;On the chart, Italy is located towards the left, with an equalisation rate of 60%. Australia’s system, post-2018 reforms, is located slightly below 80%. Switzerland, Lithuania, and Estonia are grouped around an equalisation rate of 90%, and Japan and Australia, pre-2018 reforms, are grouped around an equalisation rate of 100%. &#1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120130" cy="1283335"/>
                    </a:xfrm>
                    <a:prstGeom prst="rect">
                      <a:avLst/>
                    </a:prstGeom>
                    <a:noFill/>
                    <a:ln>
                      <a:noFill/>
                    </a:ln>
                  </pic:spPr>
                </pic:pic>
              </a:graphicData>
            </a:graphic>
          </wp:inline>
        </w:drawing>
      </w:r>
    </w:p>
    <w:p w14:paraId="32C8311D" w14:textId="77777777" w:rsidR="000A62ED" w:rsidRPr="002E0DCE" w:rsidRDefault="000A62ED" w:rsidP="00414825">
      <w:pPr>
        <w:pStyle w:val="Note"/>
      </w:pPr>
      <w:r w:rsidRPr="002E0DCE">
        <w:t xml:space="preserve">Equalisation rate is defined as the extent to which equalisation fills </w:t>
      </w:r>
      <w:r>
        <w:t xml:space="preserve">the </w:t>
      </w:r>
      <w:r w:rsidRPr="002E0DCE">
        <w:t>gap for sub-central governments below mean fiscal capacity.</w:t>
      </w:r>
      <w:r>
        <w:t xml:space="preserve"> Only countries which undertake gap-filling or revenue/cost equalisation, and reported an equalisation rate are included. Australia’s post-2018 reforms equalisation rate is based on PC analysis.</w:t>
      </w:r>
    </w:p>
    <w:p w14:paraId="4510FD80" w14:textId="1C02896A" w:rsidR="000A62ED" w:rsidRDefault="00414825" w:rsidP="00414825">
      <w:pPr>
        <w:pStyle w:val="Source"/>
      </w:pPr>
      <w:r>
        <w:t xml:space="preserve">Source: </w:t>
      </w:r>
      <w:r w:rsidR="000A62ED">
        <w:t xml:space="preserve">Adapted from OECD </w:t>
      </w:r>
      <w:r w:rsidR="000A62ED" w:rsidRPr="008A7795">
        <w:rPr>
          <w:rFonts w:cs="Open Sans"/>
        </w:rPr>
        <w:t>(2021, p. 9)</w:t>
      </w:r>
      <w:r w:rsidR="000A62ED">
        <w:t>.</w:t>
      </w:r>
    </w:p>
    <w:p w14:paraId="37D9FAC8" w14:textId="77777777" w:rsidR="000A62ED" w:rsidRPr="00360B73" w:rsidRDefault="000A62ED">
      <w:pPr>
        <w:pStyle w:val="Heading3-noTOC"/>
        <w:rPr>
          <w:rFonts w:asciiTheme="majorHAnsi" w:hAnsiTheme="majorHAnsi"/>
          <w:szCs w:val="26"/>
          <w:lang w:eastAsia="en-AU"/>
        </w:rPr>
      </w:pPr>
      <w:r>
        <w:rPr>
          <w:lang w:eastAsia="en-AU"/>
        </w:rPr>
        <w:t xml:space="preserve">HFE </w:t>
      </w:r>
      <w:r w:rsidRPr="45B9C00B">
        <w:rPr>
          <w:rFonts w:asciiTheme="majorHAnsi" w:hAnsiTheme="majorHAnsi"/>
          <w:szCs w:val="26"/>
          <w:lang w:eastAsia="en-AU"/>
        </w:rPr>
        <w:t>d</w:t>
      </w:r>
      <w:r>
        <w:rPr>
          <w:rFonts w:asciiTheme="majorHAnsi" w:hAnsiTheme="majorHAnsi"/>
          <w:szCs w:val="26"/>
          <w:lang w:eastAsia="en-AU"/>
        </w:rPr>
        <w:t>id</w:t>
      </w:r>
      <w:r w:rsidRPr="45B9C00B">
        <w:rPr>
          <w:rFonts w:asciiTheme="majorHAnsi" w:hAnsiTheme="majorHAnsi"/>
          <w:szCs w:val="26"/>
          <w:lang w:eastAsia="en-AU"/>
        </w:rPr>
        <w:t xml:space="preserve"> not address structural disadvantage or ensure equal outcomes</w:t>
      </w:r>
      <w:r>
        <w:rPr>
          <w:rFonts w:asciiTheme="majorHAnsi" w:hAnsiTheme="majorHAnsi"/>
          <w:szCs w:val="26"/>
          <w:lang w:eastAsia="en-AU"/>
        </w:rPr>
        <w:t>,</w:t>
      </w:r>
      <w:r w:rsidRPr="00DC7567">
        <w:rPr>
          <w:rFonts w:asciiTheme="majorHAnsi" w:hAnsiTheme="majorHAnsi"/>
        </w:rPr>
        <w:t xml:space="preserve"> the current system</w:t>
      </w:r>
      <w:r>
        <w:rPr>
          <w:rFonts w:asciiTheme="majorHAnsi" w:hAnsiTheme="majorHAnsi"/>
          <w:szCs w:val="26"/>
          <w:lang w:eastAsia="en-AU"/>
        </w:rPr>
        <w:t xml:space="preserve"> (without NoWO) makes both worse</w:t>
      </w:r>
    </w:p>
    <w:p w14:paraId="407697FC" w14:textId="7B71E81A" w:rsidR="000A62ED" w:rsidRDefault="000A62ED">
      <w:pPr>
        <w:pStyle w:val="BodyText"/>
      </w:pPr>
      <w:r>
        <w:t>While</w:t>
      </w:r>
      <w:r w:rsidDel="008E422F">
        <w:t xml:space="preserve"> </w:t>
      </w:r>
      <w:r>
        <w:t xml:space="preserve">HFE is designed to support additional costs faced by states delivering services to groups with higher needs, including those in regional and remote areas and lower socio-economic groups, it does not attempt to address structural disadvantages or ensure that communities receive equal services (Yothu Yindi Foundation, sub. 43, p. 2). Specific purpose payments, as well as Australia’s tax and transfer system (which operates at the level of individuals and households), are key mechanisms in this regard. HFE, under the pre-2018 system, aimed to provide state governments with the fiscal </w:t>
      </w:r>
      <w:r w:rsidRPr="006E56C1">
        <w:t>capacity</w:t>
      </w:r>
      <w:r>
        <w:t xml:space="preserve"> to provide public services at a broadly comparable level and quality (</w:t>
      </w:r>
      <w:r w:rsidRPr="003C50E0">
        <w:t>CGC, sub. 34, p. 2</w:t>
      </w:r>
      <w:r w:rsidR="00414825">
        <w:t>–</w:t>
      </w:r>
      <w:r w:rsidRPr="003C50E0">
        <w:t>3; Saul Eslake, sub.</w:t>
      </w:r>
      <w:r w:rsidR="00414825">
        <w:t> </w:t>
      </w:r>
      <w:r w:rsidRPr="003C50E0">
        <w:t>3, p. 2; Tasmanian Government, sub. 48, p. 2</w:t>
      </w:r>
      <w:r>
        <w:t xml:space="preserve">). Through this mechanism it supported equality of opportunity by supporting public services such as health, education, police services, child protection services, and social services more generally. </w:t>
      </w:r>
    </w:p>
    <w:p w14:paraId="20B16369" w14:textId="77777777" w:rsidR="000A62ED" w:rsidRDefault="000A62ED">
      <w:pPr>
        <w:pStyle w:val="BodyText"/>
      </w:pPr>
      <w:r>
        <w:t xml:space="preserve">The extent to which equal capacity translates into comparable service delivery and outcomes is largely a matter for the state governments themselves; it is these governments that are ultimately accountable to their constituents for the way in which GST revenue is spent, and the nature and size of the benefits that this spending secures. Transparency mechanisms like the annual </w:t>
      </w:r>
      <w:r w:rsidRPr="00D0293F">
        <w:rPr>
          <w:i/>
          <w:iCs/>
        </w:rPr>
        <w:t>Report on Government Services</w:t>
      </w:r>
      <w:r>
        <w:t xml:space="preserve"> can help governments and the public monitor the extent to which the volume and quality of public services are comparable between different Australian states. They can also be used to communicate any divergences between states in terms of service quality and provision. </w:t>
      </w:r>
    </w:p>
    <w:p w14:paraId="503F63D9" w14:textId="22AD81E0" w:rsidR="000A62ED" w:rsidRDefault="000A62ED">
      <w:pPr>
        <w:pStyle w:val="BodyText"/>
      </w:pPr>
      <w:r>
        <w:t xml:space="preserve">Due to the standard state benchmark, the current system without NoWO payments does not provide states with the same fiscal capacity, meaning some states receive less than the CGC assesses is required to provide services at the Australian average level. The current system with NoWO payments better supports equity by </w:t>
      </w:r>
      <w:r w:rsidDel="008F5B1B">
        <w:t xml:space="preserve">providing </w:t>
      </w:r>
      <w:r>
        <w:t xml:space="preserve">most states </w:t>
      </w:r>
      <w:r w:rsidDel="00B17C1F">
        <w:t xml:space="preserve">with virtually equivalent payments to what they would </w:t>
      </w:r>
      <w:r>
        <w:t xml:space="preserve">have received under the pre-2018 system </w:t>
      </w:r>
      <w:r w:rsidRPr="00503A09">
        <w:rPr>
          <w:rFonts w:cs="Open Sans"/>
        </w:rPr>
        <w:t>(CGC 2025a)</w:t>
      </w:r>
      <w:r>
        <w:t xml:space="preserve">. However, by allowing some states to retain greater fiscal capacity than other states, it does not support equity as much as full HFE. </w:t>
      </w:r>
    </w:p>
    <w:p w14:paraId="2AE65838" w14:textId="77777777" w:rsidR="000A62ED" w:rsidRPr="004C5CAF" w:rsidRDefault="000A62ED" w:rsidP="004C5CAF">
      <w:pPr>
        <w:pStyle w:val="Heading3-noTOC"/>
      </w:pPr>
      <w:r w:rsidRPr="004C5CAF">
        <w:lastRenderedPageBreak/>
        <w:t>The current system’s new fiscal equalisation standard reduces equity</w:t>
      </w:r>
    </w:p>
    <w:p w14:paraId="61D334C2" w14:textId="7CFF388F" w:rsidR="000A62ED" w:rsidRDefault="000A62ED">
      <w:pPr>
        <w:pStyle w:val="BodyText"/>
        <w:rPr>
          <w:lang w:eastAsia="en-AU"/>
        </w:rPr>
      </w:pPr>
      <w:r>
        <w:rPr>
          <w:lang w:eastAsia="en-AU"/>
        </w:rPr>
        <w:t xml:space="preserve">As detailed in </w:t>
      </w:r>
      <w:r w:rsidR="001C6B7E">
        <w:rPr>
          <w:lang w:eastAsia="en-AU"/>
        </w:rPr>
        <w:t>c</w:t>
      </w:r>
      <w:r>
        <w:rPr>
          <w:lang w:eastAsia="en-AU"/>
        </w:rPr>
        <w:t>hapter 2, t</w:t>
      </w:r>
      <w:r w:rsidRPr="321C820A">
        <w:rPr>
          <w:lang w:eastAsia="en-AU"/>
        </w:rPr>
        <w:t>he current system</w:t>
      </w:r>
      <w:r>
        <w:rPr>
          <w:lang w:eastAsia="en-AU"/>
        </w:rPr>
        <w:t>’s</w:t>
      </w:r>
      <w:r w:rsidRPr="321C820A">
        <w:rPr>
          <w:lang w:eastAsia="en-AU"/>
        </w:rPr>
        <w:t xml:space="preserve"> </w:t>
      </w:r>
      <w:r>
        <w:rPr>
          <w:lang w:eastAsia="en-AU"/>
        </w:rPr>
        <w:t xml:space="preserve">use of the standard state benchmark as a new fiscal equalisation standard </w:t>
      </w:r>
      <w:r w:rsidRPr="321C820A">
        <w:rPr>
          <w:lang w:eastAsia="en-AU"/>
        </w:rPr>
        <w:t>weaken</w:t>
      </w:r>
      <w:r>
        <w:rPr>
          <w:lang w:eastAsia="en-AU"/>
        </w:rPr>
        <w:t>s</w:t>
      </w:r>
      <w:r w:rsidRPr="321C820A">
        <w:rPr>
          <w:lang w:eastAsia="en-AU"/>
        </w:rPr>
        <w:t xml:space="preserve"> the link between GST payments and relative fiscal need</w:t>
      </w:r>
      <w:r w:rsidRPr="321C820A" w:rsidDel="00132DE4">
        <w:rPr>
          <w:lang w:eastAsia="en-AU"/>
        </w:rPr>
        <w:t xml:space="preserve"> </w:t>
      </w:r>
      <w:r>
        <w:rPr>
          <w:lang w:eastAsia="en-AU"/>
        </w:rPr>
        <w:t>– undermining a key equity principle</w:t>
      </w:r>
      <w:r w:rsidRPr="321C820A">
        <w:rPr>
          <w:lang w:eastAsia="en-AU"/>
        </w:rPr>
        <w:t xml:space="preserve">. </w:t>
      </w:r>
    </w:p>
    <w:p w14:paraId="7E9BDD33" w14:textId="623F17EF" w:rsidR="000A62ED" w:rsidRDefault="000A62ED">
      <w:pPr>
        <w:pStyle w:val="BodyText"/>
        <w:rPr>
          <w:lang w:eastAsia="en-AU"/>
        </w:rPr>
      </w:pPr>
      <w:r w:rsidRPr="1143BF54">
        <w:rPr>
          <w:lang w:eastAsia="en-AU"/>
        </w:rPr>
        <w:t>The process of</w:t>
      </w:r>
      <w:r w:rsidRPr="1143BF54" w:rsidDel="001510D4">
        <w:rPr>
          <w:lang w:eastAsia="en-AU"/>
        </w:rPr>
        <w:t xml:space="preserve"> </w:t>
      </w:r>
      <w:r w:rsidRPr="1143BF54">
        <w:rPr>
          <w:lang w:eastAsia="en-AU"/>
        </w:rPr>
        <w:t xml:space="preserve">HFE should result in states </w:t>
      </w:r>
      <w:r>
        <w:rPr>
          <w:lang w:eastAsia="en-AU"/>
        </w:rPr>
        <w:t xml:space="preserve">that have </w:t>
      </w:r>
      <w:r w:rsidRPr="00B56BE1">
        <w:rPr>
          <w:i/>
          <w:iCs/>
          <w:lang w:eastAsia="en-AU"/>
        </w:rPr>
        <w:t>relative improvements</w:t>
      </w:r>
      <w:r>
        <w:rPr>
          <w:lang w:eastAsia="en-AU"/>
        </w:rPr>
        <w:t xml:space="preserve"> in their </w:t>
      </w:r>
      <w:r w:rsidRPr="1143BF54">
        <w:rPr>
          <w:lang w:eastAsia="en-AU"/>
        </w:rPr>
        <w:t xml:space="preserve">fiscal </w:t>
      </w:r>
      <w:r>
        <w:rPr>
          <w:lang w:eastAsia="en-AU"/>
        </w:rPr>
        <w:t xml:space="preserve">capacity </w:t>
      </w:r>
      <w:r w:rsidRPr="00B56BE1">
        <w:rPr>
          <w:i/>
          <w:iCs/>
          <w:lang w:eastAsia="en-AU"/>
        </w:rPr>
        <w:t>receiving less</w:t>
      </w:r>
      <w:r w:rsidRPr="1143BF54">
        <w:rPr>
          <w:lang w:eastAsia="en-AU"/>
        </w:rPr>
        <w:t xml:space="preserve"> relative fiscal support from </w:t>
      </w:r>
      <w:r>
        <w:rPr>
          <w:lang w:eastAsia="en-AU"/>
        </w:rPr>
        <w:t>GST payments,</w:t>
      </w:r>
      <w:r w:rsidRPr="1143BF54">
        <w:rPr>
          <w:lang w:eastAsia="en-AU"/>
        </w:rPr>
        <w:t xml:space="preserve"> </w:t>
      </w:r>
      <w:r>
        <w:rPr>
          <w:lang w:eastAsia="en-AU"/>
        </w:rPr>
        <w:t>and vice versa for states whose relative fiscal capacity worsens</w:t>
      </w:r>
      <w:r w:rsidRPr="1143BF54">
        <w:rPr>
          <w:lang w:eastAsia="en-AU"/>
        </w:rPr>
        <w:t xml:space="preserve">. </w:t>
      </w:r>
      <w:r w:rsidRPr="009270A4">
        <w:rPr>
          <w:lang w:eastAsia="en-AU"/>
        </w:rPr>
        <w:t xml:space="preserve">However, under the current system, there are cases where a state with greater fiscal capacity than the standard state (currently only Western Australia) could </w:t>
      </w:r>
      <w:r w:rsidRPr="009270A4">
        <w:rPr>
          <w:i/>
          <w:lang w:eastAsia="en-AU"/>
        </w:rPr>
        <w:t>improve</w:t>
      </w:r>
      <w:r w:rsidRPr="009270A4">
        <w:rPr>
          <w:lang w:eastAsia="en-AU"/>
        </w:rPr>
        <w:t xml:space="preserve"> its fiscal capacity relative to the standard state (currently New South Wales) and receive </w:t>
      </w:r>
      <w:r w:rsidRPr="009270A4">
        <w:rPr>
          <w:i/>
        </w:rPr>
        <w:t>more GST revenue</w:t>
      </w:r>
      <w:r w:rsidRPr="009270A4">
        <w:rPr>
          <w:lang w:eastAsia="en-AU"/>
        </w:rPr>
        <w:t>.</w:t>
      </w:r>
      <w:r w:rsidRPr="00686BBA">
        <w:rPr>
          <w:lang w:eastAsia="en-AU"/>
        </w:rPr>
        <w:t xml:space="preserve"> </w:t>
      </w:r>
      <w:r w:rsidRPr="009270A4">
        <w:rPr>
          <w:lang w:eastAsia="en-AU"/>
        </w:rPr>
        <w:t>There are also cases where the standard state’s fiscal capacity weaken</w:t>
      </w:r>
      <w:r>
        <w:rPr>
          <w:lang w:eastAsia="en-AU"/>
        </w:rPr>
        <w:t>s</w:t>
      </w:r>
      <w:r w:rsidR="00A7352E">
        <w:rPr>
          <w:lang w:eastAsia="en-AU"/>
        </w:rPr>
        <w:t xml:space="preserve"> </w:t>
      </w:r>
      <w:r w:rsidRPr="009270A4">
        <w:rPr>
          <w:lang w:eastAsia="en-AU"/>
        </w:rPr>
        <w:t>(for example, due to a natural disaster) result</w:t>
      </w:r>
      <w:r>
        <w:rPr>
          <w:lang w:eastAsia="en-AU"/>
        </w:rPr>
        <w:t>ing</w:t>
      </w:r>
      <w:r w:rsidRPr="009270A4">
        <w:rPr>
          <w:lang w:eastAsia="en-AU"/>
        </w:rPr>
        <w:t xml:space="preserve"> in states with a greater fiscal capacity than the standard state receiving more GST revenue.</w:t>
      </w:r>
      <w:r>
        <w:rPr>
          <w:lang w:eastAsia="en-AU"/>
        </w:rPr>
        <w:t xml:space="preserve"> </w:t>
      </w:r>
    </w:p>
    <w:p w14:paraId="3C81EEDB" w14:textId="77777777" w:rsidR="000A62ED" w:rsidRPr="004C5CAF" w:rsidRDefault="000A62ED" w:rsidP="004C5CAF">
      <w:pPr>
        <w:pStyle w:val="Heading3-noTOC"/>
      </w:pPr>
      <w:r w:rsidRPr="004C5CAF">
        <w:t>The pool boost has, so far, worsened the divergence of fiscal capacities</w:t>
      </w:r>
    </w:p>
    <w:p w14:paraId="5FB50ED0" w14:textId="77777777" w:rsidR="000A62ED" w:rsidRPr="000F42BB" w:rsidRDefault="000A62ED">
      <w:pPr>
        <w:pStyle w:val="BodyText"/>
        <w:rPr>
          <w:lang w:eastAsia="en-AU"/>
        </w:rPr>
      </w:pPr>
      <w:r w:rsidRPr="000F42BB">
        <w:rPr>
          <w:lang w:eastAsia="en-AU"/>
        </w:rPr>
        <w:t xml:space="preserve">To date, only the state with the highest fiscal capacity, Western Australia, has received higher GST revenues (compared to the pre-2018 system) because of the GST pool boost. As a result, the pool boost has effectively increased the divergence </w:t>
      </w:r>
      <w:r>
        <w:rPr>
          <w:lang w:eastAsia="en-AU"/>
        </w:rPr>
        <w:t>in</w:t>
      </w:r>
      <w:r w:rsidRPr="000F42BB">
        <w:rPr>
          <w:lang w:eastAsia="en-AU"/>
        </w:rPr>
        <w:t xml:space="preserve"> </w:t>
      </w:r>
      <w:r>
        <w:rPr>
          <w:lang w:eastAsia="en-AU"/>
        </w:rPr>
        <w:t xml:space="preserve">states’ </w:t>
      </w:r>
      <w:r w:rsidRPr="000F42BB">
        <w:rPr>
          <w:lang w:eastAsia="en-AU"/>
        </w:rPr>
        <w:t>fiscal capacities</w:t>
      </w:r>
      <w:r>
        <w:rPr>
          <w:lang w:eastAsia="en-AU"/>
        </w:rPr>
        <w:t xml:space="preserve"> </w:t>
      </w:r>
      <w:r w:rsidRPr="000F42BB">
        <w:rPr>
          <w:lang w:eastAsia="en-AU"/>
        </w:rPr>
        <w:t>– counter to the objective of HFE.</w:t>
      </w:r>
    </w:p>
    <w:p w14:paraId="400637CD" w14:textId="77777777" w:rsidR="000A62ED" w:rsidRPr="000F42BB" w:rsidRDefault="000A62ED">
      <w:pPr>
        <w:pStyle w:val="BodyText"/>
        <w:rPr>
          <w:lang w:eastAsia="en-AU"/>
        </w:rPr>
      </w:pPr>
      <w:r w:rsidRPr="000F42BB">
        <w:rPr>
          <w:lang w:eastAsia="en-AU"/>
        </w:rPr>
        <w:t xml:space="preserve">The </w:t>
      </w:r>
      <w:r>
        <w:rPr>
          <w:lang w:eastAsia="en-AU"/>
        </w:rPr>
        <w:t>NoWO</w:t>
      </w:r>
      <w:r w:rsidRPr="000F42BB">
        <w:rPr>
          <w:lang w:eastAsia="en-AU"/>
        </w:rPr>
        <w:t xml:space="preserve"> </w:t>
      </w:r>
      <w:r>
        <w:rPr>
          <w:lang w:eastAsia="en-AU"/>
        </w:rPr>
        <w:t>g</w:t>
      </w:r>
      <w:r w:rsidRPr="000F42BB">
        <w:rPr>
          <w:lang w:eastAsia="en-AU"/>
        </w:rPr>
        <w:t>uarantee ensures that a state cannot receive less GST revenue than it would have had none of the 2018 reforms been introduced –</w:t>
      </w:r>
      <w:r w:rsidRPr="000F42BB" w:rsidDel="00FC0FEC">
        <w:rPr>
          <w:lang w:eastAsia="en-AU"/>
        </w:rPr>
        <w:t xml:space="preserve"> including the pool boost</w:t>
      </w:r>
      <w:r w:rsidRPr="000F42BB">
        <w:rPr>
          <w:lang w:eastAsia="en-AU"/>
        </w:rPr>
        <w:t>. While the pool boost gives all states access to a larger GST pool, the new equalisation standard can require states with a fiscal capacity at or below the standard state to forego GST revenue. The increased revenue from the pool boost has been insufficient to offset the GST revenue foregone to increase Western Australia’s GST relativity for every state in every year since the introduction of the reforms. Because Western Australia has continued to have the greatest fiscal capacity by a substantial margin, it has been the only net beneficiary of the pool boost in total GST revenue terms.</w:t>
      </w:r>
    </w:p>
    <w:p w14:paraId="49977F13" w14:textId="5692B79D" w:rsidR="0080712D" w:rsidRPr="00873F29" w:rsidRDefault="000A62ED">
      <w:pPr>
        <w:pStyle w:val="BodyText"/>
        <w:rPr>
          <w:spacing w:val="-2"/>
          <w:lang w:eastAsia="en-AU"/>
        </w:rPr>
      </w:pPr>
      <w:r w:rsidRPr="00873F29">
        <w:rPr>
          <w:spacing w:val="-2"/>
          <w:lang w:eastAsia="en-AU"/>
        </w:rPr>
        <w:t xml:space="preserve">For states that require a NoWO payment, removal of the pool boost would leave their GST revenue unchanged, as it would be fully offset by an increase in NoWO payments. States that do not require a NoWO payment receive less GST revenue which would be a fiscal saving for the Australian Government. </w:t>
      </w:r>
    </w:p>
    <w:p w14:paraId="73819082" w14:textId="77777777" w:rsidR="000A62ED" w:rsidRDefault="000A62ED">
      <w:pPr>
        <w:pStyle w:val="BodyText"/>
        <w:rPr>
          <w:lang w:eastAsia="en-AU"/>
        </w:rPr>
      </w:pPr>
      <w:r>
        <w:rPr>
          <w:lang w:eastAsia="en-AU"/>
        </w:rPr>
        <w:t>If the NoWO guarantee does not continue and the pool boost was discontinued, all states would receive lower GST revenues, including Western Australia.</w:t>
      </w:r>
    </w:p>
    <w:p w14:paraId="4C91B52D" w14:textId="12FD8273" w:rsidR="000A62ED" w:rsidRPr="004C7C96" w:rsidRDefault="000A62ED">
      <w:pPr>
        <w:pStyle w:val="BodyText"/>
        <w:rPr>
          <w:lang w:eastAsia="en-AU"/>
        </w:rPr>
      </w:pPr>
      <w:r>
        <w:rPr>
          <w:lang w:eastAsia="en-AU"/>
        </w:rPr>
        <w:t>As explored in chapter 2, the intent of the pool boost – to make all states better off – has not been realised (</w:t>
      </w:r>
      <w:r w:rsidR="00F801EF">
        <w:rPr>
          <w:lang w:eastAsia="en-AU"/>
        </w:rPr>
        <w:t xml:space="preserve">interim </w:t>
      </w:r>
      <w:r>
        <w:rPr>
          <w:lang w:eastAsia="en-AU"/>
        </w:rPr>
        <w:t>finding 3.1).</w:t>
      </w:r>
    </w:p>
    <w:p w14:paraId="0CE05332" w14:textId="537AE360" w:rsidR="000A62ED" w:rsidRDefault="000A62ED">
      <w:pPr>
        <w:pStyle w:val="NoSpacing"/>
      </w:pPr>
    </w:p>
    <w:tbl>
      <w:tblPr>
        <w:tblStyle w:val="TableGrid"/>
        <w:tblW w:w="5000" w:type="pct"/>
        <w:tblBorders>
          <w:top w:val="single" w:sz="4" w:space="0" w:color="2B9AC2" w:themeColor="text2"/>
          <w:left w:val="single" w:sz="4" w:space="0" w:color="2B9AC2" w:themeColor="text2"/>
          <w:bottom w:val="single" w:sz="4" w:space="0" w:color="2B9AC2" w:themeColor="text2"/>
          <w:right w:val="single" w:sz="4" w:space="0" w:color="2B9AC2" w:themeColor="text2"/>
          <w:insideH w:val="none" w:sz="0" w:space="0" w:color="auto"/>
          <w:insideV w:val="none" w:sz="0" w:space="0" w:color="auto"/>
        </w:tblBorders>
        <w:tblCellMar>
          <w:bottom w:w="113" w:type="dxa"/>
        </w:tblCellMar>
        <w:tblLook w:val="04A0" w:firstRow="1" w:lastRow="0" w:firstColumn="1" w:lastColumn="0" w:noHBand="0" w:noVBand="1"/>
      </w:tblPr>
      <w:tblGrid>
        <w:gridCol w:w="705"/>
        <w:gridCol w:w="8923"/>
      </w:tblGrid>
      <w:tr w:rsidR="000A62ED" w14:paraId="131C215E" w14:textId="77777777">
        <w:trPr>
          <w:trHeight w:val="765"/>
          <w:tblHeader/>
        </w:trPr>
        <w:tc>
          <w:tcPr>
            <w:tcW w:w="366" w:type="pct"/>
            <w:tcBorders>
              <w:bottom w:val="nil"/>
            </w:tcBorders>
            <w:tcMar>
              <w:bottom w:w="0" w:type="dxa"/>
            </w:tcMar>
            <w:vAlign w:val="center"/>
          </w:tcPr>
          <w:p w14:paraId="14E46275" w14:textId="77777777" w:rsidR="000A62ED" w:rsidRDefault="000A62ED">
            <w:pPr>
              <w:pStyle w:val="NoSpacing"/>
              <w:keepNext/>
              <w:keepLines/>
              <w:jc w:val="right"/>
            </w:pPr>
            <w:r w:rsidRPr="00A51374">
              <w:rPr>
                <w:noProof/>
              </w:rPr>
              <w:drawing>
                <wp:inline distT="0" distB="0" distL="0" distR="0" wp14:anchorId="25873DF1" wp14:editId="505FFD79">
                  <wp:extent cx="288000" cy="288000"/>
                  <wp:effectExtent l="0" t="0" r="0" b="0"/>
                  <wp:docPr id="1" name="Graphic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phic 39">
                            <a:extLst>
                              <a:ext uri="{C183D7F6-B498-43B3-948B-1728B52AA6E4}">
                                <adec:decorative xmlns:adec="http://schemas.microsoft.com/office/drawing/2017/decorative" val="1"/>
                              </a:ext>
                            </a:extLst>
                          </pic:cNvPr>
                          <pic:cNvPicPr/>
                        </pic:nvPicPr>
                        <pic:blipFill>
                          <a:blip r:embed="rId59">
                            <a:extLst>
                              <a:ext uri="{28A0092B-C50C-407E-A947-70E740481C1C}">
                                <a14:useLocalDpi xmlns:a14="http://schemas.microsoft.com/office/drawing/2010/main" val="0"/>
                              </a:ext>
                            </a:extLst>
                          </a:blip>
                          <a:stretch>
                            <a:fillRect/>
                          </a:stretch>
                        </pic:blipFill>
                        <pic:spPr>
                          <a:xfrm>
                            <a:off x="0" y="0"/>
                            <a:ext cx="288000" cy="288000"/>
                          </a:xfrm>
                          <a:prstGeom prst="rect">
                            <a:avLst/>
                          </a:prstGeom>
                        </pic:spPr>
                      </pic:pic>
                    </a:graphicData>
                  </a:graphic>
                </wp:inline>
              </w:drawing>
            </w:r>
          </w:p>
        </w:tc>
        <w:tc>
          <w:tcPr>
            <w:tcW w:w="4634" w:type="pct"/>
            <w:tcBorders>
              <w:bottom w:val="nil"/>
            </w:tcBorders>
            <w:tcMar>
              <w:bottom w:w="0" w:type="dxa"/>
            </w:tcMar>
            <w:vAlign w:val="center"/>
          </w:tcPr>
          <w:p w14:paraId="18A1EC50" w14:textId="1B00855E" w:rsidR="000A62ED" w:rsidRPr="00A4395A" w:rsidRDefault="00EB633B">
            <w:pPr>
              <w:pStyle w:val="Findingtitle"/>
            </w:pPr>
            <w:r>
              <w:t>Interim f</w:t>
            </w:r>
            <w:r w:rsidR="000A62ED" w:rsidRPr="00A4395A">
              <w:t xml:space="preserve">inding </w:t>
            </w:r>
            <w:fldSimple w:instr=" STYLEREF 1 \s ">
              <w:r w:rsidR="009C08C4">
                <w:rPr>
                  <w:noProof/>
                </w:rPr>
                <w:t>3</w:t>
              </w:r>
            </w:fldSimple>
            <w:r w:rsidR="000A62ED" w:rsidRPr="00A4395A">
              <w:t>.</w:t>
            </w:r>
            <w:fldSimple w:instr=" SEQ Finding \* ARABIC \s 1 ">
              <w:r w:rsidR="009C08C4">
                <w:rPr>
                  <w:noProof/>
                </w:rPr>
                <w:t>1</w:t>
              </w:r>
            </w:fldSimple>
          </w:p>
          <w:p w14:paraId="16F36952" w14:textId="486AA8EF" w:rsidR="000A62ED" w:rsidRDefault="000A62ED">
            <w:pPr>
              <w:pStyle w:val="Findingtitle"/>
            </w:pPr>
            <w:r>
              <w:t>The GST pool boost has, so far, contributed to a divergence in fiscal capacities between the states and failed to meet its intent</w:t>
            </w:r>
          </w:p>
        </w:tc>
      </w:tr>
      <w:tr w:rsidR="000A62ED" w14:paraId="55A6B193" w14:textId="77777777">
        <w:tc>
          <w:tcPr>
            <w:tcW w:w="5000" w:type="pct"/>
            <w:gridSpan w:val="2"/>
            <w:tcBorders>
              <w:top w:val="nil"/>
              <w:bottom w:val="single" w:sz="4" w:space="0" w:color="2B9AC2" w:themeColor="text2"/>
            </w:tcBorders>
          </w:tcPr>
          <w:p w14:paraId="3938DDED" w14:textId="763C13A8" w:rsidR="000A62ED" w:rsidRDefault="000A62ED">
            <w:pPr>
              <w:pStyle w:val="BodyText"/>
              <w:keepLines/>
            </w:pPr>
            <w:r>
              <w:t>Because</w:t>
            </w:r>
            <w:r w:rsidRPr="00903E77">
              <w:t xml:space="preserve"> all states except Western Australia have received No Worse Off (NoWO) payments since the introduction of the pool boost, it has only increased Western Australia’s GST revenue. This is both contrary to the intent of the reform (to make every state better off) and to the objective of </w:t>
            </w:r>
            <w:r w:rsidR="00FC34AD">
              <w:t>horizontal fiscal equalisation</w:t>
            </w:r>
            <w:r w:rsidRPr="00903E77">
              <w:t xml:space="preserve"> (by increasing fiscal divergence between the states).</w:t>
            </w:r>
          </w:p>
        </w:tc>
      </w:tr>
      <w:tr w:rsidR="000A62ED" w14:paraId="070B8BCA" w14:textId="77777777">
        <w:tc>
          <w:tcPr>
            <w:tcW w:w="5000" w:type="pct"/>
            <w:gridSpan w:val="2"/>
            <w:tcBorders>
              <w:top w:val="single" w:sz="4" w:space="0" w:color="2B9AC2" w:themeColor="text2"/>
              <w:left w:val="nil"/>
              <w:bottom w:val="nil"/>
              <w:right w:val="nil"/>
            </w:tcBorders>
            <w:tcMar>
              <w:bottom w:w="0" w:type="dxa"/>
            </w:tcMar>
          </w:tcPr>
          <w:p w14:paraId="76F7447E" w14:textId="2C71C4E0" w:rsidR="000A62ED" w:rsidRDefault="000A62ED">
            <w:pPr>
              <w:pStyle w:val="NoSpacing"/>
              <w:spacing w:line="200" w:lineRule="atLeast"/>
            </w:pPr>
          </w:p>
        </w:tc>
      </w:tr>
    </w:tbl>
    <w:p w14:paraId="60FE7B27" w14:textId="77777777" w:rsidR="000A62ED" w:rsidRDefault="000A62ED" w:rsidP="003D5906">
      <w:pPr>
        <w:pStyle w:val="Heading2"/>
        <w:numPr>
          <w:ilvl w:val="2"/>
          <w:numId w:val="18"/>
        </w:numPr>
      </w:pPr>
      <w:bookmarkStart w:id="37" w:name="_Toc236904071"/>
      <w:r>
        <w:lastRenderedPageBreak/>
        <w:t>HFE is broadly policy neutral</w:t>
      </w:r>
      <w:bookmarkEnd w:id="37"/>
    </w:p>
    <w:p w14:paraId="1DC77EE8" w14:textId="77777777" w:rsidR="000A62ED" w:rsidRPr="00A91551" w:rsidRDefault="000A62ED">
      <w:pPr>
        <w:pStyle w:val="BodyText"/>
      </w:pPr>
      <w:r w:rsidRPr="00072BE1">
        <w:t>The greater the extent to which a HFE system influences state government policy choices the lower its efficiency (</w:t>
      </w:r>
      <w:r>
        <w:t>a</w:t>
      </w:r>
      <w:r w:rsidRPr="00D309E8">
        <w:t>ppendix B</w:t>
      </w:r>
      <w:r>
        <w:t xml:space="preserve">). </w:t>
      </w:r>
      <w:r w:rsidRPr="00072BE1">
        <w:t>Any potential effects are likely to be at the margin, given that state governments are influenced by a number of factors when making policy choices, including improving overall social and economic outcomes for their populations and</w:t>
      </w:r>
      <w:r w:rsidRPr="00072BE1" w:rsidDel="00471EA9">
        <w:t xml:space="preserve"> </w:t>
      </w:r>
      <w:r w:rsidRPr="00072BE1">
        <w:t>managing community concerns.</w:t>
      </w:r>
      <w:r w:rsidRPr="00FA0AB3">
        <w:t xml:space="preserve"> </w:t>
      </w:r>
    </w:p>
    <w:p w14:paraId="095C47CD" w14:textId="04A4EA44" w:rsidR="000A62ED" w:rsidRPr="003317FB" w:rsidRDefault="000A62ED">
      <w:pPr>
        <w:pStyle w:val="BodyText"/>
        <w:rPr>
          <w:lang w:eastAsia="en-AU"/>
        </w:rPr>
      </w:pPr>
      <w:r>
        <w:t xml:space="preserve">The CGC aims to be policy neutral in its application of HFE </w:t>
      </w:r>
      <w:r w:rsidR="00546FEC" w:rsidRPr="00546FEC">
        <w:rPr>
          <w:rFonts w:cs="Open Sans"/>
        </w:rPr>
        <w:t>(CGC 2021a, p. 1)</w:t>
      </w:r>
      <w:r>
        <w:t xml:space="preserve">. GST shares are intended to reflect differences in states’ underlying fiscal capacity, not differences in their policy choices. </w:t>
      </w:r>
      <w:r w:rsidRPr="003317FB">
        <w:rPr>
          <w:lang w:eastAsia="en-AU"/>
        </w:rPr>
        <w:t xml:space="preserve">In practice, policy choices can still affect GST shares if they change the average policy used in CGC assessments. </w:t>
      </w:r>
      <w:r w:rsidRPr="004B0E33">
        <w:rPr>
          <w:lang w:eastAsia="en-AU"/>
        </w:rPr>
        <w:t>These effects are usually modest but can be larger where the assessed base is highly concentrated in one state, such as mining royalties or if a policy tax change occurs</w:t>
      </w:r>
      <w:r w:rsidRPr="001C40DF">
        <w:rPr>
          <w:lang w:eastAsia="en-AU"/>
        </w:rPr>
        <w:t xml:space="preserve"> (</w:t>
      </w:r>
      <w:r w:rsidRPr="00B700C5">
        <w:t xml:space="preserve">appendix </w:t>
      </w:r>
      <w:r w:rsidRPr="0066561A">
        <w:rPr>
          <w:lang w:eastAsia="en-AU"/>
        </w:rPr>
        <w:t>C).</w:t>
      </w:r>
      <w:r>
        <w:rPr>
          <w:lang w:eastAsia="en-AU"/>
        </w:rPr>
        <w:t xml:space="preserve"> It is important to note that the CGC does not ‘take away’ GST revenue from a state that makes a reform, rather the distribution of GST revenue change depending on the change to each state’s relative fiscal capacity.</w:t>
      </w:r>
    </w:p>
    <w:p w14:paraId="343B3BD2" w14:textId="77777777" w:rsidR="000A62ED" w:rsidRDefault="000A62ED">
      <w:pPr>
        <w:pStyle w:val="Heading3"/>
        <w:rPr>
          <w:lang w:eastAsia="en-AU"/>
        </w:rPr>
      </w:pPr>
      <w:r>
        <w:rPr>
          <w:lang w:eastAsia="en-AU"/>
        </w:rPr>
        <w:t>HFE</w:t>
      </w:r>
      <w:r w:rsidRPr="00E560A6">
        <w:rPr>
          <w:lang w:eastAsia="en-AU"/>
        </w:rPr>
        <w:t xml:space="preserve"> does not reward hi</w:t>
      </w:r>
      <w:r>
        <w:rPr>
          <w:lang w:eastAsia="en-AU"/>
        </w:rPr>
        <w:t>gher spending states</w:t>
      </w:r>
    </w:p>
    <w:p w14:paraId="5F72B18B" w14:textId="77777777" w:rsidR="000A62ED" w:rsidRDefault="000A62ED">
      <w:pPr>
        <w:pStyle w:val="BodyText"/>
        <w:rPr>
          <w:lang w:eastAsia="en-AU"/>
        </w:rPr>
      </w:pPr>
      <w:r w:rsidRPr="00CD13F7">
        <w:rPr>
          <w:lang w:eastAsia="en-AU"/>
        </w:rPr>
        <w:t>The CGC assesses what each state would need to spend to provide services at the average standard, assuming average policy and average efficiency. A state that chooses to spend more on a service still bears the direct budget cost of that decision. Its GST share can only change indirectly, by changing the average expense</w:t>
      </w:r>
      <w:r>
        <w:rPr>
          <w:lang w:eastAsia="en-AU"/>
        </w:rPr>
        <w:t xml:space="preserve"> per capita</w:t>
      </w:r>
      <w:r w:rsidRPr="00CD13F7">
        <w:rPr>
          <w:lang w:eastAsia="en-AU"/>
        </w:rPr>
        <w:t xml:space="preserve"> used in the assessment or a measured driver of spending need.</w:t>
      </w:r>
    </w:p>
    <w:p w14:paraId="4E11FB8F" w14:textId="77777777" w:rsidR="000A62ED" w:rsidRDefault="000A62ED">
      <w:pPr>
        <w:pStyle w:val="BodyText"/>
        <w:rPr>
          <w:lang w:eastAsia="en-AU"/>
        </w:rPr>
      </w:pPr>
      <w:r>
        <w:rPr>
          <w:lang w:eastAsia="en-AU"/>
        </w:rPr>
        <w:t xml:space="preserve">The impacts of changes in </w:t>
      </w:r>
      <w:r w:rsidRPr="003C611E">
        <w:rPr>
          <w:lang w:eastAsia="en-AU"/>
        </w:rPr>
        <w:t xml:space="preserve">service delivery </w:t>
      </w:r>
      <w:r>
        <w:rPr>
          <w:lang w:eastAsia="en-AU"/>
        </w:rPr>
        <w:t xml:space="preserve">spending on GST payments </w:t>
      </w:r>
      <w:r w:rsidRPr="003C611E">
        <w:rPr>
          <w:lang w:eastAsia="en-AU"/>
        </w:rPr>
        <w:t xml:space="preserve">are small on average. </w:t>
      </w:r>
      <w:r w:rsidRPr="00B6575E">
        <w:rPr>
          <w:lang w:eastAsia="en-AU"/>
        </w:rPr>
        <w:t>Under the current system without NoWO payments, the PC estimates the weighted average effect for expense assessments is about 1%.</w:t>
      </w:r>
      <w:r w:rsidRPr="00201B0D">
        <w:rPr>
          <w:rStyle w:val="FootnoteReference"/>
        </w:rPr>
        <w:footnoteReference w:id="35"/>
      </w:r>
      <w:r w:rsidRPr="00B6575E">
        <w:rPr>
          <w:lang w:eastAsia="en-AU"/>
        </w:rPr>
        <w:t xml:space="preserve"> Put differently, a $100 change in spending by a state would change that state’s GST payments by about $1 (increase or decrease) over the course of </w:t>
      </w:r>
      <w:r w:rsidRPr="006E56C1">
        <w:rPr>
          <w:lang w:eastAsia="en-AU"/>
        </w:rPr>
        <w:t>3</w:t>
      </w:r>
      <w:r w:rsidRPr="00B6575E">
        <w:rPr>
          <w:lang w:eastAsia="en-AU"/>
        </w:rPr>
        <w:t xml:space="preserve"> years, all else equal.</w:t>
      </w:r>
      <w:r w:rsidRPr="003C611E">
        <w:rPr>
          <w:lang w:eastAsia="en-AU"/>
        </w:rPr>
        <w:t xml:space="preserve"> </w:t>
      </w:r>
    </w:p>
    <w:p w14:paraId="22EC8387" w14:textId="41DDA6F0" w:rsidR="000A62ED" w:rsidRPr="001F21B4" w:rsidRDefault="000A62ED">
      <w:pPr>
        <w:pStyle w:val="BodyText"/>
        <w:rPr>
          <w:spacing w:val="-2"/>
          <w:lang w:eastAsia="en-AU"/>
        </w:rPr>
      </w:pPr>
      <w:r w:rsidRPr="001F21B4">
        <w:rPr>
          <w:spacing w:val="-2"/>
          <w:lang w:eastAsia="en-AU"/>
        </w:rPr>
        <w:t xml:space="preserve">This conclusion is consistent with both the 2012 </w:t>
      </w:r>
      <w:r w:rsidRPr="001F21B4">
        <w:rPr>
          <w:i/>
          <w:spacing w:val="-2"/>
          <w:lang w:eastAsia="en-AU"/>
        </w:rPr>
        <w:t>GST Distribution Review</w:t>
      </w:r>
      <w:r w:rsidRPr="001F21B4">
        <w:rPr>
          <w:spacing w:val="-2"/>
          <w:lang w:eastAsia="en-AU"/>
        </w:rPr>
        <w:t xml:space="preserve"> (2012) and the PC’s 2018 inquiry into </w:t>
      </w:r>
      <w:r w:rsidRPr="001F21B4">
        <w:rPr>
          <w:i/>
          <w:spacing w:val="-2"/>
          <w:lang w:eastAsia="en-AU"/>
        </w:rPr>
        <w:t xml:space="preserve">Horizontal Fiscal Equalisation </w:t>
      </w:r>
      <w:r w:rsidRPr="001F21B4">
        <w:rPr>
          <w:spacing w:val="-2"/>
          <w:lang w:eastAsia="en-AU"/>
        </w:rPr>
        <w:t xml:space="preserve">(2018). The 2012 Review considered expenditure-side incentives directly and rejected expenditure efficiency discounts, noting that higher assessed expenditure needs can reflect factors beyond a state’s control rather than inefficiency </w:t>
      </w:r>
      <w:r w:rsidRPr="001F21B4">
        <w:rPr>
          <w:rFonts w:cs="Open Sans"/>
          <w:spacing w:val="-2"/>
        </w:rPr>
        <w:t>(Commonwealth of Australia 2012, pp. 47–50)</w:t>
      </w:r>
      <w:r w:rsidRPr="001F21B4">
        <w:rPr>
          <w:spacing w:val="-2"/>
          <w:lang w:eastAsia="en-AU"/>
        </w:rPr>
        <w:t xml:space="preserve">. The PC similarly found that service delivery policy changes can affect GST payments, but that the impacts are mostly trivial and unlikely to materially affect service delivery efficiency </w:t>
      </w:r>
      <w:r w:rsidRPr="001F21B4">
        <w:rPr>
          <w:rFonts w:cs="Open Sans"/>
          <w:spacing w:val="-2"/>
        </w:rPr>
        <w:t>(PC 2018, pp. 16–17, 37)</w:t>
      </w:r>
      <w:r w:rsidRPr="001F21B4">
        <w:rPr>
          <w:spacing w:val="-2"/>
          <w:lang w:eastAsia="en-AU"/>
        </w:rPr>
        <w:t>.</w:t>
      </w:r>
    </w:p>
    <w:p w14:paraId="667E9F11" w14:textId="77777777" w:rsidR="000A62ED" w:rsidRDefault="000A62ED">
      <w:pPr>
        <w:pStyle w:val="BodyText"/>
        <w:rPr>
          <w:lang w:eastAsia="en-AU"/>
        </w:rPr>
      </w:pPr>
      <w:r w:rsidRPr="00B6575E">
        <w:rPr>
          <w:lang w:eastAsia="en-AU"/>
        </w:rPr>
        <w:t>Some expense categories can have larger state-specific effects, particularly where spending is concentrated or where one state has a large influence on the national average. These include First Nations community development, electricity subsidies for remote communities and water services for small communities. But these are not typical of the expenditure assessment overall. The largest service delivery categories such as schools, health, justice, roads and transport generally involve large direct costs and service obligations that will dominate any changes to GST payments</w:t>
      </w:r>
      <w:r w:rsidRPr="00D3218C">
        <w:rPr>
          <w:lang w:eastAsia="en-AU"/>
        </w:rPr>
        <w:t>.</w:t>
      </w:r>
      <w:r w:rsidRPr="004E7C5B">
        <w:rPr>
          <w:lang w:eastAsia="en-AU"/>
        </w:rPr>
        <w:t xml:space="preserve"> </w:t>
      </w:r>
    </w:p>
    <w:p w14:paraId="22A944E4" w14:textId="77777777" w:rsidR="000A62ED" w:rsidRPr="00FD5767" w:rsidRDefault="000A62ED">
      <w:pPr>
        <w:pStyle w:val="BodyText"/>
        <w:rPr>
          <w:lang w:eastAsia="en-AU"/>
        </w:rPr>
      </w:pPr>
      <w:r w:rsidRPr="00FD5767">
        <w:rPr>
          <w:lang w:eastAsia="en-AU"/>
        </w:rPr>
        <w:t xml:space="preserve">Broader community benefits </w:t>
      </w:r>
      <w:r>
        <w:rPr>
          <w:lang w:eastAsia="en-AU"/>
        </w:rPr>
        <w:t>are likely to</w:t>
      </w:r>
      <w:r w:rsidRPr="00FD5767">
        <w:rPr>
          <w:lang w:eastAsia="en-AU"/>
        </w:rPr>
        <w:t xml:space="preserve"> outweigh these small </w:t>
      </w:r>
      <w:r>
        <w:rPr>
          <w:lang w:eastAsia="en-AU"/>
        </w:rPr>
        <w:t>changes to GST payments</w:t>
      </w:r>
      <w:r w:rsidRPr="00FD5767">
        <w:rPr>
          <w:lang w:eastAsia="en-AU"/>
        </w:rPr>
        <w:t xml:space="preserve">. A state that improves health, education, justice or transport services receives the benefits of better outcomes, reduced long-run costs or higher productivity. A state that delivers a service more efficiently keeps the direct fiscal saving. Any </w:t>
      </w:r>
      <w:r>
        <w:rPr>
          <w:lang w:eastAsia="en-AU"/>
        </w:rPr>
        <w:t>impact to GST payments is</w:t>
      </w:r>
      <w:r w:rsidRPr="00FD5767">
        <w:rPr>
          <w:lang w:eastAsia="en-AU"/>
        </w:rPr>
        <w:t xml:space="preserve"> lagged, uncertain and generally small relative to those direct benefits.</w:t>
      </w:r>
      <w:r>
        <w:rPr>
          <w:lang w:eastAsia="en-AU"/>
        </w:rPr>
        <w:t xml:space="preserve"> These effects are likely to be of similar magnitude whether or not the no worse off guarantee was made permanent.</w:t>
      </w:r>
    </w:p>
    <w:p w14:paraId="52C4A004" w14:textId="77777777" w:rsidR="000A62ED" w:rsidRDefault="000A62ED">
      <w:pPr>
        <w:pStyle w:val="Heading4"/>
        <w:rPr>
          <w:iCs w:val="0"/>
          <w:color w:val="207291" w:themeColor="text2" w:themeShade="BF"/>
          <w:sz w:val="26"/>
          <w:szCs w:val="37"/>
          <w:lang w:eastAsia="en-AU"/>
        </w:rPr>
      </w:pPr>
      <w:r w:rsidRPr="003E3173">
        <w:rPr>
          <w:iCs w:val="0"/>
          <w:color w:val="207291" w:themeColor="text2" w:themeShade="BF"/>
          <w:sz w:val="26"/>
          <w:szCs w:val="37"/>
          <w:lang w:eastAsia="en-AU"/>
        </w:rPr>
        <w:lastRenderedPageBreak/>
        <w:t xml:space="preserve">Revenue choices </w:t>
      </w:r>
      <w:r>
        <w:rPr>
          <w:iCs w:val="0"/>
          <w:color w:val="207291" w:themeColor="text2" w:themeShade="BF"/>
          <w:sz w:val="26"/>
          <w:szCs w:val="37"/>
          <w:lang w:eastAsia="en-AU"/>
        </w:rPr>
        <w:t xml:space="preserve">can result in larger changes to GST payments </w:t>
      </w:r>
      <w:r w:rsidRPr="003E3173">
        <w:rPr>
          <w:iCs w:val="0"/>
          <w:color w:val="207291" w:themeColor="text2" w:themeShade="BF"/>
          <w:sz w:val="26"/>
          <w:szCs w:val="37"/>
          <w:lang w:eastAsia="en-AU"/>
        </w:rPr>
        <w:t>than spending choices, but effects are usually modest outside mining</w:t>
      </w:r>
    </w:p>
    <w:p w14:paraId="5C3B9457" w14:textId="7E669BC0" w:rsidR="00DD0277" w:rsidRPr="005B7661" w:rsidRDefault="000A62ED">
      <w:pPr>
        <w:pStyle w:val="BodyText"/>
        <w:rPr>
          <w:spacing w:val="-4"/>
          <w:lang w:eastAsia="en-AU"/>
        </w:rPr>
      </w:pPr>
      <w:r w:rsidRPr="005B7661">
        <w:rPr>
          <w:spacing w:val="-4"/>
          <w:lang w:eastAsia="en-AU"/>
        </w:rPr>
        <w:t>The effect of revenue choices on GST payments are usually modest outside mining, but they are more visible than on the expenditure side in some cases (</w:t>
      </w:r>
      <w:r w:rsidR="00445D04" w:rsidRPr="005B7661">
        <w:rPr>
          <w:spacing w:val="-4"/>
        </w:rPr>
        <w:t xml:space="preserve">table </w:t>
      </w:r>
      <w:r w:rsidR="00445D04" w:rsidRPr="005B7661">
        <w:rPr>
          <w:noProof/>
          <w:spacing w:val="-4"/>
        </w:rPr>
        <w:t>3</w:t>
      </w:r>
      <w:r w:rsidR="00445D04" w:rsidRPr="005B7661">
        <w:rPr>
          <w:spacing w:val="-4"/>
        </w:rPr>
        <w:t>.</w:t>
      </w:r>
      <w:r w:rsidR="00445D04" w:rsidRPr="005B7661">
        <w:rPr>
          <w:noProof/>
          <w:spacing w:val="-4"/>
        </w:rPr>
        <w:t>1</w:t>
      </w:r>
      <w:r w:rsidRPr="005B7661">
        <w:rPr>
          <w:spacing w:val="-4"/>
          <w:lang w:eastAsia="en-AU"/>
        </w:rPr>
        <w:t>). For non-mining taxes, the average effect under the current system without NoWO payments is around $1.10 for every $100 of additional revenue raised by increasing tax rates. With</w:t>
      </w:r>
      <w:r w:rsidRPr="005B7661" w:rsidDel="00FA0EB6">
        <w:rPr>
          <w:spacing w:val="-4"/>
          <w:lang w:eastAsia="en-AU"/>
        </w:rPr>
        <w:t xml:space="preserve"> </w:t>
      </w:r>
      <w:r w:rsidRPr="005B7661">
        <w:rPr>
          <w:spacing w:val="-4"/>
          <w:lang w:eastAsia="en-AU"/>
        </w:rPr>
        <w:t xml:space="preserve">NoWO payments the average effect for non-mining changes is similar, but the average effect for mining-related changes is larger. In both cases this represents a marginal improvement compared to equalisation under the pre-2018 system, although incentives have mostly only improved for Western Australia, which causes bigger redistributions in GST revenue or NoWO payments due to being dominant in the mining assessment. This is larger than the average effect for expense assessments, but still small relative to the direct fiscal and political costs of changing tax policy. </w:t>
      </w:r>
    </w:p>
    <w:p w14:paraId="29E2C7BF" w14:textId="77777777" w:rsidR="00AE15A3" w:rsidRDefault="00AE15A3" w:rsidP="00AE15A3">
      <w:pPr>
        <w:pStyle w:val="BodyText"/>
        <w:rPr>
          <w:lang w:eastAsia="en-AU"/>
        </w:rPr>
      </w:pPr>
      <w:r>
        <w:rPr>
          <w:lang w:eastAsia="en-AU"/>
        </w:rPr>
        <w:t>T</w:t>
      </w:r>
      <w:r w:rsidRPr="00FF0A36">
        <w:rPr>
          <w:lang w:eastAsia="en-AU"/>
        </w:rPr>
        <w:t>hese averages should not be read as the effect faced by every state</w:t>
      </w:r>
      <w:r w:rsidRPr="00FF0A36" w:rsidDel="00A541EE">
        <w:rPr>
          <w:lang w:eastAsia="en-AU"/>
        </w:rPr>
        <w:t xml:space="preserve">. </w:t>
      </w:r>
      <w:r>
        <w:rPr>
          <w:lang w:eastAsia="en-AU"/>
        </w:rPr>
        <w:t>For example,</w:t>
      </w:r>
      <w:r w:rsidRPr="00FF0A36">
        <w:rPr>
          <w:lang w:eastAsia="en-AU"/>
        </w:rPr>
        <w:t xml:space="preserve"> </w:t>
      </w:r>
      <w:r>
        <w:rPr>
          <w:lang w:eastAsia="en-AU"/>
        </w:rPr>
        <w:t xml:space="preserve">some states have higher GST rate effects in </w:t>
      </w:r>
      <w:r w:rsidRPr="00FF0A36">
        <w:rPr>
          <w:lang w:eastAsia="en-AU"/>
        </w:rPr>
        <w:t xml:space="preserve">land tax </w:t>
      </w:r>
      <w:r>
        <w:rPr>
          <w:lang w:eastAsia="en-AU"/>
        </w:rPr>
        <w:t xml:space="preserve">(New South Wales) </w:t>
      </w:r>
      <w:r w:rsidRPr="00FF0A36">
        <w:rPr>
          <w:lang w:eastAsia="en-AU"/>
        </w:rPr>
        <w:t>and mining revenue</w:t>
      </w:r>
      <w:r>
        <w:rPr>
          <w:lang w:eastAsia="en-AU"/>
        </w:rPr>
        <w:t xml:space="preserve"> (Queensland, Western Australia and South Australia)</w:t>
      </w:r>
      <w:r w:rsidRPr="00FF0A36">
        <w:rPr>
          <w:lang w:eastAsia="en-AU"/>
        </w:rPr>
        <w:t>. For broad-based taxes, state effects are generally clustered close</w:t>
      </w:r>
      <w:r>
        <w:rPr>
          <w:lang w:eastAsia="en-AU"/>
        </w:rPr>
        <w:t>r</w:t>
      </w:r>
      <w:r w:rsidRPr="00FF0A36">
        <w:rPr>
          <w:lang w:eastAsia="en-AU"/>
        </w:rPr>
        <w:t xml:space="preserve"> to zero, reinforcing the conclusion that </w:t>
      </w:r>
      <w:r>
        <w:rPr>
          <w:lang w:eastAsia="en-AU"/>
        </w:rPr>
        <w:t xml:space="preserve">impacts on GST payments </w:t>
      </w:r>
      <w:r w:rsidRPr="00FF0A36">
        <w:rPr>
          <w:lang w:eastAsia="en-AU"/>
        </w:rPr>
        <w:t>are usually marginal.</w:t>
      </w:r>
    </w:p>
    <w:p w14:paraId="7C15C070" w14:textId="77777777" w:rsidR="00AE15A3" w:rsidRPr="009D71D8" w:rsidRDefault="00AE15A3" w:rsidP="00AE15A3">
      <w:pPr>
        <w:pStyle w:val="BodyText"/>
        <w:rPr>
          <w:lang w:eastAsia="en-AU"/>
        </w:rPr>
      </w:pPr>
      <w:r w:rsidRPr="009D71D8">
        <w:rPr>
          <w:lang w:eastAsia="en-AU"/>
        </w:rPr>
        <w:t xml:space="preserve">These results suggest that </w:t>
      </w:r>
      <w:r>
        <w:rPr>
          <w:lang w:eastAsia="en-AU"/>
        </w:rPr>
        <w:t>given impacts on GST payments</w:t>
      </w:r>
      <w:r w:rsidRPr="009D71D8">
        <w:rPr>
          <w:lang w:eastAsia="en-AU"/>
        </w:rPr>
        <w:t xml:space="preserve"> </w:t>
      </w:r>
      <w:r>
        <w:rPr>
          <w:lang w:eastAsia="en-AU"/>
        </w:rPr>
        <w:t xml:space="preserve">are generally small, they </w:t>
      </w:r>
      <w:r w:rsidRPr="009D71D8">
        <w:rPr>
          <w:lang w:eastAsia="en-AU"/>
        </w:rPr>
        <w:t>c</w:t>
      </w:r>
      <w:r>
        <w:rPr>
          <w:lang w:eastAsia="en-AU"/>
        </w:rPr>
        <w:t>ould</w:t>
      </w:r>
      <w:r w:rsidRPr="009D71D8">
        <w:rPr>
          <w:lang w:eastAsia="en-AU"/>
        </w:rPr>
        <w:t xml:space="preserve"> influence tax reform incentives, but </w:t>
      </w:r>
      <w:r>
        <w:rPr>
          <w:lang w:eastAsia="en-AU"/>
        </w:rPr>
        <w:t>potentially only</w:t>
      </w:r>
      <w:r w:rsidRPr="009D71D8">
        <w:rPr>
          <w:lang w:eastAsia="en-AU"/>
        </w:rPr>
        <w:t xml:space="preserve"> at the margin. </w:t>
      </w:r>
      <w:r w:rsidRPr="00B6575E">
        <w:rPr>
          <w:lang w:eastAsia="en-AU"/>
        </w:rPr>
        <w:t>A state that raises a broad-based tax only sees a relatively small reduction in its GST share. A state that cuts an inefficient tax still faces the main fiscal constraint directly: it must replace the revenue or reduce spending. Outside mining, the impacts on GST payments are generally too small to be the main driver of reform choices.</w:t>
      </w:r>
    </w:p>
    <w:p w14:paraId="189F679A" w14:textId="5F138FD2" w:rsidR="00AE15A3" w:rsidRDefault="00AE15A3">
      <w:pPr>
        <w:pStyle w:val="BodyText"/>
      </w:pPr>
      <w:r>
        <w:t>This is consistent with</w:t>
      </w:r>
      <w:r w:rsidDel="00C62919">
        <w:t xml:space="preserve"> </w:t>
      </w:r>
      <w:r>
        <w:t xml:space="preserve">PC analysis of tax reform activity across the states, both before and after the 2018 </w:t>
      </w:r>
      <w:r w:rsidDel="00C62919">
        <w:t>reforms</w:t>
      </w:r>
      <w:r w:rsidRPr="00242927">
        <w:t xml:space="preserve">. The </w:t>
      </w:r>
      <w:r>
        <w:t>average number</w:t>
      </w:r>
      <w:r w:rsidRPr="00242927" w:rsidDel="00D20B30">
        <w:t xml:space="preserve"> </w:t>
      </w:r>
      <w:r w:rsidRPr="00242927">
        <w:t>of tax changes recorded in N</w:t>
      </w:r>
      <w:r>
        <w:t xml:space="preserve">ew </w:t>
      </w:r>
      <w:r w:rsidRPr="00242927">
        <w:t>S</w:t>
      </w:r>
      <w:r>
        <w:t xml:space="preserve">outh </w:t>
      </w:r>
      <w:r w:rsidRPr="00242927">
        <w:t>W</w:t>
      </w:r>
      <w:r>
        <w:t>ales’s</w:t>
      </w:r>
      <w:r w:rsidRPr="00242927">
        <w:t xml:space="preserve"> </w:t>
      </w:r>
      <w:r>
        <w:rPr>
          <w:i/>
          <w:iCs/>
        </w:rPr>
        <w:t>I</w:t>
      </w:r>
      <w:r w:rsidRPr="007E3F21">
        <w:rPr>
          <w:i/>
        </w:rPr>
        <w:t>nterstate</w:t>
      </w:r>
      <w:r w:rsidRPr="00B56E9E">
        <w:rPr>
          <w:i/>
        </w:rPr>
        <w:t xml:space="preserve"> comparison</w:t>
      </w:r>
      <w:r w:rsidRPr="007E3F21">
        <w:rPr>
          <w:i/>
        </w:rPr>
        <w:t xml:space="preserve"> of taxes</w:t>
      </w:r>
      <w:r>
        <w:t xml:space="preserve"> </w:t>
      </w:r>
      <w:r w:rsidRPr="00242927">
        <w:t>publications does not show a clear break after 2018 (</w:t>
      </w:r>
      <w:r>
        <w:t>f</w:t>
      </w:r>
      <w:r w:rsidRPr="009B0E69" w:rsidDel="00621544">
        <w:t xml:space="preserve">igure </w:t>
      </w:r>
      <w:r>
        <w:rPr>
          <w:noProof/>
        </w:rPr>
        <w:t>3</w:t>
      </w:r>
      <w:r w:rsidRPr="009B0E69" w:rsidDel="00621544">
        <w:rPr>
          <w:noProof/>
        </w:rPr>
        <w:t>.</w:t>
      </w:r>
      <w:r>
        <w:rPr>
          <w:noProof/>
        </w:rPr>
        <w:t>3</w:t>
      </w:r>
      <w:r w:rsidRPr="007335BB">
        <w:t>)</w:t>
      </w:r>
      <w:r w:rsidRPr="00242927">
        <w:t xml:space="preserve">. Where </w:t>
      </w:r>
      <w:r>
        <w:t>more frequent</w:t>
      </w:r>
      <w:r w:rsidRPr="00242927">
        <w:t xml:space="preserve"> </w:t>
      </w:r>
      <w:r>
        <w:t>reform activity</w:t>
      </w:r>
      <w:r w:rsidRPr="00242927">
        <w:t xml:space="preserve"> occurred after 2018, </w:t>
      </w:r>
      <w:r>
        <w:t>it is</w:t>
      </w:r>
      <w:r w:rsidRPr="00242927">
        <w:t xml:space="preserve"> more readily explained by </w:t>
      </w:r>
      <w:r>
        <w:t>state circumstances such as</w:t>
      </w:r>
      <w:r w:rsidRPr="00242927">
        <w:t xml:space="preserve"> COVID</w:t>
      </w:r>
      <w:r>
        <w:noBreakHyphen/>
      </w:r>
      <w:r w:rsidRPr="00242927">
        <w:t xml:space="preserve">related pressures </w:t>
      </w:r>
      <w:r>
        <w:t xml:space="preserve">or a need for budget repair rather </w:t>
      </w:r>
      <w:r w:rsidRPr="00242927">
        <w:t xml:space="preserve">than by the </w:t>
      </w:r>
      <w:r>
        <w:t>2018</w:t>
      </w:r>
      <w:r w:rsidRPr="00242927">
        <w:t xml:space="preserve"> reforms themselves.</w:t>
      </w:r>
    </w:p>
    <w:p w14:paraId="20285C3B" w14:textId="20DC749E" w:rsidR="000A62ED" w:rsidRPr="007D3D37" w:rsidRDefault="000A62ED">
      <w:pPr>
        <w:pStyle w:val="FigureTableHeading"/>
      </w:pPr>
      <w:bookmarkStart w:id="38" w:name="_Ref236249926"/>
      <w:r>
        <w:t xml:space="preserve">Table </w:t>
      </w:r>
      <w:fldSimple w:instr=" STYLEREF 1 \s ">
        <w:r w:rsidR="009C08C4">
          <w:rPr>
            <w:noProof/>
          </w:rPr>
          <w:t>3</w:t>
        </w:r>
      </w:fldSimple>
      <w:r>
        <w:t>.</w:t>
      </w:r>
      <w:fldSimple w:instr=" SEQ Table \* ARABIC \s 1 ">
        <w:r w:rsidR="009C08C4">
          <w:rPr>
            <w:noProof/>
          </w:rPr>
          <w:t>1</w:t>
        </w:r>
      </w:fldSimple>
      <w:bookmarkEnd w:id="38"/>
      <w:r>
        <w:rPr>
          <w:noProof/>
        </w:rPr>
        <w:t xml:space="preserve"> </w:t>
      </w:r>
      <w:r w:rsidR="007D1F14">
        <w:rPr>
          <w:noProof/>
        </w:rPr>
        <w:t>–</w:t>
      </w:r>
      <w:r w:rsidDel="00436B49">
        <w:t xml:space="preserve"> </w:t>
      </w:r>
      <w:r w:rsidRPr="00B6575E">
        <w:t>The impact on GST payments are small for tax-rate changes, but mining stands out</w:t>
      </w:r>
    </w:p>
    <w:p w14:paraId="476716FA" w14:textId="0B5B4756" w:rsidR="000A62ED" w:rsidRDefault="000A62ED">
      <w:pPr>
        <w:pStyle w:val="FigureTableSubheading"/>
      </w:pPr>
      <w:r>
        <w:t>A</w:t>
      </w:r>
      <w:r w:rsidRPr="00696994">
        <w:t xml:space="preserve">verage size of </w:t>
      </w:r>
      <w:r>
        <w:t>GST change</w:t>
      </w:r>
      <w:r w:rsidRPr="00696994">
        <w:t xml:space="preserve"> from $100 </w:t>
      </w:r>
      <w:r>
        <w:t>increase (</w:t>
      </w:r>
      <w:r w:rsidRPr="00696994">
        <w:t>tax</w:t>
      </w:r>
      <w:r>
        <w:t xml:space="preserve"> rate), </w:t>
      </w:r>
      <w:r w:rsidR="003B5DC0">
        <w:t xml:space="preserve">2024–25 </w:t>
      </w:r>
      <w:r>
        <w:t>assessment data</w:t>
      </w:r>
    </w:p>
    <w:tbl>
      <w:tblPr>
        <w:tblW w:w="9440" w:type="dxa"/>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2977"/>
        <w:gridCol w:w="2552"/>
        <w:gridCol w:w="2268"/>
        <w:gridCol w:w="1643"/>
      </w:tblGrid>
      <w:tr w:rsidR="000A62ED" w:rsidRPr="009C7C62" w14:paraId="1B5782AC" w14:textId="77777777" w:rsidTr="007D1F14">
        <w:trPr>
          <w:trHeight w:val="290"/>
          <w:tblHeader/>
        </w:trPr>
        <w:tc>
          <w:tcPr>
            <w:tcW w:w="2977" w:type="dxa"/>
            <w:tcBorders>
              <w:bottom w:val="single" w:sz="4" w:space="0" w:color="B3B3B3"/>
            </w:tcBorders>
            <w:shd w:val="clear" w:color="000000" w:fill="auto"/>
            <w:noWrap/>
            <w:vAlign w:val="bottom"/>
            <w:hideMark/>
          </w:tcPr>
          <w:p w14:paraId="58E962F7" w14:textId="77777777" w:rsidR="000A62ED" w:rsidRPr="009C7C62" w:rsidRDefault="000A62ED">
            <w:pPr>
              <w:spacing w:before="45" w:after="45" w:line="240" w:lineRule="auto"/>
              <w:ind w:left="57" w:right="108"/>
              <w:rPr>
                <w:rFonts w:eastAsia="Times New Roman" w:cs="Open Sans"/>
                <w:b/>
                <w:bCs/>
                <w:color w:val="1D4374"/>
                <w:sz w:val="18"/>
                <w:szCs w:val="22"/>
                <w:lang w:eastAsia="en-AU"/>
              </w:rPr>
            </w:pPr>
            <w:r w:rsidRPr="009C7C62">
              <w:rPr>
                <w:rFonts w:eastAsia="Times New Roman" w:cs="Open Sans"/>
                <w:b/>
                <w:bCs/>
                <w:color w:val="1D4374"/>
                <w:sz w:val="18"/>
                <w:szCs w:val="22"/>
                <w:lang w:eastAsia="en-AU"/>
              </w:rPr>
              <w:t>Revenue item</w:t>
            </w:r>
          </w:p>
        </w:tc>
        <w:tc>
          <w:tcPr>
            <w:tcW w:w="2552" w:type="dxa"/>
            <w:tcBorders>
              <w:bottom w:val="single" w:sz="4" w:space="0" w:color="B3B3B3"/>
            </w:tcBorders>
            <w:shd w:val="clear" w:color="000000" w:fill="auto"/>
            <w:noWrap/>
            <w:vAlign w:val="bottom"/>
            <w:hideMark/>
          </w:tcPr>
          <w:p w14:paraId="0C867806" w14:textId="77777777" w:rsidR="000A62ED" w:rsidRPr="009C7C62" w:rsidRDefault="000A62ED" w:rsidP="007D1F14">
            <w:pPr>
              <w:spacing w:before="45" w:after="45" w:line="240" w:lineRule="auto"/>
              <w:ind w:left="57" w:right="108"/>
              <w:jc w:val="right"/>
              <w:rPr>
                <w:rFonts w:eastAsia="Times New Roman" w:cs="Open Sans"/>
                <w:b/>
                <w:bCs/>
                <w:color w:val="1D4374"/>
                <w:sz w:val="18"/>
                <w:szCs w:val="22"/>
                <w:lang w:eastAsia="en-AU"/>
              </w:rPr>
            </w:pPr>
            <w:r>
              <w:rPr>
                <w:rFonts w:eastAsia="Times New Roman" w:cs="Open Sans"/>
                <w:b/>
                <w:bCs/>
                <w:color w:val="1D4374"/>
                <w:sz w:val="18"/>
                <w:szCs w:val="22"/>
                <w:lang w:eastAsia="en-AU"/>
              </w:rPr>
              <w:t>C</w:t>
            </w:r>
            <w:r w:rsidRPr="009C7C62">
              <w:rPr>
                <w:rFonts w:eastAsia="Times New Roman" w:cs="Open Sans"/>
                <w:b/>
                <w:bCs/>
                <w:color w:val="1D4374"/>
                <w:sz w:val="18"/>
                <w:szCs w:val="22"/>
                <w:lang w:eastAsia="en-AU"/>
              </w:rPr>
              <w:t>urrent system</w:t>
            </w:r>
            <w:r>
              <w:rPr>
                <w:rFonts w:eastAsia="Times New Roman" w:cs="Open Sans"/>
                <w:b/>
                <w:bCs/>
                <w:color w:val="1D4374"/>
                <w:sz w:val="18"/>
                <w:szCs w:val="22"/>
                <w:lang w:eastAsia="en-AU"/>
              </w:rPr>
              <w:t xml:space="preserve"> without NoWO payments</w:t>
            </w:r>
          </w:p>
        </w:tc>
        <w:tc>
          <w:tcPr>
            <w:tcW w:w="2268" w:type="dxa"/>
            <w:tcBorders>
              <w:bottom w:val="single" w:sz="4" w:space="0" w:color="B3B3B3"/>
            </w:tcBorders>
            <w:shd w:val="clear" w:color="000000" w:fill="auto"/>
            <w:noWrap/>
            <w:vAlign w:val="bottom"/>
            <w:hideMark/>
          </w:tcPr>
          <w:p w14:paraId="1DB72CF0" w14:textId="77777777" w:rsidR="000A62ED" w:rsidRPr="009C7C62" w:rsidRDefault="000A62ED" w:rsidP="007D1F14">
            <w:pPr>
              <w:spacing w:before="45" w:after="45" w:line="240" w:lineRule="auto"/>
              <w:ind w:left="57" w:right="108"/>
              <w:jc w:val="right"/>
              <w:rPr>
                <w:rFonts w:eastAsia="Times New Roman" w:cs="Open Sans"/>
                <w:b/>
                <w:bCs/>
                <w:color w:val="1D4374"/>
                <w:sz w:val="18"/>
                <w:szCs w:val="22"/>
                <w:lang w:eastAsia="en-AU"/>
              </w:rPr>
            </w:pPr>
            <w:r w:rsidRPr="009C7C62">
              <w:rPr>
                <w:rFonts w:eastAsia="Times New Roman" w:cs="Open Sans"/>
                <w:b/>
                <w:bCs/>
                <w:color w:val="1D4374"/>
                <w:sz w:val="18"/>
                <w:szCs w:val="22"/>
                <w:lang w:eastAsia="en-AU"/>
              </w:rPr>
              <w:t xml:space="preserve">Current system </w:t>
            </w:r>
            <w:r>
              <w:rPr>
                <w:rFonts w:eastAsia="Times New Roman" w:cs="Open Sans"/>
                <w:b/>
                <w:bCs/>
                <w:color w:val="1D4374"/>
                <w:sz w:val="18"/>
                <w:szCs w:val="22"/>
                <w:lang w:eastAsia="en-AU"/>
              </w:rPr>
              <w:t>with</w:t>
            </w:r>
            <w:r w:rsidRPr="009C7C62">
              <w:rPr>
                <w:rFonts w:eastAsia="Times New Roman" w:cs="Open Sans"/>
                <w:b/>
                <w:bCs/>
                <w:color w:val="1D4374"/>
                <w:sz w:val="18"/>
                <w:szCs w:val="22"/>
                <w:lang w:eastAsia="en-AU"/>
              </w:rPr>
              <w:t xml:space="preserve"> N</w:t>
            </w:r>
            <w:r>
              <w:rPr>
                <w:rFonts w:eastAsia="Times New Roman" w:cs="Open Sans"/>
                <w:b/>
                <w:bCs/>
                <w:color w:val="1D4374"/>
                <w:sz w:val="18"/>
                <w:szCs w:val="22"/>
                <w:lang w:eastAsia="en-AU"/>
              </w:rPr>
              <w:t>o</w:t>
            </w:r>
            <w:r w:rsidRPr="009C7C62">
              <w:rPr>
                <w:rFonts w:eastAsia="Times New Roman" w:cs="Open Sans"/>
                <w:b/>
                <w:bCs/>
                <w:color w:val="1D4374"/>
                <w:sz w:val="18"/>
                <w:szCs w:val="22"/>
                <w:lang w:eastAsia="en-AU"/>
              </w:rPr>
              <w:t>WO</w:t>
            </w:r>
            <w:r>
              <w:rPr>
                <w:rFonts w:eastAsia="Times New Roman" w:cs="Open Sans"/>
                <w:b/>
                <w:bCs/>
                <w:color w:val="1D4374"/>
                <w:sz w:val="18"/>
                <w:szCs w:val="22"/>
                <w:lang w:eastAsia="en-AU"/>
              </w:rPr>
              <w:t xml:space="preserve"> payments</w:t>
            </w:r>
          </w:p>
        </w:tc>
        <w:tc>
          <w:tcPr>
            <w:tcW w:w="1643" w:type="dxa"/>
            <w:tcBorders>
              <w:bottom w:val="single" w:sz="4" w:space="0" w:color="B3B3B3"/>
            </w:tcBorders>
            <w:shd w:val="clear" w:color="000000" w:fill="auto"/>
            <w:vAlign w:val="bottom"/>
          </w:tcPr>
          <w:p w14:paraId="1743B3DA" w14:textId="77777777" w:rsidR="000A62ED" w:rsidRPr="009C7C62" w:rsidRDefault="000A62ED" w:rsidP="007D1F14">
            <w:pPr>
              <w:spacing w:before="45" w:after="45" w:line="240" w:lineRule="auto"/>
              <w:ind w:left="57" w:right="108"/>
              <w:jc w:val="right"/>
              <w:rPr>
                <w:rFonts w:eastAsia="Times New Roman" w:cs="Open Sans"/>
                <w:b/>
                <w:bCs/>
                <w:color w:val="1D4374"/>
                <w:sz w:val="18"/>
                <w:szCs w:val="22"/>
                <w:lang w:eastAsia="en-AU"/>
              </w:rPr>
            </w:pPr>
            <w:r>
              <w:rPr>
                <w:rFonts w:eastAsia="Times New Roman" w:cs="Open Sans"/>
                <w:b/>
                <w:bCs/>
                <w:color w:val="1D4374"/>
                <w:sz w:val="18"/>
                <w:szCs w:val="22"/>
                <w:lang w:eastAsia="en-AU"/>
              </w:rPr>
              <w:t>Pre-2018 system</w:t>
            </w:r>
          </w:p>
        </w:tc>
      </w:tr>
      <w:tr w:rsidR="000A62ED" w:rsidRPr="009C7C62" w14:paraId="156E8A2F" w14:textId="77777777" w:rsidTr="007D1F14">
        <w:trPr>
          <w:trHeight w:val="290"/>
        </w:trPr>
        <w:tc>
          <w:tcPr>
            <w:tcW w:w="2977" w:type="dxa"/>
            <w:tcBorders>
              <w:top w:val="single" w:sz="4" w:space="0" w:color="B3B3B3"/>
              <w:bottom w:val="nil"/>
            </w:tcBorders>
            <w:shd w:val="clear" w:color="000000" w:fill="E6E6E6"/>
            <w:noWrap/>
            <w:hideMark/>
          </w:tcPr>
          <w:p w14:paraId="073CB71C" w14:textId="77777777" w:rsidR="000A62ED" w:rsidRPr="009C7C62" w:rsidRDefault="000A62ED">
            <w:pPr>
              <w:spacing w:before="45" w:after="45" w:line="240" w:lineRule="auto"/>
              <w:ind w:left="57" w:right="108"/>
              <w:rPr>
                <w:rFonts w:eastAsia="Times New Roman" w:cs="Open Sans"/>
                <w:b/>
                <w:color w:val="1D4374"/>
                <w:sz w:val="18"/>
                <w:szCs w:val="22"/>
                <w:lang w:eastAsia="en-AU"/>
              </w:rPr>
            </w:pPr>
            <w:r w:rsidRPr="009C7C62">
              <w:rPr>
                <w:rFonts w:eastAsia="Times New Roman" w:cs="Open Sans"/>
                <w:b/>
                <w:color w:val="1D4374"/>
                <w:sz w:val="18"/>
                <w:szCs w:val="22"/>
                <w:lang w:eastAsia="en-AU"/>
              </w:rPr>
              <w:t>Payroll tax</w:t>
            </w:r>
          </w:p>
        </w:tc>
        <w:tc>
          <w:tcPr>
            <w:tcW w:w="2552" w:type="dxa"/>
            <w:tcBorders>
              <w:top w:val="single" w:sz="4" w:space="0" w:color="B3B3B3"/>
              <w:bottom w:val="nil"/>
            </w:tcBorders>
            <w:shd w:val="clear" w:color="000000" w:fill="E6E6E6"/>
            <w:noWrap/>
            <w:hideMark/>
          </w:tcPr>
          <w:p w14:paraId="3F49709C" w14:textId="77777777" w:rsidR="000A62ED" w:rsidRPr="009C7C62" w:rsidRDefault="000A62ED" w:rsidP="007D1F14">
            <w:pPr>
              <w:spacing w:before="45" w:after="45" w:line="240" w:lineRule="auto"/>
              <w:ind w:left="57" w:right="108"/>
              <w:jc w:val="right"/>
              <w:rPr>
                <w:rFonts w:eastAsia="Times New Roman" w:cs="Open Sans"/>
                <w:color w:val="000000"/>
                <w:sz w:val="18"/>
                <w:szCs w:val="22"/>
                <w:lang w:eastAsia="en-AU"/>
              </w:rPr>
            </w:pPr>
            <w:r w:rsidRPr="009C7C62">
              <w:rPr>
                <w:rFonts w:eastAsia="Times New Roman" w:cs="Open Sans"/>
                <w:color w:val="000000"/>
                <w:sz w:val="18"/>
                <w:szCs w:val="22"/>
                <w:lang w:eastAsia="en-AU"/>
              </w:rPr>
              <w:t>$0.5</w:t>
            </w:r>
          </w:p>
        </w:tc>
        <w:tc>
          <w:tcPr>
            <w:tcW w:w="2268" w:type="dxa"/>
            <w:tcBorders>
              <w:top w:val="single" w:sz="4" w:space="0" w:color="B3B3B3"/>
              <w:bottom w:val="nil"/>
            </w:tcBorders>
            <w:shd w:val="clear" w:color="000000" w:fill="E6E6E6"/>
            <w:noWrap/>
            <w:hideMark/>
          </w:tcPr>
          <w:p w14:paraId="7F71D66D" w14:textId="77777777" w:rsidR="000A62ED" w:rsidRPr="009C7C62" w:rsidRDefault="000A62ED" w:rsidP="007D1F14">
            <w:pPr>
              <w:spacing w:before="45" w:after="45" w:line="240" w:lineRule="auto"/>
              <w:ind w:left="57" w:right="108"/>
              <w:jc w:val="right"/>
              <w:rPr>
                <w:rFonts w:eastAsia="Times New Roman" w:cs="Open Sans"/>
                <w:color w:val="000000"/>
                <w:sz w:val="18"/>
                <w:szCs w:val="22"/>
                <w:lang w:eastAsia="en-AU"/>
              </w:rPr>
            </w:pPr>
            <w:r w:rsidRPr="009C7C62">
              <w:rPr>
                <w:rFonts w:eastAsia="Times New Roman" w:cs="Open Sans"/>
                <w:color w:val="000000"/>
                <w:sz w:val="18"/>
                <w:szCs w:val="22"/>
                <w:lang w:eastAsia="en-AU"/>
              </w:rPr>
              <w:t>$0.6</w:t>
            </w:r>
          </w:p>
        </w:tc>
        <w:tc>
          <w:tcPr>
            <w:tcW w:w="1643" w:type="dxa"/>
            <w:tcBorders>
              <w:top w:val="single" w:sz="4" w:space="0" w:color="B3B3B3"/>
              <w:bottom w:val="nil"/>
            </w:tcBorders>
            <w:shd w:val="clear" w:color="000000" w:fill="E6E6E6"/>
          </w:tcPr>
          <w:p w14:paraId="4D3C17EC" w14:textId="77777777" w:rsidR="000A62ED" w:rsidRPr="009C7C62" w:rsidRDefault="000A62ED" w:rsidP="007D1F14">
            <w:pPr>
              <w:spacing w:before="45" w:after="45" w:line="240" w:lineRule="auto"/>
              <w:ind w:left="57" w:right="108"/>
              <w:jc w:val="right"/>
              <w:rPr>
                <w:rFonts w:eastAsia="Times New Roman" w:cs="Open Sans"/>
                <w:color w:val="000000"/>
                <w:sz w:val="18"/>
                <w:szCs w:val="22"/>
                <w:lang w:eastAsia="en-AU"/>
              </w:rPr>
            </w:pPr>
            <w:r w:rsidRPr="009C7C62">
              <w:rPr>
                <w:rFonts w:eastAsia="Times New Roman" w:cs="Open Sans"/>
                <w:color w:val="000000"/>
                <w:sz w:val="18"/>
                <w:szCs w:val="22"/>
                <w:lang w:eastAsia="en-AU"/>
              </w:rPr>
              <w:t>$1.1</w:t>
            </w:r>
          </w:p>
        </w:tc>
      </w:tr>
      <w:tr w:rsidR="000A62ED" w:rsidRPr="009C7C62" w14:paraId="2E8A5593" w14:textId="77777777" w:rsidTr="007D1F14">
        <w:trPr>
          <w:trHeight w:val="290"/>
        </w:trPr>
        <w:tc>
          <w:tcPr>
            <w:tcW w:w="2977" w:type="dxa"/>
            <w:tcBorders>
              <w:top w:val="nil"/>
              <w:bottom w:val="nil"/>
            </w:tcBorders>
            <w:shd w:val="clear" w:color="000000" w:fill="auto"/>
            <w:noWrap/>
            <w:hideMark/>
          </w:tcPr>
          <w:p w14:paraId="4CB7F18F" w14:textId="77777777" w:rsidR="000A62ED" w:rsidRPr="009C7C62" w:rsidRDefault="000A62ED">
            <w:pPr>
              <w:spacing w:before="45" w:after="45" w:line="240" w:lineRule="auto"/>
              <w:ind w:left="57" w:right="108"/>
              <w:rPr>
                <w:rFonts w:eastAsia="Times New Roman" w:cs="Open Sans"/>
                <w:b/>
                <w:color w:val="1D4374"/>
                <w:sz w:val="18"/>
                <w:szCs w:val="22"/>
                <w:lang w:eastAsia="en-AU"/>
              </w:rPr>
            </w:pPr>
            <w:r w:rsidRPr="009C7C62">
              <w:rPr>
                <w:rFonts w:eastAsia="Times New Roman" w:cs="Open Sans"/>
                <w:b/>
                <w:color w:val="1D4374"/>
                <w:sz w:val="18"/>
                <w:szCs w:val="22"/>
                <w:lang w:eastAsia="en-AU"/>
              </w:rPr>
              <w:t>Insurance tax</w:t>
            </w:r>
          </w:p>
        </w:tc>
        <w:tc>
          <w:tcPr>
            <w:tcW w:w="2552" w:type="dxa"/>
            <w:tcBorders>
              <w:top w:val="nil"/>
              <w:bottom w:val="nil"/>
            </w:tcBorders>
            <w:shd w:val="clear" w:color="000000" w:fill="auto"/>
            <w:noWrap/>
            <w:hideMark/>
          </w:tcPr>
          <w:p w14:paraId="47BAD58A" w14:textId="77777777" w:rsidR="000A62ED" w:rsidRPr="009C7C62" w:rsidRDefault="000A62ED" w:rsidP="007D1F14">
            <w:pPr>
              <w:spacing w:before="45" w:after="45" w:line="240" w:lineRule="auto"/>
              <w:ind w:left="57" w:right="108"/>
              <w:jc w:val="right"/>
              <w:rPr>
                <w:rFonts w:eastAsia="Times New Roman" w:cs="Open Sans"/>
                <w:color w:val="000000"/>
                <w:sz w:val="18"/>
                <w:szCs w:val="22"/>
                <w:lang w:eastAsia="en-AU"/>
              </w:rPr>
            </w:pPr>
            <w:r w:rsidRPr="009C7C62">
              <w:rPr>
                <w:rFonts w:eastAsia="Times New Roman" w:cs="Open Sans"/>
                <w:color w:val="000000"/>
                <w:sz w:val="18"/>
                <w:szCs w:val="22"/>
                <w:lang w:eastAsia="en-AU"/>
              </w:rPr>
              <w:t>$0.7</w:t>
            </w:r>
          </w:p>
        </w:tc>
        <w:tc>
          <w:tcPr>
            <w:tcW w:w="2268" w:type="dxa"/>
            <w:tcBorders>
              <w:top w:val="nil"/>
              <w:bottom w:val="nil"/>
            </w:tcBorders>
            <w:shd w:val="clear" w:color="000000" w:fill="auto"/>
            <w:noWrap/>
            <w:hideMark/>
          </w:tcPr>
          <w:p w14:paraId="659ED9C2" w14:textId="77777777" w:rsidR="000A62ED" w:rsidRPr="009C7C62" w:rsidRDefault="000A62ED" w:rsidP="007D1F14">
            <w:pPr>
              <w:spacing w:before="45" w:after="45" w:line="240" w:lineRule="auto"/>
              <w:ind w:left="57" w:right="108"/>
              <w:jc w:val="right"/>
              <w:rPr>
                <w:rFonts w:eastAsia="Times New Roman" w:cs="Open Sans"/>
                <w:color w:val="000000"/>
                <w:sz w:val="18"/>
                <w:szCs w:val="22"/>
                <w:lang w:eastAsia="en-AU"/>
              </w:rPr>
            </w:pPr>
            <w:r w:rsidRPr="009C7C62">
              <w:rPr>
                <w:rFonts w:eastAsia="Times New Roman" w:cs="Open Sans"/>
                <w:color w:val="000000"/>
                <w:sz w:val="18"/>
                <w:szCs w:val="22"/>
                <w:lang w:eastAsia="en-AU"/>
              </w:rPr>
              <w:t>$0.7</w:t>
            </w:r>
          </w:p>
        </w:tc>
        <w:tc>
          <w:tcPr>
            <w:tcW w:w="1643" w:type="dxa"/>
            <w:tcBorders>
              <w:top w:val="nil"/>
              <w:bottom w:val="nil"/>
            </w:tcBorders>
            <w:shd w:val="clear" w:color="000000" w:fill="auto"/>
          </w:tcPr>
          <w:p w14:paraId="1A14E462" w14:textId="77777777" w:rsidR="000A62ED" w:rsidRPr="009C7C62" w:rsidRDefault="000A62ED" w:rsidP="007D1F14">
            <w:pPr>
              <w:spacing w:before="45" w:after="45" w:line="240" w:lineRule="auto"/>
              <w:ind w:left="57" w:right="108"/>
              <w:jc w:val="right"/>
              <w:rPr>
                <w:rFonts w:eastAsia="Times New Roman" w:cs="Open Sans"/>
                <w:color w:val="000000"/>
                <w:sz w:val="18"/>
                <w:szCs w:val="22"/>
                <w:lang w:eastAsia="en-AU"/>
              </w:rPr>
            </w:pPr>
            <w:r w:rsidRPr="009C7C62">
              <w:rPr>
                <w:rFonts w:eastAsia="Times New Roman" w:cs="Open Sans"/>
                <w:color w:val="000000"/>
                <w:sz w:val="18"/>
                <w:szCs w:val="22"/>
                <w:lang w:eastAsia="en-AU"/>
              </w:rPr>
              <w:t>$0.8</w:t>
            </w:r>
          </w:p>
        </w:tc>
      </w:tr>
      <w:tr w:rsidR="000A62ED" w:rsidRPr="009C7C62" w14:paraId="11F00172" w14:textId="77777777" w:rsidTr="007D1F14">
        <w:trPr>
          <w:trHeight w:val="290"/>
        </w:trPr>
        <w:tc>
          <w:tcPr>
            <w:tcW w:w="2977" w:type="dxa"/>
            <w:tcBorders>
              <w:bottom w:val="nil"/>
            </w:tcBorders>
            <w:shd w:val="clear" w:color="000000" w:fill="E6E6E6"/>
            <w:noWrap/>
            <w:hideMark/>
          </w:tcPr>
          <w:p w14:paraId="0C01B74E" w14:textId="77777777" w:rsidR="000A62ED" w:rsidRPr="009C7C62" w:rsidRDefault="000A62ED">
            <w:pPr>
              <w:spacing w:before="45" w:after="45" w:line="240" w:lineRule="auto"/>
              <w:ind w:left="57" w:right="108"/>
              <w:rPr>
                <w:rFonts w:eastAsia="Times New Roman" w:cs="Open Sans"/>
                <w:b/>
                <w:color w:val="1D4374"/>
                <w:sz w:val="18"/>
                <w:szCs w:val="22"/>
                <w:lang w:eastAsia="en-AU"/>
              </w:rPr>
            </w:pPr>
            <w:r w:rsidRPr="009C7C62">
              <w:rPr>
                <w:rFonts w:eastAsia="Times New Roman" w:cs="Open Sans"/>
                <w:b/>
                <w:color w:val="1D4374"/>
                <w:sz w:val="18"/>
                <w:szCs w:val="22"/>
                <w:lang w:eastAsia="en-AU"/>
              </w:rPr>
              <w:t>Light vehicles</w:t>
            </w:r>
          </w:p>
        </w:tc>
        <w:tc>
          <w:tcPr>
            <w:tcW w:w="2552" w:type="dxa"/>
            <w:tcBorders>
              <w:bottom w:val="nil"/>
            </w:tcBorders>
            <w:shd w:val="clear" w:color="000000" w:fill="E6E6E6"/>
            <w:noWrap/>
            <w:hideMark/>
          </w:tcPr>
          <w:p w14:paraId="38E1E914" w14:textId="77777777" w:rsidR="000A62ED" w:rsidRPr="009C7C62" w:rsidRDefault="000A62ED" w:rsidP="007D1F14">
            <w:pPr>
              <w:spacing w:before="45" w:after="45" w:line="240" w:lineRule="auto"/>
              <w:ind w:left="57" w:right="108"/>
              <w:jc w:val="right"/>
              <w:rPr>
                <w:rFonts w:eastAsia="Times New Roman" w:cs="Open Sans"/>
                <w:color w:val="000000"/>
                <w:sz w:val="18"/>
                <w:szCs w:val="22"/>
                <w:lang w:eastAsia="en-AU"/>
              </w:rPr>
            </w:pPr>
            <w:r w:rsidRPr="009C7C62">
              <w:rPr>
                <w:rFonts w:eastAsia="Times New Roman" w:cs="Open Sans"/>
                <w:color w:val="000000"/>
                <w:sz w:val="18"/>
                <w:szCs w:val="22"/>
                <w:lang w:eastAsia="en-AU"/>
              </w:rPr>
              <w:t>$0.8</w:t>
            </w:r>
          </w:p>
        </w:tc>
        <w:tc>
          <w:tcPr>
            <w:tcW w:w="2268" w:type="dxa"/>
            <w:tcBorders>
              <w:bottom w:val="nil"/>
            </w:tcBorders>
            <w:shd w:val="clear" w:color="000000" w:fill="E6E6E6"/>
            <w:noWrap/>
            <w:hideMark/>
          </w:tcPr>
          <w:p w14:paraId="4DB77184" w14:textId="77777777" w:rsidR="000A62ED" w:rsidRPr="009C7C62" w:rsidRDefault="000A62ED" w:rsidP="007D1F14">
            <w:pPr>
              <w:spacing w:before="45" w:after="45" w:line="240" w:lineRule="auto"/>
              <w:ind w:left="57" w:right="108"/>
              <w:jc w:val="right"/>
              <w:rPr>
                <w:rFonts w:eastAsia="Times New Roman" w:cs="Open Sans"/>
                <w:color w:val="000000"/>
                <w:sz w:val="18"/>
                <w:szCs w:val="22"/>
                <w:lang w:eastAsia="en-AU"/>
              </w:rPr>
            </w:pPr>
            <w:r w:rsidRPr="009C7C62">
              <w:rPr>
                <w:rFonts w:eastAsia="Times New Roman" w:cs="Open Sans"/>
                <w:color w:val="000000"/>
                <w:sz w:val="18"/>
                <w:szCs w:val="22"/>
                <w:lang w:eastAsia="en-AU"/>
              </w:rPr>
              <w:t>$0.7</w:t>
            </w:r>
          </w:p>
        </w:tc>
        <w:tc>
          <w:tcPr>
            <w:tcW w:w="1643" w:type="dxa"/>
            <w:tcBorders>
              <w:bottom w:val="nil"/>
            </w:tcBorders>
            <w:shd w:val="clear" w:color="000000" w:fill="E6E6E6"/>
          </w:tcPr>
          <w:p w14:paraId="118AB936" w14:textId="77777777" w:rsidR="000A62ED" w:rsidRPr="009C7C62" w:rsidRDefault="000A62ED" w:rsidP="007D1F14">
            <w:pPr>
              <w:spacing w:before="45" w:after="45" w:line="240" w:lineRule="auto"/>
              <w:ind w:left="57" w:right="108"/>
              <w:jc w:val="right"/>
              <w:rPr>
                <w:rFonts w:eastAsia="Times New Roman" w:cs="Open Sans"/>
                <w:color w:val="000000"/>
                <w:sz w:val="18"/>
                <w:szCs w:val="22"/>
                <w:lang w:eastAsia="en-AU"/>
              </w:rPr>
            </w:pPr>
            <w:r w:rsidRPr="009C7C62">
              <w:rPr>
                <w:rFonts w:eastAsia="Times New Roman" w:cs="Open Sans"/>
                <w:color w:val="000000"/>
                <w:sz w:val="18"/>
                <w:szCs w:val="22"/>
                <w:lang w:eastAsia="en-AU"/>
              </w:rPr>
              <w:t>$0.7</w:t>
            </w:r>
          </w:p>
        </w:tc>
      </w:tr>
      <w:tr w:rsidR="000A62ED" w:rsidRPr="009C7C62" w14:paraId="781E5F89" w14:textId="77777777" w:rsidTr="007D1F14">
        <w:trPr>
          <w:trHeight w:val="290"/>
        </w:trPr>
        <w:tc>
          <w:tcPr>
            <w:tcW w:w="2977" w:type="dxa"/>
            <w:tcBorders>
              <w:top w:val="nil"/>
              <w:bottom w:val="nil"/>
            </w:tcBorders>
            <w:shd w:val="clear" w:color="000000" w:fill="auto"/>
            <w:noWrap/>
            <w:hideMark/>
          </w:tcPr>
          <w:p w14:paraId="3F742810" w14:textId="77777777" w:rsidR="000A62ED" w:rsidRPr="009C7C62" w:rsidRDefault="000A62ED">
            <w:pPr>
              <w:spacing w:before="45" w:after="45" w:line="240" w:lineRule="auto"/>
              <w:ind w:left="57" w:right="108"/>
              <w:rPr>
                <w:rFonts w:eastAsia="Times New Roman" w:cs="Open Sans"/>
                <w:b/>
                <w:color w:val="1D4374"/>
                <w:sz w:val="18"/>
                <w:szCs w:val="22"/>
                <w:lang w:eastAsia="en-AU"/>
              </w:rPr>
            </w:pPr>
            <w:r w:rsidRPr="009C7C62">
              <w:rPr>
                <w:rFonts w:eastAsia="Times New Roman" w:cs="Open Sans"/>
                <w:b/>
                <w:color w:val="1D4374"/>
                <w:sz w:val="18"/>
                <w:szCs w:val="22"/>
                <w:lang w:eastAsia="en-AU"/>
              </w:rPr>
              <w:t>Motor stamp duty</w:t>
            </w:r>
          </w:p>
        </w:tc>
        <w:tc>
          <w:tcPr>
            <w:tcW w:w="2552" w:type="dxa"/>
            <w:tcBorders>
              <w:top w:val="nil"/>
              <w:bottom w:val="nil"/>
            </w:tcBorders>
            <w:shd w:val="clear" w:color="000000" w:fill="auto"/>
            <w:noWrap/>
            <w:hideMark/>
          </w:tcPr>
          <w:p w14:paraId="6631C9BF" w14:textId="77777777" w:rsidR="000A62ED" w:rsidRPr="009C7C62" w:rsidRDefault="000A62ED" w:rsidP="007D1F14">
            <w:pPr>
              <w:spacing w:before="45" w:after="45" w:line="240" w:lineRule="auto"/>
              <w:ind w:left="57" w:right="108"/>
              <w:jc w:val="right"/>
              <w:rPr>
                <w:rFonts w:eastAsia="Times New Roman" w:cs="Open Sans"/>
                <w:color w:val="000000"/>
                <w:sz w:val="18"/>
                <w:szCs w:val="22"/>
                <w:lang w:eastAsia="en-AU"/>
              </w:rPr>
            </w:pPr>
            <w:r w:rsidRPr="009C7C62">
              <w:rPr>
                <w:rFonts w:eastAsia="Times New Roman" w:cs="Open Sans"/>
                <w:color w:val="000000"/>
                <w:sz w:val="18"/>
                <w:szCs w:val="22"/>
                <w:lang w:eastAsia="en-AU"/>
              </w:rPr>
              <w:t>$1.0</w:t>
            </w:r>
          </w:p>
        </w:tc>
        <w:tc>
          <w:tcPr>
            <w:tcW w:w="2268" w:type="dxa"/>
            <w:tcBorders>
              <w:top w:val="nil"/>
              <w:bottom w:val="nil"/>
            </w:tcBorders>
            <w:shd w:val="clear" w:color="000000" w:fill="auto"/>
            <w:noWrap/>
            <w:hideMark/>
          </w:tcPr>
          <w:p w14:paraId="1F159FB9" w14:textId="77777777" w:rsidR="000A62ED" w:rsidRPr="009C7C62" w:rsidRDefault="000A62ED" w:rsidP="007D1F14">
            <w:pPr>
              <w:spacing w:before="45" w:after="45" w:line="240" w:lineRule="auto"/>
              <w:ind w:left="57" w:right="108"/>
              <w:jc w:val="right"/>
              <w:rPr>
                <w:rFonts w:eastAsia="Times New Roman" w:cs="Open Sans"/>
                <w:color w:val="000000"/>
                <w:sz w:val="18"/>
                <w:szCs w:val="22"/>
                <w:lang w:eastAsia="en-AU"/>
              </w:rPr>
            </w:pPr>
            <w:r w:rsidRPr="009C7C62">
              <w:rPr>
                <w:rFonts w:eastAsia="Times New Roman" w:cs="Open Sans"/>
                <w:color w:val="000000"/>
                <w:sz w:val="18"/>
                <w:szCs w:val="22"/>
                <w:lang w:eastAsia="en-AU"/>
              </w:rPr>
              <w:t>$1.0</w:t>
            </w:r>
          </w:p>
        </w:tc>
        <w:tc>
          <w:tcPr>
            <w:tcW w:w="1643" w:type="dxa"/>
            <w:tcBorders>
              <w:top w:val="nil"/>
              <w:bottom w:val="nil"/>
            </w:tcBorders>
            <w:shd w:val="clear" w:color="000000" w:fill="auto"/>
          </w:tcPr>
          <w:p w14:paraId="1B9D2EF0" w14:textId="77777777" w:rsidR="000A62ED" w:rsidRPr="009C7C62" w:rsidRDefault="000A62ED" w:rsidP="007D1F14">
            <w:pPr>
              <w:spacing w:before="45" w:after="45" w:line="240" w:lineRule="auto"/>
              <w:ind w:left="57" w:right="108"/>
              <w:jc w:val="right"/>
              <w:rPr>
                <w:rFonts w:eastAsia="Times New Roman" w:cs="Open Sans"/>
                <w:color w:val="000000"/>
                <w:sz w:val="18"/>
                <w:szCs w:val="22"/>
                <w:lang w:eastAsia="en-AU"/>
              </w:rPr>
            </w:pPr>
            <w:r w:rsidRPr="009C7C62">
              <w:rPr>
                <w:rFonts w:eastAsia="Times New Roman" w:cs="Open Sans"/>
                <w:color w:val="000000"/>
                <w:sz w:val="18"/>
                <w:szCs w:val="22"/>
                <w:lang w:eastAsia="en-AU"/>
              </w:rPr>
              <w:t>$1.</w:t>
            </w:r>
            <w:r>
              <w:rPr>
                <w:rFonts w:eastAsia="Times New Roman" w:cs="Open Sans"/>
                <w:color w:val="000000"/>
                <w:sz w:val="18"/>
                <w:szCs w:val="22"/>
                <w:lang w:eastAsia="en-AU"/>
              </w:rPr>
              <w:t>3</w:t>
            </w:r>
          </w:p>
        </w:tc>
      </w:tr>
      <w:tr w:rsidR="000A62ED" w:rsidRPr="009C7C62" w14:paraId="0352AEFF" w14:textId="77777777" w:rsidTr="007D1F14">
        <w:trPr>
          <w:trHeight w:val="290"/>
        </w:trPr>
        <w:tc>
          <w:tcPr>
            <w:tcW w:w="2977" w:type="dxa"/>
            <w:tcBorders>
              <w:bottom w:val="nil"/>
            </w:tcBorders>
            <w:shd w:val="clear" w:color="000000" w:fill="E6E6E6"/>
            <w:noWrap/>
            <w:hideMark/>
          </w:tcPr>
          <w:p w14:paraId="40440D5F" w14:textId="77777777" w:rsidR="000A62ED" w:rsidRPr="009C7C62" w:rsidRDefault="000A62ED">
            <w:pPr>
              <w:spacing w:before="45" w:after="45" w:line="240" w:lineRule="auto"/>
              <w:ind w:left="57" w:right="108"/>
              <w:rPr>
                <w:rFonts w:eastAsia="Times New Roman" w:cs="Open Sans"/>
                <w:b/>
                <w:color w:val="1D4374"/>
                <w:sz w:val="18"/>
                <w:szCs w:val="22"/>
                <w:lang w:eastAsia="en-AU"/>
              </w:rPr>
            </w:pPr>
            <w:r w:rsidRPr="009C7C62">
              <w:rPr>
                <w:rFonts w:eastAsia="Times New Roman" w:cs="Open Sans"/>
                <w:b/>
                <w:color w:val="1D4374"/>
                <w:sz w:val="18"/>
                <w:szCs w:val="22"/>
                <w:lang w:eastAsia="en-AU"/>
              </w:rPr>
              <w:t>Heavy vehicles</w:t>
            </w:r>
          </w:p>
        </w:tc>
        <w:tc>
          <w:tcPr>
            <w:tcW w:w="2552" w:type="dxa"/>
            <w:tcBorders>
              <w:bottom w:val="nil"/>
            </w:tcBorders>
            <w:shd w:val="clear" w:color="000000" w:fill="E6E6E6"/>
            <w:noWrap/>
            <w:hideMark/>
          </w:tcPr>
          <w:p w14:paraId="0DC1C012" w14:textId="77777777" w:rsidR="000A62ED" w:rsidRPr="009C7C62" w:rsidRDefault="000A62ED" w:rsidP="007D1F14">
            <w:pPr>
              <w:spacing w:before="45" w:after="45" w:line="240" w:lineRule="auto"/>
              <w:ind w:left="57" w:right="108"/>
              <w:jc w:val="right"/>
              <w:rPr>
                <w:rFonts w:eastAsia="Times New Roman" w:cs="Open Sans"/>
                <w:color w:val="000000"/>
                <w:sz w:val="18"/>
                <w:szCs w:val="22"/>
                <w:lang w:eastAsia="en-AU"/>
              </w:rPr>
            </w:pPr>
            <w:r w:rsidRPr="009C7C62">
              <w:rPr>
                <w:rFonts w:eastAsia="Times New Roman" w:cs="Open Sans"/>
                <w:color w:val="000000"/>
                <w:sz w:val="18"/>
                <w:szCs w:val="22"/>
                <w:lang w:eastAsia="en-AU"/>
              </w:rPr>
              <w:t>$1.2</w:t>
            </w:r>
          </w:p>
        </w:tc>
        <w:tc>
          <w:tcPr>
            <w:tcW w:w="2268" w:type="dxa"/>
            <w:tcBorders>
              <w:bottom w:val="nil"/>
            </w:tcBorders>
            <w:shd w:val="clear" w:color="000000" w:fill="E6E6E6"/>
            <w:noWrap/>
            <w:hideMark/>
          </w:tcPr>
          <w:p w14:paraId="5CF21BC0" w14:textId="77777777" w:rsidR="000A62ED" w:rsidRPr="009C7C62" w:rsidRDefault="000A62ED" w:rsidP="007D1F14">
            <w:pPr>
              <w:spacing w:before="45" w:after="45" w:line="240" w:lineRule="auto"/>
              <w:ind w:left="57" w:right="108"/>
              <w:jc w:val="right"/>
              <w:rPr>
                <w:rFonts w:eastAsia="Times New Roman" w:cs="Open Sans"/>
                <w:color w:val="000000"/>
                <w:sz w:val="18"/>
                <w:szCs w:val="22"/>
                <w:lang w:eastAsia="en-AU"/>
              </w:rPr>
            </w:pPr>
            <w:r w:rsidRPr="009C7C62">
              <w:rPr>
                <w:rFonts w:eastAsia="Times New Roman" w:cs="Open Sans"/>
                <w:color w:val="000000"/>
                <w:sz w:val="18"/>
                <w:szCs w:val="22"/>
                <w:lang w:eastAsia="en-AU"/>
              </w:rPr>
              <w:t>$1.3</w:t>
            </w:r>
          </w:p>
        </w:tc>
        <w:tc>
          <w:tcPr>
            <w:tcW w:w="1643" w:type="dxa"/>
            <w:tcBorders>
              <w:bottom w:val="nil"/>
            </w:tcBorders>
            <w:shd w:val="clear" w:color="000000" w:fill="E6E6E6"/>
          </w:tcPr>
          <w:p w14:paraId="4F1F6AD8" w14:textId="77777777" w:rsidR="000A62ED" w:rsidRPr="009C7C62" w:rsidRDefault="000A62ED" w:rsidP="007D1F14">
            <w:pPr>
              <w:spacing w:before="45" w:after="45" w:line="240" w:lineRule="auto"/>
              <w:ind w:left="57" w:right="108"/>
              <w:jc w:val="right"/>
              <w:rPr>
                <w:rFonts w:eastAsia="Times New Roman" w:cs="Open Sans"/>
                <w:color w:val="000000"/>
                <w:sz w:val="18"/>
                <w:szCs w:val="22"/>
                <w:lang w:eastAsia="en-AU"/>
              </w:rPr>
            </w:pPr>
            <w:r w:rsidRPr="009C7C62">
              <w:rPr>
                <w:rFonts w:eastAsia="Times New Roman" w:cs="Open Sans"/>
                <w:color w:val="000000"/>
                <w:sz w:val="18"/>
                <w:szCs w:val="22"/>
                <w:lang w:eastAsia="en-AU"/>
              </w:rPr>
              <w:t>$1.8</w:t>
            </w:r>
          </w:p>
        </w:tc>
      </w:tr>
      <w:tr w:rsidR="000A62ED" w:rsidRPr="009C7C62" w14:paraId="6C95F9B3" w14:textId="77777777" w:rsidTr="007D1F14">
        <w:trPr>
          <w:trHeight w:val="290"/>
        </w:trPr>
        <w:tc>
          <w:tcPr>
            <w:tcW w:w="2977" w:type="dxa"/>
            <w:tcBorders>
              <w:top w:val="nil"/>
              <w:bottom w:val="nil"/>
            </w:tcBorders>
            <w:shd w:val="clear" w:color="000000" w:fill="auto"/>
            <w:noWrap/>
            <w:hideMark/>
          </w:tcPr>
          <w:p w14:paraId="16102DE7" w14:textId="77777777" w:rsidR="000A62ED" w:rsidRPr="009C7C62" w:rsidRDefault="000A62ED">
            <w:pPr>
              <w:spacing w:before="45" w:after="45" w:line="240" w:lineRule="auto"/>
              <w:ind w:left="57" w:right="108"/>
              <w:rPr>
                <w:rFonts w:eastAsia="Times New Roman" w:cs="Open Sans"/>
                <w:b/>
                <w:color w:val="1D4374"/>
                <w:sz w:val="18"/>
                <w:szCs w:val="22"/>
                <w:lang w:eastAsia="en-AU"/>
              </w:rPr>
            </w:pPr>
            <w:r w:rsidRPr="009C7C62">
              <w:rPr>
                <w:rFonts w:eastAsia="Times New Roman" w:cs="Open Sans"/>
                <w:b/>
                <w:color w:val="1D4374"/>
                <w:sz w:val="18"/>
                <w:szCs w:val="22"/>
                <w:lang w:eastAsia="en-AU"/>
              </w:rPr>
              <w:t>Stamp duty on conveyances</w:t>
            </w:r>
          </w:p>
        </w:tc>
        <w:tc>
          <w:tcPr>
            <w:tcW w:w="2552" w:type="dxa"/>
            <w:tcBorders>
              <w:top w:val="nil"/>
              <w:bottom w:val="nil"/>
            </w:tcBorders>
            <w:shd w:val="clear" w:color="000000" w:fill="auto"/>
            <w:noWrap/>
            <w:hideMark/>
          </w:tcPr>
          <w:p w14:paraId="05BDB26B" w14:textId="77777777" w:rsidR="000A62ED" w:rsidRPr="009C7C62" w:rsidRDefault="000A62ED" w:rsidP="007D1F14">
            <w:pPr>
              <w:spacing w:before="45" w:after="45" w:line="240" w:lineRule="auto"/>
              <w:ind w:left="57" w:right="108"/>
              <w:jc w:val="right"/>
              <w:rPr>
                <w:rFonts w:eastAsia="Times New Roman" w:cs="Open Sans"/>
                <w:color w:val="000000"/>
                <w:sz w:val="18"/>
                <w:szCs w:val="22"/>
                <w:lang w:eastAsia="en-AU"/>
              </w:rPr>
            </w:pPr>
            <w:r w:rsidRPr="009C7C62">
              <w:rPr>
                <w:rFonts w:eastAsia="Times New Roman" w:cs="Open Sans"/>
                <w:color w:val="000000"/>
                <w:sz w:val="18"/>
                <w:szCs w:val="22"/>
                <w:lang w:eastAsia="en-AU"/>
              </w:rPr>
              <w:t>$1.7</w:t>
            </w:r>
          </w:p>
        </w:tc>
        <w:tc>
          <w:tcPr>
            <w:tcW w:w="2268" w:type="dxa"/>
            <w:tcBorders>
              <w:top w:val="nil"/>
              <w:bottom w:val="nil"/>
            </w:tcBorders>
            <w:shd w:val="clear" w:color="000000" w:fill="auto"/>
            <w:noWrap/>
            <w:hideMark/>
          </w:tcPr>
          <w:p w14:paraId="59725F87" w14:textId="77777777" w:rsidR="000A62ED" w:rsidRPr="009C7C62" w:rsidRDefault="000A62ED" w:rsidP="007D1F14">
            <w:pPr>
              <w:spacing w:before="45" w:after="45" w:line="240" w:lineRule="auto"/>
              <w:ind w:left="57" w:right="108"/>
              <w:jc w:val="right"/>
              <w:rPr>
                <w:rFonts w:eastAsia="Times New Roman" w:cs="Open Sans"/>
                <w:color w:val="000000"/>
                <w:sz w:val="18"/>
                <w:szCs w:val="22"/>
                <w:lang w:eastAsia="en-AU"/>
              </w:rPr>
            </w:pPr>
            <w:r w:rsidRPr="009C7C62">
              <w:rPr>
                <w:rFonts w:eastAsia="Times New Roman" w:cs="Open Sans"/>
                <w:color w:val="000000"/>
                <w:sz w:val="18"/>
                <w:szCs w:val="22"/>
                <w:lang w:eastAsia="en-AU"/>
              </w:rPr>
              <w:t>$1.7</w:t>
            </w:r>
          </w:p>
        </w:tc>
        <w:tc>
          <w:tcPr>
            <w:tcW w:w="1643" w:type="dxa"/>
            <w:tcBorders>
              <w:top w:val="nil"/>
              <w:bottom w:val="nil"/>
            </w:tcBorders>
            <w:shd w:val="clear" w:color="000000" w:fill="auto"/>
          </w:tcPr>
          <w:p w14:paraId="13C7A1C7" w14:textId="77777777" w:rsidR="000A62ED" w:rsidRPr="009C7C62" w:rsidRDefault="000A62ED" w:rsidP="007D1F14">
            <w:pPr>
              <w:spacing w:before="45" w:after="45" w:line="240" w:lineRule="auto"/>
              <w:ind w:left="57" w:right="108"/>
              <w:jc w:val="right"/>
              <w:rPr>
                <w:rFonts w:eastAsia="Times New Roman" w:cs="Open Sans"/>
                <w:color w:val="000000"/>
                <w:sz w:val="18"/>
                <w:szCs w:val="22"/>
                <w:lang w:eastAsia="en-AU"/>
              </w:rPr>
            </w:pPr>
            <w:r w:rsidRPr="009C7C62">
              <w:rPr>
                <w:rFonts w:eastAsia="Times New Roman" w:cs="Open Sans"/>
                <w:color w:val="000000"/>
                <w:sz w:val="18"/>
                <w:szCs w:val="22"/>
                <w:lang w:eastAsia="en-AU"/>
              </w:rPr>
              <w:t>$1.5</w:t>
            </w:r>
          </w:p>
        </w:tc>
      </w:tr>
      <w:tr w:rsidR="000A62ED" w:rsidRPr="009C7C62" w14:paraId="4021E1E8" w14:textId="77777777" w:rsidTr="007D1F14">
        <w:trPr>
          <w:trHeight w:val="290"/>
        </w:trPr>
        <w:tc>
          <w:tcPr>
            <w:tcW w:w="2977" w:type="dxa"/>
            <w:tcBorders>
              <w:bottom w:val="nil"/>
            </w:tcBorders>
            <w:shd w:val="clear" w:color="000000" w:fill="E6E6E6"/>
            <w:noWrap/>
            <w:hideMark/>
          </w:tcPr>
          <w:p w14:paraId="509940E3" w14:textId="77777777" w:rsidR="000A62ED" w:rsidRPr="009C7C62" w:rsidRDefault="000A62ED">
            <w:pPr>
              <w:spacing w:before="45" w:after="45" w:line="240" w:lineRule="auto"/>
              <w:ind w:left="57" w:right="108"/>
              <w:rPr>
                <w:rFonts w:eastAsia="Times New Roman" w:cs="Open Sans"/>
                <w:b/>
                <w:color w:val="1D4374"/>
                <w:sz w:val="18"/>
                <w:szCs w:val="22"/>
                <w:lang w:eastAsia="en-AU"/>
              </w:rPr>
            </w:pPr>
            <w:r w:rsidRPr="009C7C62">
              <w:rPr>
                <w:rFonts w:eastAsia="Times New Roman" w:cs="Open Sans"/>
                <w:b/>
                <w:color w:val="1D4374"/>
                <w:sz w:val="18"/>
                <w:szCs w:val="22"/>
                <w:lang w:eastAsia="en-AU"/>
              </w:rPr>
              <w:t>Land tax</w:t>
            </w:r>
          </w:p>
        </w:tc>
        <w:tc>
          <w:tcPr>
            <w:tcW w:w="2552" w:type="dxa"/>
            <w:tcBorders>
              <w:bottom w:val="nil"/>
            </w:tcBorders>
            <w:shd w:val="clear" w:color="000000" w:fill="E6E6E6"/>
            <w:noWrap/>
            <w:hideMark/>
          </w:tcPr>
          <w:p w14:paraId="225B1DDB" w14:textId="77777777" w:rsidR="000A62ED" w:rsidRPr="009C7C62" w:rsidRDefault="000A62ED" w:rsidP="007D1F14">
            <w:pPr>
              <w:spacing w:before="45" w:after="45" w:line="240" w:lineRule="auto"/>
              <w:ind w:left="57" w:right="108"/>
              <w:jc w:val="right"/>
              <w:rPr>
                <w:rFonts w:eastAsia="Times New Roman" w:cs="Open Sans"/>
                <w:color w:val="000000"/>
                <w:sz w:val="18"/>
                <w:szCs w:val="22"/>
                <w:lang w:eastAsia="en-AU"/>
              </w:rPr>
            </w:pPr>
            <w:r w:rsidRPr="009C7C62">
              <w:rPr>
                <w:rFonts w:eastAsia="Times New Roman" w:cs="Open Sans"/>
                <w:color w:val="000000"/>
                <w:sz w:val="18"/>
                <w:szCs w:val="22"/>
                <w:lang w:eastAsia="en-AU"/>
              </w:rPr>
              <w:t>$4.7</w:t>
            </w:r>
          </w:p>
        </w:tc>
        <w:tc>
          <w:tcPr>
            <w:tcW w:w="2268" w:type="dxa"/>
            <w:tcBorders>
              <w:bottom w:val="nil"/>
            </w:tcBorders>
            <w:shd w:val="clear" w:color="000000" w:fill="E6E6E6"/>
            <w:noWrap/>
            <w:hideMark/>
          </w:tcPr>
          <w:p w14:paraId="1C9528C9" w14:textId="77777777" w:rsidR="000A62ED" w:rsidRPr="009C7C62" w:rsidRDefault="000A62ED" w:rsidP="007D1F14">
            <w:pPr>
              <w:spacing w:before="45" w:after="45" w:line="240" w:lineRule="auto"/>
              <w:ind w:left="57" w:right="108"/>
              <w:jc w:val="right"/>
              <w:rPr>
                <w:rFonts w:eastAsia="Times New Roman" w:cs="Open Sans"/>
                <w:color w:val="000000"/>
                <w:sz w:val="18"/>
                <w:szCs w:val="22"/>
                <w:lang w:eastAsia="en-AU"/>
              </w:rPr>
            </w:pPr>
            <w:r w:rsidRPr="009C7C62">
              <w:rPr>
                <w:rFonts w:eastAsia="Times New Roman" w:cs="Open Sans"/>
                <w:color w:val="000000"/>
                <w:sz w:val="18"/>
                <w:szCs w:val="22"/>
                <w:lang w:eastAsia="en-AU"/>
              </w:rPr>
              <w:t>$4.6</w:t>
            </w:r>
          </w:p>
        </w:tc>
        <w:tc>
          <w:tcPr>
            <w:tcW w:w="1643" w:type="dxa"/>
            <w:tcBorders>
              <w:bottom w:val="nil"/>
            </w:tcBorders>
            <w:shd w:val="clear" w:color="000000" w:fill="E6E6E6"/>
          </w:tcPr>
          <w:p w14:paraId="214A72C6" w14:textId="77777777" w:rsidR="000A62ED" w:rsidRPr="009C7C62" w:rsidRDefault="000A62ED" w:rsidP="007D1F14">
            <w:pPr>
              <w:spacing w:before="45" w:after="45" w:line="240" w:lineRule="auto"/>
              <w:ind w:left="57" w:right="108"/>
              <w:jc w:val="right"/>
              <w:rPr>
                <w:rFonts w:eastAsia="Times New Roman" w:cs="Open Sans"/>
                <w:color w:val="000000"/>
                <w:sz w:val="18"/>
                <w:szCs w:val="22"/>
                <w:lang w:eastAsia="en-AU"/>
              </w:rPr>
            </w:pPr>
            <w:r w:rsidRPr="009C7C62">
              <w:rPr>
                <w:rFonts w:eastAsia="Times New Roman" w:cs="Open Sans"/>
                <w:color w:val="000000"/>
                <w:sz w:val="18"/>
                <w:szCs w:val="22"/>
                <w:lang w:eastAsia="en-AU"/>
              </w:rPr>
              <w:t>$4.</w:t>
            </w:r>
            <w:r>
              <w:rPr>
                <w:rFonts w:eastAsia="Times New Roman" w:cs="Open Sans"/>
                <w:color w:val="000000"/>
                <w:sz w:val="18"/>
                <w:szCs w:val="22"/>
                <w:lang w:eastAsia="en-AU"/>
              </w:rPr>
              <w:t>7</w:t>
            </w:r>
          </w:p>
        </w:tc>
      </w:tr>
      <w:tr w:rsidR="000A62ED" w:rsidRPr="00203D9D" w14:paraId="53DB40B1" w14:textId="77777777" w:rsidTr="007D1F14">
        <w:trPr>
          <w:trHeight w:val="290"/>
        </w:trPr>
        <w:tc>
          <w:tcPr>
            <w:tcW w:w="2977" w:type="dxa"/>
            <w:tcBorders>
              <w:top w:val="nil"/>
              <w:bottom w:val="nil"/>
            </w:tcBorders>
            <w:shd w:val="clear" w:color="000000" w:fill="auto"/>
            <w:noWrap/>
          </w:tcPr>
          <w:p w14:paraId="6EE46229" w14:textId="77777777" w:rsidR="000A62ED" w:rsidRPr="00203D9D" w:rsidRDefault="000A62ED">
            <w:pPr>
              <w:spacing w:before="45" w:after="45" w:line="240" w:lineRule="auto"/>
              <w:ind w:left="57" w:right="108"/>
              <w:rPr>
                <w:rFonts w:eastAsia="Times New Roman" w:cs="Open Sans"/>
                <w:b/>
                <w:color w:val="1D4374"/>
                <w:sz w:val="18"/>
                <w:szCs w:val="22"/>
                <w:lang w:eastAsia="en-AU"/>
              </w:rPr>
            </w:pPr>
            <w:r w:rsidRPr="00203D9D">
              <w:rPr>
                <w:rFonts w:eastAsia="Times New Roman" w:cs="Open Sans"/>
                <w:b/>
                <w:color w:val="1D4374"/>
                <w:sz w:val="18"/>
                <w:szCs w:val="22"/>
                <w:lang w:eastAsia="en-AU"/>
              </w:rPr>
              <w:t>Average non-mining tax</w:t>
            </w:r>
          </w:p>
        </w:tc>
        <w:tc>
          <w:tcPr>
            <w:tcW w:w="2552" w:type="dxa"/>
            <w:tcBorders>
              <w:top w:val="nil"/>
              <w:bottom w:val="nil"/>
            </w:tcBorders>
            <w:shd w:val="clear" w:color="000000" w:fill="auto"/>
            <w:noWrap/>
          </w:tcPr>
          <w:p w14:paraId="4A96B9C7" w14:textId="77777777" w:rsidR="000A62ED" w:rsidRPr="00203D9D" w:rsidRDefault="000A62ED" w:rsidP="007D1F14">
            <w:pPr>
              <w:spacing w:before="45" w:after="45" w:line="240" w:lineRule="auto"/>
              <w:ind w:left="57" w:right="108"/>
              <w:jc w:val="right"/>
              <w:rPr>
                <w:rFonts w:eastAsia="Times New Roman" w:cs="Open Sans"/>
                <w:color w:val="000000"/>
                <w:sz w:val="18"/>
                <w:szCs w:val="22"/>
                <w:lang w:eastAsia="en-AU"/>
              </w:rPr>
            </w:pPr>
            <w:r w:rsidRPr="00203D9D">
              <w:rPr>
                <w:rFonts w:eastAsia="Times New Roman" w:cs="Open Sans"/>
                <w:color w:val="000000"/>
                <w:sz w:val="18"/>
                <w:szCs w:val="22"/>
                <w:lang w:eastAsia="en-AU"/>
              </w:rPr>
              <w:t>$1.1</w:t>
            </w:r>
          </w:p>
        </w:tc>
        <w:tc>
          <w:tcPr>
            <w:tcW w:w="2268" w:type="dxa"/>
            <w:tcBorders>
              <w:top w:val="nil"/>
              <w:bottom w:val="nil"/>
            </w:tcBorders>
            <w:shd w:val="clear" w:color="000000" w:fill="auto"/>
            <w:noWrap/>
          </w:tcPr>
          <w:p w14:paraId="1361DCF0" w14:textId="77777777" w:rsidR="000A62ED" w:rsidRPr="00203D9D" w:rsidRDefault="000A62ED" w:rsidP="007D1F14">
            <w:pPr>
              <w:spacing w:before="45" w:after="45" w:line="240" w:lineRule="auto"/>
              <w:ind w:left="57" w:right="108"/>
              <w:jc w:val="right"/>
              <w:rPr>
                <w:rFonts w:eastAsia="Times New Roman" w:cs="Open Sans"/>
                <w:color w:val="000000"/>
                <w:sz w:val="18"/>
                <w:szCs w:val="22"/>
                <w:lang w:eastAsia="en-AU"/>
              </w:rPr>
            </w:pPr>
            <w:r w:rsidRPr="00203D9D">
              <w:rPr>
                <w:rFonts w:eastAsia="Times New Roman" w:cs="Open Sans"/>
                <w:color w:val="000000"/>
                <w:sz w:val="18"/>
                <w:szCs w:val="22"/>
                <w:lang w:eastAsia="en-AU"/>
              </w:rPr>
              <w:t>$1.1</w:t>
            </w:r>
          </w:p>
        </w:tc>
        <w:tc>
          <w:tcPr>
            <w:tcW w:w="1643" w:type="dxa"/>
            <w:tcBorders>
              <w:top w:val="nil"/>
              <w:bottom w:val="nil"/>
            </w:tcBorders>
            <w:shd w:val="clear" w:color="000000" w:fill="auto"/>
          </w:tcPr>
          <w:p w14:paraId="2C65AE44" w14:textId="77777777" w:rsidR="000A62ED" w:rsidRPr="00203D9D" w:rsidRDefault="000A62ED" w:rsidP="007D1F14">
            <w:pPr>
              <w:spacing w:before="45" w:after="45" w:line="240" w:lineRule="auto"/>
              <w:ind w:left="57" w:right="108"/>
              <w:jc w:val="right"/>
              <w:rPr>
                <w:rFonts w:eastAsia="Times New Roman" w:cs="Open Sans"/>
                <w:color w:val="000000"/>
                <w:sz w:val="18"/>
                <w:szCs w:val="22"/>
                <w:lang w:eastAsia="en-AU"/>
              </w:rPr>
            </w:pPr>
            <w:r w:rsidRPr="00203D9D">
              <w:rPr>
                <w:rFonts w:eastAsia="Times New Roman" w:cs="Open Sans"/>
                <w:color w:val="000000"/>
                <w:sz w:val="18"/>
                <w:szCs w:val="22"/>
                <w:lang w:eastAsia="en-AU"/>
              </w:rPr>
              <w:t>$1.2</w:t>
            </w:r>
          </w:p>
        </w:tc>
      </w:tr>
      <w:tr w:rsidR="000A62ED" w:rsidRPr="009C7C62" w14:paraId="3D034F81" w14:textId="77777777" w:rsidTr="007D1F14">
        <w:trPr>
          <w:trHeight w:val="290"/>
        </w:trPr>
        <w:tc>
          <w:tcPr>
            <w:tcW w:w="2977" w:type="dxa"/>
            <w:tcBorders>
              <w:bottom w:val="single" w:sz="4" w:space="0" w:color="B3B3B3"/>
            </w:tcBorders>
            <w:shd w:val="clear" w:color="000000" w:fill="E6E6E6"/>
            <w:noWrap/>
            <w:hideMark/>
          </w:tcPr>
          <w:p w14:paraId="1D4DA5E9" w14:textId="77777777" w:rsidR="000A62ED" w:rsidRPr="009C7C62" w:rsidRDefault="000A62ED">
            <w:pPr>
              <w:spacing w:before="45" w:after="45" w:line="240" w:lineRule="auto"/>
              <w:ind w:left="57" w:right="108"/>
              <w:rPr>
                <w:rFonts w:eastAsia="Times New Roman" w:cs="Open Sans"/>
                <w:b/>
                <w:color w:val="1D4374"/>
                <w:sz w:val="18"/>
                <w:szCs w:val="22"/>
                <w:lang w:eastAsia="en-AU"/>
              </w:rPr>
            </w:pPr>
            <w:r w:rsidRPr="009C7C62">
              <w:rPr>
                <w:rFonts w:eastAsia="Times New Roman" w:cs="Open Sans"/>
                <w:b/>
                <w:color w:val="1D4374"/>
                <w:sz w:val="18"/>
                <w:szCs w:val="22"/>
                <w:lang w:eastAsia="en-AU"/>
              </w:rPr>
              <w:t>Average mining revenue</w:t>
            </w:r>
          </w:p>
        </w:tc>
        <w:tc>
          <w:tcPr>
            <w:tcW w:w="2552" w:type="dxa"/>
            <w:tcBorders>
              <w:bottom w:val="single" w:sz="4" w:space="0" w:color="B3B3B3"/>
            </w:tcBorders>
            <w:shd w:val="clear" w:color="000000" w:fill="E6E6E6"/>
            <w:noWrap/>
            <w:hideMark/>
          </w:tcPr>
          <w:p w14:paraId="46E2ACCB" w14:textId="77777777" w:rsidR="000A62ED" w:rsidRPr="009C7C62" w:rsidRDefault="000A62ED" w:rsidP="007D1F14">
            <w:pPr>
              <w:spacing w:before="45" w:after="45" w:line="240" w:lineRule="auto"/>
              <w:ind w:left="57" w:right="108"/>
              <w:jc w:val="right"/>
              <w:rPr>
                <w:rFonts w:eastAsia="Times New Roman" w:cs="Open Sans"/>
                <w:color w:val="000000"/>
                <w:sz w:val="18"/>
                <w:szCs w:val="22"/>
                <w:lang w:eastAsia="en-AU"/>
              </w:rPr>
            </w:pPr>
            <w:r w:rsidRPr="009C7C62">
              <w:rPr>
                <w:rFonts w:eastAsia="Times New Roman" w:cs="Open Sans"/>
                <w:color w:val="000000"/>
                <w:sz w:val="18"/>
                <w:szCs w:val="22"/>
                <w:lang w:eastAsia="en-AU"/>
              </w:rPr>
              <w:t>$</w:t>
            </w:r>
            <w:r>
              <w:rPr>
                <w:rFonts w:eastAsia="Times New Roman" w:cs="Open Sans"/>
                <w:color w:val="000000"/>
                <w:sz w:val="18"/>
                <w:szCs w:val="22"/>
                <w:lang w:eastAsia="en-AU"/>
              </w:rPr>
              <w:t>9.1</w:t>
            </w:r>
          </w:p>
        </w:tc>
        <w:tc>
          <w:tcPr>
            <w:tcW w:w="2268" w:type="dxa"/>
            <w:tcBorders>
              <w:bottom w:val="single" w:sz="4" w:space="0" w:color="B3B3B3"/>
            </w:tcBorders>
            <w:shd w:val="clear" w:color="000000" w:fill="E6E6E6"/>
            <w:noWrap/>
            <w:hideMark/>
          </w:tcPr>
          <w:p w14:paraId="010BB6BA" w14:textId="77777777" w:rsidR="000A62ED" w:rsidRPr="009C7C62" w:rsidRDefault="000A62ED" w:rsidP="007D1F14">
            <w:pPr>
              <w:spacing w:before="45" w:after="45" w:line="240" w:lineRule="auto"/>
              <w:ind w:left="57" w:right="108"/>
              <w:jc w:val="right"/>
              <w:rPr>
                <w:rFonts w:eastAsia="Times New Roman" w:cs="Open Sans"/>
                <w:color w:val="000000"/>
                <w:sz w:val="18"/>
                <w:szCs w:val="22"/>
                <w:lang w:eastAsia="en-AU"/>
              </w:rPr>
            </w:pPr>
            <w:r w:rsidRPr="00203D9D">
              <w:rPr>
                <w:rFonts w:eastAsia="Times New Roman" w:cs="Open Sans"/>
                <w:color w:val="000000"/>
                <w:sz w:val="18"/>
                <w:szCs w:val="22"/>
                <w:lang w:eastAsia="en-AU"/>
              </w:rPr>
              <w:t>$10.</w:t>
            </w:r>
            <w:r>
              <w:rPr>
                <w:rFonts w:eastAsia="Times New Roman" w:cs="Open Sans"/>
                <w:color w:val="000000"/>
                <w:sz w:val="18"/>
                <w:szCs w:val="22"/>
                <w:lang w:eastAsia="en-AU"/>
              </w:rPr>
              <w:t>6</w:t>
            </w:r>
          </w:p>
        </w:tc>
        <w:tc>
          <w:tcPr>
            <w:tcW w:w="1643" w:type="dxa"/>
            <w:tcBorders>
              <w:bottom w:val="single" w:sz="4" w:space="0" w:color="B3B3B3"/>
            </w:tcBorders>
            <w:shd w:val="clear" w:color="000000" w:fill="E6E6E6"/>
          </w:tcPr>
          <w:p w14:paraId="396D9BEB" w14:textId="77777777" w:rsidR="000A62ED" w:rsidRPr="009C7C62" w:rsidRDefault="000A62ED" w:rsidP="007D1F14">
            <w:pPr>
              <w:spacing w:before="45" w:after="45" w:line="240" w:lineRule="auto"/>
              <w:ind w:left="57" w:right="108"/>
              <w:jc w:val="right"/>
              <w:rPr>
                <w:rFonts w:eastAsia="Times New Roman" w:cs="Open Sans"/>
                <w:color w:val="000000"/>
                <w:sz w:val="18"/>
                <w:szCs w:val="22"/>
                <w:lang w:eastAsia="en-AU"/>
              </w:rPr>
            </w:pPr>
            <w:r w:rsidRPr="009C7C62">
              <w:rPr>
                <w:rFonts w:eastAsia="Times New Roman" w:cs="Open Sans"/>
                <w:color w:val="000000"/>
                <w:sz w:val="18"/>
                <w:szCs w:val="22"/>
                <w:lang w:eastAsia="en-AU"/>
              </w:rPr>
              <w:t>$</w:t>
            </w:r>
            <w:r w:rsidRPr="00203D9D">
              <w:rPr>
                <w:rFonts w:eastAsia="Times New Roman" w:cs="Open Sans"/>
                <w:color w:val="000000"/>
                <w:sz w:val="18"/>
                <w:szCs w:val="22"/>
                <w:lang w:eastAsia="en-AU"/>
              </w:rPr>
              <w:t>19</w:t>
            </w:r>
            <w:r w:rsidRPr="009C7C62">
              <w:rPr>
                <w:rFonts w:eastAsia="Times New Roman" w:cs="Open Sans"/>
                <w:color w:val="000000"/>
                <w:sz w:val="18"/>
                <w:szCs w:val="22"/>
                <w:lang w:eastAsia="en-AU"/>
              </w:rPr>
              <w:t>.</w:t>
            </w:r>
            <w:r>
              <w:rPr>
                <w:rFonts w:eastAsia="Times New Roman" w:cs="Open Sans"/>
                <w:color w:val="000000"/>
                <w:sz w:val="18"/>
                <w:szCs w:val="22"/>
                <w:lang w:eastAsia="en-AU"/>
              </w:rPr>
              <w:t>3</w:t>
            </w:r>
          </w:p>
        </w:tc>
      </w:tr>
    </w:tbl>
    <w:p w14:paraId="430DD198" w14:textId="04E217A2" w:rsidR="000A62ED" w:rsidRPr="009C6855" w:rsidRDefault="000A62ED" w:rsidP="009C6855">
      <w:pPr>
        <w:pStyle w:val="Note"/>
        <w:spacing w:after="360"/>
        <w:rPr>
          <w:spacing w:val="-2"/>
          <w:lang w:eastAsia="en-AU"/>
        </w:rPr>
      </w:pPr>
      <w:r w:rsidRPr="009C6855">
        <w:rPr>
          <w:spacing w:val="-2"/>
          <w:lang w:eastAsia="en-AU"/>
        </w:rPr>
        <w:t>Figures are the average absolute change in GST from a $100 increase in revenue, across states with material assessed revenue in that category (</w:t>
      </w:r>
      <w:r w:rsidRPr="009C6855">
        <w:rPr>
          <w:rFonts w:cs="Open Sans"/>
          <w:spacing w:val="-2"/>
          <w:lang w:eastAsia="en-AU"/>
        </w:rPr>
        <w:t>≥</w:t>
      </w:r>
      <w:r w:rsidRPr="009C6855">
        <w:rPr>
          <w:spacing w:val="-2"/>
          <w:lang w:eastAsia="en-AU"/>
        </w:rPr>
        <w:t xml:space="preserve">$1). This measures the magnitude (positive and negative) of the GST distribution effect that would be experienced over 3 years based on </w:t>
      </w:r>
      <w:r w:rsidR="003B5DC0" w:rsidRPr="009C6855">
        <w:rPr>
          <w:spacing w:val="-2"/>
          <w:lang w:eastAsia="en-AU"/>
        </w:rPr>
        <w:t xml:space="preserve">2024–25 </w:t>
      </w:r>
      <w:r w:rsidRPr="009C6855">
        <w:rPr>
          <w:spacing w:val="-2"/>
          <w:lang w:eastAsia="en-AU"/>
        </w:rPr>
        <w:t xml:space="preserve">assessment year data from the 2026 inquiry. Effects for average non-mining and mining revenue, are weighted based on their share of assessed revenue. </w:t>
      </w:r>
    </w:p>
    <w:p w14:paraId="53E41E51" w14:textId="2E069D6B" w:rsidR="000A62ED" w:rsidRPr="00146382" w:rsidRDefault="000A62ED">
      <w:pPr>
        <w:pStyle w:val="FigureTableHeading"/>
      </w:pPr>
      <w:bookmarkStart w:id="39" w:name="_Ref236059348"/>
      <w:r w:rsidRPr="009B0E69" w:rsidDel="00621544">
        <w:lastRenderedPageBreak/>
        <w:t xml:space="preserve">Figure </w:t>
      </w:r>
      <w:fldSimple w:instr=" STYLEREF 1 \s ">
        <w:r w:rsidR="009C08C4">
          <w:rPr>
            <w:noProof/>
          </w:rPr>
          <w:t>3</w:t>
        </w:r>
      </w:fldSimple>
      <w:r w:rsidRPr="009B0E69" w:rsidDel="00621544">
        <w:t>.</w:t>
      </w:r>
      <w:fldSimple w:instr=" SEQ Figure \* ARABIC \s 1 ">
        <w:r w:rsidR="009C08C4">
          <w:rPr>
            <w:noProof/>
          </w:rPr>
          <w:t>3</w:t>
        </w:r>
      </w:fldSimple>
      <w:bookmarkEnd w:id="39"/>
      <w:r w:rsidRPr="0025776D" w:rsidDel="00621544">
        <w:t xml:space="preserve"> </w:t>
      </w:r>
      <w:r w:rsidRPr="00B6575E">
        <w:t>– The 2018 reforms have not coincided with greater state tax changes</w:t>
      </w:r>
    </w:p>
    <w:p w14:paraId="716BE7C2" w14:textId="2E3AA426" w:rsidR="000A62ED" w:rsidRDefault="000A62ED">
      <w:pPr>
        <w:pStyle w:val="FigureTableSubheading"/>
        <w:keepLines/>
      </w:pPr>
      <w:r>
        <w:t>Average number of major tax changes per year, 2008</w:t>
      </w:r>
      <w:r w:rsidR="008E5C01">
        <w:t>–</w:t>
      </w:r>
      <w:r>
        <w:t xml:space="preserve">09 to </w:t>
      </w:r>
      <w:r w:rsidR="003B5DC0">
        <w:t>2025–26</w:t>
      </w:r>
    </w:p>
    <w:p w14:paraId="53A6F19D" w14:textId="7BDAFBB3" w:rsidR="000A62ED" w:rsidRDefault="000A62ED" w:rsidP="00475741">
      <w:pPr>
        <w:pStyle w:val="BodyText"/>
        <w:rPr>
          <w:noProof/>
        </w:rPr>
      </w:pPr>
      <w:r w:rsidRPr="009B0E69">
        <w:rPr>
          <w:noProof/>
        </w:rPr>
        <w:drawing>
          <wp:inline distT="0" distB="0" distL="0" distR="0" wp14:anchorId="0D8BEA45" wp14:editId="7AE1C32D">
            <wp:extent cx="6120130" cy="2748280"/>
            <wp:effectExtent l="0" t="0" r="0" b="0"/>
            <wp:docPr id="1616400272" name="Picture 10" descr="Figure 3.3 – A column chart showing the average number of major tax changes per year for each state and the national average, both before the reforms from 2008-9 to 2018-19, and after the reforms from 2019-20 to 2025-26. After 2018, Victoria had significantly higher average tax changes, South Australia had significantly lower average tax changes, every other state experienced minimal change, and the national average decreased slightl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400272" name="Picture 10" descr="Figure 3.3 – A column chart showing the average number of major tax changes per year for each state and the national average, both before the reforms from 2008-9 to 2018-19, and after the reforms from 2019-20 to 2025-26. After 2018, Victoria had significantly higher average tax changes, South Australia had significantly lower average tax changes, every other state experienced minimal change, and the national average decreased slightly. "/>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120130" cy="2748280"/>
                    </a:xfrm>
                    <a:prstGeom prst="rect">
                      <a:avLst/>
                    </a:prstGeom>
                    <a:noFill/>
                    <a:ln>
                      <a:noFill/>
                    </a:ln>
                  </pic:spPr>
                </pic:pic>
              </a:graphicData>
            </a:graphic>
          </wp:inline>
        </w:drawing>
      </w:r>
    </w:p>
    <w:p w14:paraId="469002DB" w14:textId="10236A2F" w:rsidR="000A62ED" w:rsidRDefault="000A62ED">
      <w:pPr>
        <w:pStyle w:val="Note"/>
        <w:keepLines/>
      </w:pPr>
      <w:r>
        <w:t xml:space="preserve">Excludes </w:t>
      </w:r>
      <w:r w:rsidRPr="00F82CCA">
        <w:t>2009</w:t>
      </w:r>
      <w:r w:rsidR="008E5C01">
        <w:t>–</w:t>
      </w:r>
      <w:r w:rsidRPr="00F82CCA">
        <w:t>10 and 2017</w:t>
      </w:r>
      <w:r>
        <w:noBreakHyphen/>
      </w:r>
      <w:r w:rsidRPr="00F82CCA">
        <w:t>18</w:t>
      </w:r>
      <w:r>
        <w:t xml:space="preserve"> as data is not available for these years. Pre-2018 is 2008-09 to </w:t>
      </w:r>
      <w:r w:rsidR="00932B6F">
        <w:t xml:space="preserve">2018–19 </w:t>
      </w:r>
      <w:r>
        <w:t>(inclusive), post is 2019</w:t>
      </w:r>
      <w:r w:rsidR="00B4766A">
        <w:t>–</w:t>
      </w:r>
      <w:r>
        <w:t xml:space="preserve">20 to </w:t>
      </w:r>
      <w:r w:rsidR="003B5DC0">
        <w:t>2025–26</w:t>
      </w:r>
      <w:r>
        <w:t xml:space="preserve">. </w:t>
      </w:r>
    </w:p>
    <w:p w14:paraId="1DCA57D7" w14:textId="2FD3015E" w:rsidR="000A62ED" w:rsidRDefault="000A62ED" w:rsidP="00B6379F">
      <w:pPr>
        <w:pStyle w:val="Source"/>
        <w:spacing w:after="360"/>
      </w:pPr>
      <w:r w:rsidRPr="00696447">
        <w:t xml:space="preserve">Source: </w:t>
      </w:r>
      <w:r>
        <w:t>D</w:t>
      </w:r>
      <w:r w:rsidRPr="008B1D06">
        <w:t xml:space="preserve">ata set compiled from </w:t>
      </w:r>
      <w:r>
        <w:t>available New South Wales</w:t>
      </w:r>
      <w:r w:rsidRPr="008B1D06">
        <w:t xml:space="preserve"> interstate comparison of taxes</w:t>
      </w:r>
      <w:r>
        <w:t xml:space="preserve"> reports</w:t>
      </w:r>
      <w:r w:rsidRPr="008B1D06">
        <w:t xml:space="preserve"> 200</w:t>
      </w:r>
      <w:r>
        <w:t>8–</w:t>
      </w:r>
      <w:r w:rsidRPr="008B1D06">
        <w:t>202</w:t>
      </w:r>
      <w:r>
        <w:t xml:space="preserve">6 and other sources </w:t>
      </w:r>
      <w:r w:rsidRPr="006D782A">
        <w:rPr>
          <w:rFonts w:cs="Open Sans"/>
        </w:rPr>
        <w:t>(Government of Western Australia 2025; NSW Treasury 2026)</w:t>
      </w:r>
      <w:r>
        <w:t>.</w:t>
      </w:r>
    </w:p>
    <w:p w14:paraId="76988322" w14:textId="77777777" w:rsidR="000A62ED" w:rsidRDefault="000A62ED">
      <w:pPr>
        <w:pStyle w:val="BodyText"/>
        <w:rPr>
          <w:rFonts w:ascii="Open Sans Extrabold" w:eastAsiaTheme="majorEastAsia" w:hAnsi="Open Sans Extrabold" w:cstheme="majorBidi"/>
          <w:iCs/>
          <w:color w:val="132D4D" w:themeColor="background2" w:themeShade="80"/>
          <w:sz w:val="22"/>
          <w:szCs w:val="33"/>
          <w:lang w:eastAsia="en-AU"/>
        </w:rPr>
      </w:pPr>
      <w:r w:rsidRPr="0041340E">
        <w:rPr>
          <w:rFonts w:ascii="Open Sans Extrabold" w:eastAsiaTheme="majorEastAsia" w:hAnsi="Open Sans Extrabold" w:cstheme="majorBidi"/>
          <w:iCs/>
          <w:color w:val="132D4D" w:themeColor="background2" w:themeShade="80"/>
          <w:sz w:val="22"/>
          <w:szCs w:val="33"/>
          <w:lang w:eastAsia="en-AU"/>
        </w:rPr>
        <w:t xml:space="preserve">Large reforms can </w:t>
      </w:r>
      <w:r>
        <w:rPr>
          <w:rFonts w:ascii="Open Sans Extrabold" w:eastAsiaTheme="majorEastAsia" w:hAnsi="Open Sans Extrabold" w:cstheme="majorBidi"/>
          <w:iCs/>
          <w:color w:val="132D4D" w:themeColor="background2" w:themeShade="80"/>
          <w:sz w:val="22"/>
          <w:szCs w:val="33"/>
          <w:lang w:eastAsia="en-AU"/>
        </w:rPr>
        <w:t xml:space="preserve">generate </w:t>
      </w:r>
      <w:r w:rsidRPr="0041340E">
        <w:rPr>
          <w:rFonts w:ascii="Open Sans Extrabold" w:eastAsiaTheme="majorEastAsia" w:hAnsi="Open Sans Extrabold" w:cstheme="majorBidi"/>
          <w:iCs/>
          <w:color w:val="132D4D" w:themeColor="background2" w:themeShade="80"/>
          <w:sz w:val="22"/>
          <w:szCs w:val="33"/>
          <w:lang w:eastAsia="en-AU"/>
        </w:rPr>
        <w:t xml:space="preserve">material </w:t>
      </w:r>
      <w:r>
        <w:rPr>
          <w:rFonts w:ascii="Open Sans Extrabold" w:eastAsiaTheme="majorEastAsia" w:hAnsi="Open Sans Extrabold" w:cstheme="majorBidi"/>
          <w:iCs/>
          <w:color w:val="132D4D" w:themeColor="background2" w:themeShade="80"/>
          <w:sz w:val="22"/>
          <w:szCs w:val="33"/>
          <w:lang w:eastAsia="en-AU"/>
        </w:rPr>
        <w:t>changes to GST payments; but their exact impact is uncertain</w:t>
      </w:r>
    </w:p>
    <w:p w14:paraId="53EB99C0" w14:textId="40DA28C0" w:rsidR="000A62ED" w:rsidRDefault="000A62ED">
      <w:pPr>
        <w:pStyle w:val="BodyText"/>
        <w:rPr>
          <w:lang w:eastAsia="en-AU"/>
        </w:rPr>
      </w:pPr>
      <w:r w:rsidRPr="007231CA">
        <w:rPr>
          <w:lang w:eastAsia="en-AU"/>
        </w:rPr>
        <w:t xml:space="preserve">Large reforms </w:t>
      </w:r>
      <w:r>
        <w:rPr>
          <w:lang w:eastAsia="en-AU"/>
        </w:rPr>
        <w:t xml:space="preserve">which impact the tax base of states </w:t>
      </w:r>
      <w:r w:rsidRPr="007231CA">
        <w:rPr>
          <w:lang w:eastAsia="en-AU"/>
        </w:rPr>
        <w:t xml:space="preserve">can produce larger and more uncertain </w:t>
      </w:r>
      <w:r>
        <w:rPr>
          <w:lang w:eastAsia="en-AU"/>
        </w:rPr>
        <w:t>impacts to GST payments</w:t>
      </w:r>
      <w:r w:rsidRPr="007231CA">
        <w:rPr>
          <w:lang w:eastAsia="en-AU"/>
        </w:rPr>
        <w:t xml:space="preserve"> because they can affect both the assessed tax rate and the assessed tax base</w:t>
      </w:r>
      <w:r>
        <w:rPr>
          <w:lang w:eastAsia="en-AU"/>
        </w:rPr>
        <w:t xml:space="preserve">. </w:t>
      </w:r>
      <w:r w:rsidRPr="003A0E5D">
        <w:rPr>
          <w:lang w:eastAsia="en-AU"/>
        </w:rPr>
        <w:t xml:space="preserve">Two reform cameos illustrate this: abolishing insurance taxes and </w:t>
      </w:r>
      <w:r>
        <w:rPr>
          <w:lang w:eastAsia="en-AU"/>
        </w:rPr>
        <w:t xml:space="preserve">fully </w:t>
      </w:r>
      <w:r w:rsidRPr="003A0E5D">
        <w:rPr>
          <w:lang w:eastAsia="en-AU"/>
        </w:rPr>
        <w:t xml:space="preserve">replacing stamp duty with a </w:t>
      </w:r>
      <w:r>
        <w:rPr>
          <w:lang w:eastAsia="en-AU"/>
        </w:rPr>
        <w:t xml:space="preserve">revenue neutral </w:t>
      </w:r>
      <w:r w:rsidRPr="003A0E5D">
        <w:rPr>
          <w:lang w:eastAsia="en-AU"/>
        </w:rPr>
        <w:t>broad land tax (</w:t>
      </w:r>
      <w:r>
        <w:rPr>
          <w:lang w:eastAsia="en-AU"/>
        </w:rPr>
        <w:t>a</w:t>
      </w:r>
      <w:r w:rsidRPr="003A0E5D">
        <w:rPr>
          <w:lang w:eastAsia="en-AU"/>
        </w:rPr>
        <w:t>ppendix C)</w:t>
      </w:r>
      <w:r>
        <w:rPr>
          <w:lang w:eastAsia="en-AU"/>
        </w:rPr>
        <w:t xml:space="preserve">. </w:t>
      </w:r>
      <w:r>
        <w:rPr>
          <w:lang w:eastAsia="en-AU"/>
        </w:rPr>
        <w:fldChar w:fldCharType="begin"/>
      </w:r>
      <w:r>
        <w:rPr>
          <w:lang w:eastAsia="en-AU"/>
        </w:rPr>
        <w:instrText xml:space="preserve"> REF _Ref236249475 \h </w:instrText>
      </w:r>
      <w:r>
        <w:rPr>
          <w:lang w:eastAsia="en-AU"/>
        </w:rPr>
      </w:r>
      <w:r>
        <w:rPr>
          <w:lang w:eastAsia="en-AU"/>
        </w:rPr>
        <w:fldChar w:fldCharType="separate"/>
      </w:r>
      <w:r w:rsidR="009C08C4" w:rsidDel="00B12650">
        <w:t xml:space="preserve">Figure </w:t>
      </w:r>
      <w:r w:rsidR="009C08C4">
        <w:rPr>
          <w:noProof/>
        </w:rPr>
        <w:t>3</w:t>
      </w:r>
      <w:r w:rsidR="009C08C4" w:rsidDel="00B12650">
        <w:t>.</w:t>
      </w:r>
      <w:r w:rsidR="009C08C4">
        <w:rPr>
          <w:noProof/>
        </w:rPr>
        <w:t>4</w:t>
      </w:r>
      <w:r>
        <w:rPr>
          <w:lang w:eastAsia="en-AU"/>
        </w:rPr>
        <w:fldChar w:fldCharType="end"/>
      </w:r>
      <w:r>
        <w:rPr>
          <w:lang w:eastAsia="en-AU"/>
        </w:rPr>
        <w:t xml:space="preserve"> shows the results under the current system (without the NoWO guarantee), the full results are in appendix C. Only the effects for New South Wales and Western Australia are specifically shown here as New South Wales is a representative large state and Western Australia represents the state most effected by the 2018 GST distribution reforms to date.</w:t>
      </w:r>
      <w:r w:rsidDel="000D4630">
        <w:rPr>
          <w:lang w:eastAsia="en-AU"/>
        </w:rPr>
        <w:t xml:space="preserve"> </w:t>
      </w:r>
      <w:r>
        <w:rPr>
          <w:lang w:eastAsia="en-AU"/>
        </w:rPr>
        <w:t>Note that these elasticity effects are highly uncertain and difficult to measure.</w:t>
      </w:r>
    </w:p>
    <w:p w14:paraId="350BAD31" w14:textId="77777777" w:rsidR="000202A8" w:rsidRPr="00307EC6" w:rsidRDefault="000202A8" w:rsidP="000202A8">
      <w:pPr>
        <w:pStyle w:val="BodyText"/>
        <w:rPr>
          <w:lang w:eastAsia="en-AU"/>
        </w:rPr>
      </w:pPr>
      <w:r>
        <w:rPr>
          <w:lang w:eastAsia="en-AU"/>
        </w:rPr>
        <w:t>The impact on the GST distribution of abolishing insurance taxes</w:t>
      </w:r>
      <w:r w:rsidRPr="00307EC6">
        <w:rPr>
          <w:lang w:eastAsia="en-AU"/>
        </w:rPr>
        <w:t xml:space="preserve"> is small relative to the</w:t>
      </w:r>
      <w:r>
        <w:rPr>
          <w:lang w:eastAsia="en-AU"/>
        </w:rPr>
        <w:t xml:space="preserve"> own-source</w:t>
      </w:r>
      <w:r w:rsidRPr="00307EC6">
        <w:rPr>
          <w:lang w:eastAsia="en-AU"/>
        </w:rPr>
        <w:t xml:space="preserve"> revenue at stake. The main fiscal challenge is replacing the revenue</w:t>
      </w:r>
      <w:r>
        <w:rPr>
          <w:lang w:eastAsia="en-AU"/>
        </w:rPr>
        <w:t xml:space="preserve"> no longer collected or reducing spending</w:t>
      </w:r>
      <w:r w:rsidRPr="00307EC6">
        <w:rPr>
          <w:lang w:eastAsia="en-AU"/>
        </w:rPr>
        <w:t>, not the GST assessment.</w:t>
      </w:r>
    </w:p>
    <w:p w14:paraId="2DA60ED9" w14:textId="25D0D2D4" w:rsidR="000202A8" w:rsidRDefault="000202A8">
      <w:pPr>
        <w:pStyle w:val="BodyText"/>
        <w:rPr>
          <w:lang w:eastAsia="en-AU"/>
        </w:rPr>
      </w:pPr>
      <w:r>
        <w:rPr>
          <w:lang w:eastAsia="en-AU"/>
        </w:rPr>
        <w:t>The impact on the GST distribution of replacing s</w:t>
      </w:r>
      <w:r w:rsidRPr="00522683">
        <w:rPr>
          <w:lang w:eastAsia="en-AU"/>
        </w:rPr>
        <w:t xml:space="preserve">tamp duty </w:t>
      </w:r>
      <w:r>
        <w:rPr>
          <w:lang w:eastAsia="en-AU"/>
        </w:rPr>
        <w:t xml:space="preserve">with a broad-based land tax would potentially have larger impacts on reform </w:t>
      </w:r>
      <w:r w:rsidRPr="002F2472">
        <w:rPr>
          <w:rFonts w:cs="Open Sans"/>
        </w:rPr>
        <w:t>(PC 2018, pp. 37, 108–109)</w:t>
      </w:r>
      <w:r>
        <w:rPr>
          <w:lang w:eastAsia="en-AU"/>
        </w:rPr>
        <w:t>.</w:t>
      </w:r>
      <w:r w:rsidRPr="005D6B5F">
        <w:rPr>
          <w:lang w:eastAsia="en-AU"/>
        </w:rPr>
        <w:t xml:space="preserve"> Replacing</w:t>
      </w:r>
      <w:r w:rsidRPr="005D6B5F" w:rsidDel="004C795E">
        <w:rPr>
          <w:lang w:eastAsia="en-AU"/>
        </w:rPr>
        <w:t xml:space="preserve"> </w:t>
      </w:r>
      <w:r>
        <w:rPr>
          <w:lang w:eastAsia="en-AU"/>
        </w:rPr>
        <w:t>stamp</w:t>
      </w:r>
      <w:r w:rsidRPr="005D6B5F">
        <w:rPr>
          <w:lang w:eastAsia="en-AU"/>
        </w:rPr>
        <w:t xml:space="preserve"> duty with a broad land tax affects a large and volatile tax base and could increase property turnover, with flow-on effects for GST shares. </w:t>
      </w:r>
      <w:r w:rsidRPr="3EAD6171">
        <w:rPr>
          <w:lang w:eastAsia="en-AU"/>
        </w:rPr>
        <w:t xml:space="preserve">Depending on the elasticity assumptions the </w:t>
      </w:r>
      <w:r w:rsidRPr="005D6B5F">
        <w:rPr>
          <w:lang w:eastAsia="en-AU"/>
        </w:rPr>
        <w:t>modelled</w:t>
      </w:r>
      <w:r>
        <w:rPr>
          <w:lang w:eastAsia="en-AU"/>
        </w:rPr>
        <w:t xml:space="preserve"> impacts on the GST distribution</w:t>
      </w:r>
      <w:r w:rsidRPr="005D6B5F">
        <w:rPr>
          <w:lang w:eastAsia="en-AU"/>
        </w:rPr>
        <w:t xml:space="preserve"> can be material, but they should not be read as forecasts. Real reforms would likely be phased </w:t>
      </w:r>
      <w:r>
        <w:rPr>
          <w:lang w:eastAsia="en-AU"/>
        </w:rPr>
        <w:t xml:space="preserve">in </w:t>
      </w:r>
      <w:r w:rsidRPr="005D6B5F">
        <w:rPr>
          <w:lang w:eastAsia="en-AU"/>
        </w:rPr>
        <w:t xml:space="preserve">over decades, results are sensitive to behavioural assumptions, and the CGC </w:t>
      </w:r>
      <w:r>
        <w:rPr>
          <w:lang w:eastAsia="en-AU"/>
        </w:rPr>
        <w:t>may be able to</w:t>
      </w:r>
      <w:r w:rsidRPr="005D6B5F">
        <w:rPr>
          <w:lang w:eastAsia="en-AU"/>
        </w:rPr>
        <w:t xml:space="preserve"> address material and measurable base effects through elasticity adjustments</w:t>
      </w:r>
      <w:r>
        <w:rPr>
          <w:lang w:eastAsia="en-AU"/>
        </w:rPr>
        <w:t xml:space="preserve"> to the extent it is practicable and material </w:t>
      </w:r>
      <w:r w:rsidRPr="00546FEC">
        <w:rPr>
          <w:rFonts w:cs="Open Sans"/>
        </w:rPr>
        <w:t>(CGC 2017b, p. 26, 2025d, pp. 32–33)</w:t>
      </w:r>
      <w:r w:rsidRPr="005D6B5F">
        <w:rPr>
          <w:lang w:eastAsia="en-AU"/>
        </w:rPr>
        <w:t>.</w:t>
      </w:r>
      <w:r>
        <w:rPr>
          <w:lang w:eastAsia="en-AU"/>
        </w:rPr>
        <w:t xml:space="preserve"> </w:t>
      </w:r>
    </w:p>
    <w:p w14:paraId="107631E5" w14:textId="2CA7CA4D" w:rsidR="000A62ED" w:rsidRPr="00146382" w:rsidRDefault="000A62ED">
      <w:pPr>
        <w:pStyle w:val="FigureTableHeading"/>
      </w:pPr>
      <w:bookmarkStart w:id="40" w:name="_Ref236249475"/>
      <w:r w:rsidDel="00B12650">
        <w:lastRenderedPageBreak/>
        <w:t xml:space="preserve">Figure </w:t>
      </w:r>
      <w:fldSimple w:instr=" STYLEREF 1 \s ">
        <w:r w:rsidR="009C08C4">
          <w:rPr>
            <w:noProof/>
          </w:rPr>
          <w:t>3</w:t>
        </w:r>
      </w:fldSimple>
      <w:r w:rsidDel="00B12650">
        <w:t>.</w:t>
      </w:r>
      <w:fldSimple w:instr=" SEQ Figure \* ARABIC \s 1 ">
        <w:r w:rsidR="009C08C4">
          <w:rPr>
            <w:noProof/>
          </w:rPr>
          <w:t>4</w:t>
        </w:r>
      </w:fldSimple>
      <w:bookmarkEnd w:id="40"/>
      <w:r w:rsidRPr="00003180" w:rsidDel="00B12650">
        <w:t xml:space="preserve"> </w:t>
      </w:r>
      <w:r w:rsidRPr="00B6575E">
        <w:t xml:space="preserve">– Summary of </w:t>
      </w:r>
      <w:r w:rsidRPr="00003180">
        <w:t>2</w:t>
      </w:r>
      <w:r w:rsidRPr="00B6575E">
        <w:t xml:space="preserve"> modelled large unilateral tax reform cameos</w:t>
      </w:r>
    </w:p>
    <w:p w14:paraId="2164DB2F" w14:textId="0F418EF4" w:rsidR="000A62ED" w:rsidRDefault="00E66834">
      <w:pPr>
        <w:pStyle w:val="Note"/>
      </w:pPr>
      <w:r w:rsidRPr="00E66834">
        <w:rPr>
          <w:noProof/>
        </w:rPr>
        <w:drawing>
          <wp:inline distT="0" distB="0" distL="0" distR="0" wp14:anchorId="18C498C2" wp14:editId="3E6D83FD">
            <wp:extent cx="5733415" cy="2931795"/>
            <wp:effectExtent l="0" t="0" r="635" b="1905"/>
            <wp:docPr id="139702965" name="Picture 13" descr="Figure 3.4 – This is a table figure which summarises the effects on GST of the modelling of an insurance tax cut and a transition from stamp duty to land tax, for New South Wales, Western Australia, and other states. &#10;For an insurance tax cut, the estimated effects of the model are a $12-43 million decrease in GST alongside a $2.7 billion decrease in insurance tax revenue for New South Wales, a $3 million increase in GST alongside a $1 billion decrease in insurance tax revenue for Western Australia, and for all other states a small decrease in GST relative to a large decrease in insurance tax revenue. &#10;&#10;For a transition from stamp duty to land tax, the estimated effects of the model are a $58 million to $1.6 billion decrease in GST depending on the assumed elasticity base effects for New South Wales, up to a $23 million increase in GST for Western Australia as they are more insulated from the standard state benchmark, and a large potential GST reduction for all other states depending on the assumed behavioural response to the policy chan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02965" name="Picture 13" descr="Figure 3.4 – This is a table figure which summarises the effects on GST of the modelling of an insurance tax cut and a transition from stamp duty to land tax, for New South Wales, Western Australia, and other states. &#10;For an insurance tax cut, the estimated effects of the model are a $12-43 million decrease in GST alongside a $2.7 billion decrease in insurance tax revenue for New South Wales, a $3 million increase in GST alongside a $1 billion decrease in insurance tax revenue for Western Australia, and for all other states a small decrease in GST relative to a large decrease in insurance tax revenue. &#10;&#10;For a transition from stamp duty to land tax, the estimated effects of the model are a $58 million to $1.6 billion decrease in GST depending on the assumed elasticity base effects for New South Wales, up to a $23 million increase in GST for Western Australia as they are more insulated from the standard state benchmark, and a large potential GST reduction for all other states depending on the assumed behavioural response to the policy change. &#1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733415" cy="2931795"/>
                    </a:xfrm>
                    <a:prstGeom prst="rect">
                      <a:avLst/>
                    </a:prstGeom>
                    <a:noFill/>
                    <a:ln>
                      <a:noFill/>
                    </a:ln>
                  </pic:spPr>
                </pic:pic>
              </a:graphicData>
            </a:graphic>
          </wp:inline>
        </w:drawing>
      </w:r>
    </w:p>
    <w:p w14:paraId="35396E5F" w14:textId="60315185" w:rsidR="000A62ED" w:rsidRDefault="000A62ED">
      <w:pPr>
        <w:pStyle w:val="Note"/>
      </w:pPr>
      <w:r>
        <w:t xml:space="preserve">These reforms show the fully realised impact on GST revenue, under the current system (without the NoWO guarantee) based on </w:t>
      </w:r>
      <w:r w:rsidR="003B5DC0">
        <w:t xml:space="preserve">2024–25 </w:t>
      </w:r>
      <w:r>
        <w:t xml:space="preserve">assessment data (assuming all factors except the modelled change are held constant over the 3 assessment years). These reforms are unilateral, capturing the effect if only one state makes the change. The range of GST revenue changes depends on the assumed elasticity of property/insurance transaction volumes to tax changes. Additional detail on assumptions is available in appendix C. </w:t>
      </w:r>
      <w:r w:rsidRPr="00BD74A2">
        <w:rPr>
          <w:b/>
          <w:bCs/>
        </w:rPr>
        <w:t xml:space="preserve">a. </w:t>
      </w:r>
      <w:r w:rsidRPr="00BD74A2">
        <w:t>The broad land tax base uses ABS Australian System of National Accounts Table 61 total land values (ABS</w:t>
      </w:r>
      <w:r w:rsidRPr="00BD74A2">
        <w:rPr>
          <w:rFonts w:ascii="Arial" w:hAnsi="Arial" w:cs="Arial"/>
        </w:rPr>
        <w:t> </w:t>
      </w:r>
      <w:r w:rsidRPr="00BD74A2">
        <w:t>2025).</w:t>
      </w:r>
    </w:p>
    <w:p w14:paraId="774BF33F" w14:textId="0E67D617" w:rsidR="000A62ED" w:rsidRDefault="000A62ED" w:rsidP="00C42092">
      <w:pPr>
        <w:pStyle w:val="Source"/>
        <w:spacing w:after="360"/>
        <w:rPr>
          <w:lang w:eastAsia="en-AU"/>
        </w:rPr>
      </w:pPr>
      <w:r w:rsidRPr="00696447">
        <w:t xml:space="preserve">Source: </w:t>
      </w:r>
      <w:r>
        <w:rPr>
          <w:lang w:eastAsia="en-AU"/>
        </w:rPr>
        <w:t xml:space="preserve">PC estimates using CGC </w:t>
      </w:r>
      <w:r w:rsidR="006D4831">
        <w:rPr>
          <w:lang w:eastAsia="en-AU"/>
        </w:rPr>
        <w:t xml:space="preserve">(unpublished </w:t>
      </w:r>
      <w:r>
        <w:rPr>
          <w:lang w:eastAsia="en-AU"/>
        </w:rPr>
        <w:t>data</w:t>
      </w:r>
      <w:r w:rsidR="006D4831">
        <w:rPr>
          <w:lang w:eastAsia="en-AU"/>
        </w:rPr>
        <w:t>)</w:t>
      </w:r>
      <w:r>
        <w:rPr>
          <w:lang w:eastAsia="en-AU"/>
        </w:rPr>
        <w:t>.</w:t>
      </w:r>
    </w:p>
    <w:p w14:paraId="29A3B54E" w14:textId="77777777" w:rsidR="000A62ED" w:rsidRPr="00E748AE" w:rsidRDefault="000A62ED">
      <w:pPr>
        <w:pStyle w:val="BodyText"/>
        <w:rPr>
          <w:lang w:eastAsia="en-AU"/>
        </w:rPr>
      </w:pPr>
      <w:r w:rsidRPr="00044941">
        <w:rPr>
          <w:lang w:eastAsia="en-AU"/>
        </w:rPr>
        <w:t>For all states that have equal or l</w:t>
      </w:r>
      <w:r>
        <w:rPr>
          <w:lang w:eastAsia="en-AU"/>
        </w:rPr>
        <w:t xml:space="preserve">ower </w:t>
      </w:r>
      <w:r w:rsidRPr="00044941">
        <w:rPr>
          <w:lang w:eastAsia="en-AU"/>
        </w:rPr>
        <w:t xml:space="preserve">fiscal capacity </w:t>
      </w:r>
      <w:r w:rsidRPr="00044941" w:rsidDel="00DB31DB">
        <w:rPr>
          <w:lang w:eastAsia="en-AU"/>
        </w:rPr>
        <w:t>than</w:t>
      </w:r>
      <w:r w:rsidRPr="00044941">
        <w:rPr>
          <w:lang w:eastAsia="en-AU"/>
        </w:rPr>
        <w:t xml:space="preserve"> the standard state (currently, all states apart from Western Australia) GST revenue impacts of the modelled tax changes are the same under the current system with NoWO payments and the pre-2018 system. </w:t>
      </w:r>
      <w:r>
        <w:rPr>
          <w:lang w:eastAsia="en-AU"/>
        </w:rPr>
        <w:t>Any</w:t>
      </w:r>
      <w:r w:rsidRPr="00044941">
        <w:rPr>
          <w:lang w:eastAsia="en-AU"/>
        </w:rPr>
        <w:t xml:space="preserve"> GST-related</w:t>
      </w:r>
      <w:r w:rsidRPr="00044941" w:rsidDel="00853A78">
        <w:rPr>
          <w:lang w:eastAsia="en-AU"/>
        </w:rPr>
        <w:t xml:space="preserve"> </w:t>
      </w:r>
      <w:r w:rsidRPr="00044941">
        <w:rPr>
          <w:lang w:eastAsia="en-AU"/>
        </w:rPr>
        <w:t>revenue impacts (which may affect incentives) remain unchanged. For these states, the difference in revenue impact between pre-2018 and current system (without NoWO payments) in the modelled scenarios, depends on their share of the revenue base. There are limited differences between these systems for states with a smaller share of the relevant revenue bases</w:t>
      </w:r>
      <w:r>
        <w:rPr>
          <w:lang w:eastAsia="en-AU"/>
        </w:rPr>
        <w:t xml:space="preserve">, whereas states with a larger share of the revenue base have greater GST revenue effects under the different systems. </w:t>
      </w:r>
      <w:r w:rsidRPr="00044941">
        <w:rPr>
          <w:lang w:eastAsia="en-AU"/>
        </w:rPr>
        <w:t xml:space="preserve"> </w:t>
      </w:r>
    </w:p>
    <w:p w14:paraId="086F2F75" w14:textId="77777777" w:rsidR="000A62ED" w:rsidRDefault="000A62ED">
      <w:pPr>
        <w:pStyle w:val="BodyText"/>
        <w:rPr>
          <w:lang w:eastAsia="en-AU"/>
        </w:rPr>
      </w:pPr>
      <w:r w:rsidRPr="00044941">
        <w:rPr>
          <w:lang w:eastAsia="en-AU"/>
        </w:rPr>
        <w:t xml:space="preserve">For states that have a greater fiscal capacity than the standard state (currently only Western Australia), GST revenue changes are significantly smaller under the current system (both with and without NoWO payments), although, depending on the assumed elasticity of transactions to the tax change, there is not always an increase to GST revenue. </w:t>
      </w:r>
    </w:p>
    <w:p w14:paraId="2C7C3EDF" w14:textId="77777777" w:rsidR="000A62ED" w:rsidRDefault="000A62ED" w:rsidP="00854C4C">
      <w:pPr>
        <w:pStyle w:val="Heading4"/>
        <w:rPr>
          <w:lang w:eastAsia="en-AU"/>
        </w:rPr>
      </w:pPr>
      <w:r>
        <w:rPr>
          <w:lang w:eastAsia="en-AU"/>
        </w:rPr>
        <w:t>Despite the impact on GST revenue some states have pursued tax reform</w:t>
      </w:r>
    </w:p>
    <w:p w14:paraId="3584C0A9" w14:textId="17BB11F9" w:rsidR="000A62ED" w:rsidRPr="00E80E3F" w:rsidRDefault="000A62ED">
      <w:pPr>
        <w:pStyle w:val="BodyText"/>
      </w:pPr>
      <w:r>
        <w:t>Recent</w:t>
      </w:r>
      <w:r w:rsidRPr="00276143">
        <w:t xml:space="preserve"> A</w:t>
      </w:r>
      <w:r>
        <w:t xml:space="preserve">ustralian </w:t>
      </w:r>
      <w:r w:rsidRPr="00276143">
        <w:t>C</w:t>
      </w:r>
      <w:r>
        <w:t xml:space="preserve">apital </w:t>
      </w:r>
      <w:r w:rsidRPr="00276143">
        <w:t>T</w:t>
      </w:r>
      <w:r>
        <w:t>erritory</w:t>
      </w:r>
      <w:r w:rsidRPr="00276143">
        <w:t xml:space="preserve"> and </w:t>
      </w:r>
      <w:r>
        <w:t>New South Wales</w:t>
      </w:r>
      <w:r w:rsidRPr="00276143">
        <w:t xml:space="preserve"> experiences </w:t>
      </w:r>
      <w:r>
        <w:t>show how these issues play out in practice</w:t>
      </w:r>
      <w:r w:rsidRPr="00276143">
        <w:t xml:space="preserve">. </w:t>
      </w:r>
      <w:r>
        <w:t>Th</w:t>
      </w:r>
      <w:r w:rsidRPr="00411A7D">
        <w:t>e</w:t>
      </w:r>
      <w:r w:rsidRPr="00411A7D" w:rsidDel="00CA1468">
        <w:t xml:space="preserve"> </w:t>
      </w:r>
      <w:r>
        <w:t>Australian Capital Territory</w:t>
      </w:r>
      <w:r w:rsidRPr="00411A7D">
        <w:t xml:space="preserve"> has gradually reduced conveyance duty and raised more revenue through general rates</w:t>
      </w:r>
      <w:r>
        <w:t xml:space="preserve"> since </w:t>
      </w:r>
      <w:r w:rsidRPr="00411A7D">
        <w:t>2012</w:t>
      </w:r>
      <w:r>
        <w:t xml:space="preserve"> </w:t>
      </w:r>
      <w:r w:rsidRPr="00276143">
        <w:rPr>
          <w:rFonts w:cs="Open Sans"/>
        </w:rPr>
        <w:t>(ACT Revenue Office 2025)</w:t>
      </w:r>
      <w:r>
        <w:t>.</w:t>
      </w:r>
      <w:r w:rsidRPr="00411A7D">
        <w:t xml:space="preserve"> </w:t>
      </w:r>
      <w:r w:rsidRPr="00A64FF5">
        <w:t>GST issues have been manageable</w:t>
      </w:r>
      <w:r>
        <w:t>, so far</w:t>
      </w:r>
      <w:r w:rsidRPr="00A64FF5">
        <w:t xml:space="preserve"> the CGC has not identified a </w:t>
      </w:r>
      <w:r>
        <w:t>significant</w:t>
      </w:r>
      <w:r w:rsidRPr="00A64FF5">
        <w:t xml:space="preserve"> elasticity effect from the </w:t>
      </w:r>
      <w:r>
        <w:t>Australian Capital Territory</w:t>
      </w:r>
      <w:r w:rsidRPr="00A64FF5">
        <w:t xml:space="preserve"> reform, and considers any adjustment unlikely to materially affect its assessed revenue capacity </w:t>
      </w:r>
      <w:r w:rsidR="00546FEC" w:rsidRPr="00546FEC">
        <w:rPr>
          <w:rFonts w:cs="Open Sans"/>
        </w:rPr>
        <w:t>(CGC 2025d, p. 31)</w:t>
      </w:r>
      <w:r w:rsidRPr="00276143">
        <w:rPr>
          <w:rFonts w:cs="Open Sans"/>
        </w:rPr>
        <w:t>.</w:t>
      </w:r>
      <w:r>
        <w:rPr>
          <w:rFonts w:cs="Open Sans"/>
        </w:rPr>
        <w:t xml:space="preserve"> </w:t>
      </w:r>
      <w:r>
        <w:t>In</w:t>
      </w:r>
      <w:r w:rsidRPr="00E80E3F">
        <w:t xml:space="preserve"> 2022</w:t>
      </w:r>
      <w:r>
        <w:t xml:space="preserve">, New South Wales </w:t>
      </w:r>
      <w:r w:rsidRPr="00E80E3F">
        <w:t xml:space="preserve">advanced an opt-in property tax for first home buyers despite identifying potentially material long-run </w:t>
      </w:r>
      <w:r>
        <w:t>reductions in GST payments</w:t>
      </w:r>
      <w:r w:rsidRPr="00E80E3F">
        <w:t xml:space="preserve"> and a</w:t>
      </w:r>
      <w:r>
        <w:t>n even larger</w:t>
      </w:r>
      <w:r w:rsidRPr="00E80E3F">
        <w:t xml:space="preserve"> </w:t>
      </w:r>
      <w:r w:rsidRPr="00E80E3F">
        <w:lastRenderedPageBreak/>
        <w:t xml:space="preserve">revenue gap from replacing upfront stamp duty with annual payments </w:t>
      </w:r>
      <w:r w:rsidRPr="007F3372">
        <w:rPr>
          <w:rFonts w:cs="Open Sans"/>
        </w:rPr>
        <w:t>(NSW Treasury 2021, p. 53)</w:t>
      </w:r>
      <w:r>
        <w:t>. In this instance, the CGC indicated it could make an adjustment for identifiable elasticity effects, however, the</w:t>
      </w:r>
      <w:r w:rsidRPr="00C05D97" w:rsidDel="00D7249E">
        <w:rPr>
          <w:rFonts w:cs="Open Sans"/>
        </w:rPr>
        <w:t xml:space="preserve"> </w:t>
      </w:r>
      <w:r w:rsidRPr="00C05D97">
        <w:rPr>
          <w:rFonts w:cs="Open Sans"/>
        </w:rPr>
        <w:t>reform was later withdrawn after a change of government</w:t>
      </w:r>
      <w:r>
        <w:rPr>
          <w:rFonts w:cs="Open Sans"/>
        </w:rPr>
        <w:t xml:space="preserve"> </w:t>
      </w:r>
      <w:r w:rsidR="00546FEC" w:rsidRPr="00546FEC">
        <w:rPr>
          <w:rFonts w:cs="Open Sans"/>
        </w:rPr>
        <w:t>(CGC 2021a, p. 1; NSW Department of Premier and Cabinet 2023)</w:t>
      </w:r>
      <w:r w:rsidRPr="00E80E3F">
        <w:rPr>
          <w:rFonts w:cs="Open Sans"/>
        </w:rPr>
        <w:t>.</w:t>
      </w:r>
    </w:p>
    <w:p w14:paraId="40DFF075" w14:textId="77777777" w:rsidR="000A62ED" w:rsidRPr="003C7CB8" w:rsidRDefault="000A62ED">
      <w:pPr>
        <w:pStyle w:val="BodyText"/>
      </w:pPr>
      <w:r>
        <w:t xml:space="preserve">The experience of New South Wales and the Australian Capital Territory </w:t>
      </w:r>
      <w:r w:rsidRPr="003C7CB8">
        <w:t>suggest</w:t>
      </w:r>
      <w:r>
        <w:t xml:space="preserve"> the</w:t>
      </w:r>
      <w:r w:rsidRPr="003C7CB8">
        <w:t xml:space="preserve"> GST</w:t>
      </w:r>
      <w:r>
        <w:t xml:space="preserve"> distribution</w:t>
      </w:r>
      <w:r w:rsidRPr="003C7CB8">
        <w:t xml:space="preserve"> can add </w:t>
      </w:r>
      <w:r>
        <w:t>complications</w:t>
      </w:r>
      <w:r w:rsidRPr="003C7CB8">
        <w:t xml:space="preserve"> to stamp duty reform but is unlikely to be the main reason reform succeeds or fails. The </w:t>
      </w:r>
      <w:r>
        <w:t>larger</w:t>
      </w:r>
      <w:r w:rsidRPr="003C7CB8">
        <w:t xml:space="preserve"> barriers are funding the transition, managing distributional impacts and sustaining public acceptance over decades. </w:t>
      </w:r>
      <w:r>
        <w:t>‘Base effects’, the driver of these large, modelled impacts to GST payments, can be addressed through CGC elasticity adjustments if found to be material enough to warrant them.</w:t>
      </w:r>
      <w:r w:rsidRPr="00201B0D">
        <w:rPr>
          <w:rStyle w:val="FootnoteReference"/>
        </w:rPr>
        <w:footnoteReference w:id="36"/>
      </w:r>
      <w:r w:rsidRPr="003C7CB8">
        <w:t xml:space="preserve"> Where the problem is the revenue transition</w:t>
      </w:r>
      <w:r w:rsidRPr="001B16BA">
        <w:t>, direct and transparent</w:t>
      </w:r>
      <w:r>
        <w:t xml:space="preserve"> </w:t>
      </w:r>
      <w:r w:rsidRPr="001B16BA">
        <w:t>Australian</w:t>
      </w:r>
      <w:r>
        <w:t xml:space="preserve"> </w:t>
      </w:r>
      <w:r w:rsidRPr="001B16BA">
        <w:t xml:space="preserve">Government </w:t>
      </w:r>
      <w:r>
        <w:t>reform payments</w:t>
      </w:r>
      <w:r w:rsidRPr="001B16BA">
        <w:t xml:space="preserve"> would be a better vehicle than relying on </w:t>
      </w:r>
      <w:r>
        <w:t>the HFE system</w:t>
      </w:r>
      <w:r w:rsidRPr="001B16BA">
        <w:t>.</w:t>
      </w:r>
    </w:p>
    <w:p w14:paraId="6A1882E8" w14:textId="77777777" w:rsidR="000A62ED" w:rsidRDefault="000A62ED">
      <w:pPr>
        <w:pStyle w:val="Heading4"/>
        <w:rPr>
          <w:lang w:eastAsia="en-AU"/>
        </w:rPr>
      </w:pPr>
      <w:r w:rsidRPr="00CA35C1">
        <w:rPr>
          <w:lang w:eastAsia="en-AU"/>
        </w:rPr>
        <w:t xml:space="preserve">Mining </w:t>
      </w:r>
      <w:r>
        <w:rPr>
          <w:lang w:eastAsia="en-AU"/>
        </w:rPr>
        <w:t xml:space="preserve">was and </w:t>
      </w:r>
      <w:r w:rsidRPr="00CA35C1">
        <w:rPr>
          <w:lang w:eastAsia="en-AU"/>
        </w:rPr>
        <w:t xml:space="preserve">remains </w:t>
      </w:r>
      <w:r>
        <w:rPr>
          <w:lang w:eastAsia="en-AU"/>
        </w:rPr>
        <w:t xml:space="preserve">the biggest challenge for policy neutrality </w:t>
      </w:r>
    </w:p>
    <w:p w14:paraId="4962E648" w14:textId="77777777" w:rsidR="000A62ED" w:rsidRDefault="000A62ED">
      <w:pPr>
        <w:pStyle w:val="BodyText"/>
      </w:pPr>
      <w:r>
        <w:t>Mining royalties create a challenge for the policy neutrality of the GST distribution because mining revenue is highly concentrated in a small number of states, creating dominant-state effects. D</w:t>
      </w:r>
      <w:r w:rsidRPr="005777A8">
        <w:t>ominant-state effect arises when one state accounts for most of the assessed base for a mineral, meaning its royalty policy can heavily influence the national average rate used by the CGC</w:t>
      </w:r>
      <w:r>
        <w:t>.</w:t>
      </w:r>
      <w:r w:rsidRPr="00201B0D">
        <w:rPr>
          <w:rStyle w:val="FootnoteReference"/>
        </w:rPr>
        <w:footnoteReference w:id="37"/>
      </w:r>
      <w:r>
        <w:t xml:space="preserve"> </w:t>
      </w:r>
      <w:r w:rsidRPr="00687F3F">
        <w:t xml:space="preserve">In extreme cases, such as iron ore, one state’s policy effectively </w:t>
      </w:r>
      <w:r>
        <w:t>sets</w:t>
      </w:r>
      <w:r w:rsidRPr="00687F3F">
        <w:t xml:space="preserve"> the benchmark royalty rate</w:t>
      </w:r>
      <w:r>
        <w:t>.</w:t>
      </w:r>
      <w:r w:rsidDel="00AD10D5">
        <w:t xml:space="preserve"> </w:t>
      </w:r>
    </w:p>
    <w:p w14:paraId="7229367D" w14:textId="77777777" w:rsidR="000A62ED" w:rsidDel="00CC42E3" w:rsidRDefault="000A62ED">
      <w:pPr>
        <w:pStyle w:val="BodyText"/>
      </w:pPr>
      <w:r>
        <w:t>This matters because the more dominant a state is in a single a revenue line, the more of its actual revenue from that category enters the CGC’s assessment. The more revenue the CGC assesses a state has, the less GST revenue it receives, all else equal. If a state were to raise tax rates on a non-dominant tax category, say payroll taxes, the additional revenue would be assessed by the CGC at the national average (which only marginally changed).</w:t>
      </w:r>
    </w:p>
    <w:p w14:paraId="321C4D8D" w14:textId="77777777" w:rsidR="000A62ED" w:rsidRDefault="000A62ED">
      <w:pPr>
        <w:pStyle w:val="BodyText"/>
      </w:pPr>
      <w:r>
        <w:t xml:space="preserve">In practice, this means that when a dominant state makes policy changes to increase its revenue (for example, increasing its royalty rate or mining related infrastructure) this will result in a significant reduction in its future GST payments, above and beyond what would occur if it were not a dominant state. This creates policy neutrality challenges, where dominant states have less incentives to take actions such as developing new resource deposits or imposing optimal levels of royalties. </w:t>
      </w:r>
    </w:p>
    <w:p w14:paraId="02D7E2AF" w14:textId="77777777" w:rsidR="000A62ED" w:rsidDel="002819F1" w:rsidRDefault="000A62ED">
      <w:pPr>
        <w:pStyle w:val="BodyText"/>
      </w:pPr>
      <w:r>
        <w:t xml:space="preserve">These effects are removed by the current system for any state that has a </w:t>
      </w:r>
      <w:r w:rsidRPr="006E56C1">
        <w:rPr>
          <w:lang w:eastAsia="en-AU"/>
        </w:rPr>
        <w:t>greater fiscal capacity</w:t>
      </w:r>
      <w:r w:rsidRPr="00E42E79">
        <w:t xml:space="preserve"> than</w:t>
      </w:r>
      <w:r>
        <w:t xml:space="preserve"> the standard state (currently only Western Australia). In the current system without NoWO payments, the ‘cost’ of reducing this effect is </w:t>
      </w:r>
      <w:r w:rsidDel="00AD10D5">
        <w:t xml:space="preserve">borne by the other states </w:t>
      </w:r>
      <w:r>
        <w:t>in forgone GST revenue, relative to the pre-2018 system.</w:t>
      </w:r>
      <w:r w:rsidDel="00AD10D5">
        <w:t xml:space="preserve"> </w:t>
      </w:r>
      <w:r>
        <w:t xml:space="preserve">With the NoWO guarantee, this ‘cost’ is borne by </w:t>
      </w:r>
      <w:r w:rsidDel="00AD10D5">
        <w:t>the Australian</w:t>
      </w:r>
      <w:r>
        <w:t xml:space="preserve"> </w:t>
      </w:r>
      <w:r w:rsidDel="00AD10D5">
        <w:t>Government</w:t>
      </w:r>
      <w:r w:rsidRPr="00687F3F" w:rsidDel="00AD10D5">
        <w:t xml:space="preserve">. </w:t>
      </w:r>
      <w:r>
        <w:t>For states that have a lower fiscal capacity than the standard state, the impacts of additional revenue on GST payments are broadly the same.</w:t>
      </w:r>
    </w:p>
    <w:p w14:paraId="2F1FF97D" w14:textId="6583F789" w:rsidR="000A62ED" w:rsidRDefault="000A62ED">
      <w:pPr>
        <w:pStyle w:val="BodyText"/>
      </w:pPr>
      <w:r w:rsidRPr="0075617E">
        <w:fldChar w:fldCharType="begin"/>
      </w:r>
      <w:r w:rsidRPr="0075617E">
        <w:instrText xml:space="preserve"> REF _Ref236249509 \h </w:instrText>
      </w:r>
      <w:r>
        <w:instrText xml:space="preserve"> \* MERGEFORMAT </w:instrText>
      </w:r>
      <w:r w:rsidRPr="0075617E">
        <w:fldChar w:fldCharType="separate"/>
      </w:r>
      <w:r w:rsidR="009C08C4" w:rsidRPr="00E42E79" w:rsidDel="001E0759">
        <w:t xml:space="preserve">Figure </w:t>
      </w:r>
      <w:r w:rsidR="009C08C4">
        <w:rPr>
          <w:noProof/>
        </w:rPr>
        <w:t>3</w:t>
      </w:r>
      <w:r w:rsidR="009C08C4" w:rsidRPr="00E42E79" w:rsidDel="001E0759">
        <w:rPr>
          <w:noProof/>
        </w:rPr>
        <w:t>.</w:t>
      </w:r>
      <w:r w:rsidR="009C08C4">
        <w:rPr>
          <w:noProof/>
        </w:rPr>
        <w:t>5</w:t>
      </w:r>
      <w:r w:rsidRPr="0075617E">
        <w:fldChar w:fldCharType="end"/>
      </w:r>
      <w:r w:rsidRPr="0075617E">
        <w:t xml:space="preserve"> shows that the mining assessment can have large impacts on GST payments and how this has changed under the current system. </w:t>
      </w:r>
      <w:r w:rsidRPr="00B6575E">
        <w:t>For example, in a scenario where Western Australia raised an additional $100 in revenue from lithium, this would result in a $</w:t>
      </w:r>
      <w:r w:rsidRPr="003C0BC1">
        <w:t xml:space="preserve">91 </w:t>
      </w:r>
      <w:r w:rsidRPr="00B6575E">
        <w:t>decrease in GST revenue</w:t>
      </w:r>
      <w:r w:rsidRPr="003C0BC1">
        <w:t xml:space="preserve"> under the pre-2018 system</w:t>
      </w:r>
      <w:r w:rsidRPr="0075617E">
        <w:t>.</w:t>
      </w:r>
      <w:r w:rsidRPr="00201B0D">
        <w:rPr>
          <w:rStyle w:val="FootnoteReference"/>
        </w:rPr>
        <w:footnoteReference w:id="38"/>
      </w:r>
      <w:r w:rsidRPr="0075617E">
        <w:t xml:space="preserve"> </w:t>
      </w:r>
      <w:r w:rsidRPr="00B6575E">
        <w:t xml:space="preserve">Under the current system, the same scenario would result in Western Australia’s GST </w:t>
      </w:r>
      <w:r w:rsidRPr="00B6575E">
        <w:lastRenderedPageBreak/>
        <w:t xml:space="preserve">revenue being </w:t>
      </w:r>
      <w:r w:rsidRPr="003C0BC1">
        <w:t xml:space="preserve">largely </w:t>
      </w:r>
      <w:r w:rsidRPr="00B6575E">
        <w:t>unaffected as their GST share is determined by the standard state benchmark (currently New South Wales).</w:t>
      </w:r>
      <w:r>
        <w:t xml:space="preserve"> Where NoWO payments are in place the Australian Government faces an increased cost. Without NoWO payments, the other states have a lower share of GST revenue compared with the pre-2018 share.</w:t>
      </w:r>
    </w:p>
    <w:p w14:paraId="78B306CD" w14:textId="6ED72211" w:rsidR="000A62ED" w:rsidRPr="000B5659" w:rsidRDefault="000A62ED">
      <w:pPr>
        <w:pStyle w:val="FigureTableHeading"/>
      </w:pPr>
      <w:bookmarkStart w:id="41" w:name="_Ref236249509"/>
      <w:r w:rsidRPr="00E42E79" w:rsidDel="001E0759">
        <w:t xml:space="preserve">Figure </w:t>
      </w:r>
      <w:fldSimple w:instr=" STYLEREF 1 \s ">
        <w:r w:rsidR="009C08C4">
          <w:rPr>
            <w:noProof/>
          </w:rPr>
          <w:t>3</w:t>
        </w:r>
      </w:fldSimple>
      <w:r w:rsidRPr="00E42E79" w:rsidDel="001E0759">
        <w:t>.</w:t>
      </w:r>
      <w:fldSimple w:instr=" SEQ Figure \* ARABIC \s 1 ">
        <w:r w:rsidR="009C08C4">
          <w:rPr>
            <w:noProof/>
          </w:rPr>
          <w:t>5</w:t>
        </w:r>
      </w:fldSimple>
      <w:bookmarkEnd w:id="41"/>
      <w:r w:rsidRPr="00B6575E" w:rsidDel="001E0759">
        <w:t xml:space="preserve"> </w:t>
      </w:r>
      <w:r w:rsidRPr="00B6575E">
        <w:t>– Concentrated mining revenue can lead to large changes in GST payments; in the current system, this varies based on a state’s fiscal strength relative to the standard state</w:t>
      </w:r>
      <w:r>
        <w:t xml:space="preserve"> </w:t>
      </w:r>
    </w:p>
    <w:p w14:paraId="0718E7E1" w14:textId="3419BB38" w:rsidR="000A62ED" w:rsidRDefault="000A62ED">
      <w:pPr>
        <w:pStyle w:val="FigureTableSubheading"/>
        <w:keepLines/>
      </w:pPr>
      <w:r>
        <w:rPr>
          <w:b/>
          <w:bCs/>
        </w:rPr>
        <w:t xml:space="preserve">Cumulative effect over 3 years in response to a $100 increase in revenue in the assessment area using </w:t>
      </w:r>
      <w:r w:rsidR="003B5DC0">
        <w:rPr>
          <w:b/>
          <w:bCs/>
        </w:rPr>
        <w:t xml:space="preserve">2024–25 </w:t>
      </w:r>
      <w:r>
        <w:rPr>
          <w:b/>
          <w:bCs/>
        </w:rPr>
        <w:t>assessment data</w:t>
      </w:r>
    </w:p>
    <w:p w14:paraId="61844A86" w14:textId="374622FD" w:rsidR="000A62ED" w:rsidRDefault="00040C19" w:rsidP="0013103F">
      <w:pPr>
        <w:pStyle w:val="BodyText"/>
        <w:spacing w:after="0"/>
        <w:rPr>
          <w:lang w:eastAsia="en-AU"/>
        </w:rPr>
      </w:pPr>
      <w:r w:rsidRPr="00040C19">
        <w:rPr>
          <w:noProof/>
        </w:rPr>
        <w:drawing>
          <wp:inline distT="0" distB="0" distL="0" distR="0" wp14:anchorId="504473B2" wp14:editId="13AD498F">
            <wp:extent cx="6120130" cy="2145665"/>
            <wp:effectExtent l="0" t="0" r="0" b="0"/>
            <wp:docPr id="1535217756" name="Picture 16" descr="Figure 3.5 – This is a table figure which summarises the cumulative effect over 3 years in response to a $100 increase in revenue in the assessment area. The left-hand side illustrates that in the pre-2018 system, dominant states would bear the cost of higher mining revenues through lower GST revenue. Western Australia would receive $91 lower GST for a $100 increase in lithium revenue, and $90 lower GST for a $100 increase in iron ore revenue. Queensland would receive $43 lower GST for a $100 increase in coal revenue, and South Australia would receive $38 lower GST for a $100 increase in copper revenue. &#10;The right-hand side illustrates that in the current system, dominant states with a greater fiscal capacity than the standard state experience a much smaller decrease in GST revenue when mining revenue increases, but that other states experience a similar decrease. In the current system, Western Australia would receive the same GST revenue if their lithium or iron ore revenue increased by $100, while Queensland and South Australia would have their GST decrease by a similar amount to the pre-2018 system if their mining revenue in coal or copper increased by $100, respectivel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217756" name="Picture 16" descr="Figure 3.5 – This is a table figure which summarises the cumulative effect over 3 years in response to a $100 increase in revenue in the assessment area. The left-hand side illustrates that in the pre-2018 system, dominant states would bear the cost of higher mining revenues through lower GST revenue. Western Australia would receive $91 lower GST for a $100 increase in lithium revenue, and $90 lower GST for a $100 increase in iron ore revenue. Queensland would receive $43 lower GST for a $100 increase in coal revenue, and South Australia would receive $38 lower GST for a $100 increase in copper revenue. &#10;The right-hand side illustrates that in the current system, dominant states with a greater fiscal capacity than the standard state experience a much smaller decrease in GST revenue when mining revenue increases, but that other states experience a similar decrease. In the current system, Western Australia would receive the same GST revenue if their lithium or iron ore revenue increased by $100, while Queensland and South Australia would have their GST decrease by a similar amount to the pre-2018 system if their mining revenue in coal or copper increased by $100, respectively. &#1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120130" cy="2145665"/>
                    </a:xfrm>
                    <a:prstGeom prst="rect">
                      <a:avLst/>
                    </a:prstGeom>
                    <a:noFill/>
                    <a:ln>
                      <a:noFill/>
                    </a:ln>
                  </pic:spPr>
                </pic:pic>
              </a:graphicData>
            </a:graphic>
          </wp:inline>
        </w:drawing>
      </w:r>
    </w:p>
    <w:p w14:paraId="2B2BE1D4" w14:textId="77777777" w:rsidR="000A62ED" w:rsidRPr="00DC13F2" w:rsidRDefault="000A62ED" w:rsidP="003D0E17">
      <w:pPr>
        <w:pStyle w:val="Source"/>
        <w:spacing w:before="0" w:after="360"/>
        <w:rPr>
          <w:lang w:eastAsia="en-AU"/>
        </w:rPr>
      </w:pPr>
      <w:r>
        <w:rPr>
          <w:lang w:eastAsia="en-AU"/>
        </w:rPr>
        <w:t>Source: PC estimates using CGC (unpublished data).</w:t>
      </w:r>
    </w:p>
    <w:p w14:paraId="4D83521D" w14:textId="77777777" w:rsidR="00F17580" w:rsidRDefault="000A62ED">
      <w:pPr>
        <w:pStyle w:val="BodyText"/>
      </w:pPr>
      <w:r>
        <w:t xml:space="preserve">The design of the mining assessment affects how strongly dominant-state effects flow through to GST payments and </w:t>
      </w:r>
      <w:r w:rsidRPr="00F412E6">
        <w:t xml:space="preserve">shares. </w:t>
      </w:r>
      <w:r w:rsidDel="00722292">
        <w:t>As the CGC’s assessment of mining has become more granular, changes aimed at improving the measurement of mining revenue capacity have also increased policy-neutrality risks where production is concentrated (box 3.1).</w:t>
      </w:r>
    </w:p>
    <w:p w14:paraId="2093B4E1" w14:textId="77777777" w:rsidR="00F77DC0" w:rsidRPr="00EE61EF" w:rsidRDefault="00F77DC0" w:rsidP="00F77DC0">
      <w:pPr>
        <w:pStyle w:val="BodyText"/>
      </w:pPr>
      <w:r w:rsidRPr="00EE61EF">
        <w:t xml:space="preserve">The dominant-state effect explains why mining remains the clearest policy-neutrality test in the GST assessment. But it does not mean changes to GST payments determine royalty policy. For example, Queensland introduced new progressive coal royalty tiers in </w:t>
      </w:r>
      <w:r>
        <w:t>2022–23</w:t>
      </w:r>
      <w:r w:rsidRPr="00EE61EF">
        <w:t>, despite expecting to see its GST share decline materially over time. Queensland has retained the reform despite CGC methodology changes (box 3.1) impacting Queensland’s GST share even further.</w:t>
      </w:r>
    </w:p>
    <w:p w14:paraId="5D8EDE0C" w14:textId="77777777" w:rsidR="00F77DC0" w:rsidRPr="0073775E" w:rsidRDefault="00F77DC0" w:rsidP="00F77DC0">
      <w:pPr>
        <w:pStyle w:val="BodyText"/>
        <w:rPr>
          <w:rFonts w:cs="Open Sans"/>
          <w:sz w:val="18"/>
          <w:szCs w:val="18"/>
        </w:rPr>
      </w:pPr>
      <w:r w:rsidRPr="00C414E2">
        <w:rPr>
          <w:rFonts w:cs="Open Sans"/>
        </w:rPr>
        <w:t xml:space="preserve">Western Australia’s gold royalty experience points the other way. The 2018 reforms removed the large GST </w:t>
      </w:r>
      <w:r>
        <w:rPr>
          <w:rFonts w:cs="Open Sans"/>
        </w:rPr>
        <w:t>revenue reduction</w:t>
      </w:r>
      <w:r w:rsidRPr="00C414E2">
        <w:rPr>
          <w:rFonts w:cs="Open Sans"/>
        </w:rPr>
        <w:t xml:space="preserve"> that would previously have accompanied a </w:t>
      </w:r>
      <w:r>
        <w:rPr>
          <w:rFonts w:cs="Open Sans"/>
        </w:rPr>
        <w:t>Western Australia</w:t>
      </w:r>
      <w:r w:rsidRPr="00C414E2">
        <w:rPr>
          <w:rFonts w:cs="Open Sans"/>
        </w:rPr>
        <w:t xml:space="preserve"> gold royalty increase. </w:t>
      </w:r>
      <w:r w:rsidRPr="008229D2">
        <w:rPr>
          <w:rFonts w:cs="Open Sans"/>
          <w:lang w:eastAsia="en-AU"/>
        </w:rPr>
        <w:t>Earlier attempts to lift</w:t>
      </w:r>
      <w:r w:rsidRPr="008229D2" w:rsidDel="00295A25">
        <w:rPr>
          <w:rFonts w:cs="Open Sans"/>
          <w:lang w:eastAsia="en-AU"/>
        </w:rPr>
        <w:t xml:space="preserve"> </w:t>
      </w:r>
      <w:r>
        <w:rPr>
          <w:rFonts w:cs="Open Sans"/>
          <w:lang w:eastAsia="en-AU"/>
        </w:rPr>
        <w:t>Western Australia</w:t>
      </w:r>
      <w:r w:rsidRPr="008229D2">
        <w:rPr>
          <w:rFonts w:cs="Open Sans"/>
          <w:lang w:eastAsia="en-AU"/>
        </w:rPr>
        <w:t xml:space="preserve">’s gold royalty rate had failed partly because </w:t>
      </w:r>
      <w:r>
        <w:rPr>
          <w:rFonts w:cs="Open Sans"/>
          <w:lang w:eastAsia="en-AU"/>
        </w:rPr>
        <w:t xml:space="preserve">the states GST share would have been reduced by </w:t>
      </w:r>
      <w:r w:rsidRPr="008229D2">
        <w:rPr>
          <w:rFonts w:cs="Open Sans"/>
          <w:lang w:eastAsia="en-AU"/>
        </w:rPr>
        <w:t>more than half of the additional revenue over the long run, alongside concerns about investment and jobs</w:t>
      </w:r>
      <w:r>
        <w:rPr>
          <w:rFonts w:cs="Open Sans"/>
          <w:lang w:eastAsia="en-AU"/>
        </w:rPr>
        <w:t xml:space="preserve"> </w:t>
      </w:r>
      <w:r w:rsidRPr="000063F0">
        <w:rPr>
          <w:rFonts w:cs="Open Sans"/>
        </w:rPr>
        <w:t>(Parliament of Western Australia 2017, p. 11)</w:t>
      </w:r>
      <w:r>
        <w:rPr>
          <w:rStyle w:val="normaltextrun"/>
          <w:rFonts w:cs="Open Sans"/>
          <w:lang w:eastAsia="en-AU"/>
        </w:rPr>
        <w:t>.</w:t>
      </w:r>
    </w:p>
    <w:p w14:paraId="4CE9690C" w14:textId="77777777" w:rsidR="00F77DC0" w:rsidRPr="0073775E" w:rsidRDefault="00F77DC0" w:rsidP="00F77DC0">
      <w:pPr>
        <w:pStyle w:val="BodyText"/>
        <w:rPr>
          <w:rStyle w:val="normaltextrun"/>
          <w:rFonts w:cs="Open Sans"/>
        </w:rPr>
      </w:pPr>
      <w:r w:rsidRPr="00C414E2">
        <w:rPr>
          <w:rFonts w:cs="Open Sans"/>
        </w:rPr>
        <w:t xml:space="preserve">Yet </w:t>
      </w:r>
      <w:r>
        <w:rPr>
          <w:rFonts w:cs="Open Sans"/>
        </w:rPr>
        <w:t>even with these impacts to GST payments removed Western Australia</w:t>
      </w:r>
      <w:r w:rsidRPr="00C414E2">
        <w:rPr>
          <w:rFonts w:cs="Open Sans"/>
        </w:rPr>
        <w:t xml:space="preserve"> has not increased its gold</w:t>
      </w:r>
      <w:r>
        <w:rPr>
          <w:rFonts w:cs="Open Sans"/>
        </w:rPr>
        <w:t>, or any other of its</w:t>
      </w:r>
      <w:r w:rsidRPr="00C414E2">
        <w:rPr>
          <w:rFonts w:cs="Open Sans"/>
        </w:rPr>
        <w:t xml:space="preserve"> royalty rate</w:t>
      </w:r>
      <w:r>
        <w:rPr>
          <w:rFonts w:cs="Open Sans"/>
        </w:rPr>
        <w:t>s</w:t>
      </w:r>
      <w:r w:rsidRPr="00C414E2">
        <w:rPr>
          <w:rFonts w:cs="Open Sans"/>
        </w:rPr>
        <w:t xml:space="preserve">. </w:t>
      </w:r>
      <w:r w:rsidRPr="0073775E">
        <w:rPr>
          <w:rStyle w:val="normaltextrun"/>
          <w:rFonts w:cs="Open Sans"/>
        </w:rPr>
        <w:t xml:space="preserve">This </w:t>
      </w:r>
      <w:r>
        <w:rPr>
          <w:rStyle w:val="normaltextrun"/>
          <w:rFonts w:cs="Open Sans"/>
        </w:rPr>
        <w:t>suggests</w:t>
      </w:r>
      <w:r w:rsidRPr="0073775E">
        <w:rPr>
          <w:rStyle w:val="normaltextrun"/>
          <w:rFonts w:cs="Open Sans"/>
        </w:rPr>
        <w:t xml:space="preserve"> that while </w:t>
      </w:r>
      <w:r>
        <w:rPr>
          <w:rStyle w:val="normaltextrun"/>
          <w:rFonts w:cs="Open Sans"/>
        </w:rPr>
        <w:t xml:space="preserve">removing the impacts to GST payments from </w:t>
      </w:r>
      <w:r w:rsidRPr="0073775E">
        <w:rPr>
          <w:rStyle w:val="normaltextrun"/>
          <w:rFonts w:cs="Open Sans"/>
        </w:rPr>
        <w:t>a tax increase may improve the payoff from reform, broader economic and community concerns can continue to constrain reform activity. As the Government of Western Australia</w:t>
      </w:r>
      <w:r>
        <w:rPr>
          <w:rStyle w:val="normaltextrun"/>
          <w:rFonts w:cs="Open Sans"/>
        </w:rPr>
        <w:t xml:space="preserve"> noted</w:t>
      </w:r>
      <w:r w:rsidRPr="0073775E">
        <w:rPr>
          <w:rStyle w:val="normaltextrun"/>
          <w:rFonts w:cs="Open Sans"/>
        </w:rPr>
        <w:t>, ‘</w:t>
      </w:r>
      <w:r w:rsidRPr="00202EE0">
        <w:rPr>
          <w:rStyle w:val="normaltextrun"/>
          <w:i/>
        </w:rPr>
        <w:t>even with the protection of the reforms, it is difficult to prosecute [an increase in the gold royalty rate] when it has already received such negative attention’</w:t>
      </w:r>
      <w:r w:rsidRPr="0073775E">
        <w:rPr>
          <w:rStyle w:val="normaltextrun"/>
          <w:rFonts w:cs="Open Sans"/>
        </w:rPr>
        <w:t xml:space="preserve"> (sub.</w:t>
      </w:r>
      <w:r w:rsidRPr="0073775E">
        <w:rPr>
          <w:rStyle w:val="normaltextrun"/>
          <w:rFonts w:ascii="Arial" w:hAnsi="Arial" w:cs="Arial"/>
        </w:rPr>
        <w:t> </w:t>
      </w:r>
      <w:r w:rsidRPr="0073775E">
        <w:rPr>
          <w:rStyle w:val="normaltextrun"/>
          <w:rFonts w:cs="Open Sans"/>
        </w:rPr>
        <w:t>37, p.</w:t>
      </w:r>
      <w:r w:rsidRPr="0073775E">
        <w:rPr>
          <w:rStyle w:val="normaltextrun"/>
          <w:rFonts w:ascii="Arial" w:hAnsi="Arial" w:cs="Arial"/>
        </w:rPr>
        <w:t> </w:t>
      </w:r>
      <w:r w:rsidRPr="0073775E">
        <w:rPr>
          <w:rStyle w:val="normaltextrun"/>
          <w:rFonts w:cs="Open Sans"/>
        </w:rPr>
        <w:t xml:space="preserve">68). </w:t>
      </w:r>
      <w:r>
        <w:rPr>
          <w:rStyle w:val="normaltextrun"/>
          <w:rFonts w:cs="Open Sans"/>
        </w:rPr>
        <w:t>Indeed, the</w:t>
      </w:r>
      <w:r w:rsidRPr="0073775E">
        <w:rPr>
          <w:rStyle w:val="normaltextrun"/>
          <w:rFonts w:cs="Open Sans"/>
        </w:rPr>
        <w:t xml:space="preserve"> 2018 reforms may have even weakened the case for </w:t>
      </w:r>
      <w:r>
        <w:rPr>
          <w:rStyle w:val="normaltextrun"/>
          <w:rFonts w:cs="Open Sans"/>
        </w:rPr>
        <w:t xml:space="preserve">reform in Western Australia by </w:t>
      </w:r>
      <w:r w:rsidRPr="0073775E">
        <w:rPr>
          <w:rStyle w:val="normaltextrun"/>
          <w:rFonts w:cs="Open Sans"/>
        </w:rPr>
        <w:t>easing the budget pressure that motivated the earlier proposal.</w:t>
      </w:r>
    </w:p>
    <w:p w14:paraId="136C0D07" w14:textId="0F65308F" w:rsidR="00F17580" w:rsidRDefault="00F17580" w:rsidP="002B4811">
      <w:pPr>
        <w:pStyle w:val="NoSpacing"/>
      </w:pPr>
    </w:p>
    <w:tbl>
      <w:tblPr>
        <w:tblStyle w:val="Boxtable"/>
        <w:tblW w:w="5000" w:type="pct"/>
        <w:tblLook w:val="04A0" w:firstRow="1" w:lastRow="0" w:firstColumn="1" w:lastColumn="0" w:noHBand="0" w:noVBand="1"/>
      </w:tblPr>
      <w:tblGrid>
        <w:gridCol w:w="9638"/>
      </w:tblGrid>
      <w:tr w:rsidR="000A62ED" w:rsidRPr="00A81FD0" w14:paraId="46416485" w14:textId="77777777">
        <w:trPr>
          <w:tblHeader/>
        </w:trPr>
        <w:tc>
          <w:tcPr>
            <w:tcW w:w="9638" w:type="dxa"/>
            <w:shd w:val="clear" w:color="auto" w:fill="EBEBEB"/>
            <w:tcMar>
              <w:top w:w="170" w:type="dxa"/>
              <w:left w:w="170" w:type="dxa"/>
              <w:bottom w:w="113" w:type="dxa"/>
              <w:right w:w="170" w:type="dxa"/>
            </w:tcMar>
            <w:hideMark/>
          </w:tcPr>
          <w:p w14:paraId="7C6B9509" w14:textId="2169E77E" w:rsidR="000A62ED" w:rsidRPr="002B41CE" w:rsidRDefault="000A62ED">
            <w:pPr>
              <w:pStyle w:val="BodyText"/>
              <w:spacing w:before="240" w:after="0"/>
            </w:pPr>
            <w:r w:rsidRPr="000E21BE">
              <w:rPr>
                <w:rFonts w:ascii="Open Sans Extrabold" w:hAnsi="Open Sans Extrabold"/>
                <w:color w:val="000000" w:themeColor="text1"/>
              </w:rPr>
              <w:lastRenderedPageBreak/>
              <w:t xml:space="preserve">Box </w:t>
            </w:r>
            <w:r w:rsidRPr="000832AD">
              <w:rPr>
                <w:rFonts w:ascii="Open Sans Extrabold" w:hAnsi="Open Sans Extrabold"/>
                <w:iCs/>
                <w:color w:val="000000" w:themeColor="text1"/>
                <w:szCs w:val="18"/>
              </w:rPr>
              <w:fldChar w:fldCharType="begin"/>
            </w:r>
            <w:r w:rsidRPr="00075B7C">
              <w:rPr>
                <w:b/>
              </w:rPr>
              <w:instrText>STYLEREF 1 \s</w:instrText>
            </w:r>
            <w:r w:rsidRPr="000832AD">
              <w:rPr>
                <w:rFonts w:ascii="Open Sans Extrabold" w:hAnsi="Open Sans Extrabold"/>
                <w:iCs/>
                <w:color w:val="000000" w:themeColor="text1"/>
                <w:szCs w:val="18"/>
              </w:rPr>
              <w:fldChar w:fldCharType="separate"/>
            </w:r>
            <w:r w:rsidR="009C08C4">
              <w:rPr>
                <w:b/>
                <w:noProof/>
              </w:rPr>
              <w:t>3</w:t>
            </w:r>
            <w:r w:rsidRPr="000832AD">
              <w:rPr>
                <w:rFonts w:ascii="Open Sans Extrabold" w:hAnsi="Open Sans Extrabold"/>
                <w:iCs/>
                <w:color w:val="000000" w:themeColor="text1"/>
                <w:szCs w:val="18"/>
              </w:rPr>
              <w:fldChar w:fldCharType="end"/>
            </w:r>
            <w:r w:rsidRPr="000832AD">
              <w:rPr>
                <w:rFonts w:ascii="Open Sans Extrabold" w:hAnsi="Open Sans Extrabold"/>
                <w:iCs/>
                <w:color w:val="000000" w:themeColor="text1"/>
                <w:szCs w:val="18"/>
              </w:rPr>
              <w:t>.</w:t>
            </w:r>
            <w:r w:rsidRPr="000832AD">
              <w:rPr>
                <w:rFonts w:ascii="Open Sans Extrabold" w:hAnsi="Open Sans Extrabold"/>
                <w:iCs/>
                <w:color w:val="000000" w:themeColor="text1"/>
                <w:szCs w:val="18"/>
              </w:rPr>
              <w:fldChar w:fldCharType="begin"/>
            </w:r>
            <w:r w:rsidRPr="00075B7C">
              <w:rPr>
                <w:b/>
              </w:rPr>
              <w:instrText>SEQ Box \* ARABIC \s 1</w:instrText>
            </w:r>
            <w:r w:rsidRPr="000832AD">
              <w:rPr>
                <w:rFonts w:ascii="Open Sans Extrabold" w:hAnsi="Open Sans Extrabold"/>
                <w:iCs/>
                <w:color w:val="000000" w:themeColor="text1"/>
                <w:szCs w:val="18"/>
              </w:rPr>
              <w:fldChar w:fldCharType="separate"/>
            </w:r>
            <w:r w:rsidR="009C08C4">
              <w:rPr>
                <w:b/>
                <w:noProof/>
              </w:rPr>
              <w:t>1</w:t>
            </w:r>
            <w:r w:rsidRPr="000832AD">
              <w:rPr>
                <w:rFonts w:ascii="Open Sans Extrabold" w:hAnsi="Open Sans Extrabold"/>
                <w:iCs/>
                <w:color w:val="000000" w:themeColor="text1"/>
                <w:szCs w:val="18"/>
              </w:rPr>
              <w:fldChar w:fldCharType="end"/>
            </w:r>
            <w:r w:rsidRPr="002B41CE">
              <w:rPr>
                <w:rFonts w:ascii="Open Sans Extrabold" w:hAnsi="Open Sans Extrabold"/>
                <w:color w:val="000000" w:themeColor="text1"/>
              </w:rPr>
              <w:t xml:space="preserve"> – More granular mining assessments can increase dominant</w:t>
            </w:r>
            <w:r>
              <w:rPr>
                <w:rFonts w:ascii="Open Sans Extrabold" w:hAnsi="Open Sans Extrabold"/>
                <w:color w:val="000000" w:themeColor="text1"/>
              </w:rPr>
              <w:t>-</w:t>
            </w:r>
            <w:r w:rsidRPr="002B41CE">
              <w:rPr>
                <w:rFonts w:ascii="Open Sans Extrabold" w:hAnsi="Open Sans Extrabold"/>
                <w:color w:val="000000" w:themeColor="text1"/>
              </w:rPr>
              <w:t>state effects</w:t>
            </w:r>
          </w:p>
        </w:tc>
      </w:tr>
      <w:tr w:rsidR="000A62ED" w14:paraId="11ED9E02" w14:textId="77777777">
        <w:tc>
          <w:tcPr>
            <w:tcW w:w="9638" w:type="dxa"/>
            <w:shd w:val="clear" w:color="auto" w:fill="EBEBEB"/>
            <w:tcMar>
              <w:top w:w="28" w:type="dxa"/>
              <w:left w:w="170" w:type="dxa"/>
              <w:bottom w:w="170" w:type="dxa"/>
              <w:right w:w="170" w:type="dxa"/>
            </w:tcMar>
            <w:hideMark/>
          </w:tcPr>
          <w:p w14:paraId="55BA0BAC" w14:textId="652DAE5E" w:rsidR="000A62ED" w:rsidRDefault="000A62ED">
            <w:pPr>
              <w:pStyle w:val="BodyText"/>
            </w:pPr>
            <w:r w:rsidRPr="007208C2">
              <w:t>The mining assessment has become more granular over time to better measure differences in revenue-raising capacity across minerals</w:t>
            </w:r>
            <w:r>
              <w:t xml:space="preserve"> (</w:t>
            </w:r>
            <w:r w:rsidR="00105C0B">
              <w:t>figure below</w:t>
            </w:r>
            <w:r>
              <w:t>)</w:t>
            </w:r>
            <w:r w:rsidRPr="007208C2">
              <w:t xml:space="preserve">. </w:t>
            </w:r>
            <w:r>
              <w:t>However,</w:t>
            </w:r>
            <w:r w:rsidRPr="007208C2">
              <w:t xml:space="preserve"> this has exposed an important trade-off: greater granularity can exacerbate dominant</w:t>
            </w:r>
            <w:r>
              <w:t>-</w:t>
            </w:r>
            <w:r w:rsidRPr="007208C2">
              <w:t>state problems</w:t>
            </w:r>
            <w:r>
              <w:t xml:space="preserve">, making </w:t>
            </w:r>
            <w:r w:rsidRPr="007208C2">
              <w:t>the assessment more sensitive to the royalty policy of states that dominate production of a particular mineral.</w:t>
            </w:r>
          </w:p>
          <w:p w14:paraId="5D5E98A7" w14:textId="6A7A54E7" w:rsidR="000A62ED" w:rsidRPr="00146382" w:rsidRDefault="000A62ED">
            <w:pPr>
              <w:pStyle w:val="FigureTableHeading"/>
            </w:pPr>
            <w:r>
              <w:t>The CGC’s mining assessment has become more granular over time</w:t>
            </w:r>
          </w:p>
          <w:p w14:paraId="11133056" w14:textId="77777777" w:rsidR="000A62ED" w:rsidRPr="002B41CE" w:rsidRDefault="000A62ED">
            <w:pPr>
              <w:pStyle w:val="Note"/>
              <w:keepLines/>
              <w:rPr>
                <w:lang w:val="it-IT"/>
              </w:rPr>
            </w:pPr>
            <w:r w:rsidRPr="000072F5">
              <w:rPr>
                <w:noProof/>
                <w:lang w:val="it-IT"/>
              </w:rPr>
              <w:drawing>
                <wp:inline distT="0" distB="0" distL="0" distR="0" wp14:anchorId="2F48EB85" wp14:editId="4942C089">
                  <wp:extent cx="6113145" cy="1715770"/>
                  <wp:effectExtent l="0" t="0" r="0" b="0"/>
                  <wp:docPr id="425893649" name="Picture 8" descr="Figure 3.6 – This is a timeline figure which has a line on the bottom moving from 1981 to 2025, and a description above each year detailing the then approach of the CGC’s mining assessment.&#10;In 1981, the CGC used a profit-based assessment with various groupings and adjustments.&#10;In 2004, the CGC assessed mining through the value of production for coal and other minerals.&#10;In 2010, the CGC assessed mining production value in a high-rate and low-rate group.&#10;In 2015, the CGC assessed the value of production mineral-by-mineral.&#10;In 2025, coal assessment was split into high value and low value coa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893649" name="Picture 8" descr="Figure 3.6 – This is a timeline figure which has a line on the bottom moving from 1981 to 2025, and a description above each year detailing the then approach of the CGC’s mining assessment.&#10;In 1981, the CGC used a profit-based assessment with various groupings and adjustments.&#10;In 2004, the CGC assessed mining through the value of production for coal and other minerals.&#10;In 2010, the CGC assessed mining production value in a high-rate and low-rate group.&#10;In 2015, the CGC assessed the value of production mineral-by-mineral.&#10;In 2025, coal assessment was split into high value and low value coal.&#1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113145" cy="1715770"/>
                          </a:xfrm>
                          <a:prstGeom prst="rect">
                            <a:avLst/>
                          </a:prstGeom>
                          <a:noFill/>
                          <a:ln>
                            <a:noFill/>
                          </a:ln>
                        </pic:spPr>
                      </pic:pic>
                    </a:graphicData>
                  </a:graphic>
                </wp:inline>
              </w:drawing>
            </w:r>
          </w:p>
          <w:p w14:paraId="28321BC6" w14:textId="6CCE6CC5" w:rsidR="000A62ED" w:rsidRPr="00BD74A2" w:rsidRDefault="000A62ED">
            <w:pPr>
              <w:pStyle w:val="Source"/>
              <w:rPr>
                <w:lang w:val="fr-CA"/>
              </w:rPr>
            </w:pPr>
            <w:r w:rsidRPr="004B74CE">
              <w:rPr>
                <w:lang w:val="fr-CA"/>
              </w:rPr>
              <w:t xml:space="preserve">Source: </w:t>
            </w:r>
            <w:r w:rsidR="00546FEC" w:rsidRPr="00444318">
              <w:rPr>
                <w:rFonts w:cs="Open Sans"/>
                <w:lang w:val="fr-FR"/>
              </w:rPr>
              <w:t>(CGC 2025d, p. 58; PC 2018, p. 122)</w:t>
            </w:r>
          </w:p>
          <w:p w14:paraId="25604E2D" w14:textId="77777777" w:rsidR="000A62ED" w:rsidRDefault="000A62ED">
            <w:pPr>
              <w:pStyle w:val="BodyText"/>
            </w:pPr>
            <w:r>
              <w:t>From 2010 to 2015, the CGC assessed mining royalties using 2 broad groups: high-rate and low-rate minerals. This dampened the influence of any one state’s policy but created a category-switching risk. A royalty change that shifted a mineral between groups could produce very large changes to GST payments, as occurred when Western Australia moved to lift the concession on iron ore fines in 2011. The potential GST revenue reduction exceeded the additional royalty revenue, leading the Australian Government Treasurer to direct the CGC to not make changes to its assessment to prevent such an outcome between 2011 and 2014 (t</w:t>
            </w:r>
            <w:r w:rsidRPr="00B44C86">
              <w:t>he PC understands the CGC recognised this issue and was examining ways to address it prior to the direction by the Australian Treasurer</w:t>
            </w:r>
            <w:r>
              <w:t>).</w:t>
            </w:r>
          </w:p>
          <w:p w14:paraId="7AA3E69E" w14:textId="77777777" w:rsidR="000A62ED" w:rsidRPr="00E36ABE" w:rsidRDefault="000A62ED">
            <w:pPr>
              <w:pStyle w:val="BodyText"/>
            </w:pPr>
            <w:r w:rsidRPr="00E36ABE">
              <w:t xml:space="preserve">The mineral-by-mineral method adopted in 2015 removed this category-switching problem, but increased sensitivity to dominant-state effects. For example, when iron ore was </w:t>
            </w:r>
            <w:r>
              <w:t>‘bundled’ (assessed with)</w:t>
            </w:r>
            <w:r w:rsidRPr="00E36ABE">
              <w:t xml:space="preserve"> with coal, Western</w:t>
            </w:r>
            <w:r>
              <w:t> </w:t>
            </w:r>
            <w:r w:rsidRPr="00E36ABE">
              <w:t>Australia’s policy had less influence on the assessed average rate than it does under a separate iron ore assessment.</w:t>
            </w:r>
          </w:p>
          <w:p w14:paraId="7CD3262B" w14:textId="77777777" w:rsidR="000A62ED" w:rsidRPr="007873EC" w:rsidRDefault="000A62ED">
            <w:pPr>
              <w:pStyle w:val="BodyText"/>
            </w:pPr>
            <w:r w:rsidRPr="007873EC">
              <w:t xml:space="preserve">The 2025 coal changes show how this issue can evolve. The CGC now assesses high-value and low-value coal separately. Higher-value metallurgical coal is more concentrated in Queensland, so Queensland’s royalty policy now has more influence in that part of the </w:t>
            </w:r>
            <w:r>
              <w:t xml:space="preserve">mining </w:t>
            </w:r>
            <w:r w:rsidRPr="007873EC">
              <w:t>assessment.</w:t>
            </w:r>
          </w:p>
          <w:p w14:paraId="4B6C39AE" w14:textId="3D988442" w:rsidR="000A62ED" w:rsidRDefault="000A62ED" w:rsidP="00BB52F8">
            <w:pPr>
              <w:pStyle w:val="Source"/>
            </w:pPr>
            <w:r w:rsidRPr="002B41CE">
              <w:t xml:space="preserve">Source: PC </w:t>
            </w:r>
            <w:r w:rsidRPr="00202EE0">
              <w:t>(2018, p. 122)</w:t>
            </w:r>
            <w:r w:rsidR="00937FF7">
              <w:t>;</w:t>
            </w:r>
            <w:r w:rsidRPr="00202EE0">
              <w:t xml:space="preserve"> CGC </w:t>
            </w:r>
            <w:r w:rsidR="00546FEC" w:rsidRPr="00546FEC">
              <w:t>(2017a, pp. 1–2, 2023, p. 16, 2025d, pp. 49–61)</w:t>
            </w:r>
            <w:r>
              <w:t>.</w:t>
            </w:r>
          </w:p>
        </w:tc>
      </w:tr>
      <w:tr w:rsidR="000A62ED" w:rsidRPr="00465191" w14:paraId="3FE50BFC" w14:textId="77777777">
        <w:trPr>
          <w:hidden/>
        </w:trPr>
        <w:tc>
          <w:tcPr>
            <w:tcW w:w="9638" w:type="dxa"/>
            <w:shd w:val="clear" w:color="auto" w:fill="auto"/>
            <w:tcMar>
              <w:top w:w="0" w:type="dxa"/>
              <w:left w:w="170" w:type="dxa"/>
              <w:bottom w:w="0" w:type="dxa"/>
              <w:right w:w="170" w:type="dxa"/>
            </w:tcMar>
          </w:tcPr>
          <w:p w14:paraId="63D36560" w14:textId="2FE5749C" w:rsidR="000A62ED" w:rsidRPr="00465191" w:rsidRDefault="000A62ED">
            <w:pPr>
              <w:pStyle w:val="BodyText"/>
              <w:spacing w:before="0" w:after="0" w:line="80" w:lineRule="atLeast"/>
              <w:rPr>
                <w:smallCaps/>
                <w:vanish/>
              </w:rPr>
            </w:pPr>
          </w:p>
        </w:tc>
      </w:tr>
    </w:tbl>
    <w:p w14:paraId="1612E32D" w14:textId="77777777" w:rsidR="000A62ED" w:rsidRDefault="000A62ED" w:rsidP="0051266A">
      <w:pPr>
        <w:pStyle w:val="BodyText"/>
        <w:spacing w:before="360"/>
        <w:rPr>
          <w:rFonts w:cs="Open Sans"/>
        </w:rPr>
      </w:pPr>
      <w:r>
        <w:rPr>
          <w:rFonts w:cs="Open Sans"/>
        </w:rPr>
        <w:t>Notwithstanding the lack of reform to Western Australia’s royalty rates since 2018,</w:t>
      </w:r>
      <w:r w:rsidRPr="00AD5BE1">
        <w:rPr>
          <w:rFonts w:cs="Open Sans"/>
        </w:rPr>
        <w:t xml:space="preserve"> dominant-state effects can </w:t>
      </w:r>
      <w:r>
        <w:rPr>
          <w:rFonts w:cs="Open Sans"/>
        </w:rPr>
        <w:t xml:space="preserve">still </w:t>
      </w:r>
      <w:r w:rsidRPr="00AD5BE1">
        <w:rPr>
          <w:rFonts w:cs="Open Sans"/>
        </w:rPr>
        <w:t>reduce the fiscal return to state policy effort and make the GST</w:t>
      </w:r>
      <w:r>
        <w:rPr>
          <w:rFonts w:cs="Open Sans"/>
        </w:rPr>
        <w:t xml:space="preserve"> distribution</w:t>
      </w:r>
      <w:r w:rsidRPr="00AD5BE1">
        <w:rPr>
          <w:rFonts w:cs="Open Sans"/>
        </w:rPr>
        <w:t xml:space="preserve"> consequences of mining decisions uneven and uncertain. These issues could be addressed through assessment changes or direct Australian Government payments for specific reforms. </w:t>
      </w:r>
    </w:p>
    <w:p w14:paraId="6DA2019F" w14:textId="77777777" w:rsidR="000A62ED" w:rsidRDefault="000A62ED" w:rsidP="00397CAC">
      <w:pPr>
        <w:pStyle w:val="BodyText"/>
        <w:rPr>
          <w:rFonts w:cs="Open Sans"/>
        </w:rPr>
      </w:pPr>
      <w:r w:rsidRPr="005D1F35">
        <w:lastRenderedPageBreak/>
        <w:t xml:space="preserve">Either approach involves trade-offs: reducing </w:t>
      </w:r>
      <w:r w:rsidRPr="005D1F35">
        <w:rPr>
          <w:rFonts w:cs="Open Sans"/>
        </w:rPr>
        <w:t xml:space="preserve">the impact of dominant-state </w:t>
      </w:r>
      <w:r w:rsidRPr="005D1F35">
        <w:t>effects</w:t>
      </w:r>
      <w:r w:rsidRPr="005D1F35">
        <w:rPr>
          <w:rFonts w:cs="Open Sans"/>
        </w:rPr>
        <w:t xml:space="preserve"> on GST payments</w:t>
      </w:r>
      <w:r w:rsidRPr="005D1F35">
        <w:t xml:space="preserve"> can improve policy neutrality, but shifts costs to other states in the absence of NoWO payments or the Australian Government</w:t>
      </w:r>
      <w:r w:rsidRPr="005D1F35">
        <w:rPr>
          <w:rFonts w:cs="Open Sans"/>
        </w:rPr>
        <w:t xml:space="preserve"> (in the current system with NoWO payments).</w:t>
      </w:r>
    </w:p>
    <w:p w14:paraId="7B252D84" w14:textId="637872DE" w:rsidR="000A62ED" w:rsidRPr="00397CAC" w:rsidRDefault="000A62ED" w:rsidP="00397CAC">
      <w:pPr>
        <w:pStyle w:val="NoSpacing"/>
      </w:pPr>
    </w:p>
    <w:tbl>
      <w:tblPr>
        <w:tblStyle w:val="TableGrid"/>
        <w:tblW w:w="5000" w:type="pct"/>
        <w:tblBorders>
          <w:top w:val="single" w:sz="4" w:space="0" w:color="2B9AC2" w:themeColor="text2"/>
          <w:left w:val="single" w:sz="4" w:space="0" w:color="2B9AC2" w:themeColor="text2"/>
          <w:bottom w:val="single" w:sz="4" w:space="0" w:color="2B9AC2" w:themeColor="text2"/>
          <w:right w:val="single" w:sz="4" w:space="0" w:color="2B9AC2" w:themeColor="text2"/>
          <w:insideH w:val="none" w:sz="0" w:space="0" w:color="auto"/>
          <w:insideV w:val="none" w:sz="0" w:space="0" w:color="auto"/>
        </w:tblBorders>
        <w:tblCellMar>
          <w:bottom w:w="113" w:type="dxa"/>
        </w:tblCellMar>
        <w:tblLook w:val="04A0" w:firstRow="1" w:lastRow="0" w:firstColumn="1" w:lastColumn="0" w:noHBand="0" w:noVBand="1"/>
      </w:tblPr>
      <w:tblGrid>
        <w:gridCol w:w="705"/>
        <w:gridCol w:w="8923"/>
      </w:tblGrid>
      <w:tr w:rsidR="000A62ED" w14:paraId="2370B079" w14:textId="77777777">
        <w:trPr>
          <w:trHeight w:val="765"/>
          <w:tblHeader/>
        </w:trPr>
        <w:tc>
          <w:tcPr>
            <w:tcW w:w="366" w:type="pct"/>
            <w:tcBorders>
              <w:bottom w:val="nil"/>
            </w:tcBorders>
            <w:tcMar>
              <w:bottom w:w="0" w:type="dxa"/>
            </w:tcMar>
            <w:vAlign w:val="center"/>
          </w:tcPr>
          <w:p w14:paraId="5C500B6D" w14:textId="77777777" w:rsidR="000A62ED" w:rsidRDefault="000A62ED">
            <w:pPr>
              <w:pStyle w:val="NoSpacing"/>
              <w:keepNext/>
              <w:keepLines/>
              <w:jc w:val="right"/>
            </w:pPr>
            <w:r w:rsidRPr="00A51374">
              <w:rPr>
                <w:noProof/>
              </w:rPr>
              <w:drawing>
                <wp:inline distT="0" distB="0" distL="0" distR="0" wp14:anchorId="1BC1B9DB" wp14:editId="7203CB31">
                  <wp:extent cx="288000" cy="288000"/>
                  <wp:effectExtent l="0" t="0" r="0" b="0"/>
                  <wp:docPr id="1444268890" name="Graphic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phic 39">
                            <a:extLst>
                              <a:ext uri="{C183D7F6-B498-43B3-948B-1728B52AA6E4}">
                                <adec:decorative xmlns:adec="http://schemas.microsoft.com/office/drawing/2017/decorative" val="1"/>
                              </a:ext>
                            </a:extLst>
                          </pic:cNvPr>
                          <pic:cNvPicPr/>
                        </pic:nvPicPr>
                        <pic:blipFill>
                          <a:blip r:embed="rId59">
                            <a:extLst>
                              <a:ext uri="{28A0092B-C50C-407E-A947-70E740481C1C}">
                                <a14:useLocalDpi xmlns:a14="http://schemas.microsoft.com/office/drawing/2010/main" val="0"/>
                              </a:ext>
                            </a:extLst>
                          </a:blip>
                          <a:stretch>
                            <a:fillRect/>
                          </a:stretch>
                        </pic:blipFill>
                        <pic:spPr>
                          <a:xfrm>
                            <a:off x="0" y="0"/>
                            <a:ext cx="288000" cy="288000"/>
                          </a:xfrm>
                          <a:prstGeom prst="rect">
                            <a:avLst/>
                          </a:prstGeom>
                        </pic:spPr>
                      </pic:pic>
                    </a:graphicData>
                  </a:graphic>
                </wp:inline>
              </w:drawing>
            </w:r>
          </w:p>
        </w:tc>
        <w:tc>
          <w:tcPr>
            <w:tcW w:w="4634" w:type="pct"/>
            <w:tcBorders>
              <w:bottom w:val="nil"/>
            </w:tcBorders>
            <w:tcMar>
              <w:bottom w:w="0" w:type="dxa"/>
            </w:tcMar>
            <w:vAlign w:val="center"/>
          </w:tcPr>
          <w:p w14:paraId="05D332C9" w14:textId="6754427C" w:rsidR="000A62ED" w:rsidRPr="00A4395A" w:rsidRDefault="000A62ED">
            <w:pPr>
              <w:pStyle w:val="Findingtitle"/>
            </w:pPr>
            <w:r>
              <w:t>Interim finding</w:t>
            </w:r>
            <w:r w:rsidRPr="00A4395A">
              <w:t xml:space="preserve"> </w:t>
            </w:r>
            <w:r>
              <w:fldChar w:fldCharType="begin"/>
            </w:r>
            <w:r>
              <w:instrText>STYLEREF 1 \s</w:instrText>
            </w:r>
            <w:r>
              <w:fldChar w:fldCharType="separate"/>
            </w:r>
            <w:r w:rsidR="009C08C4">
              <w:rPr>
                <w:noProof/>
              </w:rPr>
              <w:t>3</w:t>
            </w:r>
            <w:r>
              <w:fldChar w:fldCharType="end"/>
            </w:r>
            <w:r w:rsidRPr="00A4395A">
              <w:t>.</w:t>
            </w:r>
            <w:r>
              <w:fldChar w:fldCharType="begin"/>
            </w:r>
            <w:r>
              <w:instrText>SEQ Finding \* ARABIC \s 1</w:instrText>
            </w:r>
            <w:r>
              <w:fldChar w:fldCharType="separate"/>
            </w:r>
            <w:r w:rsidR="009C08C4">
              <w:rPr>
                <w:noProof/>
              </w:rPr>
              <w:t>2</w:t>
            </w:r>
            <w:r>
              <w:fldChar w:fldCharType="end"/>
            </w:r>
            <w:r>
              <w:rPr>
                <w:noProof/>
              </w:rPr>
              <w:t xml:space="preserve"> </w:t>
            </w:r>
          </w:p>
          <w:p w14:paraId="125008DD" w14:textId="77777777" w:rsidR="000A62ED" w:rsidRDefault="000A62ED">
            <w:pPr>
              <w:pStyle w:val="Findingtitle"/>
            </w:pPr>
            <w:r w:rsidRPr="005A5B52">
              <w:t xml:space="preserve">The GST </w:t>
            </w:r>
            <w:r>
              <w:t xml:space="preserve">distribution </w:t>
            </w:r>
            <w:r w:rsidRPr="005A5B52">
              <w:t xml:space="preserve">system </w:t>
            </w:r>
            <w:r>
              <w:t xml:space="preserve">was and </w:t>
            </w:r>
            <w:r w:rsidRPr="005A5B52">
              <w:t xml:space="preserve">is broadly policy neutral, with </w:t>
            </w:r>
            <w:r>
              <w:t>some</w:t>
            </w:r>
            <w:r w:rsidRPr="005A5B52">
              <w:t xml:space="preserve"> exceptions</w:t>
            </w:r>
            <w:r>
              <w:t xml:space="preserve"> that are best managed through targeted responses</w:t>
            </w:r>
          </w:p>
        </w:tc>
      </w:tr>
      <w:tr w:rsidR="000A62ED" w14:paraId="16111A25" w14:textId="77777777">
        <w:tc>
          <w:tcPr>
            <w:tcW w:w="5000" w:type="pct"/>
            <w:gridSpan w:val="2"/>
            <w:tcBorders>
              <w:top w:val="nil"/>
              <w:bottom w:val="single" w:sz="4" w:space="0" w:color="2B9AC2" w:themeColor="text2"/>
            </w:tcBorders>
          </w:tcPr>
          <w:p w14:paraId="352ECF8D" w14:textId="77777777" w:rsidR="000A62ED" w:rsidRPr="003C2CFF" w:rsidRDefault="000A62ED">
            <w:pPr>
              <w:pStyle w:val="BodyText"/>
              <w:keepLines/>
            </w:pPr>
            <w:r w:rsidRPr="003C2CFF">
              <w:t xml:space="preserve">The GST distribution system </w:t>
            </w:r>
            <w:r>
              <w:t xml:space="preserve">was and </w:t>
            </w:r>
            <w:r w:rsidRPr="003C2CFF">
              <w:t xml:space="preserve">is broadly policy neutral for most expenditure decisions and incremental non-mining tax changes. </w:t>
            </w:r>
            <w:r>
              <w:t xml:space="preserve">There are impacts to </w:t>
            </w:r>
            <w:r w:rsidRPr="003C2CFF">
              <w:t xml:space="preserve">GST </w:t>
            </w:r>
            <w:r>
              <w:t>payments</w:t>
            </w:r>
            <w:r w:rsidRPr="003C2CFF">
              <w:t xml:space="preserve">, but </w:t>
            </w:r>
            <w:r>
              <w:t>these are small compared to the</w:t>
            </w:r>
            <w:r w:rsidRPr="00742936">
              <w:t xml:space="preserve"> larger constraints</w:t>
            </w:r>
            <w:r>
              <w:t xml:space="preserve"> to reform</w:t>
            </w:r>
            <w:r w:rsidRPr="00742936">
              <w:t xml:space="preserve"> </w:t>
            </w:r>
            <w:r>
              <w:t xml:space="preserve">such as </w:t>
            </w:r>
            <w:r w:rsidRPr="00742936">
              <w:t>transition funding, distributional impacts and public acceptance.</w:t>
            </w:r>
          </w:p>
          <w:p w14:paraId="5FDD1389" w14:textId="77777777" w:rsidR="000A62ED" w:rsidRDefault="000A62ED">
            <w:pPr>
              <w:pStyle w:val="BodyText"/>
              <w:keepLines/>
            </w:pPr>
            <w:r>
              <w:t>The effect on GST payments</w:t>
            </w:r>
            <w:r w:rsidRPr="00CE5030">
              <w:t xml:space="preserve"> can add to the fiscal cost and uncertainty of large state tax reforms, particularly stamp duty to land tax reform and mining royalty changes. </w:t>
            </w:r>
            <w:r>
              <w:t>However,</w:t>
            </w:r>
            <w:r w:rsidRPr="00CE5030">
              <w:t xml:space="preserve"> the evidence since 2018 suggests these effects are not decisive. States have proceeded with reforms despite material</w:t>
            </w:r>
            <w:r>
              <w:t xml:space="preserve"> changes to their GST payments</w:t>
            </w:r>
            <w:r w:rsidRPr="00CE5030">
              <w:t xml:space="preserve">, and reducing </w:t>
            </w:r>
            <w:r>
              <w:t>this effect</w:t>
            </w:r>
            <w:r w:rsidRPr="00CE5030">
              <w:t xml:space="preserve"> has not necessarily led to reform.</w:t>
            </w:r>
            <w:r>
              <w:t xml:space="preserve"> </w:t>
            </w:r>
          </w:p>
          <w:p w14:paraId="3F435B44" w14:textId="0F3D71F4" w:rsidR="000A62ED" w:rsidRDefault="000A62ED">
            <w:pPr>
              <w:pStyle w:val="BodyText"/>
              <w:keepLines/>
            </w:pPr>
            <w:r w:rsidRPr="00CE5030">
              <w:t xml:space="preserve">The </w:t>
            </w:r>
            <w:r>
              <w:t>PC</w:t>
            </w:r>
            <w:r w:rsidRPr="00CE5030">
              <w:t xml:space="preserve"> therefore places less weight than</w:t>
            </w:r>
            <w:r w:rsidR="00135B11">
              <w:t xml:space="preserve"> the 2018 PC review </w:t>
            </w:r>
            <w:r w:rsidRPr="00CE5030">
              <w:t xml:space="preserve">on </w:t>
            </w:r>
            <w:r>
              <w:t>the effect of policy changes on GST payments</w:t>
            </w:r>
            <w:r w:rsidRPr="00CE5030">
              <w:t xml:space="preserve"> as a rationale for system-wide </w:t>
            </w:r>
            <w:r w:rsidR="00135B11">
              <w:t>horizontal fiscal equalisation</w:t>
            </w:r>
            <w:r w:rsidRPr="00CE5030">
              <w:t xml:space="preserve"> reform. Where effects </w:t>
            </w:r>
            <w:r>
              <w:t xml:space="preserve">to GST payments </w:t>
            </w:r>
            <w:r w:rsidRPr="00CE5030">
              <w:t xml:space="preserve">are material and measurable, they are better managed through targeted </w:t>
            </w:r>
            <w:r w:rsidR="00135B11">
              <w:t>Commonwealth Grants Commission</w:t>
            </w:r>
            <w:r w:rsidRPr="00CE5030">
              <w:t xml:space="preserve"> assessment changes or, </w:t>
            </w:r>
            <w:r>
              <w:t xml:space="preserve">especially </w:t>
            </w:r>
            <w:r w:rsidRPr="00CE5030">
              <w:t xml:space="preserve">where the main barrier is the revenue transition, direct </w:t>
            </w:r>
            <w:r>
              <w:t>Australian Government</w:t>
            </w:r>
            <w:r w:rsidRPr="00CE5030">
              <w:t xml:space="preserve"> support.</w:t>
            </w:r>
          </w:p>
        </w:tc>
      </w:tr>
      <w:tr w:rsidR="000A62ED" w14:paraId="01058924" w14:textId="77777777">
        <w:trPr>
          <w:trHeight w:val="53"/>
        </w:trPr>
        <w:tc>
          <w:tcPr>
            <w:tcW w:w="5000" w:type="pct"/>
            <w:gridSpan w:val="2"/>
            <w:tcBorders>
              <w:top w:val="single" w:sz="4" w:space="0" w:color="2B9AC2" w:themeColor="text2"/>
              <w:left w:val="nil"/>
              <w:bottom w:val="nil"/>
              <w:right w:val="nil"/>
            </w:tcBorders>
            <w:tcMar>
              <w:bottom w:w="0" w:type="dxa"/>
            </w:tcMar>
          </w:tcPr>
          <w:p w14:paraId="2924BA23" w14:textId="1EDB9261" w:rsidR="000A62ED" w:rsidRDefault="000A62ED">
            <w:pPr>
              <w:pStyle w:val="NoSpacing"/>
              <w:spacing w:line="200" w:lineRule="atLeast"/>
            </w:pPr>
          </w:p>
        </w:tc>
      </w:tr>
    </w:tbl>
    <w:p w14:paraId="4C6AD4F0" w14:textId="77777777" w:rsidR="000A62ED" w:rsidRDefault="000A62ED" w:rsidP="003D5906">
      <w:pPr>
        <w:pStyle w:val="Heading2"/>
        <w:numPr>
          <w:ilvl w:val="2"/>
          <w:numId w:val="18"/>
        </w:numPr>
      </w:pPr>
      <w:bookmarkStart w:id="42" w:name="_Toc236904072"/>
      <w:r>
        <w:t>Considering fiscal sustainability is necessary, given how much the GST distribution impacts government budgets</w:t>
      </w:r>
      <w:bookmarkEnd w:id="42"/>
    </w:p>
    <w:p w14:paraId="3977D122" w14:textId="5D5512C4" w:rsidR="000A62ED" w:rsidRPr="0048372F" w:rsidRDefault="000A62ED" w:rsidP="0048372F">
      <w:pPr>
        <w:pStyle w:val="BodyText"/>
        <w:rPr>
          <w:spacing w:val="-2"/>
        </w:rPr>
      </w:pPr>
      <w:r w:rsidRPr="0048372F">
        <w:rPr>
          <w:spacing w:val="-2"/>
        </w:rPr>
        <w:t xml:space="preserve">A government’s fiscal sustainability can be defined as its ability to maintain its current spending, tax and other related policies into the long term, without a threat to its solvency or the need for large and sudden </w:t>
      </w:r>
      <w:r w:rsidRPr="0048372F">
        <w:rPr>
          <w:spacing w:val="-4"/>
        </w:rPr>
        <w:t>adjustments to policy settings (Commonwealth of Australia 2023, p. 224; European Commission 2017, p. 1).</w:t>
      </w:r>
      <w:r w:rsidRPr="0048372F">
        <w:rPr>
          <w:spacing w:val="-2"/>
        </w:rPr>
        <w:t xml:space="preserve"> </w:t>
      </w:r>
    </w:p>
    <w:p w14:paraId="449ED167" w14:textId="4D3B93CA" w:rsidR="000A62ED" w:rsidRDefault="000A62ED">
      <w:pPr>
        <w:pStyle w:val="BodyText"/>
      </w:pPr>
      <w:r w:rsidRPr="003B1969">
        <w:t xml:space="preserve">Given that GST revenue accounts for a significant proportion of state revenue, 23% in </w:t>
      </w:r>
      <w:r w:rsidR="00246A5F">
        <w:t>2024–25</w:t>
      </w:r>
      <w:r w:rsidRPr="003B1969">
        <w:t>,</w:t>
      </w:r>
      <w:r w:rsidRPr="00495E34">
        <w:t xml:space="preserve"> changes</w:t>
      </w:r>
      <w:r>
        <w:t xml:space="preserve"> to how it is distributed have material impacts on state governments’ fiscal positions </w:t>
      </w:r>
      <w:r w:rsidRPr="000F1CB5">
        <w:rPr>
          <w:rFonts w:cs="Open Sans"/>
        </w:rPr>
        <w:t>(PC estimates using ABS 2025a, unpublished data)</w:t>
      </w:r>
      <w:r>
        <w:t>. As</w:t>
      </w:r>
      <w:r w:rsidDel="0015294C">
        <w:t xml:space="preserve"> the Australian </w:t>
      </w:r>
      <w:r>
        <w:t>Government now bears responsibility for 2 direct costs of the system – the pool boost and NoWO payments – sustainability for the Commonwealth also needs to be considered.</w:t>
      </w:r>
    </w:p>
    <w:p w14:paraId="1BD44445" w14:textId="70AD594F" w:rsidR="000A62ED" w:rsidRPr="000658CD" w:rsidRDefault="000A62ED">
      <w:pPr>
        <w:pStyle w:val="BodyText"/>
      </w:pPr>
      <w:r>
        <w:t xml:space="preserve">There is no single measure that captures whether a government is fiscally sustainable. Quantitative indicators such as debt-to-revenue (or debt-to-GDP), interest-to-revenue and fiscal balance-to-revenue capture different aspects of a governments fiscal position at a point in time (further discussion in appendix D). Over the longer term, the </w:t>
      </w:r>
      <w:r w:rsidRPr="006D0B7B">
        <w:t>trajectory of debt to</w:t>
      </w:r>
      <w:r>
        <w:t xml:space="preserve"> GDP is often used as a measure of fiscal sustainability. A</w:t>
      </w:r>
      <w:r w:rsidRPr="006D0B7B">
        <w:t xml:space="preserve"> government’s fiscal position </w:t>
      </w:r>
      <w:r>
        <w:t>is</w:t>
      </w:r>
      <w:r w:rsidRPr="006D0B7B">
        <w:t xml:space="preserve"> generally considered more sustainable if</w:t>
      </w:r>
      <w:r>
        <w:t xml:space="preserve">, on average, </w:t>
      </w:r>
      <w:r w:rsidRPr="006D0B7B">
        <w:t xml:space="preserve">this ratio is </w:t>
      </w:r>
      <w:r>
        <w:t xml:space="preserve">expected to remain </w:t>
      </w:r>
      <w:r w:rsidRPr="006D0B7B">
        <w:t>stable or trend downwards over t</w:t>
      </w:r>
      <w:r>
        <w:t xml:space="preserve">he medium and long term </w:t>
      </w:r>
      <w:r w:rsidRPr="00745B8E">
        <w:rPr>
          <w:rFonts w:cs="Open Sans"/>
        </w:rPr>
        <w:t>(PBO 2025a, p. 11)</w:t>
      </w:r>
      <w:r>
        <w:t>.</w:t>
      </w:r>
      <w:r w:rsidDel="00675173">
        <w:t xml:space="preserve"> </w:t>
      </w:r>
      <w:r>
        <w:t xml:space="preserve">For state governments, total revenue is used instead of GDP or GSP because state revenue streams are not as directly linked to states’ economic outcomes as they are for the Australian Government </w:t>
      </w:r>
      <w:r w:rsidRPr="0028699E">
        <w:rPr>
          <w:rFonts w:cs="Open Sans"/>
        </w:rPr>
        <w:t>(Government of Tasmania 2021, p. 40)</w:t>
      </w:r>
      <w:r>
        <w:t>.</w:t>
      </w:r>
      <w:r w:rsidRPr="000658CD">
        <w:rPr>
          <w:rFonts w:ascii="Segoe UI" w:eastAsia="Times New Roman" w:hAnsi="Segoe UI" w:cs="Segoe UI"/>
          <w:sz w:val="18"/>
          <w:szCs w:val="18"/>
          <w:lang w:eastAsia="en-AU"/>
        </w:rPr>
        <w:t xml:space="preserve"> </w:t>
      </w:r>
      <w:r w:rsidRPr="000658CD">
        <w:t xml:space="preserve">Given this, this chapter primarily draws in the debt </w:t>
      </w:r>
      <w:r w:rsidRPr="000658CD">
        <w:lastRenderedPageBreak/>
        <w:t>to revenue trajectory to illustrate the trends facing government budgets (with a range of other indicators presented in</w:t>
      </w:r>
      <w:r>
        <w:t xml:space="preserve"> appendix D</w:t>
      </w:r>
      <w:r w:rsidRPr="000658CD">
        <w:t>)</w:t>
      </w:r>
      <w:r>
        <w:t xml:space="preserve">. </w:t>
      </w:r>
    </w:p>
    <w:p w14:paraId="394BDB77" w14:textId="77777777" w:rsidR="000A62ED" w:rsidRDefault="000A62ED">
      <w:pPr>
        <w:pStyle w:val="Heading3"/>
      </w:pPr>
      <w:r>
        <w:t xml:space="preserve">Growing expenditure has put pressure on most states’ fiscal positions </w:t>
      </w:r>
    </w:p>
    <w:p w14:paraId="2E2F3A40" w14:textId="4D4D781F" w:rsidR="000A62ED" w:rsidRDefault="000A62ED">
      <w:pPr>
        <w:pStyle w:val="BodyText"/>
      </w:pPr>
      <w:r w:rsidRPr="006E56C1">
        <w:t>Overall, states’ fiscal positions have been deteriorating, as indicated by states’ growing net debt to revenue ratios,</w:t>
      </w:r>
      <w:r w:rsidRPr="008512DD">
        <w:t xml:space="preserve"> with</w:t>
      </w:r>
      <w:r w:rsidRPr="00386BC1">
        <w:t xml:space="preserve"> the clear exception of Western Australia (</w:t>
      </w:r>
      <w:r w:rsidR="00AA6E03">
        <w:t>f</w:t>
      </w:r>
      <w:r w:rsidR="00552E5A" w:rsidRPr="006138B9" w:rsidDel="00474065">
        <w:t xml:space="preserve">igure </w:t>
      </w:r>
      <w:r w:rsidR="00552E5A">
        <w:rPr>
          <w:noProof/>
        </w:rPr>
        <w:t>3</w:t>
      </w:r>
      <w:r w:rsidR="00552E5A" w:rsidRPr="006138B9" w:rsidDel="00474065">
        <w:t>.</w:t>
      </w:r>
      <w:r w:rsidR="00552E5A">
        <w:rPr>
          <w:noProof/>
        </w:rPr>
        <w:t>6</w:t>
      </w:r>
      <w:r w:rsidRPr="00386BC1">
        <w:t>) (W</w:t>
      </w:r>
      <w:r>
        <w:t>estern Australia</w:t>
      </w:r>
      <w:r w:rsidRPr="00386BC1">
        <w:t>’s divergence is discussed in chapter 2).</w:t>
      </w:r>
      <w:r w:rsidRPr="00201B0D">
        <w:rPr>
          <w:rStyle w:val="FootnoteReference"/>
        </w:rPr>
        <w:footnoteReference w:id="39"/>
      </w:r>
      <w:r w:rsidRPr="00EC2451">
        <w:rPr>
          <w:vertAlign w:val="superscript"/>
        </w:rPr>
        <w:t>,</w:t>
      </w:r>
      <w:r w:rsidRPr="00201B0D">
        <w:rPr>
          <w:rStyle w:val="FootnoteReference"/>
        </w:rPr>
        <w:footnoteReference w:id="40"/>
      </w:r>
      <w:r w:rsidRPr="00386BC1">
        <w:t xml:space="preserve"> </w:t>
      </w:r>
      <w:r>
        <w:t>This is also reflected in declining state credit quality. During and post the COVID-19 pandemic, n</w:t>
      </w:r>
      <w:r w:rsidRPr="00CC366F">
        <w:t>egative rating actions outnumber</w:t>
      </w:r>
      <w:r>
        <w:t>ed</w:t>
      </w:r>
      <w:r w:rsidRPr="00CC366F">
        <w:t xml:space="preserve"> positive</w:t>
      </w:r>
      <w:r>
        <w:t xml:space="preserve"> actions</w:t>
      </w:r>
      <w:r w:rsidRPr="00CC366F">
        <w:t xml:space="preserve"> almost 5</w:t>
      </w:r>
      <w:r>
        <w:t>-to-</w:t>
      </w:r>
      <w:r w:rsidRPr="00CC366F">
        <w:t>1</w:t>
      </w:r>
      <w:r>
        <w:t xml:space="preserve">, with Tasmania, the Australian Capital Territory, New South Wales and Victoria all receiving credit downgrades </w:t>
      </w:r>
      <w:r w:rsidRPr="00EE6CBD">
        <w:rPr>
          <w:rFonts w:cs="Open Sans"/>
        </w:rPr>
        <w:t>(S&amp;P Global 2026)</w:t>
      </w:r>
      <w:r>
        <w:t xml:space="preserve">. </w:t>
      </w:r>
    </w:p>
    <w:p w14:paraId="64DA70CE" w14:textId="289AF862" w:rsidR="000A62ED" w:rsidRPr="00F91AD7" w:rsidRDefault="000A62ED">
      <w:pPr>
        <w:pStyle w:val="BodyText"/>
        <w:rPr>
          <w:spacing w:val="-2"/>
        </w:rPr>
      </w:pPr>
      <w:r w:rsidRPr="00F91AD7">
        <w:rPr>
          <w:spacing w:val="-2"/>
        </w:rPr>
        <w:t xml:space="preserve">Only a handful of jurisdictions have published medium- or long-term fiscal sustainability assessments: New South Wales through an intergenerational report, Tasmania through a fiscal sustainability report, and the Australian Capital Territory through a recent parliamentary inquiry into fiscal sustainability. These assessments frame sustainability more in terms of flexibility and resilience than short-term solvency, but all indicate that states’ fiscal positions are weakening in this respect. They highlight that spending pressures, higher debt-servicing costs and growing interest payments will reduce governments’ capacity to absorb fiscal shocks, respond to future priorities and maintain service delivery over the long term </w:t>
      </w:r>
      <w:r w:rsidR="00546FEC" w:rsidRPr="00F91AD7">
        <w:rPr>
          <w:rFonts w:cs="Open Sans"/>
          <w:spacing w:val="-2"/>
        </w:rPr>
        <w:t>(Eslake 2026, p. 5; Government of Tasmania 2026, pp. 12–13; NSW Government 2021a, p. 7)</w:t>
      </w:r>
      <w:r w:rsidRPr="00F91AD7">
        <w:rPr>
          <w:spacing w:val="-2"/>
        </w:rPr>
        <w:t>.</w:t>
      </w:r>
    </w:p>
    <w:p w14:paraId="2B267A96" w14:textId="77777777" w:rsidR="000A62ED" w:rsidRDefault="000A62ED">
      <w:pPr>
        <w:pStyle w:val="BodyText"/>
      </w:pPr>
      <w:r w:rsidRPr="007C0ECA">
        <w:t xml:space="preserve">However, </w:t>
      </w:r>
      <w:r>
        <w:t>the general deterioration in state fiscal positions</w:t>
      </w:r>
      <w:r w:rsidRPr="007C0ECA">
        <w:t xml:space="preserve"> </w:t>
      </w:r>
      <w:r>
        <w:t>is</w:t>
      </w:r>
      <w:r w:rsidRPr="007C0ECA">
        <w:t xml:space="preserve"> not a </w:t>
      </w:r>
      <w:r>
        <w:t>result</w:t>
      </w:r>
      <w:r w:rsidRPr="007C0ECA">
        <w:t xml:space="preserve"> of lower equalisation under the current system</w:t>
      </w:r>
      <w:r>
        <w:t xml:space="preserve">. To date, </w:t>
      </w:r>
      <w:r w:rsidRPr="007C0ECA">
        <w:t xml:space="preserve">NoWO payments have ensured that each states’ GST payments have remained virtually equivalent to what they would have received previously under </w:t>
      </w:r>
      <w:r>
        <w:t>the pre-2018</w:t>
      </w:r>
      <w:r w:rsidRPr="007C0ECA">
        <w:t xml:space="preserve"> </w:t>
      </w:r>
      <w:r>
        <w:t>system</w:t>
      </w:r>
      <w:r w:rsidRPr="007C0ECA">
        <w:t xml:space="preserve"> (except Western Australia, which</w:t>
      </w:r>
      <w:r>
        <w:t xml:space="preserve"> has</w:t>
      </w:r>
      <w:r w:rsidRPr="007C0ECA">
        <w:t xml:space="preserve"> receive</w:t>
      </w:r>
      <w:r>
        <w:t>d</w:t>
      </w:r>
      <w:r w:rsidRPr="007C0ECA">
        <w:t xml:space="preserve"> more).</w:t>
      </w:r>
      <w:r>
        <w:t xml:space="preserve">  </w:t>
      </w:r>
    </w:p>
    <w:p w14:paraId="7E39879B" w14:textId="610A0153" w:rsidR="000A62ED" w:rsidRPr="009F2605" w:rsidRDefault="000A62ED">
      <w:pPr>
        <w:pStyle w:val="BodyText"/>
        <w:rPr>
          <w:spacing w:val="-2"/>
        </w:rPr>
      </w:pPr>
      <w:r w:rsidRPr="009F2605">
        <w:rPr>
          <w:spacing w:val="-2"/>
        </w:rPr>
        <w:t xml:space="preserve">Rather, states’ growing debt burden reflects that states’ net operating balances have on average deteriorated since the early 2000s, compounded by the added fiscal pressure states faced due to the COVID-19 pandemic </w:t>
      </w:r>
      <w:r w:rsidRPr="009F2605">
        <w:rPr>
          <w:rFonts w:cs="Open Sans"/>
          <w:spacing w:val="-2"/>
        </w:rPr>
        <w:t>(PBO 2025b, p. 4)</w:t>
      </w:r>
      <w:r w:rsidRPr="009F2605">
        <w:rPr>
          <w:spacing w:val="-2"/>
        </w:rPr>
        <w:t>. Steady but sustained growth in state expenses has been a key driver of this deterioration – as a share of GDP, state expenses have grown from 13.6% in 2000</w:t>
      </w:r>
      <w:r w:rsidR="00954EC0">
        <w:rPr>
          <w:spacing w:val="-2"/>
        </w:rPr>
        <w:t>–</w:t>
      </w:r>
      <w:r w:rsidRPr="009F2605">
        <w:rPr>
          <w:spacing w:val="-2"/>
        </w:rPr>
        <w:t xml:space="preserve">01 to 14.7% in </w:t>
      </w:r>
      <w:r w:rsidR="00246A5F" w:rsidRPr="009F2605">
        <w:rPr>
          <w:spacing w:val="-2"/>
        </w:rPr>
        <w:t>2024–25</w:t>
      </w:r>
      <w:r w:rsidRPr="009F2605">
        <w:rPr>
          <w:spacing w:val="-2"/>
        </w:rPr>
        <w:t>, this increases to 14.0% in 2000</w:t>
      </w:r>
      <w:r w:rsidR="009F2605" w:rsidRPr="009F2605">
        <w:rPr>
          <w:spacing w:val="-2"/>
        </w:rPr>
        <w:t>–</w:t>
      </w:r>
      <w:r w:rsidRPr="009F2605">
        <w:rPr>
          <w:spacing w:val="-2"/>
        </w:rPr>
        <w:t xml:space="preserve">01 to 16.1% in </w:t>
      </w:r>
      <w:r w:rsidR="003B5DC0" w:rsidRPr="009F2605">
        <w:rPr>
          <w:spacing w:val="-2"/>
        </w:rPr>
        <w:t xml:space="preserve">2024–25 </w:t>
      </w:r>
      <w:r w:rsidRPr="009F2605">
        <w:rPr>
          <w:spacing w:val="-2"/>
        </w:rPr>
        <w:t xml:space="preserve">when total expenditure is considered </w:t>
      </w:r>
      <w:r w:rsidRPr="009F2605">
        <w:rPr>
          <w:rFonts w:cs="Open Sans"/>
          <w:spacing w:val="-2"/>
        </w:rPr>
        <w:t>(PC estimates using ABS 2025b, 2025a, unpublished data)</w:t>
      </w:r>
      <w:r w:rsidRPr="009F2605">
        <w:rPr>
          <w:spacing w:val="-2"/>
        </w:rPr>
        <w:t xml:space="preserve">. By contrast, revenue growth has been significantly more limited, moving from 13.8% of GDP in 2000-01 to 14.4% in </w:t>
      </w:r>
      <w:r w:rsidR="003B5DC0" w:rsidRPr="009F2605">
        <w:rPr>
          <w:spacing w:val="-2"/>
        </w:rPr>
        <w:t xml:space="preserve">2024–25 </w:t>
      </w:r>
      <w:r w:rsidRPr="009F2605">
        <w:rPr>
          <w:rFonts w:cs="Open Sans"/>
          <w:spacing w:val="-2"/>
        </w:rPr>
        <w:t>(PC</w:t>
      </w:r>
      <w:r w:rsidR="009F2605" w:rsidRPr="009F2605">
        <w:rPr>
          <w:rFonts w:cs="Open Sans"/>
          <w:spacing w:val="-2"/>
        </w:rPr>
        <w:t> </w:t>
      </w:r>
      <w:r w:rsidRPr="009F2605">
        <w:rPr>
          <w:rFonts w:cs="Open Sans"/>
          <w:spacing w:val="-2"/>
        </w:rPr>
        <w:t>estimates using ABS 2025b, 2025a, unpublished data)</w:t>
      </w:r>
      <w:r w:rsidRPr="009F2605">
        <w:rPr>
          <w:spacing w:val="-2"/>
        </w:rPr>
        <w:t xml:space="preserve">. While population growth is one driver of increased state expenses, per capita expenses have also been increasing faster than revenue per capita. State expenditure per capita grew at an average of 1.8% each year (CAGR) between 2000-01 to </w:t>
      </w:r>
      <w:r w:rsidR="00246A5F" w:rsidRPr="009F2605">
        <w:rPr>
          <w:spacing w:val="-2"/>
        </w:rPr>
        <w:t>2024–25</w:t>
      </w:r>
      <w:r w:rsidRPr="009F2605">
        <w:rPr>
          <w:spacing w:val="-2"/>
        </w:rPr>
        <w:t xml:space="preserve">, compared with only 1.3% per annum for revenue per capita over the same period (constant prices, </w:t>
      </w:r>
      <w:r w:rsidR="00954EC0">
        <w:rPr>
          <w:spacing w:val="-2"/>
        </w:rPr>
        <w:br/>
      </w:r>
      <w:r w:rsidR="003B5DC0" w:rsidRPr="009F2605">
        <w:rPr>
          <w:spacing w:val="-2"/>
        </w:rPr>
        <w:t xml:space="preserve">2024–25 </w:t>
      </w:r>
      <w:r w:rsidRPr="009F2605">
        <w:rPr>
          <w:spacing w:val="-2"/>
        </w:rPr>
        <w:t xml:space="preserve">basis) </w:t>
      </w:r>
      <w:r w:rsidRPr="009F2605">
        <w:rPr>
          <w:rFonts w:cs="Open Sans"/>
          <w:spacing w:val="-2"/>
        </w:rPr>
        <w:t>(PC estimates using ABS 2025a, unpublished data)</w:t>
      </w:r>
      <w:r w:rsidRPr="009F2605">
        <w:rPr>
          <w:spacing w:val="-2"/>
        </w:rPr>
        <w:t xml:space="preserve">. </w:t>
      </w:r>
    </w:p>
    <w:p w14:paraId="1E3DB521" w14:textId="2101B206" w:rsidR="009E5079" w:rsidRPr="000851F0" w:rsidRDefault="009E5079" w:rsidP="009E5079">
      <w:pPr>
        <w:pStyle w:val="BodyText"/>
      </w:pPr>
      <w:r w:rsidRPr="000851F0">
        <w:t xml:space="preserve">The fastest-growing areas of per capita state expenditure are capital investment, interest repayments and health </w:t>
      </w:r>
      <w:r w:rsidRPr="000F1CB5">
        <w:rPr>
          <w:rFonts w:cs="Open Sans"/>
        </w:rPr>
        <w:t>(PC estimates using ABS 2025a, unpublished data)</w:t>
      </w:r>
      <w:r w:rsidRPr="005C39D6">
        <w:t>.</w:t>
      </w:r>
      <w:r w:rsidRPr="0080166E">
        <w:t xml:space="preserve"> </w:t>
      </w:r>
    </w:p>
    <w:p w14:paraId="00145194" w14:textId="10F1E2B9" w:rsidR="000A62ED" w:rsidRPr="00CB2490" w:rsidRDefault="000A62ED">
      <w:pPr>
        <w:pStyle w:val="FigureTableHeading"/>
      </w:pPr>
      <w:bookmarkStart w:id="43" w:name="_Ref236249592"/>
      <w:r w:rsidRPr="006138B9" w:rsidDel="00474065">
        <w:lastRenderedPageBreak/>
        <w:t xml:space="preserve">Figure </w:t>
      </w:r>
      <w:fldSimple w:instr=" STYLEREF 1 \s ">
        <w:r w:rsidR="009C08C4">
          <w:rPr>
            <w:noProof/>
          </w:rPr>
          <w:t>3</w:t>
        </w:r>
      </w:fldSimple>
      <w:r w:rsidRPr="006138B9" w:rsidDel="00474065">
        <w:t>.</w:t>
      </w:r>
      <w:fldSimple w:instr=" SEQ Figure \* ARABIC \s 1 ">
        <w:r w:rsidR="009C08C4">
          <w:rPr>
            <w:noProof/>
          </w:rPr>
          <w:t>6</w:t>
        </w:r>
      </w:fldSimple>
      <w:bookmarkEnd w:id="43"/>
      <w:r w:rsidRPr="00C90C19" w:rsidDel="00474065">
        <w:t xml:space="preserve"> </w:t>
      </w:r>
      <w:r w:rsidRPr="00CB2490">
        <w:t xml:space="preserve">– Net debt to revenue ratios are increasing for all states except </w:t>
      </w:r>
      <w:r w:rsidRPr="00740C06">
        <w:t>Western Australia</w:t>
      </w:r>
    </w:p>
    <w:p w14:paraId="268A4F71" w14:textId="6CA61223" w:rsidR="000A62ED" w:rsidRDefault="000A62ED">
      <w:pPr>
        <w:pStyle w:val="FigureTableSubheading"/>
        <w:keepLines/>
      </w:pPr>
      <w:r w:rsidRPr="00740C06">
        <w:t xml:space="preserve">TNFPS net debt to revenue ratios, 2014-15 to </w:t>
      </w:r>
      <w:r w:rsidR="00F34590">
        <w:t>2029–30</w:t>
      </w:r>
    </w:p>
    <w:p w14:paraId="23167021" w14:textId="77777777" w:rsidR="000A62ED" w:rsidRDefault="000A62ED">
      <w:pPr>
        <w:pStyle w:val="FigureTableSubheading"/>
        <w:keepLines/>
      </w:pPr>
      <w:r w:rsidRPr="00EA0349">
        <w:rPr>
          <w:noProof/>
        </w:rPr>
        <w:drawing>
          <wp:inline distT="0" distB="0" distL="0" distR="0" wp14:anchorId="1696FF54" wp14:editId="63B1DBAA">
            <wp:extent cx="6120079" cy="5013789"/>
            <wp:effectExtent l="0" t="0" r="0" b="0"/>
            <wp:docPr id="526106811" name="Picture 4" descr="Figure 3.7 – This figure has eight column charts, one for each state, which shows how net debt as a percentage of revenue has changed from 2014-15 to 2026-27, including forecasts from 2027-28 to 2029-30. On each column chart, there is a line showing the average growth for that state, with that state’s compound annual growth rate from 2014-15 to 2029-30 annotated.&#10;The results show that net debt to revenue is increasing for all states except Western Australia. New South Wales has a compound annual growth rate of 7% from 2014-15 to 2029-30, for Victoria it is 7%, for Queensland it is 4%, for Western Australia it is negative 2%, for South Australia it is 5%, for Tasmania it is 11%, for the Australian Capital Territory it is 8%, and for the Northern Territory it is 6%.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106811" name="Picture 4" descr="Figure 3.7 – This figure has eight column charts, one for each state, which shows how net debt as a percentage of revenue has changed from 2014-15 to 2026-27, including forecasts from 2027-28 to 2029-30. On each column chart, there is a line showing the average growth for that state, with that state’s compound annual growth rate from 2014-15 to 2029-30 annotated.&#10;The results show that net debt to revenue is increasing for all states except Western Australia. New South Wales has a compound annual growth rate of 7% from 2014-15 to 2029-30, for Victoria it is 7%, for Queensland it is 4%, for Western Australia it is negative 2%, for South Australia it is 5%, for Tasmania it is 11%, for the Australian Capital Territory it is 8%, and for the Northern Territory it is 6%. &#1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120079" cy="5013789"/>
                    </a:xfrm>
                    <a:prstGeom prst="rect">
                      <a:avLst/>
                    </a:prstGeom>
                    <a:noFill/>
                    <a:ln>
                      <a:noFill/>
                    </a:ln>
                  </pic:spPr>
                </pic:pic>
              </a:graphicData>
            </a:graphic>
          </wp:inline>
        </w:drawing>
      </w:r>
    </w:p>
    <w:p w14:paraId="4EEB96BC" w14:textId="77777777" w:rsidR="00FE0C30" w:rsidRDefault="000A62ED" w:rsidP="00FE0C30">
      <w:pPr>
        <w:pStyle w:val="Note"/>
      </w:pPr>
      <w:r>
        <w:t>The figure uses the most recent ten years of</w:t>
      </w:r>
      <w:r w:rsidRPr="00CD6C41">
        <w:t xml:space="preserve"> </w:t>
      </w:r>
      <w:r>
        <w:t>GFS</w:t>
      </w:r>
      <w:r w:rsidRPr="00CD6C41">
        <w:t xml:space="preserve"> observations </w:t>
      </w:r>
      <w:r>
        <w:t>(</w:t>
      </w:r>
      <w:r w:rsidRPr="00CD6C41">
        <w:t>2014–15 to 2024–25</w:t>
      </w:r>
      <w:r>
        <w:t xml:space="preserve">, constant prices </w:t>
      </w:r>
      <w:r w:rsidR="003B5DC0">
        <w:t xml:space="preserve">2024–25 </w:t>
      </w:r>
      <w:r>
        <w:t xml:space="preserve">basis), state budget records for </w:t>
      </w:r>
      <w:r w:rsidR="003B5DC0">
        <w:t>2025–26</w:t>
      </w:r>
      <w:r>
        <w:t xml:space="preserve"> (revised) and </w:t>
      </w:r>
      <w:r w:rsidR="00F34590">
        <w:t>2026–27</w:t>
      </w:r>
      <w:r>
        <w:t xml:space="preserve"> (budget) and state budget forward estimates from 2027</w:t>
      </w:r>
      <w:r w:rsidR="000B5681">
        <w:rPr>
          <w:spacing w:val="-2"/>
        </w:rPr>
        <w:t>–</w:t>
      </w:r>
      <w:r>
        <w:t xml:space="preserve">28 to </w:t>
      </w:r>
      <w:r w:rsidR="00F34590">
        <w:t>2029–30</w:t>
      </w:r>
      <w:r w:rsidRPr="00CD6C41">
        <w:t xml:space="preserve">. </w:t>
      </w:r>
      <w:r>
        <w:t xml:space="preserve">For the Australian Capital Territory, net debt as recorded in the GFS does not align with the net debt reported in Australian Capital Territory budget or financial statements. Therefore, data from the Australian Capital Territory’s </w:t>
      </w:r>
      <w:r w:rsidRPr="00F96E74">
        <w:t xml:space="preserve">Consolidated Annual Financial Statements </w:t>
      </w:r>
      <w:r>
        <w:t>have been used for 2014</w:t>
      </w:r>
      <w:r w:rsidR="000B5681">
        <w:rPr>
          <w:spacing w:val="-2"/>
        </w:rPr>
        <w:t>–</w:t>
      </w:r>
      <w:r>
        <w:t xml:space="preserve">15 to </w:t>
      </w:r>
      <w:r w:rsidR="003B5DC0">
        <w:t xml:space="preserve">2024–25 </w:t>
      </w:r>
      <w:r>
        <w:t>(inclusive) instead of GFS data, the figure for the Australian Capital Territory should be interpreted with caution.</w:t>
      </w:r>
    </w:p>
    <w:p w14:paraId="2ED86D71" w14:textId="27785898" w:rsidR="000A62ED" w:rsidRDefault="000A62ED" w:rsidP="00FE0C30">
      <w:pPr>
        <w:pStyle w:val="Source"/>
        <w:spacing w:after="360"/>
      </w:pPr>
      <w:r w:rsidRPr="000851F0">
        <w:t>Source</w:t>
      </w:r>
      <w:r w:rsidRPr="0042084B">
        <w:t xml:space="preserve">: PC </w:t>
      </w:r>
      <w:r>
        <w:t>estimates</w:t>
      </w:r>
      <w:r w:rsidRPr="000B5681">
        <w:t xml:space="preserve"> using: ABS (2025a, unpublished data), ACT</w:t>
      </w:r>
      <w:r>
        <w:t xml:space="preserve"> Government </w:t>
      </w:r>
      <w:r w:rsidRPr="00E0090E">
        <w:rPr>
          <w:rFonts w:cs="Open Sans"/>
        </w:rPr>
        <w:t>(2016, 2017, 2019, 2021, 2023, 2025, 2026a)</w:t>
      </w:r>
      <w:r>
        <w:t>,</w:t>
      </w:r>
      <w:r w:rsidRPr="00714118">
        <w:t xml:space="preserve"> </w:t>
      </w:r>
      <w:r>
        <w:t xml:space="preserve">NSW Government </w:t>
      </w:r>
      <w:r w:rsidRPr="00430D08">
        <w:rPr>
          <w:rFonts w:cs="Open Sans"/>
        </w:rPr>
        <w:t>(2026b, pp. 105–107)</w:t>
      </w:r>
      <w:r>
        <w:t>,</w:t>
      </w:r>
      <w:r w:rsidRPr="00714118">
        <w:t xml:space="preserve"> </w:t>
      </w:r>
      <w:r>
        <w:t xml:space="preserve">NT Government </w:t>
      </w:r>
      <w:r w:rsidRPr="00D87FC5">
        <w:rPr>
          <w:rFonts w:cs="Open Sans"/>
        </w:rPr>
        <w:t>(2026a, pp. 96–97)</w:t>
      </w:r>
      <w:r>
        <w:t xml:space="preserve">, Queensland Government </w:t>
      </w:r>
      <w:r w:rsidRPr="00AD2A6A">
        <w:rPr>
          <w:rFonts w:cs="Open Sans"/>
        </w:rPr>
        <w:t>(2026, pp. 105–106)</w:t>
      </w:r>
      <w:r>
        <w:t>,</w:t>
      </w:r>
      <w:r w:rsidRPr="00714118">
        <w:t xml:space="preserve"> </w:t>
      </w:r>
      <w:r>
        <w:t xml:space="preserve">SA Government </w:t>
      </w:r>
      <w:r w:rsidRPr="004D176E">
        <w:rPr>
          <w:rFonts w:cs="Open Sans"/>
        </w:rPr>
        <w:t>(2026, p. 156,158)</w:t>
      </w:r>
      <w:r>
        <w:t>,</w:t>
      </w:r>
      <w:r w:rsidRPr="00714118">
        <w:t xml:space="preserve"> </w:t>
      </w:r>
      <w:r>
        <w:t xml:space="preserve">Tasmanian Government </w:t>
      </w:r>
      <w:r w:rsidRPr="00350239">
        <w:rPr>
          <w:rFonts w:cs="Open Sans"/>
        </w:rPr>
        <w:t>(2026, pp. 227, 230)</w:t>
      </w:r>
      <w:r w:rsidRPr="00714118">
        <w:t xml:space="preserve"> </w:t>
      </w:r>
      <w:r>
        <w:t xml:space="preserve">Victorian Government </w:t>
      </w:r>
      <w:r w:rsidRPr="002738FE">
        <w:rPr>
          <w:rFonts w:cs="Open Sans"/>
        </w:rPr>
        <w:t>(2026, pp. 67–69)</w:t>
      </w:r>
      <w:r>
        <w:t xml:space="preserve">, WA Government </w:t>
      </w:r>
      <w:r w:rsidRPr="00E61D61">
        <w:rPr>
          <w:rFonts w:cs="Open Sans"/>
        </w:rPr>
        <w:t>(2026, pp. 253–254)</w:t>
      </w:r>
      <w:r>
        <w:t>.</w:t>
      </w:r>
      <w:r w:rsidDel="00714118">
        <w:t xml:space="preserve"> </w:t>
      </w:r>
    </w:p>
    <w:p w14:paraId="41C955AC" w14:textId="77777777" w:rsidR="00AA6E03" w:rsidRDefault="00AA6E03" w:rsidP="00AA6E03">
      <w:pPr>
        <w:pStyle w:val="BodyText"/>
      </w:pPr>
      <w:r w:rsidRPr="008237EC">
        <w:t>Health is the largest expense pressure on state budgets and has increased as a proportion of overall state expenditure from 2</w:t>
      </w:r>
      <w:r w:rsidRPr="00EC2451">
        <w:t>2</w:t>
      </w:r>
      <w:r w:rsidRPr="008237EC">
        <w:t>% in 2000-01 to 2</w:t>
      </w:r>
      <w:r w:rsidRPr="00EC2451">
        <w:t>8</w:t>
      </w:r>
      <w:r w:rsidRPr="008237EC">
        <w:t xml:space="preserve">% in </w:t>
      </w:r>
      <w:r>
        <w:t xml:space="preserve">2024–25 </w:t>
      </w:r>
      <w:r w:rsidRPr="00546FEC">
        <w:rPr>
          <w:rFonts w:cs="Open Sans"/>
        </w:rPr>
        <w:t>(PC estimates using ABS 2025a, 2026a)</w:t>
      </w:r>
      <w:r w:rsidRPr="005C39D6">
        <w:t>.</w:t>
      </w:r>
      <w:r w:rsidRPr="0080166E">
        <w:t xml:space="preserve"> </w:t>
      </w:r>
      <w:r w:rsidRPr="000851F0">
        <w:t>Growth in health expenses is – in part – driven by population ageing, which increases demand for urgent,</w:t>
      </w:r>
      <w:r>
        <w:t xml:space="preserve"> complex and costly health services. While this is one factor, state governments have also faced broader cost increases and higher community expectations about the standard of health care provided </w:t>
      </w:r>
      <w:r w:rsidRPr="00546FEC">
        <w:rPr>
          <w:rFonts w:cs="Open Sans"/>
        </w:rPr>
        <w:t xml:space="preserve">(Government of Western Australia, sub. 37, p. 110; NSW Government 2021a, pp. 74, 111; Queensland </w:t>
      </w:r>
      <w:r w:rsidRPr="00546FEC">
        <w:rPr>
          <w:rFonts w:cs="Open Sans"/>
        </w:rPr>
        <w:lastRenderedPageBreak/>
        <w:t>Government, sub. 62, p. 28; Smith 2020, p. 32)</w:t>
      </w:r>
      <w:r>
        <w:t xml:space="preserve">. </w:t>
      </w:r>
      <w:r w:rsidRPr="00E031AD">
        <w:t>Health costs are not felt equally across states, and are particularly significant in South Australia and Tasmania – the states most affected by population ageing – where they account for 3</w:t>
      </w:r>
      <w:r w:rsidRPr="00EC2451">
        <w:t>2</w:t>
      </w:r>
      <w:r w:rsidRPr="00E031AD">
        <w:t>% and 3</w:t>
      </w:r>
      <w:r w:rsidRPr="00EC2451">
        <w:t>5</w:t>
      </w:r>
      <w:r w:rsidRPr="00E031AD">
        <w:t xml:space="preserve">% of expenditure respectively </w:t>
      </w:r>
      <w:r w:rsidRPr="00546FEC">
        <w:rPr>
          <w:rFonts w:cs="Open Sans"/>
        </w:rPr>
        <w:t>(PC estimates using ABS 2025a, unpublished data; CGC 2026c)</w:t>
      </w:r>
      <w:r w:rsidRPr="00EC2451">
        <w:t>.</w:t>
      </w:r>
      <w:r>
        <w:t xml:space="preserve"> Population ageing is one of the key forces shaping the Australian economy, which will continue to drive health-related expenditure pressures for all Australian governments in the medium to long term </w:t>
      </w:r>
      <w:r w:rsidRPr="00BC131A">
        <w:rPr>
          <w:rFonts w:cs="Open Sans"/>
        </w:rPr>
        <w:t>(Commonwealth of Australia 2023, p. 9)</w:t>
      </w:r>
      <w:r>
        <w:t xml:space="preserve">. </w:t>
      </w:r>
    </w:p>
    <w:p w14:paraId="63E87363" w14:textId="77777777" w:rsidR="00AA6E03" w:rsidRDefault="00AA6E03" w:rsidP="00AA6E03">
      <w:pPr>
        <w:pStyle w:val="BodyText"/>
      </w:pPr>
      <w:r>
        <w:t xml:space="preserve">Increased capital investment is also a major and growing source of state government spending, but state spending profiles have differed over time. New South Wales and Victoria – which dominated infrastructure spending from the mid-2010s through the early 2020s – are expecting a plateau and a decline in spend over the forward estimates period </w:t>
      </w:r>
      <w:r w:rsidRPr="00430D08">
        <w:rPr>
          <w:rFonts w:cs="Open Sans"/>
        </w:rPr>
        <w:t>(Government of Victoria 2026; NSW Government 2026a, p. 19)</w:t>
      </w:r>
      <w:r>
        <w:t>. However,</w:t>
      </w:r>
      <w:r w:rsidDel="004107E3">
        <w:t xml:space="preserve"> </w:t>
      </w:r>
      <w:r>
        <w:t xml:space="preserve">other states – such as Queensland and South Australia – are planning expansions in their capital investment programs </w:t>
      </w:r>
      <w:r w:rsidRPr="005A4024">
        <w:rPr>
          <w:rFonts w:cs="Open Sans"/>
        </w:rPr>
        <w:t>(Crisafulli et al. 2027; Infrastructure Partnerships Australia 2025)</w:t>
      </w:r>
      <w:r>
        <w:t xml:space="preserve">. </w:t>
      </w:r>
    </w:p>
    <w:p w14:paraId="679F76E0" w14:textId="77777777" w:rsidR="00AA6E03" w:rsidRDefault="00AA6E03" w:rsidP="00AA6E03">
      <w:pPr>
        <w:pStyle w:val="BodyText"/>
      </w:pPr>
      <w:r>
        <w:t xml:space="preserve">Interest expenses are growing rapidly, reflecting increased borrowing and higher interest rates. Most state debt is </w:t>
      </w:r>
      <w:r w:rsidRPr="007161C5">
        <w:t xml:space="preserve">issued as fixed-rate semi-government bonds </w:t>
      </w:r>
      <w:r>
        <w:t>(semis)</w:t>
      </w:r>
      <w:r w:rsidRPr="007161C5">
        <w:t xml:space="preserve"> with maturities of </w:t>
      </w:r>
      <w:r>
        <w:t>5</w:t>
      </w:r>
      <w:r w:rsidRPr="007161C5">
        <w:t xml:space="preserve"> years or more, </w:t>
      </w:r>
      <w:r>
        <w:t>meaning</w:t>
      </w:r>
      <w:r w:rsidRPr="007161C5">
        <w:t xml:space="preserve"> higher </w:t>
      </w:r>
      <w:r>
        <w:t xml:space="preserve">interest </w:t>
      </w:r>
      <w:r w:rsidRPr="007161C5">
        <w:t xml:space="preserve">rates flow through </w:t>
      </w:r>
      <w:r>
        <w:t>gradually</w:t>
      </w:r>
      <w:r w:rsidRPr="007161C5">
        <w:t xml:space="preserve"> as older bonds mature and are refinanced</w:t>
      </w:r>
      <w:r>
        <w:t>. States issued</w:t>
      </w:r>
      <w:r w:rsidDel="0055546D">
        <w:t xml:space="preserve"> </w:t>
      </w:r>
      <w:r>
        <w:t xml:space="preserve">significantly more semis during the COVID-19 pandemic, when interest rates in general were historically low. Prevailing interest rates have since grown significantly in response to market conditions. States’ interest rates are also influenced by their credit quality, which has fallen post-pandemic to its lowest point since 2000 </w:t>
      </w:r>
      <w:r w:rsidRPr="00EE6CBD">
        <w:rPr>
          <w:rFonts w:cs="Open Sans"/>
        </w:rPr>
        <w:t>(S&amp;P Global 2026)</w:t>
      </w:r>
      <w:r>
        <w:t xml:space="preserve">. Some states have already refinanced debt at </w:t>
      </w:r>
      <w:r w:rsidRPr="00511E37">
        <w:t xml:space="preserve">higher </w:t>
      </w:r>
      <w:r w:rsidRPr="00511E37" w:rsidDel="005962BD">
        <w:t>interest rates</w:t>
      </w:r>
      <w:r w:rsidRPr="00511E37">
        <w:t xml:space="preserve"> and more will need to be refinanced in the future. Around one third of state government bonds (at face value) on issue will mature between 2026–27 and 2029–30</w:t>
      </w:r>
      <w:r w:rsidRPr="00CF710F">
        <w:t xml:space="preserve"> </w:t>
      </w:r>
      <w:r w:rsidRPr="00D87FC5">
        <w:rPr>
          <w:rFonts w:cs="Open Sans"/>
        </w:rPr>
        <w:t>(PC estimates using ACT Government 2026b; NT Government 2026b; QTC 2026; SAFA 2026; TASCORP 2026; TCorp 2026; TCV 2026; WATC 2026)</w:t>
      </w:r>
      <w:r w:rsidRPr="00CF710F">
        <w:t xml:space="preserve">. </w:t>
      </w:r>
      <w:r w:rsidRPr="00F6069A">
        <w:t>G</w:t>
      </w:r>
      <w:r w:rsidRPr="00511E37">
        <w:t xml:space="preserve">iven states’ debt positions these will likely need to be refinanced at </w:t>
      </w:r>
      <w:r w:rsidRPr="00511E37" w:rsidDel="00824796">
        <w:t>prevailing</w:t>
      </w:r>
      <w:r w:rsidRPr="00511E37">
        <w:t xml:space="preserve"> market rates, putting further pressure on state interest expenses</w:t>
      </w:r>
      <w:r w:rsidRPr="00CF710F">
        <w:t>.</w:t>
      </w:r>
    </w:p>
    <w:p w14:paraId="681C1A3B" w14:textId="77777777" w:rsidR="000A62ED" w:rsidRDefault="000A62ED">
      <w:pPr>
        <w:pStyle w:val="Heading3"/>
      </w:pPr>
      <w:r>
        <w:t>Some states are more vulnerable to changing GST distributions</w:t>
      </w:r>
    </w:p>
    <w:p w14:paraId="1927424C" w14:textId="394D5CB1" w:rsidR="000A62ED" w:rsidRPr="000851F0" w:rsidRDefault="000A62ED">
      <w:pPr>
        <w:pStyle w:val="BodyText"/>
      </w:pPr>
      <w:r>
        <w:t xml:space="preserve">States’ ability to generate own-source revenue (and consequently, their dependence on GST revenue) </w:t>
      </w:r>
      <w:r w:rsidRPr="000851F0">
        <w:t>varies.</w:t>
      </w:r>
      <w:r w:rsidRPr="00201B0D">
        <w:rPr>
          <w:rStyle w:val="FootnoteReference"/>
        </w:rPr>
        <w:footnoteReference w:id="41"/>
      </w:r>
      <w:r w:rsidRPr="000851F0">
        <w:t xml:space="preserve"> A greater ability to generate own-source revenue can increase states’ fiscal flexibility and capacity to respond to shocks such as a reduction in GST</w:t>
      </w:r>
      <w:r>
        <w:t xml:space="preserve"> revenue</w:t>
      </w:r>
      <w:r w:rsidRPr="000851F0">
        <w:t xml:space="preserve">. </w:t>
      </w:r>
      <w:r w:rsidRPr="009B0C9D">
        <w:t xml:space="preserve">Mining revenue can be a driver for states having an above-average capacity to raise own-source revenues, as is the case for Western Australia and to a lesser extent Queensland </w:t>
      </w:r>
      <w:r w:rsidRPr="00DB653C">
        <w:rPr>
          <w:rFonts w:cs="Open Sans"/>
        </w:rPr>
        <w:t>(CGC 2026a)</w:t>
      </w:r>
      <w:r w:rsidRPr="009B0C9D">
        <w:t>.</w:t>
      </w:r>
      <w:r w:rsidRPr="000851F0">
        <w:t xml:space="preserve"> </w:t>
      </w:r>
    </w:p>
    <w:p w14:paraId="12271090" w14:textId="68A8811B" w:rsidR="000A62ED" w:rsidRDefault="000A62ED">
      <w:pPr>
        <w:pStyle w:val="BodyText"/>
      </w:pPr>
      <w:r w:rsidRPr="00B53B01">
        <w:t xml:space="preserve">By contrast, the Northern Territory and Tasmania rely more heavily on Commonwealth payments, </w:t>
      </w:r>
      <w:r w:rsidRPr="00AF2CAE">
        <w:t xml:space="preserve">with </w:t>
      </w:r>
      <w:r w:rsidR="00005755">
        <w:t>75%</w:t>
      </w:r>
      <w:r w:rsidRPr="00AF2CAE">
        <w:t xml:space="preserve"> and </w:t>
      </w:r>
      <w:r w:rsidR="00005755" w:rsidRPr="00AF2CAE">
        <w:t>63</w:t>
      </w:r>
      <w:r w:rsidRPr="00AF2CAE">
        <w:t xml:space="preserve">% of total revenue respectively coming from this source in </w:t>
      </w:r>
      <w:r w:rsidR="003B5DC0">
        <w:t xml:space="preserve">2024–25 </w:t>
      </w:r>
      <w:r w:rsidRPr="000F1CB5">
        <w:rPr>
          <w:rFonts w:cs="Open Sans"/>
        </w:rPr>
        <w:t>(PC estimates using ABS 2025a, unpublished data)</w:t>
      </w:r>
      <w:r>
        <w:t xml:space="preserve">. </w:t>
      </w:r>
      <w:r w:rsidRPr="00B53B01">
        <w:t>Higher relia</w:t>
      </w:r>
      <w:r w:rsidRPr="000851F0">
        <w:t xml:space="preserve">nce on Australian Government transfers makes the </w:t>
      </w:r>
      <w:r>
        <w:t>Northern Territory</w:t>
      </w:r>
      <w:r w:rsidRPr="000851F0">
        <w:t xml:space="preserve"> and Tasmania’s fiscal positions more vulnerable to increased spending pressures and decreases in </w:t>
      </w:r>
      <w:r>
        <w:t>Commonwealth</w:t>
      </w:r>
      <w:r w:rsidRPr="000851F0">
        <w:t xml:space="preserve"> payments, such as GST</w:t>
      </w:r>
      <w:r>
        <w:t xml:space="preserve"> payments</w:t>
      </w:r>
      <w:r w:rsidRPr="000851F0">
        <w:t>, as they have less capacity to increase own-source revenues to offset these in response.</w:t>
      </w:r>
    </w:p>
    <w:p w14:paraId="7FB32B91" w14:textId="77777777" w:rsidR="000A62ED" w:rsidRDefault="000A62ED">
      <w:pPr>
        <w:pStyle w:val="Heading3-noTOC"/>
      </w:pPr>
      <w:r>
        <w:t xml:space="preserve">The </w:t>
      </w:r>
      <w:r w:rsidRPr="00C32351">
        <w:t>NoWO</w:t>
      </w:r>
      <w:r>
        <w:t xml:space="preserve"> guarantee</w:t>
      </w:r>
      <w:r w:rsidRPr="00C32351">
        <w:t xml:space="preserve"> lapsing could worsen fiscal sustainability risks</w:t>
      </w:r>
    </w:p>
    <w:p w14:paraId="179B4FEA" w14:textId="32C57B7C" w:rsidR="000A62ED" w:rsidRPr="004378A2" w:rsidRDefault="000A62ED">
      <w:pPr>
        <w:rPr>
          <w:spacing w:val="-2"/>
        </w:rPr>
      </w:pPr>
      <w:r w:rsidRPr="004378A2">
        <w:rPr>
          <w:spacing w:val="-2"/>
        </w:rPr>
        <w:t xml:space="preserve">NoWO payments are material for several states. In </w:t>
      </w:r>
      <w:r w:rsidR="00246A5F" w:rsidRPr="004378A2">
        <w:rPr>
          <w:spacing w:val="-2"/>
        </w:rPr>
        <w:t>2024–25</w:t>
      </w:r>
      <w:r w:rsidRPr="004378A2">
        <w:rPr>
          <w:spacing w:val="-2"/>
        </w:rPr>
        <w:t xml:space="preserve">, they were equivalent to 3% of own-source revenue on average, for states other than Western Australia. While a small proportion in an absolute </w:t>
      </w:r>
      <w:r w:rsidRPr="004378A2">
        <w:rPr>
          <w:spacing w:val="-2"/>
        </w:rPr>
        <w:lastRenderedPageBreak/>
        <w:t xml:space="preserve">sense, it is significant when contextualised against states’ other own-source revenues. For example, in </w:t>
      </w:r>
      <w:r w:rsidR="00246A5F" w:rsidRPr="004378A2">
        <w:rPr>
          <w:spacing w:val="-2"/>
        </w:rPr>
        <w:t>2024–25</w:t>
      </w:r>
      <w:r w:rsidRPr="004378A2">
        <w:rPr>
          <w:spacing w:val="-2"/>
        </w:rPr>
        <w:t xml:space="preserve">, NoWO payments were equivalent to 70% of motor vehicle taxes on average, for states other than Western Australia </w:t>
      </w:r>
      <w:r w:rsidRPr="004378A2">
        <w:rPr>
          <w:rFonts w:cs="Open Sans"/>
          <w:spacing w:val="-2"/>
        </w:rPr>
        <w:t>(PC estimates using ABS 2025a, unpublished data)</w:t>
      </w:r>
      <w:r w:rsidRPr="004378A2">
        <w:rPr>
          <w:spacing w:val="-2"/>
        </w:rPr>
        <w:t>. If the NoWO guarantee were to lapse, some states indicated that significant increases in own-source revenue would be necessary to offset the fiscal impacts (NT Department of Treasury and Finance, sub. 39, p. 9). The size of NoWO payments are also significant when measured in terms of the services they could fund (NSW Government, sub. 61, p. 35; Queensland Government, sub. 62, p. 14; Government of SA, sub. 13, p. 9). For example, the New South Wales Government indicated that the cessation of the NoWO guarantee is equivalent to a reduction in around 13,000 nurses in the public hospital system and a reduction of over 14,000 New South Wales public school teachers (NSW Government, sub. 61, p. 35). The cost of the termination of the NoWO guarantee could also compound over time through higher debt and interest expenses.</w:t>
      </w:r>
    </w:p>
    <w:p w14:paraId="3C558FC3" w14:textId="77777777" w:rsidR="000A62ED" w:rsidRDefault="000A62ED">
      <w:pPr>
        <w:pStyle w:val="BodyText"/>
      </w:pPr>
      <w:r>
        <w:t>When assessing the fiscal sustainability implications of alternative GST distribution systems for states, the PC</w:t>
      </w:r>
      <w:r w:rsidDel="001C4C86">
        <w:t xml:space="preserve"> </w:t>
      </w:r>
      <w:r>
        <w:t xml:space="preserve">has used the </w:t>
      </w:r>
      <w:r>
        <w:rPr>
          <w:b/>
          <w:bCs/>
        </w:rPr>
        <w:t>ratio</w:t>
      </w:r>
      <w:r w:rsidRPr="032DE7B2">
        <w:rPr>
          <w:b/>
          <w:bCs/>
        </w:rPr>
        <w:t xml:space="preserve"> of interest expenses to revenue</w:t>
      </w:r>
      <w:r>
        <w:t xml:space="preserve"> for the total non-financial public sector (TNFPS).</w:t>
      </w:r>
      <w:r w:rsidRPr="00201B0D">
        <w:rPr>
          <w:rStyle w:val="FootnoteReference"/>
        </w:rPr>
        <w:footnoteReference w:id="42"/>
      </w:r>
      <w:r>
        <w:t xml:space="preserve"> This measure illustrates how much of a government’s revenue is absorbed by debt-servicing costs, and therefore how much fiscal pressure debt places on the overall balance sheet, competing with other spending priorities. </w:t>
      </w:r>
    </w:p>
    <w:p w14:paraId="3978F7D1" w14:textId="4DE6075D" w:rsidR="000A62ED" w:rsidRPr="001C638C" w:rsidRDefault="000A62ED">
      <w:pPr>
        <w:pStyle w:val="BodyText"/>
      </w:pPr>
      <w:r>
        <w:t xml:space="preserve">To facilitate comparison of GST distribution systems, the PC converts states’ interest expense to revenue ratios into an aggregate ‘fiscal pressure’ score </w:t>
      </w:r>
      <w:r w:rsidRPr="00A61124">
        <w:t>(</w:t>
      </w:r>
      <w:r w:rsidR="00A61124" w:rsidRPr="00A61124">
        <w:t>table 3.</w:t>
      </w:r>
      <w:r w:rsidR="00D023DF">
        <w:t>2</w:t>
      </w:r>
      <w:r w:rsidRPr="00A61124">
        <w:t>).</w:t>
      </w:r>
      <w:r>
        <w:t xml:space="preserve"> The PC uses</w:t>
      </w:r>
      <w:r w:rsidRPr="00011348">
        <w:t xml:space="preserve"> Moody’s </w:t>
      </w:r>
      <w:r>
        <w:t xml:space="preserve">Baseline Credit Analysis </w:t>
      </w:r>
      <w:r w:rsidRPr="00011348">
        <w:t xml:space="preserve">interest-to-revenue thresholds </w:t>
      </w:r>
      <w:r>
        <w:t xml:space="preserve">to </w:t>
      </w:r>
      <w:r w:rsidRPr="00011348">
        <w:t>assess when debt-servicing costs may start to constrain fiscal sustainability.</w:t>
      </w:r>
      <w:r w:rsidRPr="006C7411">
        <w:rPr>
          <w:rStyle w:val="FootnoteReference"/>
        </w:rPr>
        <w:t xml:space="preserve"> </w:t>
      </w:r>
      <w:r w:rsidRPr="00201B0D">
        <w:rPr>
          <w:rStyle w:val="FootnoteReference"/>
        </w:rPr>
        <w:footnoteReference w:id="43"/>
      </w:r>
      <w:r>
        <w:t xml:space="preserve"> </w:t>
      </w:r>
      <w:r w:rsidRPr="00011348">
        <w:t xml:space="preserve">This focus is consistent with Tasmania’s Fiscal Sustainability Report, which states that </w:t>
      </w:r>
      <w:r>
        <w:t>‘</w:t>
      </w:r>
      <w:r w:rsidRPr="002B3209">
        <w:rPr>
          <w:i/>
        </w:rPr>
        <w:t xml:space="preserve">a ratio above 10 per cent, while still incurring budget deficits, would indicate the State’s finances are becoming </w:t>
      </w:r>
      <w:r w:rsidRPr="002B3209">
        <w:rPr>
          <w:i/>
          <w:iCs/>
        </w:rPr>
        <w:t>unsustainable</w:t>
      </w:r>
      <w:r>
        <w:rPr>
          <w:i/>
          <w:iCs/>
        </w:rPr>
        <w:t>’</w:t>
      </w:r>
      <w:r>
        <w:t xml:space="preserve"> </w:t>
      </w:r>
      <w:r w:rsidRPr="00EF119B">
        <w:rPr>
          <w:rFonts w:cs="Open Sans"/>
        </w:rPr>
        <w:t>(Government of Tasmania 2026, p. 13)</w:t>
      </w:r>
      <w:r>
        <w:t xml:space="preserve">. </w:t>
      </w:r>
      <w:r w:rsidRPr="001C638C">
        <w:t>States with relatively low interest burdens receive a score of zero, while higher interest burdens receive progressively larger scores, reflecting growing fiscal pressure.</w:t>
      </w:r>
    </w:p>
    <w:p w14:paraId="70C7EDCE" w14:textId="0826731F" w:rsidR="000A62ED" w:rsidRDefault="000A62ED">
      <w:pPr>
        <w:pStyle w:val="FigureTableHeading"/>
      </w:pPr>
      <w:r w:rsidRPr="000F42BB">
        <w:t xml:space="preserve">Table </w:t>
      </w:r>
      <w:fldSimple w:instr=" STYLEREF 1 \s ">
        <w:r w:rsidR="009C08C4">
          <w:rPr>
            <w:noProof/>
          </w:rPr>
          <w:t>3</w:t>
        </w:r>
      </w:fldSimple>
      <w:r w:rsidRPr="000F42BB">
        <w:t>.</w:t>
      </w:r>
      <w:fldSimple w:instr=" SEQ Table \* ARABIC \s 1 ">
        <w:r w:rsidR="009C08C4">
          <w:rPr>
            <w:noProof/>
          </w:rPr>
          <w:t>2</w:t>
        </w:r>
      </w:fldSimple>
      <w:r w:rsidRPr="00986DAD">
        <w:fldChar w:fldCharType="begin"/>
      </w:r>
      <w:r w:rsidRPr="00986DAD">
        <w:fldChar w:fldCharType="separate"/>
      </w:r>
      <w:r w:rsidRPr="00986DAD">
        <w:rPr>
          <w:noProof/>
        </w:rPr>
        <w:t>3</w:t>
      </w:r>
      <w:r w:rsidRPr="00986DAD">
        <w:rPr>
          <w:noProof/>
        </w:rPr>
        <w:fldChar w:fldCharType="end"/>
      </w:r>
      <w:r w:rsidRPr="00986DAD" w:rsidDel="002F5AAE">
        <w:t xml:space="preserve"> </w:t>
      </w:r>
      <w:r w:rsidRPr="00E605CC">
        <w:t>– Interest to revenue thresholds and weightings</w:t>
      </w:r>
    </w:p>
    <w:tbl>
      <w:tblPr>
        <w:tblW w:w="5000" w:type="pct"/>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2121"/>
        <w:gridCol w:w="939"/>
        <w:gridCol w:w="939"/>
        <w:gridCol w:w="960"/>
        <w:gridCol w:w="995"/>
        <w:gridCol w:w="864"/>
        <w:gridCol w:w="979"/>
        <w:gridCol w:w="993"/>
        <w:gridCol w:w="848"/>
      </w:tblGrid>
      <w:tr w:rsidR="000A62ED" w:rsidRPr="00BB5097" w14:paraId="5A112C43" w14:textId="77777777" w:rsidTr="00732045">
        <w:trPr>
          <w:tblHeader/>
        </w:trPr>
        <w:tc>
          <w:tcPr>
            <w:tcW w:w="1100" w:type="pct"/>
            <w:tcBorders>
              <w:bottom w:val="single" w:sz="4" w:space="0" w:color="B3B3B3"/>
              <w:right w:val="single" w:sz="4" w:space="0" w:color="BFBFBF" w:themeColor="background1" w:themeShade="BF"/>
            </w:tcBorders>
            <w:shd w:val="clear" w:color="000000" w:fill="auto"/>
            <w:vAlign w:val="bottom"/>
          </w:tcPr>
          <w:p w14:paraId="40FAF2B8" w14:textId="77777777" w:rsidR="000A62ED" w:rsidRPr="007A09A2" w:rsidRDefault="000A62ED">
            <w:pPr>
              <w:pStyle w:val="TableHeading"/>
              <w:spacing w:before="45" w:after="45"/>
              <w:rPr>
                <w:rFonts w:cs="Open Sans"/>
                <w:color w:val="1D4374"/>
              </w:rPr>
            </w:pPr>
            <w:r>
              <w:rPr>
                <w:rFonts w:cs="Open Sans"/>
                <w:color w:val="1D4374"/>
              </w:rPr>
              <w:t>Moody’s bands</w:t>
            </w:r>
          </w:p>
        </w:tc>
        <w:tc>
          <w:tcPr>
            <w:tcW w:w="487" w:type="pct"/>
            <w:tcBorders>
              <w:left w:val="single" w:sz="4" w:space="0" w:color="BFBFBF" w:themeColor="background1" w:themeShade="BF"/>
              <w:bottom w:val="single" w:sz="4" w:space="0" w:color="B3B3B3"/>
              <w:right w:val="single" w:sz="4" w:space="0" w:color="BFBFBF" w:themeColor="background1" w:themeShade="BF"/>
            </w:tcBorders>
            <w:shd w:val="clear" w:color="000000" w:fill="auto"/>
            <w:vAlign w:val="bottom"/>
          </w:tcPr>
          <w:p w14:paraId="763E527C" w14:textId="77777777" w:rsidR="000A62ED" w:rsidRPr="007A09A2" w:rsidRDefault="000A62ED">
            <w:pPr>
              <w:pStyle w:val="TableBody"/>
              <w:spacing w:before="45" w:after="45"/>
              <w:ind w:right="108"/>
              <w:jc w:val="center"/>
              <w:rPr>
                <w:rFonts w:cs="Open Sans"/>
                <w:b/>
                <w:color w:val="1D4374"/>
              </w:rPr>
            </w:pPr>
            <w:r w:rsidRPr="007A09A2">
              <w:rPr>
                <w:rFonts w:cs="Open Sans"/>
                <w:b/>
                <w:color w:val="1D4374"/>
              </w:rPr>
              <w:t>aaa</w:t>
            </w:r>
          </w:p>
        </w:tc>
        <w:tc>
          <w:tcPr>
            <w:tcW w:w="487" w:type="pct"/>
            <w:tcBorders>
              <w:left w:val="single" w:sz="4" w:space="0" w:color="BFBFBF" w:themeColor="background1" w:themeShade="BF"/>
              <w:bottom w:val="single" w:sz="4" w:space="0" w:color="B3B3B3"/>
              <w:right w:val="single" w:sz="4" w:space="0" w:color="BFBFBF" w:themeColor="background1" w:themeShade="BF"/>
            </w:tcBorders>
            <w:shd w:val="clear" w:color="000000" w:fill="auto"/>
            <w:vAlign w:val="bottom"/>
          </w:tcPr>
          <w:p w14:paraId="4FEF507D" w14:textId="77777777" w:rsidR="000A62ED" w:rsidRPr="007A09A2" w:rsidRDefault="000A62ED">
            <w:pPr>
              <w:pStyle w:val="TableBody"/>
              <w:spacing w:before="45" w:after="45"/>
              <w:ind w:right="108"/>
              <w:jc w:val="center"/>
              <w:rPr>
                <w:rFonts w:cs="Open Sans"/>
                <w:b/>
                <w:color w:val="1D4374"/>
              </w:rPr>
            </w:pPr>
            <w:r w:rsidRPr="007A09A2">
              <w:rPr>
                <w:rFonts w:cs="Open Sans"/>
                <w:b/>
                <w:color w:val="1D4374"/>
              </w:rPr>
              <w:t>aa</w:t>
            </w:r>
          </w:p>
        </w:tc>
        <w:tc>
          <w:tcPr>
            <w:tcW w:w="498" w:type="pct"/>
            <w:tcBorders>
              <w:left w:val="single" w:sz="4" w:space="0" w:color="BFBFBF" w:themeColor="background1" w:themeShade="BF"/>
              <w:bottom w:val="single" w:sz="4" w:space="0" w:color="B3B3B3"/>
              <w:right w:val="single" w:sz="4" w:space="0" w:color="BFBFBF" w:themeColor="background1" w:themeShade="BF"/>
            </w:tcBorders>
            <w:shd w:val="clear" w:color="000000" w:fill="auto"/>
            <w:vAlign w:val="bottom"/>
          </w:tcPr>
          <w:p w14:paraId="2AEFA58D" w14:textId="77777777" w:rsidR="000A62ED" w:rsidRPr="007A09A2" w:rsidRDefault="000A62ED">
            <w:pPr>
              <w:pStyle w:val="TableBody"/>
              <w:spacing w:before="45" w:after="45"/>
              <w:ind w:right="108"/>
              <w:jc w:val="center"/>
              <w:rPr>
                <w:rFonts w:cs="Open Sans"/>
                <w:b/>
                <w:color w:val="1D4374"/>
              </w:rPr>
            </w:pPr>
            <w:r w:rsidRPr="007A09A2">
              <w:rPr>
                <w:rFonts w:cs="Open Sans"/>
                <w:b/>
                <w:color w:val="1D4374"/>
              </w:rPr>
              <w:t>a</w:t>
            </w:r>
          </w:p>
        </w:tc>
        <w:tc>
          <w:tcPr>
            <w:tcW w:w="516" w:type="pct"/>
            <w:tcBorders>
              <w:left w:val="single" w:sz="4" w:space="0" w:color="BFBFBF" w:themeColor="background1" w:themeShade="BF"/>
              <w:bottom w:val="single" w:sz="4" w:space="0" w:color="B3B3B3"/>
              <w:right w:val="single" w:sz="4" w:space="0" w:color="BFBFBF" w:themeColor="background1" w:themeShade="BF"/>
            </w:tcBorders>
            <w:shd w:val="clear" w:color="000000" w:fill="auto"/>
            <w:vAlign w:val="bottom"/>
          </w:tcPr>
          <w:p w14:paraId="46AED968" w14:textId="77777777" w:rsidR="000A62ED" w:rsidRPr="007A09A2" w:rsidRDefault="000A62ED">
            <w:pPr>
              <w:pStyle w:val="TableBody"/>
              <w:spacing w:before="45" w:after="45"/>
              <w:ind w:right="108"/>
              <w:jc w:val="center"/>
              <w:rPr>
                <w:rFonts w:cs="Open Sans"/>
                <w:b/>
                <w:color w:val="1D4374"/>
              </w:rPr>
            </w:pPr>
            <w:r w:rsidRPr="007A09A2">
              <w:rPr>
                <w:rFonts w:cs="Open Sans"/>
                <w:b/>
                <w:color w:val="1D4374"/>
              </w:rPr>
              <w:t>baa</w:t>
            </w:r>
          </w:p>
        </w:tc>
        <w:tc>
          <w:tcPr>
            <w:tcW w:w="448" w:type="pct"/>
            <w:tcBorders>
              <w:left w:val="single" w:sz="4" w:space="0" w:color="BFBFBF" w:themeColor="background1" w:themeShade="BF"/>
              <w:bottom w:val="single" w:sz="4" w:space="0" w:color="B3B3B3"/>
              <w:right w:val="single" w:sz="4" w:space="0" w:color="BFBFBF" w:themeColor="background1" w:themeShade="BF"/>
            </w:tcBorders>
            <w:shd w:val="clear" w:color="000000" w:fill="auto"/>
            <w:vAlign w:val="bottom"/>
          </w:tcPr>
          <w:p w14:paraId="3CD733B0" w14:textId="77777777" w:rsidR="000A62ED" w:rsidRPr="007A09A2" w:rsidRDefault="000A62ED">
            <w:pPr>
              <w:pStyle w:val="TableBody"/>
              <w:spacing w:before="45" w:after="45"/>
              <w:ind w:right="108"/>
              <w:jc w:val="center"/>
              <w:rPr>
                <w:rFonts w:cs="Open Sans"/>
                <w:b/>
                <w:color w:val="1D4374"/>
              </w:rPr>
            </w:pPr>
            <w:r w:rsidRPr="007A09A2">
              <w:rPr>
                <w:rFonts w:cs="Open Sans"/>
                <w:b/>
                <w:color w:val="1D4374"/>
              </w:rPr>
              <w:t>ba</w:t>
            </w:r>
          </w:p>
        </w:tc>
        <w:tc>
          <w:tcPr>
            <w:tcW w:w="508" w:type="pct"/>
            <w:tcBorders>
              <w:left w:val="single" w:sz="4" w:space="0" w:color="BFBFBF" w:themeColor="background1" w:themeShade="BF"/>
              <w:bottom w:val="single" w:sz="4" w:space="0" w:color="B3B3B3"/>
              <w:right w:val="single" w:sz="4" w:space="0" w:color="BFBFBF" w:themeColor="background1" w:themeShade="BF"/>
            </w:tcBorders>
            <w:shd w:val="clear" w:color="000000" w:fill="auto"/>
            <w:vAlign w:val="bottom"/>
          </w:tcPr>
          <w:p w14:paraId="26E6B6AA" w14:textId="77777777" w:rsidR="000A62ED" w:rsidRPr="007A09A2" w:rsidRDefault="000A62ED">
            <w:pPr>
              <w:pStyle w:val="TableBody"/>
              <w:spacing w:before="45" w:after="45"/>
              <w:ind w:right="108"/>
              <w:jc w:val="center"/>
              <w:rPr>
                <w:rFonts w:cs="Open Sans"/>
                <w:b/>
                <w:color w:val="1D4374"/>
              </w:rPr>
            </w:pPr>
            <w:r w:rsidRPr="007A09A2">
              <w:rPr>
                <w:rFonts w:cs="Open Sans"/>
                <w:b/>
                <w:color w:val="1D4374"/>
              </w:rPr>
              <w:t>b</w:t>
            </w:r>
          </w:p>
        </w:tc>
        <w:tc>
          <w:tcPr>
            <w:tcW w:w="515" w:type="pct"/>
            <w:tcBorders>
              <w:left w:val="single" w:sz="4" w:space="0" w:color="BFBFBF" w:themeColor="background1" w:themeShade="BF"/>
              <w:bottom w:val="single" w:sz="4" w:space="0" w:color="B3B3B3"/>
              <w:right w:val="single" w:sz="4" w:space="0" w:color="BFBFBF" w:themeColor="background1" w:themeShade="BF"/>
            </w:tcBorders>
            <w:shd w:val="clear" w:color="000000" w:fill="auto"/>
            <w:vAlign w:val="bottom"/>
          </w:tcPr>
          <w:p w14:paraId="7BFA556C" w14:textId="77777777" w:rsidR="000A62ED" w:rsidRPr="007A09A2" w:rsidRDefault="000A62ED">
            <w:pPr>
              <w:pStyle w:val="TableBody"/>
              <w:spacing w:before="45" w:after="45"/>
              <w:ind w:right="108"/>
              <w:jc w:val="center"/>
              <w:rPr>
                <w:rFonts w:cs="Open Sans"/>
                <w:b/>
                <w:color w:val="1D4374"/>
              </w:rPr>
            </w:pPr>
            <w:r w:rsidRPr="007A09A2">
              <w:rPr>
                <w:rFonts w:cs="Open Sans"/>
                <w:b/>
                <w:color w:val="1D4374"/>
              </w:rPr>
              <w:t>caa</w:t>
            </w:r>
          </w:p>
        </w:tc>
        <w:tc>
          <w:tcPr>
            <w:tcW w:w="440" w:type="pct"/>
            <w:tcBorders>
              <w:left w:val="single" w:sz="4" w:space="0" w:color="BFBFBF" w:themeColor="background1" w:themeShade="BF"/>
              <w:bottom w:val="single" w:sz="4" w:space="0" w:color="B3B3B3"/>
            </w:tcBorders>
            <w:shd w:val="clear" w:color="000000" w:fill="auto"/>
            <w:vAlign w:val="bottom"/>
          </w:tcPr>
          <w:p w14:paraId="4DABFCE1" w14:textId="77777777" w:rsidR="000A62ED" w:rsidRPr="007A09A2" w:rsidRDefault="000A62ED">
            <w:pPr>
              <w:pStyle w:val="TableBody"/>
              <w:spacing w:before="45" w:after="45"/>
              <w:ind w:right="108"/>
              <w:jc w:val="center"/>
              <w:rPr>
                <w:rFonts w:cs="Open Sans"/>
                <w:b/>
                <w:color w:val="1D4374"/>
              </w:rPr>
            </w:pPr>
            <w:r w:rsidRPr="007A09A2">
              <w:rPr>
                <w:rFonts w:cs="Open Sans"/>
                <w:b/>
                <w:bCs/>
                <w:color w:val="1D4374"/>
                <w:szCs w:val="16"/>
              </w:rPr>
              <w:t>ca</w:t>
            </w:r>
          </w:p>
        </w:tc>
      </w:tr>
      <w:tr w:rsidR="000A62ED" w:rsidRPr="007A09A2" w14:paraId="0D4DAACC" w14:textId="77777777" w:rsidTr="00732045">
        <w:tc>
          <w:tcPr>
            <w:tcW w:w="1100" w:type="pct"/>
            <w:tcBorders>
              <w:top w:val="single" w:sz="4" w:space="0" w:color="B3B3B3"/>
              <w:bottom w:val="nil"/>
              <w:right w:val="single" w:sz="4" w:space="0" w:color="BFBFBF" w:themeColor="background1" w:themeShade="BF"/>
            </w:tcBorders>
            <w:shd w:val="clear" w:color="000000" w:fill="E6E6E6"/>
          </w:tcPr>
          <w:p w14:paraId="5FDBEF17" w14:textId="77777777" w:rsidR="000A62ED" w:rsidRPr="007A09A2" w:rsidRDefault="000A62ED">
            <w:pPr>
              <w:pStyle w:val="TableHeading"/>
              <w:spacing w:before="45" w:after="45"/>
              <w:rPr>
                <w:rFonts w:cs="Open Sans"/>
                <w:color w:val="1D4374"/>
              </w:rPr>
            </w:pPr>
            <w:r w:rsidRPr="007A09A2">
              <w:rPr>
                <w:rFonts w:cs="Open Sans"/>
                <w:color w:val="1D4374"/>
              </w:rPr>
              <w:t>Interest</w:t>
            </w:r>
            <w:r>
              <w:rPr>
                <w:rFonts w:cs="Open Sans"/>
                <w:color w:val="1D4374"/>
              </w:rPr>
              <w:t>-</w:t>
            </w:r>
            <w:r w:rsidRPr="007A09A2">
              <w:rPr>
                <w:rFonts w:cs="Open Sans"/>
                <w:color w:val="1D4374"/>
              </w:rPr>
              <w:t>to</w:t>
            </w:r>
            <w:r>
              <w:rPr>
                <w:rFonts w:cs="Open Sans"/>
                <w:color w:val="1D4374"/>
              </w:rPr>
              <w:t>-</w:t>
            </w:r>
            <w:r w:rsidRPr="007A09A2">
              <w:rPr>
                <w:rFonts w:cs="Open Sans"/>
                <w:color w:val="1D4374"/>
              </w:rPr>
              <w:t xml:space="preserve">revenue </w:t>
            </w:r>
            <w:r>
              <w:rPr>
                <w:rFonts w:cs="Open Sans"/>
                <w:color w:val="1D4374"/>
              </w:rPr>
              <w:t>threshold bands</w:t>
            </w:r>
          </w:p>
        </w:tc>
        <w:tc>
          <w:tcPr>
            <w:tcW w:w="487" w:type="pct"/>
            <w:tcBorders>
              <w:top w:val="single" w:sz="4" w:space="0" w:color="B3B3B3"/>
              <w:left w:val="single" w:sz="4" w:space="0" w:color="BFBFBF" w:themeColor="background1" w:themeShade="BF"/>
              <w:bottom w:val="nil"/>
              <w:right w:val="single" w:sz="4" w:space="0" w:color="BFBFBF" w:themeColor="background1" w:themeShade="BF"/>
            </w:tcBorders>
            <w:shd w:val="clear" w:color="000000" w:fill="E6E6E6"/>
          </w:tcPr>
          <w:p w14:paraId="13701CA6" w14:textId="77777777" w:rsidR="000A62ED" w:rsidRPr="007A09A2" w:rsidRDefault="000A62ED">
            <w:pPr>
              <w:pStyle w:val="TableBody"/>
              <w:spacing w:before="45" w:after="45"/>
              <w:ind w:right="108"/>
              <w:jc w:val="center"/>
              <w:rPr>
                <w:rFonts w:cs="Open Sans"/>
                <w:color w:val="000000"/>
              </w:rPr>
            </w:pPr>
            <w:r w:rsidRPr="007A09A2">
              <w:rPr>
                <w:rFonts w:cs="Open Sans"/>
                <w:color w:val="000000"/>
                <w:szCs w:val="16"/>
              </w:rPr>
              <w:t>&lt;0.5%</w:t>
            </w:r>
          </w:p>
        </w:tc>
        <w:tc>
          <w:tcPr>
            <w:tcW w:w="487" w:type="pct"/>
            <w:tcBorders>
              <w:top w:val="single" w:sz="4" w:space="0" w:color="B3B3B3"/>
              <w:left w:val="single" w:sz="4" w:space="0" w:color="BFBFBF" w:themeColor="background1" w:themeShade="BF"/>
              <w:bottom w:val="nil"/>
              <w:right w:val="single" w:sz="4" w:space="0" w:color="BFBFBF" w:themeColor="background1" w:themeShade="BF"/>
            </w:tcBorders>
            <w:shd w:val="clear" w:color="000000" w:fill="E6E6E6"/>
          </w:tcPr>
          <w:p w14:paraId="7AD8E4D9" w14:textId="74501123" w:rsidR="000A62ED" w:rsidRPr="007A09A2" w:rsidRDefault="000A62ED" w:rsidP="001A3056">
            <w:pPr>
              <w:pStyle w:val="TableBody"/>
              <w:spacing w:before="45" w:after="45"/>
              <w:ind w:right="108"/>
              <w:jc w:val="center"/>
              <w:rPr>
                <w:rFonts w:cs="Open Sans"/>
                <w:color w:val="000000"/>
              </w:rPr>
            </w:pPr>
            <w:r w:rsidRPr="007A09A2">
              <w:rPr>
                <w:rFonts w:cs="Open Sans"/>
                <w:color w:val="000000"/>
                <w:szCs w:val="16"/>
              </w:rPr>
              <w:t xml:space="preserve">0.5% </w:t>
            </w:r>
            <w:r w:rsidR="001A3056">
              <w:rPr>
                <w:rFonts w:cs="Open Sans"/>
                <w:color w:val="000000"/>
                <w:szCs w:val="16"/>
              </w:rPr>
              <w:t>–</w:t>
            </w:r>
            <w:r w:rsidRPr="007A09A2">
              <w:rPr>
                <w:rFonts w:cs="Open Sans"/>
                <w:color w:val="000000"/>
                <w:szCs w:val="16"/>
              </w:rPr>
              <w:t xml:space="preserve"> 1.5%</w:t>
            </w:r>
          </w:p>
        </w:tc>
        <w:tc>
          <w:tcPr>
            <w:tcW w:w="498" w:type="pct"/>
            <w:tcBorders>
              <w:top w:val="single" w:sz="4" w:space="0" w:color="B3B3B3"/>
              <w:left w:val="single" w:sz="4" w:space="0" w:color="BFBFBF" w:themeColor="background1" w:themeShade="BF"/>
              <w:bottom w:val="nil"/>
              <w:right w:val="single" w:sz="4" w:space="0" w:color="BFBFBF" w:themeColor="background1" w:themeShade="BF"/>
            </w:tcBorders>
            <w:shd w:val="clear" w:color="000000" w:fill="E6E6E6"/>
          </w:tcPr>
          <w:p w14:paraId="694E4A1F" w14:textId="7A4930B2" w:rsidR="000A62ED" w:rsidRPr="007A09A2" w:rsidRDefault="000A62ED">
            <w:pPr>
              <w:pStyle w:val="TableBody"/>
              <w:spacing w:before="45" w:after="45"/>
              <w:ind w:right="108"/>
              <w:jc w:val="center"/>
              <w:rPr>
                <w:rFonts w:cs="Open Sans"/>
                <w:color w:val="000000"/>
              </w:rPr>
            </w:pPr>
            <w:r w:rsidRPr="007A09A2">
              <w:rPr>
                <w:rFonts w:cs="Open Sans"/>
                <w:color w:val="000000"/>
                <w:szCs w:val="16"/>
              </w:rPr>
              <w:t xml:space="preserve">1.5% </w:t>
            </w:r>
            <w:r w:rsidR="001A3056">
              <w:rPr>
                <w:rFonts w:cs="Open Sans"/>
                <w:color w:val="000000"/>
                <w:szCs w:val="16"/>
              </w:rPr>
              <w:t xml:space="preserve">– </w:t>
            </w:r>
            <w:r w:rsidRPr="007A09A2">
              <w:rPr>
                <w:rFonts w:cs="Open Sans"/>
                <w:color w:val="000000"/>
                <w:szCs w:val="16"/>
              </w:rPr>
              <w:t>3%</w:t>
            </w:r>
          </w:p>
        </w:tc>
        <w:tc>
          <w:tcPr>
            <w:tcW w:w="516" w:type="pct"/>
            <w:tcBorders>
              <w:top w:val="single" w:sz="4" w:space="0" w:color="B3B3B3"/>
              <w:left w:val="single" w:sz="4" w:space="0" w:color="BFBFBF" w:themeColor="background1" w:themeShade="BF"/>
              <w:bottom w:val="nil"/>
              <w:right w:val="single" w:sz="4" w:space="0" w:color="BFBFBF" w:themeColor="background1" w:themeShade="BF"/>
            </w:tcBorders>
            <w:shd w:val="clear" w:color="000000" w:fill="E6E6E6"/>
          </w:tcPr>
          <w:p w14:paraId="3BE6E288" w14:textId="24767844" w:rsidR="000A62ED" w:rsidRPr="007A09A2" w:rsidRDefault="000A62ED">
            <w:pPr>
              <w:pStyle w:val="TableBody"/>
              <w:spacing w:before="45" w:after="45"/>
              <w:ind w:right="108"/>
              <w:jc w:val="center"/>
              <w:rPr>
                <w:rFonts w:cs="Open Sans"/>
                <w:color w:val="000000"/>
              </w:rPr>
            </w:pPr>
            <w:r w:rsidRPr="007A09A2">
              <w:rPr>
                <w:rFonts w:cs="Open Sans"/>
                <w:color w:val="000000"/>
                <w:szCs w:val="16"/>
              </w:rPr>
              <w:t xml:space="preserve">3% </w:t>
            </w:r>
            <w:r w:rsidR="00AD43EC">
              <w:rPr>
                <w:rFonts w:cs="Open Sans"/>
                <w:color w:val="000000"/>
                <w:szCs w:val="16"/>
              </w:rPr>
              <w:t xml:space="preserve">– </w:t>
            </w:r>
            <w:r w:rsidR="00883CF5">
              <w:rPr>
                <w:rFonts w:cs="Open Sans"/>
                <w:color w:val="000000"/>
                <w:szCs w:val="16"/>
              </w:rPr>
              <w:br/>
            </w:r>
            <w:r w:rsidRPr="007A09A2">
              <w:rPr>
                <w:rFonts w:cs="Open Sans"/>
                <w:color w:val="000000"/>
                <w:szCs w:val="16"/>
              </w:rPr>
              <w:t>5%</w:t>
            </w:r>
          </w:p>
        </w:tc>
        <w:tc>
          <w:tcPr>
            <w:tcW w:w="448" w:type="pct"/>
            <w:tcBorders>
              <w:top w:val="single" w:sz="4" w:space="0" w:color="B3B3B3"/>
              <w:left w:val="single" w:sz="4" w:space="0" w:color="BFBFBF" w:themeColor="background1" w:themeShade="BF"/>
              <w:bottom w:val="nil"/>
              <w:right w:val="single" w:sz="4" w:space="0" w:color="BFBFBF" w:themeColor="background1" w:themeShade="BF"/>
            </w:tcBorders>
            <w:shd w:val="clear" w:color="000000" w:fill="E6E6E6"/>
          </w:tcPr>
          <w:p w14:paraId="7C7FCC6C" w14:textId="0344B343" w:rsidR="000A62ED" w:rsidRPr="007A09A2" w:rsidRDefault="000A62ED">
            <w:pPr>
              <w:pStyle w:val="TableBody"/>
              <w:spacing w:before="45" w:after="45"/>
              <w:ind w:right="108"/>
              <w:jc w:val="center"/>
              <w:rPr>
                <w:rFonts w:cs="Open Sans"/>
                <w:color w:val="000000"/>
              </w:rPr>
            </w:pPr>
            <w:r w:rsidRPr="007A09A2">
              <w:rPr>
                <w:rFonts w:cs="Open Sans"/>
                <w:color w:val="000000"/>
                <w:szCs w:val="16"/>
              </w:rPr>
              <w:t xml:space="preserve">5% </w:t>
            </w:r>
            <w:r w:rsidR="00AD43EC">
              <w:rPr>
                <w:rFonts w:cs="Open Sans"/>
                <w:color w:val="000000"/>
                <w:szCs w:val="16"/>
              </w:rPr>
              <w:t xml:space="preserve">– </w:t>
            </w:r>
            <w:r w:rsidR="00883CF5">
              <w:rPr>
                <w:rFonts w:cs="Open Sans"/>
                <w:color w:val="000000"/>
                <w:szCs w:val="16"/>
              </w:rPr>
              <w:br/>
            </w:r>
            <w:r w:rsidRPr="007A09A2">
              <w:rPr>
                <w:rFonts w:cs="Open Sans"/>
                <w:color w:val="000000"/>
                <w:szCs w:val="16"/>
              </w:rPr>
              <w:t>8%</w:t>
            </w:r>
          </w:p>
        </w:tc>
        <w:tc>
          <w:tcPr>
            <w:tcW w:w="508" w:type="pct"/>
            <w:tcBorders>
              <w:top w:val="single" w:sz="4" w:space="0" w:color="B3B3B3"/>
              <w:left w:val="single" w:sz="4" w:space="0" w:color="BFBFBF" w:themeColor="background1" w:themeShade="BF"/>
              <w:bottom w:val="nil"/>
              <w:right w:val="single" w:sz="4" w:space="0" w:color="BFBFBF" w:themeColor="background1" w:themeShade="BF"/>
            </w:tcBorders>
            <w:shd w:val="clear" w:color="000000" w:fill="E6E6E6"/>
          </w:tcPr>
          <w:p w14:paraId="17431DD6" w14:textId="59AAE0B4" w:rsidR="000A62ED" w:rsidRPr="007A09A2" w:rsidRDefault="000A62ED">
            <w:pPr>
              <w:pStyle w:val="TableBody"/>
              <w:spacing w:before="45" w:after="45"/>
              <w:ind w:right="108"/>
              <w:jc w:val="center"/>
              <w:rPr>
                <w:rFonts w:cs="Open Sans"/>
                <w:color w:val="000000"/>
              </w:rPr>
            </w:pPr>
            <w:r w:rsidRPr="007A09A2">
              <w:rPr>
                <w:rFonts w:cs="Open Sans"/>
                <w:color w:val="000000"/>
                <w:szCs w:val="16"/>
              </w:rPr>
              <w:t xml:space="preserve">8% </w:t>
            </w:r>
            <w:r w:rsidR="00AD43EC">
              <w:rPr>
                <w:rFonts w:cs="Open Sans"/>
                <w:color w:val="000000"/>
                <w:szCs w:val="16"/>
              </w:rPr>
              <w:t xml:space="preserve">– </w:t>
            </w:r>
            <w:r w:rsidR="00883CF5">
              <w:rPr>
                <w:rFonts w:cs="Open Sans"/>
                <w:color w:val="000000"/>
                <w:szCs w:val="16"/>
              </w:rPr>
              <w:br/>
            </w:r>
            <w:r w:rsidRPr="007A09A2">
              <w:rPr>
                <w:rFonts w:cs="Open Sans"/>
                <w:color w:val="000000"/>
                <w:szCs w:val="16"/>
              </w:rPr>
              <w:t>12%</w:t>
            </w:r>
          </w:p>
        </w:tc>
        <w:tc>
          <w:tcPr>
            <w:tcW w:w="515" w:type="pct"/>
            <w:tcBorders>
              <w:top w:val="single" w:sz="4" w:space="0" w:color="B3B3B3"/>
              <w:left w:val="single" w:sz="4" w:space="0" w:color="BFBFBF" w:themeColor="background1" w:themeShade="BF"/>
              <w:bottom w:val="nil"/>
              <w:right w:val="single" w:sz="4" w:space="0" w:color="BFBFBF" w:themeColor="background1" w:themeShade="BF"/>
            </w:tcBorders>
            <w:shd w:val="clear" w:color="000000" w:fill="E6E6E6"/>
          </w:tcPr>
          <w:p w14:paraId="04DC4767" w14:textId="4899EBB5" w:rsidR="000A62ED" w:rsidRPr="007A09A2" w:rsidRDefault="000A62ED">
            <w:pPr>
              <w:pStyle w:val="TableBody"/>
              <w:spacing w:before="45" w:after="45"/>
              <w:ind w:right="108"/>
              <w:jc w:val="center"/>
              <w:rPr>
                <w:rFonts w:cs="Open Sans"/>
                <w:color w:val="000000"/>
              </w:rPr>
            </w:pPr>
            <w:r w:rsidRPr="007A09A2">
              <w:rPr>
                <w:rFonts w:cs="Open Sans"/>
                <w:color w:val="000000"/>
                <w:szCs w:val="16"/>
              </w:rPr>
              <w:t xml:space="preserve">12% </w:t>
            </w:r>
            <w:r w:rsidR="00AD43EC">
              <w:rPr>
                <w:rFonts w:cs="Open Sans"/>
                <w:color w:val="000000"/>
                <w:szCs w:val="16"/>
              </w:rPr>
              <w:t>–</w:t>
            </w:r>
            <w:r w:rsidRPr="007A09A2">
              <w:rPr>
                <w:rFonts w:cs="Open Sans"/>
                <w:color w:val="000000"/>
                <w:szCs w:val="16"/>
              </w:rPr>
              <w:t xml:space="preserve"> 18%</w:t>
            </w:r>
          </w:p>
        </w:tc>
        <w:tc>
          <w:tcPr>
            <w:tcW w:w="440" w:type="pct"/>
            <w:tcBorders>
              <w:top w:val="single" w:sz="4" w:space="0" w:color="B3B3B3"/>
              <w:left w:val="single" w:sz="4" w:space="0" w:color="BFBFBF" w:themeColor="background1" w:themeShade="BF"/>
              <w:bottom w:val="nil"/>
            </w:tcBorders>
            <w:shd w:val="clear" w:color="000000" w:fill="E6E6E6"/>
          </w:tcPr>
          <w:p w14:paraId="11ABF7CA" w14:textId="77777777" w:rsidR="000A62ED" w:rsidRPr="007A09A2" w:rsidRDefault="000A62ED">
            <w:pPr>
              <w:pStyle w:val="TableBody"/>
              <w:spacing w:before="45" w:after="45"/>
              <w:ind w:right="108"/>
              <w:jc w:val="center"/>
              <w:rPr>
                <w:rFonts w:cs="Open Sans"/>
                <w:bCs/>
                <w:color w:val="000000"/>
                <w:szCs w:val="16"/>
              </w:rPr>
            </w:pPr>
            <w:r w:rsidRPr="007A09A2">
              <w:rPr>
                <w:rFonts w:cs="Open Sans"/>
                <w:color w:val="000000"/>
                <w:szCs w:val="16"/>
              </w:rPr>
              <w:t>&gt;18%</w:t>
            </w:r>
          </w:p>
        </w:tc>
      </w:tr>
      <w:tr w:rsidR="000A62ED" w:rsidRPr="007A09A2" w14:paraId="033DE440" w14:textId="77777777" w:rsidTr="00732045">
        <w:tc>
          <w:tcPr>
            <w:tcW w:w="1100" w:type="pct"/>
            <w:tcBorders>
              <w:top w:val="nil"/>
              <w:bottom w:val="single" w:sz="4" w:space="0" w:color="BFBFBF" w:themeColor="background1" w:themeShade="BF"/>
              <w:right w:val="single" w:sz="4" w:space="0" w:color="BFBFBF" w:themeColor="background1" w:themeShade="BF"/>
            </w:tcBorders>
            <w:shd w:val="clear" w:color="000000" w:fill="auto"/>
          </w:tcPr>
          <w:p w14:paraId="779E003D" w14:textId="77777777" w:rsidR="000A62ED" w:rsidRPr="007A09A2" w:rsidRDefault="000A62ED">
            <w:pPr>
              <w:pStyle w:val="TableHeading"/>
              <w:spacing w:before="45" w:after="45"/>
              <w:rPr>
                <w:rFonts w:cs="Open Sans"/>
                <w:color w:val="1D4374"/>
              </w:rPr>
            </w:pPr>
            <w:r w:rsidRPr="007A09A2">
              <w:rPr>
                <w:rFonts w:cs="Open Sans"/>
                <w:color w:val="1D4374"/>
              </w:rPr>
              <w:t>PC</w:t>
            </w:r>
            <w:r>
              <w:rPr>
                <w:rFonts w:cs="Open Sans"/>
                <w:color w:val="1D4374"/>
              </w:rPr>
              <w:t xml:space="preserve"> score</w:t>
            </w:r>
          </w:p>
        </w:tc>
        <w:tc>
          <w:tcPr>
            <w:tcW w:w="1472" w:type="pct"/>
            <w:gridSpan w:val="3"/>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auto"/>
          </w:tcPr>
          <w:p w14:paraId="037C23D8" w14:textId="495881E0" w:rsidR="000A62ED" w:rsidRPr="007A09A2" w:rsidRDefault="000A62ED">
            <w:pPr>
              <w:pStyle w:val="TableBody"/>
              <w:spacing w:before="45" w:after="45"/>
              <w:ind w:right="108"/>
              <w:jc w:val="center"/>
              <w:rPr>
                <w:rFonts w:cs="Open Sans"/>
                <w:i/>
                <w:color w:val="000000"/>
              </w:rPr>
            </w:pPr>
            <w:r w:rsidRPr="007A09A2">
              <w:rPr>
                <w:rFonts w:cs="Open Sans"/>
                <w:i/>
                <w:color w:val="000000"/>
              </w:rPr>
              <w:t xml:space="preserve">0 </w:t>
            </w:r>
            <w:r w:rsidR="001A3056">
              <w:rPr>
                <w:rFonts w:cs="Open Sans"/>
                <w:i/>
                <w:color w:val="000000"/>
              </w:rPr>
              <w:t>–</w:t>
            </w:r>
            <w:r w:rsidRPr="007A09A2">
              <w:rPr>
                <w:rFonts w:cs="Open Sans"/>
                <w:i/>
                <w:color w:val="000000"/>
              </w:rPr>
              <w:t xml:space="preserve"> unlikely to be a significant pressure on fiscal sustainability</w:t>
            </w:r>
          </w:p>
        </w:tc>
        <w:tc>
          <w:tcPr>
            <w:tcW w:w="516" w:type="pct"/>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auto"/>
          </w:tcPr>
          <w:p w14:paraId="4C77B65D" w14:textId="77777777" w:rsidR="000A62ED" w:rsidRPr="007A09A2" w:rsidRDefault="000A62ED">
            <w:pPr>
              <w:pStyle w:val="TableBody"/>
              <w:spacing w:before="45" w:after="45"/>
              <w:ind w:right="108"/>
              <w:jc w:val="center"/>
              <w:rPr>
                <w:rFonts w:cs="Open Sans"/>
                <w:color w:val="000000"/>
              </w:rPr>
            </w:pPr>
            <w:r w:rsidRPr="007A09A2">
              <w:rPr>
                <w:rFonts w:cs="Open Sans"/>
                <w:color w:val="000000"/>
                <w:szCs w:val="16"/>
              </w:rPr>
              <w:t>1</w:t>
            </w:r>
          </w:p>
        </w:tc>
        <w:tc>
          <w:tcPr>
            <w:tcW w:w="448" w:type="pct"/>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auto"/>
          </w:tcPr>
          <w:p w14:paraId="279BDDA9" w14:textId="77777777" w:rsidR="000A62ED" w:rsidRPr="007A09A2" w:rsidRDefault="000A62ED">
            <w:pPr>
              <w:pStyle w:val="TableBody"/>
              <w:spacing w:before="45" w:after="45"/>
              <w:ind w:right="108"/>
              <w:jc w:val="center"/>
              <w:rPr>
                <w:rFonts w:cs="Open Sans"/>
                <w:color w:val="000000"/>
              </w:rPr>
            </w:pPr>
            <w:r w:rsidRPr="007A09A2">
              <w:rPr>
                <w:rFonts w:cs="Open Sans"/>
                <w:color w:val="000000"/>
                <w:szCs w:val="16"/>
              </w:rPr>
              <w:t>2</w:t>
            </w:r>
          </w:p>
        </w:tc>
        <w:tc>
          <w:tcPr>
            <w:tcW w:w="508" w:type="pct"/>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auto"/>
          </w:tcPr>
          <w:p w14:paraId="21936800" w14:textId="77777777" w:rsidR="000A62ED" w:rsidRPr="007A09A2" w:rsidRDefault="000A62ED">
            <w:pPr>
              <w:pStyle w:val="TableBody"/>
              <w:spacing w:before="45" w:after="45"/>
              <w:ind w:right="108"/>
              <w:jc w:val="center"/>
              <w:rPr>
                <w:rFonts w:cs="Open Sans"/>
                <w:color w:val="000000"/>
              </w:rPr>
            </w:pPr>
            <w:r w:rsidRPr="007A09A2">
              <w:rPr>
                <w:rFonts w:cs="Open Sans"/>
                <w:color w:val="000000"/>
                <w:szCs w:val="16"/>
              </w:rPr>
              <w:t>3</w:t>
            </w:r>
          </w:p>
        </w:tc>
        <w:tc>
          <w:tcPr>
            <w:tcW w:w="515" w:type="pct"/>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auto"/>
          </w:tcPr>
          <w:p w14:paraId="2F09860B" w14:textId="77777777" w:rsidR="000A62ED" w:rsidRPr="007A09A2" w:rsidRDefault="000A62ED">
            <w:pPr>
              <w:pStyle w:val="TableBody"/>
              <w:spacing w:before="45" w:after="45"/>
              <w:ind w:right="108"/>
              <w:jc w:val="center"/>
              <w:rPr>
                <w:rFonts w:cs="Open Sans"/>
                <w:color w:val="000000"/>
              </w:rPr>
            </w:pPr>
            <w:r w:rsidRPr="007A09A2">
              <w:rPr>
                <w:rFonts w:cs="Open Sans"/>
                <w:color w:val="000000"/>
                <w:szCs w:val="16"/>
              </w:rPr>
              <w:t>4</w:t>
            </w:r>
          </w:p>
        </w:tc>
        <w:tc>
          <w:tcPr>
            <w:tcW w:w="440" w:type="pct"/>
            <w:tcBorders>
              <w:top w:val="nil"/>
              <w:left w:val="single" w:sz="4" w:space="0" w:color="BFBFBF" w:themeColor="background1" w:themeShade="BF"/>
              <w:bottom w:val="single" w:sz="4" w:space="0" w:color="BFBFBF" w:themeColor="background1" w:themeShade="BF"/>
            </w:tcBorders>
            <w:shd w:val="clear" w:color="000000" w:fill="auto"/>
          </w:tcPr>
          <w:p w14:paraId="1B6816C2" w14:textId="77777777" w:rsidR="000A62ED" w:rsidRPr="007A09A2" w:rsidRDefault="000A62ED">
            <w:pPr>
              <w:pStyle w:val="TableBody"/>
              <w:spacing w:before="45" w:after="45"/>
              <w:ind w:right="108"/>
              <w:jc w:val="center"/>
              <w:rPr>
                <w:rFonts w:cs="Open Sans"/>
                <w:color w:val="000000"/>
              </w:rPr>
            </w:pPr>
            <w:r w:rsidRPr="007A09A2">
              <w:rPr>
                <w:rFonts w:cs="Open Sans"/>
                <w:color w:val="000000"/>
                <w:szCs w:val="16"/>
              </w:rPr>
              <w:t>5</w:t>
            </w:r>
          </w:p>
        </w:tc>
      </w:tr>
    </w:tbl>
    <w:p w14:paraId="786A2192" w14:textId="6751A374" w:rsidR="000A62ED" w:rsidRDefault="000A62ED" w:rsidP="00BF61B2">
      <w:pPr>
        <w:pStyle w:val="Source"/>
        <w:spacing w:after="360"/>
      </w:pPr>
      <w:r w:rsidRPr="00696447">
        <w:t xml:space="preserve">Source: </w:t>
      </w:r>
      <w:r>
        <w:t xml:space="preserve">Moody’s Ratings </w:t>
      </w:r>
      <w:r w:rsidRPr="00097158">
        <w:rPr>
          <w:rFonts w:cs="Open Sans"/>
        </w:rPr>
        <w:t>(2026)</w:t>
      </w:r>
      <w:r>
        <w:t>.</w:t>
      </w:r>
    </w:p>
    <w:p w14:paraId="1A96D255" w14:textId="77777777" w:rsidR="000A62ED" w:rsidRPr="00144E25" w:rsidRDefault="000A62ED">
      <w:pPr>
        <w:pStyle w:val="BodyText"/>
        <w:rPr>
          <w:spacing w:val="-4"/>
        </w:rPr>
      </w:pPr>
      <w:r w:rsidRPr="00144E25">
        <w:rPr>
          <w:spacing w:val="-4"/>
        </w:rPr>
        <w:t>To provide a consistent basis for comparison of GST distribution systems, the PC used a historical simulation method to understand how each system would have affected states' debt and interest expenses had they operated historically since 2001-02, under a set of simplifying assumptions (appendix C).</w:t>
      </w:r>
      <w:r w:rsidRPr="00144E25">
        <w:rPr>
          <w:rStyle w:val="FootnoteReference"/>
          <w:spacing w:val="-4"/>
        </w:rPr>
        <w:footnoteReference w:id="44"/>
      </w:r>
      <w:r w:rsidRPr="00144E25">
        <w:rPr>
          <w:spacing w:val="-4"/>
        </w:rPr>
        <w:t xml:space="preserve"> </w:t>
      </w:r>
    </w:p>
    <w:p w14:paraId="270FCDD6" w14:textId="7173603A" w:rsidR="000A62ED" w:rsidRDefault="000A62ED">
      <w:pPr>
        <w:pStyle w:val="BodyText"/>
      </w:pPr>
      <w:r w:rsidRPr="004F78AD">
        <w:lastRenderedPageBreak/>
        <w:t xml:space="preserve">PC modelling of </w:t>
      </w:r>
      <w:r w:rsidRPr="004F78AD" w:rsidDel="004F78AD">
        <w:t>interest</w:t>
      </w:r>
      <w:r>
        <w:t>-</w:t>
      </w:r>
      <w:r w:rsidRPr="004F78AD">
        <w:t>to</w:t>
      </w:r>
      <w:r>
        <w:t>-</w:t>
      </w:r>
      <w:r w:rsidRPr="004F78AD">
        <w:t xml:space="preserve">revenue ratios </w:t>
      </w:r>
      <w:r w:rsidRPr="0068650B">
        <w:t>indicates that the current system without the NoWO guarantee would have</w:t>
      </w:r>
      <w:r w:rsidRPr="0068650B" w:rsidDel="0078048F">
        <w:t xml:space="preserve"> </w:t>
      </w:r>
      <w:r w:rsidRPr="0068650B">
        <w:t>relatively higher interest-to-revenue ratios for every jurisdiction except Western Australia</w:t>
      </w:r>
      <w:r>
        <w:t>,</w:t>
      </w:r>
      <w:r w:rsidRPr="004F78AD">
        <w:t xml:space="preserve"> than the current system with the NoWO </w:t>
      </w:r>
      <w:r w:rsidRPr="00A61124">
        <w:t>guarantee (</w:t>
      </w:r>
      <w:r w:rsidR="00A61124" w:rsidRPr="00A61124">
        <w:t>table 3.</w:t>
      </w:r>
      <w:r w:rsidR="00D023DF">
        <w:t>3</w:t>
      </w:r>
      <w:r w:rsidRPr="00A61124">
        <w:t>). Most</w:t>
      </w:r>
      <w:r w:rsidRPr="003C0430">
        <w:t xml:space="preserve"> of these </w:t>
      </w:r>
      <w:r>
        <w:t>higher</w:t>
      </w:r>
      <w:r w:rsidDel="00C67B3B">
        <w:t xml:space="preserve"> </w:t>
      </w:r>
      <w:r>
        <w:t>ratios</w:t>
      </w:r>
      <w:r w:rsidRPr="003C0430">
        <w:t xml:space="preserve"> do not alter the </w:t>
      </w:r>
      <w:r>
        <w:t>system’s</w:t>
      </w:r>
      <w:r w:rsidRPr="003C0430">
        <w:t xml:space="preserve"> fiscal pressure score</w:t>
      </w:r>
      <w:r>
        <w:t>,</w:t>
      </w:r>
      <w:r w:rsidRPr="003C0430">
        <w:t xml:space="preserve"> because </w:t>
      </w:r>
      <w:r>
        <w:t xml:space="preserve">it </w:t>
      </w:r>
      <w:r w:rsidRPr="003C0430">
        <w:t xml:space="preserve">is based on </w:t>
      </w:r>
      <w:r>
        <w:t xml:space="preserve">movements between </w:t>
      </w:r>
      <w:r w:rsidRPr="003C0430">
        <w:t xml:space="preserve">threshold </w:t>
      </w:r>
      <w:r w:rsidRPr="0021222C">
        <w:t>bands. However, without NoWO payments South Australia and Queensland’s interest-to-revenue ratios move from the 3%</w:t>
      </w:r>
      <w:r w:rsidR="004E71DD">
        <w:rPr>
          <w:rFonts w:cs="Open Sans"/>
          <w:color w:val="000000"/>
          <w:szCs w:val="16"/>
        </w:rPr>
        <w:t>–</w:t>
      </w:r>
      <w:r w:rsidRPr="0021222C">
        <w:t>5% band into the 5%</w:t>
      </w:r>
      <w:r w:rsidR="004E71DD">
        <w:rPr>
          <w:rFonts w:cs="Open Sans"/>
          <w:color w:val="000000"/>
          <w:szCs w:val="16"/>
        </w:rPr>
        <w:t>–</w:t>
      </w:r>
      <w:r w:rsidRPr="0021222C">
        <w:t>8% band and the Northern Territory’s interest to revenue ratio moves into the 12%</w:t>
      </w:r>
      <w:r w:rsidR="004E71DD">
        <w:rPr>
          <w:rFonts w:cs="Open Sans"/>
          <w:color w:val="000000"/>
          <w:szCs w:val="16"/>
        </w:rPr>
        <w:t>–</w:t>
      </w:r>
      <w:r w:rsidRPr="0021222C">
        <w:t>18% band (results not visible in table due to rounding). As a result, the aggregate fiscal pressure score for all jurisdictions increases from 12 under the current system with the NoWO guarantee to 15 without the NoWO guarantee.</w:t>
      </w:r>
    </w:p>
    <w:p w14:paraId="449C345D" w14:textId="56DA4487" w:rsidR="00CE2E17" w:rsidRPr="003C0430" w:rsidRDefault="00CE2E17">
      <w:pPr>
        <w:pStyle w:val="BodyText"/>
      </w:pPr>
      <w:r>
        <w:t>The widespread nature of state fiscal sustainability issues highlights a broader sustainability issue within the federation. While the negative fiscal impacts of the current system have been muted by NoWO payments, the 2018 reforms severed the nexus between the GST pool and HFE, thereby introducing a new element of vertical fiscal equalisation into Australia’s federal financial relations. Even with permanent NoWO payments, most states would be in deteriorating fiscal positions. In some ways, these changes could be seen as an early warning sign regarding whether the nexus between the GST pool and HFE is desirable and sustainable.</w:t>
      </w:r>
    </w:p>
    <w:p w14:paraId="2458651C" w14:textId="43414BC9" w:rsidR="000A62ED" w:rsidRDefault="000A62ED">
      <w:pPr>
        <w:pStyle w:val="FigureTableHeading"/>
      </w:pPr>
      <w:r w:rsidRPr="000F42BB">
        <w:t xml:space="preserve">Table </w:t>
      </w:r>
      <w:fldSimple w:instr=" STYLEREF 1 \s ">
        <w:r w:rsidR="009C08C4">
          <w:rPr>
            <w:noProof/>
          </w:rPr>
          <w:t>3</w:t>
        </w:r>
      </w:fldSimple>
      <w:r w:rsidRPr="000F42BB">
        <w:t>.</w:t>
      </w:r>
      <w:fldSimple w:instr=" SEQ Table \* ARABIC \s 1 ">
        <w:r w:rsidR="009C08C4">
          <w:rPr>
            <w:noProof/>
          </w:rPr>
          <w:t>3</w:t>
        </w:r>
      </w:fldSimple>
      <w:r w:rsidRPr="0021222C">
        <w:fldChar w:fldCharType="begin"/>
      </w:r>
      <w:r w:rsidRPr="0021222C">
        <w:fldChar w:fldCharType="separate"/>
      </w:r>
      <w:r w:rsidRPr="0021222C">
        <w:rPr>
          <w:noProof/>
        </w:rPr>
        <w:t>4</w:t>
      </w:r>
      <w:r w:rsidRPr="0021222C">
        <w:rPr>
          <w:noProof/>
        </w:rPr>
        <w:fldChar w:fldCharType="end"/>
      </w:r>
      <w:r w:rsidRPr="0021222C" w:rsidDel="009C51F0">
        <w:t xml:space="preserve"> </w:t>
      </w:r>
      <w:r w:rsidRPr="0021222C">
        <w:t>– Relative fiscal sustainability impact of current system with and without the NoWO guarantee</w:t>
      </w:r>
    </w:p>
    <w:p w14:paraId="6E2B98E5" w14:textId="099D0F40" w:rsidR="000A62ED" w:rsidRPr="009C51F0" w:rsidRDefault="000A62ED">
      <w:pPr>
        <w:pStyle w:val="FigureTableSubheading"/>
      </w:pPr>
      <w:r w:rsidRPr="00EC2451">
        <w:t xml:space="preserve">Modelled interest expenses to revenue ratio in </w:t>
      </w:r>
      <w:r w:rsidR="00246A5F">
        <w:t>2024–25</w:t>
      </w:r>
      <w:r w:rsidRPr="00EC2451">
        <w:t>, TNFPS</w:t>
      </w:r>
    </w:p>
    <w:tbl>
      <w:tblPr>
        <w:tblW w:w="5000" w:type="pct"/>
        <w:tblBorders>
          <w:bottom w:val="single" w:sz="4" w:space="0" w:color="B3B3B3"/>
        </w:tblBorders>
        <w:shd w:val="clear" w:color="000000" w:fill="auto"/>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1560"/>
        <w:gridCol w:w="816"/>
        <w:gridCol w:w="816"/>
        <w:gridCol w:w="815"/>
        <w:gridCol w:w="815"/>
        <w:gridCol w:w="815"/>
        <w:gridCol w:w="815"/>
        <w:gridCol w:w="815"/>
        <w:gridCol w:w="815"/>
        <w:gridCol w:w="1556"/>
      </w:tblGrid>
      <w:tr w:rsidR="000A62ED" w:rsidRPr="001E4EC4" w14:paraId="33EE92F0" w14:textId="77777777">
        <w:trPr>
          <w:tblHeader/>
        </w:trPr>
        <w:tc>
          <w:tcPr>
            <w:tcW w:w="809" w:type="pct"/>
            <w:tcBorders>
              <w:bottom w:val="single" w:sz="4" w:space="0" w:color="B3B3B3"/>
            </w:tcBorders>
            <w:shd w:val="clear" w:color="000000" w:fill="auto"/>
            <w:vAlign w:val="bottom"/>
          </w:tcPr>
          <w:p w14:paraId="19956C19" w14:textId="77777777" w:rsidR="000A62ED" w:rsidRPr="001E4EC4" w:rsidRDefault="000A62ED">
            <w:pPr>
              <w:spacing w:before="45" w:after="45"/>
              <w:ind w:left="57" w:right="108"/>
              <w:rPr>
                <w:rFonts w:cs="Open Sans"/>
                <w:b/>
                <w:color w:val="1D4374"/>
                <w:sz w:val="18"/>
              </w:rPr>
            </w:pPr>
          </w:p>
        </w:tc>
        <w:tc>
          <w:tcPr>
            <w:tcW w:w="423" w:type="pct"/>
            <w:tcBorders>
              <w:bottom w:val="single" w:sz="4" w:space="0" w:color="B3B3B3"/>
            </w:tcBorders>
            <w:shd w:val="clear" w:color="000000" w:fill="auto"/>
          </w:tcPr>
          <w:p w14:paraId="1460CBEF" w14:textId="77777777" w:rsidR="000A62ED" w:rsidRPr="001E4EC4" w:rsidRDefault="000A62ED">
            <w:pPr>
              <w:pStyle w:val="TableHeading"/>
              <w:spacing w:before="45" w:after="45"/>
              <w:jc w:val="center"/>
              <w:rPr>
                <w:rFonts w:cs="Open Sans"/>
                <w:color w:val="1D4374"/>
              </w:rPr>
            </w:pPr>
            <w:r w:rsidRPr="007F2094">
              <w:t>NSW</w:t>
            </w:r>
          </w:p>
        </w:tc>
        <w:tc>
          <w:tcPr>
            <w:tcW w:w="423" w:type="pct"/>
            <w:tcBorders>
              <w:bottom w:val="single" w:sz="4" w:space="0" w:color="B3B3B3"/>
            </w:tcBorders>
            <w:shd w:val="clear" w:color="000000" w:fill="auto"/>
          </w:tcPr>
          <w:p w14:paraId="607C42EC" w14:textId="77777777" w:rsidR="000A62ED" w:rsidRPr="001E4EC4" w:rsidRDefault="000A62ED">
            <w:pPr>
              <w:pStyle w:val="TableHeading"/>
              <w:spacing w:before="45" w:after="45"/>
              <w:jc w:val="center"/>
              <w:rPr>
                <w:rFonts w:cs="Open Sans"/>
                <w:color w:val="1D4374"/>
              </w:rPr>
            </w:pPr>
            <w:r w:rsidRPr="007F2094">
              <w:t>VIC</w:t>
            </w:r>
          </w:p>
        </w:tc>
        <w:tc>
          <w:tcPr>
            <w:tcW w:w="423" w:type="pct"/>
            <w:tcBorders>
              <w:bottom w:val="single" w:sz="4" w:space="0" w:color="B3B3B3"/>
            </w:tcBorders>
            <w:shd w:val="clear" w:color="000000" w:fill="auto"/>
          </w:tcPr>
          <w:p w14:paraId="1A20534B" w14:textId="77777777" w:rsidR="000A62ED" w:rsidRPr="001E4EC4" w:rsidRDefault="000A62ED">
            <w:pPr>
              <w:pStyle w:val="TableHeading"/>
              <w:spacing w:before="45" w:after="45"/>
              <w:jc w:val="center"/>
              <w:rPr>
                <w:rFonts w:cs="Open Sans"/>
                <w:color w:val="1D4374"/>
              </w:rPr>
            </w:pPr>
            <w:r w:rsidRPr="007F2094">
              <w:t>QLD</w:t>
            </w:r>
          </w:p>
        </w:tc>
        <w:tc>
          <w:tcPr>
            <w:tcW w:w="423" w:type="pct"/>
            <w:tcBorders>
              <w:bottom w:val="single" w:sz="4" w:space="0" w:color="B3B3B3"/>
            </w:tcBorders>
            <w:shd w:val="clear" w:color="000000" w:fill="auto"/>
          </w:tcPr>
          <w:p w14:paraId="65282BE0" w14:textId="77777777" w:rsidR="000A62ED" w:rsidRPr="001E4EC4" w:rsidRDefault="000A62ED">
            <w:pPr>
              <w:pStyle w:val="TableHeading"/>
              <w:spacing w:before="45" w:after="45"/>
              <w:jc w:val="center"/>
              <w:rPr>
                <w:rFonts w:cs="Open Sans"/>
                <w:color w:val="1D4374"/>
              </w:rPr>
            </w:pPr>
            <w:r w:rsidRPr="007F2094">
              <w:t>WA</w:t>
            </w:r>
          </w:p>
        </w:tc>
        <w:tc>
          <w:tcPr>
            <w:tcW w:w="423" w:type="pct"/>
            <w:tcBorders>
              <w:bottom w:val="single" w:sz="4" w:space="0" w:color="B3B3B3"/>
            </w:tcBorders>
            <w:shd w:val="clear" w:color="000000" w:fill="auto"/>
          </w:tcPr>
          <w:p w14:paraId="51282317" w14:textId="77777777" w:rsidR="000A62ED" w:rsidRPr="001E4EC4" w:rsidRDefault="000A62ED">
            <w:pPr>
              <w:pStyle w:val="TableHeading"/>
              <w:spacing w:before="45" w:after="45"/>
              <w:jc w:val="center"/>
              <w:rPr>
                <w:rFonts w:cs="Open Sans"/>
                <w:color w:val="1D4374"/>
              </w:rPr>
            </w:pPr>
            <w:r w:rsidRPr="007F2094">
              <w:t>SA</w:t>
            </w:r>
          </w:p>
        </w:tc>
        <w:tc>
          <w:tcPr>
            <w:tcW w:w="423" w:type="pct"/>
            <w:tcBorders>
              <w:bottom w:val="single" w:sz="4" w:space="0" w:color="B3B3B3"/>
            </w:tcBorders>
            <w:shd w:val="clear" w:color="000000" w:fill="auto"/>
          </w:tcPr>
          <w:p w14:paraId="0BD706B8" w14:textId="77777777" w:rsidR="000A62ED" w:rsidRPr="001E4EC4" w:rsidRDefault="000A62ED">
            <w:pPr>
              <w:pStyle w:val="TableHeading"/>
              <w:spacing w:before="45" w:after="45"/>
              <w:jc w:val="center"/>
              <w:rPr>
                <w:rFonts w:cs="Open Sans"/>
                <w:color w:val="1D4374"/>
              </w:rPr>
            </w:pPr>
            <w:r w:rsidRPr="007F2094">
              <w:t>TAS</w:t>
            </w:r>
          </w:p>
        </w:tc>
        <w:tc>
          <w:tcPr>
            <w:tcW w:w="423" w:type="pct"/>
            <w:tcBorders>
              <w:bottom w:val="single" w:sz="4" w:space="0" w:color="B3B3B3"/>
            </w:tcBorders>
            <w:shd w:val="clear" w:color="000000" w:fill="auto"/>
          </w:tcPr>
          <w:p w14:paraId="532980C2" w14:textId="77777777" w:rsidR="000A62ED" w:rsidRPr="001E4EC4" w:rsidRDefault="000A62ED">
            <w:pPr>
              <w:pStyle w:val="TableHeading"/>
              <w:spacing w:before="45" w:after="45"/>
              <w:jc w:val="center"/>
              <w:rPr>
                <w:rFonts w:cs="Open Sans"/>
                <w:color w:val="1D4374"/>
              </w:rPr>
            </w:pPr>
            <w:r w:rsidRPr="007F2094">
              <w:t>ACT</w:t>
            </w:r>
          </w:p>
        </w:tc>
        <w:tc>
          <w:tcPr>
            <w:tcW w:w="423" w:type="pct"/>
            <w:tcBorders>
              <w:bottom w:val="single" w:sz="4" w:space="0" w:color="B3B3B3"/>
            </w:tcBorders>
            <w:shd w:val="clear" w:color="000000" w:fill="auto"/>
          </w:tcPr>
          <w:p w14:paraId="7A3D69FD" w14:textId="77777777" w:rsidR="000A62ED" w:rsidRPr="001E4EC4" w:rsidRDefault="000A62ED">
            <w:pPr>
              <w:pStyle w:val="TableHeading"/>
              <w:spacing w:before="45" w:after="45"/>
              <w:jc w:val="center"/>
              <w:rPr>
                <w:rFonts w:cs="Open Sans"/>
                <w:color w:val="1D4374"/>
              </w:rPr>
            </w:pPr>
            <w:r w:rsidRPr="007F2094">
              <w:t>NT</w:t>
            </w:r>
          </w:p>
        </w:tc>
        <w:tc>
          <w:tcPr>
            <w:tcW w:w="807" w:type="pct"/>
            <w:tcBorders>
              <w:bottom w:val="single" w:sz="4" w:space="0" w:color="B3B3B3"/>
            </w:tcBorders>
            <w:shd w:val="clear" w:color="000000" w:fill="auto"/>
          </w:tcPr>
          <w:p w14:paraId="2118151C" w14:textId="77777777" w:rsidR="000A62ED" w:rsidRDefault="000A62ED">
            <w:pPr>
              <w:pStyle w:val="TableHeading"/>
              <w:spacing w:before="45" w:after="45"/>
              <w:jc w:val="center"/>
            </w:pPr>
            <w:r>
              <w:t>Total PC score</w:t>
            </w:r>
          </w:p>
        </w:tc>
      </w:tr>
      <w:tr w:rsidR="000A62ED" w:rsidRPr="001E4EC4" w14:paraId="1EB1D931" w14:textId="77777777" w:rsidTr="00435C74">
        <w:tc>
          <w:tcPr>
            <w:tcW w:w="809" w:type="pct"/>
            <w:tcBorders>
              <w:top w:val="single" w:sz="4" w:space="0" w:color="B3B3B3"/>
              <w:bottom w:val="nil"/>
            </w:tcBorders>
            <w:shd w:val="clear" w:color="000000" w:fill="E6E6E6"/>
          </w:tcPr>
          <w:p w14:paraId="6287CAC4" w14:textId="77777777" w:rsidR="000A62ED" w:rsidRPr="004760D5" w:rsidRDefault="000A62ED">
            <w:pPr>
              <w:pStyle w:val="TableHeading"/>
              <w:spacing w:before="45" w:after="45"/>
              <w:rPr>
                <w:rFonts w:cs="Open Sans"/>
                <w:b w:val="0"/>
                <w:bCs/>
                <w:color w:val="auto"/>
              </w:rPr>
            </w:pPr>
            <w:r w:rsidRPr="004760D5">
              <w:rPr>
                <w:rFonts w:cs="Open Sans"/>
                <w:b w:val="0"/>
                <w:bCs/>
                <w:color w:val="auto"/>
              </w:rPr>
              <w:t>Current system without NoWO payments</w:t>
            </w:r>
          </w:p>
        </w:tc>
        <w:tc>
          <w:tcPr>
            <w:tcW w:w="423" w:type="pct"/>
            <w:tcBorders>
              <w:top w:val="single" w:sz="4" w:space="0" w:color="B3B3B3"/>
              <w:bottom w:val="nil"/>
            </w:tcBorders>
            <w:shd w:val="clear" w:color="000000" w:fill="E6E6E6"/>
          </w:tcPr>
          <w:p w14:paraId="0E7AA948" w14:textId="77777777" w:rsidR="000A62ED" w:rsidRPr="001E4EC4" w:rsidRDefault="000A62ED">
            <w:pPr>
              <w:pStyle w:val="TableBody"/>
              <w:spacing w:before="45" w:after="45"/>
              <w:ind w:right="108"/>
              <w:jc w:val="center"/>
              <w:rPr>
                <w:rFonts w:cs="Open Sans"/>
                <w:color w:val="000000"/>
              </w:rPr>
            </w:pPr>
            <w:r w:rsidRPr="00C75E0E">
              <w:t>6%</w:t>
            </w:r>
          </w:p>
        </w:tc>
        <w:tc>
          <w:tcPr>
            <w:tcW w:w="423" w:type="pct"/>
            <w:tcBorders>
              <w:top w:val="single" w:sz="4" w:space="0" w:color="B3B3B3"/>
              <w:bottom w:val="nil"/>
            </w:tcBorders>
            <w:shd w:val="clear" w:color="000000" w:fill="E6E6E6"/>
          </w:tcPr>
          <w:p w14:paraId="12BCEE19" w14:textId="77777777" w:rsidR="000A62ED" w:rsidRPr="001E4EC4" w:rsidRDefault="000A62ED">
            <w:pPr>
              <w:pStyle w:val="TableBody"/>
              <w:spacing w:before="45" w:after="45"/>
              <w:ind w:right="108"/>
              <w:jc w:val="center"/>
              <w:rPr>
                <w:rFonts w:cs="Open Sans"/>
                <w:color w:val="000000"/>
              </w:rPr>
            </w:pPr>
            <w:r w:rsidRPr="00C75E0E">
              <w:t>8%</w:t>
            </w:r>
          </w:p>
        </w:tc>
        <w:tc>
          <w:tcPr>
            <w:tcW w:w="423" w:type="pct"/>
            <w:tcBorders>
              <w:top w:val="single" w:sz="4" w:space="0" w:color="B3B3B3"/>
              <w:bottom w:val="nil"/>
            </w:tcBorders>
            <w:shd w:val="clear" w:color="000000" w:fill="E6E6E6"/>
          </w:tcPr>
          <w:p w14:paraId="7506FEBC" w14:textId="77777777" w:rsidR="000A62ED" w:rsidRPr="001E4EC4" w:rsidRDefault="000A62ED">
            <w:pPr>
              <w:pStyle w:val="TableBody"/>
              <w:spacing w:before="45" w:after="45"/>
              <w:ind w:right="108"/>
              <w:jc w:val="center"/>
              <w:rPr>
                <w:rFonts w:cs="Open Sans"/>
                <w:color w:val="000000"/>
              </w:rPr>
            </w:pPr>
            <w:r w:rsidRPr="00C75E0E">
              <w:t>5%</w:t>
            </w:r>
          </w:p>
        </w:tc>
        <w:tc>
          <w:tcPr>
            <w:tcW w:w="423" w:type="pct"/>
            <w:tcBorders>
              <w:top w:val="single" w:sz="4" w:space="0" w:color="B3B3B3"/>
              <w:bottom w:val="nil"/>
            </w:tcBorders>
            <w:shd w:val="clear" w:color="000000" w:fill="E6E6E6"/>
          </w:tcPr>
          <w:p w14:paraId="28676158" w14:textId="77777777" w:rsidR="000A62ED" w:rsidRPr="001E4EC4" w:rsidRDefault="000A62ED">
            <w:pPr>
              <w:pStyle w:val="TableBody"/>
              <w:spacing w:before="45" w:after="45"/>
              <w:ind w:right="108"/>
              <w:jc w:val="center"/>
              <w:rPr>
                <w:rFonts w:cs="Open Sans"/>
                <w:color w:val="000000"/>
              </w:rPr>
            </w:pPr>
            <w:r>
              <w:t>1</w:t>
            </w:r>
            <w:r w:rsidRPr="00C75E0E">
              <w:t>%</w:t>
            </w:r>
          </w:p>
        </w:tc>
        <w:tc>
          <w:tcPr>
            <w:tcW w:w="423" w:type="pct"/>
            <w:tcBorders>
              <w:top w:val="single" w:sz="4" w:space="0" w:color="B3B3B3"/>
              <w:bottom w:val="nil"/>
            </w:tcBorders>
            <w:shd w:val="clear" w:color="000000" w:fill="E6E6E6"/>
          </w:tcPr>
          <w:p w14:paraId="210E27F1" w14:textId="77777777" w:rsidR="000A62ED" w:rsidRPr="001E4EC4" w:rsidRDefault="000A62ED">
            <w:pPr>
              <w:pStyle w:val="TableBody"/>
              <w:spacing w:before="45" w:after="45"/>
              <w:ind w:right="108"/>
              <w:jc w:val="center"/>
              <w:rPr>
                <w:rFonts w:cs="Open Sans"/>
                <w:color w:val="000000"/>
              </w:rPr>
            </w:pPr>
            <w:r w:rsidRPr="00C75E0E">
              <w:t>5%</w:t>
            </w:r>
          </w:p>
        </w:tc>
        <w:tc>
          <w:tcPr>
            <w:tcW w:w="423" w:type="pct"/>
            <w:tcBorders>
              <w:top w:val="single" w:sz="4" w:space="0" w:color="B3B3B3"/>
              <w:bottom w:val="nil"/>
            </w:tcBorders>
            <w:shd w:val="clear" w:color="000000" w:fill="E6E6E6"/>
          </w:tcPr>
          <w:p w14:paraId="371EFA27" w14:textId="77777777" w:rsidR="000A62ED" w:rsidRPr="001E4EC4" w:rsidRDefault="000A62ED">
            <w:pPr>
              <w:pStyle w:val="TableBody"/>
              <w:spacing w:before="45" w:after="45"/>
              <w:ind w:right="108"/>
              <w:jc w:val="center"/>
              <w:rPr>
                <w:rFonts w:cs="Open Sans"/>
                <w:color w:val="000000"/>
              </w:rPr>
            </w:pPr>
            <w:r w:rsidRPr="00C75E0E">
              <w:t>4%</w:t>
            </w:r>
          </w:p>
        </w:tc>
        <w:tc>
          <w:tcPr>
            <w:tcW w:w="423" w:type="pct"/>
            <w:tcBorders>
              <w:top w:val="single" w:sz="4" w:space="0" w:color="B3B3B3"/>
              <w:bottom w:val="nil"/>
            </w:tcBorders>
            <w:shd w:val="clear" w:color="000000" w:fill="E6E6E6"/>
          </w:tcPr>
          <w:p w14:paraId="3A6F8D73" w14:textId="77777777" w:rsidR="000A62ED" w:rsidRPr="00D16197" w:rsidRDefault="000A62ED">
            <w:pPr>
              <w:pStyle w:val="TableBody"/>
              <w:spacing w:before="45" w:after="45"/>
              <w:ind w:right="108"/>
              <w:jc w:val="center"/>
              <w:rPr>
                <w:rFonts w:cs="Open Sans"/>
                <w:b/>
                <w:bCs/>
                <w:i/>
                <w:iCs/>
                <w:color w:val="000000"/>
              </w:rPr>
            </w:pPr>
            <w:r w:rsidRPr="00C75E0E">
              <w:t>8%</w:t>
            </w:r>
          </w:p>
        </w:tc>
        <w:tc>
          <w:tcPr>
            <w:tcW w:w="423" w:type="pct"/>
            <w:tcBorders>
              <w:top w:val="single" w:sz="4" w:space="0" w:color="B3B3B3"/>
              <w:bottom w:val="nil"/>
            </w:tcBorders>
            <w:shd w:val="clear" w:color="000000" w:fill="E6E6E6"/>
          </w:tcPr>
          <w:p w14:paraId="6492421A" w14:textId="77777777" w:rsidR="000A62ED" w:rsidRPr="00721E58" w:rsidRDefault="000A62ED">
            <w:pPr>
              <w:pStyle w:val="TableBody"/>
              <w:spacing w:before="45" w:after="45"/>
              <w:ind w:right="108"/>
              <w:jc w:val="center"/>
              <w:rPr>
                <w:rFonts w:cs="Open Sans"/>
                <w:b/>
                <w:bCs/>
                <w:color w:val="000000"/>
              </w:rPr>
            </w:pPr>
            <w:r w:rsidRPr="00721E58">
              <w:t>1</w:t>
            </w:r>
            <w:r>
              <w:t>2</w:t>
            </w:r>
            <w:r w:rsidRPr="00721E58">
              <w:t>%</w:t>
            </w:r>
          </w:p>
        </w:tc>
        <w:tc>
          <w:tcPr>
            <w:tcW w:w="807" w:type="pct"/>
            <w:tcBorders>
              <w:top w:val="single" w:sz="4" w:space="0" w:color="B3B3B3"/>
              <w:bottom w:val="nil"/>
            </w:tcBorders>
            <w:shd w:val="clear" w:color="000000" w:fill="E6E6E6"/>
          </w:tcPr>
          <w:p w14:paraId="59FECAAB" w14:textId="77777777" w:rsidR="000A62ED" w:rsidRPr="004760D5" w:rsidRDefault="000A62ED" w:rsidP="004760D5">
            <w:pPr>
              <w:pStyle w:val="TableHeading"/>
              <w:spacing w:before="45" w:after="45"/>
              <w:jc w:val="center"/>
            </w:pPr>
            <w:r w:rsidRPr="004760D5">
              <w:t>15</w:t>
            </w:r>
          </w:p>
        </w:tc>
      </w:tr>
      <w:tr w:rsidR="000A62ED" w:rsidRPr="001E4EC4" w14:paraId="0DC97F2B" w14:textId="77777777" w:rsidTr="00435C74">
        <w:tc>
          <w:tcPr>
            <w:tcW w:w="809" w:type="pct"/>
            <w:tcBorders>
              <w:top w:val="nil"/>
              <w:bottom w:val="single" w:sz="4" w:space="0" w:color="BFBFBF" w:themeColor="background1" w:themeShade="BF"/>
            </w:tcBorders>
            <w:shd w:val="clear" w:color="000000" w:fill="auto"/>
          </w:tcPr>
          <w:p w14:paraId="27E5E2D3" w14:textId="77777777" w:rsidR="000A62ED" w:rsidRPr="004760D5" w:rsidRDefault="000A62ED">
            <w:pPr>
              <w:pStyle w:val="TableHeading"/>
              <w:spacing w:before="45" w:after="45"/>
              <w:rPr>
                <w:rFonts w:cs="Open Sans"/>
                <w:b w:val="0"/>
                <w:bCs/>
                <w:color w:val="auto"/>
              </w:rPr>
            </w:pPr>
            <w:r w:rsidRPr="004760D5">
              <w:rPr>
                <w:rFonts w:cs="Open Sans"/>
                <w:b w:val="0"/>
                <w:bCs/>
                <w:color w:val="auto"/>
              </w:rPr>
              <w:t>Current system with NoWO payments</w:t>
            </w:r>
          </w:p>
        </w:tc>
        <w:tc>
          <w:tcPr>
            <w:tcW w:w="423" w:type="pct"/>
            <w:tcBorders>
              <w:top w:val="nil"/>
              <w:bottom w:val="single" w:sz="4" w:space="0" w:color="BFBFBF" w:themeColor="background1" w:themeShade="BF"/>
            </w:tcBorders>
            <w:shd w:val="clear" w:color="000000" w:fill="auto"/>
          </w:tcPr>
          <w:p w14:paraId="393B9112" w14:textId="77777777" w:rsidR="000A62ED" w:rsidRPr="001E4EC4" w:rsidRDefault="000A62ED">
            <w:pPr>
              <w:pStyle w:val="TableBody"/>
              <w:spacing w:before="45" w:after="45"/>
              <w:ind w:right="108"/>
              <w:jc w:val="center"/>
              <w:rPr>
                <w:rFonts w:cs="Open Sans"/>
                <w:color w:val="000000"/>
              </w:rPr>
            </w:pPr>
            <w:r w:rsidRPr="00662953">
              <w:t>5%</w:t>
            </w:r>
          </w:p>
        </w:tc>
        <w:tc>
          <w:tcPr>
            <w:tcW w:w="423" w:type="pct"/>
            <w:tcBorders>
              <w:top w:val="nil"/>
              <w:bottom w:val="single" w:sz="4" w:space="0" w:color="BFBFBF" w:themeColor="background1" w:themeShade="BF"/>
            </w:tcBorders>
            <w:shd w:val="clear" w:color="000000" w:fill="auto"/>
          </w:tcPr>
          <w:p w14:paraId="3D391FE7" w14:textId="77777777" w:rsidR="000A62ED" w:rsidRPr="001E4EC4" w:rsidRDefault="000A62ED">
            <w:pPr>
              <w:pStyle w:val="TableBody"/>
              <w:spacing w:before="45" w:after="45"/>
              <w:ind w:right="108"/>
              <w:jc w:val="center"/>
              <w:rPr>
                <w:rFonts w:cs="Open Sans"/>
                <w:color w:val="000000"/>
              </w:rPr>
            </w:pPr>
            <w:r w:rsidRPr="00662953">
              <w:t>7%</w:t>
            </w:r>
          </w:p>
        </w:tc>
        <w:tc>
          <w:tcPr>
            <w:tcW w:w="423" w:type="pct"/>
            <w:tcBorders>
              <w:top w:val="nil"/>
              <w:bottom w:val="single" w:sz="4" w:space="0" w:color="BFBFBF" w:themeColor="background1" w:themeShade="BF"/>
            </w:tcBorders>
            <w:shd w:val="clear" w:color="000000" w:fill="auto"/>
          </w:tcPr>
          <w:p w14:paraId="5389BBE1" w14:textId="77777777" w:rsidR="000A62ED" w:rsidRPr="001E4EC4" w:rsidRDefault="000A62ED">
            <w:pPr>
              <w:pStyle w:val="TableBody"/>
              <w:spacing w:before="45" w:after="45"/>
              <w:ind w:right="108"/>
              <w:jc w:val="center"/>
              <w:rPr>
                <w:rFonts w:cs="Open Sans"/>
                <w:color w:val="000000"/>
              </w:rPr>
            </w:pPr>
            <w:r w:rsidRPr="00662953">
              <w:t>4%</w:t>
            </w:r>
          </w:p>
        </w:tc>
        <w:tc>
          <w:tcPr>
            <w:tcW w:w="423" w:type="pct"/>
            <w:tcBorders>
              <w:top w:val="nil"/>
              <w:bottom w:val="single" w:sz="4" w:space="0" w:color="BFBFBF" w:themeColor="background1" w:themeShade="BF"/>
            </w:tcBorders>
            <w:shd w:val="clear" w:color="000000" w:fill="auto"/>
          </w:tcPr>
          <w:p w14:paraId="65F99435" w14:textId="77777777" w:rsidR="000A62ED" w:rsidRPr="001E4EC4" w:rsidRDefault="000A62ED">
            <w:pPr>
              <w:pStyle w:val="TableBody"/>
              <w:spacing w:before="45" w:after="45"/>
              <w:ind w:right="108"/>
              <w:jc w:val="center"/>
              <w:rPr>
                <w:rFonts w:cs="Open Sans"/>
                <w:color w:val="000000"/>
              </w:rPr>
            </w:pPr>
            <w:r>
              <w:t>1</w:t>
            </w:r>
            <w:r w:rsidRPr="00662953">
              <w:t>%</w:t>
            </w:r>
          </w:p>
        </w:tc>
        <w:tc>
          <w:tcPr>
            <w:tcW w:w="423" w:type="pct"/>
            <w:tcBorders>
              <w:top w:val="nil"/>
              <w:bottom w:val="single" w:sz="4" w:space="0" w:color="BFBFBF" w:themeColor="background1" w:themeShade="BF"/>
            </w:tcBorders>
            <w:shd w:val="clear" w:color="000000" w:fill="auto"/>
          </w:tcPr>
          <w:p w14:paraId="32B79D8E" w14:textId="77777777" w:rsidR="000A62ED" w:rsidRPr="001E4EC4" w:rsidRDefault="000A62ED">
            <w:pPr>
              <w:pStyle w:val="TableBody"/>
              <w:spacing w:before="45" w:after="45"/>
              <w:ind w:right="108"/>
              <w:jc w:val="center"/>
              <w:rPr>
                <w:rFonts w:cs="Open Sans"/>
                <w:color w:val="000000"/>
              </w:rPr>
            </w:pPr>
            <w:r w:rsidRPr="00662953">
              <w:t>4%</w:t>
            </w:r>
          </w:p>
        </w:tc>
        <w:tc>
          <w:tcPr>
            <w:tcW w:w="423" w:type="pct"/>
            <w:tcBorders>
              <w:top w:val="nil"/>
              <w:bottom w:val="single" w:sz="4" w:space="0" w:color="BFBFBF" w:themeColor="background1" w:themeShade="BF"/>
            </w:tcBorders>
            <w:shd w:val="clear" w:color="000000" w:fill="auto"/>
          </w:tcPr>
          <w:p w14:paraId="4924246E" w14:textId="77777777" w:rsidR="000A62ED" w:rsidRPr="001E4EC4" w:rsidRDefault="000A62ED">
            <w:pPr>
              <w:pStyle w:val="TableBody"/>
              <w:spacing w:before="45" w:after="45"/>
              <w:ind w:right="108"/>
              <w:jc w:val="center"/>
              <w:rPr>
                <w:rFonts w:cs="Open Sans"/>
                <w:color w:val="000000"/>
              </w:rPr>
            </w:pPr>
            <w:r>
              <w:t>4</w:t>
            </w:r>
            <w:r w:rsidRPr="00662953">
              <w:t>%</w:t>
            </w:r>
          </w:p>
        </w:tc>
        <w:tc>
          <w:tcPr>
            <w:tcW w:w="423" w:type="pct"/>
            <w:tcBorders>
              <w:top w:val="nil"/>
              <w:bottom w:val="single" w:sz="4" w:space="0" w:color="BFBFBF" w:themeColor="background1" w:themeShade="BF"/>
            </w:tcBorders>
            <w:shd w:val="clear" w:color="000000" w:fill="auto"/>
          </w:tcPr>
          <w:p w14:paraId="0A96739F" w14:textId="77777777" w:rsidR="000A62ED" w:rsidRPr="001E4EC4" w:rsidRDefault="000A62ED">
            <w:pPr>
              <w:pStyle w:val="TableBody"/>
              <w:spacing w:before="45" w:after="45"/>
              <w:ind w:right="108"/>
              <w:jc w:val="center"/>
              <w:rPr>
                <w:rFonts w:cs="Open Sans"/>
                <w:color w:val="000000"/>
              </w:rPr>
            </w:pPr>
            <w:r w:rsidRPr="00662953">
              <w:t>7%</w:t>
            </w:r>
          </w:p>
        </w:tc>
        <w:tc>
          <w:tcPr>
            <w:tcW w:w="423" w:type="pct"/>
            <w:tcBorders>
              <w:top w:val="nil"/>
              <w:bottom w:val="single" w:sz="4" w:space="0" w:color="BFBFBF" w:themeColor="background1" w:themeShade="BF"/>
            </w:tcBorders>
            <w:shd w:val="clear" w:color="000000" w:fill="auto"/>
          </w:tcPr>
          <w:p w14:paraId="48DE3E34" w14:textId="77777777" w:rsidR="000A62ED" w:rsidRPr="00721E58" w:rsidRDefault="000A62ED">
            <w:pPr>
              <w:pStyle w:val="TableBody"/>
              <w:spacing w:before="45" w:after="45"/>
              <w:ind w:right="108"/>
              <w:jc w:val="center"/>
              <w:rPr>
                <w:rFonts w:cs="Open Sans"/>
                <w:b/>
                <w:bCs/>
                <w:color w:val="000000"/>
              </w:rPr>
            </w:pPr>
            <w:r w:rsidRPr="00721E58">
              <w:t>1</w:t>
            </w:r>
            <w:r>
              <w:t>2</w:t>
            </w:r>
            <w:r w:rsidRPr="00721E58">
              <w:t>%</w:t>
            </w:r>
          </w:p>
        </w:tc>
        <w:tc>
          <w:tcPr>
            <w:tcW w:w="807" w:type="pct"/>
            <w:tcBorders>
              <w:top w:val="nil"/>
              <w:bottom w:val="single" w:sz="4" w:space="0" w:color="BFBFBF" w:themeColor="background1" w:themeShade="BF"/>
            </w:tcBorders>
            <w:shd w:val="clear" w:color="000000" w:fill="auto"/>
          </w:tcPr>
          <w:p w14:paraId="11052783" w14:textId="77777777" w:rsidR="000A62ED" w:rsidRPr="004760D5" w:rsidRDefault="000A62ED" w:rsidP="004760D5">
            <w:pPr>
              <w:pStyle w:val="TableHeading"/>
              <w:spacing w:before="45" w:after="45"/>
              <w:jc w:val="center"/>
            </w:pPr>
            <w:r w:rsidRPr="004760D5">
              <w:t>12</w:t>
            </w:r>
          </w:p>
        </w:tc>
      </w:tr>
    </w:tbl>
    <w:p w14:paraId="06205F67" w14:textId="4EA7DF73" w:rsidR="000A62ED" w:rsidRDefault="000A62ED" w:rsidP="00F16234">
      <w:pPr>
        <w:pStyle w:val="Source"/>
        <w:spacing w:after="360"/>
      </w:pPr>
      <w:r w:rsidRPr="00696447">
        <w:t>Source:</w:t>
      </w:r>
      <w:r>
        <w:t xml:space="preserve"> PC estimates using</w:t>
      </w:r>
      <w:r w:rsidR="00942344">
        <w:t xml:space="preserve"> ABS </w:t>
      </w:r>
      <w:r w:rsidRPr="00622B96">
        <w:rPr>
          <w:rFonts w:cs="Open Sans"/>
        </w:rPr>
        <w:t>(2025a, unpublished data)</w:t>
      </w:r>
      <w:r w:rsidR="00F16234">
        <w:t xml:space="preserve">; </w:t>
      </w:r>
      <w:r>
        <w:t>CGC (unpublished data).</w:t>
      </w:r>
    </w:p>
    <w:p w14:paraId="39994180" w14:textId="77777777" w:rsidR="000A62ED" w:rsidRDefault="000A62ED">
      <w:pPr>
        <w:pStyle w:val="Heading3"/>
      </w:pPr>
      <w:r>
        <w:t>The NoWO guarantee has direct fiscal impacts on the Australian Government</w:t>
      </w:r>
    </w:p>
    <w:p w14:paraId="47729B26" w14:textId="77777777" w:rsidR="000A62ED" w:rsidRDefault="000A62ED">
      <w:r>
        <w:t xml:space="preserve">The direct fiscal impacts of the GST distribution system vary between state governments and the Australian Government. While GST revenue is a large revenue source for state governments, it previously had no direct impact on the Australian Government’s fiscal position – it appeared as both revenue and spending (via payments to states) in the Australian Government Budget, netting to zero. </w:t>
      </w:r>
    </w:p>
    <w:p w14:paraId="12B6DDDE" w14:textId="5FC0D7D8" w:rsidR="000A62ED" w:rsidRPr="00435C74" w:rsidRDefault="000A62ED">
      <w:pPr>
        <w:rPr>
          <w:spacing w:val="-2"/>
        </w:rPr>
      </w:pPr>
      <w:r w:rsidRPr="00435C74">
        <w:rPr>
          <w:spacing w:val="-2"/>
        </w:rPr>
        <w:t xml:space="preserve">The 2018 reforms materially changed the Australian Government’s fiscal exposure to the GST system. NoWO payments are now a growing budget cost, driven largely by commodity prices, especially iron ore. </w:t>
      </w:r>
      <w:r w:rsidRPr="00435C74">
        <w:rPr>
          <w:spacing w:val="-2"/>
        </w:rPr>
        <w:fldChar w:fldCharType="begin"/>
      </w:r>
      <w:r w:rsidRPr="00435C74">
        <w:rPr>
          <w:spacing w:val="-2"/>
        </w:rPr>
        <w:instrText xml:space="preserve"> REF _Ref236249629 \h </w:instrText>
      </w:r>
      <w:r w:rsidR="00435C74">
        <w:rPr>
          <w:spacing w:val="-2"/>
        </w:rPr>
        <w:instrText xml:space="preserve"> \* MERGEFORMAT </w:instrText>
      </w:r>
      <w:r w:rsidRPr="00435C74">
        <w:rPr>
          <w:spacing w:val="-2"/>
        </w:rPr>
      </w:r>
      <w:r w:rsidRPr="00435C74">
        <w:rPr>
          <w:spacing w:val="-2"/>
        </w:rPr>
        <w:fldChar w:fldCharType="separate"/>
      </w:r>
      <w:r w:rsidR="009C08C4" w:rsidRPr="009C08C4" w:rsidDel="00210FD7">
        <w:rPr>
          <w:spacing w:val="-2"/>
        </w:rPr>
        <w:t xml:space="preserve">Figure </w:t>
      </w:r>
      <w:r w:rsidR="009C08C4" w:rsidRPr="009C08C4">
        <w:rPr>
          <w:noProof/>
          <w:spacing w:val="-2"/>
        </w:rPr>
        <w:t>3</w:t>
      </w:r>
      <w:r w:rsidR="009C08C4" w:rsidRPr="009C08C4" w:rsidDel="00210FD7">
        <w:rPr>
          <w:noProof/>
          <w:spacing w:val="-2"/>
        </w:rPr>
        <w:t>.</w:t>
      </w:r>
      <w:r w:rsidR="009C08C4" w:rsidRPr="009C08C4">
        <w:rPr>
          <w:noProof/>
          <w:spacing w:val="-2"/>
        </w:rPr>
        <w:t>7</w:t>
      </w:r>
      <w:r w:rsidRPr="00435C74">
        <w:rPr>
          <w:spacing w:val="-2"/>
        </w:rPr>
        <w:fldChar w:fldCharType="end"/>
      </w:r>
      <w:r w:rsidRPr="00435C74">
        <w:rPr>
          <w:spacing w:val="-2"/>
        </w:rPr>
        <w:t xml:space="preserve"> estimates the annual NoWO cost to the Australian Government across different iron ore price points. The price points in the chart are to illustrate the contingent liability linked to the commodity. Some price points reflect circumstances that may not repeated in the foreseeable future, such as the high prices during COVID-19. Similarly, a price point substantially below the Australian Government Budget assumption </w:t>
      </w:r>
      <w:r w:rsidRPr="00435C74">
        <w:rPr>
          <w:rFonts w:cs="Open Sans"/>
          <w:spacing w:val="-2"/>
          <w:szCs w:val="24"/>
        </w:rPr>
        <w:t>(Commonwealth of Australia 2026)</w:t>
      </w:r>
      <w:r w:rsidRPr="00435C74">
        <w:rPr>
          <w:spacing w:val="-2"/>
        </w:rPr>
        <w:t xml:space="preserve"> is not necessarily expected to eventuate. </w:t>
      </w:r>
      <w:r w:rsidRPr="00435C74">
        <w:rPr>
          <w:spacing w:val="-2"/>
        </w:rPr>
        <w:fldChar w:fldCharType="begin"/>
      </w:r>
      <w:r w:rsidRPr="00435C74">
        <w:rPr>
          <w:spacing w:val="-2"/>
        </w:rPr>
        <w:instrText xml:space="preserve"> REF _Ref236250144 \h </w:instrText>
      </w:r>
      <w:r w:rsidR="00F16234" w:rsidRPr="00435C74">
        <w:rPr>
          <w:spacing w:val="-2"/>
        </w:rPr>
        <w:instrText xml:space="preserve"> \* MERGEFORMAT </w:instrText>
      </w:r>
      <w:r w:rsidRPr="00435C74">
        <w:rPr>
          <w:spacing w:val="-2"/>
        </w:rPr>
      </w:r>
      <w:r w:rsidRPr="00435C74">
        <w:rPr>
          <w:spacing w:val="-2"/>
        </w:rPr>
        <w:fldChar w:fldCharType="separate"/>
      </w:r>
      <w:r w:rsidR="009C08C4" w:rsidRPr="009C08C4">
        <w:rPr>
          <w:spacing w:val="-2"/>
        </w:rPr>
        <w:t xml:space="preserve">Table </w:t>
      </w:r>
      <w:r w:rsidR="009C08C4" w:rsidRPr="009C08C4">
        <w:rPr>
          <w:noProof/>
          <w:spacing w:val="-2"/>
        </w:rPr>
        <w:t>3.4</w:t>
      </w:r>
      <w:r w:rsidRPr="00435C74">
        <w:rPr>
          <w:spacing w:val="-2"/>
        </w:rPr>
        <w:fldChar w:fldCharType="end"/>
      </w:r>
      <w:r w:rsidRPr="00435C74">
        <w:rPr>
          <w:spacing w:val="-2"/>
        </w:rPr>
        <w:t xml:space="preserve"> explores hypothetical commodity price scenarios and the associated NoWO implications.</w:t>
      </w:r>
    </w:p>
    <w:p w14:paraId="0C6A580E" w14:textId="77777777" w:rsidR="00CE2E17" w:rsidRDefault="000A62ED">
      <w:pPr>
        <w:pStyle w:val="BodyText"/>
      </w:pPr>
      <w:r>
        <w:lastRenderedPageBreak/>
        <w:t>H</w:t>
      </w:r>
      <w:r w:rsidRPr="001E68F2">
        <w:t xml:space="preserve">igher iron ore prices also generate </w:t>
      </w:r>
      <w:r>
        <w:t xml:space="preserve">additional </w:t>
      </w:r>
      <w:r w:rsidRPr="001E68F2">
        <w:t>Australian Government revenue through company and personal income taxes</w:t>
      </w:r>
      <w:r>
        <w:t xml:space="preserve">. While </w:t>
      </w:r>
      <w:r w:rsidRPr="001E68F2">
        <w:t>the PC has not estimated the net fiscal effect</w:t>
      </w:r>
      <w:r>
        <w:t>,</w:t>
      </w:r>
      <w:r w:rsidRPr="001E68F2">
        <w:t xml:space="preserve"> </w:t>
      </w:r>
      <w:r>
        <w:t>t</w:t>
      </w:r>
      <w:r w:rsidRPr="001E68F2">
        <w:t xml:space="preserve">he associated rise in NoWO payments </w:t>
      </w:r>
      <w:r>
        <w:t xml:space="preserve">diminishes at least part of </w:t>
      </w:r>
      <w:r w:rsidRPr="001E68F2">
        <w:t>that revenue gain.</w:t>
      </w:r>
    </w:p>
    <w:p w14:paraId="26E2993C" w14:textId="77777777" w:rsidR="00272103" w:rsidRPr="004354D4" w:rsidRDefault="00272103" w:rsidP="00272103">
      <w:pPr>
        <w:pStyle w:val="BodyText"/>
      </w:pPr>
      <w:r w:rsidRPr="004354D4">
        <w:t>Western Australia is currently the only state above the standard state benchmark, largely due to its exceptional capacity to raise iron ore royalties. As Western Australia accounts for 99</w:t>
      </w:r>
      <w:r w:rsidRPr="006E56C1">
        <w:t xml:space="preserve">% </w:t>
      </w:r>
      <w:r w:rsidRPr="004354D4">
        <w:t xml:space="preserve">of Australia’s iron ore production, higher iron ore prices increase its assessed revenue capacity. Under the pre-2018 system, higher prices would have reduced Western Australia’s GST share and increased the shares of the other states. Under the current system, Western Australia’s GST share does not decrease to reflect its increased fiscal capacity. Until 2029–30, the gap between other states’ GST shares under the </w:t>
      </w:r>
      <w:r>
        <w:t>pre-2018</w:t>
      </w:r>
      <w:r w:rsidRPr="004354D4">
        <w:t xml:space="preserve"> and </w:t>
      </w:r>
      <w:r>
        <w:t>current</w:t>
      </w:r>
      <w:r w:rsidRPr="004354D4">
        <w:t xml:space="preserve"> systems are covered by Australian Government NoWO payments. As iron ore prices increase, the new and old systems diverge and the cost of NoWO increases.</w:t>
      </w:r>
    </w:p>
    <w:p w14:paraId="66C0D2B9" w14:textId="70389925" w:rsidR="000A62ED" w:rsidRPr="00146382" w:rsidRDefault="000A62ED">
      <w:pPr>
        <w:pStyle w:val="FigureTableHeading"/>
        <w:spacing w:line="240" w:lineRule="atLeast"/>
      </w:pPr>
      <w:bookmarkStart w:id="44" w:name="_Ref236249629"/>
      <w:r w:rsidRPr="00A76AA9" w:rsidDel="00210FD7">
        <w:t xml:space="preserve">Figure </w:t>
      </w:r>
      <w:fldSimple w:instr=" STYLEREF 1 \s ">
        <w:r w:rsidR="009C08C4">
          <w:rPr>
            <w:noProof/>
          </w:rPr>
          <w:t>3</w:t>
        </w:r>
      </w:fldSimple>
      <w:r w:rsidRPr="00A76AA9" w:rsidDel="00210FD7">
        <w:t>.</w:t>
      </w:r>
      <w:fldSimple w:instr=" SEQ Figure \* ARABIC \s 1 ">
        <w:r w:rsidR="009C08C4">
          <w:rPr>
            <w:noProof/>
          </w:rPr>
          <w:t>7</w:t>
        </w:r>
      </w:fldSimple>
      <w:bookmarkEnd w:id="44"/>
      <w:r w:rsidRPr="006E56C1" w:rsidDel="00210FD7">
        <w:t xml:space="preserve"> </w:t>
      </w:r>
      <w:r w:rsidRPr="006E56C1">
        <w:t>– NoWO is positively related with iron ore prices with no ceiling</w:t>
      </w:r>
    </w:p>
    <w:p w14:paraId="0E60E18C" w14:textId="77777777" w:rsidR="000A62ED" w:rsidRPr="00EF56E5" w:rsidRDefault="000A62ED" w:rsidP="00EF56E5">
      <w:pPr>
        <w:pStyle w:val="FigureTableSubheading"/>
      </w:pPr>
      <w:r w:rsidRPr="00EF56E5">
        <w:t>Estimated NoWO guarantee costs by iron ore price, with key price points highlighted </w:t>
      </w:r>
    </w:p>
    <w:p w14:paraId="0A21EE2E" w14:textId="0499E1EA" w:rsidR="00B71F92" w:rsidRDefault="00B4740F" w:rsidP="00B71F92">
      <w:pPr>
        <w:pStyle w:val="Note"/>
      </w:pPr>
      <w:r w:rsidRPr="00B4740F">
        <w:rPr>
          <w:noProof/>
        </w:rPr>
        <w:drawing>
          <wp:inline distT="0" distB="0" distL="0" distR="0" wp14:anchorId="24B04C00" wp14:editId="458CAB32">
            <wp:extent cx="6120130" cy="2786743"/>
            <wp:effectExtent l="0" t="0" r="0" b="0"/>
            <wp:docPr id="594183326" name="Picture 18" descr="Figure 3.8 – This is a line chart with NoWO payments on the y axis, and the iron ore price on the x-axis, with a line demonstrating the PC’s estimation of how the cost of NoWO would change as the iron ore price increases.&#10;The chart shows that there is no estimated cost of NoWO up to an iron ore price of $20 per ton. From there, the cost of NoWO increases linearly with the iron ore price, at around $5 billion for an iron ore price of $85 per ton, the budget assumption, $7 billion for an iron ore price of $121 per ton, the 10-year average, or $12 billion for an iron ore price of $191, the 2021 annual aver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183326" name="Picture 18" descr="Figure 3.8 – This is a line chart with NoWO payments on the y axis, and the iron ore price on the x-axis, with a line demonstrating the PC’s estimation of how the cost of NoWO would change as the iron ore price increases.&#10;The chart shows that there is no estimated cost of NoWO up to an iron ore price of $20 per ton. From there, the cost of NoWO increases linearly with the iron ore price, at around $5 billion for an iron ore price of $85 per ton, the budget assumption, $7 billion for an iron ore price of $121 per ton, the 10-year average, or $12 billion for an iron ore price of $191, the 2021 annual average. &#10;"/>
                    <pic:cNvPicPr>
                      <a:picLocks noChangeAspect="1" noChangeArrowheads="1"/>
                    </pic:cNvPicPr>
                  </pic:nvPicPr>
                  <pic:blipFill rotWithShape="1">
                    <a:blip r:embed="rId84">
                      <a:extLst>
                        <a:ext uri="{28A0092B-C50C-407E-A947-70E740481C1C}">
                          <a14:useLocalDpi xmlns:a14="http://schemas.microsoft.com/office/drawing/2010/main" val="0"/>
                        </a:ext>
                      </a:extLst>
                    </a:blip>
                    <a:srcRect b="2950"/>
                    <a:stretch>
                      <a:fillRect/>
                    </a:stretch>
                  </pic:blipFill>
                  <pic:spPr bwMode="auto">
                    <a:xfrm>
                      <a:off x="0" y="0"/>
                      <a:ext cx="6120130" cy="2786743"/>
                    </a:xfrm>
                    <a:prstGeom prst="rect">
                      <a:avLst/>
                    </a:prstGeom>
                    <a:noFill/>
                    <a:ln>
                      <a:noFill/>
                    </a:ln>
                    <a:extLst>
                      <a:ext uri="{53640926-AAD7-44D8-BBD7-CCE9431645EC}">
                        <a14:shadowObscured xmlns:a14="http://schemas.microsoft.com/office/drawing/2010/main"/>
                      </a:ext>
                    </a:extLst>
                  </pic:spPr>
                </pic:pic>
              </a:graphicData>
            </a:graphic>
          </wp:inline>
        </w:drawing>
      </w:r>
      <w:r w:rsidR="000A62ED" w:rsidRPr="006845C5">
        <w:t xml:space="preserve">In this model, Western Australia’s assessed relativity becomes negative above an iron ore price of US$154 per tonne. Although prices exceeded this level in 2021, the CGC’s 3-year averaging kept Western Australia’s assessed relativity positive. As it is unclear how the CGC would treat a negative 3-year average relativity, the model allows negative values. </w:t>
      </w:r>
    </w:p>
    <w:p w14:paraId="2388C8BD" w14:textId="695F5A8E" w:rsidR="000A62ED" w:rsidRPr="002C2BD7" w:rsidRDefault="000A62ED" w:rsidP="006F25AD">
      <w:pPr>
        <w:pStyle w:val="Source"/>
      </w:pPr>
      <w:r w:rsidRPr="006845C5">
        <w:rPr>
          <w:szCs w:val="22"/>
        </w:rPr>
        <w:t>Source: PC estimates using CGC (2025) and DISR (2025) data</w:t>
      </w:r>
      <w:r w:rsidR="00875B16">
        <w:rPr>
          <w:szCs w:val="22"/>
        </w:rPr>
        <w:t>.</w:t>
      </w:r>
    </w:p>
    <w:p w14:paraId="2B8B13A3" w14:textId="0DDBD3F2" w:rsidR="000A62ED" w:rsidRPr="003068D4" w:rsidRDefault="000A62ED">
      <w:pPr>
        <w:pStyle w:val="BodyText"/>
      </w:pPr>
      <w:r w:rsidRPr="004354D4">
        <w:t xml:space="preserve">NoWO payments are unlikely, on their own, to threaten the Australian Government’s fiscal sustainability, </w:t>
      </w:r>
      <w:r w:rsidRPr="006E56C1">
        <w:t>accounting for less than 1% of annual Australian Government revenue.</w:t>
      </w:r>
      <w:r w:rsidRPr="004354D4">
        <w:t xml:space="preserve"> Even so, they represent a material, volatile and open-ended budget cost, with corresponding trade-offs</w:t>
      </w:r>
      <w:r w:rsidRPr="001E68F2">
        <w:t xml:space="preserve"> for other spending and revenue </w:t>
      </w:r>
      <w:r w:rsidRPr="004354D4">
        <w:t xml:space="preserve">priorities. </w:t>
      </w:r>
      <w:r w:rsidRPr="006E56C1">
        <w:t>For context, had the current system operated from 2001–02 to 2024</w:t>
      </w:r>
      <w:r w:rsidR="00E23A6B">
        <w:t>–‍</w:t>
      </w:r>
      <w:r w:rsidRPr="006E56C1">
        <w:t>25, cumulative NoWO payments are estimated to have reached $65.4</w:t>
      </w:r>
      <w:r>
        <w:t>b</w:t>
      </w:r>
      <w:r w:rsidRPr="006E56C1">
        <w:t xml:space="preserve"> in 2024–25 </w:t>
      </w:r>
      <w:r w:rsidRPr="003068D4">
        <w:t>prices.</w:t>
      </w:r>
    </w:p>
    <w:p w14:paraId="06FB67B0" w14:textId="77777777" w:rsidR="000A62ED" w:rsidRPr="00753FDA" w:rsidRDefault="000A62ED" w:rsidP="00862237">
      <w:pPr>
        <w:pStyle w:val="Heading4"/>
      </w:pPr>
      <w:r>
        <w:lastRenderedPageBreak/>
        <w:t>A range of commodity prices need to be considered when assessing the effects of different GST distribution systems</w:t>
      </w:r>
    </w:p>
    <w:p w14:paraId="75C58AC6" w14:textId="63DBB3BE" w:rsidR="000A62ED" w:rsidRDefault="000A62ED" w:rsidP="00862237">
      <w:pPr>
        <w:pStyle w:val="BodyText"/>
        <w:keepNext/>
        <w:keepLines/>
      </w:pPr>
      <w:r>
        <w:t xml:space="preserve">The assumptions made when the 2018 reforms were introduced suggested the future cost to the Australian Government would be constrained to the costs of the GST pool </w:t>
      </w:r>
      <w:r w:rsidR="00AE11C5">
        <w:t>boost</w:t>
      </w:r>
      <w:r>
        <w:t>. Subsequent commodity price increases demonstrated that its exposure was much larger than initially assumed.</w:t>
      </w:r>
    </w:p>
    <w:p w14:paraId="3669C4D8" w14:textId="77777777" w:rsidR="000A62ED" w:rsidRDefault="000A62ED">
      <w:pPr>
        <w:pStyle w:val="BodyText"/>
      </w:pPr>
      <w:r w:rsidRPr="000914DD">
        <w:t>Mining royalties are among the largest and most volatile drivers of state</w:t>
      </w:r>
      <w:r>
        <w:t>s’</w:t>
      </w:r>
      <w:r w:rsidRPr="000914DD">
        <w:t xml:space="preserve"> assessed fiscal capacity. </w:t>
      </w:r>
      <w:r>
        <w:t>As discussed above i</w:t>
      </w:r>
      <w:r w:rsidRPr="000914DD">
        <w:t>ron ore is particularly important</w:t>
      </w:r>
      <w:r>
        <w:t xml:space="preserve">. </w:t>
      </w:r>
      <w:r w:rsidRPr="000914DD">
        <w:t>Metallurgical and thermal coal in Queensland and New South Wales also affect the GST distribution, but their broader fiscal effects are smaller because production is less concentrated</w:t>
      </w:r>
      <w:r>
        <w:t>,</w:t>
      </w:r>
      <w:r w:rsidRPr="000914DD">
        <w:t xml:space="preserve"> and revenues are lower</w:t>
      </w:r>
      <w:r>
        <w:t>,</w:t>
      </w:r>
      <w:r w:rsidRPr="000914DD">
        <w:t xml:space="preserve"> than for Western Australian </w:t>
      </w:r>
      <w:r>
        <w:t>and</w:t>
      </w:r>
      <w:r w:rsidRPr="000914DD">
        <w:t xml:space="preserve"> iron ore. Relative </w:t>
      </w:r>
      <w:r>
        <w:t>price</w:t>
      </w:r>
      <w:r w:rsidRPr="000914DD">
        <w:t xml:space="preserve"> movements across commodities nevertheless matter</w:t>
      </w:r>
      <w:r>
        <w:t>.</w:t>
      </w:r>
      <w:r w:rsidRPr="000914DD">
        <w:t xml:space="preserve"> </w:t>
      </w:r>
      <w:r>
        <w:t>For instance,</w:t>
      </w:r>
      <w:r w:rsidRPr="000914DD" w:rsidDel="00D07331">
        <w:t xml:space="preserve"> </w:t>
      </w:r>
      <w:r>
        <w:t>Western Australia’s</w:t>
      </w:r>
      <w:r w:rsidRPr="000914DD">
        <w:t xml:space="preserve"> GST share could rise even if iron ore prices were falling, </w:t>
      </w:r>
      <w:r>
        <w:t>depending on whether</w:t>
      </w:r>
      <w:r w:rsidRPr="000914DD">
        <w:t xml:space="preserve"> coal prices </w:t>
      </w:r>
      <w:r>
        <w:t xml:space="preserve">were </w:t>
      </w:r>
      <w:r w:rsidRPr="000914DD">
        <w:t>declin</w:t>
      </w:r>
      <w:r>
        <w:t>ing</w:t>
      </w:r>
      <w:r w:rsidRPr="000914DD">
        <w:t xml:space="preserve"> by more.</w:t>
      </w:r>
    </w:p>
    <w:p w14:paraId="12B15023" w14:textId="3C0F58E7" w:rsidR="000A62ED" w:rsidRDefault="000A62ED">
      <w:pPr>
        <w:pStyle w:val="BodyText"/>
      </w:pPr>
      <w:r w:rsidRPr="2C8B44E7">
        <w:t xml:space="preserve">The </w:t>
      </w:r>
      <w:r w:rsidR="00FF6BA5">
        <w:t>i</w:t>
      </w:r>
      <w:r w:rsidRPr="2C8B44E7">
        <w:t>nquiry’s terms of reference require an assessment of fiscal sustainability for both the Australian Government and the states. That cannot be done without considering the commodity price environments in which a future HFE system may operate.</w:t>
      </w:r>
      <w:r>
        <w:t xml:space="preserve"> </w:t>
      </w:r>
      <w:r w:rsidRPr="2C8B44E7">
        <w:t xml:space="preserve">Commodity prices, however, are difficult to forecast with precision. They are shaped by global economic forces </w:t>
      </w:r>
      <w:r>
        <w:t xml:space="preserve">including, but not limited to </w:t>
      </w:r>
      <w:r w:rsidRPr="2C8B44E7">
        <w:t xml:space="preserve">Chinese steel </w:t>
      </w:r>
      <w:r>
        <w:t>production</w:t>
      </w:r>
      <w:r w:rsidRPr="2C8B44E7">
        <w:t xml:space="preserve">, </w:t>
      </w:r>
      <w:r>
        <w:t xml:space="preserve">unexpected </w:t>
      </w:r>
      <w:r w:rsidRPr="2C8B44E7">
        <w:t xml:space="preserve">supply disruptions, exchange rates, </w:t>
      </w:r>
      <w:r>
        <w:t xml:space="preserve">the </w:t>
      </w:r>
      <w:r w:rsidRPr="2C8B44E7">
        <w:t xml:space="preserve">energy transition, policy decisions and geopolitical shocks. While some of these drivers are observable and predictable; others are inherently unpredictable. </w:t>
      </w:r>
    </w:p>
    <w:p w14:paraId="375C1500" w14:textId="36DFB010" w:rsidR="00FF2CF1" w:rsidRDefault="000A62ED">
      <w:pPr>
        <w:pStyle w:val="BodyText"/>
      </w:pPr>
      <w:r w:rsidRPr="00CE4040">
        <w:t xml:space="preserve">Reflecting these challenges, the PC </w:t>
      </w:r>
      <w:r>
        <w:t xml:space="preserve">has </w:t>
      </w:r>
      <w:r w:rsidRPr="00CE4040">
        <w:t xml:space="preserve">developed a set of </w:t>
      </w:r>
      <w:r>
        <w:t xml:space="preserve">hypothetical price </w:t>
      </w:r>
      <w:r w:rsidRPr="00CE4040">
        <w:t xml:space="preserve">scenarios for </w:t>
      </w:r>
      <w:r>
        <w:t xml:space="preserve">the </w:t>
      </w:r>
      <w:r w:rsidRPr="00CE4040">
        <w:t>major commodities that influence the GST distribution</w:t>
      </w:r>
      <w:r>
        <w:t xml:space="preserve"> (</w:t>
      </w:r>
      <w:r w:rsidR="002A447A">
        <w:t>t</w:t>
      </w:r>
      <w:r w:rsidR="000664B8">
        <w:t xml:space="preserve">able </w:t>
      </w:r>
      <w:r w:rsidR="000664B8">
        <w:rPr>
          <w:noProof/>
        </w:rPr>
        <w:t>3</w:t>
      </w:r>
      <w:r w:rsidR="000664B8">
        <w:t>.</w:t>
      </w:r>
      <w:r w:rsidR="00B61595">
        <w:rPr>
          <w:noProof/>
        </w:rPr>
        <w:t>4</w:t>
      </w:r>
      <w:r>
        <w:t>)</w:t>
      </w:r>
      <w:r w:rsidRPr="00CE4040">
        <w:t xml:space="preserve">. Each scenario applies </w:t>
      </w:r>
      <w:r>
        <w:t xml:space="preserve">plausible </w:t>
      </w:r>
      <w:r w:rsidRPr="00CE4040">
        <w:t xml:space="preserve">demand and supply shocks to a base case to derive </w:t>
      </w:r>
      <w:r>
        <w:t xml:space="preserve">hypothetical </w:t>
      </w:r>
      <w:r w:rsidRPr="00CE4040">
        <w:t>commodity prices</w:t>
      </w:r>
      <w:r>
        <w:t xml:space="preserve">. These are </w:t>
      </w:r>
      <w:r w:rsidRPr="00CE4040">
        <w:t xml:space="preserve">then fed into </w:t>
      </w:r>
      <w:r>
        <w:t xml:space="preserve">the PC’s </w:t>
      </w:r>
      <w:r w:rsidRPr="00CE4040">
        <w:t xml:space="preserve">NoWO </w:t>
      </w:r>
      <w:r>
        <w:t xml:space="preserve">payment </w:t>
      </w:r>
      <w:r w:rsidRPr="00CE4040">
        <w:t xml:space="preserve">simulation model to estimate the resulting payments. </w:t>
      </w:r>
      <w:r w:rsidRPr="00B6575E">
        <w:t>As a validation check, using 2025 prices for iron ore, metallurgical coal and thermal coal produces an estimated NoWO payment of $</w:t>
      </w:r>
      <w:r>
        <w:t>7</w:t>
      </w:r>
      <w:r w:rsidRPr="00B6575E">
        <w:t>.2</w:t>
      </w:r>
      <w:r>
        <w:t>b</w:t>
      </w:r>
      <w:r w:rsidRPr="00310158">
        <w:t xml:space="preserve">, </w:t>
      </w:r>
      <w:r>
        <w:t xml:space="preserve">about 10%more than </w:t>
      </w:r>
      <w:r w:rsidRPr="00310158">
        <w:t>the actual cost.</w:t>
      </w:r>
    </w:p>
    <w:p w14:paraId="14328EC2" w14:textId="77777777" w:rsidR="00F453DA" w:rsidRPr="00215945" w:rsidRDefault="00F453DA" w:rsidP="00F453DA">
      <w:pPr>
        <w:pStyle w:val="BodyText"/>
        <w:rPr>
          <w:spacing w:val="-2"/>
        </w:rPr>
      </w:pPr>
      <w:r w:rsidRPr="00215945">
        <w:rPr>
          <w:spacing w:val="-2"/>
        </w:rPr>
        <w:t xml:space="preserve">These prices are not forecasts. They illustrate prices that could arise under </w:t>
      </w:r>
      <w:r w:rsidRPr="00215945">
        <w:rPr>
          <w:iCs/>
          <w:spacing w:val="-2"/>
        </w:rPr>
        <w:t xml:space="preserve">a range of </w:t>
      </w:r>
      <w:r w:rsidRPr="00215945">
        <w:rPr>
          <w:spacing w:val="-2"/>
        </w:rPr>
        <w:t>plausible</w:t>
      </w:r>
      <w:r w:rsidRPr="00215945">
        <w:rPr>
          <w:iCs/>
          <w:spacing w:val="-2"/>
        </w:rPr>
        <w:t xml:space="preserve">, but ultimately unforeseeable, </w:t>
      </w:r>
      <w:r w:rsidRPr="00215945">
        <w:rPr>
          <w:spacing w:val="-2"/>
        </w:rPr>
        <w:t>changes in underlying supply and demand conditions. They are designed to stress test how developments in commodity markets could flow through to prices and production volumes, state royalty revenue, assessed fiscal capacity, GST relativities and, ultimately, NoWO payments. This matters because a GST distribution model that appears fiscally sustainable and fair at one assumed iron ore price can look very different under a sustained price boom or a sharp price correction. What these hypothetical prices show is that even small structural changes to relative commodity prices can affect the HFE system, as the relative distribution of revenue is an important driver of GST outcomes.</w:t>
      </w:r>
    </w:p>
    <w:p w14:paraId="1F332218" w14:textId="77777777" w:rsidR="00F453DA" w:rsidRPr="00F321A6" w:rsidRDefault="00F453DA" w:rsidP="00F453DA">
      <w:pPr>
        <w:pStyle w:val="Heading4"/>
        <w:rPr>
          <w:rFonts w:asciiTheme="minorHAnsi" w:hAnsiTheme="minorHAnsi"/>
        </w:rPr>
      </w:pPr>
      <w:r>
        <w:t>The states will pay for the 2018 reforms without the NoWO guarantee</w:t>
      </w:r>
    </w:p>
    <w:p w14:paraId="07AFB03D" w14:textId="7A38B212" w:rsidR="00F453DA" w:rsidRDefault="00F453DA" w:rsidP="00F453DA">
      <w:pPr>
        <w:pStyle w:val="BodyText"/>
      </w:pPr>
      <w:r>
        <w:t>Currently, the Australian Government bears the full fiscal cost of the 2018 reforms. However, i</w:t>
      </w:r>
      <w:r w:rsidRPr="00581A3D">
        <w:t xml:space="preserve">f </w:t>
      </w:r>
      <w:r>
        <w:t>NoWO</w:t>
      </w:r>
      <w:r w:rsidRPr="00581A3D">
        <w:t xml:space="preserve"> payments cease</w:t>
      </w:r>
      <w:r>
        <w:t xml:space="preserve"> after </w:t>
      </w:r>
      <w:r w:rsidR="00F34590">
        <w:t>2029–30</w:t>
      </w:r>
      <w:r>
        <w:t xml:space="preserve">, </w:t>
      </w:r>
      <w:r w:rsidRPr="00581A3D">
        <w:t xml:space="preserve">the fiscal cost of the 2018 reforms </w:t>
      </w:r>
      <w:r>
        <w:t>will</w:t>
      </w:r>
      <w:r w:rsidRPr="00581A3D">
        <w:t xml:space="preserve"> </w:t>
      </w:r>
      <w:r>
        <w:t xml:space="preserve">be transferred to states </w:t>
      </w:r>
      <w:r w:rsidRPr="00581A3D">
        <w:t xml:space="preserve">with </w:t>
      </w:r>
      <w:r>
        <w:t xml:space="preserve">assessed </w:t>
      </w:r>
      <w:r w:rsidRPr="00581A3D">
        <w:t xml:space="preserve">relativities </w:t>
      </w:r>
      <w:r>
        <w:t xml:space="preserve">at or above the </w:t>
      </w:r>
      <w:r w:rsidRPr="00581A3D">
        <w:t xml:space="preserve">standard state </w:t>
      </w:r>
      <w:r>
        <w:t xml:space="preserve">benchmark (currently all states other than Western Australia), further weakening HFE. This is because without NoWO payments, these other states would be worse off than in the pre-2018 system. States with relativities below </w:t>
      </w:r>
      <w:r w:rsidRPr="046ED464">
        <w:t xml:space="preserve">the benchmark </w:t>
      </w:r>
      <w:r>
        <w:t xml:space="preserve">or floor (currently only Western Australia) will continue to receive beyond their assessed fiscal needs. </w:t>
      </w:r>
    </w:p>
    <w:p w14:paraId="7A08CC81" w14:textId="25941254" w:rsidR="00F453DA" w:rsidRDefault="00F453DA" w:rsidP="00F453DA">
      <w:pPr>
        <w:pStyle w:val="BodyText"/>
        <w:rPr>
          <w:lang w:bidi="th-TH"/>
        </w:rPr>
      </w:pPr>
      <w:r>
        <w:fldChar w:fldCharType="begin"/>
      </w:r>
      <w:r>
        <w:instrText xml:space="preserve"> REF _Ref236249662 \h </w:instrText>
      </w:r>
      <w:r>
        <w:fldChar w:fldCharType="separate"/>
      </w:r>
      <w:r w:rsidR="009C08C4" w:rsidDel="0090152E">
        <w:t xml:space="preserve">Figure </w:t>
      </w:r>
      <w:r w:rsidR="009C08C4">
        <w:rPr>
          <w:noProof/>
        </w:rPr>
        <w:t>3</w:t>
      </w:r>
      <w:r w:rsidR="009C08C4" w:rsidDel="0090152E">
        <w:t>.</w:t>
      </w:r>
      <w:r w:rsidR="009C08C4">
        <w:rPr>
          <w:noProof/>
        </w:rPr>
        <w:t>8</w:t>
      </w:r>
      <w:r>
        <w:fldChar w:fldCharType="end"/>
      </w:r>
      <w:r>
        <w:t xml:space="preserve"> shows the difference in GST payments under the current against the old system, at different iron ore price points. It</w:t>
      </w:r>
      <w:r w:rsidDel="00EC3336">
        <w:t xml:space="preserve"> </w:t>
      </w:r>
      <w:r>
        <w:t>demonstrates that, as iron ore prices rise, Western Australia receives greater share of the GST revenue while other states bear a larger share of the reform’s fiscal burden.</w:t>
      </w:r>
    </w:p>
    <w:p w14:paraId="629E6303" w14:textId="0496D760" w:rsidR="000A62ED" w:rsidRPr="00D44AA7" w:rsidRDefault="000A62ED">
      <w:pPr>
        <w:pStyle w:val="FigureTableHeading"/>
        <w:rPr>
          <w:rFonts w:ascii="Arial Black" w:hAnsi="Arial Black"/>
        </w:rPr>
      </w:pPr>
      <w:bookmarkStart w:id="45" w:name="_Ref236250144"/>
      <w:r>
        <w:lastRenderedPageBreak/>
        <w:t xml:space="preserve">Table </w:t>
      </w:r>
      <w:fldSimple w:instr=" STYLEREF 1 \s ">
        <w:r w:rsidR="009C08C4">
          <w:rPr>
            <w:noProof/>
          </w:rPr>
          <w:t>3</w:t>
        </w:r>
      </w:fldSimple>
      <w:r w:rsidRPr="00215945">
        <w:t>.</w:t>
      </w:r>
      <w:fldSimple w:instr=" SEQ Table \* ARABIC \s 1 ">
        <w:r w:rsidR="009C08C4">
          <w:rPr>
            <w:noProof/>
          </w:rPr>
          <w:t>4</w:t>
        </w:r>
      </w:fldSimple>
      <w:bookmarkEnd w:id="45"/>
      <w:r w:rsidRPr="00215945" w:rsidDel="005D6222">
        <w:t xml:space="preserve"> </w:t>
      </w:r>
      <w:r w:rsidRPr="00215945">
        <w:t>– P</w:t>
      </w:r>
      <w:r w:rsidRPr="00B6575E">
        <w:t>C hypothetical commodity prices with estimated annual NoWO payments</w:t>
      </w:r>
    </w:p>
    <w:tbl>
      <w:tblPr>
        <w:tblStyle w:val="ProductivityCommissionTable1"/>
        <w:tblW w:w="0" w:type="auto"/>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1487"/>
        <w:gridCol w:w="4183"/>
        <w:gridCol w:w="1418"/>
        <w:gridCol w:w="1382"/>
        <w:gridCol w:w="1168"/>
      </w:tblGrid>
      <w:tr w:rsidR="000A62ED" w:rsidRPr="00435C74" w14:paraId="7C80A3DC" w14:textId="77777777" w:rsidTr="00D21D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7" w:type="dxa"/>
            <w:tcBorders>
              <w:top w:val="nil"/>
            </w:tcBorders>
          </w:tcPr>
          <w:p w14:paraId="714944E6" w14:textId="77777777" w:rsidR="000A62ED" w:rsidRPr="00435C74" w:rsidRDefault="000A62ED">
            <w:pPr>
              <w:pStyle w:val="BodyText"/>
              <w:spacing w:before="45" w:after="45"/>
              <w:ind w:left="57" w:right="108"/>
              <w:rPr>
                <w:rFonts w:cs="Open Sans"/>
                <w:bCs/>
                <w:color w:val="1D4374"/>
                <w:sz w:val="18"/>
              </w:rPr>
            </w:pPr>
            <w:r w:rsidRPr="00435C74">
              <w:rPr>
                <w:rFonts w:cs="Open Sans"/>
                <w:bCs/>
                <w:color w:val="1D4374"/>
                <w:sz w:val="18"/>
              </w:rPr>
              <w:t>Hypothetical</w:t>
            </w:r>
          </w:p>
        </w:tc>
        <w:tc>
          <w:tcPr>
            <w:tcW w:w="4183" w:type="dxa"/>
            <w:tcBorders>
              <w:top w:val="nil"/>
            </w:tcBorders>
          </w:tcPr>
          <w:p w14:paraId="22E53174" w14:textId="77777777" w:rsidR="000A62ED" w:rsidRPr="00435C74" w:rsidRDefault="000A62ED">
            <w:pPr>
              <w:pStyle w:val="BodyText"/>
              <w:spacing w:before="45" w:after="45"/>
              <w:ind w:left="57" w:right="108"/>
              <w:cnfStyle w:val="100000000000" w:firstRow="1" w:lastRow="0" w:firstColumn="0" w:lastColumn="0" w:oddVBand="0" w:evenVBand="0" w:oddHBand="0" w:evenHBand="0" w:firstRowFirstColumn="0" w:firstRowLastColumn="0" w:lastRowFirstColumn="0" w:lastRowLastColumn="0"/>
              <w:rPr>
                <w:rFonts w:cs="Open Sans"/>
                <w:bCs/>
                <w:color w:val="1D4374"/>
                <w:sz w:val="18"/>
              </w:rPr>
            </w:pPr>
            <w:r w:rsidRPr="00435C74">
              <w:rPr>
                <w:rFonts w:cs="Open Sans"/>
                <w:bCs/>
                <w:color w:val="1D4374"/>
                <w:sz w:val="18"/>
              </w:rPr>
              <w:t>Narrative and key assumptions</w:t>
            </w:r>
          </w:p>
        </w:tc>
        <w:tc>
          <w:tcPr>
            <w:tcW w:w="1418" w:type="dxa"/>
            <w:tcBorders>
              <w:top w:val="nil"/>
              <w:bottom w:val="single" w:sz="4" w:space="0" w:color="B3B3B3"/>
            </w:tcBorders>
          </w:tcPr>
          <w:p w14:paraId="4DA6F965" w14:textId="77777777" w:rsidR="000A62ED" w:rsidRPr="00435C74" w:rsidRDefault="000A62ED">
            <w:pPr>
              <w:pStyle w:val="BodyText"/>
              <w:spacing w:before="45" w:after="45"/>
              <w:ind w:left="57" w:right="108"/>
              <w:cnfStyle w:val="100000000000" w:firstRow="1" w:lastRow="0" w:firstColumn="0" w:lastColumn="0" w:oddVBand="0" w:evenVBand="0" w:oddHBand="0" w:evenHBand="0" w:firstRowFirstColumn="0" w:firstRowLastColumn="0" w:lastRowFirstColumn="0" w:lastRowLastColumn="0"/>
              <w:rPr>
                <w:rFonts w:cs="Open Sans"/>
                <w:bCs/>
                <w:color w:val="1D4374"/>
                <w:sz w:val="18"/>
              </w:rPr>
            </w:pPr>
            <w:r w:rsidRPr="00435C74">
              <w:rPr>
                <w:rFonts w:cs="Open Sans"/>
                <w:bCs/>
                <w:color w:val="1D4374"/>
                <w:sz w:val="18"/>
              </w:rPr>
              <w:t>Commodity</w:t>
            </w:r>
          </w:p>
        </w:tc>
        <w:tc>
          <w:tcPr>
            <w:tcW w:w="1382" w:type="dxa"/>
            <w:tcBorders>
              <w:top w:val="nil"/>
              <w:bottom w:val="single" w:sz="4" w:space="0" w:color="B3B3B3"/>
            </w:tcBorders>
          </w:tcPr>
          <w:p w14:paraId="20AADFB1" w14:textId="34F033C4" w:rsidR="000A62ED" w:rsidRPr="00435C74" w:rsidRDefault="000A62ED" w:rsidP="00580B29">
            <w:pPr>
              <w:pStyle w:val="BodyText"/>
              <w:spacing w:before="45" w:after="45"/>
              <w:ind w:left="57" w:right="108"/>
              <w:cnfStyle w:val="100000000000" w:firstRow="1" w:lastRow="0" w:firstColumn="0" w:lastColumn="0" w:oddVBand="0" w:evenVBand="0" w:oddHBand="0" w:evenHBand="0" w:firstRowFirstColumn="0" w:firstRowLastColumn="0" w:lastRowFirstColumn="0" w:lastRowLastColumn="0"/>
              <w:rPr>
                <w:rFonts w:cs="Open Sans"/>
                <w:bCs/>
                <w:color w:val="1D4374"/>
                <w:sz w:val="18"/>
              </w:rPr>
            </w:pPr>
            <w:r w:rsidRPr="00435C74">
              <w:rPr>
                <w:rFonts w:cs="Open Sans"/>
                <w:bCs/>
                <w:color w:val="1D4374"/>
                <w:sz w:val="18"/>
              </w:rPr>
              <w:t xml:space="preserve">Indicative price range, </w:t>
            </w:r>
            <w:r w:rsidR="00580B29">
              <w:rPr>
                <w:rFonts w:cs="Open Sans"/>
                <w:bCs/>
                <w:color w:val="1D4374"/>
                <w:sz w:val="18"/>
              </w:rPr>
              <w:br/>
            </w:r>
            <w:r w:rsidRPr="00435C74">
              <w:rPr>
                <w:rFonts w:cs="Open Sans"/>
                <w:bCs/>
                <w:color w:val="1D4374"/>
                <w:sz w:val="18"/>
              </w:rPr>
              <w:t>2030</w:t>
            </w:r>
            <w:r w:rsidR="000940DA">
              <w:rPr>
                <w:rFonts w:cs="Open Sans"/>
                <w:bCs/>
                <w:color w:val="1D4374"/>
                <w:sz w:val="18"/>
              </w:rPr>
              <w:t>–</w:t>
            </w:r>
            <w:r w:rsidRPr="00435C74">
              <w:rPr>
                <w:rFonts w:cs="Open Sans"/>
                <w:bCs/>
                <w:color w:val="1D4374"/>
                <w:sz w:val="18"/>
              </w:rPr>
              <w:t>35</w:t>
            </w:r>
          </w:p>
        </w:tc>
        <w:tc>
          <w:tcPr>
            <w:tcW w:w="0" w:type="auto"/>
            <w:tcBorders>
              <w:top w:val="nil"/>
            </w:tcBorders>
          </w:tcPr>
          <w:p w14:paraId="56545653" w14:textId="77777777" w:rsidR="000A62ED" w:rsidRPr="00435C74" w:rsidRDefault="000A62ED" w:rsidP="00580B29">
            <w:pPr>
              <w:pStyle w:val="BodyText"/>
              <w:spacing w:before="45" w:after="45"/>
              <w:jc w:val="center"/>
              <w:cnfStyle w:val="100000000000" w:firstRow="1" w:lastRow="0" w:firstColumn="0" w:lastColumn="0" w:oddVBand="0" w:evenVBand="0" w:oddHBand="0" w:evenHBand="0" w:firstRowFirstColumn="0" w:firstRowLastColumn="0" w:lastRowFirstColumn="0" w:lastRowLastColumn="0"/>
              <w:rPr>
                <w:rFonts w:cs="Open Sans"/>
                <w:bCs/>
                <w:color w:val="1D4374"/>
                <w:sz w:val="18"/>
              </w:rPr>
            </w:pPr>
            <w:r w:rsidRPr="00435C74">
              <w:rPr>
                <w:rFonts w:cs="Open Sans"/>
                <w:bCs/>
                <w:color w:val="1D4374"/>
                <w:sz w:val="18"/>
              </w:rPr>
              <w:t xml:space="preserve">NoWO payments </w:t>
            </w:r>
            <w:r w:rsidRPr="00580B29">
              <w:rPr>
                <w:rFonts w:cs="Open Sans"/>
                <w:b w:val="0"/>
                <w:color w:val="1D4374"/>
                <w:sz w:val="18"/>
              </w:rPr>
              <w:t>(per annum)</w:t>
            </w:r>
          </w:p>
        </w:tc>
      </w:tr>
      <w:tr w:rsidR="000A62ED" w:rsidRPr="003D181A" w14:paraId="3C8FA831" w14:textId="77777777" w:rsidTr="00D21D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7" w:type="dxa"/>
            <w:vMerge w:val="restart"/>
          </w:tcPr>
          <w:p w14:paraId="6E1B3CD5" w14:textId="77777777" w:rsidR="000A62ED" w:rsidRPr="00435C74" w:rsidRDefault="000A62ED">
            <w:pPr>
              <w:pStyle w:val="BodyText"/>
              <w:spacing w:before="45" w:after="45"/>
              <w:ind w:left="57" w:right="108"/>
              <w:rPr>
                <w:rFonts w:cs="Open Sans"/>
                <w:color w:val="1D4374"/>
                <w:sz w:val="18"/>
              </w:rPr>
            </w:pPr>
            <w:r w:rsidRPr="00435C74">
              <w:rPr>
                <w:rFonts w:cs="Open Sans"/>
                <w:color w:val="1D4374"/>
                <w:sz w:val="18"/>
              </w:rPr>
              <w:t>Base case</w:t>
            </w:r>
          </w:p>
        </w:tc>
        <w:tc>
          <w:tcPr>
            <w:tcW w:w="4183" w:type="dxa"/>
            <w:vMerge w:val="restart"/>
          </w:tcPr>
          <w:p w14:paraId="25F9B8C8" w14:textId="77777777" w:rsidR="000A62ED" w:rsidRPr="003D181A" w:rsidRDefault="000A62ED">
            <w:pPr>
              <w:pStyle w:val="BodyText"/>
              <w:spacing w:before="45" w:after="45"/>
              <w:ind w:left="57" w:right="108"/>
              <w:cnfStyle w:val="000000100000" w:firstRow="0" w:lastRow="0" w:firstColumn="0" w:lastColumn="0" w:oddVBand="0" w:evenVBand="0" w:oddHBand="1" w:evenHBand="0" w:firstRowFirstColumn="0" w:firstRowLastColumn="0" w:lastRowFirstColumn="0" w:lastRowLastColumn="0"/>
              <w:rPr>
                <w:rFonts w:cs="Open Sans"/>
                <w:color w:val="000000"/>
                <w:sz w:val="18"/>
              </w:rPr>
            </w:pPr>
            <w:r w:rsidRPr="003D181A">
              <w:rPr>
                <w:rFonts w:cs="Open Sans"/>
                <w:color w:val="000000"/>
                <w:sz w:val="18"/>
              </w:rPr>
              <w:t>Describes a gradual transition in global steel and bulk commodity markets, with moderating Chinese demand partly offset by stronger growth in India and other emerging economies, increasing steel recycling, and evolving global supply.</w:t>
            </w:r>
          </w:p>
        </w:tc>
        <w:tc>
          <w:tcPr>
            <w:tcW w:w="1418" w:type="dxa"/>
            <w:tcBorders>
              <w:top w:val="single" w:sz="4" w:space="0" w:color="B3B3B3"/>
              <w:bottom w:val="nil"/>
            </w:tcBorders>
          </w:tcPr>
          <w:p w14:paraId="78329ECE" w14:textId="77777777" w:rsidR="000A62ED" w:rsidRPr="003D181A" w:rsidRDefault="000A62ED">
            <w:pPr>
              <w:pStyle w:val="BodyText"/>
              <w:spacing w:before="45" w:after="45"/>
              <w:ind w:left="57" w:right="108"/>
              <w:cnfStyle w:val="000000100000" w:firstRow="0" w:lastRow="0" w:firstColumn="0" w:lastColumn="0" w:oddVBand="0" w:evenVBand="0" w:oddHBand="1" w:evenHBand="0" w:firstRowFirstColumn="0" w:firstRowLastColumn="0" w:lastRowFirstColumn="0" w:lastRowLastColumn="0"/>
              <w:rPr>
                <w:rFonts w:cs="Open Sans"/>
                <w:color w:val="000000"/>
                <w:sz w:val="18"/>
              </w:rPr>
            </w:pPr>
            <w:r w:rsidRPr="003D181A">
              <w:rPr>
                <w:rFonts w:cs="Open Sans"/>
                <w:color w:val="000000"/>
                <w:sz w:val="18"/>
              </w:rPr>
              <w:t xml:space="preserve">Iron </w:t>
            </w:r>
            <w:r>
              <w:rPr>
                <w:rFonts w:cs="Open Sans"/>
                <w:color w:val="000000"/>
                <w:sz w:val="18"/>
              </w:rPr>
              <w:t>o</w:t>
            </w:r>
            <w:r w:rsidRPr="003D181A">
              <w:rPr>
                <w:rFonts w:cs="Open Sans"/>
                <w:color w:val="000000"/>
                <w:sz w:val="18"/>
              </w:rPr>
              <w:t>re</w:t>
            </w:r>
          </w:p>
        </w:tc>
        <w:tc>
          <w:tcPr>
            <w:tcW w:w="1382" w:type="dxa"/>
            <w:tcBorders>
              <w:top w:val="single" w:sz="4" w:space="0" w:color="B3B3B3"/>
              <w:bottom w:val="nil"/>
            </w:tcBorders>
          </w:tcPr>
          <w:p w14:paraId="49032FFC" w14:textId="5623A40B" w:rsidR="000A62ED" w:rsidRPr="003D181A" w:rsidRDefault="000A62ED">
            <w:pPr>
              <w:pStyle w:val="BodyText"/>
              <w:spacing w:before="45" w:after="45"/>
              <w:ind w:left="57" w:right="108"/>
              <w:jc w:val="center"/>
              <w:cnfStyle w:val="000000100000" w:firstRow="0" w:lastRow="0" w:firstColumn="0" w:lastColumn="0" w:oddVBand="0" w:evenVBand="0" w:oddHBand="1" w:evenHBand="0" w:firstRowFirstColumn="0" w:firstRowLastColumn="0" w:lastRowFirstColumn="0" w:lastRowLastColumn="0"/>
              <w:rPr>
                <w:rFonts w:cs="Open Sans"/>
                <w:color w:val="000000"/>
                <w:sz w:val="18"/>
              </w:rPr>
            </w:pPr>
            <w:r>
              <w:rPr>
                <w:rFonts w:cs="Open Sans"/>
                <w:color w:val="000000"/>
                <w:sz w:val="18"/>
              </w:rPr>
              <w:t xml:space="preserve">$115 </w:t>
            </w:r>
            <w:r w:rsidR="00215945">
              <w:rPr>
                <w:rFonts w:cs="Open Sans"/>
                <w:color w:val="000000"/>
                <w:szCs w:val="16"/>
              </w:rPr>
              <w:t>–</w:t>
            </w:r>
            <w:r>
              <w:rPr>
                <w:rFonts w:cs="Open Sans"/>
                <w:color w:val="000000"/>
                <w:sz w:val="18"/>
              </w:rPr>
              <w:t xml:space="preserve"> $131</w:t>
            </w:r>
          </w:p>
        </w:tc>
        <w:tc>
          <w:tcPr>
            <w:tcW w:w="0" w:type="auto"/>
            <w:vMerge w:val="restart"/>
          </w:tcPr>
          <w:p w14:paraId="1A54A6CC" w14:textId="18785C74" w:rsidR="000A62ED" w:rsidRPr="003D181A" w:rsidRDefault="000A62ED">
            <w:pPr>
              <w:pStyle w:val="BodyText"/>
              <w:spacing w:before="45" w:after="45"/>
              <w:ind w:left="57" w:right="108"/>
              <w:jc w:val="center"/>
              <w:cnfStyle w:val="000000100000" w:firstRow="0" w:lastRow="0" w:firstColumn="0" w:lastColumn="0" w:oddVBand="0" w:evenVBand="0" w:oddHBand="1" w:evenHBand="0" w:firstRowFirstColumn="0" w:firstRowLastColumn="0" w:lastRowFirstColumn="0" w:lastRowLastColumn="0"/>
              <w:rPr>
                <w:rFonts w:cs="Open Sans"/>
                <w:color w:val="000000"/>
                <w:sz w:val="18"/>
              </w:rPr>
            </w:pPr>
            <w:r>
              <w:rPr>
                <w:rFonts w:cs="Open Sans"/>
                <w:color w:val="000000"/>
                <w:sz w:val="18"/>
              </w:rPr>
              <w:t xml:space="preserve">$5.7 </w:t>
            </w:r>
            <w:r w:rsidR="00215945">
              <w:rPr>
                <w:rFonts w:cs="Open Sans"/>
                <w:color w:val="000000"/>
                <w:szCs w:val="16"/>
              </w:rPr>
              <w:t>–</w:t>
            </w:r>
            <w:r>
              <w:rPr>
                <w:rFonts w:cs="Open Sans"/>
                <w:color w:val="000000"/>
                <w:sz w:val="18"/>
              </w:rPr>
              <w:t xml:space="preserve"> $7.0</w:t>
            </w:r>
            <w:r w:rsidRPr="003D181A">
              <w:rPr>
                <w:rFonts w:cs="Open Sans"/>
                <w:color w:val="000000"/>
                <w:sz w:val="18"/>
              </w:rPr>
              <w:t>b</w:t>
            </w:r>
          </w:p>
        </w:tc>
      </w:tr>
      <w:tr w:rsidR="000A62ED" w:rsidRPr="003D181A" w14:paraId="29FABC5F" w14:textId="77777777" w:rsidTr="00D21D17">
        <w:tc>
          <w:tcPr>
            <w:cnfStyle w:val="001000000000" w:firstRow="0" w:lastRow="0" w:firstColumn="1" w:lastColumn="0" w:oddVBand="0" w:evenVBand="0" w:oddHBand="0" w:evenHBand="0" w:firstRowFirstColumn="0" w:firstRowLastColumn="0" w:lastRowFirstColumn="0" w:lastRowLastColumn="0"/>
            <w:tcW w:w="1487" w:type="dxa"/>
            <w:vMerge/>
          </w:tcPr>
          <w:p w14:paraId="6E342F99" w14:textId="77777777" w:rsidR="000A62ED" w:rsidRPr="00435C74" w:rsidRDefault="000A62ED">
            <w:pPr>
              <w:pStyle w:val="BodyText"/>
              <w:spacing w:before="45" w:after="45"/>
              <w:ind w:left="57" w:right="108"/>
              <w:rPr>
                <w:rFonts w:cs="Open Sans"/>
                <w:color w:val="1D4374"/>
                <w:sz w:val="18"/>
              </w:rPr>
            </w:pPr>
          </w:p>
        </w:tc>
        <w:tc>
          <w:tcPr>
            <w:tcW w:w="4183" w:type="dxa"/>
            <w:vMerge/>
          </w:tcPr>
          <w:p w14:paraId="6312EB94" w14:textId="77777777" w:rsidR="000A62ED" w:rsidRPr="003D181A" w:rsidRDefault="000A62ED">
            <w:pPr>
              <w:pStyle w:val="BodyText"/>
              <w:spacing w:before="45" w:after="45"/>
              <w:ind w:left="57" w:right="108"/>
              <w:cnfStyle w:val="000000000000" w:firstRow="0" w:lastRow="0" w:firstColumn="0" w:lastColumn="0" w:oddVBand="0" w:evenVBand="0" w:oddHBand="0" w:evenHBand="0" w:firstRowFirstColumn="0" w:firstRowLastColumn="0" w:lastRowFirstColumn="0" w:lastRowLastColumn="0"/>
              <w:rPr>
                <w:rFonts w:cs="Open Sans"/>
                <w:color w:val="000000"/>
                <w:sz w:val="18"/>
              </w:rPr>
            </w:pPr>
          </w:p>
        </w:tc>
        <w:tc>
          <w:tcPr>
            <w:tcW w:w="1418" w:type="dxa"/>
            <w:tcBorders>
              <w:top w:val="nil"/>
              <w:bottom w:val="nil"/>
            </w:tcBorders>
          </w:tcPr>
          <w:p w14:paraId="67E4754A" w14:textId="77777777" w:rsidR="000A62ED" w:rsidRPr="003D181A" w:rsidRDefault="000A62ED">
            <w:pPr>
              <w:pStyle w:val="BodyText"/>
              <w:spacing w:before="45" w:after="45"/>
              <w:ind w:left="57" w:right="108"/>
              <w:cnfStyle w:val="000000000000" w:firstRow="0" w:lastRow="0" w:firstColumn="0" w:lastColumn="0" w:oddVBand="0" w:evenVBand="0" w:oddHBand="0" w:evenHBand="0" w:firstRowFirstColumn="0" w:firstRowLastColumn="0" w:lastRowFirstColumn="0" w:lastRowLastColumn="0"/>
              <w:rPr>
                <w:rFonts w:cs="Open Sans"/>
                <w:color w:val="000000"/>
                <w:sz w:val="18"/>
              </w:rPr>
            </w:pPr>
            <w:r w:rsidRPr="003D181A">
              <w:rPr>
                <w:rFonts w:cs="Open Sans"/>
                <w:color w:val="000000"/>
                <w:sz w:val="18"/>
              </w:rPr>
              <w:t xml:space="preserve">Metallurgical </w:t>
            </w:r>
            <w:r>
              <w:rPr>
                <w:rFonts w:cs="Open Sans"/>
                <w:color w:val="000000"/>
                <w:sz w:val="18"/>
              </w:rPr>
              <w:t>c</w:t>
            </w:r>
            <w:r w:rsidRPr="003D181A">
              <w:rPr>
                <w:rFonts w:cs="Open Sans"/>
                <w:color w:val="000000"/>
                <w:sz w:val="18"/>
              </w:rPr>
              <w:t>oal</w:t>
            </w:r>
          </w:p>
        </w:tc>
        <w:tc>
          <w:tcPr>
            <w:tcW w:w="1382" w:type="dxa"/>
            <w:tcBorders>
              <w:top w:val="nil"/>
              <w:bottom w:val="nil"/>
            </w:tcBorders>
          </w:tcPr>
          <w:p w14:paraId="427480A2" w14:textId="7965E066" w:rsidR="000A62ED" w:rsidRPr="003D181A" w:rsidRDefault="000A62ED">
            <w:pPr>
              <w:pStyle w:val="BodyText"/>
              <w:spacing w:before="45" w:after="45"/>
              <w:ind w:left="57" w:right="108"/>
              <w:jc w:val="center"/>
              <w:cnfStyle w:val="000000000000" w:firstRow="0" w:lastRow="0" w:firstColumn="0" w:lastColumn="0" w:oddVBand="0" w:evenVBand="0" w:oddHBand="0" w:evenHBand="0" w:firstRowFirstColumn="0" w:firstRowLastColumn="0" w:lastRowFirstColumn="0" w:lastRowLastColumn="0"/>
              <w:rPr>
                <w:rFonts w:cs="Open Sans"/>
                <w:color w:val="000000"/>
                <w:sz w:val="18"/>
              </w:rPr>
            </w:pPr>
            <w:r>
              <w:rPr>
                <w:rFonts w:cs="Open Sans"/>
                <w:color w:val="000000"/>
                <w:sz w:val="18"/>
              </w:rPr>
              <w:t xml:space="preserve">$340 </w:t>
            </w:r>
            <w:r w:rsidR="005A3C56">
              <w:rPr>
                <w:rFonts w:cs="Open Sans"/>
                <w:color w:val="000000"/>
                <w:szCs w:val="16"/>
              </w:rPr>
              <w:t>–</w:t>
            </w:r>
            <w:r>
              <w:rPr>
                <w:rFonts w:cs="Open Sans"/>
                <w:color w:val="000000"/>
                <w:sz w:val="18"/>
              </w:rPr>
              <w:t xml:space="preserve"> $394</w:t>
            </w:r>
          </w:p>
        </w:tc>
        <w:tc>
          <w:tcPr>
            <w:tcW w:w="0" w:type="auto"/>
            <w:vMerge/>
          </w:tcPr>
          <w:p w14:paraId="0A779E26" w14:textId="77777777" w:rsidR="000A62ED" w:rsidRPr="003D181A" w:rsidRDefault="000A62ED">
            <w:pPr>
              <w:pStyle w:val="BodyText"/>
              <w:spacing w:before="45" w:after="45"/>
              <w:ind w:left="57" w:right="108"/>
              <w:jc w:val="center"/>
              <w:cnfStyle w:val="000000000000" w:firstRow="0" w:lastRow="0" w:firstColumn="0" w:lastColumn="0" w:oddVBand="0" w:evenVBand="0" w:oddHBand="0" w:evenHBand="0" w:firstRowFirstColumn="0" w:firstRowLastColumn="0" w:lastRowFirstColumn="0" w:lastRowLastColumn="0"/>
              <w:rPr>
                <w:rFonts w:cs="Open Sans"/>
                <w:color w:val="000000"/>
                <w:sz w:val="18"/>
              </w:rPr>
            </w:pPr>
          </w:p>
        </w:tc>
      </w:tr>
      <w:tr w:rsidR="000A62ED" w:rsidRPr="003D181A" w14:paraId="59C2039D" w14:textId="77777777" w:rsidTr="00D21D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7" w:type="dxa"/>
            <w:vMerge/>
          </w:tcPr>
          <w:p w14:paraId="13195491" w14:textId="77777777" w:rsidR="000A62ED" w:rsidRPr="00435C74" w:rsidRDefault="000A62ED">
            <w:pPr>
              <w:pStyle w:val="BodyText"/>
              <w:spacing w:before="45" w:after="45"/>
              <w:ind w:left="57" w:right="108"/>
              <w:rPr>
                <w:rFonts w:cs="Open Sans"/>
                <w:color w:val="1D4374"/>
                <w:sz w:val="18"/>
              </w:rPr>
            </w:pPr>
          </w:p>
        </w:tc>
        <w:tc>
          <w:tcPr>
            <w:tcW w:w="4183" w:type="dxa"/>
            <w:vMerge/>
          </w:tcPr>
          <w:p w14:paraId="4DCE002A" w14:textId="77777777" w:rsidR="000A62ED" w:rsidRPr="003D181A" w:rsidRDefault="000A62ED">
            <w:pPr>
              <w:pStyle w:val="BodyText"/>
              <w:spacing w:before="45" w:after="45"/>
              <w:ind w:left="57" w:right="108"/>
              <w:cnfStyle w:val="000000100000" w:firstRow="0" w:lastRow="0" w:firstColumn="0" w:lastColumn="0" w:oddVBand="0" w:evenVBand="0" w:oddHBand="1" w:evenHBand="0" w:firstRowFirstColumn="0" w:firstRowLastColumn="0" w:lastRowFirstColumn="0" w:lastRowLastColumn="0"/>
              <w:rPr>
                <w:rFonts w:cs="Open Sans"/>
                <w:color w:val="000000"/>
                <w:sz w:val="18"/>
              </w:rPr>
            </w:pPr>
          </w:p>
        </w:tc>
        <w:tc>
          <w:tcPr>
            <w:tcW w:w="1418" w:type="dxa"/>
            <w:tcBorders>
              <w:top w:val="nil"/>
              <w:bottom w:val="single" w:sz="4" w:space="0" w:color="B3B3B3"/>
            </w:tcBorders>
          </w:tcPr>
          <w:p w14:paraId="72E91BA7" w14:textId="77777777" w:rsidR="000A62ED" w:rsidRPr="003D181A" w:rsidRDefault="000A62ED">
            <w:pPr>
              <w:pStyle w:val="BodyText"/>
              <w:spacing w:before="45" w:after="45"/>
              <w:ind w:left="57" w:right="108"/>
              <w:cnfStyle w:val="000000100000" w:firstRow="0" w:lastRow="0" w:firstColumn="0" w:lastColumn="0" w:oddVBand="0" w:evenVBand="0" w:oddHBand="1" w:evenHBand="0" w:firstRowFirstColumn="0" w:firstRowLastColumn="0" w:lastRowFirstColumn="0" w:lastRowLastColumn="0"/>
              <w:rPr>
                <w:rFonts w:cs="Open Sans"/>
                <w:color w:val="000000"/>
                <w:sz w:val="18"/>
              </w:rPr>
            </w:pPr>
            <w:r w:rsidRPr="003D181A">
              <w:rPr>
                <w:rFonts w:cs="Open Sans"/>
                <w:color w:val="000000"/>
                <w:sz w:val="18"/>
              </w:rPr>
              <w:t xml:space="preserve">Thermal coal </w:t>
            </w:r>
          </w:p>
        </w:tc>
        <w:tc>
          <w:tcPr>
            <w:tcW w:w="1382" w:type="dxa"/>
            <w:tcBorders>
              <w:top w:val="nil"/>
              <w:bottom w:val="single" w:sz="4" w:space="0" w:color="B3B3B3"/>
            </w:tcBorders>
          </w:tcPr>
          <w:p w14:paraId="73D6D20C" w14:textId="3C5848B9" w:rsidR="000A62ED" w:rsidRPr="003D181A" w:rsidRDefault="000A62ED">
            <w:pPr>
              <w:pStyle w:val="BodyText"/>
              <w:spacing w:before="45" w:after="45"/>
              <w:ind w:left="57" w:right="108"/>
              <w:jc w:val="center"/>
              <w:cnfStyle w:val="000000100000" w:firstRow="0" w:lastRow="0" w:firstColumn="0" w:lastColumn="0" w:oddVBand="0" w:evenVBand="0" w:oddHBand="1" w:evenHBand="0" w:firstRowFirstColumn="0" w:firstRowLastColumn="0" w:lastRowFirstColumn="0" w:lastRowLastColumn="0"/>
              <w:rPr>
                <w:rFonts w:cs="Open Sans"/>
                <w:color w:val="000000"/>
                <w:sz w:val="18"/>
              </w:rPr>
            </w:pPr>
            <w:r>
              <w:rPr>
                <w:rFonts w:cs="Open Sans"/>
                <w:color w:val="000000"/>
                <w:sz w:val="18"/>
              </w:rPr>
              <w:t xml:space="preserve">$200 </w:t>
            </w:r>
            <w:r w:rsidR="005A3C56">
              <w:rPr>
                <w:rFonts w:cs="Open Sans"/>
                <w:color w:val="000000"/>
                <w:szCs w:val="16"/>
              </w:rPr>
              <w:t>–</w:t>
            </w:r>
            <w:r>
              <w:rPr>
                <w:rFonts w:cs="Open Sans"/>
                <w:color w:val="000000"/>
                <w:sz w:val="18"/>
              </w:rPr>
              <w:t xml:space="preserve"> $211</w:t>
            </w:r>
          </w:p>
        </w:tc>
        <w:tc>
          <w:tcPr>
            <w:tcW w:w="0" w:type="auto"/>
            <w:vMerge/>
          </w:tcPr>
          <w:p w14:paraId="13450448" w14:textId="77777777" w:rsidR="000A62ED" w:rsidRPr="003D181A" w:rsidRDefault="000A62ED">
            <w:pPr>
              <w:pStyle w:val="BodyText"/>
              <w:spacing w:before="45" w:after="45"/>
              <w:ind w:left="57" w:right="108"/>
              <w:jc w:val="center"/>
              <w:cnfStyle w:val="000000100000" w:firstRow="0" w:lastRow="0" w:firstColumn="0" w:lastColumn="0" w:oddVBand="0" w:evenVBand="0" w:oddHBand="1" w:evenHBand="0" w:firstRowFirstColumn="0" w:firstRowLastColumn="0" w:lastRowFirstColumn="0" w:lastRowLastColumn="0"/>
              <w:rPr>
                <w:rFonts w:cs="Open Sans"/>
                <w:color w:val="000000"/>
                <w:sz w:val="18"/>
              </w:rPr>
            </w:pPr>
          </w:p>
        </w:tc>
      </w:tr>
      <w:tr w:rsidR="000A62ED" w:rsidRPr="003D181A" w14:paraId="472C224F" w14:textId="77777777" w:rsidTr="00D21D17">
        <w:tc>
          <w:tcPr>
            <w:cnfStyle w:val="001000000000" w:firstRow="0" w:lastRow="0" w:firstColumn="1" w:lastColumn="0" w:oddVBand="0" w:evenVBand="0" w:oddHBand="0" w:evenHBand="0" w:firstRowFirstColumn="0" w:firstRowLastColumn="0" w:lastRowFirstColumn="0" w:lastRowLastColumn="0"/>
            <w:tcW w:w="1487" w:type="dxa"/>
            <w:vMerge w:val="restart"/>
          </w:tcPr>
          <w:p w14:paraId="0311867D" w14:textId="77777777" w:rsidR="000A62ED" w:rsidRPr="00435C74" w:rsidRDefault="000A62ED">
            <w:pPr>
              <w:pStyle w:val="BodyText"/>
              <w:spacing w:before="45" w:after="45"/>
              <w:ind w:left="57" w:right="108"/>
              <w:rPr>
                <w:rFonts w:cs="Open Sans"/>
                <w:b w:val="0"/>
                <w:color w:val="1D4374"/>
                <w:sz w:val="18"/>
              </w:rPr>
            </w:pPr>
            <w:r w:rsidRPr="00435C74">
              <w:rPr>
                <w:rFonts w:cs="Open Sans"/>
                <w:color w:val="1D4374"/>
                <w:sz w:val="18"/>
              </w:rPr>
              <w:t>Scenario 1</w:t>
            </w:r>
          </w:p>
        </w:tc>
        <w:tc>
          <w:tcPr>
            <w:tcW w:w="4183" w:type="dxa"/>
            <w:vMerge w:val="restart"/>
          </w:tcPr>
          <w:p w14:paraId="526124D4" w14:textId="77777777" w:rsidR="000A62ED" w:rsidRPr="003D181A" w:rsidRDefault="000A62ED">
            <w:pPr>
              <w:pStyle w:val="BodyText"/>
              <w:spacing w:before="45" w:after="45"/>
              <w:ind w:left="57" w:right="108"/>
              <w:cnfStyle w:val="000000000000" w:firstRow="0" w:lastRow="0" w:firstColumn="0" w:lastColumn="0" w:oddVBand="0" w:evenVBand="0" w:oddHBand="0" w:evenHBand="0" w:firstRowFirstColumn="0" w:firstRowLastColumn="0" w:lastRowFirstColumn="0" w:lastRowLastColumn="0"/>
              <w:rPr>
                <w:rFonts w:cs="Open Sans"/>
                <w:color w:val="000000"/>
                <w:sz w:val="18"/>
              </w:rPr>
            </w:pPr>
            <w:r w:rsidRPr="003D181A">
              <w:rPr>
                <w:rFonts w:cs="Open Sans"/>
                <w:color w:val="000000"/>
                <w:sz w:val="18"/>
              </w:rPr>
              <w:t>This represents a slower than expected transition away from carbon-intensive steelmaking and coal use proceeds. Blast-furnace steelmaking remains more resilient, India contributes more strongly to demand growth, China’s steel exports remain elevated, and some competing supply is delayed or constrained.</w:t>
            </w:r>
          </w:p>
        </w:tc>
        <w:tc>
          <w:tcPr>
            <w:tcW w:w="1418" w:type="dxa"/>
            <w:tcBorders>
              <w:top w:val="single" w:sz="4" w:space="0" w:color="B3B3B3"/>
              <w:bottom w:val="nil"/>
            </w:tcBorders>
          </w:tcPr>
          <w:p w14:paraId="73CEB46D" w14:textId="77777777" w:rsidR="000A62ED" w:rsidRPr="003D181A" w:rsidRDefault="000A62ED">
            <w:pPr>
              <w:pStyle w:val="BodyText"/>
              <w:spacing w:before="45" w:after="45"/>
              <w:ind w:left="57" w:right="108"/>
              <w:cnfStyle w:val="000000000000" w:firstRow="0" w:lastRow="0" w:firstColumn="0" w:lastColumn="0" w:oddVBand="0" w:evenVBand="0" w:oddHBand="0" w:evenHBand="0" w:firstRowFirstColumn="0" w:firstRowLastColumn="0" w:lastRowFirstColumn="0" w:lastRowLastColumn="0"/>
              <w:rPr>
                <w:rFonts w:cs="Open Sans"/>
                <w:color w:val="000000"/>
                <w:sz w:val="18"/>
              </w:rPr>
            </w:pPr>
            <w:r w:rsidRPr="003D181A">
              <w:rPr>
                <w:rFonts w:cs="Open Sans"/>
                <w:color w:val="000000"/>
                <w:sz w:val="18"/>
              </w:rPr>
              <w:t xml:space="preserve">Iron </w:t>
            </w:r>
            <w:r>
              <w:rPr>
                <w:rFonts w:cs="Open Sans"/>
                <w:color w:val="000000"/>
                <w:sz w:val="18"/>
              </w:rPr>
              <w:t>o</w:t>
            </w:r>
            <w:r w:rsidRPr="003D181A">
              <w:rPr>
                <w:rFonts w:cs="Open Sans"/>
                <w:color w:val="000000"/>
                <w:sz w:val="18"/>
              </w:rPr>
              <w:t>re</w:t>
            </w:r>
          </w:p>
        </w:tc>
        <w:tc>
          <w:tcPr>
            <w:tcW w:w="1382" w:type="dxa"/>
            <w:tcBorders>
              <w:top w:val="single" w:sz="4" w:space="0" w:color="B3B3B3"/>
              <w:bottom w:val="nil"/>
            </w:tcBorders>
          </w:tcPr>
          <w:p w14:paraId="5BECC184" w14:textId="0E54A4D9" w:rsidR="000A62ED" w:rsidRPr="003D181A" w:rsidRDefault="000A62ED">
            <w:pPr>
              <w:pStyle w:val="BodyText"/>
              <w:spacing w:before="45" w:after="45"/>
              <w:ind w:left="57" w:right="108"/>
              <w:jc w:val="center"/>
              <w:cnfStyle w:val="000000000000" w:firstRow="0" w:lastRow="0" w:firstColumn="0" w:lastColumn="0" w:oddVBand="0" w:evenVBand="0" w:oddHBand="0" w:evenHBand="0" w:firstRowFirstColumn="0" w:firstRowLastColumn="0" w:lastRowFirstColumn="0" w:lastRowLastColumn="0"/>
              <w:rPr>
                <w:rFonts w:cs="Open Sans"/>
                <w:color w:val="000000"/>
                <w:sz w:val="18"/>
              </w:rPr>
            </w:pPr>
            <w:r>
              <w:rPr>
                <w:rFonts w:cs="Open Sans"/>
                <w:color w:val="000000"/>
                <w:sz w:val="18"/>
              </w:rPr>
              <w:t xml:space="preserve">$109 </w:t>
            </w:r>
            <w:r w:rsidR="005A3C56">
              <w:rPr>
                <w:rFonts w:cs="Open Sans"/>
                <w:color w:val="000000"/>
                <w:szCs w:val="16"/>
              </w:rPr>
              <w:t>–</w:t>
            </w:r>
            <w:r>
              <w:rPr>
                <w:rFonts w:cs="Open Sans"/>
                <w:color w:val="000000"/>
                <w:sz w:val="18"/>
              </w:rPr>
              <w:t xml:space="preserve"> </w:t>
            </w:r>
            <w:r w:rsidRPr="003D181A">
              <w:rPr>
                <w:rFonts w:cs="Open Sans"/>
                <w:color w:val="000000"/>
                <w:sz w:val="18"/>
              </w:rPr>
              <w:t>$</w:t>
            </w:r>
            <w:r>
              <w:rPr>
                <w:rFonts w:cs="Open Sans"/>
                <w:color w:val="000000"/>
                <w:sz w:val="18"/>
              </w:rPr>
              <w:t>137</w:t>
            </w:r>
          </w:p>
        </w:tc>
        <w:tc>
          <w:tcPr>
            <w:tcW w:w="0" w:type="auto"/>
            <w:vMerge w:val="restart"/>
          </w:tcPr>
          <w:p w14:paraId="24C8D1FA" w14:textId="5B95AA61" w:rsidR="000A62ED" w:rsidRPr="003D181A" w:rsidRDefault="000A62ED">
            <w:pPr>
              <w:pStyle w:val="BodyText"/>
              <w:spacing w:before="45" w:after="45"/>
              <w:ind w:left="57" w:right="108"/>
              <w:jc w:val="center"/>
              <w:cnfStyle w:val="000000000000" w:firstRow="0" w:lastRow="0" w:firstColumn="0" w:lastColumn="0" w:oddVBand="0" w:evenVBand="0" w:oddHBand="0" w:evenHBand="0" w:firstRowFirstColumn="0" w:firstRowLastColumn="0" w:lastRowFirstColumn="0" w:lastRowLastColumn="0"/>
              <w:rPr>
                <w:rFonts w:cs="Open Sans"/>
                <w:color w:val="000000"/>
                <w:sz w:val="18"/>
              </w:rPr>
            </w:pPr>
            <w:r>
              <w:rPr>
                <w:rFonts w:cs="Open Sans"/>
                <w:color w:val="000000"/>
                <w:sz w:val="18"/>
              </w:rPr>
              <w:t xml:space="preserve">$5.7 </w:t>
            </w:r>
            <w:r w:rsidR="005A3C56">
              <w:rPr>
                <w:rFonts w:cs="Open Sans"/>
                <w:color w:val="000000"/>
                <w:szCs w:val="16"/>
              </w:rPr>
              <w:t>–</w:t>
            </w:r>
            <w:r>
              <w:rPr>
                <w:rFonts w:cs="Open Sans"/>
                <w:color w:val="000000"/>
                <w:sz w:val="18"/>
              </w:rPr>
              <w:t xml:space="preserve"> </w:t>
            </w:r>
            <w:r w:rsidRPr="003D181A">
              <w:rPr>
                <w:rFonts w:cs="Open Sans"/>
                <w:color w:val="000000"/>
                <w:sz w:val="18"/>
              </w:rPr>
              <w:t>$</w:t>
            </w:r>
            <w:r>
              <w:rPr>
                <w:rFonts w:cs="Open Sans"/>
                <w:color w:val="000000"/>
                <w:sz w:val="18"/>
              </w:rPr>
              <w:t>7.6b</w:t>
            </w:r>
          </w:p>
        </w:tc>
      </w:tr>
      <w:tr w:rsidR="000A62ED" w:rsidRPr="003D181A" w14:paraId="07E661CF" w14:textId="77777777" w:rsidTr="00D21D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7" w:type="dxa"/>
            <w:vMerge/>
          </w:tcPr>
          <w:p w14:paraId="032D1D46" w14:textId="77777777" w:rsidR="000A62ED" w:rsidRPr="00435C74" w:rsidRDefault="000A62ED">
            <w:pPr>
              <w:pStyle w:val="BodyText"/>
              <w:spacing w:before="45" w:after="45"/>
              <w:ind w:left="57" w:right="108"/>
              <w:rPr>
                <w:rFonts w:cs="Open Sans"/>
                <w:color w:val="1D4374"/>
                <w:sz w:val="18"/>
              </w:rPr>
            </w:pPr>
          </w:p>
        </w:tc>
        <w:tc>
          <w:tcPr>
            <w:tcW w:w="4183" w:type="dxa"/>
            <w:vMerge/>
          </w:tcPr>
          <w:p w14:paraId="74C8C178" w14:textId="77777777" w:rsidR="000A62ED" w:rsidRPr="003D181A" w:rsidRDefault="000A62ED">
            <w:pPr>
              <w:pStyle w:val="BodyText"/>
              <w:spacing w:before="45" w:after="45"/>
              <w:ind w:left="57" w:right="108"/>
              <w:cnfStyle w:val="000000100000" w:firstRow="0" w:lastRow="0" w:firstColumn="0" w:lastColumn="0" w:oddVBand="0" w:evenVBand="0" w:oddHBand="1" w:evenHBand="0" w:firstRowFirstColumn="0" w:firstRowLastColumn="0" w:lastRowFirstColumn="0" w:lastRowLastColumn="0"/>
              <w:rPr>
                <w:rFonts w:cs="Open Sans"/>
                <w:color w:val="000000"/>
                <w:sz w:val="18"/>
              </w:rPr>
            </w:pPr>
          </w:p>
        </w:tc>
        <w:tc>
          <w:tcPr>
            <w:tcW w:w="1418" w:type="dxa"/>
            <w:tcBorders>
              <w:top w:val="nil"/>
              <w:bottom w:val="nil"/>
            </w:tcBorders>
          </w:tcPr>
          <w:p w14:paraId="54B31DE5" w14:textId="77777777" w:rsidR="000A62ED" w:rsidRPr="003D181A" w:rsidRDefault="000A62ED">
            <w:pPr>
              <w:pStyle w:val="BodyText"/>
              <w:spacing w:before="45" w:after="45"/>
              <w:ind w:left="57" w:right="108"/>
              <w:cnfStyle w:val="000000100000" w:firstRow="0" w:lastRow="0" w:firstColumn="0" w:lastColumn="0" w:oddVBand="0" w:evenVBand="0" w:oddHBand="1" w:evenHBand="0" w:firstRowFirstColumn="0" w:firstRowLastColumn="0" w:lastRowFirstColumn="0" w:lastRowLastColumn="0"/>
              <w:rPr>
                <w:rFonts w:cs="Open Sans"/>
                <w:color w:val="000000"/>
                <w:sz w:val="18"/>
              </w:rPr>
            </w:pPr>
            <w:r w:rsidRPr="003D181A">
              <w:rPr>
                <w:rFonts w:cs="Open Sans"/>
                <w:color w:val="000000"/>
                <w:sz w:val="18"/>
              </w:rPr>
              <w:t xml:space="preserve">Metallurgical </w:t>
            </w:r>
            <w:r>
              <w:rPr>
                <w:rFonts w:cs="Open Sans"/>
                <w:color w:val="000000"/>
                <w:sz w:val="18"/>
              </w:rPr>
              <w:t>c</w:t>
            </w:r>
            <w:r w:rsidRPr="003D181A">
              <w:rPr>
                <w:rFonts w:cs="Open Sans"/>
                <w:color w:val="000000"/>
                <w:sz w:val="18"/>
              </w:rPr>
              <w:t>oal</w:t>
            </w:r>
          </w:p>
        </w:tc>
        <w:tc>
          <w:tcPr>
            <w:tcW w:w="1382" w:type="dxa"/>
            <w:tcBorders>
              <w:top w:val="nil"/>
              <w:bottom w:val="nil"/>
            </w:tcBorders>
          </w:tcPr>
          <w:p w14:paraId="768EA9FD" w14:textId="6D78F6C4" w:rsidR="000A62ED" w:rsidRPr="003D181A" w:rsidRDefault="000A62ED">
            <w:pPr>
              <w:pStyle w:val="BodyText"/>
              <w:spacing w:before="45" w:after="45"/>
              <w:ind w:left="57" w:right="108"/>
              <w:jc w:val="center"/>
              <w:cnfStyle w:val="000000100000" w:firstRow="0" w:lastRow="0" w:firstColumn="0" w:lastColumn="0" w:oddVBand="0" w:evenVBand="0" w:oddHBand="1" w:evenHBand="0" w:firstRowFirstColumn="0" w:firstRowLastColumn="0" w:lastRowFirstColumn="0" w:lastRowLastColumn="0"/>
              <w:rPr>
                <w:rFonts w:cs="Open Sans"/>
                <w:color w:val="000000"/>
                <w:sz w:val="18"/>
              </w:rPr>
            </w:pPr>
            <w:r>
              <w:rPr>
                <w:rFonts w:cs="Open Sans"/>
                <w:color w:val="000000"/>
                <w:sz w:val="18"/>
              </w:rPr>
              <w:t xml:space="preserve">$295 </w:t>
            </w:r>
            <w:r w:rsidR="005A3C56">
              <w:rPr>
                <w:rFonts w:cs="Open Sans"/>
                <w:color w:val="000000"/>
                <w:szCs w:val="16"/>
              </w:rPr>
              <w:t>–</w:t>
            </w:r>
            <w:r>
              <w:rPr>
                <w:rFonts w:cs="Open Sans"/>
                <w:color w:val="000000"/>
                <w:sz w:val="18"/>
              </w:rPr>
              <w:t xml:space="preserve"> </w:t>
            </w:r>
            <w:r w:rsidRPr="003D181A">
              <w:rPr>
                <w:rFonts w:cs="Open Sans"/>
                <w:color w:val="000000"/>
                <w:sz w:val="18"/>
              </w:rPr>
              <w:t>$</w:t>
            </w:r>
            <w:r>
              <w:rPr>
                <w:rFonts w:cs="Open Sans"/>
                <w:color w:val="000000"/>
                <w:sz w:val="18"/>
              </w:rPr>
              <w:t>362</w:t>
            </w:r>
          </w:p>
        </w:tc>
        <w:tc>
          <w:tcPr>
            <w:tcW w:w="0" w:type="auto"/>
            <w:vMerge/>
          </w:tcPr>
          <w:p w14:paraId="5A1C39E8" w14:textId="77777777" w:rsidR="000A62ED" w:rsidRPr="003D181A" w:rsidRDefault="000A62ED">
            <w:pPr>
              <w:pStyle w:val="BodyText"/>
              <w:spacing w:before="45" w:after="45"/>
              <w:ind w:left="57" w:right="108"/>
              <w:jc w:val="center"/>
              <w:cnfStyle w:val="000000100000" w:firstRow="0" w:lastRow="0" w:firstColumn="0" w:lastColumn="0" w:oddVBand="0" w:evenVBand="0" w:oddHBand="1" w:evenHBand="0" w:firstRowFirstColumn="0" w:firstRowLastColumn="0" w:lastRowFirstColumn="0" w:lastRowLastColumn="0"/>
              <w:rPr>
                <w:rFonts w:cs="Open Sans"/>
                <w:color w:val="000000"/>
                <w:sz w:val="18"/>
              </w:rPr>
            </w:pPr>
          </w:p>
        </w:tc>
      </w:tr>
      <w:tr w:rsidR="000A62ED" w:rsidRPr="003D181A" w14:paraId="33DB546B" w14:textId="77777777" w:rsidTr="00D21D17">
        <w:tc>
          <w:tcPr>
            <w:cnfStyle w:val="001000000000" w:firstRow="0" w:lastRow="0" w:firstColumn="1" w:lastColumn="0" w:oddVBand="0" w:evenVBand="0" w:oddHBand="0" w:evenHBand="0" w:firstRowFirstColumn="0" w:firstRowLastColumn="0" w:lastRowFirstColumn="0" w:lastRowLastColumn="0"/>
            <w:tcW w:w="1487" w:type="dxa"/>
            <w:vMerge/>
          </w:tcPr>
          <w:p w14:paraId="2C430496" w14:textId="77777777" w:rsidR="000A62ED" w:rsidRPr="00435C74" w:rsidRDefault="000A62ED">
            <w:pPr>
              <w:pStyle w:val="BodyText"/>
              <w:spacing w:before="45" w:after="45"/>
              <w:ind w:left="57" w:right="108"/>
              <w:rPr>
                <w:rFonts w:cs="Open Sans"/>
                <w:color w:val="1D4374"/>
                <w:sz w:val="18"/>
              </w:rPr>
            </w:pPr>
          </w:p>
        </w:tc>
        <w:tc>
          <w:tcPr>
            <w:tcW w:w="4183" w:type="dxa"/>
            <w:vMerge/>
          </w:tcPr>
          <w:p w14:paraId="2213C5C9" w14:textId="77777777" w:rsidR="000A62ED" w:rsidRPr="003D181A" w:rsidRDefault="000A62ED">
            <w:pPr>
              <w:pStyle w:val="BodyText"/>
              <w:spacing w:before="45" w:after="45"/>
              <w:ind w:left="57" w:right="108"/>
              <w:cnfStyle w:val="000000000000" w:firstRow="0" w:lastRow="0" w:firstColumn="0" w:lastColumn="0" w:oddVBand="0" w:evenVBand="0" w:oddHBand="0" w:evenHBand="0" w:firstRowFirstColumn="0" w:firstRowLastColumn="0" w:lastRowFirstColumn="0" w:lastRowLastColumn="0"/>
              <w:rPr>
                <w:rFonts w:cs="Open Sans"/>
                <w:color w:val="000000"/>
                <w:sz w:val="18"/>
              </w:rPr>
            </w:pPr>
          </w:p>
        </w:tc>
        <w:tc>
          <w:tcPr>
            <w:tcW w:w="1418" w:type="dxa"/>
            <w:tcBorders>
              <w:top w:val="nil"/>
              <w:bottom w:val="single" w:sz="4" w:space="0" w:color="B3B3B3"/>
            </w:tcBorders>
          </w:tcPr>
          <w:p w14:paraId="6B977AF2" w14:textId="77777777" w:rsidR="000A62ED" w:rsidRPr="003D181A" w:rsidRDefault="000A62ED">
            <w:pPr>
              <w:pStyle w:val="BodyText"/>
              <w:spacing w:before="45" w:after="45"/>
              <w:ind w:left="57" w:right="108"/>
              <w:cnfStyle w:val="000000000000" w:firstRow="0" w:lastRow="0" w:firstColumn="0" w:lastColumn="0" w:oddVBand="0" w:evenVBand="0" w:oddHBand="0" w:evenHBand="0" w:firstRowFirstColumn="0" w:firstRowLastColumn="0" w:lastRowFirstColumn="0" w:lastRowLastColumn="0"/>
              <w:rPr>
                <w:rFonts w:cs="Open Sans"/>
                <w:color w:val="000000"/>
                <w:sz w:val="18"/>
              </w:rPr>
            </w:pPr>
            <w:r w:rsidRPr="003D181A">
              <w:rPr>
                <w:rFonts w:cs="Open Sans"/>
                <w:color w:val="000000"/>
                <w:sz w:val="18"/>
              </w:rPr>
              <w:t xml:space="preserve">Thermal coal </w:t>
            </w:r>
          </w:p>
        </w:tc>
        <w:tc>
          <w:tcPr>
            <w:tcW w:w="1382" w:type="dxa"/>
            <w:tcBorders>
              <w:top w:val="nil"/>
              <w:bottom w:val="single" w:sz="4" w:space="0" w:color="B3B3B3"/>
            </w:tcBorders>
          </w:tcPr>
          <w:p w14:paraId="2D548855" w14:textId="7C6EDF61" w:rsidR="000A62ED" w:rsidRPr="003D181A" w:rsidRDefault="000A62ED">
            <w:pPr>
              <w:pStyle w:val="BodyText"/>
              <w:spacing w:before="45" w:after="45"/>
              <w:ind w:left="57" w:right="108"/>
              <w:jc w:val="center"/>
              <w:cnfStyle w:val="000000000000" w:firstRow="0" w:lastRow="0" w:firstColumn="0" w:lastColumn="0" w:oddVBand="0" w:evenVBand="0" w:oddHBand="0" w:evenHBand="0" w:firstRowFirstColumn="0" w:firstRowLastColumn="0" w:lastRowFirstColumn="0" w:lastRowLastColumn="0"/>
              <w:rPr>
                <w:rFonts w:cs="Open Sans"/>
                <w:color w:val="000000"/>
                <w:sz w:val="18"/>
              </w:rPr>
            </w:pPr>
            <w:r>
              <w:rPr>
                <w:rFonts w:cs="Open Sans"/>
                <w:color w:val="000000"/>
                <w:sz w:val="18"/>
              </w:rPr>
              <w:t xml:space="preserve">$153 </w:t>
            </w:r>
            <w:r w:rsidR="005A3C56">
              <w:rPr>
                <w:rFonts w:cs="Open Sans"/>
                <w:color w:val="000000"/>
                <w:szCs w:val="16"/>
              </w:rPr>
              <w:t>–</w:t>
            </w:r>
            <w:r>
              <w:rPr>
                <w:rFonts w:cs="Open Sans"/>
                <w:color w:val="000000"/>
                <w:sz w:val="18"/>
              </w:rPr>
              <w:t xml:space="preserve"> </w:t>
            </w:r>
            <w:r w:rsidRPr="003D181A">
              <w:rPr>
                <w:rFonts w:cs="Open Sans"/>
                <w:color w:val="000000"/>
                <w:sz w:val="18"/>
              </w:rPr>
              <w:t>$1</w:t>
            </w:r>
            <w:r>
              <w:rPr>
                <w:rFonts w:cs="Open Sans"/>
                <w:color w:val="000000"/>
                <w:sz w:val="18"/>
              </w:rPr>
              <w:t>62</w:t>
            </w:r>
          </w:p>
        </w:tc>
        <w:tc>
          <w:tcPr>
            <w:tcW w:w="0" w:type="auto"/>
            <w:vMerge/>
          </w:tcPr>
          <w:p w14:paraId="1EFEE672" w14:textId="77777777" w:rsidR="000A62ED" w:rsidRPr="003D181A" w:rsidRDefault="000A62ED">
            <w:pPr>
              <w:pStyle w:val="BodyText"/>
              <w:spacing w:before="45" w:after="45"/>
              <w:ind w:left="57" w:right="108"/>
              <w:jc w:val="center"/>
              <w:cnfStyle w:val="000000000000" w:firstRow="0" w:lastRow="0" w:firstColumn="0" w:lastColumn="0" w:oddVBand="0" w:evenVBand="0" w:oddHBand="0" w:evenHBand="0" w:firstRowFirstColumn="0" w:firstRowLastColumn="0" w:lastRowFirstColumn="0" w:lastRowLastColumn="0"/>
              <w:rPr>
                <w:rFonts w:cs="Open Sans"/>
                <w:color w:val="000000"/>
                <w:sz w:val="18"/>
              </w:rPr>
            </w:pPr>
          </w:p>
        </w:tc>
      </w:tr>
      <w:tr w:rsidR="000A62ED" w:rsidRPr="003D181A" w14:paraId="4A54C9CA" w14:textId="77777777" w:rsidTr="00D21D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7" w:type="dxa"/>
            <w:vMerge w:val="restart"/>
          </w:tcPr>
          <w:p w14:paraId="00425EC6" w14:textId="77777777" w:rsidR="000A62ED" w:rsidRPr="00435C74" w:rsidRDefault="000A62ED">
            <w:pPr>
              <w:pStyle w:val="BodyText"/>
              <w:spacing w:before="45" w:after="45"/>
              <w:ind w:left="57" w:right="108"/>
              <w:rPr>
                <w:rFonts w:cs="Open Sans"/>
                <w:b w:val="0"/>
                <w:color w:val="1D4374"/>
                <w:sz w:val="18"/>
              </w:rPr>
            </w:pPr>
            <w:r w:rsidRPr="00435C74">
              <w:rPr>
                <w:rFonts w:cs="Open Sans"/>
                <w:color w:val="1D4374"/>
                <w:sz w:val="18"/>
              </w:rPr>
              <w:t>Scenario 2</w:t>
            </w:r>
          </w:p>
        </w:tc>
        <w:tc>
          <w:tcPr>
            <w:tcW w:w="4183" w:type="dxa"/>
            <w:vMerge w:val="restart"/>
          </w:tcPr>
          <w:p w14:paraId="0D3A7380" w14:textId="77777777" w:rsidR="000A62ED" w:rsidRPr="003D181A" w:rsidRDefault="000A62ED">
            <w:pPr>
              <w:pStyle w:val="BodyText"/>
              <w:spacing w:before="45" w:after="45"/>
              <w:ind w:left="57" w:right="108"/>
              <w:cnfStyle w:val="000000100000" w:firstRow="0" w:lastRow="0" w:firstColumn="0" w:lastColumn="0" w:oddVBand="0" w:evenVBand="0" w:oddHBand="1" w:evenHBand="0" w:firstRowFirstColumn="0" w:firstRowLastColumn="0" w:lastRowFirstColumn="0" w:lastRowLastColumn="0"/>
              <w:rPr>
                <w:rFonts w:cs="Open Sans"/>
                <w:color w:val="000000"/>
                <w:sz w:val="18"/>
              </w:rPr>
            </w:pPr>
            <w:r w:rsidRPr="003D181A">
              <w:rPr>
                <w:rFonts w:cs="Open Sans"/>
                <w:color w:val="000000"/>
                <w:sz w:val="18"/>
              </w:rPr>
              <w:t>The represents an orderly but faster than expected decarbonisation transition.</w:t>
            </w:r>
          </w:p>
          <w:p w14:paraId="166DB75E" w14:textId="77777777" w:rsidR="000A62ED" w:rsidRPr="003D181A" w:rsidRDefault="000A62ED">
            <w:pPr>
              <w:pStyle w:val="BodyText"/>
              <w:spacing w:before="45" w:after="45"/>
              <w:ind w:left="57" w:right="108"/>
              <w:cnfStyle w:val="000000100000" w:firstRow="0" w:lastRow="0" w:firstColumn="0" w:lastColumn="0" w:oddVBand="0" w:evenVBand="0" w:oddHBand="1" w:evenHBand="0" w:firstRowFirstColumn="0" w:firstRowLastColumn="0" w:lastRowFirstColumn="0" w:lastRowLastColumn="0"/>
              <w:rPr>
                <w:rFonts w:cs="Open Sans"/>
                <w:color w:val="000000"/>
                <w:sz w:val="18"/>
              </w:rPr>
            </w:pPr>
            <w:r w:rsidRPr="003D181A">
              <w:rPr>
                <w:rFonts w:cs="Open Sans"/>
                <w:color w:val="000000"/>
                <w:sz w:val="18"/>
              </w:rPr>
              <w:t>Chinese steel demand and blast-furnace intensity weaken faster, scrap and electric arc furnace production gain share, and competing supply places more pressure on Australian producers. Indian demand does not supplement diminish Chinese demand.</w:t>
            </w:r>
          </w:p>
        </w:tc>
        <w:tc>
          <w:tcPr>
            <w:tcW w:w="1418" w:type="dxa"/>
            <w:tcBorders>
              <w:top w:val="single" w:sz="4" w:space="0" w:color="B3B3B3"/>
              <w:bottom w:val="nil"/>
            </w:tcBorders>
          </w:tcPr>
          <w:p w14:paraId="0A20460B" w14:textId="77777777" w:rsidR="000A62ED" w:rsidRPr="003D181A" w:rsidRDefault="000A62ED">
            <w:pPr>
              <w:pStyle w:val="BodyText"/>
              <w:spacing w:before="45" w:after="45"/>
              <w:ind w:left="57" w:right="108"/>
              <w:cnfStyle w:val="000000100000" w:firstRow="0" w:lastRow="0" w:firstColumn="0" w:lastColumn="0" w:oddVBand="0" w:evenVBand="0" w:oddHBand="1" w:evenHBand="0" w:firstRowFirstColumn="0" w:firstRowLastColumn="0" w:lastRowFirstColumn="0" w:lastRowLastColumn="0"/>
              <w:rPr>
                <w:rFonts w:cs="Open Sans"/>
                <w:color w:val="000000"/>
                <w:sz w:val="18"/>
              </w:rPr>
            </w:pPr>
            <w:r w:rsidRPr="003D181A">
              <w:rPr>
                <w:rFonts w:cs="Open Sans"/>
                <w:color w:val="000000"/>
                <w:sz w:val="18"/>
              </w:rPr>
              <w:t xml:space="preserve">Iron </w:t>
            </w:r>
            <w:r>
              <w:rPr>
                <w:rFonts w:cs="Open Sans"/>
                <w:color w:val="000000"/>
                <w:sz w:val="18"/>
              </w:rPr>
              <w:t>o</w:t>
            </w:r>
            <w:r w:rsidRPr="003D181A">
              <w:rPr>
                <w:rFonts w:cs="Open Sans"/>
                <w:color w:val="000000"/>
                <w:sz w:val="18"/>
              </w:rPr>
              <w:t>re</w:t>
            </w:r>
          </w:p>
        </w:tc>
        <w:tc>
          <w:tcPr>
            <w:tcW w:w="1382" w:type="dxa"/>
            <w:tcBorders>
              <w:top w:val="single" w:sz="4" w:space="0" w:color="B3B3B3"/>
              <w:bottom w:val="nil"/>
            </w:tcBorders>
          </w:tcPr>
          <w:p w14:paraId="132BC15E" w14:textId="33BD2C3B" w:rsidR="000A62ED" w:rsidRPr="003D181A" w:rsidRDefault="000A62ED">
            <w:pPr>
              <w:pStyle w:val="BodyText"/>
              <w:spacing w:before="45" w:after="45"/>
              <w:ind w:left="57" w:right="108"/>
              <w:jc w:val="center"/>
              <w:cnfStyle w:val="000000100000" w:firstRow="0" w:lastRow="0" w:firstColumn="0" w:lastColumn="0" w:oddVBand="0" w:evenVBand="0" w:oddHBand="1" w:evenHBand="0" w:firstRowFirstColumn="0" w:firstRowLastColumn="0" w:lastRowFirstColumn="0" w:lastRowLastColumn="0"/>
              <w:rPr>
                <w:rFonts w:cs="Open Sans"/>
                <w:color w:val="000000"/>
                <w:sz w:val="18"/>
              </w:rPr>
            </w:pPr>
            <w:r>
              <w:rPr>
                <w:rFonts w:cs="Open Sans"/>
                <w:color w:val="000000"/>
                <w:sz w:val="18"/>
              </w:rPr>
              <w:t xml:space="preserve">$79 </w:t>
            </w:r>
            <w:r w:rsidR="005A3C56">
              <w:rPr>
                <w:rFonts w:cs="Open Sans"/>
                <w:color w:val="000000"/>
                <w:szCs w:val="16"/>
              </w:rPr>
              <w:t>–</w:t>
            </w:r>
            <w:r>
              <w:rPr>
                <w:rFonts w:cs="Open Sans"/>
                <w:color w:val="000000"/>
                <w:sz w:val="18"/>
              </w:rPr>
              <w:t xml:space="preserve"> </w:t>
            </w:r>
            <w:r w:rsidRPr="003D181A">
              <w:rPr>
                <w:rFonts w:cs="Open Sans"/>
                <w:color w:val="000000"/>
                <w:sz w:val="18"/>
              </w:rPr>
              <w:t>$</w:t>
            </w:r>
            <w:r>
              <w:rPr>
                <w:rFonts w:cs="Open Sans"/>
                <w:color w:val="000000"/>
                <w:sz w:val="18"/>
              </w:rPr>
              <w:t>115</w:t>
            </w:r>
          </w:p>
        </w:tc>
        <w:tc>
          <w:tcPr>
            <w:tcW w:w="0" w:type="auto"/>
            <w:vMerge w:val="restart"/>
          </w:tcPr>
          <w:p w14:paraId="10A5F92C" w14:textId="1382971D" w:rsidR="000A62ED" w:rsidRPr="003D181A" w:rsidRDefault="000A62ED">
            <w:pPr>
              <w:pStyle w:val="BodyText"/>
              <w:spacing w:before="45" w:after="45"/>
              <w:ind w:left="57" w:right="108"/>
              <w:jc w:val="center"/>
              <w:cnfStyle w:val="000000100000" w:firstRow="0" w:lastRow="0" w:firstColumn="0" w:lastColumn="0" w:oddVBand="0" w:evenVBand="0" w:oddHBand="1" w:evenHBand="0" w:firstRowFirstColumn="0" w:firstRowLastColumn="0" w:lastRowFirstColumn="0" w:lastRowLastColumn="0"/>
              <w:rPr>
                <w:rFonts w:cs="Open Sans"/>
                <w:color w:val="000000"/>
                <w:sz w:val="18"/>
              </w:rPr>
            </w:pPr>
            <w:r>
              <w:rPr>
                <w:rFonts w:cs="Open Sans"/>
                <w:color w:val="000000"/>
                <w:sz w:val="18"/>
              </w:rPr>
              <w:t xml:space="preserve">$3.7 </w:t>
            </w:r>
            <w:r w:rsidR="00977276">
              <w:rPr>
                <w:rFonts w:cs="Open Sans"/>
                <w:color w:val="000000"/>
                <w:szCs w:val="16"/>
              </w:rPr>
              <w:t>–</w:t>
            </w:r>
            <w:r w:rsidRPr="003D181A">
              <w:rPr>
                <w:rFonts w:cs="Open Sans"/>
                <w:color w:val="000000"/>
                <w:sz w:val="18"/>
              </w:rPr>
              <w:t>$</w:t>
            </w:r>
            <w:r>
              <w:rPr>
                <w:rFonts w:cs="Open Sans"/>
                <w:color w:val="000000"/>
                <w:sz w:val="18"/>
              </w:rPr>
              <w:t>6.0</w:t>
            </w:r>
            <w:r w:rsidRPr="003D181A">
              <w:rPr>
                <w:rFonts w:cs="Open Sans"/>
                <w:color w:val="000000"/>
                <w:sz w:val="18"/>
              </w:rPr>
              <w:t>b</w:t>
            </w:r>
          </w:p>
        </w:tc>
      </w:tr>
      <w:tr w:rsidR="000A62ED" w:rsidRPr="003D181A" w14:paraId="2EAF92AF" w14:textId="77777777" w:rsidTr="00D21D17">
        <w:tc>
          <w:tcPr>
            <w:cnfStyle w:val="001000000000" w:firstRow="0" w:lastRow="0" w:firstColumn="1" w:lastColumn="0" w:oddVBand="0" w:evenVBand="0" w:oddHBand="0" w:evenHBand="0" w:firstRowFirstColumn="0" w:firstRowLastColumn="0" w:lastRowFirstColumn="0" w:lastRowLastColumn="0"/>
            <w:tcW w:w="1487" w:type="dxa"/>
            <w:vMerge/>
          </w:tcPr>
          <w:p w14:paraId="31CE2070" w14:textId="77777777" w:rsidR="000A62ED" w:rsidRPr="00435C74" w:rsidRDefault="000A62ED">
            <w:pPr>
              <w:pStyle w:val="BodyText"/>
              <w:spacing w:before="45" w:after="45"/>
              <w:ind w:left="57" w:right="108"/>
              <w:rPr>
                <w:rFonts w:cs="Open Sans"/>
                <w:color w:val="1D4374"/>
                <w:sz w:val="18"/>
              </w:rPr>
            </w:pPr>
          </w:p>
        </w:tc>
        <w:tc>
          <w:tcPr>
            <w:tcW w:w="4183" w:type="dxa"/>
            <w:vMerge/>
          </w:tcPr>
          <w:p w14:paraId="4BBF46F2" w14:textId="77777777" w:rsidR="000A62ED" w:rsidRPr="003D181A" w:rsidRDefault="000A62ED">
            <w:pPr>
              <w:pStyle w:val="BodyText"/>
              <w:spacing w:before="45" w:after="45"/>
              <w:ind w:left="57" w:right="108"/>
              <w:cnfStyle w:val="000000000000" w:firstRow="0" w:lastRow="0" w:firstColumn="0" w:lastColumn="0" w:oddVBand="0" w:evenVBand="0" w:oddHBand="0" w:evenHBand="0" w:firstRowFirstColumn="0" w:firstRowLastColumn="0" w:lastRowFirstColumn="0" w:lastRowLastColumn="0"/>
              <w:rPr>
                <w:rFonts w:cs="Open Sans"/>
                <w:color w:val="000000"/>
                <w:sz w:val="18"/>
              </w:rPr>
            </w:pPr>
          </w:p>
        </w:tc>
        <w:tc>
          <w:tcPr>
            <w:tcW w:w="1418" w:type="dxa"/>
            <w:tcBorders>
              <w:top w:val="nil"/>
              <w:bottom w:val="nil"/>
            </w:tcBorders>
          </w:tcPr>
          <w:p w14:paraId="04119F17" w14:textId="77777777" w:rsidR="000A62ED" w:rsidRPr="003D181A" w:rsidRDefault="000A62ED">
            <w:pPr>
              <w:pStyle w:val="BodyText"/>
              <w:spacing w:before="45" w:after="45"/>
              <w:ind w:left="57" w:right="108"/>
              <w:cnfStyle w:val="000000000000" w:firstRow="0" w:lastRow="0" w:firstColumn="0" w:lastColumn="0" w:oddVBand="0" w:evenVBand="0" w:oddHBand="0" w:evenHBand="0" w:firstRowFirstColumn="0" w:firstRowLastColumn="0" w:lastRowFirstColumn="0" w:lastRowLastColumn="0"/>
              <w:rPr>
                <w:rFonts w:cs="Open Sans"/>
                <w:color w:val="000000"/>
                <w:sz w:val="18"/>
              </w:rPr>
            </w:pPr>
            <w:r w:rsidRPr="003D181A">
              <w:rPr>
                <w:rFonts w:cs="Open Sans"/>
                <w:color w:val="000000"/>
                <w:sz w:val="18"/>
              </w:rPr>
              <w:t xml:space="preserve">Metallurgical </w:t>
            </w:r>
            <w:r>
              <w:rPr>
                <w:rFonts w:cs="Open Sans"/>
                <w:color w:val="000000"/>
                <w:sz w:val="18"/>
              </w:rPr>
              <w:t>c</w:t>
            </w:r>
            <w:r w:rsidRPr="003D181A">
              <w:rPr>
                <w:rFonts w:cs="Open Sans"/>
                <w:color w:val="000000"/>
                <w:sz w:val="18"/>
              </w:rPr>
              <w:t>oal</w:t>
            </w:r>
          </w:p>
        </w:tc>
        <w:tc>
          <w:tcPr>
            <w:tcW w:w="1382" w:type="dxa"/>
            <w:tcBorders>
              <w:top w:val="nil"/>
              <w:bottom w:val="nil"/>
            </w:tcBorders>
          </w:tcPr>
          <w:p w14:paraId="3310DB6C" w14:textId="6FC21F4F" w:rsidR="000A62ED" w:rsidRPr="003D181A" w:rsidRDefault="000A62ED">
            <w:pPr>
              <w:pStyle w:val="BodyText"/>
              <w:spacing w:before="45" w:after="45"/>
              <w:ind w:left="57" w:right="108"/>
              <w:jc w:val="center"/>
              <w:cnfStyle w:val="000000000000" w:firstRow="0" w:lastRow="0" w:firstColumn="0" w:lastColumn="0" w:oddVBand="0" w:evenVBand="0" w:oddHBand="0" w:evenHBand="0" w:firstRowFirstColumn="0" w:firstRowLastColumn="0" w:lastRowFirstColumn="0" w:lastRowLastColumn="0"/>
              <w:rPr>
                <w:rFonts w:cs="Open Sans"/>
                <w:color w:val="000000"/>
                <w:sz w:val="18"/>
              </w:rPr>
            </w:pPr>
            <w:r>
              <w:rPr>
                <w:rFonts w:cs="Open Sans"/>
                <w:color w:val="000000"/>
                <w:sz w:val="18"/>
              </w:rPr>
              <w:t xml:space="preserve">$245 </w:t>
            </w:r>
            <w:r w:rsidR="005A3C56">
              <w:rPr>
                <w:rFonts w:cs="Open Sans"/>
                <w:color w:val="000000"/>
                <w:szCs w:val="16"/>
              </w:rPr>
              <w:t>–</w:t>
            </w:r>
            <w:r>
              <w:rPr>
                <w:rFonts w:cs="Open Sans"/>
                <w:color w:val="000000"/>
                <w:sz w:val="18"/>
              </w:rPr>
              <w:t xml:space="preserve"> </w:t>
            </w:r>
            <w:r w:rsidRPr="003D181A">
              <w:rPr>
                <w:rFonts w:cs="Open Sans"/>
                <w:color w:val="000000"/>
                <w:sz w:val="18"/>
              </w:rPr>
              <w:t>$</w:t>
            </w:r>
            <w:r>
              <w:rPr>
                <w:rFonts w:cs="Open Sans"/>
                <w:color w:val="000000"/>
                <w:sz w:val="18"/>
              </w:rPr>
              <w:t>253</w:t>
            </w:r>
          </w:p>
        </w:tc>
        <w:tc>
          <w:tcPr>
            <w:tcW w:w="0" w:type="auto"/>
            <w:vMerge/>
          </w:tcPr>
          <w:p w14:paraId="28BE7C34" w14:textId="77777777" w:rsidR="000A62ED" w:rsidRPr="003D181A" w:rsidRDefault="000A62ED">
            <w:pPr>
              <w:pStyle w:val="BodyText"/>
              <w:spacing w:before="45" w:after="45"/>
              <w:ind w:left="57" w:right="108"/>
              <w:jc w:val="center"/>
              <w:cnfStyle w:val="000000000000" w:firstRow="0" w:lastRow="0" w:firstColumn="0" w:lastColumn="0" w:oddVBand="0" w:evenVBand="0" w:oddHBand="0" w:evenHBand="0" w:firstRowFirstColumn="0" w:firstRowLastColumn="0" w:lastRowFirstColumn="0" w:lastRowLastColumn="0"/>
              <w:rPr>
                <w:rFonts w:cs="Open Sans"/>
                <w:color w:val="000000"/>
                <w:sz w:val="18"/>
              </w:rPr>
            </w:pPr>
          </w:p>
        </w:tc>
      </w:tr>
      <w:tr w:rsidR="000A62ED" w:rsidRPr="003D181A" w14:paraId="727FA675" w14:textId="77777777" w:rsidTr="00D21D17">
        <w:trPr>
          <w:cnfStyle w:val="000000100000" w:firstRow="0" w:lastRow="0" w:firstColumn="0" w:lastColumn="0" w:oddVBand="0" w:evenVBand="0" w:oddHBand="1" w:evenHBand="0" w:firstRowFirstColumn="0" w:firstRowLastColumn="0" w:lastRowFirstColumn="0" w:lastRowLastColumn="0"/>
          <w:trHeight w:val="1011"/>
        </w:trPr>
        <w:tc>
          <w:tcPr>
            <w:cnfStyle w:val="001000000000" w:firstRow="0" w:lastRow="0" w:firstColumn="1" w:lastColumn="0" w:oddVBand="0" w:evenVBand="0" w:oddHBand="0" w:evenHBand="0" w:firstRowFirstColumn="0" w:firstRowLastColumn="0" w:lastRowFirstColumn="0" w:lastRowLastColumn="0"/>
            <w:tcW w:w="1487" w:type="dxa"/>
            <w:vMerge/>
          </w:tcPr>
          <w:p w14:paraId="209B1B78" w14:textId="77777777" w:rsidR="000A62ED" w:rsidRPr="00435C74" w:rsidRDefault="000A62ED">
            <w:pPr>
              <w:pStyle w:val="BodyText"/>
              <w:spacing w:before="45" w:after="45"/>
              <w:ind w:left="57" w:right="108"/>
              <w:rPr>
                <w:rFonts w:cs="Open Sans"/>
                <w:color w:val="1D4374"/>
                <w:sz w:val="18"/>
              </w:rPr>
            </w:pPr>
          </w:p>
        </w:tc>
        <w:tc>
          <w:tcPr>
            <w:tcW w:w="4183" w:type="dxa"/>
            <w:vMerge/>
          </w:tcPr>
          <w:p w14:paraId="7979808A" w14:textId="77777777" w:rsidR="000A62ED" w:rsidRPr="003D181A" w:rsidRDefault="000A62ED">
            <w:pPr>
              <w:pStyle w:val="BodyText"/>
              <w:spacing w:before="45" w:after="45"/>
              <w:ind w:left="57" w:right="108"/>
              <w:cnfStyle w:val="000000100000" w:firstRow="0" w:lastRow="0" w:firstColumn="0" w:lastColumn="0" w:oddVBand="0" w:evenVBand="0" w:oddHBand="1" w:evenHBand="0" w:firstRowFirstColumn="0" w:firstRowLastColumn="0" w:lastRowFirstColumn="0" w:lastRowLastColumn="0"/>
              <w:rPr>
                <w:rFonts w:cs="Open Sans"/>
                <w:color w:val="000000"/>
                <w:sz w:val="18"/>
              </w:rPr>
            </w:pPr>
          </w:p>
        </w:tc>
        <w:tc>
          <w:tcPr>
            <w:tcW w:w="1418" w:type="dxa"/>
            <w:tcBorders>
              <w:top w:val="nil"/>
              <w:bottom w:val="single" w:sz="4" w:space="0" w:color="B3B3B3"/>
            </w:tcBorders>
          </w:tcPr>
          <w:p w14:paraId="454525F1" w14:textId="77777777" w:rsidR="000A62ED" w:rsidRPr="003D181A" w:rsidRDefault="000A62ED">
            <w:pPr>
              <w:pStyle w:val="BodyText"/>
              <w:spacing w:before="45" w:after="45"/>
              <w:ind w:left="57" w:right="108"/>
              <w:cnfStyle w:val="000000100000" w:firstRow="0" w:lastRow="0" w:firstColumn="0" w:lastColumn="0" w:oddVBand="0" w:evenVBand="0" w:oddHBand="1" w:evenHBand="0" w:firstRowFirstColumn="0" w:firstRowLastColumn="0" w:lastRowFirstColumn="0" w:lastRowLastColumn="0"/>
              <w:rPr>
                <w:rFonts w:cs="Open Sans"/>
                <w:color w:val="000000"/>
                <w:sz w:val="18"/>
              </w:rPr>
            </w:pPr>
            <w:r w:rsidRPr="003D181A">
              <w:rPr>
                <w:rFonts w:cs="Open Sans"/>
                <w:color w:val="000000"/>
                <w:sz w:val="18"/>
              </w:rPr>
              <w:t xml:space="preserve">Thermal coal </w:t>
            </w:r>
          </w:p>
        </w:tc>
        <w:tc>
          <w:tcPr>
            <w:tcW w:w="1382" w:type="dxa"/>
            <w:tcBorders>
              <w:top w:val="nil"/>
              <w:bottom w:val="single" w:sz="4" w:space="0" w:color="B3B3B3"/>
            </w:tcBorders>
          </w:tcPr>
          <w:p w14:paraId="08CD797A" w14:textId="3619506B" w:rsidR="000A62ED" w:rsidRPr="003D181A" w:rsidRDefault="000A62ED">
            <w:pPr>
              <w:pStyle w:val="BodyText"/>
              <w:spacing w:before="45" w:after="45"/>
              <w:ind w:left="57" w:right="108"/>
              <w:jc w:val="center"/>
              <w:cnfStyle w:val="000000100000" w:firstRow="0" w:lastRow="0" w:firstColumn="0" w:lastColumn="0" w:oddVBand="0" w:evenVBand="0" w:oddHBand="1" w:evenHBand="0" w:firstRowFirstColumn="0" w:firstRowLastColumn="0" w:lastRowFirstColumn="0" w:lastRowLastColumn="0"/>
              <w:rPr>
                <w:rFonts w:cs="Open Sans"/>
                <w:color w:val="000000"/>
                <w:sz w:val="18"/>
              </w:rPr>
            </w:pPr>
            <w:r>
              <w:rPr>
                <w:rFonts w:cs="Open Sans"/>
                <w:color w:val="000000"/>
                <w:sz w:val="18"/>
              </w:rPr>
              <w:t xml:space="preserve">$132 </w:t>
            </w:r>
            <w:r w:rsidR="005A3C56">
              <w:rPr>
                <w:rFonts w:cs="Open Sans"/>
                <w:color w:val="000000"/>
                <w:szCs w:val="16"/>
              </w:rPr>
              <w:t>–</w:t>
            </w:r>
            <w:r>
              <w:rPr>
                <w:rFonts w:cs="Open Sans"/>
                <w:color w:val="000000"/>
                <w:sz w:val="18"/>
              </w:rPr>
              <w:t xml:space="preserve"> </w:t>
            </w:r>
            <w:r w:rsidRPr="003D181A">
              <w:rPr>
                <w:rFonts w:cs="Open Sans"/>
                <w:color w:val="000000"/>
                <w:sz w:val="18"/>
              </w:rPr>
              <w:t>$</w:t>
            </w:r>
            <w:r>
              <w:rPr>
                <w:rFonts w:cs="Open Sans"/>
                <w:color w:val="000000"/>
                <w:sz w:val="18"/>
              </w:rPr>
              <w:t>140</w:t>
            </w:r>
          </w:p>
        </w:tc>
        <w:tc>
          <w:tcPr>
            <w:tcW w:w="0" w:type="auto"/>
            <w:vMerge/>
          </w:tcPr>
          <w:p w14:paraId="4DB9F883" w14:textId="77777777" w:rsidR="000A62ED" w:rsidRPr="003D181A" w:rsidRDefault="000A62ED">
            <w:pPr>
              <w:pStyle w:val="BodyText"/>
              <w:spacing w:before="45" w:after="45"/>
              <w:ind w:left="57" w:right="108"/>
              <w:jc w:val="center"/>
              <w:cnfStyle w:val="000000100000" w:firstRow="0" w:lastRow="0" w:firstColumn="0" w:lastColumn="0" w:oddVBand="0" w:evenVBand="0" w:oddHBand="1" w:evenHBand="0" w:firstRowFirstColumn="0" w:firstRowLastColumn="0" w:lastRowFirstColumn="0" w:lastRowLastColumn="0"/>
              <w:rPr>
                <w:rFonts w:cs="Open Sans"/>
                <w:color w:val="000000"/>
                <w:sz w:val="18"/>
              </w:rPr>
            </w:pPr>
          </w:p>
        </w:tc>
      </w:tr>
      <w:tr w:rsidR="000A62ED" w:rsidRPr="003D181A" w14:paraId="3DE3CFC6" w14:textId="77777777" w:rsidTr="00D21D17">
        <w:trPr>
          <w:trHeight w:val="770"/>
        </w:trPr>
        <w:tc>
          <w:tcPr>
            <w:cnfStyle w:val="001000000000" w:firstRow="0" w:lastRow="0" w:firstColumn="1" w:lastColumn="0" w:oddVBand="0" w:evenVBand="0" w:oddHBand="0" w:evenHBand="0" w:firstRowFirstColumn="0" w:firstRowLastColumn="0" w:lastRowFirstColumn="0" w:lastRowLastColumn="0"/>
            <w:tcW w:w="1487" w:type="dxa"/>
            <w:vMerge w:val="restart"/>
          </w:tcPr>
          <w:p w14:paraId="2621D3C9" w14:textId="77777777" w:rsidR="000A62ED" w:rsidRPr="00435C74" w:rsidRDefault="000A62ED">
            <w:pPr>
              <w:pStyle w:val="BodyText"/>
              <w:spacing w:before="45" w:after="45"/>
              <w:ind w:left="57" w:right="108"/>
              <w:rPr>
                <w:rFonts w:cs="Open Sans"/>
                <w:color w:val="1D4374"/>
                <w:sz w:val="18"/>
              </w:rPr>
            </w:pPr>
            <w:r w:rsidRPr="00435C74">
              <w:rPr>
                <w:rFonts w:cs="Open Sans"/>
                <w:bCs/>
                <w:color w:val="1D4374"/>
                <w:sz w:val="18"/>
              </w:rPr>
              <w:t>Scenario 3</w:t>
            </w:r>
          </w:p>
        </w:tc>
        <w:tc>
          <w:tcPr>
            <w:tcW w:w="4183" w:type="dxa"/>
            <w:vMerge w:val="restart"/>
          </w:tcPr>
          <w:p w14:paraId="7AC69477" w14:textId="77777777" w:rsidR="000A62ED" w:rsidRPr="003D181A" w:rsidRDefault="000A62ED">
            <w:pPr>
              <w:pStyle w:val="BodyText"/>
              <w:spacing w:before="45" w:after="45"/>
              <w:ind w:left="57" w:right="108"/>
              <w:cnfStyle w:val="000000000000" w:firstRow="0" w:lastRow="0" w:firstColumn="0" w:lastColumn="0" w:oddVBand="0" w:evenVBand="0" w:oddHBand="0" w:evenHBand="0" w:firstRowFirstColumn="0" w:firstRowLastColumn="0" w:lastRowFirstColumn="0" w:lastRowLastColumn="0"/>
              <w:rPr>
                <w:rFonts w:cs="Open Sans"/>
                <w:color w:val="000000"/>
                <w:sz w:val="18"/>
              </w:rPr>
            </w:pPr>
            <w:r>
              <w:rPr>
                <w:rFonts w:cs="Open Sans"/>
                <w:color w:val="000000"/>
                <w:sz w:val="18"/>
              </w:rPr>
              <w:t>This represents</w:t>
            </w:r>
            <w:r w:rsidRPr="003D181A">
              <w:rPr>
                <w:rFonts w:cs="Open Sans"/>
                <w:color w:val="000000"/>
                <w:sz w:val="18"/>
              </w:rPr>
              <w:t xml:space="preserve"> transition occur</w:t>
            </w:r>
            <w:r>
              <w:rPr>
                <w:rFonts w:cs="Open Sans"/>
                <w:color w:val="000000"/>
                <w:sz w:val="18"/>
              </w:rPr>
              <w:t>ring</w:t>
            </w:r>
            <w:r w:rsidRPr="003D181A">
              <w:rPr>
                <w:rFonts w:cs="Open Sans"/>
                <w:color w:val="000000"/>
                <w:sz w:val="18"/>
              </w:rPr>
              <w:t xml:space="preserve"> faster than expected, alongside with severe structural supply displacement. The shift away from blast-furnace steelmaking and coal use is stronger, China’s contestable demand falls further, and marginal Australian production faces greater pressure. </w:t>
            </w:r>
          </w:p>
          <w:p w14:paraId="2F3AA041" w14:textId="77777777" w:rsidR="000A62ED" w:rsidRPr="003D181A" w:rsidRDefault="000A62ED">
            <w:pPr>
              <w:pStyle w:val="BodyText"/>
              <w:spacing w:before="45" w:after="45"/>
              <w:ind w:left="57" w:right="108"/>
              <w:cnfStyle w:val="000000000000" w:firstRow="0" w:lastRow="0" w:firstColumn="0" w:lastColumn="0" w:oddVBand="0" w:evenVBand="0" w:oddHBand="0" w:evenHBand="0" w:firstRowFirstColumn="0" w:firstRowLastColumn="0" w:lastRowFirstColumn="0" w:lastRowLastColumn="0"/>
              <w:rPr>
                <w:rFonts w:cs="Open Sans"/>
                <w:color w:val="000000"/>
                <w:sz w:val="18"/>
              </w:rPr>
            </w:pPr>
            <w:r w:rsidRPr="003D181A">
              <w:rPr>
                <w:rFonts w:cs="Open Sans"/>
                <w:color w:val="000000"/>
                <w:sz w:val="18"/>
              </w:rPr>
              <w:t>This affects metallurgical and thermal coal the most. For iron ore, the price path should be interpreted carefully because weaker demand is partly offset by assumed supply exit.</w:t>
            </w:r>
          </w:p>
        </w:tc>
        <w:tc>
          <w:tcPr>
            <w:tcW w:w="1418" w:type="dxa"/>
            <w:tcBorders>
              <w:top w:val="single" w:sz="4" w:space="0" w:color="B3B3B3"/>
              <w:bottom w:val="nil"/>
            </w:tcBorders>
          </w:tcPr>
          <w:p w14:paraId="77229D60" w14:textId="77777777" w:rsidR="000A62ED" w:rsidRPr="003D181A" w:rsidRDefault="000A62ED">
            <w:pPr>
              <w:pStyle w:val="BodyText"/>
              <w:spacing w:before="45" w:after="45"/>
              <w:ind w:left="57" w:right="108"/>
              <w:cnfStyle w:val="000000000000" w:firstRow="0" w:lastRow="0" w:firstColumn="0" w:lastColumn="0" w:oddVBand="0" w:evenVBand="0" w:oddHBand="0" w:evenHBand="0" w:firstRowFirstColumn="0" w:firstRowLastColumn="0" w:lastRowFirstColumn="0" w:lastRowLastColumn="0"/>
              <w:rPr>
                <w:rFonts w:cs="Open Sans"/>
                <w:color w:val="000000"/>
                <w:sz w:val="18"/>
              </w:rPr>
            </w:pPr>
            <w:r w:rsidRPr="003D181A">
              <w:rPr>
                <w:rFonts w:cs="Open Sans"/>
                <w:color w:val="000000"/>
                <w:sz w:val="18"/>
              </w:rPr>
              <w:t xml:space="preserve">Iron </w:t>
            </w:r>
            <w:r>
              <w:rPr>
                <w:rFonts w:cs="Open Sans"/>
                <w:color w:val="000000"/>
                <w:sz w:val="18"/>
              </w:rPr>
              <w:t>o</w:t>
            </w:r>
            <w:r w:rsidRPr="003D181A">
              <w:rPr>
                <w:rFonts w:cs="Open Sans"/>
                <w:color w:val="000000"/>
                <w:sz w:val="18"/>
              </w:rPr>
              <w:t>re</w:t>
            </w:r>
          </w:p>
        </w:tc>
        <w:tc>
          <w:tcPr>
            <w:tcW w:w="1382" w:type="dxa"/>
            <w:tcBorders>
              <w:top w:val="single" w:sz="4" w:space="0" w:color="B3B3B3"/>
              <w:bottom w:val="nil"/>
            </w:tcBorders>
          </w:tcPr>
          <w:p w14:paraId="05FC5BD2" w14:textId="2DD9EBE6" w:rsidR="000A62ED" w:rsidRPr="003D181A" w:rsidRDefault="000A62ED">
            <w:pPr>
              <w:pStyle w:val="BodyText"/>
              <w:spacing w:before="45" w:after="45"/>
              <w:ind w:left="57" w:right="108"/>
              <w:jc w:val="center"/>
              <w:cnfStyle w:val="000000000000" w:firstRow="0" w:lastRow="0" w:firstColumn="0" w:lastColumn="0" w:oddVBand="0" w:evenVBand="0" w:oddHBand="0" w:evenHBand="0" w:firstRowFirstColumn="0" w:firstRowLastColumn="0" w:lastRowFirstColumn="0" w:lastRowLastColumn="0"/>
              <w:rPr>
                <w:rFonts w:cs="Open Sans"/>
                <w:color w:val="000000"/>
                <w:sz w:val="18"/>
              </w:rPr>
            </w:pPr>
            <w:r>
              <w:rPr>
                <w:rFonts w:cs="Open Sans"/>
                <w:color w:val="000000"/>
                <w:sz w:val="18"/>
              </w:rPr>
              <w:t xml:space="preserve">$82 </w:t>
            </w:r>
            <w:r w:rsidR="005A3C56">
              <w:rPr>
                <w:rFonts w:cs="Open Sans"/>
                <w:color w:val="000000"/>
                <w:szCs w:val="16"/>
              </w:rPr>
              <w:t>–</w:t>
            </w:r>
            <w:r>
              <w:rPr>
                <w:rFonts w:cs="Open Sans"/>
                <w:color w:val="000000"/>
                <w:sz w:val="18"/>
              </w:rPr>
              <w:t xml:space="preserve"> </w:t>
            </w:r>
            <w:r w:rsidRPr="003D181A">
              <w:rPr>
                <w:rFonts w:cs="Open Sans"/>
                <w:color w:val="000000"/>
                <w:sz w:val="18"/>
              </w:rPr>
              <w:t>$</w:t>
            </w:r>
            <w:r>
              <w:rPr>
                <w:rFonts w:cs="Open Sans"/>
                <w:color w:val="000000"/>
                <w:sz w:val="18"/>
              </w:rPr>
              <w:t>127</w:t>
            </w:r>
          </w:p>
        </w:tc>
        <w:tc>
          <w:tcPr>
            <w:tcW w:w="0" w:type="auto"/>
            <w:vMerge w:val="restart"/>
          </w:tcPr>
          <w:p w14:paraId="72122A0B" w14:textId="047EF89E" w:rsidR="000A62ED" w:rsidRPr="003D181A" w:rsidRDefault="000A62ED">
            <w:pPr>
              <w:pStyle w:val="BodyText"/>
              <w:spacing w:before="45" w:after="45"/>
              <w:ind w:left="57" w:right="108"/>
              <w:jc w:val="center"/>
              <w:cnfStyle w:val="000000000000" w:firstRow="0" w:lastRow="0" w:firstColumn="0" w:lastColumn="0" w:oddVBand="0" w:evenVBand="0" w:oddHBand="0" w:evenHBand="0" w:firstRowFirstColumn="0" w:firstRowLastColumn="0" w:lastRowFirstColumn="0" w:lastRowLastColumn="0"/>
              <w:rPr>
                <w:rFonts w:cs="Open Sans"/>
                <w:color w:val="000000"/>
                <w:sz w:val="18"/>
              </w:rPr>
            </w:pPr>
            <w:r>
              <w:rPr>
                <w:rFonts w:cs="Open Sans"/>
                <w:color w:val="000000"/>
                <w:sz w:val="18"/>
              </w:rPr>
              <w:t xml:space="preserve">$3.7 </w:t>
            </w:r>
            <w:r w:rsidR="00977276">
              <w:rPr>
                <w:rFonts w:cs="Open Sans"/>
                <w:color w:val="000000"/>
                <w:szCs w:val="16"/>
              </w:rPr>
              <w:t>–</w:t>
            </w:r>
            <w:r w:rsidRPr="003D181A">
              <w:rPr>
                <w:rFonts w:cs="Open Sans"/>
                <w:color w:val="000000"/>
                <w:sz w:val="18"/>
              </w:rPr>
              <w:t>$</w:t>
            </w:r>
            <w:r>
              <w:rPr>
                <w:rFonts w:cs="Open Sans"/>
                <w:color w:val="000000"/>
                <w:sz w:val="18"/>
              </w:rPr>
              <w:t>7.1</w:t>
            </w:r>
            <w:r w:rsidRPr="003D181A">
              <w:rPr>
                <w:rFonts w:cs="Open Sans"/>
                <w:color w:val="000000"/>
                <w:sz w:val="18"/>
              </w:rPr>
              <w:t>b</w:t>
            </w:r>
          </w:p>
        </w:tc>
      </w:tr>
      <w:tr w:rsidR="000A62ED" w:rsidRPr="003D181A" w14:paraId="247D1FAC" w14:textId="77777777" w:rsidTr="00D21D17">
        <w:trPr>
          <w:cnfStyle w:val="000000100000" w:firstRow="0" w:lastRow="0" w:firstColumn="0" w:lastColumn="0" w:oddVBand="0" w:evenVBand="0" w:oddHBand="1" w:evenHBand="0" w:firstRowFirstColumn="0" w:firstRowLastColumn="0" w:lastRowFirstColumn="0" w:lastRowLastColumn="0"/>
          <w:trHeight w:val="1144"/>
        </w:trPr>
        <w:tc>
          <w:tcPr>
            <w:cnfStyle w:val="001000000000" w:firstRow="0" w:lastRow="0" w:firstColumn="1" w:lastColumn="0" w:oddVBand="0" w:evenVBand="0" w:oddHBand="0" w:evenHBand="0" w:firstRowFirstColumn="0" w:firstRowLastColumn="0" w:lastRowFirstColumn="0" w:lastRowLastColumn="0"/>
            <w:tcW w:w="1487" w:type="dxa"/>
            <w:vMerge/>
          </w:tcPr>
          <w:p w14:paraId="67A6A86F" w14:textId="77777777" w:rsidR="000A62ED" w:rsidRPr="00435C74" w:rsidRDefault="000A62ED">
            <w:pPr>
              <w:pStyle w:val="BodyText"/>
              <w:spacing w:before="45" w:after="45"/>
              <w:ind w:left="57" w:right="108"/>
              <w:rPr>
                <w:rFonts w:cs="Open Sans"/>
                <w:b w:val="0"/>
                <w:color w:val="1D4374"/>
                <w:sz w:val="18"/>
              </w:rPr>
            </w:pPr>
          </w:p>
        </w:tc>
        <w:tc>
          <w:tcPr>
            <w:tcW w:w="4183" w:type="dxa"/>
            <w:vMerge/>
          </w:tcPr>
          <w:p w14:paraId="7F988B6D" w14:textId="77777777" w:rsidR="000A62ED" w:rsidRPr="003D181A" w:rsidRDefault="000A62ED">
            <w:pPr>
              <w:pStyle w:val="BodyText"/>
              <w:spacing w:before="45" w:after="45"/>
              <w:ind w:left="57" w:right="108"/>
              <w:cnfStyle w:val="000000100000" w:firstRow="0" w:lastRow="0" w:firstColumn="0" w:lastColumn="0" w:oddVBand="0" w:evenVBand="0" w:oddHBand="1" w:evenHBand="0" w:firstRowFirstColumn="0" w:firstRowLastColumn="0" w:lastRowFirstColumn="0" w:lastRowLastColumn="0"/>
              <w:rPr>
                <w:rFonts w:cs="Open Sans"/>
                <w:color w:val="000000"/>
                <w:sz w:val="18"/>
              </w:rPr>
            </w:pPr>
          </w:p>
        </w:tc>
        <w:tc>
          <w:tcPr>
            <w:tcW w:w="1418" w:type="dxa"/>
            <w:tcBorders>
              <w:top w:val="nil"/>
              <w:bottom w:val="nil"/>
            </w:tcBorders>
          </w:tcPr>
          <w:p w14:paraId="1A29E463" w14:textId="77777777" w:rsidR="000A62ED" w:rsidRPr="003D181A" w:rsidRDefault="000A62ED">
            <w:pPr>
              <w:pStyle w:val="BodyText"/>
              <w:spacing w:before="45" w:after="45"/>
              <w:ind w:left="57" w:right="108"/>
              <w:cnfStyle w:val="000000100000" w:firstRow="0" w:lastRow="0" w:firstColumn="0" w:lastColumn="0" w:oddVBand="0" w:evenVBand="0" w:oddHBand="1" w:evenHBand="0" w:firstRowFirstColumn="0" w:firstRowLastColumn="0" w:lastRowFirstColumn="0" w:lastRowLastColumn="0"/>
              <w:rPr>
                <w:rFonts w:cs="Open Sans"/>
                <w:color w:val="000000"/>
                <w:sz w:val="18"/>
              </w:rPr>
            </w:pPr>
            <w:r w:rsidRPr="003D181A">
              <w:rPr>
                <w:rFonts w:cs="Open Sans"/>
                <w:color w:val="000000"/>
                <w:sz w:val="18"/>
              </w:rPr>
              <w:t xml:space="preserve">Metallurgical </w:t>
            </w:r>
            <w:r>
              <w:rPr>
                <w:rFonts w:cs="Open Sans"/>
                <w:color w:val="000000"/>
                <w:sz w:val="18"/>
              </w:rPr>
              <w:t>c</w:t>
            </w:r>
            <w:r w:rsidRPr="003D181A">
              <w:rPr>
                <w:rFonts w:cs="Open Sans"/>
                <w:color w:val="000000"/>
                <w:sz w:val="18"/>
              </w:rPr>
              <w:t>oal</w:t>
            </w:r>
          </w:p>
        </w:tc>
        <w:tc>
          <w:tcPr>
            <w:tcW w:w="1382" w:type="dxa"/>
            <w:tcBorders>
              <w:top w:val="nil"/>
              <w:bottom w:val="nil"/>
            </w:tcBorders>
          </w:tcPr>
          <w:p w14:paraId="542B7352" w14:textId="52EB7DCF" w:rsidR="000A62ED" w:rsidRPr="003D181A" w:rsidRDefault="000A62ED">
            <w:pPr>
              <w:pStyle w:val="BodyText"/>
              <w:spacing w:before="45" w:after="45"/>
              <w:ind w:left="57" w:right="108"/>
              <w:jc w:val="center"/>
              <w:cnfStyle w:val="000000100000" w:firstRow="0" w:lastRow="0" w:firstColumn="0" w:lastColumn="0" w:oddVBand="0" w:evenVBand="0" w:oddHBand="1" w:evenHBand="0" w:firstRowFirstColumn="0" w:firstRowLastColumn="0" w:lastRowFirstColumn="0" w:lastRowLastColumn="0"/>
              <w:rPr>
                <w:rFonts w:cs="Open Sans"/>
                <w:color w:val="000000"/>
                <w:sz w:val="18"/>
              </w:rPr>
            </w:pPr>
            <w:r>
              <w:rPr>
                <w:rFonts w:cs="Open Sans"/>
                <w:color w:val="000000"/>
                <w:sz w:val="18"/>
              </w:rPr>
              <w:t xml:space="preserve">$242 </w:t>
            </w:r>
            <w:r w:rsidR="005A3C56">
              <w:rPr>
                <w:rFonts w:cs="Open Sans"/>
                <w:color w:val="000000"/>
                <w:szCs w:val="16"/>
              </w:rPr>
              <w:t>–</w:t>
            </w:r>
            <w:r>
              <w:rPr>
                <w:rFonts w:cs="Open Sans"/>
                <w:color w:val="000000"/>
                <w:sz w:val="18"/>
              </w:rPr>
              <w:t xml:space="preserve"> </w:t>
            </w:r>
            <w:r w:rsidRPr="003D181A">
              <w:rPr>
                <w:rFonts w:cs="Open Sans"/>
                <w:color w:val="000000"/>
                <w:sz w:val="18"/>
              </w:rPr>
              <w:t>$</w:t>
            </w:r>
            <w:r>
              <w:rPr>
                <w:rFonts w:cs="Open Sans"/>
                <w:color w:val="000000"/>
                <w:sz w:val="18"/>
              </w:rPr>
              <w:t>250</w:t>
            </w:r>
          </w:p>
        </w:tc>
        <w:tc>
          <w:tcPr>
            <w:tcW w:w="0" w:type="auto"/>
            <w:vMerge/>
          </w:tcPr>
          <w:p w14:paraId="21F3E3F6" w14:textId="77777777" w:rsidR="000A62ED" w:rsidRPr="003D181A" w:rsidRDefault="000A62ED">
            <w:pPr>
              <w:pStyle w:val="BodyText"/>
              <w:spacing w:before="45" w:after="45"/>
              <w:ind w:left="57" w:right="108"/>
              <w:cnfStyle w:val="000000100000" w:firstRow="0" w:lastRow="0" w:firstColumn="0" w:lastColumn="0" w:oddVBand="0" w:evenVBand="0" w:oddHBand="1" w:evenHBand="0" w:firstRowFirstColumn="0" w:firstRowLastColumn="0" w:lastRowFirstColumn="0" w:lastRowLastColumn="0"/>
              <w:rPr>
                <w:rFonts w:cs="Open Sans"/>
                <w:color w:val="000000"/>
                <w:sz w:val="18"/>
              </w:rPr>
            </w:pPr>
          </w:p>
        </w:tc>
      </w:tr>
      <w:tr w:rsidR="000A62ED" w:rsidRPr="003D181A" w14:paraId="6CB34DA8" w14:textId="77777777" w:rsidTr="00D21D17">
        <w:trPr>
          <w:trHeight w:val="766"/>
        </w:trPr>
        <w:tc>
          <w:tcPr>
            <w:cnfStyle w:val="001000000000" w:firstRow="0" w:lastRow="0" w:firstColumn="1" w:lastColumn="0" w:oddVBand="0" w:evenVBand="0" w:oddHBand="0" w:evenHBand="0" w:firstRowFirstColumn="0" w:firstRowLastColumn="0" w:lastRowFirstColumn="0" w:lastRowLastColumn="0"/>
            <w:tcW w:w="1487" w:type="dxa"/>
            <w:vMerge/>
          </w:tcPr>
          <w:p w14:paraId="6F34D203" w14:textId="77777777" w:rsidR="000A62ED" w:rsidRPr="00435C74" w:rsidRDefault="000A62ED">
            <w:pPr>
              <w:pStyle w:val="BodyText"/>
              <w:spacing w:before="45" w:after="45"/>
              <w:ind w:left="57" w:right="108"/>
              <w:rPr>
                <w:rFonts w:cs="Open Sans"/>
                <w:b w:val="0"/>
                <w:color w:val="1D4374"/>
                <w:sz w:val="18"/>
              </w:rPr>
            </w:pPr>
          </w:p>
        </w:tc>
        <w:tc>
          <w:tcPr>
            <w:tcW w:w="4183" w:type="dxa"/>
            <w:vMerge/>
          </w:tcPr>
          <w:p w14:paraId="5869B6B3" w14:textId="77777777" w:rsidR="000A62ED" w:rsidRPr="003D181A" w:rsidRDefault="000A62ED">
            <w:pPr>
              <w:pStyle w:val="BodyText"/>
              <w:spacing w:before="45" w:after="45"/>
              <w:ind w:left="57" w:right="108"/>
              <w:cnfStyle w:val="000000000000" w:firstRow="0" w:lastRow="0" w:firstColumn="0" w:lastColumn="0" w:oddVBand="0" w:evenVBand="0" w:oddHBand="0" w:evenHBand="0" w:firstRowFirstColumn="0" w:firstRowLastColumn="0" w:lastRowFirstColumn="0" w:lastRowLastColumn="0"/>
              <w:rPr>
                <w:rFonts w:cs="Open Sans"/>
                <w:color w:val="000000"/>
                <w:sz w:val="18"/>
              </w:rPr>
            </w:pPr>
          </w:p>
        </w:tc>
        <w:tc>
          <w:tcPr>
            <w:tcW w:w="1418" w:type="dxa"/>
            <w:tcBorders>
              <w:top w:val="nil"/>
            </w:tcBorders>
          </w:tcPr>
          <w:p w14:paraId="6A92C35F" w14:textId="77777777" w:rsidR="000A62ED" w:rsidRPr="003D181A" w:rsidRDefault="000A62ED">
            <w:pPr>
              <w:pStyle w:val="BodyText"/>
              <w:spacing w:before="45" w:after="45"/>
              <w:ind w:left="57" w:right="108"/>
              <w:cnfStyle w:val="000000000000" w:firstRow="0" w:lastRow="0" w:firstColumn="0" w:lastColumn="0" w:oddVBand="0" w:evenVBand="0" w:oddHBand="0" w:evenHBand="0" w:firstRowFirstColumn="0" w:firstRowLastColumn="0" w:lastRowFirstColumn="0" w:lastRowLastColumn="0"/>
              <w:rPr>
                <w:rFonts w:cs="Open Sans"/>
                <w:color w:val="000000"/>
                <w:sz w:val="18"/>
              </w:rPr>
            </w:pPr>
            <w:r w:rsidRPr="003D181A">
              <w:rPr>
                <w:rFonts w:cs="Open Sans"/>
                <w:color w:val="000000"/>
                <w:sz w:val="18"/>
              </w:rPr>
              <w:t xml:space="preserve">Thermal coal </w:t>
            </w:r>
          </w:p>
        </w:tc>
        <w:tc>
          <w:tcPr>
            <w:tcW w:w="1382" w:type="dxa"/>
            <w:tcBorders>
              <w:top w:val="nil"/>
            </w:tcBorders>
          </w:tcPr>
          <w:p w14:paraId="1B5E0541" w14:textId="2CAF1D78" w:rsidR="000A62ED" w:rsidRPr="003D181A" w:rsidRDefault="000A62ED">
            <w:pPr>
              <w:pStyle w:val="BodyText"/>
              <w:spacing w:before="45" w:after="45"/>
              <w:ind w:left="57" w:right="108"/>
              <w:jc w:val="center"/>
              <w:cnfStyle w:val="000000000000" w:firstRow="0" w:lastRow="0" w:firstColumn="0" w:lastColumn="0" w:oddVBand="0" w:evenVBand="0" w:oddHBand="0" w:evenHBand="0" w:firstRowFirstColumn="0" w:firstRowLastColumn="0" w:lastRowFirstColumn="0" w:lastRowLastColumn="0"/>
              <w:rPr>
                <w:rFonts w:cs="Open Sans"/>
                <w:color w:val="000000"/>
                <w:sz w:val="18"/>
              </w:rPr>
            </w:pPr>
            <w:r>
              <w:rPr>
                <w:rFonts w:cs="Open Sans"/>
                <w:color w:val="000000"/>
                <w:sz w:val="18"/>
              </w:rPr>
              <w:t xml:space="preserve">$128 </w:t>
            </w:r>
            <w:r w:rsidR="00977276">
              <w:rPr>
                <w:rFonts w:cs="Open Sans"/>
                <w:color w:val="000000"/>
                <w:szCs w:val="16"/>
              </w:rPr>
              <w:t>–</w:t>
            </w:r>
            <w:r>
              <w:rPr>
                <w:rFonts w:cs="Open Sans"/>
                <w:color w:val="000000"/>
                <w:sz w:val="18"/>
              </w:rPr>
              <w:t xml:space="preserve"> $137</w:t>
            </w:r>
          </w:p>
        </w:tc>
        <w:tc>
          <w:tcPr>
            <w:tcW w:w="0" w:type="auto"/>
            <w:vMerge/>
          </w:tcPr>
          <w:p w14:paraId="00FC5E1E" w14:textId="77777777" w:rsidR="000A62ED" w:rsidRPr="003D181A" w:rsidRDefault="000A62ED">
            <w:pPr>
              <w:pStyle w:val="BodyText"/>
              <w:spacing w:before="45" w:after="45"/>
              <w:ind w:left="57" w:right="108"/>
              <w:cnfStyle w:val="000000000000" w:firstRow="0" w:lastRow="0" w:firstColumn="0" w:lastColumn="0" w:oddVBand="0" w:evenVBand="0" w:oddHBand="0" w:evenHBand="0" w:firstRowFirstColumn="0" w:firstRowLastColumn="0" w:lastRowFirstColumn="0" w:lastRowLastColumn="0"/>
              <w:rPr>
                <w:rFonts w:cs="Open Sans"/>
                <w:color w:val="000000"/>
                <w:sz w:val="18"/>
              </w:rPr>
            </w:pPr>
          </w:p>
        </w:tc>
      </w:tr>
    </w:tbl>
    <w:p w14:paraId="157FA91B" w14:textId="77777777" w:rsidR="00977276" w:rsidRDefault="000A62ED">
      <w:pPr>
        <w:pStyle w:val="Note"/>
      </w:pPr>
      <w:r w:rsidRPr="00D44AA7">
        <w:t xml:space="preserve">Commodity prices are </w:t>
      </w:r>
      <w:r>
        <w:t>based on</w:t>
      </w:r>
      <w:r w:rsidRPr="00D44AA7">
        <w:t xml:space="preserve"> nominal FOB benchmark </w:t>
      </w:r>
      <w:r w:rsidRPr="008C2523">
        <w:t>prices in US dollars per tonne,</w:t>
      </w:r>
      <w:r>
        <w:t xml:space="preserve"> converted to </w:t>
      </w:r>
      <w:r w:rsidRPr="008C2523">
        <w:t>Australian dollars</w:t>
      </w:r>
      <w:r>
        <w:t xml:space="preserve"> using </w:t>
      </w:r>
      <w:r w:rsidRPr="008C2523">
        <w:t>an exchange rate of US</w:t>
      </w:r>
      <w:r>
        <w:t>$0.65</w:t>
      </w:r>
      <w:r w:rsidRPr="008C2523">
        <w:t>.</w:t>
      </w:r>
      <w:r w:rsidRPr="00D44AA7">
        <w:t xml:space="preserve"> NoWO</w:t>
      </w:r>
      <w:r>
        <w:rPr>
          <w:lang w:eastAsia="zh-CN" w:bidi="th-TH"/>
        </w:rPr>
        <w:t xml:space="preserve"> payment</w:t>
      </w:r>
      <w:r w:rsidRPr="00D44AA7">
        <w:t xml:space="preserve"> estimates are in </w:t>
      </w:r>
      <w:r w:rsidRPr="008C2523">
        <w:t>Australian dollars.</w:t>
      </w:r>
      <w:r w:rsidRPr="00B7326D">
        <w:t xml:space="preserve"> </w:t>
      </w:r>
    </w:p>
    <w:p w14:paraId="35B71F0B" w14:textId="7F986C4C" w:rsidR="000A62ED" w:rsidRPr="00D44AA7" w:rsidRDefault="000A62ED" w:rsidP="00977276">
      <w:pPr>
        <w:pStyle w:val="Source"/>
      </w:pPr>
      <w:r>
        <w:t xml:space="preserve">Source: PC estimates using Wood </w:t>
      </w:r>
      <w:r w:rsidRPr="0056707D">
        <w:t>Mackenzie</w:t>
      </w:r>
      <w:r>
        <w:t xml:space="preserve"> (2026) and DISR (2025) data</w:t>
      </w:r>
      <w:r w:rsidR="00B35180">
        <w:t>.</w:t>
      </w:r>
    </w:p>
    <w:p w14:paraId="2DCFB9BB" w14:textId="26CA5748" w:rsidR="000A62ED" w:rsidRPr="00146382" w:rsidRDefault="000A62ED">
      <w:pPr>
        <w:pStyle w:val="FigureTableHeading"/>
        <w:spacing w:line="240" w:lineRule="atLeast"/>
      </w:pPr>
      <w:bookmarkStart w:id="46" w:name="_Ref236249662"/>
      <w:bookmarkStart w:id="47" w:name="_Toc30502221"/>
      <w:r w:rsidDel="0090152E">
        <w:lastRenderedPageBreak/>
        <w:t xml:space="preserve">Figure </w:t>
      </w:r>
      <w:fldSimple w:instr=" STYLEREF 1 \s ">
        <w:r w:rsidR="009C08C4">
          <w:rPr>
            <w:noProof/>
          </w:rPr>
          <w:t>3</w:t>
        </w:r>
      </w:fldSimple>
      <w:r w:rsidDel="0090152E">
        <w:t>.</w:t>
      </w:r>
      <w:fldSimple w:instr=" SEQ Figure \* ARABIC \s 1 ">
        <w:r w:rsidR="009C08C4">
          <w:rPr>
            <w:noProof/>
          </w:rPr>
          <w:t>8</w:t>
        </w:r>
      </w:fldSimple>
      <w:bookmarkEnd w:id="46"/>
      <w:r w:rsidRPr="006E56C1" w:rsidDel="0090152E">
        <w:t xml:space="preserve"> </w:t>
      </w:r>
      <w:r>
        <w:t xml:space="preserve">– </w:t>
      </w:r>
      <w:r w:rsidRPr="00B6575E">
        <w:rPr>
          <w:rFonts w:ascii="Arial Black" w:eastAsia="Arial Black" w:hAnsi="Arial Black" w:cs="Arial Black"/>
        </w:rPr>
        <w:t>Without the NoWO guarantee, states above the benchmark will take on the fiscal cost of the 2018 reforms</w:t>
      </w:r>
    </w:p>
    <w:p w14:paraId="1514F7C7" w14:textId="77777777" w:rsidR="000A62ED" w:rsidRDefault="000A62ED">
      <w:pPr>
        <w:spacing w:before="40" w:after="40"/>
        <w:rPr>
          <w:rFonts w:ascii="Arial Black" w:eastAsia="Arial Black" w:hAnsi="Arial Black" w:cs="Arial Black"/>
          <w:color w:val="58585B"/>
        </w:rPr>
      </w:pPr>
      <w:r w:rsidRPr="6A3E3659">
        <w:rPr>
          <w:rFonts w:ascii="Arial Black" w:eastAsia="Arial Black" w:hAnsi="Arial Black" w:cs="Arial Black"/>
          <w:color w:val="58585B"/>
        </w:rPr>
        <w:t xml:space="preserve">Estimated </w:t>
      </w:r>
      <w:r>
        <w:rPr>
          <w:rFonts w:ascii="Arial Black" w:eastAsia="Arial Black" w:hAnsi="Arial Black" w:cs="Arial Black"/>
          <w:color w:val="58585B"/>
        </w:rPr>
        <w:t>difference in GST payments</w:t>
      </w:r>
      <w:r w:rsidRPr="6A3E3659">
        <w:rPr>
          <w:rFonts w:ascii="Arial Black" w:eastAsia="Arial Black" w:hAnsi="Arial Black" w:cs="Arial Black"/>
          <w:color w:val="58585B"/>
        </w:rPr>
        <w:t xml:space="preserve"> </w:t>
      </w:r>
      <w:r>
        <w:rPr>
          <w:rFonts w:ascii="Arial Black" w:eastAsia="Arial Black" w:hAnsi="Arial Black" w:cs="Arial Black"/>
          <w:color w:val="58585B"/>
        </w:rPr>
        <w:t xml:space="preserve">under the current system vs the pre-2018 system </w:t>
      </w:r>
      <w:r w:rsidRPr="6A3E3659">
        <w:rPr>
          <w:rFonts w:ascii="Arial Black" w:eastAsia="Arial Black" w:hAnsi="Arial Black" w:cs="Arial Black"/>
          <w:color w:val="58585B"/>
        </w:rPr>
        <w:t>by iron ore price</w:t>
      </w:r>
    </w:p>
    <w:p w14:paraId="607253A6" w14:textId="77777777" w:rsidR="000A62ED" w:rsidRPr="00850F6C" w:rsidRDefault="000A62ED" w:rsidP="00BC46FC">
      <w:pPr>
        <w:pStyle w:val="BodyText"/>
      </w:pPr>
      <w:r w:rsidRPr="00DC1CCC">
        <w:rPr>
          <w:noProof/>
        </w:rPr>
        <w:drawing>
          <wp:inline distT="0" distB="0" distL="0" distR="0" wp14:anchorId="3D932971" wp14:editId="1A73B523">
            <wp:extent cx="6061075" cy="2555875"/>
            <wp:effectExtent l="0" t="0" r="0" b="0"/>
            <wp:docPr id="1074572191" name="Picture 5" descr="Figure 3.9 – this is a line chart with the change in a state’s GST on the y-axis, and the iron ore price on the x-axis. The chart illustrates how GST payments would change, relative to the distribution under the pre-2018 system, as the iron ore price increases.&#10;The chart shows that, from an iron ore price of about $20 per ton, the GST payments of Western Australia would start linearly increasing, while the GST payments of all other states would start linearly decreas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572191" name="Picture 5" descr="Figure 3.9 – this is a line chart with the change in a state’s GST on the y-axis, and the iron ore price on the x-axis. The chart illustrates how GST payments would change, relative to the distribution under the pre-2018 system, as the iron ore price increases.&#10;The chart shows that, from an iron ore price of about $20 per ton, the GST payments of Western Australia would start linearly increasing, while the GST payments of all other states would start linearly decreasing. &#1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061075" cy="2555875"/>
                    </a:xfrm>
                    <a:prstGeom prst="rect">
                      <a:avLst/>
                    </a:prstGeom>
                    <a:noFill/>
                    <a:ln>
                      <a:noFill/>
                    </a:ln>
                  </pic:spPr>
                </pic:pic>
              </a:graphicData>
            </a:graphic>
          </wp:inline>
        </w:drawing>
      </w:r>
      <w:r w:rsidRPr="00613ED7" w:rsidDel="00CA1C81">
        <w:t xml:space="preserve"> </w:t>
      </w:r>
    </w:p>
    <w:p w14:paraId="1CFFF6A7" w14:textId="3ACC4576" w:rsidR="000A62ED" w:rsidRPr="0042084B" w:rsidRDefault="000A62ED" w:rsidP="002F0F14">
      <w:pPr>
        <w:pStyle w:val="Source"/>
        <w:spacing w:after="360"/>
        <w:rPr>
          <w:rFonts w:ascii="Arial" w:eastAsia="Arial" w:hAnsi="Arial" w:cs="Arial"/>
          <w:szCs w:val="18"/>
        </w:rPr>
      </w:pPr>
      <w:r w:rsidRPr="00696447">
        <w:t xml:space="preserve">Source: </w:t>
      </w:r>
      <w:bookmarkEnd w:id="47"/>
      <w:r w:rsidRPr="00850F6C">
        <w:t>PC estimates using CGC (2025) and DISR (2025) data</w:t>
      </w:r>
      <w:r w:rsidR="00F0700B">
        <w:t>.</w:t>
      </w:r>
    </w:p>
    <w:p w14:paraId="22A61500" w14:textId="77777777" w:rsidR="000A62ED" w:rsidRDefault="000A62ED">
      <w:pPr>
        <w:pStyle w:val="BodyText"/>
      </w:pPr>
      <w:r>
        <w:t xml:space="preserve">In addition to questions around the appropriate level of equalisation, this also </w:t>
      </w:r>
      <w:r w:rsidRPr="007D7774">
        <w:t>raises</w:t>
      </w:r>
      <w:r>
        <w:t xml:space="preserve"> the </w:t>
      </w:r>
      <w:r w:rsidRPr="007D7774">
        <w:t xml:space="preserve">central </w:t>
      </w:r>
      <w:r>
        <w:t xml:space="preserve">question of who should bear the </w:t>
      </w:r>
      <w:r w:rsidRPr="007D7774">
        <w:t xml:space="preserve">fiscal </w:t>
      </w:r>
      <w:r>
        <w:t xml:space="preserve">burden of the </w:t>
      </w:r>
      <w:r w:rsidRPr="007D7774">
        <w:t>reforms.</w:t>
      </w:r>
      <w:r>
        <w:t xml:space="preserve"> This is because, unless NoWO </w:t>
      </w:r>
      <w:r w:rsidRPr="00944011">
        <w:t xml:space="preserve">payments are </w:t>
      </w:r>
      <w:r>
        <w:t>continued, or the system was</w:t>
      </w:r>
      <w:r w:rsidRPr="00944011">
        <w:t xml:space="preserve"> fully redesigned</w:t>
      </w:r>
      <w:r>
        <w:t>, the zero-sum nature of the GST distribution system will result in winners and losers. Reforms such as altering the CGC’s mining assessment or discounting mining revenue will still result in some states paying for the reform through a lower GST-share.</w:t>
      </w:r>
    </w:p>
    <w:p w14:paraId="58805A8B" w14:textId="77777777" w:rsidR="000A62ED" w:rsidRDefault="000A62ED">
      <w:pPr>
        <w:pStyle w:val="BodyText"/>
      </w:pPr>
      <w:r>
        <w:t xml:space="preserve">This </w:t>
      </w:r>
      <w:r w:rsidRPr="00CF4285">
        <w:t>need</w:t>
      </w:r>
      <w:r>
        <w:t>s</w:t>
      </w:r>
      <w:r w:rsidRPr="00CF4285">
        <w:t xml:space="preserve"> to be considered </w:t>
      </w:r>
      <w:r>
        <w:t xml:space="preserve">alongside </w:t>
      </w:r>
      <w:r w:rsidRPr="00CF4285">
        <w:t xml:space="preserve">the </w:t>
      </w:r>
      <w:r>
        <w:t>fiscal position of the states</w:t>
      </w:r>
      <w:r w:rsidRPr="00CF4285">
        <w:t>. As discussed</w:t>
      </w:r>
      <w:r>
        <w:t xml:space="preserve"> above, many of the </w:t>
      </w:r>
      <w:r w:rsidRPr="00CF4285">
        <w:t xml:space="preserve">states </w:t>
      </w:r>
      <w:r>
        <w:t xml:space="preserve">with less fiscal capacity are facing with fiscal sustainability </w:t>
      </w:r>
      <w:r w:rsidRPr="00CF4285">
        <w:t>concerns</w:t>
      </w:r>
      <w:r>
        <w:t xml:space="preserve">. These concerns would be exacerbated if </w:t>
      </w:r>
      <w:r w:rsidRPr="00CF4285">
        <w:t>those states are required</w:t>
      </w:r>
      <w:r>
        <w:t xml:space="preserve"> to support </w:t>
      </w:r>
      <w:r w:rsidRPr="00CF4285">
        <w:t xml:space="preserve">higher GST shares for </w:t>
      </w:r>
      <w:r>
        <w:t>states with greater fiscal capacity. Without NoWO</w:t>
      </w:r>
      <w:r w:rsidRPr="00BA5399">
        <w:t xml:space="preserve"> payments</w:t>
      </w:r>
      <w:r>
        <w:t xml:space="preserve">, states with less capacity will </w:t>
      </w:r>
      <w:r w:rsidRPr="00BA5399">
        <w:t>bear</w:t>
      </w:r>
      <w:r>
        <w:t xml:space="preserve"> the cost of a reform they did not </w:t>
      </w:r>
      <w:r w:rsidRPr="009A2040">
        <w:t>support</w:t>
      </w:r>
      <w:r>
        <w:t>, when introduced</w:t>
      </w:r>
      <w:r w:rsidRPr="009A2040">
        <w:t>, potentially through higher</w:t>
      </w:r>
      <w:r>
        <w:t xml:space="preserve"> debt</w:t>
      </w:r>
      <w:r w:rsidRPr="009A2040">
        <w:t xml:space="preserve">, </w:t>
      </w:r>
      <w:r>
        <w:t xml:space="preserve">reduction in </w:t>
      </w:r>
      <w:r w:rsidRPr="009A2040">
        <w:t>service</w:t>
      </w:r>
      <w:r>
        <w:t>s</w:t>
      </w:r>
      <w:r w:rsidRPr="009A2040">
        <w:t xml:space="preserve"> or tax increases</w:t>
      </w:r>
      <w:r w:rsidDel="008A1E67">
        <w:t>.</w:t>
      </w:r>
      <w:r w:rsidRPr="00FF45C1">
        <w:t xml:space="preserve"> </w:t>
      </w:r>
      <w:r>
        <w:t>Under temporary NoWO guarantee arrangements,</w:t>
      </w:r>
      <w:r w:rsidRPr="00BA5399">
        <w:t xml:space="preserve"> </w:t>
      </w:r>
      <w:r>
        <w:t>states face</w:t>
      </w:r>
      <w:r w:rsidRPr="00BA5399">
        <w:t xml:space="preserve"> ongoing</w:t>
      </w:r>
      <w:r>
        <w:t xml:space="preserve"> fiscal </w:t>
      </w:r>
      <w:r w:rsidRPr="00BA5399">
        <w:t>uncertainty</w:t>
      </w:r>
      <w:r>
        <w:t xml:space="preserve"> as the Australian Government </w:t>
      </w:r>
      <w:r w:rsidRPr="00BA5399">
        <w:t>could withdraw support</w:t>
      </w:r>
      <w:r>
        <w:t xml:space="preserve"> at any point.</w:t>
      </w:r>
      <w:r w:rsidRPr="004E0C2E">
        <w:t xml:space="preserve"> </w:t>
      </w:r>
      <w:r>
        <w:t>For these reasons, and its relatively stronger fiscal position, t</w:t>
      </w:r>
      <w:r w:rsidRPr="008A2101">
        <w:t xml:space="preserve">he Australian Government is better placed to bear </w:t>
      </w:r>
      <w:r>
        <w:t xml:space="preserve">the </w:t>
      </w:r>
      <w:r w:rsidRPr="00EE036C">
        <w:t>cost</w:t>
      </w:r>
      <w:r>
        <w:t>s of reform by introducing a permanent NoWO guarantee.</w:t>
      </w:r>
    </w:p>
    <w:p w14:paraId="4F1E7384" w14:textId="77777777" w:rsidR="000A62ED" w:rsidRDefault="000A62ED" w:rsidP="003D5906">
      <w:pPr>
        <w:pStyle w:val="Heading2"/>
        <w:numPr>
          <w:ilvl w:val="2"/>
          <w:numId w:val="18"/>
        </w:numPr>
      </w:pPr>
      <w:bookmarkStart w:id="48" w:name="_Toc236904073"/>
      <w:r>
        <w:t>The GST distribution has limited impact on states’ already reasonable revenue certainty</w:t>
      </w:r>
      <w:bookmarkEnd w:id="48"/>
    </w:p>
    <w:p w14:paraId="5E4273CE" w14:textId="77777777" w:rsidR="000A62ED" w:rsidRDefault="000A62ED">
      <w:pPr>
        <w:pStyle w:val="Heading3"/>
        <w:rPr>
          <w:lang w:eastAsia="en-AU"/>
        </w:rPr>
      </w:pPr>
      <w:r>
        <w:rPr>
          <w:lang w:eastAsia="en-AU"/>
        </w:rPr>
        <w:t>States have now, and have always had, reasonable revenue certainty</w:t>
      </w:r>
    </w:p>
    <w:p w14:paraId="36619268" w14:textId="77777777" w:rsidR="000A62ED" w:rsidRPr="009134A4" w:rsidRDefault="000A62ED">
      <w:pPr>
        <w:pStyle w:val="BodyText"/>
      </w:pPr>
      <w:r w:rsidRPr="661D907C">
        <w:rPr>
          <w:lang w:eastAsia="en-AU"/>
        </w:rPr>
        <w:t>To support sound fiscal planning, states need to be able to form reliable expectations about their overall revenues in the future, inclusive of GST payments.</w:t>
      </w:r>
      <w:r w:rsidRPr="661D907C">
        <w:rPr>
          <w:rStyle w:val="FootnoteReference"/>
          <w:lang w:eastAsia="en-AU"/>
        </w:rPr>
        <w:t xml:space="preserve"> </w:t>
      </w:r>
      <w:r>
        <w:t xml:space="preserve">GST revenue is fungible with other state government revenue, so state government fiscal planning is only constrained by GST revenue uncertainty insofar as it contributes to total revenue uncertainty. </w:t>
      </w:r>
    </w:p>
    <w:p w14:paraId="583A8130" w14:textId="1C763663" w:rsidR="000A62ED" w:rsidRDefault="000A62ED">
      <w:pPr>
        <w:rPr>
          <w:lang w:val="en-US"/>
        </w:rPr>
      </w:pPr>
      <w:r>
        <w:rPr>
          <w:lang w:val="en-US"/>
        </w:rPr>
        <w:lastRenderedPageBreak/>
        <w:t xml:space="preserve">Historically, states have been able to predict their total revenues with a reasonable degree of accuracy. </w:t>
      </w:r>
      <w:r w:rsidRPr="00196B43">
        <w:rPr>
          <w:lang w:val="en-US"/>
        </w:rPr>
        <w:t>Between 2006</w:t>
      </w:r>
      <w:r w:rsidR="00BC550D">
        <w:rPr>
          <w:rFonts w:cs="Open Sans"/>
          <w:color w:val="000000"/>
          <w:szCs w:val="16"/>
        </w:rPr>
        <w:t>–</w:t>
      </w:r>
      <w:r w:rsidRPr="00196B43">
        <w:rPr>
          <w:lang w:val="en-US"/>
        </w:rPr>
        <w:t xml:space="preserve">07 and </w:t>
      </w:r>
      <w:r w:rsidR="00246A5F">
        <w:rPr>
          <w:lang w:val="en-US"/>
        </w:rPr>
        <w:t>2024–25</w:t>
      </w:r>
      <w:r w:rsidRPr="00196B43">
        <w:rPr>
          <w:lang w:val="en-US"/>
        </w:rPr>
        <w:t>, states</w:t>
      </w:r>
      <w:r w:rsidRPr="00B6575E">
        <w:rPr>
          <w:lang w:val="en-US"/>
        </w:rPr>
        <w:t xml:space="preserve"> estimated their total revenue within approximately 12% of the outcome 3 years in advance (the first year it enters the forward estimates), and within approximately 5% of the outcome in the year of the budget </w:t>
      </w:r>
      <w:r w:rsidRPr="00196B43">
        <w:rPr>
          <w:lang w:val="en-US"/>
        </w:rPr>
        <w:t>(</w:t>
      </w:r>
      <w:r w:rsidR="00BC550D">
        <w:t>f</w:t>
      </w:r>
      <w:r w:rsidR="000664B8" w:rsidRPr="00E25CF5" w:rsidDel="00B47BE5">
        <w:t xml:space="preserve">igure </w:t>
      </w:r>
      <w:r w:rsidR="000664B8">
        <w:rPr>
          <w:noProof/>
        </w:rPr>
        <w:t>3</w:t>
      </w:r>
      <w:r w:rsidR="000664B8" w:rsidRPr="00E25CF5" w:rsidDel="00B47BE5">
        <w:rPr>
          <w:noProof/>
        </w:rPr>
        <w:t>.</w:t>
      </w:r>
      <w:r w:rsidR="00E91EBD">
        <w:rPr>
          <w:noProof/>
        </w:rPr>
        <w:t>9</w:t>
      </w:r>
      <w:r w:rsidRPr="00196B43">
        <w:rPr>
          <w:lang w:val="en-US"/>
        </w:rPr>
        <w:t>).</w:t>
      </w:r>
      <w:r>
        <w:rPr>
          <w:lang w:val="en-US"/>
        </w:rPr>
        <w:t xml:space="preserve"> </w:t>
      </w:r>
    </w:p>
    <w:p w14:paraId="577AED5F" w14:textId="208FC1DB" w:rsidR="000A62ED" w:rsidRPr="00146382" w:rsidRDefault="000A62ED">
      <w:pPr>
        <w:pStyle w:val="FigureTableHeading"/>
      </w:pPr>
      <w:bookmarkStart w:id="49" w:name="_Ref236249707"/>
      <w:r w:rsidRPr="00E25CF5" w:rsidDel="00B47BE5">
        <w:t xml:space="preserve">Figure </w:t>
      </w:r>
      <w:fldSimple w:instr=" STYLEREF 1 \s ">
        <w:r w:rsidR="009C08C4">
          <w:rPr>
            <w:noProof/>
          </w:rPr>
          <w:t>3</w:t>
        </w:r>
      </w:fldSimple>
      <w:r w:rsidRPr="00E25CF5" w:rsidDel="00B47BE5">
        <w:t>.</w:t>
      </w:r>
      <w:fldSimple w:instr=" SEQ Figure \* ARABIC \s 1 ">
        <w:r w:rsidR="009C08C4">
          <w:rPr>
            <w:noProof/>
          </w:rPr>
          <w:t>9</w:t>
        </w:r>
      </w:fldSimple>
      <w:bookmarkEnd w:id="49"/>
      <w:r w:rsidRPr="00196B43" w:rsidDel="00B47BE5">
        <w:t xml:space="preserve"> </w:t>
      </w:r>
      <w:r w:rsidR="004543D6">
        <w:t>–</w:t>
      </w:r>
      <w:r w:rsidRPr="000C039D">
        <w:t xml:space="preserve"> Historically, states have predicted total revenue with reasonable accuracy</w:t>
      </w:r>
    </w:p>
    <w:p w14:paraId="21F134AC" w14:textId="386332CB" w:rsidR="000A62ED" w:rsidRDefault="000A62ED">
      <w:pPr>
        <w:pStyle w:val="FigureTableSubheading"/>
        <w:keepLines/>
      </w:pPr>
      <w:r>
        <w:t>Average absolute estimation error in total revenue, 2006</w:t>
      </w:r>
      <w:r w:rsidR="004543D6">
        <w:rPr>
          <w:rFonts w:cs="Open Sans"/>
          <w:color w:val="000000"/>
          <w:szCs w:val="16"/>
        </w:rPr>
        <w:t>–</w:t>
      </w:r>
      <w:r>
        <w:t xml:space="preserve">07 to </w:t>
      </w:r>
      <w:r w:rsidR="00246A5F">
        <w:t>2024–25</w:t>
      </w:r>
    </w:p>
    <w:p w14:paraId="3D7E782F" w14:textId="77777777" w:rsidR="000A62ED" w:rsidRPr="005550A0" w:rsidRDefault="000A62ED">
      <w:pPr>
        <w:pStyle w:val="BodyText"/>
      </w:pPr>
      <w:r w:rsidRPr="009A0487">
        <w:rPr>
          <w:noProof/>
        </w:rPr>
        <w:drawing>
          <wp:inline distT="0" distB="0" distL="0" distR="0" wp14:anchorId="753618DC" wp14:editId="5EAF5D9B">
            <wp:extent cx="6116955" cy="2778760"/>
            <wp:effectExtent l="0" t="0" r="0" b="0"/>
            <wp:docPr id="1819538976" name="Picture 4" descr="Figure 3.10 – This chart shows a column graph of the average absolute estimation error in state total revenue forecasts since 2006-07. It shows that while there is variation across states, the average year of variation is about 5% and the average 3-years out variation is abou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538976" name="Picture 4" descr="Figure 3.10 – This chart shows a column graph of the average absolute estimation error in state total revenue forecasts since 2006-07. It shows that while there is variation across states, the average year of variation is about 5% and the average 3-years out variation is about 1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116955" cy="2778760"/>
                    </a:xfrm>
                    <a:prstGeom prst="rect">
                      <a:avLst/>
                    </a:prstGeom>
                    <a:noFill/>
                    <a:ln>
                      <a:noFill/>
                    </a:ln>
                  </pic:spPr>
                </pic:pic>
              </a:graphicData>
            </a:graphic>
          </wp:inline>
        </w:drawing>
      </w:r>
    </w:p>
    <w:p w14:paraId="7FDA7A36" w14:textId="77777777" w:rsidR="00085D01" w:rsidRDefault="000A62ED" w:rsidP="00085D01">
      <w:pPr>
        <w:pStyle w:val="Note"/>
      </w:pPr>
      <w:r>
        <w:t>This period has been selected as it is the longest available given the data published in historical state budgets.</w:t>
      </w:r>
      <w:r w:rsidRPr="00B7326D">
        <w:t xml:space="preserve"> </w:t>
      </w:r>
    </w:p>
    <w:p w14:paraId="37D58AC7" w14:textId="7B54FE6E" w:rsidR="000A62ED" w:rsidRPr="00D412F9" w:rsidRDefault="000A62ED">
      <w:pPr>
        <w:pStyle w:val="Source"/>
      </w:pPr>
      <w:r w:rsidRPr="00696447">
        <w:t xml:space="preserve">Source: </w:t>
      </w:r>
      <w:r>
        <w:t>State budgets (2003</w:t>
      </w:r>
      <w:r w:rsidR="00285625">
        <w:rPr>
          <w:rFonts w:cs="Open Sans"/>
          <w:color w:val="000000"/>
          <w:szCs w:val="16"/>
        </w:rPr>
        <w:t>–</w:t>
      </w:r>
      <w:r>
        <w:t xml:space="preserve">04 to </w:t>
      </w:r>
      <w:r w:rsidR="00F34590">
        <w:t>2026–27</w:t>
      </w:r>
      <w:r>
        <w:t>)</w:t>
      </w:r>
      <w:r w:rsidR="00F0700B">
        <w:t>.</w:t>
      </w:r>
    </w:p>
    <w:p w14:paraId="1639B6C2" w14:textId="77777777" w:rsidR="000A62ED" w:rsidRPr="00285625" w:rsidRDefault="000A62ED">
      <w:pPr>
        <w:rPr>
          <w:spacing w:val="-2"/>
          <w:lang w:val="en-US"/>
        </w:rPr>
      </w:pPr>
      <w:r w:rsidRPr="00285625">
        <w:rPr>
          <w:spacing w:val="-2"/>
          <w:lang w:val="en-US"/>
        </w:rPr>
        <w:t>Due to the unpredictability of global commodity prices, the largest source of revenue uncertainty for the states is mining royalties. States with strong mining sectors – such as Western Australia, Queensland, and the Northern Territory – tend to have the greatest revenue estimation error both for longer- and near-term estimates. All state governments also experienced considerably higher revenue estimation error during unanticipated global shocks, such as the global financial crisis and the COVID-19 pandemic.</w:t>
      </w:r>
    </w:p>
    <w:p w14:paraId="3F24E860" w14:textId="6FB78C03" w:rsidR="000A62ED" w:rsidRPr="00323CEA" w:rsidRDefault="000A62ED">
      <w:r>
        <w:t>Broadly, states have also been successful in predicting future GST revenues. While not all states have produced forward estimates of GST revenue, New South Wales, South Australia, Tasmania and the Australian Capital Territory</w:t>
      </w:r>
      <w:r w:rsidRPr="00411A7D">
        <w:t xml:space="preserve"> </w:t>
      </w:r>
      <w:r>
        <w:t xml:space="preserve">have, on average, </w:t>
      </w:r>
      <w:r w:rsidRPr="007B63F0">
        <w:t xml:space="preserve">estimated </w:t>
      </w:r>
      <w:r w:rsidRPr="00B6575E">
        <w:t xml:space="preserve">GST revenue within 10% of the true value </w:t>
      </w:r>
      <w:r w:rsidRPr="00196B43">
        <w:t>3</w:t>
      </w:r>
      <w:r w:rsidR="006C5D13">
        <w:t> </w:t>
      </w:r>
      <w:r w:rsidRPr="00B6575E">
        <w:t xml:space="preserve">years in advance </w:t>
      </w:r>
      <w:r w:rsidRPr="00196B43">
        <w:t>from 2011-12</w:t>
      </w:r>
      <w:r w:rsidRPr="007B63F0">
        <w:t xml:space="preserve"> to </w:t>
      </w:r>
      <w:r w:rsidR="00246A5F">
        <w:t>2024–25</w:t>
      </w:r>
      <w:r w:rsidRPr="007B63F0">
        <w:t>.</w:t>
      </w:r>
      <w:r w:rsidRPr="00201B0D">
        <w:rPr>
          <w:rStyle w:val="FootnoteReference"/>
        </w:rPr>
        <w:footnoteReference w:id="45"/>
      </w:r>
      <w:r w:rsidRPr="007B63F0">
        <w:t xml:space="preserve"> </w:t>
      </w:r>
      <w:r>
        <w:t>All</w:t>
      </w:r>
      <w:r w:rsidRPr="00B6575E">
        <w:t xml:space="preserve"> states except Western Australia and the Northern Territory have predicted GST revenue within 5% of the true value in the year of the budget (PC analysis </w:t>
      </w:r>
      <w:r w:rsidRPr="00196B43">
        <w:t xml:space="preserve">using </w:t>
      </w:r>
      <w:r w:rsidRPr="00B6575E">
        <w:t>state budgets).</w:t>
      </w:r>
      <w:r w:rsidRPr="00201B0D">
        <w:rPr>
          <w:rStyle w:val="FootnoteReference"/>
        </w:rPr>
        <w:footnoteReference w:id="46"/>
      </w:r>
      <w:r>
        <w:t xml:space="preserve"> </w:t>
      </w:r>
    </w:p>
    <w:p w14:paraId="05F371B0" w14:textId="740EAED4" w:rsidR="000A62ED" w:rsidRDefault="000A62ED">
      <w:r w:rsidRPr="00B6575E">
        <w:t>For most states, GST revenue has been relatively stable: year-on-year changes in GST revenue have averaged around 1% of total revenue</w:t>
      </w:r>
      <w:r w:rsidRPr="00F23D34">
        <w:t xml:space="preserve"> (</w:t>
      </w:r>
      <w:r w:rsidR="006140A5">
        <w:t>t</w:t>
      </w:r>
      <w:r w:rsidR="00A65085">
        <w:t xml:space="preserve">able </w:t>
      </w:r>
      <w:r w:rsidR="00A65085">
        <w:rPr>
          <w:noProof/>
        </w:rPr>
        <w:t>3.</w:t>
      </w:r>
      <w:r w:rsidR="00D023DF">
        <w:rPr>
          <w:noProof/>
        </w:rPr>
        <w:t>5</w:t>
      </w:r>
      <w:r>
        <w:t xml:space="preserve">). </w:t>
      </w:r>
      <w:r w:rsidRPr="0065195E">
        <w:t xml:space="preserve">However, GST revenue can be more volatile in states </w:t>
      </w:r>
      <w:r w:rsidRPr="0065195E">
        <w:lastRenderedPageBreak/>
        <w:t xml:space="preserve">where demographic groups with more volatile assessed expenditure needs </w:t>
      </w:r>
      <w:r w:rsidR="008805C1">
        <w:t>–</w:t>
      </w:r>
      <w:r w:rsidRPr="0065195E">
        <w:t xml:space="preserve"> such as Indigenous people and people living in regional areas </w:t>
      </w:r>
      <w:r w:rsidR="005A1B47">
        <w:t>–</w:t>
      </w:r>
      <w:r w:rsidRPr="0065195E">
        <w:t xml:space="preserve"> comprise a larger share of the population</w:t>
      </w:r>
      <w:r>
        <w:t xml:space="preserve"> (Northern Territory, sub. 39, pp. 18, 20). </w:t>
      </w:r>
      <w:r w:rsidRPr="00B6575E">
        <w:t xml:space="preserve">For example, the average yearly swing in the Northern Territory’s GST revenue (in dollar terms) is more than the total value of its </w:t>
      </w:r>
      <w:r w:rsidR="003B5DC0">
        <w:t xml:space="preserve">2024–25 </w:t>
      </w:r>
      <w:r w:rsidRPr="00B6575E">
        <w:t xml:space="preserve">gambling and motor vehicle taxes combined, and Tasmania’s is more than its </w:t>
      </w:r>
      <w:r w:rsidR="003B5DC0">
        <w:t xml:space="preserve">2024–25 </w:t>
      </w:r>
      <w:r w:rsidRPr="00B6575E">
        <w:t>motor vehicle tax revenue.</w:t>
      </w:r>
    </w:p>
    <w:p w14:paraId="675D1300" w14:textId="0590888B" w:rsidR="000A62ED" w:rsidRDefault="000A62ED">
      <w:pPr>
        <w:pStyle w:val="FigureTableHeading"/>
      </w:pPr>
      <w:bookmarkStart w:id="50" w:name="_Ref236250177"/>
      <w:r>
        <w:t xml:space="preserve">Table </w:t>
      </w:r>
      <w:fldSimple w:instr=" STYLEREF 1 \s ">
        <w:r w:rsidR="009C08C4">
          <w:rPr>
            <w:noProof/>
          </w:rPr>
          <w:t>3</w:t>
        </w:r>
      </w:fldSimple>
      <w:r w:rsidRPr="006140A5">
        <w:t>.</w:t>
      </w:r>
      <w:fldSimple w:instr=" SEQ Table \* ARABIC \s 1 ">
        <w:r w:rsidR="009C08C4">
          <w:rPr>
            <w:noProof/>
          </w:rPr>
          <w:t>5</w:t>
        </w:r>
      </w:fldSimple>
      <w:bookmarkEnd w:id="50"/>
      <w:r w:rsidRPr="006140A5">
        <w:rPr>
          <w:noProof/>
        </w:rPr>
        <w:t xml:space="preserve"> </w:t>
      </w:r>
      <w:r w:rsidRPr="006140A5">
        <w:t>– Av</w:t>
      </w:r>
      <w:r w:rsidRPr="00B6575E">
        <w:t>erage absolute change in per capita GST payments, year-on-year</w:t>
      </w:r>
    </w:p>
    <w:p w14:paraId="78AECB53" w14:textId="6122E9F4" w:rsidR="000A62ED" w:rsidRDefault="000A62ED">
      <w:pPr>
        <w:pStyle w:val="FigureTableSubheading"/>
      </w:pPr>
      <w:r>
        <w:t>Average change from 2000</w:t>
      </w:r>
      <w:r w:rsidR="008805C1">
        <w:rPr>
          <w:rFonts w:cs="Open Sans"/>
          <w:color w:val="000000"/>
          <w:szCs w:val="16"/>
        </w:rPr>
        <w:t>–</w:t>
      </w:r>
      <w:r>
        <w:t xml:space="preserve">01 to </w:t>
      </w:r>
      <w:r w:rsidR="00246A5F">
        <w:t>2024–25</w:t>
      </w:r>
      <w:r>
        <w:t xml:space="preserve">, constant prices </w:t>
      </w:r>
      <w:r w:rsidR="003B5DC0">
        <w:t xml:space="preserve">2024–25 </w:t>
      </w:r>
      <w:r>
        <w:t>basis</w:t>
      </w:r>
    </w:p>
    <w:tbl>
      <w:tblPr>
        <w:tblStyle w:val="TableGrid"/>
        <w:tblW w:w="5000" w:type="pct"/>
        <w:tblBorders>
          <w:top w:val="none" w:sz="0" w:space="0" w:color="auto"/>
          <w:left w:val="none" w:sz="0" w:space="0" w:color="auto"/>
          <w:bottom w:val="single" w:sz="4" w:space="0" w:color="B3B3B3"/>
          <w:right w:val="none" w:sz="0" w:space="0" w:color="auto"/>
          <w:insideH w:val="single" w:sz="4" w:space="0" w:color="B3B3B3"/>
          <w:insideV w:val="none" w:sz="0" w:space="0" w:color="auto"/>
        </w:tblBorders>
        <w:tblLayout w:type="fixed"/>
        <w:tblCellMar>
          <w:left w:w="0" w:type="dxa"/>
          <w:right w:w="0" w:type="dxa"/>
        </w:tblCellMar>
        <w:tblLook w:val="06A0" w:firstRow="1" w:lastRow="0" w:firstColumn="1" w:lastColumn="0" w:noHBand="1" w:noVBand="1"/>
        <w:tblDescription w:val="{&quot;Ott&quot;:{&quot;FirstRow&quot;:{&quot;Font&quot;:{&quot;Bold&quot;:true,&quot;Color&quot;:{&quot;Key&quot;:&quot;TableHeading&quot;},&quot;BulletColor&quot;:{&quot;Key&quot;:&quot;TableHeading&quot;}},&quot;Alignment&quot;:{&quot;Vertical&quot;:&quot;Bottom&quot;}},&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Color&quot;:{&quot;Key&quot;:&quot;BorderColor&quot;},&quot;BorderWeight&quot;:&quot;Pt0_5&quot;,&quot;Type&quot;:&quot;Solid&quot;,&quot;Visible&quot;:true},&quot;Top&quot;:{&quot;Visible&quot;:fals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false,&quot;BandedColumns&quot;:false},&quot;Aaf&quot;:false}"/>
      </w:tblPr>
      <w:tblGrid>
        <w:gridCol w:w="2703"/>
        <w:gridCol w:w="868"/>
        <w:gridCol w:w="868"/>
        <w:gridCol w:w="869"/>
        <w:gridCol w:w="867"/>
        <w:gridCol w:w="867"/>
        <w:gridCol w:w="869"/>
        <w:gridCol w:w="867"/>
        <w:gridCol w:w="860"/>
      </w:tblGrid>
      <w:tr w:rsidR="000A62ED" w:rsidRPr="00EF17DB" w14:paraId="04FC70CA" w14:textId="77777777">
        <w:trPr>
          <w:tblHeader/>
        </w:trPr>
        <w:tc>
          <w:tcPr>
            <w:tcW w:w="1402" w:type="pct"/>
            <w:vAlign w:val="bottom"/>
          </w:tcPr>
          <w:p w14:paraId="64BB37AB" w14:textId="77777777" w:rsidR="000A62ED" w:rsidRPr="00EF17DB" w:rsidRDefault="000A62ED">
            <w:pPr>
              <w:pStyle w:val="BodyText"/>
              <w:spacing w:before="45" w:after="45"/>
              <w:ind w:left="57" w:right="108"/>
              <w:rPr>
                <w:rFonts w:asciiTheme="majorHAnsi" w:hAnsiTheme="majorHAnsi" w:cstheme="majorHAnsi"/>
                <w:b/>
                <w:color w:val="1D4374"/>
                <w:sz w:val="18"/>
              </w:rPr>
            </w:pPr>
          </w:p>
        </w:tc>
        <w:tc>
          <w:tcPr>
            <w:tcW w:w="450" w:type="pct"/>
            <w:vAlign w:val="center"/>
          </w:tcPr>
          <w:p w14:paraId="7D539986" w14:textId="77777777" w:rsidR="000A62ED" w:rsidRPr="00EF17DB" w:rsidRDefault="000A62ED" w:rsidP="005161C9">
            <w:pPr>
              <w:pStyle w:val="TableHeading"/>
              <w:jc w:val="right"/>
              <w:rPr>
                <w:rFonts w:asciiTheme="majorHAnsi" w:hAnsiTheme="majorHAnsi" w:cstheme="majorHAnsi"/>
                <w:b w:val="0"/>
                <w:color w:val="1D4374"/>
              </w:rPr>
            </w:pPr>
            <w:r w:rsidRPr="00E146CE">
              <w:t>NSW</w:t>
            </w:r>
          </w:p>
        </w:tc>
        <w:tc>
          <w:tcPr>
            <w:tcW w:w="450" w:type="pct"/>
            <w:vAlign w:val="center"/>
          </w:tcPr>
          <w:p w14:paraId="0B3593EE" w14:textId="77777777" w:rsidR="000A62ED" w:rsidRPr="00EF17DB" w:rsidRDefault="000A62ED" w:rsidP="005161C9">
            <w:pPr>
              <w:pStyle w:val="TableHeading"/>
              <w:jc w:val="right"/>
              <w:rPr>
                <w:rFonts w:asciiTheme="majorHAnsi" w:hAnsiTheme="majorHAnsi" w:cstheme="majorHAnsi"/>
                <w:b w:val="0"/>
                <w:color w:val="1D4374"/>
              </w:rPr>
            </w:pPr>
            <w:r w:rsidRPr="00E146CE">
              <w:t>VIC</w:t>
            </w:r>
          </w:p>
        </w:tc>
        <w:tc>
          <w:tcPr>
            <w:tcW w:w="451" w:type="pct"/>
            <w:vAlign w:val="center"/>
          </w:tcPr>
          <w:p w14:paraId="2178DAD1" w14:textId="77777777" w:rsidR="000A62ED" w:rsidRPr="00EF17DB" w:rsidRDefault="000A62ED" w:rsidP="005161C9">
            <w:pPr>
              <w:pStyle w:val="TableHeading"/>
              <w:jc w:val="right"/>
              <w:rPr>
                <w:rFonts w:asciiTheme="majorHAnsi" w:hAnsiTheme="majorHAnsi" w:cstheme="majorHAnsi"/>
                <w:b w:val="0"/>
                <w:color w:val="1D4374"/>
              </w:rPr>
            </w:pPr>
            <w:r w:rsidRPr="00E146CE">
              <w:t>QLD</w:t>
            </w:r>
          </w:p>
        </w:tc>
        <w:tc>
          <w:tcPr>
            <w:tcW w:w="450" w:type="pct"/>
            <w:vAlign w:val="center"/>
          </w:tcPr>
          <w:p w14:paraId="346F5719" w14:textId="77777777" w:rsidR="000A62ED" w:rsidRPr="00EF17DB" w:rsidRDefault="000A62ED" w:rsidP="005161C9">
            <w:pPr>
              <w:pStyle w:val="TableHeading"/>
              <w:jc w:val="right"/>
              <w:rPr>
                <w:rFonts w:asciiTheme="majorHAnsi" w:hAnsiTheme="majorHAnsi" w:cstheme="majorHAnsi"/>
                <w:b w:val="0"/>
                <w:color w:val="1D4374"/>
              </w:rPr>
            </w:pPr>
            <w:r w:rsidRPr="00E146CE">
              <w:t>WA</w:t>
            </w:r>
          </w:p>
        </w:tc>
        <w:tc>
          <w:tcPr>
            <w:tcW w:w="450" w:type="pct"/>
            <w:vAlign w:val="center"/>
          </w:tcPr>
          <w:p w14:paraId="2E6D2563" w14:textId="77777777" w:rsidR="000A62ED" w:rsidRPr="00EF17DB" w:rsidRDefault="000A62ED" w:rsidP="005161C9">
            <w:pPr>
              <w:pStyle w:val="TableHeading"/>
              <w:jc w:val="right"/>
              <w:rPr>
                <w:rFonts w:asciiTheme="majorHAnsi" w:hAnsiTheme="majorHAnsi" w:cstheme="majorHAnsi"/>
                <w:b w:val="0"/>
                <w:color w:val="1D4374"/>
              </w:rPr>
            </w:pPr>
            <w:r w:rsidRPr="00E146CE">
              <w:t>SA</w:t>
            </w:r>
          </w:p>
        </w:tc>
        <w:tc>
          <w:tcPr>
            <w:tcW w:w="451" w:type="pct"/>
            <w:vAlign w:val="center"/>
          </w:tcPr>
          <w:p w14:paraId="2C400F7F" w14:textId="77777777" w:rsidR="000A62ED" w:rsidRPr="00EF17DB" w:rsidRDefault="000A62ED" w:rsidP="005161C9">
            <w:pPr>
              <w:pStyle w:val="TableHeading"/>
              <w:jc w:val="right"/>
              <w:rPr>
                <w:rFonts w:asciiTheme="majorHAnsi" w:hAnsiTheme="majorHAnsi" w:cstheme="majorHAnsi"/>
                <w:b w:val="0"/>
                <w:color w:val="1D4374"/>
              </w:rPr>
            </w:pPr>
            <w:r w:rsidRPr="00E146CE">
              <w:t>TAS</w:t>
            </w:r>
          </w:p>
        </w:tc>
        <w:tc>
          <w:tcPr>
            <w:tcW w:w="450" w:type="pct"/>
            <w:vAlign w:val="center"/>
          </w:tcPr>
          <w:p w14:paraId="309F4E62" w14:textId="77777777" w:rsidR="000A62ED" w:rsidRPr="00EF17DB" w:rsidRDefault="000A62ED" w:rsidP="005161C9">
            <w:pPr>
              <w:pStyle w:val="TableHeading"/>
              <w:jc w:val="right"/>
              <w:rPr>
                <w:rFonts w:asciiTheme="majorHAnsi" w:hAnsiTheme="majorHAnsi" w:cstheme="majorHAnsi"/>
                <w:b w:val="0"/>
                <w:color w:val="1D4374"/>
              </w:rPr>
            </w:pPr>
            <w:r w:rsidRPr="00E146CE">
              <w:t>ACT</w:t>
            </w:r>
          </w:p>
        </w:tc>
        <w:tc>
          <w:tcPr>
            <w:tcW w:w="446" w:type="pct"/>
            <w:vAlign w:val="center"/>
          </w:tcPr>
          <w:p w14:paraId="6A8ED7DF" w14:textId="77777777" w:rsidR="000A62ED" w:rsidRPr="00EF17DB" w:rsidRDefault="000A62ED" w:rsidP="005161C9">
            <w:pPr>
              <w:pStyle w:val="TableHeading"/>
              <w:jc w:val="right"/>
              <w:rPr>
                <w:rFonts w:asciiTheme="majorHAnsi" w:hAnsiTheme="majorHAnsi" w:cstheme="majorHAnsi"/>
                <w:b w:val="0"/>
                <w:color w:val="1D4374"/>
              </w:rPr>
            </w:pPr>
            <w:r w:rsidRPr="00E146CE">
              <w:t>NT</w:t>
            </w:r>
          </w:p>
        </w:tc>
      </w:tr>
      <w:tr w:rsidR="000A62ED" w:rsidRPr="00EF17DB" w14:paraId="51E71CA3" w14:textId="77777777">
        <w:tc>
          <w:tcPr>
            <w:tcW w:w="1402" w:type="pct"/>
          </w:tcPr>
          <w:p w14:paraId="637FA2A3" w14:textId="77777777" w:rsidR="000A62ED" w:rsidRPr="005161C9" w:rsidRDefault="000A62ED" w:rsidP="005161C9">
            <w:pPr>
              <w:pStyle w:val="TableHeading"/>
            </w:pPr>
            <w:r w:rsidRPr="005161C9">
              <w:t>Average absolute change in payments ($ per capita)</w:t>
            </w:r>
          </w:p>
        </w:tc>
        <w:tc>
          <w:tcPr>
            <w:tcW w:w="450" w:type="pct"/>
            <w:vAlign w:val="center"/>
          </w:tcPr>
          <w:p w14:paraId="328F3C54" w14:textId="77777777" w:rsidR="000A62ED" w:rsidRPr="008805C1" w:rsidRDefault="000A62ED" w:rsidP="00C509B0">
            <w:pPr>
              <w:pStyle w:val="TableBody"/>
              <w:ind w:right="108"/>
              <w:jc w:val="right"/>
            </w:pPr>
            <w:r w:rsidRPr="008805C1">
              <w:t>130</w:t>
            </w:r>
          </w:p>
        </w:tc>
        <w:tc>
          <w:tcPr>
            <w:tcW w:w="450" w:type="pct"/>
            <w:vAlign w:val="center"/>
          </w:tcPr>
          <w:p w14:paraId="3C0A38AF" w14:textId="77777777" w:rsidR="000A62ED" w:rsidRPr="008805C1" w:rsidRDefault="000A62ED" w:rsidP="00C509B0">
            <w:pPr>
              <w:pStyle w:val="TableBody"/>
              <w:ind w:right="108"/>
              <w:jc w:val="right"/>
            </w:pPr>
            <w:r w:rsidRPr="008805C1">
              <w:t>147</w:t>
            </w:r>
          </w:p>
        </w:tc>
        <w:tc>
          <w:tcPr>
            <w:tcW w:w="451" w:type="pct"/>
            <w:vAlign w:val="center"/>
          </w:tcPr>
          <w:p w14:paraId="6F2D6711" w14:textId="77777777" w:rsidR="000A62ED" w:rsidRPr="008805C1" w:rsidRDefault="000A62ED" w:rsidP="00C509B0">
            <w:pPr>
              <w:pStyle w:val="TableBody"/>
              <w:ind w:right="108"/>
              <w:jc w:val="right"/>
            </w:pPr>
            <w:r w:rsidRPr="008805C1">
              <w:t>196</w:t>
            </w:r>
          </w:p>
        </w:tc>
        <w:tc>
          <w:tcPr>
            <w:tcW w:w="450" w:type="pct"/>
            <w:vAlign w:val="center"/>
          </w:tcPr>
          <w:p w14:paraId="3BD7DAAE" w14:textId="77777777" w:rsidR="000A62ED" w:rsidRPr="008805C1" w:rsidRDefault="000A62ED" w:rsidP="00C509B0">
            <w:pPr>
              <w:pStyle w:val="TableBody"/>
              <w:ind w:right="108"/>
              <w:jc w:val="right"/>
            </w:pPr>
            <w:r w:rsidRPr="008805C1">
              <w:t>212</w:t>
            </w:r>
          </w:p>
        </w:tc>
        <w:tc>
          <w:tcPr>
            <w:tcW w:w="450" w:type="pct"/>
            <w:vAlign w:val="center"/>
          </w:tcPr>
          <w:p w14:paraId="62ED2771" w14:textId="77777777" w:rsidR="000A62ED" w:rsidRPr="008805C1" w:rsidRDefault="000A62ED" w:rsidP="00C509B0">
            <w:pPr>
              <w:pStyle w:val="TableBody"/>
              <w:ind w:right="108"/>
              <w:jc w:val="right"/>
            </w:pPr>
            <w:r w:rsidRPr="008805C1">
              <w:t>190</w:t>
            </w:r>
          </w:p>
        </w:tc>
        <w:tc>
          <w:tcPr>
            <w:tcW w:w="451" w:type="pct"/>
            <w:shd w:val="clear" w:color="auto" w:fill="D2EBF5" w:themeFill="text2" w:themeFillTint="33"/>
            <w:vAlign w:val="center"/>
          </w:tcPr>
          <w:p w14:paraId="3F0EF8E9" w14:textId="77777777" w:rsidR="000A62ED" w:rsidRPr="008805C1" w:rsidRDefault="000A62ED" w:rsidP="00C509B0">
            <w:pPr>
              <w:pStyle w:val="TableBody"/>
              <w:ind w:right="108"/>
              <w:jc w:val="right"/>
            </w:pPr>
            <w:r w:rsidRPr="008805C1">
              <w:t>297</w:t>
            </w:r>
          </w:p>
        </w:tc>
        <w:tc>
          <w:tcPr>
            <w:tcW w:w="450" w:type="pct"/>
            <w:vAlign w:val="center"/>
          </w:tcPr>
          <w:p w14:paraId="3C6FDAD6" w14:textId="77777777" w:rsidR="000A62ED" w:rsidRPr="008805C1" w:rsidRDefault="000A62ED" w:rsidP="00C509B0">
            <w:pPr>
              <w:pStyle w:val="TableBody"/>
              <w:ind w:right="108"/>
              <w:jc w:val="right"/>
            </w:pPr>
            <w:r w:rsidRPr="008805C1">
              <w:t>196</w:t>
            </w:r>
          </w:p>
        </w:tc>
        <w:tc>
          <w:tcPr>
            <w:tcW w:w="446" w:type="pct"/>
            <w:shd w:val="clear" w:color="auto" w:fill="D2EBF5" w:themeFill="text2" w:themeFillTint="33"/>
            <w:vAlign w:val="center"/>
          </w:tcPr>
          <w:p w14:paraId="2A2B1591" w14:textId="77777777" w:rsidR="000A62ED" w:rsidRPr="008805C1" w:rsidRDefault="000A62ED" w:rsidP="00C509B0">
            <w:pPr>
              <w:pStyle w:val="TableBody"/>
              <w:ind w:right="108"/>
              <w:jc w:val="right"/>
            </w:pPr>
            <w:r w:rsidRPr="008805C1">
              <w:t>941</w:t>
            </w:r>
          </w:p>
        </w:tc>
      </w:tr>
      <w:tr w:rsidR="000A62ED" w:rsidRPr="00EF17DB" w14:paraId="3B596C24" w14:textId="77777777">
        <w:tc>
          <w:tcPr>
            <w:tcW w:w="1402" w:type="pct"/>
          </w:tcPr>
          <w:p w14:paraId="2A428590" w14:textId="5DADA732" w:rsidR="000A62ED" w:rsidRPr="005161C9" w:rsidRDefault="000A62ED" w:rsidP="005161C9">
            <w:pPr>
              <w:pStyle w:val="TableHeading"/>
            </w:pPr>
            <w:r w:rsidRPr="005161C9">
              <w:t>% of total per capita revenue (</w:t>
            </w:r>
            <w:r w:rsidR="00246A5F" w:rsidRPr="005161C9">
              <w:t>2024–25</w:t>
            </w:r>
            <w:r w:rsidRPr="005161C9">
              <w:t>)</w:t>
            </w:r>
          </w:p>
        </w:tc>
        <w:tc>
          <w:tcPr>
            <w:tcW w:w="450" w:type="pct"/>
            <w:vAlign w:val="center"/>
          </w:tcPr>
          <w:p w14:paraId="550AB1D0" w14:textId="77777777" w:rsidR="000A62ED" w:rsidRPr="008805C1" w:rsidRDefault="000A62ED" w:rsidP="00C509B0">
            <w:pPr>
              <w:pStyle w:val="TableBody"/>
              <w:ind w:right="108"/>
              <w:jc w:val="right"/>
            </w:pPr>
            <w:r w:rsidRPr="008805C1">
              <w:t>1%</w:t>
            </w:r>
          </w:p>
        </w:tc>
        <w:tc>
          <w:tcPr>
            <w:tcW w:w="450" w:type="pct"/>
            <w:vAlign w:val="center"/>
          </w:tcPr>
          <w:p w14:paraId="165463DD" w14:textId="77777777" w:rsidR="000A62ED" w:rsidRPr="008805C1" w:rsidRDefault="000A62ED" w:rsidP="00C509B0">
            <w:pPr>
              <w:pStyle w:val="TableBody"/>
              <w:ind w:right="108"/>
              <w:jc w:val="right"/>
            </w:pPr>
            <w:r w:rsidRPr="008805C1">
              <w:t>1%</w:t>
            </w:r>
          </w:p>
        </w:tc>
        <w:tc>
          <w:tcPr>
            <w:tcW w:w="451" w:type="pct"/>
            <w:vAlign w:val="center"/>
          </w:tcPr>
          <w:p w14:paraId="3E87CCF5" w14:textId="77777777" w:rsidR="000A62ED" w:rsidRPr="008805C1" w:rsidRDefault="000A62ED" w:rsidP="00C509B0">
            <w:pPr>
              <w:pStyle w:val="TableBody"/>
              <w:ind w:right="108"/>
              <w:jc w:val="right"/>
            </w:pPr>
            <w:r w:rsidRPr="008805C1">
              <w:t>1%</w:t>
            </w:r>
          </w:p>
        </w:tc>
        <w:tc>
          <w:tcPr>
            <w:tcW w:w="450" w:type="pct"/>
            <w:vAlign w:val="center"/>
          </w:tcPr>
          <w:p w14:paraId="7ACEAB44" w14:textId="77777777" w:rsidR="000A62ED" w:rsidRPr="008805C1" w:rsidRDefault="000A62ED" w:rsidP="00C509B0">
            <w:pPr>
              <w:pStyle w:val="TableBody"/>
              <w:ind w:right="108"/>
              <w:jc w:val="right"/>
            </w:pPr>
            <w:r w:rsidRPr="008805C1">
              <w:t>1%</w:t>
            </w:r>
          </w:p>
        </w:tc>
        <w:tc>
          <w:tcPr>
            <w:tcW w:w="450" w:type="pct"/>
            <w:vAlign w:val="center"/>
          </w:tcPr>
          <w:p w14:paraId="658D4EDB" w14:textId="77777777" w:rsidR="000A62ED" w:rsidRPr="008805C1" w:rsidRDefault="000A62ED" w:rsidP="00C509B0">
            <w:pPr>
              <w:pStyle w:val="TableBody"/>
              <w:ind w:right="108"/>
              <w:jc w:val="right"/>
            </w:pPr>
            <w:r w:rsidRPr="008805C1">
              <w:t>1%</w:t>
            </w:r>
          </w:p>
        </w:tc>
        <w:tc>
          <w:tcPr>
            <w:tcW w:w="451" w:type="pct"/>
            <w:shd w:val="clear" w:color="auto" w:fill="D2EBF5" w:themeFill="text2" w:themeFillTint="33"/>
            <w:vAlign w:val="center"/>
          </w:tcPr>
          <w:p w14:paraId="79170AD6" w14:textId="77777777" w:rsidR="000A62ED" w:rsidRPr="008805C1" w:rsidRDefault="000A62ED" w:rsidP="00C509B0">
            <w:pPr>
              <w:pStyle w:val="TableBody"/>
              <w:ind w:right="108"/>
              <w:jc w:val="right"/>
            </w:pPr>
            <w:r w:rsidRPr="008805C1">
              <w:t>2%</w:t>
            </w:r>
          </w:p>
        </w:tc>
        <w:tc>
          <w:tcPr>
            <w:tcW w:w="450" w:type="pct"/>
            <w:vAlign w:val="center"/>
          </w:tcPr>
          <w:p w14:paraId="0407A76F" w14:textId="77777777" w:rsidR="000A62ED" w:rsidRPr="008805C1" w:rsidRDefault="000A62ED" w:rsidP="00C509B0">
            <w:pPr>
              <w:pStyle w:val="TableBody"/>
              <w:ind w:right="108"/>
              <w:jc w:val="right"/>
            </w:pPr>
            <w:r w:rsidRPr="008805C1">
              <w:t>1%</w:t>
            </w:r>
          </w:p>
        </w:tc>
        <w:tc>
          <w:tcPr>
            <w:tcW w:w="446" w:type="pct"/>
            <w:shd w:val="clear" w:color="auto" w:fill="D2EBF5" w:themeFill="text2" w:themeFillTint="33"/>
            <w:vAlign w:val="center"/>
          </w:tcPr>
          <w:p w14:paraId="34AF122F" w14:textId="77777777" w:rsidR="000A62ED" w:rsidRPr="008805C1" w:rsidRDefault="000A62ED" w:rsidP="00C509B0">
            <w:pPr>
              <w:pStyle w:val="TableBody"/>
              <w:ind w:right="108"/>
              <w:jc w:val="right"/>
            </w:pPr>
            <w:r w:rsidRPr="008805C1">
              <w:t>3%</w:t>
            </w:r>
          </w:p>
        </w:tc>
      </w:tr>
    </w:tbl>
    <w:p w14:paraId="70967D76" w14:textId="55F9A72A" w:rsidR="000A62ED" w:rsidRPr="00BB77A4" w:rsidRDefault="000A62ED" w:rsidP="007D27A4">
      <w:pPr>
        <w:pStyle w:val="Source"/>
        <w:spacing w:after="360"/>
        <w:rPr>
          <w:lang w:eastAsia="en-AU"/>
        </w:rPr>
      </w:pPr>
      <w:r w:rsidRPr="00696447">
        <w:t>Source:</w:t>
      </w:r>
      <w:r>
        <w:t xml:space="preserve"> PC analysis using </w:t>
      </w:r>
      <w:r w:rsidRPr="00186F62">
        <w:rPr>
          <w:rFonts w:cs="Open Sans"/>
        </w:rPr>
        <w:t>(2025a, unpublished data)</w:t>
      </w:r>
      <w:r w:rsidR="00B35180">
        <w:t>.</w:t>
      </w:r>
    </w:p>
    <w:p w14:paraId="585816A5" w14:textId="299BAB2E" w:rsidR="000A62ED" w:rsidRDefault="000A62ED">
      <w:pPr>
        <w:rPr>
          <w:lang w:val="en-US"/>
        </w:rPr>
      </w:pPr>
      <w:r>
        <w:rPr>
          <w:lang w:val="en-US"/>
        </w:rPr>
        <w:t xml:space="preserve">Many </w:t>
      </w:r>
      <w:r w:rsidRPr="00D04EC3">
        <w:rPr>
          <w:lang w:val="en-US"/>
        </w:rPr>
        <w:t>state</w:t>
      </w:r>
      <w:r w:rsidR="00E1280F">
        <w:rPr>
          <w:lang w:val="en-US"/>
        </w:rPr>
        <w:t xml:space="preserve"> </w:t>
      </w:r>
      <w:r w:rsidR="002B5873">
        <w:rPr>
          <w:lang w:val="en-US"/>
        </w:rPr>
        <w:t>governments</w:t>
      </w:r>
      <w:r>
        <w:rPr>
          <w:lang w:val="en-US"/>
        </w:rPr>
        <w:t>, including the disproportionately affected Tasmania, indicated that</w:t>
      </w:r>
      <w:r w:rsidRPr="5FD2B33A">
        <w:rPr>
          <w:lang w:val="en-US"/>
        </w:rPr>
        <w:t xml:space="preserve"> GST revenue</w:t>
      </w:r>
      <w:r>
        <w:rPr>
          <w:lang w:val="en-US"/>
        </w:rPr>
        <w:t xml:space="preserve"> specifically</w:t>
      </w:r>
      <w:r w:rsidRPr="5FD2B33A">
        <w:rPr>
          <w:lang w:val="en-US"/>
        </w:rPr>
        <w:t xml:space="preserve"> </w:t>
      </w:r>
      <w:r>
        <w:rPr>
          <w:lang w:val="en-US"/>
        </w:rPr>
        <w:t>is adequately predictable and that any effects from GST revenue volatility can be managed through standard budget processes (ACT Government, sub. 38, p. 5; Government of South Australia, sub. 13, pp. 14–15; Tasmanian Government, sub. 48, p. 34; Victorian Government, sub. 59, pp.</w:t>
      </w:r>
      <w:r w:rsidR="007D27A4">
        <w:rPr>
          <w:lang w:val="en-US"/>
        </w:rPr>
        <w:t> </w:t>
      </w:r>
      <w:r>
        <w:rPr>
          <w:lang w:val="en-US"/>
        </w:rPr>
        <w:t>28–29)</w:t>
      </w:r>
      <w:r w:rsidRPr="5FD2B33A">
        <w:rPr>
          <w:lang w:val="en-US"/>
        </w:rPr>
        <w:t>.</w:t>
      </w:r>
      <w:r>
        <w:rPr>
          <w:lang w:val="en-US"/>
        </w:rPr>
        <w:t xml:space="preserve"> </w:t>
      </w:r>
      <w:r w:rsidRPr="00A30650">
        <w:rPr>
          <w:lang w:val="en-US"/>
        </w:rPr>
        <w:t>Many states also suggested that using data over a rolling 3-year period to calculate relativities strikes the right balance between aiding predictability and ensuring the distribution is responsive to changing state needs (</w:t>
      </w:r>
      <w:r>
        <w:rPr>
          <w:lang w:val="en-US"/>
        </w:rPr>
        <w:t>ACT Government</w:t>
      </w:r>
      <w:r w:rsidRPr="00A30650">
        <w:rPr>
          <w:lang w:val="en-US"/>
        </w:rPr>
        <w:t xml:space="preserve">, sub. 38, p. 5; </w:t>
      </w:r>
      <w:r>
        <w:rPr>
          <w:lang w:val="en-US"/>
        </w:rPr>
        <w:t xml:space="preserve">Government of </w:t>
      </w:r>
      <w:r w:rsidRPr="00A30650">
        <w:rPr>
          <w:lang w:val="en-US"/>
        </w:rPr>
        <w:t>South Australia, sub. 13, p. 14;</w:t>
      </w:r>
      <w:r>
        <w:rPr>
          <w:lang w:val="en-US"/>
        </w:rPr>
        <w:t xml:space="preserve"> </w:t>
      </w:r>
      <w:r w:rsidRPr="00A30650">
        <w:rPr>
          <w:lang w:val="en-US"/>
        </w:rPr>
        <w:t>Queensland</w:t>
      </w:r>
      <w:r>
        <w:rPr>
          <w:lang w:val="en-US"/>
        </w:rPr>
        <w:t xml:space="preserve"> Government</w:t>
      </w:r>
      <w:r w:rsidRPr="00A30650">
        <w:rPr>
          <w:lang w:val="en-US"/>
        </w:rPr>
        <w:t>, sub. 62, p. 24; Tasmania</w:t>
      </w:r>
      <w:r>
        <w:rPr>
          <w:lang w:val="en-US"/>
        </w:rPr>
        <w:t>n Government</w:t>
      </w:r>
      <w:r w:rsidRPr="00A30650">
        <w:rPr>
          <w:lang w:val="en-US"/>
        </w:rPr>
        <w:t>, sub. 48, p. 34; Victoria</w:t>
      </w:r>
      <w:r>
        <w:rPr>
          <w:lang w:val="en-US"/>
        </w:rPr>
        <w:t>n Government</w:t>
      </w:r>
      <w:r w:rsidRPr="00A30650">
        <w:rPr>
          <w:lang w:val="en-US"/>
        </w:rPr>
        <w:t>, sub. 59, p. 29).</w:t>
      </w:r>
    </w:p>
    <w:p w14:paraId="46699EAB" w14:textId="77777777" w:rsidR="000A62ED" w:rsidRDefault="000A62ED">
      <w:r>
        <w:t xml:space="preserve">More generally, state governments have access to debt markets that can smooth any intertemporal mismatches (anticipated or otherwise) between their expense needs and their revenue. </w:t>
      </w:r>
    </w:p>
    <w:p w14:paraId="5CF8E115" w14:textId="77777777" w:rsidR="000A62ED" w:rsidRDefault="000A62ED">
      <w:r>
        <w:t xml:space="preserve">Given this combination of reasonable revenue predictability and the availability of tools outside the GST distribution system to manage revenue uncertainty, such as government debt markets, the PC </w:t>
      </w:r>
      <w:r w:rsidDel="005A311C">
        <w:t>has given</w:t>
      </w:r>
      <w:r>
        <w:t xml:space="preserve"> certainty </w:t>
      </w:r>
      <w:r w:rsidDel="008C7AAC">
        <w:t>less influence in its framework to assess alternative</w:t>
      </w:r>
      <w:r>
        <w:t xml:space="preserve"> GST distribution systems.</w:t>
      </w:r>
    </w:p>
    <w:p w14:paraId="52DFD019" w14:textId="77777777" w:rsidR="000A62ED" w:rsidRDefault="000A62ED">
      <w:pPr>
        <w:pStyle w:val="Heading3-noTOC"/>
      </w:pPr>
      <w:r>
        <w:t>The 2018 reforms have had mostly minimal effects on GST revenue certainty</w:t>
      </w:r>
    </w:p>
    <w:p w14:paraId="6F3F3761" w14:textId="77777777" w:rsidR="000A62ED" w:rsidRDefault="000A62ED">
      <w:pPr>
        <w:pStyle w:val="BodyText"/>
      </w:pPr>
      <w:r w:rsidRPr="001E5D3C">
        <w:t>The</w:t>
      </w:r>
      <w:r>
        <w:t xml:space="preserve"> system implemented through the</w:t>
      </w:r>
      <w:r w:rsidRPr="001E5D3C">
        <w:t xml:space="preserve"> 2018 reforms – with the no worse off guarantee expiring as scheduled – </w:t>
      </w:r>
      <w:r>
        <w:t>has</w:t>
      </w:r>
      <w:r w:rsidRPr="001E5D3C">
        <w:t xml:space="preserve"> different effects on certainty depending on the GST relativity of the state</w:t>
      </w:r>
      <w:r>
        <w:t>. In most cases the effect is marginal</w:t>
      </w:r>
      <w:r w:rsidRPr="001E5D3C">
        <w:t xml:space="preserve">. </w:t>
      </w:r>
    </w:p>
    <w:p w14:paraId="673C7E72" w14:textId="77777777" w:rsidR="000A62ED" w:rsidRDefault="000A62ED">
      <w:pPr>
        <w:pStyle w:val="BodyText"/>
      </w:pPr>
      <w:r>
        <w:t xml:space="preserve">The reforms have introduced methodological complexity which has reduced certainty. States now need to estimate the national set of relativities as they would have been without the reforms, then adjust them to ensure no state is below the standard state benchmark. These forecasts reflect a </w:t>
      </w:r>
      <w:r w:rsidRPr="009952CA">
        <w:rPr>
          <w:kern w:val="2"/>
          <w:lang w:eastAsia="en-AU"/>
          <w14:ligatures w14:val="standardContextual"/>
        </w:rPr>
        <w:t>mix of HFE</w:t>
      </w:r>
      <w:r>
        <w:rPr>
          <w:kern w:val="2"/>
          <w:lang w:eastAsia="en-AU"/>
          <w14:ligatures w14:val="standardContextual"/>
        </w:rPr>
        <w:t xml:space="preserve"> as it was previously</w:t>
      </w:r>
      <w:r w:rsidRPr="009952CA">
        <w:rPr>
          <w:kern w:val="2"/>
          <w:lang w:eastAsia="en-AU"/>
          <w14:ligatures w14:val="standardContextual"/>
        </w:rPr>
        <w:t xml:space="preserve">, </w:t>
      </w:r>
      <w:r>
        <w:rPr>
          <w:kern w:val="2"/>
          <w:lang w:eastAsia="en-AU"/>
          <w14:ligatures w14:val="standardContextual"/>
        </w:rPr>
        <w:t>adjustments to the new equalisation</w:t>
      </w:r>
      <w:r w:rsidRPr="009952CA">
        <w:rPr>
          <w:kern w:val="2"/>
          <w:lang w:eastAsia="en-AU"/>
          <w14:ligatures w14:val="standardContextual"/>
        </w:rPr>
        <w:t xml:space="preserve"> benchmark</w:t>
      </w:r>
      <w:r w:rsidRPr="009952CA" w:rsidDel="005C1F31">
        <w:rPr>
          <w:kern w:val="2"/>
          <w:lang w:eastAsia="en-AU"/>
          <w14:ligatures w14:val="standardContextual"/>
        </w:rPr>
        <w:t>,</w:t>
      </w:r>
      <w:r w:rsidDel="005C1F31">
        <w:rPr>
          <w:kern w:val="2"/>
          <w:lang w:eastAsia="en-AU"/>
          <w14:ligatures w14:val="standardContextual"/>
        </w:rPr>
        <w:t xml:space="preserve"> and</w:t>
      </w:r>
      <w:r w:rsidRPr="009952CA" w:rsidDel="005C1F31">
        <w:rPr>
          <w:kern w:val="2"/>
          <w:lang w:eastAsia="en-AU"/>
          <w14:ligatures w14:val="standardContextual"/>
        </w:rPr>
        <w:t xml:space="preserve"> system-wide rescaling</w:t>
      </w:r>
      <w:r>
        <w:rPr>
          <w:kern w:val="2"/>
          <w:lang w:eastAsia="en-AU"/>
          <w14:ligatures w14:val="standardContextual"/>
        </w:rPr>
        <w:t xml:space="preserve">. </w:t>
      </w:r>
      <w:r>
        <w:t xml:space="preserve">If these adjustments are incorrectly applied to any state (for example, because a state does not need to be brought up to the standard state), all forecasts are likely to be incorrect by a greater margin. Nonetheless, a state with an assessed relativity below the standard state may benefit from greater </w:t>
      </w:r>
      <w:r>
        <w:lastRenderedPageBreak/>
        <w:t>certainty from this more complex process if the resultant GST relativity is still more predictable than its own relativity under the previous system.</w:t>
      </w:r>
    </w:p>
    <w:p w14:paraId="16CBBF25" w14:textId="77777777" w:rsidR="000A62ED" w:rsidRDefault="000A62ED">
      <w:pPr>
        <w:pStyle w:val="BodyText"/>
      </w:pPr>
      <w:r>
        <w:t>T</w:t>
      </w:r>
      <w:r w:rsidRPr="001E5D3C">
        <w:t xml:space="preserve">he </w:t>
      </w:r>
      <w:r>
        <w:t>0.75 relativity floor</w:t>
      </w:r>
      <w:r w:rsidRPr="001E5D3C">
        <w:t xml:space="preserve"> introduce</w:t>
      </w:r>
      <w:r>
        <w:t>s</w:t>
      </w:r>
      <w:r w:rsidRPr="001E5D3C">
        <w:t xml:space="preserve"> a hard lower bound of GST revenue which</w:t>
      </w:r>
      <w:r>
        <w:t>, theoretically,</w:t>
      </w:r>
      <w:r w:rsidRPr="001E5D3C">
        <w:t xml:space="preserve"> provides additional certainty. </w:t>
      </w:r>
      <w:r>
        <w:t>However, the 0.75 floor will only reflect a state’s final relativity if the standard state has a relativity below 0.75</w:t>
      </w:r>
      <w:r w:rsidRPr="00060A85">
        <w:t>. All else equal, this would not have happened in any year if the GST distribution system had always operated in the ways stipulated by the 2018 reforms (PC analysis using CGC unpublished data).</w:t>
      </w:r>
      <w:r>
        <w:t xml:space="preserve"> </w:t>
      </w:r>
    </w:p>
    <w:p w14:paraId="2170BF37" w14:textId="01387C07" w:rsidR="000A62ED" w:rsidRDefault="000A62ED">
      <w:pPr>
        <w:pStyle w:val="BodyText"/>
      </w:pPr>
      <w:r>
        <w:t>While the no worse off guarantee operates, states are guaranteed to receive GST revenue at least equivalent to the relativities with no adjustments applied. This means revenue certainty has been unaffected for all states benefitting from the no worse off guarantee compared to the pre-2018 system</w:t>
      </w:r>
      <w:r w:rsidR="002D09A4">
        <w:t>.</w:t>
      </w:r>
    </w:p>
    <w:p w14:paraId="7D647379" w14:textId="77777777" w:rsidR="000A62ED" w:rsidRPr="007D27A4" w:rsidRDefault="000A62ED">
      <w:pPr>
        <w:pStyle w:val="BodyText"/>
        <w:rPr>
          <w:spacing w:val="-2"/>
        </w:rPr>
      </w:pPr>
      <w:r w:rsidRPr="007D27A4">
        <w:rPr>
          <w:spacing w:val="-2"/>
        </w:rPr>
        <w:t>The PC’s preferred measure of the fiscal uncertainty created by the GST distribution system is the average year-on-year volatility of states’ GST revenue driven by the GST distribution system.</w:t>
      </w:r>
      <w:r w:rsidRPr="007D27A4">
        <w:rPr>
          <w:rStyle w:val="FootnoteReference"/>
          <w:spacing w:val="-2"/>
        </w:rPr>
        <w:footnoteReference w:id="47"/>
      </w:r>
      <w:r w:rsidRPr="007D27A4">
        <w:rPr>
          <w:spacing w:val="-2"/>
        </w:rPr>
        <w:t xml:space="preserve"> </w:t>
      </w:r>
      <w:r w:rsidRPr="007D27A4">
        <w:rPr>
          <w:spacing w:val="-2"/>
          <w:lang w:eastAsia="en-AU"/>
        </w:rPr>
        <w:t xml:space="preserve">The purpose of measuring volatility is to act as a proxy indicator for the level of uncertainty the GST distribution system creates for budget planning: more volatile GST revenues are more challenging to predict.  </w:t>
      </w:r>
    </w:p>
    <w:p w14:paraId="11AEE8A3" w14:textId="373C11AC" w:rsidR="000A62ED" w:rsidRDefault="000A62ED">
      <w:pPr>
        <w:pStyle w:val="BodyText"/>
      </w:pPr>
      <w:r>
        <w:t>The PC has assessed the certainty of the current system and the current system with a permanent no worse off guarantee. Western Australia is the only state which would have had substantially less GST revenue volatility if the current system existed since 2000</w:t>
      </w:r>
      <w:r w:rsidR="007D27A4">
        <w:rPr>
          <w:rFonts w:cs="Open Sans"/>
          <w:color w:val="000000"/>
          <w:szCs w:val="16"/>
        </w:rPr>
        <w:t>–</w:t>
      </w:r>
      <w:r>
        <w:t xml:space="preserve">01 (chapter 2). </w:t>
      </w:r>
    </w:p>
    <w:p w14:paraId="7E1F7C78" w14:textId="242C5E4C" w:rsidR="000A62ED" w:rsidRDefault="000A62ED">
      <w:pPr>
        <w:pStyle w:val="BodyText"/>
      </w:pPr>
      <w:r w:rsidRPr="004F2F49">
        <w:t xml:space="preserve">If the current system operated with a permanent </w:t>
      </w:r>
      <w:r w:rsidR="00522EB1">
        <w:t>NoWO</w:t>
      </w:r>
      <w:r w:rsidRPr="004F2F49">
        <w:t xml:space="preserve"> guarantee, Western Australia’s decreased volatility would be retained. Other states would experience the same GST revenue volatility to the pre</w:t>
      </w:r>
      <w:r w:rsidR="00F14737">
        <w:noBreakHyphen/>
      </w:r>
      <w:r w:rsidRPr="004F2F49">
        <w:t xml:space="preserve">2018 system, as the </w:t>
      </w:r>
      <w:r w:rsidR="004A0FD7">
        <w:t>NoWO</w:t>
      </w:r>
      <w:r w:rsidRPr="004F2F49">
        <w:t xml:space="preserve"> guarantee would have ensured the same revenue outcome (with the exception of Queensland, which would have received NoWO payments in some years)</w:t>
      </w:r>
      <w:r>
        <w:t xml:space="preserve"> </w:t>
      </w:r>
      <w:r w:rsidRPr="00ED7767">
        <w:rPr>
          <w:rFonts w:cs="Open Sans"/>
        </w:rPr>
        <w:t>(PC estimates using ABS 2025a, unpublished data; CGC, unpublished data)</w:t>
      </w:r>
      <w:r>
        <w:t xml:space="preserve">. </w:t>
      </w:r>
    </w:p>
    <w:p w14:paraId="18F6FDD5" w14:textId="77777777" w:rsidR="000A62ED" w:rsidRDefault="000A62ED">
      <w:pPr>
        <w:pStyle w:val="BodyText"/>
      </w:pPr>
      <w:r>
        <w:t>The PC assesses the volatility of a range of alternative GST distribution systems in chapter 4.</w:t>
      </w:r>
    </w:p>
    <w:p w14:paraId="5674A021" w14:textId="79A597EF" w:rsidR="000A62ED" w:rsidRPr="00907709" w:rsidDel="00A91B05" w:rsidRDefault="000A62ED">
      <w:pPr>
        <w:rPr>
          <w:lang w:eastAsia="en-AU"/>
        </w:rPr>
      </w:pPr>
      <w:r w:rsidRPr="004F2F49">
        <w:t>The PC’s analysis does suggest that total state government revenue was, on average, less volatile than state revenue excluding GST and NoWO payments</w:t>
      </w:r>
      <w:r>
        <w:t xml:space="preserve"> </w:t>
      </w:r>
      <w:r w:rsidRPr="00840C09">
        <w:rPr>
          <w:rFonts w:cs="Open Sans"/>
        </w:rPr>
        <w:t>(PC estimates using ABS 2025a, unpublished data; CGC, unpublished data)</w:t>
      </w:r>
      <w:r>
        <w:t xml:space="preserve">. This is not an unexpected result – GST revenues generally move in the opposite direction to a state’s economic conditions relative to other states (albeit with a lag), while other state government revenue streams generally move in the same direction. </w:t>
      </w:r>
      <w:r w:rsidRPr="00DB3A78">
        <w:t>For the most part, trends in revenue have persisted in the same direction for the duration of the CGC assessment lag</w:t>
      </w:r>
      <w:r w:rsidRPr="00B4540E">
        <w:t>, so GST revenues have offset total revenue volatility. However, in instances where shocks have materialised rapidly, t</w:t>
      </w:r>
      <w:r w:rsidRPr="00DB3A78">
        <w:t>he CGC assessment lag has resulted in GST payments exacerbating total revenue volatility.</w:t>
      </w:r>
      <w:r w:rsidRPr="00B4540E">
        <w:t xml:space="preserve"> Given the time lag between a revenue change and the subsequent GST revenue change</w:t>
      </w:r>
      <w:r>
        <w:t xml:space="preserve"> prevents the GST distribution from structurally affecting total revenue volatility, the PC has not used total revenue as its measure of </w:t>
      </w:r>
      <w:r>
        <w:rPr>
          <w:lang w:eastAsia="en-AU"/>
        </w:rPr>
        <w:t>volatility.</w:t>
      </w:r>
    </w:p>
    <w:p w14:paraId="53300454" w14:textId="77777777" w:rsidR="000A62ED" w:rsidRPr="00385FF5" w:rsidRDefault="000A62ED" w:rsidP="003D5906">
      <w:pPr>
        <w:pStyle w:val="Heading2"/>
        <w:numPr>
          <w:ilvl w:val="2"/>
          <w:numId w:val="18"/>
        </w:numPr>
        <w:rPr>
          <w:lang w:eastAsia="en-AU"/>
        </w:rPr>
      </w:pPr>
      <w:bookmarkStart w:id="51" w:name="_Toc236904074"/>
      <w:r w:rsidRPr="00385FF5">
        <w:rPr>
          <w:lang w:eastAsia="en-AU"/>
        </w:rPr>
        <w:lastRenderedPageBreak/>
        <w:t xml:space="preserve">The current system reduces equalisation, with limited gains against other </w:t>
      </w:r>
      <w:r>
        <w:rPr>
          <w:lang w:eastAsia="en-AU"/>
        </w:rPr>
        <w:t xml:space="preserve">framework </w:t>
      </w:r>
      <w:r w:rsidRPr="00385FF5">
        <w:rPr>
          <w:lang w:eastAsia="en-AU"/>
        </w:rPr>
        <w:t>objectives</w:t>
      </w:r>
      <w:bookmarkEnd w:id="51"/>
    </w:p>
    <w:p w14:paraId="7422EB65" w14:textId="77777777" w:rsidR="000A62ED" w:rsidRDefault="000A62ED">
      <w:pPr>
        <w:pStyle w:val="BodyText"/>
        <w:rPr>
          <w:kern w:val="2"/>
          <w:lang w:eastAsia="en-AU"/>
          <w14:ligatures w14:val="standardContextual"/>
        </w:rPr>
      </w:pPr>
      <w:r>
        <w:t>The PC has been asked to assess whether the current system, with and without NoWO payments, delivers a reasonable level of HFE while balancing the objectives of efficiency, fiscal sustainability and certainty. While the meaning of a ‘reasonable’ level of equalisation is contested, the PC defines it here as the highest level of equalisation that can be achieved without unacceptable costs to sustainability, efficiency or certainty that cannot be addressed by other elements of the federation’s policy toolkit.</w:t>
      </w:r>
    </w:p>
    <w:p w14:paraId="7AAD7C92" w14:textId="77777777" w:rsidR="000A62ED" w:rsidRDefault="000A62ED">
      <w:pPr>
        <w:pStyle w:val="BodyText"/>
        <w:rPr>
          <w:kern w:val="2"/>
          <w:lang w:eastAsia="en-AU"/>
          <w14:ligatures w14:val="standardContextual"/>
        </w:rPr>
      </w:pPr>
      <w:r>
        <w:t>The current system, with or without NoWO payments, reduces equity in the GST distribution compared with the pre-2018 system, which fully equalised assessed need and fiscal capacity</w:t>
      </w:r>
      <w:r w:rsidRPr="000D7E93">
        <w:t xml:space="preserve">. </w:t>
      </w:r>
      <w:r w:rsidRPr="006E56C1">
        <w:t>The current system achieves an equalisation rate of 77% with NoWO payments and 73% without them.</w:t>
      </w:r>
    </w:p>
    <w:p w14:paraId="6C90E90B" w14:textId="7C968C72" w:rsidR="000A62ED" w:rsidRDefault="000A62ED">
      <w:pPr>
        <w:pStyle w:val="BodyText"/>
        <w:rPr>
          <w:kern w:val="2"/>
          <w:lang w:eastAsia="en-AU"/>
          <w14:ligatures w14:val="standardContextual"/>
        </w:rPr>
      </w:pPr>
      <w:r>
        <w:t>The inquiry has found that both versions of the current GST distribution system are broadly policy neutral, except for the dominant-state effect in the mining assessment. Changing the equalisation benchmark may have reduced the scale of the dominant-state effect, but it does so by weakening equalisation and introducing mechanisms that can produce perverse outcomes. A full HFE system that directly targets dominant-state effects in the mining assessment would better address legitimate issues in the previous system without producing these outcomes (</w:t>
      </w:r>
      <w:r w:rsidR="00331475">
        <w:t xml:space="preserve">interim </w:t>
      </w:r>
      <w:r>
        <w:t>finding 3.</w:t>
      </w:r>
      <w:r w:rsidR="007653E9">
        <w:t>2</w:t>
      </w:r>
      <w:r>
        <w:t>).</w:t>
      </w:r>
    </w:p>
    <w:p w14:paraId="0E493C84" w14:textId="77777777" w:rsidR="000A62ED" w:rsidRDefault="000A62ED">
      <w:pPr>
        <w:pStyle w:val="BodyText"/>
        <w:rPr>
          <w:kern w:val="2"/>
          <w:lang w:eastAsia="en-AU"/>
          <w14:ligatures w14:val="standardContextual"/>
        </w:rPr>
      </w:pPr>
      <w:r>
        <w:t xml:space="preserve">State governments are facing growing fiscal sustainability pressures that cannot be addressed by the GST distribution system alone. Nonetheless, uncertainty about the future of NoWO payments means the current system could add </w:t>
      </w:r>
      <w:r>
        <w:rPr>
          <w:lang w:eastAsia="en-AU"/>
        </w:rPr>
        <w:t>to existing</w:t>
      </w:r>
      <w:r>
        <w:t xml:space="preserve"> fiscal sustainability </w:t>
      </w:r>
      <w:r>
        <w:rPr>
          <w:lang w:eastAsia="en-AU"/>
        </w:rPr>
        <w:t>pressures</w:t>
      </w:r>
      <w:r>
        <w:t xml:space="preserve"> on </w:t>
      </w:r>
      <w:r>
        <w:rPr>
          <w:lang w:eastAsia="en-AU"/>
        </w:rPr>
        <w:t>a range</w:t>
      </w:r>
      <w:r>
        <w:t xml:space="preserve"> of </w:t>
      </w:r>
      <w:r>
        <w:rPr>
          <w:lang w:eastAsia="en-AU"/>
        </w:rPr>
        <w:t>states</w:t>
      </w:r>
      <w:r>
        <w:t>. If NoWO payments were made permanent, all states would receive at least the equivalent of what they would have received under the pre</w:t>
      </w:r>
      <w:r>
        <w:noBreakHyphen/>
        <w:t xml:space="preserve">2018 distribution system. While this would reduce the risk of worsening states’ fiscal positions, it would create an ongoing and open-ended budgetary risk for the Australian Government. If the Australian Government allowed the guarantee to expire, this risk would effectively be transferred to states (other than those with greater fiscal capacity than the standard state – currently only Western Australia). </w:t>
      </w:r>
    </w:p>
    <w:p w14:paraId="2AA34EA0" w14:textId="77777777" w:rsidR="000A62ED" w:rsidRPr="00B4121E" w:rsidRDefault="000A62ED">
      <w:pPr>
        <w:pStyle w:val="BodyText"/>
        <w:rPr>
          <w:spacing w:val="-2"/>
          <w:kern w:val="2"/>
          <w:lang w:eastAsia="en-AU"/>
          <w14:ligatures w14:val="standardContextual"/>
        </w:rPr>
      </w:pPr>
      <w:r w:rsidRPr="00B4121E">
        <w:rPr>
          <w:spacing w:val="-2"/>
        </w:rPr>
        <w:t>The PC has found that states have generally been able to predict their overall future revenue with reasonable accuracy. Many states also indicated that GST revenue is adequately predictable and that any effects from GST revenue volatility can be managed through standard budget processes. As a result, certainty is included in the PC’s framework but receives relatively less weight than equity, efficiency and sustainability.</w:t>
      </w:r>
      <w:r w:rsidRPr="00B4121E">
        <w:rPr>
          <w:spacing w:val="-2"/>
          <w:kern w:val="2"/>
          <w:lang w:eastAsia="en-AU"/>
          <w14:ligatures w14:val="standardContextual"/>
        </w:rPr>
        <w:t xml:space="preserve"> </w:t>
      </w:r>
      <w:r w:rsidRPr="00B4121E">
        <w:rPr>
          <w:spacing w:val="-2"/>
        </w:rPr>
        <w:t xml:space="preserve">The current system provides greater certainty to Western Australia because its GST relativity is pegged to the less volatile New South Wales GST relativity. However, the standard-state benchmark adds complexity and can create interactions that are difficult to explain or predict. </w:t>
      </w:r>
    </w:p>
    <w:p w14:paraId="560C0C37" w14:textId="77777777" w:rsidR="000A62ED" w:rsidRPr="00F7104F" w:rsidRDefault="000A62ED">
      <w:pPr>
        <w:pStyle w:val="BodyText"/>
      </w:pPr>
      <w:r w:rsidRPr="008F563C">
        <w:t>Overall, even if the NoWO guarantee were made permanent, the current system would not provide the strongest available balance between equalisation, efficiency, fiscal sustainability and certainty</w:t>
      </w:r>
      <w:r>
        <w:t>. Chapter 4 discusses several alternative arrangements that perform better than the current system, with or without NoWO payments, against the PC’s framework.</w:t>
      </w:r>
    </w:p>
    <w:p w14:paraId="34EFE78E" w14:textId="77777777" w:rsidR="000A62ED" w:rsidRDefault="000A62ED" w:rsidP="00E76EEC">
      <w:pPr>
        <w:pStyle w:val="BodyText"/>
        <w:sectPr w:rsidR="000A62ED" w:rsidSect="00782BF5">
          <w:headerReference w:type="even" r:id="rId87"/>
          <w:headerReference w:type="default" r:id="rId88"/>
          <w:footerReference w:type="even" r:id="rId89"/>
          <w:footerReference w:type="default" r:id="rId90"/>
          <w:headerReference w:type="first" r:id="rId91"/>
          <w:footerReference w:type="first" r:id="rId92"/>
          <w:footnotePr>
            <w:numRestart w:val="eachSect"/>
          </w:footnotePr>
          <w:type w:val="oddPage"/>
          <w:pgSz w:w="11906" w:h="16838" w:code="9"/>
          <w:pgMar w:top="1134" w:right="1134" w:bottom="1134" w:left="1134" w:header="794" w:footer="510" w:gutter="0"/>
          <w:cols w:space="708"/>
          <w:docGrid w:linePitch="360"/>
        </w:sectPr>
      </w:pPr>
    </w:p>
    <w:p w14:paraId="7929C4A6" w14:textId="77777777" w:rsidR="00690397" w:rsidRDefault="00690397" w:rsidP="002429C6">
      <w:pPr>
        <w:pStyle w:val="Heading1"/>
      </w:pPr>
      <w:bookmarkStart w:id="52" w:name="_Toc236746615"/>
      <w:bookmarkStart w:id="53" w:name="_Toc236904075"/>
      <w:r>
        <w:lastRenderedPageBreak/>
        <w:t>Assessing alternative GST distribution arrangements</w:t>
      </w:r>
      <w:bookmarkEnd w:id="52"/>
      <w:bookmarkEnd w:id="53"/>
    </w:p>
    <w:p w14:paraId="5269FD6E" w14:textId="77777777" w:rsidR="00690397" w:rsidRDefault="00690397" w:rsidP="00690397">
      <w:pPr>
        <w:pStyle w:val="BodyText"/>
        <w:rPr>
          <w:kern w:val="2"/>
          <w:lang w:eastAsia="en-AU"/>
          <w14:ligatures w14:val="standardContextual"/>
        </w:rPr>
      </w:pPr>
      <w:r>
        <w:t>This chapter assesses alternative arrangements for distributing GST revenue that have been proposed to the Productivity Commission (PC) by inquiry participants or explored in literature reviewed by the inquiry. Given the diversity of alternative arrangements, the PC has selected a subset to examine in more detail in this chapter, including the pre-2018 system, the pre-2018 system with mining discounts, the current system with permanent No Worse Off (NoWO) payments and a range of different GST relativity floors, and a number of equal per capita (EPC) variants. The assessment of these main alternatives provides an insight into the inherent trade-offs that exist between alternatives. A list of alternative arrangements proposed to the inquiry and summary of the framework used in our assessment are provided in appendix B.</w:t>
      </w:r>
    </w:p>
    <w:p w14:paraId="472C38CE" w14:textId="77777777" w:rsidR="00690397" w:rsidRDefault="00690397" w:rsidP="00690397">
      <w:pPr>
        <w:pStyle w:val="BodyText"/>
      </w:pPr>
      <w:r w:rsidRPr="00257854">
        <w:t xml:space="preserve">In undertaking this assessment, the </w:t>
      </w:r>
      <w:r>
        <w:t>PC</w:t>
      </w:r>
      <w:r w:rsidRPr="00257854">
        <w:t xml:space="preserve">’s central question has been whether equalisation can be pursued in a way that </w:t>
      </w:r>
      <w:r>
        <w:t xml:space="preserve">achieves a better </w:t>
      </w:r>
      <w:r w:rsidRPr="00257854" w:rsidDel="001B3656">
        <w:t>balance</w:t>
      </w:r>
      <w:r>
        <w:t xml:space="preserve"> between</w:t>
      </w:r>
      <w:r w:rsidRPr="00257854" w:rsidDel="001B3656">
        <w:t xml:space="preserve"> equity, efficiency, sustainability and certainty than the current </w:t>
      </w:r>
      <w:r>
        <w:t>distribution system.</w:t>
      </w:r>
    </w:p>
    <w:p w14:paraId="068C1A7F" w14:textId="77777777" w:rsidR="00690397" w:rsidRDefault="00690397" w:rsidP="00690397">
      <w:pPr>
        <w:pStyle w:val="BodyText"/>
      </w:pPr>
      <w:r>
        <w:t>The PC’s analysis of alternatives suggests 3 broad conclusions. First, the system that preceded the 2018 reforms delivered a high degree of equalisation, though the treatment of mining revenue generated some concerns around policy neutrality and fairness. Second, the 2018 reforms addressed those concerns indirectly and at considerable cost,</w:t>
      </w:r>
      <w:r w:rsidDel="002A5E2A">
        <w:t xml:space="preserve"> </w:t>
      </w:r>
      <w:r>
        <w:t>creating fresh concerns regarding complexity, fiscal cost and fairness. Third, there are viable alternatives that could improve on the current system, particularly if reform is directed more narrowly at the source of the most significant distortions: dominant-state effects, which can be particularly pronounced in the mining assessment.</w:t>
      </w:r>
    </w:p>
    <w:p w14:paraId="47E11D94" w14:textId="1828C6D2" w:rsidR="00690397" w:rsidRDefault="00690397" w:rsidP="00690397">
      <w:pPr>
        <w:pStyle w:val="BodyText"/>
      </w:pPr>
      <w:r>
        <w:t>Our analysis demonstrates that alternatives involve trade-offs between equity, efficiency, sustainability and certainty, though not all trade-offs are of the same magnitude. Different alternatives also involve different fiscal costs for the Australian and state and territory (hereafter ‘states’) governments, estimated for the 2024</w:t>
      </w:r>
      <w:r w:rsidR="00B4121E">
        <w:rPr>
          <w:rFonts w:cs="Open Sans"/>
          <w:color w:val="000000"/>
          <w:szCs w:val="16"/>
        </w:rPr>
        <w:t>–</w:t>
      </w:r>
      <w:r>
        <w:t xml:space="preserve">25 financial year. </w:t>
      </w:r>
    </w:p>
    <w:p w14:paraId="22388D63" w14:textId="77777777" w:rsidR="00690397" w:rsidRPr="005A4A69" w:rsidRDefault="00690397" w:rsidP="00690397">
      <w:pPr>
        <w:pStyle w:val="BodyText"/>
      </w:pPr>
      <w:r w:rsidRPr="000E14E5">
        <w:t xml:space="preserve">Some </w:t>
      </w:r>
      <w:r>
        <w:t>alternatives</w:t>
      </w:r>
      <w:r w:rsidRPr="000E14E5">
        <w:t xml:space="preserve"> address the main policy neutrality concerns with the mining assessment while achieving a higher level of equalisation than the 2018 </w:t>
      </w:r>
      <w:r w:rsidRPr="00DD537B">
        <w:t>reforms</w:t>
      </w:r>
      <w:r w:rsidRPr="000E14E5">
        <w:t xml:space="preserve">, and at a lower cost to fiscal sustainability. Table 4.1 summarises how the main </w:t>
      </w:r>
      <w:r>
        <w:t>alternatives</w:t>
      </w:r>
      <w:r w:rsidRPr="000E14E5">
        <w:t xml:space="preserve"> considered by the inquiry perform relative to the current system (without the NoWO guarantee),</w:t>
      </w:r>
      <w:r>
        <w:t xml:space="preserve"> the details of which are further explored throughout this chapter. </w:t>
      </w:r>
      <w:r w:rsidRPr="000F6B58">
        <w:t xml:space="preserve">If NoWO payments were not made, the </w:t>
      </w:r>
      <w:r w:rsidRPr="00666BF8">
        <w:t xml:space="preserve">cost </w:t>
      </w:r>
      <w:r>
        <w:t xml:space="preserve">to states </w:t>
      </w:r>
      <w:r w:rsidRPr="000F6B58">
        <w:t xml:space="preserve">in table 4.1 </w:t>
      </w:r>
      <w:r w:rsidRPr="00666BF8">
        <w:t>represent</w:t>
      </w:r>
      <w:r>
        <w:t>s</w:t>
      </w:r>
      <w:r w:rsidRPr="000F6B58">
        <w:t xml:space="preserve"> the fiscal loss for states compared to the pre-2018 system.</w:t>
      </w:r>
    </w:p>
    <w:p w14:paraId="6E94C18A" w14:textId="3B0CDBEB" w:rsidR="00690397" w:rsidRDefault="00690397" w:rsidP="00690397">
      <w:pPr>
        <w:pStyle w:val="Caption"/>
        <w:keepNext/>
      </w:pPr>
      <w:r>
        <w:lastRenderedPageBreak/>
        <w:t>Table 4.</w:t>
      </w:r>
      <w:r>
        <w:fldChar w:fldCharType="begin"/>
      </w:r>
      <w:r>
        <w:instrText>SEQ Table \* ARABIC \s 1</w:instrText>
      </w:r>
      <w:r>
        <w:fldChar w:fldCharType="separate"/>
      </w:r>
      <w:r w:rsidR="009C08C4">
        <w:rPr>
          <w:noProof/>
        </w:rPr>
        <w:t>1</w:t>
      </w:r>
      <w:r>
        <w:fldChar w:fldCharType="end"/>
      </w:r>
      <w:r>
        <w:rPr>
          <w:noProof/>
        </w:rPr>
        <w:t xml:space="preserve"> –</w:t>
      </w:r>
      <w:r>
        <w:t xml:space="preserve"> Summary assessment of </w:t>
      </w:r>
      <w:r w:rsidRPr="007A67D3">
        <w:t>alternative</w:t>
      </w:r>
      <w:r>
        <w:t xml:space="preserve"> GST distribution arrangements</w:t>
      </w:r>
    </w:p>
    <w:p w14:paraId="5BD1BC46" w14:textId="77777777" w:rsidR="00690397" w:rsidRDefault="00690397" w:rsidP="00B719F3">
      <w:pPr>
        <w:pStyle w:val="BodyText"/>
      </w:pPr>
      <w:r w:rsidRPr="00C853DB">
        <w:rPr>
          <w:noProof/>
        </w:rPr>
        <w:drawing>
          <wp:inline distT="0" distB="0" distL="0" distR="0" wp14:anchorId="1AF7E804" wp14:editId="338C9EE5">
            <wp:extent cx="6120130" cy="7565390"/>
            <wp:effectExtent l="0" t="0" r="0" b="0"/>
            <wp:docPr id="1004713067" name="Picture 41" descr="Table 4.1 – This is a table figure summarising the assessment of all the alternative GST distribution arrangements. Each of the fourteen rows has a different alternative arrangement, four of the columns represent a framework dimension (equity, efficiency, state fiscal sustainability, certainty), the following two columns capture the cost of the arrangement to the Australian Government and cost of the arrangement to the states relative to the pre-2018 system, the last column is a summary. All arrangements are assessed across all framework dimensions. &#10;All arrangements are assessed relative to the current system. The measures for each framework dimension are as follows: 1) equity – equalisation rate; 2) efficiency – weighted average departure from policy neutrality; 3) efficiency – average of maximum departure from policy neutrality; 4) state fiscal sustainability – fiscal pressure score, based on estimated interest to revenue ratios; 5) certainty – year on year volatility driven by the distribution system. &#10;The current system is assessed with 73% for equity, 1.7% and 20% for efficiency, a 15 for state sustainability, a 2.9% for certainty, a $1.0 billion cost to the Australian Government, and a $6 billion cost to states relative to the pre-2018 system. The summary notes that it is a baseline system with perverse outcomes from the standard state benchmark.&#10;The current system + NoWO is assessed with 77% for equity, a 1.8% and 19% for efficiency, a 12 for state sustainability, a 2.9% for certainty, a $7.0 billion cost to the Australian Government, and no cost to states relative to the pre-2018 system. The summary notes that it has better equity, better sustainability, and similar efficiency and certainty to the current system. It has the same perverse outcomes from the standard state benchmark.&#10;There are three proposed systems which are labelled as current system variants with minimum changes.&#10;The minimum change system with a 0.75 floor is assessed with 84% for equity, 1.7% and 19% for efficiency, 12 for state sustainability, 2.9% for certainty, a $6.2 billion cost to the Australian Government, and no cost to states relative to the pre-2018 system. The summary notes that it has slightly better equity, better sustainability, with similar efficiency and certainty to the current system without the NoWO guarantee. &#10;The minimum change system with a 0.5 floor is assessed with 94% for equity, 1.7% and 19% for efficiency, 12 for state sustainability, 3.3% for certainty, a $3.8 billion cost to the Australian Government, and no cost to states relative to the pre-2018 system. The summary notes that it has better equity and sustainability, with similar efficiency and certainty relative to the current system without the NoWO guarantee. &#10;The minimum change system with a 0.3 floor is assessed with 94% for equity, 1.7% and 19% for efficiency, 12 for state sustainability, 4.1% for certainty, a $1.8 billion cost to the Australian Government, and no cost to states relative to the pre-2018 system. The summary notes that it has better equity, better sustainability, with similar efficiency and slightly worse certainty relative to the current system without the NoWO guarantee. &#10;There are three proposed systems labelled as current system variants with fixed floors.&#10;The 0.75 floor is assessed with 78% for equity, a 1.5% and 19% for efficiency, a 14 for state sustainability, 2.9% for certainty, a $1.0 billion cost to the Australian Government, and a $5.3 billion cost to states relative to the pre-2018 system. The summary notes that it has better equity and sustainability, with similar efficiency and certainty relative to the current system without the NoWO guarantee.&#10;The 0.5 floor is assessed with 87% for equity, 1.5% and 19% for efficiency, a 12 for state sustainability, 3.3% for certainty, a $1.0 billion cost to the Australian Government, and a $2.8 billion cost to states relative to the pre-2018 system. The summary notes that it has better equity, better sustainability, with similar efficiency and certainty relative to the current system without the NoWO guarantee. &#10;The 0.3 floor is assessed with 91% for equity, 1.5% and 19% for efficiency, a 12 for state sustainability, 4.1% for certainty, a $1.0 billion cost to the Australian Government, and a $0.9 billion cost to states relative to the pre-2018 system. The summary notes that it has better equity and sustainability, with similar efficiency and slightly worse certainty relative to the current system without the NoWO guarantee. &#10;There are four proposed systems labelled as pre-2018 systems, some with mining discounts.&#10;The pre-2018 system is assessed with 100% for equity, 2.5% and 30% for efficiency, 12 for state sustainability, 4.6% for certainty, no cost to the Australian Government and no cost to states. The summary notes that it has much better equity, better sustainability, with slightly worse efficiency and certainty relative to the current system without the NoWO guarantee.&#10;The pre-2018 system with a 10% mining discount is assessed with 95% for equity, 2.4% and 27% for efficiency, 12 for state sustainability, 4.1% for certainty, no cost to the Australian Government and a $1.5 billion cost to states relative to the pre-2018 system. The summary notes that it has better equity, better sustainability, with similar efficiency and certainty relative to the current system without the NoWO guarantee. &#10;The pre-2018 system with a 25% mining discount is assessed with 88% for equity, 2.2% and 22% for efficiency, 13 for state sustainability, 3.6% for certainty, no cost to the Australian Government and a $3.7 billion cost to states relative to the pre-2018 system. The summary notes that it has better equity and sustainability, with similar certainty and slightly worse efficiency relative to the current system without the NoWO guarantee. &#10;The pre-2018 system with a 50% mining discount is assessed with 75% for equity, 1.8% and 15% for efficiency, 15 for state sustainability, 3.3% for certainty, no cost to the Australian Government and a $7.3 billion cost to states relative to the pre-2018 system. The summary notes that it has better equity, with similar sustainability, efficiency and certainty relative to the current system without the NoWO guarantee. &#10;There are two proposed systems labelled as equal per capita models.&#10;The EPC + NoWO system is assessed with 63% for equity, 0.6% and 9% for efficiency, a 10 for state sustainability, 2.1% for certainty, a $10.2 billion cost to the Australian Government and no cost to states relative to the pre-2018 system. The summary notes that it has much better state sustainability, better efficiency, similar certainty and worse equity relative to the current system without the NoWO guarantee, and has a large cost to the Australian Government. &#10;The 90% EPC, 10% HFE system is assessed with 20% for equity, 0.2% and 3% for efficiency, 19 for state sustainability, 0.6% for certainty, no cost to the Australian Government and a $9.2 billion cost to states relative to the pre-2018 system. The summary notes that it has much worse equity and sustainability, slightly better efficiency, better certainty, and has a large cost to states relative to the pre-2018 syst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713067" name="Picture 41" descr="Table 4.1 – This is a table figure summarising the assessment of all the alternative GST distribution arrangements. Each of the fourteen rows has a different alternative arrangement, four of the columns represent a framework dimension (equity, efficiency, state fiscal sustainability, certainty), the following two columns capture the cost of the arrangement to the Australian Government and cost of the arrangement to the states relative to the pre-2018 system, the last column is a summary. All arrangements are assessed across all framework dimensions. &#10;All arrangements are assessed relative to the current system. The measures for each framework dimension are as follows: 1) equity – equalisation rate; 2) efficiency – weighted average departure from policy neutrality; 3) efficiency – average of maximum departure from policy neutrality; 4) state fiscal sustainability – fiscal pressure score, based on estimated interest to revenue ratios; 5) certainty – year on year volatility driven by the distribution system. &#10;The current system is assessed with 73% for equity, 1.7% and 20% for efficiency, a 15 for state sustainability, a 2.9% for certainty, a $1.0 billion cost to the Australian Government, and a $6 billion cost to states relative to the pre-2018 system. The summary notes that it is a baseline system with perverse outcomes from the standard state benchmark.&#10;The current system + NoWO is assessed with 77% for equity, a 1.8% and 19% for efficiency, a 12 for state sustainability, a 2.9% for certainty, a $7.0 billion cost to the Australian Government, and no cost to states relative to the pre-2018 system. The summary notes that it has better equity, better sustainability, and similar efficiency and certainty to the current system. It has the same perverse outcomes from the standard state benchmark.&#10;There are three proposed systems which are labelled as current system variants with minimum changes.&#10;The minimum change system with a 0.75 floor is assessed with 84% for equity, 1.7% and 19% for efficiency, 12 for state sustainability, 2.9% for certainty, a $6.2 billion cost to the Australian Government, and no cost to states relative to the pre-2018 system. The summary notes that it has slightly better equity, better sustainability, with similar efficiency and certainty to the current system without the NoWO guarantee. &#10;The minimum change system with a 0.5 floor is assessed with 94% for equity, 1.7% and 19% for efficiency, 12 for state sustainability, 3.3% for certainty, a $3.8 billion cost to the Australian Government, and no cost to states relative to the pre-2018 system. The summary notes that it has better equity and sustainability, with similar efficiency and certainty relative to the current system without the NoWO guarantee. &#10;The minimum change system with a 0.3 floor is assessed with 94% for equity, 1.7% and 19% for efficiency, 12 for state sustainability, 4.1% for certainty, a $1.8 billion cost to the Australian Government, and no cost to states relative to the pre-2018 system. The summary notes that it has better equity, better sustainability, with similar efficiency and slightly worse certainty relative to the current system without the NoWO guarantee. &#10;There are three proposed systems labelled as current system variants with fixed floors.&#10;The 0.75 floor is assessed with 78% for equity, a 1.5% and 19% for efficiency, a 14 for state sustainability, 2.9% for certainty, a $1.0 billion cost to the Australian Government, and a $5.3 billion cost to states relative to the pre-2018 system. The summary notes that it has better equity and sustainability, with similar efficiency and certainty relative to the current system without the NoWO guarantee.&#10;The 0.5 floor is assessed with 87% for equity, 1.5% and 19% for efficiency, a 12 for state sustainability, 3.3% for certainty, a $1.0 billion cost to the Australian Government, and a $2.8 billion cost to states relative to the pre-2018 system. The summary notes that it has better equity, better sustainability, with similar efficiency and certainty relative to the current system without the NoWO guarantee. &#10;The 0.3 floor is assessed with 91% for equity, 1.5% and 19% for efficiency, a 12 for state sustainability, 4.1% for certainty, a $1.0 billion cost to the Australian Government, and a $0.9 billion cost to states relative to the pre-2018 system. The summary notes that it has better equity and sustainability, with similar efficiency and slightly worse certainty relative to the current system without the NoWO guarantee. &#10;There are four proposed systems labelled as pre-2018 systems, some with mining discounts.&#10;The pre-2018 system is assessed with 100% for equity, 2.5% and 30% for efficiency, 12 for state sustainability, 4.6% for certainty, no cost to the Australian Government and no cost to states. The summary notes that it has much better equity, better sustainability, with slightly worse efficiency and certainty relative to the current system without the NoWO guarantee.&#10;The pre-2018 system with a 10% mining discount is assessed with 95% for equity, 2.4% and 27% for efficiency, 12 for state sustainability, 4.1% for certainty, no cost to the Australian Government and a $1.5 billion cost to states relative to the pre-2018 system. The summary notes that it has better equity, better sustainability, with similar efficiency and certainty relative to the current system without the NoWO guarantee. &#10;The pre-2018 system with a 25% mining discount is assessed with 88% for equity, 2.2% and 22% for efficiency, 13 for state sustainability, 3.6% for certainty, no cost to the Australian Government and a $3.7 billion cost to states relative to the pre-2018 system. The summary notes that it has better equity and sustainability, with similar certainty and slightly worse efficiency relative to the current system without the NoWO guarantee. &#10;The pre-2018 system with a 50% mining discount is assessed with 75% for equity, 1.8% and 15% for efficiency, 15 for state sustainability, 3.3% for certainty, no cost to the Australian Government and a $7.3 billion cost to states relative to the pre-2018 system. The summary notes that it has better equity, with similar sustainability, efficiency and certainty relative to the current system without the NoWO guarantee. &#10;There are two proposed systems labelled as equal per capita models.&#10;The EPC + NoWO system is assessed with 63% for equity, 0.6% and 9% for efficiency, a 10 for state sustainability, 2.1% for certainty, a $10.2 billion cost to the Australian Government and no cost to states relative to the pre-2018 system. The summary notes that it has much better state sustainability, better efficiency, similar certainty and worse equity relative to the current system without the NoWO guarantee, and has a large cost to the Australian Government. &#10;The 90% EPC, 10% HFE system is assessed with 20% for equity, 0.2% and 3% for efficiency, 19 for state sustainability, 0.6% for certainty, no cost to the Australian Government and a $9.2 billion cost to states relative to the pre-2018 system. The summary notes that it has much worse equity and sustainability, slightly better efficiency, better certainty, and has a large cost to states relative to the pre-2018 system.  &#10;"/>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120130" cy="7565390"/>
                    </a:xfrm>
                    <a:prstGeom prst="rect">
                      <a:avLst/>
                    </a:prstGeom>
                    <a:noFill/>
                    <a:ln>
                      <a:noFill/>
                    </a:ln>
                  </pic:spPr>
                </pic:pic>
              </a:graphicData>
            </a:graphic>
          </wp:inline>
        </w:drawing>
      </w:r>
    </w:p>
    <w:p w14:paraId="2F53822B" w14:textId="04A380C8" w:rsidR="00690397" w:rsidRPr="005A383A" w:rsidRDefault="00690397" w:rsidP="00672466">
      <w:pPr>
        <w:pStyle w:val="Note"/>
        <w:spacing w:after="360"/>
        <w:rPr>
          <w:spacing w:val="-4"/>
        </w:rPr>
      </w:pPr>
      <w:r w:rsidRPr="005A383A">
        <w:rPr>
          <w:b/>
          <w:bCs/>
          <w:spacing w:val="-4"/>
        </w:rPr>
        <w:t xml:space="preserve">a. </w:t>
      </w:r>
      <w:r w:rsidRPr="005A383A">
        <w:rPr>
          <w:spacing w:val="-4"/>
        </w:rPr>
        <w:t xml:space="preserve">The framework dimensions have not been weighted equally. The PC views the primary role of the GST distribution system to be driving horizontal fiscal equalisation between states (equity). </w:t>
      </w:r>
      <w:r w:rsidRPr="005A383A">
        <w:rPr>
          <w:b/>
          <w:bCs/>
          <w:spacing w:val="-4"/>
        </w:rPr>
        <w:t>b.</w:t>
      </w:r>
      <w:r w:rsidRPr="005A383A">
        <w:rPr>
          <w:spacing w:val="-4"/>
        </w:rPr>
        <w:t xml:space="preserve"> The cost to the Australian Government includes the cost of the NoWO guarantee and pool boost payments where they are included in the GST distribution </w:t>
      </w:r>
      <w:r w:rsidRPr="005A383A">
        <w:rPr>
          <w:spacing w:val="-4"/>
        </w:rPr>
        <w:lastRenderedPageBreak/>
        <w:t xml:space="preserve">system, in 2024-25. </w:t>
      </w:r>
      <w:r w:rsidRPr="005A383A">
        <w:rPr>
          <w:b/>
          <w:bCs/>
          <w:spacing w:val="-4"/>
        </w:rPr>
        <w:t>c.</w:t>
      </w:r>
      <w:r w:rsidRPr="005A383A">
        <w:rPr>
          <w:spacing w:val="-4"/>
        </w:rPr>
        <w:t xml:space="preserve"> The measures for each framework dimension are as follows: 1) equity – equalisation rate; 2) efficiency – weighted average departure from policy neutrality; 3) efficiency – average of maximum departure from policy neutrality; 4) state fiscal sustainability – fiscal pressure score, based on estimated interest to revenue ratios; 5) certainty – year on year volatility driven by the distribution system. </w:t>
      </w:r>
      <w:r w:rsidRPr="005A383A">
        <w:rPr>
          <w:b/>
          <w:bCs/>
          <w:spacing w:val="-4"/>
        </w:rPr>
        <w:t>d.</w:t>
      </w:r>
      <w:r w:rsidRPr="005A383A">
        <w:rPr>
          <w:spacing w:val="-4"/>
          <w:lang w:val="en-US"/>
        </w:rPr>
        <w:t xml:space="preserve"> The efficiency challenges produced by the standard state benchmark are not fully reflected in the efficiency metrics. Nevertheless, the standard state benchmark is judged by the PC to create additional policy distortions that can weigh on system efficiency.</w:t>
      </w:r>
      <w:r w:rsidR="00672466" w:rsidRPr="005A383A">
        <w:rPr>
          <w:spacing w:val="-4"/>
          <w:lang w:val="en-US"/>
        </w:rPr>
        <w:t xml:space="preserve"> </w:t>
      </w:r>
      <w:r w:rsidRPr="005A383A">
        <w:rPr>
          <w:b/>
          <w:bCs/>
          <w:spacing w:val="-4"/>
        </w:rPr>
        <w:t>e.</w:t>
      </w:r>
      <w:r w:rsidRPr="005A383A">
        <w:rPr>
          <w:spacing w:val="-4"/>
        </w:rPr>
        <w:t xml:space="preserve"> EPC was not included in this assessment as it is not consistent with the GST system’s goal of fiscal equalisation.</w:t>
      </w:r>
    </w:p>
    <w:p w14:paraId="31B56A7D" w14:textId="77777777" w:rsidR="00690397" w:rsidRDefault="00690397" w:rsidP="00690397">
      <w:pPr>
        <w:pStyle w:val="BodyText"/>
      </w:pPr>
      <w:r>
        <w:t>The PC considers that the most-preferable system has</w:t>
      </w:r>
      <w:r w:rsidDel="003A4650">
        <w:t xml:space="preserve"> </w:t>
      </w:r>
      <w:r>
        <w:t xml:space="preserve">2 components: (i) the pre-2018 HFE system; and (ii) the Treasurer directing the Commonwealth Grants Commission (CGC) to address costly dominant-state effects, which can be particularly pronounced in the mining assessment, if and where they arise. If that approach is not accepted, the inquiry considers that the next-best option is to return to the pre-2018 system but with the Australian Government making direct payments to </w:t>
      </w:r>
      <w:r w:rsidRPr="00E7191E">
        <w:t>state</w:t>
      </w:r>
      <w:r>
        <w:t>s it considers to be unfairly affected</w:t>
      </w:r>
      <w:r w:rsidRPr="00E7191E">
        <w:t xml:space="preserve"> </w:t>
      </w:r>
      <w:r>
        <w:t>by dominant-state</w:t>
      </w:r>
      <w:r w:rsidRPr="00E7191E">
        <w:t xml:space="preserve"> issues</w:t>
      </w:r>
      <w:r>
        <w:t>. Both options would be a simpler and more transparent approach than the changes introduced by the 2018 reforms.</w:t>
      </w:r>
    </w:p>
    <w:p w14:paraId="17C30019" w14:textId="77777777" w:rsidR="00690397" w:rsidRDefault="00690397" w:rsidP="00690397">
      <w:pPr>
        <w:pStyle w:val="BodyText"/>
      </w:pPr>
      <w:r>
        <w:t>The possibility of perverse outcomes created by the 2018 reform’s adoption of a new equalisation standard (chapter 2) should be corrected. The PC’s view is this could be achieved by removing the standard state benchmark. A fixed relativity floor would remain, although the PC has not yet reached a conclusion on what an appropriate relativity floor would be. The merits of a floor are discussed in more detail later in this chapter.</w:t>
      </w:r>
    </w:p>
    <w:p w14:paraId="2EE78BE3" w14:textId="77777777" w:rsidR="00690397" w:rsidRPr="009C7CC0" w:rsidRDefault="00690397" w:rsidP="002429C6">
      <w:pPr>
        <w:pStyle w:val="Heading2"/>
      </w:pPr>
      <w:bookmarkStart w:id="54" w:name="_Toc234008101"/>
      <w:bookmarkStart w:id="55" w:name="_Toc234579105"/>
      <w:bookmarkStart w:id="56" w:name="_Toc235447981"/>
      <w:bookmarkStart w:id="57" w:name="_Toc236746616"/>
      <w:bookmarkStart w:id="58" w:name="_Toc236904076"/>
      <w:r w:rsidRPr="002429C6">
        <w:t>Assessing</w:t>
      </w:r>
      <w:r>
        <w:t xml:space="preserve"> the current system, with and without </w:t>
      </w:r>
      <w:bookmarkEnd w:id="54"/>
      <w:r>
        <w:t>the NoWO</w:t>
      </w:r>
      <w:bookmarkEnd w:id="55"/>
      <w:r>
        <w:t xml:space="preserve"> guarantee</w:t>
      </w:r>
      <w:bookmarkEnd w:id="56"/>
      <w:bookmarkEnd w:id="57"/>
      <w:bookmarkEnd w:id="58"/>
    </w:p>
    <w:p w14:paraId="03EE3DEA" w14:textId="319A7EEF" w:rsidR="00690397" w:rsidRDefault="00690397" w:rsidP="00690397">
      <w:pPr>
        <w:pStyle w:val="BodyText"/>
        <w:rPr>
          <w:lang w:eastAsia="en-AU"/>
        </w:rPr>
      </w:pPr>
      <w:r w:rsidRPr="00CE677B">
        <w:rPr>
          <w:lang w:eastAsia="en-AU"/>
        </w:rPr>
        <w:t>The 2018 reforms changed the GST distribution system by replacing equalisation</w:t>
      </w:r>
      <w:r>
        <w:rPr>
          <w:lang w:eastAsia="en-AU"/>
        </w:rPr>
        <w:t xml:space="preserve"> of all states</w:t>
      </w:r>
      <w:r w:rsidRPr="00CE677B">
        <w:rPr>
          <w:lang w:eastAsia="en-AU"/>
        </w:rPr>
        <w:t xml:space="preserve"> with equalisation to the stronger of New South Wales or Victoria, subject to a legislated relativity floor. The reforms also introduced </w:t>
      </w:r>
      <w:r>
        <w:rPr>
          <w:lang w:eastAsia="en-AU"/>
        </w:rPr>
        <w:t xml:space="preserve">a </w:t>
      </w:r>
      <w:r w:rsidRPr="00CE677B">
        <w:rPr>
          <w:lang w:eastAsia="en-AU"/>
        </w:rPr>
        <w:t xml:space="preserve">permanent GST pool </w:t>
      </w:r>
      <w:r>
        <w:rPr>
          <w:lang w:eastAsia="en-AU"/>
        </w:rPr>
        <w:t xml:space="preserve">boost </w:t>
      </w:r>
      <w:r w:rsidRPr="00CE677B">
        <w:rPr>
          <w:lang w:eastAsia="en-AU"/>
        </w:rPr>
        <w:t>and</w:t>
      </w:r>
      <w:r>
        <w:rPr>
          <w:lang w:eastAsia="en-AU"/>
        </w:rPr>
        <w:t xml:space="preserve"> </w:t>
      </w:r>
      <w:r w:rsidRPr="00CE677B">
        <w:rPr>
          <w:lang w:eastAsia="en-AU"/>
        </w:rPr>
        <w:t>temporary</w:t>
      </w:r>
      <w:r>
        <w:rPr>
          <w:lang w:eastAsia="en-AU"/>
        </w:rPr>
        <w:t xml:space="preserve"> </w:t>
      </w:r>
      <w:r w:rsidRPr="00CE677B">
        <w:rPr>
          <w:lang w:eastAsia="en-AU"/>
        </w:rPr>
        <w:t xml:space="preserve">NoWO payments funded by the </w:t>
      </w:r>
      <w:r>
        <w:rPr>
          <w:lang w:eastAsia="en-AU"/>
        </w:rPr>
        <w:t>Australian Government</w:t>
      </w:r>
      <w:r w:rsidRPr="00CE677B">
        <w:rPr>
          <w:lang w:eastAsia="en-AU"/>
        </w:rPr>
        <w:t xml:space="preserve">, which are currently scheduled to end </w:t>
      </w:r>
      <w:r>
        <w:rPr>
          <w:lang w:eastAsia="en-AU"/>
        </w:rPr>
        <w:t>in</w:t>
      </w:r>
      <w:r w:rsidRPr="00CE677B">
        <w:rPr>
          <w:lang w:eastAsia="en-AU"/>
        </w:rPr>
        <w:t xml:space="preserve"> 20</w:t>
      </w:r>
      <w:r>
        <w:rPr>
          <w:lang w:eastAsia="en-AU"/>
        </w:rPr>
        <w:t>29</w:t>
      </w:r>
      <w:r w:rsidR="00B719F3">
        <w:t>–</w:t>
      </w:r>
      <w:r w:rsidRPr="00CE677B">
        <w:rPr>
          <w:lang w:eastAsia="en-AU"/>
        </w:rPr>
        <w:t>3</w:t>
      </w:r>
      <w:r>
        <w:rPr>
          <w:lang w:eastAsia="en-AU"/>
        </w:rPr>
        <w:t>0</w:t>
      </w:r>
      <w:r w:rsidRPr="00CE677B">
        <w:rPr>
          <w:lang w:eastAsia="en-AU"/>
        </w:rPr>
        <w:t>.</w:t>
      </w:r>
    </w:p>
    <w:p w14:paraId="65C9E131" w14:textId="77777777" w:rsidR="00690397" w:rsidRDefault="00690397" w:rsidP="00690397">
      <w:pPr>
        <w:pStyle w:val="BodyText"/>
      </w:pPr>
      <w:r>
        <w:rPr>
          <w:lang w:eastAsia="en-AU"/>
        </w:rPr>
        <w:t xml:space="preserve">The PC has been asked to assess whether these arrangements deliver </w:t>
      </w:r>
      <w:r w:rsidRPr="00AD1511">
        <w:rPr>
          <w:lang w:eastAsia="en-AU"/>
        </w:rPr>
        <w:t>a reasonable level of horizontal fiscal equalisation</w:t>
      </w:r>
      <w:r>
        <w:rPr>
          <w:lang w:eastAsia="en-AU"/>
        </w:rPr>
        <w:t xml:space="preserve">, while balancing the objectives of efficiency, fiscal sustainability and certainty. </w:t>
      </w:r>
      <w:r w:rsidRPr="00E73895">
        <w:t xml:space="preserve">While what constitutes a </w:t>
      </w:r>
      <w:r>
        <w:t>‘</w:t>
      </w:r>
      <w:r>
        <w:rPr>
          <w:lang w:eastAsia="en-AU"/>
        </w:rPr>
        <w:t>reasonable</w:t>
      </w:r>
      <w:r>
        <w:t>’</w:t>
      </w:r>
      <w:r w:rsidRPr="00E73895">
        <w:t xml:space="preserve"> level of equalisation is contested, it is </w:t>
      </w:r>
      <w:r>
        <w:rPr>
          <w:lang w:eastAsia="en-AU"/>
        </w:rPr>
        <w:t>define</w:t>
      </w:r>
      <w:r w:rsidRPr="00E73895">
        <w:t>d</w:t>
      </w:r>
      <w:r>
        <w:rPr>
          <w:lang w:eastAsia="en-AU"/>
        </w:rPr>
        <w:t xml:space="preserve"> </w:t>
      </w:r>
      <w:r w:rsidRPr="00E73895">
        <w:t xml:space="preserve">here </w:t>
      </w:r>
      <w:r>
        <w:rPr>
          <w:lang w:eastAsia="en-AU"/>
        </w:rPr>
        <w:t xml:space="preserve">as the </w:t>
      </w:r>
      <w:r w:rsidRPr="00E73895">
        <w:t>highest</w:t>
      </w:r>
      <w:r>
        <w:rPr>
          <w:lang w:eastAsia="en-AU"/>
        </w:rPr>
        <w:t xml:space="preserve"> level of equalisation that can be achieved without unacceptable costs to efficiency, </w:t>
      </w:r>
      <w:r w:rsidRPr="00FC485E">
        <w:rPr>
          <w:lang w:eastAsia="en-AU"/>
        </w:rPr>
        <w:t>fiscal sustainability, or certainty,</w:t>
      </w:r>
      <w:r>
        <w:rPr>
          <w:lang w:eastAsia="en-AU"/>
        </w:rPr>
        <w:t xml:space="preserve"> that cannot be addressed by other elements of the federation’s policy </w:t>
      </w:r>
      <w:r w:rsidRPr="002968E6">
        <w:rPr>
          <w:lang w:eastAsia="en-AU"/>
        </w:rPr>
        <w:t>toolkit</w:t>
      </w:r>
      <w:r>
        <w:rPr>
          <w:lang w:eastAsia="en-AU"/>
        </w:rPr>
        <w:t>.</w:t>
      </w:r>
    </w:p>
    <w:p w14:paraId="0CD114EE" w14:textId="30B7DB29" w:rsidR="00690397" w:rsidRDefault="00690397" w:rsidP="00690397">
      <w:pPr>
        <w:spacing w:before="0" w:after="160" w:line="259" w:lineRule="auto"/>
      </w:pPr>
      <w:r>
        <w:t>The current system, with or without NoWO payments, reduces equity in GST distribution compared with the pre-2018 system</w:t>
      </w:r>
      <w:r w:rsidR="0040322A">
        <w:t xml:space="preserve"> (figure 4.1)</w:t>
      </w:r>
      <w:r>
        <w:t>. While the pre-2018 system fully equalised fiscal capacity, the current system achieves an equalisation rate of 77% with NoWO payments and 73% without them (appendix B). This is because under the current arrangement, states below the standard-state benchmark (i.e. states with greater fiscal capacity) are overcompensated relative to their assessed needs. This creates a new fiscal gap relative to other states, even after NoWO payments are distributed.</w:t>
      </w:r>
    </w:p>
    <w:p w14:paraId="4C1CB92A" w14:textId="77777777" w:rsidR="00690397" w:rsidRDefault="00690397" w:rsidP="00690397">
      <w:pPr>
        <w:pStyle w:val="BodyText"/>
      </w:pPr>
      <w:r>
        <w:t xml:space="preserve">The inquiry has found that – </w:t>
      </w:r>
      <w:r w:rsidRPr="005A5B52">
        <w:t>with</w:t>
      </w:r>
      <w:r>
        <w:t xml:space="preserve"> the exception of the dominant-state effect in the mining assessment and the operation of the new equalisation standard – the current</w:t>
      </w:r>
      <w:r w:rsidRPr="005A5B52">
        <w:t xml:space="preserve"> GST </w:t>
      </w:r>
      <w:r>
        <w:t xml:space="preserve">distribution </w:t>
      </w:r>
      <w:r w:rsidRPr="005A5B52">
        <w:t xml:space="preserve">system </w:t>
      </w:r>
      <w:r w:rsidRPr="0076290F">
        <w:t xml:space="preserve">(with and without NoWO payments) </w:t>
      </w:r>
      <w:r>
        <w:t>are</w:t>
      </w:r>
      <w:r w:rsidRPr="005A5B52">
        <w:t xml:space="preserve"> broadly policy neutral</w:t>
      </w:r>
      <w:r>
        <w:t>. The pre-2018 system was also broadly policy neutral, with the exception of the dominant-state effect in the mining assessment.</w:t>
      </w:r>
      <w:r w:rsidRPr="005A5B52">
        <w:t xml:space="preserve"> </w:t>
      </w:r>
      <w:r w:rsidRPr="00CE677B">
        <w:t>The inquiry’s preliminary analysis suggests that </w:t>
      </w:r>
      <w:r>
        <w:t xml:space="preserve">there have been limited </w:t>
      </w:r>
      <w:r w:rsidRPr="00CE677B">
        <w:t xml:space="preserve">efficiency gains </w:t>
      </w:r>
      <w:r>
        <w:t xml:space="preserve">from reducing the level of equalisation in the current system. </w:t>
      </w:r>
    </w:p>
    <w:p w14:paraId="04F85DC6" w14:textId="4588ADF9" w:rsidR="00690397" w:rsidRPr="002429C6" w:rsidRDefault="00690397" w:rsidP="00690397">
      <w:pPr>
        <w:pStyle w:val="BodyText"/>
        <w:rPr>
          <w:spacing w:val="-2"/>
        </w:rPr>
      </w:pPr>
      <w:r w:rsidRPr="002429C6">
        <w:rPr>
          <w:spacing w:val="-2"/>
        </w:rPr>
        <w:lastRenderedPageBreak/>
        <w:t>While changing the equalisation benchmark reduced the impact of the dominant-state effect in Western Australia, it did so at the expense of equalisation across the Federation and introducing a mechanism that can produce perverse outcomes that undermine the logic of HFE. For example, under the current system with and without NoWO payments, a state whose GST relativity is ‘brought up’ to the standard state can receive additional GST payments when a natural disaster occurs in New South Wales or Victoria (chapter</w:t>
      </w:r>
      <w:r w:rsidR="00B719F3">
        <w:rPr>
          <w:spacing w:val="-2"/>
        </w:rPr>
        <w:t> </w:t>
      </w:r>
      <w:r w:rsidRPr="002429C6">
        <w:rPr>
          <w:spacing w:val="-2"/>
        </w:rPr>
        <w:t xml:space="preserve">2). A similar system to pre-2018 equalisation that directly targets dominant-state effects in the mining assessment would better address legitimate issues found in the previous system, without the perverse outcomes that can be produced by the current system (interim finding 3.2). </w:t>
      </w:r>
    </w:p>
    <w:p w14:paraId="47321C6B" w14:textId="77777777" w:rsidR="00690397" w:rsidRDefault="00690397" w:rsidP="00690397">
      <w:pPr>
        <w:pStyle w:val="BodyText"/>
      </w:pPr>
      <w:r>
        <w:t>In terms of sustainability, the PC has found that state governments are facing growing fiscal sustainability pressures which cannot be addressed by the GST distribution system alone. Due to the uncertainty around the future of NoWO payments, the current GST distribution system exacerbates fiscal sustainability concerns, given the degree of reliance of some states on GST revenue and the differing levels of own-source revenue flexibility across governments.</w:t>
      </w:r>
    </w:p>
    <w:p w14:paraId="68790425" w14:textId="77777777" w:rsidR="00690397" w:rsidRDefault="00690397" w:rsidP="00690397">
      <w:pPr>
        <w:pStyle w:val="BodyText"/>
      </w:pPr>
      <w:r>
        <w:t>If NoWO payments were made permanent, all states would receive at least the equivalent of what they would have received under the pre</w:t>
      </w:r>
      <w:r>
        <w:noBreakHyphen/>
        <w:t>2018 distribution system. While this minimises the risk of exacerbating states’ deteriorating fiscal positions, this would build in an ongoing and open-ended budgetary risk to the Australian Government. Preliminary PC</w:t>
      </w:r>
      <w:r w:rsidDel="00CF0C64">
        <w:t xml:space="preserve"> </w:t>
      </w:r>
      <w:r>
        <w:t xml:space="preserve">estimates indicate that NoWO payments could </w:t>
      </w:r>
      <w:r w:rsidRPr="005A7C7B">
        <w:t>exceed $5 billion</w:t>
      </w:r>
      <w:r>
        <w:t xml:space="preserve"> per year, depending on the movement of volatile and unpredictable commodity prices. While the Australian Government can let the guarantee expire, doing so would essentially transfer this risk to states with less fiscal capacity. This would have material impacts on their fiscal positions, particularly given the deteriorating fiscal trajectory of some jurisdictions. </w:t>
      </w:r>
    </w:p>
    <w:p w14:paraId="05A0E007" w14:textId="77777777" w:rsidR="00690397" w:rsidRDefault="00690397" w:rsidP="00690397">
      <w:pPr>
        <w:pStyle w:val="BodyText"/>
      </w:pPr>
      <w:r>
        <w:t>Any state with greater fiscal capacity than New South Wales and Victoria would continue to receive more GST payments than required to meet their assessed expenditure needs, allowing these states to maintain a higher level of fiscal capacity than other states. States with persistently higher fiscal capacities are structurally advantaged to provide higher quality public services to its residents, which could both produce inefficient labour mobility and undermine public support for the system.</w:t>
      </w:r>
    </w:p>
    <w:p w14:paraId="07BF2531" w14:textId="23F2A99E" w:rsidR="00690397" w:rsidRPr="00CE677B" w:rsidRDefault="00690397" w:rsidP="00690397">
      <w:pPr>
        <w:pStyle w:val="BodyText"/>
      </w:pPr>
      <w:r w:rsidRPr="00494551">
        <w:t xml:space="preserve">In terms of certainty, the PC has found that </w:t>
      </w:r>
      <w:r>
        <w:t xml:space="preserve">states have broadly been good predictors of their overall future revenue. </w:t>
      </w:r>
      <w:r w:rsidRPr="00840491">
        <w:t>Many states have also indicated that GST revenue is adequately predictable and that any effects from GST revenue volatility can be managed through standard budget processes (ACT Government, sub. 38, p. 5; Government of South Australia, sub.</w:t>
      </w:r>
      <w:r w:rsidR="00B04C59">
        <w:t> </w:t>
      </w:r>
      <w:r w:rsidRPr="00840491">
        <w:t>13, pp. 14</w:t>
      </w:r>
      <w:r w:rsidR="002429C6">
        <w:rPr>
          <w:rFonts w:cs="Open Sans"/>
          <w:color w:val="000000"/>
          <w:szCs w:val="16"/>
        </w:rPr>
        <w:t>–</w:t>
      </w:r>
      <w:r w:rsidRPr="00840491">
        <w:t>15; Tasmanian Government, sub.</w:t>
      </w:r>
      <w:r w:rsidR="00B04C59">
        <w:t> </w:t>
      </w:r>
      <w:r w:rsidRPr="00840491">
        <w:t>48, p. 34; Victorian Government, sub.59, pp. 28</w:t>
      </w:r>
      <w:r w:rsidR="002429C6">
        <w:rPr>
          <w:rFonts w:cs="Open Sans"/>
          <w:color w:val="000000"/>
          <w:szCs w:val="16"/>
        </w:rPr>
        <w:t>–</w:t>
      </w:r>
      <w:r w:rsidRPr="00840491">
        <w:t>29). Government debt markets</w:t>
      </w:r>
      <w:r>
        <w:t xml:space="preserve"> are another avenue states can use to smooth revenue volatility </w:t>
      </w:r>
      <w:r w:rsidRPr="00840491">
        <w:t>(ACT Government, sub. 38, p. 5).</w:t>
      </w:r>
      <w:r w:rsidRPr="00494551">
        <w:t xml:space="preserve"> </w:t>
      </w:r>
      <w:r>
        <w:t>This means that while</w:t>
      </w:r>
      <w:r w:rsidRPr="00494551">
        <w:t xml:space="preserve"> the PC does include certainty as part of its framework, </w:t>
      </w:r>
      <w:r>
        <w:t>its</w:t>
      </w:r>
      <w:r w:rsidRPr="00494551">
        <w:t xml:space="preserve"> assessment </w:t>
      </w:r>
      <w:r>
        <w:t>is relatively less important than those for equity, efficiency and sustainability. The current system would have provided greater certainty to Western Australia as their relativity would have been pegged to the (less volatile) New South Wales relativity.</w:t>
      </w:r>
      <w:r w:rsidRPr="00CE677B">
        <w:t xml:space="preserve"> </w:t>
      </w:r>
      <w:r>
        <w:t>However, t</w:t>
      </w:r>
      <w:r w:rsidRPr="00CE677B">
        <w:t xml:space="preserve">he </w:t>
      </w:r>
      <w:r>
        <w:t>new equalisation standard</w:t>
      </w:r>
      <w:r w:rsidRPr="00CE677B">
        <w:t xml:space="preserve"> adds complexity and can create interactions that are difficult to explain</w:t>
      </w:r>
      <w:r>
        <w:t xml:space="preserve"> or predict. For example, under the current system with the NoWO guarantee expiring as planned,</w:t>
      </w:r>
      <w:r w:rsidRPr="00CE677B">
        <w:t xml:space="preserve"> </w:t>
      </w:r>
      <w:r>
        <w:t>all states are required to estimate the full equalisation set of relativities for all states but then must also estimate how much their own relativity will fall if any state needs to be raised to the standard state benchmark (figure 2.1).</w:t>
      </w:r>
    </w:p>
    <w:p w14:paraId="4B028890" w14:textId="77777777" w:rsidR="00690397" w:rsidRDefault="00690397" w:rsidP="00690397">
      <w:pPr>
        <w:pStyle w:val="BodyText"/>
      </w:pPr>
      <w:r w:rsidRPr="00CE677B">
        <w:t>Overall, </w:t>
      </w:r>
      <w:r>
        <w:t>the current system, even if the NoWO guarantee is made permanent, does not represent</w:t>
      </w:r>
      <w:r w:rsidRPr="00CE677B">
        <w:t xml:space="preserve"> a strong endpoint for Australia’s GST distribution system. </w:t>
      </w:r>
      <w:r>
        <w:t xml:space="preserve">In either case, the PC considers that the level of equalisation achieved is not ‘reasonable’, given the current system has not, and is not expected to, deliver marked improvements to efficiency and fiscal sustainability (interim finding 4.1). </w:t>
      </w:r>
    </w:p>
    <w:p w14:paraId="3B3DEC42" w14:textId="09779ECF" w:rsidR="00690397" w:rsidRPr="00B44B0E" w:rsidRDefault="00690397" w:rsidP="00690397">
      <w:pPr>
        <w:pStyle w:val="FigureTableHeading"/>
      </w:pPr>
      <w:r w:rsidRPr="00B44B0E">
        <w:lastRenderedPageBreak/>
        <w:t xml:space="preserve">Figure </w:t>
      </w:r>
      <w:r>
        <w:fldChar w:fldCharType="begin"/>
      </w:r>
      <w:r>
        <w:instrText>STYLEREF 1 \s</w:instrText>
      </w:r>
      <w:r>
        <w:fldChar w:fldCharType="separate"/>
      </w:r>
      <w:r w:rsidR="009C08C4">
        <w:rPr>
          <w:noProof/>
        </w:rPr>
        <w:t>4</w:t>
      </w:r>
      <w:r>
        <w:fldChar w:fldCharType="end"/>
      </w:r>
      <w:r>
        <w:t>.</w:t>
      </w:r>
      <w:r>
        <w:fldChar w:fldCharType="begin"/>
      </w:r>
      <w:r>
        <w:instrText>SEQ Figure \* ARABIC \s 1</w:instrText>
      </w:r>
      <w:r>
        <w:fldChar w:fldCharType="separate"/>
      </w:r>
      <w:r w:rsidR="009C08C4">
        <w:rPr>
          <w:noProof/>
        </w:rPr>
        <w:t>1</w:t>
      </w:r>
      <w:r>
        <w:fldChar w:fldCharType="end"/>
      </w:r>
      <w:r>
        <w:rPr>
          <w:noProof/>
        </w:rPr>
        <w:t xml:space="preserve"> </w:t>
      </w:r>
      <w:r>
        <w:t>–</w:t>
      </w:r>
      <w:r w:rsidRPr="00B44B0E">
        <w:t xml:space="preserve"> </w:t>
      </w:r>
      <w:r w:rsidRPr="00456A4C">
        <w:rPr>
          <w:b/>
          <w:bCs/>
        </w:rPr>
        <w:t>Assessment of the current system with permanent NoWO payments</w:t>
      </w:r>
    </w:p>
    <w:p w14:paraId="519D61B0" w14:textId="77777777" w:rsidR="00690397" w:rsidRDefault="00690397" w:rsidP="00690397">
      <w:pPr>
        <w:pStyle w:val="BodyText"/>
      </w:pPr>
      <w:r w:rsidRPr="00627A51">
        <w:rPr>
          <w:noProof/>
        </w:rPr>
        <w:drawing>
          <wp:inline distT="0" distB="0" distL="0" distR="0" wp14:anchorId="34B88EEF" wp14:editId="27503533">
            <wp:extent cx="6120130" cy="7774940"/>
            <wp:effectExtent l="0" t="0" r="0" b="0"/>
            <wp:docPr id="1684371605" name="Picture 42" descr="Figure 4.1 – This is a combination figure of tables and charts which summarises the assessment of the current system with permanent NoWO payments against the PC’s framework. It includes a model description, key results, costs outside the model, rankings of key metric results in comparison to other arrangements, and an overall summary of results against the framework for the dimensions of equity, efficiency, sustainability and certainty. &#10;The model description is that it retains the current GST system, including the pool boost, and makes No Worse Off payments a permanent feature, paid for by the Australian Government through general revenue. The pool boost is retained, as is the standard state benchmark with the associated perverse outcomes.&#10;The key takeaways are that including the NoWO guarantee improves equity, reduces pressure on state fiscal sustainability at the cost of the Australian Government, with similar efficiency and certainty to the current system.&#10;The modelled cost to the states would have been $0 in 2024-25 relative to the pre-2018 system.&#10;For equity, this arrangement has an equalisation rate of 77%. For efficiency, it has a weighted average departure from policy neutrality of 1.8% and an average maximum departure from policy neutrality of 19%. For sustainability, it has a fiscal pressure score of 12 and would have cost the Australian Government $7.0 billion in 2024-25. For certainty, it has an average year on year volatility driven by the distribution system of 2.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371605" name="Picture 42" descr="Figure 4.1 – This is a combination figure of tables and charts which summarises the assessment of the current system with permanent NoWO payments against the PC’s framework. It includes a model description, key results, costs outside the model, rankings of key metric results in comparison to other arrangements, and an overall summary of results against the framework for the dimensions of equity, efficiency, sustainability and certainty. &#10;The model description is that it retains the current GST system, including the pool boost, and makes No Worse Off payments a permanent feature, paid for by the Australian Government through general revenue. The pool boost is retained, as is the standard state benchmark with the associated perverse outcomes.&#10;The key takeaways are that including the NoWO guarantee improves equity, reduces pressure on state fiscal sustainability at the cost of the Australian Government, with similar efficiency and certainty to the current system.&#10;The modelled cost to the states would have been $0 in 2024-25 relative to the pre-2018 system.&#10;For equity, this arrangement has an equalisation rate of 77%. For efficiency, it has a weighted average departure from policy neutrality of 1.8% and an average maximum departure from policy neutrality of 19%. For sustainability, it has a fiscal pressure score of 12 and would have cost the Australian Government $7.0 billion in 2024-25. For certainty, it has an average year on year volatility driven by the distribution system of 2.9%. "/>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6120130" cy="7774940"/>
                    </a:xfrm>
                    <a:prstGeom prst="rect">
                      <a:avLst/>
                    </a:prstGeom>
                    <a:noFill/>
                    <a:ln>
                      <a:noFill/>
                    </a:ln>
                  </pic:spPr>
                </pic:pic>
              </a:graphicData>
            </a:graphic>
          </wp:inline>
        </w:drawing>
      </w:r>
    </w:p>
    <w:tbl>
      <w:tblPr>
        <w:tblStyle w:val="TableGrid"/>
        <w:tblW w:w="5000" w:type="pct"/>
        <w:tblBorders>
          <w:top w:val="single" w:sz="4" w:space="0" w:color="2B9AC2" w:themeColor="text2"/>
          <w:left w:val="single" w:sz="4" w:space="0" w:color="2B9AC2" w:themeColor="text2"/>
          <w:bottom w:val="single" w:sz="4" w:space="0" w:color="2B9AC2" w:themeColor="text2"/>
          <w:right w:val="single" w:sz="4" w:space="0" w:color="2B9AC2" w:themeColor="text2"/>
          <w:insideH w:val="none" w:sz="0" w:space="0" w:color="auto"/>
          <w:insideV w:val="none" w:sz="0" w:space="0" w:color="auto"/>
        </w:tblBorders>
        <w:tblCellMar>
          <w:bottom w:w="113" w:type="dxa"/>
        </w:tblCellMar>
        <w:tblLook w:val="04A0" w:firstRow="1" w:lastRow="0" w:firstColumn="1" w:lastColumn="0" w:noHBand="0" w:noVBand="1"/>
      </w:tblPr>
      <w:tblGrid>
        <w:gridCol w:w="705"/>
        <w:gridCol w:w="8923"/>
      </w:tblGrid>
      <w:tr w:rsidR="00690397" w14:paraId="0238F4AA" w14:textId="77777777" w:rsidTr="00CD4460">
        <w:trPr>
          <w:trHeight w:val="765"/>
          <w:tblHeader/>
        </w:trPr>
        <w:tc>
          <w:tcPr>
            <w:tcW w:w="366" w:type="pct"/>
            <w:tcBorders>
              <w:bottom w:val="nil"/>
            </w:tcBorders>
            <w:tcMar>
              <w:bottom w:w="0" w:type="dxa"/>
            </w:tcMar>
            <w:vAlign w:val="center"/>
          </w:tcPr>
          <w:p w14:paraId="1DB9823E" w14:textId="77777777" w:rsidR="00690397" w:rsidRDefault="00690397" w:rsidP="00B04C59">
            <w:pPr>
              <w:pStyle w:val="NoSpacing"/>
            </w:pPr>
            <w:r>
              <w:rPr>
                <w:noProof/>
              </w:rPr>
              <w:lastRenderedPageBreak/>
              <w:drawing>
                <wp:inline distT="0" distB="0" distL="0" distR="0" wp14:anchorId="4B15BF37" wp14:editId="1C558B15">
                  <wp:extent cx="288000" cy="288000"/>
                  <wp:effectExtent l="0" t="0" r="0" b="0"/>
                  <wp:docPr id="192371364" name="Graphic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phic 39">
                            <a:extLst>
                              <a:ext uri="{C183D7F6-B498-43B3-948B-1728B52AA6E4}">
                                <adec:decorative xmlns:adec="http://schemas.microsoft.com/office/drawing/2017/decorative" val="1"/>
                              </a:ext>
                            </a:extLst>
                          </pic:cNvPr>
                          <pic:cNvPicPr/>
                        </pic:nvPicPr>
                        <pic:blipFill>
                          <a:blip r:embed="rId59">
                            <a:extLst>
                              <a:ext uri="{28A0092B-C50C-407E-A947-70E740481C1C}">
                                <a14:useLocalDpi xmlns:a14="http://schemas.microsoft.com/office/drawing/2010/main" val="0"/>
                              </a:ext>
                            </a:extLst>
                          </a:blip>
                          <a:stretch>
                            <a:fillRect/>
                          </a:stretch>
                        </pic:blipFill>
                        <pic:spPr>
                          <a:xfrm>
                            <a:off x="0" y="0"/>
                            <a:ext cx="288000" cy="288000"/>
                          </a:xfrm>
                          <a:prstGeom prst="rect">
                            <a:avLst/>
                          </a:prstGeom>
                        </pic:spPr>
                      </pic:pic>
                    </a:graphicData>
                  </a:graphic>
                </wp:inline>
              </w:drawing>
            </w:r>
          </w:p>
        </w:tc>
        <w:tc>
          <w:tcPr>
            <w:tcW w:w="4634" w:type="pct"/>
            <w:tcBorders>
              <w:bottom w:val="nil"/>
            </w:tcBorders>
            <w:tcMar>
              <w:bottom w:w="0" w:type="dxa"/>
            </w:tcMar>
            <w:vAlign w:val="center"/>
          </w:tcPr>
          <w:p w14:paraId="70C64E2D" w14:textId="0CDB86F7" w:rsidR="00690397" w:rsidRPr="001322AD" w:rsidRDefault="00690397" w:rsidP="00B04C59">
            <w:pPr>
              <w:pStyle w:val="Findingtitle"/>
            </w:pPr>
            <w:r w:rsidRPr="00B04C59">
              <w:t>Interim</w:t>
            </w:r>
            <w:r w:rsidRPr="001322AD">
              <w:t xml:space="preserve"> finding </w:t>
            </w:r>
            <w:r w:rsidRPr="001322AD">
              <w:fldChar w:fldCharType="begin"/>
            </w:r>
            <w:r w:rsidRPr="001322AD">
              <w:instrText>STYLEREF 1 \s</w:instrText>
            </w:r>
            <w:r w:rsidRPr="001322AD">
              <w:fldChar w:fldCharType="separate"/>
            </w:r>
            <w:r w:rsidR="009C08C4">
              <w:rPr>
                <w:noProof/>
              </w:rPr>
              <w:t>4</w:t>
            </w:r>
            <w:r w:rsidRPr="001322AD">
              <w:fldChar w:fldCharType="end"/>
            </w:r>
            <w:r w:rsidRPr="001322AD">
              <w:t>.</w:t>
            </w:r>
            <w:r w:rsidRPr="001322AD">
              <w:fldChar w:fldCharType="begin"/>
            </w:r>
            <w:r w:rsidRPr="001322AD">
              <w:instrText>SEQ Finding \* ARABIC \s 1</w:instrText>
            </w:r>
            <w:r w:rsidRPr="001322AD">
              <w:fldChar w:fldCharType="separate"/>
            </w:r>
            <w:r w:rsidR="009C08C4">
              <w:rPr>
                <w:noProof/>
              </w:rPr>
              <w:t>1</w:t>
            </w:r>
            <w:r w:rsidRPr="001322AD">
              <w:fldChar w:fldCharType="end"/>
            </w:r>
          </w:p>
          <w:p w14:paraId="02B20365" w14:textId="77777777" w:rsidR="00690397" w:rsidRPr="00B23E0D" w:rsidRDefault="00690397" w:rsidP="00B04C59">
            <w:pPr>
              <w:pStyle w:val="Findingtitle"/>
              <w:rPr>
                <w:spacing w:val="-4"/>
              </w:rPr>
            </w:pPr>
            <w:r w:rsidRPr="00B23E0D">
              <w:rPr>
                <w:spacing w:val="-4"/>
              </w:rPr>
              <w:t>The reduction in equalisation under the current system, with or without a permanent NoWO guarantee, has not markedly improved efficiency, fiscal sustainability or certainty</w:t>
            </w:r>
          </w:p>
        </w:tc>
      </w:tr>
      <w:tr w:rsidR="00690397" w14:paraId="180C51B6" w14:textId="77777777" w:rsidTr="00CD4460">
        <w:tc>
          <w:tcPr>
            <w:tcW w:w="5000" w:type="pct"/>
            <w:gridSpan w:val="2"/>
            <w:tcBorders>
              <w:top w:val="nil"/>
              <w:bottom w:val="single" w:sz="4" w:space="0" w:color="2B9AC2" w:themeColor="text2"/>
            </w:tcBorders>
          </w:tcPr>
          <w:p w14:paraId="5E0ECF5C" w14:textId="77777777" w:rsidR="00690397" w:rsidRPr="00B04C59" w:rsidRDefault="00690397" w:rsidP="00B04C59">
            <w:pPr>
              <w:pStyle w:val="BodyText"/>
            </w:pPr>
            <w:r w:rsidRPr="00B04C59">
              <w:t xml:space="preserve">Relative the pre-2018 system, the current system – even if No Worse Off (NoWO) payments were made permanent – reduces equity without making marked improvements to efficiency, fiscal sustainability or certainty. </w:t>
            </w:r>
          </w:p>
          <w:p w14:paraId="7935F6B2" w14:textId="77777777" w:rsidR="00690397" w:rsidRPr="00B04C59" w:rsidRDefault="00690397" w:rsidP="00B04C59">
            <w:pPr>
              <w:pStyle w:val="BodyText"/>
            </w:pPr>
            <w:r w:rsidRPr="00B04C59">
              <w:t xml:space="preserve">The reforms have also created the possibility of perverse outcomes by introducing a mechanism whereby states with higher fiscal capacities can receive increased GST payments.  </w:t>
            </w:r>
          </w:p>
          <w:p w14:paraId="26461402" w14:textId="77777777" w:rsidR="00690397" w:rsidRPr="00B04C59" w:rsidRDefault="00690397" w:rsidP="00B04C59">
            <w:pPr>
              <w:pStyle w:val="BodyText"/>
            </w:pPr>
            <w:r w:rsidRPr="00B04C59">
              <w:t>The reforms, with the NoWO guarantee expiring as scheduled, will add to existing fiscal sustainability pressures on a range of states. Even if the NoWO guarantee was made permanent, the reforms ensure any state with a greater fiscal capacity than New South Wales and Victoria can retain a fiscal advantage over the rest of the Federation. This could undermine public support for the system.</w:t>
            </w:r>
          </w:p>
          <w:p w14:paraId="697A689E" w14:textId="77777777" w:rsidR="00690397" w:rsidRDefault="00690397" w:rsidP="00B04C59">
            <w:pPr>
              <w:pStyle w:val="BodyText"/>
              <w:rPr>
                <w:lang w:eastAsia="en-AU"/>
              </w:rPr>
            </w:pPr>
            <w:r w:rsidRPr="00B04C59">
              <w:t>The reforms have marginally improved the predictability of GST revenue for some states and, if the NoWO guarantee is not made permanent, marginally reduced it for others. For all states, the reforms have introduced additional methodological complexity and created interactions which increase the risk of forecasting error.</w:t>
            </w:r>
          </w:p>
        </w:tc>
      </w:tr>
      <w:tr w:rsidR="00690397" w:rsidRPr="00B04C59" w14:paraId="54957329" w14:textId="77777777" w:rsidTr="00CD4460">
        <w:tc>
          <w:tcPr>
            <w:tcW w:w="5000" w:type="pct"/>
            <w:gridSpan w:val="2"/>
            <w:tcBorders>
              <w:top w:val="single" w:sz="4" w:space="0" w:color="2B9AC2" w:themeColor="text2"/>
              <w:left w:val="nil"/>
              <w:bottom w:val="nil"/>
              <w:right w:val="nil"/>
            </w:tcBorders>
            <w:tcMar>
              <w:bottom w:w="0" w:type="dxa"/>
            </w:tcMar>
          </w:tcPr>
          <w:p w14:paraId="2BA78491" w14:textId="77777777" w:rsidR="00690397" w:rsidRPr="00B04C59" w:rsidRDefault="00690397" w:rsidP="00B04C59">
            <w:pPr>
              <w:pStyle w:val="NoSpacing"/>
            </w:pPr>
          </w:p>
        </w:tc>
      </w:tr>
    </w:tbl>
    <w:p w14:paraId="046FC67D" w14:textId="77777777" w:rsidR="00690397" w:rsidRPr="009C7CC0" w:rsidRDefault="00690397" w:rsidP="00B04C59">
      <w:pPr>
        <w:pStyle w:val="Heading2"/>
        <w:rPr>
          <w:kern w:val="2"/>
          <w:lang w:eastAsia="en-AU"/>
          <w14:ligatures w14:val="standardContextual"/>
        </w:rPr>
      </w:pPr>
      <w:bookmarkStart w:id="59" w:name="_Toc235447982"/>
      <w:bookmarkStart w:id="60" w:name="_Toc234579106"/>
      <w:bookmarkStart w:id="61" w:name="_Toc236746617"/>
      <w:bookmarkStart w:id="62" w:name="_Toc236904077"/>
      <w:r>
        <w:t xml:space="preserve">Assessing the current system with minimum changes to address critical issues with </w:t>
      </w:r>
      <w:r w:rsidRPr="00B04C59">
        <w:t>the</w:t>
      </w:r>
      <w:r>
        <w:t xml:space="preserve"> system</w:t>
      </w:r>
      <w:bookmarkEnd w:id="59"/>
      <w:bookmarkEnd w:id="60"/>
      <w:bookmarkEnd w:id="61"/>
      <w:bookmarkEnd w:id="62"/>
    </w:p>
    <w:p w14:paraId="4F1E4DAD" w14:textId="40420ACC" w:rsidR="00690397" w:rsidRPr="00B04C59" w:rsidRDefault="00690397" w:rsidP="00690397">
      <w:pPr>
        <w:pStyle w:val="BodyText"/>
        <w:rPr>
          <w:spacing w:val="-2"/>
        </w:rPr>
      </w:pPr>
      <w:r w:rsidRPr="00B04C59">
        <w:rPr>
          <w:spacing w:val="-2"/>
        </w:rPr>
        <w:t>The PC’s assessment of the current system, both with and without NoWO payments, against the analytical framework suggests 3 critical issues – potential perverse outcomes associated with the new equalisation standard, uncertainty around future NoWO payments, and the pool boost failing to meet its intent of making all states better off. If the Australian Government does not proceed with the PC’s preferred recommendations (interim recommendations 4.1 and 4.2) and instead chooses to leave the current system broadly in place, there are some minimum changes that would address these critical issues. Addressing only these critical issues does not represent the PC’s preferred position, rather it represents the minimum reforms that the Australian Government should implement to the current distribution system. The base case for comparison under the PC’s framework is the current system, without a permanent NoWO guarantee</w:t>
      </w:r>
      <w:r w:rsidR="005274DB">
        <w:rPr>
          <w:spacing w:val="-2"/>
        </w:rPr>
        <w:t xml:space="preserve"> (figure 4.2)</w:t>
      </w:r>
      <w:r w:rsidRPr="00B04C59">
        <w:rPr>
          <w:spacing w:val="-2"/>
        </w:rPr>
        <w:t>. The PC recognises that this does not reflect the policy reality in 2025</w:t>
      </w:r>
      <w:r w:rsidR="00B04C59">
        <w:rPr>
          <w:rFonts w:cs="Open Sans"/>
          <w:color w:val="000000"/>
          <w:szCs w:val="16"/>
        </w:rPr>
        <w:t>–</w:t>
      </w:r>
      <w:r w:rsidRPr="00B04C59">
        <w:rPr>
          <w:spacing w:val="-2"/>
        </w:rPr>
        <w:t>26 where NoWO</w:t>
      </w:r>
      <w:r w:rsidRPr="00B04C59" w:rsidDel="00871108">
        <w:rPr>
          <w:spacing w:val="-2"/>
        </w:rPr>
        <w:t xml:space="preserve"> </w:t>
      </w:r>
      <w:r w:rsidRPr="00B04C59">
        <w:rPr>
          <w:spacing w:val="-2"/>
        </w:rPr>
        <w:t>payments of $6.6 billion are expected to be paid to states, but this ensures our analysis is based on the current stated Australian Government policy to end NoWO</w:t>
      </w:r>
      <w:r w:rsidRPr="00B04C59" w:rsidDel="00871108">
        <w:rPr>
          <w:spacing w:val="-2"/>
        </w:rPr>
        <w:t xml:space="preserve"> </w:t>
      </w:r>
      <w:r w:rsidRPr="00B04C59">
        <w:rPr>
          <w:spacing w:val="-2"/>
        </w:rPr>
        <w:t>payments in 2029</w:t>
      </w:r>
      <w:r w:rsidR="00B04C59">
        <w:rPr>
          <w:spacing w:val="-2"/>
        </w:rPr>
        <w:t>–</w:t>
      </w:r>
      <w:r w:rsidRPr="00B04C59">
        <w:rPr>
          <w:spacing w:val="-2"/>
        </w:rPr>
        <w:t>30</w:t>
      </w:r>
      <w:r w:rsidRPr="00B04C59">
        <w:rPr>
          <w:rFonts w:asciiTheme="minorHAnsi" w:eastAsiaTheme="minorEastAsia" w:hAnsiTheme="minorHAnsi"/>
          <w:spacing w:val="-2"/>
        </w:rPr>
        <w:t>.</w:t>
      </w:r>
    </w:p>
    <w:p w14:paraId="5896BC63" w14:textId="2FEF8DE9" w:rsidR="00690397" w:rsidRPr="00B04C59" w:rsidRDefault="00690397" w:rsidP="00690397">
      <w:pPr>
        <w:pStyle w:val="BodyText"/>
        <w:rPr>
          <w:spacing w:val="-2"/>
        </w:rPr>
      </w:pPr>
      <w:r w:rsidRPr="00B04C59">
        <w:rPr>
          <w:spacing w:val="-2"/>
        </w:rPr>
        <w:t xml:space="preserve">The </w:t>
      </w:r>
      <w:r w:rsidRPr="00B04C59">
        <w:rPr>
          <w:b/>
          <w:bCs/>
          <w:spacing w:val="-2"/>
        </w:rPr>
        <w:t>new equalisation standard</w:t>
      </w:r>
      <w:r w:rsidRPr="00B04C59">
        <w:rPr>
          <w:spacing w:val="-2"/>
        </w:rPr>
        <w:t xml:space="preserve"> requires that no state has a relativity below the standard state benchmark, has introduced the possibility of perverse outcomes in the GST distribution system which runs counter to the logic of HFE (chapter 2). Removing the standard state benchmark would see the 0.75</w:t>
      </w:r>
      <w:r w:rsidR="00283A2E">
        <w:rPr>
          <w:spacing w:val="-2"/>
        </w:rPr>
        <w:t> </w:t>
      </w:r>
      <w:r w:rsidRPr="00B04C59">
        <w:rPr>
          <w:spacing w:val="-2"/>
        </w:rPr>
        <w:t xml:space="preserve">floor become binding. The relative merits of different fixed floors are discussed later in this chapter. </w:t>
      </w:r>
    </w:p>
    <w:p w14:paraId="2E18ADC1" w14:textId="1265CB00" w:rsidR="00690397" w:rsidRDefault="00690397" w:rsidP="00690397">
      <w:pPr>
        <w:pStyle w:val="Caption"/>
        <w:keepNext/>
        <w:rPr>
          <w:kern w:val="2"/>
          <w:lang w:eastAsia="en-AU"/>
          <w14:ligatures w14:val="standardContextual"/>
        </w:rPr>
      </w:pPr>
      <w:r>
        <w:lastRenderedPageBreak/>
        <w:t xml:space="preserve">Figure </w:t>
      </w:r>
      <w:r>
        <w:fldChar w:fldCharType="begin"/>
      </w:r>
      <w:r>
        <w:instrText>STYLEREF 1 \s</w:instrText>
      </w:r>
      <w:r>
        <w:fldChar w:fldCharType="separate"/>
      </w:r>
      <w:r w:rsidR="009C08C4">
        <w:rPr>
          <w:noProof/>
        </w:rPr>
        <w:t>4</w:t>
      </w:r>
      <w:r>
        <w:fldChar w:fldCharType="end"/>
      </w:r>
      <w:r>
        <w:t>.</w:t>
      </w:r>
      <w:r>
        <w:fldChar w:fldCharType="begin"/>
      </w:r>
      <w:r>
        <w:instrText>SEQ Figure \* ARABIC \s 1</w:instrText>
      </w:r>
      <w:r>
        <w:fldChar w:fldCharType="separate"/>
      </w:r>
      <w:r w:rsidR="009C08C4">
        <w:rPr>
          <w:noProof/>
        </w:rPr>
        <w:t>2</w:t>
      </w:r>
      <w:r>
        <w:fldChar w:fldCharType="end"/>
      </w:r>
      <w:r>
        <w:t xml:space="preserve"> – Assessment of the current system with PC’s minimum changes</w:t>
      </w:r>
    </w:p>
    <w:p w14:paraId="03CE9DE8" w14:textId="77777777" w:rsidR="00690397" w:rsidRDefault="00690397" w:rsidP="00690397">
      <w:pPr>
        <w:rPr>
          <w:lang w:eastAsia="en-AU"/>
        </w:rPr>
      </w:pPr>
      <w:r w:rsidRPr="00466E6B">
        <w:rPr>
          <w:noProof/>
        </w:rPr>
        <w:drawing>
          <wp:inline distT="0" distB="0" distL="0" distR="0" wp14:anchorId="18C55FE6" wp14:editId="66FCC807">
            <wp:extent cx="6120130" cy="7937500"/>
            <wp:effectExtent l="0" t="0" r="0" b="0"/>
            <wp:docPr id="837689600" name="Picture 43" descr="Figure 4.2 – This is a combination figure of tables and charts which summarises the assessment of PC’s minimum change arrangement. It includes a model description, key results, costs outside the model, rankings of key metric results in comparison to other arrangements, and an overall summary of results against the framework for the dimensions of equity, efficiency, sustainability and certainty. &#10;The model description is that it keeps the current GST assessment framework, removes the standard state benchmark and the GST pool boost, retains the 0.75 floor and makes the NoWO payments permanent.&#10;The key takeaways are that this model improves equity relative to the current system without NoWO, improves state fiscal sustainability at a high cost to the Australian Government, with similar efficiency and certainty to the current system.&#10;The modelled cost to the states would have been $0 in 2024-25 relative to the pre-2018 system.&#10;For equity, this arrangement has an equalisation rate of 84%. For efficiency, it has a weighted average departure from policy neutrality of 1.7%, and an average maximum departure from policy neutrality of 19%. For sustainability, it has a fiscal pressure score of 12, and would have cost the Australian Government $6.2 billion in 2024-25. For certainty, it has an average year on year volatility driven by the distribution system of 2.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689600" name="Picture 43" descr="Figure 4.2 – This is a combination figure of tables and charts which summarises the assessment of PC’s minimum change arrangement. It includes a model description, key results, costs outside the model, rankings of key metric results in comparison to other arrangements, and an overall summary of results against the framework for the dimensions of equity, efficiency, sustainability and certainty. &#10;The model description is that it keeps the current GST assessment framework, removes the standard state benchmark and the GST pool boost, retains the 0.75 floor and makes the NoWO payments permanent.&#10;The key takeaways are that this model improves equity relative to the current system without NoWO, improves state fiscal sustainability at a high cost to the Australian Government, with similar efficiency and certainty to the current system.&#10;The modelled cost to the states would have been $0 in 2024-25 relative to the pre-2018 system.&#10;For equity, this arrangement has an equalisation rate of 84%. For efficiency, it has a weighted average departure from policy neutrality of 1.7%, and an average maximum departure from policy neutrality of 19%. For sustainability, it has a fiscal pressure score of 12, and would have cost the Australian Government $6.2 billion in 2024-25. For certainty, it has an average year on year volatility driven by the distribution system of 2.9%. "/>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120130" cy="7937500"/>
                    </a:xfrm>
                    <a:prstGeom prst="rect">
                      <a:avLst/>
                    </a:prstGeom>
                    <a:noFill/>
                    <a:ln>
                      <a:noFill/>
                    </a:ln>
                  </pic:spPr>
                </pic:pic>
              </a:graphicData>
            </a:graphic>
          </wp:inline>
        </w:drawing>
      </w:r>
    </w:p>
    <w:p w14:paraId="33C95B05" w14:textId="77777777" w:rsidR="00AA1D91" w:rsidRDefault="00AA1D91" w:rsidP="00AA1D91">
      <w:r>
        <w:lastRenderedPageBreak/>
        <w:t>Removing the standard state benchmark and reverting to a fixed floor improves equity</w:t>
      </w:r>
      <w:r w:rsidRPr="008B60D2">
        <w:t xml:space="preserve">. It would also improve the </w:t>
      </w:r>
      <w:r>
        <w:t>efficiency of the system, by removing a perverse mechanism where a state that has greater fiscal capacity than the benchmark could receive greater GST payments when their fiscal capacity increases, or when that of New South Wales or Victoria reduces (chapter 2). It also removes potential policy neutrality concerns where a state below the standard state benchmark can influence its GST share through policy choices that impact the fiscal capacity of either New South Wales or Victoria.</w:t>
      </w:r>
      <w:r w:rsidRPr="00201B0D">
        <w:rPr>
          <w:rStyle w:val="FootnoteReference"/>
        </w:rPr>
        <w:footnoteReference w:id="48"/>
      </w:r>
    </w:p>
    <w:p w14:paraId="4EB59014" w14:textId="77777777" w:rsidR="00AA1D91" w:rsidRDefault="00AA1D91" w:rsidP="00AA1D91">
      <w:r>
        <w:t>A higher floor limits how far changes in a state’s assessed fiscal capacity flow through to GST shares. This is most relevant where the revenue base is highly concentrated, such as mining in Western Australia. If Western Australia’s relativity remains below the floor, then the floor will continue to blunt the largest dominant-state effects on efficiency and certainty while removing the negative impacts of the standard-state benchmark.</w:t>
      </w:r>
    </w:p>
    <w:p w14:paraId="26653120" w14:textId="77777777" w:rsidR="00AA1D91" w:rsidRDefault="00AA1D91" w:rsidP="00AA1D91">
      <w:pPr>
        <w:rPr>
          <w:lang w:eastAsia="en-AU"/>
        </w:rPr>
      </w:pPr>
      <w:r>
        <w:t xml:space="preserve">The disadvantage of a floor is that it is a blunt policy instrument. It can also bind for states where there is no dominant-state problem, limiting equalisation for reasons unrelated to policy neutrality concerns </w:t>
      </w:r>
      <w:r w:rsidRPr="00891E3C">
        <w:rPr>
          <w:rFonts w:cs="Open Sans"/>
        </w:rPr>
        <w:t>(PC 2018, p.</w:t>
      </w:r>
      <w:r>
        <w:rPr>
          <w:rFonts w:cs="Open Sans"/>
        </w:rPr>
        <w:t> </w:t>
      </w:r>
      <w:r w:rsidRPr="00891E3C">
        <w:rPr>
          <w:rFonts w:cs="Open Sans"/>
        </w:rPr>
        <w:t>231)</w:t>
      </w:r>
      <w:r w:rsidRPr="00891E3C">
        <w:t>.</w:t>
      </w:r>
      <w:r>
        <w:t xml:space="preserve"> A floor may therefore improve efficiency in some cases, but it can do so unevenly and at the cost of equity (equity improvements from lower floors are discussed later in this chapter).</w:t>
      </w:r>
    </w:p>
    <w:p w14:paraId="131A54A5" w14:textId="77777777" w:rsidR="00AA1D91" w:rsidRDefault="00AA1D91" w:rsidP="00AA1D91">
      <w:pPr>
        <w:pStyle w:val="BodyText"/>
      </w:pPr>
      <w:r>
        <w:t>Removing the new equalisation standard also has benefits in terms of increased certainty. The new equalisation standard introduced additional complexity into the system and can create counterintuitive interactions between states’ fiscal capacities. Any event impacting the fiscal capacity of the standard state effectively impacts the relativity of all states with a greater fiscal capacity than the standard state, at the expense of all states with lower fiscal capacity.</w:t>
      </w:r>
    </w:p>
    <w:p w14:paraId="742E045F" w14:textId="77777777" w:rsidR="00AA1D91" w:rsidRPr="00C20FD1" w:rsidRDefault="00AA1D91" w:rsidP="00AA1D91">
      <w:pPr>
        <w:pStyle w:val="BodyText"/>
        <w:rPr>
          <w:spacing w:val="-2"/>
        </w:rPr>
      </w:pPr>
      <w:r w:rsidRPr="00C20FD1">
        <w:rPr>
          <w:spacing w:val="-2"/>
        </w:rPr>
        <w:t xml:space="preserve">The </w:t>
      </w:r>
      <w:r w:rsidRPr="00C20FD1">
        <w:rPr>
          <w:b/>
          <w:bCs/>
          <w:spacing w:val="-2"/>
        </w:rPr>
        <w:t>potential that NoWO payments would not continue after 2029</w:t>
      </w:r>
      <w:r w:rsidRPr="00C20FD1">
        <w:rPr>
          <w:rFonts w:cs="Open Sans"/>
          <w:b/>
          <w:bCs/>
          <w:color w:val="000000"/>
          <w:spacing w:val="-2"/>
          <w:szCs w:val="16"/>
        </w:rPr>
        <w:t>–</w:t>
      </w:r>
      <w:r w:rsidRPr="00C20FD1">
        <w:rPr>
          <w:b/>
          <w:bCs/>
          <w:spacing w:val="-2"/>
        </w:rPr>
        <w:t>30</w:t>
      </w:r>
      <w:r w:rsidRPr="00C20FD1">
        <w:rPr>
          <w:spacing w:val="-2"/>
        </w:rPr>
        <w:t xml:space="preserve"> generates the risk that the fiscal burden of the 2018 reforms will shift from the Australian Government to states with relatively lower fiscal capacity. While the 2018 reforms were intended to make all states better off, this has not occurred. </w:t>
      </w:r>
    </w:p>
    <w:p w14:paraId="246AA6D3" w14:textId="77777777" w:rsidR="00AA1D91" w:rsidRDefault="00AA1D91" w:rsidP="00AA1D91">
      <w:pPr>
        <w:pStyle w:val="BodyText"/>
      </w:pPr>
      <w:r>
        <w:t>The cessation of NoWO payments would also mean that states with greater fiscal capacity than the standard state will have an even greater fiscal capacity than other states. Relative to the current system, introducing permanent NoWO payments improves the equity of the system given it restores states that are not affected by the new equalisation standard to payments that are cumulatively equivalent to what they would have received under the pre-2018 system (making NoWO payments permanent increases the equalisation rate from 73% to 77%).</w:t>
      </w:r>
      <w:r w:rsidRPr="00201B0D">
        <w:rPr>
          <w:rStyle w:val="FootnoteReference"/>
        </w:rPr>
        <w:footnoteReference w:id="49"/>
      </w:r>
      <w:r>
        <w:t xml:space="preserve"> </w:t>
      </w:r>
    </w:p>
    <w:p w14:paraId="2A8EBF4D" w14:textId="77777777" w:rsidR="00AA1D91" w:rsidRPr="005971E3" w:rsidRDefault="00AA1D91" w:rsidP="00AA1D91">
      <w:pPr>
        <w:pStyle w:val="BodyText"/>
        <w:rPr>
          <w:spacing w:val="-2"/>
        </w:rPr>
      </w:pPr>
      <w:r w:rsidRPr="005971E3">
        <w:rPr>
          <w:spacing w:val="-2"/>
        </w:rPr>
        <w:t>The potential cessation of NoWO payments is particularly problematic given the fiscal pressures facing states other than Western Australia. A permanent NoWO guarantee would provide states with greater fiscal certainty by preventing the Australian Government from leveraging these payments in other fiscal or policy negotiations. It would also represent sound fiscal management by the Australian Government in accordance with the Charter of Budget Honesty – ensuring that the budget reflects future expenditures.</w:t>
      </w:r>
    </w:p>
    <w:p w14:paraId="414DADDC" w14:textId="77777777" w:rsidR="00AA1D91" w:rsidRDefault="00AA1D91" w:rsidP="00AA1D91">
      <w:pPr>
        <w:pStyle w:val="BodyText"/>
      </w:pPr>
      <w:r w:rsidRPr="00DB0C0F">
        <w:t>The intention of</w:t>
      </w:r>
      <w:r>
        <w:t xml:space="preserve"> the</w:t>
      </w:r>
      <w:r w:rsidRPr="00DB0C0F">
        <w:t xml:space="preserve"> </w:t>
      </w:r>
      <w:r w:rsidRPr="00DB0C0F">
        <w:rPr>
          <w:b/>
          <w:bCs/>
        </w:rPr>
        <w:t>GST pool boost</w:t>
      </w:r>
      <w:r w:rsidRPr="00DB0C0F">
        <w:t xml:space="preserve"> has not been realised, so it should be removed if </w:t>
      </w:r>
      <w:r>
        <w:t xml:space="preserve">the </w:t>
      </w:r>
      <w:r w:rsidRPr="00DB0C0F">
        <w:t>NoWO</w:t>
      </w:r>
      <w:r>
        <w:t xml:space="preserve"> guarantee</w:t>
      </w:r>
      <w:r w:rsidRPr="00DB0C0F">
        <w:t xml:space="preserve"> is made permanent. The intention of the pool boost was to make all states ‘better off’ by increasing the amount of GST available for distribution. However, this benefit is only realised if a state</w:t>
      </w:r>
      <w:r>
        <w:t>’</w:t>
      </w:r>
      <w:r w:rsidRPr="00DB0C0F">
        <w:t xml:space="preserve">s </w:t>
      </w:r>
      <w:r w:rsidRPr="00DB0C0F">
        <w:lastRenderedPageBreak/>
        <w:t xml:space="preserve">final GST distribution is drawn from the </w:t>
      </w:r>
      <w:r>
        <w:t>boosted</w:t>
      </w:r>
      <w:r w:rsidRPr="00DB0C0F">
        <w:t xml:space="preserve"> </w:t>
      </w:r>
      <w:r>
        <w:t xml:space="preserve">GST </w:t>
      </w:r>
      <w:r w:rsidRPr="00DB0C0F">
        <w:t xml:space="preserve">pool. All states </w:t>
      </w:r>
      <w:r>
        <w:t>other than Western Australia</w:t>
      </w:r>
      <w:r w:rsidRPr="00DB0C0F">
        <w:t xml:space="preserve"> have </w:t>
      </w:r>
      <w:r>
        <w:t>required payments under</w:t>
      </w:r>
      <w:r w:rsidRPr="00DB0C0F">
        <w:t xml:space="preserve"> the NoWO </w:t>
      </w:r>
      <w:r>
        <w:t>g</w:t>
      </w:r>
      <w:r w:rsidRPr="00DB0C0F">
        <w:t xml:space="preserve">uarantee in every year since the </w:t>
      </w:r>
      <w:r>
        <w:t>transition to the new fiscal equalisation standard.</w:t>
      </w:r>
      <w:r w:rsidRPr="00DB0C0F">
        <w:t xml:space="preserve"> </w:t>
      </w:r>
      <w:r>
        <w:t xml:space="preserve">As such, </w:t>
      </w:r>
      <w:r w:rsidRPr="00DB0C0F">
        <w:t>Western Australia has been the only state to benefit from the pool boost</w:t>
      </w:r>
      <w:r>
        <w:t xml:space="preserve"> (interim finding 3.1).</w:t>
      </w:r>
    </w:p>
    <w:p w14:paraId="5C13B64C" w14:textId="77777777" w:rsidR="00AA1D91" w:rsidRPr="004948A1" w:rsidRDefault="00AA1D91" w:rsidP="00AA1D91">
      <w:pPr>
        <w:pStyle w:val="BodyText"/>
      </w:pPr>
      <w:r w:rsidRPr="004948A1">
        <w:t xml:space="preserve">Overall, while these minimum changes address the most critical issues with the current system, they do not reflect a first or second-best policy solution for the GST distribution. Permanent NoWO payments help to protect states with lower fiscal capacities, at the cost of a continuing an open-ended fiscal liability for the Australian Government. This cost is in small part reduced by the removal of </w:t>
      </w:r>
      <w:r>
        <w:t xml:space="preserve">the </w:t>
      </w:r>
      <w:r w:rsidRPr="004948A1">
        <w:t xml:space="preserve">pool </w:t>
      </w:r>
      <w:r>
        <w:t>boost</w:t>
      </w:r>
      <w:r w:rsidRPr="004948A1">
        <w:t xml:space="preserve">. While the removal of the </w:t>
      </w:r>
      <w:r>
        <w:t>new equalisation standard</w:t>
      </w:r>
      <w:r w:rsidRPr="004948A1">
        <w:t xml:space="preserve"> would prevent the associated perverse outcomes in the current system, retaining a floor of 0.75 would still involve equity trade-offs. The PC will explore whether alternative fixed floors better address these equity trade-offs in its final report, in the context of minimal changes to the existing system.</w:t>
      </w:r>
    </w:p>
    <w:p w14:paraId="288C8A20" w14:textId="77777777" w:rsidR="00690397" w:rsidRDefault="00690397" w:rsidP="009359C7">
      <w:pPr>
        <w:pStyle w:val="Heading2"/>
        <w:rPr>
          <w:kern w:val="2"/>
          <w:szCs w:val="30"/>
          <w:lang w:eastAsia="en-AU"/>
          <w14:ligatures w14:val="standardContextual"/>
        </w:rPr>
      </w:pPr>
      <w:bookmarkStart w:id="63" w:name="_Toc235447983"/>
      <w:bookmarkStart w:id="64" w:name="_Toc235447984"/>
      <w:bookmarkStart w:id="65" w:name="_Toc235447985"/>
      <w:bookmarkStart w:id="66" w:name="_Toc235447986"/>
      <w:bookmarkStart w:id="67" w:name="_Toc235447987"/>
      <w:bookmarkStart w:id="68" w:name="_Toc235447988"/>
      <w:bookmarkStart w:id="69" w:name="_Toc235447989"/>
      <w:bookmarkStart w:id="70" w:name="_Toc235447990"/>
      <w:bookmarkStart w:id="71" w:name="_Toc235447991"/>
      <w:bookmarkStart w:id="72" w:name="_Toc235447992"/>
      <w:bookmarkStart w:id="73" w:name="_Toc235447993"/>
      <w:bookmarkStart w:id="74" w:name="_Toc234579107"/>
      <w:bookmarkStart w:id="75" w:name="_Toc234579108"/>
      <w:bookmarkStart w:id="76" w:name="_Toc234579109"/>
      <w:bookmarkStart w:id="77" w:name="_Toc234579110"/>
      <w:bookmarkStart w:id="78" w:name="_Toc234579111"/>
      <w:bookmarkStart w:id="79" w:name="_Toc234579112"/>
      <w:bookmarkStart w:id="80" w:name="_Toc234579113"/>
      <w:bookmarkStart w:id="81" w:name="_Toc234579114"/>
      <w:bookmarkStart w:id="82" w:name="_Toc234579115"/>
      <w:bookmarkStart w:id="83" w:name="_Toc234579116"/>
      <w:bookmarkStart w:id="84" w:name="_Toc234579117"/>
      <w:bookmarkStart w:id="85" w:name="_Toc234008105"/>
      <w:bookmarkStart w:id="86" w:name="_Toc235447994"/>
      <w:bookmarkStart w:id="87" w:name="_Toc234579118"/>
      <w:bookmarkStart w:id="88" w:name="_Toc236746618"/>
      <w:bookmarkStart w:id="89" w:name="_Toc236904078"/>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t>Alternative arrangements</w:t>
      </w:r>
      <w:bookmarkEnd w:id="85"/>
      <w:bookmarkEnd w:id="86"/>
      <w:bookmarkEnd w:id="87"/>
      <w:bookmarkEnd w:id="88"/>
      <w:bookmarkEnd w:id="89"/>
    </w:p>
    <w:p w14:paraId="329BB3FC" w14:textId="0AFFF7D2" w:rsidR="00690397" w:rsidRDefault="00690397" w:rsidP="00690397">
      <w:pPr>
        <w:pStyle w:val="BodyText"/>
        <w:rPr>
          <w:kern w:val="2"/>
          <w:lang w:eastAsia="en-AU"/>
          <w14:ligatures w14:val="standardContextual"/>
        </w:rPr>
      </w:pPr>
      <w:r>
        <w:t>The inquiry has considered several alternative arrangements (table 4.2). This list is not exhaustive and has been drawn from the available literature and submissions received by the inquiry to provide a sense of the trade-offs that might exist between the various alternatives.</w:t>
      </w:r>
    </w:p>
    <w:p w14:paraId="1A549388" w14:textId="225DA20D" w:rsidR="00690397" w:rsidRPr="00FB1E5D" w:rsidRDefault="00690397" w:rsidP="00690397">
      <w:pPr>
        <w:pStyle w:val="BodyText"/>
        <w:rPr>
          <w:spacing w:val="-4"/>
          <w:kern w:val="2"/>
          <w:lang w:eastAsia="en-AU"/>
          <w14:ligatures w14:val="standardContextual"/>
        </w:rPr>
      </w:pPr>
      <w:r w:rsidRPr="00FB1E5D">
        <w:rPr>
          <w:spacing w:val="-4"/>
        </w:rPr>
        <w:t>The PC has not included equalisation approaches proposed by Saul Eslake (sub. 3, pp. 25</w:t>
      </w:r>
      <w:r w:rsidR="00FB1E5D" w:rsidRPr="00FB1E5D">
        <w:rPr>
          <w:spacing w:val="-4"/>
        </w:rPr>
        <w:t>–</w:t>
      </w:r>
      <w:r w:rsidRPr="00FB1E5D">
        <w:rPr>
          <w:spacing w:val="-4"/>
        </w:rPr>
        <w:t xml:space="preserve">26), the Australian Centre for Federalism (sub. 23, pp. 6–7), and Chris Murphy (sub. 45, pp. 25-26) in this chapter, though they are explored in appendix B. The inquiry has focused to date on those alternative arrangements that can be readily made within the existing policy architecture of the federal financial relations system. The inquiry would welcome additional proposals in submission responses to this interim report. </w:t>
      </w:r>
    </w:p>
    <w:p w14:paraId="39AC78BC" w14:textId="79A70A73" w:rsidR="00690397" w:rsidRDefault="00690397" w:rsidP="00690397">
      <w:pPr>
        <w:pStyle w:val="FigureTableHeading"/>
        <w:rPr>
          <w:kern w:val="2"/>
          <w:szCs w:val="20"/>
          <w:lang w:eastAsia="en-AU"/>
          <w14:ligatures w14:val="standardContextual"/>
        </w:rPr>
      </w:pPr>
      <w:r>
        <w:t>Table 4.</w:t>
      </w:r>
      <w:r>
        <w:fldChar w:fldCharType="begin"/>
      </w:r>
      <w:r>
        <w:instrText>SEQ Table \* ARABIC \s 1</w:instrText>
      </w:r>
      <w:r>
        <w:fldChar w:fldCharType="separate"/>
      </w:r>
      <w:r w:rsidR="009C08C4">
        <w:rPr>
          <w:noProof/>
        </w:rPr>
        <w:t>2</w:t>
      </w:r>
      <w:r>
        <w:fldChar w:fldCharType="end"/>
      </w:r>
      <w:r>
        <w:rPr>
          <w:noProof/>
        </w:rPr>
        <w:t xml:space="preserve"> </w:t>
      </w:r>
      <w:r>
        <w:t>– GST distribution systems in inquiry submissions</w:t>
      </w:r>
    </w:p>
    <w:tbl>
      <w:tblPr>
        <w:tblW w:w="9639" w:type="dxa"/>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3828"/>
        <w:gridCol w:w="5811"/>
      </w:tblGrid>
      <w:tr w:rsidR="00690397" w:rsidRPr="00030C67" w14:paraId="60150E7F" w14:textId="77777777" w:rsidTr="00CD4460">
        <w:trPr>
          <w:tblHeader/>
        </w:trPr>
        <w:tc>
          <w:tcPr>
            <w:tcW w:w="3828" w:type="dxa"/>
            <w:tcBorders>
              <w:bottom w:val="single" w:sz="4" w:space="0" w:color="B3B3B3"/>
            </w:tcBorders>
            <w:shd w:val="clear" w:color="000000" w:fill="auto"/>
            <w:vAlign w:val="bottom"/>
          </w:tcPr>
          <w:p w14:paraId="28A0A435" w14:textId="77777777" w:rsidR="00690397" w:rsidRPr="00165434" w:rsidRDefault="00690397" w:rsidP="00CD4460">
            <w:pPr>
              <w:spacing w:before="45" w:after="45"/>
              <w:ind w:left="57" w:right="108"/>
              <w:rPr>
                <w:rFonts w:cs="Open Sans"/>
                <w:b/>
                <w:color w:val="1D4374"/>
                <w:sz w:val="18"/>
              </w:rPr>
            </w:pPr>
          </w:p>
        </w:tc>
        <w:tc>
          <w:tcPr>
            <w:tcW w:w="5811" w:type="dxa"/>
            <w:tcBorders>
              <w:bottom w:val="single" w:sz="4" w:space="0" w:color="B3B3B3"/>
            </w:tcBorders>
            <w:shd w:val="clear" w:color="000000" w:fill="auto"/>
            <w:vAlign w:val="bottom"/>
          </w:tcPr>
          <w:p w14:paraId="35C84BEA" w14:textId="77777777" w:rsidR="00690397" w:rsidRPr="00165434" w:rsidRDefault="00690397" w:rsidP="00CD4460">
            <w:pPr>
              <w:pStyle w:val="TableHeading"/>
              <w:spacing w:before="45" w:after="45"/>
              <w:rPr>
                <w:rFonts w:cs="Open Sans"/>
                <w:color w:val="1D4374"/>
              </w:rPr>
            </w:pPr>
            <w:r w:rsidRPr="00165434">
              <w:rPr>
                <w:rFonts w:cs="Open Sans"/>
                <w:color w:val="1D4374"/>
              </w:rPr>
              <w:t>Submission</w:t>
            </w:r>
          </w:p>
        </w:tc>
      </w:tr>
      <w:tr w:rsidR="00690397" w:rsidRPr="00030C67" w14:paraId="35553AD4" w14:textId="77777777" w:rsidTr="00CD4460">
        <w:tc>
          <w:tcPr>
            <w:tcW w:w="3828" w:type="dxa"/>
            <w:tcBorders>
              <w:top w:val="single" w:sz="4" w:space="0" w:color="B3B3B3"/>
              <w:bottom w:val="nil"/>
            </w:tcBorders>
            <w:shd w:val="clear" w:color="000000" w:fill="E6E6E6"/>
          </w:tcPr>
          <w:p w14:paraId="22DA0AB6" w14:textId="77777777" w:rsidR="00690397" w:rsidRPr="00165434" w:rsidRDefault="00690397" w:rsidP="00CD4460">
            <w:pPr>
              <w:pStyle w:val="TableHeading"/>
              <w:spacing w:before="45" w:after="45"/>
              <w:rPr>
                <w:rFonts w:cs="Open Sans"/>
                <w:color w:val="1D4374"/>
              </w:rPr>
            </w:pPr>
            <w:r w:rsidRPr="00165434">
              <w:rPr>
                <w:rFonts w:cs="Open Sans"/>
                <w:color w:val="1D4374"/>
              </w:rPr>
              <w:t>Pre-2018 system</w:t>
            </w:r>
          </w:p>
        </w:tc>
        <w:tc>
          <w:tcPr>
            <w:tcW w:w="5811" w:type="dxa"/>
            <w:tcBorders>
              <w:top w:val="single" w:sz="4" w:space="0" w:color="B3B3B3"/>
              <w:bottom w:val="nil"/>
            </w:tcBorders>
            <w:shd w:val="clear" w:color="000000" w:fill="E6E6E6"/>
          </w:tcPr>
          <w:p w14:paraId="21D9A32A" w14:textId="4C403B40" w:rsidR="00690397" w:rsidRPr="00165434" w:rsidRDefault="00690397" w:rsidP="00CD4460">
            <w:pPr>
              <w:pStyle w:val="TableBody"/>
              <w:spacing w:before="45" w:after="45"/>
              <w:ind w:right="108"/>
              <w:rPr>
                <w:rFonts w:cs="Open Sans"/>
                <w:color w:val="000000"/>
              </w:rPr>
            </w:pPr>
            <w:r w:rsidRPr="00165434">
              <w:rPr>
                <w:rFonts w:cs="Open Sans"/>
                <w:color w:val="000000"/>
              </w:rPr>
              <w:t>Victoria</w:t>
            </w:r>
            <w:r>
              <w:rPr>
                <w:rFonts w:cs="Open Sans"/>
                <w:color w:val="000000"/>
              </w:rPr>
              <w:t>n Government</w:t>
            </w:r>
            <w:r w:rsidR="00DF72D4">
              <w:rPr>
                <w:rFonts w:cs="Open Sans"/>
                <w:color w:val="000000"/>
              </w:rPr>
              <w:t>;</w:t>
            </w:r>
            <w:r w:rsidRPr="00165434">
              <w:rPr>
                <w:rFonts w:cs="Open Sans"/>
                <w:color w:val="000000"/>
              </w:rPr>
              <w:t xml:space="preserve"> </w:t>
            </w:r>
            <w:r>
              <w:rPr>
                <w:rFonts w:cs="Open Sans"/>
                <w:color w:val="000000"/>
              </w:rPr>
              <w:t>Australian Capital Territory Government</w:t>
            </w:r>
            <w:r w:rsidR="00DF72D4">
              <w:rPr>
                <w:rFonts w:cs="Open Sans"/>
                <w:color w:val="000000"/>
              </w:rPr>
              <w:t>;</w:t>
            </w:r>
            <w:r>
              <w:rPr>
                <w:rFonts w:cs="Open Sans"/>
                <w:color w:val="000000"/>
              </w:rPr>
              <w:t xml:space="preserve"> Government of</w:t>
            </w:r>
            <w:r w:rsidRPr="00165434">
              <w:rPr>
                <w:rFonts w:cs="Open Sans"/>
                <w:color w:val="000000"/>
              </w:rPr>
              <w:t xml:space="preserve"> South Australia</w:t>
            </w:r>
            <w:r w:rsidR="00DF72D4">
              <w:rPr>
                <w:rFonts w:cs="Open Sans"/>
                <w:color w:val="000000"/>
              </w:rPr>
              <w:t>;</w:t>
            </w:r>
            <w:r w:rsidRPr="00165434">
              <w:rPr>
                <w:rFonts w:cs="Open Sans"/>
                <w:color w:val="000000"/>
              </w:rPr>
              <w:t xml:space="preserve"> Tasmania</w:t>
            </w:r>
            <w:r>
              <w:rPr>
                <w:rFonts w:cs="Open Sans"/>
                <w:color w:val="000000"/>
              </w:rPr>
              <w:t>n Government</w:t>
            </w:r>
          </w:p>
        </w:tc>
      </w:tr>
      <w:tr w:rsidR="00690397" w:rsidRPr="00030C67" w14:paraId="6D0B760F" w14:textId="77777777" w:rsidTr="00CD4460">
        <w:tc>
          <w:tcPr>
            <w:tcW w:w="3828" w:type="dxa"/>
            <w:tcBorders>
              <w:top w:val="nil"/>
              <w:bottom w:val="nil"/>
            </w:tcBorders>
            <w:shd w:val="clear" w:color="000000" w:fill="auto"/>
          </w:tcPr>
          <w:p w14:paraId="21BEB62D" w14:textId="77777777" w:rsidR="00690397" w:rsidRPr="00165434" w:rsidRDefault="00690397" w:rsidP="00CD4460">
            <w:pPr>
              <w:pStyle w:val="TableHeading"/>
              <w:spacing w:before="45" w:after="45"/>
              <w:rPr>
                <w:rFonts w:cs="Open Sans"/>
                <w:color w:val="1D4374"/>
              </w:rPr>
            </w:pPr>
            <w:r w:rsidRPr="00165434">
              <w:rPr>
                <w:rFonts w:cs="Open Sans"/>
                <w:color w:val="1D4374"/>
              </w:rPr>
              <w:t>Pre-2018 + mining adjustment</w:t>
            </w:r>
          </w:p>
        </w:tc>
        <w:tc>
          <w:tcPr>
            <w:tcW w:w="5811" w:type="dxa"/>
            <w:tcBorders>
              <w:top w:val="nil"/>
              <w:bottom w:val="nil"/>
            </w:tcBorders>
            <w:shd w:val="clear" w:color="000000" w:fill="auto"/>
          </w:tcPr>
          <w:p w14:paraId="2C5FAA0D" w14:textId="12809DA9" w:rsidR="00690397" w:rsidRPr="00165434" w:rsidRDefault="00690397" w:rsidP="00CD4460">
            <w:pPr>
              <w:pStyle w:val="TableBody"/>
              <w:spacing w:before="45" w:after="45"/>
              <w:ind w:right="108"/>
              <w:rPr>
                <w:rFonts w:cs="Open Sans"/>
                <w:color w:val="000000"/>
              </w:rPr>
            </w:pPr>
            <w:r w:rsidRPr="00165434">
              <w:rPr>
                <w:rFonts w:cs="Open Sans"/>
                <w:color w:val="000000"/>
              </w:rPr>
              <w:t>Northern Territory</w:t>
            </w:r>
            <w:r>
              <w:rPr>
                <w:rFonts w:cs="Open Sans"/>
                <w:color w:val="000000"/>
              </w:rPr>
              <w:t xml:space="preserve"> – Department of Treasury and Finance</w:t>
            </w:r>
            <w:r w:rsidR="00A05EBF">
              <w:rPr>
                <w:rFonts w:cs="Open Sans"/>
                <w:color w:val="000000"/>
              </w:rPr>
              <w:t>;</w:t>
            </w:r>
            <w:r>
              <w:rPr>
                <w:rFonts w:cs="Open Sans"/>
                <w:color w:val="000000"/>
              </w:rPr>
              <w:t xml:space="preserve"> Queensland Government</w:t>
            </w:r>
          </w:p>
        </w:tc>
      </w:tr>
      <w:tr w:rsidR="00690397" w:rsidRPr="00030C67" w14:paraId="08FFF20F" w14:textId="77777777" w:rsidTr="00CD4460">
        <w:tc>
          <w:tcPr>
            <w:tcW w:w="3828" w:type="dxa"/>
            <w:tcBorders>
              <w:bottom w:val="nil"/>
            </w:tcBorders>
            <w:shd w:val="clear" w:color="000000" w:fill="E6E6E6"/>
          </w:tcPr>
          <w:p w14:paraId="6BBD0646" w14:textId="77777777" w:rsidR="00690397" w:rsidRPr="00165434" w:rsidRDefault="00690397" w:rsidP="00CD4460">
            <w:pPr>
              <w:pStyle w:val="TableHeading"/>
              <w:spacing w:before="45" w:after="45"/>
              <w:rPr>
                <w:rFonts w:cs="Open Sans"/>
                <w:color w:val="1D4374"/>
              </w:rPr>
            </w:pPr>
            <w:r w:rsidRPr="00165434">
              <w:rPr>
                <w:rFonts w:cs="Open Sans"/>
                <w:color w:val="1D4374"/>
              </w:rPr>
              <w:t>Current system</w:t>
            </w:r>
          </w:p>
        </w:tc>
        <w:tc>
          <w:tcPr>
            <w:tcW w:w="5811" w:type="dxa"/>
            <w:tcBorders>
              <w:bottom w:val="nil"/>
            </w:tcBorders>
            <w:shd w:val="clear" w:color="000000" w:fill="E6E6E6"/>
          </w:tcPr>
          <w:p w14:paraId="4DA689C4" w14:textId="77777777" w:rsidR="00690397" w:rsidRPr="00165434" w:rsidRDefault="00690397" w:rsidP="00CD4460">
            <w:pPr>
              <w:pStyle w:val="TableBody"/>
              <w:spacing w:before="45" w:after="45"/>
              <w:ind w:right="108"/>
              <w:rPr>
                <w:rFonts w:cs="Open Sans"/>
                <w:color w:val="000000"/>
              </w:rPr>
            </w:pPr>
            <w:r>
              <w:rPr>
                <w:rFonts w:cs="Open Sans"/>
                <w:color w:val="000000"/>
              </w:rPr>
              <w:t xml:space="preserve">Government of </w:t>
            </w:r>
            <w:r w:rsidRPr="00165434">
              <w:rPr>
                <w:rFonts w:cs="Open Sans"/>
                <w:color w:val="000000"/>
              </w:rPr>
              <w:t>Western Australia</w:t>
            </w:r>
          </w:p>
        </w:tc>
      </w:tr>
      <w:tr w:rsidR="00690397" w:rsidRPr="00030C67" w14:paraId="5904A95F" w14:textId="77777777" w:rsidTr="00CD4460">
        <w:tc>
          <w:tcPr>
            <w:tcW w:w="3828" w:type="dxa"/>
            <w:tcBorders>
              <w:top w:val="nil"/>
              <w:bottom w:val="nil"/>
            </w:tcBorders>
            <w:shd w:val="clear" w:color="000000" w:fill="auto"/>
          </w:tcPr>
          <w:p w14:paraId="5DF5D25C" w14:textId="77777777" w:rsidR="00690397" w:rsidRPr="00165434" w:rsidRDefault="00690397" w:rsidP="00CD4460">
            <w:pPr>
              <w:pStyle w:val="TableHeading"/>
              <w:spacing w:before="45" w:after="45"/>
              <w:rPr>
                <w:rFonts w:cs="Open Sans"/>
                <w:color w:val="1D4374"/>
              </w:rPr>
            </w:pPr>
            <w:r>
              <w:rPr>
                <w:rFonts w:cs="Open Sans"/>
                <w:color w:val="1D4374"/>
              </w:rPr>
              <w:t>Pre-2018 system</w:t>
            </w:r>
            <w:r w:rsidRPr="00165434">
              <w:rPr>
                <w:rFonts w:cs="Open Sans"/>
                <w:color w:val="1D4374"/>
              </w:rPr>
              <w:t xml:space="preserve"> but with fixed relativity floor</w:t>
            </w:r>
          </w:p>
        </w:tc>
        <w:tc>
          <w:tcPr>
            <w:tcW w:w="5811" w:type="dxa"/>
            <w:tcBorders>
              <w:top w:val="nil"/>
              <w:bottom w:val="nil"/>
            </w:tcBorders>
            <w:shd w:val="clear" w:color="000000" w:fill="auto"/>
          </w:tcPr>
          <w:p w14:paraId="3A93F401" w14:textId="77777777" w:rsidR="00690397" w:rsidRPr="00165434" w:rsidRDefault="00690397" w:rsidP="00CD4460">
            <w:pPr>
              <w:pStyle w:val="TableBody"/>
              <w:spacing w:before="45" w:after="45"/>
              <w:ind w:right="108"/>
              <w:rPr>
                <w:rFonts w:cs="Open Sans"/>
                <w:color w:val="000000"/>
              </w:rPr>
            </w:pPr>
            <w:r w:rsidRPr="00165434">
              <w:rPr>
                <w:rFonts w:cs="Open Sans"/>
                <w:color w:val="000000"/>
              </w:rPr>
              <w:t>Modelled in Tasmanian</w:t>
            </w:r>
            <w:r>
              <w:rPr>
                <w:rFonts w:cs="Open Sans"/>
                <w:color w:val="000000"/>
              </w:rPr>
              <w:t xml:space="preserve"> Government</w:t>
            </w:r>
            <w:r w:rsidRPr="00165434">
              <w:rPr>
                <w:rFonts w:cs="Open Sans"/>
                <w:color w:val="000000"/>
              </w:rPr>
              <w:t xml:space="preserve"> submission</w:t>
            </w:r>
          </w:p>
        </w:tc>
      </w:tr>
      <w:tr w:rsidR="00690397" w:rsidRPr="00030C67" w14:paraId="5DFAAE9B" w14:textId="77777777" w:rsidTr="00CD4460">
        <w:tc>
          <w:tcPr>
            <w:tcW w:w="3828" w:type="dxa"/>
            <w:tcBorders>
              <w:bottom w:val="nil"/>
            </w:tcBorders>
            <w:shd w:val="clear" w:color="000000" w:fill="E6E6E6"/>
          </w:tcPr>
          <w:p w14:paraId="22E287A4" w14:textId="77777777" w:rsidR="00690397" w:rsidRPr="00165434" w:rsidRDefault="00690397" w:rsidP="00CD4460">
            <w:pPr>
              <w:pStyle w:val="TableHeading"/>
              <w:spacing w:before="45" w:after="45"/>
              <w:rPr>
                <w:rFonts w:cs="Open Sans"/>
                <w:color w:val="1D4374"/>
              </w:rPr>
            </w:pPr>
            <w:r w:rsidRPr="00165434">
              <w:rPr>
                <w:rFonts w:cs="Open Sans"/>
                <w:color w:val="1D4374"/>
              </w:rPr>
              <w:t>S</w:t>
            </w:r>
            <w:r>
              <w:rPr>
                <w:rFonts w:cs="Open Sans"/>
                <w:color w:val="1D4374"/>
              </w:rPr>
              <w:t>plit</w:t>
            </w:r>
            <w:r w:rsidRPr="00165434">
              <w:rPr>
                <w:rFonts w:cs="Open Sans"/>
                <w:color w:val="1D4374"/>
              </w:rPr>
              <w:t xml:space="preserve"> pools (90% EPC, 10% HFE)</w:t>
            </w:r>
          </w:p>
        </w:tc>
        <w:tc>
          <w:tcPr>
            <w:tcW w:w="5811" w:type="dxa"/>
            <w:tcBorders>
              <w:bottom w:val="nil"/>
            </w:tcBorders>
            <w:shd w:val="clear" w:color="000000" w:fill="E6E6E6"/>
          </w:tcPr>
          <w:p w14:paraId="677A6828" w14:textId="77699BC6" w:rsidR="00690397" w:rsidRPr="00165434" w:rsidRDefault="00690397" w:rsidP="00CD4460">
            <w:pPr>
              <w:pStyle w:val="TableBody"/>
              <w:spacing w:before="45" w:after="45"/>
              <w:ind w:right="108"/>
              <w:rPr>
                <w:rFonts w:cs="Open Sans"/>
                <w:color w:val="000000"/>
              </w:rPr>
            </w:pPr>
            <w:r>
              <w:rPr>
                <w:rFonts w:cs="Open Sans"/>
                <w:color w:val="000000"/>
              </w:rPr>
              <w:t xml:space="preserve">The Hon </w:t>
            </w:r>
            <w:r w:rsidRPr="00165434">
              <w:rPr>
                <w:rFonts w:cs="Open Sans"/>
                <w:color w:val="000000"/>
              </w:rPr>
              <w:t xml:space="preserve">Colin Barnett </w:t>
            </w:r>
          </w:p>
        </w:tc>
      </w:tr>
      <w:tr w:rsidR="00690397" w:rsidRPr="00030C67" w14:paraId="0E4D1C0F" w14:textId="77777777" w:rsidTr="00CD4460">
        <w:tc>
          <w:tcPr>
            <w:tcW w:w="3828" w:type="dxa"/>
            <w:tcBorders>
              <w:top w:val="nil"/>
              <w:bottom w:val="nil"/>
            </w:tcBorders>
            <w:shd w:val="clear" w:color="000000" w:fill="auto"/>
          </w:tcPr>
          <w:p w14:paraId="7509559C" w14:textId="77777777" w:rsidR="00690397" w:rsidRPr="00165434" w:rsidRDefault="00690397" w:rsidP="00CD4460">
            <w:pPr>
              <w:pStyle w:val="TableHeading"/>
              <w:spacing w:before="45" w:after="45"/>
              <w:rPr>
                <w:rFonts w:cs="Open Sans"/>
                <w:color w:val="1D4374"/>
              </w:rPr>
            </w:pPr>
            <w:r w:rsidRPr="00165434">
              <w:rPr>
                <w:rFonts w:cs="Open Sans"/>
                <w:color w:val="1D4374"/>
              </w:rPr>
              <w:t>EPC+</w:t>
            </w:r>
          </w:p>
        </w:tc>
        <w:tc>
          <w:tcPr>
            <w:tcW w:w="5811" w:type="dxa"/>
            <w:tcBorders>
              <w:top w:val="nil"/>
              <w:bottom w:val="nil"/>
            </w:tcBorders>
            <w:shd w:val="clear" w:color="000000" w:fill="auto"/>
          </w:tcPr>
          <w:p w14:paraId="022631B2" w14:textId="77777777" w:rsidR="00690397" w:rsidRPr="00165434" w:rsidRDefault="00690397" w:rsidP="00CD4460">
            <w:pPr>
              <w:pStyle w:val="TableBody"/>
              <w:spacing w:before="45" w:after="45"/>
              <w:ind w:right="108"/>
              <w:rPr>
                <w:rFonts w:cs="Open Sans"/>
                <w:color w:val="000000"/>
              </w:rPr>
            </w:pPr>
            <w:r>
              <w:rPr>
                <w:rFonts w:cs="Open Sans"/>
                <w:color w:val="000000"/>
              </w:rPr>
              <w:t>New South Wales Government</w:t>
            </w:r>
          </w:p>
        </w:tc>
      </w:tr>
      <w:tr w:rsidR="00690397" w:rsidRPr="00030C67" w14:paraId="611A475E" w14:textId="77777777" w:rsidTr="00CD4460">
        <w:tc>
          <w:tcPr>
            <w:tcW w:w="3828" w:type="dxa"/>
            <w:tcBorders>
              <w:bottom w:val="nil"/>
            </w:tcBorders>
            <w:shd w:val="clear" w:color="000000" w:fill="E6E6E6"/>
          </w:tcPr>
          <w:p w14:paraId="3F3A2D3D" w14:textId="77777777" w:rsidR="00690397" w:rsidRPr="00165434" w:rsidRDefault="00690397" w:rsidP="00CD4460">
            <w:pPr>
              <w:pStyle w:val="TableHeading"/>
              <w:spacing w:before="45" w:after="45"/>
              <w:rPr>
                <w:rFonts w:cs="Open Sans"/>
                <w:color w:val="1D4374"/>
              </w:rPr>
            </w:pPr>
            <w:r w:rsidRPr="00165434">
              <w:rPr>
                <w:rFonts w:cs="Open Sans"/>
                <w:color w:val="1D4374"/>
              </w:rPr>
              <w:t>Broader indicators</w:t>
            </w:r>
          </w:p>
        </w:tc>
        <w:tc>
          <w:tcPr>
            <w:tcW w:w="5811" w:type="dxa"/>
            <w:tcBorders>
              <w:bottom w:val="nil"/>
            </w:tcBorders>
            <w:shd w:val="clear" w:color="000000" w:fill="E6E6E6"/>
          </w:tcPr>
          <w:p w14:paraId="35E65A12" w14:textId="77777777" w:rsidR="00690397" w:rsidRPr="00165434" w:rsidRDefault="00690397" w:rsidP="00CD4460">
            <w:pPr>
              <w:pStyle w:val="TableBody"/>
              <w:spacing w:before="45" w:after="45"/>
              <w:ind w:right="108"/>
              <w:rPr>
                <w:rFonts w:cs="Open Sans"/>
                <w:color w:val="000000"/>
              </w:rPr>
            </w:pPr>
            <w:r w:rsidRPr="00165434">
              <w:rPr>
                <w:rFonts w:cs="Open Sans"/>
                <w:color w:val="000000"/>
              </w:rPr>
              <w:t>Saul Eslake</w:t>
            </w:r>
          </w:p>
        </w:tc>
      </w:tr>
      <w:tr w:rsidR="00690397" w:rsidRPr="00030C67" w14:paraId="3E24D3D4" w14:textId="77777777" w:rsidTr="00CD4460">
        <w:tc>
          <w:tcPr>
            <w:tcW w:w="3828" w:type="dxa"/>
            <w:tcBorders>
              <w:top w:val="nil"/>
            </w:tcBorders>
            <w:shd w:val="clear" w:color="000000" w:fill="auto"/>
          </w:tcPr>
          <w:p w14:paraId="4830D164" w14:textId="77777777" w:rsidR="00690397" w:rsidRPr="00165434" w:rsidRDefault="00690397" w:rsidP="00CD4460">
            <w:pPr>
              <w:pStyle w:val="TableHeading"/>
              <w:spacing w:before="45" w:after="45"/>
              <w:rPr>
                <w:rFonts w:cs="Open Sans"/>
                <w:color w:val="1D4374"/>
              </w:rPr>
            </w:pPr>
            <w:r w:rsidRPr="00165434">
              <w:rPr>
                <w:rFonts w:cs="Open Sans"/>
                <w:color w:val="1D4374"/>
              </w:rPr>
              <w:t>Optimal equalisation</w:t>
            </w:r>
          </w:p>
        </w:tc>
        <w:tc>
          <w:tcPr>
            <w:tcW w:w="5811" w:type="dxa"/>
            <w:tcBorders>
              <w:top w:val="nil"/>
            </w:tcBorders>
            <w:shd w:val="clear" w:color="000000" w:fill="auto"/>
          </w:tcPr>
          <w:p w14:paraId="13DDC6EB" w14:textId="77777777" w:rsidR="00690397" w:rsidRPr="00165434" w:rsidRDefault="00690397" w:rsidP="00CD4460">
            <w:pPr>
              <w:pStyle w:val="TableBody"/>
              <w:spacing w:before="45" w:after="45"/>
              <w:ind w:right="108"/>
              <w:rPr>
                <w:rFonts w:cs="Open Sans"/>
                <w:color w:val="000000"/>
              </w:rPr>
            </w:pPr>
            <w:r w:rsidRPr="00165434">
              <w:rPr>
                <w:rFonts w:cs="Open Sans"/>
                <w:color w:val="000000"/>
              </w:rPr>
              <w:t>Chris Murphy</w:t>
            </w:r>
          </w:p>
        </w:tc>
      </w:tr>
    </w:tbl>
    <w:p w14:paraId="25DF372C" w14:textId="77777777" w:rsidR="00690397" w:rsidRPr="002E78F0" w:rsidRDefault="00690397" w:rsidP="008E157A">
      <w:pPr>
        <w:pStyle w:val="Note"/>
        <w:spacing w:after="360"/>
      </w:pPr>
      <w:r>
        <w:t>This l</w:t>
      </w:r>
      <w:r w:rsidRPr="002E78F0">
        <w:t xml:space="preserve">ist is not </w:t>
      </w:r>
      <w:r>
        <w:t xml:space="preserve">exhaustive. A full list of submissions received by the inquiry is provided in appendix A. Nor does it include all alternative arrangements in state submissions. </w:t>
      </w:r>
      <w:r w:rsidRPr="002E78F0">
        <w:t xml:space="preserve">For example, </w:t>
      </w:r>
      <w:r>
        <w:t xml:space="preserve">it </w:t>
      </w:r>
      <w:r w:rsidRPr="002E78F0">
        <w:t>does not include the NSW Government’s secondary proposal for a</w:t>
      </w:r>
      <w:r>
        <w:t xml:space="preserve"> Commonwealth </w:t>
      </w:r>
      <w:r w:rsidRPr="002E78F0">
        <w:t>funded 0.5 fixed relativity floor</w:t>
      </w:r>
      <w:r>
        <w:t xml:space="preserve">, or the Northern Territory </w:t>
      </w:r>
      <w:r w:rsidRPr="00B71CA2">
        <w:t>– Department of Treasury and Finance’s</w:t>
      </w:r>
      <w:r>
        <w:t xml:space="preserve"> proposal for a fixed share of GST revenue, amongst others.</w:t>
      </w:r>
    </w:p>
    <w:p w14:paraId="7F544D93" w14:textId="77777777" w:rsidR="00690397" w:rsidRDefault="00690397" w:rsidP="00690397">
      <w:pPr>
        <w:pStyle w:val="BodyText"/>
      </w:pPr>
      <w:r>
        <w:lastRenderedPageBreak/>
        <w:t>A</w:t>
      </w:r>
      <w:r w:rsidDel="00283C96">
        <w:t xml:space="preserve"> </w:t>
      </w:r>
      <w:r>
        <w:t xml:space="preserve">return to the pre-2018 system was put to the inquiry by a range of participants, including many state government submissions </w:t>
      </w:r>
      <w:r w:rsidRPr="004902C5">
        <w:t>(Victoria</w:t>
      </w:r>
      <w:r>
        <w:t>n Government,</w:t>
      </w:r>
      <w:r w:rsidRPr="004902C5">
        <w:t xml:space="preserve"> sub</w:t>
      </w:r>
      <w:r>
        <w:t>. 59,</w:t>
      </w:r>
      <w:r w:rsidRPr="00D30199">
        <w:t xml:space="preserve"> p.</w:t>
      </w:r>
      <w:r>
        <w:t> </w:t>
      </w:r>
      <w:r w:rsidRPr="00D30199">
        <w:t>44</w:t>
      </w:r>
      <w:r>
        <w:t>;</w:t>
      </w:r>
      <w:r w:rsidRPr="004902C5">
        <w:t xml:space="preserve"> </w:t>
      </w:r>
      <w:r>
        <w:t>ACT Government,</w:t>
      </w:r>
      <w:r w:rsidRPr="004902C5">
        <w:t xml:space="preserve"> sub</w:t>
      </w:r>
      <w:r>
        <w:t>. 38,</w:t>
      </w:r>
      <w:r w:rsidRPr="00D30199">
        <w:t xml:space="preserve"> p.</w:t>
      </w:r>
      <w:r>
        <w:t> </w:t>
      </w:r>
      <w:r w:rsidRPr="00D30199">
        <w:t>8</w:t>
      </w:r>
      <w:r>
        <w:t>;</w:t>
      </w:r>
      <w:r w:rsidRPr="004902C5">
        <w:t xml:space="preserve"> </w:t>
      </w:r>
      <w:r>
        <w:t xml:space="preserve">Government of </w:t>
      </w:r>
      <w:r w:rsidRPr="004902C5">
        <w:t>S</w:t>
      </w:r>
      <w:r>
        <w:t xml:space="preserve">outh </w:t>
      </w:r>
      <w:r w:rsidRPr="004902C5">
        <w:t>A</w:t>
      </w:r>
      <w:r>
        <w:t>ustralia,</w:t>
      </w:r>
      <w:r w:rsidRPr="004902C5">
        <w:t xml:space="preserve"> sub</w:t>
      </w:r>
      <w:r>
        <w:t>.13,</w:t>
      </w:r>
      <w:r w:rsidRPr="00D30199">
        <w:t xml:space="preserve"> p.</w:t>
      </w:r>
      <w:r>
        <w:t> </w:t>
      </w:r>
      <w:r w:rsidRPr="00D30199">
        <w:t>4</w:t>
      </w:r>
      <w:r>
        <w:t>;</w:t>
      </w:r>
      <w:r w:rsidRPr="004902C5">
        <w:t xml:space="preserve"> Tas</w:t>
      </w:r>
      <w:r>
        <w:t>manian Government,</w:t>
      </w:r>
      <w:r w:rsidRPr="004902C5">
        <w:t xml:space="preserve"> sub</w:t>
      </w:r>
      <w:r>
        <w:t>. 48,</w:t>
      </w:r>
      <w:r w:rsidRPr="00D30199">
        <w:t xml:space="preserve"> p.</w:t>
      </w:r>
      <w:r>
        <w:t> </w:t>
      </w:r>
      <w:r w:rsidRPr="00D30199">
        <w:t>3</w:t>
      </w:r>
      <w:r w:rsidRPr="004902C5">
        <w:t>).</w:t>
      </w:r>
      <w:r>
        <w:t xml:space="preserve"> It restores the strongest form of equalisation, removes the need for NoWO payments, and restores the nexus: it returns the system to a largely self-contained one in which Australia’s HFE task is achieved from within the GST pool. </w:t>
      </w:r>
      <w:r w:rsidRPr="00AD37DE">
        <w:t>The inquiry’s preliminary assessment is that doing so would deliver a notable improvement in equity and fiscal sustainability</w:t>
      </w:r>
      <w:r>
        <w:t xml:space="preserve"> </w:t>
      </w:r>
      <w:r w:rsidRPr="00AD37DE">
        <w:t xml:space="preserve">for the states and the </w:t>
      </w:r>
      <w:r>
        <w:t>Australian Government</w:t>
      </w:r>
      <w:r w:rsidRPr="00AD37DE">
        <w:t>.</w:t>
      </w:r>
      <w:r>
        <w:t xml:space="preserve"> Given the pre-2018 system appears to have been broadly policy neutral, except for the pronounced dominant-state effects in the mining assessment, it would also have limited impacts on efficiency. </w:t>
      </w:r>
    </w:p>
    <w:p w14:paraId="60310240" w14:textId="77777777" w:rsidR="00690397" w:rsidRPr="00A13CE7" w:rsidRDefault="00690397" w:rsidP="00690397">
      <w:pPr>
        <w:pStyle w:val="BodyText"/>
      </w:pPr>
      <w:r w:rsidRPr="00A13CE7">
        <w:t>It is important to note that simply</w:t>
      </w:r>
      <w:r w:rsidRPr="00A13CE7" w:rsidDel="002342F4">
        <w:t xml:space="preserve"> returning to the pre-2018 system would not address the concerns about institutional sustainability and fairness</w:t>
      </w:r>
      <w:r w:rsidRPr="00A13CE7">
        <w:t>, due to dominant-state effects</w:t>
      </w:r>
      <w:r w:rsidRPr="00A13CE7" w:rsidDel="002342F4">
        <w:t>.</w:t>
      </w:r>
      <w:r w:rsidRPr="00A13CE7">
        <w:t xml:space="preserve"> </w:t>
      </w:r>
      <w:r w:rsidRPr="00A13CE7" w:rsidDel="002342F4">
        <w:t xml:space="preserve">The </w:t>
      </w:r>
      <w:r w:rsidRPr="00A13CE7">
        <w:t>PC</w:t>
      </w:r>
      <w:r w:rsidRPr="00A13CE7" w:rsidDel="002342F4">
        <w:t xml:space="preserve"> considers </w:t>
      </w:r>
      <w:r w:rsidRPr="00A13CE7">
        <w:t xml:space="preserve">remaining efficiency concerns </w:t>
      </w:r>
      <w:r w:rsidRPr="00A13CE7" w:rsidDel="002342F4">
        <w:t xml:space="preserve">would </w:t>
      </w:r>
      <w:r w:rsidRPr="00A13CE7">
        <w:t>be best addressed by targeted adjustments to the mining assessment rather than through wholesale changes to the broader GST distribution system.</w:t>
      </w:r>
      <w:r w:rsidRPr="00A13CE7" w:rsidDel="002342F4">
        <w:t xml:space="preserve"> </w:t>
      </w:r>
    </w:p>
    <w:p w14:paraId="53304936" w14:textId="77777777" w:rsidR="00690397" w:rsidRDefault="00690397" w:rsidP="00690397">
      <w:pPr>
        <w:pStyle w:val="BodyText"/>
        <w:rPr>
          <w:kern w:val="2"/>
          <w:lang w:eastAsia="en-AU"/>
          <w14:ligatures w14:val="standardContextual"/>
        </w:rPr>
      </w:pPr>
      <w:r w:rsidRPr="00A13CE7">
        <w:t>Another option evaluated by the inquiry has been to retain the current system but replace the new</w:t>
      </w:r>
      <w:r>
        <w:t xml:space="preserve"> equalisation standard with a lower fixed relativity floor. This would remove the new equalisation standard-related perverse outcome that allows Western Australia to indirectly </w:t>
      </w:r>
      <w:r>
        <w:rPr>
          <w:i/>
          <w:iCs/>
        </w:rPr>
        <w:t>increase</w:t>
      </w:r>
      <w:r w:rsidRPr="009062D2">
        <w:t xml:space="preserve"> its</w:t>
      </w:r>
      <w:r>
        <w:t xml:space="preserve"> GST revenue when its own mining royalty base strengthens. </w:t>
      </w:r>
      <w:r w:rsidRPr="00BE356B">
        <w:t>The inquiry’s preliminary analysis suggests that lower fixed floors may offer improvements relative to the current system (without NoWO payments) including better equity and fiscal sustainability outcomes. The higher the floor is set the lower the equalisation rate, and the higher the pressure on state fiscal sustainability (figure 4.5).</w:t>
      </w:r>
      <w:r>
        <w:t xml:space="preserve"> </w:t>
      </w:r>
    </w:p>
    <w:p w14:paraId="7E756F09" w14:textId="77777777" w:rsidR="00690397" w:rsidRPr="00257854" w:rsidRDefault="00690397" w:rsidP="00690397">
      <w:pPr>
        <w:pStyle w:val="BodyText"/>
        <w:rPr>
          <w:lang w:eastAsia="en-AU"/>
        </w:rPr>
      </w:pPr>
      <w:r>
        <w:t>The 2018 reforms broke the nexus between the GST pool and untied grants. This is a significant departure from what was originally envisaged in 1999 and begs the question as to whether there may be other, more preferable ways of permanently breaking this nexus and whether it would depart from – or conform with – HFE principles.</w:t>
      </w:r>
    </w:p>
    <w:p w14:paraId="7A31A4FA" w14:textId="77777777" w:rsidR="00690397" w:rsidRPr="008E157A" w:rsidRDefault="00690397" w:rsidP="00690397">
      <w:pPr>
        <w:pStyle w:val="BodyText"/>
        <w:rPr>
          <w:spacing w:val="-2"/>
          <w:lang w:eastAsia="en-AU"/>
        </w:rPr>
      </w:pPr>
      <w:r w:rsidRPr="008E157A">
        <w:rPr>
          <w:spacing w:val="-2"/>
        </w:rPr>
        <w:t>For example, more significant departures from HFE are possible in models such as EPC+ and split pool approaches. An EPC+ model could distribute the GST pool on an EPC basis and then provide separate Australian Government NoWO-style payments to states that would have otherwise received a higher than EPC allocation under the pre-2018 system. This performs relatively well on efficiency and certainty grounds, because it reduces the feedback between state policy choices and subsequent GST distributions. It also performs strongly in terms of reducing pressures on state fiscal sustainability. But it does so by transferring the HFE task from the GST pool to the Commonwealth budget. In doing so, as with the current NoWO payments, it means that the Australian Government directly takes on the task of making discretionary HFE-like payments. It also creates a new gap, where some states receive more than their assessed needs (the states with greater fiscal capacity) while other states receive only their assessed needs. Other split pool approaches, such as 90% EPC/10% HFE, can improve efficiency but at the cost of a significant reduction in fiscal equalisation, relative to the current system (without NoWO payments).</w:t>
      </w:r>
    </w:p>
    <w:p w14:paraId="5D92FCA3" w14:textId="77777777" w:rsidR="00690397" w:rsidRDefault="00690397" w:rsidP="00690397">
      <w:pPr>
        <w:pStyle w:val="BodyText"/>
        <w:rPr>
          <w:kern w:val="2"/>
          <w:lang w:eastAsia="en-AU"/>
          <w14:ligatures w14:val="standardContextual"/>
        </w:rPr>
      </w:pPr>
      <w:r>
        <w:t xml:space="preserve">Other alternatives, such as broad indicator models or partial equalisation approaches were proposed by participants in this inquiry. The appeal of the broader indicators model lies in the possibility of reducing direct links between state policy choices and subsequent GST distributions by using broader measures such as gross state product, demographic structure or other proxies for need and capacity. But this strength may present other challenges. The further the system moves away from direct measures of fiscal capacity, the greater the risk that it ceases to equalise with regard to the </w:t>
      </w:r>
      <w:r w:rsidRPr="00601CE4">
        <w:t xml:space="preserve">appropriate </w:t>
      </w:r>
      <w:r>
        <w:t xml:space="preserve">factors. While conceptually appealing, they may be less faithful to the core purpose of HFE and more vulnerable to dispute over the choice and weighting of indicators. A further discussion of these alternatives is provided in </w:t>
      </w:r>
      <w:r w:rsidRPr="0087015E">
        <w:t>appendix B</w:t>
      </w:r>
      <w:r>
        <w:t>.</w:t>
      </w:r>
    </w:p>
    <w:p w14:paraId="6AF2CFC1" w14:textId="77777777" w:rsidR="00690397" w:rsidRPr="00B96B31" w:rsidDel="00992BB8" w:rsidRDefault="00690397" w:rsidP="00690397">
      <w:pPr>
        <w:pStyle w:val="Heading3"/>
        <w:rPr>
          <w:kern w:val="2"/>
          <w:szCs w:val="30"/>
          <w:lang w:eastAsia="en-AU"/>
          <w14:ligatures w14:val="standardContextual"/>
        </w:rPr>
      </w:pPr>
      <w:r w:rsidDel="00992BB8">
        <w:lastRenderedPageBreak/>
        <w:t>Assessing the pre-2018 GST distribution system</w:t>
      </w:r>
    </w:p>
    <w:p w14:paraId="00191774" w14:textId="77777777" w:rsidR="00690397" w:rsidRDefault="00690397" w:rsidP="00690397">
      <w:pPr>
        <w:pStyle w:val="BodyText"/>
        <w:rPr>
          <w:kern w:val="2"/>
          <w:lang w:eastAsia="en-AU"/>
          <w14:ligatures w14:val="standardContextual"/>
        </w:rPr>
      </w:pPr>
      <w:r>
        <w:t>The pre-2018 GST distribution system delivered a high degree of equalisation and aligned with the long-standing logic of HFE (figure 4.3). For states with below-average revenue-raising capacity, or above-average service delivery costs, the system provided substantial support. For states with relatively strong revenue bases, including from natural resources, the system reflected this by assessing those states as having a lower need for GST revenue.</w:t>
      </w:r>
    </w:p>
    <w:p w14:paraId="5DA565D3" w14:textId="77777777" w:rsidR="00690397" w:rsidRPr="008E157A" w:rsidRDefault="00690397" w:rsidP="00690397">
      <w:pPr>
        <w:pStyle w:val="BodyText"/>
        <w:rPr>
          <w:spacing w:val="-4"/>
          <w:lang w:eastAsia="en-AU"/>
        </w:rPr>
      </w:pPr>
      <w:r w:rsidRPr="008E157A">
        <w:rPr>
          <w:spacing w:val="-4"/>
        </w:rPr>
        <w:t>The pre-2018 system delivers the highest degree of equity, when using the equalisation rate metric. It most directly advances the core objective of the GST distribution system by addressing differences in fiscal capacity across Australia. An additional strength was that it did so without requiring separate discretionary side payments from the Australian Government. For states concerned about fairness across Australia, this remains an important strength. A system that equalises less fully can be proposed and defended, but it requires a clear explanation of why the reduction in HFE is justified and what offsetting gains it delivers.</w:t>
      </w:r>
    </w:p>
    <w:p w14:paraId="2D4041B2" w14:textId="77777777" w:rsidR="00690397" w:rsidRDefault="00690397" w:rsidP="00690397">
      <w:pPr>
        <w:pStyle w:val="BodyText"/>
      </w:pPr>
      <w:r>
        <w:t xml:space="preserve">On efficiency grounds, the pre-2018 system was broadly policy neutral, with the notable exception being specific dominant-state effects in the mining assessment. In a broad sense, the pre-2018 system was not an impediment at the margin to good policy. That distinction matters for policy design, which should target the specific issue that needs to be addressed, rather than using a blunt tool that creates other trade-offs. </w:t>
      </w:r>
    </w:p>
    <w:p w14:paraId="15251C50" w14:textId="77777777" w:rsidR="00690397" w:rsidRDefault="00690397" w:rsidP="00690397">
      <w:pPr>
        <w:pStyle w:val="BodyText"/>
      </w:pPr>
      <w:r>
        <w:t xml:space="preserve">The pre-2018 system did not fully address the fiscal sustainability challenges facing the states but did not add to these issues as the current system (without NoWO payments) does. It also did not impose additional fiscal costs on the Australian Government, which is a significant advantage relative to systems that rely on NoWO payments, a GST pool boost, or payments outside the system. </w:t>
      </w:r>
    </w:p>
    <w:p w14:paraId="4BBBE9F3" w14:textId="77777777" w:rsidR="00690397" w:rsidRDefault="00690397" w:rsidP="00690397">
      <w:pPr>
        <w:pStyle w:val="BodyText"/>
      </w:pPr>
      <w:r>
        <w:t xml:space="preserve">In terms of certainty, the pre-2018 system involved considerable system-driven GST revenue volatility for Western Australia, propelled by its dominant-state status and the vulnerability of its GST relativity to fluctuations in commodity prices. The 2018 reforms addressed this issue for Western Australia but did little to reduce system-driven volatility (commodity-based or otherwise) for other states (table 4.3). </w:t>
      </w:r>
    </w:p>
    <w:p w14:paraId="47FFFDCB" w14:textId="77777777" w:rsidR="00B268F8" w:rsidRDefault="00B268F8" w:rsidP="00B268F8">
      <w:pPr>
        <w:pStyle w:val="BodyText"/>
        <w:keepNext/>
        <w:keepLines/>
      </w:pPr>
      <w:r w:rsidRPr="00832658">
        <w:t>The</w:t>
      </w:r>
      <w:r>
        <w:t xml:space="preserve"> inquiry’s assessment is that the pre-2018 system scores highly on equity, performs well on fiscal sustainability, albeit at some cost to </w:t>
      </w:r>
      <w:r w:rsidRPr="00832658">
        <w:t>certainty. It also</w:t>
      </w:r>
      <w:r>
        <w:t xml:space="preserve"> </w:t>
      </w:r>
      <w:r w:rsidRPr="00832658">
        <w:t>performs better on efficiency than is often assumed</w:t>
      </w:r>
      <w:r>
        <w:t xml:space="preserve">, other than in the case of pronounced dominant-state effects in the mining assessment. Proposed alternatives need to do more than identify theoretical weaknesses associated with full equalisation; they need to answer the ‘compared to what’ question: they must demonstrate that they produce meaningful gains in practice that are large enough to justify the reduction in equalisation and any accompanying fiscal costs, institutional instability, and broader costs to the </w:t>
      </w:r>
      <w:r w:rsidRPr="00C92B7D">
        <w:t>Federation</w:t>
      </w:r>
      <w:r>
        <w:t>.</w:t>
      </w:r>
    </w:p>
    <w:p w14:paraId="42B83B79" w14:textId="77777777" w:rsidR="00B268F8" w:rsidRDefault="00B268F8" w:rsidP="00B268F8">
      <w:pPr>
        <w:pStyle w:val="BodyText"/>
        <w:keepNext/>
        <w:keepLines/>
      </w:pPr>
      <w:r>
        <w:t>A return to the pre-2018 system would continue to have a central role for the independent CGC in assessments, ensuring institutional trust. However, simply returning to the pre-2018 system would not address the concerns about fairness that led to the 2018 reforms. Submissions from the Western Australian Government and members of the public highlighted the strongly held view that the previous system was not fair and did not adequately reward effort</w:t>
      </w:r>
      <w:r w:rsidRPr="00257854">
        <w:t xml:space="preserve">. The </w:t>
      </w:r>
      <w:r>
        <w:t>i</w:t>
      </w:r>
      <w:r w:rsidRPr="00257854">
        <w:t>nquiry considers these concerns would be best addressed by targeted</w:t>
      </w:r>
      <w:r>
        <w:t>, transparent</w:t>
      </w:r>
      <w:r w:rsidRPr="00257854">
        <w:t xml:space="preserve"> adjustments to the mining assessment rather than through wholesale changes to the GST distribution system. </w:t>
      </w:r>
      <w:r w:rsidRPr="00792FEF">
        <w:t>Some options</w:t>
      </w:r>
      <w:r w:rsidRPr="00257854">
        <w:t xml:space="preserve"> </w:t>
      </w:r>
      <w:r>
        <w:t>to adjust the mining assessment are identified</w:t>
      </w:r>
      <w:r w:rsidRPr="00257854">
        <w:t xml:space="preserve"> in the next section.</w:t>
      </w:r>
      <w:r>
        <w:t xml:space="preserve"> </w:t>
      </w:r>
    </w:p>
    <w:p w14:paraId="2FDC3EC4" w14:textId="77777777" w:rsidR="00B268F8" w:rsidRDefault="00B268F8" w:rsidP="00690397">
      <w:pPr>
        <w:pStyle w:val="BodyText"/>
      </w:pPr>
    </w:p>
    <w:p w14:paraId="17E66572" w14:textId="73A84A6F" w:rsidR="00690397" w:rsidRDefault="00690397" w:rsidP="00690397">
      <w:pPr>
        <w:pStyle w:val="Caption"/>
        <w:keepNext/>
        <w:rPr>
          <w:kern w:val="2"/>
          <w:szCs w:val="20"/>
          <w:lang w:eastAsia="en-AU"/>
          <w14:ligatures w14:val="standardContextual"/>
        </w:rPr>
      </w:pPr>
      <w:r>
        <w:lastRenderedPageBreak/>
        <w:t xml:space="preserve">Figure </w:t>
      </w:r>
      <w:r>
        <w:fldChar w:fldCharType="begin"/>
      </w:r>
      <w:r>
        <w:instrText>STYLEREF 1 \s</w:instrText>
      </w:r>
      <w:r>
        <w:fldChar w:fldCharType="separate"/>
      </w:r>
      <w:r w:rsidR="009C08C4">
        <w:rPr>
          <w:noProof/>
        </w:rPr>
        <w:t>4</w:t>
      </w:r>
      <w:r>
        <w:fldChar w:fldCharType="end"/>
      </w:r>
      <w:r>
        <w:t>.</w:t>
      </w:r>
      <w:r>
        <w:fldChar w:fldCharType="begin"/>
      </w:r>
      <w:r>
        <w:instrText>SEQ Figure \* ARABIC \s 1</w:instrText>
      </w:r>
      <w:r>
        <w:fldChar w:fldCharType="separate"/>
      </w:r>
      <w:r w:rsidR="009C08C4">
        <w:rPr>
          <w:noProof/>
        </w:rPr>
        <w:t>3</w:t>
      </w:r>
      <w:r>
        <w:fldChar w:fldCharType="end"/>
      </w:r>
      <w:r>
        <w:t xml:space="preserve"> – Assessment of the pre-2018 system</w:t>
      </w:r>
    </w:p>
    <w:p w14:paraId="7CCE92FD" w14:textId="77777777" w:rsidR="00690397" w:rsidRDefault="00690397" w:rsidP="00690397">
      <w:pPr>
        <w:pStyle w:val="BodyText"/>
      </w:pPr>
      <w:r w:rsidRPr="00BA4E97">
        <w:rPr>
          <w:noProof/>
        </w:rPr>
        <w:drawing>
          <wp:inline distT="0" distB="0" distL="0" distR="0" wp14:anchorId="0A92ADB5" wp14:editId="381EA137">
            <wp:extent cx="6120130" cy="7830185"/>
            <wp:effectExtent l="0" t="0" r="0" b="0"/>
            <wp:docPr id="204471427" name="Picture 44" descr="Figure 4.3 – This is a combination figure of tables and charts which summarises the assessment of the pre-2018 system. It includes a model description, key results, costs outside the model, rankings of key metric results in comparison to other arrangements, and an overall summary of results against the framework for the dimensions of equity, efficiency, sustainability and certainty. &#10;The model description is that the pre-2018 system removes the current standard state benchmark, fixed GST relativity floors, GST pool boost, and NoWO payments. &#10;The key takeaways are that, compared to the current system without NoWO payments, it has much better equity and lower pressure on state fiscal sustainability, but is slightly less efficient and slightly more uncertain. &#10;The modelled cost to the states would have been $0 in 2024-25 relative to the pre-2018 system.&#10;For equity, this arrangement has the highest possible equalisation rate of 100%. For efficiency, it has a weighted average departure from policy neutrality of 2.5%, and an average maximum departure from policy neutrality of 30%. For sustainability, it has a fiscal pressure score of 12, and would have cost the Australian Government $0 in 2024-25. For certainty, it has an average year on year volatility driven by the distribution system of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71427" name="Picture 44" descr="Figure 4.3 – This is a combination figure of tables and charts which summarises the assessment of the pre-2018 system. It includes a model description, key results, costs outside the model, rankings of key metric results in comparison to other arrangements, and an overall summary of results against the framework for the dimensions of equity, efficiency, sustainability and certainty. &#10;The model description is that the pre-2018 system removes the current standard state benchmark, fixed GST relativity floors, GST pool boost, and NoWO payments. &#10;The key takeaways are that, compared to the current system without NoWO payments, it has much better equity and lower pressure on state fiscal sustainability, but is slightly less efficient and slightly more uncertain. &#10;The modelled cost to the states would have been $0 in 2024-25 relative to the pre-2018 system.&#10;For equity, this arrangement has the highest possible equalisation rate of 100%. For efficiency, it has a weighted average departure from policy neutrality of 2.5%, and an average maximum departure from policy neutrality of 30%. For sustainability, it has a fiscal pressure score of 12, and would have cost the Australian Government $0 in 2024-25. For certainty, it has an average year on year volatility driven by the distribution system of 4.6%"/>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120130" cy="7830185"/>
                    </a:xfrm>
                    <a:prstGeom prst="rect">
                      <a:avLst/>
                    </a:prstGeom>
                    <a:noFill/>
                    <a:ln>
                      <a:noFill/>
                    </a:ln>
                  </pic:spPr>
                </pic:pic>
              </a:graphicData>
            </a:graphic>
          </wp:inline>
        </w:drawing>
      </w:r>
    </w:p>
    <w:p w14:paraId="6257E913" w14:textId="72742513" w:rsidR="00B268F8" w:rsidRDefault="00B268F8" w:rsidP="00B268F8">
      <w:pPr>
        <w:pStyle w:val="FigureTableHeading"/>
      </w:pPr>
      <w:r>
        <w:lastRenderedPageBreak/>
        <w:t xml:space="preserve">Table </w:t>
      </w:r>
      <w:fldSimple w:instr=" STYLEREF 1 \s ">
        <w:r w:rsidR="009C08C4">
          <w:rPr>
            <w:noProof/>
          </w:rPr>
          <w:t>4</w:t>
        </w:r>
      </w:fldSimple>
      <w:r>
        <w:t>.</w:t>
      </w:r>
      <w:fldSimple w:instr=" SEQ Table \* ARABIC \s 1 ">
        <w:r w:rsidR="009C08C4">
          <w:rPr>
            <w:noProof/>
          </w:rPr>
          <w:t>3</w:t>
        </w:r>
      </w:fldSimple>
      <w:r>
        <w:rPr>
          <w:noProof/>
        </w:rPr>
        <w:t xml:space="preserve"> – </w:t>
      </w:r>
      <w:r>
        <w:t>The 2018 reforms have minimal impacts on certainty for all states except Western Australia</w:t>
      </w:r>
    </w:p>
    <w:p w14:paraId="61955C4F" w14:textId="77777777" w:rsidR="00B268F8" w:rsidRDefault="00B268F8" w:rsidP="00B268F8">
      <w:pPr>
        <w:pStyle w:val="FigureTableSubheading"/>
      </w:pPr>
      <w:r>
        <w:t xml:space="preserve">Average annual absolute change in year-on-year adjusted real GST revenue per capita, </w:t>
      </w:r>
      <w:r>
        <w:br/>
        <w:t>2001–02 to 2025–26</w:t>
      </w:r>
    </w:p>
    <w:tbl>
      <w:tblPr>
        <w:tblW w:w="10092" w:type="dxa"/>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2380"/>
        <w:gridCol w:w="964"/>
        <w:gridCol w:w="964"/>
        <w:gridCol w:w="964"/>
        <w:gridCol w:w="964"/>
        <w:gridCol w:w="964"/>
        <w:gridCol w:w="964"/>
        <w:gridCol w:w="964"/>
        <w:gridCol w:w="964"/>
      </w:tblGrid>
      <w:tr w:rsidR="00B268F8" w:rsidRPr="007C24FD" w14:paraId="25AAD394" w14:textId="77777777" w:rsidTr="00374278">
        <w:trPr>
          <w:trHeight w:val="288"/>
          <w:tblHeader/>
        </w:trPr>
        <w:tc>
          <w:tcPr>
            <w:tcW w:w="2380" w:type="dxa"/>
            <w:tcBorders>
              <w:bottom w:val="single" w:sz="4" w:space="0" w:color="B3B3B3"/>
            </w:tcBorders>
            <w:shd w:val="clear" w:color="000000" w:fill="auto"/>
            <w:noWrap/>
            <w:vAlign w:val="bottom"/>
            <w:hideMark/>
          </w:tcPr>
          <w:p w14:paraId="3A033DCF" w14:textId="77777777" w:rsidR="00B268F8" w:rsidRPr="007C24FD" w:rsidRDefault="00B268F8" w:rsidP="00374278">
            <w:pPr>
              <w:spacing w:before="45" w:after="45" w:line="240" w:lineRule="auto"/>
              <w:ind w:left="57" w:right="108"/>
              <w:rPr>
                <w:rFonts w:eastAsia="Times New Roman" w:cs="Open Sans"/>
                <w:b/>
                <w:bCs/>
                <w:color w:val="1D4374"/>
                <w:sz w:val="18"/>
                <w:szCs w:val="18"/>
                <w:lang w:eastAsia="en-AU"/>
              </w:rPr>
            </w:pPr>
            <w:r w:rsidRPr="007C24FD">
              <w:rPr>
                <w:rFonts w:eastAsia="Times New Roman" w:cs="Open Sans"/>
                <w:b/>
                <w:bCs/>
                <w:color w:val="1D4374"/>
                <w:sz w:val="18"/>
                <w:szCs w:val="18"/>
                <w:lang w:eastAsia="en-AU"/>
              </w:rPr>
              <w:t> </w:t>
            </w:r>
          </w:p>
        </w:tc>
        <w:tc>
          <w:tcPr>
            <w:tcW w:w="964" w:type="dxa"/>
            <w:tcBorders>
              <w:bottom w:val="single" w:sz="4" w:space="0" w:color="B3B3B3"/>
            </w:tcBorders>
            <w:shd w:val="clear" w:color="000000" w:fill="auto"/>
            <w:noWrap/>
            <w:vAlign w:val="bottom"/>
            <w:hideMark/>
          </w:tcPr>
          <w:p w14:paraId="2966F263" w14:textId="77777777" w:rsidR="00B268F8" w:rsidRPr="007C24FD" w:rsidRDefault="00B268F8" w:rsidP="00374278">
            <w:pPr>
              <w:spacing w:before="45" w:after="45" w:line="240" w:lineRule="auto"/>
              <w:ind w:left="57" w:right="108"/>
              <w:jc w:val="right"/>
              <w:rPr>
                <w:rFonts w:eastAsia="Times New Roman" w:cs="Open Sans"/>
                <w:b/>
                <w:bCs/>
                <w:color w:val="1D4374"/>
                <w:sz w:val="18"/>
                <w:szCs w:val="18"/>
                <w:lang w:eastAsia="en-AU"/>
              </w:rPr>
            </w:pPr>
            <w:r w:rsidRPr="007C24FD">
              <w:rPr>
                <w:rFonts w:eastAsia="Times New Roman" w:cs="Open Sans"/>
                <w:b/>
                <w:bCs/>
                <w:color w:val="1D4374"/>
                <w:sz w:val="18"/>
                <w:szCs w:val="18"/>
                <w:lang w:eastAsia="en-AU"/>
              </w:rPr>
              <w:t>NSW</w:t>
            </w:r>
          </w:p>
        </w:tc>
        <w:tc>
          <w:tcPr>
            <w:tcW w:w="964" w:type="dxa"/>
            <w:tcBorders>
              <w:bottom w:val="single" w:sz="4" w:space="0" w:color="B3B3B3"/>
            </w:tcBorders>
            <w:shd w:val="clear" w:color="000000" w:fill="auto"/>
            <w:noWrap/>
            <w:vAlign w:val="bottom"/>
            <w:hideMark/>
          </w:tcPr>
          <w:p w14:paraId="6D6D7EAD" w14:textId="77777777" w:rsidR="00B268F8" w:rsidRPr="007C24FD" w:rsidRDefault="00B268F8" w:rsidP="00374278">
            <w:pPr>
              <w:spacing w:before="45" w:after="45" w:line="240" w:lineRule="auto"/>
              <w:ind w:left="57" w:right="108"/>
              <w:jc w:val="right"/>
              <w:rPr>
                <w:rFonts w:eastAsia="Times New Roman" w:cs="Open Sans"/>
                <w:b/>
                <w:bCs/>
                <w:color w:val="1D4374"/>
                <w:sz w:val="18"/>
                <w:szCs w:val="18"/>
                <w:lang w:eastAsia="en-AU"/>
              </w:rPr>
            </w:pPr>
            <w:r w:rsidRPr="007C24FD">
              <w:rPr>
                <w:rFonts w:eastAsia="Times New Roman" w:cs="Open Sans"/>
                <w:b/>
                <w:bCs/>
                <w:color w:val="1D4374"/>
                <w:sz w:val="18"/>
                <w:szCs w:val="18"/>
                <w:lang w:eastAsia="en-AU"/>
              </w:rPr>
              <w:t>VIC</w:t>
            </w:r>
          </w:p>
        </w:tc>
        <w:tc>
          <w:tcPr>
            <w:tcW w:w="964" w:type="dxa"/>
            <w:tcBorders>
              <w:bottom w:val="single" w:sz="4" w:space="0" w:color="B3B3B3"/>
            </w:tcBorders>
            <w:shd w:val="clear" w:color="000000" w:fill="auto"/>
            <w:noWrap/>
            <w:vAlign w:val="bottom"/>
            <w:hideMark/>
          </w:tcPr>
          <w:p w14:paraId="1CA1B454" w14:textId="77777777" w:rsidR="00B268F8" w:rsidRPr="007C24FD" w:rsidRDefault="00B268F8" w:rsidP="00374278">
            <w:pPr>
              <w:spacing w:before="45" w:after="45" w:line="240" w:lineRule="auto"/>
              <w:ind w:left="57" w:right="108"/>
              <w:jc w:val="right"/>
              <w:rPr>
                <w:rFonts w:eastAsia="Times New Roman" w:cs="Open Sans"/>
                <w:b/>
                <w:bCs/>
                <w:color w:val="1D4374"/>
                <w:sz w:val="18"/>
                <w:szCs w:val="18"/>
                <w:lang w:eastAsia="en-AU"/>
              </w:rPr>
            </w:pPr>
            <w:r w:rsidRPr="007C24FD">
              <w:rPr>
                <w:rFonts w:eastAsia="Times New Roman" w:cs="Open Sans"/>
                <w:b/>
                <w:bCs/>
                <w:color w:val="1D4374"/>
                <w:sz w:val="18"/>
                <w:szCs w:val="18"/>
                <w:lang w:eastAsia="en-AU"/>
              </w:rPr>
              <w:t>QLD</w:t>
            </w:r>
          </w:p>
        </w:tc>
        <w:tc>
          <w:tcPr>
            <w:tcW w:w="964" w:type="dxa"/>
            <w:tcBorders>
              <w:bottom w:val="single" w:sz="4" w:space="0" w:color="B3B3B3"/>
            </w:tcBorders>
            <w:shd w:val="clear" w:color="000000" w:fill="auto"/>
            <w:noWrap/>
            <w:vAlign w:val="bottom"/>
            <w:hideMark/>
          </w:tcPr>
          <w:p w14:paraId="028FA933" w14:textId="77777777" w:rsidR="00B268F8" w:rsidRPr="007C24FD" w:rsidRDefault="00B268F8" w:rsidP="00374278">
            <w:pPr>
              <w:spacing w:before="45" w:after="45" w:line="240" w:lineRule="auto"/>
              <w:ind w:left="57" w:right="108"/>
              <w:jc w:val="right"/>
              <w:rPr>
                <w:rFonts w:eastAsia="Times New Roman" w:cs="Open Sans"/>
                <w:b/>
                <w:bCs/>
                <w:color w:val="1D4374"/>
                <w:sz w:val="18"/>
                <w:szCs w:val="18"/>
                <w:lang w:eastAsia="en-AU"/>
              </w:rPr>
            </w:pPr>
            <w:r w:rsidRPr="007C24FD">
              <w:rPr>
                <w:rFonts w:eastAsia="Times New Roman" w:cs="Open Sans"/>
                <w:b/>
                <w:bCs/>
                <w:color w:val="1D4374"/>
                <w:sz w:val="18"/>
                <w:szCs w:val="18"/>
                <w:lang w:eastAsia="en-AU"/>
              </w:rPr>
              <w:t>WA</w:t>
            </w:r>
          </w:p>
        </w:tc>
        <w:tc>
          <w:tcPr>
            <w:tcW w:w="964" w:type="dxa"/>
            <w:tcBorders>
              <w:bottom w:val="single" w:sz="4" w:space="0" w:color="B3B3B3"/>
            </w:tcBorders>
            <w:shd w:val="clear" w:color="000000" w:fill="auto"/>
            <w:noWrap/>
            <w:vAlign w:val="bottom"/>
            <w:hideMark/>
          </w:tcPr>
          <w:p w14:paraId="5C5AC339" w14:textId="77777777" w:rsidR="00B268F8" w:rsidRPr="007C24FD" w:rsidRDefault="00B268F8" w:rsidP="00374278">
            <w:pPr>
              <w:spacing w:before="45" w:after="45" w:line="240" w:lineRule="auto"/>
              <w:ind w:left="57" w:right="108"/>
              <w:jc w:val="right"/>
              <w:rPr>
                <w:rFonts w:eastAsia="Times New Roman" w:cs="Open Sans"/>
                <w:b/>
                <w:bCs/>
                <w:color w:val="1D4374"/>
                <w:sz w:val="18"/>
                <w:szCs w:val="18"/>
                <w:lang w:eastAsia="en-AU"/>
              </w:rPr>
            </w:pPr>
            <w:r w:rsidRPr="007C24FD">
              <w:rPr>
                <w:rFonts w:eastAsia="Times New Roman" w:cs="Open Sans"/>
                <w:b/>
                <w:bCs/>
                <w:color w:val="1D4374"/>
                <w:sz w:val="18"/>
                <w:szCs w:val="18"/>
                <w:lang w:eastAsia="en-AU"/>
              </w:rPr>
              <w:t>SA</w:t>
            </w:r>
          </w:p>
        </w:tc>
        <w:tc>
          <w:tcPr>
            <w:tcW w:w="964" w:type="dxa"/>
            <w:tcBorders>
              <w:bottom w:val="single" w:sz="4" w:space="0" w:color="B3B3B3"/>
            </w:tcBorders>
            <w:shd w:val="clear" w:color="000000" w:fill="auto"/>
            <w:noWrap/>
            <w:vAlign w:val="bottom"/>
            <w:hideMark/>
          </w:tcPr>
          <w:p w14:paraId="2100364E" w14:textId="77777777" w:rsidR="00B268F8" w:rsidRPr="007C24FD" w:rsidRDefault="00B268F8" w:rsidP="00374278">
            <w:pPr>
              <w:spacing w:before="45" w:after="45" w:line="240" w:lineRule="auto"/>
              <w:ind w:left="57" w:right="108"/>
              <w:jc w:val="right"/>
              <w:rPr>
                <w:rFonts w:eastAsia="Times New Roman" w:cs="Open Sans"/>
                <w:b/>
                <w:bCs/>
                <w:color w:val="1D4374"/>
                <w:sz w:val="18"/>
                <w:szCs w:val="18"/>
                <w:lang w:eastAsia="en-AU"/>
              </w:rPr>
            </w:pPr>
            <w:r w:rsidRPr="007C24FD">
              <w:rPr>
                <w:rFonts w:eastAsia="Times New Roman" w:cs="Open Sans"/>
                <w:b/>
                <w:bCs/>
                <w:color w:val="1D4374"/>
                <w:sz w:val="18"/>
                <w:szCs w:val="18"/>
                <w:lang w:eastAsia="en-AU"/>
              </w:rPr>
              <w:t>TAS</w:t>
            </w:r>
          </w:p>
        </w:tc>
        <w:tc>
          <w:tcPr>
            <w:tcW w:w="964" w:type="dxa"/>
            <w:tcBorders>
              <w:bottom w:val="single" w:sz="4" w:space="0" w:color="B3B3B3"/>
            </w:tcBorders>
            <w:shd w:val="clear" w:color="000000" w:fill="auto"/>
            <w:noWrap/>
            <w:vAlign w:val="bottom"/>
            <w:hideMark/>
          </w:tcPr>
          <w:p w14:paraId="20301B97" w14:textId="77777777" w:rsidR="00B268F8" w:rsidRPr="007C24FD" w:rsidRDefault="00B268F8" w:rsidP="00374278">
            <w:pPr>
              <w:spacing w:before="45" w:after="45" w:line="240" w:lineRule="auto"/>
              <w:ind w:left="57" w:right="108"/>
              <w:jc w:val="right"/>
              <w:rPr>
                <w:rFonts w:eastAsia="Times New Roman" w:cs="Open Sans"/>
                <w:b/>
                <w:bCs/>
                <w:color w:val="1D4374"/>
                <w:sz w:val="18"/>
                <w:szCs w:val="18"/>
                <w:lang w:eastAsia="en-AU"/>
              </w:rPr>
            </w:pPr>
            <w:r w:rsidRPr="007C24FD">
              <w:rPr>
                <w:rFonts w:eastAsia="Times New Roman" w:cs="Open Sans"/>
                <w:b/>
                <w:bCs/>
                <w:color w:val="1D4374"/>
                <w:sz w:val="18"/>
                <w:szCs w:val="18"/>
                <w:lang w:eastAsia="en-AU"/>
              </w:rPr>
              <w:t>ACT</w:t>
            </w:r>
          </w:p>
        </w:tc>
        <w:tc>
          <w:tcPr>
            <w:tcW w:w="964" w:type="dxa"/>
            <w:tcBorders>
              <w:bottom w:val="single" w:sz="4" w:space="0" w:color="B3B3B3"/>
            </w:tcBorders>
            <w:shd w:val="clear" w:color="000000" w:fill="auto"/>
            <w:noWrap/>
            <w:vAlign w:val="bottom"/>
            <w:hideMark/>
          </w:tcPr>
          <w:p w14:paraId="709F2DBE" w14:textId="77777777" w:rsidR="00B268F8" w:rsidRPr="007C24FD" w:rsidRDefault="00B268F8" w:rsidP="00374278">
            <w:pPr>
              <w:spacing w:before="45" w:after="45" w:line="240" w:lineRule="auto"/>
              <w:ind w:left="57" w:right="108"/>
              <w:jc w:val="right"/>
              <w:rPr>
                <w:rFonts w:eastAsia="Times New Roman" w:cs="Open Sans"/>
                <w:b/>
                <w:bCs/>
                <w:color w:val="1D4374"/>
                <w:sz w:val="18"/>
                <w:szCs w:val="18"/>
                <w:lang w:eastAsia="en-AU"/>
              </w:rPr>
            </w:pPr>
            <w:r w:rsidRPr="007C24FD">
              <w:rPr>
                <w:rFonts w:eastAsia="Times New Roman" w:cs="Open Sans"/>
                <w:b/>
                <w:bCs/>
                <w:color w:val="1D4374"/>
                <w:sz w:val="18"/>
                <w:szCs w:val="18"/>
                <w:lang w:eastAsia="en-AU"/>
              </w:rPr>
              <w:t>NT</w:t>
            </w:r>
          </w:p>
        </w:tc>
      </w:tr>
      <w:tr w:rsidR="00B268F8" w:rsidRPr="007C24FD" w14:paraId="2328A137" w14:textId="77777777" w:rsidTr="00374278">
        <w:trPr>
          <w:trHeight w:val="288"/>
        </w:trPr>
        <w:tc>
          <w:tcPr>
            <w:tcW w:w="2380" w:type="dxa"/>
            <w:tcBorders>
              <w:top w:val="single" w:sz="4" w:space="0" w:color="B3B3B3"/>
              <w:bottom w:val="nil"/>
            </w:tcBorders>
            <w:shd w:val="clear" w:color="000000" w:fill="E6E6E6"/>
            <w:noWrap/>
          </w:tcPr>
          <w:p w14:paraId="25838A7E" w14:textId="77777777" w:rsidR="00B268F8" w:rsidRPr="007C24FD" w:rsidRDefault="00B268F8" w:rsidP="00374278">
            <w:pPr>
              <w:spacing w:before="45" w:after="45" w:line="240" w:lineRule="auto"/>
              <w:ind w:left="57" w:right="108"/>
              <w:rPr>
                <w:rFonts w:eastAsia="Times New Roman" w:cs="Open Sans"/>
                <w:b/>
                <w:bCs/>
                <w:color w:val="1D4374"/>
                <w:sz w:val="18"/>
                <w:szCs w:val="18"/>
                <w:lang w:eastAsia="en-AU"/>
              </w:rPr>
            </w:pPr>
            <w:r>
              <w:rPr>
                <w:rFonts w:eastAsia="Times New Roman" w:cs="Open Sans"/>
                <w:b/>
                <w:bCs/>
                <w:color w:val="1D4374"/>
                <w:sz w:val="18"/>
                <w:szCs w:val="18"/>
                <w:lang w:eastAsia="en-AU"/>
              </w:rPr>
              <w:t>Pre-2018 system</w:t>
            </w:r>
          </w:p>
        </w:tc>
        <w:tc>
          <w:tcPr>
            <w:tcW w:w="964" w:type="dxa"/>
            <w:tcBorders>
              <w:top w:val="single" w:sz="4" w:space="0" w:color="B3B3B3"/>
              <w:bottom w:val="nil"/>
            </w:tcBorders>
            <w:shd w:val="clear" w:color="000000" w:fill="E6E6E6"/>
            <w:noWrap/>
          </w:tcPr>
          <w:p w14:paraId="4264C051" w14:textId="77777777" w:rsidR="00B268F8" w:rsidRPr="007C24FD" w:rsidRDefault="00B268F8" w:rsidP="00374278">
            <w:pPr>
              <w:spacing w:before="45" w:after="45" w:line="240" w:lineRule="auto"/>
              <w:ind w:left="57" w:right="108"/>
              <w:jc w:val="right"/>
              <w:rPr>
                <w:rFonts w:eastAsia="Times New Roman" w:cs="Open Sans"/>
                <w:color w:val="000000"/>
                <w:sz w:val="18"/>
                <w:szCs w:val="18"/>
                <w:lang w:eastAsia="en-AU"/>
              </w:rPr>
            </w:pPr>
            <w:r>
              <w:rPr>
                <w:rFonts w:eastAsia="Times New Roman" w:cs="Open Sans"/>
                <w:color w:val="000000"/>
                <w:sz w:val="18"/>
                <w:szCs w:val="18"/>
                <w:lang w:eastAsia="en-AU"/>
              </w:rPr>
              <w:t>2.5%</w:t>
            </w:r>
          </w:p>
        </w:tc>
        <w:tc>
          <w:tcPr>
            <w:tcW w:w="964" w:type="dxa"/>
            <w:tcBorders>
              <w:top w:val="single" w:sz="4" w:space="0" w:color="B3B3B3"/>
              <w:bottom w:val="nil"/>
            </w:tcBorders>
            <w:shd w:val="clear" w:color="000000" w:fill="E6E6E6"/>
            <w:noWrap/>
          </w:tcPr>
          <w:p w14:paraId="2E32B446" w14:textId="77777777" w:rsidR="00B268F8" w:rsidRPr="007C24FD" w:rsidRDefault="00B268F8" w:rsidP="00374278">
            <w:pPr>
              <w:spacing w:before="45" w:after="45" w:line="240" w:lineRule="auto"/>
              <w:ind w:left="57" w:right="108"/>
              <w:jc w:val="right"/>
              <w:rPr>
                <w:rFonts w:eastAsia="Times New Roman" w:cs="Open Sans"/>
                <w:color w:val="000000"/>
                <w:sz w:val="18"/>
                <w:szCs w:val="18"/>
                <w:lang w:eastAsia="en-AU"/>
              </w:rPr>
            </w:pPr>
            <w:r>
              <w:rPr>
                <w:rFonts w:eastAsia="Times New Roman" w:cs="Open Sans"/>
                <w:color w:val="000000"/>
                <w:sz w:val="18"/>
                <w:szCs w:val="18"/>
                <w:lang w:eastAsia="en-AU"/>
              </w:rPr>
              <w:t>2.3%</w:t>
            </w:r>
          </w:p>
        </w:tc>
        <w:tc>
          <w:tcPr>
            <w:tcW w:w="964" w:type="dxa"/>
            <w:tcBorders>
              <w:top w:val="single" w:sz="4" w:space="0" w:color="B3B3B3"/>
              <w:bottom w:val="nil"/>
            </w:tcBorders>
            <w:shd w:val="clear" w:color="000000" w:fill="E6E6E6"/>
            <w:noWrap/>
          </w:tcPr>
          <w:p w14:paraId="6A3ABAE4" w14:textId="77777777" w:rsidR="00B268F8" w:rsidRPr="007C24FD" w:rsidRDefault="00B268F8" w:rsidP="00374278">
            <w:pPr>
              <w:spacing w:before="45" w:after="45" w:line="240" w:lineRule="auto"/>
              <w:ind w:left="57" w:right="108"/>
              <w:jc w:val="right"/>
              <w:rPr>
                <w:rFonts w:eastAsia="Times New Roman" w:cs="Open Sans"/>
                <w:color w:val="000000"/>
                <w:sz w:val="18"/>
                <w:szCs w:val="18"/>
                <w:lang w:eastAsia="en-AU"/>
              </w:rPr>
            </w:pPr>
            <w:r>
              <w:rPr>
                <w:rFonts w:eastAsia="Times New Roman" w:cs="Open Sans"/>
                <w:color w:val="000000"/>
                <w:sz w:val="18"/>
                <w:szCs w:val="18"/>
                <w:lang w:eastAsia="en-AU"/>
              </w:rPr>
              <w:t>3.4%</w:t>
            </w:r>
          </w:p>
        </w:tc>
        <w:tc>
          <w:tcPr>
            <w:tcW w:w="964" w:type="dxa"/>
            <w:tcBorders>
              <w:top w:val="single" w:sz="4" w:space="0" w:color="B3B3B3"/>
              <w:bottom w:val="nil"/>
            </w:tcBorders>
            <w:shd w:val="clear" w:color="000000" w:fill="E6E6E6"/>
            <w:noWrap/>
          </w:tcPr>
          <w:p w14:paraId="6A20B862" w14:textId="77777777" w:rsidR="00B268F8" w:rsidRPr="007C24FD" w:rsidRDefault="00B268F8" w:rsidP="00374278">
            <w:pPr>
              <w:spacing w:before="45" w:after="45" w:line="240" w:lineRule="auto"/>
              <w:ind w:left="57" w:right="108"/>
              <w:jc w:val="right"/>
              <w:rPr>
                <w:rFonts w:eastAsia="Times New Roman" w:cs="Open Sans"/>
                <w:color w:val="000000"/>
                <w:sz w:val="18"/>
                <w:szCs w:val="18"/>
                <w:lang w:eastAsia="en-AU"/>
              </w:rPr>
            </w:pPr>
            <w:r>
              <w:rPr>
                <w:rFonts w:eastAsia="Times New Roman" w:cs="Open Sans"/>
                <w:color w:val="000000"/>
                <w:sz w:val="18"/>
                <w:szCs w:val="18"/>
                <w:lang w:eastAsia="en-AU"/>
              </w:rPr>
              <w:t>14.8%</w:t>
            </w:r>
          </w:p>
        </w:tc>
        <w:tc>
          <w:tcPr>
            <w:tcW w:w="964" w:type="dxa"/>
            <w:tcBorders>
              <w:top w:val="single" w:sz="4" w:space="0" w:color="B3B3B3"/>
              <w:bottom w:val="nil"/>
            </w:tcBorders>
            <w:shd w:val="clear" w:color="000000" w:fill="E6E6E6"/>
            <w:noWrap/>
          </w:tcPr>
          <w:p w14:paraId="044E759A" w14:textId="77777777" w:rsidR="00B268F8" w:rsidRPr="007C24FD" w:rsidRDefault="00B268F8" w:rsidP="00374278">
            <w:pPr>
              <w:spacing w:before="45" w:after="45" w:line="240" w:lineRule="auto"/>
              <w:ind w:left="57" w:right="108"/>
              <w:jc w:val="right"/>
              <w:rPr>
                <w:rFonts w:eastAsia="Times New Roman" w:cs="Open Sans"/>
                <w:color w:val="000000"/>
                <w:sz w:val="18"/>
                <w:szCs w:val="18"/>
                <w:lang w:eastAsia="en-AU"/>
              </w:rPr>
            </w:pPr>
            <w:r>
              <w:rPr>
                <w:rFonts w:eastAsia="Times New Roman" w:cs="Open Sans"/>
                <w:color w:val="000000"/>
                <w:sz w:val="18"/>
                <w:szCs w:val="18"/>
                <w:lang w:eastAsia="en-AU"/>
              </w:rPr>
              <w:t>2.4%</w:t>
            </w:r>
          </w:p>
        </w:tc>
        <w:tc>
          <w:tcPr>
            <w:tcW w:w="964" w:type="dxa"/>
            <w:tcBorders>
              <w:top w:val="single" w:sz="4" w:space="0" w:color="B3B3B3"/>
              <w:bottom w:val="nil"/>
            </w:tcBorders>
            <w:shd w:val="clear" w:color="000000" w:fill="E6E6E6"/>
            <w:noWrap/>
          </w:tcPr>
          <w:p w14:paraId="51023AEF" w14:textId="77777777" w:rsidR="00B268F8" w:rsidRPr="007C24FD" w:rsidRDefault="00B268F8" w:rsidP="00374278">
            <w:pPr>
              <w:spacing w:before="45" w:after="45" w:line="240" w:lineRule="auto"/>
              <w:ind w:left="57" w:right="108"/>
              <w:jc w:val="right"/>
              <w:rPr>
                <w:rFonts w:eastAsia="Times New Roman" w:cs="Open Sans"/>
                <w:color w:val="000000"/>
                <w:sz w:val="18"/>
                <w:szCs w:val="18"/>
                <w:lang w:eastAsia="en-AU"/>
              </w:rPr>
            </w:pPr>
            <w:r>
              <w:rPr>
                <w:rFonts w:eastAsia="Times New Roman" w:cs="Open Sans"/>
                <w:color w:val="000000"/>
                <w:sz w:val="18"/>
                <w:szCs w:val="18"/>
                <w:lang w:eastAsia="en-AU"/>
              </w:rPr>
              <w:t>3.0%</w:t>
            </w:r>
          </w:p>
        </w:tc>
        <w:tc>
          <w:tcPr>
            <w:tcW w:w="964" w:type="dxa"/>
            <w:tcBorders>
              <w:top w:val="single" w:sz="4" w:space="0" w:color="B3B3B3"/>
              <w:bottom w:val="nil"/>
            </w:tcBorders>
            <w:shd w:val="clear" w:color="000000" w:fill="E6E6E6"/>
            <w:noWrap/>
          </w:tcPr>
          <w:p w14:paraId="5D9BC02F" w14:textId="77777777" w:rsidR="00B268F8" w:rsidRPr="007C24FD" w:rsidRDefault="00B268F8" w:rsidP="00374278">
            <w:pPr>
              <w:spacing w:before="45" w:after="45" w:line="240" w:lineRule="auto"/>
              <w:ind w:left="57" w:right="108"/>
              <w:jc w:val="right"/>
              <w:rPr>
                <w:rFonts w:eastAsia="Times New Roman" w:cs="Open Sans"/>
                <w:color w:val="000000"/>
                <w:sz w:val="18"/>
                <w:szCs w:val="18"/>
                <w:lang w:eastAsia="en-AU"/>
              </w:rPr>
            </w:pPr>
            <w:r>
              <w:rPr>
                <w:rFonts w:eastAsia="Times New Roman" w:cs="Open Sans"/>
                <w:color w:val="000000"/>
                <w:sz w:val="18"/>
                <w:szCs w:val="18"/>
                <w:lang w:eastAsia="en-AU"/>
              </w:rPr>
              <w:t>3.9%</w:t>
            </w:r>
          </w:p>
        </w:tc>
        <w:tc>
          <w:tcPr>
            <w:tcW w:w="964" w:type="dxa"/>
            <w:tcBorders>
              <w:top w:val="single" w:sz="4" w:space="0" w:color="B3B3B3"/>
              <w:bottom w:val="nil"/>
            </w:tcBorders>
            <w:shd w:val="clear" w:color="000000" w:fill="E6E6E6"/>
            <w:noWrap/>
          </w:tcPr>
          <w:p w14:paraId="3B28B15A" w14:textId="77777777" w:rsidR="00B268F8" w:rsidRPr="007C24FD" w:rsidRDefault="00B268F8" w:rsidP="00374278">
            <w:pPr>
              <w:spacing w:before="45" w:after="45" w:line="240" w:lineRule="auto"/>
              <w:ind w:left="57" w:right="108"/>
              <w:jc w:val="right"/>
              <w:rPr>
                <w:rFonts w:eastAsia="Times New Roman" w:cs="Open Sans"/>
                <w:color w:val="000000"/>
                <w:sz w:val="18"/>
                <w:szCs w:val="18"/>
                <w:lang w:eastAsia="en-AU"/>
              </w:rPr>
            </w:pPr>
            <w:r>
              <w:rPr>
                <w:rFonts w:eastAsia="Times New Roman" w:cs="Open Sans"/>
                <w:color w:val="000000"/>
                <w:sz w:val="18"/>
                <w:szCs w:val="18"/>
                <w:lang w:eastAsia="en-AU"/>
              </w:rPr>
              <w:t>4.5%</w:t>
            </w:r>
          </w:p>
        </w:tc>
      </w:tr>
      <w:tr w:rsidR="00B268F8" w:rsidRPr="007C24FD" w14:paraId="2E96C969" w14:textId="77777777" w:rsidTr="00374278">
        <w:trPr>
          <w:trHeight w:val="288"/>
        </w:trPr>
        <w:tc>
          <w:tcPr>
            <w:tcW w:w="2380" w:type="dxa"/>
            <w:tcBorders>
              <w:top w:val="nil"/>
              <w:bottom w:val="nil"/>
            </w:tcBorders>
            <w:shd w:val="clear" w:color="000000" w:fill="auto"/>
            <w:noWrap/>
            <w:hideMark/>
          </w:tcPr>
          <w:p w14:paraId="68BD7473" w14:textId="77777777" w:rsidR="00B268F8" w:rsidRPr="007C24FD" w:rsidRDefault="00B268F8" w:rsidP="00374278">
            <w:pPr>
              <w:spacing w:before="45" w:after="45" w:line="240" w:lineRule="auto"/>
              <w:ind w:left="57" w:right="108"/>
              <w:rPr>
                <w:rFonts w:eastAsia="Times New Roman" w:cs="Open Sans"/>
                <w:b/>
                <w:bCs/>
                <w:color w:val="1D4374"/>
                <w:sz w:val="18"/>
                <w:szCs w:val="18"/>
                <w:lang w:eastAsia="en-AU"/>
              </w:rPr>
            </w:pPr>
            <w:r w:rsidRPr="007C24FD">
              <w:rPr>
                <w:rFonts w:eastAsia="Times New Roman" w:cs="Open Sans"/>
                <w:b/>
                <w:bCs/>
                <w:color w:val="1D4374"/>
                <w:sz w:val="18"/>
                <w:szCs w:val="18"/>
                <w:lang w:eastAsia="en-AU"/>
              </w:rPr>
              <w:t>Current system</w:t>
            </w:r>
          </w:p>
        </w:tc>
        <w:tc>
          <w:tcPr>
            <w:tcW w:w="964" w:type="dxa"/>
            <w:tcBorders>
              <w:top w:val="nil"/>
              <w:bottom w:val="nil"/>
            </w:tcBorders>
            <w:shd w:val="clear" w:color="000000" w:fill="auto"/>
            <w:noWrap/>
            <w:hideMark/>
          </w:tcPr>
          <w:p w14:paraId="472945D4" w14:textId="77777777" w:rsidR="00B268F8" w:rsidRPr="007C24FD" w:rsidRDefault="00B268F8" w:rsidP="00374278">
            <w:pPr>
              <w:spacing w:before="45" w:after="45" w:line="240" w:lineRule="auto"/>
              <w:ind w:left="57" w:right="108"/>
              <w:jc w:val="right"/>
              <w:rPr>
                <w:rFonts w:eastAsia="Times New Roman" w:cs="Open Sans"/>
                <w:color w:val="000000"/>
                <w:sz w:val="18"/>
                <w:szCs w:val="18"/>
                <w:lang w:eastAsia="en-AU"/>
              </w:rPr>
            </w:pPr>
            <w:r w:rsidRPr="007C24FD">
              <w:rPr>
                <w:rFonts w:eastAsia="Times New Roman" w:cs="Open Sans"/>
                <w:color w:val="000000"/>
                <w:sz w:val="18"/>
                <w:szCs w:val="18"/>
                <w:lang w:eastAsia="en-AU"/>
              </w:rPr>
              <w:t>2.3%</w:t>
            </w:r>
          </w:p>
        </w:tc>
        <w:tc>
          <w:tcPr>
            <w:tcW w:w="964" w:type="dxa"/>
            <w:tcBorders>
              <w:top w:val="nil"/>
              <w:bottom w:val="nil"/>
            </w:tcBorders>
            <w:shd w:val="clear" w:color="000000" w:fill="auto"/>
            <w:noWrap/>
            <w:hideMark/>
          </w:tcPr>
          <w:p w14:paraId="1568BEFE" w14:textId="77777777" w:rsidR="00B268F8" w:rsidRPr="007C24FD" w:rsidRDefault="00B268F8" w:rsidP="00374278">
            <w:pPr>
              <w:spacing w:before="45" w:after="45" w:line="240" w:lineRule="auto"/>
              <w:ind w:left="57" w:right="108"/>
              <w:jc w:val="right"/>
              <w:rPr>
                <w:rFonts w:eastAsia="Times New Roman" w:cs="Open Sans"/>
                <w:color w:val="000000"/>
                <w:sz w:val="18"/>
                <w:szCs w:val="18"/>
                <w:lang w:eastAsia="en-AU"/>
              </w:rPr>
            </w:pPr>
            <w:r w:rsidRPr="007C24FD">
              <w:rPr>
                <w:rFonts w:eastAsia="Times New Roman" w:cs="Open Sans"/>
                <w:color w:val="000000"/>
                <w:sz w:val="18"/>
                <w:szCs w:val="18"/>
                <w:lang w:eastAsia="en-AU"/>
              </w:rPr>
              <w:t>2.7%</w:t>
            </w:r>
          </w:p>
        </w:tc>
        <w:tc>
          <w:tcPr>
            <w:tcW w:w="964" w:type="dxa"/>
            <w:tcBorders>
              <w:top w:val="nil"/>
              <w:bottom w:val="nil"/>
            </w:tcBorders>
            <w:shd w:val="clear" w:color="000000" w:fill="auto"/>
            <w:noWrap/>
            <w:hideMark/>
          </w:tcPr>
          <w:p w14:paraId="6E73DC1B" w14:textId="77777777" w:rsidR="00B268F8" w:rsidRPr="007C24FD" w:rsidRDefault="00B268F8" w:rsidP="00374278">
            <w:pPr>
              <w:spacing w:before="45" w:after="45" w:line="240" w:lineRule="auto"/>
              <w:ind w:left="57" w:right="108"/>
              <w:jc w:val="right"/>
              <w:rPr>
                <w:rFonts w:eastAsia="Times New Roman" w:cs="Open Sans"/>
                <w:color w:val="000000"/>
                <w:sz w:val="18"/>
                <w:szCs w:val="18"/>
                <w:lang w:eastAsia="en-AU"/>
              </w:rPr>
            </w:pPr>
            <w:r w:rsidRPr="007C24FD">
              <w:rPr>
                <w:rFonts w:eastAsia="Times New Roman" w:cs="Open Sans"/>
                <w:color w:val="000000"/>
                <w:sz w:val="18"/>
                <w:szCs w:val="18"/>
                <w:lang w:eastAsia="en-AU"/>
              </w:rPr>
              <w:t>2.8%</w:t>
            </w:r>
          </w:p>
        </w:tc>
        <w:tc>
          <w:tcPr>
            <w:tcW w:w="964" w:type="dxa"/>
            <w:tcBorders>
              <w:top w:val="nil"/>
              <w:bottom w:val="nil"/>
            </w:tcBorders>
            <w:shd w:val="clear" w:color="000000" w:fill="auto"/>
            <w:noWrap/>
            <w:hideMark/>
          </w:tcPr>
          <w:p w14:paraId="6DCFDCBC" w14:textId="77777777" w:rsidR="00B268F8" w:rsidRPr="007C24FD" w:rsidRDefault="00B268F8" w:rsidP="00374278">
            <w:pPr>
              <w:spacing w:before="45" w:after="45" w:line="240" w:lineRule="auto"/>
              <w:ind w:left="57" w:right="108"/>
              <w:jc w:val="right"/>
              <w:rPr>
                <w:rFonts w:eastAsia="Times New Roman" w:cs="Open Sans"/>
                <w:color w:val="000000"/>
                <w:sz w:val="18"/>
                <w:szCs w:val="18"/>
                <w:lang w:eastAsia="en-AU"/>
              </w:rPr>
            </w:pPr>
            <w:r w:rsidRPr="007C24FD">
              <w:rPr>
                <w:rFonts w:eastAsia="Times New Roman" w:cs="Open Sans"/>
                <w:color w:val="000000"/>
                <w:sz w:val="18"/>
                <w:szCs w:val="18"/>
                <w:lang w:eastAsia="en-AU"/>
              </w:rPr>
              <w:t>1.8%</w:t>
            </w:r>
          </w:p>
        </w:tc>
        <w:tc>
          <w:tcPr>
            <w:tcW w:w="964" w:type="dxa"/>
            <w:tcBorders>
              <w:top w:val="nil"/>
              <w:bottom w:val="nil"/>
            </w:tcBorders>
            <w:shd w:val="clear" w:color="000000" w:fill="auto"/>
            <w:noWrap/>
            <w:hideMark/>
          </w:tcPr>
          <w:p w14:paraId="5A540BE9" w14:textId="77777777" w:rsidR="00B268F8" w:rsidRPr="007C24FD" w:rsidRDefault="00B268F8" w:rsidP="00374278">
            <w:pPr>
              <w:spacing w:before="45" w:after="45" w:line="240" w:lineRule="auto"/>
              <w:ind w:left="57" w:right="108"/>
              <w:jc w:val="right"/>
              <w:rPr>
                <w:rFonts w:eastAsia="Times New Roman" w:cs="Open Sans"/>
                <w:color w:val="000000"/>
                <w:sz w:val="18"/>
                <w:szCs w:val="18"/>
                <w:lang w:eastAsia="en-AU"/>
              </w:rPr>
            </w:pPr>
            <w:r w:rsidRPr="007C24FD">
              <w:rPr>
                <w:rFonts w:eastAsia="Times New Roman" w:cs="Open Sans"/>
                <w:color w:val="000000"/>
                <w:sz w:val="18"/>
                <w:szCs w:val="18"/>
                <w:lang w:eastAsia="en-AU"/>
              </w:rPr>
              <w:t>2.5%</w:t>
            </w:r>
          </w:p>
        </w:tc>
        <w:tc>
          <w:tcPr>
            <w:tcW w:w="964" w:type="dxa"/>
            <w:tcBorders>
              <w:top w:val="nil"/>
              <w:bottom w:val="nil"/>
            </w:tcBorders>
            <w:shd w:val="clear" w:color="000000" w:fill="auto"/>
            <w:noWrap/>
            <w:hideMark/>
          </w:tcPr>
          <w:p w14:paraId="6559CDF9" w14:textId="77777777" w:rsidR="00B268F8" w:rsidRPr="007C24FD" w:rsidRDefault="00B268F8" w:rsidP="00374278">
            <w:pPr>
              <w:spacing w:before="45" w:after="45" w:line="240" w:lineRule="auto"/>
              <w:ind w:left="57" w:right="108"/>
              <w:jc w:val="right"/>
              <w:rPr>
                <w:rFonts w:eastAsia="Times New Roman" w:cs="Open Sans"/>
                <w:color w:val="000000"/>
                <w:sz w:val="18"/>
                <w:szCs w:val="18"/>
                <w:lang w:eastAsia="en-AU"/>
              </w:rPr>
            </w:pPr>
            <w:r w:rsidRPr="007C24FD">
              <w:rPr>
                <w:rFonts w:eastAsia="Times New Roman" w:cs="Open Sans"/>
                <w:color w:val="000000"/>
                <w:sz w:val="18"/>
                <w:szCs w:val="18"/>
                <w:lang w:eastAsia="en-AU"/>
              </w:rPr>
              <w:t>3.0%</w:t>
            </w:r>
          </w:p>
        </w:tc>
        <w:tc>
          <w:tcPr>
            <w:tcW w:w="964" w:type="dxa"/>
            <w:tcBorders>
              <w:top w:val="nil"/>
              <w:bottom w:val="nil"/>
            </w:tcBorders>
            <w:shd w:val="clear" w:color="000000" w:fill="auto"/>
            <w:noWrap/>
            <w:hideMark/>
          </w:tcPr>
          <w:p w14:paraId="413FAB9D" w14:textId="77777777" w:rsidR="00B268F8" w:rsidRPr="007C24FD" w:rsidRDefault="00B268F8" w:rsidP="00374278">
            <w:pPr>
              <w:spacing w:before="45" w:after="45" w:line="240" w:lineRule="auto"/>
              <w:ind w:left="57" w:right="108"/>
              <w:jc w:val="right"/>
              <w:rPr>
                <w:rFonts w:eastAsia="Times New Roman" w:cs="Open Sans"/>
                <w:color w:val="000000"/>
                <w:sz w:val="18"/>
                <w:szCs w:val="18"/>
                <w:lang w:eastAsia="en-AU"/>
              </w:rPr>
            </w:pPr>
            <w:r w:rsidRPr="007C24FD">
              <w:rPr>
                <w:rFonts w:eastAsia="Times New Roman" w:cs="Open Sans"/>
                <w:color w:val="000000"/>
                <w:sz w:val="18"/>
                <w:szCs w:val="18"/>
                <w:lang w:eastAsia="en-AU"/>
              </w:rPr>
              <w:t>3.9%</w:t>
            </w:r>
          </w:p>
        </w:tc>
        <w:tc>
          <w:tcPr>
            <w:tcW w:w="964" w:type="dxa"/>
            <w:tcBorders>
              <w:top w:val="nil"/>
              <w:bottom w:val="nil"/>
            </w:tcBorders>
            <w:shd w:val="clear" w:color="000000" w:fill="auto"/>
            <w:noWrap/>
            <w:hideMark/>
          </w:tcPr>
          <w:p w14:paraId="42A77DED" w14:textId="77777777" w:rsidR="00B268F8" w:rsidRPr="007C24FD" w:rsidRDefault="00B268F8" w:rsidP="00374278">
            <w:pPr>
              <w:spacing w:before="45" w:after="45" w:line="240" w:lineRule="auto"/>
              <w:ind w:left="57" w:right="108"/>
              <w:jc w:val="right"/>
              <w:rPr>
                <w:rFonts w:eastAsia="Times New Roman" w:cs="Open Sans"/>
                <w:color w:val="000000"/>
                <w:sz w:val="18"/>
                <w:szCs w:val="18"/>
                <w:lang w:eastAsia="en-AU"/>
              </w:rPr>
            </w:pPr>
            <w:r w:rsidRPr="007C24FD">
              <w:rPr>
                <w:rFonts w:eastAsia="Times New Roman" w:cs="Open Sans"/>
                <w:color w:val="000000"/>
                <w:sz w:val="18"/>
                <w:szCs w:val="18"/>
                <w:lang w:eastAsia="en-AU"/>
              </w:rPr>
              <w:t>4.4%</w:t>
            </w:r>
          </w:p>
        </w:tc>
      </w:tr>
      <w:tr w:rsidR="00B268F8" w:rsidRPr="007C24FD" w14:paraId="536F2C7A" w14:textId="77777777" w:rsidTr="00374278">
        <w:trPr>
          <w:trHeight w:val="288"/>
        </w:trPr>
        <w:tc>
          <w:tcPr>
            <w:tcW w:w="2380" w:type="dxa"/>
            <w:tcBorders>
              <w:bottom w:val="single" w:sz="4" w:space="0" w:color="B3B3B3"/>
            </w:tcBorders>
            <w:shd w:val="clear" w:color="000000" w:fill="E6E6E6"/>
            <w:noWrap/>
            <w:hideMark/>
          </w:tcPr>
          <w:p w14:paraId="69B99297" w14:textId="77777777" w:rsidR="00B268F8" w:rsidRPr="007C24FD" w:rsidRDefault="00B268F8" w:rsidP="00374278">
            <w:pPr>
              <w:spacing w:before="45" w:after="45" w:line="240" w:lineRule="auto"/>
              <w:ind w:left="57" w:right="108"/>
              <w:rPr>
                <w:rFonts w:eastAsia="Times New Roman" w:cs="Open Sans"/>
                <w:b/>
                <w:bCs/>
                <w:color w:val="1D4374"/>
                <w:sz w:val="18"/>
                <w:szCs w:val="18"/>
                <w:lang w:eastAsia="en-AU"/>
              </w:rPr>
            </w:pPr>
            <w:r w:rsidRPr="007C24FD">
              <w:rPr>
                <w:rFonts w:eastAsia="Times New Roman" w:cs="Open Sans"/>
                <w:b/>
                <w:bCs/>
                <w:color w:val="1D4374"/>
                <w:sz w:val="18"/>
                <w:szCs w:val="18"/>
                <w:lang w:eastAsia="en-AU"/>
              </w:rPr>
              <w:t xml:space="preserve">Current system + </w:t>
            </w:r>
            <w:r>
              <w:rPr>
                <w:rFonts w:eastAsia="Times New Roman" w:cs="Open Sans"/>
                <w:b/>
                <w:bCs/>
                <w:color w:val="1D4374"/>
                <w:sz w:val="18"/>
                <w:szCs w:val="18"/>
                <w:lang w:eastAsia="en-AU"/>
              </w:rPr>
              <w:br/>
            </w:r>
            <w:r w:rsidRPr="007C24FD">
              <w:rPr>
                <w:rFonts w:eastAsia="Times New Roman" w:cs="Open Sans"/>
                <w:b/>
                <w:bCs/>
                <w:color w:val="1D4374"/>
                <w:sz w:val="18"/>
                <w:szCs w:val="18"/>
                <w:lang w:eastAsia="en-AU"/>
              </w:rPr>
              <w:t>N</w:t>
            </w:r>
            <w:r>
              <w:rPr>
                <w:rFonts w:eastAsia="Times New Roman" w:cs="Open Sans"/>
                <w:b/>
                <w:bCs/>
                <w:color w:val="1D4374"/>
                <w:sz w:val="18"/>
                <w:szCs w:val="18"/>
                <w:lang w:eastAsia="en-AU"/>
              </w:rPr>
              <w:t>o</w:t>
            </w:r>
            <w:r w:rsidRPr="007C24FD">
              <w:rPr>
                <w:rFonts w:eastAsia="Times New Roman" w:cs="Open Sans"/>
                <w:b/>
                <w:bCs/>
                <w:color w:val="1D4374"/>
                <w:sz w:val="18"/>
                <w:szCs w:val="18"/>
                <w:lang w:eastAsia="en-AU"/>
              </w:rPr>
              <w:t>WO</w:t>
            </w:r>
            <w:r>
              <w:rPr>
                <w:rFonts w:eastAsia="Times New Roman" w:cs="Open Sans"/>
                <w:b/>
                <w:bCs/>
                <w:color w:val="1D4374"/>
                <w:sz w:val="18"/>
                <w:szCs w:val="18"/>
                <w:lang w:eastAsia="en-AU"/>
              </w:rPr>
              <w:t xml:space="preserve"> payments</w:t>
            </w:r>
          </w:p>
        </w:tc>
        <w:tc>
          <w:tcPr>
            <w:tcW w:w="964" w:type="dxa"/>
            <w:tcBorders>
              <w:bottom w:val="single" w:sz="4" w:space="0" w:color="B3B3B3"/>
            </w:tcBorders>
            <w:shd w:val="clear" w:color="000000" w:fill="E6E6E6"/>
            <w:noWrap/>
            <w:hideMark/>
          </w:tcPr>
          <w:p w14:paraId="0F3995B5" w14:textId="77777777" w:rsidR="00B268F8" w:rsidRPr="007C24FD" w:rsidRDefault="00B268F8" w:rsidP="00374278">
            <w:pPr>
              <w:spacing w:before="45" w:after="45" w:line="240" w:lineRule="auto"/>
              <w:ind w:left="57" w:right="108"/>
              <w:jc w:val="right"/>
              <w:rPr>
                <w:rFonts w:eastAsia="Times New Roman" w:cs="Open Sans"/>
                <w:color w:val="000000"/>
                <w:sz w:val="18"/>
                <w:szCs w:val="18"/>
                <w:lang w:eastAsia="en-AU"/>
              </w:rPr>
            </w:pPr>
            <w:r w:rsidRPr="007C24FD">
              <w:rPr>
                <w:rFonts w:eastAsia="Times New Roman" w:cs="Open Sans"/>
                <w:color w:val="000000"/>
                <w:sz w:val="18"/>
                <w:szCs w:val="18"/>
                <w:lang w:eastAsia="en-AU"/>
              </w:rPr>
              <w:t>2.5%</w:t>
            </w:r>
          </w:p>
        </w:tc>
        <w:tc>
          <w:tcPr>
            <w:tcW w:w="964" w:type="dxa"/>
            <w:tcBorders>
              <w:bottom w:val="single" w:sz="4" w:space="0" w:color="B3B3B3"/>
            </w:tcBorders>
            <w:shd w:val="clear" w:color="000000" w:fill="E6E6E6"/>
            <w:noWrap/>
            <w:hideMark/>
          </w:tcPr>
          <w:p w14:paraId="2F30F4FB" w14:textId="77777777" w:rsidR="00B268F8" w:rsidRPr="007C24FD" w:rsidRDefault="00B268F8" w:rsidP="00374278">
            <w:pPr>
              <w:spacing w:before="45" w:after="45" w:line="240" w:lineRule="auto"/>
              <w:ind w:left="57" w:right="108"/>
              <w:jc w:val="right"/>
              <w:rPr>
                <w:rFonts w:eastAsia="Times New Roman" w:cs="Open Sans"/>
                <w:color w:val="000000"/>
                <w:sz w:val="18"/>
                <w:szCs w:val="18"/>
                <w:lang w:eastAsia="en-AU"/>
              </w:rPr>
            </w:pPr>
            <w:r w:rsidRPr="007C24FD">
              <w:rPr>
                <w:rFonts w:eastAsia="Times New Roman" w:cs="Open Sans"/>
                <w:color w:val="000000"/>
                <w:sz w:val="18"/>
                <w:szCs w:val="18"/>
                <w:lang w:eastAsia="en-AU"/>
              </w:rPr>
              <w:t>2.3%</w:t>
            </w:r>
          </w:p>
        </w:tc>
        <w:tc>
          <w:tcPr>
            <w:tcW w:w="964" w:type="dxa"/>
            <w:tcBorders>
              <w:bottom w:val="single" w:sz="4" w:space="0" w:color="B3B3B3"/>
            </w:tcBorders>
            <w:shd w:val="clear" w:color="000000" w:fill="E6E6E6"/>
            <w:noWrap/>
            <w:hideMark/>
          </w:tcPr>
          <w:p w14:paraId="04330BD1" w14:textId="77777777" w:rsidR="00B268F8" w:rsidRPr="007C24FD" w:rsidRDefault="00B268F8" w:rsidP="00374278">
            <w:pPr>
              <w:spacing w:before="45" w:after="45" w:line="240" w:lineRule="auto"/>
              <w:ind w:left="57" w:right="108"/>
              <w:jc w:val="right"/>
              <w:rPr>
                <w:rFonts w:eastAsia="Times New Roman" w:cs="Open Sans"/>
                <w:color w:val="000000"/>
                <w:sz w:val="18"/>
                <w:szCs w:val="18"/>
                <w:lang w:eastAsia="en-AU"/>
              </w:rPr>
            </w:pPr>
            <w:r w:rsidRPr="007C24FD">
              <w:rPr>
                <w:rFonts w:eastAsia="Times New Roman" w:cs="Open Sans"/>
                <w:color w:val="000000"/>
                <w:sz w:val="18"/>
                <w:szCs w:val="18"/>
                <w:lang w:eastAsia="en-AU"/>
              </w:rPr>
              <w:t>3.1%</w:t>
            </w:r>
          </w:p>
        </w:tc>
        <w:tc>
          <w:tcPr>
            <w:tcW w:w="964" w:type="dxa"/>
            <w:tcBorders>
              <w:bottom w:val="single" w:sz="4" w:space="0" w:color="B3B3B3"/>
            </w:tcBorders>
            <w:shd w:val="clear" w:color="000000" w:fill="E6E6E6"/>
            <w:noWrap/>
            <w:hideMark/>
          </w:tcPr>
          <w:p w14:paraId="3559011B" w14:textId="77777777" w:rsidR="00B268F8" w:rsidRPr="007C24FD" w:rsidRDefault="00B268F8" w:rsidP="00374278">
            <w:pPr>
              <w:spacing w:before="45" w:after="45" w:line="240" w:lineRule="auto"/>
              <w:ind w:left="57" w:right="108"/>
              <w:jc w:val="right"/>
              <w:rPr>
                <w:rFonts w:eastAsia="Times New Roman" w:cs="Open Sans"/>
                <w:color w:val="000000"/>
                <w:sz w:val="18"/>
                <w:szCs w:val="18"/>
                <w:lang w:eastAsia="en-AU"/>
              </w:rPr>
            </w:pPr>
            <w:r w:rsidRPr="007C24FD">
              <w:rPr>
                <w:rFonts w:eastAsia="Times New Roman" w:cs="Open Sans"/>
                <w:color w:val="000000"/>
                <w:sz w:val="18"/>
                <w:szCs w:val="18"/>
                <w:lang w:eastAsia="en-AU"/>
              </w:rPr>
              <w:t>1.8%</w:t>
            </w:r>
          </w:p>
        </w:tc>
        <w:tc>
          <w:tcPr>
            <w:tcW w:w="964" w:type="dxa"/>
            <w:tcBorders>
              <w:bottom w:val="single" w:sz="4" w:space="0" w:color="B3B3B3"/>
            </w:tcBorders>
            <w:shd w:val="clear" w:color="000000" w:fill="E6E6E6"/>
            <w:noWrap/>
            <w:hideMark/>
          </w:tcPr>
          <w:p w14:paraId="328C3AC8" w14:textId="77777777" w:rsidR="00B268F8" w:rsidRPr="007C24FD" w:rsidRDefault="00B268F8" w:rsidP="00374278">
            <w:pPr>
              <w:spacing w:before="45" w:after="45" w:line="240" w:lineRule="auto"/>
              <w:ind w:left="57" w:right="108"/>
              <w:jc w:val="right"/>
              <w:rPr>
                <w:rFonts w:eastAsia="Times New Roman" w:cs="Open Sans"/>
                <w:color w:val="000000"/>
                <w:sz w:val="18"/>
                <w:szCs w:val="18"/>
                <w:lang w:eastAsia="en-AU"/>
              </w:rPr>
            </w:pPr>
            <w:r w:rsidRPr="007C24FD">
              <w:rPr>
                <w:rFonts w:eastAsia="Times New Roman" w:cs="Open Sans"/>
                <w:color w:val="000000"/>
                <w:sz w:val="18"/>
                <w:szCs w:val="18"/>
                <w:lang w:eastAsia="en-AU"/>
              </w:rPr>
              <w:t>2.4%</w:t>
            </w:r>
          </w:p>
        </w:tc>
        <w:tc>
          <w:tcPr>
            <w:tcW w:w="964" w:type="dxa"/>
            <w:tcBorders>
              <w:bottom w:val="single" w:sz="4" w:space="0" w:color="B3B3B3"/>
            </w:tcBorders>
            <w:shd w:val="clear" w:color="000000" w:fill="E6E6E6"/>
            <w:noWrap/>
            <w:hideMark/>
          </w:tcPr>
          <w:p w14:paraId="48B7D98E" w14:textId="77777777" w:rsidR="00B268F8" w:rsidRPr="007C24FD" w:rsidRDefault="00B268F8" w:rsidP="00374278">
            <w:pPr>
              <w:spacing w:before="45" w:after="45" w:line="240" w:lineRule="auto"/>
              <w:ind w:left="57" w:right="108"/>
              <w:jc w:val="right"/>
              <w:rPr>
                <w:rFonts w:eastAsia="Times New Roman" w:cs="Open Sans"/>
                <w:color w:val="000000"/>
                <w:sz w:val="18"/>
                <w:szCs w:val="18"/>
                <w:lang w:eastAsia="en-AU"/>
              </w:rPr>
            </w:pPr>
            <w:r w:rsidRPr="007C24FD">
              <w:rPr>
                <w:rFonts w:eastAsia="Times New Roman" w:cs="Open Sans"/>
                <w:color w:val="000000"/>
                <w:sz w:val="18"/>
                <w:szCs w:val="18"/>
                <w:lang w:eastAsia="en-AU"/>
              </w:rPr>
              <w:t>3.0%</w:t>
            </w:r>
          </w:p>
        </w:tc>
        <w:tc>
          <w:tcPr>
            <w:tcW w:w="964" w:type="dxa"/>
            <w:tcBorders>
              <w:bottom w:val="single" w:sz="4" w:space="0" w:color="B3B3B3"/>
            </w:tcBorders>
            <w:shd w:val="clear" w:color="000000" w:fill="E6E6E6"/>
            <w:noWrap/>
            <w:hideMark/>
          </w:tcPr>
          <w:p w14:paraId="502200B1" w14:textId="77777777" w:rsidR="00B268F8" w:rsidRPr="007C24FD" w:rsidRDefault="00B268F8" w:rsidP="00374278">
            <w:pPr>
              <w:spacing w:before="45" w:after="45" w:line="240" w:lineRule="auto"/>
              <w:ind w:left="57" w:right="108"/>
              <w:jc w:val="right"/>
              <w:rPr>
                <w:rFonts w:eastAsia="Times New Roman" w:cs="Open Sans"/>
                <w:color w:val="000000"/>
                <w:sz w:val="18"/>
                <w:szCs w:val="18"/>
                <w:lang w:eastAsia="en-AU"/>
              </w:rPr>
            </w:pPr>
            <w:r w:rsidRPr="007C24FD">
              <w:rPr>
                <w:rFonts w:eastAsia="Times New Roman" w:cs="Open Sans"/>
                <w:color w:val="000000"/>
                <w:sz w:val="18"/>
                <w:szCs w:val="18"/>
                <w:lang w:eastAsia="en-AU"/>
              </w:rPr>
              <w:t>3.9%</w:t>
            </w:r>
          </w:p>
        </w:tc>
        <w:tc>
          <w:tcPr>
            <w:tcW w:w="964" w:type="dxa"/>
            <w:tcBorders>
              <w:bottom w:val="single" w:sz="4" w:space="0" w:color="B3B3B3"/>
            </w:tcBorders>
            <w:shd w:val="clear" w:color="000000" w:fill="E6E6E6"/>
            <w:noWrap/>
            <w:hideMark/>
          </w:tcPr>
          <w:p w14:paraId="4381538D" w14:textId="77777777" w:rsidR="00B268F8" w:rsidRPr="007C24FD" w:rsidRDefault="00B268F8" w:rsidP="00374278">
            <w:pPr>
              <w:spacing w:before="45" w:after="45" w:line="240" w:lineRule="auto"/>
              <w:ind w:left="57" w:right="108"/>
              <w:jc w:val="right"/>
              <w:rPr>
                <w:rFonts w:eastAsia="Times New Roman" w:cs="Open Sans"/>
                <w:color w:val="000000"/>
                <w:sz w:val="18"/>
                <w:szCs w:val="18"/>
                <w:lang w:eastAsia="en-AU"/>
              </w:rPr>
            </w:pPr>
            <w:r w:rsidRPr="007C24FD">
              <w:rPr>
                <w:rFonts w:eastAsia="Times New Roman" w:cs="Open Sans"/>
                <w:color w:val="000000"/>
                <w:sz w:val="18"/>
                <w:szCs w:val="18"/>
                <w:lang w:eastAsia="en-AU"/>
              </w:rPr>
              <w:t>4.5%</w:t>
            </w:r>
          </w:p>
        </w:tc>
      </w:tr>
    </w:tbl>
    <w:p w14:paraId="6B0A1F81" w14:textId="77777777" w:rsidR="00B268F8" w:rsidRPr="00E81FBC" w:rsidRDefault="00B268F8" w:rsidP="00B268F8">
      <w:pPr>
        <w:pStyle w:val="Note"/>
      </w:pPr>
      <w:r w:rsidRPr="00E63FDE" w:rsidDel="00D73AE2">
        <w:t>These values do not represent actual expected volatilities in GST revenues under different distribution systems: they are only an indicator of the level of volatility induced by the particular GST distribution system. Other factors not captured in this indicator, including growth in the size of the GST pool and population changes, would also contribute to GST revenue volatility.</w:t>
      </w:r>
      <w:r w:rsidRPr="00E81FBC">
        <w:t xml:space="preserve"> Full details can be found in appendix B.</w:t>
      </w:r>
    </w:p>
    <w:p w14:paraId="7E679A3C" w14:textId="77777777" w:rsidR="00B268F8" w:rsidRPr="00F44575" w:rsidRDefault="00B268F8" w:rsidP="00B268F8">
      <w:pPr>
        <w:pStyle w:val="Source"/>
        <w:spacing w:after="360"/>
        <w:rPr>
          <w:szCs w:val="18"/>
        </w:rPr>
      </w:pPr>
      <w:r w:rsidRPr="00F44575">
        <w:rPr>
          <w:szCs w:val="18"/>
        </w:rPr>
        <w:t xml:space="preserve">Source: </w:t>
      </w:r>
      <w:r>
        <w:t xml:space="preserve">PC </w:t>
      </w:r>
      <w:r w:rsidRPr="008E157A">
        <w:t>analysis</w:t>
      </w:r>
      <w:r>
        <w:t xml:space="preserve"> based on CGC (unpublished data).</w:t>
      </w:r>
      <w:r>
        <w:rPr>
          <w:szCs w:val="18"/>
        </w:rPr>
        <w:t xml:space="preserve"> </w:t>
      </w:r>
    </w:p>
    <w:p w14:paraId="6794F218" w14:textId="77777777" w:rsidR="00B268F8" w:rsidRDefault="00B268F8" w:rsidP="00B268F8">
      <w:pPr>
        <w:pStyle w:val="BodyText"/>
      </w:pPr>
      <w:r>
        <w:t xml:space="preserve">The broad lesson from these alternatives is that while there is considerable theoretical appeal to the idea that HFE creates reform disincentives, distortions and efficiency costs, there is little evidence that significant departures from HFE result in notable efficiency gains. By contrast, targeted changes </w:t>
      </w:r>
      <w:r w:rsidRPr="00622481">
        <w:t>can improve</w:t>
      </w:r>
      <w:r>
        <w:t xml:space="preserve"> some of the current system’s weaknesses without abandoning the </w:t>
      </w:r>
      <w:r w:rsidRPr="00A6773E">
        <w:t>logic of HFE.</w:t>
      </w:r>
      <w:r>
        <w:t xml:space="preserve"> This points to a reform approach that starts from the </w:t>
      </w:r>
      <w:r w:rsidRPr="00D80121">
        <w:t>logic</w:t>
      </w:r>
      <w:r>
        <w:t xml:space="preserve"> of HFE and focuses on the specific assessment features that create the strongest distortions, rather than bluntly reducing equalisation across the board. </w:t>
      </w:r>
    </w:p>
    <w:p w14:paraId="1BE9E62E" w14:textId="77777777" w:rsidR="00690397" w:rsidRDefault="00690397" w:rsidP="00690397">
      <w:pPr>
        <w:pStyle w:val="Heading3"/>
        <w:rPr>
          <w:lang w:eastAsia="en-AU"/>
        </w:rPr>
      </w:pPr>
      <w:r>
        <w:t>Assessing the pre-2018 GST distribution system with an adjustment to the mining assessment</w:t>
      </w:r>
    </w:p>
    <w:p w14:paraId="77302655" w14:textId="77777777" w:rsidR="00690397" w:rsidRDefault="00690397" w:rsidP="00690397">
      <w:pPr>
        <w:pStyle w:val="BodyText"/>
      </w:pPr>
      <w:r w:rsidRPr="0035635B">
        <w:t>The inquiry has found that the main efficiency question for the pre-2018 system lay in the treatment of mining royalties, where dominant-state effects are particularly pronounced. The inquiry has considered several possible targeted adjustments to the mining assessment that could address the issue. These include applying a discount to the mining assessment, bundling commodities together rather than assessing them separately, or changing the base used to assess mining revenue capacity (box 4.1). Each of these options seeks, in different ways, to reduce the extent to which dominant-state effects distort policy incentives while continuing to support fiscal equalisation between the states.</w:t>
      </w:r>
      <w:r>
        <w:t xml:space="preserve"> </w:t>
      </w:r>
    </w:p>
    <w:p w14:paraId="715CF787" w14:textId="77777777" w:rsidR="005D5D6F" w:rsidRPr="008D65E3" w:rsidRDefault="005D5D6F" w:rsidP="005D5D6F">
      <w:pPr>
        <w:pStyle w:val="BodyText"/>
        <w:spacing w:before="240"/>
        <w:rPr>
          <w:spacing w:val="-4"/>
        </w:rPr>
      </w:pPr>
      <w:r w:rsidRPr="008D65E3">
        <w:rPr>
          <w:spacing w:val="-4"/>
        </w:rPr>
        <w:t>Mining discounts would retain the pre-2018 HFE structure but count only part of each state’s mining royalty revenue when calculating GST shares (figure 4.4). For example, a 25% mining discount would count only 75% of a state’s mining revenues when assessing a state’s fiscal capacity. This directly targets dominant-state effects in mining, especially where Western Australia and Queensland account for a large share of the assessed revenue base. Compared to the current system, it has the benefit of addressing these concerns for all states affected, not just states below the standard state benchmark or floor.</w:t>
      </w:r>
    </w:p>
    <w:p w14:paraId="1690EB02" w14:textId="77777777" w:rsidR="005D5D6F" w:rsidRPr="008D65E3" w:rsidRDefault="005D5D6F" w:rsidP="005D5D6F">
      <w:pPr>
        <w:pStyle w:val="BodyText"/>
      </w:pPr>
      <w:r w:rsidRPr="008D65E3">
        <w:t>Relative to the current system (without NoWO payments) mining discounts generally improve equity (figure 4.4). All</w:t>
      </w:r>
      <w:r w:rsidRPr="008D65E3" w:rsidDel="007B74C3">
        <w:t xml:space="preserve"> </w:t>
      </w:r>
      <w:r w:rsidRPr="008D65E3">
        <w:t>3 mining discount alternatives modelled produce a higher equalisation rate, but the equity gains fall as the discount rises. A 10% discount delivers the largest equity improvement, while a 50% discount is only slightly more equalising than the current system (without NoWO payments).</w:t>
      </w:r>
    </w:p>
    <w:p w14:paraId="4130CC58" w14:textId="7FDCE86D" w:rsidR="00690397" w:rsidRDefault="00690397" w:rsidP="008D65E3">
      <w:pPr>
        <w:pStyle w:val="NoSpacing"/>
        <w:rPr>
          <w:lang w:eastAsia="en-AU"/>
        </w:rPr>
      </w:pPr>
    </w:p>
    <w:tbl>
      <w:tblPr>
        <w:tblStyle w:val="Boxtable"/>
        <w:tblW w:w="5000" w:type="pct"/>
        <w:tblLook w:val="04A0" w:firstRow="1" w:lastRow="0" w:firstColumn="1" w:lastColumn="0" w:noHBand="0" w:noVBand="1"/>
      </w:tblPr>
      <w:tblGrid>
        <w:gridCol w:w="9638"/>
      </w:tblGrid>
      <w:tr w:rsidR="00690397" w14:paraId="39427AA0" w14:textId="77777777" w:rsidTr="00CD4460">
        <w:trPr>
          <w:tblHeader/>
        </w:trPr>
        <w:tc>
          <w:tcPr>
            <w:tcW w:w="9638" w:type="dxa"/>
            <w:shd w:val="clear" w:color="auto" w:fill="EBEBEB"/>
            <w:tcMar>
              <w:top w:w="170" w:type="dxa"/>
              <w:left w:w="170" w:type="dxa"/>
              <w:bottom w:w="113" w:type="dxa"/>
              <w:right w:w="170" w:type="dxa"/>
            </w:tcMar>
            <w:hideMark/>
          </w:tcPr>
          <w:p w14:paraId="081C1AF2" w14:textId="77777777" w:rsidR="00690397" w:rsidRPr="009C7CC0" w:rsidRDefault="00690397" w:rsidP="008E157A">
            <w:pPr>
              <w:pStyle w:val="BoxHeading1"/>
              <w:rPr>
                <w:kern w:val="2"/>
                <w:lang w:eastAsia="en-AU"/>
                <w14:ligatures w14:val="standardContextual"/>
              </w:rPr>
            </w:pPr>
            <w:r w:rsidRPr="008E157A">
              <w:lastRenderedPageBreak/>
              <w:t>Box</w:t>
            </w:r>
            <w:r>
              <w:t xml:space="preserve"> 4.1 – Alternative approaches to the mining assessment</w:t>
            </w:r>
          </w:p>
        </w:tc>
      </w:tr>
      <w:tr w:rsidR="00690397" w14:paraId="3208239F" w14:textId="77777777" w:rsidTr="008D65E3">
        <w:trPr>
          <w:trHeight w:val="1531"/>
        </w:trPr>
        <w:tc>
          <w:tcPr>
            <w:tcW w:w="9638" w:type="dxa"/>
            <w:shd w:val="clear" w:color="auto" w:fill="EBEBEB"/>
            <w:tcMar>
              <w:top w:w="28" w:type="dxa"/>
              <w:left w:w="170" w:type="dxa"/>
              <w:bottom w:w="170" w:type="dxa"/>
              <w:right w:w="170" w:type="dxa"/>
            </w:tcMar>
            <w:hideMark/>
          </w:tcPr>
          <w:p w14:paraId="46671541" w14:textId="77777777" w:rsidR="00690397" w:rsidRPr="008E157A" w:rsidRDefault="00690397" w:rsidP="008E157A">
            <w:pPr>
              <w:pStyle w:val="BodyText"/>
            </w:pPr>
            <w:r>
              <w:t xml:space="preserve">The Commonwealth Grants Commission (CGC) uses the mining assessment to compare states’ mining revenue-raising capacity, so that large differences in mining income can be considered when the </w:t>
            </w:r>
            <w:r w:rsidRPr="008E157A">
              <w:t xml:space="preserve">GST pool is divided. It is part of the process that the CGC uses to assess the fiscal capacity of states, and thereby the GST relativity of each state. </w:t>
            </w:r>
          </w:p>
          <w:p w14:paraId="7BA7433D" w14:textId="77777777" w:rsidR="00690397" w:rsidRPr="008E157A" w:rsidRDefault="00690397" w:rsidP="008E157A">
            <w:pPr>
              <w:pStyle w:val="BodyText"/>
            </w:pPr>
            <w:r w:rsidRPr="008E157A">
              <w:t>Mining royalties are payments made to state governments when minerals such as iron ore, coal and gold are extracted from their state. The current approach considers how much of each mineral is being produced, and the mineral royalties collected on that production. Different minerals are assessed separately because they are produced, priced and taxed in different ways. In practice, however, the current system does not fully equalise mining revenues, due to the application of the new fiscal equalisation standard in determining GST relativities.</w:t>
            </w:r>
          </w:p>
          <w:p w14:paraId="5ACB7930" w14:textId="77777777" w:rsidR="00690397" w:rsidRDefault="00690397" w:rsidP="008E157A">
            <w:pPr>
              <w:pStyle w:val="BodyText"/>
              <w:rPr>
                <w:kern w:val="2"/>
                <w:lang w:eastAsia="en-AU"/>
                <w14:ligatures w14:val="standardContextual"/>
              </w:rPr>
            </w:pPr>
            <w:r w:rsidRPr="008E157A">
              <w:t>Some ways the</w:t>
            </w:r>
            <w:r>
              <w:t xml:space="preserve"> mining assessment could be adjusted to reduce dominant-state effects are:</w:t>
            </w:r>
          </w:p>
          <w:p w14:paraId="4AF5145B" w14:textId="77777777" w:rsidR="00690397" w:rsidRPr="008D65E3" w:rsidRDefault="00690397" w:rsidP="008E157A">
            <w:pPr>
              <w:pStyle w:val="ListBullet"/>
              <w:rPr>
                <w:spacing w:val="2"/>
              </w:rPr>
            </w:pPr>
            <w:r w:rsidRPr="008D65E3">
              <w:rPr>
                <w:b/>
                <w:bCs/>
                <w:spacing w:val="2"/>
              </w:rPr>
              <w:t>Across-the-board mining discount</w:t>
            </w:r>
            <w:r w:rsidRPr="008D65E3">
              <w:rPr>
                <w:bCs/>
                <w:spacing w:val="2"/>
              </w:rPr>
              <w:t xml:space="preserve"> –</w:t>
            </w:r>
            <w:r w:rsidRPr="008D65E3">
              <w:rPr>
                <w:spacing w:val="2"/>
              </w:rPr>
              <w:t xml:space="preserve"> A mining discount reduces the proportion of state mining revenue that is used to assess a state’s fiscal capacity. For example, a 25% mining discount would mean that only 75% of a state’s mining revenue is counted in the CGC assessment of its fiscal capacity.</w:t>
            </w:r>
          </w:p>
          <w:p w14:paraId="371AD2CE" w14:textId="77777777" w:rsidR="00690397" w:rsidRPr="008E157A" w:rsidRDefault="00690397" w:rsidP="008E157A">
            <w:pPr>
              <w:pStyle w:val="ListBullet"/>
            </w:pPr>
            <w:r w:rsidRPr="008E157A">
              <w:rPr>
                <w:b/>
                <w:bCs/>
              </w:rPr>
              <w:t xml:space="preserve">Dominant-state mining discount </w:t>
            </w:r>
            <w:r w:rsidRPr="008E157A">
              <w:t>– A mining discount but only for commodities in which a state has a dominant-state effect in. That is, a commodity that the state has a disproportionately high share of.</w:t>
            </w:r>
          </w:p>
          <w:p w14:paraId="1B160A52" w14:textId="77777777" w:rsidR="00690397" w:rsidRPr="008E157A" w:rsidRDefault="00690397" w:rsidP="008E157A">
            <w:pPr>
              <w:pStyle w:val="ListBullet"/>
            </w:pPr>
            <w:r w:rsidRPr="008E157A">
              <w:rPr>
                <w:b/>
                <w:bCs/>
              </w:rPr>
              <w:t>Hotelling Rule-based discount</w:t>
            </w:r>
            <w:r w:rsidRPr="008E157A">
              <w:t xml:space="preserve"> – a mining discount that recognises that mining income is generated from the run-down of a non-renewable resource. That is, mining revenue would be assessed as net revenue, net of the rundown in the state’s natural capital stock (El Serafy 1997).</w:t>
            </w:r>
          </w:p>
          <w:p w14:paraId="3796AB54" w14:textId="77777777" w:rsidR="00690397" w:rsidRPr="008E157A" w:rsidRDefault="00690397" w:rsidP="008E157A">
            <w:pPr>
              <w:pStyle w:val="ListBullet"/>
            </w:pPr>
            <w:r w:rsidRPr="008E157A">
              <w:rPr>
                <w:b/>
                <w:bCs/>
              </w:rPr>
              <w:t>Sustainable income approaches</w:t>
            </w:r>
            <w:r w:rsidRPr="008E157A">
              <w:t xml:space="preserve"> – Similar to the rationale for the Hotelling Rule-based discount, this approach would assume that a state’s mining royalties were paid into a notional sovereign wealth fund, and only the ‘sustainable income’ (the income that allows the fund to maintain its value) would contribute to the state’s fiscal capacity assessment (Pincus 2011, pp. 5–6).</w:t>
            </w:r>
          </w:p>
          <w:p w14:paraId="2A37908E" w14:textId="77777777" w:rsidR="00690397" w:rsidRPr="008E157A" w:rsidRDefault="00690397" w:rsidP="008E157A">
            <w:pPr>
              <w:pStyle w:val="ListBullet"/>
            </w:pPr>
            <w:r w:rsidRPr="008E157A">
              <w:rPr>
                <w:b/>
                <w:bCs/>
              </w:rPr>
              <w:t>Bundle of commodities approach</w:t>
            </w:r>
            <w:r w:rsidRPr="008E157A">
              <w:t xml:space="preserve"> – Instead of separately assessing revenue from iron ore, coal, gold and other minerals separately, commodities would be assessed as a group. This could reduce the weight of any one mineral that a state is otherwise dominant in.</w:t>
            </w:r>
          </w:p>
          <w:p w14:paraId="30B165AA" w14:textId="77777777" w:rsidR="00690397" w:rsidRPr="008E157A" w:rsidRDefault="00690397" w:rsidP="008E157A">
            <w:pPr>
              <w:pStyle w:val="ListBullet"/>
            </w:pPr>
            <w:r w:rsidRPr="008E157A">
              <w:rPr>
                <w:b/>
                <w:bCs/>
              </w:rPr>
              <w:t>Endowment-based approach</w:t>
            </w:r>
            <w:r w:rsidRPr="008E157A">
              <w:t xml:space="preserve"> – This would assess fiscal capacity based on states mineral endowments rather than production. Because resource endowments can be less concentrated than actual production, this may reduce dominant-state effects.</w:t>
            </w:r>
          </w:p>
          <w:p w14:paraId="2095E893" w14:textId="77777777" w:rsidR="00690397" w:rsidRPr="008E157A" w:rsidRDefault="00690397" w:rsidP="008E157A">
            <w:pPr>
              <w:pStyle w:val="ListBullet"/>
              <w:rPr>
                <w:spacing w:val="-4"/>
              </w:rPr>
            </w:pPr>
            <w:r w:rsidRPr="008E157A">
              <w:rPr>
                <w:b/>
                <w:bCs/>
                <w:spacing w:val="-4"/>
              </w:rPr>
              <w:t>Profitability-based approach</w:t>
            </w:r>
            <w:r w:rsidRPr="008E157A">
              <w:rPr>
                <w:spacing w:val="-4"/>
              </w:rPr>
              <w:t xml:space="preserve"> – This would assess fiscal capacity not from the royalties paid on mining activity, but on mining profits or economic rents. In some cases, this could reduce extreme outcomes where very high production does not translate into equally high underlying returns.</w:t>
            </w:r>
          </w:p>
        </w:tc>
      </w:tr>
      <w:tr w:rsidR="00690397" w14:paraId="5150AEC1" w14:textId="77777777" w:rsidTr="00CD4460">
        <w:tc>
          <w:tcPr>
            <w:tcW w:w="9638" w:type="dxa"/>
            <w:shd w:val="clear" w:color="auto" w:fill="auto"/>
            <w:tcMar>
              <w:top w:w="0" w:type="dxa"/>
              <w:left w:w="170" w:type="dxa"/>
              <w:bottom w:w="0" w:type="dxa"/>
              <w:right w:w="170" w:type="dxa"/>
            </w:tcMar>
          </w:tcPr>
          <w:p w14:paraId="7D4B6AE4" w14:textId="77777777" w:rsidR="00690397" w:rsidRPr="00465191" w:rsidRDefault="00690397" w:rsidP="008E157A">
            <w:pPr>
              <w:pStyle w:val="NoSpacing"/>
            </w:pPr>
          </w:p>
        </w:tc>
      </w:tr>
    </w:tbl>
    <w:p w14:paraId="1F4CFAC1" w14:textId="48F53D76" w:rsidR="00690397" w:rsidRPr="008E157A" w:rsidRDefault="00690397" w:rsidP="005D5D6F">
      <w:pPr>
        <w:pStyle w:val="BodyText"/>
        <w:spacing w:before="240"/>
        <w:rPr>
          <w:spacing w:val="-4"/>
          <w:kern w:val="2"/>
          <w:lang w:eastAsia="en-AU"/>
          <w14:ligatures w14:val="standardContextual"/>
        </w:rPr>
      </w:pPr>
      <w:r w:rsidRPr="008D65E3">
        <w:t>On certainty, small discounts perform slightly worse relative to the current system (without NoWO payments) (figure 4.4). On state fiscal sustainability, smaller discounts perform better than the current system (without NoWO payments)</w:t>
      </w:r>
      <w:r w:rsidRPr="008E157A">
        <w:rPr>
          <w:spacing w:val="-4"/>
        </w:rPr>
        <w:t xml:space="preserve"> while the largest discount (50%) performs similarly. While NoWO payments could partly address fiscal sustainability concerns for the states, this would come at a cost to the Australian Government. Larger discounts improve efficiency and certainty, at the cost of reduced equity.</w:t>
      </w:r>
    </w:p>
    <w:p w14:paraId="673C9361" w14:textId="77777777" w:rsidR="00690397" w:rsidRPr="00D74C68" w:rsidRDefault="00690397" w:rsidP="00690397">
      <w:pPr>
        <w:pStyle w:val="BodyText"/>
      </w:pPr>
      <w:r w:rsidRPr="00D020E7">
        <w:lastRenderedPageBreak/>
        <w:t>A key challenge for mining discounts (figure 4.</w:t>
      </w:r>
      <w:r>
        <w:t>4</w:t>
      </w:r>
      <w:r w:rsidRPr="00D020E7">
        <w:t>)</w:t>
      </w:r>
      <w:r>
        <w:t xml:space="preserve"> </w:t>
      </w:r>
      <w:r w:rsidRPr="00D020E7">
        <w:t xml:space="preserve">is their conceptual basis. While discounts are already used by the CGC where there is uncertainty about the data or methodology, they are not currently used as a response to policy neutrality concerns. One conceptual basis may be that the existing methodology does not fully account for differences in policy effort, which in principle could create efficiency costs. </w:t>
      </w:r>
      <w:r>
        <w:t>The PC has also heard</w:t>
      </w:r>
      <w:r w:rsidRPr="00D020E7">
        <w:t xml:space="preserve"> mining discounts could better account for the idea that royalty revenues from the exploitation of natural resources are unlike other forms of income for the purposes of fiscal equalisatio</w:t>
      </w:r>
      <w:r>
        <w:t xml:space="preserve">n </w:t>
      </w:r>
      <w:r w:rsidRPr="00FD6894">
        <w:rPr>
          <w:rFonts w:cs="Open Sans"/>
        </w:rPr>
        <w:t>(Pincus 2011)</w:t>
      </w:r>
      <w:r>
        <w:t>.</w:t>
      </w:r>
    </w:p>
    <w:p w14:paraId="19EEE534" w14:textId="77777777" w:rsidR="00690397" w:rsidRDefault="00690397" w:rsidP="00690397">
      <w:pPr>
        <w:pStyle w:val="BodyText"/>
      </w:pPr>
      <w:r>
        <w:t xml:space="preserve">Bundling mining commodities offers another possible path. Instead of assessing iron ore, gold and other commodities separately, a bundled approach would assess revenue-raising capacity across the mining sector more broadly. This could reduce the extent to which dominant-state effects in a particular commodity drive the outcome. However, the design details matter. A simple average-rate </w:t>
      </w:r>
      <w:r w:rsidRPr="00C35231">
        <w:t>approach may not be the best way to combine commodities, as market conditions for each resource differ substantially. More work</w:t>
      </w:r>
      <w:r w:rsidRPr="00601E2C">
        <w:t xml:space="preserve"> </w:t>
      </w:r>
      <w:r>
        <w:t xml:space="preserve">is </w:t>
      </w:r>
      <w:r w:rsidRPr="00601E2C">
        <w:t>needed to determine whether a bundled assessment could be made conceptually robust and practically stable.</w:t>
      </w:r>
    </w:p>
    <w:p w14:paraId="7428A9EA" w14:textId="77777777" w:rsidR="00A536D8" w:rsidRPr="00352AD8" w:rsidRDefault="00A536D8" w:rsidP="00A536D8">
      <w:pPr>
        <w:pStyle w:val="BodyText"/>
      </w:pPr>
      <w:r>
        <w:t xml:space="preserve">A further possibility is to retain the pre-2018 system and deal with specific adjustment pressures through direct Commonwealth payments rather than by redesigning the GST distribution system itself. This approach has the advantage of separating the equalisation task from compensation for concerns about outcomes. If the Australian Government considers that a state is unfairly affected by a feature of the assessment, it can address that </w:t>
      </w:r>
      <w:r w:rsidRPr="00830BEA">
        <w:t>concern directly and transparently. In this regard, it is important to note that the Treasurer already has a direct and transparent power to substitute the CGC’s recommended relativities with their own (although no Treasurer has done so). Direct</w:t>
      </w:r>
      <w:r>
        <w:t xml:space="preserve"> Commonwealth payments would be a simpler and more transparent approach than the changes introduced by the 2018 reforms. However, such an approach could reduce certainty for any state that receives these payments and reduce equity.</w:t>
      </w:r>
    </w:p>
    <w:p w14:paraId="570B78E8" w14:textId="77777777" w:rsidR="00A536D8" w:rsidRDefault="00A536D8" w:rsidP="00A536D8">
      <w:pPr>
        <w:pStyle w:val="Heading3"/>
      </w:pPr>
      <w:r>
        <w:t>A lower floor would increase equity</w:t>
      </w:r>
    </w:p>
    <w:p w14:paraId="6E2A42B5" w14:textId="77777777" w:rsidR="00A536D8" w:rsidRPr="00164C9A" w:rsidRDefault="00A536D8" w:rsidP="00A536D8">
      <w:r w:rsidRPr="00164C9A">
        <w:t>A first set of broader alternatives would retain the HFE assessment but replace the current standard-state benchmark with an explicit relativity floor. Instead of equalising states to the stronger of New South Wales or Victoria, the floor would define the minimum GST share any state could receive, with the rest of the pool distributed through the HFE assessment. This would keep the GST distribution as the main equalisation instrument while making the limit on distribution more transparent.</w:t>
      </w:r>
    </w:p>
    <w:p w14:paraId="664DFF34" w14:textId="77777777" w:rsidR="00A536D8" w:rsidRPr="001F084F" w:rsidRDefault="00A536D8" w:rsidP="00A536D8">
      <w:pPr>
        <w:rPr>
          <w:kern w:val="2"/>
          <w:highlight w:val="yellow"/>
          <w:lang w:eastAsia="en-AU"/>
          <w14:ligatures w14:val="standardContextual"/>
        </w:rPr>
      </w:pPr>
      <w:r>
        <w:t xml:space="preserve">The main design choice is the level of the floor. A lower floor delivers stronger equity outcomes because it allows the GST distribution to respond more fully to differences in fiscal capacity and expenditure needs. </w:t>
      </w:r>
      <w:r w:rsidRPr="00EE6B6E">
        <w:t>Lowering the floor to 0.5 or 0.3 would therefore be a more material shift away from the current system towards full equalisation (figure 4.5</w:t>
      </w:r>
      <w:r w:rsidRPr="004E02DB">
        <w:t xml:space="preserve">). A 0.3 floor would bind less often </w:t>
      </w:r>
      <w:r>
        <w:t xml:space="preserve">(4 </w:t>
      </w:r>
      <w:r w:rsidRPr="0003571A">
        <w:t>times between 2000-01 and 2024-25</w:t>
      </w:r>
      <w:r>
        <w:t xml:space="preserve">) </w:t>
      </w:r>
      <w:r w:rsidRPr="004E02DB">
        <w:t xml:space="preserve">and produce outcomes closer to full equalisation than a 0.5 or 0.75 floor. </w:t>
      </w:r>
      <w:r w:rsidRPr="00574472">
        <w:t xml:space="preserve">Lower floors also perform better in terms of state fiscal sustainability, with all 3 floors performing better than the current system (without NoWO payments). </w:t>
      </w:r>
    </w:p>
    <w:p w14:paraId="59446BFE" w14:textId="77777777" w:rsidR="00A536D8" w:rsidRDefault="00A536D8" w:rsidP="00A536D8">
      <w:r>
        <w:t>F</w:t>
      </w:r>
      <w:r w:rsidRPr="00273DD6">
        <w:t>or states with relativities lower than the floor</w:t>
      </w:r>
      <w:r>
        <w:t>,</w:t>
      </w:r>
      <w:r w:rsidRPr="00273DD6">
        <w:t xml:space="preserve"> </w:t>
      </w:r>
      <w:r>
        <w:t>r</w:t>
      </w:r>
      <w:r w:rsidRPr="00273DD6">
        <w:t xml:space="preserve">elativity floors create greater certainty as they minimise GST revenue volatility. </w:t>
      </w:r>
      <w:r w:rsidRPr="00924F1E">
        <w:t xml:space="preserve">Higher floors are binding more frequently for more states and so produce systems with greater overall certainty. </w:t>
      </w:r>
      <w:r w:rsidRPr="0070654A">
        <w:t xml:space="preserve">A 0.75 and 0.5 floor result in similar degrees of overall certainty relative to the current system (with and without NoWO payments). </w:t>
      </w:r>
      <w:r w:rsidRPr="002F6D71">
        <w:t>A 0.3 relativity floor would have marginally less certainty than the current system (with and without NoWO payments).</w:t>
      </w:r>
    </w:p>
    <w:p w14:paraId="2F823438" w14:textId="77777777" w:rsidR="00A536D8" w:rsidRDefault="00A536D8" w:rsidP="00690397">
      <w:pPr>
        <w:pStyle w:val="BodyText"/>
      </w:pPr>
    </w:p>
    <w:p w14:paraId="7CDBC41E" w14:textId="4361B08F" w:rsidR="00690397" w:rsidRDefault="00690397" w:rsidP="00690397">
      <w:pPr>
        <w:pStyle w:val="Caption"/>
        <w:keepNext/>
        <w:rPr>
          <w:kern w:val="2"/>
          <w:szCs w:val="20"/>
          <w:lang w:eastAsia="en-AU"/>
          <w14:ligatures w14:val="standardContextual"/>
        </w:rPr>
      </w:pPr>
      <w:r>
        <w:lastRenderedPageBreak/>
        <w:t xml:space="preserve">Figure </w:t>
      </w:r>
      <w:r>
        <w:fldChar w:fldCharType="begin"/>
      </w:r>
      <w:r>
        <w:instrText>STYLEREF 1 \s</w:instrText>
      </w:r>
      <w:r>
        <w:fldChar w:fldCharType="separate"/>
      </w:r>
      <w:r w:rsidR="009C08C4">
        <w:rPr>
          <w:noProof/>
        </w:rPr>
        <w:t>4</w:t>
      </w:r>
      <w:r>
        <w:fldChar w:fldCharType="end"/>
      </w:r>
      <w:r>
        <w:t>.</w:t>
      </w:r>
      <w:r>
        <w:fldChar w:fldCharType="begin"/>
      </w:r>
      <w:r>
        <w:instrText>SEQ Figure \* ARABIC \s 1</w:instrText>
      </w:r>
      <w:r>
        <w:fldChar w:fldCharType="separate"/>
      </w:r>
      <w:r w:rsidR="009C08C4">
        <w:rPr>
          <w:noProof/>
        </w:rPr>
        <w:t>4</w:t>
      </w:r>
      <w:r>
        <w:fldChar w:fldCharType="end"/>
      </w:r>
      <w:r>
        <w:t xml:space="preserve"> – Assessment of pre-2018 system with a mining discount</w:t>
      </w:r>
    </w:p>
    <w:p w14:paraId="15FFB700" w14:textId="77777777" w:rsidR="00690397" w:rsidRDefault="00690397" w:rsidP="00690397">
      <w:pPr>
        <w:spacing w:before="0" w:after="160" w:line="259" w:lineRule="auto"/>
        <w:rPr>
          <w:kern w:val="2"/>
          <w:lang w:eastAsia="en-AU"/>
          <w14:ligatures w14:val="standardContextual"/>
        </w:rPr>
      </w:pPr>
      <w:r w:rsidRPr="00A00AC7">
        <w:rPr>
          <w:noProof/>
        </w:rPr>
        <w:drawing>
          <wp:inline distT="0" distB="0" distL="0" distR="0" wp14:anchorId="0A1B981F" wp14:editId="5FA78845">
            <wp:extent cx="6120130" cy="7955280"/>
            <wp:effectExtent l="0" t="0" r="0" b="0"/>
            <wp:docPr id="2098730262" name="Picture 46" descr="Figure 4.4 – This is a combination figure of tables and charts which summarises the assessment of a pre-2018 system with mining discounts. It includes a model description, key results, costs outside the model, rankings of key metric results in comparison to other arrangements, and an overall summary of results against the framework for the dimensions of equity, efficiency, sustainability and certainty. &#10;The model description is that it is the pre-2018 system, but with mining discounts of 10%, 25% and 50%, respectively.&#10;The key takeaways are that all discounts have better equity than the current system without NoWO payments. Lower discounts correspond to higher equalisation rates. The 10% and 25% discounts are slightly less efficient than the current system without NoWO payments but put less pressure on state fiscal sustainability. &#10;The modelled cost to the states would have been between $1.5 billion for a 10% discount to $7.3 billion for a 50% discount relative to the pre-2018 system.&#10;With results presented for 10%, 25% and 50% discounts. For equity, these arrangements have equalisation rates of 95%, 88% and 75% respectively. For efficiency, these arrangements have weighted average departures from policy neutrality of 2.4%, 2.2% and 1.8% and average maximum departures from policy neutrality of 27%, 22%, and 15% respectively. For sustainability, these arrangements have fiscal pressure scores of 12, 13 and 15 respectively, and would each have cost the Australian Government $0 in 2024-25. For certainty, these arrangements have average year on year volatilities driven by the distribution system of 4.1%, 3.6% and 3.3% respectiv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730262" name="Picture 46" descr="Figure 4.4 – This is a combination figure of tables and charts which summarises the assessment of a pre-2018 system with mining discounts. It includes a model description, key results, costs outside the model, rankings of key metric results in comparison to other arrangements, and an overall summary of results against the framework for the dimensions of equity, efficiency, sustainability and certainty. &#10;The model description is that it is the pre-2018 system, but with mining discounts of 10%, 25% and 50%, respectively.&#10;The key takeaways are that all discounts have better equity than the current system without NoWO payments. Lower discounts correspond to higher equalisation rates. The 10% and 25% discounts are slightly less efficient than the current system without NoWO payments but put less pressure on state fiscal sustainability. &#10;The modelled cost to the states would have been between $1.5 billion for a 10% discount to $7.3 billion for a 50% discount relative to the pre-2018 system.&#10;With results presented for 10%, 25% and 50% discounts. For equity, these arrangements have equalisation rates of 95%, 88% and 75% respectively. For efficiency, these arrangements have weighted average departures from policy neutrality of 2.4%, 2.2% and 1.8% and average maximum departures from policy neutrality of 27%, 22%, and 15% respectively. For sustainability, these arrangements have fiscal pressure scores of 12, 13 and 15 respectively, and would each have cost the Australian Government $0 in 2024-25. For certainty, these arrangements have average year on year volatilities driven by the distribution system of 4.1%, 3.6% and 3.3% respectively."/>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6120130" cy="7955280"/>
                    </a:xfrm>
                    <a:prstGeom prst="rect">
                      <a:avLst/>
                    </a:prstGeom>
                    <a:noFill/>
                    <a:ln>
                      <a:noFill/>
                    </a:ln>
                  </pic:spPr>
                </pic:pic>
              </a:graphicData>
            </a:graphic>
          </wp:inline>
        </w:drawing>
      </w:r>
    </w:p>
    <w:p w14:paraId="0EB93A7D" w14:textId="1E19CA57" w:rsidR="00690397" w:rsidRPr="00146382" w:rsidRDefault="00690397" w:rsidP="00690397">
      <w:pPr>
        <w:pStyle w:val="FigureTableHeading"/>
      </w:pPr>
      <w:r>
        <w:lastRenderedPageBreak/>
        <w:t xml:space="preserve">Figure </w:t>
      </w:r>
      <w:fldSimple w:instr=" STYLEREF 1 \s ">
        <w:r w:rsidR="009C08C4">
          <w:rPr>
            <w:noProof/>
          </w:rPr>
          <w:t>4</w:t>
        </w:r>
      </w:fldSimple>
      <w:r>
        <w:t>.</w:t>
      </w:r>
      <w:fldSimple w:instr=" SEQ Figure \* ARABIC \s 1 ">
        <w:r w:rsidR="009C08C4">
          <w:rPr>
            <w:noProof/>
          </w:rPr>
          <w:t>5</w:t>
        </w:r>
      </w:fldSimple>
      <w:r>
        <w:rPr>
          <w:noProof/>
        </w:rPr>
        <w:t xml:space="preserve"> </w:t>
      </w:r>
      <w:r>
        <w:t>– Assessment of the current system with different floors</w:t>
      </w:r>
    </w:p>
    <w:p w14:paraId="73057EC9" w14:textId="175E2D9C" w:rsidR="00690397" w:rsidRPr="008F1425" w:rsidRDefault="00690397" w:rsidP="00690397">
      <w:pPr>
        <w:pStyle w:val="Note"/>
        <w:keepLines/>
        <w:rPr>
          <w:lang w:val="it-IT"/>
        </w:rPr>
      </w:pPr>
      <w:r w:rsidRPr="008D274F">
        <w:rPr>
          <w:noProof/>
        </w:rPr>
        <w:drawing>
          <wp:inline distT="0" distB="0" distL="0" distR="0" wp14:anchorId="3923A2F2" wp14:editId="272EFCA0">
            <wp:extent cx="6120130" cy="8151495"/>
            <wp:effectExtent l="0" t="0" r="0" b="1905"/>
            <wp:docPr id="1780713425" name="Picture 47" descr="Figure 4.5 – This is a combination figure of tables and charts which summarises the assessment of the current system + relativity floor levels 0.3, 0.5 and 0.75. It includes a model description, key results, costs outside the model, rankings of key metric results in comparison to other arrangements, and an overall summary of results against the framework for the dimensions of equity, efficiency, sustainability and certainty. &#10;The model description is that these alternative arrangements retain much of the current system but remove the standard state benchmark and set a fixed GST relativity floor of either 0.75, 0.5, or 0.3.&#10;The key takeaways are that all relativity floors (0.3, 0.5, 0.75) have better equity than the current system without NoWO payments, with higher floors having lower equity. All floors have similar efficiency to the current system without the NoWO guarantee.&#10;The modelled cost to the states in 2024-25 would have been between $0.9 billion for a floor of 0.3 to $5.3 billion for a floor of 0.75 relative to the pre-2018 system.&#10;With results presented for floors of 0.3, 0.5 and 0.75. For equity, these arrangements have an equalisation rate of 91%, 87%, and 78%. For efficiency, these arrangements all have weighted average departures from policy neutrality of 1.5% and average maximum departures from policy neutrality of 19%. For sustainability, these arrangements have fiscal pressure scores of 12, 12 and 14, and would each have cost the Australian Government $1 billion in 2024-25. For certainty, these arrangements have average year on year volatilities driven by the distribution system of 4.1%, 3.3% and 2.9% respectiv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713425" name="Picture 47" descr="Figure 4.5 – This is a combination figure of tables and charts which summarises the assessment of the current system + relativity floor levels 0.3, 0.5 and 0.75. It includes a model description, key results, costs outside the model, rankings of key metric results in comparison to other arrangements, and an overall summary of results against the framework for the dimensions of equity, efficiency, sustainability and certainty. &#10;The model description is that these alternative arrangements retain much of the current system but remove the standard state benchmark and set a fixed GST relativity floor of either 0.75, 0.5, or 0.3.&#10;The key takeaways are that all relativity floors (0.3, 0.5, 0.75) have better equity than the current system without NoWO payments, with higher floors having lower equity. All floors have similar efficiency to the current system without the NoWO guarantee.&#10;The modelled cost to the states in 2024-25 would have been between $0.9 billion for a floor of 0.3 to $5.3 billion for a floor of 0.75 relative to the pre-2018 system.&#10;With results presented for floors of 0.3, 0.5 and 0.75. For equity, these arrangements have an equalisation rate of 91%, 87%, and 78%. For efficiency, these arrangements all have weighted average departures from policy neutrality of 1.5% and average maximum departures from policy neutrality of 19%. For sustainability, these arrangements have fiscal pressure scores of 12, 12 and 14, and would each have cost the Australian Government $1 billion in 2024-25. For certainty, these arrangements have average year on year volatilities driven by the distribution system of 4.1%, 3.3% and 2.9% respectively."/>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6120130" cy="8151495"/>
                    </a:xfrm>
                    <a:prstGeom prst="rect">
                      <a:avLst/>
                    </a:prstGeom>
                    <a:noFill/>
                    <a:ln>
                      <a:noFill/>
                    </a:ln>
                  </pic:spPr>
                </pic:pic>
              </a:graphicData>
            </a:graphic>
          </wp:inline>
        </w:drawing>
      </w:r>
    </w:p>
    <w:p w14:paraId="34DDD9C2" w14:textId="77777777" w:rsidR="00690397" w:rsidRPr="00921BE0" w:rsidRDefault="00690397" w:rsidP="00690397">
      <w:pPr>
        <w:pStyle w:val="Heading3"/>
      </w:pPr>
      <w:r>
        <w:lastRenderedPageBreak/>
        <w:t>Equal per capita alternatives would weaken equity</w:t>
      </w:r>
    </w:p>
    <w:p w14:paraId="3DF7C151" w14:textId="77777777" w:rsidR="00690397" w:rsidRPr="00C85D40" w:rsidRDefault="00690397" w:rsidP="00690397">
      <w:pPr>
        <w:pStyle w:val="BodyText"/>
      </w:pPr>
      <w:r w:rsidRPr="001F2828">
        <w:t>EPC+ would simplify the GST distribution, but at the cost of weakening equity and creating a system where some states are treated unequally.</w:t>
      </w:r>
    </w:p>
    <w:p w14:paraId="64C01218" w14:textId="4DE2D154" w:rsidR="00690397" w:rsidRPr="00C85D40" w:rsidRDefault="00690397" w:rsidP="00690397">
      <w:pPr>
        <w:pStyle w:val="BodyText"/>
      </w:pPr>
      <w:r w:rsidRPr="00C85D40">
        <w:t>Under EPC+, the GST pool would be distributed equally per person. States</w:t>
      </w:r>
      <w:r>
        <w:t xml:space="preserve"> who the CGC assesses as having</w:t>
      </w:r>
      <w:r w:rsidRPr="00C85D40">
        <w:t xml:space="preserve"> needs above an equal per capita share would receive a separate Australian Government </w:t>
      </w:r>
      <w:r w:rsidR="008E157A">
        <w:br/>
      </w:r>
      <w:r w:rsidRPr="00C85D40">
        <w:t>NoWO-</w:t>
      </w:r>
      <w:r w:rsidRPr="001F2617">
        <w:t>style payment</w:t>
      </w:r>
      <w:r>
        <w:t xml:space="preserve"> (which would be the ‘+’ element of this approach)</w:t>
      </w:r>
      <w:r w:rsidRPr="00C85D40">
        <w:t>. This would make the GST pool itself simple and more policy neutral</w:t>
      </w:r>
      <w:r>
        <w:t xml:space="preserve"> for those only receiving EPC payments, while keeping the complexity of the HFE system determining payments for others</w:t>
      </w:r>
      <w:r w:rsidRPr="00C85D40">
        <w:t>.</w:t>
      </w:r>
    </w:p>
    <w:p w14:paraId="37832279" w14:textId="77777777" w:rsidR="00690397" w:rsidRPr="00C85D40" w:rsidRDefault="00690397" w:rsidP="00690397">
      <w:pPr>
        <w:pStyle w:val="BodyText"/>
      </w:pPr>
      <w:r w:rsidRPr="00C85D40">
        <w:t>States below the EPC benchmark would keep their full population share of GST</w:t>
      </w:r>
      <w:r>
        <w:t xml:space="preserve"> revenue</w:t>
      </w:r>
      <w:r w:rsidRPr="00C85D40">
        <w:t xml:space="preserve">, even if they have </w:t>
      </w:r>
      <w:r>
        <w:t>greater</w:t>
      </w:r>
      <w:r w:rsidRPr="00C85D40">
        <w:t xml:space="preserve"> fiscal capacity. States above the benchmark would depend on a separate Australian Government payment. Equalisation would therefore apply asymmetrically. </w:t>
      </w:r>
      <w:r>
        <w:t>S</w:t>
      </w:r>
      <w:r w:rsidRPr="00C85D40">
        <w:t xml:space="preserve">tates </w:t>
      </w:r>
      <w:r>
        <w:t xml:space="preserve">with relatively lower fiscal capacity </w:t>
      </w:r>
      <w:r w:rsidRPr="00C85D40">
        <w:t>would rely more directly on Commonwealth discretion to manage structural service costs and revenue weakness.</w:t>
      </w:r>
    </w:p>
    <w:p w14:paraId="3CCE4A2F" w14:textId="77777777" w:rsidR="00690397" w:rsidRDefault="00690397" w:rsidP="00690397">
      <w:pPr>
        <w:pStyle w:val="BodyText"/>
        <w:rPr>
          <w:kern w:val="2"/>
          <w:lang w:eastAsia="en-AU"/>
          <w14:ligatures w14:val="standardContextual"/>
        </w:rPr>
      </w:pPr>
      <w:r>
        <w:t xml:space="preserve">EPC+ would materially reduce equalisation (figure 4.6). </w:t>
      </w:r>
      <w:r w:rsidRPr="00F13659">
        <w:t xml:space="preserve">The model has an equalisation rate of 63%, compared with 73% under the current system (without NoWO payments). This means it would close less of the </w:t>
      </w:r>
      <w:r>
        <w:t>difference</w:t>
      </w:r>
      <w:r w:rsidRPr="00F13659">
        <w:t xml:space="preserve"> between states’ assessed fiscal capacities.</w:t>
      </w:r>
    </w:p>
    <w:p w14:paraId="5100B8D3" w14:textId="28623FCD" w:rsidR="00690397" w:rsidRPr="00C85D40" w:rsidRDefault="00690397" w:rsidP="00690397">
      <w:pPr>
        <w:pStyle w:val="BodyText"/>
      </w:pPr>
      <w:r w:rsidRPr="003D3CDE">
        <w:t>EPC+</w:t>
      </w:r>
      <w:r w:rsidRPr="003D3CDE" w:rsidDel="002D34C4">
        <w:t xml:space="preserve"> </w:t>
      </w:r>
      <w:r w:rsidRPr="003D3CDE">
        <w:t>performs much better on state fiscal sustainability relative to the current system (without NoWO payments).</w:t>
      </w:r>
      <w:r>
        <w:t xml:space="preserve"> This is a product of all states receiving the equivalent payments that they would have received under the pre-2018 system, as well as some states receiving a higher GST payment through their EPC share. </w:t>
      </w:r>
      <w:r w:rsidRPr="00C85D40">
        <w:t xml:space="preserve">But this result depends on a large permanent Australian Government payment. </w:t>
      </w:r>
      <w:r w:rsidRPr="00F6369D">
        <w:t>In 2024</w:t>
      </w:r>
      <w:r w:rsidR="008E157A">
        <w:t>–</w:t>
      </w:r>
      <w:r w:rsidRPr="00F6369D">
        <w:t>25, EPC+ would have required around $10b in NoWO payments.</w:t>
      </w:r>
      <w:r w:rsidRPr="00C85D40">
        <w:t xml:space="preserve"> This would create an ongoing fiscal exposure for the Australian Government and make support for states </w:t>
      </w:r>
      <w:r>
        <w:t xml:space="preserve">with relatively lower fiscal capacity </w:t>
      </w:r>
      <w:r w:rsidRPr="00C85D40">
        <w:t>more dependent on annual Commonwealth decisions.</w:t>
      </w:r>
    </w:p>
    <w:p w14:paraId="23BF68FF" w14:textId="77777777" w:rsidR="00690397" w:rsidRPr="008E157A" w:rsidRDefault="00690397" w:rsidP="00690397">
      <w:pPr>
        <w:pStyle w:val="BodyText"/>
        <w:rPr>
          <w:spacing w:val="-2"/>
        </w:rPr>
      </w:pPr>
      <w:r w:rsidRPr="008E157A">
        <w:rPr>
          <w:spacing w:val="-2"/>
        </w:rPr>
        <w:t>On certainty, EPC+ has slightly more certainty to the current system (without NoWO payments). It would be simpler at the level of the GST pool, but less stable institutionally. A separate NoWO-style payment would be more visible, more contestable and more exposed to budget decisions than a rules-based GST distribution. Over time, that risks politicising the distribution of NoWO-style payments which could weaken confidence in the durability of the system among the smaller states reliant on these payments.</w:t>
      </w:r>
    </w:p>
    <w:p w14:paraId="012BB929" w14:textId="77777777" w:rsidR="00690397" w:rsidRPr="00C85D40" w:rsidRDefault="00690397" w:rsidP="00690397">
      <w:pPr>
        <w:pStyle w:val="BodyText"/>
      </w:pPr>
      <w:r w:rsidRPr="00DF27DD">
        <w:t xml:space="preserve">The 90% EPC, 10% HFE model shows the trade-offs with equity more starkly (figure 4.7). It </w:t>
      </w:r>
      <w:r w:rsidRPr="007951CD">
        <w:t xml:space="preserve">has the best measured efficiency and the highest certainty, but this is achieved by sharply reducing equalisation. </w:t>
      </w:r>
      <w:r w:rsidRPr="00097E6D">
        <w:t>Its equalisation rate is only 20%,</w:t>
      </w:r>
      <w:r w:rsidRPr="00097E6D" w:rsidDel="00B03BD6">
        <w:t xml:space="preserve"> </w:t>
      </w:r>
      <w:r w:rsidRPr="003E350D">
        <w:t>and performs</w:t>
      </w:r>
      <w:r>
        <w:t xml:space="preserve"> the</w:t>
      </w:r>
      <w:r w:rsidRPr="003E350D">
        <w:t xml:space="preserve"> wors</w:t>
      </w:r>
      <w:r>
        <w:t xml:space="preserve">t of the systems assessed </w:t>
      </w:r>
      <w:r w:rsidRPr="003E350D">
        <w:t>in terms of state fiscal sustainability.</w:t>
      </w:r>
      <w:r>
        <w:t xml:space="preserve"> </w:t>
      </w:r>
      <w:r w:rsidRPr="00C85D40">
        <w:t>This suggests very high EPC models can look efficient and certain in a narrow mechanical sense, but only because they leave more fiscal pressure with the states least able to absorb it.</w:t>
      </w:r>
    </w:p>
    <w:p w14:paraId="056B080E" w14:textId="77777777" w:rsidR="00690397" w:rsidRPr="00C85D40" w:rsidRDefault="00690397" w:rsidP="00690397">
      <w:pPr>
        <w:pStyle w:val="BodyText"/>
      </w:pPr>
      <w:r w:rsidRPr="00C85D40">
        <w:t>Overall, EPC+ would be easier to explain and would improve some policy neutrality measures</w:t>
      </w:r>
      <w:r>
        <w:t>,</w:t>
      </w:r>
      <w:r w:rsidRPr="00C85D40">
        <w:t xml:space="preserve"> </w:t>
      </w:r>
      <w:r>
        <w:t>b</w:t>
      </w:r>
      <w:r w:rsidRPr="00C85D40">
        <w:t xml:space="preserve">ut it </w:t>
      </w:r>
      <w:r w:rsidRPr="0066367A">
        <w:t>would significantly reduce the degree of fisc</w:t>
      </w:r>
      <w:r>
        <w:t>al equalisation produced by the system.</w:t>
      </w:r>
    </w:p>
    <w:p w14:paraId="7620B05D" w14:textId="6B90C393" w:rsidR="00690397" w:rsidRDefault="00690397" w:rsidP="00690397">
      <w:pPr>
        <w:pStyle w:val="Caption"/>
        <w:keepNext/>
        <w:rPr>
          <w:kern w:val="2"/>
          <w:szCs w:val="20"/>
          <w:lang w:eastAsia="en-AU"/>
          <w14:ligatures w14:val="standardContextual"/>
        </w:rPr>
      </w:pPr>
      <w:r>
        <w:lastRenderedPageBreak/>
        <w:t xml:space="preserve">Figure </w:t>
      </w:r>
      <w:r>
        <w:fldChar w:fldCharType="begin"/>
      </w:r>
      <w:r>
        <w:instrText>STYLEREF 1 \s</w:instrText>
      </w:r>
      <w:r>
        <w:fldChar w:fldCharType="separate"/>
      </w:r>
      <w:r w:rsidR="009C08C4">
        <w:rPr>
          <w:noProof/>
        </w:rPr>
        <w:t>4</w:t>
      </w:r>
      <w:r>
        <w:fldChar w:fldCharType="end"/>
      </w:r>
      <w:r>
        <w:t>.</w:t>
      </w:r>
      <w:r>
        <w:fldChar w:fldCharType="begin"/>
      </w:r>
      <w:r>
        <w:instrText>SEQ Figure \* ARABIC \s 1</w:instrText>
      </w:r>
      <w:r>
        <w:fldChar w:fldCharType="separate"/>
      </w:r>
      <w:r w:rsidR="009C08C4">
        <w:rPr>
          <w:noProof/>
        </w:rPr>
        <w:t>6</w:t>
      </w:r>
      <w:r>
        <w:fldChar w:fldCharType="end"/>
      </w:r>
      <w:r>
        <w:t xml:space="preserve"> – Assessment of EPC+</w:t>
      </w:r>
    </w:p>
    <w:p w14:paraId="5F1ADCB9" w14:textId="77777777" w:rsidR="00690397" w:rsidRDefault="00690397" w:rsidP="00690397">
      <w:pPr>
        <w:pStyle w:val="TableBody"/>
        <w:rPr>
          <w:b/>
          <w:bCs/>
        </w:rPr>
      </w:pPr>
      <w:r w:rsidRPr="00E66307">
        <w:rPr>
          <w:noProof/>
        </w:rPr>
        <w:drawing>
          <wp:inline distT="0" distB="0" distL="0" distR="0" wp14:anchorId="509E5061" wp14:editId="647E734D">
            <wp:extent cx="6120130" cy="7889875"/>
            <wp:effectExtent l="0" t="0" r="0" b="0"/>
            <wp:docPr id="1753039028" name="Picture 49" descr="Figure 4.6 – This is a combination figure of tables and charts which summarises the assessment of EPC + NoWO guarantee. It includes a model description, key results, costs outside the model, rankings of key metric results in comparison to other arrangements, and an overall summary of results against the framework for the dimensions of equity, efficiency, sustainability and certainty. &#10;The model description is that it distributes the GST pool equally per person. States with greater fiscal need would receive additional Australian Government payments outside the GST pool (NoWO guarantee), shifting the HFE task onto Australian Government payments.&#10;The key takeaways are that it has a lower equalisation rate than the current system without NoWO payments, but much lower fiscal pressure on states. It has slightly better efficiency relative to the current system, and similar levels of certainty. &#10;The modelled cost to the states in 2024-25 relative to the pre-2018 system would have been $0.&#10;For equity, this arrangement has an equalisation rate of 73%. For efficiency, it has a weighted average departure from policy neutrality of 0.6% and an average maximum departure from policy neutrality of 9%. For sustainability, it has a fiscal pressure score of 10, and would have cost the Australian Government $10.2 billion in 2024-25. For certainty, it has an average year on year volatility driven by the distribution system of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039028" name="Picture 49" descr="Figure 4.6 – This is a combination figure of tables and charts which summarises the assessment of EPC + NoWO guarantee. It includes a model description, key results, costs outside the model, rankings of key metric results in comparison to other arrangements, and an overall summary of results against the framework for the dimensions of equity, efficiency, sustainability and certainty. &#10;The model description is that it distributes the GST pool equally per person. States with greater fiscal need would receive additional Australian Government payments outside the GST pool (NoWO guarantee), shifting the HFE task onto Australian Government payments.&#10;The key takeaways are that it has a lower equalisation rate than the current system without NoWO payments, but much lower fiscal pressure on states. It has slightly better efficiency relative to the current system, and similar levels of certainty. &#10;The modelled cost to the states in 2024-25 relative to the pre-2018 system would have been $0.&#10;For equity, this arrangement has an equalisation rate of 73%. For efficiency, it has a weighted average departure from policy neutrality of 0.6% and an average maximum departure from policy neutrality of 9%. For sustainability, it has a fiscal pressure score of 10, and would have cost the Australian Government $10.2 billion in 2024-25. For certainty, it has an average year on year volatility driven by the distribution system of 2.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6120130" cy="7889875"/>
                    </a:xfrm>
                    <a:prstGeom prst="rect">
                      <a:avLst/>
                    </a:prstGeom>
                    <a:noFill/>
                    <a:ln>
                      <a:noFill/>
                    </a:ln>
                  </pic:spPr>
                </pic:pic>
              </a:graphicData>
            </a:graphic>
          </wp:inline>
        </w:drawing>
      </w:r>
    </w:p>
    <w:p w14:paraId="2492863E" w14:textId="31B7B863" w:rsidR="00690397" w:rsidRPr="00146382" w:rsidRDefault="00690397" w:rsidP="00690397">
      <w:pPr>
        <w:pStyle w:val="FigureTableHeading"/>
      </w:pPr>
      <w:r>
        <w:lastRenderedPageBreak/>
        <w:t xml:space="preserve">Figure </w:t>
      </w:r>
      <w:fldSimple w:instr=" STYLEREF 1 \s ">
        <w:r w:rsidR="009C08C4">
          <w:rPr>
            <w:noProof/>
          </w:rPr>
          <w:t>4</w:t>
        </w:r>
      </w:fldSimple>
      <w:r>
        <w:t>.</w:t>
      </w:r>
      <w:fldSimple w:instr=" SEQ Figure \* ARABIC \s 1 ">
        <w:r w:rsidR="009C08C4">
          <w:rPr>
            <w:noProof/>
          </w:rPr>
          <w:t>7</w:t>
        </w:r>
      </w:fldSimple>
      <w:r>
        <w:rPr>
          <w:noProof/>
        </w:rPr>
        <w:t xml:space="preserve"> </w:t>
      </w:r>
      <w:r>
        <w:t>– Assessment of 90% EPC, 10% HFE</w:t>
      </w:r>
    </w:p>
    <w:p w14:paraId="2434B49E" w14:textId="77777777" w:rsidR="00690397" w:rsidRPr="00A719A0" w:rsidRDefault="00690397" w:rsidP="00690397">
      <w:pPr>
        <w:pStyle w:val="Note"/>
        <w:keepLines/>
      </w:pPr>
      <w:r w:rsidRPr="00A367D9">
        <w:rPr>
          <w:noProof/>
        </w:rPr>
        <w:drawing>
          <wp:inline distT="0" distB="0" distL="0" distR="0" wp14:anchorId="621A378C" wp14:editId="22D1E940">
            <wp:extent cx="6120130" cy="7804150"/>
            <wp:effectExtent l="0" t="0" r="0" b="6350"/>
            <wp:docPr id="145106926" name="Picture 51" descr="Figure 4.7 – This is a combination figure of tables and charts which summarises the assessment of a 90% EPC, 10% HFE model. It includes a model description, key results, costs outside the model, rankings of key metric results in comparison to other arrangements, and an overall summary of results against the framework for the dimensions of equity, efficiency, sustainability and certainty. &#10;The model description is that it first distributes 90% of the GST pool between the States and Territories on an equal per capita (EPC) basis and then distributes the remaining 10% of the pool on a HFE basis.&#10;The key takeaways are that it has much worse equity and much greater pressure on states’ fiscal sustainability than the current system without NoWO payments. It also has better certainty and slightly better efficiency.&#10;The modelled cost to the states would have been $9.2 billion in 2024-25 relative to the pre-2018 system.&#10;For equity, this arrangement has an equalisation rate of 20%. For efficiency, it has a weighted average departure from policy neutrality of 0.2% and an average maximum departure from policy neutrality of 3%. For sustainability, it has a fiscal pressure score of 19 and would have had no cost to the Australian Government in 2024-25. For certainty, it has an average year on year volatility driven by the distribution system of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06926" name="Picture 51" descr="Figure 4.7 – This is a combination figure of tables and charts which summarises the assessment of a 90% EPC, 10% HFE model. It includes a model description, key results, costs outside the model, rankings of key metric results in comparison to other arrangements, and an overall summary of results against the framework for the dimensions of equity, efficiency, sustainability and certainty. &#10;The model description is that it first distributes 90% of the GST pool between the States and Territories on an equal per capita (EPC) basis and then distributes the remaining 10% of the pool on a HFE basis.&#10;The key takeaways are that it has much worse equity and much greater pressure on states’ fiscal sustainability than the current system without NoWO payments. It also has better certainty and slightly better efficiency.&#10;The modelled cost to the states would have been $9.2 billion in 2024-25 relative to the pre-2018 system.&#10;For equity, this arrangement has an equalisation rate of 20%. For efficiency, it has a weighted average departure from policy neutrality of 0.2% and an average maximum departure from policy neutrality of 3%. For sustainability, it has a fiscal pressure score of 19 and would have had no cost to the Australian Government in 2024-25. For certainty, it has an average year on year volatility driven by the distribution system of 0.6%."/>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120130" cy="7804150"/>
                    </a:xfrm>
                    <a:prstGeom prst="rect">
                      <a:avLst/>
                    </a:prstGeom>
                    <a:noFill/>
                    <a:ln>
                      <a:noFill/>
                    </a:ln>
                  </pic:spPr>
                </pic:pic>
              </a:graphicData>
            </a:graphic>
          </wp:inline>
        </w:drawing>
      </w:r>
    </w:p>
    <w:p w14:paraId="1501DECD" w14:textId="77777777" w:rsidR="00690397" w:rsidRPr="00D273CB" w:rsidRDefault="00690397" w:rsidP="004D0570">
      <w:pPr>
        <w:pStyle w:val="Heading2"/>
      </w:pPr>
      <w:bookmarkStart w:id="90" w:name="_Toc234008106"/>
      <w:bookmarkStart w:id="91" w:name="_Toc235447995"/>
      <w:bookmarkStart w:id="92" w:name="_Toc234579119"/>
      <w:bookmarkStart w:id="93" w:name="_Toc236746619"/>
      <w:bookmarkStart w:id="94" w:name="_Toc236904079"/>
      <w:r w:rsidRPr="00D273CB">
        <w:lastRenderedPageBreak/>
        <w:t>Preliminary findings and recommendations</w:t>
      </w:r>
      <w:bookmarkEnd w:id="90"/>
      <w:bookmarkEnd w:id="91"/>
      <w:bookmarkEnd w:id="92"/>
      <w:bookmarkEnd w:id="93"/>
      <w:bookmarkEnd w:id="94"/>
    </w:p>
    <w:p w14:paraId="03CD2A4E" w14:textId="77777777" w:rsidR="00690397" w:rsidRPr="00A91551" w:rsidRDefault="00690397" w:rsidP="00690397">
      <w:r>
        <w:t>The analysis in this chapter has considered a non-exhaustive range of GST distribution systems put to the inquiry through submissions, existing literature and the inquiry’s own preliminary modelling. They do not cover every design choice. Nor do they resolve all practical questions that would arise in implementing reform. But they do provide a sufficient basis for some preliminary judgments about the direction of reform and the relative merits of the main classes of alternative arrangements.</w:t>
      </w:r>
    </w:p>
    <w:p w14:paraId="70DC9EEA" w14:textId="77777777" w:rsidR="00690397" w:rsidRDefault="00690397" w:rsidP="00690397">
      <w:pPr>
        <w:pStyle w:val="BodyText"/>
      </w:pPr>
      <w:r>
        <w:t>A</w:t>
      </w:r>
      <w:r w:rsidRPr="006B5298">
        <w:t xml:space="preserve">ll </w:t>
      </w:r>
      <w:r>
        <w:t>alternatives</w:t>
      </w:r>
      <w:r w:rsidRPr="006B5298">
        <w:t xml:space="preserve"> assessed to date involve trade-offs between equity, efficiency, fiscal sustainability and certainty.</w:t>
      </w:r>
      <w:r>
        <w:t xml:space="preserve"> Some alternatives appear to offer a better balance than the changes from the 2018 reforms. Alternatives that weaken the link between </w:t>
      </w:r>
      <w:r w:rsidRPr="00BD7F25">
        <w:t>state</w:t>
      </w:r>
      <w:r>
        <w:t xml:space="preserve"> mining revenue and GST shares tend to reduce equalisation, increase Commonwealth costs, or both. Alternatives that provide greater certainty for one jurisdiction can reduce fiscal flexibility or shift uncertainty to others. This is not a reason to avoid reform. It is a reason to be clear about what problem reform is intended to solve, and about whether the gains are large enough to justify the costs.</w:t>
      </w:r>
    </w:p>
    <w:p w14:paraId="5AC97A22" w14:textId="77777777" w:rsidR="00690397" w:rsidRDefault="00690397" w:rsidP="00690397">
      <w:pPr>
        <w:pStyle w:val="BodyText"/>
      </w:pPr>
      <w:r>
        <w:t xml:space="preserve">The PC’s view is that the 2018 reforms are not the only way to address the concerns that led to reform, and that </w:t>
      </w:r>
      <w:r w:rsidRPr="008869D7">
        <w:t xml:space="preserve">some </w:t>
      </w:r>
      <w:r>
        <w:t>alternatives would perform better across our assessment framework.</w:t>
      </w:r>
    </w:p>
    <w:p w14:paraId="7E5F3F64" w14:textId="77777777" w:rsidR="00690397" w:rsidRDefault="00690397" w:rsidP="00690397">
      <w:pPr>
        <w:pStyle w:val="BodyText"/>
      </w:pPr>
      <w:r>
        <w:t xml:space="preserve">This points to a reform hierarchy. The first-best response would be to return to the pre-2018 system and address the underlying issues in the mining assessment directly and transparently. This could be undertaken by the Treasurer directing the CGC to consider and address dominant-state challenges where they arise (interim recommendation 4.1). The second-best response would be to return to the pre-2018 system but with the Australian Government making direct payments to </w:t>
      </w:r>
      <w:r w:rsidRPr="00E7191E">
        <w:t>state</w:t>
      </w:r>
      <w:r>
        <w:t>s it considers to be unfairly affected</w:t>
      </w:r>
      <w:r w:rsidRPr="00E7191E">
        <w:t xml:space="preserve"> </w:t>
      </w:r>
      <w:r>
        <w:t>by dominant-state</w:t>
      </w:r>
      <w:r w:rsidRPr="00E7191E">
        <w:t xml:space="preserve"> issues</w:t>
      </w:r>
      <w:r>
        <w:t xml:space="preserve"> (interim recommendation 4.2). If neither of these options are regarded as desirable, government should improve the operation of the current system by removing the new equalisation standard, adopting a clearer floor arrangement and improving the transparency and fiscal credibility of the system by making NoWO payments permanent and removing the GST pool boost (interim recommendation 4.3).</w:t>
      </w:r>
      <w:r w:rsidDel="00533876">
        <w:t xml:space="preserve"> </w:t>
      </w:r>
    </w:p>
    <w:p w14:paraId="494D8613" w14:textId="77777777" w:rsidR="00B52C42" w:rsidRDefault="00B52C42" w:rsidP="00B52C42">
      <w:pPr>
        <w:pStyle w:val="NoSpacing"/>
      </w:pPr>
    </w:p>
    <w:tbl>
      <w:tblPr>
        <w:tblStyle w:val="TableGrid"/>
        <w:tblW w:w="5000" w:type="pct"/>
        <w:tblBorders>
          <w:top w:val="single" w:sz="4" w:space="0" w:color="2B9AC2" w:themeColor="text2"/>
          <w:left w:val="single" w:sz="4" w:space="0" w:color="2B9AC2" w:themeColor="text2"/>
          <w:bottom w:val="single" w:sz="4" w:space="0" w:color="2B9AC2" w:themeColor="text2"/>
          <w:right w:val="single" w:sz="4" w:space="0" w:color="2B9AC2" w:themeColor="text2"/>
          <w:insideH w:val="none" w:sz="0" w:space="0" w:color="auto"/>
          <w:insideV w:val="none" w:sz="0" w:space="0" w:color="auto"/>
        </w:tblBorders>
        <w:tblCellMar>
          <w:bottom w:w="113" w:type="dxa"/>
        </w:tblCellMar>
        <w:tblLook w:val="04A0" w:firstRow="1" w:lastRow="0" w:firstColumn="1" w:lastColumn="0" w:noHBand="0" w:noVBand="1"/>
      </w:tblPr>
      <w:tblGrid>
        <w:gridCol w:w="705"/>
        <w:gridCol w:w="8923"/>
      </w:tblGrid>
      <w:tr w:rsidR="00B52C42" w14:paraId="1E812792" w14:textId="77777777" w:rsidTr="00374278">
        <w:trPr>
          <w:trHeight w:val="765"/>
          <w:tblHeader/>
        </w:trPr>
        <w:tc>
          <w:tcPr>
            <w:tcW w:w="366" w:type="pct"/>
            <w:tcBorders>
              <w:bottom w:val="nil"/>
            </w:tcBorders>
            <w:tcMar>
              <w:bottom w:w="0" w:type="dxa"/>
            </w:tcMar>
            <w:vAlign w:val="center"/>
          </w:tcPr>
          <w:p w14:paraId="3E1D520E" w14:textId="77777777" w:rsidR="00B52C42" w:rsidRDefault="00B52C42" w:rsidP="00374278">
            <w:pPr>
              <w:pStyle w:val="NoSpacing"/>
              <w:keepNext/>
              <w:keepLines/>
              <w:jc w:val="right"/>
            </w:pPr>
            <w:r w:rsidRPr="00A51374">
              <w:rPr>
                <w:noProof/>
              </w:rPr>
              <w:drawing>
                <wp:inline distT="0" distB="0" distL="0" distR="0" wp14:anchorId="45131289" wp14:editId="07BAF08F">
                  <wp:extent cx="288000" cy="288000"/>
                  <wp:effectExtent l="0" t="0" r="0" b="0"/>
                  <wp:docPr id="230825936" name="Graphic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phic 39">
                            <a:extLst>
                              <a:ext uri="{C183D7F6-B498-43B3-948B-1728B52AA6E4}">
                                <adec:decorative xmlns:adec="http://schemas.microsoft.com/office/drawing/2017/decorative" val="1"/>
                              </a:ext>
                            </a:extLst>
                          </pic:cNvPr>
                          <pic:cNvPicPr/>
                        </pic:nvPicPr>
                        <pic:blipFill>
                          <a:blip r:embed="rId59">
                            <a:extLst>
                              <a:ext uri="{28A0092B-C50C-407E-A947-70E740481C1C}">
                                <a14:useLocalDpi xmlns:a14="http://schemas.microsoft.com/office/drawing/2010/main" val="0"/>
                              </a:ext>
                            </a:extLst>
                          </a:blip>
                          <a:stretch>
                            <a:fillRect/>
                          </a:stretch>
                        </pic:blipFill>
                        <pic:spPr>
                          <a:xfrm>
                            <a:off x="0" y="0"/>
                            <a:ext cx="288000" cy="288000"/>
                          </a:xfrm>
                          <a:prstGeom prst="rect">
                            <a:avLst/>
                          </a:prstGeom>
                        </pic:spPr>
                      </pic:pic>
                    </a:graphicData>
                  </a:graphic>
                </wp:inline>
              </w:drawing>
            </w:r>
          </w:p>
        </w:tc>
        <w:tc>
          <w:tcPr>
            <w:tcW w:w="4634" w:type="pct"/>
            <w:tcBorders>
              <w:bottom w:val="nil"/>
            </w:tcBorders>
            <w:tcMar>
              <w:bottom w:w="0" w:type="dxa"/>
            </w:tcMar>
            <w:vAlign w:val="center"/>
          </w:tcPr>
          <w:p w14:paraId="05E1C40C" w14:textId="0DD6D21C" w:rsidR="00B52C42" w:rsidRPr="00A4395A" w:rsidRDefault="00B52C42" w:rsidP="00374278">
            <w:pPr>
              <w:pStyle w:val="Findingtitle"/>
            </w:pPr>
            <w:r w:rsidRPr="00491877">
              <w:t xml:space="preserve">Interim </w:t>
            </w:r>
            <w:r>
              <w:t>f</w:t>
            </w:r>
            <w:r w:rsidRPr="00A4395A">
              <w:t xml:space="preserve">inding </w:t>
            </w:r>
            <w:r>
              <w:t>4</w:t>
            </w:r>
            <w:r w:rsidRPr="00A4395A">
              <w:t>.</w:t>
            </w:r>
            <w:r>
              <w:fldChar w:fldCharType="begin"/>
            </w:r>
            <w:r>
              <w:instrText>SEQ Finding \* ARABIC \s 1</w:instrText>
            </w:r>
            <w:r>
              <w:fldChar w:fldCharType="separate"/>
            </w:r>
            <w:r w:rsidR="009C08C4">
              <w:rPr>
                <w:noProof/>
              </w:rPr>
              <w:t>2</w:t>
            </w:r>
            <w:r>
              <w:fldChar w:fldCharType="end"/>
            </w:r>
          </w:p>
          <w:p w14:paraId="412AB57C" w14:textId="77777777" w:rsidR="00B52C42" w:rsidRDefault="00B52C42" w:rsidP="00374278">
            <w:pPr>
              <w:pStyle w:val="Findingtitle"/>
            </w:pPr>
            <w:r>
              <w:t>Some alternatives perform better at lower cost to HFE than the 2018 reforms</w:t>
            </w:r>
          </w:p>
        </w:tc>
      </w:tr>
      <w:tr w:rsidR="00B52C42" w14:paraId="0272D33F" w14:textId="77777777" w:rsidTr="00374278">
        <w:tc>
          <w:tcPr>
            <w:tcW w:w="5000" w:type="pct"/>
            <w:gridSpan w:val="2"/>
            <w:tcBorders>
              <w:top w:val="nil"/>
              <w:bottom w:val="single" w:sz="4" w:space="0" w:color="2B9AC2" w:themeColor="text2"/>
            </w:tcBorders>
          </w:tcPr>
          <w:p w14:paraId="5BD7D77E" w14:textId="77777777" w:rsidR="00B52C42" w:rsidRDefault="00B52C42" w:rsidP="00374278">
            <w:pPr>
              <w:pStyle w:val="BodyText"/>
              <w:keepLines/>
            </w:pPr>
            <w:r>
              <w:t xml:space="preserve">All alternatives considered by the inquiry to date involve trade-offs between equity, efficiency, fiscal sustainability and certainty. </w:t>
            </w:r>
            <w:r w:rsidRPr="00A223BC">
              <w:t xml:space="preserve">Nevertheless, </w:t>
            </w:r>
            <w:r w:rsidRPr="00550B98">
              <w:t>some alternatives have better equity outcomes than the current system, without marked costs to efficiency, state fiscal sustainability, and certainty.</w:t>
            </w:r>
          </w:p>
        </w:tc>
      </w:tr>
      <w:tr w:rsidR="00B52C42" w14:paraId="58335A11" w14:textId="77777777" w:rsidTr="00374278">
        <w:tc>
          <w:tcPr>
            <w:tcW w:w="5000" w:type="pct"/>
            <w:gridSpan w:val="2"/>
            <w:tcBorders>
              <w:top w:val="single" w:sz="4" w:space="0" w:color="2B9AC2" w:themeColor="text2"/>
              <w:left w:val="nil"/>
              <w:bottom w:val="nil"/>
              <w:right w:val="nil"/>
            </w:tcBorders>
            <w:tcMar>
              <w:bottom w:w="0" w:type="dxa"/>
            </w:tcMar>
          </w:tcPr>
          <w:p w14:paraId="0A1EBC88" w14:textId="77777777" w:rsidR="00B52C42" w:rsidRDefault="00B52C42" w:rsidP="00374278">
            <w:pPr>
              <w:pStyle w:val="NoSpacing"/>
              <w:spacing w:line="200" w:lineRule="atLeast"/>
            </w:pPr>
          </w:p>
        </w:tc>
      </w:tr>
    </w:tbl>
    <w:p w14:paraId="2239D395" w14:textId="77777777" w:rsidR="00B52C42" w:rsidRDefault="00B52C42" w:rsidP="00C066DB">
      <w:pPr>
        <w:pStyle w:val="NoSpacing"/>
      </w:pPr>
    </w:p>
    <w:p w14:paraId="076C5124" w14:textId="1D2B53C8" w:rsidR="00690397" w:rsidRDefault="00690397" w:rsidP="00690397">
      <w:pPr>
        <w:pStyle w:val="BodyText"/>
      </w:pPr>
      <w:r>
        <w:t>The inquiry’s preliminary judgment is that the key challenge faced by the pre-2018 system was the interaction between the mining assessment and dominant-state effects. Where one state dominates a particular mining revenue base, changes in that state’s policy choices can affect GST distribution outcomes in ways that are difficult to reconcile with policy neutrality. This can weaken policy neutrality and create perceptions of unfairness. But because the problem is concentrated, the policy response should be targeted and transparent, rather than blunt and opaque. The PC has identified a range of possible mining assessment adjustments to address potential dominant-state challenges (box 4.1). The final report will further explore which of these approaches might provide a principled and sustainable response to these challenges.</w:t>
      </w:r>
    </w:p>
    <w:p w14:paraId="5B31895A" w14:textId="633104F3" w:rsidR="00690397" w:rsidRDefault="00690397" w:rsidP="00303134">
      <w:pPr>
        <w:pStyle w:val="BodyText"/>
      </w:pPr>
      <w:r>
        <w:lastRenderedPageBreak/>
        <w:t>In recognition of the principal source of the challenges with the pre-2018 system, the inquiry has arrived at the following recommendations as a way of moving Australia's GST distribution system towards a system that delivers on its principal policy goal of HFE, at a lower cost to efficiency of the pre-2018 system, and at a lower cost to equity and fiscal sustainability than the current system.</w:t>
      </w:r>
    </w:p>
    <w:p w14:paraId="0C37BB04" w14:textId="77777777" w:rsidR="00F46FE2" w:rsidRDefault="00F46FE2" w:rsidP="00F46FE2">
      <w:pPr>
        <w:pStyle w:val="NoSpacing"/>
      </w:pPr>
    </w:p>
    <w:tbl>
      <w:tblPr>
        <w:tblStyle w:val="Texttable-Paleblue"/>
        <w:tblW w:w="5000" w:type="pct"/>
        <w:tblLook w:val="04A0" w:firstRow="1" w:lastRow="0" w:firstColumn="1" w:lastColumn="0" w:noHBand="0" w:noVBand="1"/>
      </w:tblPr>
      <w:tblGrid>
        <w:gridCol w:w="697"/>
        <w:gridCol w:w="8941"/>
      </w:tblGrid>
      <w:tr w:rsidR="00F46FE2" w14:paraId="0C4AF6D4" w14:textId="77777777" w:rsidTr="00374278">
        <w:trPr>
          <w:tblHeader/>
        </w:trPr>
        <w:tc>
          <w:tcPr>
            <w:tcW w:w="709" w:type="dxa"/>
            <w:shd w:val="clear" w:color="auto" w:fill="E7F6FD"/>
            <w:tcMar>
              <w:top w:w="0" w:type="dxa"/>
              <w:bottom w:w="0" w:type="dxa"/>
            </w:tcMar>
            <w:vAlign w:val="center"/>
          </w:tcPr>
          <w:p w14:paraId="510E35DC" w14:textId="77777777" w:rsidR="00F46FE2" w:rsidRDefault="00F46FE2" w:rsidP="00374278">
            <w:pPr>
              <w:keepLines/>
              <w:jc w:val="center"/>
            </w:pPr>
            <w:r w:rsidRPr="00A51374">
              <w:rPr>
                <w:noProof/>
              </w:rPr>
              <w:drawing>
                <wp:inline distT="0" distB="0" distL="0" distR="0" wp14:anchorId="5C265F42" wp14:editId="47215259">
                  <wp:extent cx="288000" cy="288000"/>
                  <wp:effectExtent l="0" t="0" r="0" b="0"/>
                  <wp:docPr id="1991190429" name="Graphic 19911904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101">
                            <a:extLst>
                              <a:ext uri="{28A0092B-C50C-407E-A947-70E740481C1C}">
                                <a14:useLocalDpi xmlns:a14="http://schemas.microsoft.com/office/drawing/2010/main" val="0"/>
                              </a:ext>
                              <a:ext uri="{96DAC541-7B7A-43D3-8B79-37D633B846F1}">
                                <asvg:svgBlip xmlns:asvg="http://schemas.microsoft.com/office/drawing/2016/SVG/main" r:embed="rId102"/>
                              </a:ext>
                            </a:extLst>
                          </a:blip>
                          <a:stretch>
                            <a:fillRect/>
                          </a:stretch>
                        </pic:blipFill>
                        <pic:spPr>
                          <a:xfrm>
                            <a:off x="0" y="0"/>
                            <a:ext cx="288000" cy="288000"/>
                          </a:xfrm>
                          <a:prstGeom prst="rect">
                            <a:avLst/>
                          </a:prstGeom>
                        </pic:spPr>
                      </pic:pic>
                    </a:graphicData>
                  </a:graphic>
                </wp:inline>
              </w:drawing>
            </w:r>
          </w:p>
        </w:tc>
        <w:tc>
          <w:tcPr>
            <w:tcW w:w="13415" w:type="dxa"/>
            <w:shd w:val="clear" w:color="auto" w:fill="E7F6FD"/>
            <w:tcMar>
              <w:top w:w="0" w:type="dxa"/>
              <w:bottom w:w="0" w:type="dxa"/>
            </w:tcMar>
            <w:vAlign w:val="center"/>
          </w:tcPr>
          <w:p w14:paraId="2935159C" w14:textId="3D8E21CB" w:rsidR="00F46FE2" w:rsidRPr="00F019A6" w:rsidRDefault="00F46FE2" w:rsidP="00374278">
            <w:pPr>
              <w:pStyle w:val="FindingRecRequesttitle"/>
            </w:pPr>
            <w:r w:rsidRPr="00354C4F">
              <w:t xml:space="preserve">Interim recommendation </w:t>
            </w:r>
            <w:r>
              <w:fldChar w:fldCharType="begin"/>
            </w:r>
            <w:r>
              <w:instrText>STYLEREF 1 \s</w:instrText>
            </w:r>
            <w:r>
              <w:fldChar w:fldCharType="separate"/>
            </w:r>
            <w:r w:rsidR="009C08C4">
              <w:rPr>
                <w:noProof/>
              </w:rPr>
              <w:t>4</w:t>
            </w:r>
            <w:r>
              <w:fldChar w:fldCharType="end"/>
            </w:r>
            <w:r w:rsidRPr="00715040">
              <w:t>.</w:t>
            </w:r>
            <w:r>
              <w:fldChar w:fldCharType="begin"/>
            </w:r>
            <w:r>
              <w:instrText>SEQ Recommendation \* ARABIC \s 1</w:instrText>
            </w:r>
            <w:r>
              <w:fldChar w:fldCharType="separate"/>
            </w:r>
            <w:r w:rsidR="009C08C4">
              <w:rPr>
                <w:noProof/>
              </w:rPr>
              <w:t>1</w:t>
            </w:r>
            <w:r>
              <w:fldChar w:fldCharType="end"/>
            </w:r>
          </w:p>
          <w:p w14:paraId="748ACF98" w14:textId="56D25C6C" w:rsidR="00F46FE2" w:rsidRPr="00354C4F" w:rsidRDefault="00F46FE2" w:rsidP="00374278">
            <w:pPr>
              <w:pStyle w:val="FindingRecRequesttitle"/>
            </w:pPr>
            <w:r w:rsidRPr="00354C4F">
              <w:t>Australia should return to</w:t>
            </w:r>
            <w:r>
              <w:t>wards</w:t>
            </w:r>
            <w:r w:rsidRPr="00354C4F">
              <w:t xml:space="preserve"> the pre-2018 system but the Australian Treasurer should direct the CGC to address dominant</w:t>
            </w:r>
            <w:r>
              <w:t>-</w:t>
            </w:r>
            <w:r w:rsidRPr="00354C4F">
              <w:t>state effects</w:t>
            </w:r>
          </w:p>
        </w:tc>
      </w:tr>
      <w:tr w:rsidR="00F46FE2" w14:paraId="1CF7ECCB" w14:textId="77777777" w:rsidTr="00374278">
        <w:tc>
          <w:tcPr>
            <w:tcW w:w="14124" w:type="dxa"/>
            <w:gridSpan w:val="2"/>
            <w:shd w:val="clear" w:color="auto" w:fill="E7F6FD"/>
            <w:tcMar>
              <w:top w:w="0" w:type="dxa"/>
            </w:tcMar>
          </w:tcPr>
          <w:p w14:paraId="32EBD931" w14:textId="77777777" w:rsidR="00F46FE2" w:rsidRDefault="00F46FE2" w:rsidP="00303134">
            <w:pPr>
              <w:pStyle w:val="BodyText"/>
            </w:pPr>
            <w:r w:rsidRPr="00232585">
              <w:t xml:space="preserve">Australia should </w:t>
            </w:r>
            <w:r>
              <w:t>move back</w:t>
            </w:r>
            <w:r w:rsidRPr="00232585">
              <w:t xml:space="preserve"> to</w:t>
            </w:r>
            <w:r>
              <w:t>wards</w:t>
            </w:r>
            <w:r w:rsidRPr="00232585">
              <w:t xml:space="preserve"> the pre-2018 </w:t>
            </w:r>
            <w:r>
              <w:t xml:space="preserve">GST distribution </w:t>
            </w:r>
            <w:r w:rsidRPr="00232585">
              <w:t xml:space="preserve">system but </w:t>
            </w:r>
            <w:r>
              <w:t>the Australian Treasurer</w:t>
            </w:r>
            <w:r w:rsidRPr="00232585">
              <w:t xml:space="preserve"> should direct the C</w:t>
            </w:r>
            <w:r>
              <w:t xml:space="preserve">ommonwealth </w:t>
            </w:r>
            <w:r w:rsidRPr="00232585">
              <w:t>G</w:t>
            </w:r>
            <w:r>
              <w:t xml:space="preserve">rants </w:t>
            </w:r>
            <w:r w:rsidRPr="00232585">
              <w:t>C</w:t>
            </w:r>
            <w:r>
              <w:t>ommission</w:t>
            </w:r>
            <w:r w:rsidRPr="00232585">
              <w:t xml:space="preserve"> </w:t>
            </w:r>
            <w:r>
              <w:t>(CGC)</w:t>
            </w:r>
            <w:r w:rsidRPr="00232585">
              <w:t xml:space="preserve"> to address</w:t>
            </w:r>
            <w:r>
              <w:t xml:space="preserve"> costly</w:t>
            </w:r>
            <w:r w:rsidRPr="00232585">
              <w:t xml:space="preserve"> dominant</w:t>
            </w:r>
            <w:r>
              <w:t>-</w:t>
            </w:r>
            <w:r w:rsidRPr="00232585">
              <w:t xml:space="preserve">state </w:t>
            </w:r>
            <w:r>
              <w:t xml:space="preserve">effects where they arise. </w:t>
            </w:r>
          </w:p>
        </w:tc>
      </w:tr>
      <w:tr w:rsidR="00F46FE2" w14:paraId="3CF0235C" w14:textId="77777777" w:rsidTr="00374278">
        <w:tc>
          <w:tcPr>
            <w:tcW w:w="14124" w:type="dxa"/>
            <w:gridSpan w:val="2"/>
            <w:shd w:val="clear" w:color="auto" w:fill="auto"/>
            <w:tcMar>
              <w:top w:w="0" w:type="dxa"/>
              <w:bottom w:w="0" w:type="dxa"/>
            </w:tcMar>
          </w:tcPr>
          <w:p w14:paraId="6E43DFDD" w14:textId="77777777" w:rsidR="00F46FE2" w:rsidRPr="007E0EA8" w:rsidRDefault="00F46FE2" w:rsidP="00374278">
            <w:pPr>
              <w:pStyle w:val="NoSpacing"/>
              <w:spacing w:line="200" w:lineRule="exact"/>
            </w:pPr>
          </w:p>
        </w:tc>
      </w:tr>
    </w:tbl>
    <w:p w14:paraId="638966D9" w14:textId="77777777" w:rsidR="00F46FE2" w:rsidRDefault="00F46FE2" w:rsidP="00F46FE2">
      <w:pPr>
        <w:pStyle w:val="NoSpacing"/>
      </w:pPr>
    </w:p>
    <w:tbl>
      <w:tblPr>
        <w:tblStyle w:val="Texttable-Paleblue"/>
        <w:tblW w:w="5000" w:type="pct"/>
        <w:tblLook w:val="04A0" w:firstRow="1" w:lastRow="0" w:firstColumn="1" w:lastColumn="0" w:noHBand="0" w:noVBand="1"/>
      </w:tblPr>
      <w:tblGrid>
        <w:gridCol w:w="713"/>
        <w:gridCol w:w="8925"/>
      </w:tblGrid>
      <w:tr w:rsidR="00F46FE2" w14:paraId="32354A64" w14:textId="77777777" w:rsidTr="00374278">
        <w:trPr>
          <w:tblHeader/>
        </w:trPr>
        <w:tc>
          <w:tcPr>
            <w:tcW w:w="713" w:type="dxa"/>
            <w:shd w:val="clear" w:color="auto" w:fill="E7F6FD"/>
            <w:tcMar>
              <w:top w:w="0" w:type="dxa"/>
              <w:bottom w:w="0" w:type="dxa"/>
            </w:tcMar>
            <w:vAlign w:val="center"/>
          </w:tcPr>
          <w:p w14:paraId="293B7849" w14:textId="77777777" w:rsidR="00F46FE2" w:rsidRDefault="00F46FE2" w:rsidP="00374278">
            <w:pPr>
              <w:keepLines/>
              <w:jc w:val="center"/>
            </w:pPr>
            <w:r w:rsidRPr="00A51374">
              <w:rPr>
                <w:noProof/>
              </w:rPr>
              <w:drawing>
                <wp:inline distT="0" distB="0" distL="0" distR="0" wp14:anchorId="64610555" wp14:editId="79168862">
                  <wp:extent cx="288000" cy="288000"/>
                  <wp:effectExtent l="0" t="0" r="0" b="0"/>
                  <wp:docPr id="1205013320" name="Graphic 12050133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101">
                            <a:extLst>
                              <a:ext uri="{28A0092B-C50C-407E-A947-70E740481C1C}">
                                <a14:useLocalDpi xmlns:a14="http://schemas.microsoft.com/office/drawing/2010/main" val="0"/>
                              </a:ext>
                              <a:ext uri="{96DAC541-7B7A-43D3-8B79-37D633B846F1}">
                                <asvg:svgBlip xmlns:asvg="http://schemas.microsoft.com/office/drawing/2016/SVG/main" r:embed="rId102"/>
                              </a:ext>
                            </a:extLst>
                          </a:blip>
                          <a:stretch>
                            <a:fillRect/>
                          </a:stretch>
                        </pic:blipFill>
                        <pic:spPr>
                          <a:xfrm>
                            <a:off x="0" y="0"/>
                            <a:ext cx="288000" cy="288000"/>
                          </a:xfrm>
                          <a:prstGeom prst="rect">
                            <a:avLst/>
                          </a:prstGeom>
                        </pic:spPr>
                      </pic:pic>
                    </a:graphicData>
                  </a:graphic>
                </wp:inline>
              </w:drawing>
            </w:r>
          </w:p>
        </w:tc>
        <w:tc>
          <w:tcPr>
            <w:tcW w:w="8925" w:type="dxa"/>
            <w:shd w:val="clear" w:color="auto" w:fill="E7F6FD"/>
            <w:tcMar>
              <w:top w:w="0" w:type="dxa"/>
              <w:bottom w:w="0" w:type="dxa"/>
            </w:tcMar>
            <w:vAlign w:val="center"/>
          </w:tcPr>
          <w:p w14:paraId="6982601C" w14:textId="40467C95" w:rsidR="00F46FE2" w:rsidRPr="00D9113A" w:rsidRDefault="00F46FE2" w:rsidP="00374278">
            <w:pPr>
              <w:pStyle w:val="FindingRecRequesttitle"/>
            </w:pPr>
            <w:r w:rsidRPr="00354C4F">
              <w:t xml:space="preserve">Interim recommendation </w:t>
            </w:r>
            <w:r>
              <w:fldChar w:fldCharType="begin"/>
            </w:r>
            <w:r>
              <w:instrText>STYLEREF 1 \s</w:instrText>
            </w:r>
            <w:r>
              <w:fldChar w:fldCharType="separate"/>
            </w:r>
            <w:r w:rsidR="009C08C4">
              <w:rPr>
                <w:noProof/>
              </w:rPr>
              <w:t>4</w:t>
            </w:r>
            <w:r>
              <w:fldChar w:fldCharType="end"/>
            </w:r>
            <w:r w:rsidRPr="00715040">
              <w:t>.</w:t>
            </w:r>
            <w:r>
              <w:fldChar w:fldCharType="begin"/>
            </w:r>
            <w:r>
              <w:instrText>SEQ Recommendation \* ARABIC \s 1</w:instrText>
            </w:r>
            <w:r>
              <w:fldChar w:fldCharType="separate"/>
            </w:r>
            <w:r w:rsidR="009C08C4">
              <w:rPr>
                <w:noProof/>
              </w:rPr>
              <w:t>2</w:t>
            </w:r>
            <w:r>
              <w:fldChar w:fldCharType="end"/>
            </w:r>
          </w:p>
          <w:p w14:paraId="49ADF8F9" w14:textId="77777777" w:rsidR="00F46FE2" w:rsidRPr="00354C4F" w:rsidRDefault="00F46FE2" w:rsidP="00374278">
            <w:pPr>
              <w:pStyle w:val="FindingRecRequesttitle"/>
            </w:pPr>
            <w:r w:rsidRPr="00354C4F">
              <w:t xml:space="preserve">If </w:t>
            </w:r>
            <w:r>
              <w:t>the Australian Government</w:t>
            </w:r>
            <w:r w:rsidRPr="00354C4F">
              <w:t xml:space="preserve"> is not minded to pursue</w:t>
            </w:r>
            <w:r>
              <w:t xml:space="preserve"> interim</w:t>
            </w:r>
            <w:r w:rsidRPr="00354C4F">
              <w:t xml:space="preserve"> recommendation </w:t>
            </w:r>
            <w:r>
              <w:t>4.</w:t>
            </w:r>
            <w:r w:rsidRPr="00354C4F">
              <w:t xml:space="preserve">1, Australia should return to a pre-2018 system and the Australian Government </w:t>
            </w:r>
            <w:r>
              <w:t xml:space="preserve">should </w:t>
            </w:r>
            <w:r w:rsidRPr="00354C4F">
              <w:t>make direct payments to states it considers are affected by dominant</w:t>
            </w:r>
            <w:r>
              <w:t>-</w:t>
            </w:r>
            <w:r w:rsidRPr="00354C4F">
              <w:t>state issues</w:t>
            </w:r>
          </w:p>
        </w:tc>
      </w:tr>
      <w:tr w:rsidR="00F46FE2" w14:paraId="0C0062BE" w14:textId="77777777" w:rsidTr="00374278">
        <w:tc>
          <w:tcPr>
            <w:tcW w:w="9638" w:type="dxa"/>
            <w:gridSpan w:val="2"/>
            <w:shd w:val="clear" w:color="auto" w:fill="E7F6FD"/>
            <w:tcMar>
              <w:top w:w="0" w:type="dxa"/>
            </w:tcMar>
          </w:tcPr>
          <w:p w14:paraId="4173A150" w14:textId="77777777" w:rsidR="00F46FE2" w:rsidRPr="00767EAE" w:rsidRDefault="00F46FE2" w:rsidP="00374278">
            <w:pPr>
              <w:pStyle w:val="BodyText"/>
            </w:pPr>
            <w:r>
              <w:t>Australia should move back towards the pre-2018 GST distribution system and it is recommended that the Australian Government make direct payments, outside of the GST pool, to states it considers materially affected by dominant-state effects.</w:t>
            </w:r>
          </w:p>
        </w:tc>
      </w:tr>
      <w:tr w:rsidR="00F46FE2" w14:paraId="66D6DE98" w14:textId="77777777" w:rsidTr="00374278">
        <w:tc>
          <w:tcPr>
            <w:tcW w:w="9638" w:type="dxa"/>
            <w:gridSpan w:val="2"/>
            <w:shd w:val="clear" w:color="auto" w:fill="auto"/>
            <w:tcMar>
              <w:top w:w="0" w:type="dxa"/>
              <w:bottom w:w="0" w:type="dxa"/>
            </w:tcMar>
          </w:tcPr>
          <w:p w14:paraId="05D8BCFD" w14:textId="77777777" w:rsidR="00F46FE2" w:rsidRPr="007E0EA8" w:rsidRDefault="00F46FE2" w:rsidP="00374278">
            <w:pPr>
              <w:pStyle w:val="NoSpacing"/>
              <w:spacing w:line="200" w:lineRule="exact"/>
            </w:pPr>
          </w:p>
        </w:tc>
      </w:tr>
    </w:tbl>
    <w:p w14:paraId="16D0D071" w14:textId="77777777" w:rsidR="00F46FE2" w:rsidRDefault="00F46FE2" w:rsidP="00690397">
      <w:pPr>
        <w:pStyle w:val="NoSpacing"/>
      </w:pPr>
    </w:p>
    <w:p w14:paraId="60E0E9D5" w14:textId="77777777" w:rsidR="00690397" w:rsidRPr="00CD43A6" w:rsidRDefault="00690397" w:rsidP="00690397">
      <w:pPr>
        <w:pStyle w:val="BodyText"/>
      </w:pPr>
      <w:bookmarkStart w:id="95" w:name="_Toc234008107"/>
      <w:r>
        <w:t xml:space="preserve">If the Australian Government were not to proceed with the PC’s preferred recommendations (interim recommendations 4.1 and 4.2) and instead chooses to leave the current system broadly in place, it should adopt the minimum changes outlined in interim recommendation 4.3. </w:t>
      </w:r>
      <w:r w:rsidRPr="00825E16">
        <w:t xml:space="preserve">Addressing </w:t>
      </w:r>
      <w:r>
        <w:t xml:space="preserve">only </w:t>
      </w:r>
      <w:r w:rsidRPr="00825E16">
        <w:t xml:space="preserve">these critical issues does not represent the PC’s preferred position, rather it represents the minimum reforms that the Australian Government should implement to </w:t>
      </w:r>
      <w:r>
        <w:t xml:space="preserve">the </w:t>
      </w:r>
      <w:r w:rsidRPr="00825E16">
        <w:t xml:space="preserve">current </w:t>
      </w:r>
      <w:r>
        <w:t xml:space="preserve">distribution system. In making these recommendations, the PC acknowledges they do not represent first-best policy and come with significant costs. In particular, the current system remains fiscally expensive for the Australian Government and hard to explain. </w:t>
      </w:r>
    </w:p>
    <w:p w14:paraId="2F778245" w14:textId="77777777" w:rsidR="00690397" w:rsidRPr="00303134" w:rsidRDefault="00690397" w:rsidP="00690397">
      <w:pPr>
        <w:pStyle w:val="BodyText"/>
        <w:rPr>
          <w:spacing w:val="-2"/>
        </w:rPr>
      </w:pPr>
      <w:r w:rsidRPr="00303134">
        <w:rPr>
          <w:spacing w:val="-2"/>
        </w:rPr>
        <w:t>The cost to the Australian Government is significant and volatile. Making the NoWO guarantee permanent requires payments of $5.7 billion ongoing at current commodity prices and creates a significant ongoing exposure to commodity prices. Removing the pool boost mitigates this but only marginally.</w:t>
      </w:r>
    </w:p>
    <w:p w14:paraId="16CD6E81" w14:textId="77777777" w:rsidR="00690397" w:rsidRDefault="00690397" w:rsidP="00690397">
      <w:pPr>
        <w:pStyle w:val="NoSpacing"/>
      </w:pPr>
    </w:p>
    <w:tbl>
      <w:tblPr>
        <w:tblStyle w:val="Texttable-Paleblue"/>
        <w:tblW w:w="5000" w:type="pct"/>
        <w:tblLook w:val="04A0" w:firstRow="1" w:lastRow="0" w:firstColumn="1" w:lastColumn="0" w:noHBand="0" w:noVBand="1"/>
      </w:tblPr>
      <w:tblGrid>
        <w:gridCol w:w="713"/>
        <w:gridCol w:w="8925"/>
      </w:tblGrid>
      <w:tr w:rsidR="004D0570" w14:paraId="76A7B930" w14:textId="77777777" w:rsidTr="00374278">
        <w:trPr>
          <w:tblHeader/>
        </w:trPr>
        <w:tc>
          <w:tcPr>
            <w:tcW w:w="713" w:type="dxa"/>
            <w:shd w:val="clear" w:color="auto" w:fill="E7F6FD"/>
            <w:tcMar>
              <w:top w:w="0" w:type="dxa"/>
              <w:bottom w:w="0" w:type="dxa"/>
            </w:tcMar>
            <w:vAlign w:val="center"/>
          </w:tcPr>
          <w:p w14:paraId="2AE182D2" w14:textId="77777777" w:rsidR="004D0570" w:rsidRDefault="004D0570" w:rsidP="00DE717F">
            <w:pPr>
              <w:keepNext/>
              <w:keepLines/>
              <w:jc w:val="center"/>
            </w:pPr>
            <w:r w:rsidRPr="00A51374">
              <w:rPr>
                <w:noProof/>
              </w:rPr>
              <w:lastRenderedPageBreak/>
              <w:drawing>
                <wp:inline distT="0" distB="0" distL="0" distR="0" wp14:anchorId="7D1BEA88" wp14:editId="33016D20">
                  <wp:extent cx="288000" cy="288000"/>
                  <wp:effectExtent l="0" t="0" r="0" b="0"/>
                  <wp:docPr id="1738894660" name="Graphic 17388946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101">
                            <a:extLst>
                              <a:ext uri="{28A0092B-C50C-407E-A947-70E740481C1C}">
                                <a14:useLocalDpi xmlns:a14="http://schemas.microsoft.com/office/drawing/2010/main" val="0"/>
                              </a:ext>
                              <a:ext uri="{96DAC541-7B7A-43D3-8B79-37D633B846F1}">
                                <asvg:svgBlip xmlns:asvg="http://schemas.microsoft.com/office/drawing/2016/SVG/main" r:embed="rId102"/>
                              </a:ext>
                            </a:extLst>
                          </a:blip>
                          <a:stretch>
                            <a:fillRect/>
                          </a:stretch>
                        </pic:blipFill>
                        <pic:spPr>
                          <a:xfrm>
                            <a:off x="0" y="0"/>
                            <a:ext cx="288000" cy="288000"/>
                          </a:xfrm>
                          <a:prstGeom prst="rect">
                            <a:avLst/>
                          </a:prstGeom>
                        </pic:spPr>
                      </pic:pic>
                    </a:graphicData>
                  </a:graphic>
                </wp:inline>
              </w:drawing>
            </w:r>
          </w:p>
        </w:tc>
        <w:tc>
          <w:tcPr>
            <w:tcW w:w="8925" w:type="dxa"/>
            <w:shd w:val="clear" w:color="auto" w:fill="E7F6FD"/>
            <w:tcMar>
              <w:top w:w="0" w:type="dxa"/>
              <w:bottom w:w="0" w:type="dxa"/>
            </w:tcMar>
            <w:vAlign w:val="center"/>
          </w:tcPr>
          <w:p w14:paraId="28646E62" w14:textId="06636D66" w:rsidR="004D0570" w:rsidRPr="00715040" w:rsidRDefault="004D0570" w:rsidP="00DE717F">
            <w:pPr>
              <w:pStyle w:val="FindingRecRequesttitle"/>
            </w:pPr>
            <w:r>
              <w:t>Interim r</w:t>
            </w:r>
            <w:r w:rsidRPr="00715040">
              <w:t xml:space="preserve">ecommendation </w:t>
            </w:r>
            <w:r>
              <w:fldChar w:fldCharType="begin"/>
            </w:r>
            <w:r>
              <w:instrText>STYLEREF 1 \s</w:instrText>
            </w:r>
            <w:r>
              <w:fldChar w:fldCharType="separate"/>
            </w:r>
            <w:r w:rsidR="009C08C4">
              <w:rPr>
                <w:noProof/>
              </w:rPr>
              <w:t>4</w:t>
            </w:r>
            <w:r>
              <w:fldChar w:fldCharType="end"/>
            </w:r>
            <w:r w:rsidRPr="00715040">
              <w:t>.</w:t>
            </w:r>
            <w:r>
              <w:fldChar w:fldCharType="begin"/>
            </w:r>
            <w:r>
              <w:instrText>SEQ Recommendation \* ARABIC \s 1</w:instrText>
            </w:r>
            <w:r>
              <w:fldChar w:fldCharType="separate"/>
            </w:r>
            <w:r w:rsidR="009C08C4">
              <w:rPr>
                <w:noProof/>
              </w:rPr>
              <w:t>3</w:t>
            </w:r>
            <w:r>
              <w:fldChar w:fldCharType="end"/>
            </w:r>
          </w:p>
          <w:p w14:paraId="2FEB7301" w14:textId="77777777" w:rsidR="004D0570" w:rsidRPr="004D0570" w:rsidRDefault="004D0570" w:rsidP="00DE717F">
            <w:pPr>
              <w:pStyle w:val="FindingRecRequesttitle"/>
              <w:rPr>
                <w:spacing w:val="-4"/>
              </w:rPr>
            </w:pPr>
            <w:r w:rsidRPr="004D0570">
              <w:rPr>
                <w:spacing w:val="-4"/>
              </w:rPr>
              <w:t>If the Australian Government does not pursue interim recommendation 4.1 or 4.2, it should make the minimum changes to address the critical issues in the current system</w:t>
            </w:r>
          </w:p>
        </w:tc>
      </w:tr>
      <w:tr w:rsidR="004D0570" w14:paraId="26F0C0A9" w14:textId="77777777" w:rsidTr="00374278">
        <w:tc>
          <w:tcPr>
            <w:tcW w:w="9638" w:type="dxa"/>
            <w:gridSpan w:val="2"/>
            <w:shd w:val="clear" w:color="auto" w:fill="E7F6FD"/>
            <w:tcMar>
              <w:top w:w="0" w:type="dxa"/>
            </w:tcMar>
          </w:tcPr>
          <w:p w14:paraId="1B785FC0" w14:textId="77777777" w:rsidR="004D0570" w:rsidRDefault="004D0570" w:rsidP="00DE717F">
            <w:pPr>
              <w:pStyle w:val="BodyText"/>
              <w:keepNext/>
              <w:keepLines/>
            </w:pPr>
            <w:r w:rsidRPr="00270968">
              <w:t xml:space="preserve">If the Australian Government </w:t>
            </w:r>
            <w:r>
              <w:t xml:space="preserve">does not </w:t>
            </w:r>
            <w:r w:rsidRPr="00270968">
              <w:t>pursue interim recommendation 4.1 or 4.2,</w:t>
            </w:r>
            <w:r>
              <w:t xml:space="preserve"> the minimum changes to address critical issues with the current system are as follows:</w:t>
            </w:r>
          </w:p>
          <w:p w14:paraId="73FDFF38" w14:textId="77777777" w:rsidR="004D0570" w:rsidRDefault="004D0570" w:rsidP="00DE717F">
            <w:pPr>
              <w:pStyle w:val="ListBullet"/>
              <w:keepNext/>
              <w:keepLines/>
            </w:pPr>
            <w:r>
              <w:t>remove the standard state benchmark</w:t>
            </w:r>
          </w:p>
          <w:p w14:paraId="72350991" w14:textId="77777777" w:rsidR="004D0570" w:rsidRDefault="004D0570" w:rsidP="00DE717F">
            <w:pPr>
              <w:pStyle w:val="ListBullet"/>
              <w:keepNext/>
              <w:keepLines/>
            </w:pPr>
            <w:r>
              <w:t>remove the pool boost</w:t>
            </w:r>
          </w:p>
          <w:p w14:paraId="77BCF430" w14:textId="77777777" w:rsidR="004D0570" w:rsidRPr="00767EAE" w:rsidRDefault="004D0570" w:rsidP="00DE717F">
            <w:pPr>
              <w:pStyle w:val="ListBullet"/>
              <w:keepNext/>
              <w:keepLines/>
            </w:pPr>
            <w:r>
              <w:t>make the No Worse Off guarantee, or broadly equivalent payments outside of the GST distribution system, to the states permanent.</w:t>
            </w:r>
          </w:p>
        </w:tc>
      </w:tr>
    </w:tbl>
    <w:p w14:paraId="68EAF559" w14:textId="77777777" w:rsidR="00690397" w:rsidRPr="006F47BC" w:rsidRDefault="00690397" w:rsidP="002B58E2">
      <w:pPr>
        <w:pStyle w:val="Heading2"/>
      </w:pPr>
      <w:bookmarkStart w:id="96" w:name="_Toc235447996"/>
      <w:bookmarkStart w:id="97" w:name="_Toc234579120"/>
      <w:bookmarkStart w:id="98" w:name="_Toc236746620"/>
      <w:bookmarkStart w:id="99" w:name="_Toc236904080"/>
      <w:r w:rsidRPr="002B58E2">
        <w:t>Implementation</w:t>
      </w:r>
      <w:r>
        <w:t xml:space="preserve"> considerations</w:t>
      </w:r>
      <w:bookmarkEnd w:id="95"/>
      <w:bookmarkEnd w:id="96"/>
      <w:bookmarkEnd w:id="97"/>
      <w:bookmarkEnd w:id="98"/>
      <w:bookmarkEnd w:id="99"/>
    </w:p>
    <w:p w14:paraId="18D34CE6" w14:textId="77777777" w:rsidR="00690397" w:rsidRDefault="00690397" w:rsidP="00690397">
      <w:pPr>
        <w:pStyle w:val="BodyText"/>
        <w:rPr>
          <w:kern w:val="2"/>
          <w:lang w:eastAsia="en-AU"/>
          <w14:ligatures w14:val="standardContextual"/>
        </w:rPr>
      </w:pPr>
      <w:r w:rsidRPr="00D353F3">
        <w:t xml:space="preserve">Whatever GST distribution system is ultimately recommended in the </w:t>
      </w:r>
      <w:r>
        <w:t xml:space="preserve">PC’s </w:t>
      </w:r>
      <w:r w:rsidRPr="00D353F3">
        <w:t>final report,</w:t>
      </w:r>
      <w:r>
        <w:t xml:space="preserve"> the structure and path of implementation will matter. Changes to the GST distribution system can have large fiscal effects on individual states, and even well-designed reforms may be difficult to sustain if they are introduced abruptly or through unclear institutional pathways. The legal route to implementation will depend on the nature of the reform. Retaining the 2018 framework but changing the benchmark or floor would require legislative amendment. Returning to the pre-2018 system would require repeal of the current legislative settings. More targeted changes to the CGC’s methodology can be achieved through a Treasurer’s direction</w:t>
      </w:r>
      <w:r w:rsidDel="00FC5308">
        <w:t xml:space="preserve"> </w:t>
      </w:r>
      <w:r>
        <w:t>in the CGC’s terms of reference.</w:t>
      </w:r>
    </w:p>
    <w:p w14:paraId="7D39C6CD" w14:textId="77777777" w:rsidR="00690397" w:rsidRDefault="00690397" w:rsidP="00690397">
      <w:pPr>
        <w:pStyle w:val="BodyText"/>
        <w:rPr>
          <w:kern w:val="2"/>
          <w:lang w:eastAsia="en-AU"/>
          <w14:ligatures w14:val="standardContextual"/>
        </w:rPr>
      </w:pPr>
      <w:r>
        <w:t>Transitional arrangements may also be necessary. If reform produces large negative fiscal effects for a particular jurisdiction, it may be necessary to consider phasing-in the reform. Such measures are not costless. A temporary guarantee may soften incentives to adjust and can obscure the true effects of reform. A permanent guarantee can lock in an additional Commonwealth liability and undermine the internal logic of the system. These trade-offs suggest that transitional measures should be designed to support adjustment, not to avoid it indefinitely.</w:t>
      </w:r>
    </w:p>
    <w:p w14:paraId="2C8CAFF8" w14:textId="77777777" w:rsidR="00690397" w:rsidRDefault="00690397" w:rsidP="00690397">
      <w:pPr>
        <w:pStyle w:val="BodyText"/>
        <w:rPr>
          <w:kern w:val="2"/>
          <w:lang w:eastAsia="en-AU"/>
          <w14:ligatures w14:val="standardContextual"/>
        </w:rPr>
      </w:pPr>
      <w:r>
        <w:t>Implementation also requires clarity about the objectives of reform. If the purpose is to improve policy neutrality in the mining assessment, then the reform package should be judged by whether it achieves that, not by whether it reproduces a preferred distributional outcome. If the purpose is instead to reduce volatility or improve certainty, that should be stated plainly. There is no free lunch. Clear objectives matter because they shape both the design of reform and the way it is communicated. In an area as contested as GST distribution, transparency about purpose and method is essential to institutional durability.</w:t>
      </w:r>
    </w:p>
    <w:p w14:paraId="2C477C8F" w14:textId="77777777" w:rsidR="00690397" w:rsidRDefault="00690397" w:rsidP="00690397">
      <w:pPr>
        <w:pStyle w:val="BodyText"/>
      </w:pPr>
      <w:r>
        <w:t xml:space="preserve">For these reasons, implementation issues are not an afterthought. They are part of the policy judgment itself. A theoretically attractive model that depends on opaque compensation arrangements, open-ended guarantees or poorly explained discretion may perform badly in practice. By contrast, a slightly less ambitious reform that is transparent, well-targeted and institutionally workable may offer a more credible basis for long-term improvement. </w:t>
      </w:r>
    </w:p>
    <w:p w14:paraId="6583E002" w14:textId="77777777" w:rsidR="009A0424" w:rsidRDefault="00690397" w:rsidP="00690397">
      <w:pPr>
        <w:pStyle w:val="BodyText"/>
        <w:sectPr w:rsidR="009A0424" w:rsidSect="00782BF5">
          <w:headerReference w:type="default" r:id="rId103"/>
          <w:footerReference w:type="even" r:id="rId104"/>
          <w:footerReference w:type="default" r:id="rId105"/>
          <w:headerReference w:type="first" r:id="rId106"/>
          <w:footnotePr>
            <w:numRestart w:val="eachSect"/>
          </w:footnotePr>
          <w:type w:val="oddPage"/>
          <w:pgSz w:w="11906" w:h="16838" w:code="9"/>
          <w:pgMar w:top="1134" w:right="1134" w:bottom="1134" w:left="1134" w:header="794" w:footer="510" w:gutter="0"/>
          <w:cols w:space="708"/>
          <w:docGrid w:linePitch="360"/>
        </w:sectPr>
      </w:pPr>
      <w:r>
        <w:t xml:space="preserve">More broadly, the GST distribution system does not operate in isolation. Equalisation interacts with tied funding, non-GST Commonwealth payments, Commonwealth policy choices and the broader institutions through which intergovernmental fiscal decisions are made. Such governance related issues, and the inquiry’s interim recommendations on them, are detailed in chapter 5. </w:t>
      </w:r>
      <w:r w:rsidR="000A62ED">
        <w:t xml:space="preserve"> </w:t>
      </w:r>
    </w:p>
    <w:p w14:paraId="6ED78F7C" w14:textId="77777777" w:rsidR="002B1EB6" w:rsidRDefault="002B1EB6" w:rsidP="00690397">
      <w:pPr>
        <w:pStyle w:val="BodyText"/>
      </w:pPr>
    </w:p>
    <w:p w14:paraId="1F83164F" w14:textId="77777777" w:rsidR="009A0424" w:rsidRDefault="009A0424" w:rsidP="00690397">
      <w:pPr>
        <w:pStyle w:val="BodyText"/>
      </w:pPr>
    </w:p>
    <w:p w14:paraId="02B25F9E" w14:textId="4D824E05" w:rsidR="009A0424" w:rsidRDefault="009A0424" w:rsidP="00690397">
      <w:pPr>
        <w:pStyle w:val="BodyText"/>
        <w:sectPr w:rsidR="009A0424" w:rsidSect="009A0424">
          <w:headerReference w:type="even" r:id="rId107"/>
          <w:footnotePr>
            <w:numRestart w:val="eachSect"/>
          </w:footnotePr>
          <w:pgSz w:w="11906" w:h="16838" w:code="9"/>
          <w:pgMar w:top="1134" w:right="1134" w:bottom="1134" w:left="1134" w:header="794" w:footer="510" w:gutter="0"/>
          <w:cols w:space="708"/>
          <w:docGrid w:linePitch="360"/>
        </w:sectPr>
      </w:pPr>
    </w:p>
    <w:p w14:paraId="28DD99DE" w14:textId="77777777" w:rsidR="00B419F5" w:rsidRDefault="00B419F5" w:rsidP="0035463C">
      <w:pPr>
        <w:pStyle w:val="Heading1"/>
      </w:pPr>
      <w:bookmarkStart w:id="100" w:name="_Toc236904081"/>
      <w:r>
        <w:lastRenderedPageBreak/>
        <w:t>Governance arrangements for an effective FFR system</w:t>
      </w:r>
      <w:bookmarkEnd w:id="100"/>
    </w:p>
    <w:p w14:paraId="586495AA" w14:textId="2BB6A5F1" w:rsidR="00B419F5" w:rsidRPr="002070E1" w:rsidRDefault="00B419F5">
      <w:pPr>
        <w:pStyle w:val="BodyText"/>
      </w:pPr>
      <w:r w:rsidRPr="002070E1">
        <w:t xml:space="preserve">With the </w:t>
      </w:r>
      <w:r>
        <w:t>Australian Government</w:t>
      </w:r>
      <w:r w:rsidRPr="002070E1">
        <w:t xml:space="preserve"> transferring almost $200 billion</w:t>
      </w:r>
      <w:r w:rsidRPr="00201B0D">
        <w:rPr>
          <w:rStyle w:val="FootnoteReference"/>
        </w:rPr>
        <w:footnoteReference w:id="50"/>
      </w:r>
      <w:r w:rsidRPr="002070E1">
        <w:t xml:space="preserve"> to the states</w:t>
      </w:r>
      <w:r>
        <w:t xml:space="preserve"> and territories (hereafter </w:t>
      </w:r>
      <w:r w:rsidR="00AE1173">
        <w:t>‘</w:t>
      </w:r>
      <w:r>
        <w:t>states</w:t>
      </w:r>
      <w:r w:rsidR="00AE1173">
        <w:t>’</w:t>
      </w:r>
      <w:r>
        <w:t>)</w:t>
      </w:r>
      <w:r w:rsidRPr="002070E1">
        <w:t xml:space="preserve"> each year, it is essential that the governance structures in place to manage these transfers are both administratively efficient and effectively deliver policy objectives. Sound governance arrangements can enhance accountability, public trust and assist governments to set and implement their strategic objectives.</w:t>
      </w:r>
    </w:p>
    <w:p w14:paraId="25CE878E" w14:textId="77777777" w:rsidR="00B419F5" w:rsidRDefault="00B419F5">
      <w:pPr>
        <w:pStyle w:val="BodyText"/>
      </w:pPr>
      <w:r w:rsidRPr="002070E1">
        <w:t xml:space="preserve">This </w:t>
      </w:r>
      <w:r>
        <w:t>chapter</w:t>
      </w:r>
      <w:r w:rsidRPr="002070E1">
        <w:t xml:space="preserve"> examines some key governance aspects of Australia’s</w:t>
      </w:r>
      <w:r>
        <w:t xml:space="preserve"> horizontal fiscal equalisation</w:t>
      </w:r>
      <w:r w:rsidRPr="002070E1">
        <w:t xml:space="preserve"> </w:t>
      </w:r>
      <w:r>
        <w:t>(</w:t>
      </w:r>
      <w:r w:rsidRPr="002070E1">
        <w:t>HFE</w:t>
      </w:r>
      <w:r>
        <w:t>)</w:t>
      </w:r>
      <w:r w:rsidRPr="002070E1">
        <w:t xml:space="preserve"> </w:t>
      </w:r>
      <w:r>
        <w:t xml:space="preserve">and broader federal financial relations (FFR) </w:t>
      </w:r>
      <w:r w:rsidRPr="002070E1">
        <w:t xml:space="preserve">system, and whether there are opportunities to strengthen these going forward. </w:t>
      </w:r>
      <w:r>
        <w:t>It</w:t>
      </w:r>
      <w:r w:rsidRPr="00305E8B">
        <w:t xml:space="preserve"> </w:t>
      </w:r>
      <w:r>
        <w:t>considers:</w:t>
      </w:r>
    </w:p>
    <w:p w14:paraId="7F332288" w14:textId="6A208BA0" w:rsidR="00B419F5" w:rsidRDefault="00B419F5" w:rsidP="00B419F5">
      <w:pPr>
        <w:pStyle w:val="ListBullet"/>
      </w:pPr>
      <w:r>
        <w:t>how the CGC exercises its functions in the HFE system (section 5.1)</w:t>
      </w:r>
    </w:p>
    <w:p w14:paraId="67C0B457" w14:textId="77777777" w:rsidR="00B419F5" w:rsidRDefault="00B419F5" w:rsidP="00B419F5">
      <w:pPr>
        <w:pStyle w:val="ListBullet"/>
      </w:pPr>
      <w:r>
        <w:t>the case for ongoing monitoring of outcomes if a HFE system that advantages one or more states is maintained (section 5.2)</w:t>
      </w:r>
    </w:p>
    <w:p w14:paraId="66D34E09" w14:textId="77777777" w:rsidR="00B419F5" w:rsidRDefault="00B419F5" w:rsidP="00B419F5">
      <w:pPr>
        <w:pStyle w:val="ListBullet"/>
      </w:pPr>
      <w:r>
        <w:t>whether non</w:t>
      </w:r>
      <w:r>
        <w:noBreakHyphen/>
        <w:t>GST Commonwealth payments can be administered more efficiently (section 5.3)</w:t>
      </w:r>
    </w:p>
    <w:p w14:paraId="5365A6B4" w14:textId="77777777" w:rsidR="00B419F5" w:rsidRDefault="00B419F5" w:rsidP="00B419F5">
      <w:pPr>
        <w:pStyle w:val="ListBullet"/>
      </w:pPr>
      <w:r>
        <w:t xml:space="preserve">the operation of the </w:t>
      </w:r>
      <w:r w:rsidRPr="002070E1">
        <w:t>Council on Federal Financial Relations (CFFR)</w:t>
      </w:r>
      <w:r>
        <w:t xml:space="preserve"> (section 5.4)</w:t>
      </w:r>
    </w:p>
    <w:p w14:paraId="7DB935C2" w14:textId="77777777" w:rsidR="00B419F5" w:rsidRDefault="00B419F5" w:rsidP="00B419F5">
      <w:pPr>
        <w:pStyle w:val="ListBullet"/>
      </w:pPr>
      <w:r>
        <w:t>opportunities to improve governments’ fiscal transparency (section 5.5).</w:t>
      </w:r>
    </w:p>
    <w:p w14:paraId="455042AC" w14:textId="77777777" w:rsidR="00B419F5" w:rsidRPr="002070E1" w:rsidRDefault="00B419F5" w:rsidP="008647E2">
      <w:pPr>
        <w:pStyle w:val="Heading2"/>
      </w:pPr>
      <w:bookmarkStart w:id="101" w:name="_Toc234008109"/>
      <w:bookmarkStart w:id="102" w:name="_Toc235447998"/>
      <w:bookmarkStart w:id="103" w:name="_Toc234579122"/>
      <w:bookmarkStart w:id="104" w:name="_Toc236904082"/>
      <w:r w:rsidRPr="002070E1">
        <w:t>The CGC’s approach to exercising its key functions is broadly sound</w:t>
      </w:r>
      <w:bookmarkEnd w:id="101"/>
      <w:bookmarkEnd w:id="102"/>
      <w:bookmarkEnd w:id="103"/>
      <w:bookmarkEnd w:id="104"/>
    </w:p>
    <w:p w14:paraId="331A893E" w14:textId="77777777" w:rsidR="00B419F5" w:rsidRPr="002070E1" w:rsidRDefault="00B419F5">
      <w:r w:rsidRPr="002070E1">
        <w:t xml:space="preserve">While ultimate policy responsibility for the HFE system lies with the </w:t>
      </w:r>
      <w:r>
        <w:t>Australian Government</w:t>
      </w:r>
      <w:r w:rsidRPr="002070E1">
        <w:t xml:space="preserve">, it is the CGC’s independent assessments and recommendations that underpin the annual distribution of GST revenue and give practical effect to how equalisation is undertaken. </w:t>
      </w:r>
    </w:p>
    <w:p w14:paraId="1C0FD150" w14:textId="77777777" w:rsidR="00B419F5" w:rsidRPr="002070E1" w:rsidRDefault="00B419F5">
      <w:r w:rsidRPr="002070E1">
        <w:t xml:space="preserve">The </w:t>
      </w:r>
      <w:r>
        <w:t>Productivity Commission</w:t>
      </w:r>
      <w:r w:rsidRPr="002070E1">
        <w:t xml:space="preserve"> has examined the CGC’s operations with respect to a number of considerations – namely whether the CGC is sufficiently independent; whether it is consultative in its work; and whether suitable transparency measures are in place.</w:t>
      </w:r>
    </w:p>
    <w:p w14:paraId="25DDAFF9" w14:textId="77777777" w:rsidR="00B419F5" w:rsidRDefault="00B419F5">
      <w:pPr>
        <w:spacing w:after="0"/>
      </w:pPr>
      <w:r w:rsidRPr="002070E1">
        <w:t>The PC’s overall assessment is that the CGC has the structure, procedures and capabilities to undertake its role well</w:t>
      </w:r>
      <w:r>
        <w:t>. This is a key prerequisite for a stable and broadly supported HFE system (noting that some tension is unavoidable when large amounts of funding is allocated across governments)</w:t>
      </w:r>
      <w:r w:rsidRPr="002070E1">
        <w:t xml:space="preserve">. </w:t>
      </w:r>
    </w:p>
    <w:p w14:paraId="44B4A8FE" w14:textId="77777777" w:rsidR="00B419F5" w:rsidRPr="002070E1" w:rsidRDefault="00B419F5">
      <w:pPr>
        <w:spacing w:after="0"/>
      </w:pPr>
      <w:r w:rsidRPr="002070E1">
        <w:t xml:space="preserve">However, given the importance of the CGC’s assessments to states’ GST revenue allocations, and consequently for the broader community, it is important that the CGC strives to continuously improve how it undertakes its work. Accordingly, the PC has identified some areas where </w:t>
      </w:r>
      <w:r>
        <w:t xml:space="preserve">there may be opportunities for further improvement. </w:t>
      </w:r>
    </w:p>
    <w:p w14:paraId="61C3E154" w14:textId="77777777" w:rsidR="00B419F5" w:rsidRPr="002070E1" w:rsidRDefault="00B419F5">
      <w:pPr>
        <w:pStyle w:val="Heading3"/>
      </w:pPr>
      <w:r w:rsidRPr="002070E1">
        <w:lastRenderedPageBreak/>
        <w:t>The CGC’s independence is central to its effectiveness</w:t>
      </w:r>
    </w:p>
    <w:p w14:paraId="32A8312D" w14:textId="77777777" w:rsidR="00B419F5" w:rsidRDefault="00B419F5">
      <w:pPr>
        <w:pStyle w:val="BodyText"/>
      </w:pPr>
      <w:r w:rsidRPr="002070E1">
        <w:t xml:space="preserve">The CGC is an independent statutory </w:t>
      </w:r>
      <w:r>
        <w:t>authority</w:t>
      </w:r>
      <w:r w:rsidRPr="002070E1">
        <w:t xml:space="preserve">, </w:t>
      </w:r>
      <w:r>
        <w:t>operating</w:t>
      </w:r>
      <w:r w:rsidRPr="002070E1">
        <w:t xml:space="preserve"> under its own Act and led by Commissioners who are appointed for fixed terms</w:t>
      </w:r>
      <w:r>
        <w:t xml:space="preserve"> of up to 5 years</w:t>
      </w:r>
      <w:r w:rsidRPr="002070E1">
        <w:t>. These features support the CGC to undertake its functions at arm</w:t>
      </w:r>
      <w:r>
        <w:t>’</w:t>
      </w:r>
      <w:r w:rsidRPr="002070E1">
        <w:t>s</w:t>
      </w:r>
      <w:r>
        <w:t xml:space="preserve"> </w:t>
      </w:r>
      <w:r w:rsidRPr="002070E1">
        <w:t>length from government</w:t>
      </w:r>
      <w:r>
        <w:t>s</w:t>
      </w:r>
      <w:r w:rsidRPr="002070E1">
        <w:t xml:space="preserve"> and reduces the risk – or any perception – that its recommendations are influenced by political considerations</w:t>
      </w:r>
      <w:r>
        <w:t>. This</w:t>
      </w:r>
      <w:r w:rsidRPr="002070E1">
        <w:t xml:space="preserve"> support</w:t>
      </w:r>
      <w:r>
        <w:t>s</w:t>
      </w:r>
      <w:r w:rsidRPr="002070E1">
        <w:t xml:space="preserve"> the legitimacy, credibility and perceived fairness of the system.</w:t>
      </w:r>
      <w:r>
        <w:t xml:space="preserve"> </w:t>
      </w:r>
    </w:p>
    <w:p w14:paraId="79736722" w14:textId="77777777" w:rsidR="00B419F5" w:rsidRPr="002070E1" w:rsidRDefault="00B419F5">
      <w:pPr>
        <w:pStyle w:val="BodyText"/>
      </w:pPr>
      <w:r w:rsidRPr="002070E1">
        <w:t>The CGC’s independence also supports the long</w:t>
      </w:r>
      <w:r>
        <w:noBreakHyphen/>
      </w:r>
      <w:r w:rsidRPr="002070E1">
        <w:t>term planning and capability</w:t>
      </w:r>
      <w:r>
        <w:noBreakHyphen/>
      </w:r>
      <w:r w:rsidRPr="002070E1">
        <w:t xml:space="preserve">building it needs to perform its role effectively. This includes maintaining enduring relationships with state </w:t>
      </w:r>
      <w:r>
        <w:t>t</w:t>
      </w:r>
      <w:r w:rsidRPr="002070E1">
        <w:t>reasuries, investing in specialised data systems and progressing forward work programs, as well as supporting the CGC to preserve its ‘institutional memory’.</w:t>
      </w:r>
    </w:p>
    <w:p w14:paraId="5B4870BF" w14:textId="77777777" w:rsidR="00B419F5" w:rsidRPr="002070E1" w:rsidRDefault="00B419F5">
      <w:pPr>
        <w:pStyle w:val="Heading3"/>
      </w:pPr>
      <w:r w:rsidRPr="002070E1">
        <w:t>The CGC is consultative and has good working relationships with states</w:t>
      </w:r>
    </w:p>
    <w:p w14:paraId="051A30B9" w14:textId="77777777" w:rsidR="00B419F5" w:rsidRPr="002070E1" w:rsidRDefault="00B419F5">
      <w:pPr>
        <w:pStyle w:val="BodyText"/>
      </w:pPr>
      <w:r w:rsidRPr="002070E1">
        <w:t>The PC consistently heard from state governments that they generally have developed good working relationships with the CGC. States broadly indicated that the CGC has been comprehensive and helpful when responding to their requests for information and clarification. They also reported that the CGC consistently provides the data and methodological information they need to be able to simulate the likely impacts of policy changes on their GST distribution and to forecast future</w:t>
      </w:r>
      <w:r>
        <w:t xml:space="preserve"> GST</w:t>
      </w:r>
      <w:r w:rsidRPr="002070E1">
        <w:t xml:space="preserve"> relativities (while noting that these activities are still subject to a degree of inherent uncertainty). </w:t>
      </w:r>
    </w:p>
    <w:p w14:paraId="58CBDACF" w14:textId="3DE43B04" w:rsidR="00B419F5" w:rsidRPr="002070E1" w:rsidRDefault="00B419F5">
      <w:pPr>
        <w:pStyle w:val="BodyText"/>
      </w:pPr>
      <w:r w:rsidRPr="002070E1">
        <w:t xml:space="preserve">States have formal opportunities to contribute to the CGC’s work. As part of each annual update, </w:t>
      </w:r>
      <w:r w:rsidRPr="00E2164F">
        <w:t>states are consulted for their views on new issues that could be considered by the</w:t>
      </w:r>
      <w:r>
        <w:t xml:space="preserve"> CGC.</w:t>
      </w:r>
      <w:r w:rsidRPr="002070E1">
        <w:t xml:space="preserve"> States</w:t>
      </w:r>
      <w:r>
        <w:t xml:space="preserve"> are also consulted throughout</w:t>
      </w:r>
      <w:r w:rsidRPr="002070E1" w:rsidDel="00CC6F34">
        <w:t xml:space="preserve"> </w:t>
      </w:r>
      <w:r w:rsidRPr="002070E1">
        <w:t xml:space="preserve">the CGC’s </w:t>
      </w:r>
      <w:r>
        <w:t>5</w:t>
      </w:r>
      <w:r>
        <w:noBreakHyphen/>
      </w:r>
      <w:r w:rsidRPr="002070E1">
        <w:t xml:space="preserve">yearly methodological reviews, including on its proposed approach and work program, on its assessment methods and data sources, and in response to its draft report </w:t>
      </w:r>
      <w:r w:rsidR="00546FEC" w:rsidRPr="00546FEC">
        <w:rPr>
          <w:rFonts w:cs="Open Sans"/>
        </w:rPr>
        <w:t>(CGC 2025c)</w:t>
      </w:r>
      <w:r w:rsidRPr="002070E1">
        <w:t xml:space="preserve">. </w:t>
      </w:r>
    </w:p>
    <w:p w14:paraId="1F961A7B" w14:textId="77777777" w:rsidR="00B419F5" w:rsidRPr="002070E1" w:rsidRDefault="00B419F5">
      <w:pPr>
        <w:pStyle w:val="BodyText"/>
      </w:pPr>
      <w:r w:rsidRPr="002070E1">
        <w:t>The CGC has undertaken further steps to deepen its engagement with state governments. This includes establishing a forward work program – which states will have input into and will receive updates on – that will advance research on significant topics ahead of the next methodological review (</w:t>
      </w:r>
      <w:r>
        <w:t>CGC, sub. 34, p. 20)</w:t>
      </w:r>
      <w:r w:rsidRPr="002070E1">
        <w:t xml:space="preserve">. The CGC has established a Data Working Group with states </w:t>
      </w:r>
      <w:r w:rsidRPr="007B1DA9">
        <w:rPr>
          <w:i/>
        </w:rPr>
        <w:t>‘to discuss data issues and ways to improve the CGC’s data processes and procedures’</w:t>
      </w:r>
      <w:r>
        <w:t xml:space="preserve"> </w:t>
      </w:r>
      <w:r w:rsidRPr="002070E1">
        <w:t>(</w:t>
      </w:r>
      <w:r>
        <w:t>CGC, sub. 34, p. 21)</w:t>
      </w:r>
      <w:r w:rsidRPr="002070E1">
        <w:t>. These are positive initiatives.</w:t>
      </w:r>
    </w:p>
    <w:p w14:paraId="5C82AE02" w14:textId="77777777" w:rsidR="00B419F5" w:rsidRPr="002070E1" w:rsidRDefault="00B419F5">
      <w:pPr>
        <w:pStyle w:val="BodyText"/>
      </w:pPr>
      <w:r w:rsidRPr="002070E1">
        <w:t>Taken together, this evidence suggests that the CGC’s engagement with states, and the processes that support this engagement, are broadly effective.</w:t>
      </w:r>
    </w:p>
    <w:p w14:paraId="1C5A6DF4" w14:textId="77777777" w:rsidR="00B419F5" w:rsidRPr="002070E1" w:rsidRDefault="00B419F5">
      <w:pPr>
        <w:pStyle w:val="Heading3"/>
      </w:pPr>
      <w:r w:rsidRPr="002070E1">
        <w:t xml:space="preserve">And while the CGC’s work is reasonably transparent … </w:t>
      </w:r>
    </w:p>
    <w:p w14:paraId="5438DA58" w14:textId="77777777" w:rsidR="00B419F5" w:rsidRPr="002070E1" w:rsidRDefault="00B419F5">
      <w:pPr>
        <w:pStyle w:val="BodyText"/>
      </w:pPr>
      <w:r w:rsidRPr="002070E1">
        <w:t>The CGC demonstrates a reasonable degree of transparency when undertaking its work.</w:t>
      </w:r>
    </w:p>
    <w:p w14:paraId="241D3E5B" w14:textId="0B53D86E" w:rsidR="00B419F5" w:rsidRPr="002070E1" w:rsidRDefault="00B419F5">
      <w:pPr>
        <w:pStyle w:val="BodyText"/>
      </w:pPr>
      <w:r w:rsidRPr="002070E1">
        <w:t xml:space="preserve">The CGC </w:t>
      </w:r>
      <w:r>
        <w:t>publishes</w:t>
      </w:r>
      <w:r w:rsidRPr="002070E1">
        <w:t xml:space="preserve"> the methodology it uses for its annual updates</w:t>
      </w:r>
      <w:r>
        <w:t xml:space="preserve"> on its website </w:t>
      </w:r>
      <w:r w:rsidR="00546FEC" w:rsidRPr="00546FEC">
        <w:rPr>
          <w:rFonts w:cs="Open Sans"/>
        </w:rPr>
        <w:t>(CGC 2025f)</w:t>
      </w:r>
      <w:r w:rsidRPr="002070E1">
        <w:t xml:space="preserve">. It also </w:t>
      </w:r>
      <w:r>
        <w:t>publishes the</w:t>
      </w:r>
      <w:r w:rsidRPr="002070E1">
        <w:t xml:space="preserve"> new issues it </w:t>
      </w:r>
      <w:r>
        <w:t>considered</w:t>
      </w:r>
      <w:r w:rsidRPr="002070E1">
        <w:t xml:space="preserve"> as part of </w:t>
      </w:r>
      <w:r>
        <w:t>each annual</w:t>
      </w:r>
      <w:r w:rsidRPr="002070E1">
        <w:t xml:space="preserve"> update and sets out (after </w:t>
      </w:r>
      <w:r>
        <w:t>considering</w:t>
      </w:r>
      <w:r w:rsidRPr="002070E1">
        <w:t xml:space="preserve"> the views of states) its decisions on how it will respond to these issues as well as its underlying rationale</w:t>
      </w:r>
      <w:r>
        <w:t xml:space="preserve"> </w:t>
      </w:r>
      <w:r w:rsidR="00546FEC" w:rsidRPr="00546FEC">
        <w:rPr>
          <w:rFonts w:cs="Open Sans"/>
        </w:rPr>
        <w:t>(CGC 2026g)</w:t>
      </w:r>
      <w:r w:rsidRPr="002070E1">
        <w:t>.</w:t>
      </w:r>
    </w:p>
    <w:p w14:paraId="10EE017A" w14:textId="6E06FB87" w:rsidR="00B419F5" w:rsidRPr="002070E1" w:rsidRDefault="00B419F5">
      <w:pPr>
        <w:pStyle w:val="BodyText"/>
      </w:pPr>
      <w:r w:rsidRPr="002070E1">
        <w:t>The key outputs of the annual update are reported transparently.</w:t>
      </w:r>
      <w:r>
        <w:t xml:space="preserve"> The CGC’s recommended GST relativities and</w:t>
      </w:r>
      <w:r w:rsidRPr="002070E1">
        <w:t xml:space="preserve"> relevant supporting data are published on the CGC’s website. The recommendations are also communicated through a media release</w:t>
      </w:r>
      <w:r w:rsidDel="00F2308E">
        <w:t xml:space="preserve"> </w:t>
      </w:r>
      <w:r w:rsidR="00546FEC" w:rsidRPr="00546FEC">
        <w:rPr>
          <w:rFonts w:cs="Open Sans"/>
        </w:rPr>
        <w:t>(CGC 2026d)</w:t>
      </w:r>
      <w:r w:rsidRPr="002070E1">
        <w:t xml:space="preserve">. </w:t>
      </w:r>
    </w:p>
    <w:p w14:paraId="15BB65B0" w14:textId="25F6D38C" w:rsidR="00B419F5" w:rsidRPr="002070E1" w:rsidRDefault="00B419F5">
      <w:pPr>
        <w:pStyle w:val="BodyText"/>
      </w:pPr>
      <w:r w:rsidRPr="002070E1">
        <w:t xml:space="preserve">Similarly, there is considerable transparency around the CGC’s </w:t>
      </w:r>
      <w:r>
        <w:t>5</w:t>
      </w:r>
      <w:r>
        <w:noBreakHyphen/>
      </w:r>
      <w:r w:rsidRPr="002070E1">
        <w:t xml:space="preserve">yearly methodological reviews. The process through which these reviews are undertaken is clearly defined, state submissions are </w:t>
      </w:r>
      <w:r w:rsidRPr="002070E1">
        <w:lastRenderedPageBreak/>
        <w:t>published, and the CGC’s decisions and the reasons for these are documented (often with reference to how it has considered state feedback)</w:t>
      </w:r>
      <w:r>
        <w:t xml:space="preserve"> </w:t>
      </w:r>
      <w:r w:rsidR="00546FEC" w:rsidRPr="00546FEC">
        <w:rPr>
          <w:rFonts w:cs="Open Sans"/>
        </w:rPr>
        <w:t>(CGC 2025b)</w:t>
      </w:r>
      <w:r w:rsidRPr="002070E1">
        <w:t>.</w:t>
      </w:r>
    </w:p>
    <w:p w14:paraId="5138C589" w14:textId="47526BA2" w:rsidR="00B419F5" w:rsidRPr="002070E1" w:rsidRDefault="00B419F5">
      <w:pPr>
        <w:pStyle w:val="BodyText"/>
      </w:pPr>
      <w:r>
        <w:t>In addition, t</w:t>
      </w:r>
      <w:r w:rsidRPr="002070E1">
        <w:t>he CGC has taken steps to improve transparency about how HFE is implemented in Australia by publishing short, accessible occasional and research papers focussing on different aspects of the system</w:t>
      </w:r>
      <w:r>
        <w:t xml:space="preserve"> </w:t>
      </w:r>
      <w:r w:rsidR="00546FEC" w:rsidRPr="00546FEC">
        <w:rPr>
          <w:rFonts w:cs="Open Sans"/>
        </w:rPr>
        <w:t>(CGC 2026h, 2026i)</w:t>
      </w:r>
      <w:r w:rsidRPr="002070E1">
        <w:t>.</w:t>
      </w:r>
    </w:p>
    <w:p w14:paraId="09FF063E" w14:textId="77777777" w:rsidR="00B419F5" w:rsidRPr="002070E1" w:rsidRDefault="00B419F5">
      <w:pPr>
        <w:pStyle w:val="Heading3"/>
      </w:pPr>
      <w:r w:rsidRPr="002070E1">
        <w:t>… it should continue to explore opportunities to take transparency and consultation further</w:t>
      </w:r>
    </w:p>
    <w:p w14:paraId="179F3A77" w14:textId="77777777" w:rsidR="00B419F5" w:rsidRPr="002070E1" w:rsidRDefault="00B419F5">
      <w:pPr>
        <w:pStyle w:val="BodyText"/>
      </w:pPr>
      <w:r w:rsidRPr="002070E1">
        <w:t>While the CGC exercises its key functions with a reasonable degree of transparency and consults well with states, neither transparency nor effective consultation are all</w:t>
      </w:r>
      <w:r>
        <w:noBreakHyphen/>
      </w:r>
      <w:r w:rsidRPr="002070E1">
        <w:t>or</w:t>
      </w:r>
      <w:r>
        <w:noBreakHyphen/>
      </w:r>
      <w:r w:rsidRPr="002070E1">
        <w:t xml:space="preserve">nothing propositions. In a process as complex and as consequential as recommending how GST revenue be distributed, there is almost always scope for improvement. </w:t>
      </w:r>
    </w:p>
    <w:p w14:paraId="529294B6" w14:textId="77777777" w:rsidR="00B419F5" w:rsidRPr="002070E1" w:rsidRDefault="00B419F5">
      <w:pPr>
        <w:pStyle w:val="BodyText"/>
      </w:pPr>
      <w:r w:rsidRPr="002070E1">
        <w:t>One potential opportunity for further transparency – which was raised by</w:t>
      </w:r>
      <w:r>
        <w:t xml:space="preserve"> some</w:t>
      </w:r>
      <w:r w:rsidRPr="002070E1">
        <w:t xml:space="preserve"> inquiry participants and with which the PC agrees – relates to how the CGC manages potential trade</w:t>
      </w:r>
      <w:r>
        <w:noBreakHyphen/>
      </w:r>
      <w:r w:rsidRPr="002070E1">
        <w:t>offs across its ‘primary objective’ of horizontal fiscal equalisation and its different ‘supporting principles’.</w:t>
      </w:r>
      <w:r w:rsidRPr="00201B0D">
        <w:rPr>
          <w:rStyle w:val="FootnoteReference"/>
        </w:rPr>
        <w:footnoteReference w:id="51"/>
      </w:r>
      <w:r w:rsidRPr="00C54234">
        <w:rPr>
          <w:rStyle w:val="FootnoteReference"/>
        </w:rPr>
        <w:t xml:space="preserve"> </w:t>
      </w:r>
    </w:p>
    <w:p w14:paraId="5C5FEDC5" w14:textId="01AA23F2" w:rsidR="00B419F5" w:rsidRPr="002070E1" w:rsidRDefault="00B419F5">
      <w:pPr>
        <w:pStyle w:val="BodyText"/>
      </w:pPr>
      <w:r w:rsidRPr="002070E1">
        <w:t>The CGC has recognised that applying these principles in its assessments can involve trade</w:t>
      </w:r>
      <w:r>
        <w:noBreakHyphen/>
      </w:r>
      <w:r w:rsidRPr="002070E1">
        <w:t xml:space="preserve">offs and judgments on its part and indicated </w:t>
      </w:r>
      <w:r>
        <w:t>that</w:t>
      </w:r>
      <w:r w:rsidRPr="002070E1">
        <w:t xml:space="preserve"> when trade</w:t>
      </w:r>
      <w:r>
        <w:noBreakHyphen/>
      </w:r>
      <w:r w:rsidRPr="002070E1">
        <w:t>offs are required, it would outline the reasons for its decisions</w:t>
      </w:r>
      <w:r>
        <w:t xml:space="preserve"> </w:t>
      </w:r>
      <w:r w:rsidR="00546FEC" w:rsidRPr="00546FEC">
        <w:rPr>
          <w:rFonts w:cs="Open Sans"/>
        </w:rPr>
        <w:t>(CGC 2025d, p. 313)</w:t>
      </w:r>
      <w:r w:rsidRPr="002070E1">
        <w:t>.</w:t>
      </w:r>
    </w:p>
    <w:p w14:paraId="67318EBB" w14:textId="53471F5F" w:rsidR="00B419F5" w:rsidRPr="002070E1" w:rsidRDefault="00B419F5">
      <w:pPr>
        <w:pStyle w:val="BodyText"/>
      </w:pPr>
      <w:r w:rsidRPr="002070E1">
        <w:t>The PC examined the 2025 methodological review and found instances where the CGC– at least at a high level – documented how it considered different principles in its decisions</w:t>
      </w:r>
      <w:r>
        <w:t xml:space="preserve"> (for example, with respect to considering the case for changing its ‘mineral</w:t>
      </w:r>
      <w:r>
        <w:noBreakHyphen/>
        <w:t>by</w:t>
      </w:r>
      <w:r>
        <w:noBreakHyphen/>
        <w:t xml:space="preserve">mineral’ approach as part of its mining assessment </w:t>
      </w:r>
      <w:r w:rsidR="00546FEC" w:rsidRPr="00546FEC">
        <w:rPr>
          <w:rFonts w:cs="Open Sans"/>
        </w:rPr>
        <w:t>(CGC 2025d, pp. 50–51)</w:t>
      </w:r>
      <w:r>
        <w:t>)</w:t>
      </w:r>
      <w:r w:rsidRPr="002070E1">
        <w:t xml:space="preserve">. </w:t>
      </w:r>
      <w:r>
        <w:t>However, m</w:t>
      </w:r>
      <w:r w:rsidRPr="002070E1">
        <w:t>ore comprehensive explanations</w:t>
      </w:r>
      <w:r>
        <w:t xml:space="preserve"> (where possible)</w:t>
      </w:r>
      <w:r w:rsidRPr="002070E1">
        <w:t xml:space="preserve"> of how the CGC weighs up its objective of HFE and its different supporting principles would assist stakeholders to better understand why decisions have been made, maintain credibility and confidence in the CGC’s assessments, and support consistency in CGC decision making. </w:t>
      </w:r>
    </w:p>
    <w:p w14:paraId="733D98E9" w14:textId="77777777" w:rsidR="00B419F5" w:rsidRPr="002070E1" w:rsidRDefault="00B419F5">
      <w:pPr>
        <w:pStyle w:val="BodyText"/>
      </w:pPr>
      <w:r w:rsidRPr="002070E1">
        <w:t xml:space="preserve">Data is another area where inquiry participants identified opportunities to enhance transparency. For example, some participants noted that the CGC faces restrictions around sharing confidential data, which limits states’ ability to fully replicate the CGC’s calculations. While there may be legitimate confidentiality reasons that prevent data from being shared in full, it is important to recognise that this is not costless – it detracts from the system’s transparency </w:t>
      </w:r>
      <w:r>
        <w:t xml:space="preserve">and limits states’ capacity to effectively forecast </w:t>
      </w:r>
      <w:r w:rsidRPr="002070E1">
        <w:t xml:space="preserve">– and should be minimised. The CGC has flagged that exploring opportunities to reduce data confidentiality restrictions could be </w:t>
      </w:r>
      <w:r>
        <w:t>in</w:t>
      </w:r>
      <w:r w:rsidRPr="002070E1">
        <w:t xml:space="preserve"> the remit of its newly formed Data Working Group</w:t>
      </w:r>
      <w:r>
        <w:t xml:space="preserve"> (CGC, sub. 34, p. 21)</w:t>
      </w:r>
      <w:r w:rsidRPr="002070E1">
        <w:t>. The PC’s view is that exploring these opportunities is worthwhile.</w:t>
      </w:r>
    </w:p>
    <w:p w14:paraId="1D2021F3" w14:textId="77777777" w:rsidR="00B419F5" w:rsidRPr="00651643" w:rsidRDefault="00B419F5">
      <w:pPr>
        <w:pStyle w:val="BodyText"/>
        <w:rPr>
          <w:spacing w:val="-2"/>
        </w:rPr>
      </w:pPr>
      <w:r w:rsidRPr="00651643">
        <w:rPr>
          <w:spacing w:val="-2"/>
        </w:rPr>
        <w:t xml:space="preserve">Further, some participants raised concerns that the CGC sometimes modifies data provided by primary sources (such as the Australian Bureau of Statistics (ABS)) if the data does not align with its requirements or methodology. This too should be undertaken only when necessary – maintaining consistency between publicly available data and the data used by the CGC helps to reduce uncertainty about how assessments are undertaken and supports transparency, replicability and confidence in the process. </w:t>
      </w:r>
    </w:p>
    <w:p w14:paraId="74C33221" w14:textId="77777777" w:rsidR="00B419F5" w:rsidRPr="002070E1" w:rsidRDefault="00B419F5">
      <w:pPr>
        <w:pStyle w:val="BodyText"/>
      </w:pPr>
      <w:r w:rsidRPr="002070E1">
        <w:lastRenderedPageBreak/>
        <w:t>There would be value in the Data Working Group exploring opportunities to make greater use of innovative, public data assets, including linked administrative data such as PLIDA and BLADE.</w:t>
      </w:r>
      <w:r w:rsidRPr="00201B0D">
        <w:rPr>
          <w:rStyle w:val="FootnoteReference"/>
        </w:rPr>
        <w:footnoteReference w:id="52"/>
      </w:r>
      <w:r w:rsidRPr="002070E1">
        <w:t xml:space="preserve"> These assets may help improve assessments in areas where existing data is scarce, missing or imperfect, while increasing transparency by making greater use of data that is publicly available. </w:t>
      </w:r>
    </w:p>
    <w:p w14:paraId="7F67076F" w14:textId="77777777" w:rsidR="00B419F5" w:rsidRPr="002070E1" w:rsidRDefault="00B419F5">
      <w:pPr>
        <w:pStyle w:val="BodyText"/>
      </w:pPr>
      <w:r w:rsidRPr="002070E1">
        <w:t>Where data limitations mean that the CGC has little choice but to adjust data for its purposes prior to use, more documentation that could be provided to stakeholders on the nature and basis of these changes would be beneficial.</w:t>
      </w:r>
    </w:p>
    <w:p w14:paraId="2E951972" w14:textId="77777777" w:rsidR="00B419F5" w:rsidRPr="002070E1" w:rsidRDefault="00B419F5">
      <w:pPr>
        <w:pStyle w:val="BodyText"/>
      </w:pPr>
      <w:r w:rsidRPr="002070E1">
        <w:t xml:space="preserve">The PC also encourages the CGC to consider the merits of trialling a broader consultation approach as part of its </w:t>
      </w:r>
      <w:r>
        <w:t>5</w:t>
      </w:r>
      <w:r>
        <w:noBreakHyphen/>
      </w:r>
      <w:r w:rsidRPr="002070E1">
        <w:t xml:space="preserve">yearly methodological reviews. At present, the CGC only seeks formal submissions from </w:t>
      </w:r>
      <w:r>
        <w:t xml:space="preserve">the </w:t>
      </w:r>
      <w:r w:rsidRPr="002070E1">
        <w:t>states. Allowing other interested parties– such as service delivery organisations, academics</w:t>
      </w:r>
      <w:r>
        <w:t>, policy experts</w:t>
      </w:r>
      <w:r w:rsidRPr="002070E1">
        <w:t xml:space="preserve"> and members of the public – to make submissions </w:t>
      </w:r>
      <w:r>
        <w:t>would strengthen the</w:t>
      </w:r>
      <w:r w:rsidRPr="002070E1">
        <w:t xml:space="preserve"> evidence base for the CGC to draw on to inform decisions on any changes to its methodological approach.</w:t>
      </w:r>
    </w:p>
    <w:p w14:paraId="01C0C2DF" w14:textId="77777777" w:rsidR="00E92ED2" w:rsidRPr="002070E1" w:rsidRDefault="00E92ED2" w:rsidP="00E92ED2">
      <w:pPr>
        <w:pStyle w:val="NoSpacing"/>
      </w:pPr>
    </w:p>
    <w:tbl>
      <w:tblPr>
        <w:tblStyle w:val="TableGrid"/>
        <w:tblW w:w="5000" w:type="pct"/>
        <w:tblBorders>
          <w:top w:val="single" w:sz="4" w:space="0" w:color="2B9AC2" w:themeColor="text2"/>
          <w:left w:val="single" w:sz="4" w:space="0" w:color="2B9AC2" w:themeColor="text2"/>
          <w:bottom w:val="single" w:sz="4" w:space="0" w:color="2B9AC2" w:themeColor="text2"/>
          <w:right w:val="single" w:sz="4" w:space="0" w:color="2B9AC2" w:themeColor="text2"/>
          <w:insideH w:val="none" w:sz="0" w:space="0" w:color="auto"/>
          <w:insideV w:val="none" w:sz="0" w:space="0" w:color="auto"/>
        </w:tblBorders>
        <w:tblCellMar>
          <w:bottom w:w="113" w:type="dxa"/>
        </w:tblCellMar>
        <w:tblLook w:val="04A0" w:firstRow="1" w:lastRow="0" w:firstColumn="1" w:lastColumn="0" w:noHBand="0" w:noVBand="1"/>
      </w:tblPr>
      <w:tblGrid>
        <w:gridCol w:w="705"/>
        <w:gridCol w:w="8923"/>
      </w:tblGrid>
      <w:tr w:rsidR="00B419F5" w:rsidRPr="002070E1" w14:paraId="5CBAA439" w14:textId="77777777">
        <w:trPr>
          <w:trHeight w:val="765"/>
          <w:tblHeader/>
        </w:trPr>
        <w:tc>
          <w:tcPr>
            <w:tcW w:w="366" w:type="pct"/>
            <w:tcBorders>
              <w:bottom w:val="nil"/>
            </w:tcBorders>
            <w:tcMar>
              <w:bottom w:w="0" w:type="dxa"/>
            </w:tcMar>
            <w:vAlign w:val="center"/>
          </w:tcPr>
          <w:p w14:paraId="28FE0873" w14:textId="77777777" w:rsidR="00B419F5" w:rsidRPr="002070E1" w:rsidRDefault="00B419F5">
            <w:pPr>
              <w:pStyle w:val="NoSpacing"/>
              <w:keepNext/>
              <w:keepLines/>
              <w:jc w:val="right"/>
            </w:pPr>
            <w:r w:rsidRPr="002070E1">
              <w:rPr>
                <w:noProof/>
              </w:rPr>
              <w:drawing>
                <wp:inline distT="0" distB="0" distL="0" distR="0" wp14:anchorId="2668292B" wp14:editId="0500272C">
                  <wp:extent cx="288000" cy="288000"/>
                  <wp:effectExtent l="0" t="0" r="0" b="0"/>
                  <wp:docPr id="1087344343" name="Graphic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phic 39">
                            <a:extLst>
                              <a:ext uri="{C183D7F6-B498-43B3-948B-1728B52AA6E4}">
                                <adec:decorative xmlns:adec="http://schemas.microsoft.com/office/drawing/2017/decorative" val="1"/>
                              </a:ext>
                            </a:extLst>
                          </pic:cNvPr>
                          <pic:cNvPicPr/>
                        </pic:nvPicPr>
                        <pic:blipFill>
                          <a:blip r:embed="rId59">
                            <a:extLst>
                              <a:ext uri="{28A0092B-C50C-407E-A947-70E740481C1C}">
                                <a14:useLocalDpi xmlns:a14="http://schemas.microsoft.com/office/drawing/2010/main" val="0"/>
                              </a:ext>
                            </a:extLst>
                          </a:blip>
                          <a:stretch>
                            <a:fillRect/>
                          </a:stretch>
                        </pic:blipFill>
                        <pic:spPr>
                          <a:xfrm>
                            <a:off x="0" y="0"/>
                            <a:ext cx="288000" cy="288000"/>
                          </a:xfrm>
                          <a:prstGeom prst="rect">
                            <a:avLst/>
                          </a:prstGeom>
                        </pic:spPr>
                      </pic:pic>
                    </a:graphicData>
                  </a:graphic>
                </wp:inline>
              </w:drawing>
            </w:r>
          </w:p>
        </w:tc>
        <w:tc>
          <w:tcPr>
            <w:tcW w:w="4634" w:type="pct"/>
            <w:tcBorders>
              <w:bottom w:val="nil"/>
            </w:tcBorders>
            <w:tcMar>
              <w:bottom w:w="0" w:type="dxa"/>
            </w:tcMar>
            <w:vAlign w:val="center"/>
          </w:tcPr>
          <w:p w14:paraId="3496FC0B" w14:textId="34051298" w:rsidR="00B419F5" w:rsidRPr="0007544C" w:rsidRDefault="00B419F5" w:rsidP="00A547B9">
            <w:pPr>
              <w:pStyle w:val="FindingRecRequesttitle"/>
            </w:pPr>
            <w:r w:rsidRPr="0007544C">
              <w:t xml:space="preserve">Interim finding </w:t>
            </w:r>
            <w:r w:rsidRPr="0007544C">
              <w:fldChar w:fldCharType="begin"/>
            </w:r>
            <w:r w:rsidRPr="0007544C">
              <w:instrText>STYLEREF 1 \s</w:instrText>
            </w:r>
            <w:r w:rsidRPr="0007544C">
              <w:fldChar w:fldCharType="separate"/>
            </w:r>
            <w:r w:rsidR="009C08C4">
              <w:rPr>
                <w:noProof/>
              </w:rPr>
              <w:t>5</w:t>
            </w:r>
            <w:r w:rsidRPr="0007544C">
              <w:fldChar w:fldCharType="end"/>
            </w:r>
            <w:r w:rsidRPr="0007544C">
              <w:t>.</w:t>
            </w:r>
            <w:r w:rsidRPr="0007544C">
              <w:fldChar w:fldCharType="begin"/>
            </w:r>
            <w:r w:rsidRPr="0007544C">
              <w:instrText>SEQ Finding \* ARABIC \s 1</w:instrText>
            </w:r>
            <w:r w:rsidRPr="0007544C">
              <w:fldChar w:fldCharType="separate"/>
            </w:r>
            <w:r w:rsidR="009C08C4">
              <w:rPr>
                <w:noProof/>
              </w:rPr>
              <w:t>1</w:t>
            </w:r>
            <w:r w:rsidRPr="0007544C">
              <w:fldChar w:fldCharType="end"/>
            </w:r>
          </w:p>
          <w:p w14:paraId="1F500ACA" w14:textId="77777777" w:rsidR="00B419F5" w:rsidRPr="002070E1" w:rsidRDefault="00B419F5" w:rsidP="00A547B9">
            <w:pPr>
              <w:pStyle w:val="FindingRecRequesttitle"/>
            </w:pPr>
            <w:r w:rsidRPr="0007544C">
              <w:t xml:space="preserve">The CGC has adopted an independent, consultative and transparent approach to its role, but should strive for continuous improvement </w:t>
            </w:r>
          </w:p>
        </w:tc>
      </w:tr>
      <w:tr w:rsidR="00B419F5" w:rsidRPr="002070E1" w14:paraId="0F609893" w14:textId="77777777">
        <w:tc>
          <w:tcPr>
            <w:tcW w:w="5000" w:type="pct"/>
            <w:gridSpan w:val="2"/>
            <w:tcBorders>
              <w:top w:val="nil"/>
              <w:bottom w:val="single" w:sz="4" w:space="0" w:color="2B9AC2" w:themeColor="text2"/>
            </w:tcBorders>
          </w:tcPr>
          <w:p w14:paraId="7F3B0B6D" w14:textId="0260C009" w:rsidR="00B419F5" w:rsidRPr="002070E1" w:rsidRDefault="00B419F5">
            <w:pPr>
              <w:pStyle w:val="BodyText"/>
              <w:keepLines/>
            </w:pPr>
            <w:r w:rsidRPr="002070E1">
              <w:t xml:space="preserve">By recommending how GST revenue should be distributed, the Commonwealth Grants Commission (CGC) has a critical role in Australia’s </w:t>
            </w:r>
            <w:r w:rsidR="000D77ED">
              <w:t>h</w:t>
            </w:r>
            <w:r w:rsidRPr="002070E1">
              <w:t xml:space="preserve">orizontal </w:t>
            </w:r>
            <w:r w:rsidR="000D77ED">
              <w:t>f</w:t>
            </w:r>
            <w:r w:rsidRPr="002070E1">
              <w:t xml:space="preserve">iscal </w:t>
            </w:r>
            <w:r w:rsidR="000D77ED">
              <w:t>e</w:t>
            </w:r>
            <w:r w:rsidRPr="002070E1">
              <w:t>qualisation (HFE) system.</w:t>
            </w:r>
          </w:p>
          <w:p w14:paraId="173243F2" w14:textId="77777777" w:rsidR="00B419F5" w:rsidRPr="002070E1" w:rsidRDefault="00B419F5">
            <w:pPr>
              <w:pStyle w:val="BodyText"/>
              <w:keepLines/>
            </w:pPr>
            <w:r w:rsidRPr="002070E1">
              <w:t xml:space="preserve">The CGC performs this role with a high degree of independence, maintains highly productive and consultative relationships with state </w:t>
            </w:r>
            <w:r>
              <w:t>t</w:t>
            </w:r>
            <w:r w:rsidRPr="002070E1">
              <w:t>reasuries, and undertakes its work with reasonable transparency. These characteristics strengthen the system.</w:t>
            </w:r>
          </w:p>
          <w:p w14:paraId="7E654B64" w14:textId="77777777" w:rsidR="00B419F5" w:rsidRPr="002070E1" w:rsidRDefault="00B419F5">
            <w:pPr>
              <w:pStyle w:val="BodyText"/>
              <w:keepLines/>
            </w:pPr>
            <w:r w:rsidRPr="002070E1">
              <w:t>However, HFE arrangements are complex, and efforts to continuously improve transparency are important. Given this, there would be value in the CGC</w:t>
            </w:r>
            <w:r>
              <w:t xml:space="preserve"> </w:t>
            </w:r>
            <w:r w:rsidRPr="002070E1">
              <w:t xml:space="preserve">exploring </w:t>
            </w:r>
            <w:r>
              <w:t>any</w:t>
            </w:r>
            <w:r w:rsidRPr="002070E1">
              <w:t xml:space="preserve"> opportunities to:</w:t>
            </w:r>
            <w:r>
              <w:t xml:space="preserve"> </w:t>
            </w:r>
          </w:p>
          <w:p w14:paraId="0F0A292D" w14:textId="3C601EFC" w:rsidR="00B419F5" w:rsidRPr="002070E1" w:rsidRDefault="00B419F5" w:rsidP="00B419F5">
            <w:pPr>
              <w:pStyle w:val="ListBullet"/>
            </w:pPr>
            <w:r w:rsidRPr="002070E1">
              <w:t xml:space="preserve">more fully disclose how it weighs up its primary objective of </w:t>
            </w:r>
            <w:r w:rsidR="00F93BA3">
              <w:t>HFE</w:t>
            </w:r>
            <w:r w:rsidRPr="002070E1">
              <w:t xml:space="preserve"> and its different supporting principles when considering changes to its methodological approach</w:t>
            </w:r>
          </w:p>
          <w:p w14:paraId="13DA61EA" w14:textId="77777777" w:rsidR="00B419F5" w:rsidRPr="002070E1" w:rsidRDefault="00B419F5" w:rsidP="00B419F5">
            <w:pPr>
              <w:pStyle w:val="ListBullet"/>
            </w:pPr>
            <w:r w:rsidRPr="002070E1">
              <w:t>further address data confidentiality restrictions so that more data can be shared with key stakeholders</w:t>
            </w:r>
          </w:p>
          <w:p w14:paraId="3BEB1B2F" w14:textId="7DFECCA3" w:rsidR="00B419F5" w:rsidRPr="002070E1" w:rsidRDefault="00B419F5" w:rsidP="00B419F5">
            <w:pPr>
              <w:pStyle w:val="ListBullet"/>
            </w:pPr>
            <w:r w:rsidRPr="002070E1">
              <w:t>make greater use of public data sources – including linked administrative data – to improve consistency between public</w:t>
            </w:r>
            <w:r>
              <w:noBreakHyphen/>
            </w:r>
            <w:r w:rsidRPr="002070E1">
              <w:t>facing data and the data it uses</w:t>
            </w:r>
          </w:p>
          <w:p w14:paraId="457EB75C" w14:textId="77777777" w:rsidR="00B419F5" w:rsidRPr="002070E1" w:rsidRDefault="00B419F5" w:rsidP="00B419F5">
            <w:pPr>
              <w:pStyle w:val="ListBullet"/>
            </w:pPr>
            <w:r w:rsidRPr="002070E1">
              <w:t>better disclose the nature and basis of any adjustments it makes to public</w:t>
            </w:r>
            <w:r>
              <w:noBreakHyphen/>
            </w:r>
            <w:r w:rsidRPr="002070E1">
              <w:t xml:space="preserve">facing data where those adjustments are necessary because of data limitations. </w:t>
            </w:r>
          </w:p>
          <w:p w14:paraId="294D23BB" w14:textId="77777777" w:rsidR="00B419F5" w:rsidRPr="00AB2D3E" w:rsidRDefault="00B419F5">
            <w:pPr>
              <w:pStyle w:val="BodyText"/>
              <w:keepLines/>
              <w:rPr>
                <w:spacing w:val="2"/>
              </w:rPr>
            </w:pPr>
            <w:r w:rsidRPr="00AB2D3E">
              <w:rPr>
                <w:spacing w:val="2"/>
              </w:rPr>
              <w:t>The CGC should also consider trialling a wider approach to consultation as part of its 5</w:t>
            </w:r>
            <w:r w:rsidRPr="00AB2D3E">
              <w:rPr>
                <w:spacing w:val="2"/>
              </w:rPr>
              <w:noBreakHyphen/>
              <w:t>yearly methodological review by accepting public submissions from interested parties beyond state governments.</w:t>
            </w:r>
          </w:p>
        </w:tc>
      </w:tr>
      <w:tr w:rsidR="00B419F5" w:rsidRPr="002070E1" w14:paraId="6A4F09B5" w14:textId="77777777">
        <w:tc>
          <w:tcPr>
            <w:tcW w:w="5000" w:type="pct"/>
            <w:gridSpan w:val="2"/>
            <w:tcBorders>
              <w:top w:val="single" w:sz="4" w:space="0" w:color="2B9AC2" w:themeColor="text2"/>
              <w:left w:val="nil"/>
              <w:bottom w:val="nil"/>
              <w:right w:val="nil"/>
            </w:tcBorders>
            <w:tcMar>
              <w:bottom w:w="0" w:type="dxa"/>
            </w:tcMar>
          </w:tcPr>
          <w:p w14:paraId="07C9F880" w14:textId="77777777" w:rsidR="00B419F5" w:rsidRPr="002070E1" w:rsidRDefault="00B419F5">
            <w:pPr>
              <w:pStyle w:val="NoSpacing"/>
              <w:spacing w:line="200" w:lineRule="atLeast"/>
            </w:pPr>
          </w:p>
        </w:tc>
      </w:tr>
    </w:tbl>
    <w:p w14:paraId="75346255" w14:textId="77777777" w:rsidR="00B419F5" w:rsidRPr="002070E1" w:rsidRDefault="00B419F5" w:rsidP="008647E2">
      <w:pPr>
        <w:pStyle w:val="Heading2"/>
      </w:pPr>
      <w:bookmarkStart w:id="105" w:name="_Toc234008110"/>
      <w:bookmarkStart w:id="106" w:name="_Toc235447999"/>
      <w:bookmarkStart w:id="107" w:name="_Toc234579123"/>
      <w:bookmarkStart w:id="108" w:name="_Toc236904083"/>
      <w:r w:rsidRPr="002070E1">
        <w:lastRenderedPageBreak/>
        <w:t>The extent that the HFE system may be contributing to diverging outcomes should be monitored</w:t>
      </w:r>
      <w:bookmarkEnd w:id="105"/>
      <w:bookmarkEnd w:id="106"/>
      <w:bookmarkEnd w:id="107"/>
      <w:bookmarkEnd w:id="108"/>
    </w:p>
    <w:p w14:paraId="75AD4133" w14:textId="77777777" w:rsidR="00B419F5" w:rsidRPr="002070E1" w:rsidRDefault="00B419F5">
      <w:pPr>
        <w:pStyle w:val="BodyText"/>
      </w:pPr>
      <w:r>
        <w:t>Policy experimentation and diversity are a key source of benefits in a competitive federation. Heterogeneity of policy approaches is expected and should be welcomed. If a state discovers a productivity</w:t>
      </w:r>
      <w:r>
        <w:noBreakHyphen/>
        <w:t>enhancing reform (for example, a way of providing the same level of services at lower cost), then that is desirable from the point of view of that state’s taxpayers as well as those in other states, whose governments can learn from the reform.</w:t>
      </w:r>
    </w:p>
    <w:p w14:paraId="12AB3824" w14:textId="6EE03FD8" w:rsidR="00B419F5" w:rsidRPr="002070E1" w:rsidRDefault="00B419F5">
      <w:pPr>
        <w:pStyle w:val="BodyText"/>
      </w:pPr>
      <w:r>
        <w:t>Fiscal equalisation should neither directly hinder nor help with such policy experimentation; that is why policy neutrality is such an important goal. However, s</w:t>
      </w:r>
      <w:r w:rsidRPr="002070E1">
        <w:t xml:space="preserve">o long as the HFE system’s settings </w:t>
      </w:r>
      <w:r>
        <w:t xml:space="preserve">very directly </w:t>
      </w:r>
      <w:r w:rsidRPr="002070E1">
        <w:t>allo</w:t>
      </w:r>
      <w:r>
        <w:t xml:space="preserve">w </w:t>
      </w:r>
      <w:r w:rsidRPr="002070E1">
        <w:t xml:space="preserve">one jurisdiction – or a small number of jurisdictions – to maintain a </w:t>
      </w:r>
      <w:r>
        <w:t>greater</w:t>
      </w:r>
      <w:r w:rsidRPr="002070E1">
        <w:t xml:space="preserve"> fiscal capacity than others,</w:t>
      </w:r>
      <w:r>
        <w:t xml:space="preserve"> there is a material risk that the HFE system will drive</w:t>
      </w:r>
      <w:r w:rsidRPr="002070E1">
        <w:t xml:space="preserve"> some divergence in fiscal and service</w:t>
      </w:r>
      <w:r>
        <w:noBreakHyphen/>
      </w:r>
      <w:r w:rsidRPr="002070E1">
        <w:t>delivery outcomes. This divergence may take many forms – it could include relatively lower taxes, more or higher</w:t>
      </w:r>
      <w:r>
        <w:noBreakHyphen/>
      </w:r>
      <w:r w:rsidRPr="002070E1">
        <w:t xml:space="preserve">quality services, better infrastructure, or a stronger overall budget position. Any divergence can be expected to intensify with time, as the advantages associated with having a </w:t>
      </w:r>
      <w:r>
        <w:t>greater</w:t>
      </w:r>
      <w:r w:rsidRPr="002070E1">
        <w:t xml:space="preserve"> fiscal capacity compound.</w:t>
      </w:r>
      <w:r>
        <w:t xml:space="preserve"> </w:t>
      </w:r>
      <w:r w:rsidRPr="005851AA">
        <w:t>The consequences of significant</w:t>
      </w:r>
      <w:r>
        <w:t xml:space="preserve"> and persistent</w:t>
      </w:r>
      <w:r w:rsidRPr="005851AA">
        <w:t xml:space="preserve"> differences in subnational governments’ fiscal capacity</w:t>
      </w:r>
      <w:r>
        <w:t xml:space="preserve">– </w:t>
      </w:r>
      <w:r w:rsidRPr="005851AA">
        <w:t xml:space="preserve">and </w:t>
      </w:r>
      <w:r>
        <w:t>consequently</w:t>
      </w:r>
      <w:r w:rsidRPr="005851AA">
        <w:t xml:space="preserve"> their ability to fund vital services</w:t>
      </w:r>
      <w:r>
        <w:t xml:space="preserve"> – </w:t>
      </w:r>
      <w:r w:rsidRPr="005851AA">
        <w:t>can be observed elsewhere, including in the United States</w:t>
      </w:r>
      <w:r>
        <w:t xml:space="preserve"> </w:t>
      </w:r>
      <w:r w:rsidRPr="002559C6">
        <w:rPr>
          <w:rFonts w:cs="Open Sans"/>
        </w:rPr>
        <w:t>(Schapiro 2020)</w:t>
      </w:r>
      <w:r>
        <w:t>.</w:t>
      </w:r>
    </w:p>
    <w:p w14:paraId="4D95853C" w14:textId="77777777" w:rsidR="00B419F5" w:rsidRPr="002070E1" w:rsidRDefault="00B419F5">
      <w:pPr>
        <w:pStyle w:val="BodyText"/>
        <w:spacing w:line="240" w:lineRule="auto"/>
      </w:pPr>
      <w:r w:rsidRPr="003F7452">
        <w:t xml:space="preserve">The PC’s </w:t>
      </w:r>
      <w:r>
        <w:t>first</w:t>
      </w:r>
      <w:r>
        <w:noBreakHyphen/>
        <w:t>best</w:t>
      </w:r>
      <w:r w:rsidRPr="003F7452">
        <w:t xml:space="preserve"> </w:t>
      </w:r>
      <w:r>
        <w:t xml:space="preserve">reform direction </w:t>
      </w:r>
      <w:r w:rsidRPr="003F7452">
        <w:t>significantly reduces differences in states’ fiscal capacity</w:t>
      </w:r>
      <w:r>
        <w:t xml:space="preserve"> arising through HFE</w:t>
      </w:r>
      <w:r w:rsidRPr="003F7452">
        <w:t xml:space="preserve"> by transitioning to a system that more closely resembles the one in place prior to the 2018 </w:t>
      </w:r>
      <w:r w:rsidRPr="00A06133">
        <w:t xml:space="preserve">reforms </w:t>
      </w:r>
      <w:r w:rsidRPr="00B9588F">
        <w:t>(</w:t>
      </w:r>
      <w:r>
        <w:t>with a direction from the Australian Treasurer for the CGC to address costly dominant</w:t>
      </w:r>
      <w:r>
        <w:noBreakHyphen/>
        <w:t xml:space="preserve">state effects – </w:t>
      </w:r>
      <w:r w:rsidRPr="00B9588F">
        <w:t>interim recommendation 4.1)</w:t>
      </w:r>
      <w:r w:rsidRPr="002633E3">
        <w:t>. The point of this recommendation is not to eliminate all policy differences – rather it is that the HFE system should have no impact upon incentives to create policy differences. However, recognising that HFE can drive</w:t>
      </w:r>
      <w:r>
        <w:t xml:space="preserve"> divergence in outcomes across states, </w:t>
      </w:r>
      <w:r w:rsidRPr="002070E1">
        <w:t>if the current system is retained, or if another system is implemented that continues to enable some states to maintain a</w:t>
      </w:r>
      <w:r>
        <w:t xml:space="preserve"> significantly</w:t>
      </w:r>
      <w:r w:rsidRPr="002070E1">
        <w:t xml:space="preserve"> </w:t>
      </w:r>
      <w:r>
        <w:t>greater</w:t>
      </w:r>
      <w:r w:rsidRPr="002070E1">
        <w:t xml:space="preserve"> fiscal capacity than others, the extent to which this contributes to a divergence should be monitored.</w:t>
      </w:r>
    </w:p>
    <w:p w14:paraId="7C25258F" w14:textId="77777777" w:rsidR="00B419F5" w:rsidRPr="002070E1" w:rsidRDefault="00B419F5">
      <w:pPr>
        <w:pStyle w:val="BodyText"/>
      </w:pPr>
      <w:r w:rsidRPr="002070E1">
        <w:t xml:space="preserve">As such, the </w:t>
      </w:r>
      <w:r>
        <w:t>Australian Government</w:t>
      </w:r>
      <w:r w:rsidRPr="002070E1">
        <w:t xml:space="preserve"> should </w:t>
      </w:r>
      <w:r>
        <w:t>undertake</w:t>
      </w:r>
      <w:r w:rsidRPr="002070E1">
        <w:t xml:space="preserve"> regular analysis of the extent to which the settings of the HFE system are contributing to diverging state outcomes</w:t>
      </w:r>
      <w:r>
        <w:t>, drawing on data sets such as the Report on Government Services and Government Financial Statistics</w:t>
      </w:r>
      <w:r w:rsidRPr="002070E1">
        <w:t>.</w:t>
      </w:r>
      <w:r w:rsidRPr="00201B0D">
        <w:rPr>
          <w:rStyle w:val="FootnoteReference"/>
        </w:rPr>
        <w:footnoteReference w:id="53"/>
      </w:r>
      <w:r w:rsidRPr="002070E1">
        <w:t xml:space="preserve"> Such analysis would introduce a degree of transparency about the real</w:t>
      </w:r>
      <w:r>
        <w:noBreakHyphen/>
      </w:r>
      <w:r w:rsidRPr="002070E1">
        <w:t xml:space="preserve">world impacts of maintaining a HFE system that allows some states to maintain a higher fiscal capacity than others – something that is currently lacking. It would provide policymakers – as well as the community more broadly – with evidence on the extent, nature and causes of any divergence in fiscal and service delivery outcomes, which would support a more informed debate about whether such divergence is socially or economically acceptable, sustainable over time, and consistent with the objectives sought through the HFE system. </w:t>
      </w:r>
    </w:p>
    <w:tbl>
      <w:tblPr>
        <w:tblStyle w:val="Texttable-Paleblue"/>
        <w:tblW w:w="5000" w:type="pct"/>
        <w:tblLook w:val="04A0" w:firstRow="1" w:lastRow="0" w:firstColumn="1" w:lastColumn="0" w:noHBand="0" w:noVBand="1"/>
      </w:tblPr>
      <w:tblGrid>
        <w:gridCol w:w="713"/>
        <w:gridCol w:w="8925"/>
      </w:tblGrid>
      <w:tr w:rsidR="00B419F5" w:rsidRPr="002070E1" w14:paraId="7A67FC88" w14:textId="77777777">
        <w:trPr>
          <w:tblHeader/>
        </w:trPr>
        <w:tc>
          <w:tcPr>
            <w:tcW w:w="713" w:type="dxa"/>
            <w:shd w:val="clear" w:color="auto" w:fill="E7F6FD"/>
            <w:tcMar>
              <w:top w:w="0" w:type="dxa"/>
              <w:bottom w:w="0" w:type="dxa"/>
            </w:tcMar>
            <w:vAlign w:val="center"/>
          </w:tcPr>
          <w:p w14:paraId="381EEC31" w14:textId="77777777" w:rsidR="00B419F5" w:rsidRPr="002070E1" w:rsidRDefault="00B419F5">
            <w:pPr>
              <w:keepLines/>
              <w:jc w:val="center"/>
            </w:pPr>
            <w:r w:rsidRPr="002070E1">
              <w:rPr>
                <w:noProof/>
              </w:rPr>
              <w:lastRenderedPageBreak/>
              <w:drawing>
                <wp:inline distT="0" distB="0" distL="0" distR="0" wp14:anchorId="71EB8093" wp14:editId="72B06D14">
                  <wp:extent cx="288000" cy="288000"/>
                  <wp:effectExtent l="0" t="0" r="0" b="0"/>
                  <wp:docPr id="595063663" name="Graphic 5950636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101">
                            <a:extLst>
                              <a:ext uri="{28A0092B-C50C-407E-A947-70E740481C1C}">
                                <a14:useLocalDpi xmlns:a14="http://schemas.microsoft.com/office/drawing/2010/main" val="0"/>
                              </a:ext>
                              <a:ext uri="{96DAC541-7B7A-43D3-8B79-37D633B846F1}">
                                <asvg:svgBlip xmlns:asvg="http://schemas.microsoft.com/office/drawing/2016/SVG/main" r:embed="rId102"/>
                              </a:ext>
                            </a:extLst>
                          </a:blip>
                          <a:stretch>
                            <a:fillRect/>
                          </a:stretch>
                        </pic:blipFill>
                        <pic:spPr>
                          <a:xfrm>
                            <a:off x="0" y="0"/>
                            <a:ext cx="288000" cy="288000"/>
                          </a:xfrm>
                          <a:prstGeom prst="rect">
                            <a:avLst/>
                          </a:prstGeom>
                        </pic:spPr>
                      </pic:pic>
                    </a:graphicData>
                  </a:graphic>
                </wp:inline>
              </w:drawing>
            </w:r>
          </w:p>
        </w:tc>
        <w:tc>
          <w:tcPr>
            <w:tcW w:w="8925" w:type="dxa"/>
            <w:shd w:val="clear" w:color="auto" w:fill="E7F6FD"/>
            <w:tcMar>
              <w:top w:w="0" w:type="dxa"/>
              <w:bottom w:w="0" w:type="dxa"/>
            </w:tcMar>
            <w:vAlign w:val="center"/>
          </w:tcPr>
          <w:p w14:paraId="1557D66A" w14:textId="0B183899" w:rsidR="00B419F5" w:rsidRPr="0007544C" w:rsidRDefault="00B419F5" w:rsidP="00A547B9">
            <w:pPr>
              <w:pStyle w:val="FindingRecRequesttitle"/>
            </w:pPr>
            <w:r w:rsidRPr="0007544C">
              <w:t xml:space="preserve">Interim recommendation </w:t>
            </w:r>
            <w:r w:rsidRPr="0007544C">
              <w:fldChar w:fldCharType="begin"/>
            </w:r>
            <w:r w:rsidRPr="0007544C">
              <w:instrText>STYLEREF 1 \s</w:instrText>
            </w:r>
            <w:r w:rsidRPr="0007544C">
              <w:fldChar w:fldCharType="separate"/>
            </w:r>
            <w:r w:rsidR="009C08C4">
              <w:rPr>
                <w:noProof/>
              </w:rPr>
              <w:t>5</w:t>
            </w:r>
            <w:r w:rsidRPr="0007544C">
              <w:fldChar w:fldCharType="end"/>
            </w:r>
            <w:r w:rsidRPr="0007544C">
              <w:t>.</w:t>
            </w:r>
            <w:r w:rsidRPr="0007544C">
              <w:fldChar w:fldCharType="begin"/>
            </w:r>
            <w:r w:rsidRPr="0007544C">
              <w:instrText>SEQ Recommendation \* ARABIC \s 1</w:instrText>
            </w:r>
            <w:r w:rsidRPr="0007544C">
              <w:fldChar w:fldCharType="separate"/>
            </w:r>
            <w:r w:rsidR="009C08C4">
              <w:rPr>
                <w:noProof/>
              </w:rPr>
              <w:t>1</w:t>
            </w:r>
            <w:r w:rsidRPr="0007544C">
              <w:fldChar w:fldCharType="end"/>
            </w:r>
          </w:p>
          <w:p w14:paraId="65C96657" w14:textId="77777777" w:rsidR="00B419F5" w:rsidRPr="00AB2D3E" w:rsidRDefault="00B419F5" w:rsidP="00A547B9">
            <w:pPr>
              <w:pStyle w:val="FindingRecRequesttitle"/>
              <w:rPr>
                <w:spacing w:val="-2"/>
              </w:rPr>
            </w:pPr>
            <w:r w:rsidRPr="00AB2D3E">
              <w:rPr>
                <w:spacing w:val="-2"/>
              </w:rPr>
              <w:t xml:space="preserve">Monitoring the potential for the HFE system to contribute to diverging state outcomes </w:t>
            </w:r>
          </w:p>
        </w:tc>
      </w:tr>
      <w:tr w:rsidR="00B419F5" w:rsidRPr="002070E1" w14:paraId="4D758159" w14:textId="77777777">
        <w:tc>
          <w:tcPr>
            <w:tcW w:w="9638" w:type="dxa"/>
            <w:gridSpan w:val="2"/>
            <w:shd w:val="clear" w:color="auto" w:fill="E7F6FD"/>
            <w:tcMar>
              <w:top w:w="0" w:type="dxa"/>
            </w:tcMar>
          </w:tcPr>
          <w:p w14:paraId="024FE0F3" w14:textId="3B7C9CCC" w:rsidR="00B419F5" w:rsidRPr="002070E1" w:rsidRDefault="00B419F5">
            <w:pPr>
              <w:pStyle w:val="BodyText"/>
              <w:keepLines/>
            </w:pPr>
            <w:r w:rsidRPr="002070E1">
              <w:t>If</w:t>
            </w:r>
            <w:r>
              <w:t xml:space="preserve"> the Australian Government’s policy settings for the </w:t>
            </w:r>
            <w:r w:rsidR="0091789E">
              <w:t>h</w:t>
            </w:r>
            <w:r>
              <w:t xml:space="preserve">orizontal </w:t>
            </w:r>
            <w:r w:rsidR="0091789E">
              <w:t>f</w:t>
            </w:r>
            <w:r>
              <w:t xml:space="preserve">iscal </w:t>
            </w:r>
            <w:r w:rsidR="0091789E">
              <w:t>e</w:t>
            </w:r>
            <w:r>
              <w:t>qualisation system</w:t>
            </w:r>
            <w:r w:rsidRPr="002070E1">
              <w:t xml:space="preserve"> allow one or more states to maintain a fiscal capacity that is</w:t>
            </w:r>
            <w:r>
              <w:t xml:space="preserve"> significantly</w:t>
            </w:r>
            <w:r w:rsidRPr="002070E1">
              <w:t xml:space="preserve"> stronger than</w:t>
            </w:r>
            <w:r>
              <w:t xml:space="preserve"> that of</w:t>
            </w:r>
            <w:r w:rsidRPr="002070E1">
              <w:t xml:space="preserve"> others – as current settings do – the Government should </w:t>
            </w:r>
            <w:r>
              <w:t>undertake</w:t>
            </w:r>
            <w:r w:rsidRPr="002070E1">
              <w:t xml:space="preserve"> regular analysis</w:t>
            </w:r>
            <w:r>
              <w:t xml:space="preserve"> that examines</w:t>
            </w:r>
            <w:r w:rsidRPr="002070E1">
              <w:t xml:space="preserve"> </w:t>
            </w:r>
            <w:r>
              <w:t>the</w:t>
            </w:r>
            <w:r w:rsidRPr="002070E1">
              <w:t xml:space="preserve"> extent to which this is contributing to diverging state outcomes.</w:t>
            </w:r>
          </w:p>
        </w:tc>
      </w:tr>
    </w:tbl>
    <w:p w14:paraId="2FF02095" w14:textId="77777777" w:rsidR="00B419F5" w:rsidRPr="002070E1" w:rsidRDefault="00B419F5" w:rsidP="008647E2">
      <w:pPr>
        <w:pStyle w:val="Heading2"/>
      </w:pPr>
      <w:bookmarkStart w:id="109" w:name="_Toc234008111"/>
      <w:bookmarkStart w:id="110" w:name="_Toc235448000"/>
      <w:bookmarkStart w:id="111" w:name="_Toc234579124"/>
      <w:bookmarkStart w:id="112" w:name="_Toc236904084"/>
      <w:r w:rsidRPr="002070E1">
        <w:t>Non</w:t>
      </w:r>
      <w:r>
        <w:noBreakHyphen/>
      </w:r>
      <w:r w:rsidRPr="002070E1">
        <w:t>GST Commonwealth payments can be administered more efficiently</w:t>
      </w:r>
      <w:bookmarkEnd w:id="109"/>
      <w:bookmarkEnd w:id="110"/>
      <w:bookmarkEnd w:id="111"/>
      <w:bookmarkEnd w:id="112"/>
    </w:p>
    <w:p w14:paraId="2A1EB82A" w14:textId="421DAA8B" w:rsidR="00B419F5" w:rsidRPr="002070E1" w:rsidRDefault="00B419F5">
      <w:pPr>
        <w:pStyle w:val="Heading3"/>
      </w:pPr>
      <w:r w:rsidRPr="002070E1">
        <w:t xml:space="preserve">The </w:t>
      </w:r>
      <w:r w:rsidR="006927A9">
        <w:t>Australian</w:t>
      </w:r>
      <w:r w:rsidRPr="002070E1">
        <w:t xml:space="preserve"> Treasurer should </w:t>
      </w:r>
      <w:r>
        <w:t>publish</w:t>
      </w:r>
      <w:r w:rsidRPr="002070E1">
        <w:t xml:space="preserve"> reasons for their decisions to quarantine payments from GST distribution</w:t>
      </w:r>
    </w:p>
    <w:p w14:paraId="778BFA65" w14:textId="206C2FBD" w:rsidR="00B419F5" w:rsidRPr="002070E1" w:rsidRDefault="00B419F5">
      <w:r w:rsidRPr="002070E1">
        <w:t xml:space="preserve">Outside of the distribution of GST, the </w:t>
      </w:r>
      <w:r>
        <w:t>Australian Government</w:t>
      </w:r>
      <w:r w:rsidRPr="002070E1">
        <w:t xml:space="preserve"> also provides grants to states to support, incentivise or reward the delivery of particular services, projects, and reforms. These grants, including payments for specific purposes (SPPs) and other general revenue assistance, vary in their quantum, duration and subject matter, but are concentrated in policy areas where the constitution implies the states are primarily responsible for service delivery </w:t>
      </w:r>
      <w:r w:rsidRPr="007116B2">
        <w:rPr>
          <w:rFonts w:cs="Open Sans"/>
        </w:rPr>
        <w:t>(Australian Government Department of the Treasury 2022e, p. 3)</w:t>
      </w:r>
      <w:r w:rsidRPr="002070E1">
        <w:t xml:space="preserve">. These areas include health, education, infrastructure, housing and the environment </w:t>
      </w:r>
      <w:r w:rsidRPr="007602D5">
        <w:rPr>
          <w:rFonts w:cs="Open Sans"/>
        </w:rPr>
        <w:t>(Commonwealth of Australia 2025, p. 63)</w:t>
      </w:r>
      <w:r>
        <w:t>.</w:t>
      </w:r>
    </w:p>
    <w:p w14:paraId="5011FE69" w14:textId="096F9BD3" w:rsidR="00B419F5" w:rsidRDefault="00B419F5">
      <w:r w:rsidRPr="002070E1">
        <w:t>In line with the instructions provided to it, the CGC considers ‘</w:t>
      </w:r>
      <w:r w:rsidRPr="0049404B">
        <w:rPr>
          <w:i/>
        </w:rPr>
        <w:t>payments which support state services, and for which expenditure needs are assessed</w:t>
      </w:r>
      <w:r w:rsidRPr="002070E1">
        <w:t xml:space="preserve">’ </w:t>
      </w:r>
      <w:r>
        <w:t>when</w:t>
      </w:r>
      <w:r w:rsidRPr="002070E1">
        <w:t xml:space="preserve"> determining GST relativities </w:t>
      </w:r>
      <w:r w:rsidR="00546FEC" w:rsidRPr="00546FEC">
        <w:rPr>
          <w:rFonts w:cs="Open Sans"/>
        </w:rPr>
        <w:t>(CGC 2025d, pp. 295–296)</w:t>
      </w:r>
      <w:r w:rsidRPr="002070E1">
        <w:t xml:space="preserve">. This means that assessable grants increase a state’s </w:t>
      </w:r>
      <w:r>
        <w:t>assessed revenue</w:t>
      </w:r>
      <w:r w:rsidRPr="002070E1">
        <w:t xml:space="preserve"> and, to the extent the</w:t>
      </w:r>
      <w:r w:rsidRPr="002070E1" w:rsidDel="000E5CC5">
        <w:t xml:space="preserve"> </w:t>
      </w:r>
      <w:r w:rsidRPr="002070E1">
        <w:t>expenditure needs</w:t>
      </w:r>
      <w:r>
        <w:t xml:space="preserve"> associated with the payment occur within other states</w:t>
      </w:r>
      <w:r w:rsidRPr="002070E1">
        <w:t xml:space="preserve">, reduces the amount of GST </w:t>
      </w:r>
      <w:r>
        <w:t xml:space="preserve">revenue </w:t>
      </w:r>
      <w:r w:rsidRPr="002070E1">
        <w:t xml:space="preserve">that state requires to achieve HFE. </w:t>
      </w:r>
    </w:p>
    <w:p w14:paraId="5D59D696" w14:textId="30F9F04A" w:rsidR="00B419F5" w:rsidRPr="002070E1" w:rsidRDefault="00B419F5">
      <w:r w:rsidRPr="002070E1">
        <w:t>These grants are not distributed equally amongst the states.</w:t>
      </w:r>
      <w:r w:rsidRPr="00201B0D">
        <w:rPr>
          <w:rStyle w:val="FootnoteReference"/>
        </w:rPr>
        <w:footnoteReference w:id="54"/>
      </w:r>
      <w:r w:rsidRPr="002070E1">
        <w:t xml:space="preserve"> If these payments were excluded from GST distribution assessments, states </w:t>
      </w:r>
      <w:r>
        <w:t>that</w:t>
      </w:r>
      <w:r w:rsidRPr="002070E1">
        <w:t xml:space="preserve"> receive relatively less would face a fiscal disadvantage not addressed by the GST distribution system </w:t>
      </w:r>
      <w:r w:rsidRPr="00A2601C">
        <w:rPr>
          <w:rFonts w:cs="Open Sans"/>
        </w:rPr>
        <w:t>(CGC 2022a, p. 4)</w:t>
      </w:r>
      <w:r w:rsidRPr="002070E1">
        <w:t>.</w:t>
      </w:r>
    </w:p>
    <w:p w14:paraId="5A8A2D87" w14:textId="77777777" w:rsidR="00B419F5" w:rsidRPr="007504D3" w:rsidRDefault="00B419F5">
      <w:pPr>
        <w:rPr>
          <w:spacing w:val="2"/>
        </w:rPr>
      </w:pPr>
      <w:r w:rsidRPr="007504D3">
        <w:rPr>
          <w:spacing w:val="2"/>
        </w:rPr>
        <w:t xml:space="preserve">States have a direct financial incentive to have Commonwealth payments they have received excluded from GST distribution calculations. Where a state receives an excluded payment, any contribution this payment makes to their fiscal capacity – even indirect contributions, such as by covering an expenditure the state would otherwise incur – will not be equalised through the distribution of GST revenue. </w:t>
      </w:r>
    </w:p>
    <w:p w14:paraId="0201899C" w14:textId="77777777" w:rsidR="00B419F5" w:rsidRPr="002070E1" w:rsidRDefault="00B419F5">
      <w:r>
        <w:t>T</w:t>
      </w:r>
      <w:r w:rsidRPr="002070E1">
        <w:t xml:space="preserve">hree types of </w:t>
      </w:r>
      <w:r>
        <w:t xml:space="preserve">non-GST </w:t>
      </w:r>
      <w:r w:rsidRPr="002070E1">
        <w:t>Commonwealth payments are not considered in – and therefore do not affect – the GST distribution (figure</w:t>
      </w:r>
      <w:r>
        <w:t> </w:t>
      </w:r>
      <w:r w:rsidRPr="002070E1">
        <w:t xml:space="preserve">5.1). </w:t>
      </w:r>
    </w:p>
    <w:p w14:paraId="1008D8ED" w14:textId="28158044" w:rsidR="00B419F5" w:rsidRPr="007504D3" w:rsidRDefault="00B419F5">
      <w:pPr>
        <w:pStyle w:val="FigureTableHeading"/>
        <w:rPr>
          <w:spacing w:val="-4"/>
        </w:rPr>
      </w:pPr>
      <w:r w:rsidRPr="007504D3">
        <w:rPr>
          <w:spacing w:val="-4"/>
        </w:rPr>
        <w:lastRenderedPageBreak/>
        <w:t>Figure </w:t>
      </w:r>
      <w:r w:rsidRPr="007504D3">
        <w:rPr>
          <w:spacing w:val="-4"/>
        </w:rPr>
        <w:fldChar w:fldCharType="begin"/>
      </w:r>
      <w:r w:rsidRPr="007504D3">
        <w:rPr>
          <w:spacing w:val="-4"/>
        </w:rPr>
        <w:instrText>STYLEREF 1 \s</w:instrText>
      </w:r>
      <w:r w:rsidRPr="007504D3">
        <w:rPr>
          <w:spacing w:val="-4"/>
        </w:rPr>
        <w:fldChar w:fldCharType="separate"/>
      </w:r>
      <w:r w:rsidR="009C08C4">
        <w:rPr>
          <w:noProof/>
          <w:spacing w:val="-4"/>
        </w:rPr>
        <w:t>5</w:t>
      </w:r>
      <w:r w:rsidRPr="007504D3">
        <w:rPr>
          <w:spacing w:val="-4"/>
        </w:rPr>
        <w:fldChar w:fldCharType="end"/>
      </w:r>
      <w:r w:rsidRPr="007504D3">
        <w:rPr>
          <w:spacing w:val="-4"/>
        </w:rPr>
        <w:t>.</w:t>
      </w:r>
      <w:r w:rsidRPr="007504D3">
        <w:rPr>
          <w:spacing w:val="-4"/>
        </w:rPr>
        <w:fldChar w:fldCharType="begin"/>
      </w:r>
      <w:r w:rsidRPr="007504D3">
        <w:rPr>
          <w:spacing w:val="-4"/>
        </w:rPr>
        <w:instrText>SEQ Figure \* ARABIC \s 1</w:instrText>
      </w:r>
      <w:r w:rsidRPr="007504D3">
        <w:rPr>
          <w:spacing w:val="-4"/>
        </w:rPr>
        <w:fldChar w:fldCharType="separate"/>
      </w:r>
      <w:r w:rsidR="009C08C4">
        <w:rPr>
          <w:noProof/>
          <w:spacing w:val="-4"/>
        </w:rPr>
        <w:t>1</w:t>
      </w:r>
      <w:r w:rsidRPr="007504D3">
        <w:rPr>
          <w:spacing w:val="-4"/>
        </w:rPr>
        <w:fldChar w:fldCharType="end"/>
      </w:r>
      <w:r w:rsidRPr="007504D3">
        <w:rPr>
          <w:spacing w:val="-4"/>
        </w:rPr>
        <w:t xml:space="preserve"> – There are 3 reasons a Commonwealth payment would not affect the GST distribution</w:t>
      </w:r>
    </w:p>
    <w:p w14:paraId="3E76B8DE" w14:textId="77777777" w:rsidR="00B419F5" w:rsidRPr="002070E1" w:rsidRDefault="00B419F5">
      <w:pPr>
        <w:pStyle w:val="FigureTableHeading"/>
      </w:pPr>
      <w:r w:rsidRPr="00451B62">
        <w:rPr>
          <w:noProof/>
        </w:rPr>
        <w:drawing>
          <wp:inline distT="0" distB="0" distL="0" distR="0" wp14:anchorId="755584D5" wp14:editId="2C4D0C99">
            <wp:extent cx="6120130" cy="3378200"/>
            <wp:effectExtent l="0" t="0" r="0" b="0"/>
            <wp:docPr id="1760745346" name="Picture 8" descr="Figure 5.1 – This figure shows a flow chart to determine if a Commonwealth payment to the states will be included in the CGC’s determination of the GST relativities. It shows that a payment will only be included if the Commonwealth Treasurer has not excluded the payment, the payment supports a state-provided service, and the CGC assess expenditure needs for the services supported by the pa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745346" name="Picture 8" descr="Figure 5.1 – This figure shows a flow chart to determine if a Commonwealth payment to the states will be included in the CGC’s determination of the GST relativities. It shows that a payment will only be included if the Commonwealth Treasurer has not excluded the payment, the payment supports a state-provided service, and the CGC assess expenditure needs for the services supported by the payment."/>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6120130" cy="3378200"/>
                    </a:xfrm>
                    <a:prstGeom prst="rect">
                      <a:avLst/>
                    </a:prstGeom>
                    <a:noFill/>
                    <a:ln>
                      <a:noFill/>
                    </a:ln>
                  </pic:spPr>
                </pic:pic>
              </a:graphicData>
            </a:graphic>
          </wp:inline>
        </w:drawing>
      </w:r>
    </w:p>
    <w:p w14:paraId="6B9EF30A" w14:textId="546AF82F" w:rsidR="00B419F5" w:rsidRPr="002070E1" w:rsidRDefault="00B419F5">
      <w:pPr>
        <w:pStyle w:val="Source"/>
      </w:pPr>
      <w:r w:rsidRPr="002070E1">
        <w:t xml:space="preserve">Source: </w:t>
      </w:r>
      <w:r>
        <w:t>Adapted from</w:t>
      </w:r>
      <w:r w:rsidRPr="002070E1">
        <w:t xml:space="preserve"> CGC </w:t>
      </w:r>
      <w:r w:rsidR="00546FEC" w:rsidRPr="00546FEC">
        <w:rPr>
          <w:rFonts w:cs="Open Sans"/>
        </w:rPr>
        <w:t>(2025f, p. 210)</w:t>
      </w:r>
      <w:r>
        <w:t>.</w:t>
      </w:r>
    </w:p>
    <w:p w14:paraId="4BDEB108" w14:textId="76B50E76" w:rsidR="00B419F5" w:rsidRPr="002070E1" w:rsidRDefault="00B419F5">
      <w:r>
        <w:t>Two types of excluded payments do</w:t>
      </w:r>
      <w:r w:rsidRPr="002070E1">
        <w:t xml:space="preserve"> not meet the CGC’s assessment criteria:</w:t>
      </w:r>
      <w:r>
        <w:t xml:space="preserve"> </w:t>
      </w:r>
      <w:r w:rsidRPr="002070E1">
        <w:t>payments which do not support state services (such as payments supporting non</w:t>
      </w:r>
      <w:r>
        <w:noBreakHyphen/>
      </w:r>
      <w:r w:rsidRPr="002070E1">
        <w:t xml:space="preserve">government schools), and payments for which expenditure needs are not assessed by the CGC (either because of data constraints, or because the CGC cannot identify a measure of expenditure need that is not controlled by state policy choices </w:t>
      </w:r>
      <w:r w:rsidR="00546FEC" w:rsidRPr="00546FEC">
        <w:rPr>
          <w:rFonts w:cs="Open Sans"/>
        </w:rPr>
        <w:t>(CGC 2022d, p. 4)</w:t>
      </w:r>
      <w:r w:rsidRPr="002070E1">
        <w:t>). States can advocate to the CGC that a particular payment does not support a state</w:t>
      </w:r>
      <w:r>
        <w:noBreakHyphen/>
      </w:r>
      <w:r w:rsidRPr="002070E1">
        <w:t>provided service or that needs are not assessed</w:t>
      </w:r>
      <w:r>
        <w:t xml:space="preserve"> and the </w:t>
      </w:r>
      <w:r w:rsidRPr="002070E1">
        <w:t xml:space="preserve">CGC publishes their decisions </w:t>
      </w:r>
      <w:r>
        <w:t>and associated</w:t>
      </w:r>
      <w:r w:rsidRPr="002070E1">
        <w:t xml:space="preserve"> </w:t>
      </w:r>
      <w:r>
        <w:t>reasons</w:t>
      </w:r>
      <w:r w:rsidRPr="002070E1">
        <w:t xml:space="preserve"> </w:t>
      </w:r>
      <w:r w:rsidR="009153E9" w:rsidRPr="002E3A5A">
        <w:rPr>
          <w:rFonts w:cs="Open Sans"/>
        </w:rPr>
        <w:t>(CGC 2025f, p. 212, 2026j)</w:t>
      </w:r>
      <w:r w:rsidRPr="002E3A5A">
        <w:t>.</w:t>
      </w:r>
    </w:p>
    <w:p w14:paraId="393A570C" w14:textId="4DABF52D" w:rsidR="00B419F5" w:rsidRPr="002070E1" w:rsidRDefault="00B419F5">
      <w:r w:rsidRPr="002070E1">
        <w:t xml:space="preserve">The </w:t>
      </w:r>
      <w:r>
        <w:t>other</w:t>
      </w:r>
      <w:r w:rsidRPr="002070E1">
        <w:t xml:space="preserve"> way a payment can be excluded from affecting the GST distribution is through an explicit instruction from the </w:t>
      </w:r>
      <w:r w:rsidR="00201118">
        <w:t>Australian</w:t>
      </w:r>
      <w:r w:rsidRPr="002070E1">
        <w:t xml:space="preserve"> Treasurer </w:t>
      </w:r>
      <w:r w:rsidRPr="007116B2">
        <w:rPr>
          <w:rFonts w:cs="Open Sans"/>
        </w:rPr>
        <w:t>(Australian Government Department of the Treasury 2022b, p. 10)</w:t>
      </w:r>
      <w:r w:rsidRPr="002070E1">
        <w:t>. The Treasurer can use their discretion to exclude payments on a case</w:t>
      </w:r>
      <w:r>
        <w:noBreakHyphen/>
      </w:r>
      <w:r w:rsidRPr="002070E1">
        <w:t>by</w:t>
      </w:r>
      <w:r>
        <w:noBreakHyphen/>
      </w:r>
      <w:r w:rsidRPr="002070E1">
        <w:t xml:space="preserve">case basis, a practice known as ‘quarantining’ the payment. </w:t>
      </w:r>
    </w:p>
    <w:p w14:paraId="0E2A4AB8" w14:textId="27B037D9" w:rsidR="00B419F5" w:rsidRPr="002070E1" w:rsidRDefault="00B67F1A">
      <w:r w:rsidRPr="00544A31">
        <w:t>In</w:t>
      </w:r>
      <w:r w:rsidR="00B419F5" w:rsidRPr="00544A31">
        <w:t xml:space="preserve"> the 10 years</w:t>
      </w:r>
      <w:r w:rsidRPr="00544A31">
        <w:t xml:space="preserve"> to </w:t>
      </w:r>
      <w:r w:rsidR="00246A5F">
        <w:t>2024–25</w:t>
      </w:r>
      <w:r w:rsidR="00B419F5" w:rsidRPr="00544A31">
        <w:t>, approximately 40% of all</w:t>
      </w:r>
      <w:r w:rsidRPr="00544A31">
        <w:t xml:space="preserve"> non-GST</w:t>
      </w:r>
      <w:r w:rsidR="00B419F5" w:rsidRPr="00544A31">
        <w:t xml:space="preserve"> Commonwealth payments (by value) have not affected the GST distribution (figure 5.2). Most of these paym</w:t>
      </w:r>
      <w:r w:rsidR="00B419F5" w:rsidRPr="002070E1">
        <w:t>ents have been excluded on the basis that they do not support state</w:t>
      </w:r>
      <w:r w:rsidR="00B419F5">
        <w:noBreakHyphen/>
      </w:r>
      <w:r w:rsidR="00B419F5" w:rsidRPr="002070E1">
        <w:t>government services, such as payments to non</w:t>
      </w:r>
      <w:r w:rsidR="00B419F5">
        <w:noBreakHyphen/>
      </w:r>
      <w:r w:rsidR="00B419F5" w:rsidRPr="002070E1">
        <w:t>government schools and payments to local governments distributed through the states.</w:t>
      </w:r>
      <w:r w:rsidR="00B419F5">
        <w:t xml:space="preserve"> The second most common reason a payment is excluded is because the CGC does not assess the expenditure </w:t>
      </w:r>
      <w:r w:rsidR="00B419F5" w:rsidRPr="002070E1">
        <w:t>needs associated with the payment. Payments excluded on this basis include some related to natural disaster recovery, state</w:t>
      </w:r>
      <w:r w:rsidR="00B419F5">
        <w:noBreakHyphen/>
      </w:r>
      <w:r w:rsidR="00B419F5" w:rsidRPr="002070E1">
        <w:t>specific infrastructure projects and environmental protection services. The share of payments quarantined by the Treasurer’s discretion</w:t>
      </w:r>
      <w:r w:rsidR="00B419F5">
        <w:t xml:space="preserve"> – the final way a payment can be excluded –</w:t>
      </w:r>
      <w:r w:rsidR="00B419F5" w:rsidRPr="002070E1">
        <w:t xml:space="preserve"> is relatively low: usually between 2</w:t>
      </w:r>
      <w:r w:rsidR="00B419F5">
        <w:noBreakHyphen/>
      </w:r>
      <w:r w:rsidR="00B419F5" w:rsidRPr="002070E1">
        <w:t xml:space="preserve">7% of all payments, or just over $7 billion in </w:t>
      </w:r>
      <w:r w:rsidR="00246A5F">
        <w:t>2024–25</w:t>
      </w:r>
      <w:r w:rsidR="00B419F5" w:rsidRPr="002070E1">
        <w:t>.</w:t>
      </w:r>
    </w:p>
    <w:p w14:paraId="078122C7" w14:textId="029CBA41" w:rsidR="00B419F5" w:rsidRPr="002070E1" w:rsidRDefault="00B419F5">
      <w:pPr>
        <w:pStyle w:val="FigureTableHeading"/>
      </w:pPr>
      <w:r w:rsidRPr="002070E1">
        <w:lastRenderedPageBreak/>
        <w:t>Figure</w:t>
      </w:r>
      <w:r>
        <w:t> </w:t>
      </w:r>
      <w:r>
        <w:fldChar w:fldCharType="begin"/>
      </w:r>
      <w:r>
        <w:instrText>STYLEREF 1 \s</w:instrText>
      </w:r>
      <w:r>
        <w:fldChar w:fldCharType="separate"/>
      </w:r>
      <w:r w:rsidR="009C08C4">
        <w:rPr>
          <w:noProof/>
        </w:rPr>
        <w:t>5</w:t>
      </w:r>
      <w:r>
        <w:fldChar w:fldCharType="end"/>
      </w:r>
      <w:r w:rsidRPr="002070E1">
        <w:t>.</w:t>
      </w:r>
      <w:r>
        <w:fldChar w:fldCharType="begin"/>
      </w:r>
      <w:r>
        <w:instrText>SEQ Figure \* ARABIC \s 1</w:instrText>
      </w:r>
      <w:r>
        <w:fldChar w:fldCharType="separate"/>
      </w:r>
      <w:r w:rsidR="009C08C4">
        <w:rPr>
          <w:noProof/>
        </w:rPr>
        <w:t>2</w:t>
      </w:r>
      <w:r>
        <w:fldChar w:fldCharType="end"/>
      </w:r>
      <w:r w:rsidRPr="002070E1">
        <w:t xml:space="preserve"> – Commonwealth payments are increasingly not affecting the GST distribution</w:t>
      </w:r>
    </w:p>
    <w:p w14:paraId="001FED09" w14:textId="00FC3F21" w:rsidR="00B419F5" w:rsidRPr="002070E1" w:rsidRDefault="00B419F5">
      <w:pPr>
        <w:pStyle w:val="FigureTableSubheading"/>
        <w:keepLines/>
      </w:pPr>
      <w:r w:rsidRPr="002070E1">
        <w:t>Share of Commonwealth payment dollars by effect on GST distribution, 2014</w:t>
      </w:r>
      <w:r>
        <w:noBreakHyphen/>
      </w:r>
      <w:r w:rsidRPr="002070E1">
        <w:t xml:space="preserve">15 to </w:t>
      </w:r>
      <w:r w:rsidR="00246A5F">
        <w:t>2024–25</w:t>
      </w:r>
    </w:p>
    <w:p w14:paraId="63D52359" w14:textId="6541551F" w:rsidR="00B419F5" w:rsidRPr="00C9759D" w:rsidRDefault="00716759" w:rsidP="00C9759D">
      <w:pPr>
        <w:pStyle w:val="BodyText"/>
      </w:pPr>
      <w:r w:rsidRPr="00C9759D">
        <w:rPr>
          <w:noProof/>
        </w:rPr>
        <w:drawing>
          <wp:inline distT="0" distB="0" distL="0" distR="0" wp14:anchorId="11EC69F8" wp14:editId="2A7629B7">
            <wp:extent cx="6120130" cy="3610610"/>
            <wp:effectExtent l="0" t="0" r="0" b="0"/>
            <wp:docPr id="1199248849" name="Picture 20" descr="Figure 5.2 – This figure shows a stacked column chart of the share of Commonwealth payments by their treatment in GST assessments. It shows that the proportion of payments impacting the distribution over time has shrunk, while those which are quarantined have grown. After a decrease in 2016-17, it also shows more payments are excluded because needs are not asses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248849" name="Picture 20" descr="Figure 5.2 – This figure shows a stacked column chart of the share of Commonwealth payments by their treatment in GST assessments. It shows that the proportion of payments impacting the distribution over time has shrunk, while those which are quarantined have grown. After a decrease in 2016-17, it also shows more payments are excluded because needs are not assessed."/>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6120130" cy="3610610"/>
                    </a:xfrm>
                    <a:prstGeom prst="rect">
                      <a:avLst/>
                    </a:prstGeom>
                    <a:noFill/>
                    <a:ln>
                      <a:noFill/>
                    </a:ln>
                  </pic:spPr>
                </pic:pic>
              </a:graphicData>
            </a:graphic>
          </wp:inline>
        </w:drawing>
      </w:r>
    </w:p>
    <w:p w14:paraId="02B9E634" w14:textId="16416C7F" w:rsidR="00B419F5" w:rsidRPr="004D2893" w:rsidRDefault="00B419F5" w:rsidP="004D2893">
      <w:pPr>
        <w:pStyle w:val="Note"/>
        <w:rPr>
          <w:spacing w:val="-2"/>
        </w:rPr>
      </w:pPr>
      <w:r w:rsidRPr="004D2893">
        <w:rPr>
          <w:spacing w:val="-2"/>
        </w:rPr>
        <w:t>Data prior to 2014</w:t>
      </w:r>
      <w:r w:rsidR="00B92667">
        <w:t>–</w:t>
      </w:r>
      <w:r w:rsidRPr="004D2893">
        <w:rPr>
          <w:spacing w:val="-2"/>
        </w:rPr>
        <w:t>15 is not considered, as prior to this time all payments to non</w:t>
      </w:r>
      <w:r w:rsidRPr="004D2893">
        <w:rPr>
          <w:spacing w:val="-2"/>
        </w:rPr>
        <w:noBreakHyphen/>
        <w:t>government schools were treated as impacting the GST distribution. The marked</w:t>
      </w:r>
      <w:r w:rsidRPr="004D2893" w:rsidDel="006826F9">
        <w:rPr>
          <w:spacing w:val="-2"/>
        </w:rPr>
        <w:t xml:space="preserve"> </w:t>
      </w:r>
      <w:r w:rsidRPr="004D2893">
        <w:rPr>
          <w:spacing w:val="-2"/>
        </w:rPr>
        <w:t xml:space="preserve">transition in payments supporting services where needs are not assessed from impact payments in </w:t>
      </w:r>
      <w:r w:rsidR="003B5DC0" w:rsidRPr="004D2893">
        <w:rPr>
          <w:spacing w:val="-2"/>
        </w:rPr>
        <w:t xml:space="preserve">2024–25 </w:t>
      </w:r>
      <w:r w:rsidRPr="004D2893">
        <w:rPr>
          <w:spacing w:val="-2"/>
        </w:rPr>
        <w:t>is driven by the treatment of payments to public schools under the Better and Fairer Schools Agreement (the education sector NFFA). The Australian Government instructed the CGC not to unwind the different funding amounts provided to states under that agreement through the distribution of GST revenue, which left the CGC without a way to measure expenditure needs (CGC 2026, p. 31; Treasury 2025, p. 2).</w:t>
      </w:r>
    </w:p>
    <w:p w14:paraId="30C104BA" w14:textId="27605FF3" w:rsidR="00B419F5" w:rsidRPr="004D2893" w:rsidRDefault="00B419F5" w:rsidP="004D2893">
      <w:pPr>
        <w:pStyle w:val="Source"/>
        <w:spacing w:after="360"/>
        <w:rPr>
          <w:spacing w:val="-4"/>
        </w:rPr>
      </w:pPr>
      <w:r w:rsidRPr="004D2893">
        <w:rPr>
          <w:spacing w:val="-4"/>
        </w:rPr>
        <w:t xml:space="preserve">Source: PC estimates using Commonwealth of Australia </w:t>
      </w:r>
      <w:r w:rsidRPr="004D2893">
        <w:rPr>
          <w:rFonts w:cs="Open Sans"/>
          <w:spacing w:val="-4"/>
        </w:rPr>
        <w:t>(2025 and various other years)</w:t>
      </w:r>
      <w:r w:rsidRPr="004D2893">
        <w:rPr>
          <w:spacing w:val="-4"/>
        </w:rPr>
        <w:t xml:space="preserve"> and CGC (unpublished data).</w:t>
      </w:r>
    </w:p>
    <w:p w14:paraId="77DF1103" w14:textId="77777777" w:rsidR="00B419F5" w:rsidRPr="002070E1" w:rsidRDefault="00B419F5">
      <w:pPr>
        <w:pStyle w:val="BodyText"/>
      </w:pPr>
      <w:r w:rsidRPr="002070E1">
        <w:t xml:space="preserve">Without the power to quarantine certain payments, the </w:t>
      </w:r>
      <w:r>
        <w:t>Australian Government</w:t>
      </w:r>
      <w:r w:rsidRPr="002070E1">
        <w:t xml:space="preserve"> would be limited in its ability to use payments to incentivise states to undertake nationally significant reforms (such as National Competition Policy payments, which minimise costs for businesses transacting across the country) or target specific structural disadvantages that are not addressed through the HFE process.</w:t>
      </w:r>
    </w:p>
    <w:p w14:paraId="439C8ED5" w14:textId="5485299F" w:rsidR="00B419F5" w:rsidRDefault="00B419F5">
      <w:r w:rsidRPr="002070E1">
        <w:t xml:space="preserve">However, the current process for quarantining payments has contributed to inconsistent outcomes, with some payments </w:t>
      </w:r>
      <w:r>
        <w:t xml:space="preserve">for similar purposes being treated differently without a clear basis for distinguishing between them. For example, </w:t>
      </w:r>
      <w:r w:rsidRPr="002070E1">
        <w:t>some payments which support state</w:t>
      </w:r>
      <w:r>
        <w:noBreakHyphen/>
      </w:r>
      <w:r w:rsidRPr="002070E1">
        <w:t>specific infrastructure have been quarantined (</w:t>
      </w:r>
      <w:r w:rsidRPr="00B25788">
        <w:t xml:space="preserve">such as payments in </w:t>
      </w:r>
      <w:r w:rsidR="003B5DC0">
        <w:t xml:space="preserve">2024–25 </w:t>
      </w:r>
      <w:r w:rsidRPr="00B25788">
        <w:t>to support the Macquarie Point Urban Redevelopment in Tasmania</w:t>
      </w:r>
      <w:r w:rsidR="00B25788">
        <w:t xml:space="preserve"> </w:t>
      </w:r>
      <w:r w:rsidR="00753B56" w:rsidRPr="00753B56">
        <w:rPr>
          <w:rFonts w:cs="Open Sans"/>
        </w:rPr>
        <w:t>(Australian Government Department of the Treasury 2025, p. 1)</w:t>
      </w:r>
      <w:r w:rsidRPr="00B25788">
        <w:t>, which includes construction of a new stadium</w:t>
      </w:r>
      <w:r w:rsidR="009757A4">
        <w:t xml:space="preserve"> </w:t>
      </w:r>
      <w:r w:rsidR="00B97FF4" w:rsidRPr="00B97FF4">
        <w:rPr>
          <w:rFonts w:cs="Open Sans"/>
        </w:rPr>
        <w:t>(King and Abetz 2026)</w:t>
      </w:r>
      <w:r w:rsidRPr="00B25788">
        <w:t>), while others have not (such as payments to support construction of a stadium in Townsville in 2020</w:t>
      </w:r>
      <w:r w:rsidRPr="00B25788">
        <w:noBreakHyphen/>
        <w:t>21</w:t>
      </w:r>
      <w:r w:rsidR="00563D46">
        <w:t xml:space="preserve"> </w:t>
      </w:r>
      <w:r w:rsidR="00563D46" w:rsidRPr="00563D46">
        <w:rPr>
          <w:rFonts w:cs="Open Sans"/>
        </w:rPr>
        <w:t>(CGC 2020b)</w:t>
      </w:r>
      <w:r w:rsidRPr="00B25788">
        <w:t>, or to support the upgrade of a stadium in Parramatta in 2012</w:t>
      </w:r>
      <w:r w:rsidR="00B92667">
        <w:t>–</w:t>
      </w:r>
      <w:r w:rsidRPr="00B25788">
        <w:t>13</w:t>
      </w:r>
      <w:r w:rsidRPr="002070E1">
        <w:t>)</w:t>
      </w:r>
      <w:r w:rsidR="00B24F63">
        <w:t xml:space="preserve"> </w:t>
      </w:r>
      <w:r w:rsidR="00F62E2D" w:rsidRPr="00F62E2D">
        <w:rPr>
          <w:rFonts w:cs="Open Sans"/>
        </w:rPr>
        <w:t>(CGC 2015b, p. 603)</w:t>
      </w:r>
      <w:r w:rsidRPr="002070E1">
        <w:t xml:space="preserve">. Similarly, some payments supporting national biosecurity have been quarantined (such as payments supporting pest and disease preparedness and response), while others have not (such as payments supporting Australia’s protection from escalating exotic animal </w:t>
      </w:r>
      <w:r w:rsidRPr="00071F78">
        <w:t>diseases)</w:t>
      </w:r>
      <w:r w:rsidR="00071F78">
        <w:t xml:space="preserve"> </w:t>
      </w:r>
      <w:r w:rsidR="005B7B31" w:rsidRPr="005B7B31">
        <w:rPr>
          <w:rFonts w:cs="Open Sans"/>
        </w:rPr>
        <w:t>(CGC 2026j)</w:t>
      </w:r>
      <w:r w:rsidRPr="00071F78">
        <w:t>.</w:t>
      </w:r>
    </w:p>
    <w:p w14:paraId="68206D33" w14:textId="77777777" w:rsidR="00B419F5" w:rsidRPr="002070E1" w:rsidRDefault="00B419F5">
      <w:r w:rsidRPr="002070E1">
        <w:lastRenderedPageBreak/>
        <w:t>This lack of consistency strengthens the incentive of states to seek quarantining for every Commonwealth payment, rather than undertake</w:t>
      </w:r>
      <w:r>
        <w:t xml:space="preserve"> a</w:t>
      </w:r>
      <w:r w:rsidRPr="002070E1">
        <w:t xml:space="preserve"> principle</w:t>
      </w:r>
      <w:r>
        <w:noBreakHyphen/>
      </w:r>
      <w:r w:rsidRPr="002070E1">
        <w:t>based analysis of which payments should be included in the HFE system. Furthermore, given the different net fiscal benefits of payments with different treatments</w:t>
      </w:r>
      <w:r>
        <w:t xml:space="preserve"> in GST distribution arrangements</w:t>
      </w:r>
      <w:r w:rsidRPr="002070E1">
        <w:t>, inconsistency can erode public trust in the system due to perceptions of bias or favouritism.</w:t>
      </w:r>
    </w:p>
    <w:p w14:paraId="3F0A25FA" w14:textId="34E887C1" w:rsidR="00B419F5" w:rsidRPr="002070E1" w:rsidRDefault="00B419F5">
      <w:r w:rsidRPr="002070E1">
        <w:t>To preserve the benefits of quarantining payments</w:t>
      </w:r>
      <w:r>
        <w:t xml:space="preserve"> in exceptional circumstances</w:t>
      </w:r>
      <w:r w:rsidRPr="002070E1">
        <w:t>, while also increasing transparency and mitigating the unintended consequences of the current approach, state governments should be required to</w:t>
      </w:r>
      <w:r>
        <w:t xml:space="preserve"> publicly</w:t>
      </w:r>
      <w:r w:rsidRPr="002070E1">
        <w:t xml:space="preserve"> submit a formal written request to the </w:t>
      </w:r>
      <w:r w:rsidR="00AC0DC5">
        <w:t>Australian</w:t>
      </w:r>
      <w:r w:rsidRPr="002070E1">
        <w:t xml:space="preserve"> Treasurer when they are seeking a payment be quarantined. The </w:t>
      </w:r>
      <w:r w:rsidR="00AC0DC5">
        <w:t>Australian</w:t>
      </w:r>
      <w:r w:rsidRPr="002070E1">
        <w:t xml:space="preserve"> Treasurer should be required to </w:t>
      </w:r>
      <w:r>
        <w:t xml:space="preserve">publicly </w:t>
      </w:r>
      <w:r w:rsidRPr="002070E1">
        <w:t xml:space="preserve">respond to each request with a decision and supporting reasons. Both the application and the decision should clearly outline why a payment should (or, where supporting decisions to not exclude a payment, should not) be permitted to increase a state’s fiscal capacity outside of the HFE system. All applications and decisions should be published. This process is not intended to create fixed positions from which the states or </w:t>
      </w:r>
      <w:r w:rsidR="00AC0DC5">
        <w:t>Australian</w:t>
      </w:r>
      <w:r w:rsidRPr="002070E1">
        <w:t xml:space="preserve"> Treasurer cannot deviate but would impose greater accountability on governments to explain their positions.</w:t>
      </w:r>
    </w:p>
    <w:p w14:paraId="035FC99B" w14:textId="592BE16A" w:rsidR="00B419F5" w:rsidRPr="002070E1" w:rsidRDefault="00B419F5">
      <w:r>
        <w:t>The</w:t>
      </w:r>
      <w:r w:rsidRPr="002070E1">
        <w:t xml:space="preserve"> PC considers that guidelines which govern when payments should be quarantined would improve consistency</w:t>
      </w:r>
      <w:r>
        <w:t xml:space="preserve">. Guidelines would necessarily limit </w:t>
      </w:r>
      <w:r w:rsidRPr="002070E1">
        <w:t xml:space="preserve">the Treasurer’s flexibility to address changing state circumstances through the FFR system. Successive reviews have suggested the creation of guidelines </w:t>
      </w:r>
      <w:r w:rsidRPr="007116B2">
        <w:rPr>
          <w:rFonts w:cs="Open Sans"/>
        </w:rPr>
        <w:t>(Commonwealth of Australia 2012, pp. 70–71; PC 2018, pp. 185–186)</w:t>
      </w:r>
      <w:r w:rsidRPr="002070E1">
        <w:t xml:space="preserve">, and although the </w:t>
      </w:r>
      <w:r>
        <w:t>Australian Government</w:t>
      </w:r>
      <w:r w:rsidRPr="002070E1">
        <w:t xml:space="preserve"> accepted this recommendation </w:t>
      </w:r>
      <w:r w:rsidRPr="00E9471D">
        <w:rPr>
          <w:rFonts w:cs="Open Sans"/>
        </w:rPr>
        <w:t>(Australian Government 2018, p. 25)</w:t>
      </w:r>
      <w:r w:rsidRPr="002070E1">
        <w:t xml:space="preserve">, guidelines still do not exist. This is, at least in part, because </w:t>
      </w:r>
      <w:r>
        <w:t>states have not reached</w:t>
      </w:r>
      <w:r w:rsidRPr="002070E1">
        <w:t xml:space="preserve"> agreement about how prescriptive guidelines should be and which types of payments should fall within them.</w:t>
      </w:r>
      <w:r w:rsidRPr="00201B0D">
        <w:rPr>
          <w:rStyle w:val="FootnoteReference"/>
        </w:rPr>
        <w:footnoteReference w:id="55"/>
      </w:r>
      <w:r w:rsidRPr="002070E1">
        <w:t xml:space="preserve"> The PC’s </w:t>
      </w:r>
      <w:r>
        <w:t>recommended approach</w:t>
      </w:r>
      <w:r w:rsidRPr="002070E1">
        <w:t xml:space="preserve"> would increase transparency and consistency in quarantining without incurring these costs.</w:t>
      </w:r>
    </w:p>
    <w:p w14:paraId="47F73A76" w14:textId="77777777" w:rsidR="00B419F5" w:rsidRPr="002070E1" w:rsidRDefault="00B419F5" w:rsidP="00AA7877">
      <w:pPr>
        <w:pStyle w:val="NoSpacing"/>
      </w:pPr>
    </w:p>
    <w:tbl>
      <w:tblPr>
        <w:tblStyle w:val="Texttable-Paleblue"/>
        <w:tblW w:w="5000" w:type="pct"/>
        <w:tblLook w:val="04A0" w:firstRow="1" w:lastRow="0" w:firstColumn="1" w:lastColumn="0" w:noHBand="0" w:noVBand="1"/>
      </w:tblPr>
      <w:tblGrid>
        <w:gridCol w:w="713"/>
        <w:gridCol w:w="8925"/>
      </w:tblGrid>
      <w:tr w:rsidR="00B419F5" w:rsidRPr="002070E1" w14:paraId="08A595CA" w14:textId="77777777">
        <w:trPr>
          <w:tblHeader/>
        </w:trPr>
        <w:tc>
          <w:tcPr>
            <w:tcW w:w="713" w:type="dxa"/>
            <w:shd w:val="clear" w:color="auto" w:fill="E7F6FD"/>
            <w:tcMar>
              <w:top w:w="0" w:type="dxa"/>
              <w:bottom w:w="0" w:type="dxa"/>
            </w:tcMar>
            <w:vAlign w:val="center"/>
          </w:tcPr>
          <w:p w14:paraId="0CC5F45C" w14:textId="77777777" w:rsidR="00B419F5" w:rsidRPr="002070E1" w:rsidRDefault="00B419F5">
            <w:pPr>
              <w:keepLines/>
              <w:jc w:val="center"/>
            </w:pPr>
            <w:r w:rsidRPr="002070E1">
              <w:rPr>
                <w:noProof/>
              </w:rPr>
              <w:drawing>
                <wp:inline distT="0" distB="0" distL="0" distR="0" wp14:anchorId="0F873FF5" wp14:editId="52AD5413">
                  <wp:extent cx="288000" cy="288000"/>
                  <wp:effectExtent l="0" t="0" r="0" b="0"/>
                  <wp:docPr id="1810953515" name="Graphic 18109535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101">
                            <a:extLst>
                              <a:ext uri="{28A0092B-C50C-407E-A947-70E740481C1C}">
                                <a14:useLocalDpi xmlns:a14="http://schemas.microsoft.com/office/drawing/2010/main" val="0"/>
                              </a:ext>
                              <a:ext uri="{96DAC541-7B7A-43D3-8B79-37D633B846F1}">
                                <asvg:svgBlip xmlns:asvg="http://schemas.microsoft.com/office/drawing/2016/SVG/main" r:embed="rId102"/>
                              </a:ext>
                            </a:extLst>
                          </a:blip>
                          <a:stretch>
                            <a:fillRect/>
                          </a:stretch>
                        </pic:blipFill>
                        <pic:spPr>
                          <a:xfrm>
                            <a:off x="0" y="0"/>
                            <a:ext cx="288000" cy="288000"/>
                          </a:xfrm>
                          <a:prstGeom prst="rect">
                            <a:avLst/>
                          </a:prstGeom>
                        </pic:spPr>
                      </pic:pic>
                    </a:graphicData>
                  </a:graphic>
                </wp:inline>
              </w:drawing>
            </w:r>
          </w:p>
        </w:tc>
        <w:tc>
          <w:tcPr>
            <w:tcW w:w="8925" w:type="dxa"/>
            <w:shd w:val="clear" w:color="auto" w:fill="E7F6FD"/>
            <w:tcMar>
              <w:top w:w="0" w:type="dxa"/>
              <w:bottom w:w="0" w:type="dxa"/>
            </w:tcMar>
            <w:vAlign w:val="center"/>
          </w:tcPr>
          <w:p w14:paraId="213C37FA" w14:textId="796540EF" w:rsidR="00B419F5" w:rsidRPr="0007544C" w:rsidRDefault="00B419F5" w:rsidP="00A547B9">
            <w:pPr>
              <w:pStyle w:val="FindingRecRequesttitle"/>
            </w:pPr>
            <w:r w:rsidRPr="0007544C">
              <w:t xml:space="preserve">Interim recommendation </w:t>
            </w:r>
            <w:r w:rsidRPr="0007544C">
              <w:fldChar w:fldCharType="begin"/>
            </w:r>
            <w:r w:rsidRPr="0007544C">
              <w:instrText>STYLEREF 1 \s</w:instrText>
            </w:r>
            <w:r w:rsidRPr="0007544C">
              <w:fldChar w:fldCharType="separate"/>
            </w:r>
            <w:r w:rsidR="009C08C4">
              <w:rPr>
                <w:noProof/>
              </w:rPr>
              <w:t>5</w:t>
            </w:r>
            <w:r w:rsidRPr="0007544C">
              <w:fldChar w:fldCharType="end"/>
            </w:r>
            <w:r w:rsidRPr="0007544C">
              <w:t>.</w:t>
            </w:r>
            <w:r w:rsidRPr="0007544C">
              <w:fldChar w:fldCharType="begin"/>
            </w:r>
            <w:r w:rsidRPr="0007544C">
              <w:instrText>SEQ Recommendation \* ARABIC \s 1</w:instrText>
            </w:r>
            <w:r w:rsidRPr="0007544C">
              <w:fldChar w:fldCharType="separate"/>
            </w:r>
            <w:r w:rsidR="009C08C4">
              <w:rPr>
                <w:noProof/>
              </w:rPr>
              <w:t>2</w:t>
            </w:r>
            <w:r w:rsidRPr="0007544C">
              <w:fldChar w:fldCharType="end"/>
            </w:r>
          </w:p>
          <w:p w14:paraId="1E3C4166" w14:textId="77777777" w:rsidR="00B419F5" w:rsidRPr="00E614B4" w:rsidRDefault="00B419F5" w:rsidP="00A547B9">
            <w:pPr>
              <w:pStyle w:val="FindingRecRequesttitle"/>
              <w:rPr>
                <w:spacing w:val="-6"/>
              </w:rPr>
            </w:pPr>
            <w:r w:rsidRPr="00E614B4">
              <w:rPr>
                <w:spacing w:val="-6"/>
              </w:rPr>
              <w:t>There should be a more transparent approach for quarantining Commonwealth payments</w:t>
            </w:r>
          </w:p>
        </w:tc>
      </w:tr>
      <w:tr w:rsidR="00B419F5" w:rsidRPr="002070E1" w14:paraId="39E24E48" w14:textId="77777777">
        <w:tc>
          <w:tcPr>
            <w:tcW w:w="9638" w:type="dxa"/>
            <w:gridSpan w:val="2"/>
            <w:shd w:val="clear" w:color="auto" w:fill="E7F6FD"/>
            <w:tcMar>
              <w:top w:w="0" w:type="dxa"/>
            </w:tcMar>
          </w:tcPr>
          <w:p w14:paraId="53700E8B" w14:textId="57E14EB1" w:rsidR="00B419F5" w:rsidRPr="002070E1" w:rsidRDefault="00B419F5">
            <w:r w:rsidRPr="002070E1">
              <w:t xml:space="preserve">Where a state government </w:t>
            </w:r>
            <w:r>
              <w:t>seeks</w:t>
            </w:r>
            <w:r w:rsidRPr="002070E1">
              <w:t xml:space="preserve"> a payment to be quarantined from GST distribution calculations, it should be required to</w:t>
            </w:r>
            <w:r>
              <w:t xml:space="preserve"> publicly</w:t>
            </w:r>
            <w:r w:rsidRPr="002070E1">
              <w:t xml:space="preserve"> write to the </w:t>
            </w:r>
            <w:r w:rsidR="00AC0DC5">
              <w:t>Australian</w:t>
            </w:r>
            <w:r w:rsidRPr="002070E1">
              <w:t xml:space="preserve"> Treasurer to formally request this. Requests should articulate why the state believes that the payment should be permitted to increase their fiscal capacity outside the </w:t>
            </w:r>
            <w:r>
              <w:t>horizontal fiscal equalisation</w:t>
            </w:r>
            <w:r w:rsidRPr="002070E1">
              <w:t xml:space="preserve"> system.</w:t>
            </w:r>
          </w:p>
          <w:p w14:paraId="0CEAD220" w14:textId="60A6B627" w:rsidR="00B419F5" w:rsidRPr="00E614B4" w:rsidRDefault="00B419F5">
            <w:pPr>
              <w:rPr>
                <w:spacing w:val="-4"/>
              </w:rPr>
            </w:pPr>
            <w:r w:rsidRPr="00E614B4">
              <w:rPr>
                <w:spacing w:val="-4"/>
              </w:rPr>
              <w:t xml:space="preserve">The </w:t>
            </w:r>
            <w:r w:rsidR="00AC0DC5" w:rsidRPr="00E614B4">
              <w:rPr>
                <w:spacing w:val="-4"/>
              </w:rPr>
              <w:t>Australian</w:t>
            </w:r>
            <w:r w:rsidRPr="00E614B4">
              <w:rPr>
                <w:spacing w:val="-4"/>
              </w:rPr>
              <w:t xml:space="preserve"> Treasurer should be required to publicly respond to all requests with a decision and their supporting reasons. In their response, the Treasurer should address the substantive elements of the application, including outlining any factors that distinguish the payment from previous similar payments.</w:t>
            </w:r>
          </w:p>
          <w:p w14:paraId="278BD11F" w14:textId="77777777" w:rsidR="00B419F5" w:rsidRPr="002070E1" w:rsidRDefault="00B419F5">
            <w:r w:rsidRPr="002070E1">
              <w:t>To support transparency, all applications and their associated decisions should be</w:t>
            </w:r>
            <w:r>
              <w:t xml:space="preserve"> tabled in Parliament at the time they are made and</w:t>
            </w:r>
            <w:r w:rsidRPr="002070E1">
              <w:t xml:space="preserve"> published in an appendix to the annual GST relativity update terms of reference provided to the </w:t>
            </w:r>
            <w:r>
              <w:t>Commonwealth Grants Commission</w:t>
            </w:r>
            <w:r w:rsidRPr="002070E1">
              <w:t xml:space="preserve">. </w:t>
            </w:r>
          </w:p>
        </w:tc>
      </w:tr>
    </w:tbl>
    <w:p w14:paraId="39E1E697" w14:textId="77777777" w:rsidR="00B419F5" w:rsidRPr="002070E1" w:rsidRDefault="00B419F5">
      <w:pPr>
        <w:pStyle w:val="Heading3"/>
      </w:pPr>
      <w:r>
        <w:lastRenderedPageBreak/>
        <w:t>Federation Funding Agreement</w:t>
      </w:r>
      <w:r w:rsidRPr="002070E1">
        <w:t xml:space="preserve"> schedules </w:t>
      </w:r>
      <w:r>
        <w:t>that</w:t>
      </w:r>
      <w:r w:rsidRPr="002070E1">
        <w:t xml:space="preserve"> are high cost, </w:t>
      </w:r>
      <w:r>
        <w:t>geographically concentrated</w:t>
      </w:r>
      <w:r w:rsidRPr="002070E1">
        <w:t xml:space="preserve"> and low value should be removed</w:t>
      </w:r>
    </w:p>
    <w:p w14:paraId="2A57FECE" w14:textId="08A7FB72" w:rsidR="00B419F5" w:rsidRPr="002070E1" w:rsidRDefault="00B419F5">
      <w:pPr>
        <w:pStyle w:val="BodyText"/>
      </w:pPr>
      <w:r w:rsidRPr="002070E1">
        <w:t xml:space="preserve">The FFR system is underpinned by principles intended to support the system’s efficiency, transparency and outcomes that benefit all Australians. In August 2020, National Cabinet endorsed 8 overarching principles to guide the construction and negotiation of agreements, complementing the existing agreement design principles outlined in the </w:t>
      </w:r>
      <w:r>
        <w:t>Intergovernmental Agreement on Federal Financial Relations (IGAFFR)</w:t>
      </w:r>
      <w:r w:rsidRPr="002070E1">
        <w:t xml:space="preserve"> </w:t>
      </w:r>
      <w:r w:rsidRPr="007116B2">
        <w:rPr>
          <w:rFonts w:cs="Open Sans"/>
        </w:rPr>
        <w:t>(Australian Government Department of the Treasury 2022d, p. 1, 2022c, p. 4)</w:t>
      </w:r>
      <w:r w:rsidRPr="002070E1">
        <w:t>. These principles include – among others – limiting the number of low value agreements to minimise administrative costs; providing states with autonomy to deliver services and infrastructure; and ensuring support</w:t>
      </w:r>
      <w:r>
        <w:t xml:space="preserve"> from the Australian Government</w:t>
      </w:r>
      <w:r w:rsidRPr="002070E1">
        <w:t xml:space="preserve"> is closely linked to national objectives or where the benefits are likely to exist beyond the </w:t>
      </w:r>
      <w:r w:rsidRPr="0012459B">
        <w:t xml:space="preserve">boundaries of </w:t>
      </w:r>
      <w:r w:rsidR="0012459B" w:rsidRPr="0012459B">
        <w:t>a single</w:t>
      </w:r>
      <w:r w:rsidRPr="0012459B">
        <w:t xml:space="preserve"> state</w:t>
      </w:r>
      <w:r w:rsidR="0012459B">
        <w:t xml:space="preserve"> </w:t>
      </w:r>
      <w:r w:rsidR="00841B31" w:rsidRPr="00841B31">
        <w:rPr>
          <w:rFonts w:cs="Open Sans"/>
        </w:rPr>
        <w:t>(Australian Government Department of the Treasury 2022d, pp. 1–2, 2022c, p. 4)</w:t>
      </w:r>
      <w:r w:rsidRPr="0012459B">
        <w:t>.</w:t>
      </w:r>
    </w:p>
    <w:p w14:paraId="0CD6F769" w14:textId="0F19300B" w:rsidR="00B419F5" w:rsidRPr="002070E1" w:rsidRDefault="00B419F5">
      <w:pPr>
        <w:pStyle w:val="BodyText"/>
      </w:pPr>
      <w:r w:rsidRPr="002070E1">
        <w:t xml:space="preserve">Despite these principles, many agreements do not appear to fully accord with them. For example, in </w:t>
      </w:r>
      <w:r w:rsidR="00246A5F">
        <w:t>2024–25</w:t>
      </w:r>
      <w:r w:rsidRPr="002070E1">
        <w:t>, 76 agreements – or just under 40% – were for less than $5 million (figure</w:t>
      </w:r>
      <w:r>
        <w:t> </w:t>
      </w:r>
      <w:r w:rsidRPr="002070E1">
        <w:t xml:space="preserve">5.3). </w:t>
      </w:r>
      <w:r w:rsidRPr="003C6E0D">
        <w:t xml:space="preserve">The median agreement is for </w:t>
      </w:r>
      <w:r w:rsidR="003C6E0D" w:rsidRPr="003C6E0D">
        <w:t>just under</w:t>
      </w:r>
      <w:r w:rsidRPr="003C6E0D">
        <w:t xml:space="preserve"> $10 million,</w:t>
      </w:r>
      <w:r w:rsidRPr="002070E1">
        <w:t xml:space="preserve"> indicating that a large share of agreements involve relatively small amounts of funding and may impose administrative costs disproportionate to their value </w:t>
      </w:r>
      <w:r w:rsidRPr="007116B2">
        <w:rPr>
          <w:rFonts w:cs="Open Sans"/>
        </w:rPr>
        <w:t>(PC estimates, based on Commonwealth of Australia 2025)</w:t>
      </w:r>
      <w:r w:rsidRPr="002070E1">
        <w:t xml:space="preserve">. </w:t>
      </w:r>
    </w:p>
    <w:p w14:paraId="2DDE3111" w14:textId="357625E8" w:rsidR="00B419F5" w:rsidRPr="002070E1" w:rsidRDefault="00B419F5">
      <w:pPr>
        <w:pStyle w:val="FigureTableHeading"/>
      </w:pPr>
      <w:r w:rsidRPr="002070E1">
        <w:t>Figure</w:t>
      </w:r>
      <w:r>
        <w:t> </w:t>
      </w:r>
      <w:r>
        <w:fldChar w:fldCharType="begin"/>
      </w:r>
      <w:r>
        <w:instrText>STYLEREF 1 \s</w:instrText>
      </w:r>
      <w:r>
        <w:fldChar w:fldCharType="separate"/>
      </w:r>
      <w:r w:rsidR="009C08C4">
        <w:rPr>
          <w:noProof/>
        </w:rPr>
        <w:t>5</w:t>
      </w:r>
      <w:r>
        <w:fldChar w:fldCharType="end"/>
      </w:r>
      <w:r w:rsidRPr="002070E1">
        <w:t>.</w:t>
      </w:r>
      <w:r>
        <w:fldChar w:fldCharType="begin"/>
      </w:r>
      <w:r>
        <w:instrText>SEQ Figure \* ARABIC \s 1</w:instrText>
      </w:r>
      <w:r>
        <w:fldChar w:fldCharType="separate"/>
      </w:r>
      <w:r w:rsidR="009C08C4">
        <w:rPr>
          <w:noProof/>
        </w:rPr>
        <w:t>3</w:t>
      </w:r>
      <w:r>
        <w:fldChar w:fldCharType="end"/>
      </w:r>
      <w:r w:rsidRPr="002070E1">
        <w:t xml:space="preserve"> – Many Commonwealth payments are relatively low value</w:t>
      </w:r>
    </w:p>
    <w:p w14:paraId="400D1C50" w14:textId="53E19735" w:rsidR="00B419F5" w:rsidRPr="002070E1" w:rsidRDefault="00B419F5">
      <w:pPr>
        <w:pStyle w:val="FigureTableSubheading"/>
        <w:keepLines/>
      </w:pPr>
      <w:r w:rsidRPr="002070E1">
        <w:t xml:space="preserve">Number of funding agreements by value in </w:t>
      </w:r>
      <w:r w:rsidR="00246A5F">
        <w:t>2024–25</w:t>
      </w:r>
      <w:r w:rsidRPr="002070E1">
        <w:t>, $ millions</w:t>
      </w:r>
    </w:p>
    <w:p w14:paraId="5203F94F" w14:textId="4876AD35" w:rsidR="00B419F5" w:rsidRPr="00CC41C5" w:rsidRDefault="00050B48" w:rsidP="00CC41C5">
      <w:pPr>
        <w:pStyle w:val="BodyText"/>
      </w:pPr>
      <w:r w:rsidRPr="00050B48">
        <w:rPr>
          <w:noProof/>
        </w:rPr>
        <w:drawing>
          <wp:inline distT="0" distB="0" distL="0" distR="0" wp14:anchorId="7937D5D5" wp14:editId="4BFCB438">
            <wp:extent cx="6120130" cy="2380343"/>
            <wp:effectExtent l="0" t="0" r="0" b="0"/>
            <wp:docPr id="1853598736" name="Picture 22" descr="Figure 5.3 – This figure shows a histogram of the total value of different Commonwealth payments in 2024-25. It shows that more than 70 payments had a total value of less than $5 million, slightly fewer payments were valued between $5 and $25 million, then very few payments were valued between $45 and $100 million. Approximately 40 payments were worth more than $100 mill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598736" name="Picture 22" descr="Figure 5.3 – This figure shows a histogram of the total value of different Commonwealth payments in 2024-25. It shows that more than 70 payments had a total value of less than $5 million, slightly fewer payments were valued between $5 and $25 million, then very few payments were valued between $45 and $100 million. Approximately 40 payments were worth more than $100 million."/>
                    <pic:cNvPicPr>
                      <a:picLocks noChangeAspect="1" noChangeArrowheads="1"/>
                    </pic:cNvPicPr>
                  </pic:nvPicPr>
                  <pic:blipFill rotWithShape="1">
                    <a:blip r:embed="rId110">
                      <a:extLst>
                        <a:ext uri="{28A0092B-C50C-407E-A947-70E740481C1C}">
                          <a14:useLocalDpi xmlns:a14="http://schemas.microsoft.com/office/drawing/2010/main" val="0"/>
                        </a:ext>
                      </a:extLst>
                    </a:blip>
                    <a:srcRect b="10322"/>
                    <a:stretch>
                      <a:fillRect/>
                    </a:stretch>
                  </pic:blipFill>
                  <pic:spPr bwMode="auto">
                    <a:xfrm>
                      <a:off x="0" y="0"/>
                      <a:ext cx="6120130" cy="2380343"/>
                    </a:xfrm>
                    <a:prstGeom prst="rect">
                      <a:avLst/>
                    </a:prstGeom>
                    <a:noFill/>
                    <a:ln>
                      <a:noFill/>
                    </a:ln>
                    <a:extLst>
                      <a:ext uri="{53640926-AAD7-44D8-BBD7-CCE9431645EC}">
                        <a14:shadowObscured xmlns:a14="http://schemas.microsoft.com/office/drawing/2010/main"/>
                      </a:ext>
                    </a:extLst>
                  </pic:spPr>
                </pic:pic>
              </a:graphicData>
            </a:graphic>
          </wp:inline>
        </w:drawing>
      </w:r>
    </w:p>
    <w:p w14:paraId="7D803A24" w14:textId="4A9F7F3B" w:rsidR="00B419F5" w:rsidRDefault="00B419F5" w:rsidP="00CD1489">
      <w:pPr>
        <w:pStyle w:val="Source"/>
        <w:spacing w:after="360"/>
      </w:pPr>
      <w:r w:rsidRPr="002070E1">
        <w:t xml:space="preserve">Source: PC </w:t>
      </w:r>
      <w:r>
        <w:t>estimates using</w:t>
      </w:r>
      <w:r w:rsidRPr="002070E1">
        <w:t xml:space="preserve"> Commonwealth of Australia </w:t>
      </w:r>
      <w:r w:rsidRPr="00E9471D">
        <w:rPr>
          <w:rFonts w:cs="Open Sans"/>
        </w:rPr>
        <w:t>(2025)</w:t>
      </w:r>
      <w:r>
        <w:t>.</w:t>
      </w:r>
    </w:p>
    <w:p w14:paraId="3B436D3E" w14:textId="225C7A35" w:rsidR="00B419F5" w:rsidRPr="00CD1489" w:rsidRDefault="00B419F5">
      <w:pPr>
        <w:pStyle w:val="BodyText"/>
        <w:rPr>
          <w:spacing w:val="-2"/>
        </w:rPr>
      </w:pPr>
      <w:r w:rsidRPr="00CD1489">
        <w:rPr>
          <w:spacing w:val="-2"/>
        </w:rPr>
        <w:t>Some of these agreements also have highly localised benefits. For example, the purpose of one agreement was to enable one Western Australia community group to purchase a bus, desktop computer, and 6 fabric covered dining chairs (Butler and Punch 2024). Another agreement focused on the construction of a mountain bike trail in the hills surrounding one Victorian town (King and Shing 2025).</w:t>
      </w:r>
    </w:p>
    <w:p w14:paraId="24C2A83C" w14:textId="00BFDE52" w:rsidR="00B419F5" w:rsidRPr="002070E1" w:rsidRDefault="00B419F5">
      <w:pPr>
        <w:pStyle w:val="BodyText"/>
      </w:pPr>
      <w:r>
        <w:t>There is a legitimate case to be put</w:t>
      </w:r>
      <w:r w:rsidRPr="002070E1">
        <w:t xml:space="preserve"> that the specific projects captured by these types of agreements should not receive </w:t>
      </w:r>
      <w:r>
        <w:t>Australian Government</w:t>
      </w:r>
      <w:r w:rsidRPr="002070E1">
        <w:t xml:space="preserve"> funding. However, </w:t>
      </w:r>
      <w:r>
        <w:t xml:space="preserve">even if that case is rejected, funding these projects </w:t>
      </w:r>
      <w:r w:rsidRPr="002070E1">
        <w:t>through this mechanism can create high administrative costs</w:t>
      </w:r>
      <w:r>
        <w:t xml:space="preserve"> per dollar spent</w:t>
      </w:r>
      <w:r w:rsidRPr="002070E1">
        <w:t xml:space="preserve">. For example, with respect to the example outlined above, the Victorian Government must produce </w:t>
      </w:r>
      <w:r>
        <w:t>4</w:t>
      </w:r>
      <w:r w:rsidR="00CD1489">
        <w:t> </w:t>
      </w:r>
      <w:r w:rsidRPr="002070E1">
        <w:t xml:space="preserve">progress reports and a completion report to demonstrate that the funding has been used to </w:t>
      </w:r>
      <w:r w:rsidRPr="002070E1">
        <w:lastRenderedPageBreak/>
        <w:t xml:space="preserve">construct the mountain biking track, and the </w:t>
      </w:r>
      <w:r>
        <w:t>Australian Government</w:t>
      </w:r>
      <w:r w:rsidRPr="002070E1">
        <w:t xml:space="preserve"> will need to review these reports to ensure compliance. These administrative costs, combined with the cost of negotiating the agreement, compound the initial fiscal cost of subsidising the project. When the benefits of these projects are highly </w:t>
      </w:r>
      <w:r>
        <w:t>geographically concentrated</w:t>
      </w:r>
      <w:r w:rsidRPr="002070E1">
        <w:t>, or the funding received is relatively small, the net benefits of these agreements for the broader community is reduced.</w:t>
      </w:r>
    </w:p>
    <w:p w14:paraId="5ABCCEED" w14:textId="3A9E5594" w:rsidR="00B419F5" w:rsidRPr="002070E1" w:rsidRDefault="00B419F5" w:rsidP="009C08C4">
      <w:pPr>
        <w:pStyle w:val="BodyText"/>
      </w:pPr>
      <w:r w:rsidRPr="002070E1">
        <w:t xml:space="preserve">Inquiry participants also suggested that some agreements had deliverables or implementation plans which were primarily controlled by the </w:t>
      </w:r>
      <w:r>
        <w:t>Australian Government</w:t>
      </w:r>
      <w:r w:rsidRPr="002070E1">
        <w:t>, rather than being jointly developed with the states (</w:t>
      </w:r>
      <w:r>
        <w:t>ACT Government</w:t>
      </w:r>
      <w:r w:rsidRPr="002070E1">
        <w:t>, sub.</w:t>
      </w:r>
      <w:r>
        <w:t> </w:t>
      </w:r>
      <w:r w:rsidRPr="002070E1">
        <w:t>38, p.</w:t>
      </w:r>
      <w:r>
        <w:t> </w:t>
      </w:r>
      <w:r w:rsidRPr="002070E1">
        <w:t>9; Victoria</w:t>
      </w:r>
      <w:r>
        <w:t>n Government</w:t>
      </w:r>
      <w:r w:rsidRPr="002070E1">
        <w:t>, sub.</w:t>
      </w:r>
      <w:r>
        <w:t> </w:t>
      </w:r>
      <w:r w:rsidRPr="002070E1">
        <w:t>59, p.</w:t>
      </w:r>
      <w:r>
        <w:t> </w:t>
      </w:r>
      <w:r w:rsidRPr="002070E1">
        <w:t>46</w:t>
      </w:r>
      <w:r w:rsidRPr="00EF28EF">
        <w:t xml:space="preserve">). </w:t>
      </w:r>
      <w:r w:rsidRPr="00C304F7">
        <w:t xml:space="preserve">For example, the National Agreement for Foundational Supports stipulates that children aged 8 and under with autism and/or developmental delay with low to moderate support needs must be the first priority cohort </w:t>
      </w:r>
      <w:r w:rsidR="00081A95" w:rsidRPr="00277019">
        <w:rPr>
          <w:rFonts w:cs="Open Sans"/>
        </w:rPr>
        <w:t>(Albanese et al. 2026, p. 10)</w:t>
      </w:r>
      <w:r w:rsidRPr="00277019">
        <w:t>, irrespective</w:t>
      </w:r>
      <w:r w:rsidRPr="00C304F7">
        <w:t xml:space="preserve"> of whether other cohorts require support more urgently in particular states.</w:t>
      </w:r>
      <w:r w:rsidRPr="002070E1">
        <w:t xml:space="preserve"> While the </w:t>
      </w:r>
      <w:r>
        <w:t>Australian Government</w:t>
      </w:r>
      <w:r w:rsidRPr="002070E1">
        <w:t xml:space="preserve"> needs to ensure that funds are spent for the agreed purpose,</w:t>
      </w:r>
      <w:r>
        <w:t xml:space="preserve"> the subsidiarity principle suggests that</w:t>
      </w:r>
      <w:r w:rsidRPr="002070E1">
        <w:t xml:space="preserve"> overly prescriptive agreements are undesirable, as state governments are often better placed to determine the best allocation of funding to achieve a specific outcome, given their </w:t>
      </w:r>
      <w:r>
        <w:t>closer</w:t>
      </w:r>
      <w:r w:rsidRPr="002070E1">
        <w:t xml:space="preserve"> proximity to the issues facing their residents (chapter</w:t>
      </w:r>
      <w:r>
        <w:t> </w:t>
      </w:r>
      <w:r w:rsidRPr="002070E1">
        <w:t>2).</w:t>
      </w:r>
    </w:p>
    <w:p w14:paraId="185B3EBB" w14:textId="77777777" w:rsidR="00B419F5" w:rsidRPr="00CC41C5" w:rsidRDefault="00B419F5" w:rsidP="00CC41C5">
      <w:pPr>
        <w:pStyle w:val="NoSpacing"/>
      </w:pPr>
    </w:p>
    <w:tbl>
      <w:tblPr>
        <w:tblStyle w:val="Texttable-Paleblue"/>
        <w:tblW w:w="5000" w:type="pct"/>
        <w:tblLook w:val="04A0" w:firstRow="1" w:lastRow="0" w:firstColumn="1" w:lastColumn="0" w:noHBand="0" w:noVBand="1"/>
      </w:tblPr>
      <w:tblGrid>
        <w:gridCol w:w="713"/>
        <w:gridCol w:w="8925"/>
      </w:tblGrid>
      <w:tr w:rsidR="00B419F5" w:rsidRPr="002070E1" w14:paraId="652B4AA4" w14:textId="77777777">
        <w:trPr>
          <w:tblHeader/>
        </w:trPr>
        <w:tc>
          <w:tcPr>
            <w:tcW w:w="713" w:type="dxa"/>
            <w:shd w:val="clear" w:color="auto" w:fill="E7F6FD"/>
            <w:tcMar>
              <w:top w:w="0" w:type="dxa"/>
              <w:bottom w:w="0" w:type="dxa"/>
            </w:tcMar>
            <w:vAlign w:val="center"/>
          </w:tcPr>
          <w:p w14:paraId="7F823D3C" w14:textId="77777777" w:rsidR="00B419F5" w:rsidRPr="002070E1" w:rsidRDefault="00B419F5">
            <w:pPr>
              <w:keepLines/>
              <w:jc w:val="center"/>
            </w:pPr>
            <w:r w:rsidRPr="002070E1">
              <w:rPr>
                <w:noProof/>
              </w:rPr>
              <w:drawing>
                <wp:inline distT="0" distB="0" distL="0" distR="0" wp14:anchorId="1AB468D9" wp14:editId="16271597">
                  <wp:extent cx="288000" cy="288000"/>
                  <wp:effectExtent l="0" t="0" r="0" b="0"/>
                  <wp:docPr id="158260891" name="Graphic 1582608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101">
                            <a:extLst>
                              <a:ext uri="{28A0092B-C50C-407E-A947-70E740481C1C}">
                                <a14:useLocalDpi xmlns:a14="http://schemas.microsoft.com/office/drawing/2010/main" val="0"/>
                              </a:ext>
                              <a:ext uri="{96DAC541-7B7A-43D3-8B79-37D633B846F1}">
                                <asvg:svgBlip xmlns:asvg="http://schemas.microsoft.com/office/drawing/2016/SVG/main" r:embed="rId102"/>
                              </a:ext>
                            </a:extLst>
                          </a:blip>
                          <a:stretch>
                            <a:fillRect/>
                          </a:stretch>
                        </pic:blipFill>
                        <pic:spPr>
                          <a:xfrm>
                            <a:off x="0" y="0"/>
                            <a:ext cx="288000" cy="288000"/>
                          </a:xfrm>
                          <a:prstGeom prst="rect">
                            <a:avLst/>
                          </a:prstGeom>
                        </pic:spPr>
                      </pic:pic>
                    </a:graphicData>
                  </a:graphic>
                </wp:inline>
              </w:drawing>
            </w:r>
          </w:p>
        </w:tc>
        <w:tc>
          <w:tcPr>
            <w:tcW w:w="8925" w:type="dxa"/>
            <w:shd w:val="clear" w:color="auto" w:fill="E7F6FD"/>
            <w:tcMar>
              <w:top w:w="0" w:type="dxa"/>
              <w:bottom w:w="0" w:type="dxa"/>
            </w:tcMar>
            <w:vAlign w:val="center"/>
          </w:tcPr>
          <w:p w14:paraId="42741491" w14:textId="07E0A749" w:rsidR="00B419F5" w:rsidRPr="0007544C" w:rsidRDefault="00B419F5" w:rsidP="00A547B9">
            <w:pPr>
              <w:pStyle w:val="FindingRecRequesttitle"/>
            </w:pPr>
            <w:r w:rsidRPr="0007544C">
              <w:t xml:space="preserve">Interim recommendation </w:t>
            </w:r>
            <w:r w:rsidRPr="0007544C">
              <w:fldChar w:fldCharType="begin"/>
            </w:r>
            <w:r w:rsidRPr="0007544C">
              <w:instrText>STYLEREF 1 \s</w:instrText>
            </w:r>
            <w:r w:rsidRPr="0007544C">
              <w:fldChar w:fldCharType="separate"/>
            </w:r>
            <w:r w:rsidR="009C08C4">
              <w:rPr>
                <w:noProof/>
              </w:rPr>
              <w:t>5</w:t>
            </w:r>
            <w:r w:rsidRPr="0007544C">
              <w:fldChar w:fldCharType="end"/>
            </w:r>
            <w:r w:rsidRPr="0007544C">
              <w:t>.</w:t>
            </w:r>
            <w:r w:rsidRPr="0007544C">
              <w:fldChar w:fldCharType="begin"/>
            </w:r>
            <w:r w:rsidRPr="0007544C">
              <w:instrText>SEQ Recommendation \* ARABIC \s 1</w:instrText>
            </w:r>
            <w:r w:rsidRPr="0007544C">
              <w:fldChar w:fldCharType="separate"/>
            </w:r>
            <w:r w:rsidR="009C08C4">
              <w:rPr>
                <w:noProof/>
              </w:rPr>
              <w:t>3</w:t>
            </w:r>
            <w:r w:rsidRPr="0007544C">
              <w:fldChar w:fldCharType="end"/>
            </w:r>
          </w:p>
          <w:p w14:paraId="7A45DC8F" w14:textId="3376C029" w:rsidR="00B419F5" w:rsidRPr="00CD1489" w:rsidRDefault="00B419F5" w:rsidP="00A547B9">
            <w:pPr>
              <w:pStyle w:val="FindingRecRequesttitle"/>
              <w:rPr>
                <w:spacing w:val="-6"/>
              </w:rPr>
            </w:pPr>
            <w:r w:rsidRPr="00CD1489">
              <w:rPr>
                <w:spacing w:val="-6"/>
              </w:rPr>
              <w:t xml:space="preserve">Ensure </w:t>
            </w:r>
            <w:r w:rsidR="00E77FCB" w:rsidRPr="00CD1489">
              <w:rPr>
                <w:spacing w:val="-6"/>
              </w:rPr>
              <w:t>Federation Funding Agreement</w:t>
            </w:r>
            <w:r w:rsidRPr="00CD1489">
              <w:rPr>
                <w:spacing w:val="-6"/>
              </w:rPr>
              <w:t xml:space="preserve"> </w:t>
            </w:r>
            <w:r w:rsidR="00E938DD" w:rsidRPr="00CD1489">
              <w:rPr>
                <w:spacing w:val="-6"/>
              </w:rPr>
              <w:t>s</w:t>
            </w:r>
            <w:r w:rsidRPr="00CD1489">
              <w:rPr>
                <w:spacing w:val="-6"/>
              </w:rPr>
              <w:t xml:space="preserve">chedules provide net benefits for the community </w:t>
            </w:r>
          </w:p>
        </w:tc>
      </w:tr>
      <w:tr w:rsidR="00B419F5" w:rsidRPr="002070E1" w14:paraId="25E49C64" w14:textId="77777777">
        <w:tc>
          <w:tcPr>
            <w:tcW w:w="9638" w:type="dxa"/>
            <w:gridSpan w:val="2"/>
            <w:shd w:val="clear" w:color="auto" w:fill="E7F6FD"/>
            <w:tcMar>
              <w:top w:w="0" w:type="dxa"/>
            </w:tcMar>
          </w:tcPr>
          <w:p w14:paraId="48DB569C" w14:textId="77777777" w:rsidR="00B419F5" w:rsidRPr="00CD1489" w:rsidRDefault="00B419F5">
            <w:pPr>
              <w:pStyle w:val="BodyText"/>
              <w:rPr>
                <w:spacing w:val="-4"/>
              </w:rPr>
            </w:pPr>
            <w:r w:rsidRPr="002070E1">
              <w:t xml:space="preserve">To </w:t>
            </w:r>
            <w:r w:rsidRPr="00CD1489">
              <w:rPr>
                <w:spacing w:val="-4"/>
              </w:rPr>
              <w:t xml:space="preserve">maximise the benefits of intergovernmental funding agreements, the Australian Government and state governments should abide by the federal financial relations principles to which they have already agreed, including minimising the number of low value agreements with highly localised benefits. </w:t>
            </w:r>
          </w:p>
          <w:p w14:paraId="21968121" w14:textId="77777777" w:rsidR="00B419F5" w:rsidRPr="002070E1" w:rsidRDefault="00B419F5">
            <w:pPr>
              <w:pStyle w:val="BodyText"/>
            </w:pPr>
            <w:r w:rsidRPr="002070E1">
              <w:t xml:space="preserve">This would ensure that the benefits resulting from agreements outweigh the costs associated with them, including the administrative costs of negotiation, compliance and monitoring. </w:t>
            </w:r>
          </w:p>
        </w:tc>
      </w:tr>
    </w:tbl>
    <w:p w14:paraId="582FFC17" w14:textId="77777777" w:rsidR="009C08C4" w:rsidRDefault="009C08C4" w:rsidP="009C08C4">
      <w:pPr>
        <w:pStyle w:val="NoSpacing"/>
      </w:pPr>
    </w:p>
    <w:p w14:paraId="4E507428" w14:textId="5043E834" w:rsidR="00B419F5" w:rsidRPr="002070E1" w:rsidRDefault="00B419F5" w:rsidP="009C08C4">
      <w:pPr>
        <w:pStyle w:val="Heading3"/>
      </w:pPr>
      <w:r w:rsidRPr="002070E1">
        <w:t xml:space="preserve">The IGAFFR </w:t>
      </w:r>
      <w:r w:rsidRPr="009C08C4">
        <w:t>and</w:t>
      </w:r>
      <w:r w:rsidRPr="002070E1">
        <w:t xml:space="preserve"> its schedules are outdated and should be modernised</w:t>
      </w:r>
    </w:p>
    <w:p w14:paraId="7F84F579" w14:textId="77777777" w:rsidR="00B419F5" w:rsidRDefault="00B419F5">
      <w:pPr>
        <w:pStyle w:val="BodyText"/>
      </w:pPr>
      <w:r w:rsidRPr="002070E1">
        <w:t xml:space="preserve">The IGAFFR and the associated legislation lay the groundwork for an already complex part of Australia’s policy and intergovernmental landscape. But in its current outdated form, they make it difficult to discern how the system operates in practice without a substantial investment of time and resources. A clear legislative grounding, expressed in simple, contemporary and consistent language, would support public accountability and transparency. The IGAFFR, and its accompanying legislation and schedules, should be updated to provide this clarity. </w:t>
      </w:r>
    </w:p>
    <w:p w14:paraId="2ACA2615" w14:textId="14F4FC89" w:rsidR="00B419F5" w:rsidRPr="00CD1489" w:rsidRDefault="00B419F5">
      <w:pPr>
        <w:pStyle w:val="BodyText"/>
        <w:rPr>
          <w:spacing w:val="-4"/>
        </w:rPr>
      </w:pPr>
      <w:r w:rsidRPr="00CD1489">
        <w:rPr>
          <w:spacing w:val="-4"/>
        </w:rPr>
        <w:t>In some instances, the lack of timely updating has left key responsibilities within the intergovernmental landscape unclear. For example, Schedule C assigns the responsibility of assessing eligibility for reward payments to the COAG reform council, a body which has not existed since 2014 (Cormann 2014).</w:t>
      </w:r>
      <w:r w:rsidRPr="00CD1489">
        <w:rPr>
          <w:rStyle w:val="FootnoteReference"/>
          <w:spacing w:val="-4"/>
        </w:rPr>
        <w:footnoteReference w:id="56"/>
      </w:r>
      <w:r w:rsidRPr="00CD1489">
        <w:rPr>
          <w:spacing w:val="-4"/>
        </w:rPr>
        <w:t xml:space="preserve"> This creates uncertainty about how reward payments would be assessed in practice. Without a clear assessment process, the Australian Government’s ability to use financial incentives to encourage state policy reform </w:t>
      </w:r>
      <w:r w:rsidRPr="00CD1489">
        <w:rPr>
          <w:spacing w:val="-4"/>
        </w:rPr>
        <w:lastRenderedPageBreak/>
        <w:t>may be weakened, and states may face uncertainty about whether eligible reforms will be rewarded. Previous inquiries have also identified this as an issue which should be resolved (ANAO 2018, p. 9).</w:t>
      </w:r>
    </w:p>
    <w:p w14:paraId="2823C8AD" w14:textId="0CF95028" w:rsidR="00B419F5" w:rsidRPr="00CD1489" w:rsidRDefault="00B419F5">
      <w:pPr>
        <w:pStyle w:val="BodyText"/>
        <w:rPr>
          <w:spacing w:val="-2"/>
        </w:rPr>
      </w:pPr>
      <w:r w:rsidRPr="00CD1489">
        <w:rPr>
          <w:spacing w:val="-2"/>
        </w:rPr>
        <w:t xml:space="preserve">Another consequence has been reduced clarity around which payment terms and schedules remain active. For example, Schedule D contains payment schedules for national specific purpose payments – a funding mechanism which is now inactive </w:t>
      </w:r>
      <w:r w:rsidRPr="00CD1489">
        <w:rPr>
          <w:rFonts w:cs="Open Sans"/>
          <w:spacing w:val="-2"/>
        </w:rPr>
        <w:t>(Australian Government Department of the Treasury 2022b, pp. 13–14)</w:t>
      </w:r>
      <w:r w:rsidRPr="00CD1489">
        <w:rPr>
          <w:spacing w:val="-2"/>
        </w:rPr>
        <w:t xml:space="preserve">. While maintaining a historical record of previous payments is useful, an active schedule of the IGAFFR – which contains many terms relevant to the financial relationship between governments today – is not an appropriate place for this. Similar issues exist within the </w:t>
      </w:r>
      <w:r w:rsidRPr="00CD1489">
        <w:rPr>
          <w:i/>
          <w:iCs/>
          <w:spacing w:val="-2"/>
        </w:rPr>
        <w:t>Federal Financial Relations Act 2009</w:t>
      </w:r>
      <w:r w:rsidRPr="00CD1489">
        <w:rPr>
          <w:spacing w:val="-2"/>
        </w:rPr>
        <w:t xml:space="preserve"> (Cth). The legislation includes references to national specific purpose payments for disability services (s 13) and temporary energy bill relief (s 15E), both of which are inactive. On the other hand, NFFAs that are active, such as for foundational supports and justice, do not appear at all. </w:t>
      </w:r>
    </w:p>
    <w:p w14:paraId="7FD64E8A" w14:textId="03FE133C" w:rsidR="00B419F5" w:rsidRPr="002070E1" w:rsidRDefault="00B419F5">
      <w:pPr>
        <w:pStyle w:val="BodyText"/>
      </w:pPr>
      <w:r w:rsidRPr="00A15C61">
        <w:t>The language of the IGAFFR itself is also outdated. For example, there is a combination of references to ‘National Partnership</w:t>
      </w:r>
      <w:r w:rsidR="00A15C61" w:rsidRPr="00A15C61">
        <w:t xml:space="preserve"> payments</w:t>
      </w:r>
      <w:r w:rsidRPr="00A15C61">
        <w:t xml:space="preserve">’ and ‘FFA </w:t>
      </w:r>
      <w:r w:rsidR="00A15C61" w:rsidRPr="00A15C61">
        <w:t>s</w:t>
      </w:r>
      <w:r w:rsidRPr="00A15C61">
        <w:t>chedules’, despite</w:t>
      </w:r>
      <w:r w:rsidRPr="002070E1">
        <w:t xml:space="preserve"> the latter replacing the former in 2020 </w:t>
      </w:r>
      <w:r w:rsidRPr="007116B2">
        <w:rPr>
          <w:rFonts w:cs="Open Sans"/>
        </w:rPr>
        <w:t>(Australian Government Department of the Treasury 2022e, pp. 4, 5)</w:t>
      </w:r>
      <w:r w:rsidRPr="002070E1">
        <w:t xml:space="preserve">. </w:t>
      </w:r>
    </w:p>
    <w:p w14:paraId="7ED62B0D" w14:textId="77777777" w:rsidR="00193F45" w:rsidRPr="002070E1" w:rsidRDefault="00193F45" w:rsidP="00193F45">
      <w:pPr>
        <w:pStyle w:val="NoSpacing"/>
      </w:pPr>
    </w:p>
    <w:tbl>
      <w:tblPr>
        <w:tblStyle w:val="Texttable-Paleblue"/>
        <w:tblW w:w="5000" w:type="pct"/>
        <w:tblLook w:val="04A0" w:firstRow="1" w:lastRow="0" w:firstColumn="1" w:lastColumn="0" w:noHBand="0" w:noVBand="1"/>
      </w:tblPr>
      <w:tblGrid>
        <w:gridCol w:w="713"/>
        <w:gridCol w:w="8925"/>
      </w:tblGrid>
      <w:tr w:rsidR="00B419F5" w:rsidRPr="002070E1" w14:paraId="45AAFCFA" w14:textId="77777777">
        <w:trPr>
          <w:tblHeader/>
        </w:trPr>
        <w:tc>
          <w:tcPr>
            <w:tcW w:w="713" w:type="dxa"/>
            <w:shd w:val="clear" w:color="auto" w:fill="E7F6FD"/>
            <w:tcMar>
              <w:top w:w="0" w:type="dxa"/>
              <w:bottom w:w="0" w:type="dxa"/>
            </w:tcMar>
            <w:vAlign w:val="center"/>
          </w:tcPr>
          <w:p w14:paraId="5B8FFF17" w14:textId="77777777" w:rsidR="00B419F5" w:rsidRPr="002070E1" w:rsidRDefault="00B419F5">
            <w:pPr>
              <w:keepLines/>
              <w:jc w:val="center"/>
            </w:pPr>
            <w:r w:rsidRPr="002070E1">
              <w:rPr>
                <w:noProof/>
              </w:rPr>
              <w:drawing>
                <wp:inline distT="0" distB="0" distL="0" distR="0" wp14:anchorId="747403A4" wp14:editId="21BC96DA">
                  <wp:extent cx="288000" cy="288000"/>
                  <wp:effectExtent l="0" t="0" r="0" b="0"/>
                  <wp:docPr id="141822372" name="Graphic 1418223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101">
                            <a:extLst>
                              <a:ext uri="{28A0092B-C50C-407E-A947-70E740481C1C}">
                                <a14:useLocalDpi xmlns:a14="http://schemas.microsoft.com/office/drawing/2010/main" val="0"/>
                              </a:ext>
                              <a:ext uri="{96DAC541-7B7A-43D3-8B79-37D633B846F1}">
                                <asvg:svgBlip xmlns:asvg="http://schemas.microsoft.com/office/drawing/2016/SVG/main" r:embed="rId102"/>
                              </a:ext>
                            </a:extLst>
                          </a:blip>
                          <a:stretch>
                            <a:fillRect/>
                          </a:stretch>
                        </pic:blipFill>
                        <pic:spPr>
                          <a:xfrm>
                            <a:off x="0" y="0"/>
                            <a:ext cx="288000" cy="288000"/>
                          </a:xfrm>
                          <a:prstGeom prst="rect">
                            <a:avLst/>
                          </a:prstGeom>
                        </pic:spPr>
                      </pic:pic>
                    </a:graphicData>
                  </a:graphic>
                </wp:inline>
              </w:drawing>
            </w:r>
          </w:p>
        </w:tc>
        <w:tc>
          <w:tcPr>
            <w:tcW w:w="8925" w:type="dxa"/>
            <w:shd w:val="clear" w:color="auto" w:fill="E7F6FD"/>
            <w:tcMar>
              <w:top w:w="0" w:type="dxa"/>
              <w:bottom w:w="0" w:type="dxa"/>
            </w:tcMar>
            <w:vAlign w:val="center"/>
          </w:tcPr>
          <w:p w14:paraId="3E39F20B" w14:textId="38996C67" w:rsidR="00B419F5" w:rsidRPr="0007544C" w:rsidRDefault="00B419F5" w:rsidP="00A547B9">
            <w:pPr>
              <w:pStyle w:val="FindingRecRequesttitle"/>
            </w:pPr>
            <w:r w:rsidRPr="0007544C">
              <w:t xml:space="preserve">Interim recommendation </w:t>
            </w:r>
            <w:r w:rsidRPr="0007544C">
              <w:fldChar w:fldCharType="begin"/>
            </w:r>
            <w:r w:rsidRPr="0007544C">
              <w:instrText>STYLEREF 1 \s</w:instrText>
            </w:r>
            <w:r w:rsidRPr="0007544C">
              <w:fldChar w:fldCharType="separate"/>
            </w:r>
            <w:r w:rsidR="009C08C4">
              <w:rPr>
                <w:noProof/>
              </w:rPr>
              <w:t>5</w:t>
            </w:r>
            <w:r w:rsidRPr="0007544C">
              <w:fldChar w:fldCharType="end"/>
            </w:r>
            <w:r w:rsidRPr="0007544C">
              <w:t>.</w:t>
            </w:r>
            <w:r w:rsidRPr="0007544C">
              <w:fldChar w:fldCharType="begin"/>
            </w:r>
            <w:r w:rsidRPr="0007544C">
              <w:instrText>SEQ Recommendation \* ARABIC \s 1</w:instrText>
            </w:r>
            <w:r w:rsidRPr="0007544C">
              <w:fldChar w:fldCharType="separate"/>
            </w:r>
            <w:r w:rsidR="009C08C4">
              <w:rPr>
                <w:noProof/>
              </w:rPr>
              <w:t>4</w:t>
            </w:r>
            <w:r w:rsidRPr="0007544C">
              <w:fldChar w:fldCharType="end"/>
            </w:r>
          </w:p>
          <w:p w14:paraId="50075DEC" w14:textId="77777777" w:rsidR="00B419F5" w:rsidRPr="002070E1" w:rsidRDefault="00B419F5" w:rsidP="00A547B9">
            <w:pPr>
              <w:pStyle w:val="FindingRecRequesttitle"/>
            </w:pPr>
            <w:r w:rsidRPr="0007544C">
              <w:t>Update the IGAFFR, its schedules, and the enabling legislation</w:t>
            </w:r>
          </w:p>
        </w:tc>
      </w:tr>
      <w:tr w:rsidR="00B419F5" w:rsidRPr="002070E1" w14:paraId="46787F30" w14:textId="77777777">
        <w:tc>
          <w:tcPr>
            <w:tcW w:w="9638" w:type="dxa"/>
            <w:gridSpan w:val="2"/>
            <w:shd w:val="clear" w:color="auto" w:fill="E7F6FD"/>
            <w:tcMar>
              <w:top w:w="0" w:type="dxa"/>
            </w:tcMar>
          </w:tcPr>
          <w:p w14:paraId="4BB7DF48" w14:textId="77777777" w:rsidR="00B419F5" w:rsidRPr="002070E1" w:rsidRDefault="00B419F5">
            <w:pPr>
              <w:pStyle w:val="BodyText"/>
            </w:pPr>
            <w:r w:rsidRPr="002070E1">
              <w:t xml:space="preserve">The </w:t>
            </w:r>
            <w:r>
              <w:t>Intergovernmental Agreement on Federal Financial Relations (</w:t>
            </w:r>
            <w:r w:rsidRPr="002070E1">
              <w:t>IGAFFR</w:t>
            </w:r>
            <w:r>
              <w:t xml:space="preserve">) </w:t>
            </w:r>
            <w:r w:rsidRPr="002070E1">
              <w:t xml:space="preserve">and its schedules, and the </w:t>
            </w:r>
            <w:r w:rsidRPr="00AF079D">
              <w:rPr>
                <w:i/>
              </w:rPr>
              <w:t>Federal Financial Relations Act 2009</w:t>
            </w:r>
            <w:r w:rsidRPr="002070E1">
              <w:t xml:space="preserve"> (Cth) should be updated to reflect the current </w:t>
            </w:r>
            <w:r>
              <w:t>federal financial relations</w:t>
            </w:r>
            <w:r w:rsidRPr="002070E1">
              <w:t xml:space="preserve"> architecture. This should include:</w:t>
            </w:r>
          </w:p>
          <w:p w14:paraId="67FDAC8A" w14:textId="7135A046" w:rsidR="00B419F5" w:rsidRPr="00C329C7" w:rsidRDefault="00B419F5" w:rsidP="00B419F5">
            <w:pPr>
              <w:pStyle w:val="ListBullet"/>
            </w:pPr>
            <w:r w:rsidRPr="00C329C7">
              <w:t xml:space="preserve">replacing references to National Partnerships with </w:t>
            </w:r>
            <w:r>
              <w:t>Federation Funding Agreement</w:t>
            </w:r>
            <w:r w:rsidRPr="00C329C7">
              <w:t xml:space="preserve"> </w:t>
            </w:r>
            <w:r w:rsidR="00E938DD">
              <w:t>s</w:t>
            </w:r>
            <w:r w:rsidRPr="00C329C7">
              <w:t>chedules in the IGAFFR, or where references to national partnerships are essential, amending the reference to the past tense</w:t>
            </w:r>
          </w:p>
          <w:p w14:paraId="09D10CBE" w14:textId="77777777" w:rsidR="00B419F5" w:rsidRPr="00C329C7" w:rsidRDefault="00B419F5" w:rsidP="00B419F5">
            <w:pPr>
              <w:pStyle w:val="ListBullet"/>
            </w:pPr>
            <w:r w:rsidRPr="00C329C7">
              <w:t>removing references to the COAG Reform Council in Schedule C of the IGAFFR and clarifying which body has taken over as the independent assessor of eligibility for reward funding</w:t>
            </w:r>
          </w:p>
          <w:p w14:paraId="33E28A00" w14:textId="77777777" w:rsidR="00B419F5" w:rsidRPr="00C329C7" w:rsidRDefault="00B419F5" w:rsidP="00B419F5">
            <w:pPr>
              <w:pStyle w:val="ListBullet"/>
            </w:pPr>
            <w:r w:rsidRPr="00C329C7">
              <w:t>removing references to historical payment schedules in Schedule D of the IGAFFR or at least consolidating the active elements of the schedule to the front of the document</w:t>
            </w:r>
          </w:p>
          <w:p w14:paraId="14D4E597" w14:textId="77777777" w:rsidR="00B419F5" w:rsidRPr="002070E1" w:rsidRDefault="00B419F5" w:rsidP="00B419F5">
            <w:pPr>
              <w:pStyle w:val="ListBullet"/>
            </w:pPr>
            <w:r w:rsidRPr="00C329C7">
              <w:t xml:space="preserve">amending the </w:t>
            </w:r>
            <w:r w:rsidRPr="00CF63A4">
              <w:rPr>
                <w:i/>
                <w:iCs/>
              </w:rPr>
              <w:t>Federal Financial Relations Act 2009</w:t>
            </w:r>
            <w:r w:rsidRPr="00C329C7">
              <w:t xml:space="preserve"> (Cth) to remove provisions for now ceased payments, and to add provisions for active payments that are not referenced in the Act.</w:t>
            </w:r>
          </w:p>
        </w:tc>
      </w:tr>
    </w:tbl>
    <w:p w14:paraId="17B42A29" w14:textId="77777777" w:rsidR="00B419F5" w:rsidRPr="002070E1" w:rsidRDefault="00B419F5" w:rsidP="008647E2">
      <w:pPr>
        <w:pStyle w:val="Heading2"/>
      </w:pPr>
      <w:bookmarkStart w:id="113" w:name="_Toc234008112"/>
      <w:bookmarkStart w:id="114" w:name="_Toc235448001"/>
      <w:bookmarkStart w:id="115" w:name="_Toc234579125"/>
      <w:bookmarkStart w:id="116" w:name="_Toc236904085"/>
      <w:r w:rsidRPr="002070E1">
        <w:t>CFFR’s role in the FFR system is diminishing</w:t>
      </w:r>
      <w:bookmarkEnd w:id="113"/>
      <w:bookmarkEnd w:id="114"/>
      <w:bookmarkEnd w:id="115"/>
      <w:bookmarkEnd w:id="116"/>
    </w:p>
    <w:p w14:paraId="75C21293" w14:textId="6E3E37F0" w:rsidR="00B419F5" w:rsidRPr="002070E1" w:rsidRDefault="00B419F5">
      <w:pPr>
        <w:pStyle w:val="BodyText"/>
      </w:pPr>
      <w:r w:rsidRPr="002070E1">
        <w:t xml:space="preserve">The Council on Federal Financial Relations (CFFR) – which comprises the </w:t>
      </w:r>
      <w:r w:rsidR="00C92D89">
        <w:t>Australian</w:t>
      </w:r>
      <w:r w:rsidRPr="002070E1">
        <w:t xml:space="preserve"> Treasurer and the Treasurer of each of the states – is the key intergovernmental forum for managing Australia’s federal fiscal relations. Among other things</w:t>
      </w:r>
      <w:r>
        <w:t>,</w:t>
      </w:r>
      <w:r w:rsidRPr="002070E1">
        <w:t xml:space="preserve"> CFFR oversees Commonwealth</w:t>
      </w:r>
      <w:r>
        <w:noBreakHyphen/>
      </w:r>
      <w:r w:rsidRPr="002070E1">
        <w:t>state funding agreements and cross</w:t>
      </w:r>
      <w:r>
        <w:noBreakHyphen/>
      </w:r>
      <w:r w:rsidRPr="002070E1">
        <w:t>jurisdictional actions to improve regulation and productivity. CFFR also provides a forum for Treasurers to collaborate and respond to shared economic and fiscal policy issues that can affect the economic performance of all jurisdictions</w:t>
      </w:r>
      <w:r>
        <w:t xml:space="preserve"> </w:t>
      </w:r>
      <w:r w:rsidRPr="00AE6B3E">
        <w:rPr>
          <w:rFonts w:cs="Open Sans"/>
        </w:rPr>
        <w:t>(CFFR 2023; Commonwealth of Australia nd)</w:t>
      </w:r>
      <w:r w:rsidRPr="002070E1">
        <w:t xml:space="preserve">. </w:t>
      </w:r>
    </w:p>
    <w:p w14:paraId="314F8DA2" w14:textId="77777777" w:rsidR="00B419F5" w:rsidRPr="00E222DD" w:rsidRDefault="00B419F5">
      <w:pPr>
        <w:pStyle w:val="BodyText"/>
        <w:rPr>
          <w:spacing w:val="-4"/>
        </w:rPr>
      </w:pPr>
      <w:r w:rsidRPr="00E222DD">
        <w:rPr>
          <w:spacing w:val="-4"/>
        </w:rPr>
        <w:t>Given this role, a well</w:t>
      </w:r>
      <w:r w:rsidRPr="00E222DD">
        <w:rPr>
          <w:spacing w:val="-4"/>
        </w:rPr>
        <w:noBreakHyphen/>
        <w:t>functioning CFFR is central to the effective operation of the broader FFR system. The PC has examined how CFFR has operated since 2023 – when intergovernmental collaboration across the Federation began returning to more business</w:t>
      </w:r>
      <w:r w:rsidRPr="00E222DD">
        <w:rPr>
          <w:spacing w:val="-4"/>
        </w:rPr>
        <w:noBreakHyphen/>
        <w:t>as</w:t>
      </w:r>
      <w:r w:rsidRPr="00E222DD">
        <w:rPr>
          <w:spacing w:val="-4"/>
        </w:rPr>
        <w:noBreakHyphen/>
        <w:t xml:space="preserve">usual arrangements following the disruption of the </w:t>
      </w:r>
      <w:r w:rsidRPr="00E222DD">
        <w:rPr>
          <w:spacing w:val="-4"/>
        </w:rPr>
        <w:lastRenderedPageBreak/>
        <w:t>COVID</w:t>
      </w:r>
      <w:r w:rsidRPr="00E222DD">
        <w:rPr>
          <w:spacing w:val="-4"/>
        </w:rPr>
        <w:noBreakHyphen/>
        <w:t xml:space="preserve">19 pandemic. This examination suggests that CFFR’s prominence in administering the FFR system has diminished, and some changes are needed to restore its value and improve its transparency. </w:t>
      </w:r>
    </w:p>
    <w:p w14:paraId="53F95FFC" w14:textId="77777777" w:rsidR="00B419F5" w:rsidRPr="002070E1" w:rsidRDefault="00B419F5">
      <w:pPr>
        <w:pStyle w:val="Heading3"/>
      </w:pPr>
      <w:r w:rsidRPr="002070E1">
        <w:t>CFFR should meet more regularly</w:t>
      </w:r>
    </w:p>
    <w:p w14:paraId="20E4221D" w14:textId="77777777" w:rsidR="00B419F5" w:rsidRPr="002070E1" w:rsidRDefault="00B419F5">
      <w:pPr>
        <w:pStyle w:val="BodyText"/>
      </w:pPr>
      <w:r w:rsidRPr="002070E1">
        <w:t xml:space="preserve">CFFR only met </w:t>
      </w:r>
      <w:r>
        <w:t>3</w:t>
      </w:r>
      <w:r w:rsidRPr="002070E1">
        <w:t xml:space="preserve"> times in 2023, </w:t>
      </w:r>
      <w:r>
        <w:t>2 times</w:t>
      </w:r>
      <w:r w:rsidRPr="002070E1">
        <w:t xml:space="preserve"> in 2024 and </w:t>
      </w:r>
      <w:r>
        <w:t>3</w:t>
      </w:r>
      <w:r w:rsidRPr="002070E1">
        <w:t xml:space="preserve"> times in 2025. And there were often long gaps between meetings – for example, in 2024, there was an </w:t>
      </w:r>
      <w:r>
        <w:t>8</w:t>
      </w:r>
      <w:r>
        <w:noBreakHyphen/>
      </w:r>
      <w:r w:rsidRPr="002070E1">
        <w:t xml:space="preserve">month gap between the </w:t>
      </w:r>
      <w:r>
        <w:t>2</w:t>
      </w:r>
      <w:r w:rsidRPr="002070E1">
        <w:t xml:space="preserve"> meetings held that year, while CFFR’s first meeting in 2025 did not occur until mid</w:t>
      </w:r>
      <w:r>
        <w:noBreakHyphen/>
      </w:r>
      <w:r w:rsidRPr="002070E1">
        <w:t>August</w:t>
      </w:r>
      <w:r w:rsidRPr="00343744">
        <w:t>. As of the start of August – when this report was finalised – CFFR had met</w:t>
      </w:r>
      <w:r>
        <w:t xml:space="preserve"> once</w:t>
      </w:r>
      <w:r w:rsidRPr="00343744">
        <w:t xml:space="preserve"> in 2026.</w:t>
      </w:r>
      <w:r>
        <w:t xml:space="preserve"> </w:t>
      </w:r>
      <w:r w:rsidRPr="00201B0D">
        <w:rPr>
          <w:rStyle w:val="FootnoteReference"/>
        </w:rPr>
        <w:footnoteReference w:id="57"/>
      </w:r>
    </w:p>
    <w:p w14:paraId="6AFD64A9" w14:textId="77777777" w:rsidR="00B419F5" w:rsidRDefault="00B419F5">
      <w:pPr>
        <w:pStyle w:val="BodyText"/>
      </w:pPr>
      <w:r w:rsidRPr="002070E1">
        <w:t xml:space="preserve">CFFR’s agenda is too important for it to be meeting </w:t>
      </w:r>
      <w:r>
        <w:t>so sporadically</w:t>
      </w:r>
      <w:r w:rsidRPr="002070E1">
        <w:t xml:space="preserve">. A more consistent meeting cadence – such as once every </w:t>
      </w:r>
      <w:r>
        <w:t>3</w:t>
      </w:r>
      <w:r w:rsidRPr="002070E1">
        <w:t xml:space="preserve"> months, which would be in line with its terms of reference – would give CFFR more opportunity to consider longer</w:t>
      </w:r>
      <w:r>
        <w:noBreakHyphen/>
      </w:r>
      <w:r w:rsidRPr="002070E1">
        <w:t xml:space="preserve">term economic and fiscal issues that could affect the Federation. </w:t>
      </w:r>
      <w:r>
        <w:t>This would</w:t>
      </w:r>
      <w:r w:rsidRPr="002070E1">
        <w:t xml:space="preserve"> support more effective implementation of CFFR’s forward work program by giving Treasurers more regular opportunities to monitor progress, resolve emerging issues and provide direction on how work should proceed. A more regular schedule would also be conducive to maintaining goodwill across Treasurers – something that is harder to sustain when there are fewer opportunities to meet. </w:t>
      </w:r>
    </w:p>
    <w:p w14:paraId="160B9518" w14:textId="77777777" w:rsidR="00B419F5" w:rsidRPr="002070E1" w:rsidRDefault="00B419F5">
      <w:pPr>
        <w:pStyle w:val="BodyText"/>
      </w:pPr>
      <w:r>
        <w:t>More regular meetings would also ensure that there are more opportunities for consultation on any changes to the GST distribution system or other significant funding instruments between the Australian Government and the states.</w:t>
      </w:r>
    </w:p>
    <w:p w14:paraId="55636A32" w14:textId="62AF70E2" w:rsidR="00B419F5" w:rsidRPr="002070E1" w:rsidRDefault="00B419F5">
      <w:pPr>
        <w:pStyle w:val="BodyText"/>
      </w:pPr>
      <w:r w:rsidRPr="002070E1">
        <w:t>States’ ongoing engagement through the Board of Treasurers</w:t>
      </w:r>
      <w:r w:rsidRPr="00201B0D">
        <w:rPr>
          <w:rStyle w:val="FootnoteReference"/>
        </w:rPr>
        <w:footnoteReference w:id="58"/>
      </w:r>
      <w:r w:rsidRPr="002070E1">
        <w:t xml:space="preserve"> suggests that state Treasurers continue to have a strong appetite for collaboration. More regular CFFR meetings – where the </w:t>
      </w:r>
      <w:r w:rsidR="00D308D0">
        <w:t>Australian</w:t>
      </w:r>
      <w:r w:rsidRPr="002070E1">
        <w:t xml:space="preserve"> Treasurer is an active participant – would help ensure this collaborative spirit is not wasted. </w:t>
      </w:r>
    </w:p>
    <w:p w14:paraId="61EDEE02" w14:textId="77777777" w:rsidR="00B419F5" w:rsidRPr="002070E1" w:rsidRDefault="00B419F5">
      <w:pPr>
        <w:pStyle w:val="BodyText"/>
      </w:pPr>
      <w:r>
        <w:t>Moving</w:t>
      </w:r>
      <w:r w:rsidRPr="002070E1">
        <w:t xml:space="preserve"> to more regular</w:t>
      </w:r>
      <w:r>
        <w:t xml:space="preserve"> meetings provides C</w:t>
      </w:r>
      <w:r w:rsidRPr="002070E1">
        <w:t xml:space="preserve">FFR </w:t>
      </w:r>
      <w:r>
        <w:t>with an opportunity to review how</w:t>
      </w:r>
      <w:r w:rsidRPr="002070E1">
        <w:t xml:space="preserve"> items proposed by states are placed on meeting agendas. The PC heard from representatives from several states that it was difficult to ensure items that states wished to discuss were on CFFR’s agenda and given sufficient discussion time at meetings. This suggests that the existing process for agreeing agendas may not be working as effectively as it can be. Given the purpose of CFFR is progressing economic and fiscal reforms of national significance, all members should have a clear opportunity to raise matters that they consider require collective attention.</w:t>
      </w:r>
    </w:p>
    <w:p w14:paraId="7FD0A780" w14:textId="77777777" w:rsidR="00B419F5" w:rsidRPr="002070E1" w:rsidRDefault="00B419F5">
      <w:pPr>
        <w:pStyle w:val="Heading3"/>
      </w:pPr>
      <w:r w:rsidRPr="002070E1">
        <w:t>CFFR’s meeting outcomes should be more transparently reported</w:t>
      </w:r>
    </w:p>
    <w:p w14:paraId="02B6E578" w14:textId="63599901" w:rsidR="00B419F5" w:rsidRPr="002070E1" w:rsidRDefault="00B419F5">
      <w:pPr>
        <w:pStyle w:val="BodyText"/>
      </w:pPr>
      <w:r w:rsidRPr="002070E1">
        <w:t xml:space="preserve">CFFR’s current practice is to report meeting outcomes as a media release from the </w:t>
      </w:r>
      <w:r w:rsidR="00D308D0">
        <w:t>Australian</w:t>
      </w:r>
      <w:r w:rsidRPr="002070E1">
        <w:t xml:space="preserve"> Treasurer. The PC has reviewed the outcomes for CFFR meetings held since the beginning of 2023, where these have been published</w:t>
      </w:r>
      <w:r w:rsidR="00556866">
        <w:t>,</w:t>
      </w:r>
      <w:r w:rsidRPr="00201B0D">
        <w:rPr>
          <w:rStyle w:val="FootnoteReference"/>
        </w:rPr>
        <w:footnoteReference w:id="59"/>
      </w:r>
      <w:r w:rsidRPr="002070E1">
        <w:t xml:space="preserve"> and is of the view that there </w:t>
      </w:r>
      <w:r>
        <w:t>are opportunities</w:t>
      </w:r>
      <w:r w:rsidRPr="002070E1">
        <w:t xml:space="preserve"> to more clearly and transparently document the decisions made at CFFR.</w:t>
      </w:r>
    </w:p>
    <w:p w14:paraId="3D8DEBC2" w14:textId="22A74687" w:rsidR="00B419F5" w:rsidRPr="002070E1" w:rsidRDefault="00B419F5">
      <w:pPr>
        <w:pStyle w:val="BodyText"/>
      </w:pPr>
      <w:r w:rsidRPr="002070E1">
        <w:t xml:space="preserve">First, CFFR should summarise meeting outcomes in the form of an official communiqué. This would provide a clearer public record that the outcomes reached by CFFR are agreed and owned by all </w:t>
      </w:r>
      <w:r w:rsidRPr="002070E1">
        <w:lastRenderedPageBreak/>
        <w:t xml:space="preserve">governments, which in turn, can improve accountability and collective ownership to see these decisions through. The current practice of publishing meeting outcomes as media releases from the </w:t>
      </w:r>
      <w:r w:rsidR="00D308D0">
        <w:t>Australian</w:t>
      </w:r>
      <w:r w:rsidRPr="002070E1">
        <w:t xml:space="preserve"> Treasurer risks implying that it is the </w:t>
      </w:r>
      <w:r>
        <w:t>Australian Government</w:t>
      </w:r>
      <w:r w:rsidRPr="002070E1">
        <w:t xml:space="preserve"> driving and owning the decisions made at CFFR, even where there has been agreement by all parties. </w:t>
      </w:r>
    </w:p>
    <w:p w14:paraId="089A500B" w14:textId="5C9B30F8" w:rsidR="00B419F5" w:rsidRPr="002070E1" w:rsidRDefault="00B419F5">
      <w:pPr>
        <w:pStyle w:val="BodyText"/>
      </w:pPr>
      <w:r>
        <w:t>S</w:t>
      </w:r>
      <w:r w:rsidRPr="002070E1">
        <w:t>econd, meeting outcomes should be published on a single, enduring public repository that is separate from the Treasurer’s ministerial media website – akin to how National Cabinet meeting outcomes are published</w:t>
      </w:r>
      <w:r>
        <w:t xml:space="preserve"> </w:t>
      </w:r>
      <w:r w:rsidRPr="00FB0AEA">
        <w:rPr>
          <w:rFonts w:cs="Open Sans"/>
        </w:rPr>
        <w:t>(PM&amp;C 2026)</w:t>
      </w:r>
      <w:r w:rsidRPr="002070E1">
        <w:t xml:space="preserve">. Like National Cabinet, CFFR makes consequential decisions that can have significant and lasting implications across the Federation. For accountability, continuity and posterity, these decisions should be published in the one place – such as on the </w:t>
      </w:r>
      <w:r w:rsidR="00D308D0">
        <w:t>Australian</w:t>
      </w:r>
      <w:r w:rsidRPr="002070E1">
        <w:t xml:space="preserve"> Treasury or the Federal Financial Relations websites.</w:t>
      </w:r>
    </w:p>
    <w:p w14:paraId="22FD62F5" w14:textId="77777777" w:rsidR="00B419F5" w:rsidRPr="002070E1" w:rsidRDefault="00B419F5">
      <w:pPr>
        <w:pStyle w:val="Heading3"/>
      </w:pPr>
      <w:r w:rsidRPr="002070E1">
        <w:t xml:space="preserve">There should be clearer guidance on CFFR’s referral pathways </w:t>
      </w:r>
    </w:p>
    <w:p w14:paraId="6DCA03E1" w14:textId="43D06154" w:rsidR="00B419F5" w:rsidRPr="002070E1" w:rsidRDefault="00B419F5">
      <w:pPr>
        <w:pStyle w:val="BodyText"/>
      </w:pPr>
      <w:r w:rsidRPr="002070E1">
        <w:t>Intergovernmental forums work best when there are clear pathways for escalating issues that require the attention of higher decision makers. However, at present, the criteria for referring matters to CFFR are somewhat opaque. CFFR’s terms of reference do not specify the circumstances in which referrals from other intergovernmental forums should occur, and the formal guidelines for intergovernmental meetings only suggest that Ministerial Councils ‘</w:t>
      </w:r>
      <w:r w:rsidRPr="00C24403">
        <w:rPr>
          <w:i/>
        </w:rPr>
        <w:t xml:space="preserve">engage with CFFR </w:t>
      </w:r>
      <w:r>
        <w:rPr>
          <w:i/>
        </w:rPr>
        <w:t>with respect to</w:t>
      </w:r>
      <w:r w:rsidRPr="00C24403">
        <w:rPr>
          <w:i/>
        </w:rPr>
        <w:t xml:space="preserve"> National Partnerships and other funding agreements’</w:t>
      </w:r>
      <w:r w:rsidRPr="002070E1">
        <w:t xml:space="preserve"> or </w:t>
      </w:r>
      <w:r w:rsidRPr="00C24403">
        <w:rPr>
          <w:i/>
        </w:rPr>
        <w:t>‘</w:t>
      </w:r>
      <w:r>
        <w:rPr>
          <w:i/>
        </w:rPr>
        <w:t>when</w:t>
      </w:r>
      <w:r w:rsidRPr="00C24403">
        <w:rPr>
          <w:i/>
        </w:rPr>
        <w:t xml:space="preserve"> needed</w:t>
      </w:r>
      <w:r>
        <w:t xml:space="preserve"> </w:t>
      </w:r>
      <w:r w:rsidRPr="002070E1">
        <w:t>’</w:t>
      </w:r>
      <w:r>
        <w:t xml:space="preserve"> </w:t>
      </w:r>
      <w:r w:rsidRPr="005B21D4">
        <w:rPr>
          <w:rFonts w:cs="Open Sans"/>
        </w:rPr>
        <w:t>(PM&amp;C 2023, pp. 2–3)</w:t>
      </w:r>
      <w:r w:rsidRPr="002070E1">
        <w:t>.</w:t>
      </w:r>
    </w:p>
    <w:p w14:paraId="7A03B563" w14:textId="77777777" w:rsidR="00B419F5" w:rsidRPr="002070E1" w:rsidRDefault="00B419F5">
      <w:pPr>
        <w:pStyle w:val="BodyText"/>
      </w:pPr>
      <w:r w:rsidRPr="002070E1">
        <w:t>There would be value in greater clarity about when Ministerial Councils should refer matters to CFFR for consideration, especially given CFFR’s remit extends beyond just intergovernmental funding agreements to broader matters such as productivity and regulatory reform. In particular, there should be a clearer articulation of when CFFR expects to have matters referred to them, including criteria for when referral should occur. This would remove some of the ambiguity associated with the existing referral process, and provide a clearer basis for Ministerial Councils to refer matters to CFFR where these expectations are met.</w:t>
      </w:r>
    </w:p>
    <w:p w14:paraId="7B529178" w14:textId="77777777" w:rsidR="00B419F5" w:rsidRPr="00557C2E" w:rsidRDefault="00B419F5">
      <w:pPr>
        <w:pStyle w:val="BodyText"/>
        <w:rPr>
          <w:spacing w:val="-4"/>
        </w:rPr>
      </w:pPr>
      <w:r w:rsidRPr="00557C2E">
        <w:rPr>
          <w:spacing w:val="-4"/>
        </w:rPr>
        <w:t>Additionally, there should be clearer guidance about when CFFR should escalate matters to National Cabinet for consideration. While there is some guidance on the process by which matters can be referred to National Cabinet</w:t>
      </w:r>
      <w:r w:rsidRPr="00557C2E">
        <w:rPr>
          <w:rStyle w:val="FootnoteReference"/>
          <w:spacing w:val="-4"/>
        </w:rPr>
        <w:footnoteReference w:id="60"/>
      </w:r>
      <w:r w:rsidRPr="00557C2E">
        <w:rPr>
          <w:rStyle w:val="FootnoteReference"/>
          <w:spacing w:val="-4"/>
        </w:rPr>
        <w:t>,</w:t>
      </w:r>
      <w:r w:rsidRPr="00557C2E">
        <w:rPr>
          <w:spacing w:val="-4"/>
        </w:rPr>
        <w:t xml:space="preserve"> there is limited direction on the circumstances where it should occur. The PC heard this has contributed to the boundary between National Cabinet and CFFR becoming somewhat unclear – and has led to some key decisions concerning the fiscal relationship between the Australian Government and states ‘defaulting’ to National Cabinet without first being given due attention at CFFR.</w:t>
      </w:r>
    </w:p>
    <w:p w14:paraId="11D876B1" w14:textId="20F83B96" w:rsidR="00654F90" w:rsidRDefault="00654F90" w:rsidP="00DD2920">
      <w:pPr>
        <w:pStyle w:val="NoSpacing"/>
      </w:pPr>
    </w:p>
    <w:tbl>
      <w:tblPr>
        <w:tblStyle w:val="Texttable-Paleblue"/>
        <w:tblW w:w="5000" w:type="pct"/>
        <w:tblLook w:val="04A0" w:firstRow="1" w:lastRow="0" w:firstColumn="1" w:lastColumn="0" w:noHBand="0" w:noVBand="1"/>
      </w:tblPr>
      <w:tblGrid>
        <w:gridCol w:w="713"/>
        <w:gridCol w:w="8925"/>
      </w:tblGrid>
      <w:tr w:rsidR="00B419F5" w:rsidRPr="002070E1" w14:paraId="0646CFDB" w14:textId="77777777">
        <w:trPr>
          <w:tblHeader/>
        </w:trPr>
        <w:tc>
          <w:tcPr>
            <w:tcW w:w="713" w:type="dxa"/>
            <w:shd w:val="clear" w:color="auto" w:fill="E7F6FD"/>
            <w:tcMar>
              <w:top w:w="0" w:type="dxa"/>
              <w:bottom w:w="0" w:type="dxa"/>
            </w:tcMar>
            <w:vAlign w:val="center"/>
          </w:tcPr>
          <w:p w14:paraId="29A3A833" w14:textId="77777777" w:rsidR="00B419F5" w:rsidRPr="002070E1" w:rsidRDefault="00B419F5" w:rsidP="00557C2E">
            <w:pPr>
              <w:keepNext/>
              <w:keepLines/>
              <w:jc w:val="center"/>
            </w:pPr>
            <w:r w:rsidRPr="002070E1">
              <w:rPr>
                <w:noProof/>
              </w:rPr>
              <w:lastRenderedPageBreak/>
              <w:drawing>
                <wp:inline distT="0" distB="0" distL="0" distR="0" wp14:anchorId="5AF3EECD" wp14:editId="5B1D24DC">
                  <wp:extent cx="288000" cy="288000"/>
                  <wp:effectExtent l="0" t="0" r="0" b="0"/>
                  <wp:docPr id="1420114109" name="Graphic 14201141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101">
                            <a:extLst>
                              <a:ext uri="{28A0092B-C50C-407E-A947-70E740481C1C}">
                                <a14:useLocalDpi xmlns:a14="http://schemas.microsoft.com/office/drawing/2010/main" val="0"/>
                              </a:ext>
                              <a:ext uri="{96DAC541-7B7A-43D3-8B79-37D633B846F1}">
                                <asvg:svgBlip xmlns:asvg="http://schemas.microsoft.com/office/drawing/2016/SVG/main" r:embed="rId102"/>
                              </a:ext>
                            </a:extLst>
                          </a:blip>
                          <a:stretch>
                            <a:fillRect/>
                          </a:stretch>
                        </pic:blipFill>
                        <pic:spPr>
                          <a:xfrm>
                            <a:off x="0" y="0"/>
                            <a:ext cx="288000" cy="288000"/>
                          </a:xfrm>
                          <a:prstGeom prst="rect">
                            <a:avLst/>
                          </a:prstGeom>
                        </pic:spPr>
                      </pic:pic>
                    </a:graphicData>
                  </a:graphic>
                </wp:inline>
              </w:drawing>
            </w:r>
          </w:p>
        </w:tc>
        <w:tc>
          <w:tcPr>
            <w:tcW w:w="8925" w:type="dxa"/>
            <w:shd w:val="clear" w:color="auto" w:fill="E7F6FD"/>
            <w:tcMar>
              <w:top w:w="0" w:type="dxa"/>
              <w:bottom w:w="0" w:type="dxa"/>
            </w:tcMar>
            <w:vAlign w:val="center"/>
          </w:tcPr>
          <w:p w14:paraId="06786CE5" w14:textId="3C1CA75E" w:rsidR="00B419F5" w:rsidRPr="0007544C" w:rsidRDefault="00B419F5" w:rsidP="00557C2E">
            <w:pPr>
              <w:pStyle w:val="FindingRecRequesttitle"/>
            </w:pPr>
            <w:r w:rsidRPr="0007544C">
              <w:t xml:space="preserve">Interim recommendation </w:t>
            </w:r>
            <w:r w:rsidRPr="0007544C">
              <w:fldChar w:fldCharType="begin"/>
            </w:r>
            <w:r w:rsidRPr="0007544C">
              <w:instrText>STYLEREF 1 \s</w:instrText>
            </w:r>
            <w:r w:rsidRPr="0007544C">
              <w:fldChar w:fldCharType="separate"/>
            </w:r>
            <w:r w:rsidR="009C08C4">
              <w:rPr>
                <w:noProof/>
              </w:rPr>
              <w:t>5</w:t>
            </w:r>
            <w:r w:rsidRPr="0007544C">
              <w:fldChar w:fldCharType="end"/>
            </w:r>
            <w:r w:rsidRPr="0007544C">
              <w:t>.</w:t>
            </w:r>
            <w:r w:rsidRPr="0007544C">
              <w:fldChar w:fldCharType="begin"/>
            </w:r>
            <w:r w:rsidRPr="0007544C">
              <w:instrText>SEQ Recommendation \* ARABIC \s 1</w:instrText>
            </w:r>
            <w:r w:rsidRPr="0007544C">
              <w:fldChar w:fldCharType="separate"/>
            </w:r>
            <w:r w:rsidR="009C08C4">
              <w:rPr>
                <w:noProof/>
              </w:rPr>
              <w:t>5</w:t>
            </w:r>
            <w:r w:rsidRPr="0007544C">
              <w:fldChar w:fldCharType="end"/>
            </w:r>
          </w:p>
          <w:p w14:paraId="54F641CA" w14:textId="0B410163" w:rsidR="00B419F5" w:rsidRPr="002070E1" w:rsidRDefault="00B419F5" w:rsidP="00557C2E">
            <w:pPr>
              <w:pStyle w:val="FindingRecRequesttitle"/>
            </w:pPr>
            <w:r w:rsidRPr="0007544C">
              <w:t xml:space="preserve">Improving the functioning of </w:t>
            </w:r>
            <w:r w:rsidR="00E938DD">
              <w:t>CFFR</w:t>
            </w:r>
          </w:p>
        </w:tc>
      </w:tr>
      <w:tr w:rsidR="00B419F5" w:rsidRPr="002070E1" w14:paraId="6E836247" w14:textId="77777777">
        <w:tc>
          <w:tcPr>
            <w:tcW w:w="9638" w:type="dxa"/>
            <w:gridSpan w:val="2"/>
            <w:shd w:val="clear" w:color="auto" w:fill="E7F6FD"/>
            <w:tcMar>
              <w:top w:w="0" w:type="dxa"/>
            </w:tcMar>
          </w:tcPr>
          <w:p w14:paraId="65A0C67E" w14:textId="77777777" w:rsidR="00B419F5" w:rsidRPr="002070E1" w:rsidRDefault="00B419F5" w:rsidP="00557C2E">
            <w:pPr>
              <w:pStyle w:val="BodyText"/>
              <w:keepNext/>
              <w:keepLines/>
            </w:pPr>
            <w:r w:rsidRPr="002070E1">
              <w:t>The Council on Federal Financial Relations (CFFR) should:</w:t>
            </w:r>
          </w:p>
          <w:p w14:paraId="63EBC9FB" w14:textId="77777777" w:rsidR="00B419F5" w:rsidRPr="006F51AF" w:rsidRDefault="00B419F5" w:rsidP="00557C2E">
            <w:pPr>
              <w:pStyle w:val="ListBullet"/>
              <w:keepNext/>
              <w:keepLines/>
            </w:pPr>
            <w:r w:rsidRPr="006F51AF">
              <w:t>commit to a more regular meeting cadence and review the agenda</w:t>
            </w:r>
            <w:r>
              <w:noBreakHyphen/>
            </w:r>
            <w:r w:rsidRPr="006F51AF">
              <w:t>setting process to ensure that state</w:t>
            </w:r>
            <w:r>
              <w:noBreakHyphen/>
            </w:r>
            <w:r w:rsidRPr="006F51AF">
              <w:t>led items are given sufficient time for discussion</w:t>
            </w:r>
          </w:p>
          <w:p w14:paraId="67B085D6" w14:textId="06800829" w:rsidR="00B419F5" w:rsidRPr="006F51AF" w:rsidRDefault="00B419F5" w:rsidP="00557C2E">
            <w:pPr>
              <w:pStyle w:val="ListBullet"/>
              <w:keepNext/>
              <w:keepLines/>
            </w:pPr>
            <w:r w:rsidRPr="006F51AF">
              <w:t xml:space="preserve">publish its outcomes as a communiqué rather than as a media release by the </w:t>
            </w:r>
            <w:r w:rsidR="009E0EBE">
              <w:t>Australian</w:t>
            </w:r>
            <w:r w:rsidRPr="006F51AF">
              <w:t xml:space="preserve"> Treasurer, and publish these outcomes on an enduring central repository, such as the </w:t>
            </w:r>
            <w:r w:rsidR="009E0EBE">
              <w:t>Australian</w:t>
            </w:r>
            <w:r w:rsidRPr="006F51AF">
              <w:t xml:space="preserve"> Treasury or Federal Financial Relations websites</w:t>
            </w:r>
          </w:p>
          <w:p w14:paraId="7A0B52E8" w14:textId="77777777" w:rsidR="00B419F5" w:rsidRPr="008835E0" w:rsidRDefault="00B419F5" w:rsidP="00557C2E">
            <w:pPr>
              <w:pStyle w:val="ListBullet"/>
              <w:keepNext/>
              <w:keepLines/>
            </w:pPr>
            <w:r w:rsidRPr="008835E0">
              <w:t>provide clearer guidance on when Ministerial Councils are expected to refer matters to CFFR for consideration</w:t>
            </w:r>
            <w:r>
              <w:t>.</w:t>
            </w:r>
          </w:p>
          <w:p w14:paraId="1F788B44" w14:textId="77777777" w:rsidR="00B419F5" w:rsidRPr="002070E1" w:rsidRDefault="00B419F5" w:rsidP="00557C2E">
            <w:pPr>
              <w:pStyle w:val="BodyText"/>
              <w:keepNext/>
              <w:keepLines/>
            </w:pPr>
            <w:r w:rsidRPr="002070E1">
              <w:t>Additionally, CFFR should work with National Cabinet to clarify the circumstances when CFFR should escalate matters to National Cabinet for First</w:t>
            </w:r>
            <w:r>
              <w:noBreakHyphen/>
            </w:r>
            <w:r w:rsidRPr="002070E1">
              <w:t>Ministers’ consideration.</w:t>
            </w:r>
          </w:p>
        </w:tc>
      </w:tr>
      <w:tr w:rsidR="00B419F5" w:rsidRPr="002070E1" w14:paraId="553B6B74" w14:textId="77777777">
        <w:tc>
          <w:tcPr>
            <w:tcW w:w="9638" w:type="dxa"/>
            <w:gridSpan w:val="2"/>
            <w:shd w:val="clear" w:color="auto" w:fill="auto"/>
            <w:tcMar>
              <w:top w:w="0" w:type="dxa"/>
              <w:bottom w:w="0" w:type="dxa"/>
            </w:tcMar>
          </w:tcPr>
          <w:p w14:paraId="415E2EEF" w14:textId="77777777" w:rsidR="00B419F5" w:rsidRPr="002070E1" w:rsidRDefault="00B419F5" w:rsidP="00557C2E">
            <w:pPr>
              <w:pStyle w:val="NoSpacing"/>
              <w:keepNext/>
              <w:keepLines/>
            </w:pPr>
          </w:p>
        </w:tc>
      </w:tr>
    </w:tbl>
    <w:p w14:paraId="639618CE" w14:textId="77777777" w:rsidR="00B419F5" w:rsidRPr="002070E1" w:rsidRDefault="00B419F5" w:rsidP="008647E2">
      <w:pPr>
        <w:pStyle w:val="Heading2"/>
      </w:pPr>
      <w:bookmarkStart w:id="117" w:name="_Toc234008113"/>
      <w:bookmarkStart w:id="118" w:name="_Toc235448002"/>
      <w:bookmarkStart w:id="119" w:name="_Toc234579126"/>
      <w:bookmarkStart w:id="120" w:name="_Toc236904086"/>
      <w:r>
        <w:t>Governments should take steps to improve their fiscal transparency</w:t>
      </w:r>
      <w:bookmarkEnd w:id="117"/>
      <w:bookmarkEnd w:id="118"/>
      <w:bookmarkEnd w:id="119"/>
      <w:bookmarkEnd w:id="120"/>
    </w:p>
    <w:p w14:paraId="1042849C" w14:textId="77777777" w:rsidR="00B419F5" w:rsidRPr="002070E1" w:rsidRDefault="00B419F5">
      <w:pPr>
        <w:pStyle w:val="Heading3"/>
      </w:pPr>
      <w:r w:rsidRPr="002070E1">
        <w:t>As a building block for understanding government finances, more attention should be given to the Government Finance Statistics</w:t>
      </w:r>
    </w:p>
    <w:p w14:paraId="62E60C1E" w14:textId="12155238" w:rsidR="00B419F5" w:rsidRPr="002070E1" w:rsidRDefault="00B419F5">
      <w:pPr>
        <w:pStyle w:val="BodyText"/>
      </w:pPr>
      <w:r w:rsidRPr="002070E1">
        <w:t>The Government Finance Statistics (GFS)</w:t>
      </w:r>
      <w:r>
        <w:t xml:space="preserve"> – published by the ABS –</w:t>
      </w:r>
      <w:r w:rsidRPr="002070E1">
        <w:t xml:space="preserve"> provides a framework for measuring and reporting the financial activities</w:t>
      </w:r>
      <w:r>
        <w:t xml:space="preserve"> and positions </w:t>
      </w:r>
      <w:r w:rsidRPr="002070E1">
        <w:t>of Australian governments, covering measures such as revenue, expenses, net operating balance, assets and liabilities in a way that can support comparisons across governments and across time</w:t>
      </w:r>
      <w:r>
        <w:t xml:space="preserve"> </w:t>
      </w:r>
      <w:r w:rsidR="00546FEC" w:rsidRPr="00546FEC">
        <w:rPr>
          <w:rFonts w:cs="Open Sans"/>
        </w:rPr>
        <w:t>(ABS 2026b)</w:t>
      </w:r>
      <w:r w:rsidRPr="002070E1">
        <w:t>. The GFS is an important data source for a range of analysis and reporting and is one of the key data sources informing the CGC’s assessment of states’ fiscal capacity. This inquiry has drawn extensively on the GFS too – particularly when examining the fiscal positions of state governments (chapter</w:t>
      </w:r>
      <w:r>
        <w:t> 3</w:t>
      </w:r>
      <w:r w:rsidRPr="002070E1">
        <w:t>).</w:t>
      </w:r>
    </w:p>
    <w:p w14:paraId="2E6BC4A0" w14:textId="77777777" w:rsidR="00B419F5" w:rsidRPr="002070E1" w:rsidRDefault="00B419F5">
      <w:pPr>
        <w:pStyle w:val="BodyText"/>
      </w:pPr>
      <w:r w:rsidRPr="002070E1">
        <w:t xml:space="preserve">The range of uses of the GFS underscores its value and the importance of its accuracy, completeness and accessibility. While the PC was not presented with any evidence suggesting there </w:t>
      </w:r>
      <w:r>
        <w:t>are</w:t>
      </w:r>
      <w:r w:rsidRPr="002070E1">
        <w:t xml:space="preserve"> fundamental problems with the GFS framework or the way it is used, it did hear – and its own use of the data suggests – there are opportunities to enhance its usefulness, namely</w:t>
      </w:r>
      <w:r>
        <w:t xml:space="preserve"> by</w:t>
      </w:r>
      <w:r w:rsidRPr="002070E1">
        <w:t>:</w:t>
      </w:r>
    </w:p>
    <w:p w14:paraId="7762ECE9" w14:textId="77777777" w:rsidR="00B419F5" w:rsidRPr="002070E1" w:rsidRDefault="00B419F5" w:rsidP="00B419F5">
      <w:pPr>
        <w:pStyle w:val="ListBullet"/>
      </w:pPr>
      <w:r w:rsidRPr="002070E1">
        <w:t>state governments strengthen</w:t>
      </w:r>
      <w:r>
        <w:t>ing</w:t>
      </w:r>
      <w:r w:rsidRPr="002070E1">
        <w:t xml:space="preserve"> their processes for validating GFS data before it is submitted to the ABS. The PC heard that the quality assurance of GFS data is sometimes limited, increasing the risk of avoidable inaccuracies. This is particularly important in instances where the GFS data is highly disaggregated, </w:t>
      </w:r>
      <w:r>
        <w:t>when</w:t>
      </w:r>
      <w:r w:rsidRPr="002070E1">
        <w:t xml:space="preserve"> errors or inconsistencies can materially impact individual data items.</w:t>
      </w:r>
    </w:p>
    <w:p w14:paraId="2927AF17" w14:textId="77777777" w:rsidR="00B419F5" w:rsidRDefault="00B419F5" w:rsidP="00B419F5">
      <w:pPr>
        <w:pStyle w:val="ListBullet"/>
      </w:pPr>
      <w:r w:rsidRPr="002070E1">
        <w:t xml:space="preserve">the ABS </w:t>
      </w:r>
      <w:r>
        <w:t xml:space="preserve">exploring opportunities to improve </w:t>
      </w:r>
      <w:r w:rsidRPr="002070E1">
        <w:t xml:space="preserve">its documentation explaining the structure, classifications and relationships within the GFS. At present, these can be difficult to understand without direct guidance from the ABS. Clearer documentation would improve transparency and support users to draw on and interpret the data more consistently. </w:t>
      </w:r>
    </w:p>
    <w:p w14:paraId="5A541522" w14:textId="77777777" w:rsidR="003404E6" w:rsidRPr="002070E1" w:rsidRDefault="003404E6" w:rsidP="003404E6">
      <w:pPr>
        <w:pStyle w:val="NoSpacing"/>
      </w:pPr>
    </w:p>
    <w:tbl>
      <w:tblPr>
        <w:tblStyle w:val="Texttable-Paleblue"/>
        <w:tblW w:w="5000" w:type="pct"/>
        <w:tblLook w:val="04A0" w:firstRow="1" w:lastRow="0" w:firstColumn="1" w:lastColumn="0" w:noHBand="0" w:noVBand="1"/>
      </w:tblPr>
      <w:tblGrid>
        <w:gridCol w:w="713"/>
        <w:gridCol w:w="8925"/>
      </w:tblGrid>
      <w:tr w:rsidR="00B419F5" w:rsidRPr="002070E1" w14:paraId="38A85EFA" w14:textId="77777777">
        <w:trPr>
          <w:tblHeader/>
        </w:trPr>
        <w:tc>
          <w:tcPr>
            <w:tcW w:w="713" w:type="dxa"/>
            <w:shd w:val="clear" w:color="auto" w:fill="E7F6FD"/>
            <w:tcMar>
              <w:top w:w="0" w:type="dxa"/>
              <w:bottom w:w="0" w:type="dxa"/>
            </w:tcMar>
            <w:vAlign w:val="center"/>
          </w:tcPr>
          <w:p w14:paraId="0750221A" w14:textId="77777777" w:rsidR="00B419F5" w:rsidRPr="002070E1" w:rsidRDefault="00B419F5">
            <w:pPr>
              <w:keepLines/>
              <w:jc w:val="center"/>
            </w:pPr>
            <w:r w:rsidRPr="002070E1">
              <w:rPr>
                <w:noProof/>
              </w:rPr>
              <w:lastRenderedPageBreak/>
              <w:drawing>
                <wp:inline distT="0" distB="0" distL="0" distR="0" wp14:anchorId="081BE577" wp14:editId="313EBC08">
                  <wp:extent cx="288000" cy="288000"/>
                  <wp:effectExtent l="0" t="0" r="0" b="0"/>
                  <wp:docPr id="439286615" name="Graphic 4392866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101">
                            <a:extLst>
                              <a:ext uri="{28A0092B-C50C-407E-A947-70E740481C1C}">
                                <a14:useLocalDpi xmlns:a14="http://schemas.microsoft.com/office/drawing/2010/main" val="0"/>
                              </a:ext>
                              <a:ext uri="{96DAC541-7B7A-43D3-8B79-37D633B846F1}">
                                <asvg:svgBlip xmlns:asvg="http://schemas.microsoft.com/office/drawing/2016/SVG/main" r:embed="rId102"/>
                              </a:ext>
                            </a:extLst>
                          </a:blip>
                          <a:stretch>
                            <a:fillRect/>
                          </a:stretch>
                        </pic:blipFill>
                        <pic:spPr>
                          <a:xfrm>
                            <a:off x="0" y="0"/>
                            <a:ext cx="288000" cy="288000"/>
                          </a:xfrm>
                          <a:prstGeom prst="rect">
                            <a:avLst/>
                          </a:prstGeom>
                        </pic:spPr>
                      </pic:pic>
                    </a:graphicData>
                  </a:graphic>
                </wp:inline>
              </w:drawing>
            </w:r>
          </w:p>
        </w:tc>
        <w:tc>
          <w:tcPr>
            <w:tcW w:w="8925" w:type="dxa"/>
            <w:shd w:val="clear" w:color="auto" w:fill="E7F6FD"/>
            <w:tcMar>
              <w:top w:w="0" w:type="dxa"/>
              <w:bottom w:w="0" w:type="dxa"/>
            </w:tcMar>
            <w:vAlign w:val="center"/>
          </w:tcPr>
          <w:p w14:paraId="2838E609" w14:textId="67AFA0A1" w:rsidR="00B419F5" w:rsidRPr="0007544C" w:rsidRDefault="00B419F5" w:rsidP="007D0080">
            <w:pPr>
              <w:pStyle w:val="FindingRecRequesttitle"/>
            </w:pPr>
            <w:r w:rsidRPr="0007544C">
              <w:t xml:space="preserve">Interim recommendation </w:t>
            </w:r>
            <w:r w:rsidRPr="0007544C">
              <w:fldChar w:fldCharType="begin"/>
            </w:r>
            <w:r w:rsidRPr="0007544C">
              <w:instrText>STYLEREF 1 \s</w:instrText>
            </w:r>
            <w:r w:rsidRPr="0007544C">
              <w:fldChar w:fldCharType="separate"/>
            </w:r>
            <w:r w:rsidR="009C08C4">
              <w:rPr>
                <w:noProof/>
              </w:rPr>
              <w:t>5</w:t>
            </w:r>
            <w:r w:rsidRPr="0007544C">
              <w:fldChar w:fldCharType="end"/>
            </w:r>
            <w:r w:rsidRPr="0007544C">
              <w:t>.</w:t>
            </w:r>
            <w:r w:rsidRPr="0007544C">
              <w:fldChar w:fldCharType="begin"/>
            </w:r>
            <w:r w:rsidRPr="0007544C">
              <w:instrText>SEQ Recommendation \* ARABIC \s 1</w:instrText>
            </w:r>
            <w:r w:rsidRPr="0007544C">
              <w:fldChar w:fldCharType="separate"/>
            </w:r>
            <w:r w:rsidR="009C08C4">
              <w:rPr>
                <w:noProof/>
              </w:rPr>
              <w:t>6</w:t>
            </w:r>
            <w:r w:rsidRPr="0007544C">
              <w:fldChar w:fldCharType="end"/>
            </w:r>
          </w:p>
          <w:p w14:paraId="29DDAFA7" w14:textId="5FA73499" w:rsidR="00B419F5" w:rsidRPr="002070E1" w:rsidRDefault="00B419F5" w:rsidP="007D0080">
            <w:pPr>
              <w:pStyle w:val="FindingRecRequesttitle"/>
            </w:pPr>
            <w:r w:rsidRPr="0007544C">
              <w:t xml:space="preserve">Enhancing the </w:t>
            </w:r>
            <w:r w:rsidR="007D0080">
              <w:t>GFS</w:t>
            </w:r>
          </w:p>
        </w:tc>
      </w:tr>
      <w:tr w:rsidR="00B419F5" w:rsidRPr="002070E1" w14:paraId="716D66B9" w14:textId="77777777">
        <w:tc>
          <w:tcPr>
            <w:tcW w:w="9638" w:type="dxa"/>
            <w:gridSpan w:val="2"/>
            <w:shd w:val="clear" w:color="auto" w:fill="E7F6FD"/>
            <w:tcMar>
              <w:top w:w="0" w:type="dxa"/>
            </w:tcMar>
          </w:tcPr>
          <w:p w14:paraId="2E507756" w14:textId="77777777" w:rsidR="00B419F5" w:rsidRPr="002070E1" w:rsidRDefault="00B419F5">
            <w:pPr>
              <w:pStyle w:val="BodyText"/>
              <w:keepLines/>
            </w:pPr>
            <w:r w:rsidRPr="002070E1">
              <w:t>To further enhance the accuracy and utility of the Government Financial Statistics</w:t>
            </w:r>
            <w:r>
              <w:t xml:space="preserve"> (GFS)</w:t>
            </w:r>
            <w:r w:rsidRPr="002070E1">
              <w:t>:</w:t>
            </w:r>
          </w:p>
          <w:p w14:paraId="5FFEE1E7" w14:textId="77777777" w:rsidR="00B419F5" w:rsidRPr="002070E1" w:rsidRDefault="00B419F5" w:rsidP="00B419F5">
            <w:pPr>
              <w:pStyle w:val="ListBullet"/>
              <w:keepLines/>
            </w:pPr>
            <w:r w:rsidRPr="002070E1">
              <w:t xml:space="preserve">state governments should strengthen their processes for validating GFS data before it is submitted to the </w:t>
            </w:r>
            <w:r>
              <w:t>Australian Bureau of Statistics (ABS)</w:t>
            </w:r>
          </w:p>
          <w:p w14:paraId="502D3595" w14:textId="77777777" w:rsidR="00B419F5" w:rsidRPr="002070E1" w:rsidRDefault="00B419F5" w:rsidP="00B419F5">
            <w:pPr>
              <w:pStyle w:val="ListBullet"/>
              <w:keepLines/>
            </w:pPr>
            <w:r w:rsidRPr="002070E1">
              <w:t>the ABS</w:t>
            </w:r>
            <w:r>
              <w:t xml:space="preserve"> should explore opportunities to</w:t>
            </w:r>
            <w:r w:rsidRPr="002070E1">
              <w:t xml:space="preserve"> improve its public</w:t>
            </w:r>
            <w:r>
              <w:noBreakHyphen/>
            </w:r>
            <w:r w:rsidRPr="002070E1">
              <w:t>facing documentation explaining the structure, classifications and relationships within the GFS.</w:t>
            </w:r>
          </w:p>
        </w:tc>
      </w:tr>
    </w:tbl>
    <w:p w14:paraId="0D0ABFFF" w14:textId="77777777" w:rsidR="00B419F5" w:rsidRPr="002070E1" w:rsidRDefault="00B419F5" w:rsidP="00CC41C5">
      <w:pPr>
        <w:pStyle w:val="Heading3"/>
        <w:spacing w:before="360"/>
      </w:pPr>
      <w:r w:rsidRPr="002070E1">
        <w:t>All governments should</w:t>
      </w:r>
      <w:r>
        <w:t xml:space="preserve"> publicly</w:t>
      </w:r>
      <w:r w:rsidRPr="002070E1">
        <w:t xml:space="preserve"> </w:t>
      </w:r>
      <w:r>
        <w:t>report on their long</w:t>
      </w:r>
      <w:r>
        <w:noBreakHyphen/>
        <w:t>term fiscal sustainability</w:t>
      </w:r>
    </w:p>
    <w:p w14:paraId="7074459E" w14:textId="77777777" w:rsidR="00B419F5" w:rsidRPr="002070E1" w:rsidRDefault="00B419F5">
      <w:pPr>
        <w:pStyle w:val="BodyText"/>
      </w:pPr>
      <w:r w:rsidRPr="002070E1">
        <w:t>Long</w:t>
      </w:r>
      <w:r>
        <w:noBreakHyphen/>
      </w:r>
      <w:r w:rsidRPr="002070E1">
        <w:t>term, publicly facing fiscal modelling has a range of benefits. It supports informed judgements about the fiscal outlook and sustainability of government decisions, enables frank conversations about emerging fiscal pressures and policy trade</w:t>
      </w:r>
      <w:r>
        <w:noBreakHyphen/>
      </w:r>
      <w:r w:rsidRPr="002070E1">
        <w:t xml:space="preserve">offs, and strengthens accountability for managing public finances in a way that supports intergenerational equity. </w:t>
      </w:r>
    </w:p>
    <w:p w14:paraId="379FB024" w14:textId="79C268DE" w:rsidR="00B419F5" w:rsidRDefault="00B419F5">
      <w:pPr>
        <w:pStyle w:val="BodyText"/>
      </w:pPr>
      <w:r w:rsidRPr="002070E1">
        <w:t>But despite these benefits, public long</w:t>
      </w:r>
      <w:r>
        <w:noBreakHyphen/>
      </w:r>
      <w:r w:rsidRPr="002070E1">
        <w:t xml:space="preserve">term fiscal updates are produced by relatively few Australian governments. The PC understands that only the </w:t>
      </w:r>
      <w:r>
        <w:t>Australian Government</w:t>
      </w:r>
      <w:r w:rsidRPr="002070E1">
        <w:t xml:space="preserve"> and</w:t>
      </w:r>
      <w:r>
        <w:t xml:space="preserve"> the Governments of</w:t>
      </w:r>
      <w:r w:rsidRPr="002070E1">
        <w:t xml:space="preserve"> New South Wales (in the form of an intergenerational report) and Tasmania (in the form of a long</w:t>
      </w:r>
      <w:r>
        <w:noBreakHyphen/>
      </w:r>
      <w:r w:rsidRPr="002070E1">
        <w:t xml:space="preserve">term fiscal sustainability report) regularly </w:t>
      </w:r>
      <w:r>
        <w:t>publish</w:t>
      </w:r>
      <w:r w:rsidRPr="002070E1">
        <w:t xml:space="preserve"> dedicated</w:t>
      </w:r>
      <w:r>
        <w:t>, whole</w:t>
      </w:r>
      <w:r>
        <w:noBreakHyphen/>
        <w:t>of</w:t>
      </w:r>
      <w:r>
        <w:noBreakHyphen/>
        <w:t>government reports containing</w:t>
      </w:r>
      <w:r w:rsidRPr="002070E1">
        <w:t xml:space="preserve"> long</w:t>
      </w:r>
      <w:r>
        <w:noBreakHyphen/>
      </w:r>
      <w:r w:rsidRPr="002070E1">
        <w:t xml:space="preserve">term fiscal </w:t>
      </w:r>
      <w:r>
        <w:t xml:space="preserve">projections </w:t>
      </w:r>
      <w:r w:rsidRPr="007116B2">
        <w:rPr>
          <w:rFonts w:cs="Open Sans"/>
        </w:rPr>
        <w:t>(Commonwealth of Australia 2023; Government of Tasmania 2026; NSW Government 2021a)</w:t>
      </w:r>
      <w:r w:rsidRPr="002070E1">
        <w:t>.</w:t>
      </w:r>
      <w:r w:rsidRPr="00201B0D">
        <w:rPr>
          <w:rStyle w:val="FootnoteReference"/>
        </w:rPr>
        <w:footnoteReference w:id="61"/>
      </w:r>
    </w:p>
    <w:p w14:paraId="043524BB" w14:textId="77777777" w:rsidR="00B419F5" w:rsidRPr="002070E1" w:rsidRDefault="00B419F5">
      <w:pPr>
        <w:pStyle w:val="BodyText"/>
      </w:pPr>
      <w:r w:rsidRPr="002070E1">
        <w:t>Long</w:t>
      </w:r>
      <w:r>
        <w:noBreakHyphen/>
      </w:r>
      <w:r w:rsidRPr="002070E1">
        <w:t>term planning is central to effective budget stewardship and, as such, the absence of public modelling on governments’ long</w:t>
      </w:r>
      <w:r>
        <w:noBreakHyphen/>
      </w:r>
      <w:r w:rsidRPr="002070E1">
        <w:t>term fiscal sustainability in some jurisdictions is a gap that should be addressed. Filling this gap is all the more critical given the fiscal pressures that many states are facing (appendix</w:t>
      </w:r>
      <w:r>
        <w:t> D</w:t>
      </w:r>
      <w:r w:rsidRPr="002070E1">
        <w:t>).</w:t>
      </w:r>
    </w:p>
    <w:p w14:paraId="05CED0A3" w14:textId="77777777" w:rsidR="00B419F5" w:rsidRPr="002070E1" w:rsidRDefault="00B419F5">
      <w:pPr>
        <w:pStyle w:val="BodyText"/>
      </w:pPr>
      <w:r>
        <w:t>The</w:t>
      </w:r>
      <w:r w:rsidRPr="002070E1">
        <w:t xml:space="preserve"> </w:t>
      </w:r>
      <w:r>
        <w:t>Australian</w:t>
      </w:r>
      <w:r w:rsidRPr="002070E1">
        <w:t xml:space="preserve"> and </w:t>
      </w:r>
      <w:r>
        <w:t xml:space="preserve">all </w:t>
      </w:r>
      <w:r w:rsidRPr="002070E1">
        <w:t xml:space="preserve">state </w:t>
      </w:r>
      <w:r>
        <w:t>governments</w:t>
      </w:r>
      <w:r w:rsidRPr="002070E1">
        <w:t xml:space="preserve"> should commit to undertaking regular, public reporting on their long</w:t>
      </w:r>
      <w:r>
        <w:noBreakHyphen/>
      </w:r>
      <w:r w:rsidRPr="002070E1">
        <w:t>term fiscal sustainability. At a minimum, this reporting should demonstrate the impact of maintaining existing government policies over the longer term and ideally would also assess how key demographic or economic trends can be expected to impact on the long</w:t>
      </w:r>
      <w:r>
        <w:noBreakHyphen/>
      </w:r>
      <w:r w:rsidRPr="002070E1">
        <w:t xml:space="preserve">term budget position. </w:t>
      </w:r>
      <w:r>
        <w:t>But such reporting could also go further – it is also a way to take stock of the broader economic opportunities and challenges facing economies and how these can be responded to in a way that unlocks the greatest benefits (or imposes the least costs) for citizens.</w:t>
      </w:r>
      <w:r w:rsidRPr="00201B0D">
        <w:rPr>
          <w:rStyle w:val="FootnoteReference"/>
        </w:rPr>
        <w:footnoteReference w:id="62"/>
      </w:r>
      <w:r>
        <w:t xml:space="preserve"> </w:t>
      </w:r>
    </w:p>
    <w:p w14:paraId="6A26A141" w14:textId="77777777" w:rsidR="00B419F5" w:rsidRPr="002070E1" w:rsidRDefault="00B419F5">
      <w:pPr>
        <w:pStyle w:val="BodyText"/>
      </w:pPr>
      <w:r w:rsidRPr="002070E1">
        <w:lastRenderedPageBreak/>
        <w:t>In jurisdictions with regular long</w:t>
      </w:r>
      <w:r>
        <w:noBreakHyphen/>
      </w:r>
      <w:r w:rsidRPr="002070E1">
        <w:t xml:space="preserve">term fiscal reporting, the requirement to produce and publish this analysis is set out in legislation. </w:t>
      </w:r>
      <w:r w:rsidRPr="00201B0D">
        <w:rPr>
          <w:rStyle w:val="FootnoteReference"/>
        </w:rPr>
        <w:footnoteReference w:id="63"/>
      </w:r>
      <w:r>
        <w:t xml:space="preserve"> </w:t>
      </w:r>
      <w:r w:rsidRPr="002070E1">
        <w:t>This is likely no coincidence and suggests that a legislative basis is an important enabler – without a requirement to report regularly on financial sustainability, governments may simply have little incentive to do so.</w:t>
      </w:r>
      <w:r>
        <w:t xml:space="preserve"> This is especially so given that such reporting can initiate important – but potentially politically challenging – debate on governments’ policy priorities and their approach to fiscal management. </w:t>
      </w:r>
    </w:p>
    <w:p w14:paraId="6705229D" w14:textId="77777777" w:rsidR="00B419F5" w:rsidRPr="002070E1" w:rsidRDefault="00B419F5">
      <w:pPr>
        <w:pStyle w:val="NoSpacing"/>
      </w:pPr>
    </w:p>
    <w:tbl>
      <w:tblPr>
        <w:tblStyle w:val="Texttable-Paleblue"/>
        <w:tblW w:w="5000" w:type="pct"/>
        <w:tblLook w:val="04A0" w:firstRow="1" w:lastRow="0" w:firstColumn="1" w:lastColumn="0" w:noHBand="0" w:noVBand="1"/>
      </w:tblPr>
      <w:tblGrid>
        <w:gridCol w:w="713"/>
        <w:gridCol w:w="8925"/>
      </w:tblGrid>
      <w:tr w:rsidR="00B419F5" w:rsidRPr="002070E1" w14:paraId="53F3AE24" w14:textId="77777777">
        <w:trPr>
          <w:tblHeader/>
        </w:trPr>
        <w:tc>
          <w:tcPr>
            <w:tcW w:w="713" w:type="dxa"/>
            <w:shd w:val="clear" w:color="auto" w:fill="E7F6FD"/>
            <w:tcMar>
              <w:top w:w="0" w:type="dxa"/>
              <w:bottom w:w="0" w:type="dxa"/>
            </w:tcMar>
            <w:vAlign w:val="center"/>
          </w:tcPr>
          <w:p w14:paraId="4B0DBF5F" w14:textId="77777777" w:rsidR="00B419F5" w:rsidRPr="002070E1" w:rsidRDefault="00B419F5">
            <w:pPr>
              <w:keepLines/>
              <w:jc w:val="center"/>
            </w:pPr>
            <w:r w:rsidRPr="002070E1">
              <w:rPr>
                <w:noProof/>
              </w:rPr>
              <w:drawing>
                <wp:inline distT="0" distB="0" distL="0" distR="0" wp14:anchorId="4EC0426B" wp14:editId="40C0CF99">
                  <wp:extent cx="288000" cy="288000"/>
                  <wp:effectExtent l="0" t="0" r="0" b="0"/>
                  <wp:docPr id="1500361777" name="Graphic 15003617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101">
                            <a:extLst>
                              <a:ext uri="{28A0092B-C50C-407E-A947-70E740481C1C}">
                                <a14:useLocalDpi xmlns:a14="http://schemas.microsoft.com/office/drawing/2010/main" val="0"/>
                              </a:ext>
                              <a:ext uri="{96DAC541-7B7A-43D3-8B79-37D633B846F1}">
                                <asvg:svgBlip xmlns:asvg="http://schemas.microsoft.com/office/drawing/2016/SVG/main" r:embed="rId102"/>
                              </a:ext>
                            </a:extLst>
                          </a:blip>
                          <a:stretch>
                            <a:fillRect/>
                          </a:stretch>
                        </pic:blipFill>
                        <pic:spPr>
                          <a:xfrm>
                            <a:off x="0" y="0"/>
                            <a:ext cx="288000" cy="288000"/>
                          </a:xfrm>
                          <a:prstGeom prst="rect">
                            <a:avLst/>
                          </a:prstGeom>
                        </pic:spPr>
                      </pic:pic>
                    </a:graphicData>
                  </a:graphic>
                </wp:inline>
              </w:drawing>
            </w:r>
          </w:p>
        </w:tc>
        <w:tc>
          <w:tcPr>
            <w:tcW w:w="8925" w:type="dxa"/>
            <w:shd w:val="clear" w:color="auto" w:fill="E7F6FD"/>
            <w:tcMar>
              <w:top w:w="0" w:type="dxa"/>
              <w:bottom w:w="0" w:type="dxa"/>
            </w:tcMar>
            <w:vAlign w:val="center"/>
          </w:tcPr>
          <w:p w14:paraId="69736D49" w14:textId="46719BFB" w:rsidR="00B419F5" w:rsidRPr="0007544C" w:rsidRDefault="00B419F5" w:rsidP="004D2747">
            <w:pPr>
              <w:pStyle w:val="FindingRecRequesttitle"/>
            </w:pPr>
            <w:r w:rsidRPr="0007544C">
              <w:t xml:space="preserve">Interim recommendation </w:t>
            </w:r>
            <w:r w:rsidRPr="0007544C">
              <w:fldChar w:fldCharType="begin"/>
            </w:r>
            <w:r w:rsidRPr="0007544C">
              <w:instrText>STYLEREF 1 \s</w:instrText>
            </w:r>
            <w:r w:rsidRPr="0007544C">
              <w:fldChar w:fldCharType="separate"/>
            </w:r>
            <w:r w:rsidR="009C08C4">
              <w:rPr>
                <w:noProof/>
              </w:rPr>
              <w:t>5</w:t>
            </w:r>
            <w:r w:rsidRPr="0007544C">
              <w:fldChar w:fldCharType="end"/>
            </w:r>
            <w:r w:rsidRPr="0007544C">
              <w:t>.</w:t>
            </w:r>
            <w:r w:rsidRPr="0007544C">
              <w:fldChar w:fldCharType="begin"/>
            </w:r>
            <w:r w:rsidRPr="0007544C">
              <w:instrText>SEQ Recommendation \* ARABIC \s 1</w:instrText>
            </w:r>
            <w:r w:rsidRPr="0007544C">
              <w:fldChar w:fldCharType="separate"/>
            </w:r>
            <w:r w:rsidR="009C08C4">
              <w:rPr>
                <w:noProof/>
              </w:rPr>
              <w:t>7</w:t>
            </w:r>
            <w:r w:rsidRPr="0007544C">
              <w:fldChar w:fldCharType="end"/>
            </w:r>
          </w:p>
          <w:p w14:paraId="0C347831" w14:textId="77777777" w:rsidR="00B419F5" w:rsidRPr="002070E1" w:rsidRDefault="00B419F5" w:rsidP="004D2747">
            <w:pPr>
              <w:pStyle w:val="FindingRecRequesttitle"/>
            </w:pPr>
            <w:r w:rsidRPr="0007544C">
              <w:t>Improving governments’ long</w:t>
            </w:r>
            <w:r w:rsidRPr="0007544C">
              <w:noBreakHyphen/>
              <w:t xml:space="preserve">term fiscal sustainability reporting </w:t>
            </w:r>
          </w:p>
        </w:tc>
      </w:tr>
      <w:tr w:rsidR="00B419F5" w:rsidRPr="002070E1" w14:paraId="4A8624C4" w14:textId="77777777">
        <w:tc>
          <w:tcPr>
            <w:tcW w:w="9638" w:type="dxa"/>
            <w:gridSpan w:val="2"/>
            <w:shd w:val="clear" w:color="auto" w:fill="E7F6FD"/>
            <w:tcMar>
              <w:top w:w="0" w:type="dxa"/>
            </w:tcMar>
          </w:tcPr>
          <w:p w14:paraId="466C79B6" w14:textId="77777777" w:rsidR="00B419F5" w:rsidRPr="002070E1" w:rsidRDefault="00B419F5">
            <w:pPr>
              <w:pStyle w:val="BodyText"/>
              <w:keepLines/>
            </w:pPr>
            <w:r w:rsidRPr="002070E1">
              <w:t>Governments should ensure that they produce regular, long</w:t>
            </w:r>
            <w:r>
              <w:noBreakHyphen/>
            </w:r>
            <w:r w:rsidRPr="002070E1">
              <w:t>term fiscal sustainability reporting – such as a 5</w:t>
            </w:r>
            <w:r>
              <w:noBreakHyphen/>
            </w:r>
            <w:r w:rsidRPr="002070E1">
              <w:t>yearly intergenerational report – that demonstrates the fiscal impacts of maintaining existing government policies over the long</w:t>
            </w:r>
            <w:r>
              <w:t xml:space="preserve"> </w:t>
            </w:r>
            <w:r w:rsidRPr="002070E1">
              <w:t xml:space="preserve">term. A legislative requirement to produce this reporting should be introduced in jurisdictions that do not already have this. </w:t>
            </w:r>
          </w:p>
        </w:tc>
      </w:tr>
    </w:tbl>
    <w:p w14:paraId="004FE5BF" w14:textId="77777777" w:rsidR="00A65085" w:rsidRDefault="00A65085" w:rsidP="005A5FCD">
      <w:pPr>
        <w:pStyle w:val="BodyText"/>
        <w:sectPr w:rsidR="00A65085" w:rsidSect="00A21364">
          <w:headerReference w:type="even" r:id="rId111"/>
          <w:headerReference w:type="default" r:id="rId112"/>
          <w:footerReference w:type="even" r:id="rId113"/>
          <w:footerReference w:type="default" r:id="rId114"/>
          <w:headerReference w:type="first" r:id="rId115"/>
          <w:footnotePr>
            <w:numRestart w:val="eachSect"/>
          </w:footnotePr>
          <w:type w:val="oddPage"/>
          <w:pgSz w:w="11906" w:h="16838" w:code="9"/>
          <w:pgMar w:top="1134" w:right="1134" w:bottom="1134" w:left="1134" w:header="794" w:footer="510" w:gutter="0"/>
          <w:cols w:space="708"/>
          <w:docGrid w:linePitch="360"/>
        </w:sectPr>
      </w:pPr>
      <w:bookmarkStart w:id="121" w:name="_Toc236408595"/>
    </w:p>
    <w:p w14:paraId="2F3829D3" w14:textId="77777777" w:rsidR="00FB4E68" w:rsidRDefault="00FB4E68" w:rsidP="005A5FCD">
      <w:pPr>
        <w:pStyle w:val="BodyText"/>
        <w:sectPr w:rsidR="00FB4E68" w:rsidSect="00A65085">
          <w:headerReference w:type="even" r:id="rId116"/>
          <w:footnotePr>
            <w:numRestart w:val="eachSect"/>
          </w:footnotePr>
          <w:pgSz w:w="11906" w:h="16838" w:code="9"/>
          <w:pgMar w:top="1134" w:right="1134" w:bottom="1134" w:left="1134" w:header="794" w:footer="510" w:gutter="0"/>
          <w:cols w:space="708"/>
          <w:docGrid w:linePitch="360"/>
        </w:sectPr>
      </w:pPr>
    </w:p>
    <w:p w14:paraId="6D8E4FB5" w14:textId="1482714E" w:rsidR="00A21364" w:rsidRDefault="00A21364" w:rsidP="003D5906">
      <w:pPr>
        <w:pStyle w:val="Heading1"/>
        <w:numPr>
          <w:ilvl w:val="0"/>
          <w:numId w:val="22"/>
        </w:numPr>
      </w:pPr>
      <w:bookmarkStart w:id="122" w:name="_Toc236904087"/>
      <w:r>
        <w:lastRenderedPageBreak/>
        <w:t>Public engagement</w:t>
      </w:r>
      <w:bookmarkEnd w:id="121"/>
      <w:bookmarkEnd w:id="122"/>
    </w:p>
    <w:p w14:paraId="501DFDAF" w14:textId="77777777" w:rsidR="00A21364" w:rsidRDefault="00A21364">
      <w:pPr>
        <w:pStyle w:val="BodyText"/>
      </w:pPr>
      <w:r>
        <w:t>This appendix outlines the engagement process undertaken for this inquiry and lists the organisations and individuals who participated.</w:t>
      </w:r>
    </w:p>
    <w:p w14:paraId="299A0495" w14:textId="77777777" w:rsidR="00A21364" w:rsidRDefault="00A21364">
      <w:pPr>
        <w:pStyle w:val="BodyText"/>
      </w:pPr>
      <w:r w:rsidRPr="00B16FD9">
        <w:t xml:space="preserve">The </w:t>
      </w:r>
      <w:r>
        <w:t xml:space="preserve">Productivity </w:t>
      </w:r>
      <w:r w:rsidRPr="00B16FD9">
        <w:t xml:space="preserve">Commission received the terms of reference for this inquiry on </w:t>
      </w:r>
      <w:r>
        <w:t>24 September </w:t>
      </w:r>
      <w:r w:rsidRPr="00B16FD9">
        <w:t>20</w:t>
      </w:r>
      <w:r>
        <w:t>2</w:t>
      </w:r>
      <w:r w:rsidRPr="00B16FD9">
        <w:t xml:space="preserve">5. </w:t>
      </w:r>
    </w:p>
    <w:p w14:paraId="14AE9216" w14:textId="77777777" w:rsidR="00A21364" w:rsidRDefault="00A21364">
      <w:pPr>
        <w:pStyle w:val="BodyText"/>
      </w:pPr>
      <w:r>
        <w:t xml:space="preserve">An issues paper was released </w:t>
      </w:r>
      <w:r w:rsidRPr="00B16FD9">
        <w:t xml:space="preserve">on </w:t>
      </w:r>
      <w:r>
        <w:t>21 November </w:t>
      </w:r>
      <w:r w:rsidRPr="00B16FD9">
        <w:t>20</w:t>
      </w:r>
      <w:r>
        <w:t>2</w:t>
      </w:r>
      <w:r w:rsidRPr="00B16FD9">
        <w:t xml:space="preserve">5 inviting public submissions and </w:t>
      </w:r>
      <w:r>
        <w:t xml:space="preserve">brief comments. </w:t>
      </w:r>
    </w:p>
    <w:p w14:paraId="08271430" w14:textId="503B6DF1" w:rsidR="00A21364" w:rsidRPr="00DA12E5" w:rsidRDefault="00A21364">
      <w:pPr>
        <w:pStyle w:val="BodyText"/>
        <w:rPr>
          <w:spacing w:val="-2"/>
        </w:rPr>
      </w:pPr>
      <w:r w:rsidRPr="00DA12E5">
        <w:rPr>
          <w:spacing w:val="-2"/>
        </w:rPr>
        <w:t xml:space="preserve">In total, 64 public submissions (table A.1) and 50 brief comments were received. The submissions and brief comments are available online at: </w:t>
      </w:r>
      <w:hyperlink r:id="rId117" w:history="1">
        <w:r w:rsidR="00557C2E" w:rsidRPr="00DA12E5">
          <w:rPr>
            <w:rStyle w:val="Hyperlink"/>
            <w:spacing w:val="-2"/>
          </w:rPr>
          <w:t>www.pc.gov.au/inquiries-and-research/gst-reforms/submissions/</w:t>
        </w:r>
      </w:hyperlink>
      <w:r w:rsidRPr="00DA12E5">
        <w:rPr>
          <w:spacing w:val="-2"/>
        </w:rPr>
        <w:t>.</w:t>
      </w:r>
    </w:p>
    <w:p w14:paraId="5E3E1FC5" w14:textId="77777777" w:rsidR="00A21364" w:rsidRPr="00B16FD9" w:rsidRDefault="00A21364">
      <w:pPr>
        <w:pStyle w:val="BodyText"/>
      </w:pPr>
      <w:r w:rsidRPr="00B16FD9">
        <w:t>During the inquiry, the</w:t>
      </w:r>
      <w:r>
        <w:t xml:space="preserve"> PC</w:t>
      </w:r>
      <w:r w:rsidRPr="00B16FD9">
        <w:t xml:space="preserve"> held consultations</w:t>
      </w:r>
      <w:r>
        <w:t xml:space="preserve"> (table A.2) </w:t>
      </w:r>
      <w:r w:rsidRPr="00B16FD9">
        <w:t>and</w:t>
      </w:r>
      <w:r>
        <w:t xml:space="preserve"> convened an</w:t>
      </w:r>
      <w:r w:rsidRPr="00B16FD9">
        <w:t xml:space="preserve"> </w:t>
      </w:r>
      <w:r>
        <w:t xml:space="preserve">academic </w:t>
      </w:r>
      <w:r w:rsidRPr="00B16FD9">
        <w:t>roundtable</w:t>
      </w:r>
      <w:r>
        <w:t xml:space="preserve"> (table A.3).</w:t>
      </w:r>
      <w:r w:rsidRPr="00B16FD9">
        <w:t xml:space="preserve"> </w:t>
      </w:r>
    </w:p>
    <w:p w14:paraId="1055BA76" w14:textId="77777777" w:rsidR="00A21364" w:rsidRDefault="00A21364">
      <w:pPr>
        <w:pStyle w:val="BodyText"/>
      </w:pPr>
      <w:r w:rsidRPr="00B16FD9">
        <w:t xml:space="preserve">The </w:t>
      </w:r>
      <w:r>
        <w:t>PC</w:t>
      </w:r>
      <w:r w:rsidRPr="00B16FD9">
        <w:t xml:space="preserve"> would like to thank all those who </w:t>
      </w:r>
      <w:r w:rsidRPr="00EB524E">
        <w:t>participated in this inquiry</w:t>
      </w:r>
      <w:r w:rsidRPr="00B16FD9">
        <w:t>.</w:t>
      </w:r>
    </w:p>
    <w:p w14:paraId="43DEF7F1" w14:textId="4E092CAA" w:rsidR="00A21364" w:rsidRDefault="00A21364">
      <w:pPr>
        <w:pStyle w:val="FigureTableHeading"/>
      </w:pPr>
      <w:r>
        <w:t>Table A.</w:t>
      </w:r>
      <w:fldSimple w:instr=" SEQ Table \* ARABIC \s 1 ">
        <w:r w:rsidR="009C08C4">
          <w:rPr>
            <w:noProof/>
          </w:rPr>
          <w:t>1</w:t>
        </w:r>
      </w:fldSimple>
      <w:r>
        <w:rPr>
          <w:noProof/>
        </w:rPr>
        <w:t xml:space="preserve"> – </w:t>
      </w:r>
      <w:r>
        <w:t>Submissions</w:t>
      </w:r>
    </w:p>
    <w:tbl>
      <w:tblPr>
        <w:tblW w:w="5000" w:type="pct"/>
        <w:tblBorders>
          <w:bottom w:val="single" w:sz="4" w:space="0" w:color="B3B3B3"/>
        </w:tblBorders>
        <w:shd w:val="clear" w:color="000000" w:fill="auto"/>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7913"/>
        <w:gridCol w:w="1725"/>
      </w:tblGrid>
      <w:tr w:rsidR="00A21364" w:rsidRPr="003925FE" w14:paraId="7B43CB0C" w14:textId="77777777">
        <w:trPr>
          <w:tblHeader/>
        </w:trPr>
        <w:tc>
          <w:tcPr>
            <w:tcW w:w="4105" w:type="pct"/>
            <w:tcBorders>
              <w:bottom w:val="single" w:sz="4" w:space="0" w:color="B3B3B3"/>
            </w:tcBorders>
            <w:shd w:val="clear" w:color="000000" w:fill="auto"/>
            <w:vAlign w:val="bottom"/>
          </w:tcPr>
          <w:p w14:paraId="5BDA9F6E" w14:textId="77777777" w:rsidR="00A21364" w:rsidRPr="003925FE" w:rsidRDefault="00A21364">
            <w:pPr>
              <w:pStyle w:val="TableHeading"/>
              <w:spacing w:before="45" w:after="45"/>
              <w:ind w:left="0"/>
              <w:rPr>
                <w:rFonts w:cs="Open Sans"/>
                <w:color w:val="1D4374"/>
              </w:rPr>
            </w:pPr>
            <w:r w:rsidRPr="003925FE">
              <w:rPr>
                <w:rFonts w:cs="Open Sans"/>
                <w:color w:val="1D4374"/>
              </w:rPr>
              <w:t>Participants</w:t>
            </w:r>
          </w:p>
        </w:tc>
        <w:tc>
          <w:tcPr>
            <w:tcW w:w="895" w:type="pct"/>
            <w:tcBorders>
              <w:bottom w:val="single" w:sz="4" w:space="0" w:color="B3B3B3"/>
            </w:tcBorders>
            <w:shd w:val="clear" w:color="000000" w:fill="auto"/>
            <w:vAlign w:val="bottom"/>
          </w:tcPr>
          <w:p w14:paraId="6D2338B8" w14:textId="1E5C1C07" w:rsidR="00A21364" w:rsidRPr="003925FE" w:rsidRDefault="00A21364">
            <w:pPr>
              <w:pStyle w:val="TableHeading"/>
              <w:spacing w:before="45" w:after="45"/>
              <w:jc w:val="right"/>
              <w:rPr>
                <w:rFonts w:cs="Open Sans"/>
                <w:color w:val="1D4374"/>
              </w:rPr>
            </w:pPr>
            <w:r w:rsidRPr="003925FE">
              <w:rPr>
                <w:rFonts w:cs="Open Sans"/>
                <w:color w:val="1D4374"/>
              </w:rPr>
              <w:t>Submission no</w:t>
            </w:r>
            <w:r w:rsidR="002B326B">
              <w:rPr>
                <w:rFonts w:cs="Open Sans"/>
                <w:color w:val="1D4374"/>
              </w:rPr>
              <w:t>.</w:t>
            </w:r>
          </w:p>
        </w:tc>
      </w:tr>
      <w:tr w:rsidR="00A21364" w:rsidRPr="003925FE" w14:paraId="18BF4C34" w14:textId="77777777">
        <w:tc>
          <w:tcPr>
            <w:tcW w:w="4105" w:type="pct"/>
            <w:tcBorders>
              <w:top w:val="single" w:sz="4" w:space="0" w:color="B3B3B3"/>
              <w:bottom w:val="nil"/>
            </w:tcBorders>
            <w:shd w:val="clear" w:color="000000" w:fill="E6E6E6"/>
          </w:tcPr>
          <w:p w14:paraId="72D19440" w14:textId="77777777" w:rsidR="00A21364" w:rsidRPr="0074583E" w:rsidRDefault="00A21364">
            <w:pPr>
              <w:pStyle w:val="TableBody"/>
              <w:spacing w:before="45" w:after="45"/>
              <w:ind w:right="108"/>
            </w:pPr>
            <w:r w:rsidRPr="00BC00BC">
              <w:t>ACT Government</w:t>
            </w:r>
          </w:p>
        </w:tc>
        <w:tc>
          <w:tcPr>
            <w:tcW w:w="895" w:type="pct"/>
            <w:tcBorders>
              <w:top w:val="single" w:sz="4" w:space="0" w:color="B3B3B3"/>
              <w:bottom w:val="nil"/>
            </w:tcBorders>
            <w:shd w:val="clear" w:color="000000" w:fill="E6E6E6"/>
          </w:tcPr>
          <w:p w14:paraId="6D31560E" w14:textId="77777777" w:rsidR="00A21364" w:rsidRPr="003925FE" w:rsidRDefault="00A21364">
            <w:pPr>
              <w:pStyle w:val="TableBody"/>
              <w:spacing w:before="45" w:after="45"/>
              <w:ind w:right="108"/>
              <w:jc w:val="right"/>
              <w:rPr>
                <w:rFonts w:cs="Open Sans"/>
                <w:color w:val="000000"/>
              </w:rPr>
            </w:pPr>
            <w:r w:rsidRPr="00BC00BC">
              <w:t>38</w:t>
            </w:r>
          </w:p>
        </w:tc>
      </w:tr>
      <w:tr w:rsidR="00A21364" w:rsidRPr="003925FE" w14:paraId="3E41CC14" w14:textId="77777777">
        <w:tc>
          <w:tcPr>
            <w:tcW w:w="4105" w:type="pct"/>
            <w:tcBorders>
              <w:top w:val="nil"/>
              <w:bottom w:val="nil"/>
            </w:tcBorders>
            <w:shd w:val="clear" w:color="000000" w:fill="auto"/>
          </w:tcPr>
          <w:p w14:paraId="7DDB16C4" w14:textId="77777777" w:rsidR="00A21364" w:rsidRPr="003925FE" w:rsidRDefault="00A21364">
            <w:pPr>
              <w:pStyle w:val="TableBody"/>
              <w:spacing w:before="45" w:after="45"/>
              <w:ind w:right="108"/>
              <w:rPr>
                <w:rFonts w:cs="Open Sans"/>
                <w:b/>
                <w:color w:val="1D4374"/>
              </w:rPr>
            </w:pPr>
            <w:r w:rsidRPr="00BC00BC">
              <w:t>Amanda Haley</w:t>
            </w:r>
          </w:p>
        </w:tc>
        <w:tc>
          <w:tcPr>
            <w:tcW w:w="895" w:type="pct"/>
            <w:tcBorders>
              <w:top w:val="nil"/>
              <w:bottom w:val="nil"/>
            </w:tcBorders>
            <w:shd w:val="clear" w:color="000000" w:fill="auto"/>
          </w:tcPr>
          <w:p w14:paraId="59056007" w14:textId="77777777" w:rsidR="00A21364" w:rsidRPr="003925FE" w:rsidRDefault="00A21364">
            <w:pPr>
              <w:pStyle w:val="TableBody"/>
              <w:spacing w:before="45" w:after="45"/>
              <w:ind w:right="108"/>
              <w:jc w:val="right"/>
              <w:rPr>
                <w:rFonts w:cs="Open Sans"/>
                <w:color w:val="000000"/>
              </w:rPr>
            </w:pPr>
            <w:r w:rsidRPr="00BC00BC">
              <w:t>8</w:t>
            </w:r>
          </w:p>
        </w:tc>
      </w:tr>
      <w:tr w:rsidR="00A21364" w:rsidRPr="003925FE" w14:paraId="05E07B01" w14:textId="77777777">
        <w:tc>
          <w:tcPr>
            <w:tcW w:w="4105" w:type="pct"/>
            <w:tcBorders>
              <w:bottom w:val="nil"/>
            </w:tcBorders>
            <w:shd w:val="clear" w:color="000000" w:fill="E6E6E6"/>
          </w:tcPr>
          <w:p w14:paraId="7D3EE571" w14:textId="77777777" w:rsidR="00A21364" w:rsidRPr="003925FE" w:rsidRDefault="00A21364">
            <w:pPr>
              <w:pStyle w:val="TableBody"/>
              <w:spacing w:before="45" w:after="45"/>
              <w:ind w:right="108"/>
              <w:rPr>
                <w:rFonts w:cs="Open Sans"/>
                <w:b/>
                <w:color w:val="1D4374"/>
              </w:rPr>
            </w:pPr>
            <w:r w:rsidRPr="00BC00BC">
              <w:t>Andrew Gibbs</w:t>
            </w:r>
          </w:p>
        </w:tc>
        <w:tc>
          <w:tcPr>
            <w:tcW w:w="895" w:type="pct"/>
            <w:tcBorders>
              <w:bottom w:val="nil"/>
            </w:tcBorders>
            <w:shd w:val="clear" w:color="000000" w:fill="E6E6E6"/>
          </w:tcPr>
          <w:p w14:paraId="70F51982" w14:textId="77777777" w:rsidR="00A21364" w:rsidRPr="003925FE" w:rsidRDefault="00A21364">
            <w:pPr>
              <w:pStyle w:val="TableBody"/>
              <w:spacing w:before="45" w:after="45"/>
              <w:ind w:right="108"/>
              <w:jc w:val="right"/>
              <w:rPr>
                <w:rFonts w:cs="Open Sans"/>
                <w:color w:val="000000"/>
              </w:rPr>
            </w:pPr>
            <w:r w:rsidRPr="00BC00BC">
              <w:t>25</w:t>
            </w:r>
          </w:p>
        </w:tc>
      </w:tr>
      <w:tr w:rsidR="00A21364" w:rsidRPr="003925FE" w14:paraId="5614CDA6" w14:textId="77777777">
        <w:tc>
          <w:tcPr>
            <w:tcW w:w="4105" w:type="pct"/>
            <w:tcBorders>
              <w:top w:val="nil"/>
              <w:bottom w:val="nil"/>
            </w:tcBorders>
            <w:shd w:val="clear" w:color="000000" w:fill="auto"/>
          </w:tcPr>
          <w:p w14:paraId="0FDB82B3" w14:textId="77777777" w:rsidR="00A21364" w:rsidRPr="003925FE" w:rsidRDefault="00A21364">
            <w:pPr>
              <w:pStyle w:val="TableBody"/>
              <w:spacing w:before="45" w:after="45"/>
              <w:ind w:right="108"/>
              <w:rPr>
                <w:rFonts w:cs="Open Sans"/>
                <w:b/>
                <w:color w:val="1D4374"/>
              </w:rPr>
            </w:pPr>
            <w:r w:rsidRPr="00BC00BC">
              <w:t>Andrew Wilkie MP</w:t>
            </w:r>
          </w:p>
        </w:tc>
        <w:tc>
          <w:tcPr>
            <w:tcW w:w="895" w:type="pct"/>
            <w:tcBorders>
              <w:top w:val="nil"/>
              <w:bottom w:val="nil"/>
            </w:tcBorders>
            <w:shd w:val="clear" w:color="000000" w:fill="auto"/>
          </w:tcPr>
          <w:p w14:paraId="7331BC61" w14:textId="77777777" w:rsidR="00A21364" w:rsidRPr="003925FE" w:rsidRDefault="00A21364">
            <w:pPr>
              <w:pStyle w:val="TableBody"/>
              <w:spacing w:before="45" w:after="45"/>
              <w:ind w:right="108"/>
              <w:jc w:val="right"/>
              <w:rPr>
                <w:rFonts w:cs="Open Sans"/>
                <w:color w:val="000000"/>
              </w:rPr>
            </w:pPr>
            <w:r w:rsidRPr="00BC00BC">
              <w:t>12</w:t>
            </w:r>
          </w:p>
        </w:tc>
      </w:tr>
      <w:tr w:rsidR="00A21364" w:rsidRPr="003925FE" w14:paraId="1ABE83C3" w14:textId="77777777">
        <w:tc>
          <w:tcPr>
            <w:tcW w:w="4105" w:type="pct"/>
            <w:tcBorders>
              <w:bottom w:val="nil"/>
            </w:tcBorders>
            <w:shd w:val="clear" w:color="000000" w:fill="E6E6E6"/>
          </w:tcPr>
          <w:p w14:paraId="77222F3F" w14:textId="77777777" w:rsidR="00A21364" w:rsidRPr="003925FE" w:rsidRDefault="00A21364">
            <w:pPr>
              <w:pStyle w:val="TableBody"/>
              <w:spacing w:before="45" w:after="45"/>
              <w:ind w:right="108"/>
              <w:rPr>
                <w:rFonts w:cs="Open Sans"/>
                <w:b/>
                <w:color w:val="1D4374"/>
              </w:rPr>
            </w:pPr>
            <w:r w:rsidRPr="00BC00BC">
              <w:t>Anglicare Tasmania</w:t>
            </w:r>
          </w:p>
        </w:tc>
        <w:tc>
          <w:tcPr>
            <w:tcW w:w="895" w:type="pct"/>
            <w:tcBorders>
              <w:bottom w:val="nil"/>
            </w:tcBorders>
            <w:shd w:val="clear" w:color="000000" w:fill="E6E6E6"/>
          </w:tcPr>
          <w:p w14:paraId="757B6AD6" w14:textId="77777777" w:rsidR="00A21364" w:rsidRPr="003925FE" w:rsidRDefault="00A21364">
            <w:pPr>
              <w:pStyle w:val="TableBody"/>
              <w:spacing w:before="45" w:after="45"/>
              <w:ind w:right="108"/>
              <w:jc w:val="right"/>
              <w:rPr>
                <w:rFonts w:cs="Open Sans"/>
                <w:color w:val="000000"/>
              </w:rPr>
            </w:pPr>
            <w:r w:rsidRPr="00BC00BC">
              <w:t>17</w:t>
            </w:r>
          </w:p>
        </w:tc>
      </w:tr>
      <w:tr w:rsidR="00A21364" w:rsidRPr="003925FE" w14:paraId="2DD3ED6C" w14:textId="77777777">
        <w:tc>
          <w:tcPr>
            <w:tcW w:w="4105" w:type="pct"/>
            <w:tcBorders>
              <w:top w:val="nil"/>
              <w:bottom w:val="nil"/>
            </w:tcBorders>
            <w:shd w:val="clear" w:color="000000" w:fill="auto"/>
          </w:tcPr>
          <w:p w14:paraId="19D19899" w14:textId="77777777" w:rsidR="00A21364" w:rsidRPr="003925FE" w:rsidRDefault="00A21364">
            <w:pPr>
              <w:pStyle w:val="TableBody"/>
              <w:spacing w:before="45" w:after="45"/>
              <w:ind w:right="108"/>
              <w:rPr>
                <w:rFonts w:cs="Open Sans"/>
                <w:b/>
                <w:color w:val="1D4374"/>
              </w:rPr>
            </w:pPr>
            <w:r w:rsidRPr="00BC00BC">
              <w:t>Association of Mining and Exploration Companies (AMEC)</w:t>
            </w:r>
          </w:p>
        </w:tc>
        <w:tc>
          <w:tcPr>
            <w:tcW w:w="895" w:type="pct"/>
            <w:tcBorders>
              <w:top w:val="nil"/>
              <w:bottom w:val="nil"/>
            </w:tcBorders>
            <w:shd w:val="clear" w:color="000000" w:fill="auto"/>
          </w:tcPr>
          <w:p w14:paraId="18D7E75F" w14:textId="77777777" w:rsidR="00A21364" w:rsidRPr="003925FE" w:rsidRDefault="00A21364">
            <w:pPr>
              <w:pStyle w:val="TableBody"/>
              <w:spacing w:before="45" w:after="45"/>
              <w:ind w:right="108"/>
              <w:jc w:val="right"/>
              <w:rPr>
                <w:rFonts w:cs="Open Sans"/>
                <w:color w:val="000000"/>
              </w:rPr>
            </w:pPr>
            <w:r w:rsidRPr="00BC00BC">
              <w:t>16</w:t>
            </w:r>
          </w:p>
        </w:tc>
      </w:tr>
      <w:tr w:rsidR="00A21364" w:rsidRPr="003925FE" w14:paraId="44423C6C" w14:textId="77777777">
        <w:tc>
          <w:tcPr>
            <w:tcW w:w="4105" w:type="pct"/>
            <w:tcBorders>
              <w:bottom w:val="nil"/>
            </w:tcBorders>
            <w:shd w:val="clear" w:color="000000" w:fill="E6E6E6"/>
          </w:tcPr>
          <w:p w14:paraId="36480DC5" w14:textId="77777777" w:rsidR="00A21364" w:rsidRPr="003925FE" w:rsidRDefault="00A21364">
            <w:pPr>
              <w:pStyle w:val="TableBody"/>
              <w:spacing w:before="45" w:after="45"/>
              <w:ind w:right="108"/>
              <w:rPr>
                <w:rFonts w:cs="Open Sans"/>
                <w:b/>
                <w:color w:val="1D4374"/>
              </w:rPr>
            </w:pPr>
            <w:r w:rsidRPr="00BC00BC">
              <w:t>Australian Centre for Federalism</w:t>
            </w:r>
          </w:p>
        </w:tc>
        <w:tc>
          <w:tcPr>
            <w:tcW w:w="895" w:type="pct"/>
            <w:tcBorders>
              <w:bottom w:val="nil"/>
            </w:tcBorders>
            <w:shd w:val="clear" w:color="000000" w:fill="E6E6E6"/>
          </w:tcPr>
          <w:p w14:paraId="054507A0" w14:textId="77777777" w:rsidR="00A21364" w:rsidRPr="003925FE" w:rsidRDefault="00A21364">
            <w:pPr>
              <w:pStyle w:val="TableBody"/>
              <w:spacing w:before="45" w:after="45"/>
              <w:ind w:right="108"/>
              <w:jc w:val="right"/>
              <w:rPr>
                <w:rFonts w:cs="Open Sans"/>
                <w:color w:val="000000"/>
              </w:rPr>
            </w:pPr>
            <w:r w:rsidRPr="00BC00BC">
              <w:t>23</w:t>
            </w:r>
          </w:p>
        </w:tc>
      </w:tr>
      <w:tr w:rsidR="00A21364" w:rsidRPr="003925FE" w14:paraId="6ED2A0F2" w14:textId="77777777">
        <w:tc>
          <w:tcPr>
            <w:tcW w:w="4105" w:type="pct"/>
            <w:tcBorders>
              <w:top w:val="nil"/>
              <w:bottom w:val="nil"/>
            </w:tcBorders>
            <w:shd w:val="clear" w:color="000000" w:fill="auto"/>
          </w:tcPr>
          <w:p w14:paraId="3C14D706" w14:textId="77777777" w:rsidR="00A21364" w:rsidRPr="003925FE" w:rsidRDefault="00A21364">
            <w:pPr>
              <w:pStyle w:val="TableBody"/>
              <w:spacing w:before="45" w:after="45"/>
              <w:ind w:right="108"/>
              <w:rPr>
                <w:rFonts w:cs="Open Sans"/>
                <w:b/>
                <w:color w:val="1D4374"/>
              </w:rPr>
            </w:pPr>
            <w:r w:rsidRPr="00BC00BC">
              <w:t>Australian Services Union (ASU) Victorian and Tasmanian Authorities and Services Branch</w:t>
            </w:r>
          </w:p>
        </w:tc>
        <w:tc>
          <w:tcPr>
            <w:tcW w:w="895" w:type="pct"/>
            <w:tcBorders>
              <w:top w:val="nil"/>
              <w:bottom w:val="nil"/>
            </w:tcBorders>
            <w:shd w:val="clear" w:color="000000" w:fill="auto"/>
          </w:tcPr>
          <w:p w14:paraId="0689C837" w14:textId="77777777" w:rsidR="00A21364" w:rsidRPr="003925FE" w:rsidRDefault="00A21364">
            <w:pPr>
              <w:pStyle w:val="TableBody"/>
              <w:spacing w:before="45" w:after="45"/>
              <w:ind w:right="108"/>
              <w:jc w:val="right"/>
              <w:rPr>
                <w:rFonts w:cs="Open Sans"/>
                <w:color w:val="000000"/>
              </w:rPr>
            </w:pPr>
            <w:r w:rsidRPr="00BC00BC">
              <w:t>64</w:t>
            </w:r>
          </w:p>
        </w:tc>
      </w:tr>
      <w:tr w:rsidR="00A21364" w:rsidRPr="003925FE" w14:paraId="4971B6E7" w14:textId="77777777">
        <w:tc>
          <w:tcPr>
            <w:tcW w:w="4105" w:type="pct"/>
            <w:tcBorders>
              <w:bottom w:val="nil"/>
            </w:tcBorders>
            <w:shd w:val="clear" w:color="000000" w:fill="E6E6E6"/>
          </w:tcPr>
          <w:p w14:paraId="2175623F" w14:textId="77777777" w:rsidR="00A21364" w:rsidRPr="003925FE" w:rsidRDefault="00A21364">
            <w:pPr>
              <w:pStyle w:val="TableBody"/>
              <w:spacing w:before="45" w:after="45"/>
              <w:ind w:right="108"/>
              <w:rPr>
                <w:rFonts w:cs="Open Sans"/>
                <w:b/>
                <w:color w:val="1D4374"/>
              </w:rPr>
            </w:pPr>
            <w:r w:rsidRPr="00BC00BC">
              <w:t>Break O'Day Council</w:t>
            </w:r>
          </w:p>
        </w:tc>
        <w:tc>
          <w:tcPr>
            <w:tcW w:w="895" w:type="pct"/>
            <w:tcBorders>
              <w:bottom w:val="nil"/>
            </w:tcBorders>
            <w:shd w:val="clear" w:color="000000" w:fill="E6E6E6"/>
          </w:tcPr>
          <w:p w14:paraId="2F46C7F4" w14:textId="77777777" w:rsidR="00A21364" w:rsidRPr="003925FE" w:rsidRDefault="00A21364">
            <w:pPr>
              <w:pStyle w:val="TableBody"/>
              <w:spacing w:before="45" w:after="45"/>
              <w:ind w:right="108"/>
              <w:jc w:val="right"/>
              <w:rPr>
                <w:rFonts w:cs="Open Sans"/>
                <w:color w:val="000000"/>
              </w:rPr>
            </w:pPr>
            <w:r w:rsidRPr="00BC00BC">
              <w:t>20</w:t>
            </w:r>
          </w:p>
        </w:tc>
      </w:tr>
      <w:tr w:rsidR="00A21364" w:rsidRPr="003925FE" w14:paraId="3238D2DB" w14:textId="77777777">
        <w:tc>
          <w:tcPr>
            <w:tcW w:w="4105" w:type="pct"/>
            <w:tcBorders>
              <w:top w:val="nil"/>
              <w:bottom w:val="nil"/>
            </w:tcBorders>
            <w:shd w:val="clear" w:color="000000" w:fill="auto"/>
          </w:tcPr>
          <w:p w14:paraId="2A829EE6" w14:textId="77777777" w:rsidR="00A21364" w:rsidRPr="003925FE" w:rsidRDefault="00A21364">
            <w:pPr>
              <w:pStyle w:val="TableBody"/>
              <w:spacing w:before="45" w:after="45"/>
              <w:ind w:right="108"/>
              <w:rPr>
                <w:rFonts w:cs="Open Sans"/>
                <w:b/>
                <w:color w:val="1D4374"/>
              </w:rPr>
            </w:pPr>
            <w:r w:rsidRPr="00BC00BC">
              <w:t>Brendan McCarthy</w:t>
            </w:r>
          </w:p>
        </w:tc>
        <w:tc>
          <w:tcPr>
            <w:tcW w:w="895" w:type="pct"/>
            <w:tcBorders>
              <w:top w:val="nil"/>
              <w:bottom w:val="nil"/>
            </w:tcBorders>
            <w:shd w:val="clear" w:color="000000" w:fill="auto"/>
          </w:tcPr>
          <w:p w14:paraId="7016B55E" w14:textId="77777777" w:rsidR="00A21364" w:rsidRPr="003925FE" w:rsidRDefault="00A21364">
            <w:pPr>
              <w:pStyle w:val="TableBody"/>
              <w:spacing w:before="45" w:after="45"/>
              <w:ind w:right="108"/>
              <w:jc w:val="right"/>
              <w:rPr>
                <w:rFonts w:cs="Open Sans"/>
                <w:color w:val="000000"/>
              </w:rPr>
            </w:pPr>
            <w:r w:rsidRPr="00BC00BC">
              <w:t>29</w:t>
            </w:r>
          </w:p>
        </w:tc>
      </w:tr>
      <w:tr w:rsidR="00A21364" w:rsidRPr="003925FE" w14:paraId="19195E16" w14:textId="77777777">
        <w:tc>
          <w:tcPr>
            <w:tcW w:w="4105" w:type="pct"/>
            <w:tcBorders>
              <w:bottom w:val="nil"/>
            </w:tcBorders>
            <w:shd w:val="clear" w:color="000000" w:fill="E6E6E6"/>
          </w:tcPr>
          <w:p w14:paraId="48FDF134" w14:textId="77777777" w:rsidR="00A21364" w:rsidRPr="003925FE" w:rsidRDefault="00A21364">
            <w:pPr>
              <w:pStyle w:val="TableBody"/>
              <w:spacing w:before="45" w:after="45"/>
              <w:ind w:right="108"/>
              <w:rPr>
                <w:rFonts w:cs="Open Sans"/>
                <w:b/>
                <w:color w:val="1D4374"/>
              </w:rPr>
            </w:pPr>
            <w:r w:rsidRPr="00BC00BC">
              <w:t>Canberra Region Joint Organisation</w:t>
            </w:r>
          </w:p>
        </w:tc>
        <w:tc>
          <w:tcPr>
            <w:tcW w:w="895" w:type="pct"/>
            <w:tcBorders>
              <w:bottom w:val="nil"/>
            </w:tcBorders>
            <w:shd w:val="clear" w:color="000000" w:fill="E6E6E6"/>
          </w:tcPr>
          <w:p w14:paraId="511B22F8" w14:textId="77777777" w:rsidR="00A21364" w:rsidRPr="003925FE" w:rsidRDefault="00A21364">
            <w:pPr>
              <w:pStyle w:val="TableBody"/>
              <w:spacing w:before="45" w:after="45"/>
              <w:ind w:right="108"/>
              <w:jc w:val="right"/>
              <w:rPr>
                <w:rFonts w:cs="Open Sans"/>
                <w:color w:val="000000"/>
              </w:rPr>
            </w:pPr>
            <w:r w:rsidRPr="00BC00BC">
              <w:t>42</w:t>
            </w:r>
          </w:p>
        </w:tc>
      </w:tr>
      <w:tr w:rsidR="00A21364" w:rsidRPr="003925FE" w14:paraId="4BA469C0" w14:textId="77777777">
        <w:tc>
          <w:tcPr>
            <w:tcW w:w="4105" w:type="pct"/>
            <w:tcBorders>
              <w:top w:val="nil"/>
              <w:bottom w:val="nil"/>
            </w:tcBorders>
            <w:shd w:val="clear" w:color="000000" w:fill="auto"/>
          </w:tcPr>
          <w:p w14:paraId="7D3B2B3C" w14:textId="77777777" w:rsidR="00A21364" w:rsidRPr="003925FE" w:rsidRDefault="00A21364">
            <w:pPr>
              <w:pStyle w:val="TableBody"/>
              <w:spacing w:before="45" w:after="45"/>
              <w:ind w:right="108"/>
              <w:rPr>
                <w:rFonts w:cs="Open Sans"/>
                <w:b/>
                <w:color w:val="1D4374"/>
              </w:rPr>
            </w:pPr>
            <w:r w:rsidRPr="00BC00BC">
              <w:t>Centre for Independent Studies (CIS)</w:t>
            </w:r>
          </w:p>
        </w:tc>
        <w:tc>
          <w:tcPr>
            <w:tcW w:w="895" w:type="pct"/>
            <w:tcBorders>
              <w:top w:val="nil"/>
              <w:bottom w:val="nil"/>
            </w:tcBorders>
            <w:shd w:val="clear" w:color="000000" w:fill="auto"/>
          </w:tcPr>
          <w:p w14:paraId="61F6944E" w14:textId="77777777" w:rsidR="00A21364" w:rsidRPr="003925FE" w:rsidRDefault="00A21364">
            <w:pPr>
              <w:pStyle w:val="TableBody"/>
              <w:spacing w:before="45" w:after="45"/>
              <w:ind w:right="108"/>
              <w:jc w:val="right"/>
              <w:rPr>
                <w:rFonts w:cs="Open Sans"/>
                <w:color w:val="000000"/>
              </w:rPr>
            </w:pPr>
            <w:r w:rsidRPr="00BC00BC">
              <w:t>63</w:t>
            </w:r>
          </w:p>
        </w:tc>
      </w:tr>
      <w:tr w:rsidR="00A21364" w:rsidRPr="003925FE" w14:paraId="7640352B" w14:textId="77777777">
        <w:tc>
          <w:tcPr>
            <w:tcW w:w="4105" w:type="pct"/>
            <w:tcBorders>
              <w:bottom w:val="nil"/>
            </w:tcBorders>
            <w:shd w:val="clear" w:color="000000" w:fill="E6E6E6"/>
          </w:tcPr>
          <w:p w14:paraId="7D79B66D" w14:textId="77777777" w:rsidR="00A21364" w:rsidRPr="003925FE" w:rsidRDefault="00A21364">
            <w:pPr>
              <w:pStyle w:val="TableBody"/>
              <w:spacing w:before="45" w:after="45"/>
              <w:ind w:right="108"/>
              <w:rPr>
                <w:rFonts w:cs="Open Sans"/>
                <w:b/>
                <w:color w:val="1D4374"/>
              </w:rPr>
            </w:pPr>
            <w:r w:rsidRPr="00BC00BC">
              <w:t>Chamber of Commerce and Industry WA (CCIWA)</w:t>
            </w:r>
          </w:p>
        </w:tc>
        <w:tc>
          <w:tcPr>
            <w:tcW w:w="895" w:type="pct"/>
            <w:tcBorders>
              <w:bottom w:val="nil"/>
            </w:tcBorders>
            <w:shd w:val="clear" w:color="000000" w:fill="E6E6E6"/>
          </w:tcPr>
          <w:p w14:paraId="41585EF8" w14:textId="77777777" w:rsidR="00A21364" w:rsidRPr="003925FE" w:rsidRDefault="00A21364">
            <w:pPr>
              <w:pStyle w:val="TableBody"/>
              <w:spacing w:before="45" w:after="45"/>
              <w:ind w:right="108"/>
              <w:jc w:val="right"/>
              <w:rPr>
                <w:rFonts w:cs="Open Sans"/>
                <w:color w:val="000000"/>
              </w:rPr>
            </w:pPr>
            <w:r w:rsidRPr="00BC00BC">
              <w:t>49</w:t>
            </w:r>
          </w:p>
        </w:tc>
      </w:tr>
      <w:tr w:rsidR="00A21364" w:rsidRPr="003925FE" w14:paraId="78E4C3AE" w14:textId="77777777">
        <w:tc>
          <w:tcPr>
            <w:tcW w:w="4105" w:type="pct"/>
            <w:tcBorders>
              <w:top w:val="nil"/>
              <w:bottom w:val="nil"/>
            </w:tcBorders>
            <w:shd w:val="clear" w:color="000000" w:fill="auto"/>
          </w:tcPr>
          <w:p w14:paraId="1844B41A" w14:textId="77777777" w:rsidR="00A21364" w:rsidRPr="003925FE" w:rsidRDefault="00A21364">
            <w:pPr>
              <w:pStyle w:val="TableBody"/>
              <w:spacing w:before="45" w:after="45"/>
              <w:ind w:right="108"/>
              <w:rPr>
                <w:rFonts w:cs="Open Sans"/>
                <w:b/>
                <w:color w:val="1D4374"/>
              </w:rPr>
            </w:pPr>
            <w:r w:rsidRPr="00BC00BC">
              <w:t>Chamber of Minerals and Energy of Western Australia (CME)</w:t>
            </w:r>
          </w:p>
        </w:tc>
        <w:tc>
          <w:tcPr>
            <w:tcW w:w="895" w:type="pct"/>
            <w:tcBorders>
              <w:top w:val="nil"/>
              <w:bottom w:val="nil"/>
            </w:tcBorders>
            <w:shd w:val="clear" w:color="000000" w:fill="auto"/>
          </w:tcPr>
          <w:p w14:paraId="1EBDF821" w14:textId="77777777" w:rsidR="00A21364" w:rsidRPr="003925FE" w:rsidRDefault="00A21364">
            <w:pPr>
              <w:pStyle w:val="TableBody"/>
              <w:spacing w:before="45" w:after="45"/>
              <w:ind w:right="108"/>
              <w:jc w:val="right"/>
              <w:rPr>
                <w:rFonts w:cs="Open Sans"/>
                <w:color w:val="000000"/>
              </w:rPr>
            </w:pPr>
            <w:r w:rsidRPr="00BC00BC">
              <w:t>50</w:t>
            </w:r>
          </w:p>
        </w:tc>
      </w:tr>
      <w:tr w:rsidR="00A21364" w:rsidRPr="00746A35" w14:paraId="357FC7B3" w14:textId="77777777">
        <w:tc>
          <w:tcPr>
            <w:tcW w:w="4105" w:type="pct"/>
            <w:tcBorders>
              <w:top w:val="nil"/>
              <w:left w:val="nil"/>
              <w:bottom w:val="nil"/>
              <w:right w:val="nil"/>
            </w:tcBorders>
            <w:shd w:val="clear" w:color="auto" w:fill="E6E6E6"/>
            <w:vAlign w:val="center"/>
          </w:tcPr>
          <w:p w14:paraId="7B33E52A" w14:textId="77777777" w:rsidR="00A21364" w:rsidRPr="00746A35" w:rsidRDefault="00A21364">
            <w:pPr>
              <w:pStyle w:val="TableBody"/>
              <w:spacing w:before="45" w:after="45"/>
              <w:ind w:right="108"/>
              <w:rPr>
                <w:rFonts w:cs="Open Sans"/>
                <w:b/>
                <w:color w:val="1D4374"/>
                <w:szCs w:val="18"/>
              </w:rPr>
            </w:pPr>
            <w:r w:rsidRPr="00746A35">
              <w:rPr>
                <w:rFonts w:cs="Open Sans"/>
                <w:color w:val="000000"/>
                <w:szCs w:val="18"/>
              </w:rPr>
              <w:t>Chris Murphy</w:t>
            </w:r>
          </w:p>
        </w:tc>
        <w:tc>
          <w:tcPr>
            <w:tcW w:w="895" w:type="pct"/>
            <w:tcBorders>
              <w:top w:val="nil"/>
              <w:left w:val="nil"/>
              <w:bottom w:val="nil"/>
              <w:right w:val="nil"/>
            </w:tcBorders>
            <w:shd w:val="clear" w:color="auto" w:fill="E6E6E6"/>
            <w:vAlign w:val="center"/>
          </w:tcPr>
          <w:p w14:paraId="10EB7F50" w14:textId="77777777" w:rsidR="00A21364" w:rsidRPr="00746A35" w:rsidRDefault="00A21364">
            <w:pPr>
              <w:pStyle w:val="TableBody"/>
              <w:spacing w:before="45" w:after="45"/>
              <w:ind w:right="108"/>
              <w:jc w:val="right"/>
              <w:rPr>
                <w:rFonts w:cs="Open Sans"/>
                <w:color w:val="000000"/>
                <w:szCs w:val="18"/>
              </w:rPr>
            </w:pPr>
            <w:r w:rsidRPr="00746A35">
              <w:rPr>
                <w:rFonts w:cs="Open Sans"/>
                <w:color w:val="000000"/>
                <w:szCs w:val="18"/>
              </w:rPr>
              <w:t>45</w:t>
            </w:r>
          </w:p>
        </w:tc>
      </w:tr>
      <w:tr w:rsidR="00A21364" w:rsidRPr="003925FE" w14:paraId="0894AD44" w14:textId="77777777">
        <w:tc>
          <w:tcPr>
            <w:tcW w:w="4105" w:type="pct"/>
            <w:tcBorders>
              <w:top w:val="nil"/>
              <w:bottom w:val="nil"/>
            </w:tcBorders>
            <w:shd w:val="clear" w:color="000000" w:fill="auto"/>
          </w:tcPr>
          <w:p w14:paraId="021CFB3E" w14:textId="77777777" w:rsidR="00A21364" w:rsidRPr="003925FE" w:rsidRDefault="00A21364">
            <w:pPr>
              <w:pStyle w:val="TableBody"/>
              <w:spacing w:before="45" w:after="45"/>
              <w:ind w:right="108"/>
              <w:rPr>
                <w:rFonts w:cs="Open Sans"/>
                <w:b/>
                <w:color w:val="1D4374"/>
              </w:rPr>
            </w:pPr>
            <w:r w:rsidRPr="00294C33">
              <w:t>Circular Head Council, Tasmania</w:t>
            </w:r>
          </w:p>
        </w:tc>
        <w:tc>
          <w:tcPr>
            <w:tcW w:w="895" w:type="pct"/>
            <w:tcBorders>
              <w:top w:val="nil"/>
              <w:bottom w:val="nil"/>
            </w:tcBorders>
            <w:shd w:val="clear" w:color="000000" w:fill="auto"/>
          </w:tcPr>
          <w:p w14:paraId="2CDF2B81" w14:textId="77777777" w:rsidR="00A21364" w:rsidRPr="003925FE" w:rsidRDefault="00A21364">
            <w:pPr>
              <w:pStyle w:val="TableBody"/>
              <w:spacing w:before="45" w:after="45"/>
              <w:ind w:right="108"/>
              <w:jc w:val="right"/>
              <w:rPr>
                <w:rFonts w:cs="Open Sans"/>
                <w:color w:val="000000"/>
              </w:rPr>
            </w:pPr>
            <w:r w:rsidRPr="00294C33">
              <w:t>7</w:t>
            </w:r>
          </w:p>
        </w:tc>
      </w:tr>
      <w:tr w:rsidR="00A21364" w:rsidRPr="003925FE" w14:paraId="678334C0" w14:textId="77777777">
        <w:tc>
          <w:tcPr>
            <w:tcW w:w="4105" w:type="pct"/>
            <w:tcBorders>
              <w:bottom w:val="nil"/>
            </w:tcBorders>
            <w:shd w:val="clear" w:color="000000" w:fill="E6E6E6"/>
          </w:tcPr>
          <w:p w14:paraId="4AC7B310" w14:textId="77777777" w:rsidR="00A21364" w:rsidRPr="003925FE" w:rsidRDefault="00A21364">
            <w:pPr>
              <w:pStyle w:val="TableBody"/>
              <w:spacing w:before="45" w:after="45"/>
              <w:ind w:right="108"/>
              <w:rPr>
                <w:rFonts w:cs="Open Sans"/>
                <w:b/>
                <w:color w:val="1D4374"/>
              </w:rPr>
            </w:pPr>
            <w:r w:rsidRPr="00294C33">
              <w:t>City of Launceston</w:t>
            </w:r>
          </w:p>
        </w:tc>
        <w:tc>
          <w:tcPr>
            <w:tcW w:w="895" w:type="pct"/>
            <w:tcBorders>
              <w:bottom w:val="nil"/>
            </w:tcBorders>
            <w:shd w:val="clear" w:color="000000" w:fill="E6E6E6"/>
          </w:tcPr>
          <w:p w14:paraId="6A2D50D7" w14:textId="77777777" w:rsidR="00A21364" w:rsidRPr="003925FE" w:rsidRDefault="00A21364">
            <w:pPr>
              <w:pStyle w:val="TableBody"/>
              <w:spacing w:before="45" w:after="45"/>
              <w:ind w:right="108"/>
              <w:jc w:val="right"/>
              <w:rPr>
                <w:rFonts w:cs="Open Sans"/>
                <w:color w:val="000000"/>
              </w:rPr>
            </w:pPr>
            <w:r w:rsidRPr="00294C33">
              <w:t>60</w:t>
            </w:r>
          </w:p>
        </w:tc>
      </w:tr>
      <w:tr w:rsidR="00A21364" w:rsidRPr="003925FE" w14:paraId="5C8A9838" w14:textId="77777777">
        <w:tc>
          <w:tcPr>
            <w:tcW w:w="4105" w:type="pct"/>
            <w:tcBorders>
              <w:top w:val="nil"/>
              <w:bottom w:val="nil"/>
            </w:tcBorders>
            <w:shd w:val="clear" w:color="000000" w:fill="auto"/>
          </w:tcPr>
          <w:p w14:paraId="2F8B9220" w14:textId="77777777" w:rsidR="00A21364" w:rsidRPr="003925FE" w:rsidRDefault="00A21364">
            <w:pPr>
              <w:pStyle w:val="TableBody"/>
              <w:spacing w:before="45" w:after="45"/>
              <w:ind w:right="108"/>
              <w:rPr>
                <w:rFonts w:cs="Open Sans"/>
                <w:b/>
                <w:color w:val="1D4374"/>
              </w:rPr>
            </w:pPr>
            <w:r w:rsidRPr="00294C33">
              <w:t>City of Melbourne</w:t>
            </w:r>
          </w:p>
        </w:tc>
        <w:tc>
          <w:tcPr>
            <w:tcW w:w="895" w:type="pct"/>
            <w:tcBorders>
              <w:top w:val="nil"/>
              <w:bottom w:val="nil"/>
            </w:tcBorders>
            <w:shd w:val="clear" w:color="000000" w:fill="auto"/>
          </w:tcPr>
          <w:p w14:paraId="1871B071" w14:textId="77777777" w:rsidR="00A21364" w:rsidRPr="003925FE" w:rsidRDefault="00A21364">
            <w:pPr>
              <w:pStyle w:val="TableBody"/>
              <w:spacing w:before="45" w:after="45"/>
              <w:ind w:right="108"/>
              <w:jc w:val="right"/>
              <w:rPr>
                <w:rFonts w:cs="Open Sans"/>
                <w:color w:val="000000"/>
              </w:rPr>
            </w:pPr>
            <w:r w:rsidRPr="00294C33">
              <w:t>47</w:t>
            </w:r>
          </w:p>
        </w:tc>
      </w:tr>
      <w:tr w:rsidR="00A21364" w:rsidRPr="003925FE" w14:paraId="7B485FA5" w14:textId="77777777">
        <w:tc>
          <w:tcPr>
            <w:tcW w:w="4105" w:type="pct"/>
            <w:tcBorders>
              <w:bottom w:val="nil"/>
            </w:tcBorders>
            <w:shd w:val="clear" w:color="000000" w:fill="E6E6E6"/>
          </w:tcPr>
          <w:p w14:paraId="4BFE8CE3" w14:textId="77777777" w:rsidR="00A21364" w:rsidRPr="003925FE" w:rsidRDefault="00A21364">
            <w:pPr>
              <w:pStyle w:val="TableBody"/>
              <w:spacing w:before="45" w:after="45"/>
              <w:ind w:right="108"/>
              <w:rPr>
                <w:rFonts w:cs="Open Sans"/>
                <w:b/>
                <w:color w:val="1D4374"/>
              </w:rPr>
            </w:pPr>
            <w:r w:rsidRPr="00294C33">
              <w:lastRenderedPageBreak/>
              <w:t>Clive Brooks</w:t>
            </w:r>
          </w:p>
        </w:tc>
        <w:tc>
          <w:tcPr>
            <w:tcW w:w="895" w:type="pct"/>
            <w:tcBorders>
              <w:bottom w:val="nil"/>
            </w:tcBorders>
            <w:shd w:val="clear" w:color="000000" w:fill="E6E6E6"/>
          </w:tcPr>
          <w:p w14:paraId="7F6FB38F" w14:textId="77777777" w:rsidR="00A21364" w:rsidRPr="003925FE" w:rsidRDefault="00A21364">
            <w:pPr>
              <w:pStyle w:val="TableBody"/>
              <w:spacing w:before="45" w:after="45"/>
              <w:ind w:right="108"/>
              <w:jc w:val="right"/>
              <w:rPr>
                <w:rFonts w:cs="Open Sans"/>
                <w:color w:val="000000"/>
              </w:rPr>
            </w:pPr>
            <w:r w:rsidRPr="00294C33">
              <w:t>6</w:t>
            </w:r>
          </w:p>
        </w:tc>
      </w:tr>
      <w:tr w:rsidR="00A21364" w:rsidRPr="003925FE" w14:paraId="0AB7F30B" w14:textId="77777777">
        <w:tc>
          <w:tcPr>
            <w:tcW w:w="4105" w:type="pct"/>
            <w:tcBorders>
              <w:top w:val="nil"/>
              <w:bottom w:val="nil"/>
            </w:tcBorders>
            <w:shd w:val="clear" w:color="000000" w:fill="auto"/>
          </w:tcPr>
          <w:p w14:paraId="228A2FF5" w14:textId="77777777" w:rsidR="00A21364" w:rsidRPr="003925FE" w:rsidRDefault="00A21364">
            <w:pPr>
              <w:pStyle w:val="TableBody"/>
              <w:spacing w:before="45" w:after="45"/>
              <w:ind w:right="108"/>
              <w:rPr>
                <w:rFonts w:cs="Open Sans"/>
                <w:b/>
                <w:color w:val="1D4374"/>
              </w:rPr>
            </w:pPr>
            <w:r w:rsidRPr="00294C33">
              <w:t>Commonwealth Grants Commission (CGC)</w:t>
            </w:r>
          </w:p>
        </w:tc>
        <w:tc>
          <w:tcPr>
            <w:tcW w:w="895" w:type="pct"/>
            <w:tcBorders>
              <w:top w:val="nil"/>
              <w:bottom w:val="nil"/>
            </w:tcBorders>
            <w:shd w:val="clear" w:color="000000" w:fill="auto"/>
          </w:tcPr>
          <w:p w14:paraId="2A5E9CF4" w14:textId="77777777" w:rsidR="00A21364" w:rsidRPr="003925FE" w:rsidRDefault="00A21364">
            <w:pPr>
              <w:pStyle w:val="TableBody"/>
              <w:spacing w:before="45" w:after="45"/>
              <w:ind w:right="108"/>
              <w:jc w:val="right"/>
              <w:rPr>
                <w:rFonts w:cs="Open Sans"/>
                <w:color w:val="000000"/>
              </w:rPr>
            </w:pPr>
            <w:r w:rsidRPr="00294C33">
              <w:t>34</w:t>
            </w:r>
          </w:p>
        </w:tc>
      </w:tr>
      <w:tr w:rsidR="00A21364" w:rsidRPr="003925FE" w14:paraId="10B69419" w14:textId="77777777">
        <w:tc>
          <w:tcPr>
            <w:tcW w:w="4105" w:type="pct"/>
            <w:tcBorders>
              <w:bottom w:val="nil"/>
            </w:tcBorders>
            <w:shd w:val="clear" w:color="000000" w:fill="E6E6E6"/>
          </w:tcPr>
          <w:p w14:paraId="4DF39B87" w14:textId="77777777" w:rsidR="00A21364" w:rsidRPr="003925FE" w:rsidRDefault="00A21364">
            <w:pPr>
              <w:pStyle w:val="TableBody"/>
              <w:spacing w:before="45" w:after="45"/>
              <w:ind w:right="108"/>
              <w:rPr>
                <w:rFonts w:cs="Open Sans"/>
                <w:b/>
                <w:color w:val="1D4374"/>
              </w:rPr>
            </w:pPr>
            <w:r w:rsidRPr="00294C33">
              <w:t>Councils of Social Service (COSS)</w:t>
            </w:r>
          </w:p>
        </w:tc>
        <w:tc>
          <w:tcPr>
            <w:tcW w:w="895" w:type="pct"/>
            <w:tcBorders>
              <w:bottom w:val="nil"/>
            </w:tcBorders>
            <w:shd w:val="clear" w:color="000000" w:fill="E6E6E6"/>
          </w:tcPr>
          <w:p w14:paraId="15A25C2B" w14:textId="77777777" w:rsidR="00A21364" w:rsidRPr="003925FE" w:rsidRDefault="00A21364">
            <w:pPr>
              <w:pStyle w:val="TableBody"/>
              <w:spacing w:before="45" w:after="45"/>
              <w:ind w:right="108"/>
              <w:jc w:val="right"/>
              <w:rPr>
                <w:rFonts w:cs="Open Sans"/>
                <w:color w:val="000000"/>
              </w:rPr>
            </w:pPr>
            <w:r w:rsidRPr="00294C33">
              <w:t>28</w:t>
            </w:r>
          </w:p>
        </w:tc>
      </w:tr>
      <w:tr w:rsidR="00A21364" w:rsidRPr="003925FE" w14:paraId="12A12134" w14:textId="77777777">
        <w:tc>
          <w:tcPr>
            <w:tcW w:w="4105" w:type="pct"/>
            <w:tcBorders>
              <w:top w:val="nil"/>
              <w:bottom w:val="nil"/>
            </w:tcBorders>
            <w:shd w:val="clear" w:color="000000" w:fill="auto"/>
          </w:tcPr>
          <w:p w14:paraId="475C3895" w14:textId="77777777" w:rsidR="00A21364" w:rsidRPr="003925FE" w:rsidRDefault="00A21364">
            <w:pPr>
              <w:pStyle w:val="TableBody"/>
              <w:spacing w:before="45" w:after="45"/>
              <w:ind w:right="108"/>
              <w:rPr>
                <w:rFonts w:cs="Open Sans"/>
                <w:b/>
                <w:color w:val="1D4374"/>
              </w:rPr>
            </w:pPr>
            <w:r w:rsidRPr="00294C33">
              <w:t>Country Mayors Association of NSW (CMA)</w:t>
            </w:r>
          </w:p>
        </w:tc>
        <w:tc>
          <w:tcPr>
            <w:tcW w:w="895" w:type="pct"/>
            <w:tcBorders>
              <w:top w:val="nil"/>
              <w:bottom w:val="nil"/>
            </w:tcBorders>
            <w:shd w:val="clear" w:color="000000" w:fill="auto"/>
          </w:tcPr>
          <w:p w14:paraId="37F37A21" w14:textId="77777777" w:rsidR="00A21364" w:rsidRPr="003925FE" w:rsidRDefault="00A21364">
            <w:pPr>
              <w:pStyle w:val="TableBody"/>
              <w:spacing w:before="45" w:after="45"/>
              <w:ind w:right="108"/>
              <w:jc w:val="right"/>
              <w:rPr>
                <w:rFonts w:cs="Open Sans"/>
                <w:color w:val="000000"/>
              </w:rPr>
            </w:pPr>
            <w:r w:rsidRPr="00294C33">
              <w:t>58</w:t>
            </w:r>
          </w:p>
        </w:tc>
      </w:tr>
      <w:tr w:rsidR="00A21364" w:rsidRPr="003925FE" w14:paraId="2CC689DE" w14:textId="77777777">
        <w:tc>
          <w:tcPr>
            <w:tcW w:w="4105" w:type="pct"/>
            <w:tcBorders>
              <w:bottom w:val="nil"/>
            </w:tcBorders>
            <w:shd w:val="clear" w:color="000000" w:fill="E6E6E6"/>
          </w:tcPr>
          <w:p w14:paraId="4A8379DE" w14:textId="77777777" w:rsidR="00A21364" w:rsidRPr="003925FE" w:rsidRDefault="00A21364">
            <w:pPr>
              <w:pStyle w:val="TableBody"/>
              <w:spacing w:before="45" w:after="45"/>
              <w:ind w:right="108"/>
              <w:rPr>
                <w:rFonts w:cs="Open Sans"/>
                <w:b/>
                <w:color w:val="1D4374"/>
              </w:rPr>
            </w:pPr>
            <w:r w:rsidRPr="00294C33">
              <w:t>Dean Winter MP</w:t>
            </w:r>
          </w:p>
        </w:tc>
        <w:tc>
          <w:tcPr>
            <w:tcW w:w="895" w:type="pct"/>
            <w:tcBorders>
              <w:bottom w:val="nil"/>
            </w:tcBorders>
            <w:shd w:val="clear" w:color="000000" w:fill="E6E6E6"/>
          </w:tcPr>
          <w:p w14:paraId="30E71968" w14:textId="77777777" w:rsidR="00A21364" w:rsidRPr="003925FE" w:rsidRDefault="00A21364">
            <w:pPr>
              <w:pStyle w:val="TableBody"/>
              <w:spacing w:before="45" w:after="45"/>
              <w:ind w:right="108"/>
              <w:jc w:val="right"/>
              <w:rPr>
                <w:rFonts w:cs="Open Sans"/>
                <w:color w:val="000000"/>
              </w:rPr>
            </w:pPr>
            <w:r w:rsidRPr="00294C33">
              <w:t>14</w:t>
            </w:r>
          </w:p>
        </w:tc>
      </w:tr>
      <w:tr w:rsidR="00A21364" w:rsidRPr="003925FE" w14:paraId="7794F8E5" w14:textId="77777777">
        <w:tc>
          <w:tcPr>
            <w:tcW w:w="4105" w:type="pct"/>
            <w:tcBorders>
              <w:top w:val="nil"/>
              <w:bottom w:val="nil"/>
            </w:tcBorders>
            <w:shd w:val="clear" w:color="000000" w:fill="auto"/>
          </w:tcPr>
          <w:p w14:paraId="57A3D061" w14:textId="77777777" w:rsidR="00A21364" w:rsidRPr="003925FE" w:rsidRDefault="00A21364">
            <w:pPr>
              <w:pStyle w:val="TableBody"/>
              <w:spacing w:before="45" w:after="45"/>
              <w:ind w:right="108"/>
              <w:rPr>
                <w:rFonts w:cs="Open Sans"/>
                <w:b/>
                <w:color w:val="1D4374"/>
              </w:rPr>
            </w:pPr>
            <w:r w:rsidRPr="00294C33">
              <w:t>Faith Housing Australia (FHA)</w:t>
            </w:r>
          </w:p>
        </w:tc>
        <w:tc>
          <w:tcPr>
            <w:tcW w:w="895" w:type="pct"/>
            <w:tcBorders>
              <w:top w:val="nil"/>
              <w:bottom w:val="nil"/>
            </w:tcBorders>
            <w:shd w:val="clear" w:color="000000" w:fill="auto"/>
          </w:tcPr>
          <w:p w14:paraId="427E050F" w14:textId="77777777" w:rsidR="00A21364" w:rsidRPr="003925FE" w:rsidRDefault="00A21364">
            <w:pPr>
              <w:pStyle w:val="TableBody"/>
              <w:spacing w:before="45" w:after="45"/>
              <w:ind w:right="108"/>
              <w:jc w:val="right"/>
              <w:rPr>
                <w:rFonts w:cs="Open Sans"/>
                <w:color w:val="000000"/>
              </w:rPr>
            </w:pPr>
            <w:r w:rsidRPr="00294C33">
              <w:t>41</w:t>
            </w:r>
          </w:p>
        </w:tc>
      </w:tr>
      <w:tr w:rsidR="00A21364" w:rsidRPr="003925FE" w14:paraId="19419675" w14:textId="77777777">
        <w:tc>
          <w:tcPr>
            <w:tcW w:w="4105" w:type="pct"/>
            <w:tcBorders>
              <w:bottom w:val="nil"/>
            </w:tcBorders>
            <w:shd w:val="clear" w:color="000000" w:fill="E6E6E6"/>
          </w:tcPr>
          <w:p w14:paraId="291D7156" w14:textId="77777777" w:rsidR="00A21364" w:rsidRPr="003925FE" w:rsidRDefault="00A21364">
            <w:pPr>
              <w:pStyle w:val="TableBody"/>
              <w:spacing w:before="45" w:after="45"/>
              <w:ind w:right="108"/>
              <w:rPr>
                <w:rFonts w:cs="Open Sans"/>
                <w:b/>
                <w:color w:val="1D4374"/>
              </w:rPr>
            </w:pPr>
            <w:r w:rsidRPr="00294C33">
              <w:t>Glenorchy City Council</w:t>
            </w:r>
          </w:p>
        </w:tc>
        <w:tc>
          <w:tcPr>
            <w:tcW w:w="895" w:type="pct"/>
            <w:tcBorders>
              <w:bottom w:val="nil"/>
            </w:tcBorders>
            <w:shd w:val="clear" w:color="000000" w:fill="E6E6E6"/>
          </w:tcPr>
          <w:p w14:paraId="6991CBBA" w14:textId="77777777" w:rsidR="00A21364" w:rsidRPr="003925FE" w:rsidRDefault="00A21364">
            <w:pPr>
              <w:pStyle w:val="TableBody"/>
              <w:spacing w:before="45" w:after="45"/>
              <w:ind w:right="108"/>
              <w:jc w:val="right"/>
              <w:rPr>
                <w:rFonts w:cs="Open Sans"/>
                <w:color w:val="000000"/>
              </w:rPr>
            </w:pPr>
            <w:r w:rsidRPr="00294C33">
              <w:t>53</w:t>
            </w:r>
          </w:p>
        </w:tc>
      </w:tr>
      <w:tr w:rsidR="00A21364" w:rsidRPr="003925FE" w14:paraId="4F9B3EF6" w14:textId="77777777">
        <w:tc>
          <w:tcPr>
            <w:tcW w:w="4105" w:type="pct"/>
            <w:tcBorders>
              <w:top w:val="nil"/>
              <w:bottom w:val="nil"/>
            </w:tcBorders>
            <w:shd w:val="clear" w:color="000000" w:fill="auto"/>
          </w:tcPr>
          <w:p w14:paraId="0435D1F6" w14:textId="77777777" w:rsidR="00A21364" w:rsidRPr="003925FE" w:rsidRDefault="00A21364">
            <w:pPr>
              <w:pStyle w:val="TableBody"/>
              <w:spacing w:before="45" w:after="45"/>
              <w:ind w:right="108"/>
              <w:rPr>
                <w:rFonts w:cs="Open Sans"/>
                <w:b/>
                <w:color w:val="1D4374"/>
              </w:rPr>
            </w:pPr>
            <w:r w:rsidRPr="00294C33">
              <w:t>Government of South Australia</w:t>
            </w:r>
          </w:p>
        </w:tc>
        <w:tc>
          <w:tcPr>
            <w:tcW w:w="895" w:type="pct"/>
            <w:tcBorders>
              <w:top w:val="nil"/>
              <w:bottom w:val="nil"/>
            </w:tcBorders>
            <w:shd w:val="clear" w:color="000000" w:fill="auto"/>
          </w:tcPr>
          <w:p w14:paraId="1FC47A79" w14:textId="77777777" w:rsidR="00A21364" w:rsidRPr="003925FE" w:rsidRDefault="00A21364">
            <w:pPr>
              <w:pStyle w:val="TableBody"/>
              <w:spacing w:before="45" w:after="45"/>
              <w:ind w:right="108"/>
              <w:jc w:val="right"/>
              <w:rPr>
                <w:rFonts w:cs="Open Sans"/>
                <w:color w:val="000000"/>
              </w:rPr>
            </w:pPr>
            <w:r w:rsidRPr="00294C33">
              <w:t>13</w:t>
            </w:r>
          </w:p>
        </w:tc>
      </w:tr>
      <w:tr w:rsidR="00A21364" w:rsidRPr="003925FE" w14:paraId="5B1B186F" w14:textId="77777777">
        <w:tc>
          <w:tcPr>
            <w:tcW w:w="4105" w:type="pct"/>
            <w:tcBorders>
              <w:bottom w:val="nil"/>
            </w:tcBorders>
            <w:shd w:val="clear" w:color="000000" w:fill="E6E6E6"/>
          </w:tcPr>
          <w:p w14:paraId="11CB3664" w14:textId="77777777" w:rsidR="00A21364" w:rsidRPr="003925FE" w:rsidRDefault="00A21364">
            <w:pPr>
              <w:pStyle w:val="TableBody"/>
              <w:spacing w:before="45" w:after="45"/>
              <w:ind w:right="108"/>
              <w:rPr>
                <w:rFonts w:cs="Open Sans"/>
                <w:b/>
                <w:color w:val="1D4374"/>
              </w:rPr>
            </w:pPr>
            <w:r w:rsidRPr="00294C33">
              <w:t>Government of Western Australia</w:t>
            </w:r>
          </w:p>
        </w:tc>
        <w:tc>
          <w:tcPr>
            <w:tcW w:w="895" w:type="pct"/>
            <w:tcBorders>
              <w:bottom w:val="nil"/>
            </w:tcBorders>
            <w:shd w:val="clear" w:color="000000" w:fill="E6E6E6"/>
          </w:tcPr>
          <w:p w14:paraId="3BF257B2" w14:textId="77777777" w:rsidR="00A21364" w:rsidRPr="003925FE" w:rsidRDefault="00A21364">
            <w:pPr>
              <w:pStyle w:val="TableBody"/>
              <w:spacing w:before="45" w:after="45"/>
              <w:ind w:right="108"/>
              <w:jc w:val="right"/>
              <w:rPr>
                <w:rFonts w:cs="Open Sans"/>
                <w:color w:val="000000"/>
              </w:rPr>
            </w:pPr>
            <w:r w:rsidRPr="00294C33">
              <w:t>37</w:t>
            </w:r>
          </w:p>
        </w:tc>
      </w:tr>
      <w:tr w:rsidR="00A21364" w:rsidRPr="003925FE" w14:paraId="6A22C295" w14:textId="77777777">
        <w:tc>
          <w:tcPr>
            <w:tcW w:w="4105" w:type="pct"/>
            <w:tcBorders>
              <w:top w:val="nil"/>
              <w:bottom w:val="nil"/>
            </w:tcBorders>
            <w:shd w:val="clear" w:color="000000" w:fill="auto"/>
          </w:tcPr>
          <w:p w14:paraId="3985532F" w14:textId="77777777" w:rsidR="00A21364" w:rsidRPr="003925FE" w:rsidRDefault="00A21364">
            <w:pPr>
              <w:pStyle w:val="TableBody"/>
              <w:spacing w:before="45" w:after="45"/>
              <w:ind w:right="108"/>
              <w:rPr>
                <w:rFonts w:cs="Open Sans"/>
                <w:b/>
                <w:color w:val="1D4374"/>
              </w:rPr>
            </w:pPr>
            <w:r w:rsidRPr="00294C33">
              <w:t xml:space="preserve">Government of Western Australia – WA </w:t>
            </w:r>
            <w:r>
              <w:t>p</w:t>
            </w:r>
            <w:r w:rsidRPr="00294C33">
              <w:t xml:space="preserve">eople's </w:t>
            </w:r>
            <w:r>
              <w:t>s</w:t>
            </w:r>
            <w:r w:rsidRPr="00294C33">
              <w:t>ubmission</w:t>
            </w:r>
          </w:p>
        </w:tc>
        <w:tc>
          <w:tcPr>
            <w:tcW w:w="895" w:type="pct"/>
            <w:tcBorders>
              <w:top w:val="nil"/>
              <w:bottom w:val="nil"/>
            </w:tcBorders>
            <w:shd w:val="clear" w:color="000000" w:fill="auto"/>
          </w:tcPr>
          <w:p w14:paraId="4AD50B63" w14:textId="77777777" w:rsidR="00A21364" w:rsidRPr="003925FE" w:rsidRDefault="00A21364">
            <w:pPr>
              <w:pStyle w:val="TableBody"/>
              <w:spacing w:before="45" w:after="45"/>
              <w:ind w:right="108"/>
              <w:jc w:val="right"/>
              <w:rPr>
                <w:rFonts w:cs="Open Sans"/>
                <w:color w:val="000000"/>
              </w:rPr>
            </w:pPr>
            <w:r w:rsidRPr="00294C33">
              <w:t>33</w:t>
            </w:r>
          </w:p>
        </w:tc>
      </w:tr>
      <w:tr w:rsidR="00A21364" w:rsidRPr="003925FE" w14:paraId="23E84B28" w14:textId="77777777">
        <w:tc>
          <w:tcPr>
            <w:tcW w:w="4105" w:type="pct"/>
            <w:tcBorders>
              <w:bottom w:val="nil"/>
            </w:tcBorders>
            <w:shd w:val="clear" w:color="000000" w:fill="E6E6E6"/>
          </w:tcPr>
          <w:p w14:paraId="528FC45D" w14:textId="77777777" w:rsidR="00A21364" w:rsidRPr="003925FE" w:rsidRDefault="00A21364">
            <w:pPr>
              <w:pStyle w:val="TableBody"/>
              <w:spacing w:before="45" w:after="45"/>
              <w:ind w:right="108"/>
              <w:rPr>
                <w:rFonts w:cs="Open Sans"/>
                <w:b/>
                <w:color w:val="1D4374"/>
              </w:rPr>
            </w:pPr>
            <w:r w:rsidRPr="00294C33">
              <w:t>Greater Hobart Strategic Partnership (GHSP)</w:t>
            </w:r>
          </w:p>
        </w:tc>
        <w:tc>
          <w:tcPr>
            <w:tcW w:w="895" w:type="pct"/>
            <w:tcBorders>
              <w:bottom w:val="nil"/>
            </w:tcBorders>
            <w:shd w:val="clear" w:color="000000" w:fill="E6E6E6"/>
          </w:tcPr>
          <w:p w14:paraId="706D15C0" w14:textId="77777777" w:rsidR="00A21364" w:rsidRPr="003925FE" w:rsidRDefault="00A21364">
            <w:pPr>
              <w:pStyle w:val="TableBody"/>
              <w:spacing w:before="45" w:after="45"/>
              <w:ind w:right="108"/>
              <w:jc w:val="right"/>
              <w:rPr>
                <w:rFonts w:cs="Open Sans"/>
                <w:color w:val="000000"/>
              </w:rPr>
            </w:pPr>
            <w:r w:rsidRPr="00294C33">
              <w:t>55</w:t>
            </w:r>
          </w:p>
        </w:tc>
      </w:tr>
      <w:tr w:rsidR="00A21364" w:rsidRPr="003925FE" w14:paraId="1DA9A324" w14:textId="77777777">
        <w:tc>
          <w:tcPr>
            <w:tcW w:w="4105" w:type="pct"/>
            <w:tcBorders>
              <w:top w:val="nil"/>
              <w:bottom w:val="nil"/>
            </w:tcBorders>
            <w:shd w:val="clear" w:color="000000" w:fill="auto"/>
          </w:tcPr>
          <w:p w14:paraId="2198004B" w14:textId="77777777" w:rsidR="00A21364" w:rsidRPr="003925FE" w:rsidRDefault="00A21364">
            <w:pPr>
              <w:pStyle w:val="TableBody"/>
              <w:spacing w:before="45" w:after="45"/>
              <w:ind w:right="108"/>
              <w:rPr>
                <w:rFonts w:cs="Open Sans"/>
                <w:b/>
                <w:color w:val="1D4374"/>
              </w:rPr>
            </w:pPr>
            <w:r w:rsidRPr="00294C33">
              <w:t>Howard Ong</w:t>
            </w:r>
          </w:p>
        </w:tc>
        <w:tc>
          <w:tcPr>
            <w:tcW w:w="895" w:type="pct"/>
            <w:tcBorders>
              <w:top w:val="nil"/>
              <w:bottom w:val="nil"/>
            </w:tcBorders>
            <w:shd w:val="clear" w:color="000000" w:fill="auto"/>
          </w:tcPr>
          <w:p w14:paraId="5F501104" w14:textId="77777777" w:rsidR="00A21364" w:rsidRPr="003925FE" w:rsidRDefault="00A21364">
            <w:pPr>
              <w:pStyle w:val="TableBody"/>
              <w:spacing w:before="45" w:after="45"/>
              <w:ind w:right="108"/>
              <w:jc w:val="right"/>
              <w:rPr>
                <w:rFonts w:cs="Open Sans"/>
                <w:color w:val="000000"/>
              </w:rPr>
            </w:pPr>
            <w:r w:rsidRPr="00294C33">
              <w:t>21</w:t>
            </w:r>
          </w:p>
        </w:tc>
      </w:tr>
      <w:tr w:rsidR="00A21364" w:rsidRPr="003925FE" w14:paraId="0EDCDCC6" w14:textId="77777777">
        <w:tc>
          <w:tcPr>
            <w:tcW w:w="4105" w:type="pct"/>
            <w:tcBorders>
              <w:bottom w:val="nil"/>
            </w:tcBorders>
            <w:shd w:val="clear" w:color="000000" w:fill="E6E6E6"/>
          </w:tcPr>
          <w:p w14:paraId="0FE46A02" w14:textId="77777777" w:rsidR="00A21364" w:rsidRPr="003925FE" w:rsidRDefault="00A21364">
            <w:pPr>
              <w:pStyle w:val="TableBody"/>
              <w:spacing w:before="45" w:after="45"/>
              <w:ind w:right="108"/>
              <w:rPr>
                <w:rFonts w:cs="Open Sans"/>
                <w:b/>
                <w:color w:val="1D4374"/>
              </w:rPr>
            </w:pPr>
            <w:r w:rsidRPr="00294C33">
              <w:t>Huon Valley Council</w:t>
            </w:r>
          </w:p>
        </w:tc>
        <w:tc>
          <w:tcPr>
            <w:tcW w:w="895" w:type="pct"/>
            <w:tcBorders>
              <w:bottom w:val="nil"/>
            </w:tcBorders>
            <w:shd w:val="clear" w:color="000000" w:fill="E6E6E6"/>
          </w:tcPr>
          <w:p w14:paraId="48C37E9B" w14:textId="77777777" w:rsidR="00A21364" w:rsidRPr="003925FE" w:rsidRDefault="00A21364">
            <w:pPr>
              <w:pStyle w:val="TableBody"/>
              <w:spacing w:before="45" w:after="45"/>
              <w:ind w:right="108"/>
              <w:jc w:val="right"/>
              <w:rPr>
                <w:rFonts w:cs="Open Sans"/>
                <w:color w:val="000000"/>
              </w:rPr>
            </w:pPr>
            <w:r w:rsidRPr="00294C33">
              <w:t>19</w:t>
            </w:r>
          </w:p>
        </w:tc>
      </w:tr>
      <w:tr w:rsidR="00A21364" w:rsidRPr="003925FE" w14:paraId="33AC2571" w14:textId="77777777">
        <w:tc>
          <w:tcPr>
            <w:tcW w:w="4105" w:type="pct"/>
            <w:tcBorders>
              <w:top w:val="nil"/>
              <w:bottom w:val="nil"/>
            </w:tcBorders>
            <w:shd w:val="clear" w:color="000000" w:fill="auto"/>
          </w:tcPr>
          <w:p w14:paraId="4A0E50F3" w14:textId="77777777" w:rsidR="00A21364" w:rsidRPr="003925FE" w:rsidRDefault="00A21364">
            <w:pPr>
              <w:pStyle w:val="TableBody"/>
              <w:spacing w:before="45" w:after="45"/>
              <w:ind w:right="108"/>
              <w:rPr>
                <w:rFonts w:cs="Open Sans"/>
                <w:b/>
                <w:color w:val="1D4374"/>
              </w:rPr>
            </w:pPr>
            <w:r w:rsidRPr="00294C33">
              <w:t>Institute of Public Affairs (IPA)</w:t>
            </w:r>
          </w:p>
        </w:tc>
        <w:tc>
          <w:tcPr>
            <w:tcW w:w="895" w:type="pct"/>
            <w:tcBorders>
              <w:top w:val="nil"/>
              <w:bottom w:val="nil"/>
            </w:tcBorders>
            <w:shd w:val="clear" w:color="000000" w:fill="auto"/>
          </w:tcPr>
          <w:p w14:paraId="22445CE3" w14:textId="77777777" w:rsidR="00A21364" w:rsidRPr="003925FE" w:rsidRDefault="00A21364">
            <w:pPr>
              <w:pStyle w:val="TableBody"/>
              <w:spacing w:before="45" w:after="45"/>
              <w:ind w:right="108"/>
              <w:jc w:val="right"/>
              <w:rPr>
                <w:rFonts w:cs="Open Sans"/>
                <w:color w:val="000000"/>
              </w:rPr>
            </w:pPr>
            <w:r w:rsidRPr="00294C33">
              <w:t>35</w:t>
            </w:r>
          </w:p>
        </w:tc>
      </w:tr>
      <w:tr w:rsidR="00A21364" w:rsidRPr="003925FE" w14:paraId="02377B71" w14:textId="77777777">
        <w:tc>
          <w:tcPr>
            <w:tcW w:w="4105" w:type="pct"/>
            <w:tcBorders>
              <w:bottom w:val="nil"/>
            </w:tcBorders>
            <w:shd w:val="clear" w:color="000000" w:fill="E6E6E6"/>
          </w:tcPr>
          <w:p w14:paraId="6E2523A2" w14:textId="77777777" w:rsidR="00A21364" w:rsidRPr="003925FE" w:rsidRDefault="00A21364">
            <w:pPr>
              <w:pStyle w:val="TableBody"/>
              <w:spacing w:before="45" w:after="45"/>
              <w:ind w:right="108"/>
              <w:rPr>
                <w:rFonts w:cs="Open Sans"/>
                <w:b/>
                <w:color w:val="1D4374"/>
              </w:rPr>
            </w:pPr>
            <w:r w:rsidRPr="00294C33">
              <w:t>John Purcell</w:t>
            </w:r>
          </w:p>
        </w:tc>
        <w:tc>
          <w:tcPr>
            <w:tcW w:w="895" w:type="pct"/>
            <w:tcBorders>
              <w:bottom w:val="nil"/>
            </w:tcBorders>
            <w:shd w:val="clear" w:color="000000" w:fill="E6E6E6"/>
          </w:tcPr>
          <w:p w14:paraId="21D4F7E9" w14:textId="77777777" w:rsidR="00A21364" w:rsidRPr="003925FE" w:rsidRDefault="00A21364">
            <w:pPr>
              <w:pStyle w:val="TableBody"/>
              <w:spacing w:before="45" w:after="45"/>
              <w:ind w:right="108"/>
              <w:jc w:val="right"/>
              <w:rPr>
                <w:rFonts w:cs="Open Sans"/>
                <w:color w:val="000000"/>
              </w:rPr>
            </w:pPr>
            <w:r w:rsidRPr="00294C33">
              <w:t>44</w:t>
            </w:r>
          </w:p>
        </w:tc>
      </w:tr>
      <w:tr w:rsidR="00A21364" w:rsidRPr="003925FE" w14:paraId="6DF6C513" w14:textId="77777777">
        <w:tc>
          <w:tcPr>
            <w:tcW w:w="4105" w:type="pct"/>
            <w:tcBorders>
              <w:top w:val="nil"/>
              <w:bottom w:val="nil"/>
            </w:tcBorders>
            <w:shd w:val="clear" w:color="000000" w:fill="auto"/>
          </w:tcPr>
          <w:p w14:paraId="258750B4" w14:textId="77777777" w:rsidR="00A21364" w:rsidRPr="003925FE" w:rsidRDefault="00A21364">
            <w:pPr>
              <w:pStyle w:val="TableBody"/>
              <w:spacing w:before="45" w:after="45"/>
              <w:ind w:right="108"/>
              <w:rPr>
                <w:rFonts w:cs="Open Sans"/>
                <w:b/>
                <w:color w:val="1D4374"/>
              </w:rPr>
            </w:pPr>
            <w:r w:rsidRPr="00294C33">
              <w:t>John Tremayne</w:t>
            </w:r>
          </w:p>
        </w:tc>
        <w:tc>
          <w:tcPr>
            <w:tcW w:w="895" w:type="pct"/>
            <w:tcBorders>
              <w:top w:val="nil"/>
              <w:bottom w:val="nil"/>
            </w:tcBorders>
            <w:shd w:val="clear" w:color="000000" w:fill="auto"/>
          </w:tcPr>
          <w:p w14:paraId="532FDB24" w14:textId="77777777" w:rsidR="00A21364" w:rsidRPr="003925FE" w:rsidRDefault="00A21364">
            <w:pPr>
              <w:pStyle w:val="TableBody"/>
              <w:spacing w:before="45" w:after="45"/>
              <w:ind w:right="108"/>
              <w:jc w:val="right"/>
              <w:rPr>
                <w:rFonts w:cs="Open Sans"/>
                <w:color w:val="000000"/>
              </w:rPr>
            </w:pPr>
            <w:r w:rsidRPr="00294C33">
              <w:t>5</w:t>
            </w:r>
          </w:p>
        </w:tc>
      </w:tr>
      <w:tr w:rsidR="00A21364" w:rsidRPr="003925FE" w14:paraId="0462E144" w14:textId="77777777">
        <w:tc>
          <w:tcPr>
            <w:tcW w:w="4105" w:type="pct"/>
            <w:tcBorders>
              <w:bottom w:val="nil"/>
            </w:tcBorders>
            <w:shd w:val="clear" w:color="000000" w:fill="E6E6E6"/>
          </w:tcPr>
          <w:p w14:paraId="2EF3514E" w14:textId="77777777" w:rsidR="00A21364" w:rsidRPr="003925FE" w:rsidRDefault="00A21364">
            <w:pPr>
              <w:pStyle w:val="TableBody"/>
              <w:spacing w:before="45" w:after="45"/>
              <w:ind w:right="108"/>
              <w:rPr>
                <w:rFonts w:cs="Open Sans"/>
                <w:b/>
                <w:color w:val="1D4374"/>
              </w:rPr>
            </w:pPr>
            <w:r w:rsidRPr="00294C33">
              <w:t>Kate Chaney MP</w:t>
            </w:r>
          </w:p>
        </w:tc>
        <w:tc>
          <w:tcPr>
            <w:tcW w:w="895" w:type="pct"/>
            <w:tcBorders>
              <w:bottom w:val="nil"/>
            </w:tcBorders>
            <w:shd w:val="clear" w:color="000000" w:fill="E6E6E6"/>
          </w:tcPr>
          <w:p w14:paraId="4782EA4A" w14:textId="77777777" w:rsidR="00A21364" w:rsidRPr="003925FE" w:rsidRDefault="00A21364">
            <w:pPr>
              <w:pStyle w:val="TableBody"/>
              <w:spacing w:before="45" w:after="45"/>
              <w:ind w:right="108"/>
              <w:jc w:val="right"/>
              <w:rPr>
                <w:rFonts w:cs="Open Sans"/>
                <w:color w:val="000000"/>
              </w:rPr>
            </w:pPr>
            <w:r w:rsidRPr="00294C33">
              <w:t>31</w:t>
            </w:r>
          </w:p>
        </w:tc>
      </w:tr>
      <w:tr w:rsidR="00A21364" w:rsidRPr="003925FE" w14:paraId="73C281F7" w14:textId="77777777">
        <w:tc>
          <w:tcPr>
            <w:tcW w:w="4105" w:type="pct"/>
            <w:tcBorders>
              <w:top w:val="nil"/>
              <w:bottom w:val="nil"/>
            </w:tcBorders>
            <w:shd w:val="clear" w:color="000000" w:fill="auto"/>
          </w:tcPr>
          <w:p w14:paraId="6068B303" w14:textId="77777777" w:rsidR="00A21364" w:rsidRPr="003925FE" w:rsidRDefault="00A21364">
            <w:pPr>
              <w:pStyle w:val="TableBody"/>
              <w:spacing w:before="45" w:after="45"/>
              <w:ind w:right="108"/>
              <w:rPr>
                <w:rFonts w:cs="Open Sans"/>
                <w:b/>
                <w:color w:val="1D4374"/>
              </w:rPr>
            </w:pPr>
            <w:r w:rsidRPr="00294C33">
              <w:t>Ken Clarke</w:t>
            </w:r>
          </w:p>
        </w:tc>
        <w:tc>
          <w:tcPr>
            <w:tcW w:w="895" w:type="pct"/>
            <w:tcBorders>
              <w:top w:val="nil"/>
              <w:bottom w:val="nil"/>
            </w:tcBorders>
            <w:shd w:val="clear" w:color="000000" w:fill="auto"/>
          </w:tcPr>
          <w:p w14:paraId="2BA8549B" w14:textId="77777777" w:rsidR="00A21364" w:rsidRPr="003925FE" w:rsidRDefault="00A21364">
            <w:pPr>
              <w:pStyle w:val="TableBody"/>
              <w:spacing w:before="45" w:after="45"/>
              <w:ind w:right="108"/>
              <w:jc w:val="right"/>
              <w:rPr>
                <w:rFonts w:cs="Open Sans"/>
                <w:color w:val="000000"/>
              </w:rPr>
            </w:pPr>
            <w:r w:rsidRPr="00294C33">
              <w:t>32</w:t>
            </w:r>
          </w:p>
        </w:tc>
      </w:tr>
      <w:tr w:rsidR="00A21364" w:rsidRPr="003925FE" w14:paraId="7EF2E810" w14:textId="77777777">
        <w:tc>
          <w:tcPr>
            <w:tcW w:w="4105" w:type="pct"/>
            <w:tcBorders>
              <w:bottom w:val="nil"/>
            </w:tcBorders>
            <w:shd w:val="clear" w:color="000000" w:fill="E6E6E6"/>
          </w:tcPr>
          <w:p w14:paraId="0800E1C3" w14:textId="77777777" w:rsidR="00A21364" w:rsidRPr="003925FE" w:rsidRDefault="00A21364">
            <w:pPr>
              <w:pStyle w:val="TableBody"/>
              <w:spacing w:before="45" w:after="45"/>
              <w:ind w:right="108"/>
              <w:rPr>
                <w:rFonts w:cs="Open Sans"/>
                <w:b/>
                <w:color w:val="1D4374"/>
              </w:rPr>
            </w:pPr>
            <w:r w:rsidRPr="00294C33">
              <w:t>Municipal Association of Victoria (MAV)</w:t>
            </w:r>
          </w:p>
        </w:tc>
        <w:tc>
          <w:tcPr>
            <w:tcW w:w="895" w:type="pct"/>
            <w:tcBorders>
              <w:bottom w:val="nil"/>
            </w:tcBorders>
            <w:shd w:val="clear" w:color="000000" w:fill="E6E6E6"/>
          </w:tcPr>
          <w:p w14:paraId="24E1A13A" w14:textId="77777777" w:rsidR="00A21364" w:rsidRPr="003925FE" w:rsidRDefault="00A21364">
            <w:pPr>
              <w:pStyle w:val="TableBody"/>
              <w:spacing w:before="45" w:after="45"/>
              <w:ind w:right="108"/>
              <w:jc w:val="right"/>
              <w:rPr>
                <w:rFonts w:cs="Open Sans"/>
                <w:color w:val="000000"/>
              </w:rPr>
            </w:pPr>
            <w:r w:rsidRPr="00294C33">
              <w:t>10</w:t>
            </w:r>
          </w:p>
        </w:tc>
      </w:tr>
      <w:tr w:rsidR="00A21364" w:rsidRPr="003925FE" w14:paraId="267724D9" w14:textId="77777777">
        <w:tc>
          <w:tcPr>
            <w:tcW w:w="4105" w:type="pct"/>
            <w:tcBorders>
              <w:top w:val="nil"/>
              <w:bottom w:val="nil"/>
            </w:tcBorders>
            <w:shd w:val="clear" w:color="000000" w:fill="auto"/>
          </w:tcPr>
          <w:p w14:paraId="47BD9E48" w14:textId="3C84E5E4" w:rsidR="00A21364" w:rsidRPr="003925FE" w:rsidRDefault="00A21364">
            <w:pPr>
              <w:pStyle w:val="TableBody"/>
              <w:spacing w:before="45" w:after="45"/>
              <w:ind w:right="108"/>
              <w:rPr>
                <w:rFonts w:cs="Open Sans"/>
                <w:b/>
                <w:color w:val="1D4374"/>
              </w:rPr>
            </w:pPr>
            <w:r w:rsidRPr="00294C33">
              <w:t>Northern Territory</w:t>
            </w:r>
            <w:r w:rsidR="005C0DB6">
              <w:t xml:space="preserve"> –</w:t>
            </w:r>
            <w:r w:rsidRPr="00294C33">
              <w:t xml:space="preserve"> Department of Treasury and Finance</w:t>
            </w:r>
          </w:p>
        </w:tc>
        <w:tc>
          <w:tcPr>
            <w:tcW w:w="895" w:type="pct"/>
            <w:tcBorders>
              <w:top w:val="nil"/>
              <w:bottom w:val="nil"/>
            </w:tcBorders>
            <w:shd w:val="clear" w:color="000000" w:fill="auto"/>
          </w:tcPr>
          <w:p w14:paraId="506DFC5C" w14:textId="77777777" w:rsidR="00A21364" w:rsidRPr="003925FE" w:rsidRDefault="00A21364">
            <w:pPr>
              <w:pStyle w:val="TableBody"/>
              <w:spacing w:before="45" w:after="45"/>
              <w:ind w:right="108"/>
              <w:jc w:val="right"/>
              <w:rPr>
                <w:rFonts w:cs="Open Sans"/>
                <w:color w:val="000000"/>
              </w:rPr>
            </w:pPr>
            <w:r w:rsidRPr="00294C33">
              <w:t>39</w:t>
            </w:r>
          </w:p>
        </w:tc>
      </w:tr>
      <w:tr w:rsidR="00A21364" w:rsidRPr="003925FE" w14:paraId="0136F3BA" w14:textId="77777777">
        <w:tc>
          <w:tcPr>
            <w:tcW w:w="4105" w:type="pct"/>
            <w:tcBorders>
              <w:bottom w:val="nil"/>
            </w:tcBorders>
            <w:shd w:val="clear" w:color="000000" w:fill="E6E6E6"/>
          </w:tcPr>
          <w:p w14:paraId="43CD60FD" w14:textId="77777777" w:rsidR="00A21364" w:rsidRPr="003925FE" w:rsidRDefault="00A21364">
            <w:pPr>
              <w:pStyle w:val="TableBody"/>
              <w:spacing w:before="45" w:after="45"/>
              <w:ind w:right="108"/>
              <w:rPr>
                <w:rFonts w:cs="Open Sans"/>
                <w:b/>
                <w:color w:val="1D4374"/>
              </w:rPr>
            </w:pPr>
            <w:r w:rsidRPr="00294C33">
              <w:t>NSW Government</w:t>
            </w:r>
          </w:p>
        </w:tc>
        <w:tc>
          <w:tcPr>
            <w:tcW w:w="895" w:type="pct"/>
            <w:tcBorders>
              <w:bottom w:val="nil"/>
            </w:tcBorders>
            <w:shd w:val="clear" w:color="000000" w:fill="E6E6E6"/>
          </w:tcPr>
          <w:p w14:paraId="390EA0AE" w14:textId="77777777" w:rsidR="00A21364" w:rsidRPr="003925FE" w:rsidRDefault="00A21364">
            <w:pPr>
              <w:pStyle w:val="TableBody"/>
              <w:spacing w:before="45" w:after="45"/>
              <w:ind w:right="108"/>
              <w:jc w:val="right"/>
              <w:rPr>
                <w:rFonts w:cs="Open Sans"/>
                <w:color w:val="000000"/>
              </w:rPr>
            </w:pPr>
            <w:r w:rsidRPr="00294C33">
              <w:t>61</w:t>
            </w:r>
          </w:p>
        </w:tc>
      </w:tr>
      <w:tr w:rsidR="00A21364" w:rsidRPr="003925FE" w14:paraId="6167CBD2" w14:textId="77777777">
        <w:tc>
          <w:tcPr>
            <w:tcW w:w="4105" w:type="pct"/>
            <w:tcBorders>
              <w:top w:val="nil"/>
              <w:bottom w:val="nil"/>
            </w:tcBorders>
            <w:shd w:val="clear" w:color="000000" w:fill="auto"/>
          </w:tcPr>
          <w:p w14:paraId="3430E91C" w14:textId="77777777" w:rsidR="00A21364" w:rsidRPr="003925FE" w:rsidRDefault="00A21364">
            <w:pPr>
              <w:pStyle w:val="TableBody"/>
              <w:spacing w:before="45" w:after="45"/>
              <w:ind w:right="108"/>
              <w:rPr>
                <w:rFonts w:cs="Open Sans"/>
                <w:b/>
                <w:color w:val="1D4374"/>
              </w:rPr>
            </w:pPr>
            <w:r w:rsidRPr="00294C33">
              <w:t>Paul Lindwall</w:t>
            </w:r>
          </w:p>
        </w:tc>
        <w:tc>
          <w:tcPr>
            <w:tcW w:w="895" w:type="pct"/>
            <w:tcBorders>
              <w:top w:val="nil"/>
              <w:bottom w:val="nil"/>
            </w:tcBorders>
            <w:shd w:val="clear" w:color="000000" w:fill="auto"/>
          </w:tcPr>
          <w:p w14:paraId="536B9609" w14:textId="77777777" w:rsidR="00A21364" w:rsidRPr="003925FE" w:rsidRDefault="00A21364">
            <w:pPr>
              <w:pStyle w:val="TableBody"/>
              <w:spacing w:before="45" w:after="45"/>
              <w:ind w:right="108"/>
              <w:jc w:val="right"/>
              <w:rPr>
                <w:rFonts w:cs="Open Sans"/>
                <w:color w:val="000000"/>
              </w:rPr>
            </w:pPr>
            <w:r w:rsidRPr="00294C33">
              <w:t>1</w:t>
            </w:r>
          </w:p>
        </w:tc>
      </w:tr>
      <w:tr w:rsidR="00A21364" w:rsidRPr="003925FE" w14:paraId="2A480C7D" w14:textId="77777777">
        <w:tc>
          <w:tcPr>
            <w:tcW w:w="4105" w:type="pct"/>
            <w:tcBorders>
              <w:bottom w:val="nil"/>
            </w:tcBorders>
            <w:shd w:val="clear" w:color="000000" w:fill="E6E6E6"/>
          </w:tcPr>
          <w:p w14:paraId="660312B3" w14:textId="77777777" w:rsidR="00A21364" w:rsidRPr="003925FE" w:rsidRDefault="00A21364">
            <w:pPr>
              <w:pStyle w:val="TableBody"/>
              <w:spacing w:before="45" w:after="45"/>
              <w:ind w:right="108"/>
              <w:rPr>
                <w:rFonts w:cs="Open Sans"/>
                <w:b/>
                <w:color w:val="1D4374"/>
              </w:rPr>
            </w:pPr>
            <w:r w:rsidRPr="00294C33">
              <w:t>Peter Raffles</w:t>
            </w:r>
          </w:p>
        </w:tc>
        <w:tc>
          <w:tcPr>
            <w:tcW w:w="895" w:type="pct"/>
            <w:tcBorders>
              <w:bottom w:val="nil"/>
            </w:tcBorders>
            <w:shd w:val="clear" w:color="000000" w:fill="E6E6E6"/>
          </w:tcPr>
          <w:p w14:paraId="1EF14DF2" w14:textId="77777777" w:rsidR="00A21364" w:rsidRPr="003925FE" w:rsidRDefault="00A21364">
            <w:pPr>
              <w:pStyle w:val="TableBody"/>
              <w:spacing w:before="45" w:after="45"/>
              <w:ind w:right="108"/>
              <w:jc w:val="right"/>
              <w:rPr>
                <w:rFonts w:cs="Open Sans"/>
                <w:color w:val="000000"/>
              </w:rPr>
            </w:pPr>
            <w:r w:rsidRPr="00294C33">
              <w:t>24</w:t>
            </w:r>
          </w:p>
        </w:tc>
      </w:tr>
      <w:tr w:rsidR="00A21364" w:rsidRPr="003925FE" w14:paraId="04988998" w14:textId="77777777">
        <w:tc>
          <w:tcPr>
            <w:tcW w:w="4105" w:type="pct"/>
            <w:tcBorders>
              <w:top w:val="nil"/>
              <w:bottom w:val="nil"/>
            </w:tcBorders>
            <w:shd w:val="clear" w:color="000000" w:fill="auto"/>
          </w:tcPr>
          <w:p w14:paraId="2913ED81" w14:textId="77777777" w:rsidR="00A21364" w:rsidRPr="003925FE" w:rsidRDefault="00A21364">
            <w:pPr>
              <w:pStyle w:val="TableBody"/>
              <w:spacing w:before="45" w:after="45"/>
              <w:ind w:right="108"/>
              <w:rPr>
                <w:rFonts w:cs="Open Sans"/>
                <w:b/>
                <w:color w:val="1D4374"/>
              </w:rPr>
            </w:pPr>
            <w:r w:rsidRPr="00294C33">
              <w:t>Queensland Government</w:t>
            </w:r>
          </w:p>
        </w:tc>
        <w:tc>
          <w:tcPr>
            <w:tcW w:w="895" w:type="pct"/>
            <w:tcBorders>
              <w:top w:val="nil"/>
              <w:bottom w:val="nil"/>
            </w:tcBorders>
            <w:shd w:val="clear" w:color="000000" w:fill="auto"/>
          </w:tcPr>
          <w:p w14:paraId="7C8B3C62" w14:textId="77777777" w:rsidR="00A21364" w:rsidRPr="003925FE" w:rsidRDefault="00A21364">
            <w:pPr>
              <w:pStyle w:val="TableBody"/>
              <w:spacing w:before="45" w:after="45"/>
              <w:ind w:right="108"/>
              <w:jc w:val="right"/>
              <w:rPr>
                <w:rFonts w:cs="Open Sans"/>
                <w:color w:val="000000"/>
              </w:rPr>
            </w:pPr>
            <w:r w:rsidRPr="00294C33">
              <w:t>62</w:t>
            </w:r>
          </w:p>
        </w:tc>
      </w:tr>
      <w:tr w:rsidR="00A21364" w:rsidRPr="003925FE" w14:paraId="0DCAA5FA" w14:textId="77777777">
        <w:tc>
          <w:tcPr>
            <w:tcW w:w="4105" w:type="pct"/>
            <w:tcBorders>
              <w:bottom w:val="nil"/>
            </w:tcBorders>
            <w:shd w:val="clear" w:color="000000" w:fill="E6E6E6"/>
          </w:tcPr>
          <w:p w14:paraId="6AE347C9" w14:textId="77777777" w:rsidR="00A21364" w:rsidRPr="003925FE" w:rsidRDefault="00A21364">
            <w:pPr>
              <w:pStyle w:val="TableBody"/>
              <w:spacing w:before="45" w:after="45"/>
              <w:ind w:right="108"/>
              <w:rPr>
                <w:rFonts w:cs="Open Sans"/>
                <w:b/>
                <w:color w:val="1D4374"/>
              </w:rPr>
            </w:pPr>
            <w:r w:rsidRPr="00294C33">
              <w:t>Real Estate Institute of Australia (REIA)</w:t>
            </w:r>
          </w:p>
        </w:tc>
        <w:tc>
          <w:tcPr>
            <w:tcW w:w="895" w:type="pct"/>
            <w:tcBorders>
              <w:bottom w:val="nil"/>
            </w:tcBorders>
            <w:shd w:val="clear" w:color="000000" w:fill="E6E6E6"/>
          </w:tcPr>
          <w:p w14:paraId="2C45D35F" w14:textId="77777777" w:rsidR="00A21364" w:rsidRPr="003925FE" w:rsidRDefault="00A21364">
            <w:pPr>
              <w:pStyle w:val="TableBody"/>
              <w:spacing w:before="45" w:after="45"/>
              <w:ind w:right="108"/>
              <w:jc w:val="right"/>
              <w:rPr>
                <w:rFonts w:cs="Open Sans"/>
                <w:color w:val="000000"/>
              </w:rPr>
            </w:pPr>
            <w:r w:rsidRPr="00294C33">
              <w:t>36</w:t>
            </w:r>
          </w:p>
        </w:tc>
      </w:tr>
      <w:tr w:rsidR="00A21364" w:rsidRPr="003925FE" w14:paraId="433D7F18" w14:textId="77777777">
        <w:tc>
          <w:tcPr>
            <w:tcW w:w="4105" w:type="pct"/>
            <w:tcBorders>
              <w:top w:val="nil"/>
              <w:bottom w:val="nil"/>
            </w:tcBorders>
            <w:shd w:val="clear" w:color="000000" w:fill="auto"/>
          </w:tcPr>
          <w:p w14:paraId="324E1FB8" w14:textId="77777777" w:rsidR="00A21364" w:rsidRPr="003925FE" w:rsidRDefault="00A21364">
            <w:pPr>
              <w:pStyle w:val="TableBody"/>
              <w:spacing w:before="45" w:after="45"/>
              <w:ind w:right="108"/>
              <w:rPr>
                <w:rFonts w:cs="Open Sans"/>
                <w:b/>
                <w:color w:val="1D4374"/>
              </w:rPr>
            </w:pPr>
            <w:r w:rsidRPr="00294C33">
              <w:t>Rob Fairs MP</w:t>
            </w:r>
          </w:p>
        </w:tc>
        <w:tc>
          <w:tcPr>
            <w:tcW w:w="895" w:type="pct"/>
            <w:tcBorders>
              <w:top w:val="nil"/>
              <w:bottom w:val="nil"/>
            </w:tcBorders>
            <w:shd w:val="clear" w:color="000000" w:fill="auto"/>
          </w:tcPr>
          <w:p w14:paraId="7A239CA6" w14:textId="77777777" w:rsidR="00A21364" w:rsidRPr="003925FE" w:rsidRDefault="00A21364">
            <w:pPr>
              <w:pStyle w:val="TableBody"/>
              <w:spacing w:before="45" w:after="45"/>
              <w:ind w:right="108"/>
              <w:jc w:val="right"/>
              <w:rPr>
                <w:rFonts w:cs="Open Sans"/>
                <w:color w:val="000000"/>
              </w:rPr>
            </w:pPr>
            <w:r w:rsidRPr="00294C33">
              <w:t>15</w:t>
            </w:r>
          </w:p>
        </w:tc>
      </w:tr>
      <w:tr w:rsidR="00A21364" w:rsidRPr="003925FE" w14:paraId="54F075D8" w14:textId="77777777">
        <w:tc>
          <w:tcPr>
            <w:tcW w:w="4105" w:type="pct"/>
            <w:tcBorders>
              <w:bottom w:val="nil"/>
            </w:tcBorders>
            <w:shd w:val="clear" w:color="000000" w:fill="E6E6E6"/>
          </w:tcPr>
          <w:p w14:paraId="2941A00D" w14:textId="77777777" w:rsidR="00A21364" w:rsidRPr="003925FE" w:rsidRDefault="00A21364">
            <w:pPr>
              <w:pStyle w:val="TableBody"/>
              <w:spacing w:before="45" w:after="45"/>
              <w:ind w:right="108"/>
              <w:rPr>
                <w:rFonts w:cs="Open Sans"/>
                <w:b/>
                <w:color w:val="1D4374"/>
              </w:rPr>
            </w:pPr>
            <w:r w:rsidRPr="00294C33">
              <w:t>Robert Paturzo-Elliott</w:t>
            </w:r>
          </w:p>
        </w:tc>
        <w:tc>
          <w:tcPr>
            <w:tcW w:w="895" w:type="pct"/>
            <w:tcBorders>
              <w:bottom w:val="nil"/>
            </w:tcBorders>
            <w:shd w:val="clear" w:color="000000" w:fill="E6E6E6"/>
          </w:tcPr>
          <w:p w14:paraId="55A5CE84" w14:textId="77777777" w:rsidR="00A21364" w:rsidRPr="003925FE" w:rsidRDefault="00A21364">
            <w:pPr>
              <w:pStyle w:val="TableBody"/>
              <w:spacing w:before="45" w:after="45"/>
              <w:ind w:right="108"/>
              <w:jc w:val="right"/>
              <w:rPr>
                <w:rFonts w:cs="Open Sans"/>
                <w:color w:val="000000"/>
              </w:rPr>
            </w:pPr>
            <w:r w:rsidRPr="00294C33">
              <w:t>9</w:t>
            </w:r>
          </w:p>
        </w:tc>
      </w:tr>
      <w:tr w:rsidR="00A21364" w:rsidRPr="003925FE" w14:paraId="4707054B" w14:textId="77777777">
        <w:tc>
          <w:tcPr>
            <w:tcW w:w="4105" w:type="pct"/>
            <w:tcBorders>
              <w:top w:val="nil"/>
              <w:bottom w:val="nil"/>
            </w:tcBorders>
            <w:shd w:val="clear" w:color="000000" w:fill="auto"/>
          </w:tcPr>
          <w:p w14:paraId="27E5BBC8" w14:textId="77777777" w:rsidR="00A21364" w:rsidRPr="003925FE" w:rsidRDefault="00A21364">
            <w:pPr>
              <w:pStyle w:val="TableBody"/>
              <w:spacing w:before="45" w:after="45"/>
              <w:ind w:right="108"/>
              <w:rPr>
                <w:rFonts w:cs="Open Sans"/>
                <w:b/>
                <w:color w:val="1D4374"/>
              </w:rPr>
            </w:pPr>
            <w:r w:rsidRPr="00294C33">
              <w:t>Rod Glover</w:t>
            </w:r>
          </w:p>
        </w:tc>
        <w:tc>
          <w:tcPr>
            <w:tcW w:w="895" w:type="pct"/>
            <w:tcBorders>
              <w:top w:val="nil"/>
              <w:bottom w:val="nil"/>
            </w:tcBorders>
            <w:shd w:val="clear" w:color="000000" w:fill="auto"/>
          </w:tcPr>
          <w:p w14:paraId="3361B91B" w14:textId="77777777" w:rsidR="00A21364" w:rsidRPr="003925FE" w:rsidRDefault="00A21364">
            <w:pPr>
              <w:pStyle w:val="TableBody"/>
              <w:spacing w:before="45" w:after="45"/>
              <w:ind w:right="108"/>
              <w:jc w:val="right"/>
              <w:rPr>
                <w:rFonts w:cs="Open Sans"/>
                <w:color w:val="000000"/>
              </w:rPr>
            </w:pPr>
            <w:r w:rsidRPr="00294C33">
              <w:t>46</w:t>
            </w:r>
          </w:p>
        </w:tc>
      </w:tr>
      <w:tr w:rsidR="00A21364" w:rsidRPr="003925FE" w14:paraId="58FF270D" w14:textId="77777777">
        <w:tc>
          <w:tcPr>
            <w:tcW w:w="4105" w:type="pct"/>
            <w:tcBorders>
              <w:bottom w:val="nil"/>
            </w:tcBorders>
            <w:shd w:val="clear" w:color="000000" w:fill="E6E6E6"/>
          </w:tcPr>
          <w:p w14:paraId="7362E8D5" w14:textId="77777777" w:rsidR="00A21364" w:rsidRPr="003925FE" w:rsidRDefault="00A21364">
            <w:pPr>
              <w:pStyle w:val="TableBody"/>
              <w:spacing w:before="45" w:after="45"/>
              <w:ind w:right="108"/>
              <w:rPr>
                <w:rFonts w:cs="Open Sans"/>
                <w:b/>
                <w:color w:val="1D4374"/>
              </w:rPr>
            </w:pPr>
            <w:r w:rsidRPr="00294C33">
              <w:t>Rosalie Woodruff MP</w:t>
            </w:r>
          </w:p>
        </w:tc>
        <w:tc>
          <w:tcPr>
            <w:tcW w:w="895" w:type="pct"/>
            <w:tcBorders>
              <w:bottom w:val="nil"/>
            </w:tcBorders>
            <w:shd w:val="clear" w:color="000000" w:fill="E6E6E6"/>
          </w:tcPr>
          <w:p w14:paraId="348B245F" w14:textId="77777777" w:rsidR="00A21364" w:rsidRPr="003925FE" w:rsidRDefault="00A21364">
            <w:pPr>
              <w:pStyle w:val="TableBody"/>
              <w:spacing w:before="45" w:after="45"/>
              <w:ind w:right="108"/>
              <w:jc w:val="right"/>
              <w:rPr>
                <w:rFonts w:cs="Open Sans"/>
                <w:color w:val="000000"/>
              </w:rPr>
            </w:pPr>
            <w:r w:rsidRPr="00294C33">
              <w:t>26</w:t>
            </w:r>
          </w:p>
        </w:tc>
      </w:tr>
      <w:tr w:rsidR="00A21364" w:rsidRPr="003925FE" w14:paraId="7B4F966F" w14:textId="77777777">
        <w:tc>
          <w:tcPr>
            <w:tcW w:w="4105" w:type="pct"/>
            <w:tcBorders>
              <w:top w:val="nil"/>
              <w:bottom w:val="nil"/>
            </w:tcBorders>
            <w:shd w:val="clear" w:color="000000" w:fill="auto"/>
          </w:tcPr>
          <w:p w14:paraId="4F8A160F" w14:textId="77777777" w:rsidR="00A21364" w:rsidRPr="003925FE" w:rsidRDefault="00A21364">
            <w:pPr>
              <w:pStyle w:val="TableBody"/>
              <w:spacing w:before="45" w:after="45"/>
              <w:ind w:right="108"/>
              <w:rPr>
                <w:rFonts w:cs="Open Sans"/>
                <w:b/>
                <w:color w:val="1D4374"/>
              </w:rPr>
            </w:pPr>
            <w:r w:rsidRPr="00294C33">
              <w:t>Russell Morse</w:t>
            </w:r>
          </w:p>
        </w:tc>
        <w:tc>
          <w:tcPr>
            <w:tcW w:w="895" w:type="pct"/>
            <w:tcBorders>
              <w:top w:val="nil"/>
              <w:bottom w:val="nil"/>
            </w:tcBorders>
            <w:shd w:val="clear" w:color="000000" w:fill="auto"/>
          </w:tcPr>
          <w:p w14:paraId="7F7D0C58" w14:textId="77777777" w:rsidR="00A21364" w:rsidRPr="003925FE" w:rsidRDefault="00A21364">
            <w:pPr>
              <w:pStyle w:val="TableBody"/>
              <w:spacing w:before="45" w:after="45"/>
              <w:ind w:right="108"/>
              <w:jc w:val="right"/>
              <w:rPr>
                <w:rFonts w:cs="Open Sans"/>
                <w:color w:val="000000"/>
              </w:rPr>
            </w:pPr>
            <w:r w:rsidRPr="00294C33">
              <w:t>2</w:t>
            </w:r>
          </w:p>
        </w:tc>
      </w:tr>
      <w:tr w:rsidR="00A21364" w:rsidRPr="003925FE" w14:paraId="405B241C" w14:textId="77777777">
        <w:tc>
          <w:tcPr>
            <w:tcW w:w="4105" w:type="pct"/>
            <w:tcBorders>
              <w:bottom w:val="nil"/>
            </w:tcBorders>
            <w:shd w:val="clear" w:color="000000" w:fill="E6E6E6"/>
          </w:tcPr>
          <w:p w14:paraId="374B13F0" w14:textId="77777777" w:rsidR="00A21364" w:rsidRPr="003925FE" w:rsidRDefault="00A21364">
            <w:pPr>
              <w:pStyle w:val="TableBody"/>
              <w:spacing w:before="45" w:after="45"/>
              <w:ind w:right="108"/>
              <w:rPr>
                <w:rFonts w:cs="Open Sans"/>
                <w:b/>
                <w:color w:val="1D4374"/>
              </w:rPr>
            </w:pPr>
            <w:r w:rsidRPr="00294C33">
              <w:t>Sam Gow</w:t>
            </w:r>
          </w:p>
        </w:tc>
        <w:tc>
          <w:tcPr>
            <w:tcW w:w="895" w:type="pct"/>
            <w:tcBorders>
              <w:bottom w:val="nil"/>
            </w:tcBorders>
            <w:shd w:val="clear" w:color="000000" w:fill="E6E6E6"/>
          </w:tcPr>
          <w:p w14:paraId="5648C284" w14:textId="77777777" w:rsidR="00A21364" w:rsidRPr="003925FE" w:rsidRDefault="00A21364">
            <w:pPr>
              <w:pStyle w:val="TableBody"/>
              <w:spacing w:before="45" w:after="45"/>
              <w:ind w:right="108"/>
              <w:jc w:val="right"/>
              <w:rPr>
                <w:rFonts w:cs="Open Sans"/>
                <w:color w:val="000000"/>
              </w:rPr>
            </w:pPr>
            <w:r w:rsidRPr="00294C33">
              <w:t>4</w:t>
            </w:r>
          </w:p>
        </w:tc>
      </w:tr>
      <w:tr w:rsidR="00A21364" w:rsidRPr="003925FE" w14:paraId="20132513" w14:textId="77777777">
        <w:tc>
          <w:tcPr>
            <w:tcW w:w="4105" w:type="pct"/>
            <w:tcBorders>
              <w:bottom w:val="nil"/>
            </w:tcBorders>
          </w:tcPr>
          <w:p w14:paraId="03851E11" w14:textId="77777777" w:rsidR="00A21364" w:rsidRPr="003925FE" w:rsidRDefault="00A21364">
            <w:pPr>
              <w:pStyle w:val="TableBody"/>
              <w:spacing w:before="45" w:after="45"/>
              <w:ind w:right="108"/>
              <w:rPr>
                <w:rFonts w:cs="Open Sans"/>
                <w:b/>
                <w:color w:val="1D4374"/>
              </w:rPr>
            </w:pPr>
            <w:r w:rsidRPr="009E213D">
              <w:t>Sandra Brewer MLA</w:t>
            </w:r>
          </w:p>
        </w:tc>
        <w:tc>
          <w:tcPr>
            <w:tcW w:w="895" w:type="pct"/>
            <w:tcBorders>
              <w:bottom w:val="nil"/>
            </w:tcBorders>
          </w:tcPr>
          <w:p w14:paraId="24DF2820" w14:textId="77777777" w:rsidR="00A21364" w:rsidRPr="003925FE" w:rsidRDefault="00A21364">
            <w:pPr>
              <w:pStyle w:val="TableBody"/>
              <w:spacing w:before="45" w:after="45"/>
              <w:ind w:right="108"/>
              <w:jc w:val="right"/>
              <w:rPr>
                <w:rFonts w:cs="Open Sans"/>
                <w:color w:val="000000"/>
              </w:rPr>
            </w:pPr>
            <w:r w:rsidRPr="009E213D">
              <w:t>52</w:t>
            </w:r>
          </w:p>
        </w:tc>
      </w:tr>
      <w:tr w:rsidR="00A21364" w:rsidRPr="003925FE" w14:paraId="0DC40038" w14:textId="77777777">
        <w:tc>
          <w:tcPr>
            <w:tcW w:w="4105" w:type="pct"/>
            <w:tcBorders>
              <w:top w:val="nil"/>
              <w:bottom w:val="nil"/>
            </w:tcBorders>
            <w:shd w:val="clear" w:color="auto" w:fill="E6E6E6"/>
          </w:tcPr>
          <w:p w14:paraId="19820E64" w14:textId="77777777" w:rsidR="00A21364" w:rsidRPr="003925FE" w:rsidRDefault="00A21364">
            <w:pPr>
              <w:pStyle w:val="TableBody"/>
              <w:spacing w:before="45" w:after="45"/>
              <w:ind w:right="108"/>
              <w:rPr>
                <w:rFonts w:cs="Open Sans"/>
                <w:b/>
                <w:color w:val="1D4374"/>
              </w:rPr>
            </w:pPr>
            <w:r w:rsidRPr="009E213D">
              <w:t>Saul Eslake</w:t>
            </w:r>
          </w:p>
        </w:tc>
        <w:tc>
          <w:tcPr>
            <w:tcW w:w="895" w:type="pct"/>
            <w:tcBorders>
              <w:top w:val="nil"/>
              <w:bottom w:val="nil"/>
            </w:tcBorders>
            <w:shd w:val="clear" w:color="auto" w:fill="E6E6E6"/>
          </w:tcPr>
          <w:p w14:paraId="2D6EC68E" w14:textId="77777777" w:rsidR="00A21364" w:rsidRPr="003925FE" w:rsidRDefault="00A21364">
            <w:pPr>
              <w:pStyle w:val="TableBody"/>
              <w:spacing w:before="45" w:after="45"/>
              <w:ind w:right="108"/>
              <w:jc w:val="right"/>
              <w:rPr>
                <w:rFonts w:cs="Open Sans"/>
                <w:color w:val="000000"/>
              </w:rPr>
            </w:pPr>
            <w:r w:rsidRPr="009E213D">
              <w:t>3</w:t>
            </w:r>
          </w:p>
        </w:tc>
      </w:tr>
      <w:tr w:rsidR="00A21364" w:rsidRPr="003925FE" w14:paraId="7C621790" w14:textId="77777777">
        <w:tc>
          <w:tcPr>
            <w:tcW w:w="4105" w:type="pct"/>
            <w:tcBorders>
              <w:bottom w:val="nil"/>
            </w:tcBorders>
            <w:shd w:val="clear" w:color="auto" w:fill="FFFFFF" w:themeFill="background1"/>
          </w:tcPr>
          <w:p w14:paraId="33491486" w14:textId="77777777" w:rsidR="00A21364" w:rsidRPr="003925FE" w:rsidRDefault="00A21364">
            <w:pPr>
              <w:pStyle w:val="TableBody"/>
              <w:spacing w:before="45" w:after="45"/>
              <w:ind w:right="108"/>
              <w:rPr>
                <w:rFonts w:cs="Open Sans"/>
                <w:b/>
                <w:color w:val="1D4374"/>
              </w:rPr>
            </w:pPr>
            <w:r w:rsidRPr="009E213D">
              <w:t>Selena Uibo MLA</w:t>
            </w:r>
          </w:p>
        </w:tc>
        <w:tc>
          <w:tcPr>
            <w:tcW w:w="895" w:type="pct"/>
            <w:tcBorders>
              <w:bottom w:val="nil"/>
            </w:tcBorders>
            <w:shd w:val="clear" w:color="auto" w:fill="FFFFFF" w:themeFill="background1"/>
          </w:tcPr>
          <w:p w14:paraId="15A52AA7" w14:textId="77777777" w:rsidR="00A21364" w:rsidRPr="003925FE" w:rsidRDefault="00A21364">
            <w:pPr>
              <w:pStyle w:val="TableBody"/>
              <w:spacing w:before="45" w:after="45"/>
              <w:ind w:right="108"/>
              <w:jc w:val="right"/>
              <w:rPr>
                <w:rFonts w:cs="Open Sans"/>
                <w:color w:val="000000"/>
              </w:rPr>
            </w:pPr>
            <w:r w:rsidRPr="009E213D">
              <w:t>40</w:t>
            </w:r>
          </w:p>
        </w:tc>
      </w:tr>
      <w:tr w:rsidR="00A21364" w:rsidRPr="003925FE" w14:paraId="16ADBA8A" w14:textId="77777777">
        <w:tc>
          <w:tcPr>
            <w:tcW w:w="4105" w:type="pct"/>
            <w:tcBorders>
              <w:top w:val="nil"/>
              <w:bottom w:val="nil"/>
            </w:tcBorders>
            <w:shd w:val="clear" w:color="auto" w:fill="E6E6E6"/>
          </w:tcPr>
          <w:p w14:paraId="5A2EF9C7" w14:textId="77777777" w:rsidR="00A21364" w:rsidRPr="003925FE" w:rsidRDefault="00A21364">
            <w:pPr>
              <w:pStyle w:val="TableBody"/>
              <w:spacing w:before="45" w:after="45"/>
              <w:ind w:right="108"/>
              <w:rPr>
                <w:rFonts w:cs="Open Sans"/>
                <w:b/>
                <w:color w:val="1D4374"/>
              </w:rPr>
            </w:pPr>
            <w:r w:rsidRPr="009E213D">
              <w:t>Senator Jacqui Lambie</w:t>
            </w:r>
          </w:p>
        </w:tc>
        <w:tc>
          <w:tcPr>
            <w:tcW w:w="895" w:type="pct"/>
            <w:tcBorders>
              <w:top w:val="nil"/>
              <w:bottom w:val="nil"/>
            </w:tcBorders>
            <w:shd w:val="clear" w:color="auto" w:fill="E6E6E6"/>
          </w:tcPr>
          <w:p w14:paraId="57313AE8" w14:textId="77777777" w:rsidR="00A21364" w:rsidRPr="003925FE" w:rsidRDefault="00A21364">
            <w:pPr>
              <w:pStyle w:val="TableBody"/>
              <w:spacing w:before="45" w:after="45"/>
              <w:ind w:right="108"/>
              <w:jc w:val="right"/>
              <w:rPr>
                <w:rFonts w:cs="Open Sans"/>
                <w:color w:val="000000"/>
              </w:rPr>
            </w:pPr>
            <w:r w:rsidRPr="009E213D">
              <w:t>11</w:t>
            </w:r>
          </w:p>
        </w:tc>
      </w:tr>
      <w:tr w:rsidR="00A21364" w:rsidRPr="003925FE" w14:paraId="61267063" w14:textId="77777777">
        <w:tc>
          <w:tcPr>
            <w:tcW w:w="4105" w:type="pct"/>
            <w:tcBorders>
              <w:bottom w:val="nil"/>
            </w:tcBorders>
            <w:shd w:val="clear" w:color="auto" w:fill="FFFFFF" w:themeFill="background1"/>
          </w:tcPr>
          <w:p w14:paraId="21D9F4F6" w14:textId="77777777" w:rsidR="00A21364" w:rsidRPr="003925FE" w:rsidRDefault="00A21364">
            <w:pPr>
              <w:pStyle w:val="TableBody"/>
              <w:spacing w:before="45" w:after="45"/>
              <w:ind w:right="108"/>
              <w:rPr>
                <w:rFonts w:cs="Open Sans"/>
                <w:b/>
                <w:color w:val="1D4374"/>
              </w:rPr>
            </w:pPr>
            <w:r w:rsidRPr="009E213D">
              <w:lastRenderedPageBreak/>
              <w:t>Senator the Hon Michaelia Cash</w:t>
            </w:r>
          </w:p>
        </w:tc>
        <w:tc>
          <w:tcPr>
            <w:tcW w:w="895" w:type="pct"/>
            <w:tcBorders>
              <w:bottom w:val="nil"/>
            </w:tcBorders>
            <w:shd w:val="clear" w:color="auto" w:fill="FFFFFF" w:themeFill="background1"/>
          </w:tcPr>
          <w:p w14:paraId="41973704" w14:textId="77777777" w:rsidR="00A21364" w:rsidRPr="003925FE" w:rsidRDefault="00A21364">
            <w:pPr>
              <w:pStyle w:val="TableBody"/>
              <w:spacing w:before="45" w:after="45"/>
              <w:ind w:right="108"/>
              <w:jc w:val="right"/>
              <w:rPr>
                <w:rFonts w:cs="Open Sans"/>
                <w:color w:val="000000"/>
              </w:rPr>
            </w:pPr>
            <w:r w:rsidRPr="009E213D">
              <w:t>22</w:t>
            </w:r>
          </w:p>
        </w:tc>
      </w:tr>
      <w:tr w:rsidR="00A21364" w:rsidRPr="003925FE" w14:paraId="0A41C0BF" w14:textId="77777777">
        <w:tc>
          <w:tcPr>
            <w:tcW w:w="4105" w:type="pct"/>
            <w:tcBorders>
              <w:top w:val="nil"/>
              <w:bottom w:val="nil"/>
            </w:tcBorders>
            <w:shd w:val="clear" w:color="auto" w:fill="E6E6E6"/>
          </w:tcPr>
          <w:p w14:paraId="1AB2814D" w14:textId="77777777" w:rsidR="00A21364" w:rsidRPr="003925FE" w:rsidRDefault="00A21364">
            <w:pPr>
              <w:pStyle w:val="TableBody"/>
              <w:spacing w:before="45" w:after="45"/>
              <w:ind w:right="108"/>
              <w:rPr>
                <w:rFonts w:cs="Open Sans"/>
                <w:b/>
                <w:color w:val="1D4374"/>
              </w:rPr>
            </w:pPr>
            <w:r w:rsidRPr="009E213D">
              <w:t>Stuart Hocking</w:t>
            </w:r>
          </w:p>
        </w:tc>
        <w:tc>
          <w:tcPr>
            <w:tcW w:w="895" w:type="pct"/>
            <w:tcBorders>
              <w:top w:val="nil"/>
              <w:bottom w:val="nil"/>
            </w:tcBorders>
            <w:shd w:val="clear" w:color="auto" w:fill="E6E6E6"/>
          </w:tcPr>
          <w:p w14:paraId="4D1719B3" w14:textId="77777777" w:rsidR="00A21364" w:rsidRPr="003925FE" w:rsidRDefault="00A21364">
            <w:pPr>
              <w:pStyle w:val="TableBody"/>
              <w:spacing w:before="45" w:after="45"/>
              <w:ind w:right="108"/>
              <w:jc w:val="right"/>
              <w:rPr>
                <w:rFonts w:cs="Open Sans"/>
                <w:color w:val="000000"/>
              </w:rPr>
            </w:pPr>
            <w:r w:rsidRPr="009E213D">
              <w:t>27</w:t>
            </w:r>
          </w:p>
        </w:tc>
      </w:tr>
      <w:tr w:rsidR="00A21364" w:rsidRPr="003925FE" w14:paraId="696CC1E4" w14:textId="77777777">
        <w:tc>
          <w:tcPr>
            <w:tcW w:w="4105" w:type="pct"/>
            <w:tcBorders>
              <w:bottom w:val="nil"/>
            </w:tcBorders>
            <w:shd w:val="clear" w:color="auto" w:fill="FFFFFF" w:themeFill="background1"/>
          </w:tcPr>
          <w:p w14:paraId="178C1543" w14:textId="77777777" w:rsidR="00A21364" w:rsidRPr="003925FE" w:rsidRDefault="00A21364">
            <w:pPr>
              <w:pStyle w:val="TableBody"/>
              <w:spacing w:before="45" w:after="45"/>
              <w:ind w:right="108"/>
              <w:rPr>
                <w:rFonts w:cs="Open Sans"/>
                <w:b/>
                <w:color w:val="1D4374"/>
              </w:rPr>
            </w:pPr>
            <w:r w:rsidRPr="009E213D">
              <w:t>Tasmanian Forest Products Association (TFPA)</w:t>
            </w:r>
          </w:p>
        </w:tc>
        <w:tc>
          <w:tcPr>
            <w:tcW w:w="895" w:type="pct"/>
            <w:tcBorders>
              <w:bottom w:val="nil"/>
            </w:tcBorders>
            <w:shd w:val="clear" w:color="auto" w:fill="FFFFFF" w:themeFill="background1"/>
          </w:tcPr>
          <w:p w14:paraId="741875D1" w14:textId="77777777" w:rsidR="00A21364" w:rsidRPr="003925FE" w:rsidRDefault="00A21364">
            <w:pPr>
              <w:pStyle w:val="TableBody"/>
              <w:spacing w:before="45" w:after="45"/>
              <w:ind w:right="108"/>
              <w:jc w:val="right"/>
              <w:rPr>
                <w:rFonts w:cs="Open Sans"/>
                <w:color w:val="000000"/>
              </w:rPr>
            </w:pPr>
            <w:r w:rsidRPr="009E213D">
              <w:t>18</w:t>
            </w:r>
          </w:p>
        </w:tc>
      </w:tr>
      <w:tr w:rsidR="00A21364" w:rsidRPr="003925FE" w14:paraId="72287E7F" w14:textId="77777777">
        <w:tc>
          <w:tcPr>
            <w:tcW w:w="4105" w:type="pct"/>
            <w:tcBorders>
              <w:top w:val="nil"/>
              <w:bottom w:val="nil"/>
            </w:tcBorders>
            <w:shd w:val="clear" w:color="auto" w:fill="E6E6E6"/>
          </w:tcPr>
          <w:p w14:paraId="0C57487C" w14:textId="77777777" w:rsidR="00A21364" w:rsidRPr="003925FE" w:rsidRDefault="00A21364">
            <w:pPr>
              <w:pStyle w:val="TableBody"/>
              <w:spacing w:before="45" w:after="45"/>
              <w:ind w:right="108"/>
              <w:rPr>
                <w:rFonts w:cs="Open Sans"/>
                <w:b/>
                <w:color w:val="1D4374"/>
              </w:rPr>
            </w:pPr>
            <w:r w:rsidRPr="009E213D">
              <w:t>Tasmanian Government</w:t>
            </w:r>
          </w:p>
        </w:tc>
        <w:tc>
          <w:tcPr>
            <w:tcW w:w="895" w:type="pct"/>
            <w:tcBorders>
              <w:top w:val="nil"/>
              <w:bottom w:val="nil"/>
            </w:tcBorders>
            <w:shd w:val="clear" w:color="auto" w:fill="E6E6E6"/>
          </w:tcPr>
          <w:p w14:paraId="0B846BCE" w14:textId="77777777" w:rsidR="00A21364" w:rsidRPr="003925FE" w:rsidRDefault="00A21364">
            <w:pPr>
              <w:pStyle w:val="TableBody"/>
              <w:spacing w:before="45" w:after="45"/>
              <w:ind w:right="108"/>
              <w:jc w:val="right"/>
              <w:rPr>
                <w:rFonts w:cs="Open Sans"/>
                <w:color w:val="000000"/>
              </w:rPr>
            </w:pPr>
            <w:r w:rsidRPr="009E213D">
              <w:t>48</w:t>
            </w:r>
          </w:p>
        </w:tc>
      </w:tr>
      <w:tr w:rsidR="00A21364" w:rsidRPr="003925FE" w14:paraId="12EAD598" w14:textId="77777777">
        <w:tc>
          <w:tcPr>
            <w:tcW w:w="4105" w:type="pct"/>
            <w:tcBorders>
              <w:bottom w:val="nil"/>
            </w:tcBorders>
            <w:shd w:val="clear" w:color="auto" w:fill="FFFFFF" w:themeFill="background1"/>
          </w:tcPr>
          <w:p w14:paraId="1689C4FA" w14:textId="77777777" w:rsidR="00A21364" w:rsidRPr="003925FE" w:rsidRDefault="00A21364">
            <w:pPr>
              <w:pStyle w:val="TableBody"/>
              <w:spacing w:before="45" w:after="45"/>
              <w:ind w:right="108"/>
              <w:rPr>
                <w:rFonts w:cs="Open Sans"/>
                <w:b/>
                <w:color w:val="1D4374"/>
              </w:rPr>
            </w:pPr>
            <w:r w:rsidRPr="009E213D">
              <w:t>The Australia Institute</w:t>
            </w:r>
          </w:p>
        </w:tc>
        <w:tc>
          <w:tcPr>
            <w:tcW w:w="895" w:type="pct"/>
            <w:tcBorders>
              <w:bottom w:val="nil"/>
            </w:tcBorders>
            <w:shd w:val="clear" w:color="auto" w:fill="FFFFFF" w:themeFill="background1"/>
          </w:tcPr>
          <w:p w14:paraId="3E566198" w14:textId="77777777" w:rsidR="00A21364" w:rsidRPr="003925FE" w:rsidRDefault="00A21364">
            <w:pPr>
              <w:pStyle w:val="TableBody"/>
              <w:spacing w:before="45" w:after="45"/>
              <w:ind w:right="108"/>
              <w:jc w:val="right"/>
              <w:rPr>
                <w:rFonts w:cs="Open Sans"/>
                <w:color w:val="000000"/>
              </w:rPr>
            </w:pPr>
            <w:r w:rsidRPr="009E213D">
              <w:t>54</w:t>
            </w:r>
          </w:p>
        </w:tc>
      </w:tr>
      <w:tr w:rsidR="00A21364" w:rsidRPr="003925FE" w14:paraId="77ECE2FA" w14:textId="77777777">
        <w:tc>
          <w:tcPr>
            <w:tcW w:w="4105" w:type="pct"/>
            <w:tcBorders>
              <w:top w:val="nil"/>
              <w:bottom w:val="nil"/>
            </w:tcBorders>
            <w:shd w:val="clear" w:color="auto" w:fill="E6E6E6"/>
          </w:tcPr>
          <w:p w14:paraId="5610E5BC" w14:textId="77777777" w:rsidR="00A21364" w:rsidRPr="003925FE" w:rsidRDefault="00A21364">
            <w:pPr>
              <w:pStyle w:val="TableBody"/>
              <w:spacing w:before="45" w:after="45"/>
              <w:ind w:right="108"/>
              <w:rPr>
                <w:rFonts w:cs="Open Sans"/>
                <w:b/>
                <w:color w:val="1D4374"/>
              </w:rPr>
            </w:pPr>
            <w:r w:rsidRPr="009E213D">
              <w:t>The Hon Colin Barnett</w:t>
            </w:r>
          </w:p>
        </w:tc>
        <w:tc>
          <w:tcPr>
            <w:tcW w:w="895" w:type="pct"/>
            <w:tcBorders>
              <w:top w:val="nil"/>
              <w:bottom w:val="nil"/>
            </w:tcBorders>
            <w:shd w:val="clear" w:color="auto" w:fill="E6E6E6"/>
          </w:tcPr>
          <w:p w14:paraId="614A3C01" w14:textId="77777777" w:rsidR="00A21364" w:rsidRPr="003925FE" w:rsidRDefault="00A21364">
            <w:pPr>
              <w:pStyle w:val="TableBody"/>
              <w:spacing w:before="45" w:after="45"/>
              <w:ind w:right="108"/>
              <w:jc w:val="right"/>
              <w:rPr>
                <w:rFonts w:cs="Open Sans"/>
                <w:color w:val="000000"/>
              </w:rPr>
            </w:pPr>
            <w:r w:rsidRPr="009E213D">
              <w:t>30</w:t>
            </w:r>
          </w:p>
        </w:tc>
      </w:tr>
      <w:tr w:rsidR="00A21364" w:rsidRPr="003925FE" w14:paraId="56D6D5FF" w14:textId="77777777">
        <w:tc>
          <w:tcPr>
            <w:tcW w:w="4105" w:type="pct"/>
            <w:tcBorders>
              <w:bottom w:val="nil"/>
            </w:tcBorders>
            <w:shd w:val="clear" w:color="auto" w:fill="FFFFFF" w:themeFill="background1"/>
          </w:tcPr>
          <w:p w14:paraId="55CC913F" w14:textId="77777777" w:rsidR="00A21364" w:rsidRPr="003925FE" w:rsidRDefault="00A21364">
            <w:pPr>
              <w:pStyle w:val="TableBody"/>
              <w:spacing w:before="45" w:after="45"/>
              <w:ind w:right="108"/>
              <w:rPr>
                <w:rFonts w:cs="Open Sans"/>
                <w:b/>
                <w:color w:val="1D4374"/>
              </w:rPr>
            </w:pPr>
            <w:r w:rsidRPr="009E213D">
              <w:t>The Hon Mathias Cormann</w:t>
            </w:r>
          </w:p>
        </w:tc>
        <w:tc>
          <w:tcPr>
            <w:tcW w:w="895" w:type="pct"/>
            <w:tcBorders>
              <w:bottom w:val="nil"/>
            </w:tcBorders>
            <w:shd w:val="clear" w:color="auto" w:fill="FFFFFF" w:themeFill="background1"/>
          </w:tcPr>
          <w:p w14:paraId="23ED049E" w14:textId="77777777" w:rsidR="00A21364" w:rsidRPr="003925FE" w:rsidRDefault="00A21364">
            <w:pPr>
              <w:pStyle w:val="TableBody"/>
              <w:spacing w:before="45" w:after="45"/>
              <w:ind w:right="108"/>
              <w:jc w:val="right"/>
              <w:rPr>
                <w:rFonts w:cs="Open Sans"/>
                <w:color w:val="000000"/>
              </w:rPr>
            </w:pPr>
            <w:r w:rsidRPr="009E213D">
              <w:t>56</w:t>
            </w:r>
          </w:p>
        </w:tc>
      </w:tr>
      <w:tr w:rsidR="00A21364" w:rsidRPr="003925FE" w14:paraId="04C71705" w14:textId="77777777">
        <w:tc>
          <w:tcPr>
            <w:tcW w:w="4105" w:type="pct"/>
            <w:tcBorders>
              <w:top w:val="nil"/>
              <w:bottom w:val="nil"/>
            </w:tcBorders>
            <w:shd w:val="clear" w:color="auto" w:fill="E6E6E6"/>
          </w:tcPr>
          <w:p w14:paraId="0ADC851C" w14:textId="77777777" w:rsidR="00A21364" w:rsidRPr="003925FE" w:rsidRDefault="00A21364">
            <w:pPr>
              <w:pStyle w:val="TableBody"/>
              <w:spacing w:before="45" w:after="45"/>
              <w:ind w:right="108"/>
              <w:rPr>
                <w:rFonts w:cs="Open Sans"/>
                <w:b/>
                <w:color w:val="1D4374"/>
              </w:rPr>
            </w:pPr>
            <w:r w:rsidRPr="009E213D">
              <w:t>Victorian Chamber of Commerce and Industry</w:t>
            </w:r>
          </w:p>
        </w:tc>
        <w:tc>
          <w:tcPr>
            <w:tcW w:w="895" w:type="pct"/>
            <w:tcBorders>
              <w:top w:val="nil"/>
              <w:bottom w:val="nil"/>
            </w:tcBorders>
            <w:shd w:val="clear" w:color="auto" w:fill="E6E6E6"/>
          </w:tcPr>
          <w:p w14:paraId="48EB451C" w14:textId="77777777" w:rsidR="00A21364" w:rsidRPr="003925FE" w:rsidRDefault="00A21364">
            <w:pPr>
              <w:pStyle w:val="TableBody"/>
              <w:spacing w:before="45" w:after="45"/>
              <w:ind w:right="108"/>
              <w:jc w:val="right"/>
              <w:rPr>
                <w:rFonts w:cs="Open Sans"/>
                <w:color w:val="000000"/>
              </w:rPr>
            </w:pPr>
            <w:r w:rsidRPr="009E213D">
              <w:t>57</w:t>
            </w:r>
          </w:p>
        </w:tc>
      </w:tr>
      <w:tr w:rsidR="00A21364" w:rsidRPr="003925FE" w14:paraId="025B1471" w14:textId="77777777">
        <w:tc>
          <w:tcPr>
            <w:tcW w:w="4105" w:type="pct"/>
            <w:tcBorders>
              <w:top w:val="nil"/>
              <w:bottom w:val="nil"/>
            </w:tcBorders>
            <w:shd w:val="clear" w:color="auto" w:fill="FFFFFF" w:themeFill="background1"/>
          </w:tcPr>
          <w:p w14:paraId="64CAD81B" w14:textId="77777777" w:rsidR="00A21364" w:rsidRPr="003925FE" w:rsidRDefault="00A21364">
            <w:pPr>
              <w:pStyle w:val="TableBody"/>
              <w:spacing w:before="45" w:after="45"/>
              <w:ind w:right="108"/>
              <w:rPr>
                <w:rFonts w:cs="Open Sans"/>
                <w:b/>
                <w:color w:val="1D4374"/>
              </w:rPr>
            </w:pPr>
            <w:r w:rsidRPr="009E213D">
              <w:t>Victorian Government</w:t>
            </w:r>
          </w:p>
        </w:tc>
        <w:tc>
          <w:tcPr>
            <w:tcW w:w="895" w:type="pct"/>
            <w:tcBorders>
              <w:top w:val="nil"/>
              <w:bottom w:val="nil"/>
            </w:tcBorders>
            <w:shd w:val="clear" w:color="auto" w:fill="FFFFFF" w:themeFill="background1"/>
          </w:tcPr>
          <w:p w14:paraId="54D173FA" w14:textId="77777777" w:rsidR="00A21364" w:rsidRPr="003925FE" w:rsidRDefault="00A21364">
            <w:pPr>
              <w:pStyle w:val="TableBody"/>
              <w:spacing w:before="45" w:after="45"/>
              <w:ind w:right="108"/>
              <w:jc w:val="right"/>
              <w:rPr>
                <w:rFonts w:cs="Open Sans"/>
                <w:color w:val="000000"/>
              </w:rPr>
            </w:pPr>
            <w:r w:rsidRPr="009E213D">
              <w:t>59</w:t>
            </w:r>
          </w:p>
        </w:tc>
      </w:tr>
      <w:tr w:rsidR="00A21364" w:rsidRPr="003925FE" w14:paraId="6AEA5842" w14:textId="77777777">
        <w:tc>
          <w:tcPr>
            <w:tcW w:w="4105" w:type="pct"/>
            <w:tcBorders>
              <w:top w:val="nil"/>
              <w:bottom w:val="nil"/>
            </w:tcBorders>
            <w:shd w:val="clear" w:color="auto" w:fill="E6E6E6"/>
          </w:tcPr>
          <w:p w14:paraId="7B2BE5A0" w14:textId="77777777" w:rsidR="00A21364" w:rsidRPr="003925FE" w:rsidRDefault="00A21364">
            <w:pPr>
              <w:pStyle w:val="TableBody"/>
              <w:spacing w:before="45" w:after="45"/>
              <w:ind w:right="108"/>
              <w:rPr>
                <w:rFonts w:cs="Open Sans"/>
                <w:b/>
                <w:color w:val="1D4374"/>
              </w:rPr>
            </w:pPr>
            <w:r w:rsidRPr="009E213D">
              <w:t>Western Tiger Corporate Advisors</w:t>
            </w:r>
          </w:p>
        </w:tc>
        <w:tc>
          <w:tcPr>
            <w:tcW w:w="895" w:type="pct"/>
            <w:tcBorders>
              <w:top w:val="nil"/>
              <w:bottom w:val="nil"/>
            </w:tcBorders>
            <w:shd w:val="clear" w:color="auto" w:fill="E6E6E6"/>
          </w:tcPr>
          <w:p w14:paraId="5E151C44" w14:textId="77777777" w:rsidR="00A21364" w:rsidRPr="003925FE" w:rsidRDefault="00A21364">
            <w:pPr>
              <w:pStyle w:val="TableBody"/>
              <w:spacing w:before="45" w:after="45"/>
              <w:ind w:right="108"/>
              <w:jc w:val="right"/>
              <w:rPr>
                <w:rFonts w:cs="Open Sans"/>
                <w:color w:val="000000"/>
              </w:rPr>
            </w:pPr>
            <w:r w:rsidRPr="009E213D">
              <w:t>51</w:t>
            </w:r>
          </w:p>
        </w:tc>
      </w:tr>
      <w:tr w:rsidR="00A21364" w:rsidRPr="003925FE" w14:paraId="2C12DF90" w14:textId="77777777">
        <w:tc>
          <w:tcPr>
            <w:tcW w:w="4105" w:type="pct"/>
            <w:tcBorders>
              <w:top w:val="nil"/>
            </w:tcBorders>
            <w:shd w:val="clear" w:color="auto" w:fill="FFFFFF" w:themeFill="background1"/>
          </w:tcPr>
          <w:p w14:paraId="3B48C9F9" w14:textId="77777777" w:rsidR="00A21364" w:rsidRPr="003925FE" w:rsidRDefault="00A21364">
            <w:pPr>
              <w:pStyle w:val="TableBody"/>
              <w:spacing w:before="45" w:after="45"/>
              <w:ind w:right="108"/>
              <w:rPr>
                <w:rFonts w:cs="Open Sans"/>
                <w:b/>
                <w:color w:val="1D4374"/>
              </w:rPr>
            </w:pPr>
            <w:r w:rsidRPr="009E213D">
              <w:t>Yothu Yindi Foundation (YYF)</w:t>
            </w:r>
          </w:p>
        </w:tc>
        <w:tc>
          <w:tcPr>
            <w:tcW w:w="895" w:type="pct"/>
            <w:tcBorders>
              <w:top w:val="nil"/>
            </w:tcBorders>
            <w:shd w:val="clear" w:color="auto" w:fill="FFFFFF" w:themeFill="background1"/>
          </w:tcPr>
          <w:p w14:paraId="727921CE" w14:textId="77777777" w:rsidR="00A21364" w:rsidRPr="003925FE" w:rsidRDefault="00A21364">
            <w:pPr>
              <w:pStyle w:val="TableBody"/>
              <w:spacing w:before="45" w:after="45"/>
              <w:ind w:right="108"/>
              <w:jc w:val="right"/>
              <w:rPr>
                <w:rFonts w:cs="Open Sans"/>
                <w:color w:val="000000"/>
              </w:rPr>
            </w:pPr>
            <w:r w:rsidRPr="009E213D">
              <w:t>43</w:t>
            </w:r>
          </w:p>
        </w:tc>
      </w:tr>
    </w:tbl>
    <w:p w14:paraId="6B175760" w14:textId="77777777" w:rsidR="00A21364" w:rsidRDefault="00A21364">
      <w:pPr>
        <w:pStyle w:val="FigureTableHeading"/>
      </w:pPr>
      <w:r>
        <w:t>Table A.2</w:t>
      </w:r>
      <w:r>
        <w:rPr>
          <w:noProof/>
        </w:rPr>
        <w:t xml:space="preserve">– </w:t>
      </w:r>
      <w:r>
        <w:t>Consultations</w:t>
      </w:r>
    </w:p>
    <w:tbl>
      <w:tblPr>
        <w:tblW w:w="5000" w:type="pct"/>
        <w:tblBorders>
          <w:bottom w:val="single" w:sz="4" w:space="0" w:color="B3B3B3"/>
        </w:tblBorders>
        <w:shd w:val="clear" w:color="000000" w:fill="auto"/>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9638"/>
      </w:tblGrid>
      <w:tr w:rsidR="00A21364" w:rsidRPr="00412F68" w14:paraId="3A40E542" w14:textId="77777777">
        <w:trPr>
          <w:tblHeader/>
        </w:trPr>
        <w:tc>
          <w:tcPr>
            <w:tcW w:w="5000" w:type="pct"/>
            <w:tcBorders>
              <w:bottom w:val="single" w:sz="4" w:space="0" w:color="B3B3B3"/>
            </w:tcBorders>
            <w:shd w:val="clear" w:color="000000" w:fill="auto"/>
            <w:vAlign w:val="bottom"/>
          </w:tcPr>
          <w:p w14:paraId="797FE353" w14:textId="77777777" w:rsidR="00A21364" w:rsidRPr="00412F68" w:rsidRDefault="00A21364">
            <w:pPr>
              <w:pStyle w:val="TableHeading"/>
              <w:spacing w:before="45" w:after="45"/>
              <w:ind w:left="0"/>
              <w:rPr>
                <w:rFonts w:cs="Open Sans"/>
                <w:color w:val="1D4374"/>
              </w:rPr>
            </w:pPr>
            <w:r w:rsidRPr="00412F68">
              <w:rPr>
                <w:rFonts w:cs="Open Sans"/>
                <w:color w:val="1D4374"/>
              </w:rPr>
              <w:t>Participants</w:t>
            </w:r>
          </w:p>
        </w:tc>
      </w:tr>
      <w:tr w:rsidR="00A21364" w:rsidRPr="00412F68" w14:paraId="51CCAD41" w14:textId="77777777">
        <w:tc>
          <w:tcPr>
            <w:tcW w:w="5000" w:type="pct"/>
            <w:tcBorders>
              <w:top w:val="single" w:sz="4" w:space="0" w:color="B3B3B3"/>
              <w:bottom w:val="nil"/>
            </w:tcBorders>
            <w:shd w:val="clear" w:color="auto" w:fill="E6E6E6"/>
          </w:tcPr>
          <w:p w14:paraId="66A7E36D" w14:textId="77777777" w:rsidR="00A21364" w:rsidRPr="00412F68" w:rsidRDefault="00A21364">
            <w:pPr>
              <w:pStyle w:val="TableBody"/>
              <w:spacing w:before="45" w:after="45"/>
              <w:ind w:right="108"/>
              <w:rPr>
                <w:rFonts w:cs="Open Sans"/>
                <w:b/>
                <w:color w:val="1D4374"/>
              </w:rPr>
            </w:pPr>
            <w:r w:rsidRPr="007F5A24">
              <w:t>ACT Chief Minister, Treasury and Economic Development Directorate</w:t>
            </w:r>
          </w:p>
        </w:tc>
      </w:tr>
      <w:tr w:rsidR="00A21364" w:rsidRPr="00B47E00" w14:paraId="36FB8EDD" w14:textId="77777777">
        <w:tc>
          <w:tcPr>
            <w:tcW w:w="5000" w:type="pct"/>
            <w:tcBorders>
              <w:top w:val="nil"/>
              <w:bottom w:val="nil"/>
            </w:tcBorders>
          </w:tcPr>
          <w:p w14:paraId="341F7C97" w14:textId="77777777" w:rsidR="00A21364" w:rsidRPr="00B47E00" w:rsidRDefault="00A21364">
            <w:pPr>
              <w:pStyle w:val="TableBody"/>
              <w:spacing w:before="45" w:after="45"/>
              <w:ind w:right="108"/>
              <w:rPr>
                <w:rFonts w:cs="Open Sans"/>
                <w:b/>
              </w:rPr>
            </w:pPr>
            <w:r w:rsidRPr="00B47E00">
              <w:t xml:space="preserve">ACT Treasurer </w:t>
            </w:r>
            <w:r w:rsidRPr="00294C33">
              <w:t>–</w:t>
            </w:r>
            <w:r w:rsidRPr="00B47E00">
              <w:t xml:space="preserve"> the Hon Chris Steel</w:t>
            </w:r>
          </w:p>
        </w:tc>
      </w:tr>
      <w:tr w:rsidR="00A21364" w:rsidRPr="00412F68" w14:paraId="208BCEB7" w14:textId="77777777">
        <w:tc>
          <w:tcPr>
            <w:tcW w:w="5000" w:type="pct"/>
            <w:tcBorders>
              <w:top w:val="nil"/>
              <w:bottom w:val="nil"/>
            </w:tcBorders>
            <w:shd w:val="clear" w:color="auto" w:fill="E6E6E6"/>
          </w:tcPr>
          <w:p w14:paraId="6BA47E3D" w14:textId="77777777" w:rsidR="00A21364" w:rsidRPr="00412F68" w:rsidRDefault="00A21364">
            <w:pPr>
              <w:pStyle w:val="TableBody"/>
              <w:spacing w:before="45" w:after="45"/>
              <w:ind w:right="108"/>
              <w:rPr>
                <w:rFonts w:cs="Open Sans"/>
                <w:b/>
                <w:color w:val="1D4374"/>
              </w:rPr>
            </w:pPr>
            <w:r w:rsidRPr="007F5A24">
              <w:t xml:space="preserve">ALGA and member </w:t>
            </w:r>
            <w:r>
              <w:t>associations</w:t>
            </w:r>
          </w:p>
        </w:tc>
      </w:tr>
      <w:tr w:rsidR="00A21364" w:rsidRPr="00412F68" w14:paraId="68A056FA" w14:textId="77777777">
        <w:tc>
          <w:tcPr>
            <w:tcW w:w="5000" w:type="pct"/>
            <w:tcBorders>
              <w:bottom w:val="nil"/>
            </w:tcBorders>
          </w:tcPr>
          <w:p w14:paraId="2E861354" w14:textId="77777777" w:rsidR="00A21364" w:rsidRPr="007F5A24" w:rsidRDefault="00A21364">
            <w:pPr>
              <w:pStyle w:val="TableBody"/>
              <w:spacing w:before="45" w:after="45"/>
              <w:ind w:right="108"/>
            </w:pPr>
            <w:r w:rsidRPr="007F5A24">
              <w:t>Australia Institute</w:t>
            </w:r>
          </w:p>
        </w:tc>
      </w:tr>
      <w:tr w:rsidR="00A21364" w:rsidRPr="00412F68" w14:paraId="28BC40DF" w14:textId="77777777">
        <w:tc>
          <w:tcPr>
            <w:tcW w:w="5000" w:type="pct"/>
            <w:tcBorders>
              <w:bottom w:val="nil"/>
            </w:tcBorders>
            <w:shd w:val="clear" w:color="auto" w:fill="E6E6E6"/>
          </w:tcPr>
          <w:p w14:paraId="6A35B060" w14:textId="77777777" w:rsidR="00A21364" w:rsidRPr="00412F68" w:rsidRDefault="00A21364">
            <w:pPr>
              <w:pStyle w:val="TableBody"/>
              <w:spacing w:before="45" w:after="45"/>
              <w:ind w:right="108"/>
              <w:rPr>
                <w:rFonts w:cs="Open Sans"/>
                <w:b/>
                <w:color w:val="1D4374"/>
              </w:rPr>
            </w:pPr>
            <w:r w:rsidRPr="007F5A24">
              <w:t>Australian Bureau of Statistics</w:t>
            </w:r>
          </w:p>
        </w:tc>
      </w:tr>
      <w:tr w:rsidR="00A21364" w:rsidRPr="00412F68" w14:paraId="0E1D0826" w14:textId="77777777">
        <w:tc>
          <w:tcPr>
            <w:tcW w:w="5000" w:type="pct"/>
            <w:tcBorders>
              <w:bottom w:val="nil"/>
            </w:tcBorders>
          </w:tcPr>
          <w:p w14:paraId="5911775D" w14:textId="77777777" w:rsidR="00A21364" w:rsidRPr="00412F68" w:rsidRDefault="00A21364">
            <w:pPr>
              <w:pStyle w:val="TableBody"/>
              <w:spacing w:before="45" w:after="45"/>
              <w:ind w:right="108"/>
              <w:rPr>
                <w:rFonts w:cs="Open Sans"/>
                <w:b/>
                <w:color w:val="1D4374"/>
              </w:rPr>
            </w:pPr>
            <w:r w:rsidRPr="007F5A24">
              <w:t>Australian Government Department of the Prime Minister and Cabinet</w:t>
            </w:r>
          </w:p>
        </w:tc>
      </w:tr>
      <w:tr w:rsidR="00A21364" w:rsidRPr="00412F68" w14:paraId="2954BF5D" w14:textId="77777777">
        <w:tc>
          <w:tcPr>
            <w:tcW w:w="5000" w:type="pct"/>
            <w:tcBorders>
              <w:top w:val="nil"/>
              <w:bottom w:val="nil"/>
            </w:tcBorders>
            <w:shd w:val="clear" w:color="auto" w:fill="E6E6E6"/>
          </w:tcPr>
          <w:p w14:paraId="0ACE59B9" w14:textId="77777777" w:rsidR="00A21364" w:rsidRPr="00412F68" w:rsidRDefault="00A21364">
            <w:pPr>
              <w:pStyle w:val="TableBody"/>
              <w:spacing w:before="45" w:after="45"/>
              <w:ind w:right="108"/>
              <w:rPr>
                <w:rFonts w:cs="Open Sans"/>
                <w:b/>
                <w:color w:val="1D4374"/>
              </w:rPr>
            </w:pPr>
            <w:r w:rsidRPr="007F5A24">
              <w:t>Australian Government Treasury</w:t>
            </w:r>
          </w:p>
        </w:tc>
      </w:tr>
      <w:tr w:rsidR="00A21364" w:rsidRPr="00412F68" w14:paraId="6E68FFAA" w14:textId="77777777">
        <w:tc>
          <w:tcPr>
            <w:tcW w:w="5000" w:type="pct"/>
            <w:tcBorders>
              <w:bottom w:val="nil"/>
            </w:tcBorders>
          </w:tcPr>
          <w:p w14:paraId="333E0C42" w14:textId="77777777" w:rsidR="00A21364" w:rsidRPr="00412F68" w:rsidRDefault="00A21364">
            <w:pPr>
              <w:pStyle w:val="TableBody"/>
              <w:spacing w:before="45" w:after="45"/>
              <w:ind w:right="108"/>
              <w:rPr>
                <w:rFonts w:cs="Open Sans"/>
                <w:b/>
                <w:color w:val="1D4374"/>
              </w:rPr>
            </w:pPr>
            <w:r w:rsidRPr="007F5A24">
              <w:t>Australian Government Parliamentary Budget Office</w:t>
            </w:r>
          </w:p>
        </w:tc>
      </w:tr>
      <w:tr w:rsidR="00A21364" w:rsidRPr="00412F68" w14:paraId="2059C335" w14:textId="77777777">
        <w:tc>
          <w:tcPr>
            <w:tcW w:w="5000" w:type="pct"/>
            <w:tcBorders>
              <w:top w:val="nil"/>
              <w:bottom w:val="nil"/>
            </w:tcBorders>
            <w:shd w:val="clear" w:color="auto" w:fill="E6E6E6"/>
          </w:tcPr>
          <w:p w14:paraId="4D2505BB" w14:textId="77777777" w:rsidR="00A21364" w:rsidRPr="00412F68" w:rsidRDefault="00A21364">
            <w:pPr>
              <w:pStyle w:val="TableBody"/>
              <w:spacing w:before="45" w:after="45"/>
              <w:ind w:right="108"/>
              <w:rPr>
                <w:rFonts w:cs="Open Sans"/>
                <w:b/>
                <w:color w:val="1D4374"/>
              </w:rPr>
            </w:pPr>
            <w:r w:rsidRPr="007F5A24">
              <w:t>Australian Taxation Office</w:t>
            </w:r>
          </w:p>
        </w:tc>
      </w:tr>
      <w:tr w:rsidR="00A21364" w:rsidRPr="00412F68" w14:paraId="2D264770" w14:textId="77777777">
        <w:tc>
          <w:tcPr>
            <w:tcW w:w="5000" w:type="pct"/>
            <w:tcBorders>
              <w:bottom w:val="nil"/>
            </w:tcBorders>
          </w:tcPr>
          <w:p w14:paraId="2EA28DCA" w14:textId="77777777" w:rsidR="00A21364" w:rsidRPr="00412F68" w:rsidRDefault="00A21364">
            <w:pPr>
              <w:pStyle w:val="TableBody"/>
              <w:spacing w:before="45" w:after="45"/>
              <w:ind w:right="108"/>
              <w:rPr>
                <w:rFonts w:cs="Open Sans"/>
                <w:b/>
                <w:color w:val="1D4374"/>
              </w:rPr>
            </w:pPr>
            <w:r w:rsidRPr="007F5A24">
              <w:t>Business Council of Australia</w:t>
            </w:r>
          </w:p>
        </w:tc>
      </w:tr>
      <w:tr w:rsidR="00A21364" w:rsidRPr="00412F68" w14:paraId="09FC3F1F" w14:textId="77777777">
        <w:tc>
          <w:tcPr>
            <w:tcW w:w="5000" w:type="pct"/>
            <w:tcBorders>
              <w:top w:val="nil"/>
              <w:bottom w:val="nil"/>
            </w:tcBorders>
            <w:shd w:val="clear" w:color="auto" w:fill="E6E6E6"/>
          </w:tcPr>
          <w:p w14:paraId="308F7159" w14:textId="77777777" w:rsidR="00A21364" w:rsidRPr="00412F68" w:rsidRDefault="00A21364">
            <w:pPr>
              <w:pStyle w:val="TableBody"/>
              <w:spacing w:before="45" w:after="45"/>
              <w:ind w:right="108"/>
              <w:rPr>
                <w:rFonts w:cs="Open Sans"/>
                <w:b/>
                <w:color w:val="1D4374"/>
              </w:rPr>
            </w:pPr>
            <w:r w:rsidRPr="007F5A24">
              <w:t>Centre for Independent Studies</w:t>
            </w:r>
          </w:p>
        </w:tc>
      </w:tr>
      <w:tr w:rsidR="00A21364" w:rsidRPr="00412F68" w14:paraId="1904D195" w14:textId="77777777">
        <w:tc>
          <w:tcPr>
            <w:tcW w:w="5000" w:type="pct"/>
            <w:tcBorders>
              <w:bottom w:val="nil"/>
            </w:tcBorders>
          </w:tcPr>
          <w:p w14:paraId="2D0E4F4C" w14:textId="77777777" w:rsidR="00A21364" w:rsidRPr="007F5A24" w:rsidRDefault="00A21364">
            <w:pPr>
              <w:pStyle w:val="TableBody"/>
              <w:spacing w:before="45" w:after="45"/>
              <w:ind w:right="108"/>
            </w:pPr>
            <w:r>
              <w:t>Chris Murphy</w:t>
            </w:r>
          </w:p>
        </w:tc>
      </w:tr>
      <w:tr w:rsidR="00A21364" w:rsidRPr="00412F68" w14:paraId="4BB4D337" w14:textId="77777777">
        <w:tc>
          <w:tcPr>
            <w:tcW w:w="5000" w:type="pct"/>
            <w:tcBorders>
              <w:bottom w:val="nil"/>
            </w:tcBorders>
            <w:shd w:val="clear" w:color="auto" w:fill="E6E6E6"/>
          </w:tcPr>
          <w:p w14:paraId="68E8F2BB" w14:textId="77777777" w:rsidR="00A21364" w:rsidRPr="00412F68" w:rsidRDefault="00A21364">
            <w:pPr>
              <w:pStyle w:val="TableBody"/>
              <w:spacing w:before="45" w:after="45"/>
              <w:ind w:right="108"/>
              <w:rPr>
                <w:rFonts w:cs="Open Sans"/>
                <w:b/>
                <w:color w:val="1D4374"/>
              </w:rPr>
            </w:pPr>
            <w:r w:rsidRPr="007F5A24">
              <w:t>Committee for Economic Development of Australia</w:t>
            </w:r>
          </w:p>
        </w:tc>
      </w:tr>
      <w:tr w:rsidR="00A21364" w:rsidRPr="00412F68" w14:paraId="6F20458E" w14:textId="77777777">
        <w:tc>
          <w:tcPr>
            <w:tcW w:w="5000" w:type="pct"/>
            <w:tcBorders>
              <w:top w:val="nil"/>
              <w:bottom w:val="nil"/>
            </w:tcBorders>
          </w:tcPr>
          <w:p w14:paraId="7317B24E" w14:textId="77777777" w:rsidR="00A21364" w:rsidRPr="00412F68" w:rsidRDefault="00A21364">
            <w:pPr>
              <w:pStyle w:val="TableBody"/>
              <w:spacing w:before="45" w:after="45"/>
              <w:ind w:right="108"/>
              <w:rPr>
                <w:rFonts w:cs="Open Sans"/>
                <w:b/>
                <w:color w:val="1D4374"/>
              </w:rPr>
            </w:pPr>
            <w:r w:rsidRPr="007F5A24">
              <w:t>Commonwealth Grants Commission</w:t>
            </w:r>
          </w:p>
        </w:tc>
      </w:tr>
      <w:tr w:rsidR="00A21364" w:rsidRPr="00412F68" w14:paraId="1B0893CA" w14:textId="77777777">
        <w:tc>
          <w:tcPr>
            <w:tcW w:w="5000" w:type="pct"/>
            <w:tcBorders>
              <w:bottom w:val="nil"/>
            </w:tcBorders>
            <w:shd w:val="clear" w:color="auto" w:fill="E6E6E6"/>
          </w:tcPr>
          <w:p w14:paraId="44195617" w14:textId="77777777" w:rsidR="00A21364" w:rsidRPr="00412F68" w:rsidRDefault="00A21364">
            <w:pPr>
              <w:pStyle w:val="TableBody"/>
              <w:spacing w:before="45" w:after="45"/>
              <w:ind w:right="108"/>
              <w:rPr>
                <w:rFonts w:cs="Open Sans"/>
                <w:b/>
                <w:color w:val="1D4374"/>
              </w:rPr>
            </w:pPr>
            <w:r w:rsidRPr="007F5A24">
              <w:t>e61 Institute</w:t>
            </w:r>
          </w:p>
        </w:tc>
      </w:tr>
      <w:tr w:rsidR="00A21364" w:rsidRPr="00412F68" w14:paraId="1612EA24" w14:textId="77777777">
        <w:tc>
          <w:tcPr>
            <w:tcW w:w="5000" w:type="pct"/>
            <w:tcBorders>
              <w:top w:val="nil"/>
              <w:bottom w:val="nil"/>
            </w:tcBorders>
          </w:tcPr>
          <w:p w14:paraId="331A6149" w14:textId="77777777" w:rsidR="00A21364" w:rsidRPr="00412F68" w:rsidRDefault="00A21364">
            <w:pPr>
              <w:pStyle w:val="TableBody"/>
              <w:spacing w:before="45" w:after="45"/>
              <w:ind w:right="108"/>
              <w:rPr>
                <w:rFonts w:cs="Open Sans"/>
                <w:b/>
                <w:color w:val="1D4374"/>
              </w:rPr>
            </w:pPr>
            <w:r w:rsidRPr="007F5A24">
              <w:t>Grattan Institute</w:t>
            </w:r>
          </w:p>
        </w:tc>
      </w:tr>
      <w:tr w:rsidR="00A21364" w:rsidRPr="00412F68" w14:paraId="0192EEC1" w14:textId="77777777">
        <w:tc>
          <w:tcPr>
            <w:tcW w:w="5000" w:type="pct"/>
            <w:tcBorders>
              <w:bottom w:val="nil"/>
            </w:tcBorders>
            <w:shd w:val="clear" w:color="auto" w:fill="E6E6E6"/>
          </w:tcPr>
          <w:p w14:paraId="6EAD1887" w14:textId="77777777" w:rsidR="00A21364" w:rsidRPr="007F5A24" w:rsidRDefault="00A21364">
            <w:pPr>
              <w:pStyle w:val="TableBody"/>
              <w:spacing w:before="45" w:after="45"/>
              <w:ind w:right="108"/>
            </w:pPr>
            <w:r>
              <w:t>Huw McKay</w:t>
            </w:r>
          </w:p>
        </w:tc>
      </w:tr>
      <w:tr w:rsidR="00A21364" w:rsidRPr="00412F68" w14:paraId="6E4E1AC5" w14:textId="77777777">
        <w:tc>
          <w:tcPr>
            <w:tcW w:w="5000" w:type="pct"/>
            <w:tcBorders>
              <w:bottom w:val="nil"/>
            </w:tcBorders>
          </w:tcPr>
          <w:p w14:paraId="7CDE1164" w14:textId="77777777" w:rsidR="00A21364" w:rsidRPr="00412F68" w:rsidRDefault="00A21364">
            <w:pPr>
              <w:pStyle w:val="TableBody"/>
              <w:spacing w:before="45" w:after="45"/>
              <w:ind w:right="108"/>
              <w:rPr>
                <w:rFonts w:cs="Open Sans"/>
                <w:b/>
                <w:color w:val="1D4374"/>
              </w:rPr>
            </w:pPr>
            <w:r w:rsidRPr="007F5A24">
              <w:t>Institute of Public Affairs</w:t>
            </w:r>
          </w:p>
        </w:tc>
      </w:tr>
      <w:tr w:rsidR="00A21364" w:rsidRPr="00412F68" w14:paraId="6FDFC05A" w14:textId="77777777">
        <w:tc>
          <w:tcPr>
            <w:tcW w:w="5000" w:type="pct"/>
            <w:tcBorders>
              <w:bottom w:val="nil"/>
            </w:tcBorders>
            <w:shd w:val="clear" w:color="auto" w:fill="E6E6E6"/>
          </w:tcPr>
          <w:p w14:paraId="4565DD18" w14:textId="77777777" w:rsidR="00A21364" w:rsidRPr="00412F68" w:rsidRDefault="00A21364">
            <w:pPr>
              <w:pStyle w:val="TableBody"/>
              <w:spacing w:before="45" w:after="45"/>
              <w:ind w:right="108"/>
              <w:rPr>
                <w:rFonts w:cs="Open Sans"/>
                <w:b/>
                <w:color w:val="1D4374"/>
              </w:rPr>
            </w:pPr>
            <w:r w:rsidRPr="007F5A24">
              <w:t xml:space="preserve">New South Wales Treasurer </w:t>
            </w:r>
            <w:r w:rsidRPr="00294C33">
              <w:t>–</w:t>
            </w:r>
            <w:r w:rsidRPr="007F5A24">
              <w:t xml:space="preserve"> </w:t>
            </w:r>
            <w:r w:rsidRPr="00B47E00">
              <w:t xml:space="preserve">the Hon </w:t>
            </w:r>
            <w:r w:rsidRPr="007F5A24">
              <w:t>Daniel Mookhey</w:t>
            </w:r>
          </w:p>
        </w:tc>
      </w:tr>
      <w:tr w:rsidR="00A21364" w:rsidRPr="00412F68" w14:paraId="2642DC4E" w14:textId="77777777">
        <w:tc>
          <w:tcPr>
            <w:tcW w:w="5000" w:type="pct"/>
            <w:tcBorders>
              <w:top w:val="nil"/>
              <w:bottom w:val="nil"/>
            </w:tcBorders>
          </w:tcPr>
          <w:p w14:paraId="75E32657" w14:textId="77777777" w:rsidR="00A21364" w:rsidRPr="00412F68" w:rsidRDefault="00A21364">
            <w:pPr>
              <w:pStyle w:val="TableBody"/>
              <w:spacing w:before="45" w:after="45"/>
              <w:ind w:right="108"/>
              <w:rPr>
                <w:rFonts w:cs="Open Sans"/>
                <w:b/>
                <w:color w:val="1D4374"/>
              </w:rPr>
            </w:pPr>
            <w:r w:rsidRPr="007F5A24">
              <w:t>New South Wales Treasury</w:t>
            </w:r>
          </w:p>
        </w:tc>
      </w:tr>
      <w:tr w:rsidR="00A21364" w:rsidRPr="00412F68" w14:paraId="209882B7" w14:textId="77777777">
        <w:tc>
          <w:tcPr>
            <w:tcW w:w="5000" w:type="pct"/>
            <w:tcBorders>
              <w:bottom w:val="nil"/>
            </w:tcBorders>
            <w:shd w:val="clear" w:color="auto" w:fill="E6E6E6"/>
          </w:tcPr>
          <w:p w14:paraId="6E0A6A2F" w14:textId="77777777" w:rsidR="00A21364" w:rsidRPr="00412F68" w:rsidRDefault="00A21364">
            <w:pPr>
              <w:pStyle w:val="TableBody"/>
              <w:spacing w:before="45" w:after="45"/>
              <w:ind w:right="108"/>
              <w:rPr>
                <w:rFonts w:cs="Open Sans"/>
                <w:b/>
                <w:color w:val="1D4374"/>
              </w:rPr>
            </w:pPr>
            <w:r w:rsidRPr="007F5A24">
              <w:t xml:space="preserve">Northern Territory Department of Treasury and Finance </w:t>
            </w:r>
          </w:p>
        </w:tc>
      </w:tr>
      <w:tr w:rsidR="00A21364" w:rsidRPr="00412F68" w14:paraId="1C1F51C8" w14:textId="77777777">
        <w:tc>
          <w:tcPr>
            <w:tcW w:w="5000" w:type="pct"/>
            <w:tcBorders>
              <w:top w:val="nil"/>
              <w:bottom w:val="nil"/>
            </w:tcBorders>
          </w:tcPr>
          <w:p w14:paraId="15DB60DA" w14:textId="77777777" w:rsidR="00A21364" w:rsidRPr="00412F68" w:rsidRDefault="00A21364">
            <w:pPr>
              <w:pStyle w:val="TableBody"/>
              <w:spacing w:before="45" w:after="45"/>
              <w:ind w:right="108"/>
              <w:rPr>
                <w:rFonts w:cs="Open Sans"/>
                <w:b/>
                <w:color w:val="1D4374"/>
              </w:rPr>
            </w:pPr>
            <w:r w:rsidRPr="007F5A24">
              <w:lastRenderedPageBreak/>
              <w:t xml:space="preserve">Northern Territory Opposition Leader </w:t>
            </w:r>
            <w:r w:rsidRPr="00294C33">
              <w:t>–</w:t>
            </w:r>
            <w:r w:rsidRPr="007F5A24">
              <w:t xml:space="preserve"> Selena Uibo MLA</w:t>
            </w:r>
          </w:p>
        </w:tc>
      </w:tr>
      <w:tr w:rsidR="00A21364" w:rsidRPr="00412F68" w14:paraId="72193809" w14:textId="77777777">
        <w:tc>
          <w:tcPr>
            <w:tcW w:w="5000" w:type="pct"/>
            <w:tcBorders>
              <w:top w:val="nil"/>
              <w:bottom w:val="nil"/>
            </w:tcBorders>
            <w:shd w:val="clear" w:color="auto" w:fill="E6E6E6"/>
          </w:tcPr>
          <w:p w14:paraId="78911D2D" w14:textId="77777777" w:rsidR="00A21364" w:rsidRPr="007F5A24" w:rsidRDefault="00A21364">
            <w:pPr>
              <w:pStyle w:val="TableBody"/>
              <w:spacing w:before="45" w:after="45"/>
              <w:ind w:right="108"/>
            </w:pPr>
            <w:r>
              <w:t xml:space="preserve">Northern Territory Treasurer – </w:t>
            </w:r>
            <w:r w:rsidRPr="00B47E00">
              <w:t xml:space="preserve">the Hon </w:t>
            </w:r>
            <w:r>
              <w:t>Bill Yan</w:t>
            </w:r>
          </w:p>
        </w:tc>
      </w:tr>
      <w:tr w:rsidR="00A21364" w:rsidRPr="00412F68" w14:paraId="0DC4344B" w14:textId="77777777">
        <w:tc>
          <w:tcPr>
            <w:tcW w:w="5000" w:type="pct"/>
            <w:tcBorders>
              <w:top w:val="nil"/>
              <w:bottom w:val="nil"/>
            </w:tcBorders>
          </w:tcPr>
          <w:p w14:paraId="4C87B8AA" w14:textId="77777777" w:rsidR="00A21364" w:rsidRPr="00412F68" w:rsidRDefault="00A21364">
            <w:pPr>
              <w:pStyle w:val="TableBody"/>
              <w:spacing w:before="45" w:after="45"/>
              <w:ind w:right="108"/>
              <w:rPr>
                <w:rFonts w:cs="Open Sans"/>
                <w:b/>
                <w:color w:val="1D4374"/>
              </w:rPr>
            </w:pPr>
            <w:r w:rsidRPr="007F5A24">
              <w:t>Organisation for Economic Co-operation and Development (OECD)</w:t>
            </w:r>
          </w:p>
        </w:tc>
      </w:tr>
      <w:tr w:rsidR="00A21364" w:rsidRPr="00412F68" w14:paraId="7519B851" w14:textId="77777777">
        <w:tc>
          <w:tcPr>
            <w:tcW w:w="5000" w:type="pct"/>
            <w:tcBorders>
              <w:top w:val="nil"/>
              <w:bottom w:val="nil"/>
            </w:tcBorders>
            <w:shd w:val="clear" w:color="auto" w:fill="E6E6E6"/>
          </w:tcPr>
          <w:p w14:paraId="3B16CF41" w14:textId="77777777" w:rsidR="00A21364" w:rsidRPr="00412F68" w:rsidRDefault="00A21364">
            <w:pPr>
              <w:pStyle w:val="TableBody"/>
              <w:spacing w:before="45" w:after="45"/>
              <w:ind w:right="108"/>
              <w:rPr>
                <w:rFonts w:cs="Open Sans"/>
                <w:b/>
                <w:color w:val="1D4374"/>
              </w:rPr>
            </w:pPr>
            <w:r w:rsidRPr="007F5A24">
              <w:t>Professor Bob Breunig and Dr Peter Varela</w:t>
            </w:r>
          </w:p>
        </w:tc>
      </w:tr>
      <w:tr w:rsidR="00A21364" w:rsidRPr="00412F68" w14:paraId="63880C69" w14:textId="77777777">
        <w:tc>
          <w:tcPr>
            <w:tcW w:w="5000" w:type="pct"/>
            <w:tcBorders>
              <w:bottom w:val="nil"/>
            </w:tcBorders>
          </w:tcPr>
          <w:p w14:paraId="76C0F51B" w14:textId="77777777" w:rsidR="00A21364" w:rsidRPr="00412F68" w:rsidRDefault="00A21364">
            <w:pPr>
              <w:pStyle w:val="TableBody"/>
              <w:spacing w:before="45" w:after="45"/>
              <w:ind w:right="108"/>
              <w:rPr>
                <w:rFonts w:cs="Open Sans"/>
                <w:b/>
                <w:color w:val="1D4374"/>
              </w:rPr>
            </w:pPr>
            <w:r w:rsidRPr="007F5A24">
              <w:t>Queensland Productivity Commission</w:t>
            </w:r>
          </w:p>
        </w:tc>
      </w:tr>
      <w:tr w:rsidR="00A21364" w:rsidRPr="00412F68" w14:paraId="3F4E8BFA" w14:textId="77777777">
        <w:tc>
          <w:tcPr>
            <w:tcW w:w="5000" w:type="pct"/>
            <w:tcBorders>
              <w:top w:val="nil"/>
              <w:bottom w:val="nil"/>
            </w:tcBorders>
            <w:shd w:val="clear" w:color="auto" w:fill="E6E6E6"/>
          </w:tcPr>
          <w:p w14:paraId="7550FEDE" w14:textId="77777777" w:rsidR="00A21364" w:rsidRPr="00412F68" w:rsidRDefault="00A21364">
            <w:pPr>
              <w:pStyle w:val="TableBody"/>
              <w:spacing w:before="45" w:after="45"/>
              <w:ind w:right="108"/>
              <w:rPr>
                <w:rFonts w:cs="Open Sans"/>
                <w:b/>
                <w:color w:val="1D4374"/>
              </w:rPr>
            </w:pPr>
            <w:r w:rsidRPr="007F5A24">
              <w:t xml:space="preserve">Queensland Treasurer </w:t>
            </w:r>
            <w:r w:rsidRPr="00294C33">
              <w:t>–</w:t>
            </w:r>
            <w:r w:rsidRPr="007F5A24">
              <w:t xml:space="preserve"> </w:t>
            </w:r>
            <w:r w:rsidRPr="00B47E00">
              <w:t xml:space="preserve">the Hon </w:t>
            </w:r>
            <w:r w:rsidRPr="007F5A24">
              <w:t>David Janetzki</w:t>
            </w:r>
          </w:p>
        </w:tc>
      </w:tr>
      <w:tr w:rsidR="00A21364" w:rsidRPr="00412F68" w14:paraId="57CE7823" w14:textId="77777777">
        <w:tc>
          <w:tcPr>
            <w:tcW w:w="5000" w:type="pct"/>
            <w:tcBorders>
              <w:bottom w:val="nil"/>
            </w:tcBorders>
          </w:tcPr>
          <w:p w14:paraId="435CBD14" w14:textId="77777777" w:rsidR="00A21364" w:rsidRPr="00412F68" w:rsidRDefault="00A21364">
            <w:pPr>
              <w:pStyle w:val="TableBody"/>
              <w:spacing w:before="45" w:after="45"/>
              <w:ind w:right="108"/>
              <w:rPr>
                <w:rFonts w:cs="Open Sans"/>
                <w:b/>
                <w:color w:val="1D4374"/>
              </w:rPr>
            </w:pPr>
            <w:r w:rsidRPr="007F5A24">
              <w:t>Queensland Treasury</w:t>
            </w:r>
          </w:p>
        </w:tc>
      </w:tr>
      <w:tr w:rsidR="00A21364" w:rsidRPr="00412F68" w14:paraId="0B969F9E" w14:textId="77777777">
        <w:tc>
          <w:tcPr>
            <w:tcW w:w="5000" w:type="pct"/>
            <w:tcBorders>
              <w:top w:val="nil"/>
              <w:bottom w:val="nil"/>
            </w:tcBorders>
            <w:shd w:val="clear" w:color="auto" w:fill="E6E6E6"/>
          </w:tcPr>
          <w:p w14:paraId="26E3C8AF" w14:textId="77777777" w:rsidR="00A21364" w:rsidRPr="00412F68" w:rsidRDefault="00A21364">
            <w:pPr>
              <w:pStyle w:val="TableBody"/>
              <w:spacing w:before="45" w:after="45"/>
              <w:ind w:right="108"/>
              <w:rPr>
                <w:rFonts w:cs="Open Sans"/>
                <w:b/>
                <w:color w:val="1D4374"/>
              </w:rPr>
            </w:pPr>
            <w:r w:rsidRPr="007F5A24">
              <w:t>S&amp;P Global</w:t>
            </w:r>
          </w:p>
        </w:tc>
      </w:tr>
      <w:tr w:rsidR="00A21364" w:rsidRPr="00412F68" w14:paraId="4D957FAA" w14:textId="77777777">
        <w:tc>
          <w:tcPr>
            <w:tcW w:w="5000" w:type="pct"/>
            <w:tcBorders>
              <w:top w:val="nil"/>
              <w:bottom w:val="nil"/>
            </w:tcBorders>
          </w:tcPr>
          <w:p w14:paraId="2C763329" w14:textId="77777777" w:rsidR="00A21364" w:rsidRPr="00412F68" w:rsidRDefault="00A21364">
            <w:pPr>
              <w:pStyle w:val="TableBody"/>
              <w:spacing w:before="45" w:after="45"/>
              <w:ind w:right="108"/>
              <w:rPr>
                <w:rFonts w:cs="Open Sans"/>
                <w:b/>
                <w:color w:val="1D4374"/>
              </w:rPr>
            </w:pPr>
            <w:r w:rsidRPr="007F5A24">
              <w:t>Saul Eslake</w:t>
            </w:r>
          </w:p>
        </w:tc>
      </w:tr>
      <w:tr w:rsidR="00A21364" w:rsidRPr="00412F68" w14:paraId="32F2D857" w14:textId="77777777">
        <w:tc>
          <w:tcPr>
            <w:tcW w:w="5000" w:type="pct"/>
            <w:tcBorders>
              <w:bottom w:val="nil"/>
            </w:tcBorders>
            <w:shd w:val="clear" w:color="auto" w:fill="E6E6E6"/>
          </w:tcPr>
          <w:p w14:paraId="7B4F7971" w14:textId="77777777" w:rsidR="00A21364" w:rsidRPr="00412F68" w:rsidRDefault="00A21364">
            <w:pPr>
              <w:pStyle w:val="TableBody"/>
              <w:spacing w:before="45" w:after="45"/>
              <w:ind w:right="108"/>
              <w:rPr>
                <w:rFonts w:cs="Open Sans"/>
                <w:b/>
                <w:color w:val="1D4374"/>
              </w:rPr>
            </w:pPr>
            <w:r w:rsidRPr="007F5A24">
              <w:t>South Australian Department of Treasury and Finance</w:t>
            </w:r>
          </w:p>
        </w:tc>
      </w:tr>
      <w:tr w:rsidR="00A21364" w:rsidRPr="00412F68" w14:paraId="3CD0FC4B" w14:textId="77777777">
        <w:tc>
          <w:tcPr>
            <w:tcW w:w="5000" w:type="pct"/>
            <w:tcBorders>
              <w:top w:val="nil"/>
              <w:bottom w:val="nil"/>
            </w:tcBorders>
          </w:tcPr>
          <w:p w14:paraId="296257DA" w14:textId="77777777" w:rsidR="00A21364" w:rsidRPr="00412F68" w:rsidRDefault="00A21364">
            <w:pPr>
              <w:pStyle w:val="TableBody"/>
              <w:spacing w:before="45" w:after="45"/>
              <w:ind w:right="108"/>
              <w:rPr>
                <w:rFonts w:cs="Open Sans"/>
                <w:b/>
                <w:color w:val="1D4374"/>
              </w:rPr>
            </w:pPr>
            <w:r w:rsidRPr="007F5A24">
              <w:t xml:space="preserve">South Australian Treasurer </w:t>
            </w:r>
            <w:r w:rsidRPr="00294C33">
              <w:t>–</w:t>
            </w:r>
            <w:r w:rsidRPr="007F5A24">
              <w:t xml:space="preserve"> </w:t>
            </w:r>
            <w:r w:rsidRPr="00B47E00">
              <w:t xml:space="preserve">the Hon </w:t>
            </w:r>
            <w:r w:rsidRPr="007F5A24">
              <w:t>Tom Koutsantonis</w:t>
            </w:r>
          </w:p>
        </w:tc>
      </w:tr>
      <w:tr w:rsidR="00A21364" w:rsidRPr="00412F68" w14:paraId="15310B19" w14:textId="77777777">
        <w:tc>
          <w:tcPr>
            <w:tcW w:w="5000" w:type="pct"/>
            <w:tcBorders>
              <w:bottom w:val="nil"/>
            </w:tcBorders>
            <w:shd w:val="clear" w:color="auto" w:fill="E6E6E6"/>
          </w:tcPr>
          <w:p w14:paraId="386BA8A1" w14:textId="77777777" w:rsidR="00A21364" w:rsidRPr="00412F68" w:rsidRDefault="00A21364">
            <w:pPr>
              <w:pStyle w:val="TableBody"/>
              <w:spacing w:before="45" w:after="45"/>
              <w:ind w:right="108"/>
              <w:rPr>
                <w:rFonts w:cs="Open Sans"/>
                <w:b/>
                <w:color w:val="1D4374"/>
              </w:rPr>
            </w:pPr>
            <w:r w:rsidRPr="007F5A24">
              <w:t>Tasmanian Department of Treasury and Finance</w:t>
            </w:r>
          </w:p>
        </w:tc>
      </w:tr>
      <w:tr w:rsidR="00A21364" w:rsidRPr="00412F68" w14:paraId="6EE1CA08" w14:textId="77777777">
        <w:tc>
          <w:tcPr>
            <w:tcW w:w="5000" w:type="pct"/>
            <w:tcBorders>
              <w:bottom w:val="nil"/>
            </w:tcBorders>
          </w:tcPr>
          <w:p w14:paraId="1583730F" w14:textId="77777777" w:rsidR="00A21364" w:rsidRPr="00412F68" w:rsidRDefault="00A21364">
            <w:pPr>
              <w:pStyle w:val="TableBody"/>
              <w:spacing w:before="45" w:after="45"/>
              <w:ind w:right="108"/>
              <w:rPr>
                <w:rFonts w:cs="Open Sans"/>
                <w:b/>
                <w:color w:val="1D4374"/>
              </w:rPr>
            </w:pPr>
            <w:r w:rsidRPr="007F5A24">
              <w:t xml:space="preserve">Tasmanian Shadow Treasurer </w:t>
            </w:r>
            <w:r w:rsidRPr="00294C33">
              <w:t>–</w:t>
            </w:r>
            <w:r w:rsidRPr="007F5A24">
              <w:t xml:space="preserve"> Dean Winter MP</w:t>
            </w:r>
          </w:p>
        </w:tc>
      </w:tr>
      <w:tr w:rsidR="00A21364" w:rsidRPr="00412F68" w14:paraId="01496F87" w14:textId="77777777">
        <w:tc>
          <w:tcPr>
            <w:tcW w:w="5000" w:type="pct"/>
            <w:tcBorders>
              <w:top w:val="nil"/>
              <w:bottom w:val="nil"/>
            </w:tcBorders>
            <w:shd w:val="clear" w:color="auto" w:fill="E6E6E6"/>
          </w:tcPr>
          <w:p w14:paraId="67108EF6" w14:textId="77777777" w:rsidR="00A21364" w:rsidRPr="00412F68" w:rsidRDefault="00A21364">
            <w:pPr>
              <w:pStyle w:val="TableBody"/>
              <w:spacing w:before="45" w:after="45"/>
              <w:ind w:right="108"/>
              <w:rPr>
                <w:rFonts w:cs="Open Sans"/>
                <w:b/>
                <w:color w:val="1D4374"/>
              </w:rPr>
            </w:pPr>
            <w:r w:rsidRPr="007F5A24">
              <w:t xml:space="preserve">Tasmanian Treasurer </w:t>
            </w:r>
            <w:r w:rsidRPr="00294C33">
              <w:t>–</w:t>
            </w:r>
            <w:r w:rsidRPr="007F5A24">
              <w:t xml:space="preserve"> </w:t>
            </w:r>
            <w:r w:rsidRPr="00B47E00">
              <w:t xml:space="preserve">the Hon </w:t>
            </w:r>
            <w:r w:rsidRPr="007F5A24">
              <w:t>Eric Abetz</w:t>
            </w:r>
          </w:p>
        </w:tc>
      </w:tr>
      <w:tr w:rsidR="00A21364" w:rsidRPr="00412F68" w14:paraId="63E6BE69" w14:textId="77777777">
        <w:tc>
          <w:tcPr>
            <w:tcW w:w="5000" w:type="pct"/>
            <w:tcBorders>
              <w:top w:val="nil"/>
              <w:bottom w:val="nil"/>
            </w:tcBorders>
          </w:tcPr>
          <w:p w14:paraId="794840B1" w14:textId="77777777" w:rsidR="00A21364" w:rsidRPr="00412F68" w:rsidRDefault="00A21364">
            <w:pPr>
              <w:pStyle w:val="TableBody"/>
              <w:spacing w:before="45" w:after="45"/>
              <w:ind w:right="108"/>
              <w:rPr>
                <w:rFonts w:cs="Open Sans"/>
                <w:b/>
                <w:color w:val="1D4374"/>
              </w:rPr>
            </w:pPr>
            <w:r w:rsidRPr="007F5A24">
              <w:t>Victorian Department of Treasury and Finance</w:t>
            </w:r>
          </w:p>
        </w:tc>
      </w:tr>
      <w:tr w:rsidR="00A21364" w:rsidRPr="00412F68" w14:paraId="41DB84EC" w14:textId="77777777">
        <w:tc>
          <w:tcPr>
            <w:tcW w:w="5000" w:type="pct"/>
            <w:tcBorders>
              <w:bottom w:val="nil"/>
            </w:tcBorders>
            <w:shd w:val="clear" w:color="auto" w:fill="E6E6E6"/>
          </w:tcPr>
          <w:p w14:paraId="2623AE1E" w14:textId="77777777" w:rsidR="00A21364" w:rsidRPr="00412F68" w:rsidRDefault="00A21364">
            <w:pPr>
              <w:pStyle w:val="TableBody"/>
              <w:spacing w:before="45" w:after="45"/>
              <w:ind w:right="108"/>
              <w:rPr>
                <w:rFonts w:cs="Open Sans"/>
                <w:b/>
                <w:color w:val="1D4374"/>
              </w:rPr>
            </w:pPr>
            <w:r w:rsidRPr="007F5A24">
              <w:t xml:space="preserve">Victorian Treasurer </w:t>
            </w:r>
            <w:r w:rsidRPr="00294C33">
              <w:t>–</w:t>
            </w:r>
            <w:r w:rsidRPr="007F5A24">
              <w:t xml:space="preserve"> </w:t>
            </w:r>
            <w:r w:rsidRPr="00B47E00">
              <w:t xml:space="preserve">the Hon </w:t>
            </w:r>
            <w:r w:rsidRPr="007F5A24">
              <w:t>Jaclyn Symes</w:t>
            </w:r>
          </w:p>
        </w:tc>
      </w:tr>
      <w:tr w:rsidR="00A21364" w:rsidRPr="00412F68" w14:paraId="6593F897" w14:textId="77777777">
        <w:tc>
          <w:tcPr>
            <w:tcW w:w="5000" w:type="pct"/>
            <w:tcBorders>
              <w:top w:val="nil"/>
              <w:bottom w:val="nil"/>
            </w:tcBorders>
          </w:tcPr>
          <w:p w14:paraId="1D872B47" w14:textId="77777777" w:rsidR="00A21364" w:rsidRPr="00412F68" w:rsidRDefault="00A21364">
            <w:pPr>
              <w:pStyle w:val="TableBody"/>
              <w:spacing w:before="45" w:after="45"/>
              <w:ind w:right="108"/>
              <w:rPr>
                <w:rFonts w:cs="Open Sans"/>
                <w:b/>
                <w:color w:val="1D4374"/>
              </w:rPr>
            </w:pPr>
            <w:r w:rsidRPr="007F5A24">
              <w:t>Western Australian Department of Treasury and Finance</w:t>
            </w:r>
          </w:p>
        </w:tc>
      </w:tr>
      <w:tr w:rsidR="00A21364" w:rsidRPr="00412F68" w14:paraId="44D3ACA9" w14:textId="77777777">
        <w:tc>
          <w:tcPr>
            <w:tcW w:w="5000" w:type="pct"/>
            <w:tcBorders>
              <w:bottom w:val="nil"/>
            </w:tcBorders>
            <w:shd w:val="clear" w:color="auto" w:fill="E6E6E6"/>
          </w:tcPr>
          <w:p w14:paraId="78B4A2BA" w14:textId="77777777" w:rsidR="00A21364" w:rsidRPr="00412F68" w:rsidRDefault="00A21364">
            <w:pPr>
              <w:pStyle w:val="TableBody"/>
              <w:spacing w:before="45" w:after="45"/>
              <w:ind w:right="108"/>
              <w:rPr>
                <w:rFonts w:cs="Open Sans"/>
                <w:b/>
                <w:color w:val="1D4374"/>
              </w:rPr>
            </w:pPr>
            <w:r w:rsidRPr="007F5A24">
              <w:t xml:space="preserve">Western Australian Shadow Treasurer </w:t>
            </w:r>
            <w:r w:rsidRPr="00294C33">
              <w:t>–</w:t>
            </w:r>
            <w:r w:rsidRPr="007F5A24">
              <w:t xml:space="preserve"> Sandra Brewer MLA</w:t>
            </w:r>
          </w:p>
        </w:tc>
      </w:tr>
      <w:tr w:rsidR="00A21364" w:rsidRPr="00412F68" w14:paraId="46D03478" w14:textId="77777777">
        <w:tc>
          <w:tcPr>
            <w:tcW w:w="5000" w:type="pct"/>
            <w:tcBorders>
              <w:top w:val="nil"/>
              <w:bottom w:val="nil"/>
            </w:tcBorders>
          </w:tcPr>
          <w:p w14:paraId="0793A93D" w14:textId="77777777" w:rsidR="00A21364" w:rsidRPr="00412F68" w:rsidRDefault="00A21364">
            <w:pPr>
              <w:pStyle w:val="TableBody"/>
              <w:spacing w:before="45" w:after="45"/>
              <w:ind w:right="108"/>
              <w:rPr>
                <w:rFonts w:cs="Open Sans"/>
                <w:b/>
                <w:color w:val="1D4374"/>
              </w:rPr>
            </w:pPr>
            <w:r w:rsidRPr="007F5A24">
              <w:t xml:space="preserve">Western Australian Treasurer </w:t>
            </w:r>
            <w:r w:rsidRPr="00294C33">
              <w:t>–</w:t>
            </w:r>
            <w:r w:rsidRPr="007F5A24">
              <w:t xml:space="preserve"> </w:t>
            </w:r>
            <w:r w:rsidRPr="00B47E00">
              <w:t xml:space="preserve">the Hon </w:t>
            </w:r>
            <w:r w:rsidRPr="007F5A24">
              <w:t>Rita Saffioti</w:t>
            </w:r>
          </w:p>
        </w:tc>
      </w:tr>
      <w:tr w:rsidR="00A21364" w:rsidRPr="00412F68" w14:paraId="24BA69C6" w14:textId="77777777">
        <w:tc>
          <w:tcPr>
            <w:tcW w:w="5000" w:type="pct"/>
            <w:tcBorders>
              <w:bottom w:val="nil"/>
            </w:tcBorders>
            <w:shd w:val="clear" w:color="auto" w:fill="E6E6E6"/>
          </w:tcPr>
          <w:p w14:paraId="3C79B8FC" w14:textId="77777777" w:rsidR="00A21364" w:rsidRPr="00412F68" w:rsidRDefault="00A21364">
            <w:pPr>
              <w:pStyle w:val="TableBody"/>
              <w:spacing w:before="45" w:after="45"/>
              <w:ind w:right="108"/>
              <w:rPr>
                <w:rFonts w:cs="Open Sans"/>
                <w:b/>
                <w:color w:val="1D4374"/>
              </w:rPr>
            </w:pPr>
            <w:r w:rsidRPr="007F5A24">
              <w:t>Yothu Yindi Foundation</w:t>
            </w:r>
          </w:p>
        </w:tc>
      </w:tr>
    </w:tbl>
    <w:p w14:paraId="1E789CAF" w14:textId="77777777" w:rsidR="00A21364" w:rsidRDefault="00A21364">
      <w:pPr>
        <w:pStyle w:val="FigureTableHeading"/>
      </w:pPr>
      <w:r>
        <w:t>Table A.3</w:t>
      </w:r>
      <w:r>
        <w:rPr>
          <w:noProof/>
        </w:rPr>
        <w:t xml:space="preserve"> – </w:t>
      </w:r>
      <w:r w:rsidRPr="00D31C5B">
        <w:t xml:space="preserve">Academic </w:t>
      </w:r>
      <w:r>
        <w:t>r</w:t>
      </w:r>
      <w:r w:rsidRPr="00D31C5B">
        <w:t>oundtable</w:t>
      </w:r>
    </w:p>
    <w:tbl>
      <w:tblPr>
        <w:tblW w:w="5000" w:type="pct"/>
        <w:tblBorders>
          <w:bottom w:val="single" w:sz="4" w:space="0" w:color="B3B3B3"/>
        </w:tblBorders>
        <w:shd w:val="clear" w:color="000000" w:fill="auto"/>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9638"/>
      </w:tblGrid>
      <w:tr w:rsidR="00A21364" w:rsidRPr="00462926" w14:paraId="44469354" w14:textId="77777777">
        <w:trPr>
          <w:tblHeader/>
        </w:trPr>
        <w:tc>
          <w:tcPr>
            <w:tcW w:w="5000" w:type="pct"/>
            <w:tcBorders>
              <w:bottom w:val="single" w:sz="4" w:space="0" w:color="B3B3B3"/>
            </w:tcBorders>
            <w:shd w:val="clear" w:color="000000" w:fill="auto"/>
          </w:tcPr>
          <w:p w14:paraId="141FB18E" w14:textId="77777777" w:rsidR="00A21364" w:rsidRDefault="00A21364">
            <w:pPr>
              <w:pStyle w:val="TableHeading"/>
              <w:spacing w:before="45" w:after="45"/>
              <w:rPr>
                <w:rFonts w:cs="Open Sans"/>
                <w:iCs/>
                <w:color w:val="265999"/>
              </w:rPr>
            </w:pPr>
            <w:r w:rsidRPr="007D6B0D">
              <w:rPr>
                <w:rFonts w:cs="Open Sans"/>
                <w:iCs/>
                <w:color w:val="265999"/>
              </w:rPr>
              <w:t xml:space="preserve">Horizontal Fiscal Equalisation and the 2018 GST Distribution Reforms </w:t>
            </w:r>
            <w:r w:rsidRPr="00294C33">
              <w:t>–</w:t>
            </w:r>
            <w:r w:rsidRPr="007D6B0D">
              <w:rPr>
                <w:rFonts w:cs="Open Sans"/>
                <w:iCs/>
                <w:color w:val="265999"/>
              </w:rPr>
              <w:t xml:space="preserve"> 15 April 2026</w:t>
            </w:r>
          </w:p>
          <w:p w14:paraId="1EEB4F1B" w14:textId="77777777" w:rsidR="00A21364" w:rsidRPr="00F96350" w:rsidRDefault="00A21364">
            <w:pPr>
              <w:pStyle w:val="TableHeading"/>
              <w:spacing w:before="45" w:after="45"/>
              <w:rPr>
                <w:rFonts w:cs="Open Sans"/>
                <w:b w:val="0"/>
                <w:bCs/>
                <w:color w:val="1D4374"/>
              </w:rPr>
            </w:pPr>
            <w:r w:rsidRPr="00412F68">
              <w:rPr>
                <w:rFonts w:cs="Open Sans"/>
                <w:color w:val="1D4374"/>
              </w:rPr>
              <w:t>Participants</w:t>
            </w:r>
          </w:p>
        </w:tc>
      </w:tr>
      <w:tr w:rsidR="00A21364" w:rsidRPr="00462926" w14:paraId="1C4796FA" w14:textId="77777777">
        <w:tc>
          <w:tcPr>
            <w:tcW w:w="5000" w:type="pct"/>
            <w:tcBorders>
              <w:top w:val="single" w:sz="4" w:space="0" w:color="B3B3B3"/>
              <w:bottom w:val="nil"/>
            </w:tcBorders>
            <w:shd w:val="clear" w:color="000000" w:fill="E6E6E6"/>
          </w:tcPr>
          <w:p w14:paraId="628ED328" w14:textId="77777777" w:rsidR="00A21364" w:rsidRPr="007D6B0D" w:rsidRDefault="00A21364">
            <w:pPr>
              <w:pStyle w:val="TableBody"/>
              <w:spacing w:before="45" w:after="45"/>
              <w:ind w:right="108"/>
              <w:rPr>
                <w:rFonts w:cs="Open Sans"/>
                <w:b/>
                <w:iCs/>
              </w:rPr>
            </w:pPr>
            <w:r w:rsidRPr="00462926">
              <w:rPr>
                <w:rFonts w:cs="Open Sans"/>
                <w:bCs/>
              </w:rPr>
              <w:t>Alan Fenna – Curtin University</w:t>
            </w:r>
          </w:p>
        </w:tc>
      </w:tr>
      <w:tr w:rsidR="00A21364" w:rsidRPr="00462926" w14:paraId="6685FD05" w14:textId="77777777">
        <w:tc>
          <w:tcPr>
            <w:tcW w:w="5000" w:type="pct"/>
            <w:tcBorders>
              <w:bottom w:val="nil"/>
            </w:tcBorders>
            <w:shd w:val="clear" w:color="auto" w:fill="FFFFFF" w:themeFill="background1"/>
          </w:tcPr>
          <w:p w14:paraId="0177A873" w14:textId="77777777" w:rsidR="00A21364" w:rsidRPr="00462926" w:rsidRDefault="00A21364">
            <w:pPr>
              <w:pStyle w:val="TableBody"/>
              <w:spacing w:before="45" w:after="45"/>
              <w:ind w:right="108"/>
              <w:rPr>
                <w:rFonts w:cs="Open Sans"/>
                <w:bCs/>
              </w:rPr>
            </w:pPr>
            <w:r w:rsidRPr="00462926">
              <w:rPr>
                <w:rFonts w:cs="Open Sans"/>
                <w:bCs/>
              </w:rPr>
              <w:t>Tracy Fenwick – Australian National University</w:t>
            </w:r>
          </w:p>
        </w:tc>
      </w:tr>
      <w:tr w:rsidR="00A21364" w:rsidRPr="00116FF3" w14:paraId="263B90F5" w14:textId="77777777">
        <w:tc>
          <w:tcPr>
            <w:tcW w:w="5000" w:type="pct"/>
            <w:tcBorders>
              <w:top w:val="nil"/>
              <w:bottom w:val="nil"/>
            </w:tcBorders>
            <w:shd w:val="clear" w:color="auto" w:fill="E6E6E6"/>
          </w:tcPr>
          <w:p w14:paraId="3D48A054" w14:textId="77777777" w:rsidR="00A21364" w:rsidRPr="00116FF3" w:rsidRDefault="00A21364">
            <w:pPr>
              <w:pStyle w:val="TableBody"/>
              <w:spacing w:before="45" w:after="45"/>
              <w:ind w:left="2" w:right="108" w:firstLine="55"/>
              <w:rPr>
                <w:rFonts w:cs="Open Sans"/>
                <w:bCs/>
                <w:lang w:val="pt-BR"/>
              </w:rPr>
            </w:pPr>
            <w:r w:rsidRPr="00116FF3">
              <w:rPr>
                <w:rFonts w:cs="Open Sans"/>
                <w:bCs/>
                <w:lang w:val="pt-BR"/>
              </w:rPr>
              <w:t>Thiago da Silva – Australian National University</w:t>
            </w:r>
          </w:p>
        </w:tc>
      </w:tr>
      <w:tr w:rsidR="00A21364" w:rsidRPr="00462926" w14:paraId="41446273" w14:textId="77777777">
        <w:tc>
          <w:tcPr>
            <w:tcW w:w="5000" w:type="pct"/>
            <w:tcBorders>
              <w:bottom w:val="nil"/>
            </w:tcBorders>
            <w:shd w:val="clear" w:color="auto" w:fill="FFFFFF" w:themeFill="background1"/>
          </w:tcPr>
          <w:p w14:paraId="5634C3B2" w14:textId="77777777" w:rsidR="00A21364" w:rsidRPr="00462926" w:rsidRDefault="00A21364">
            <w:pPr>
              <w:pStyle w:val="TableBody"/>
              <w:spacing w:before="45" w:after="45"/>
              <w:ind w:right="108"/>
              <w:rPr>
                <w:rFonts w:cs="Open Sans"/>
                <w:bCs/>
              </w:rPr>
            </w:pPr>
            <w:r w:rsidRPr="00462926">
              <w:rPr>
                <w:rFonts w:cs="Open Sans"/>
                <w:bCs/>
              </w:rPr>
              <w:t xml:space="preserve">Chris Murphy – </w:t>
            </w:r>
            <w:r>
              <w:rPr>
                <w:rFonts w:cs="Open Sans"/>
                <w:bCs/>
              </w:rPr>
              <w:t>Australian National University</w:t>
            </w:r>
          </w:p>
        </w:tc>
      </w:tr>
      <w:tr w:rsidR="00A21364" w:rsidRPr="00462926" w14:paraId="43F080F1" w14:textId="77777777">
        <w:tc>
          <w:tcPr>
            <w:tcW w:w="5000" w:type="pct"/>
            <w:tcBorders>
              <w:top w:val="nil"/>
              <w:bottom w:val="nil"/>
            </w:tcBorders>
            <w:shd w:val="clear" w:color="auto" w:fill="E6E6E6"/>
          </w:tcPr>
          <w:p w14:paraId="7781A6FF" w14:textId="77777777" w:rsidR="00A21364" w:rsidRPr="00462926" w:rsidRDefault="00A21364">
            <w:pPr>
              <w:pStyle w:val="TableBody"/>
              <w:spacing w:before="45" w:after="45"/>
              <w:ind w:right="108"/>
              <w:rPr>
                <w:rFonts w:cs="Open Sans"/>
                <w:bCs/>
              </w:rPr>
            </w:pPr>
            <w:r w:rsidRPr="00462926">
              <w:rPr>
                <w:rFonts w:cs="Open Sans"/>
                <w:bCs/>
              </w:rPr>
              <w:t>Yan Xu – University of New South Wales</w:t>
            </w:r>
          </w:p>
        </w:tc>
      </w:tr>
      <w:tr w:rsidR="00A21364" w:rsidRPr="00462926" w14:paraId="28DDF23E" w14:textId="77777777">
        <w:tc>
          <w:tcPr>
            <w:tcW w:w="5000" w:type="pct"/>
            <w:tcBorders>
              <w:bottom w:val="nil"/>
            </w:tcBorders>
            <w:shd w:val="clear" w:color="auto" w:fill="FFFFFF" w:themeFill="background1"/>
          </w:tcPr>
          <w:p w14:paraId="7C8F8493" w14:textId="77777777" w:rsidR="00A21364" w:rsidRPr="00462926" w:rsidRDefault="00A21364">
            <w:pPr>
              <w:pStyle w:val="TableBody"/>
              <w:spacing w:before="45" w:after="45"/>
              <w:ind w:right="108"/>
              <w:rPr>
                <w:rFonts w:cs="Open Sans"/>
                <w:bCs/>
              </w:rPr>
            </w:pPr>
            <w:r w:rsidRPr="00462926">
              <w:rPr>
                <w:rFonts w:cs="Open Sans"/>
                <w:bCs/>
              </w:rPr>
              <w:t>Neil Warren – University of New South Wales</w:t>
            </w:r>
          </w:p>
        </w:tc>
      </w:tr>
      <w:tr w:rsidR="00A21364" w:rsidRPr="00462926" w14:paraId="362993FC" w14:textId="77777777">
        <w:tc>
          <w:tcPr>
            <w:tcW w:w="5000" w:type="pct"/>
            <w:tcBorders>
              <w:bottom w:val="single" w:sz="4" w:space="0" w:color="B3B3B3"/>
            </w:tcBorders>
            <w:shd w:val="clear" w:color="auto" w:fill="E6E6E6"/>
          </w:tcPr>
          <w:p w14:paraId="65A2EB4B" w14:textId="77777777" w:rsidR="00A21364" w:rsidRPr="00462926" w:rsidRDefault="00A21364">
            <w:pPr>
              <w:pStyle w:val="TableBody"/>
              <w:spacing w:before="45" w:after="45"/>
              <w:ind w:right="108"/>
              <w:rPr>
                <w:rFonts w:cs="Open Sans"/>
                <w:bCs/>
              </w:rPr>
            </w:pPr>
            <w:r w:rsidRPr="00462926">
              <w:rPr>
                <w:rFonts w:cs="Open Sans"/>
                <w:bCs/>
              </w:rPr>
              <w:t xml:space="preserve">Jonathan Pincus – </w:t>
            </w:r>
            <w:r>
              <w:rPr>
                <w:rFonts w:cs="Open Sans"/>
                <w:bCs/>
              </w:rPr>
              <w:t>Adelaide University</w:t>
            </w:r>
          </w:p>
        </w:tc>
      </w:tr>
    </w:tbl>
    <w:p w14:paraId="741EE80F" w14:textId="77777777" w:rsidR="00A21364" w:rsidRPr="00B16FD9" w:rsidRDefault="00A21364">
      <w:pPr>
        <w:pStyle w:val="BodyText"/>
      </w:pPr>
    </w:p>
    <w:p w14:paraId="5285D7B0" w14:textId="77777777" w:rsidR="00214445" w:rsidRDefault="00214445" w:rsidP="00E76EEC">
      <w:pPr>
        <w:pStyle w:val="BodyText"/>
        <w:sectPr w:rsidR="00214445" w:rsidSect="00A21364">
          <w:headerReference w:type="even" r:id="rId118"/>
          <w:footnotePr>
            <w:numRestart w:val="eachSect"/>
          </w:footnotePr>
          <w:type w:val="oddPage"/>
          <w:pgSz w:w="11906" w:h="16838" w:code="9"/>
          <w:pgMar w:top="1134" w:right="1134" w:bottom="1134" w:left="1134" w:header="794" w:footer="510" w:gutter="0"/>
          <w:cols w:space="708"/>
          <w:docGrid w:linePitch="360"/>
        </w:sectPr>
      </w:pPr>
    </w:p>
    <w:p w14:paraId="33211C53" w14:textId="77777777" w:rsidR="00214445" w:rsidRPr="00610627" w:rsidRDefault="00214445" w:rsidP="00C94500">
      <w:pPr>
        <w:pStyle w:val="Heading1-nobackground"/>
        <w:numPr>
          <w:ilvl w:val="0"/>
          <w:numId w:val="0"/>
        </w:numPr>
      </w:pPr>
      <w:bookmarkStart w:id="123" w:name="_Toc78901540"/>
      <w:bookmarkStart w:id="124" w:name="_Toc236904088"/>
      <w:r w:rsidRPr="00C71BE6">
        <w:lastRenderedPageBreak/>
        <w:t>Abbreviations</w:t>
      </w:r>
      <w:bookmarkEnd w:id="123"/>
      <w:bookmarkEnd w:id="124"/>
    </w:p>
    <w:tbl>
      <w:tblPr>
        <w:tblW w:w="5000" w:type="pct"/>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1700"/>
        <w:gridCol w:w="7938"/>
      </w:tblGrid>
      <w:tr w:rsidR="00214445" w:rsidRPr="00763D15" w14:paraId="3B4EFC00" w14:textId="77777777">
        <w:trPr>
          <w:tblHeader/>
        </w:trPr>
        <w:tc>
          <w:tcPr>
            <w:tcW w:w="882" w:type="pct"/>
            <w:tcBorders>
              <w:bottom w:val="single" w:sz="4" w:space="0" w:color="B3B3B3"/>
            </w:tcBorders>
            <w:shd w:val="clear" w:color="000000" w:fill="auto"/>
            <w:vAlign w:val="bottom"/>
          </w:tcPr>
          <w:p w14:paraId="1848692E" w14:textId="77777777" w:rsidR="00214445" w:rsidRPr="00763D15" w:rsidRDefault="00214445">
            <w:pPr>
              <w:pStyle w:val="TableBody"/>
              <w:spacing w:before="45" w:after="45"/>
              <w:ind w:right="108"/>
              <w:rPr>
                <w:rFonts w:cs="Open Sans"/>
                <w:b/>
                <w:bCs/>
                <w:color w:val="1D4374"/>
              </w:rPr>
            </w:pPr>
            <w:r w:rsidRPr="00763D15">
              <w:rPr>
                <w:rFonts w:cs="Open Sans"/>
                <w:b/>
                <w:bCs/>
                <w:color w:val="1D4374"/>
              </w:rPr>
              <w:t>Abbreviation</w:t>
            </w:r>
          </w:p>
        </w:tc>
        <w:tc>
          <w:tcPr>
            <w:tcW w:w="4118" w:type="pct"/>
            <w:tcBorders>
              <w:bottom w:val="single" w:sz="4" w:space="0" w:color="B3B3B3"/>
            </w:tcBorders>
            <w:shd w:val="clear" w:color="000000" w:fill="auto"/>
            <w:vAlign w:val="bottom"/>
          </w:tcPr>
          <w:p w14:paraId="2CF7D910" w14:textId="77777777" w:rsidR="00214445" w:rsidRPr="00763D15" w:rsidRDefault="00214445">
            <w:pPr>
              <w:pStyle w:val="TableBody"/>
              <w:spacing w:before="45" w:after="45"/>
              <w:ind w:right="108"/>
              <w:rPr>
                <w:rFonts w:cs="Open Sans"/>
                <w:b/>
                <w:color w:val="1D4374"/>
              </w:rPr>
            </w:pPr>
            <w:r w:rsidRPr="00763D15">
              <w:rPr>
                <w:rFonts w:cs="Open Sans"/>
                <w:b/>
                <w:color w:val="1D4374"/>
              </w:rPr>
              <w:t>Definition</w:t>
            </w:r>
          </w:p>
        </w:tc>
      </w:tr>
      <w:tr w:rsidR="00214445" w:rsidRPr="00763D15" w14:paraId="636D0826" w14:textId="77777777">
        <w:tc>
          <w:tcPr>
            <w:tcW w:w="882" w:type="pct"/>
            <w:tcBorders>
              <w:top w:val="single" w:sz="4" w:space="0" w:color="B3B3B3"/>
              <w:bottom w:val="nil"/>
            </w:tcBorders>
            <w:shd w:val="clear" w:color="000000" w:fill="E6E6E6"/>
          </w:tcPr>
          <w:p w14:paraId="602666E3" w14:textId="77777777" w:rsidR="00214445" w:rsidRPr="00763D15" w:rsidRDefault="00214445">
            <w:pPr>
              <w:pStyle w:val="TableBody"/>
              <w:spacing w:before="45" w:after="45"/>
              <w:ind w:right="108"/>
              <w:rPr>
                <w:rFonts w:cs="Open Sans"/>
                <w:b/>
                <w:bCs/>
                <w:color w:val="1D4374"/>
              </w:rPr>
            </w:pPr>
            <w:r>
              <w:rPr>
                <w:rFonts w:cs="Open Sans"/>
                <w:b/>
                <w:bCs/>
                <w:color w:val="1D4374"/>
              </w:rPr>
              <w:t>ABS</w:t>
            </w:r>
          </w:p>
        </w:tc>
        <w:tc>
          <w:tcPr>
            <w:tcW w:w="4118" w:type="pct"/>
            <w:tcBorders>
              <w:top w:val="single" w:sz="4" w:space="0" w:color="B3B3B3"/>
              <w:bottom w:val="nil"/>
            </w:tcBorders>
            <w:shd w:val="clear" w:color="000000" w:fill="E6E6E6"/>
          </w:tcPr>
          <w:p w14:paraId="3C45F8F8" w14:textId="77777777" w:rsidR="00214445" w:rsidRPr="00763D15" w:rsidRDefault="00214445">
            <w:pPr>
              <w:pStyle w:val="TableBody"/>
              <w:spacing w:before="45" w:after="45"/>
              <w:ind w:right="108"/>
              <w:rPr>
                <w:rFonts w:cs="Open Sans"/>
                <w:color w:val="000000"/>
              </w:rPr>
            </w:pPr>
            <w:r>
              <w:rPr>
                <w:rFonts w:cs="Open Sans"/>
                <w:color w:val="000000"/>
              </w:rPr>
              <w:t xml:space="preserve">Australian Bureau of Statistics </w:t>
            </w:r>
          </w:p>
        </w:tc>
      </w:tr>
      <w:tr w:rsidR="00214445" w:rsidRPr="00763D15" w14:paraId="586BC9BD" w14:textId="77777777">
        <w:tc>
          <w:tcPr>
            <w:tcW w:w="882" w:type="pct"/>
          </w:tcPr>
          <w:p w14:paraId="68DE93A3" w14:textId="77777777" w:rsidR="00214445" w:rsidRPr="00E55F49" w:rsidRDefault="00214445">
            <w:pPr>
              <w:pStyle w:val="TableBody"/>
              <w:spacing w:before="45" w:after="45"/>
              <w:ind w:right="108"/>
              <w:rPr>
                <w:rFonts w:cs="Open Sans"/>
                <w:b/>
                <w:bCs/>
                <w:color w:val="1D4374"/>
              </w:rPr>
            </w:pPr>
            <w:r w:rsidRPr="00E55F49">
              <w:rPr>
                <w:rFonts w:cs="Open Sans"/>
                <w:b/>
                <w:bCs/>
                <w:color w:val="1D4374"/>
              </w:rPr>
              <w:t>CAGR</w:t>
            </w:r>
          </w:p>
        </w:tc>
        <w:tc>
          <w:tcPr>
            <w:tcW w:w="4118" w:type="pct"/>
          </w:tcPr>
          <w:p w14:paraId="3DD2BB64" w14:textId="5EB7D271" w:rsidR="00214445" w:rsidRPr="00E55F49" w:rsidRDefault="00214445">
            <w:pPr>
              <w:pStyle w:val="TableBody"/>
              <w:spacing w:before="45" w:after="45"/>
              <w:ind w:right="108"/>
              <w:rPr>
                <w:rFonts w:cs="Open Sans"/>
                <w:color w:val="000000"/>
              </w:rPr>
            </w:pPr>
            <w:r w:rsidRPr="00E55F49">
              <w:rPr>
                <w:rFonts w:cs="Open Sans"/>
                <w:color w:val="000000"/>
              </w:rPr>
              <w:t xml:space="preserve">compound </w:t>
            </w:r>
            <w:r w:rsidR="00C30DCD">
              <w:rPr>
                <w:rFonts w:cs="Open Sans"/>
                <w:color w:val="000000"/>
              </w:rPr>
              <w:t>annual</w:t>
            </w:r>
            <w:r w:rsidRPr="00E55F49">
              <w:rPr>
                <w:rFonts w:cs="Open Sans"/>
                <w:color w:val="000000"/>
              </w:rPr>
              <w:t xml:space="preserve"> growth rate </w:t>
            </w:r>
          </w:p>
        </w:tc>
      </w:tr>
      <w:tr w:rsidR="00214445" w:rsidRPr="00763D15" w14:paraId="11F1C9D0" w14:textId="77777777">
        <w:tc>
          <w:tcPr>
            <w:tcW w:w="882" w:type="pct"/>
            <w:shd w:val="clear" w:color="000000" w:fill="E6E6E6"/>
          </w:tcPr>
          <w:p w14:paraId="3A272C68" w14:textId="77777777" w:rsidR="00214445" w:rsidRDefault="00214445">
            <w:pPr>
              <w:pStyle w:val="TableBody"/>
              <w:spacing w:before="45" w:after="45"/>
              <w:ind w:right="108"/>
              <w:rPr>
                <w:rFonts w:cs="Open Sans"/>
                <w:b/>
                <w:bCs/>
                <w:color w:val="1D4374"/>
              </w:rPr>
            </w:pPr>
            <w:r>
              <w:rPr>
                <w:rFonts w:cs="Open Sans"/>
                <w:b/>
                <w:bCs/>
                <w:color w:val="1D4374"/>
              </w:rPr>
              <w:t>CFFR</w:t>
            </w:r>
          </w:p>
        </w:tc>
        <w:tc>
          <w:tcPr>
            <w:tcW w:w="4118" w:type="pct"/>
            <w:shd w:val="clear" w:color="000000" w:fill="E6E6E6"/>
          </w:tcPr>
          <w:p w14:paraId="0BDF55F8" w14:textId="77777777" w:rsidR="00214445" w:rsidRDefault="00214445">
            <w:pPr>
              <w:pStyle w:val="TableBody"/>
              <w:spacing w:before="45" w:after="45"/>
              <w:ind w:right="108"/>
              <w:rPr>
                <w:rFonts w:cs="Open Sans"/>
                <w:color w:val="000000"/>
              </w:rPr>
            </w:pPr>
            <w:r w:rsidRPr="002070E1">
              <w:t>Council on Federal Financial Relations</w:t>
            </w:r>
          </w:p>
        </w:tc>
      </w:tr>
      <w:tr w:rsidR="00214445" w:rsidRPr="00763D15" w14:paraId="65D502DD" w14:textId="77777777">
        <w:tc>
          <w:tcPr>
            <w:tcW w:w="882" w:type="pct"/>
          </w:tcPr>
          <w:p w14:paraId="03D7E551" w14:textId="77777777" w:rsidR="00214445" w:rsidRDefault="00214445">
            <w:pPr>
              <w:pStyle w:val="TableBody"/>
              <w:spacing w:before="45" w:after="45"/>
              <w:ind w:right="108"/>
              <w:rPr>
                <w:rFonts w:cs="Open Sans"/>
                <w:b/>
                <w:bCs/>
                <w:color w:val="1D4374"/>
              </w:rPr>
            </w:pPr>
            <w:r>
              <w:rPr>
                <w:rFonts w:cs="Open Sans"/>
                <w:b/>
                <w:bCs/>
                <w:color w:val="1D4374"/>
              </w:rPr>
              <w:t>CGC</w:t>
            </w:r>
          </w:p>
        </w:tc>
        <w:tc>
          <w:tcPr>
            <w:tcW w:w="4118" w:type="pct"/>
          </w:tcPr>
          <w:p w14:paraId="0C85031C" w14:textId="77777777" w:rsidR="00214445" w:rsidRDefault="00214445">
            <w:pPr>
              <w:pStyle w:val="TableBody"/>
              <w:spacing w:before="45" w:after="45"/>
              <w:ind w:right="108"/>
              <w:rPr>
                <w:rFonts w:cs="Open Sans"/>
                <w:color w:val="000000"/>
              </w:rPr>
            </w:pPr>
            <w:r>
              <w:rPr>
                <w:rFonts w:cs="Open Sans"/>
                <w:color w:val="000000"/>
              </w:rPr>
              <w:t>Commonwealth Grants Commission</w:t>
            </w:r>
          </w:p>
        </w:tc>
      </w:tr>
      <w:tr w:rsidR="00214445" w:rsidRPr="00763D15" w14:paraId="4F47DBAC" w14:textId="77777777">
        <w:tc>
          <w:tcPr>
            <w:tcW w:w="882" w:type="pct"/>
            <w:shd w:val="clear" w:color="000000" w:fill="E6E6E6"/>
          </w:tcPr>
          <w:p w14:paraId="37DBD33E" w14:textId="77777777" w:rsidR="00214445" w:rsidRDefault="00214445">
            <w:pPr>
              <w:pStyle w:val="TableBody"/>
              <w:spacing w:before="45" w:after="45"/>
              <w:ind w:right="108"/>
              <w:rPr>
                <w:rFonts w:cs="Open Sans"/>
                <w:b/>
                <w:bCs/>
                <w:color w:val="1D4374"/>
              </w:rPr>
            </w:pPr>
            <w:r>
              <w:rPr>
                <w:rFonts w:cs="Open Sans"/>
                <w:b/>
                <w:bCs/>
                <w:color w:val="1D4374"/>
              </w:rPr>
              <w:t>COAG</w:t>
            </w:r>
          </w:p>
        </w:tc>
        <w:tc>
          <w:tcPr>
            <w:tcW w:w="4118" w:type="pct"/>
            <w:shd w:val="clear" w:color="000000" w:fill="E6E6E6"/>
          </w:tcPr>
          <w:p w14:paraId="0743CE23" w14:textId="77777777" w:rsidR="00214445" w:rsidRDefault="00214445">
            <w:pPr>
              <w:pStyle w:val="TableBody"/>
              <w:spacing w:before="45" w:after="45"/>
              <w:ind w:right="108"/>
              <w:rPr>
                <w:rFonts w:cs="Open Sans"/>
                <w:color w:val="000000"/>
              </w:rPr>
            </w:pPr>
            <w:r>
              <w:rPr>
                <w:rFonts w:cs="Open Sans"/>
                <w:color w:val="000000"/>
              </w:rPr>
              <w:t>Council of Australian Governments</w:t>
            </w:r>
          </w:p>
        </w:tc>
      </w:tr>
      <w:tr w:rsidR="00214445" w:rsidRPr="00763D15" w14:paraId="1CDEE147" w14:textId="77777777">
        <w:tc>
          <w:tcPr>
            <w:tcW w:w="882" w:type="pct"/>
          </w:tcPr>
          <w:p w14:paraId="12C32FDA" w14:textId="77777777" w:rsidR="00214445" w:rsidRDefault="00214445">
            <w:pPr>
              <w:pStyle w:val="TableBody"/>
              <w:spacing w:before="45" w:after="45"/>
              <w:ind w:right="108"/>
              <w:rPr>
                <w:rFonts w:cs="Open Sans"/>
                <w:b/>
                <w:bCs/>
                <w:color w:val="1D4374"/>
              </w:rPr>
            </w:pPr>
            <w:r>
              <w:rPr>
                <w:rFonts w:cs="Open Sans"/>
                <w:b/>
                <w:bCs/>
                <w:color w:val="1D4374"/>
              </w:rPr>
              <w:t>EPC</w:t>
            </w:r>
          </w:p>
        </w:tc>
        <w:tc>
          <w:tcPr>
            <w:tcW w:w="4118" w:type="pct"/>
          </w:tcPr>
          <w:p w14:paraId="650F73EB" w14:textId="77777777" w:rsidR="00214445" w:rsidRDefault="00214445">
            <w:pPr>
              <w:pStyle w:val="TableBody"/>
              <w:spacing w:before="45" w:after="45"/>
              <w:ind w:right="108"/>
              <w:rPr>
                <w:rFonts w:cs="Open Sans"/>
                <w:color w:val="000000"/>
              </w:rPr>
            </w:pPr>
            <w:r>
              <w:rPr>
                <w:rFonts w:cs="Open Sans"/>
                <w:color w:val="000000"/>
              </w:rPr>
              <w:t>equal per capita</w:t>
            </w:r>
          </w:p>
        </w:tc>
      </w:tr>
      <w:tr w:rsidR="00214445" w:rsidRPr="00763D15" w14:paraId="4B058D30" w14:textId="77777777">
        <w:tc>
          <w:tcPr>
            <w:tcW w:w="882" w:type="pct"/>
            <w:shd w:val="clear" w:color="000000" w:fill="E6E6E6"/>
          </w:tcPr>
          <w:p w14:paraId="2D7531A4" w14:textId="77777777" w:rsidR="00214445" w:rsidRDefault="00214445">
            <w:pPr>
              <w:pStyle w:val="TableBody"/>
              <w:spacing w:before="45" w:after="45"/>
              <w:ind w:right="108"/>
              <w:rPr>
                <w:rFonts w:cs="Open Sans"/>
                <w:b/>
                <w:bCs/>
                <w:color w:val="1D4374"/>
              </w:rPr>
            </w:pPr>
            <w:r>
              <w:rPr>
                <w:rFonts w:cs="Open Sans"/>
                <w:b/>
                <w:bCs/>
                <w:color w:val="1D4374"/>
              </w:rPr>
              <w:t>FBO</w:t>
            </w:r>
          </w:p>
        </w:tc>
        <w:tc>
          <w:tcPr>
            <w:tcW w:w="4118" w:type="pct"/>
            <w:shd w:val="clear" w:color="000000" w:fill="E6E6E6"/>
          </w:tcPr>
          <w:p w14:paraId="03FE3A0C" w14:textId="77777777" w:rsidR="00214445" w:rsidRDefault="00214445">
            <w:pPr>
              <w:pStyle w:val="TableBody"/>
              <w:spacing w:before="45" w:after="45"/>
              <w:ind w:right="108"/>
              <w:rPr>
                <w:rFonts w:cs="Open Sans"/>
                <w:color w:val="000000"/>
              </w:rPr>
            </w:pPr>
            <w:r>
              <w:rPr>
                <w:rFonts w:cs="Open Sans"/>
                <w:color w:val="000000"/>
              </w:rPr>
              <w:t>Final Budget Outcome</w:t>
            </w:r>
          </w:p>
        </w:tc>
      </w:tr>
      <w:tr w:rsidR="00214445" w:rsidRPr="00763D15" w14:paraId="161ED836" w14:textId="77777777">
        <w:tc>
          <w:tcPr>
            <w:tcW w:w="882" w:type="pct"/>
          </w:tcPr>
          <w:p w14:paraId="2F06586F" w14:textId="77777777" w:rsidR="00214445" w:rsidRDefault="00214445">
            <w:pPr>
              <w:pStyle w:val="TableBody"/>
              <w:spacing w:before="45" w:after="45"/>
              <w:ind w:right="108"/>
              <w:rPr>
                <w:rFonts w:cs="Open Sans"/>
                <w:b/>
                <w:bCs/>
                <w:color w:val="1D4374"/>
              </w:rPr>
            </w:pPr>
            <w:r>
              <w:rPr>
                <w:rFonts w:cs="Open Sans"/>
                <w:b/>
                <w:bCs/>
                <w:color w:val="1D4374"/>
              </w:rPr>
              <w:t>FFA</w:t>
            </w:r>
          </w:p>
        </w:tc>
        <w:tc>
          <w:tcPr>
            <w:tcW w:w="4118" w:type="pct"/>
          </w:tcPr>
          <w:p w14:paraId="217B66AE" w14:textId="77777777" w:rsidR="00214445" w:rsidRDefault="00214445">
            <w:pPr>
              <w:pStyle w:val="TableBody"/>
              <w:spacing w:before="45" w:after="45"/>
              <w:ind w:right="108"/>
              <w:rPr>
                <w:rFonts w:cs="Open Sans"/>
                <w:color w:val="000000"/>
              </w:rPr>
            </w:pPr>
            <w:r>
              <w:rPr>
                <w:rFonts w:cs="Open Sans"/>
                <w:color w:val="000000"/>
              </w:rPr>
              <w:t>Federation Funding Agreement</w:t>
            </w:r>
          </w:p>
        </w:tc>
      </w:tr>
      <w:tr w:rsidR="00214445" w:rsidRPr="00763D15" w14:paraId="03039C92" w14:textId="77777777">
        <w:tc>
          <w:tcPr>
            <w:tcW w:w="882" w:type="pct"/>
            <w:shd w:val="clear" w:color="000000" w:fill="E6E6E6"/>
          </w:tcPr>
          <w:p w14:paraId="38594F88" w14:textId="77777777" w:rsidR="00214445" w:rsidRDefault="00214445">
            <w:pPr>
              <w:pStyle w:val="TableBody"/>
              <w:spacing w:before="45" w:after="45"/>
              <w:ind w:right="108"/>
              <w:rPr>
                <w:rFonts w:cs="Open Sans"/>
                <w:b/>
                <w:bCs/>
                <w:color w:val="1D4374"/>
              </w:rPr>
            </w:pPr>
            <w:r>
              <w:rPr>
                <w:rFonts w:cs="Open Sans"/>
                <w:b/>
                <w:bCs/>
                <w:color w:val="1D4374"/>
              </w:rPr>
              <w:t>FFR</w:t>
            </w:r>
          </w:p>
        </w:tc>
        <w:tc>
          <w:tcPr>
            <w:tcW w:w="4118" w:type="pct"/>
            <w:shd w:val="clear" w:color="000000" w:fill="E6E6E6"/>
          </w:tcPr>
          <w:p w14:paraId="554CEBEC" w14:textId="77777777" w:rsidR="00214445" w:rsidRDefault="00214445">
            <w:pPr>
              <w:pStyle w:val="TableBody"/>
              <w:spacing w:before="45" w:after="45"/>
              <w:ind w:right="108"/>
              <w:rPr>
                <w:rFonts w:cs="Open Sans"/>
                <w:color w:val="000000"/>
              </w:rPr>
            </w:pPr>
            <w:r>
              <w:rPr>
                <w:rFonts w:cs="Open Sans"/>
                <w:color w:val="000000"/>
              </w:rPr>
              <w:t>federal financial relations</w:t>
            </w:r>
          </w:p>
        </w:tc>
      </w:tr>
      <w:tr w:rsidR="00214445" w:rsidRPr="00763D15" w14:paraId="39E42BB2" w14:textId="77777777">
        <w:tc>
          <w:tcPr>
            <w:tcW w:w="882" w:type="pct"/>
          </w:tcPr>
          <w:p w14:paraId="3C9A4CBB" w14:textId="77777777" w:rsidR="00214445" w:rsidRDefault="00214445">
            <w:pPr>
              <w:pStyle w:val="TableBody"/>
              <w:spacing w:before="45" w:after="45"/>
              <w:ind w:right="108"/>
              <w:rPr>
                <w:rFonts w:cs="Open Sans"/>
                <w:b/>
                <w:bCs/>
                <w:color w:val="1D4374"/>
              </w:rPr>
            </w:pPr>
            <w:r>
              <w:rPr>
                <w:rFonts w:cs="Open Sans"/>
                <w:b/>
                <w:bCs/>
                <w:color w:val="1D4374"/>
              </w:rPr>
              <w:t>GDP</w:t>
            </w:r>
          </w:p>
        </w:tc>
        <w:tc>
          <w:tcPr>
            <w:tcW w:w="4118" w:type="pct"/>
          </w:tcPr>
          <w:p w14:paraId="067E648D" w14:textId="77777777" w:rsidR="00214445" w:rsidRDefault="00214445">
            <w:pPr>
              <w:pStyle w:val="TableBody"/>
              <w:spacing w:before="45" w:after="45"/>
              <w:ind w:right="108"/>
              <w:rPr>
                <w:rFonts w:cs="Open Sans"/>
                <w:color w:val="000000"/>
              </w:rPr>
            </w:pPr>
            <w:r>
              <w:rPr>
                <w:rFonts w:cs="Open Sans"/>
                <w:color w:val="000000"/>
              </w:rPr>
              <w:t>gross domestic product</w:t>
            </w:r>
          </w:p>
        </w:tc>
      </w:tr>
      <w:tr w:rsidR="00214445" w:rsidRPr="00763D15" w14:paraId="2AE36736" w14:textId="77777777">
        <w:tc>
          <w:tcPr>
            <w:tcW w:w="882" w:type="pct"/>
            <w:shd w:val="clear" w:color="000000" w:fill="E6E6E6"/>
          </w:tcPr>
          <w:p w14:paraId="016D2788" w14:textId="77777777" w:rsidR="00214445" w:rsidRDefault="00214445">
            <w:pPr>
              <w:pStyle w:val="TableBody"/>
              <w:spacing w:before="45" w:after="45"/>
              <w:ind w:right="108"/>
              <w:rPr>
                <w:rFonts w:cs="Open Sans"/>
                <w:b/>
                <w:bCs/>
                <w:color w:val="1D4374"/>
              </w:rPr>
            </w:pPr>
            <w:r>
              <w:rPr>
                <w:rFonts w:cs="Open Sans"/>
                <w:b/>
                <w:bCs/>
                <w:color w:val="1D4374"/>
              </w:rPr>
              <w:t>GFS</w:t>
            </w:r>
          </w:p>
        </w:tc>
        <w:tc>
          <w:tcPr>
            <w:tcW w:w="4118" w:type="pct"/>
            <w:shd w:val="clear" w:color="000000" w:fill="E6E6E6"/>
          </w:tcPr>
          <w:p w14:paraId="5392340B" w14:textId="77777777" w:rsidR="00214445" w:rsidRDefault="00214445">
            <w:pPr>
              <w:pStyle w:val="TableBody"/>
              <w:spacing w:before="45" w:after="45"/>
              <w:ind w:right="108"/>
              <w:rPr>
                <w:rFonts w:cs="Open Sans"/>
                <w:color w:val="000000"/>
              </w:rPr>
            </w:pPr>
            <w:r>
              <w:rPr>
                <w:rFonts w:cs="Open Sans"/>
                <w:color w:val="000000"/>
              </w:rPr>
              <w:t>Government Finance Statistics</w:t>
            </w:r>
          </w:p>
        </w:tc>
      </w:tr>
      <w:tr w:rsidR="00214445" w:rsidRPr="00763D15" w14:paraId="207EC141" w14:textId="77777777">
        <w:tc>
          <w:tcPr>
            <w:tcW w:w="882" w:type="pct"/>
          </w:tcPr>
          <w:p w14:paraId="70FB400E" w14:textId="77777777" w:rsidR="00214445" w:rsidRDefault="00214445">
            <w:pPr>
              <w:pStyle w:val="TableBody"/>
              <w:spacing w:before="45" w:after="45"/>
              <w:ind w:right="108"/>
              <w:rPr>
                <w:rFonts w:cs="Open Sans"/>
                <w:b/>
                <w:bCs/>
                <w:color w:val="1D4374"/>
              </w:rPr>
            </w:pPr>
            <w:r>
              <w:rPr>
                <w:rFonts w:cs="Open Sans"/>
                <w:b/>
                <w:bCs/>
                <w:color w:val="1D4374"/>
              </w:rPr>
              <w:t>GSP</w:t>
            </w:r>
          </w:p>
        </w:tc>
        <w:tc>
          <w:tcPr>
            <w:tcW w:w="4118" w:type="pct"/>
          </w:tcPr>
          <w:p w14:paraId="71D55730" w14:textId="77777777" w:rsidR="00214445" w:rsidRDefault="00214445">
            <w:pPr>
              <w:pStyle w:val="TableBody"/>
              <w:spacing w:before="45" w:after="45"/>
              <w:ind w:right="108"/>
              <w:rPr>
                <w:rFonts w:cs="Open Sans"/>
                <w:color w:val="000000"/>
              </w:rPr>
            </w:pPr>
            <w:r>
              <w:rPr>
                <w:rFonts w:cs="Open Sans"/>
                <w:color w:val="000000"/>
              </w:rPr>
              <w:t>gross state product</w:t>
            </w:r>
          </w:p>
        </w:tc>
      </w:tr>
      <w:tr w:rsidR="00214445" w:rsidRPr="00763D15" w14:paraId="5CAA25DF" w14:textId="77777777">
        <w:tc>
          <w:tcPr>
            <w:tcW w:w="882" w:type="pct"/>
            <w:shd w:val="clear" w:color="000000" w:fill="E6E6E6"/>
          </w:tcPr>
          <w:p w14:paraId="39C894FC" w14:textId="77777777" w:rsidR="00214445" w:rsidRDefault="00214445">
            <w:pPr>
              <w:pStyle w:val="TableBody"/>
              <w:spacing w:before="45" w:after="45"/>
              <w:ind w:right="108"/>
              <w:rPr>
                <w:rFonts w:cs="Open Sans"/>
                <w:b/>
                <w:bCs/>
                <w:color w:val="1D4374"/>
              </w:rPr>
            </w:pPr>
            <w:r>
              <w:rPr>
                <w:rFonts w:cs="Open Sans"/>
                <w:b/>
                <w:bCs/>
                <w:color w:val="1D4374"/>
              </w:rPr>
              <w:t>GST</w:t>
            </w:r>
          </w:p>
        </w:tc>
        <w:tc>
          <w:tcPr>
            <w:tcW w:w="4118" w:type="pct"/>
            <w:shd w:val="clear" w:color="000000" w:fill="E6E6E6"/>
          </w:tcPr>
          <w:p w14:paraId="5F084E21" w14:textId="77777777" w:rsidR="00214445" w:rsidRDefault="00214445">
            <w:pPr>
              <w:pStyle w:val="TableBody"/>
              <w:spacing w:before="45" w:after="45"/>
              <w:ind w:right="108"/>
              <w:rPr>
                <w:rFonts w:cs="Open Sans"/>
                <w:color w:val="000000"/>
              </w:rPr>
            </w:pPr>
            <w:r>
              <w:rPr>
                <w:rFonts w:cs="Open Sans"/>
                <w:color w:val="000000"/>
              </w:rPr>
              <w:t>Goods and Services Tax</w:t>
            </w:r>
          </w:p>
        </w:tc>
      </w:tr>
      <w:tr w:rsidR="00214445" w:rsidRPr="00763D15" w14:paraId="13C26FB1" w14:textId="77777777">
        <w:tc>
          <w:tcPr>
            <w:tcW w:w="882" w:type="pct"/>
          </w:tcPr>
          <w:p w14:paraId="067BCCB5" w14:textId="77777777" w:rsidR="00214445" w:rsidRDefault="00214445">
            <w:pPr>
              <w:pStyle w:val="TableBody"/>
              <w:spacing w:before="45" w:after="45"/>
              <w:ind w:right="108"/>
              <w:rPr>
                <w:rFonts w:cs="Open Sans"/>
                <w:b/>
                <w:bCs/>
                <w:color w:val="1D4374"/>
              </w:rPr>
            </w:pPr>
            <w:r>
              <w:rPr>
                <w:rFonts w:cs="Open Sans"/>
                <w:b/>
                <w:bCs/>
                <w:color w:val="1D4374"/>
              </w:rPr>
              <w:t>HFE</w:t>
            </w:r>
          </w:p>
        </w:tc>
        <w:tc>
          <w:tcPr>
            <w:tcW w:w="4118" w:type="pct"/>
          </w:tcPr>
          <w:p w14:paraId="5668F66C" w14:textId="77777777" w:rsidR="00214445" w:rsidRDefault="00214445">
            <w:pPr>
              <w:pStyle w:val="TableBody"/>
              <w:spacing w:before="45" w:after="45"/>
              <w:ind w:right="108"/>
              <w:rPr>
                <w:rFonts w:cs="Open Sans"/>
                <w:color w:val="000000"/>
              </w:rPr>
            </w:pPr>
            <w:r>
              <w:rPr>
                <w:rFonts w:cs="Open Sans"/>
                <w:color w:val="000000"/>
              </w:rPr>
              <w:t>horizontal fiscal equalisation</w:t>
            </w:r>
          </w:p>
        </w:tc>
      </w:tr>
      <w:tr w:rsidR="00214445" w:rsidRPr="00763D15" w14:paraId="6D711E49" w14:textId="77777777">
        <w:tc>
          <w:tcPr>
            <w:tcW w:w="882" w:type="pct"/>
            <w:shd w:val="clear" w:color="000000" w:fill="E6E6E6"/>
          </w:tcPr>
          <w:p w14:paraId="2543A6B4" w14:textId="77777777" w:rsidR="00214445" w:rsidRDefault="00214445">
            <w:pPr>
              <w:pStyle w:val="TableBody"/>
              <w:spacing w:before="45" w:after="45"/>
              <w:ind w:right="108"/>
              <w:rPr>
                <w:rFonts w:cs="Open Sans"/>
                <w:b/>
                <w:bCs/>
                <w:color w:val="1D4374"/>
              </w:rPr>
            </w:pPr>
            <w:r>
              <w:rPr>
                <w:rFonts w:cs="Open Sans"/>
                <w:b/>
                <w:bCs/>
                <w:color w:val="1D4374"/>
              </w:rPr>
              <w:t>HFI</w:t>
            </w:r>
          </w:p>
        </w:tc>
        <w:tc>
          <w:tcPr>
            <w:tcW w:w="4118" w:type="pct"/>
            <w:shd w:val="clear" w:color="000000" w:fill="E6E6E6"/>
          </w:tcPr>
          <w:p w14:paraId="2F5F1338" w14:textId="77777777" w:rsidR="00214445" w:rsidRDefault="00214445">
            <w:pPr>
              <w:pStyle w:val="TableBody"/>
              <w:spacing w:before="45" w:after="45"/>
              <w:ind w:right="108"/>
              <w:rPr>
                <w:rFonts w:cs="Open Sans"/>
                <w:color w:val="000000"/>
              </w:rPr>
            </w:pPr>
            <w:r>
              <w:rPr>
                <w:rFonts w:cs="Open Sans"/>
                <w:color w:val="000000"/>
              </w:rPr>
              <w:t>horizontal fiscal imbalance</w:t>
            </w:r>
          </w:p>
        </w:tc>
      </w:tr>
      <w:tr w:rsidR="00214445" w:rsidRPr="00763D15" w14:paraId="08C59A9C" w14:textId="77777777">
        <w:tc>
          <w:tcPr>
            <w:tcW w:w="882" w:type="pct"/>
          </w:tcPr>
          <w:p w14:paraId="27A3D9A5" w14:textId="77777777" w:rsidR="00214445" w:rsidRDefault="00214445">
            <w:pPr>
              <w:pStyle w:val="TableBody"/>
              <w:spacing w:before="45" w:after="45"/>
              <w:ind w:right="108"/>
              <w:rPr>
                <w:rFonts w:cs="Open Sans"/>
                <w:b/>
                <w:bCs/>
                <w:color w:val="1D4374"/>
              </w:rPr>
            </w:pPr>
            <w:r>
              <w:rPr>
                <w:rFonts w:cs="Open Sans"/>
                <w:b/>
                <w:bCs/>
                <w:color w:val="1D4374"/>
              </w:rPr>
              <w:t>IGA</w:t>
            </w:r>
          </w:p>
        </w:tc>
        <w:tc>
          <w:tcPr>
            <w:tcW w:w="4118" w:type="pct"/>
          </w:tcPr>
          <w:p w14:paraId="53E163FC" w14:textId="77777777" w:rsidR="00214445" w:rsidRDefault="00214445">
            <w:pPr>
              <w:pStyle w:val="TableBody"/>
              <w:spacing w:before="45" w:after="45"/>
              <w:ind w:right="108"/>
              <w:rPr>
                <w:rFonts w:cs="Open Sans"/>
                <w:color w:val="000000"/>
              </w:rPr>
            </w:pPr>
            <w:r>
              <w:rPr>
                <w:rFonts w:cs="Open Sans"/>
                <w:color w:val="000000"/>
              </w:rPr>
              <w:t>intergovernmental agreement</w:t>
            </w:r>
          </w:p>
        </w:tc>
      </w:tr>
      <w:tr w:rsidR="00214445" w:rsidRPr="00763D15" w14:paraId="614D7A5D" w14:textId="77777777">
        <w:tc>
          <w:tcPr>
            <w:tcW w:w="882" w:type="pct"/>
            <w:shd w:val="clear" w:color="000000" w:fill="E6E6E6"/>
          </w:tcPr>
          <w:p w14:paraId="1FC900E8" w14:textId="77777777" w:rsidR="00214445" w:rsidRDefault="00214445">
            <w:pPr>
              <w:pStyle w:val="TableBody"/>
              <w:spacing w:before="45" w:after="45"/>
              <w:ind w:right="108"/>
              <w:rPr>
                <w:rFonts w:cs="Open Sans"/>
                <w:b/>
                <w:bCs/>
                <w:color w:val="1D4374"/>
              </w:rPr>
            </w:pPr>
            <w:r>
              <w:rPr>
                <w:rFonts w:cs="Open Sans"/>
                <w:b/>
                <w:bCs/>
                <w:color w:val="1D4374"/>
              </w:rPr>
              <w:t>NFFA</w:t>
            </w:r>
          </w:p>
        </w:tc>
        <w:tc>
          <w:tcPr>
            <w:tcW w:w="4118" w:type="pct"/>
            <w:shd w:val="clear" w:color="000000" w:fill="E6E6E6"/>
          </w:tcPr>
          <w:p w14:paraId="7D347A87" w14:textId="77777777" w:rsidR="00214445" w:rsidRDefault="00214445">
            <w:pPr>
              <w:pStyle w:val="TableBody"/>
              <w:spacing w:before="45" w:after="45"/>
              <w:ind w:right="108"/>
              <w:rPr>
                <w:rFonts w:cs="Open Sans"/>
                <w:color w:val="000000"/>
              </w:rPr>
            </w:pPr>
            <w:r>
              <w:rPr>
                <w:rFonts w:cs="Open Sans"/>
                <w:color w:val="000000"/>
              </w:rPr>
              <w:t>National Federation Funding Agreement</w:t>
            </w:r>
          </w:p>
        </w:tc>
      </w:tr>
      <w:tr w:rsidR="00214445" w:rsidRPr="00763D15" w14:paraId="611EACC6" w14:textId="77777777">
        <w:tc>
          <w:tcPr>
            <w:tcW w:w="882" w:type="pct"/>
          </w:tcPr>
          <w:p w14:paraId="745C1C39" w14:textId="77777777" w:rsidR="00214445" w:rsidRDefault="00214445">
            <w:pPr>
              <w:pStyle w:val="TableBody"/>
              <w:spacing w:before="45" w:after="45"/>
              <w:ind w:right="108"/>
              <w:rPr>
                <w:rFonts w:cs="Open Sans"/>
                <w:b/>
                <w:bCs/>
                <w:color w:val="1D4374"/>
              </w:rPr>
            </w:pPr>
            <w:r>
              <w:rPr>
                <w:rFonts w:cs="Open Sans"/>
                <w:b/>
                <w:bCs/>
                <w:color w:val="1D4374"/>
              </w:rPr>
              <w:t>NoWO</w:t>
            </w:r>
          </w:p>
        </w:tc>
        <w:tc>
          <w:tcPr>
            <w:tcW w:w="4118" w:type="pct"/>
          </w:tcPr>
          <w:p w14:paraId="0CB399C4" w14:textId="6A68F2DE" w:rsidR="00214445" w:rsidRDefault="00214445">
            <w:pPr>
              <w:pStyle w:val="TableBody"/>
              <w:spacing w:before="45" w:after="45"/>
              <w:ind w:right="108"/>
              <w:rPr>
                <w:rFonts w:cs="Open Sans"/>
                <w:color w:val="000000"/>
              </w:rPr>
            </w:pPr>
            <w:r>
              <w:rPr>
                <w:rFonts w:cs="Open Sans"/>
                <w:color w:val="000000"/>
              </w:rPr>
              <w:t>No Worse</w:t>
            </w:r>
            <w:r w:rsidR="005633BF">
              <w:rPr>
                <w:rFonts w:cs="Open Sans"/>
                <w:color w:val="000000"/>
              </w:rPr>
              <w:t xml:space="preserve"> </w:t>
            </w:r>
            <w:r>
              <w:rPr>
                <w:rFonts w:cs="Open Sans"/>
                <w:color w:val="000000"/>
              </w:rPr>
              <w:t>Off (guarantee)</w:t>
            </w:r>
          </w:p>
        </w:tc>
      </w:tr>
      <w:tr w:rsidR="00214445" w:rsidRPr="00763D15" w14:paraId="6B75BFDC" w14:textId="77777777">
        <w:tc>
          <w:tcPr>
            <w:tcW w:w="882" w:type="pct"/>
            <w:shd w:val="clear" w:color="000000" w:fill="E6E6E6"/>
          </w:tcPr>
          <w:p w14:paraId="70D70716" w14:textId="77777777" w:rsidR="00214445" w:rsidRDefault="00214445">
            <w:pPr>
              <w:pStyle w:val="TableBody"/>
              <w:spacing w:before="45" w:after="45"/>
              <w:ind w:right="108"/>
              <w:rPr>
                <w:rFonts w:cs="Open Sans"/>
                <w:b/>
                <w:bCs/>
                <w:color w:val="1D4374"/>
              </w:rPr>
            </w:pPr>
            <w:r>
              <w:rPr>
                <w:rFonts w:cs="Open Sans"/>
                <w:b/>
                <w:bCs/>
                <w:color w:val="1D4374"/>
              </w:rPr>
              <w:t>OECD</w:t>
            </w:r>
          </w:p>
        </w:tc>
        <w:tc>
          <w:tcPr>
            <w:tcW w:w="4118" w:type="pct"/>
            <w:shd w:val="clear" w:color="000000" w:fill="E6E6E6"/>
          </w:tcPr>
          <w:p w14:paraId="0437CB0F" w14:textId="77777777" w:rsidR="00214445" w:rsidRDefault="00214445">
            <w:pPr>
              <w:pStyle w:val="TableBody"/>
              <w:spacing w:before="45" w:after="45"/>
              <w:ind w:right="108"/>
              <w:rPr>
                <w:rFonts w:cs="Open Sans"/>
                <w:color w:val="000000"/>
              </w:rPr>
            </w:pPr>
            <w:r>
              <w:rPr>
                <w:rFonts w:cs="Open Sans"/>
                <w:color w:val="000000"/>
              </w:rPr>
              <w:t>Organisation for Economic Co</w:t>
            </w:r>
            <w:r>
              <w:rPr>
                <w:rFonts w:cs="Open Sans"/>
                <w:color w:val="000000"/>
              </w:rPr>
              <w:noBreakHyphen/>
              <w:t>operation and Development</w:t>
            </w:r>
          </w:p>
        </w:tc>
      </w:tr>
      <w:tr w:rsidR="00214445" w:rsidRPr="00763D15" w14:paraId="0A4422F2" w14:textId="77777777">
        <w:tc>
          <w:tcPr>
            <w:tcW w:w="882" w:type="pct"/>
          </w:tcPr>
          <w:p w14:paraId="1F4E4AB8" w14:textId="77777777" w:rsidR="00214445" w:rsidRDefault="00214445">
            <w:pPr>
              <w:pStyle w:val="TableBody"/>
              <w:spacing w:before="45" w:after="45"/>
              <w:ind w:right="108"/>
              <w:rPr>
                <w:rFonts w:cs="Open Sans"/>
                <w:b/>
                <w:bCs/>
                <w:color w:val="1D4374"/>
              </w:rPr>
            </w:pPr>
            <w:r>
              <w:rPr>
                <w:rFonts w:cs="Open Sans"/>
                <w:b/>
                <w:bCs/>
                <w:color w:val="1D4374"/>
              </w:rPr>
              <w:t>PC</w:t>
            </w:r>
          </w:p>
        </w:tc>
        <w:tc>
          <w:tcPr>
            <w:tcW w:w="4118" w:type="pct"/>
          </w:tcPr>
          <w:p w14:paraId="1995289F" w14:textId="77777777" w:rsidR="00214445" w:rsidRDefault="00214445">
            <w:pPr>
              <w:pStyle w:val="TableBody"/>
              <w:spacing w:before="45" w:after="45"/>
              <w:ind w:right="108"/>
              <w:rPr>
                <w:rFonts w:cs="Open Sans"/>
                <w:color w:val="000000"/>
              </w:rPr>
            </w:pPr>
            <w:r>
              <w:rPr>
                <w:rFonts w:cs="Open Sans"/>
                <w:color w:val="000000"/>
              </w:rPr>
              <w:t>Productivity Commission</w:t>
            </w:r>
          </w:p>
        </w:tc>
      </w:tr>
      <w:tr w:rsidR="00214445" w:rsidRPr="00763D15" w14:paraId="04169520" w14:textId="77777777">
        <w:tc>
          <w:tcPr>
            <w:tcW w:w="882" w:type="pct"/>
            <w:shd w:val="clear" w:color="000000" w:fill="E6E6E6"/>
          </w:tcPr>
          <w:p w14:paraId="72FD66D1" w14:textId="77777777" w:rsidR="00214445" w:rsidRDefault="00214445">
            <w:pPr>
              <w:pStyle w:val="TableBody"/>
              <w:spacing w:before="45" w:after="45"/>
              <w:ind w:right="108"/>
              <w:rPr>
                <w:rFonts w:cs="Open Sans"/>
                <w:b/>
                <w:bCs/>
                <w:color w:val="1D4374"/>
              </w:rPr>
            </w:pPr>
            <w:r>
              <w:rPr>
                <w:rFonts w:cs="Open Sans"/>
                <w:b/>
                <w:bCs/>
                <w:color w:val="1D4374"/>
              </w:rPr>
              <w:t>VFI</w:t>
            </w:r>
          </w:p>
        </w:tc>
        <w:tc>
          <w:tcPr>
            <w:tcW w:w="4118" w:type="pct"/>
            <w:shd w:val="clear" w:color="000000" w:fill="E6E6E6"/>
          </w:tcPr>
          <w:p w14:paraId="7E5E5602" w14:textId="77777777" w:rsidR="00214445" w:rsidRDefault="00214445">
            <w:pPr>
              <w:pStyle w:val="TableBody"/>
              <w:spacing w:before="45" w:after="45"/>
              <w:ind w:right="108"/>
              <w:rPr>
                <w:rFonts w:cs="Open Sans"/>
                <w:color w:val="000000"/>
              </w:rPr>
            </w:pPr>
            <w:r>
              <w:rPr>
                <w:rFonts w:cs="Open Sans"/>
                <w:color w:val="000000"/>
              </w:rPr>
              <w:t>vertical fiscal imbalance</w:t>
            </w:r>
          </w:p>
        </w:tc>
      </w:tr>
    </w:tbl>
    <w:p w14:paraId="29DE6768" w14:textId="77777777" w:rsidR="008B5C25" w:rsidRDefault="008B5C25">
      <w:pPr>
        <w:pStyle w:val="BodyText"/>
        <w:sectPr w:rsidR="008B5C25" w:rsidSect="00214445">
          <w:headerReference w:type="default" r:id="rId119"/>
          <w:footnotePr>
            <w:numRestart w:val="eachSect"/>
          </w:footnotePr>
          <w:type w:val="oddPage"/>
          <w:pgSz w:w="11906" w:h="16838" w:code="9"/>
          <w:pgMar w:top="1134" w:right="1134" w:bottom="1134" w:left="1134" w:header="794" w:footer="510" w:gutter="0"/>
          <w:cols w:space="708"/>
          <w:docGrid w:linePitch="360"/>
        </w:sectPr>
      </w:pPr>
    </w:p>
    <w:p w14:paraId="4FADA68B" w14:textId="77777777" w:rsidR="004A2C21" w:rsidRDefault="004A2C21" w:rsidP="00C94500">
      <w:pPr>
        <w:pStyle w:val="Heading1-nobackground"/>
        <w:numPr>
          <w:ilvl w:val="0"/>
          <w:numId w:val="0"/>
        </w:numPr>
      </w:pPr>
      <w:bookmarkStart w:id="125" w:name="_Toc78901541"/>
      <w:bookmarkStart w:id="126" w:name="_Toc236904089"/>
      <w:r w:rsidRPr="00AC587D">
        <w:lastRenderedPageBreak/>
        <w:t>Glossary</w:t>
      </w:r>
      <w:bookmarkEnd w:id="125"/>
      <w:bookmarkEnd w:id="126"/>
    </w:p>
    <w:tbl>
      <w:tblPr>
        <w:tblW w:w="0" w:type="auto"/>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1701"/>
        <w:gridCol w:w="7937"/>
      </w:tblGrid>
      <w:tr w:rsidR="004A2C21" w:rsidRPr="00E45240" w14:paraId="49726371" w14:textId="77777777" w:rsidTr="000E0E18">
        <w:trPr>
          <w:tblHeader/>
        </w:trPr>
        <w:tc>
          <w:tcPr>
            <w:tcW w:w="1701" w:type="dxa"/>
            <w:tcBorders>
              <w:bottom w:val="single" w:sz="4" w:space="0" w:color="B3B3B3"/>
            </w:tcBorders>
            <w:shd w:val="clear" w:color="000000" w:fill="auto"/>
            <w:vAlign w:val="bottom"/>
          </w:tcPr>
          <w:p w14:paraId="53DAF4C4" w14:textId="77777777" w:rsidR="004A2C21" w:rsidRPr="00E45240" w:rsidRDefault="004A2C21">
            <w:pPr>
              <w:spacing w:before="45" w:after="45" w:line="259" w:lineRule="auto"/>
              <w:ind w:left="57" w:right="108"/>
              <w:rPr>
                <w:rFonts w:cs="Open Sans"/>
                <w:b/>
                <w:color w:val="1D4374"/>
                <w:sz w:val="18"/>
              </w:rPr>
            </w:pPr>
            <w:bookmarkStart w:id="127" w:name="_Toc30502210"/>
            <w:r w:rsidRPr="00E45240">
              <w:rPr>
                <w:rFonts w:cs="Open Sans"/>
                <w:b/>
                <w:color w:val="1D4374"/>
                <w:sz w:val="18"/>
              </w:rPr>
              <w:t>Term</w:t>
            </w:r>
          </w:p>
        </w:tc>
        <w:tc>
          <w:tcPr>
            <w:tcW w:w="7937" w:type="dxa"/>
            <w:tcBorders>
              <w:bottom w:val="single" w:sz="4" w:space="0" w:color="B3B3B3"/>
            </w:tcBorders>
            <w:shd w:val="clear" w:color="000000" w:fill="auto"/>
            <w:vAlign w:val="bottom"/>
          </w:tcPr>
          <w:p w14:paraId="11ECEDFB" w14:textId="77777777" w:rsidR="004A2C21" w:rsidRPr="00E45240" w:rsidRDefault="004A2C21">
            <w:pPr>
              <w:spacing w:before="45" w:after="45" w:line="259" w:lineRule="auto"/>
              <w:ind w:left="57" w:right="108"/>
              <w:rPr>
                <w:rFonts w:cs="Open Sans"/>
                <w:b/>
                <w:color w:val="1D4374"/>
                <w:sz w:val="18"/>
              </w:rPr>
            </w:pPr>
            <w:r w:rsidRPr="00E45240">
              <w:rPr>
                <w:rFonts w:cs="Open Sans"/>
                <w:b/>
                <w:color w:val="1D4374"/>
                <w:sz w:val="18"/>
              </w:rPr>
              <w:t>Description</w:t>
            </w:r>
          </w:p>
        </w:tc>
      </w:tr>
      <w:tr w:rsidR="004A2C21" w:rsidRPr="00E45240" w14:paraId="18825313" w14:textId="77777777" w:rsidTr="000E0E18">
        <w:tc>
          <w:tcPr>
            <w:tcW w:w="1701" w:type="dxa"/>
            <w:tcBorders>
              <w:top w:val="single" w:sz="4" w:space="0" w:color="B3B3B3"/>
              <w:bottom w:val="nil"/>
            </w:tcBorders>
            <w:shd w:val="clear" w:color="000000" w:fill="E6E6E6"/>
          </w:tcPr>
          <w:p w14:paraId="445DB4CD" w14:textId="77777777" w:rsidR="004A2C21" w:rsidRPr="00E45240" w:rsidRDefault="004A2C21">
            <w:pPr>
              <w:spacing w:before="45" w:after="45" w:line="259" w:lineRule="auto"/>
              <w:ind w:left="57" w:right="108"/>
              <w:rPr>
                <w:rFonts w:cs="Open Sans"/>
                <w:b/>
                <w:color w:val="1D4374"/>
                <w:sz w:val="18"/>
              </w:rPr>
            </w:pPr>
            <w:r>
              <w:rPr>
                <w:rFonts w:cs="Open Sans"/>
                <w:b/>
                <w:color w:val="1D4374"/>
                <w:sz w:val="18"/>
              </w:rPr>
              <w:t>Assessed relativities</w:t>
            </w:r>
          </w:p>
        </w:tc>
        <w:tc>
          <w:tcPr>
            <w:tcW w:w="7937" w:type="dxa"/>
            <w:tcBorders>
              <w:top w:val="single" w:sz="4" w:space="0" w:color="B3B3B3"/>
              <w:bottom w:val="nil"/>
            </w:tcBorders>
            <w:shd w:val="clear" w:color="auto" w:fill="E6E6E6"/>
          </w:tcPr>
          <w:p w14:paraId="59EDF2A4" w14:textId="77777777" w:rsidR="004A2C21" w:rsidRPr="00E45240" w:rsidRDefault="004A2C21">
            <w:pPr>
              <w:spacing w:before="45" w:after="45" w:line="259" w:lineRule="auto"/>
              <w:ind w:left="57" w:right="108"/>
              <w:rPr>
                <w:rFonts w:cs="Open Sans"/>
                <w:color w:val="000000"/>
                <w:sz w:val="18"/>
              </w:rPr>
            </w:pPr>
            <w:r>
              <w:rPr>
                <w:rFonts w:cs="Open Sans"/>
                <w:color w:val="000000"/>
                <w:sz w:val="18"/>
              </w:rPr>
              <w:t>Relativities that compare e</w:t>
            </w:r>
            <w:r w:rsidRPr="001D6FD0">
              <w:rPr>
                <w:rFonts w:cs="Open Sans"/>
                <w:color w:val="000000"/>
                <w:sz w:val="18"/>
              </w:rPr>
              <w:t>ach state’s relative capacity to raise revenue with its relative cost of providing services.</w:t>
            </w:r>
            <w:r>
              <w:rPr>
                <w:rFonts w:cs="Open Sans"/>
                <w:color w:val="000000"/>
                <w:sz w:val="18"/>
              </w:rPr>
              <w:t xml:space="preserve"> </w:t>
            </w:r>
            <w:r w:rsidRPr="009B52CD">
              <w:rPr>
                <w:rFonts w:cs="Open Sans"/>
                <w:color w:val="000000"/>
                <w:sz w:val="18"/>
              </w:rPr>
              <w:t>Assessed relativities match a state’s assessed expenditure with its assessed revenue (including GST).</w:t>
            </w:r>
            <w:r>
              <w:t xml:space="preserve"> </w:t>
            </w:r>
            <w:r w:rsidRPr="00612D81">
              <w:rPr>
                <w:rFonts w:cs="Open Sans"/>
                <w:color w:val="000000"/>
                <w:sz w:val="18"/>
              </w:rPr>
              <w:t xml:space="preserve">Without the 2018 </w:t>
            </w:r>
            <w:r>
              <w:rPr>
                <w:rFonts w:cs="Open Sans"/>
                <w:color w:val="000000"/>
                <w:sz w:val="18"/>
              </w:rPr>
              <w:t>reforms</w:t>
            </w:r>
            <w:r w:rsidRPr="00612D81">
              <w:rPr>
                <w:rFonts w:cs="Open Sans"/>
                <w:color w:val="000000"/>
                <w:sz w:val="18"/>
              </w:rPr>
              <w:t>, GST relativities would equal assessed relativities</w:t>
            </w:r>
            <w:r>
              <w:rPr>
                <w:rFonts w:cs="Open Sans"/>
                <w:color w:val="000000"/>
                <w:sz w:val="18"/>
              </w:rPr>
              <w:t>.</w:t>
            </w:r>
          </w:p>
        </w:tc>
      </w:tr>
      <w:tr w:rsidR="004A2C21" w:rsidRPr="00E45240" w14:paraId="76EB5CED" w14:textId="77777777" w:rsidTr="000E0E18">
        <w:tc>
          <w:tcPr>
            <w:tcW w:w="1701" w:type="dxa"/>
            <w:tcBorders>
              <w:top w:val="nil"/>
              <w:bottom w:val="nil"/>
            </w:tcBorders>
            <w:shd w:val="clear" w:color="000000" w:fill="auto"/>
          </w:tcPr>
          <w:p w14:paraId="5AB9BD0B" w14:textId="77777777" w:rsidR="004A2C21" w:rsidRPr="00E45240" w:rsidRDefault="004A2C21">
            <w:pPr>
              <w:spacing w:before="45" w:after="45" w:line="259" w:lineRule="auto"/>
              <w:ind w:left="57" w:right="108"/>
              <w:rPr>
                <w:rFonts w:cs="Open Sans"/>
                <w:b/>
                <w:color w:val="1D4374"/>
                <w:sz w:val="18"/>
              </w:rPr>
            </w:pPr>
            <w:r>
              <w:rPr>
                <w:rFonts w:cs="Open Sans"/>
                <w:b/>
                <w:color w:val="1D4374"/>
                <w:sz w:val="18"/>
              </w:rPr>
              <w:t>Current distribution system</w:t>
            </w:r>
          </w:p>
        </w:tc>
        <w:tc>
          <w:tcPr>
            <w:tcW w:w="7937" w:type="dxa"/>
            <w:tcBorders>
              <w:top w:val="nil"/>
              <w:bottom w:val="nil"/>
            </w:tcBorders>
            <w:shd w:val="clear" w:color="000000" w:fill="auto"/>
          </w:tcPr>
          <w:p w14:paraId="2296313B" w14:textId="77777777" w:rsidR="004A2C21" w:rsidRPr="008D0038" w:rsidRDefault="004A2C21">
            <w:pPr>
              <w:spacing w:before="45" w:after="45" w:line="259" w:lineRule="auto"/>
              <w:ind w:left="57" w:right="108"/>
              <w:rPr>
                <w:rFonts w:cs="Open Sans"/>
                <w:color w:val="000000"/>
                <w:spacing w:val="-4"/>
                <w:sz w:val="18"/>
              </w:rPr>
            </w:pPr>
            <w:r w:rsidRPr="008D0038">
              <w:rPr>
                <w:rFonts w:cs="Open Sans"/>
                <w:color w:val="000000"/>
                <w:spacing w:val="-4"/>
                <w:sz w:val="18"/>
              </w:rPr>
              <w:t>The Commonwealth Grants Commission’s assessment of equalisation following the 2018 reforms, after the conclusion of transitional arrangements for the new equalisation standard.</w:t>
            </w:r>
          </w:p>
        </w:tc>
      </w:tr>
      <w:tr w:rsidR="004A2C21" w:rsidRPr="00E45240" w14:paraId="437AD89B" w14:textId="77777777" w:rsidTr="000E0E18">
        <w:tc>
          <w:tcPr>
            <w:tcW w:w="1701" w:type="dxa"/>
            <w:tcBorders>
              <w:top w:val="nil"/>
              <w:bottom w:val="nil"/>
            </w:tcBorders>
            <w:shd w:val="clear" w:color="auto" w:fill="E6E6E6"/>
          </w:tcPr>
          <w:p w14:paraId="3E58EEA7" w14:textId="77777777" w:rsidR="004A2C21" w:rsidRPr="00E45240" w:rsidRDefault="004A2C21">
            <w:pPr>
              <w:spacing w:before="45" w:after="45" w:line="259" w:lineRule="auto"/>
              <w:ind w:left="57" w:right="108"/>
              <w:rPr>
                <w:rFonts w:cs="Open Sans"/>
                <w:b/>
                <w:color w:val="1D4374"/>
                <w:sz w:val="18"/>
              </w:rPr>
            </w:pPr>
            <w:r>
              <w:rPr>
                <w:rFonts w:cs="Open Sans"/>
                <w:b/>
                <w:color w:val="1D4374"/>
                <w:sz w:val="18"/>
              </w:rPr>
              <w:t>GST relativities</w:t>
            </w:r>
          </w:p>
        </w:tc>
        <w:tc>
          <w:tcPr>
            <w:tcW w:w="7937" w:type="dxa"/>
            <w:tcBorders>
              <w:top w:val="nil"/>
              <w:bottom w:val="nil"/>
            </w:tcBorders>
            <w:shd w:val="clear" w:color="auto" w:fill="E6E6E6"/>
          </w:tcPr>
          <w:p w14:paraId="74C84E90" w14:textId="7028AD9F" w:rsidR="004A2C21" w:rsidRPr="00E45240" w:rsidRDefault="004A2C21">
            <w:pPr>
              <w:spacing w:before="45" w:after="45" w:line="259" w:lineRule="auto"/>
              <w:ind w:left="57" w:right="108"/>
              <w:rPr>
                <w:rFonts w:cs="Open Sans"/>
                <w:color w:val="000000"/>
                <w:sz w:val="18"/>
              </w:rPr>
            </w:pPr>
            <w:r>
              <w:rPr>
                <w:rFonts w:cs="Open Sans"/>
                <w:color w:val="000000"/>
                <w:sz w:val="18"/>
              </w:rPr>
              <w:t>Relativities that have been adjusted so that i</w:t>
            </w:r>
            <w:r w:rsidRPr="00B254F5">
              <w:rPr>
                <w:rFonts w:cs="Open Sans"/>
                <w:color w:val="000000"/>
                <w:sz w:val="18"/>
              </w:rPr>
              <w:t xml:space="preserve">f a standard state’s relativity is below the </w:t>
            </w:r>
            <w:r>
              <w:rPr>
                <w:rFonts w:cs="Open Sans"/>
                <w:color w:val="000000"/>
                <w:sz w:val="18"/>
              </w:rPr>
              <w:t xml:space="preserve">GST relativity </w:t>
            </w:r>
            <w:r w:rsidRPr="00B254F5">
              <w:rPr>
                <w:rFonts w:cs="Open Sans"/>
                <w:color w:val="000000"/>
                <w:sz w:val="18"/>
              </w:rPr>
              <w:t>floor, its relativity is adjusted up to the 0.75 floor (along with the relativities of any other states that have had their relativities lifted to match the standard state). All other states’ relativities are adjusted down</w:t>
            </w:r>
            <w:r>
              <w:rPr>
                <w:rFonts w:cs="Open Sans"/>
                <w:color w:val="000000"/>
                <w:sz w:val="18"/>
              </w:rPr>
              <w:t xml:space="preserve"> on a population share basis</w:t>
            </w:r>
            <w:r w:rsidRPr="00B254F5">
              <w:rPr>
                <w:rFonts w:cs="Open Sans"/>
                <w:color w:val="000000"/>
                <w:sz w:val="18"/>
              </w:rPr>
              <w:t xml:space="preserve"> to accommodate this.</w:t>
            </w:r>
            <w:r>
              <w:rPr>
                <w:rFonts w:cs="Open Sans"/>
                <w:color w:val="000000"/>
                <w:sz w:val="18"/>
              </w:rPr>
              <w:t xml:space="preserve"> GST relativities are t</w:t>
            </w:r>
            <w:r w:rsidRPr="00156BBE">
              <w:rPr>
                <w:rFonts w:cs="Open Sans"/>
                <w:color w:val="000000"/>
                <w:sz w:val="18"/>
              </w:rPr>
              <w:t xml:space="preserve">he </w:t>
            </w:r>
            <w:r>
              <w:rPr>
                <w:rFonts w:cs="Open Sans"/>
                <w:color w:val="000000"/>
                <w:sz w:val="18"/>
              </w:rPr>
              <w:t>‘</w:t>
            </w:r>
            <w:r w:rsidRPr="00156BBE">
              <w:rPr>
                <w:rFonts w:cs="Open Sans"/>
                <w:color w:val="000000"/>
                <w:sz w:val="18"/>
              </w:rPr>
              <w:t>final numbers</w:t>
            </w:r>
            <w:r>
              <w:rPr>
                <w:rFonts w:cs="Open Sans"/>
                <w:color w:val="000000"/>
                <w:sz w:val="18"/>
              </w:rPr>
              <w:t>’ in the relativity calculation process.</w:t>
            </w:r>
            <w:r w:rsidRPr="00156BBE">
              <w:rPr>
                <w:rFonts w:cs="Open Sans"/>
                <w:color w:val="000000"/>
                <w:sz w:val="18"/>
              </w:rPr>
              <w:t xml:space="preserve"> The C</w:t>
            </w:r>
            <w:r>
              <w:rPr>
                <w:rFonts w:cs="Open Sans"/>
                <w:color w:val="000000"/>
                <w:sz w:val="18"/>
              </w:rPr>
              <w:t xml:space="preserve">ommonwealth </w:t>
            </w:r>
            <w:r w:rsidRPr="00156BBE">
              <w:rPr>
                <w:rFonts w:cs="Open Sans"/>
                <w:color w:val="000000"/>
                <w:sz w:val="18"/>
              </w:rPr>
              <w:t>G</w:t>
            </w:r>
            <w:r>
              <w:rPr>
                <w:rFonts w:cs="Open Sans"/>
                <w:color w:val="000000"/>
                <w:sz w:val="18"/>
              </w:rPr>
              <w:t xml:space="preserve">rants </w:t>
            </w:r>
            <w:r w:rsidRPr="00156BBE">
              <w:rPr>
                <w:rFonts w:cs="Open Sans"/>
                <w:color w:val="000000"/>
                <w:sz w:val="18"/>
              </w:rPr>
              <w:t>C</w:t>
            </w:r>
            <w:r>
              <w:rPr>
                <w:rFonts w:cs="Open Sans"/>
                <w:color w:val="000000"/>
                <w:sz w:val="18"/>
              </w:rPr>
              <w:t>ommission</w:t>
            </w:r>
            <w:r w:rsidRPr="00156BBE">
              <w:rPr>
                <w:rFonts w:cs="Open Sans"/>
                <w:color w:val="000000"/>
                <w:sz w:val="18"/>
              </w:rPr>
              <w:t xml:space="preserve"> recommends these</w:t>
            </w:r>
            <w:r>
              <w:rPr>
                <w:rFonts w:cs="Open Sans"/>
                <w:color w:val="000000"/>
                <w:sz w:val="18"/>
              </w:rPr>
              <w:t xml:space="preserve"> relativities</w:t>
            </w:r>
            <w:r w:rsidRPr="00156BBE">
              <w:rPr>
                <w:rFonts w:cs="Open Sans"/>
                <w:color w:val="000000"/>
                <w:sz w:val="18"/>
              </w:rPr>
              <w:t xml:space="preserve"> to the </w:t>
            </w:r>
            <w:r w:rsidR="00941A89">
              <w:rPr>
                <w:rFonts w:cs="Open Sans"/>
                <w:color w:val="000000"/>
                <w:sz w:val="18"/>
              </w:rPr>
              <w:t>Australian</w:t>
            </w:r>
            <w:r w:rsidRPr="00156BBE">
              <w:rPr>
                <w:rFonts w:cs="Open Sans"/>
                <w:color w:val="000000"/>
                <w:sz w:val="18"/>
              </w:rPr>
              <w:t xml:space="preserve"> Treasurer for the distribution of the GST pool</w:t>
            </w:r>
            <w:r>
              <w:rPr>
                <w:rFonts w:cs="Open Sans"/>
                <w:color w:val="000000"/>
                <w:sz w:val="18"/>
              </w:rPr>
              <w:t>.</w:t>
            </w:r>
          </w:p>
        </w:tc>
      </w:tr>
      <w:tr w:rsidR="004A2C21" w:rsidRPr="00E45240" w14:paraId="15580FB8" w14:textId="77777777" w:rsidTr="000E0E18">
        <w:tc>
          <w:tcPr>
            <w:tcW w:w="1701" w:type="dxa"/>
            <w:tcBorders>
              <w:top w:val="nil"/>
              <w:bottom w:val="nil"/>
            </w:tcBorders>
          </w:tcPr>
          <w:p w14:paraId="5AD49A88" w14:textId="77777777" w:rsidR="004A2C21" w:rsidRDefault="004A2C21">
            <w:pPr>
              <w:spacing w:before="45" w:after="45" w:line="259" w:lineRule="auto"/>
              <w:ind w:left="57" w:right="108"/>
              <w:rPr>
                <w:rFonts w:cs="Open Sans"/>
                <w:b/>
                <w:color w:val="1D4374"/>
                <w:sz w:val="18"/>
              </w:rPr>
            </w:pPr>
            <w:r>
              <w:rPr>
                <w:rFonts w:cs="Open Sans"/>
                <w:b/>
                <w:color w:val="1D4374"/>
                <w:sz w:val="18"/>
              </w:rPr>
              <w:t>New fiscal equalisation standard</w:t>
            </w:r>
          </w:p>
        </w:tc>
        <w:tc>
          <w:tcPr>
            <w:tcW w:w="7937" w:type="dxa"/>
            <w:tcBorders>
              <w:top w:val="nil"/>
              <w:bottom w:val="nil"/>
            </w:tcBorders>
          </w:tcPr>
          <w:p w14:paraId="293946A6" w14:textId="77777777" w:rsidR="004A2C21" w:rsidRDefault="004A2C21">
            <w:pPr>
              <w:spacing w:before="45" w:after="45" w:line="259" w:lineRule="auto"/>
              <w:ind w:left="57" w:right="108"/>
              <w:rPr>
                <w:rFonts w:cs="Open Sans"/>
                <w:color w:val="000000"/>
                <w:sz w:val="18"/>
              </w:rPr>
            </w:pPr>
            <w:r w:rsidRPr="000A1576">
              <w:rPr>
                <w:rFonts w:cs="Open Sans"/>
                <w:color w:val="000000"/>
                <w:sz w:val="18"/>
              </w:rPr>
              <w:t>The</w:t>
            </w:r>
            <w:r>
              <w:rPr>
                <w:rFonts w:cs="Open Sans"/>
                <w:color w:val="000000"/>
                <w:sz w:val="18"/>
              </w:rPr>
              <w:t xml:space="preserve"> fiscal</w:t>
            </w:r>
            <w:r w:rsidRPr="000A1576">
              <w:rPr>
                <w:rFonts w:cs="Open Sans"/>
                <w:color w:val="000000"/>
                <w:sz w:val="18"/>
              </w:rPr>
              <w:t xml:space="preserve"> equalisation standard introduced as part of the 2018 reforms</w:t>
            </w:r>
            <w:r>
              <w:rPr>
                <w:rFonts w:cs="Open Sans"/>
                <w:color w:val="000000"/>
                <w:sz w:val="18"/>
              </w:rPr>
              <w:t xml:space="preserve"> – </w:t>
            </w:r>
            <w:r w:rsidRPr="000A1576">
              <w:rPr>
                <w:rFonts w:cs="Open Sans"/>
                <w:color w:val="000000"/>
                <w:sz w:val="18"/>
              </w:rPr>
              <w:t>requir</w:t>
            </w:r>
            <w:r>
              <w:rPr>
                <w:rFonts w:cs="Open Sans"/>
                <w:color w:val="000000"/>
                <w:sz w:val="18"/>
              </w:rPr>
              <w:t>ing</w:t>
            </w:r>
            <w:r w:rsidRPr="000A1576">
              <w:rPr>
                <w:rFonts w:cs="Open Sans"/>
                <w:color w:val="000000"/>
                <w:sz w:val="18"/>
              </w:rPr>
              <w:t xml:space="preserve"> that no state has a GST relativity lower than whichever of New South Wales or Victoria has the greatest fiscal capacity</w:t>
            </w:r>
            <w:r>
              <w:rPr>
                <w:rFonts w:cs="Open Sans"/>
                <w:color w:val="000000"/>
                <w:sz w:val="18"/>
              </w:rPr>
              <w:t>.</w:t>
            </w:r>
          </w:p>
        </w:tc>
      </w:tr>
      <w:tr w:rsidR="004A2C21" w:rsidRPr="00E45240" w14:paraId="3F93CA4C" w14:textId="77777777" w:rsidTr="000E0E18">
        <w:tc>
          <w:tcPr>
            <w:tcW w:w="1701" w:type="dxa"/>
            <w:tcBorders>
              <w:top w:val="nil"/>
              <w:bottom w:val="nil"/>
            </w:tcBorders>
            <w:shd w:val="clear" w:color="auto" w:fill="E6E6E6"/>
          </w:tcPr>
          <w:p w14:paraId="6E5FCF45" w14:textId="77777777" w:rsidR="004A2C21" w:rsidRPr="00E45240" w:rsidRDefault="004A2C21">
            <w:pPr>
              <w:spacing w:before="45" w:after="45" w:line="259" w:lineRule="auto"/>
              <w:ind w:left="57" w:right="108"/>
              <w:rPr>
                <w:rFonts w:cs="Open Sans"/>
                <w:b/>
                <w:color w:val="1D4374"/>
                <w:sz w:val="18"/>
              </w:rPr>
            </w:pPr>
            <w:r>
              <w:rPr>
                <w:rFonts w:cs="Open Sans"/>
                <w:b/>
                <w:color w:val="1D4374"/>
                <w:sz w:val="18"/>
              </w:rPr>
              <w:t>Non</w:t>
            </w:r>
            <w:r>
              <w:rPr>
                <w:rFonts w:cs="Open Sans"/>
                <w:b/>
                <w:color w:val="1D4374"/>
                <w:sz w:val="18"/>
              </w:rPr>
              <w:noBreakHyphen/>
              <w:t>GST Commonwealth payments</w:t>
            </w:r>
          </w:p>
        </w:tc>
        <w:tc>
          <w:tcPr>
            <w:tcW w:w="7937" w:type="dxa"/>
            <w:tcBorders>
              <w:top w:val="nil"/>
              <w:bottom w:val="nil"/>
            </w:tcBorders>
            <w:shd w:val="clear" w:color="auto" w:fill="E6E6E6"/>
          </w:tcPr>
          <w:p w14:paraId="6C9F8A91" w14:textId="77777777" w:rsidR="004A2C21" w:rsidRPr="00E45240" w:rsidRDefault="004A2C21">
            <w:pPr>
              <w:spacing w:before="45" w:after="45" w:line="259" w:lineRule="auto"/>
              <w:ind w:left="57" w:right="108"/>
              <w:rPr>
                <w:rFonts w:cs="Open Sans"/>
                <w:color w:val="000000"/>
                <w:sz w:val="18"/>
              </w:rPr>
            </w:pPr>
            <w:r w:rsidRPr="00396A71">
              <w:rPr>
                <w:rFonts w:cs="Open Sans"/>
                <w:color w:val="000000"/>
                <w:sz w:val="18"/>
              </w:rPr>
              <w:t>Grants provided by the Australian Government to states outside of GST payments. These payments – including payments for specific purposes and other general revenue assistance – support, incentivise or reward the delivery of particular services, projects, and reforms</w:t>
            </w:r>
            <w:r>
              <w:rPr>
                <w:rFonts w:cs="Open Sans"/>
                <w:color w:val="000000"/>
                <w:sz w:val="18"/>
              </w:rPr>
              <w:t>.</w:t>
            </w:r>
          </w:p>
        </w:tc>
      </w:tr>
      <w:tr w:rsidR="004A2C21" w:rsidRPr="00E45240" w14:paraId="6E6C0B99" w14:textId="77777777" w:rsidTr="000E0E18">
        <w:tc>
          <w:tcPr>
            <w:tcW w:w="1701" w:type="dxa"/>
            <w:tcBorders>
              <w:top w:val="nil"/>
              <w:bottom w:val="nil"/>
            </w:tcBorders>
          </w:tcPr>
          <w:p w14:paraId="23C4958F" w14:textId="77777777" w:rsidR="004A2C21" w:rsidRPr="00E45240" w:rsidRDefault="004A2C21">
            <w:pPr>
              <w:spacing w:before="45" w:after="45" w:line="259" w:lineRule="auto"/>
              <w:ind w:left="57" w:right="108"/>
              <w:rPr>
                <w:rFonts w:cs="Open Sans"/>
                <w:b/>
                <w:color w:val="1D4374"/>
                <w:sz w:val="18"/>
              </w:rPr>
            </w:pPr>
            <w:r>
              <w:rPr>
                <w:rFonts w:cs="Open Sans"/>
                <w:b/>
                <w:color w:val="1D4374"/>
                <w:sz w:val="18"/>
              </w:rPr>
              <w:t>Pre</w:t>
            </w:r>
            <w:r>
              <w:rPr>
                <w:rFonts w:cs="Open Sans"/>
                <w:b/>
                <w:color w:val="1D4374"/>
                <w:sz w:val="18"/>
              </w:rPr>
              <w:noBreakHyphen/>
              <w:t>2018 distribution system</w:t>
            </w:r>
          </w:p>
        </w:tc>
        <w:tc>
          <w:tcPr>
            <w:tcW w:w="7937" w:type="dxa"/>
            <w:tcBorders>
              <w:top w:val="nil"/>
              <w:bottom w:val="nil"/>
            </w:tcBorders>
          </w:tcPr>
          <w:p w14:paraId="47AA6185" w14:textId="77777777" w:rsidR="004A2C21" w:rsidRPr="00E45240" w:rsidRDefault="004A2C21">
            <w:pPr>
              <w:spacing w:before="45" w:after="45" w:line="259" w:lineRule="auto"/>
              <w:ind w:left="57" w:right="108"/>
              <w:rPr>
                <w:rFonts w:cs="Open Sans"/>
                <w:color w:val="000000"/>
                <w:sz w:val="18"/>
              </w:rPr>
            </w:pPr>
            <w:r>
              <w:rPr>
                <w:rFonts w:cs="Open Sans"/>
                <w:color w:val="000000"/>
                <w:sz w:val="18"/>
              </w:rPr>
              <w:t xml:space="preserve">The Commonwealth Grants Commission’s </w:t>
            </w:r>
            <w:r w:rsidRPr="00AB03EC">
              <w:rPr>
                <w:rFonts w:cs="Open Sans"/>
                <w:color w:val="000000"/>
                <w:sz w:val="18"/>
              </w:rPr>
              <w:t>assessment of full equalisation</w:t>
            </w:r>
            <w:r>
              <w:rPr>
                <w:rFonts w:cs="Open Sans"/>
                <w:color w:val="000000"/>
                <w:sz w:val="18"/>
              </w:rPr>
              <w:t>: comprising the GST distribution methodology used prior to the 2018 reforms, plus c</w:t>
            </w:r>
            <w:r w:rsidRPr="00AB03EC">
              <w:rPr>
                <w:rFonts w:cs="Open Sans"/>
                <w:color w:val="000000"/>
                <w:sz w:val="18"/>
              </w:rPr>
              <w:t xml:space="preserve">hanges from 2021 </w:t>
            </w:r>
            <w:r>
              <w:rPr>
                <w:rFonts w:cs="Open Sans"/>
                <w:color w:val="000000"/>
                <w:sz w:val="18"/>
              </w:rPr>
              <w:t>and</w:t>
            </w:r>
            <w:r w:rsidRPr="00AB03EC">
              <w:rPr>
                <w:rFonts w:cs="Open Sans"/>
                <w:color w:val="000000"/>
                <w:sz w:val="18"/>
              </w:rPr>
              <w:t xml:space="preserve"> 2025 methodology reviews</w:t>
            </w:r>
            <w:r>
              <w:rPr>
                <w:rFonts w:cs="Open Sans"/>
                <w:color w:val="000000"/>
                <w:sz w:val="18"/>
              </w:rPr>
              <w:t>.</w:t>
            </w:r>
          </w:p>
        </w:tc>
      </w:tr>
      <w:tr w:rsidR="004A2C21" w:rsidRPr="00E45240" w14:paraId="1DEB86D2" w14:textId="77777777" w:rsidTr="000E0E18">
        <w:tc>
          <w:tcPr>
            <w:tcW w:w="1701" w:type="dxa"/>
            <w:tcBorders>
              <w:top w:val="nil"/>
              <w:bottom w:val="nil"/>
            </w:tcBorders>
            <w:shd w:val="clear" w:color="auto" w:fill="E6E6E6"/>
          </w:tcPr>
          <w:p w14:paraId="4205D615" w14:textId="77777777" w:rsidR="004A2C21" w:rsidRDefault="004A2C21">
            <w:pPr>
              <w:spacing w:before="45" w:after="45" w:line="259" w:lineRule="auto"/>
              <w:ind w:left="57" w:right="108"/>
              <w:rPr>
                <w:rFonts w:cs="Open Sans"/>
                <w:b/>
                <w:color w:val="1D4374"/>
                <w:sz w:val="18"/>
              </w:rPr>
            </w:pPr>
            <w:r>
              <w:rPr>
                <w:rFonts w:cs="Open Sans"/>
                <w:b/>
                <w:color w:val="1D4374"/>
                <w:sz w:val="18"/>
              </w:rPr>
              <w:t>Standard state benchmark</w:t>
            </w:r>
          </w:p>
        </w:tc>
        <w:tc>
          <w:tcPr>
            <w:tcW w:w="7937" w:type="dxa"/>
            <w:tcBorders>
              <w:top w:val="nil"/>
              <w:bottom w:val="nil"/>
            </w:tcBorders>
            <w:shd w:val="clear" w:color="auto" w:fill="E6E6E6"/>
          </w:tcPr>
          <w:p w14:paraId="74F2B3E0" w14:textId="77777777" w:rsidR="004A2C21" w:rsidRDefault="004A2C21">
            <w:pPr>
              <w:spacing w:before="45" w:after="45" w:line="259" w:lineRule="auto"/>
              <w:ind w:left="57" w:right="108"/>
              <w:rPr>
                <w:rFonts w:cs="Open Sans"/>
                <w:color w:val="000000"/>
                <w:sz w:val="18"/>
              </w:rPr>
            </w:pPr>
            <w:r>
              <w:rPr>
                <w:rFonts w:cs="Open Sans"/>
                <w:color w:val="000000"/>
                <w:sz w:val="18"/>
              </w:rPr>
              <w:t xml:space="preserve">The relativity of whichever of New South Wales or Victoria has the greatest fiscal capacity. </w:t>
            </w:r>
            <w:r w:rsidRPr="004D223E">
              <w:rPr>
                <w:rFonts w:cs="Open Sans"/>
                <w:color w:val="000000"/>
                <w:sz w:val="18"/>
              </w:rPr>
              <w:t>Any state that has a greater fiscal capacity than</w:t>
            </w:r>
            <w:r>
              <w:rPr>
                <w:rFonts w:cs="Open Sans"/>
                <w:color w:val="000000"/>
                <w:sz w:val="18"/>
              </w:rPr>
              <w:t xml:space="preserve"> (and a lower assessed relativity than)</w:t>
            </w:r>
            <w:r w:rsidRPr="004D223E">
              <w:rPr>
                <w:rFonts w:cs="Open Sans"/>
                <w:color w:val="000000"/>
                <w:sz w:val="18"/>
              </w:rPr>
              <w:t xml:space="preserve"> </w:t>
            </w:r>
            <w:r>
              <w:rPr>
                <w:rFonts w:cs="Open Sans"/>
                <w:color w:val="000000"/>
                <w:sz w:val="18"/>
              </w:rPr>
              <w:t>this benchmark will have its relativity increased to the benchmark as part of calculating standard state relativities</w:t>
            </w:r>
            <w:r w:rsidRPr="004D223E">
              <w:rPr>
                <w:rFonts w:cs="Open Sans"/>
                <w:color w:val="000000"/>
                <w:sz w:val="18"/>
              </w:rPr>
              <w:t xml:space="preserve">. </w:t>
            </w:r>
            <w:r>
              <w:rPr>
                <w:rFonts w:cs="Open Sans"/>
                <w:color w:val="000000"/>
                <w:sz w:val="18"/>
              </w:rPr>
              <w:t xml:space="preserve"> </w:t>
            </w:r>
          </w:p>
        </w:tc>
      </w:tr>
      <w:tr w:rsidR="004A2C21" w:rsidRPr="00E45240" w14:paraId="7BDD6A5D" w14:textId="77777777" w:rsidTr="000E0E18">
        <w:tc>
          <w:tcPr>
            <w:tcW w:w="1701" w:type="dxa"/>
            <w:tcBorders>
              <w:top w:val="nil"/>
              <w:bottom w:val="nil"/>
            </w:tcBorders>
          </w:tcPr>
          <w:p w14:paraId="6F9FF63C" w14:textId="77777777" w:rsidR="004A2C21" w:rsidRPr="00E45240" w:rsidRDefault="004A2C21">
            <w:pPr>
              <w:spacing w:before="45" w:after="45" w:line="259" w:lineRule="auto"/>
              <w:ind w:left="57" w:right="108"/>
              <w:rPr>
                <w:rFonts w:cs="Open Sans"/>
                <w:b/>
                <w:color w:val="1D4374"/>
                <w:sz w:val="18"/>
              </w:rPr>
            </w:pPr>
            <w:r>
              <w:rPr>
                <w:rFonts w:cs="Open Sans"/>
                <w:b/>
                <w:color w:val="1D4374"/>
                <w:sz w:val="18"/>
              </w:rPr>
              <w:t>Standard state relativities</w:t>
            </w:r>
          </w:p>
        </w:tc>
        <w:tc>
          <w:tcPr>
            <w:tcW w:w="7937" w:type="dxa"/>
            <w:tcBorders>
              <w:top w:val="nil"/>
              <w:bottom w:val="nil"/>
            </w:tcBorders>
          </w:tcPr>
          <w:p w14:paraId="66B654BB" w14:textId="77777777" w:rsidR="004A2C21" w:rsidRPr="00E45240" w:rsidRDefault="004A2C21">
            <w:pPr>
              <w:spacing w:before="45" w:after="45" w:line="259" w:lineRule="auto"/>
              <w:ind w:left="57" w:right="108"/>
              <w:rPr>
                <w:rFonts w:cs="Open Sans"/>
                <w:color w:val="000000"/>
                <w:sz w:val="18"/>
              </w:rPr>
            </w:pPr>
            <w:r w:rsidRPr="004D223E">
              <w:rPr>
                <w:rFonts w:cs="Open Sans"/>
                <w:color w:val="000000"/>
                <w:sz w:val="18"/>
              </w:rPr>
              <w:t xml:space="preserve">Relativities </w:t>
            </w:r>
            <w:r>
              <w:rPr>
                <w:rFonts w:cs="Open Sans"/>
                <w:color w:val="000000"/>
                <w:sz w:val="18"/>
              </w:rPr>
              <w:t xml:space="preserve">that have been </w:t>
            </w:r>
            <w:r w:rsidRPr="004D223E">
              <w:rPr>
                <w:rFonts w:cs="Open Sans"/>
                <w:color w:val="000000"/>
                <w:sz w:val="18"/>
              </w:rPr>
              <w:t>adjusted so that no state has a relativity less than whichever of N</w:t>
            </w:r>
            <w:r>
              <w:rPr>
                <w:rFonts w:cs="Open Sans"/>
                <w:color w:val="000000"/>
                <w:sz w:val="18"/>
              </w:rPr>
              <w:t xml:space="preserve">ew </w:t>
            </w:r>
            <w:r w:rsidRPr="004D223E">
              <w:rPr>
                <w:rFonts w:cs="Open Sans"/>
                <w:color w:val="000000"/>
                <w:sz w:val="18"/>
              </w:rPr>
              <w:t>S</w:t>
            </w:r>
            <w:r>
              <w:rPr>
                <w:rFonts w:cs="Open Sans"/>
                <w:color w:val="000000"/>
                <w:sz w:val="18"/>
              </w:rPr>
              <w:t xml:space="preserve">outh </w:t>
            </w:r>
            <w:r w:rsidRPr="004D223E">
              <w:rPr>
                <w:rFonts w:cs="Open Sans"/>
                <w:color w:val="000000"/>
                <w:sz w:val="18"/>
              </w:rPr>
              <w:t>W</w:t>
            </w:r>
            <w:r>
              <w:rPr>
                <w:rFonts w:cs="Open Sans"/>
                <w:color w:val="000000"/>
                <w:sz w:val="18"/>
              </w:rPr>
              <w:t>ales</w:t>
            </w:r>
            <w:r w:rsidRPr="004D223E">
              <w:rPr>
                <w:rFonts w:cs="Open Sans"/>
                <w:color w:val="000000"/>
                <w:sz w:val="18"/>
              </w:rPr>
              <w:t xml:space="preserve"> or Victoria has the greatest fiscal capacity (the ‘standard state’).</w:t>
            </w:r>
            <w:r>
              <w:rPr>
                <w:rFonts w:cs="Open Sans"/>
                <w:color w:val="000000"/>
                <w:sz w:val="18"/>
              </w:rPr>
              <w:t xml:space="preserve"> </w:t>
            </w:r>
            <w:r w:rsidRPr="004D223E">
              <w:rPr>
                <w:rFonts w:cs="Open Sans"/>
                <w:color w:val="000000"/>
                <w:sz w:val="18"/>
              </w:rPr>
              <w:t xml:space="preserve">Any state that has a greater fiscal capacity than (and has a lower assessed relativity than) the standard state will have its relativity increased. All other states’ relativities are adjusted down </w:t>
            </w:r>
            <w:r>
              <w:rPr>
                <w:rFonts w:cs="Open Sans"/>
                <w:color w:val="000000"/>
                <w:sz w:val="18"/>
              </w:rPr>
              <w:t xml:space="preserve">on a population share basis </w:t>
            </w:r>
            <w:r w:rsidRPr="004D223E">
              <w:rPr>
                <w:rFonts w:cs="Open Sans"/>
                <w:color w:val="000000"/>
                <w:sz w:val="18"/>
              </w:rPr>
              <w:t>to accommodate this.</w:t>
            </w:r>
          </w:p>
        </w:tc>
      </w:tr>
      <w:tr w:rsidR="004A2C21" w:rsidRPr="00E45240" w14:paraId="5DE63020" w14:textId="77777777" w:rsidTr="000E0E18">
        <w:trPr>
          <w:trHeight w:val="799"/>
        </w:trPr>
        <w:tc>
          <w:tcPr>
            <w:tcW w:w="1701" w:type="dxa"/>
            <w:tcBorders>
              <w:bottom w:val="single" w:sz="4" w:space="0" w:color="B3B3B3"/>
            </w:tcBorders>
            <w:shd w:val="clear" w:color="auto" w:fill="E6E6E6"/>
          </w:tcPr>
          <w:p w14:paraId="78466938" w14:textId="77777777" w:rsidR="004A2C21" w:rsidRPr="00E45240" w:rsidRDefault="004A2C21">
            <w:pPr>
              <w:spacing w:before="45" w:after="45" w:line="259" w:lineRule="auto"/>
              <w:ind w:left="57" w:right="108"/>
              <w:rPr>
                <w:rFonts w:cs="Open Sans"/>
                <w:b/>
                <w:color w:val="1D4374"/>
                <w:sz w:val="18"/>
              </w:rPr>
            </w:pPr>
            <w:r>
              <w:rPr>
                <w:rFonts w:cs="Open Sans"/>
                <w:b/>
                <w:color w:val="1D4374"/>
                <w:sz w:val="18"/>
              </w:rPr>
              <w:t>Tied grants</w:t>
            </w:r>
          </w:p>
        </w:tc>
        <w:tc>
          <w:tcPr>
            <w:tcW w:w="7937" w:type="dxa"/>
            <w:tcBorders>
              <w:bottom w:val="single" w:sz="4" w:space="0" w:color="B3B3B3"/>
            </w:tcBorders>
            <w:shd w:val="clear" w:color="auto" w:fill="E6E6E6"/>
          </w:tcPr>
          <w:p w14:paraId="403F77DD" w14:textId="77777777" w:rsidR="004A2C21" w:rsidRPr="00E45240" w:rsidRDefault="004A2C21">
            <w:pPr>
              <w:spacing w:before="45" w:after="45" w:line="259" w:lineRule="auto"/>
              <w:ind w:left="57" w:right="108"/>
              <w:rPr>
                <w:rFonts w:cs="Open Sans"/>
                <w:color w:val="000000"/>
                <w:sz w:val="18"/>
              </w:rPr>
            </w:pPr>
            <w:r w:rsidRPr="0077593E">
              <w:rPr>
                <w:rFonts w:cs="Open Sans"/>
                <w:color w:val="000000"/>
                <w:sz w:val="18"/>
              </w:rPr>
              <w:t>Payments to states that must be used for pre</w:t>
            </w:r>
            <w:r>
              <w:rPr>
                <w:rFonts w:cs="Open Sans"/>
                <w:color w:val="000000"/>
                <w:sz w:val="18"/>
              </w:rPr>
              <w:noBreakHyphen/>
            </w:r>
            <w:r w:rsidRPr="0077593E">
              <w:rPr>
                <w:rFonts w:cs="Open Sans"/>
                <w:color w:val="000000"/>
                <w:sz w:val="18"/>
              </w:rPr>
              <w:t>agreed purposes and are usually made in policy areas where the states are primarily responsible for service delivery (such as health, education or infrastructure). Tied grants are a subset of non</w:t>
            </w:r>
            <w:r>
              <w:rPr>
                <w:rFonts w:cs="Open Sans"/>
                <w:color w:val="000000"/>
                <w:sz w:val="18"/>
              </w:rPr>
              <w:noBreakHyphen/>
            </w:r>
            <w:r w:rsidRPr="0077593E">
              <w:rPr>
                <w:rFonts w:cs="Open Sans"/>
                <w:color w:val="000000"/>
                <w:sz w:val="18"/>
              </w:rPr>
              <w:t>GST Commonwealth payments.</w:t>
            </w:r>
          </w:p>
        </w:tc>
      </w:tr>
      <w:bookmarkEnd w:id="127"/>
    </w:tbl>
    <w:p w14:paraId="1E579341" w14:textId="77777777" w:rsidR="008B5C25" w:rsidRDefault="008B5C25" w:rsidP="00E76EEC">
      <w:pPr>
        <w:pStyle w:val="BodyText"/>
      </w:pPr>
    </w:p>
    <w:p w14:paraId="4A8267E2" w14:textId="77777777" w:rsidR="008B5C25" w:rsidRPr="00B678BD" w:rsidRDefault="008B5C25" w:rsidP="00E76EEC">
      <w:pPr>
        <w:pStyle w:val="BodyText"/>
        <w:rPr>
          <w:sz w:val="2"/>
          <w:szCs w:val="2"/>
        </w:rPr>
        <w:sectPr w:rsidR="008B5C25" w:rsidRPr="00B678BD" w:rsidSect="00594347">
          <w:footnotePr>
            <w:numRestart w:val="eachSect"/>
          </w:footnotePr>
          <w:pgSz w:w="11906" w:h="16838" w:code="9"/>
          <w:pgMar w:top="1134" w:right="1134" w:bottom="1134" w:left="1134" w:header="794" w:footer="510" w:gutter="0"/>
          <w:cols w:space="708"/>
          <w:docGrid w:linePitch="360"/>
        </w:sectPr>
      </w:pPr>
    </w:p>
    <w:p w14:paraId="7D25C2AA" w14:textId="77777777" w:rsidR="00214445" w:rsidRPr="00610627" w:rsidRDefault="00214445" w:rsidP="008D0038">
      <w:pPr>
        <w:pStyle w:val="Heading1-nobackground"/>
        <w:numPr>
          <w:ilvl w:val="0"/>
          <w:numId w:val="0"/>
        </w:numPr>
      </w:pPr>
      <w:bookmarkStart w:id="128" w:name="_Toc236904090"/>
      <w:r>
        <w:lastRenderedPageBreak/>
        <w:t>References</w:t>
      </w:r>
      <w:bookmarkEnd w:id="128"/>
    </w:p>
    <w:p w14:paraId="2CA9E7AC" w14:textId="77777777" w:rsidR="00214445" w:rsidRDefault="00214445" w:rsidP="003640E1">
      <w:pPr>
        <w:pStyle w:val="BodyText"/>
        <w:sectPr w:rsidR="00214445" w:rsidSect="00214445">
          <w:headerReference w:type="even" r:id="rId120"/>
          <w:headerReference w:type="default" r:id="rId121"/>
          <w:footerReference w:type="even" r:id="rId122"/>
          <w:footerReference w:type="default" r:id="rId123"/>
          <w:headerReference w:type="first" r:id="rId124"/>
          <w:footnotePr>
            <w:numRestart w:val="eachSect"/>
          </w:footnotePr>
          <w:type w:val="oddPage"/>
          <w:pgSz w:w="11906" w:h="16838" w:code="9"/>
          <w:pgMar w:top="1134" w:right="1134" w:bottom="1134" w:left="1134" w:header="794" w:footer="510" w:gutter="0"/>
          <w:cols w:space="708"/>
          <w:docGrid w:linePitch="360"/>
        </w:sectPr>
      </w:pPr>
    </w:p>
    <w:p w14:paraId="1BF2ED5C" w14:textId="3B4FF4A7" w:rsidR="00BB5BE7" w:rsidRPr="00E11913" w:rsidRDefault="00BB5BE7" w:rsidP="009A6245">
      <w:pPr>
        <w:pStyle w:val="Reference"/>
        <w:rPr>
          <w:spacing w:val="-4"/>
        </w:rPr>
      </w:pPr>
      <w:r w:rsidRPr="00E11913">
        <w:rPr>
          <w:spacing w:val="-4"/>
        </w:rPr>
        <w:t xml:space="preserve">ABS (Australian Bureau of Statistics) 2015, </w:t>
      </w:r>
      <w:r w:rsidRPr="00E11913">
        <w:rPr>
          <w:i/>
          <w:iCs/>
          <w:spacing w:val="-4"/>
        </w:rPr>
        <w:t>Part K - the treatment of expenditure versus expense in GFS</w:t>
      </w:r>
      <w:r w:rsidRPr="00E11913">
        <w:rPr>
          <w:spacing w:val="-4"/>
        </w:rPr>
        <w:t>, https://www.abs.gov.au/</w:t>
      </w:r>
      <w:r w:rsidR="00E11913">
        <w:rPr>
          <w:spacing w:val="-4"/>
        </w:rPr>
        <w:br/>
      </w:r>
      <w:r w:rsidRPr="00E11913">
        <w:rPr>
          <w:spacing w:val="-4"/>
        </w:rPr>
        <w:t>statistics/detailed-methodology-information/concepts-sources-methods/australian-system-government-finance-statistics-concepts-sources-and-methods/2015/13-treatment-selected-items/part-k-treatment-expenditure-versus-expense-gfs? (accessed 28 July 2026).</w:t>
      </w:r>
    </w:p>
    <w:p w14:paraId="5188AD33" w14:textId="77777777" w:rsidR="00BB5BE7" w:rsidRPr="00BB5BE7" w:rsidRDefault="00BB5BE7" w:rsidP="009A6245">
      <w:pPr>
        <w:pStyle w:val="Reference"/>
      </w:pPr>
      <w:r w:rsidRPr="00BB5BE7">
        <w:t>——</w:t>
      </w:r>
      <w:r w:rsidR="00517AF2">
        <w:t> </w:t>
      </w:r>
      <w:r w:rsidRPr="00BB5BE7">
        <w:t xml:space="preserve">2025a, </w:t>
      </w:r>
      <w:r w:rsidRPr="00BB5BE7">
        <w:rPr>
          <w:i/>
          <w:iCs/>
        </w:rPr>
        <w:t>Australian National Accounts: National Income, Expenditure and Product</w:t>
      </w:r>
      <w:r w:rsidRPr="00BB5BE7">
        <w:t>, Expenditure on Gross Domestic Product (GDP), Chain volume measures and current prices, https://www.abs.gov.au/statistics/economy/national-accounts/australian-national-accounts-national-income-expenditure-and-product/latest-release (accessed 18 November 2025).</w:t>
      </w:r>
    </w:p>
    <w:p w14:paraId="03696203" w14:textId="0CAD5A8E" w:rsidR="00BB5BE7" w:rsidRPr="00BB5BE7" w:rsidRDefault="00BB5BE7" w:rsidP="009A6245">
      <w:pPr>
        <w:pStyle w:val="Reference"/>
      </w:pPr>
      <w:r w:rsidRPr="00BB5BE7">
        <w:t>——</w:t>
      </w:r>
      <w:r w:rsidR="00517AF2">
        <w:t> </w:t>
      </w:r>
      <w:r w:rsidRPr="00BB5BE7">
        <w:t xml:space="preserve">2025b, </w:t>
      </w:r>
      <w:r w:rsidRPr="00BB5BE7">
        <w:rPr>
          <w:i/>
          <w:iCs/>
        </w:rPr>
        <w:t xml:space="preserve">Australian National Accounts: State Accounts, </w:t>
      </w:r>
      <w:r w:rsidR="003B5DC0">
        <w:rPr>
          <w:i/>
          <w:iCs/>
        </w:rPr>
        <w:t xml:space="preserve">2024–25 </w:t>
      </w:r>
      <w:r w:rsidRPr="00BB5BE7">
        <w:rPr>
          <w:i/>
          <w:iCs/>
        </w:rPr>
        <w:t>financial year</w:t>
      </w:r>
      <w:r w:rsidRPr="00BB5BE7">
        <w:t>, https://www.abs.gov.au/statistics/</w:t>
      </w:r>
      <w:r w:rsidR="00E11913">
        <w:br/>
      </w:r>
      <w:r w:rsidRPr="00BB5BE7">
        <w:t>economy/national-accounts/australian-national-accounts-state-accounts/latest-release (accessed 10 February 2026).</w:t>
      </w:r>
    </w:p>
    <w:p w14:paraId="7CE1B074" w14:textId="77777777" w:rsidR="00BB5BE7" w:rsidRPr="00BB5BE7" w:rsidRDefault="00BB5BE7" w:rsidP="009A6245">
      <w:pPr>
        <w:pStyle w:val="Reference"/>
      </w:pPr>
      <w:r w:rsidRPr="00BB5BE7">
        <w:t>——</w:t>
      </w:r>
      <w:r w:rsidR="00517AF2">
        <w:t> </w:t>
      </w:r>
      <w:r w:rsidRPr="00BB5BE7">
        <w:t xml:space="preserve">2026a, </w:t>
      </w:r>
      <w:r w:rsidRPr="00BB5BE7">
        <w:rPr>
          <w:i/>
          <w:iCs/>
        </w:rPr>
        <w:t>Government Finance Statistics</w:t>
      </w:r>
      <w:r w:rsidRPr="00BB5BE7">
        <w:t>, unpublished, annual.</w:t>
      </w:r>
    </w:p>
    <w:p w14:paraId="793B4826" w14:textId="77777777" w:rsidR="00BB5BE7" w:rsidRPr="00BB5BE7" w:rsidRDefault="00BB5BE7" w:rsidP="009A6245">
      <w:pPr>
        <w:pStyle w:val="Reference"/>
      </w:pPr>
      <w:r w:rsidRPr="00BB5BE7">
        <w:t>——</w:t>
      </w:r>
      <w:r w:rsidR="00517AF2">
        <w:t> </w:t>
      </w:r>
      <w:r w:rsidRPr="00BB5BE7">
        <w:t xml:space="preserve">2026b, </w:t>
      </w:r>
      <w:r w:rsidRPr="00BB5BE7">
        <w:rPr>
          <w:i/>
          <w:iCs/>
        </w:rPr>
        <w:t>Government Finance Statistics, methodology - March 2026</w:t>
      </w:r>
      <w:r w:rsidRPr="00BB5BE7">
        <w:t>, https://www.abs.gov.au/methodologies/government-finance-statistics-australia-methodology/mar-2026 (accessed 25 June 2026).</w:t>
      </w:r>
    </w:p>
    <w:p w14:paraId="724BDD4D" w14:textId="2A71CFE1" w:rsidR="00BB5BE7" w:rsidRPr="00C11115" w:rsidRDefault="00BB5BE7" w:rsidP="009A6245">
      <w:pPr>
        <w:pStyle w:val="Reference"/>
        <w:rPr>
          <w:spacing w:val="-4"/>
        </w:rPr>
      </w:pPr>
      <w:r w:rsidRPr="00C11115">
        <w:rPr>
          <w:spacing w:val="-4"/>
        </w:rPr>
        <w:t xml:space="preserve">ACT Government 2016, </w:t>
      </w:r>
      <w:r w:rsidRPr="00C11115">
        <w:rPr>
          <w:i/>
          <w:iCs/>
          <w:spacing w:val="-4"/>
        </w:rPr>
        <w:t>Australian Capital Territory Government Consolidated Annual Financial Statements 2015-16 Financial Year</w:t>
      </w:r>
      <w:r w:rsidRPr="00C11115">
        <w:rPr>
          <w:spacing w:val="-4"/>
        </w:rPr>
        <w:t>.</w:t>
      </w:r>
    </w:p>
    <w:p w14:paraId="6375CAC8" w14:textId="77777777" w:rsidR="00BB5BE7" w:rsidRPr="0026532C" w:rsidRDefault="00BB5BE7" w:rsidP="009A6245">
      <w:pPr>
        <w:pStyle w:val="Reference"/>
        <w:rPr>
          <w:spacing w:val="-4"/>
        </w:rPr>
      </w:pPr>
      <w:r w:rsidRPr="0026532C">
        <w:rPr>
          <w:spacing w:val="-4"/>
        </w:rPr>
        <w:t>——</w:t>
      </w:r>
      <w:r w:rsidR="00517AF2" w:rsidRPr="0026532C">
        <w:rPr>
          <w:spacing w:val="-4"/>
        </w:rPr>
        <w:t> </w:t>
      </w:r>
      <w:r w:rsidRPr="0026532C">
        <w:rPr>
          <w:spacing w:val="-4"/>
        </w:rPr>
        <w:t xml:space="preserve">2017, </w:t>
      </w:r>
      <w:r w:rsidRPr="0026532C">
        <w:rPr>
          <w:i/>
          <w:iCs/>
          <w:spacing w:val="-4"/>
        </w:rPr>
        <w:t>Australian Capital Territory Government Consolidated Annual Financial Statements 2016-17 Financial Year</w:t>
      </w:r>
      <w:r w:rsidRPr="0026532C">
        <w:rPr>
          <w:spacing w:val="-4"/>
        </w:rPr>
        <w:t>.</w:t>
      </w:r>
    </w:p>
    <w:p w14:paraId="38F14594" w14:textId="54776505" w:rsidR="00BB5BE7" w:rsidRPr="0026532C" w:rsidRDefault="00BB5BE7" w:rsidP="009A6245">
      <w:pPr>
        <w:pStyle w:val="Reference"/>
        <w:rPr>
          <w:spacing w:val="-4"/>
        </w:rPr>
      </w:pPr>
      <w:r w:rsidRPr="00BB5BE7">
        <w:t>——</w:t>
      </w:r>
      <w:r w:rsidR="00517AF2">
        <w:t> </w:t>
      </w:r>
      <w:r w:rsidRPr="00BB5BE7">
        <w:t xml:space="preserve">2019, </w:t>
      </w:r>
      <w:r w:rsidRPr="00BB5BE7">
        <w:rPr>
          <w:i/>
          <w:iCs/>
        </w:rPr>
        <w:t xml:space="preserve">Australian Capital Territory Government </w:t>
      </w:r>
      <w:r w:rsidRPr="0026532C">
        <w:rPr>
          <w:i/>
          <w:iCs/>
          <w:spacing w:val="-4"/>
        </w:rPr>
        <w:t xml:space="preserve">Consolidated Annual Financial Statements </w:t>
      </w:r>
      <w:r w:rsidR="00932B6F" w:rsidRPr="0026532C">
        <w:rPr>
          <w:i/>
          <w:iCs/>
          <w:spacing w:val="-4"/>
        </w:rPr>
        <w:t xml:space="preserve">2018–19 </w:t>
      </w:r>
      <w:r w:rsidRPr="0026532C">
        <w:rPr>
          <w:i/>
          <w:iCs/>
          <w:spacing w:val="-4"/>
        </w:rPr>
        <w:t>Financial Year</w:t>
      </w:r>
      <w:r w:rsidRPr="0026532C">
        <w:rPr>
          <w:spacing w:val="-4"/>
        </w:rPr>
        <w:t>.</w:t>
      </w:r>
    </w:p>
    <w:p w14:paraId="1B072053" w14:textId="77777777" w:rsidR="00BB5BE7" w:rsidRPr="0026532C" w:rsidRDefault="00BB5BE7" w:rsidP="009A6245">
      <w:pPr>
        <w:pStyle w:val="Reference"/>
        <w:rPr>
          <w:spacing w:val="-4"/>
        </w:rPr>
      </w:pPr>
      <w:r w:rsidRPr="0026532C">
        <w:rPr>
          <w:spacing w:val="-4"/>
        </w:rPr>
        <w:t>——</w:t>
      </w:r>
      <w:r w:rsidR="00517AF2" w:rsidRPr="0026532C">
        <w:rPr>
          <w:spacing w:val="-4"/>
        </w:rPr>
        <w:t> </w:t>
      </w:r>
      <w:r w:rsidRPr="0026532C">
        <w:rPr>
          <w:spacing w:val="-4"/>
        </w:rPr>
        <w:t xml:space="preserve">2021, </w:t>
      </w:r>
      <w:r w:rsidRPr="0026532C">
        <w:rPr>
          <w:i/>
          <w:iCs/>
          <w:spacing w:val="-4"/>
        </w:rPr>
        <w:t>Australian Capital Territory Government Consolidated Annual Financial Statements 2020-21 Financial Year</w:t>
      </w:r>
      <w:r w:rsidRPr="0026532C">
        <w:rPr>
          <w:spacing w:val="-4"/>
        </w:rPr>
        <w:t>.</w:t>
      </w:r>
    </w:p>
    <w:p w14:paraId="7B6FD6A8" w14:textId="3F6AEC55" w:rsidR="00BB5BE7" w:rsidRPr="0026532C" w:rsidRDefault="00BB5BE7" w:rsidP="009A6245">
      <w:pPr>
        <w:pStyle w:val="Reference"/>
        <w:rPr>
          <w:spacing w:val="-4"/>
        </w:rPr>
      </w:pPr>
      <w:r w:rsidRPr="0026532C">
        <w:rPr>
          <w:spacing w:val="-4"/>
        </w:rPr>
        <w:t>——</w:t>
      </w:r>
      <w:r w:rsidR="00517AF2" w:rsidRPr="0026532C">
        <w:rPr>
          <w:spacing w:val="-4"/>
        </w:rPr>
        <w:t> </w:t>
      </w:r>
      <w:r w:rsidRPr="0026532C">
        <w:rPr>
          <w:spacing w:val="-4"/>
        </w:rPr>
        <w:t xml:space="preserve">2023, </w:t>
      </w:r>
      <w:r w:rsidRPr="0026532C">
        <w:rPr>
          <w:i/>
          <w:iCs/>
          <w:spacing w:val="-4"/>
        </w:rPr>
        <w:t xml:space="preserve">Australian Capital Territory Government Consolidated Annual Financial Statements </w:t>
      </w:r>
      <w:r w:rsidR="00932B6F" w:rsidRPr="0026532C">
        <w:rPr>
          <w:i/>
          <w:iCs/>
          <w:spacing w:val="-4"/>
        </w:rPr>
        <w:t>2022–23</w:t>
      </w:r>
      <w:r w:rsidRPr="0026532C">
        <w:rPr>
          <w:i/>
          <w:iCs/>
          <w:spacing w:val="-4"/>
        </w:rPr>
        <w:t xml:space="preserve"> Financial Year</w:t>
      </w:r>
      <w:r w:rsidRPr="0026532C">
        <w:rPr>
          <w:spacing w:val="-4"/>
        </w:rPr>
        <w:t>.</w:t>
      </w:r>
    </w:p>
    <w:p w14:paraId="0C8AE851" w14:textId="1B96434B" w:rsidR="00BB5BE7" w:rsidRPr="0026532C" w:rsidRDefault="00BB5BE7" w:rsidP="009A6245">
      <w:pPr>
        <w:pStyle w:val="Reference"/>
        <w:rPr>
          <w:spacing w:val="-4"/>
        </w:rPr>
      </w:pPr>
      <w:r w:rsidRPr="0026532C">
        <w:rPr>
          <w:spacing w:val="-4"/>
        </w:rPr>
        <w:t>——</w:t>
      </w:r>
      <w:r w:rsidR="00517AF2" w:rsidRPr="0026532C">
        <w:rPr>
          <w:spacing w:val="-4"/>
        </w:rPr>
        <w:t> </w:t>
      </w:r>
      <w:r w:rsidRPr="0026532C">
        <w:rPr>
          <w:spacing w:val="-4"/>
        </w:rPr>
        <w:t xml:space="preserve">2025, </w:t>
      </w:r>
      <w:r w:rsidRPr="0026532C">
        <w:rPr>
          <w:i/>
          <w:iCs/>
          <w:spacing w:val="-4"/>
        </w:rPr>
        <w:t xml:space="preserve">Australian Capital Territory Government Consolidated Annual Financial Statements </w:t>
      </w:r>
      <w:r w:rsidR="003B5DC0" w:rsidRPr="0026532C">
        <w:rPr>
          <w:i/>
          <w:iCs/>
          <w:spacing w:val="-4"/>
        </w:rPr>
        <w:t xml:space="preserve">2024–25 </w:t>
      </w:r>
      <w:r w:rsidRPr="0026532C">
        <w:rPr>
          <w:i/>
          <w:iCs/>
          <w:spacing w:val="-4"/>
        </w:rPr>
        <w:t>Financial Year</w:t>
      </w:r>
      <w:r w:rsidRPr="0026532C">
        <w:rPr>
          <w:spacing w:val="-4"/>
        </w:rPr>
        <w:t>.</w:t>
      </w:r>
    </w:p>
    <w:p w14:paraId="47FF1383" w14:textId="0B16CAB4" w:rsidR="00BB5BE7" w:rsidRPr="00BB5BE7" w:rsidRDefault="00BB5BE7" w:rsidP="009A6245">
      <w:pPr>
        <w:pStyle w:val="Reference"/>
      </w:pPr>
      <w:r w:rsidRPr="00BB5BE7">
        <w:t>——</w:t>
      </w:r>
      <w:r w:rsidR="00517AF2">
        <w:t> </w:t>
      </w:r>
      <w:r w:rsidRPr="00BB5BE7">
        <w:t xml:space="preserve">2026a, </w:t>
      </w:r>
      <w:r w:rsidRPr="00BB5BE7">
        <w:rPr>
          <w:i/>
          <w:iCs/>
        </w:rPr>
        <w:t xml:space="preserve">Australian Capital Territory Budget </w:t>
      </w:r>
      <w:r w:rsidR="00F34590">
        <w:rPr>
          <w:i/>
          <w:iCs/>
        </w:rPr>
        <w:t>2026–27</w:t>
      </w:r>
      <w:r w:rsidRPr="00BB5BE7">
        <w:rPr>
          <w:i/>
          <w:iCs/>
        </w:rPr>
        <w:t>. Budget Outlook.</w:t>
      </w:r>
    </w:p>
    <w:p w14:paraId="1F9C6940" w14:textId="52CB7A92" w:rsidR="00BB5BE7" w:rsidRPr="00833866" w:rsidRDefault="00BB5BE7" w:rsidP="009A6245">
      <w:pPr>
        <w:pStyle w:val="Reference"/>
        <w:rPr>
          <w:spacing w:val="-4"/>
        </w:rPr>
      </w:pPr>
      <w:r w:rsidRPr="00833866">
        <w:rPr>
          <w:spacing w:val="-4"/>
        </w:rPr>
        <w:t>——</w:t>
      </w:r>
      <w:r w:rsidR="00517AF2" w:rsidRPr="00833866">
        <w:rPr>
          <w:spacing w:val="-4"/>
        </w:rPr>
        <w:t> </w:t>
      </w:r>
      <w:r w:rsidRPr="00833866">
        <w:rPr>
          <w:spacing w:val="-4"/>
        </w:rPr>
        <w:t xml:space="preserve">2026b, </w:t>
      </w:r>
      <w:r w:rsidRPr="00833866">
        <w:rPr>
          <w:i/>
          <w:iCs/>
          <w:spacing w:val="-4"/>
        </w:rPr>
        <w:t xml:space="preserve">Australian Capital Territory debt issuance programme </w:t>
      </w:r>
      <w:r w:rsidR="00833866">
        <w:rPr>
          <w:i/>
          <w:iCs/>
          <w:spacing w:val="-4"/>
        </w:rPr>
        <w:t>–</w:t>
      </w:r>
      <w:r w:rsidRPr="00833866">
        <w:rPr>
          <w:i/>
          <w:iCs/>
          <w:spacing w:val="-4"/>
        </w:rPr>
        <w:t xml:space="preserve"> </w:t>
      </w:r>
      <w:r w:rsidR="00833866">
        <w:rPr>
          <w:i/>
          <w:iCs/>
          <w:spacing w:val="-4"/>
        </w:rPr>
        <w:t>i</w:t>
      </w:r>
      <w:r w:rsidRPr="00833866">
        <w:rPr>
          <w:i/>
          <w:iCs/>
          <w:spacing w:val="-4"/>
        </w:rPr>
        <w:t>ssued notes outstanding as at 31 May 2026</w:t>
      </w:r>
      <w:r w:rsidRPr="00833866">
        <w:rPr>
          <w:spacing w:val="-4"/>
        </w:rPr>
        <w:t>, June.</w:t>
      </w:r>
    </w:p>
    <w:p w14:paraId="4E7E7BDD" w14:textId="77777777" w:rsidR="00BB5BE7" w:rsidRPr="00BB5BE7" w:rsidRDefault="00BB5BE7" w:rsidP="009A6245">
      <w:pPr>
        <w:pStyle w:val="Reference"/>
      </w:pPr>
      <w:r w:rsidRPr="00BB5BE7">
        <w:t xml:space="preserve">ACT Revenue Office 2025, </w:t>
      </w:r>
      <w:r w:rsidRPr="00BB5BE7">
        <w:rPr>
          <w:i/>
          <w:iCs/>
        </w:rPr>
        <w:t>Tax reform</w:t>
      </w:r>
      <w:r w:rsidRPr="00BB5BE7">
        <w:t>, https://www.revenue.act.gov.au/tax-reform (accessed 10 April 2026).</w:t>
      </w:r>
    </w:p>
    <w:p w14:paraId="6562AF4A" w14:textId="77777777" w:rsidR="00BB5BE7" w:rsidRPr="00BB5BE7" w:rsidRDefault="00BB5BE7" w:rsidP="009A6245">
      <w:pPr>
        <w:pStyle w:val="Reference"/>
      </w:pPr>
      <w:r w:rsidRPr="00BB5BE7">
        <w:t xml:space="preserve">Albanese, A, Minns, C, Allan, J, Cook, R, Malinauskas, P, Rockliff, J, Barr, A and Finocchiaro, L 2026, </w:t>
      </w:r>
      <w:r w:rsidRPr="00BB5BE7">
        <w:rPr>
          <w:i/>
          <w:iCs/>
        </w:rPr>
        <w:t>National Agreement on Foundational Supports 2026-2031</w:t>
      </w:r>
      <w:r w:rsidRPr="00BB5BE7">
        <w:t>.</w:t>
      </w:r>
    </w:p>
    <w:p w14:paraId="15EB9A34" w14:textId="77777777" w:rsidR="00BB5BE7" w:rsidRPr="00BB5BE7" w:rsidRDefault="00BB5BE7" w:rsidP="009A6245">
      <w:pPr>
        <w:pStyle w:val="Reference"/>
      </w:pPr>
      <w:r w:rsidRPr="00BB5BE7">
        <w:t xml:space="preserve">ANAO (Australian National Audit Office) 2018, </w:t>
      </w:r>
      <w:r w:rsidRPr="00BB5BE7">
        <w:rPr>
          <w:i/>
          <w:iCs/>
        </w:rPr>
        <w:t>Effectiveness of monitoring and payment arrangements under National Partnership Agreements</w:t>
      </w:r>
      <w:r w:rsidRPr="00BB5BE7">
        <w:t>, Canberra.</w:t>
      </w:r>
    </w:p>
    <w:p w14:paraId="0A877B16" w14:textId="77777777" w:rsidR="00BB5BE7" w:rsidRPr="00E11913" w:rsidRDefault="00BB5BE7" w:rsidP="009A6245">
      <w:pPr>
        <w:pStyle w:val="Reference"/>
        <w:rPr>
          <w:spacing w:val="-4"/>
        </w:rPr>
      </w:pPr>
      <w:r w:rsidRPr="00E11913">
        <w:rPr>
          <w:spacing w:val="-4"/>
        </w:rPr>
        <w:t xml:space="preserve">Asdrubali, P, Sorenson, BE and Yosha, O 1996, ‘Channels of interstate risk sharing: United States 1963-1990’, </w:t>
      </w:r>
      <w:r w:rsidRPr="00E11913">
        <w:rPr>
          <w:i/>
          <w:iCs/>
          <w:spacing w:val="-4"/>
        </w:rPr>
        <w:t>The Quarterly Journal of Economics</w:t>
      </w:r>
      <w:r w:rsidRPr="00E11913">
        <w:rPr>
          <w:spacing w:val="-4"/>
        </w:rPr>
        <w:t>, vol. 111, no. 4, pp. 1081–1110.</w:t>
      </w:r>
    </w:p>
    <w:p w14:paraId="0A89A555" w14:textId="77777777" w:rsidR="00BB5BE7" w:rsidRPr="00E11913" w:rsidRDefault="00BB5BE7" w:rsidP="009A6245">
      <w:pPr>
        <w:pStyle w:val="Reference"/>
        <w:rPr>
          <w:spacing w:val="-4"/>
        </w:rPr>
      </w:pPr>
      <w:r w:rsidRPr="00E11913">
        <w:rPr>
          <w:spacing w:val="-4"/>
        </w:rPr>
        <w:t xml:space="preserve">Australian Government 2018, </w:t>
      </w:r>
      <w:r w:rsidRPr="00E11913">
        <w:rPr>
          <w:i/>
          <w:iCs/>
          <w:spacing w:val="-4"/>
        </w:rPr>
        <w:t>Productivity Commission inquiry into horizontal fiscal equalisation: Government interim response</w:t>
      </w:r>
      <w:r w:rsidRPr="00E11913">
        <w:rPr>
          <w:spacing w:val="-4"/>
        </w:rPr>
        <w:t>.</w:t>
      </w:r>
    </w:p>
    <w:p w14:paraId="5D98530B" w14:textId="5A262370" w:rsidR="00BB5BE7" w:rsidRPr="00BB5BE7" w:rsidRDefault="00BB5BE7" w:rsidP="009A6245">
      <w:pPr>
        <w:pStyle w:val="Reference"/>
      </w:pPr>
      <w:r w:rsidRPr="00BB5BE7">
        <w:t xml:space="preserve">Australian Government Department of the Treasury 2022a, </w:t>
      </w:r>
      <w:r w:rsidRPr="00BB5BE7">
        <w:rPr>
          <w:i/>
          <w:iCs/>
        </w:rPr>
        <w:t xml:space="preserve">Intergovernmental Agreement on Federal Financial Relations </w:t>
      </w:r>
      <w:r w:rsidR="00C11115">
        <w:rPr>
          <w:i/>
          <w:iCs/>
        </w:rPr>
        <w:t>–</w:t>
      </w:r>
      <w:r w:rsidRPr="00BB5BE7">
        <w:rPr>
          <w:i/>
          <w:iCs/>
        </w:rPr>
        <w:t xml:space="preserve"> Schedule C: Public accountability and performance reporting</w:t>
      </w:r>
      <w:r w:rsidRPr="00BB5BE7">
        <w:t>.</w:t>
      </w:r>
    </w:p>
    <w:p w14:paraId="37B6AA6F" w14:textId="5A3E047B" w:rsidR="00BB5BE7" w:rsidRPr="00BB5BE7" w:rsidRDefault="00BB5BE7" w:rsidP="009A6245">
      <w:pPr>
        <w:pStyle w:val="Reference"/>
      </w:pPr>
      <w:r w:rsidRPr="00BB5BE7">
        <w:t>——</w:t>
      </w:r>
      <w:r w:rsidR="00517AF2">
        <w:t> </w:t>
      </w:r>
      <w:r w:rsidRPr="00BB5BE7">
        <w:t xml:space="preserve">2022b, </w:t>
      </w:r>
      <w:r w:rsidRPr="00BB5BE7">
        <w:rPr>
          <w:i/>
          <w:iCs/>
        </w:rPr>
        <w:t xml:space="preserve">Intergovernmental Agreement on Federal Financial Relations </w:t>
      </w:r>
      <w:r w:rsidR="00E11913">
        <w:rPr>
          <w:i/>
          <w:iCs/>
        </w:rPr>
        <w:t>–</w:t>
      </w:r>
      <w:r w:rsidRPr="00BB5BE7">
        <w:rPr>
          <w:i/>
          <w:iCs/>
        </w:rPr>
        <w:t xml:space="preserve"> Schedule D: Payment Arrangements</w:t>
      </w:r>
      <w:r w:rsidRPr="00BB5BE7">
        <w:t>.</w:t>
      </w:r>
    </w:p>
    <w:p w14:paraId="75B52B34" w14:textId="6C694233" w:rsidR="00BB5BE7" w:rsidRPr="00BB5BE7" w:rsidRDefault="00BB5BE7" w:rsidP="009A6245">
      <w:pPr>
        <w:pStyle w:val="Reference"/>
      </w:pPr>
      <w:r w:rsidRPr="00BB5BE7">
        <w:t>——</w:t>
      </w:r>
      <w:r w:rsidR="00517AF2">
        <w:t> </w:t>
      </w:r>
      <w:r w:rsidRPr="00BB5BE7">
        <w:t xml:space="preserve">2022c, </w:t>
      </w:r>
      <w:r w:rsidRPr="00BB5BE7">
        <w:rPr>
          <w:i/>
          <w:iCs/>
        </w:rPr>
        <w:t xml:space="preserve">Intergovernmental Agreement on Federal Financial Relations </w:t>
      </w:r>
      <w:r w:rsidR="00C11115">
        <w:rPr>
          <w:i/>
          <w:iCs/>
        </w:rPr>
        <w:t>–</w:t>
      </w:r>
      <w:r w:rsidRPr="00BB5BE7">
        <w:rPr>
          <w:i/>
          <w:iCs/>
        </w:rPr>
        <w:t xml:space="preserve"> Schedule E: National Policy and Reform Objectives</w:t>
      </w:r>
      <w:r w:rsidRPr="00BB5BE7">
        <w:t>.</w:t>
      </w:r>
    </w:p>
    <w:p w14:paraId="424763A6" w14:textId="2B89B15E" w:rsidR="00BB5BE7" w:rsidRPr="00BB5BE7" w:rsidRDefault="00BB5BE7" w:rsidP="009A6245">
      <w:pPr>
        <w:pStyle w:val="Reference"/>
      </w:pPr>
      <w:r w:rsidRPr="00BB5BE7">
        <w:t>——</w:t>
      </w:r>
      <w:r w:rsidR="00517AF2">
        <w:t> </w:t>
      </w:r>
      <w:r w:rsidRPr="00BB5BE7">
        <w:t xml:space="preserve">2022d, </w:t>
      </w:r>
      <w:r w:rsidRPr="00BB5BE7">
        <w:rPr>
          <w:i/>
          <w:iCs/>
        </w:rPr>
        <w:t xml:space="preserve">Intergovernmental Agreement on Federal Financial Relations </w:t>
      </w:r>
      <w:r w:rsidR="00C11115">
        <w:rPr>
          <w:i/>
          <w:iCs/>
        </w:rPr>
        <w:t>–</w:t>
      </w:r>
      <w:r w:rsidRPr="00BB5BE7">
        <w:rPr>
          <w:i/>
          <w:iCs/>
        </w:rPr>
        <w:t xml:space="preserve"> Schedule F: The Federation Funding Agreements framework</w:t>
      </w:r>
      <w:r w:rsidRPr="00BB5BE7">
        <w:t>.</w:t>
      </w:r>
    </w:p>
    <w:p w14:paraId="47C6B796" w14:textId="77777777" w:rsidR="00BB5BE7" w:rsidRPr="00BB5BE7" w:rsidRDefault="00BB5BE7" w:rsidP="009A6245">
      <w:pPr>
        <w:pStyle w:val="Reference"/>
      </w:pPr>
      <w:r w:rsidRPr="00BB5BE7">
        <w:t>——</w:t>
      </w:r>
      <w:r w:rsidR="00517AF2">
        <w:t> </w:t>
      </w:r>
      <w:r w:rsidRPr="00BB5BE7">
        <w:t xml:space="preserve">2022e, </w:t>
      </w:r>
      <w:r w:rsidRPr="00BB5BE7">
        <w:rPr>
          <w:i/>
          <w:iCs/>
        </w:rPr>
        <w:t>Intergovernmental Agreement on Federal Financial Relations (IGA FFR)</w:t>
      </w:r>
      <w:r w:rsidRPr="00BB5BE7">
        <w:t>.</w:t>
      </w:r>
    </w:p>
    <w:p w14:paraId="2D7DDEFE" w14:textId="77777777" w:rsidR="00BB5BE7" w:rsidRPr="00BB5BE7" w:rsidRDefault="00BB5BE7" w:rsidP="009A6245">
      <w:pPr>
        <w:pStyle w:val="Reference"/>
      </w:pPr>
      <w:r w:rsidRPr="00BB5BE7">
        <w:t>——</w:t>
      </w:r>
      <w:r w:rsidR="00517AF2">
        <w:t> </w:t>
      </w:r>
      <w:r w:rsidRPr="00BB5BE7">
        <w:t xml:space="preserve">2024, </w:t>
      </w:r>
      <w:r w:rsidRPr="00BB5BE7">
        <w:rPr>
          <w:i/>
          <w:iCs/>
        </w:rPr>
        <w:t>Review of the Report on Government Services and the Performance Reporting Dashboard</w:t>
      </w:r>
      <w:r w:rsidRPr="00BB5BE7">
        <w:t>, November, Canberra.</w:t>
      </w:r>
    </w:p>
    <w:p w14:paraId="50E08685" w14:textId="5C6EB1B7" w:rsidR="00BB5BE7" w:rsidRPr="00BB5BE7" w:rsidRDefault="00BB5BE7" w:rsidP="009A6245">
      <w:pPr>
        <w:pStyle w:val="Reference"/>
      </w:pPr>
      <w:r w:rsidRPr="00BB5BE7">
        <w:t>——</w:t>
      </w:r>
      <w:r w:rsidR="00517AF2">
        <w:t> </w:t>
      </w:r>
      <w:r w:rsidRPr="00BB5BE7">
        <w:t xml:space="preserve">2025, </w:t>
      </w:r>
      <w:r w:rsidRPr="00BB5BE7">
        <w:rPr>
          <w:i/>
          <w:iCs/>
        </w:rPr>
        <w:t xml:space="preserve">2025 methodology review </w:t>
      </w:r>
      <w:r w:rsidR="00833866">
        <w:rPr>
          <w:i/>
          <w:iCs/>
        </w:rPr>
        <w:t>–</w:t>
      </w:r>
      <w:r w:rsidRPr="00BB5BE7">
        <w:rPr>
          <w:i/>
          <w:iCs/>
        </w:rPr>
        <w:t xml:space="preserve"> supplementary terms of reference</w:t>
      </w:r>
      <w:r w:rsidRPr="00BB5BE7">
        <w:t>.</w:t>
      </w:r>
    </w:p>
    <w:p w14:paraId="50958AC3" w14:textId="77777777" w:rsidR="00BB5BE7" w:rsidRPr="00BB5BE7" w:rsidRDefault="00BB5BE7" w:rsidP="009A6245">
      <w:pPr>
        <w:pStyle w:val="Reference"/>
      </w:pPr>
      <w:r w:rsidRPr="00BB5BE7">
        <w:t xml:space="preserve">Braun, D 2006, ‘Between market-preserving federalism and intergovernmental coordination: the case of Australia’, </w:t>
      </w:r>
      <w:r w:rsidRPr="00BB5BE7">
        <w:rPr>
          <w:i/>
          <w:iCs/>
        </w:rPr>
        <w:t>The Swiss Political Science Review</w:t>
      </w:r>
      <w:r w:rsidRPr="00BB5BE7">
        <w:t>, vol. 12, no. 2.</w:t>
      </w:r>
    </w:p>
    <w:p w14:paraId="13F92AA4" w14:textId="77777777" w:rsidR="00BB5BE7" w:rsidRPr="00BB5BE7" w:rsidRDefault="00BB5BE7" w:rsidP="009A6245">
      <w:pPr>
        <w:pStyle w:val="Reference"/>
      </w:pPr>
      <w:r w:rsidRPr="00BB5BE7">
        <w:t xml:space="preserve">Buchanan, J 1950, ‘Federalism and fiscal equity’, </w:t>
      </w:r>
      <w:r w:rsidRPr="00BB5BE7">
        <w:rPr>
          <w:i/>
          <w:iCs/>
        </w:rPr>
        <w:t>American Economic Review</w:t>
      </w:r>
      <w:r w:rsidRPr="00BB5BE7">
        <w:t>, vol. 40, no. 4, pp. 583–599.</w:t>
      </w:r>
    </w:p>
    <w:p w14:paraId="58E59A36" w14:textId="77777777" w:rsidR="00BB5BE7" w:rsidRPr="00BB5BE7" w:rsidRDefault="00BB5BE7" w:rsidP="009A6245">
      <w:pPr>
        <w:pStyle w:val="Reference"/>
      </w:pPr>
      <w:r w:rsidRPr="00BB5BE7">
        <w:t xml:space="preserve">Butler, M and Punch, D 2024, </w:t>
      </w:r>
      <w:r w:rsidRPr="00BB5BE7">
        <w:rPr>
          <w:i/>
          <w:iCs/>
        </w:rPr>
        <w:t>Funding to Integration Empowerment Services and Wanneroo Senior Citizens Club</w:t>
      </w:r>
      <w:r w:rsidRPr="00BB5BE7">
        <w:t>, Federation Funding Agreement - Health.</w:t>
      </w:r>
    </w:p>
    <w:p w14:paraId="7B59F224" w14:textId="77777777" w:rsidR="00BB5BE7" w:rsidRPr="00BB5BE7" w:rsidRDefault="00BB5BE7" w:rsidP="009A6245">
      <w:pPr>
        <w:pStyle w:val="Reference"/>
      </w:pPr>
      <w:r w:rsidRPr="00BB5BE7">
        <w:t xml:space="preserve">Caputo, M, Robinson, T and Wang, H 2013, </w:t>
      </w:r>
      <w:r w:rsidRPr="00BB5BE7">
        <w:rPr>
          <w:i/>
          <w:iCs/>
        </w:rPr>
        <w:t>The relationship between bulk commodity and Chinese steel prices</w:t>
      </w:r>
      <w:r w:rsidRPr="00BB5BE7">
        <w:t>.</w:t>
      </w:r>
    </w:p>
    <w:p w14:paraId="44AB37D4" w14:textId="77777777" w:rsidR="00BB5BE7" w:rsidRPr="00BB5BE7" w:rsidRDefault="00BB5BE7" w:rsidP="009A6245">
      <w:pPr>
        <w:pStyle w:val="Reference"/>
      </w:pPr>
      <w:r w:rsidRPr="00BB5BE7">
        <w:t xml:space="preserve">CFFR (Council on Federal Financial Relations) 2023, </w:t>
      </w:r>
      <w:r w:rsidRPr="00BB5BE7">
        <w:rPr>
          <w:i/>
          <w:iCs/>
        </w:rPr>
        <w:t>Terms of reference - Council on Federal Financial Relations</w:t>
      </w:r>
      <w:r w:rsidRPr="00BB5BE7">
        <w:t>, February.</w:t>
      </w:r>
    </w:p>
    <w:p w14:paraId="77899774" w14:textId="77777777" w:rsidR="00BB5BE7" w:rsidRPr="00BB5BE7" w:rsidRDefault="00BB5BE7" w:rsidP="009A6245">
      <w:pPr>
        <w:pStyle w:val="Reference"/>
      </w:pPr>
      <w:r w:rsidRPr="00BB5BE7">
        <w:t xml:space="preserve">CGC (Commonwealth Grants Commission) 2015a, </w:t>
      </w:r>
      <w:r w:rsidRPr="00BB5BE7">
        <w:rPr>
          <w:i/>
          <w:iCs/>
        </w:rPr>
        <w:t>Report on GST revenue sharing relativities 2015 review – volume 2 – assessment of state fiscal capacities</w:t>
      </w:r>
      <w:r w:rsidRPr="00BB5BE7">
        <w:t>, Canberra.</w:t>
      </w:r>
    </w:p>
    <w:p w14:paraId="74843C5E" w14:textId="77777777" w:rsidR="00BB5BE7" w:rsidRPr="00BB5BE7" w:rsidRDefault="00BB5BE7" w:rsidP="009A6245">
      <w:pPr>
        <w:pStyle w:val="Reference"/>
      </w:pPr>
      <w:r w:rsidRPr="00BB5BE7">
        <w:t>——</w:t>
      </w:r>
      <w:r w:rsidR="00517AF2">
        <w:t> </w:t>
      </w:r>
      <w:r w:rsidRPr="00BB5BE7">
        <w:t xml:space="preserve">2015b, </w:t>
      </w:r>
      <w:r w:rsidRPr="00BB5BE7">
        <w:rPr>
          <w:i/>
          <w:iCs/>
        </w:rPr>
        <w:t>Report on GST revenue sharing relativities 2015 review - Volume 2: Attachments</w:t>
      </w:r>
      <w:r w:rsidRPr="00BB5BE7">
        <w:t>.</w:t>
      </w:r>
    </w:p>
    <w:p w14:paraId="100CCC7A" w14:textId="77777777" w:rsidR="00BB5BE7" w:rsidRPr="00BB5BE7" w:rsidRDefault="00BB5BE7" w:rsidP="009A6245">
      <w:pPr>
        <w:pStyle w:val="Reference"/>
      </w:pPr>
      <w:r w:rsidRPr="00BB5BE7">
        <w:t>——</w:t>
      </w:r>
      <w:r w:rsidR="00517AF2">
        <w:t> </w:t>
      </w:r>
      <w:r w:rsidRPr="00BB5BE7">
        <w:t xml:space="preserve">2017a, </w:t>
      </w:r>
      <w:r w:rsidRPr="00BB5BE7">
        <w:rPr>
          <w:i/>
          <w:iCs/>
        </w:rPr>
        <w:t>2020 Review: State mining policies</w:t>
      </w:r>
      <w:r w:rsidRPr="00BB5BE7">
        <w:t>, Staff research paper, May, CGC 2017-04-S, Canberra.</w:t>
      </w:r>
    </w:p>
    <w:p w14:paraId="560D0E34" w14:textId="77777777" w:rsidR="00BB5BE7" w:rsidRPr="00BB5BE7" w:rsidRDefault="00BB5BE7" w:rsidP="009A6245">
      <w:pPr>
        <w:pStyle w:val="Reference"/>
      </w:pPr>
      <w:r w:rsidRPr="00BB5BE7">
        <w:t>——</w:t>
      </w:r>
      <w:r w:rsidR="00517AF2">
        <w:t> </w:t>
      </w:r>
      <w:r w:rsidRPr="00BB5BE7">
        <w:t xml:space="preserve">2017b, </w:t>
      </w:r>
      <w:r w:rsidRPr="00BB5BE7">
        <w:rPr>
          <w:i/>
          <w:iCs/>
        </w:rPr>
        <w:t>The principle of HFE and its implementation</w:t>
      </w:r>
      <w:r w:rsidRPr="00BB5BE7">
        <w:t>, Research Report, September, CGC 2017-21, Canberra.</w:t>
      </w:r>
    </w:p>
    <w:p w14:paraId="4DE6CF56" w14:textId="77777777" w:rsidR="00BB5BE7" w:rsidRPr="00BB5BE7" w:rsidRDefault="00BB5BE7" w:rsidP="009A6245">
      <w:pPr>
        <w:pStyle w:val="Reference"/>
      </w:pPr>
      <w:r w:rsidRPr="00BB5BE7">
        <w:t>——</w:t>
      </w:r>
      <w:r w:rsidR="00517AF2">
        <w:t> </w:t>
      </w:r>
      <w:r w:rsidRPr="00BB5BE7">
        <w:t xml:space="preserve">2020a, </w:t>
      </w:r>
      <w:r w:rsidRPr="00BB5BE7">
        <w:rPr>
          <w:i/>
          <w:iCs/>
        </w:rPr>
        <w:t>Horizontal fiscal equalisation in the Australian federation</w:t>
      </w:r>
      <w:r w:rsidRPr="00BB5BE7">
        <w:t>, Canberra.</w:t>
      </w:r>
    </w:p>
    <w:p w14:paraId="2AACE60B" w14:textId="77777777" w:rsidR="00BB5BE7" w:rsidRPr="00BB5BE7" w:rsidRDefault="00BB5BE7" w:rsidP="009A6245">
      <w:pPr>
        <w:pStyle w:val="Reference"/>
      </w:pPr>
      <w:r w:rsidRPr="00BB5BE7">
        <w:t>——</w:t>
      </w:r>
      <w:r w:rsidR="00517AF2">
        <w:t> </w:t>
      </w:r>
      <w:r w:rsidRPr="00BB5BE7">
        <w:t xml:space="preserve">2020b, </w:t>
      </w:r>
      <w:r w:rsidRPr="00BB5BE7">
        <w:rPr>
          <w:i/>
          <w:iCs/>
        </w:rPr>
        <w:t>The Adjusted Budget</w:t>
      </w:r>
      <w:r w:rsidRPr="00BB5BE7">
        <w:t>.</w:t>
      </w:r>
    </w:p>
    <w:p w14:paraId="4601F8A1" w14:textId="77777777" w:rsidR="00BB5BE7" w:rsidRPr="00BB5BE7" w:rsidRDefault="00BB5BE7" w:rsidP="009A6245">
      <w:pPr>
        <w:pStyle w:val="Reference"/>
      </w:pPr>
      <w:r w:rsidRPr="00BB5BE7">
        <w:t>——</w:t>
      </w:r>
      <w:r w:rsidR="00517AF2">
        <w:t> </w:t>
      </w:r>
      <w:r w:rsidRPr="00BB5BE7">
        <w:t xml:space="preserve">2021a, </w:t>
      </w:r>
      <w:r w:rsidRPr="00BB5BE7">
        <w:rPr>
          <w:i/>
          <w:iCs/>
        </w:rPr>
        <w:t>Occasional paper no. 2: GST distribution and state tax reform</w:t>
      </w:r>
      <w:r w:rsidRPr="00BB5BE7">
        <w:t>, 1 April, Canberra.</w:t>
      </w:r>
    </w:p>
    <w:p w14:paraId="54AC2103" w14:textId="77777777" w:rsidR="00BB5BE7" w:rsidRPr="00BB5BE7" w:rsidRDefault="00BB5BE7" w:rsidP="009A6245">
      <w:pPr>
        <w:pStyle w:val="Reference"/>
      </w:pPr>
      <w:r w:rsidRPr="00BB5BE7">
        <w:t>——</w:t>
      </w:r>
      <w:r w:rsidR="00517AF2">
        <w:t> </w:t>
      </w:r>
      <w:r w:rsidRPr="00BB5BE7">
        <w:t xml:space="preserve">2021b, </w:t>
      </w:r>
      <w:r w:rsidRPr="00BB5BE7">
        <w:rPr>
          <w:i/>
          <w:iCs/>
        </w:rPr>
        <w:t>Occasional paper no. 3: Mining revenue and GST distribution</w:t>
      </w:r>
      <w:r w:rsidRPr="00BB5BE7">
        <w:t>, June, Canberra.</w:t>
      </w:r>
    </w:p>
    <w:p w14:paraId="6A7B58D6" w14:textId="77777777" w:rsidR="00BB5BE7" w:rsidRPr="00BB5BE7" w:rsidRDefault="00BB5BE7" w:rsidP="009A6245">
      <w:pPr>
        <w:pStyle w:val="Reference"/>
      </w:pPr>
      <w:r w:rsidRPr="00BB5BE7">
        <w:t>——</w:t>
      </w:r>
      <w:r w:rsidR="00517AF2">
        <w:t> </w:t>
      </w:r>
      <w:r w:rsidRPr="00BB5BE7">
        <w:t xml:space="preserve">2021c, </w:t>
      </w:r>
      <w:r w:rsidRPr="00BB5BE7">
        <w:rPr>
          <w:i/>
          <w:iCs/>
        </w:rPr>
        <w:t>Occasional paper no. 4: New arrangements for distributing GST</w:t>
      </w:r>
      <w:r w:rsidRPr="00BB5BE7">
        <w:t>, 1 September, Canberra.</w:t>
      </w:r>
    </w:p>
    <w:p w14:paraId="190C0766" w14:textId="77777777" w:rsidR="00BB5BE7" w:rsidRPr="00BB5BE7" w:rsidRDefault="00BB5BE7" w:rsidP="009A6245">
      <w:pPr>
        <w:pStyle w:val="Reference"/>
      </w:pPr>
      <w:r w:rsidRPr="00BB5BE7">
        <w:t>——</w:t>
      </w:r>
      <w:r w:rsidR="00517AF2">
        <w:t> </w:t>
      </w:r>
      <w:r w:rsidRPr="00BB5BE7">
        <w:t xml:space="preserve">2022a, </w:t>
      </w:r>
      <w:r w:rsidRPr="00BB5BE7">
        <w:rPr>
          <w:i/>
          <w:iCs/>
        </w:rPr>
        <w:t>Occasional paper no. 6: Why are some Commonwealth payments to states included in calculations of GST needs?</w:t>
      </w:r>
      <w:r w:rsidRPr="00BB5BE7">
        <w:t>, 30 June, Canberra.</w:t>
      </w:r>
    </w:p>
    <w:p w14:paraId="7D849EFB" w14:textId="77777777" w:rsidR="00BB5BE7" w:rsidRPr="00BB5BE7" w:rsidRDefault="00BB5BE7" w:rsidP="009A6245">
      <w:pPr>
        <w:pStyle w:val="Reference"/>
      </w:pPr>
      <w:r w:rsidRPr="00BB5BE7">
        <w:lastRenderedPageBreak/>
        <w:t>——</w:t>
      </w:r>
      <w:r w:rsidR="00517AF2">
        <w:t> </w:t>
      </w:r>
      <w:r w:rsidRPr="00BB5BE7">
        <w:t xml:space="preserve">2022b, </w:t>
      </w:r>
      <w:r w:rsidRPr="00BB5BE7">
        <w:rPr>
          <w:i/>
          <w:iCs/>
        </w:rPr>
        <w:t>Occasional paper no. 7: Natural disaster relief and the GST distribution</w:t>
      </w:r>
      <w:r w:rsidRPr="00BB5BE7">
        <w:t>, 27 September, Canberra.</w:t>
      </w:r>
    </w:p>
    <w:p w14:paraId="63D3F599" w14:textId="77777777" w:rsidR="00BB5BE7" w:rsidRPr="00BB5BE7" w:rsidRDefault="00BB5BE7" w:rsidP="009A6245">
      <w:pPr>
        <w:pStyle w:val="Reference"/>
      </w:pPr>
      <w:r w:rsidRPr="00BB5BE7">
        <w:t>——</w:t>
      </w:r>
      <w:r w:rsidR="00517AF2">
        <w:t> </w:t>
      </w:r>
      <w:r w:rsidRPr="00BB5BE7">
        <w:t xml:space="preserve">2022c, </w:t>
      </w:r>
      <w:r w:rsidRPr="00BB5BE7">
        <w:rPr>
          <w:i/>
          <w:iCs/>
        </w:rPr>
        <w:t>Research paper no. 3: International comparison of fiscal equalisation</w:t>
      </w:r>
      <w:r w:rsidRPr="00BB5BE7">
        <w:t>, 21 April, Canberra.</w:t>
      </w:r>
    </w:p>
    <w:p w14:paraId="5581D682" w14:textId="77777777" w:rsidR="00BB5BE7" w:rsidRPr="00BB5BE7" w:rsidRDefault="00BB5BE7" w:rsidP="009A6245">
      <w:pPr>
        <w:pStyle w:val="Reference"/>
      </w:pPr>
      <w:r w:rsidRPr="00BB5BE7">
        <w:t>——</w:t>
      </w:r>
      <w:r w:rsidR="00517AF2">
        <w:t> </w:t>
      </w:r>
      <w:r w:rsidRPr="00BB5BE7">
        <w:t xml:space="preserve">2022d, </w:t>
      </w:r>
      <w:r w:rsidRPr="00BB5BE7">
        <w:rPr>
          <w:i/>
          <w:iCs/>
        </w:rPr>
        <w:t>Research paper no. 5: The framework for the treatment of Commonwealth payments in GST distribution</w:t>
      </w:r>
      <w:r w:rsidRPr="00BB5BE7">
        <w:t>, 19 August, Canberra.</w:t>
      </w:r>
    </w:p>
    <w:p w14:paraId="710F1097" w14:textId="77777777" w:rsidR="00BB5BE7" w:rsidRPr="00BB5BE7" w:rsidRDefault="00BB5BE7" w:rsidP="009A6245">
      <w:pPr>
        <w:pStyle w:val="Reference"/>
      </w:pPr>
      <w:r w:rsidRPr="00BB5BE7">
        <w:t>——</w:t>
      </w:r>
      <w:r w:rsidR="00517AF2">
        <w:t> </w:t>
      </w:r>
      <w:r w:rsidRPr="00BB5BE7">
        <w:t xml:space="preserve">2023, </w:t>
      </w:r>
      <w:r w:rsidRPr="00BB5BE7">
        <w:rPr>
          <w:i/>
          <w:iCs/>
        </w:rPr>
        <w:t>2025 methodology review - Fiscal equalisation, supporting principles and assessments guidelines consultation paper</w:t>
      </w:r>
      <w:r w:rsidRPr="00BB5BE7">
        <w:t>, April.</w:t>
      </w:r>
    </w:p>
    <w:p w14:paraId="69FC691D" w14:textId="5AFFEA8F" w:rsidR="00BB5BE7" w:rsidRPr="00BB5BE7" w:rsidRDefault="00BB5BE7" w:rsidP="009A6245">
      <w:pPr>
        <w:pStyle w:val="Reference"/>
      </w:pPr>
      <w:r w:rsidRPr="00BB5BE7">
        <w:t>——</w:t>
      </w:r>
      <w:r w:rsidR="00517AF2">
        <w:t> </w:t>
      </w:r>
      <w:r w:rsidRPr="00BB5BE7">
        <w:t xml:space="preserve">2024, </w:t>
      </w:r>
      <w:r w:rsidRPr="00BB5BE7">
        <w:rPr>
          <w:i/>
          <w:iCs/>
        </w:rPr>
        <w:t xml:space="preserve">2024 update: GST relativities </w:t>
      </w:r>
      <w:r w:rsidR="00246A5F">
        <w:rPr>
          <w:i/>
          <w:iCs/>
        </w:rPr>
        <w:t>2024–25</w:t>
      </w:r>
      <w:r w:rsidRPr="00BB5BE7">
        <w:t>, March, Canberra.</w:t>
      </w:r>
    </w:p>
    <w:p w14:paraId="13596BE8" w14:textId="77777777" w:rsidR="00BB5BE7" w:rsidRPr="00BB5BE7" w:rsidRDefault="00BB5BE7" w:rsidP="009A6245">
      <w:pPr>
        <w:pStyle w:val="Reference"/>
      </w:pPr>
      <w:r w:rsidRPr="00BB5BE7">
        <w:t>——</w:t>
      </w:r>
      <w:r w:rsidR="00517AF2">
        <w:t> </w:t>
      </w:r>
      <w:r w:rsidRPr="00BB5BE7">
        <w:t xml:space="preserve">2025a, </w:t>
      </w:r>
      <w:r w:rsidRPr="00BB5BE7">
        <w:rPr>
          <w:i/>
          <w:iCs/>
        </w:rPr>
        <w:t>2018 GST distribution legislation</w:t>
      </w:r>
      <w:r w:rsidRPr="00BB5BE7">
        <w:t>.</w:t>
      </w:r>
    </w:p>
    <w:p w14:paraId="688D6C1C" w14:textId="77777777" w:rsidR="00BB5BE7" w:rsidRPr="00BB5BE7" w:rsidRDefault="00BB5BE7" w:rsidP="009A6245">
      <w:pPr>
        <w:pStyle w:val="Reference"/>
      </w:pPr>
      <w:r w:rsidRPr="00BB5BE7">
        <w:t>——</w:t>
      </w:r>
      <w:r w:rsidR="00517AF2">
        <w:t> </w:t>
      </w:r>
      <w:r w:rsidRPr="00BB5BE7">
        <w:t xml:space="preserve">2025b, </w:t>
      </w:r>
      <w:r w:rsidRPr="00BB5BE7">
        <w:rPr>
          <w:i/>
          <w:iCs/>
        </w:rPr>
        <w:t>2025 methodology review</w:t>
      </w:r>
      <w:r w:rsidRPr="00BB5BE7">
        <w:t>, https://www.cgc.gov.au/reports-for-government/2025-methodology-review (accessed 24 June 2026).</w:t>
      </w:r>
    </w:p>
    <w:p w14:paraId="14795D4B" w14:textId="77777777" w:rsidR="00BB5BE7" w:rsidRPr="00BB5BE7" w:rsidRDefault="00BB5BE7" w:rsidP="009A6245">
      <w:pPr>
        <w:pStyle w:val="Reference"/>
      </w:pPr>
      <w:r w:rsidRPr="00BB5BE7">
        <w:t>——</w:t>
      </w:r>
      <w:r w:rsidR="00517AF2">
        <w:t> </w:t>
      </w:r>
      <w:r w:rsidRPr="00BB5BE7">
        <w:t xml:space="preserve">2025c, </w:t>
      </w:r>
      <w:r w:rsidRPr="00BB5BE7">
        <w:rPr>
          <w:i/>
          <w:iCs/>
        </w:rPr>
        <w:t>2025 methodology review - consultation</w:t>
      </w:r>
      <w:r w:rsidRPr="00BB5BE7">
        <w:t>, https://www.cgc.gov.au/reports-for-government/2025-methodology-review/consultation (accessed 24 June 2026).</w:t>
      </w:r>
    </w:p>
    <w:p w14:paraId="0EFCC809" w14:textId="77777777" w:rsidR="00BB5BE7" w:rsidRPr="00BB5BE7" w:rsidRDefault="00BB5BE7" w:rsidP="009A6245">
      <w:pPr>
        <w:pStyle w:val="Reference"/>
      </w:pPr>
      <w:r w:rsidRPr="00BB5BE7">
        <w:t>——</w:t>
      </w:r>
      <w:r w:rsidR="00517AF2">
        <w:t> </w:t>
      </w:r>
      <w:r w:rsidRPr="00BB5BE7">
        <w:t xml:space="preserve">2025d, </w:t>
      </w:r>
      <w:r w:rsidRPr="00BB5BE7">
        <w:rPr>
          <w:i/>
          <w:iCs/>
        </w:rPr>
        <w:t>2025 Methodology Review: Review Outcomes</w:t>
      </w:r>
      <w:r w:rsidRPr="00BB5BE7">
        <w:t>, March, Canberra.</w:t>
      </w:r>
    </w:p>
    <w:p w14:paraId="1292C72E" w14:textId="14060BC6" w:rsidR="00BB5BE7" w:rsidRPr="00BB5BE7" w:rsidRDefault="00BB5BE7" w:rsidP="009A6245">
      <w:pPr>
        <w:pStyle w:val="Reference"/>
      </w:pPr>
      <w:r w:rsidRPr="00BB5BE7">
        <w:t>——</w:t>
      </w:r>
      <w:r w:rsidR="00517AF2">
        <w:t> </w:t>
      </w:r>
      <w:r w:rsidRPr="00BB5BE7">
        <w:t xml:space="preserve">2025e, </w:t>
      </w:r>
      <w:r w:rsidRPr="00BB5BE7">
        <w:rPr>
          <w:i/>
          <w:iCs/>
        </w:rPr>
        <w:t xml:space="preserve">2025 update: GST relativities </w:t>
      </w:r>
      <w:r w:rsidR="003B5DC0">
        <w:rPr>
          <w:i/>
          <w:iCs/>
        </w:rPr>
        <w:t>2025–26</w:t>
      </w:r>
      <w:r w:rsidRPr="00BB5BE7">
        <w:t>, March, Canberra.</w:t>
      </w:r>
    </w:p>
    <w:p w14:paraId="23EFF53F" w14:textId="77777777" w:rsidR="00BB5BE7" w:rsidRPr="00BB5BE7" w:rsidRDefault="00BB5BE7" w:rsidP="009A6245">
      <w:pPr>
        <w:pStyle w:val="Reference"/>
      </w:pPr>
      <w:r w:rsidRPr="00BB5BE7">
        <w:t>——</w:t>
      </w:r>
      <w:r w:rsidR="00517AF2">
        <w:t> </w:t>
      </w:r>
      <w:r w:rsidRPr="00BB5BE7">
        <w:t xml:space="preserve">2025f, </w:t>
      </w:r>
      <w:r w:rsidRPr="00BB5BE7">
        <w:rPr>
          <w:i/>
          <w:iCs/>
        </w:rPr>
        <w:t>Commission’s assessment methodology</w:t>
      </w:r>
      <w:r w:rsidRPr="00BB5BE7">
        <w:t>, Canberra.</w:t>
      </w:r>
    </w:p>
    <w:p w14:paraId="47A03AF1" w14:textId="77777777" w:rsidR="00BB5BE7" w:rsidRPr="00BB5BE7" w:rsidRDefault="00BB5BE7" w:rsidP="009A6245">
      <w:pPr>
        <w:pStyle w:val="Reference"/>
      </w:pPr>
      <w:r w:rsidRPr="00BB5BE7">
        <w:t>——</w:t>
      </w:r>
      <w:r w:rsidR="00517AF2">
        <w:t> </w:t>
      </w:r>
      <w:r w:rsidRPr="00BB5BE7">
        <w:t xml:space="preserve">2025g, </w:t>
      </w:r>
      <w:r w:rsidRPr="00BB5BE7">
        <w:rPr>
          <w:i/>
          <w:iCs/>
        </w:rPr>
        <w:t>Occasional paper no. 12: GST distribution - addressing some misconceptions</w:t>
      </w:r>
      <w:r w:rsidRPr="00BB5BE7">
        <w:t>, 15 September, Canberra.</w:t>
      </w:r>
    </w:p>
    <w:p w14:paraId="69020D35" w14:textId="77777777" w:rsidR="00BB5BE7" w:rsidRPr="00BB5BE7" w:rsidRDefault="00BB5BE7" w:rsidP="009A6245">
      <w:pPr>
        <w:pStyle w:val="Reference"/>
      </w:pPr>
      <w:r w:rsidRPr="00BB5BE7">
        <w:t>——</w:t>
      </w:r>
      <w:r w:rsidR="00517AF2">
        <w:t> </w:t>
      </w:r>
      <w:r w:rsidRPr="00BB5BE7">
        <w:t xml:space="preserve">2026a, </w:t>
      </w:r>
      <w:r w:rsidRPr="00BB5BE7">
        <w:rPr>
          <w:i/>
          <w:iCs/>
        </w:rPr>
        <w:t>2026 State Snapshots</w:t>
      </w:r>
      <w:r w:rsidRPr="00BB5BE7">
        <w:t>, https://www.cgc.gov.au/publications/state-snapshots/2026-state-snapshots (accessed 30 July 2026).</w:t>
      </w:r>
    </w:p>
    <w:p w14:paraId="0EC1AC68" w14:textId="1B56DE9D" w:rsidR="00BB5BE7" w:rsidRPr="00116FF3" w:rsidRDefault="00BB5BE7" w:rsidP="009A6245">
      <w:pPr>
        <w:pStyle w:val="Reference"/>
        <w:rPr>
          <w:lang w:val="fr-CA"/>
        </w:rPr>
      </w:pPr>
      <w:r w:rsidRPr="00116FF3">
        <w:rPr>
          <w:lang w:val="fr-CA"/>
        </w:rPr>
        <w:t>——</w:t>
      </w:r>
      <w:r w:rsidR="00517AF2" w:rsidRPr="00116FF3">
        <w:rPr>
          <w:lang w:val="fr-CA"/>
        </w:rPr>
        <w:t> </w:t>
      </w:r>
      <w:r w:rsidRPr="00116FF3">
        <w:rPr>
          <w:lang w:val="fr-CA"/>
        </w:rPr>
        <w:t xml:space="preserve">2026b, </w:t>
      </w:r>
      <w:r w:rsidRPr="00116FF3">
        <w:rPr>
          <w:i/>
          <w:iCs/>
          <w:lang w:val="fr-CA"/>
        </w:rPr>
        <w:t xml:space="preserve">2026 Update: GST Relativities </w:t>
      </w:r>
      <w:r w:rsidR="00F34590" w:rsidRPr="00116FF3">
        <w:rPr>
          <w:i/>
          <w:iCs/>
          <w:lang w:val="fr-CA"/>
        </w:rPr>
        <w:t>2026–27</w:t>
      </w:r>
      <w:r w:rsidRPr="00116FF3">
        <w:rPr>
          <w:lang w:val="fr-CA"/>
        </w:rPr>
        <w:t>, Canberra.</w:t>
      </w:r>
    </w:p>
    <w:p w14:paraId="36FFD8D0" w14:textId="16752B6F" w:rsidR="00BB5BE7" w:rsidRPr="00116FF3" w:rsidRDefault="00BB5BE7" w:rsidP="009A6245">
      <w:pPr>
        <w:pStyle w:val="Reference"/>
        <w:rPr>
          <w:lang w:val="fr-CA"/>
        </w:rPr>
      </w:pPr>
      <w:r w:rsidRPr="00116FF3">
        <w:rPr>
          <w:lang w:val="fr-CA"/>
        </w:rPr>
        <w:t>——</w:t>
      </w:r>
      <w:r w:rsidR="00517AF2" w:rsidRPr="00116FF3">
        <w:rPr>
          <w:lang w:val="fr-CA"/>
        </w:rPr>
        <w:t> </w:t>
      </w:r>
      <w:r w:rsidRPr="00116FF3">
        <w:rPr>
          <w:lang w:val="fr-CA"/>
        </w:rPr>
        <w:t xml:space="preserve">2026c, </w:t>
      </w:r>
      <w:r w:rsidRPr="00116FF3">
        <w:rPr>
          <w:i/>
          <w:iCs/>
          <w:lang w:val="fr-CA"/>
        </w:rPr>
        <w:t xml:space="preserve">2026 Update: GST Relativities </w:t>
      </w:r>
      <w:r w:rsidR="00F34590" w:rsidRPr="00116FF3">
        <w:rPr>
          <w:i/>
          <w:iCs/>
          <w:lang w:val="fr-CA"/>
        </w:rPr>
        <w:t>2026–27</w:t>
      </w:r>
      <w:r w:rsidRPr="00116FF3">
        <w:rPr>
          <w:i/>
          <w:iCs/>
          <w:lang w:val="fr-CA"/>
        </w:rPr>
        <w:t xml:space="preserve"> - Population</w:t>
      </w:r>
      <w:r w:rsidRPr="00116FF3">
        <w:rPr>
          <w:lang w:val="fr-CA"/>
        </w:rPr>
        <w:t>, Canberra.</w:t>
      </w:r>
    </w:p>
    <w:p w14:paraId="102D84E6" w14:textId="06A5345B" w:rsidR="00BB5BE7" w:rsidRPr="00BB5BE7" w:rsidRDefault="00BB5BE7" w:rsidP="009A6245">
      <w:pPr>
        <w:pStyle w:val="Reference"/>
      </w:pPr>
      <w:r w:rsidRPr="00BB5BE7">
        <w:t>——</w:t>
      </w:r>
      <w:r w:rsidR="00517AF2">
        <w:t> </w:t>
      </w:r>
      <w:r w:rsidRPr="00BB5BE7">
        <w:t xml:space="preserve">2026d, </w:t>
      </w:r>
      <w:r w:rsidR="00F34590">
        <w:rPr>
          <w:i/>
          <w:iCs/>
        </w:rPr>
        <w:t>2026–27</w:t>
      </w:r>
      <w:r w:rsidRPr="00BB5BE7">
        <w:rPr>
          <w:i/>
          <w:iCs/>
        </w:rPr>
        <w:t xml:space="preserve"> GST distribution - media release</w:t>
      </w:r>
      <w:r w:rsidRPr="00BB5BE7">
        <w:t>, https://www.cgc.gov.au/media/media-release-13-march-2026 (accessed 24 June 2026).</w:t>
      </w:r>
    </w:p>
    <w:p w14:paraId="3D501D28" w14:textId="77777777" w:rsidR="00BB5BE7" w:rsidRPr="00BB5BE7" w:rsidRDefault="00BB5BE7" w:rsidP="009A6245">
      <w:pPr>
        <w:pStyle w:val="Reference"/>
      </w:pPr>
      <w:r w:rsidRPr="00BB5BE7">
        <w:t>——</w:t>
      </w:r>
      <w:r w:rsidR="00517AF2">
        <w:t> </w:t>
      </w:r>
      <w:r w:rsidRPr="00BB5BE7">
        <w:t xml:space="preserve">2026e, </w:t>
      </w:r>
      <w:r w:rsidRPr="00BB5BE7">
        <w:rPr>
          <w:i/>
          <w:iCs/>
        </w:rPr>
        <w:t>Forward work program – research update #1</w:t>
      </w:r>
      <w:r w:rsidRPr="00BB5BE7">
        <w:t>, May, Commonwealth Grants Commission.</w:t>
      </w:r>
    </w:p>
    <w:p w14:paraId="457B6AD0" w14:textId="77777777" w:rsidR="00BB5BE7" w:rsidRPr="00BB5BE7" w:rsidRDefault="00BB5BE7" w:rsidP="009A6245">
      <w:pPr>
        <w:pStyle w:val="Reference"/>
      </w:pPr>
      <w:r w:rsidRPr="00BB5BE7">
        <w:t>——</w:t>
      </w:r>
      <w:r w:rsidR="00517AF2">
        <w:t> </w:t>
      </w:r>
      <w:r w:rsidRPr="00BB5BE7">
        <w:t xml:space="preserve">2026f, </w:t>
      </w:r>
      <w:r w:rsidRPr="00BB5BE7">
        <w:rPr>
          <w:i/>
          <w:iCs/>
        </w:rPr>
        <w:t>Glossary</w:t>
      </w:r>
      <w:r w:rsidRPr="00BB5BE7">
        <w:t>, https://www.cgc.gov.au/publications/glossary (accessed 24 April 2026).</w:t>
      </w:r>
    </w:p>
    <w:p w14:paraId="2ABD7AE4" w14:textId="77777777" w:rsidR="00BB5BE7" w:rsidRPr="00BB5BE7" w:rsidRDefault="00BB5BE7" w:rsidP="009A6245">
      <w:pPr>
        <w:pStyle w:val="Reference"/>
      </w:pPr>
      <w:r w:rsidRPr="00BB5BE7">
        <w:t>——</w:t>
      </w:r>
      <w:r w:rsidR="00517AF2">
        <w:t> </w:t>
      </w:r>
      <w:r w:rsidRPr="00BB5BE7">
        <w:t xml:space="preserve">2026g, </w:t>
      </w:r>
      <w:r w:rsidRPr="00BB5BE7">
        <w:rPr>
          <w:i/>
          <w:iCs/>
        </w:rPr>
        <w:t>New issues in the 2026 update</w:t>
      </w:r>
      <w:r w:rsidRPr="00BB5BE7">
        <w:t>, March, Canberra.</w:t>
      </w:r>
    </w:p>
    <w:p w14:paraId="422041B0" w14:textId="77777777" w:rsidR="00BB5BE7" w:rsidRPr="00BB5BE7" w:rsidRDefault="00BB5BE7" w:rsidP="009A6245">
      <w:pPr>
        <w:pStyle w:val="Reference"/>
      </w:pPr>
      <w:r w:rsidRPr="00BB5BE7">
        <w:t>——</w:t>
      </w:r>
      <w:r w:rsidR="00517AF2">
        <w:t> </w:t>
      </w:r>
      <w:r w:rsidRPr="00BB5BE7">
        <w:t xml:space="preserve">2026h, </w:t>
      </w:r>
      <w:r w:rsidRPr="00BB5BE7">
        <w:rPr>
          <w:i/>
          <w:iCs/>
        </w:rPr>
        <w:t>Occasional papers</w:t>
      </w:r>
      <w:r w:rsidRPr="00BB5BE7">
        <w:t>, https://www.cgc.gov.au/publications/occasional-papers (accessed 24 June 2026).</w:t>
      </w:r>
    </w:p>
    <w:p w14:paraId="6A84D400" w14:textId="77777777" w:rsidR="00BB5BE7" w:rsidRPr="00BB5BE7" w:rsidRDefault="00BB5BE7" w:rsidP="009A6245">
      <w:pPr>
        <w:pStyle w:val="Reference"/>
      </w:pPr>
      <w:r w:rsidRPr="00BB5BE7">
        <w:t>——</w:t>
      </w:r>
      <w:r w:rsidR="00517AF2">
        <w:t> </w:t>
      </w:r>
      <w:r w:rsidRPr="00BB5BE7">
        <w:t xml:space="preserve">2026i, </w:t>
      </w:r>
      <w:r w:rsidRPr="00BB5BE7">
        <w:rPr>
          <w:i/>
          <w:iCs/>
        </w:rPr>
        <w:t>Research papers</w:t>
      </w:r>
      <w:r w:rsidRPr="00BB5BE7">
        <w:t>, https://www.cgc.gov.au/publications/research-papers (accessed 24 June 2026).</w:t>
      </w:r>
    </w:p>
    <w:p w14:paraId="04C606C1" w14:textId="77777777" w:rsidR="00BB5BE7" w:rsidRPr="00BB5BE7" w:rsidRDefault="00BB5BE7" w:rsidP="009A6245">
      <w:pPr>
        <w:pStyle w:val="Reference"/>
      </w:pPr>
      <w:r w:rsidRPr="00BB5BE7">
        <w:t>——</w:t>
      </w:r>
      <w:r w:rsidR="00517AF2">
        <w:t> </w:t>
      </w:r>
      <w:r w:rsidRPr="00BB5BE7">
        <w:t xml:space="preserve">2026j, </w:t>
      </w:r>
      <w:r w:rsidRPr="00BB5BE7">
        <w:rPr>
          <w:i/>
          <w:iCs/>
        </w:rPr>
        <w:t>The Adjusted Budget</w:t>
      </w:r>
      <w:r w:rsidRPr="00BB5BE7">
        <w:t>.</w:t>
      </w:r>
    </w:p>
    <w:p w14:paraId="3BFDCC2A" w14:textId="77777777" w:rsidR="00BB5BE7" w:rsidRPr="00BB5BE7" w:rsidRDefault="00BB5BE7" w:rsidP="009A6245">
      <w:pPr>
        <w:pStyle w:val="Reference"/>
      </w:pPr>
      <w:r w:rsidRPr="00BB5BE7">
        <w:t xml:space="preserve">Chalmers, J 2023, </w:t>
      </w:r>
      <w:r w:rsidRPr="00BB5BE7">
        <w:rPr>
          <w:i/>
          <w:iCs/>
        </w:rPr>
        <w:t>Extension of ‘No Worse Off’ deal to help fund essential services</w:t>
      </w:r>
      <w:r w:rsidRPr="00BB5BE7">
        <w:t>, https://ministers.treasury.gov.au/ministers/jim-chalmers-2022/media-releases/extension-no-worse-deal-help-fund-essential-services (accessed 14 May 2026).</w:t>
      </w:r>
    </w:p>
    <w:p w14:paraId="128E4DFD" w14:textId="77777777" w:rsidR="00BB5BE7" w:rsidRPr="00BB5BE7" w:rsidRDefault="00BB5BE7" w:rsidP="009A6245">
      <w:pPr>
        <w:pStyle w:val="Reference"/>
      </w:pPr>
      <w:r w:rsidRPr="00BB5BE7">
        <w:t xml:space="preserve">Commonwealth of Australia 1999, </w:t>
      </w:r>
      <w:r w:rsidRPr="00BB5BE7">
        <w:rPr>
          <w:i/>
          <w:iCs/>
        </w:rPr>
        <w:t>Intergovernmental agreement on the reform of Commonwealth-state financial relations</w:t>
      </w:r>
      <w:r w:rsidRPr="00BB5BE7">
        <w:t>.</w:t>
      </w:r>
    </w:p>
    <w:p w14:paraId="78529782" w14:textId="77777777" w:rsidR="00BB5BE7" w:rsidRPr="00BB5BE7" w:rsidRDefault="00BB5BE7" w:rsidP="009A6245">
      <w:pPr>
        <w:pStyle w:val="Reference"/>
      </w:pPr>
      <w:r w:rsidRPr="00BB5BE7">
        <w:t>——</w:t>
      </w:r>
      <w:r w:rsidR="00517AF2">
        <w:t> </w:t>
      </w:r>
      <w:r w:rsidRPr="00BB5BE7">
        <w:t xml:space="preserve">2012, </w:t>
      </w:r>
      <w:r w:rsidRPr="00BB5BE7">
        <w:rPr>
          <w:i/>
          <w:iCs/>
        </w:rPr>
        <w:t>GST distribution review - final report</w:t>
      </w:r>
      <w:r w:rsidRPr="00BB5BE7">
        <w:t>, October, Canberra.</w:t>
      </w:r>
    </w:p>
    <w:p w14:paraId="138B43B3" w14:textId="77777777" w:rsidR="00BB5BE7" w:rsidRPr="00BB5BE7" w:rsidRDefault="00BB5BE7" w:rsidP="009A6245">
      <w:pPr>
        <w:pStyle w:val="Reference"/>
      </w:pPr>
      <w:r w:rsidRPr="00BB5BE7">
        <w:t>——</w:t>
      </w:r>
      <w:r w:rsidR="00517AF2">
        <w:t> </w:t>
      </w:r>
      <w:r w:rsidRPr="00BB5BE7">
        <w:t xml:space="preserve">2023, </w:t>
      </w:r>
      <w:r w:rsidRPr="00BB5BE7">
        <w:rPr>
          <w:i/>
          <w:iCs/>
        </w:rPr>
        <w:t>Intergenerational report 2023</w:t>
      </w:r>
      <w:r w:rsidRPr="00BB5BE7">
        <w:t>, Canberra.</w:t>
      </w:r>
    </w:p>
    <w:p w14:paraId="60B0EC0A" w14:textId="52A98255" w:rsidR="00BB5BE7" w:rsidRPr="00BB5BE7" w:rsidRDefault="00BB5BE7" w:rsidP="009A6245">
      <w:pPr>
        <w:pStyle w:val="Reference"/>
      </w:pPr>
      <w:r w:rsidRPr="00BB5BE7">
        <w:t>——</w:t>
      </w:r>
      <w:r w:rsidR="00517AF2">
        <w:t> </w:t>
      </w:r>
      <w:r w:rsidRPr="00BB5BE7">
        <w:t xml:space="preserve">2024a, </w:t>
      </w:r>
      <w:r w:rsidRPr="00BB5BE7">
        <w:rPr>
          <w:i/>
          <w:iCs/>
        </w:rPr>
        <w:t xml:space="preserve">Budget </w:t>
      </w:r>
      <w:r w:rsidR="003B5DC0">
        <w:rPr>
          <w:i/>
          <w:iCs/>
        </w:rPr>
        <w:t xml:space="preserve">2024–25 </w:t>
      </w:r>
      <w:r w:rsidR="00E10DB9">
        <w:rPr>
          <w:i/>
          <w:iCs/>
        </w:rPr>
        <w:t>–</w:t>
      </w:r>
      <w:r w:rsidRPr="00BB5BE7">
        <w:rPr>
          <w:i/>
          <w:iCs/>
        </w:rPr>
        <w:t xml:space="preserve"> budget paper no. 3: federal financial relations</w:t>
      </w:r>
      <w:r w:rsidRPr="00BB5BE7">
        <w:t>, Canberra.</w:t>
      </w:r>
    </w:p>
    <w:p w14:paraId="7E5C1671" w14:textId="09798AE1" w:rsidR="00BB5BE7" w:rsidRPr="00BB5BE7" w:rsidRDefault="00BB5BE7" w:rsidP="009A6245">
      <w:pPr>
        <w:pStyle w:val="Reference"/>
      </w:pPr>
      <w:r w:rsidRPr="00BB5BE7">
        <w:t>——</w:t>
      </w:r>
      <w:r w:rsidR="00517AF2">
        <w:t> </w:t>
      </w:r>
      <w:r w:rsidRPr="00BB5BE7">
        <w:t xml:space="preserve">2024b, </w:t>
      </w:r>
      <w:r w:rsidRPr="00BB5BE7">
        <w:rPr>
          <w:i/>
          <w:iCs/>
        </w:rPr>
        <w:t xml:space="preserve">Budget </w:t>
      </w:r>
      <w:r w:rsidR="003B5DC0">
        <w:rPr>
          <w:i/>
          <w:iCs/>
        </w:rPr>
        <w:t xml:space="preserve">2024–25 </w:t>
      </w:r>
      <w:r w:rsidRPr="00BB5BE7">
        <w:rPr>
          <w:i/>
          <w:iCs/>
        </w:rPr>
        <w:t>- easing cost of living pressures</w:t>
      </w:r>
      <w:r w:rsidRPr="00BB5BE7">
        <w:t>, Canberra.</w:t>
      </w:r>
    </w:p>
    <w:p w14:paraId="2DD5F2F3" w14:textId="77777777" w:rsidR="00BB5BE7" w:rsidRPr="00BB5BE7" w:rsidRDefault="00BB5BE7" w:rsidP="009A6245">
      <w:pPr>
        <w:pStyle w:val="Reference"/>
      </w:pPr>
      <w:r w:rsidRPr="00BB5BE7">
        <w:t>——</w:t>
      </w:r>
      <w:r w:rsidR="00517AF2">
        <w:t> </w:t>
      </w:r>
      <w:r w:rsidRPr="00BB5BE7">
        <w:t xml:space="preserve">2024c, </w:t>
      </w:r>
      <w:r w:rsidRPr="00BB5BE7">
        <w:rPr>
          <w:i/>
          <w:iCs/>
        </w:rPr>
        <w:t>Economic Legislation Committee Estimates</w:t>
      </w:r>
      <w:r w:rsidRPr="00BB5BE7">
        <w:t>.</w:t>
      </w:r>
    </w:p>
    <w:p w14:paraId="03D61E89" w14:textId="0780290C" w:rsidR="00BB5BE7" w:rsidRPr="00BB5BE7" w:rsidRDefault="00BB5BE7" w:rsidP="009A6245">
      <w:pPr>
        <w:pStyle w:val="Reference"/>
      </w:pPr>
      <w:r w:rsidRPr="00BB5BE7">
        <w:t>——</w:t>
      </w:r>
      <w:r w:rsidR="00517AF2">
        <w:t> </w:t>
      </w:r>
      <w:r w:rsidRPr="00BB5BE7">
        <w:t xml:space="preserve">2025, </w:t>
      </w:r>
      <w:r w:rsidRPr="00BB5BE7">
        <w:rPr>
          <w:i/>
          <w:iCs/>
        </w:rPr>
        <w:t xml:space="preserve">Budget </w:t>
      </w:r>
      <w:r w:rsidR="003B5DC0">
        <w:rPr>
          <w:i/>
          <w:iCs/>
        </w:rPr>
        <w:t xml:space="preserve">2024–25 </w:t>
      </w:r>
      <w:r w:rsidRPr="00BB5BE7">
        <w:rPr>
          <w:i/>
          <w:iCs/>
        </w:rPr>
        <w:t xml:space="preserve">- final budget outcome </w:t>
      </w:r>
      <w:r w:rsidR="00246A5F">
        <w:rPr>
          <w:i/>
          <w:iCs/>
        </w:rPr>
        <w:t>2024–25</w:t>
      </w:r>
      <w:r w:rsidRPr="00BB5BE7">
        <w:t>, Canberra.</w:t>
      </w:r>
    </w:p>
    <w:p w14:paraId="485E2178" w14:textId="586521DF" w:rsidR="00BB5BE7" w:rsidRPr="00BB5BE7" w:rsidRDefault="00BB5BE7" w:rsidP="009A6245">
      <w:pPr>
        <w:pStyle w:val="Reference"/>
      </w:pPr>
      <w:r w:rsidRPr="00BB5BE7">
        <w:t>——</w:t>
      </w:r>
      <w:r w:rsidR="00517AF2">
        <w:t> </w:t>
      </w:r>
      <w:r w:rsidRPr="00BB5BE7">
        <w:t xml:space="preserve">2026, </w:t>
      </w:r>
      <w:r w:rsidRPr="00BB5BE7">
        <w:rPr>
          <w:i/>
          <w:iCs/>
        </w:rPr>
        <w:t xml:space="preserve">Budget </w:t>
      </w:r>
      <w:r w:rsidR="00F34590">
        <w:rPr>
          <w:i/>
          <w:iCs/>
        </w:rPr>
        <w:t>2026–27</w:t>
      </w:r>
      <w:r w:rsidRPr="00BB5BE7">
        <w:rPr>
          <w:i/>
          <w:iCs/>
        </w:rPr>
        <w:t xml:space="preserve"> - budget paper no. 1: budget strategy and outlook</w:t>
      </w:r>
      <w:r w:rsidRPr="00BB5BE7">
        <w:t>, Canberra.</w:t>
      </w:r>
    </w:p>
    <w:p w14:paraId="5E36DF2B" w14:textId="77777777" w:rsidR="00BB5BE7" w:rsidRPr="00BB5BE7" w:rsidRDefault="00BB5BE7" w:rsidP="009A6245">
      <w:pPr>
        <w:pStyle w:val="Reference"/>
      </w:pPr>
      <w:r w:rsidRPr="00BB5BE7">
        <w:t>——</w:t>
      </w:r>
      <w:r w:rsidR="00517AF2">
        <w:t> </w:t>
      </w:r>
      <w:r w:rsidRPr="00BB5BE7">
        <w:t xml:space="preserve">nd, </w:t>
      </w:r>
      <w:r w:rsidRPr="00BB5BE7">
        <w:rPr>
          <w:i/>
          <w:iCs/>
        </w:rPr>
        <w:t>Council on Federal Financial Relations</w:t>
      </w:r>
      <w:r w:rsidRPr="00BB5BE7">
        <w:t>, https://federalfinancialrelations.gov.au/council-federal-financial-relations (accessed 25 June 2026).</w:t>
      </w:r>
    </w:p>
    <w:p w14:paraId="7A1C6802" w14:textId="77777777" w:rsidR="00BB5BE7" w:rsidRPr="00BB5BE7" w:rsidRDefault="00BB5BE7" w:rsidP="009A6245">
      <w:pPr>
        <w:pStyle w:val="Reference"/>
      </w:pPr>
      <w:r w:rsidRPr="00BB5BE7">
        <w:t xml:space="preserve">Cormann, M 2014, </w:t>
      </w:r>
      <w:r w:rsidRPr="00BB5BE7">
        <w:rPr>
          <w:i/>
          <w:iCs/>
        </w:rPr>
        <w:t>Smaller, more efficient and effective government</w:t>
      </w:r>
      <w:r w:rsidRPr="00BB5BE7">
        <w:t>, Media Release, https://ministers.finance.gov.au/financeminister/media-release/2014/12/15/smaller-more-efficient-and-effective-government (accessed 2 June 2026).</w:t>
      </w:r>
    </w:p>
    <w:p w14:paraId="2ECF0A71" w14:textId="77777777" w:rsidR="00BB5BE7" w:rsidRPr="00BB5BE7" w:rsidRDefault="00BB5BE7" w:rsidP="009A6245">
      <w:pPr>
        <w:pStyle w:val="Reference"/>
      </w:pPr>
      <w:r w:rsidRPr="00BB5BE7">
        <w:t xml:space="preserve">Costello, P 1998, </w:t>
      </w:r>
      <w:r w:rsidRPr="00BB5BE7">
        <w:rPr>
          <w:i/>
          <w:iCs/>
        </w:rPr>
        <w:t>Tax reform: not a new tax, a new tax system</w:t>
      </w:r>
      <w:r w:rsidRPr="00BB5BE7">
        <w:t>.</w:t>
      </w:r>
    </w:p>
    <w:p w14:paraId="57D05250" w14:textId="77777777" w:rsidR="00BB5BE7" w:rsidRPr="00BB5BE7" w:rsidRDefault="00BB5BE7" w:rsidP="009A6245">
      <w:pPr>
        <w:pStyle w:val="Reference"/>
      </w:pPr>
      <w:r w:rsidRPr="00BB5BE7">
        <w:t>——</w:t>
      </w:r>
      <w:r w:rsidR="00517AF2">
        <w:t> </w:t>
      </w:r>
      <w:r w:rsidRPr="00BB5BE7">
        <w:t>2000, ‘Budget speech 2000-01’, https://archive.budget.gov.au/2000-01/speech/speech.pdf (accessed 29 April 2026).</w:t>
      </w:r>
    </w:p>
    <w:p w14:paraId="6DF2A8EB" w14:textId="77777777" w:rsidR="00BB5BE7" w:rsidRPr="00BB5BE7" w:rsidRDefault="00BB5BE7" w:rsidP="009A6245">
      <w:pPr>
        <w:pStyle w:val="Reference"/>
      </w:pPr>
      <w:r w:rsidRPr="00BB5BE7">
        <w:t xml:space="preserve">Crisafulli, D, Janteski, D and Bates, R 2027, </w:t>
      </w:r>
      <w:r w:rsidRPr="00BB5BE7">
        <w:rPr>
          <w:i/>
          <w:iCs/>
        </w:rPr>
        <w:t>Lower debt, no new or increased taxes, and relief you can rely on</w:t>
      </w:r>
      <w:r w:rsidRPr="00BB5BE7">
        <w:t>, Ministerial media statements, https://statements.qld.gov.au/statements/105359 (accessed 24 June 2026).</w:t>
      </w:r>
    </w:p>
    <w:p w14:paraId="114721C1" w14:textId="77777777" w:rsidR="00BB5BE7" w:rsidRPr="00BB5BE7" w:rsidRDefault="00BB5BE7" w:rsidP="009A6245">
      <w:pPr>
        <w:pStyle w:val="Reference"/>
      </w:pPr>
      <w:r w:rsidRPr="00BB5BE7">
        <w:t xml:space="preserve">DISR (Department of Industry, Science and Resources) 2025, </w:t>
      </w:r>
      <w:r w:rsidRPr="00BB5BE7">
        <w:rPr>
          <w:i/>
          <w:iCs/>
        </w:rPr>
        <w:t>Resource and energy outlook, December 2025</w:t>
      </w:r>
      <w:r w:rsidRPr="00BB5BE7">
        <w:t>, December.</w:t>
      </w:r>
    </w:p>
    <w:p w14:paraId="70E6AF9E" w14:textId="77777777" w:rsidR="00BB5BE7" w:rsidRPr="00BB5BE7" w:rsidRDefault="00BB5BE7" w:rsidP="009A6245">
      <w:pPr>
        <w:pStyle w:val="Reference"/>
      </w:pPr>
      <w:r w:rsidRPr="00BB5BE7">
        <w:t xml:space="preserve">Dougherty, S and Forman, K 2021, </w:t>
      </w:r>
      <w:r w:rsidRPr="00BB5BE7">
        <w:rPr>
          <w:i/>
          <w:iCs/>
        </w:rPr>
        <w:t>Evaluating fiscal equalisation: finding the right balance</w:t>
      </w:r>
      <w:r w:rsidRPr="00BB5BE7">
        <w:t>, OECD working papers on fiscal federalism, 36.</w:t>
      </w:r>
    </w:p>
    <w:p w14:paraId="5CEC3DAD" w14:textId="77777777" w:rsidR="00BB5BE7" w:rsidRPr="00BB5BE7" w:rsidRDefault="00BB5BE7" w:rsidP="009A6245">
      <w:pPr>
        <w:pStyle w:val="Reference"/>
      </w:pPr>
      <w:r w:rsidRPr="00BB5BE7">
        <w:t xml:space="preserve">El Serafy, S 1997, ‘Green accounting and economic policy’, </w:t>
      </w:r>
      <w:r w:rsidRPr="00BB5BE7">
        <w:rPr>
          <w:i/>
          <w:iCs/>
        </w:rPr>
        <w:t>Ecological Economics</w:t>
      </w:r>
      <w:r w:rsidRPr="00BB5BE7">
        <w:t>, vol. 21, no. 3, pp. 217–229.</w:t>
      </w:r>
    </w:p>
    <w:p w14:paraId="6E070AA9" w14:textId="77777777" w:rsidR="00BB5BE7" w:rsidRPr="00BB5BE7" w:rsidRDefault="00BB5BE7" w:rsidP="009A6245">
      <w:pPr>
        <w:pStyle w:val="Reference"/>
      </w:pPr>
      <w:r w:rsidRPr="00BB5BE7">
        <w:t xml:space="preserve">Elton-Pym, J 2018, </w:t>
      </w:r>
      <w:r w:rsidRPr="00BB5BE7">
        <w:rPr>
          <w:i/>
          <w:iCs/>
        </w:rPr>
        <w:t>What the GST reforms mean for your state</w:t>
      </w:r>
      <w:r w:rsidRPr="00BB5BE7">
        <w:t>, SBS News, https://www.sbs.com.au/news/article/what-the-gst-reforms-mean-for-your-state/dr4475ekb (accessed 15 July 2026).</w:t>
      </w:r>
    </w:p>
    <w:p w14:paraId="1F30D60E" w14:textId="77777777" w:rsidR="00BB5BE7" w:rsidRPr="00BB5BE7" w:rsidRDefault="00BB5BE7" w:rsidP="009A6245">
      <w:pPr>
        <w:pStyle w:val="Reference"/>
      </w:pPr>
      <w:r w:rsidRPr="00BB5BE7">
        <w:t xml:space="preserve">Eslake, S 2026, </w:t>
      </w:r>
      <w:r w:rsidRPr="00BB5BE7">
        <w:rPr>
          <w:i/>
          <w:iCs/>
        </w:rPr>
        <w:t>The fiscal sustainability of the ACT: final report to the ACT Legislative Assembly Select Committee on the Fiscal Sustainability of the ACT</w:t>
      </w:r>
      <w:r w:rsidRPr="00BB5BE7">
        <w:t>, 4 May, https://www.parliament.act.gov.au/__data/assets/pdf_file/0010/3068515/824c6bd9606c9e3ca7d692f1b8ae6018309986f3.pdf (accessed 20 July 2026).</w:t>
      </w:r>
    </w:p>
    <w:p w14:paraId="2F9096DA" w14:textId="77777777" w:rsidR="00BB5BE7" w:rsidRPr="00BB5BE7" w:rsidRDefault="00BB5BE7" w:rsidP="009A6245">
      <w:pPr>
        <w:pStyle w:val="Reference"/>
      </w:pPr>
      <w:r w:rsidRPr="00BB5BE7">
        <w:t xml:space="preserve">European Commission 2017, </w:t>
      </w:r>
      <w:r w:rsidRPr="00BB5BE7">
        <w:rPr>
          <w:i/>
          <w:iCs/>
        </w:rPr>
        <w:t>European semester thematic factsheet: Sustainability of public finances</w:t>
      </w:r>
      <w:r w:rsidRPr="00BB5BE7">
        <w:t>, 22 November.</w:t>
      </w:r>
    </w:p>
    <w:p w14:paraId="58F7F2C6" w14:textId="77777777" w:rsidR="00BB5BE7" w:rsidRPr="00BB5BE7" w:rsidRDefault="00BB5BE7" w:rsidP="009A6245">
      <w:pPr>
        <w:pStyle w:val="Reference"/>
      </w:pPr>
      <w:r w:rsidRPr="00BB5BE7">
        <w:t xml:space="preserve">Fenwick, TB and Silva, TN 2026, ‘Income, place and perceptions of fiscal fairness: evidence from Australian federalism’, </w:t>
      </w:r>
      <w:r w:rsidRPr="00BB5BE7">
        <w:rPr>
          <w:i/>
          <w:iCs/>
        </w:rPr>
        <w:t>Territory, Politics, Governance</w:t>
      </w:r>
      <w:r w:rsidRPr="00BB5BE7">
        <w:t>.</w:t>
      </w:r>
    </w:p>
    <w:p w14:paraId="3B297E01" w14:textId="77777777" w:rsidR="00BB5BE7" w:rsidRPr="00E10DB9" w:rsidRDefault="00BB5BE7" w:rsidP="009A6245">
      <w:pPr>
        <w:pStyle w:val="Reference"/>
        <w:rPr>
          <w:spacing w:val="-4"/>
        </w:rPr>
      </w:pPr>
      <w:r w:rsidRPr="00E10DB9">
        <w:rPr>
          <w:spacing w:val="-4"/>
        </w:rPr>
        <w:t xml:space="preserve">—— and Stewart, M 2025, ‘From full to partial equalisation: the case of horizontal fiscal equalisation in Australia’, in Erkoreka, M (ed), </w:t>
      </w:r>
      <w:r w:rsidRPr="00E10DB9">
        <w:rPr>
          <w:i/>
          <w:iCs/>
          <w:spacing w:val="-4"/>
        </w:rPr>
        <w:t>Fiscal federalism and equalisation transfers: Balancing regional autonomy and solidarity</w:t>
      </w:r>
      <w:r w:rsidRPr="00E10DB9">
        <w:rPr>
          <w:spacing w:val="-4"/>
        </w:rPr>
        <w:t>, Leiden, pp. 89–109.</w:t>
      </w:r>
    </w:p>
    <w:p w14:paraId="41D3D1AB" w14:textId="77777777" w:rsidR="00BB5BE7" w:rsidRPr="00BB5BE7" w:rsidRDefault="00BB5BE7" w:rsidP="009A6245">
      <w:pPr>
        <w:pStyle w:val="Reference"/>
      </w:pPr>
      <w:r w:rsidRPr="00BB5BE7">
        <w:t xml:space="preserve">Garnaut, R and Fitzgerald, V 2002, </w:t>
      </w:r>
      <w:r w:rsidRPr="00BB5BE7">
        <w:rPr>
          <w:i/>
          <w:iCs/>
        </w:rPr>
        <w:t>Review of Commonwealth-State funding: final report</w:t>
      </w:r>
      <w:r w:rsidRPr="00BB5BE7">
        <w:t>, August.</w:t>
      </w:r>
    </w:p>
    <w:p w14:paraId="761F56C6" w14:textId="77777777" w:rsidR="00BB5BE7" w:rsidRPr="00BB5BE7" w:rsidRDefault="00BB5BE7" w:rsidP="009A6245">
      <w:pPr>
        <w:pStyle w:val="Reference"/>
      </w:pPr>
      <w:r w:rsidRPr="00BB5BE7">
        <w:t xml:space="preserve">Geoscience Australia 2026, </w:t>
      </w:r>
      <w:r w:rsidRPr="00BB5BE7">
        <w:rPr>
          <w:i/>
          <w:iCs/>
        </w:rPr>
        <w:t>Australia’s identified mineral resources 2025</w:t>
      </w:r>
      <w:r w:rsidRPr="00BB5BE7">
        <w:t>.</w:t>
      </w:r>
    </w:p>
    <w:p w14:paraId="2B50D8FA" w14:textId="77777777" w:rsidR="00BB5BE7" w:rsidRPr="00BB5BE7" w:rsidRDefault="00BB5BE7" w:rsidP="009A6245">
      <w:pPr>
        <w:pStyle w:val="Reference"/>
      </w:pPr>
      <w:r w:rsidRPr="00BB5BE7">
        <w:t xml:space="preserve">Gillard, J 2011, </w:t>
      </w:r>
      <w:r w:rsidRPr="00BB5BE7">
        <w:rPr>
          <w:i/>
          <w:iCs/>
        </w:rPr>
        <w:t>Transcript of joint doorstop interview, Adelaide</w:t>
      </w:r>
      <w:r w:rsidRPr="00BB5BE7">
        <w:t>, https://pmtranscripts.pmc.gov.au/release/transcript-17876 (accessed 13 July 2026).</w:t>
      </w:r>
    </w:p>
    <w:p w14:paraId="57A0A9CA" w14:textId="77777777" w:rsidR="00BB5BE7" w:rsidRPr="00BB5BE7" w:rsidRDefault="00BB5BE7" w:rsidP="009A6245">
      <w:pPr>
        <w:pStyle w:val="Reference"/>
      </w:pPr>
      <w:r w:rsidRPr="00BB5BE7">
        <w:lastRenderedPageBreak/>
        <w:t xml:space="preserve">Government of South Australia 2026, </w:t>
      </w:r>
      <w:r w:rsidRPr="00BB5BE7">
        <w:rPr>
          <w:i/>
          <w:iCs/>
        </w:rPr>
        <w:t>Board of Treasurers</w:t>
      </w:r>
      <w:r w:rsidRPr="00BB5BE7">
        <w:t>, https://www.treasury.sa.gov.au/board-of-treasurers (accessed 25 June 2026).</w:t>
      </w:r>
    </w:p>
    <w:p w14:paraId="499E8259" w14:textId="77777777" w:rsidR="00BB5BE7" w:rsidRPr="00BB5BE7" w:rsidRDefault="00BB5BE7" w:rsidP="009A6245">
      <w:pPr>
        <w:pStyle w:val="Reference"/>
      </w:pPr>
      <w:r w:rsidRPr="00BB5BE7">
        <w:t xml:space="preserve">Government of Tasmania 2021, </w:t>
      </w:r>
      <w:r w:rsidRPr="00BB5BE7">
        <w:rPr>
          <w:i/>
          <w:iCs/>
        </w:rPr>
        <w:t>Tasmanian Government fiscal sustainability report 2021</w:t>
      </w:r>
      <w:r w:rsidRPr="00BB5BE7">
        <w:t>, June, Hobart.</w:t>
      </w:r>
    </w:p>
    <w:p w14:paraId="60FB739C" w14:textId="77777777" w:rsidR="00BB5BE7" w:rsidRPr="00BB5BE7" w:rsidRDefault="00BB5BE7" w:rsidP="009A6245">
      <w:pPr>
        <w:pStyle w:val="Reference"/>
      </w:pPr>
      <w:r w:rsidRPr="00BB5BE7">
        <w:t>——</w:t>
      </w:r>
      <w:r w:rsidR="00517AF2">
        <w:t> </w:t>
      </w:r>
      <w:r w:rsidRPr="00BB5BE7">
        <w:t xml:space="preserve">2026, </w:t>
      </w:r>
      <w:r w:rsidRPr="00BB5BE7">
        <w:rPr>
          <w:i/>
          <w:iCs/>
        </w:rPr>
        <w:t>Tasmanian fiscal sustainability report 2026</w:t>
      </w:r>
      <w:r w:rsidRPr="00BB5BE7">
        <w:t>, February.</w:t>
      </w:r>
    </w:p>
    <w:p w14:paraId="298F1B5D" w14:textId="77777777" w:rsidR="00BB5BE7" w:rsidRPr="00BB5BE7" w:rsidRDefault="00BB5BE7" w:rsidP="009A6245">
      <w:pPr>
        <w:pStyle w:val="Reference"/>
      </w:pPr>
      <w:r w:rsidRPr="00BB5BE7">
        <w:t xml:space="preserve">Government of Victoria 2026, </w:t>
      </w:r>
      <w:r w:rsidRPr="00BB5BE7">
        <w:rPr>
          <w:i/>
          <w:iCs/>
        </w:rPr>
        <w:t>Government infrastructure investment</w:t>
      </w:r>
      <w:r w:rsidRPr="00BB5BE7">
        <w:t>, https://www.budget.vic.gov.au/government-infrastructure-investment (accessed 24 June 2026).</w:t>
      </w:r>
    </w:p>
    <w:p w14:paraId="721983A4" w14:textId="77777777" w:rsidR="00BB5BE7" w:rsidRPr="00BB5BE7" w:rsidRDefault="00BB5BE7" w:rsidP="009A6245">
      <w:pPr>
        <w:pStyle w:val="Reference"/>
      </w:pPr>
      <w:r w:rsidRPr="00BB5BE7">
        <w:t xml:space="preserve">Government of Western Australia 2003, </w:t>
      </w:r>
      <w:r w:rsidRPr="00BB5BE7">
        <w:rPr>
          <w:i/>
          <w:iCs/>
        </w:rPr>
        <w:t>2003-04 Budget paper no. 3: economic and fiscal outlook</w:t>
      </w:r>
      <w:r w:rsidRPr="00BB5BE7">
        <w:t>.</w:t>
      </w:r>
    </w:p>
    <w:p w14:paraId="57DC2802" w14:textId="77777777" w:rsidR="00BB5BE7" w:rsidRPr="00BB5BE7" w:rsidRDefault="00BB5BE7" w:rsidP="009A6245">
      <w:pPr>
        <w:pStyle w:val="Reference"/>
      </w:pPr>
      <w:r w:rsidRPr="00BB5BE7">
        <w:t>——</w:t>
      </w:r>
      <w:r w:rsidR="00517AF2">
        <w:t> </w:t>
      </w:r>
      <w:r w:rsidRPr="00BB5BE7">
        <w:t xml:space="preserve">2015, </w:t>
      </w:r>
      <w:r w:rsidRPr="00BB5BE7">
        <w:rPr>
          <w:i/>
          <w:iCs/>
        </w:rPr>
        <w:t>2015-16 Budget paper no. 3: economic and fiscal outlook</w:t>
      </w:r>
      <w:r w:rsidRPr="00BB5BE7">
        <w:t>.</w:t>
      </w:r>
    </w:p>
    <w:p w14:paraId="33F7B144" w14:textId="0CE1C5CC" w:rsidR="00BB5BE7" w:rsidRPr="00BB5BE7" w:rsidRDefault="00BB5BE7" w:rsidP="009A6245">
      <w:pPr>
        <w:pStyle w:val="Reference"/>
      </w:pPr>
      <w:r w:rsidRPr="00BB5BE7">
        <w:t>——</w:t>
      </w:r>
      <w:r w:rsidR="00517AF2">
        <w:t> </w:t>
      </w:r>
      <w:r w:rsidRPr="00BB5BE7">
        <w:t xml:space="preserve">2022, </w:t>
      </w:r>
      <w:r w:rsidRPr="00BB5BE7">
        <w:rPr>
          <w:i/>
          <w:iCs/>
        </w:rPr>
        <w:t xml:space="preserve">Western Australia State Budget </w:t>
      </w:r>
      <w:r w:rsidR="00932B6F">
        <w:rPr>
          <w:i/>
          <w:iCs/>
        </w:rPr>
        <w:t>2022–23</w:t>
      </w:r>
      <w:r w:rsidRPr="00BB5BE7">
        <w:rPr>
          <w:i/>
          <w:iCs/>
        </w:rPr>
        <w:t xml:space="preserve"> - budget paper no.3: economic and fiscal outlook</w:t>
      </w:r>
      <w:r w:rsidRPr="00BB5BE7">
        <w:t>, May, Perth.</w:t>
      </w:r>
    </w:p>
    <w:p w14:paraId="40583DB1" w14:textId="266A709D" w:rsidR="00BB5BE7" w:rsidRPr="00BB5BE7" w:rsidRDefault="00BB5BE7" w:rsidP="009A6245">
      <w:pPr>
        <w:pStyle w:val="Reference"/>
      </w:pPr>
      <w:r w:rsidRPr="00BB5BE7">
        <w:t>——</w:t>
      </w:r>
      <w:r w:rsidR="00517AF2">
        <w:t> </w:t>
      </w:r>
      <w:r w:rsidRPr="00BB5BE7">
        <w:t xml:space="preserve">2025, </w:t>
      </w:r>
      <w:r w:rsidRPr="00BB5BE7">
        <w:rPr>
          <w:i/>
          <w:iCs/>
        </w:rPr>
        <w:t>Overview of State Taxes and Royalties 2025–26</w:t>
      </w:r>
      <w:r w:rsidRPr="00BB5BE7">
        <w:t>, November, https://www.wa.gov.au/system/files/2025-11/ostr-</w:t>
      </w:r>
      <w:r w:rsidR="003B5DC0">
        <w:t>2025–26</w:t>
      </w:r>
      <w:r w:rsidRPr="00BB5BE7">
        <w:t>.pdf (accessed 13 July 2026).</w:t>
      </w:r>
    </w:p>
    <w:p w14:paraId="14438DCA" w14:textId="048FFE47" w:rsidR="00BB5BE7" w:rsidRPr="00BB5BE7" w:rsidRDefault="00BB5BE7" w:rsidP="009A6245">
      <w:pPr>
        <w:pStyle w:val="Reference"/>
      </w:pPr>
      <w:r w:rsidRPr="00BB5BE7">
        <w:t xml:space="preserve">House of Representatives 2018, </w:t>
      </w:r>
      <w:r w:rsidRPr="00BB5BE7">
        <w:rPr>
          <w:i/>
          <w:iCs/>
        </w:rPr>
        <w:t>Official Hansard – 23</w:t>
      </w:r>
      <w:r w:rsidR="00E22B52">
        <w:rPr>
          <w:i/>
          <w:iCs/>
        </w:rPr>
        <w:t> </w:t>
      </w:r>
      <w:r w:rsidRPr="00BB5BE7">
        <w:rPr>
          <w:i/>
          <w:iCs/>
        </w:rPr>
        <w:t>October 2018</w:t>
      </w:r>
      <w:r w:rsidRPr="00BB5BE7">
        <w:t>, 15.</w:t>
      </w:r>
    </w:p>
    <w:p w14:paraId="7EA333BA" w14:textId="5433705C" w:rsidR="00BB5BE7" w:rsidRPr="00BB5BE7" w:rsidRDefault="00BB5BE7" w:rsidP="009A6245">
      <w:pPr>
        <w:pStyle w:val="Reference"/>
      </w:pPr>
      <w:r w:rsidRPr="00BB5BE7">
        <w:t xml:space="preserve">Infrastructure Partnerships Australia 2025, </w:t>
      </w:r>
      <w:r w:rsidRPr="00BB5BE7">
        <w:rPr>
          <w:i/>
          <w:iCs/>
        </w:rPr>
        <w:t xml:space="preserve">Australian infrastructure budget monitor </w:t>
      </w:r>
      <w:r w:rsidR="003B5DC0">
        <w:rPr>
          <w:i/>
          <w:iCs/>
        </w:rPr>
        <w:t>2025–26</w:t>
      </w:r>
      <w:r w:rsidRPr="00BB5BE7">
        <w:t>, https://infrastructure.org.au/policy-research/major-reports/australian-infrastructure-budget-monitor-</w:t>
      </w:r>
      <w:r w:rsidR="003B5DC0">
        <w:t>2025–26</w:t>
      </w:r>
      <w:r w:rsidRPr="00BB5BE7">
        <w:t>/ (accessed 24 June 2026).</w:t>
      </w:r>
    </w:p>
    <w:p w14:paraId="5604735C" w14:textId="77777777" w:rsidR="00BB5BE7" w:rsidRPr="00BB5BE7" w:rsidRDefault="00BB5BE7" w:rsidP="009A6245">
      <w:pPr>
        <w:pStyle w:val="Reference"/>
      </w:pPr>
      <w:r w:rsidRPr="00BB5BE7">
        <w:t xml:space="preserve">King, C and Abetz, E 2026, </w:t>
      </w:r>
      <w:r w:rsidRPr="00BB5BE7">
        <w:rPr>
          <w:i/>
          <w:iCs/>
        </w:rPr>
        <w:t>Macquarie Point Urban Redevelopment</w:t>
      </w:r>
      <w:r w:rsidRPr="00BB5BE7">
        <w:t>, Federation Funding Agreement - Infrastructure.</w:t>
      </w:r>
    </w:p>
    <w:p w14:paraId="03CA75F4" w14:textId="77777777" w:rsidR="00BB5BE7" w:rsidRPr="00BB5BE7" w:rsidRDefault="00BB5BE7" w:rsidP="009A6245">
      <w:pPr>
        <w:pStyle w:val="Reference"/>
      </w:pPr>
      <w:r w:rsidRPr="00BB5BE7">
        <w:t xml:space="preserve">—— and Shing, H 2025, </w:t>
      </w:r>
      <w:r w:rsidRPr="00BB5BE7">
        <w:rPr>
          <w:i/>
          <w:iCs/>
        </w:rPr>
        <w:t>Warburton Mountain Bike Destination</w:t>
      </w:r>
      <w:r w:rsidRPr="00BB5BE7">
        <w:t>, Federation Funding Agreement - Infrastructure.</w:t>
      </w:r>
    </w:p>
    <w:p w14:paraId="091BC9D7" w14:textId="77777777" w:rsidR="00BB5BE7" w:rsidRPr="00BB5BE7" w:rsidRDefault="00BB5BE7" w:rsidP="009A6245">
      <w:pPr>
        <w:pStyle w:val="Reference"/>
      </w:pPr>
      <w:r w:rsidRPr="00BB5BE7">
        <w:t xml:space="preserve">Leigh, A 2025, ‘Returns to education in Australia 2001-2022’, </w:t>
      </w:r>
      <w:r w:rsidRPr="00BB5BE7">
        <w:rPr>
          <w:i/>
          <w:iCs/>
        </w:rPr>
        <w:t>Economic Papers</w:t>
      </w:r>
      <w:r w:rsidRPr="00BB5BE7">
        <w:t>, vol. 44, no. 1, pp. 62–76.</w:t>
      </w:r>
    </w:p>
    <w:p w14:paraId="0A1AF96D" w14:textId="77777777" w:rsidR="00BB5BE7" w:rsidRPr="00BB5BE7" w:rsidRDefault="00BB5BE7" w:rsidP="009A6245">
      <w:pPr>
        <w:pStyle w:val="Reference"/>
      </w:pPr>
      <w:r w:rsidRPr="00BB5BE7">
        <w:t xml:space="preserve">Moody’s Ratings 2026, </w:t>
      </w:r>
      <w:r w:rsidRPr="00BB5BE7">
        <w:rPr>
          <w:i/>
          <w:iCs/>
        </w:rPr>
        <w:t>Rating methodology: regional and local governments</w:t>
      </w:r>
      <w:r w:rsidRPr="00BB5BE7">
        <w:t>, https://www.moodys.com/research/Rating-Methodology-Regional-and-Local-Governments-Rating-Methodology--PBC_1471270#5d113f2038d289f391614c39043629e8 (accessed 23 June 2026).</w:t>
      </w:r>
    </w:p>
    <w:p w14:paraId="47DF868A" w14:textId="77777777" w:rsidR="00BB5BE7" w:rsidRPr="00BB5BE7" w:rsidRDefault="00BB5BE7" w:rsidP="009A6245">
      <w:pPr>
        <w:pStyle w:val="Reference"/>
      </w:pPr>
      <w:r w:rsidRPr="00BB5BE7">
        <w:t xml:space="preserve">Murphy, C 2018, </w:t>
      </w:r>
      <w:r w:rsidRPr="00BB5BE7">
        <w:rPr>
          <w:i/>
          <w:iCs/>
        </w:rPr>
        <w:t>Optimal fiscal equalisation and its application to Australia: updated</w:t>
      </w:r>
      <w:r w:rsidRPr="00BB5BE7">
        <w:t>, Working paper, Tax and Transfer Policy Institute.</w:t>
      </w:r>
    </w:p>
    <w:p w14:paraId="653941F5" w14:textId="77777777" w:rsidR="00BB5BE7" w:rsidRPr="00BB5BE7" w:rsidRDefault="00BB5BE7" w:rsidP="009A6245">
      <w:pPr>
        <w:pStyle w:val="Reference"/>
      </w:pPr>
      <w:r w:rsidRPr="00BB5BE7">
        <w:t xml:space="preserve">NSW Department of Premier and Cabinet 2023, </w:t>
      </w:r>
      <w:r w:rsidRPr="00BB5BE7">
        <w:rPr>
          <w:i/>
          <w:iCs/>
        </w:rPr>
        <w:t>Stamp duty axed for thousands of first home buyers from 1 July</w:t>
      </w:r>
      <w:r w:rsidRPr="00BB5BE7">
        <w:t>, https://www.nsw.gov.au/media-releases/stamp-duty-exemptions-increase (accessed 10 April 2026).</w:t>
      </w:r>
    </w:p>
    <w:p w14:paraId="60A44E6F" w14:textId="6E95F472" w:rsidR="00BB5BE7" w:rsidRPr="00BB5BE7" w:rsidRDefault="00BB5BE7" w:rsidP="009A6245">
      <w:pPr>
        <w:pStyle w:val="Reference"/>
      </w:pPr>
      <w:r w:rsidRPr="00BB5BE7">
        <w:t xml:space="preserve">NSW Government 2021a, </w:t>
      </w:r>
      <w:r w:rsidR="00F065AC">
        <w:rPr>
          <w:i/>
          <w:iCs/>
        </w:rPr>
        <w:t>2021–22</w:t>
      </w:r>
      <w:r w:rsidRPr="00BB5BE7">
        <w:rPr>
          <w:i/>
          <w:iCs/>
        </w:rPr>
        <w:t xml:space="preserve"> NSW Intergenerational Report</w:t>
      </w:r>
      <w:r w:rsidRPr="00BB5BE7">
        <w:t>, 7 June.</w:t>
      </w:r>
    </w:p>
    <w:p w14:paraId="1A61F0E3" w14:textId="011953D6" w:rsidR="00BB5BE7" w:rsidRPr="00BB5BE7" w:rsidRDefault="00BB5BE7" w:rsidP="009A6245">
      <w:pPr>
        <w:pStyle w:val="Reference"/>
      </w:pPr>
      <w:r w:rsidRPr="00BB5BE7">
        <w:t>——</w:t>
      </w:r>
      <w:r w:rsidR="00517AF2">
        <w:t> </w:t>
      </w:r>
      <w:r w:rsidRPr="00BB5BE7">
        <w:t xml:space="preserve">2021b, </w:t>
      </w:r>
      <w:r w:rsidR="00F065AC">
        <w:rPr>
          <w:i/>
          <w:iCs/>
        </w:rPr>
        <w:t>2021–22</w:t>
      </w:r>
      <w:r w:rsidRPr="00BB5BE7">
        <w:rPr>
          <w:i/>
          <w:iCs/>
        </w:rPr>
        <w:t xml:space="preserve"> NSW intergenerational report</w:t>
      </w:r>
      <w:r w:rsidRPr="00BB5BE7">
        <w:t>, June, Sydney.</w:t>
      </w:r>
    </w:p>
    <w:p w14:paraId="3A62F1E8" w14:textId="3D93ACF7" w:rsidR="00BB5BE7" w:rsidRPr="00BB5BE7" w:rsidRDefault="00BB5BE7" w:rsidP="009A6245">
      <w:pPr>
        <w:pStyle w:val="Reference"/>
      </w:pPr>
      <w:r w:rsidRPr="00BB5BE7">
        <w:t>——</w:t>
      </w:r>
      <w:r w:rsidR="00517AF2">
        <w:t> </w:t>
      </w:r>
      <w:r w:rsidRPr="00BB5BE7">
        <w:t xml:space="preserve">2026a, </w:t>
      </w:r>
      <w:r w:rsidRPr="00BB5BE7">
        <w:rPr>
          <w:i/>
          <w:iCs/>
        </w:rPr>
        <w:t xml:space="preserve">NSW Budget </w:t>
      </w:r>
      <w:r w:rsidR="00F34590">
        <w:rPr>
          <w:i/>
          <w:iCs/>
        </w:rPr>
        <w:t>2026–27</w:t>
      </w:r>
      <w:r w:rsidRPr="00BB5BE7">
        <w:rPr>
          <w:i/>
          <w:iCs/>
        </w:rPr>
        <w:t xml:space="preserve"> </w:t>
      </w:r>
      <w:r w:rsidR="00E10DB9">
        <w:rPr>
          <w:i/>
          <w:iCs/>
        </w:rPr>
        <w:t>–</w:t>
      </w:r>
      <w:r w:rsidRPr="00BB5BE7">
        <w:rPr>
          <w:i/>
          <w:iCs/>
        </w:rPr>
        <w:t xml:space="preserve"> budget paper no. 3 -</w:t>
      </w:r>
      <w:r w:rsidR="00E10DB9">
        <w:rPr>
          <w:i/>
          <w:iCs/>
        </w:rPr>
        <w:t>i</w:t>
      </w:r>
      <w:r w:rsidRPr="00BB5BE7">
        <w:rPr>
          <w:i/>
          <w:iCs/>
        </w:rPr>
        <w:t>nfrastructure statement</w:t>
      </w:r>
      <w:r w:rsidRPr="00BB5BE7">
        <w:t>, 23 June.</w:t>
      </w:r>
    </w:p>
    <w:p w14:paraId="00E72907" w14:textId="74D89772" w:rsidR="00BB5BE7" w:rsidRPr="00BB5BE7" w:rsidRDefault="00BB5BE7" w:rsidP="009A6245">
      <w:pPr>
        <w:pStyle w:val="Reference"/>
      </w:pPr>
      <w:r w:rsidRPr="00BB5BE7">
        <w:t>——</w:t>
      </w:r>
      <w:r w:rsidR="00517AF2">
        <w:t> </w:t>
      </w:r>
      <w:r w:rsidRPr="00BB5BE7">
        <w:t xml:space="preserve">2026b, </w:t>
      </w:r>
      <w:r w:rsidR="00F34590">
        <w:rPr>
          <w:i/>
          <w:iCs/>
        </w:rPr>
        <w:t>2026–27</w:t>
      </w:r>
      <w:r w:rsidRPr="00BB5BE7">
        <w:rPr>
          <w:i/>
          <w:iCs/>
        </w:rPr>
        <w:t xml:space="preserve"> Budget Paper No. 1 </w:t>
      </w:r>
      <w:r w:rsidR="00E10DB9">
        <w:rPr>
          <w:i/>
          <w:iCs/>
        </w:rPr>
        <w:t>–</w:t>
      </w:r>
      <w:r w:rsidRPr="00BB5BE7">
        <w:rPr>
          <w:i/>
          <w:iCs/>
        </w:rPr>
        <w:t xml:space="preserve"> Budget Statement</w:t>
      </w:r>
      <w:r w:rsidRPr="00BB5BE7">
        <w:t>, May.</w:t>
      </w:r>
    </w:p>
    <w:p w14:paraId="3F1D998E" w14:textId="77777777" w:rsidR="00BB5BE7" w:rsidRPr="00BB5BE7" w:rsidRDefault="00BB5BE7" w:rsidP="009A6245">
      <w:pPr>
        <w:pStyle w:val="Reference"/>
      </w:pPr>
      <w:r w:rsidRPr="00BB5BE7">
        <w:t xml:space="preserve">NSW Treasury 2021, </w:t>
      </w:r>
      <w:r w:rsidRPr="00BB5BE7">
        <w:rPr>
          <w:i/>
          <w:iCs/>
        </w:rPr>
        <w:t>NSW property tax proposal: progress paper June 2021</w:t>
      </w:r>
      <w:r w:rsidRPr="00BB5BE7">
        <w:t>, Sydney.</w:t>
      </w:r>
    </w:p>
    <w:p w14:paraId="6D98B646" w14:textId="77777777" w:rsidR="00BB5BE7" w:rsidRPr="00BB5BE7" w:rsidRDefault="00BB5BE7" w:rsidP="009A6245">
      <w:pPr>
        <w:pStyle w:val="Reference"/>
      </w:pPr>
      <w:r w:rsidRPr="00BB5BE7">
        <w:t>——</w:t>
      </w:r>
      <w:r w:rsidR="00517AF2">
        <w:t> </w:t>
      </w:r>
      <w:r w:rsidRPr="00BB5BE7">
        <w:t xml:space="preserve">2026, </w:t>
      </w:r>
      <w:r w:rsidRPr="00BB5BE7">
        <w:rPr>
          <w:i/>
          <w:iCs/>
        </w:rPr>
        <w:t>Interstate comparison of taxes</w:t>
      </w:r>
      <w:r w:rsidRPr="00BB5BE7">
        <w:t>, NSW Government, https://www.nsw.gov.au/departments-and-agencies/nsw-treasury/documents-library/interstate-comparison-of-taxes (accessed 13 July 2026).</w:t>
      </w:r>
    </w:p>
    <w:p w14:paraId="169590FF" w14:textId="7AE66A9A" w:rsidR="00BB5BE7" w:rsidRPr="00BB5BE7" w:rsidRDefault="00BB5BE7" w:rsidP="009A6245">
      <w:pPr>
        <w:pStyle w:val="Reference"/>
      </w:pPr>
      <w:r w:rsidRPr="00BB5BE7">
        <w:t xml:space="preserve">NT Government 2026a, </w:t>
      </w:r>
      <w:r w:rsidR="00F34590">
        <w:rPr>
          <w:i/>
          <w:iCs/>
        </w:rPr>
        <w:t>2026–27</w:t>
      </w:r>
      <w:r w:rsidRPr="00BB5BE7">
        <w:rPr>
          <w:i/>
          <w:iCs/>
        </w:rPr>
        <w:t xml:space="preserve"> Budget. Budget Paper No. 2 Budget Strategy and Outlook.</w:t>
      </w:r>
      <w:r w:rsidRPr="00BB5BE7">
        <w:t>, 30 April.</w:t>
      </w:r>
    </w:p>
    <w:p w14:paraId="02E839F7" w14:textId="2896C746" w:rsidR="00BB5BE7" w:rsidRPr="00BB5BE7" w:rsidRDefault="00BB5BE7" w:rsidP="009A6245">
      <w:pPr>
        <w:pStyle w:val="Reference"/>
      </w:pPr>
      <w:r w:rsidRPr="00BB5BE7">
        <w:t>——</w:t>
      </w:r>
      <w:r w:rsidR="00517AF2">
        <w:t> </w:t>
      </w:r>
      <w:r w:rsidRPr="00BB5BE7">
        <w:t xml:space="preserve">2026b, </w:t>
      </w:r>
      <w:r w:rsidRPr="00BB5BE7">
        <w:rPr>
          <w:i/>
          <w:iCs/>
        </w:rPr>
        <w:t>Borrowing and financing strategies</w:t>
      </w:r>
      <w:r w:rsidRPr="00BB5BE7">
        <w:t>, https://treasury.nt.gov.au/dtf/nttc/borrowing-and-financing-strategies (accessed 1 July 2026).</w:t>
      </w:r>
    </w:p>
    <w:p w14:paraId="22047C78" w14:textId="151B0304" w:rsidR="00BB5BE7" w:rsidRPr="00BB5BE7" w:rsidRDefault="00BB5BE7" w:rsidP="009A6245">
      <w:pPr>
        <w:pStyle w:val="Reference"/>
      </w:pPr>
      <w:r w:rsidRPr="00BB5BE7">
        <w:t xml:space="preserve">OECD 2025, </w:t>
      </w:r>
      <w:r w:rsidRPr="00BB5BE7">
        <w:rPr>
          <w:i/>
          <w:iCs/>
        </w:rPr>
        <w:t>Building pathways to opportunity: how to ensure a more level playing field in OECD countries</w:t>
      </w:r>
      <w:r w:rsidRPr="00BB5BE7">
        <w:t>.</w:t>
      </w:r>
    </w:p>
    <w:p w14:paraId="2127C2DE" w14:textId="77777777" w:rsidR="00BB5BE7" w:rsidRPr="00BB5BE7" w:rsidRDefault="00BB5BE7" w:rsidP="009A6245">
      <w:pPr>
        <w:pStyle w:val="Reference"/>
      </w:pPr>
      <w:r w:rsidRPr="00BB5BE7">
        <w:t>——</w:t>
      </w:r>
      <w:r w:rsidR="00517AF2">
        <w:t> </w:t>
      </w:r>
      <w:r w:rsidRPr="00BB5BE7">
        <w:t xml:space="preserve">2013, </w:t>
      </w:r>
      <w:r w:rsidRPr="00BB5BE7">
        <w:rPr>
          <w:i/>
          <w:iCs/>
        </w:rPr>
        <w:t>Fiscal federalism: making decentralisation work</w:t>
      </w:r>
      <w:r w:rsidRPr="00BB5BE7">
        <w:t>.</w:t>
      </w:r>
    </w:p>
    <w:p w14:paraId="0D6B7CC4" w14:textId="77777777" w:rsidR="00BB5BE7" w:rsidRPr="00BB5BE7" w:rsidRDefault="00BB5BE7" w:rsidP="009A6245">
      <w:pPr>
        <w:pStyle w:val="Reference"/>
      </w:pPr>
      <w:r w:rsidRPr="00BB5BE7">
        <w:t>——</w:t>
      </w:r>
      <w:r w:rsidR="00517AF2">
        <w:t> </w:t>
      </w:r>
      <w:r w:rsidRPr="00BB5BE7">
        <w:t xml:space="preserve">2015, </w:t>
      </w:r>
      <w:r w:rsidRPr="00BB5BE7">
        <w:rPr>
          <w:i/>
          <w:iCs/>
        </w:rPr>
        <w:t>In it together: why less inequality benefits all</w:t>
      </w:r>
      <w:r w:rsidRPr="00BB5BE7">
        <w:t>.</w:t>
      </w:r>
    </w:p>
    <w:p w14:paraId="6F9E34EE" w14:textId="77777777" w:rsidR="00BB5BE7" w:rsidRPr="00BB5BE7" w:rsidRDefault="00BB5BE7" w:rsidP="009A6245">
      <w:pPr>
        <w:pStyle w:val="Reference"/>
      </w:pPr>
      <w:r w:rsidRPr="00BB5BE7">
        <w:t>——</w:t>
      </w:r>
      <w:r w:rsidR="00517AF2">
        <w:t> </w:t>
      </w:r>
      <w:r w:rsidRPr="00BB5BE7">
        <w:t xml:space="preserve">2021, </w:t>
      </w:r>
      <w:r w:rsidRPr="00BB5BE7">
        <w:rPr>
          <w:i/>
          <w:iCs/>
        </w:rPr>
        <w:t>Evaluating fiscal equalisation: Finding the right balance</w:t>
      </w:r>
      <w:r w:rsidRPr="00BB5BE7">
        <w:t>, OECD Working Papers on Fiscal Federalism, 6 April, vol 36, 36, OECD Working Papers on Fiscal Federalism, https://www.oecd.org/en/publications/evaluating-fiscal-equalisation_253da2b8-en.html (accessed 22 July 2026).</w:t>
      </w:r>
    </w:p>
    <w:p w14:paraId="2361847A" w14:textId="77777777" w:rsidR="00BB5BE7" w:rsidRPr="00BB5BE7" w:rsidRDefault="00BB5BE7" w:rsidP="009A6245">
      <w:pPr>
        <w:pStyle w:val="Reference"/>
      </w:pPr>
      <w:r w:rsidRPr="00BB5BE7">
        <w:t xml:space="preserve">Parliament of Western Australia 2017, </w:t>
      </w:r>
      <w:r w:rsidRPr="00BB5BE7">
        <w:rPr>
          <w:i/>
          <w:iCs/>
        </w:rPr>
        <w:t>Extract from Hansard: Council, Tuesday, 10 October 2017, p4214b–4225a: Mining Amendment Regulations (No. 2) 2017 — Disallowance</w:t>
      </w:r>
      <w:r w:rsidRPr="00BB5BE7">
        <w:t>.</w:t>
      </w:r>
    </w:p>
    <w:p w14:paraId="6F23F317" w14:textId="77777777" w:rsidR="00BB5BE7" w:rsidRPr="00BB5BE7" w:rsidRDefault="00BB5BE7" w:rsidP="009A6245">
      <w:pPr>
        <w:pStyle w:val="Reference"/>
      </w:pPr>
      <w:r w:rsidRPr="00BB5BE7">
        <w:t xml:space="preserve">PBO (Parliamentary Budget Office) 2020, </w:t>
      </w:r>
      <w:r w:rsidRPr="00BB5BE7">
        <w:rPr>
          <w:i/>
          <w:iCs/>
        </w:rPr>
        <w:t>Structural trends in GST</w:t>
      </w:r>
      <w:r w:rsidRPr="00BB5BE7">
        <w:t>, Canberra.</w:t>
      </w:r>
    </w:p>
    <w:p w14:paraId="5131B117" w14:textId="1210F496" w:rsidR="00BB5BE7" w:rsidRPr="00BB5BE7" w:rsidRDefault="00BB5BE7" w:rsidP="009A6245">
      <w:pPr>
        <w:pStyle w:val="Reference"/>
      </w:pPr>
      <w:r w:rsidRPr="00BB5BE7">
        <w:t>——</w:t>
      </w:r>
      <w:r w:rsidR="00517AF2">
        <w:t> </w:t>
      </w:r>
      <w:r w:rsidRPr="00BB5BE7">
        <w:t xml:space="preserve">2025a, </w:t>
      </w:r>
      <w:r w:rsidR="003B5DC0">
        <w:rPr>
          <w:i/>
          <w:iCs/>
        </w:rPr>
        <w:t>2025–26</w:t>
      </w:r>
      <w:r w:rsidRPr="00BB5BE7">
        <w:rPr>
          <w:i/>
          <w:iCs/>
        </w:rPr>
        <w:t xml:space="preserve"> medium-term budget outlook: beyond the budget</w:t>
      </w:r>
      <w:r w:rsidRPr="00BB5BE7">
        <w:t>, September.</w:t>
      </w:r>
    </w:p>
    <w:p w14:paraId="7A63A362" w14:textId="718AACB3" w:rsidR="00BB5BE7" w:rsidRPr="00BB5BE7" w:rsidRDefault="00BB5BE7" w:rsidP="009A6245">
      <w:pPr>
        <w:pStyle w:val="Reference"/>
      </w:pPr>
      <w:r w:rsidRPr="00BB5BE7">
        <w:t>——</w:t>
      </w:r>
      <w:r w:rsidR="00517AF2">
        <w:t> </w:t>
      </w:r>
      <w:r w:rsidRPr="00BB5BE7">
        <w:t xml:space="preserve">2025b, </w:t>
      </w:r>
      <w:r w:rsidR="003B5DC0">
        <w:rPr>
          <w:i/>
          <w:iCs/>
        </w:rPr>
        <w:t>2025–26</w:t>
      </w:r>
      <w:r w:rsidRPr="00BB5BE7">
        <w:rPr>
          <w:i/>
          <w:iCs/>
        </w:rPr>
        <w:t xml:space="preserve"> National Fiscal Outlook</w:t>
      </w:r>
      <w:r w:rsidRPr="00BB5BE7">
        <w:t>.</w:t>
      </w:r>
    </w:p>
    <w:p w14:paraId="5B7FD33F" w14:textId="77777777" w:rsidR="00BB5BE7" w:rsidRPr="00BB5BE7" w:rsidRDefault="00BB5BE7" w:rsidP="009A6245">
      <w:pPr>
        <w:pStyle w:val="Reference"/>
      </w:pPr>
      <w:r w:rsidRPr="00BB5BE7">
        <w:t xml:space="preserve">PC (Productivity Commission) 2018, </w:t>
      </w:r>
      <w:r w:rsidRPr="00BB5BE7">
        <w:rPr>
          <w:i/>
          <w:iCs/>
        </w:rPr>
        <w:t>Horizontal Fiscal Equalisation</w:t>
      </w:r>
      <w:r w:rsidRPr="00BB5BE7">
        <w:t>, Report no. 88, Canberra.</w:t>
      </w:r>
    </w:p>
    <w:p w14:paraId="51D80069" w14:textId="77777777" w:rsidR="00BB5BE7" w:rsidRPr="00BB5BE7" w:rsidRDefault="00BB5BE7" w:rsidP="009A6245">
      <w:pPr>
        <w:pStyle w:val="Reference"/>
      </w:pPr>
      <w:r w:rsidRPr="00BB5BE7">
        <w:t>——</w:t>
      </w:r>
      <w:r w:rsidR="00517AF2">
        <w:t> </w:t>
      </w:r>
      <w:r w:rsidRPr="00BB5BE7">
        <w:t xml:space="preserve">2025, </w:t>
      </w:r>
      <w:r w:rsidRPr="00BB5BE7">
        <w:rPr>
          <w:i/>
          <w:iCs/>
        </w:rPr>
        <w:t>GST distribution reforms</w:t>
      </w:r>
      <w:r w:rsidRPr="00BB5BE7">
        <w:t>, Issues paper, November.</w:t>
      </w:r>
    </w:p>
    <w:p w14:paraId="6694A4E4" w14:textId="77777777" w:rsidR="00BB5BE7" w:rsidRPr="00BB5BE7" w:rsidRDefault="00BB5BE7" w:rsidP="009A6245">
      <w:pPr>
        <w:pStyle w:val="Reference"/>
      </w:pPr>
      <w:r w:rsidRPr="00BB5BE7">
        <w:t xml:space="preserve">Perpitch, N and Laschon, E 2018, </w:t>
      </w:r>
      <w:r w:rsidRPr="00BB5BE7">
        <w:rPr>
          <w:i/>
          <w:iCs/>
        </w:rPr>
        <w:t>GST changes explained: how WA will benefit from long-wanted tax overhaul</w:t>
      </w:r>
      <w:r w:rsidRPr="00BB5BE7">
        <w:t>, ABC News, https://www.abc.net.au/news/2018-07-05/gst-changes-explained-how-wa-will-benefit/9943784 (accessed 15 July 2026).</w:t>
      </w:r>
    </w:p>
    <w:p w14:paraId="6F86BC7B" w14:textId="77777777" w:rsidR="00BB5BE7" w:rsidRPr="00E22B52" w:rsidRDefault="00BB5BE7" w:rsidP="009A6245">
      <w:pPr>
        <w:pStyle w:val="Reference"/>
        <w:rPr>
          <w:spacing w:val="-4"/>
        </w:rPr>
      </w:pPr>
      <w:r w:rsidRPr="00E22B52">
        <w:rPr>
          <w:spacing w:val="-4"/>
        </w:rPr>
        <w:t xml:space="preserve">Phillips, B 2026, </w:t>
      </w:r>
      <w:r w:rsidRPr="00E22B52">
        <w:rPr>
          <w:i/>
          <w:iCs/>
          <w:spacing w:val="-4"/>
        </w:rPr>
        <w:t>Increasing JobSeeker is long overdue. Here’s how we could do it, without breaking the budget</w:t>
      </w:r>
      <w:r w:rsidRPr="00E22B52">
        <w:rPr>
          <w:spacing w:val="-4"/>
        </w:rPr>
        <w:t>, The Conversation, https://theconversation.com/increasing-jobseeker-is-long-overdue-heres-how-we-could-do-it-without-breaking-the-budget-281341 (accessed 3 June 2026).</w:t>
      </w:r>
    </w:p>
    <w:p w14:paraId="1EF9ABFA" w14:textId="6AAB0CA2" w:rsidR="00BB5BE7" w:rsidRPr="00BB5BE7" w:rsidRDefault="00BB5BE7" w:rsidP="009A6245">
      <w:pPr>
        <w:pStyle w:val="Reference"/>
      </w:pPr>
      <w:r w:rsidRPr="00BB5BE7">
        <w:t xml:space="preserve">Pincus, J 2011, </w:t>
      </w:r>
      <w:r w:rsidRPr="00BB5BE7">
        <w:rPr>
          <w:i/>
          <w:iCs/>
        </w:rPr>
        <w:t>Submission to the GST Distribution Review</w:t>
      </w:r>
      <w:r w:rsidRPr="00BB5BE7">
        <w:t>, 30</w:t>
      </w:r>
      <w:r w:rsidR="00E22B52">
        <w:t> </w:t>
      </w:r>
      <w:r w:rsidRPr="00BB5BE7">
        <w:t>August.</w:t>
      </w:r>
    </w:p>
    <w:p w14:paraId="6B4761DF" w14:textId="77777777" w:rsidR="00BB5BE7" w:rsidRPr="00BB5BE7" w:rsidRDefault="00BB5BE7" w:rsidP="009A6245">
      <w:pPr>
        <w:pStyle w:val="Reference"/>
      </w:pPr>
      <w:r w:rsidRPr="00BB5BE7">
        <w:t xml:space="preserve">PM&amp;C (Department of the Prime Minister and Cabinet) 2023, </w:t>
      </w:r>
      <w:r w:rsidRPr="00BB5BE7">
        <w:rPr>
          <w:i/>
          <w:iCs/>
        </w:rPr>
        <w:t>Guidance for intergovernmental meetings</w:t>
      </w:r>
      <w:r w:rsidRPr="00BB5BE7">
        <w:t>, August, Version 3.0, Canberra.</w:t>
      </w:r>
    </w:p>
    <w:p w14:paraId="2C828FDD" w14:textId="77777777" w:rsidR="00BB5BE7" w:rsidRPr="00BB5BE7" w:rsidRDefault="00BB5BE7" w:rsidP="009A6245">
      <w:pPr>
        <w:pStyle w:val="Reference"/>
      </w:pPr>
      <w:r w:rsidRPr="00BB5BE7">
        <w:t>——</w:t>
      </w:r>
      <w:r w:rsidR="00517AF2">
        <w:t> </w:t>
      </w:r>
      <w:r w:rsidRPr="00BB5BE7">
        <w:t xml:space="preserve">2026, </w:t>
      </w:r>
      <w:r w:rsidRPr="00BB5BE7">
        <w:rPr>
          <w:i/>
          <w:iCs/>
        </w:rPr>
        <w:t>Meeting outcomes</w:t>
      </w:r>
      <w:r w:rsidRPr="00BB5BE7">
        <w:t>, https://federation.gov.au/national-cabinet/meeting-outcomes (accessed 25 June 2026).</w:t>
      </w:r>
    </w:p>
    <w:p w14:paraId="27D5E1D6" w14:textId="77777777" w:rsidR="00BB5BE7" w:rsidRPr="00BB5BE7" w:rsidRDefault="00BB5BE7" w:rsidP="009A6245">
      <w:pPr>
        <w:pStyle w:val="Reference"/>
      </w:pPr>
      <w:r w:rsidRPr="00BB5BE7">
        <w:t xml:space="preserve">Porter, C 2011, </w:t>
      </w:r>
      <w:r w:rsidRPr="00BB5BE7">
        <w:rPr>
          <w:i/>
          <w:iCs/>
        </w:rPr>
        <w:t>2011-12 Budget paper no. 1: Treasurer’s speech</w:t>
      </w:r>
      <w:r w:rsidRPr="00BB5BE7">
        <w:t>.</w:t>
      </w:r>
    </w:p>
    <w:p w14:paraId="53458C55" w14:textId="77777777" w:rsidR="00BB5BE7" w:rsidRPr="00BB5BE7" w:rsidRDefault="00BB5BE7" w:rsidP="009A6245">
      <w:pPr>
        <w:pStyle w:val="Reference"/>
      </w:pPr>
      <w:r w:rsidRPr="00BB5BE7">
        <w:t xml:space="preserve">QTC (Queensland Treasury Corporation) 2026, </w:t>
      </w:r>
      <w:r w:rsidRPr="00BB5BE7">
        <w:rPr>
          <w:i/>
          <w:iCs/>
        </w:rPr>
        <w:t>QTC AUD Bond Outstandings</w:t>
      </w:r>
      <w:r w:rsidRPr="00BB5BE7">
        <w:t>, 30 June.</w:t>
      </w:r>
    </w:p>
    <w:p w14:paraId="2E257E8F" w14:textId="331A390E" w:rsidR="00BB5BE7" w:rsidRPr="00BB5BE7" w:rsidRDefault="00BB5BE7" w:rsidP="009A6245">
      <w:pPr>
        <w:pStyle w:val="Reference"/>
      </w:pPr>
      <w:r w:rsidRPr="00BB5BE7">
        <w:t xml:space="preserve">Queensland Government (Government of Queensland) 2026, </w:t>
      </w:r>
      <w:r w:rsidRPr="00BB5BE7">
        <w:rPr>
          <w:i/>
          <w:iCs/>
        </w:rPr>
        <w:t>Budget Paper 2 - Budget Strategy and Outlook</w:t>
      </w:r>
      <w:r w:rsidRPr="00BB5BE7">
        <w:t>, https://budget.qld.gov.au/files/</w:t>
      </w:r>
      <w:r w:rsidR="00F34590">
        <w:t>2026–27</w:t>
      </w:r>
      <w:r w:rsidRPr="00BB5BE7">
        <w:t>-budget-bp2-budget-strategy-outlook.pdf (accessed 29 July 2026).</w:t>
      </w:r>
    </w:p>
    <w:p w14:paraId="6F74FA14" w14:textId="77777777" w:rsidR="00BB5BE7" w:rsidRPr="00BB5BE7" w:rsidRDefault="00BB5BE7" w:rsidP="009A6245">
      <w:pPr>
        <w:pStyle w:val="Reference"/>
      </w:pPr>
      <w:r w:rsidRPr="00BB5BE7">
        <w:t xml:space="preserve">RBA (Reserve Bank of Australia) 2012, </w:t>
      </w:r>
      <w:r w:rsidRPr="00BB5BE7">
        <w:rPr>
          <w:i/>
          <w:iCs/>
        </w:rPr>
        <w:t>Statement on monetary policy - box b: iron ore pricing</w:t>
      </w:r>
      <w:r w:rsidRPr="00BB5BE7">
        <w:t>.</w:t>
      </w:r>
    </w:p>
    <w:p w14:paraId="75AAD210" w14:textId="2A9D7C1E" w:rsidR="00BB5BE7" w:rsidRPr="00BB5BE7" w:rsidRDefault="00BB5BE7" w:rsidP="009A6245">
      <w:pPr>
        <w:pStyle w:val="Reference"/>
      </w:pPr>
      <w:r w:rsidRPr="00BB5BE7">
        <w:t xml:space="preserve">SA Government 2026, </w:t>
      </w:r>
      <w:r w:rsidRPr="00BB5BE7">
        <w:rPr>
          <w:i/>
          <w:iCs/>
        </w:rPr>
        <w:t xml:space="preserve">State budget </w:t>
      </w:r>
      <w:r w:rsidR="00F34590">
        <w:rPr>
          <w:i/>
          <w:iCs/>
        </w:rPr>
        <w:t>2026–27</w:t>
      </w:r>
      <w:r w:rsidRPr="00BB5BE7">
        <w:rPr>
          <w:i/>
          <w:iCs/>
        </w:rPr>
        <w:t>. Budget Paper 3</w:t>
      </w:r>
      <w:r w:rsidRPr="00BB5BE7">
        <w:t>, 4 June.</w:t>
      </w:r>
    </w:p>
    <w:p w14:paraId="3549B94F" w14:textId="77777777" w:rsidR="00BB5BE7" w:rsidRPr="00BB5BE7" w:rsidRDefault="00BB5BE7" w:rsidP="009A6245">
      <w:pPr>
        <w:pStyle w:val="Reference"/>
      </w:pPr>
      <w:r w:rsidRPr="00BB5BE7">
        <w:t xml:space="preserve">SAFA (South Australian Financing Authority) 2026, </w:t>
      </w:r>
      <w:r w:rsidRPr="00BB5BE7">
        <w:rPr>
          <w:i/>
          <w:iCs/>
        </w:rPr>
        <w:t>SAFA’s weekly funding update week ending 26 June 2026</w:t>
      </w:r>
      <w:r w:rsidRPr="00BB5BE7">
        <w:t>, 26 June.</w:t>
      </w:r>
    </w:p>
    <w:p w14:paraId="6856CB29" w14:textId="77777777" w:rsidR="00BB5BE7" w:rsidRPr="00BB5BE7" w:rsidRDefault="00BB5BE7" w:rsidP="009A6245">
      <w:pPr>
        <w:pStyle w:val="Reference"/>
      </w:pPr>
      <w:r w:rsidRPr="00BB5BE7">
        <w:lastRenderedPageBreak/>
        <w:t xml:space="preserve">Schapiro, R 2020, ‘States of inequality: fiscal federalism unequal states, and unequal people’, </w:t>
      </w:r>
      <w:r w:rsidRPr="00BB5BE7">
        <w:rPr>
          <w:i/>
          <w:iCs/>
        </w:rPr>
        <w:t>California Law Review</w:t>
      </w:r>
      <w:r w:rsidRPr="00BB5BE7">
        <w:t>, vol. 108, no. 4, pp. 1531–1596.</w:t>
      </w:r>
    </w:p>
    <w:p w14:paraId="64BCDE53" w14:textId="77777777" w:rsidR="00BB5BE7" w:rsidRPr="00BB5BE7" w:rsidRDefault="00BB5BE7" w:rsidP="009A6245">
      <w:pPr>
        <w:pStyle w:val="Reference"/>
      </w:pPr>
      <w:r w:rsidRPr="00BB5BE7">
        <w:t xml:space="preserve">Senate 2018, </w:t>
      </w:r>
      <w:r w:rsidRPr="00BB5BE7">
        <w:rPr>
          <w:i/>
          <w:iCs/>
        </w:rPr>
        <w:t>Official Hansard – 12 November 2018</w:t>
      </w:r>
      <w:r w:rsidRPr="00BB5BE7">
        <w:t>, 13.</w:t>
      </w:r>
    </w:p>
    <w:p w14:paraId="3CAA0EB6" w14:textId="77777777" w:rsidR="00BB5BE7" w:rsidRPr="00BB5BE7" w:rsidRDefault="00BB5BE7" w:rsidP="009A6245">
      <w:pPr>
        <w:pStyle w:val="Reference"/>
      </w:pPr>
      <w:r w:rsidRPr="00BB5BE7">
        <w:t xml:space="preserve">Senate Economics Legislation Committee 2011, </w:t>
      </w:r>
      <w:r w:rsidRPr="00BB5BE7">
        <w:rPr>
          <w:i/>
          <w:iCs/>
        </w:rPr>
        <w:t>Budget estimates 2011-12 - schedule of tabled documents</w:t>
      </w:r>
      <w:r w:rsidRPr="00BB5BE7">
        <w:t>, https://www.aph.gov.au/~/media/Committees/economics_ctte/estimates/bud_1112/Treasury/tabled_docs/Tabled_Doc_5.pdf (accessed 13 July 2026).</w:t>
      </w:r>
    </w:p>
    <w:p w14:paraId="63033FEB" w14:textId="77777777" w:rsidR="00BB5BE7" w:rsidRPr="00BB5BE7" w:rsidRDefault="00BB5BE7" w:rsidP="009A6245">
      <w:pPr>
        <w:pStyle w:val="Reference"/>
      </w:pPr>
      <w:r w:rsidRPr="00BB5BE7">
        <w:t>——</w:t>
      </w:r>
      <w:r w:rsidR="00517AF2">
        <w:t> </w:t>
      </w:r>
      <w:r w:rsidRPr="00BB5BE7">
        <w:t xml:space="preserve">2018, </w:t>
      </w:r>
      <w:r w:rsidRPr="00BB5BE7">
        <w:rPr>
          <w:i/>
          <w:iCs/>
        </w:rPr>
        <w:t>Treasury Laws Amendment (Making Sure Every State and Territory Gets Their Fair Share of GST) Bill 2018</w:t>
      </w:r>
      <w:r w:rsidRPr="00BB5BE7">
        <w:t>, Inquiry report, Canberra.</w:t>
      </w:r>
    </w:p>
    <w:p w14:paraId="0EB8187B" w14:textId="1A28FB82" w:rsidR="00BB5BE7" w:rsidRPr="00BB5BE7" w:rsidRDefault="00BB5BE7" w:rsidP="009A6245">
      <w:pPr>
        <w:pStyle w:val="Reference"/>
      </w:pPr>
      <w:r w:rsidRPr="00BB5BE7">
        <w:t xml:space="preserve">Senate Standing Committee on Economics 2011, </w:t>
      </w:r>
      <w:r w:rsidRPr="00BB5BE7">
        <w:rPr>
          <w:i/>
          <w:iCs/>
        </w:rPr>
        <w:t xml:space="preserve">Supplementary budget estimates </w:t>
      </w:r>
      <w:r w:rsidR="00C95832">
        <w:rPr>
          <w:i/>
          <w:iCs/>
        </w:rPr>
        <w:t>–</w:t>
      </w:r>
      <w:r w:rsidRPr="00BB5BE7">
        <w:rPr>
          <w:i/>
          <w:iCs/>
        </w:rPr>
        <w:t xml:space="preserve"> Treasury portfolio: answers to questions on notice: 19 - 20 October 2011</w:t>
      </w:r>
      <w:r w:rsidRPr="00BB5BE7">
        <w:t>, https://www.aph.gov.au/~/media/Estimates/Live/economics_ctte/estimates/sup_1112/Treasury/answers/SBT140.ashx (accessed 13 July 2026).</w:t>
      </w:r>
    </w:p>
    <w:p w14:paraId="478FCEB2" w14:textId="77777777" w:rsidR="00BB5BE7" w:rsidRPr="00BB5BE7" w:rsidRDefault="00BB5BE7" w:rsidP="009A6245">
      <w:pPr>
        <w:pStyle w:val="Reference"/>
      </w:pPr>
      <w:r w:rsidRPr="00BB5BE7">
        <w:t xml:space="preserve">Smart, M 2004, ‘Equalisation and stabilization’, </w:t>
      </w:r>
      <w:r w:rsidRPr="00BB5BE7">
        <w:rPr>
          <w:i/>
          <w:iCs/>
        </w:rPr>
        <w:t>Canadian Public Policy</w:t>
      </w:r>
      <w:r w:rsidRPr="00BB5BE7">
        <w:t>, vol. 30, no. 2, pp. 195–208.</w:t>
      </w:r>
    </w:p>
    <w:p w14:paraId="72F95C5A" w14:textId="77777777" w:rsidR="00BB5BE7" w:rsidRPr="00BB5BE7" w:rsidRDefault="00BB5BE7" w:rsidP="009A6245">
      <w:pPr>
        <w:pStyle w:val="Reference"/>
      </w:pPr>
      <w:r w:rsidRPr="00BB5BE7">
        <w:t xml:space="preserve">Smith, G 2020, ‘GST as a secure source of revenue for the States and Territories’, </w:t>
      </w:r>
      <w:r w:rsidRPr="00BB5BE7">
        <w:rPr>
          <w:i/>
          <w:iCs/>
        </w:rPr>
        <w:t>eJournal of Tax Research</w:t>
      </w:r>
      <w:r w:rsidRPr="00BB5BE7">
        <w:t>, vol. 18, no. 1, pp. 27–44.</w:t>
      </w:r>
    </w:p>
    <w:p w14:paraId="6358D2CB" w14:textId="40B6CADF" w:rsidR="00BB5BE7" w:rsidRPr="00BB5BE7" w:rsidRDefault="00BB5BE7" w:rsidP="009A6245">
      <w:pPr>
        <w:pStyle w:val="Reference"/>
      </w:pPr>
      <w:r w:rsidRPr="00BB5BE7">
        <w:t xml:space="preserve">S&amp;P Global 2026, </w:t>
      </w:r>
      <w:r w:rsidRPr="00BB5BE7">
        <w:rPr>
          <w:i/>
          <w:iCs/>
        </w:rPr>
        <w:t>Subnational Government Outlook 2026: Smaller Australian States Catch the Borrowing Bug</w:t>
      </w:r>
      <w:r w:rsidRPr="00BB5BE7">
        <w:t>, https://www.spglobal.com/ratings/en/regulatory/article/subnational-government-outlook-2026-smaller-australian-states-catch-the-borrowing-bug-s101662272 (accessed 10</w:t>
      </w:r>
      <w:r w:rsidR="008D4B3D">
        <w:t> </w:t>
      </w:r>
      <w:r w:rsidRPr="00BB5BE7">
        <w:t>February 2026).</w:t>
      </w:r>
    </w:p>
    <w:p w14:paraId="619B9760" w14:textId="77777777" w:rsidR="00BB5BE7" w:rsidRPr="00BB5BE7" w:rsidRDefault="00BB5BE7" w:rsidP="009A6245">
      <w:pPr>
        <w:pStyle w:val="Reference"/>
      </w:pPr>
      <w:r w:rsidRPr="00BB5BE7">
        <w:t xml:space="preserve">TASCORP (Tasmanian Treasury Corporation) 2026, </w:t>
      </w:r>
      <w:r w:rsidRPr="00BB5BE7">
        <w:rPr>
          <w:i/>
          <w:iCs/>
        </w:rPr>
        <w:t>Financial Markets</w:t>
      </w:r>
      <w:r w:rsidRPr="00BB5BE7">
        <w:t>, https://www.tascorp.com.au/financial-markets (accessed 1 July 2026).</w:t>
      </w:r>
    </w:p>
    <w:p w14:paraId="290B31B7" w14:textId="77777777" w:rsidR="00BB5BE7" w:rsidRPr="00BB5BE7" w:rsidRDefault="00BB5BE7" w:rsidP="009A6245">
      <w:pPr>
        <w:pStyle w:val="Reference"/>
      </w:pPr>
      <w:r w:rsidRPr="00BB5BE7">
        <w:t xml:space="preserve">Tasmanian Government 2018, </w:t>
      </w:r>
      <w:r w:rsidRPr="00BB5BE7">
        <w:rPr>
          <w:i/>
          <w:iCs/>
        </w:rPr>
        <w:t>Submission to Treasury Laws Amendment (Making Sure Every State and Territory Gets Their Fair Share of GST) Bill 2018 [provisions]</w:t>
      </w:r>
      <w:r w:rsidRPr="00BB5BE7">
        <w:t>.</w:t>
      </w:r>
    </w:p>
    <w:p w14:paraId="2D7F0C47" w14:textId="77777777" w:rsidR="00BB5BE7" w:rsidRPr="008D4B3D" w:rsidRDefault="00BB5BE7" w:rsidP="009A6245">
      <w:pPr>
        <w:pStyle w:val="Reference"/>
        <w:rPr>
          <w:spacing w:val="-2"/>
        </w:rPr>
      </w:pPr>
      <w:r w:rsidRPr="008D4B3D">
        <w:rPr>
          <w:spacing w:val="-2"/>
        </w:rPr>
        <w:t>——</w:t>
      </w:r>
      <w:r w:rsidR="00517AF2" w:rsidRPr="008D4B3D">
        <w:rPr>
          <w:spacing w:val="-2"/>
        </w:rPr>
        <w:t> </w:t>
      </w:r>
      <w:r w:rsidRPr="008D4B3D">
        <w:rPr>
          <w:spacing w:val="-2"/>
        </w:rPr>
        <w:t xml:space="preserve">2026, </w:t>
      </w:r>
      <w:r w:rsidRPr="008D4B3D">
        <w:rPr>
          <w:i/>
          <w:iCs/>
          <w:spacing w:val="-2"/>
        </w:rPr>
        <w:t>Budget Strategy and Estimates.  Budget Paper No. 1</w:t>
      </w:r>
      <w:r w:rsidRPr="008D4B3D">
        <w:rPr>
          <w:spacing w:val="-2"/>
        </w:rPr>
        <w:t>.</w:t>
      </w:r>
    </w:p>
    <w:p w14:paraId="7E06CE9D" w14:textId="77777777" w:rsidR="00BB5BE7" w:rsidRPr="00BB5BE7" w:rsidRDefault="00BB5BE7" w:rsidP="009A6245">
      <w:pPr>
        <w:pStyle w:val="Reference"/>
      </w:pPr>
      <w:r w:rsidRPr="00BB5BE7">
        <w:t xml:space="preserve">TCorp (New South Wales Treasury Corporation) 2026, </w:t>
      </w:r>
      <w:r w:rsidRPr="00BB5BE7">
        <w:rPr>
          <w:i/>
          <w:iCs/>
        </w:rPr>
        <w:t>TCorp weekly bonds outstanding 26 June 2026</w:t>
      </w:r>
      <w:r w:rsidRPr="00BB5BE7">
        <w:t>, June.</w:t>
      </w:r>
    </w:p>
    <w:p w14:paraId="66316088" w14:textId="77777777" w:rsidR="00BB5BE7" w:rsidRPr="00BB5BE7" w:rsidRDefault="00BB5BE7" w:rsidP="009A6245">
      <w:pPr>
        <w:pStyle w:val="Reference"/>
      </w:pPr>
      <w:r w:rsidRPr="00BB5BE7">
        <w:t xml:space="preserve">TCV (Treasury Corporation of Victoria) 2026, </w:t>
      </w:r>
      <w:r w:rsidRPr="00BB5BE7">
        <w:rPr>
          <w:i/>
          <w:iCs/>
        </w:rPr>
        <w:t>Amount on Issue (face value)</w:t>
      </w:r>
      <w:r w:rsidRPr="00BB5BE7">
        <w:t>, https://www.tcv.vic.gov.au/tcv-bonds/outstanding-borrowing/amount-on-issue (accessed 26 June 2026).</w:t>
      </w:r>
    </w:p>
    <w:p w14:paraId="0F513938" w14:textId="77777777" w:rsidR="00BB5BE7" w:rsidRPr="00BB5BE7" w:rsidRDefault="00BB5BE7" w:rsidP="009A6245">
      <w:pPr>
        <w:pStyle w:val="Reference"/>
      </w:pPr>
      <w:r w:rsidRPr="00BB5BE7">
        <w:t xml:space="preserve">Verbist, G, Forster, M and Vaalavuo, M 2012, </w:t>
      </w:r>
      <w:r w:rsidRPr="00BB5BE7">
        <w:rPr>
          <w:i/>
          <w:iCs/>
        </w:rPr>
        <w:t>The impact of publicly provided services on the distribution of resources: review of new results and methods</w:t>
      </w:r>
      <w:r w:rsidRPr="00BB5BE7">
        <w:t>.</w:t>
      </w:r>
    </w:p>
    <w:p w14:paraId="3A0CDDD4" w14:textId="77777777" w:rsidR="00BB5BE7" w:rsidRPr="00BB5BE7" w:rsidRDefault="00BB5BE7" w:rsidP="009A6245">
      <w:pPr>
        <w:pStyle w:val="Reference"/>
      </w:pPr>
      <w:r w:rsidRPr="00BB5BE7">
        <w:t xml:space="preserve">Victorian Government 2018, </w:t>
      </w:r>
      <w:r w:rsidRPr="00BB5BE7">
        <w:rPr>
          <w:i/>
          <w:iCs/>
        </w:rPr>
        <w:t>Submission to Treasury Laws Amendment (Making Sure Every State and Territory Gets Their Fair Share of GST) Bill 2018 [provisions]</w:t>
      </w:r>
      <w:r w:rsidRPr="00BB5BE7">
        <w:t>.</w:t>
      </w:r>
    </w:p>
    <w:p w14:paraId="1AA6E89B" w14:textId="3CAAF287" w:rsidR="00BB5BE7" w:rsidRPr="00BB5BE7" w:rsidRDefault="00BB5BE7" w:rsidP="009A6245">
      <w:pPr>
        <w:pStyle w:val="Reference"/>
      </w:pPr>
      <w:r w:rsidRPr="00BB5BE7">
        <w:t>——</w:t>
      </w:r>
      <w:r w:rsidR="00517AF2">
        <w:t> </w:t>
      </w:r>
      <w:r w:rsidRPr="00BB5BE7">
        <w:t xml:space="preserve">2026, </w:t>
      </w:r>
      <w:r w:rsidR="00F34590">
        <w:rPr>
          <w:i/>
          <w:iCs/>
        </w:rPr>
        <w:t>2026–27</w:t>
      </w:r>
      <w:r w:rsidRPr="00BB5BE7">
        <w:rPr>
          <w:i/>
          <w:iCs/>
        </w:rPr>
        <w:t xml:space="preserve"> Statement of Finances</w:t>
      </w:r>
      <w:r w:rsidRPr="00BB5BE7">
        <w:t>.</w:t>
      </w:r>
    </w:p>
    <w:p w14:paraId="10364CF1" w14:textId="685BCC83" w:rsidR="00BB5BE7" w:rsidRPr="00BB5BE7" w:rsidRDefault="00BB5BE7" w:rsidP="009A6245">
      <w:pPr>
        <w:pStyle w:val="Reference"/>
      </w:pPr>
      <w:r w:rsidRPr="00BB5BE7">
        <w:t xml:space="preserve">WA Government 2026, </w:t>
      </w:r>
      <w:r w:rsidR="00F34590">
        <w:rPr>
          <w:i/>
          <w:iCs/>
        </w:rPr>
        <w:t>2026–27</w:t>
      </w:r>
      <w:r w:rsidRPr="00BB5BE7">
        <w:rPr>
          <w:i/>
          <w:iCs/>
        </w:rPr>
        <w:t xml:space="preserve"> Budget. Economic and Fiscal Outlook. Budget Paper No. 3</w:t>
      </w:r>
      <w:r w:rsidRPr="00BB5BE7">
        <w:t>, May, https://parlwa.public.parliament.io/WebCMS/webcms.nsf/resources/file-</w:t>
      </w:r>
      <w:r w:rsidR="00F34590">
        <w:t>2026–27</w:t>
      </w:r>
      <w:r w:rsidRPr="00BB5BE7">
        <w:t>-state-budget-paper-no3/%24file/</w:t>
      </w:r>
      <w:r w:rsidR="00F34590">
        <w:t>2026–27</w:t>
      </w:r>
      <w:r w:rsidRPr="00BB5BE7">
        <w:t>-wa-state-budget-paper-no3.pdf (accessed 29 July 2026).</w:t>
      </w:r>
    </w:p>
    <w:p w14:paraId="0E3269BC" w14:textId="1D0FE014" w:rsidR="00BB5BE7" w:rsidRPr="007039AA" w:rsidRDefault="00BB5BE7" w:rsidP="009A6245">
      <w:pPr>
        <w:pStyle w:val="Reference"/>
        <w:rPr>
          <w:spacing w:val="-4"/>
        </w:rPr>
      </w:pPr>
      <w:r w:rsidRPr="007039AA">
        <w:rPr>
          <w:spacing w:val="-4"/>
        </w:rPr>
        <w:t xml:space="preserve">WATC (Western Australian Treasury Corporation) 2026, </w:t>
      </w:r>
      <w:r w:rsidRPr="007039AA">
        <w:rPr>
          <w:i/>
          <w:iCs/>
          <w:spacing w:val="-4"/>
        </w:rPr>
        <w:t xml:space="preserve">Weekly issuance update </w:t>
      </w:r>
      <w:r w:rsidR="007039AA">
        <w:rPr>
          <w:i/>
          <w:iCs/>
          <w:spacing w:val="-4"/>
        </w:rPr>
        <w:t>–</w:t>
      </w:r>
      <w:r w:rsidRPr="007039AA">
        <w:rPr>
          <w:i/>
          <w:iCs/>
          <w:spacing w:val="-4"/>
        </w:rPr>
        <w:t xml:space="preserve"> 22 June 2026 to 26 June 2026</w:t>
      </w:r>
      <w:r w:rsidRPr="007039AA">
        <w:rPr>
          <w:spacing w:val="-4"/>
        </w:rPr>
        <w:t>, 26 June.</w:t>
      </w:r>
    </w:p>
    <w:p w14:paraId="3F0EFCE8" w14:textId="77777777" w:rsidR="00BB5BE7" w:rsidRPr="00BB5BE7" w:rsidRDefault="00BB5BE7" w:rsidP="009A6245">
      <w:pPr>
        <w:pStyle w:val="Reference"/>
      </w:pPr>
      <w:r w:rsidRPr="00BB5BE7">
        <w:t xml:space="preserve">World Trade Organisation 2026, </w:t>
      </w:r>
      <w:r w:rsidRPr="00BB5BE7">
        <w:rPr>
          <w:i/>
          <w:iCs/>
        </w:rPr>
        <w:t>China and the WTO</w:t>
      </w:r>
      <w:r w:rsidRPr="00BB5BE7">
        <w:t>, https://www.wto.org/english/thewto_e/countries_e/china_e.htm (accessed 28 July 2026).</w:t>
      </w:r>
    </w:p>
    <w:p w14:paraId="3D091F2E" w14:textId="1B9D80FB" w:rsidR="00BB5BE7" w:rsidRPr="00BB5BE7" w:rsidRDefault="00BB5BE7" w:rsidP="009A6245">
      <w:pPr>
        <w:pStyle w:val="Reference"/>
      </w:pPr>
      <w:r w:rsidRPr="00BB5BE7">
        <w:t xml:space="preserve">Wright, S 2017, </w:t>
      </w:r>
      <w:r w:rsidRPr="00BB5BE7">
        <w:rPr>
          <w:i/>
          <w:iCs/>
        </w:rPr>
        <w:t>How WA’s iron ore royalties went everywhere else</w:t>
      </w:r>
      <w:r w:rsidRPr="00BB5BE7">
        <w:t>, The West Australian, https://thewest.com.au/news/wa/</w:t>
      </w:r>
      <w:r w:rsidR="008D4B3D">
        <w:br/>
      </w:r>
      <w:r w:rsidRPr="00BB5BE7">
        <w:t>royalties-lost-in-gst-carve-up-ng-b88428291z (accessed 24</w:t>
      </w:r>
      <w:r w:rsidR="008D4B3D">
        <w:t> </w:t>
      </w:r>
      <w:r w:rsidRPr="00BB5BE7">
        <w:t>June 2026).</w:t>
      </w:r>
    </w:p>
    <w:p w14:paraId="21FE0BD1" w14:textId="77777777" w:rsidR="00BB5BE7" w:rsidRPr="008D4B3D" w:rsidRDefault="00BB5BE7" w:rsidP="009A6245">
      <w:pPr>
        <w:pStyle w:val="Reference"/>
        <w:rPr>
          <w:spacing w:val="-4"/>
        </w:rPr>
      </w:pPr>
      <w:r w:rsidRPr="008D4B3D">
        <w:rPr>
          <w:spacing w:val="-4"/>
        </w:rPr>
        <w:t>——</w:t>
      </w:r>
      <w:r w:rsidR="00517AF2" w:rsidRPr="008D4B3D">
        <w:rPr>
          <w:spacing w:val="-4"/>
        </w:rPr>
        <w:t> </w:t>
      </w:r>
      <w:r w:rsidRPr="008D4B3D">
        <w:rPr>
          <w:spacing w:val="-4"/>
        </w:rPr>
        <w:t xml:space="preserve">2018, ‘New survey shows WA voters want GST fixed, ahead of almost every other political issue’, </w:t>
      </w:r>
      <w:r w:rsidRPr="008D4B3D">
        <w:rPr>
          <w:i/>
          <w:iCs/>
          <w:spacing w:val="-4"/>
        </w:rPr>
        <w:t>The West Australian</w:t>
      </w:r>
      <w:r w:rsidRPr="008D4B3D">
        <w:rPr>
          <w:spacing w:val="-4"/>
        </w:rPr>
        <w:t>.</w:t>
      </w:r>
    </w:p>
    <w:p w14:paraId="21208915" w14:textId="77777777" w:rsidR="008D4B3D" w:rsidRDefault="008D4B3D" w:rsidP="00B70292">
      <w:pPr>
        <w:pStyle w:val="Bibliography"/>
        <w:sectPr w:rsidR="008D4B3D" w:rsidSect="00214445">
          <w:headerReference w:type="even" r:id="rId125"/>
          <w:headerReference w:type="default" r:id="rId126"/>
          <w:footerReference w:type="even" r:id="rId127"/>
          <w:footerReference w:type="default" r:id="rId128"/>
          <w:headerReference w:type="first" r:id="rId129"/>
          <w:footerReference w:type="first" r:id="rId130"/>
          <w:footnotePr>
            <w:numRestart w:val="eachSect"/>
          </w:footnotePr>
          <w:type w:val="continuous"/>
          <w:pgSz w:w="11906" w:h="16838" w:code="9"/>
          <w:pgMar w:top="1134" w:right="1134" w:bottom="1134" w:left="1134" w:header="794" w:footer="510" w:gutter="0"/>
          <w:cols w:num="2" w:space="708"/>
          <w:docGrid w:linePitch="360"/>
        </w:sectPr>
      </w:pPr>
    </w:p>
    <w:p w14:paraId="58C0039D" w14:textId="73EB10A0" w:rsidR="003C3B31" w:rsidRPr="001170D5" w:rsidRDefault="003C3B31" w:rsidP="00B70292">
      <w:pPr>
        <w:pStyle w:val="Bibliography"/>
      </w:pPr>
    </w:p>
    <w:sectPr w:rsidR="003C3B31" w:rsidRPr="001170D5" w:rsidSect="00214445">
      <w:footnotePr>
        <w:numRestart w:val="eachSect"/>
      </w:footnotePr>
      <w:type w:val="continuous"/>
      <w:pgSz w:w="11906" w:h="16838" w:code="9"/>
      <w:pgMar w:top="1134" w:right="1134" w:bottom="1134" w:left="1134" w:header="794" w:footer="510"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FE595" w14:textId="77777777" w:rsidR="00205058" w:rsidRDefault="00205058" w:rsidP="008017BC">
      <w:r>
        <w:separator/>
      </w:r>
    </w:p>
    <w:p w14:paraId="2C573E3A" w14:textId="77777777" w:rsidR="00205058" w:rsidRDefault="00205058"/>
  </w:endnote>
  <w:endnote w:type="continuationSeparator" w:id="0">
    <w:p w14:paraId="1C607360" w14:textId="77777777" w:rsidR="00205058" w:rsidRDefault="00205058" w:rsidP="008017BC">
      <w:r>
        <w:continuationSeparator/>
      </w:r>
    </w:p>
    <w:p w14:paraId="3B36EDD6" w14:textId="77777777" w:rsidR="00205058" w:rsidRDefault="002050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Open Sans Extrabold">
    <w:panose1 w:val="020B0906030804020204"/>
    <w:charset w:val="00"/>
    <w:family w:val="swiss"/>
    <w:pitch w:val="variable"/>
    <w:sig w:usb0="E00002EF" w:usb1="4000205B" w:usb2="00000028" w:usb3="00000000" w:csb0="0000019F" w:csb1="00000000"/>
  </w:font>
  <w:font w:name="SimHei">
    <w:panose1 w:val="02010600030101010101"/>
    <w:charset w:val="86"/>
    <w:family w:val="modern"/>
    <w:pitch w:val="fixed"/>
    <w:sig w:usb0="800002BF" w:usb1="38CF7CFA"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Open Sans Semibold">
    <w:panose1 w:val="020B07060308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366BB" w14:textId="77777777" w:rsidR="00F04EA7" w:rsidRPr="00187F05" w:rsidRDefault="00F04EA7" w:rsidP="00A471AE">
    <w:pPr>
      <w:pStyle w:val="Footer"/>
      <w:jc w:val="right"/>
    </w:pPr>
    <w:r w:rsidRPr="00187F05">
      <w:fldChar w:fldCharType="begin"/>
    </w:r>
    <w:r w:rsidRPr="00187F05">
      <w:instrText xml:space="preserve"> PAGE   \* MERGEFORMAT </w:instrText>
    </w:r>
    <w:r w:rsidRPr="00187F05">
      <w:fldChar w:fldCharType="separate"/>
    </w:r>
    <w:r w:rsidRPr="00187F05">
      <w:t>1</w:t>
    </w:r>
    <w:r w:rsidRPr="00187F05">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1BD09" w14:textId="77777777" w:rsidR="00D15113" w:rsidRDefault="00F04EA7" w:rsidP="002E3F19">
    <w:pPr>
      <w:pStyle w:val="Footer"/>
    </w:pPr>
    <w:r w:rsidRPr="00187F05">
      <w:fldChar w:fldCharType="begin"/>
    </w:r>
    <w:r w:rsidRPr="00187F05">
      <w:instrText xml:space="preserve"> PAGE   \* MERGEFORMAT </w:instrText>
    </w:r>
    <w:r w:rsidRPr="00187F05">
      <w:fldChar w:fldCharType="separate"/>
    </w:r>
    <w:r w:rsidRPr="00187F05">
      <w:t>1</w:t>
    </w:r>
    <w:r w:rsidRPr="00187F05">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4586205"/>
      <w:docPartObj>
        <w:docPartGallery w:val="Page Numbers (Bottom of Page)"/>
        <w:docPartUnique/>
      </w:docPartObj>
    </w:sdtPr>
    <w:sdtContent>
      <w:sdt>
        <w:sdtPr>
          <w:id w:val="670533793"/>
          <w:docPartObj>
            <w:docPartGallery w:val="Page Numbers (Top of Page)"/>
            <w:docPartUnique/>
          </w:docPartObj>
        </w:sdtPr>
        <w:sdtContent>
          <w:p w14:paraId="4318E028" w14:textId="77777777" w:rsidR="00D15113" w:rsidRDefault="00F04EA7" w:rsidP="002E3F19">
            <w:pPr>
              <w:pStyle w:val="Footer-right"/>
            </w:pPr>
            <w:r w:rsidRPr="0042508F">
              <w:rPr>
                <w:sz w:val="24"/>
              </w:rPr>
              <w:fldChar w:fldCharType="begin"/>
            </w:r>
            <w:r w:rsidRPr="0042508F">
              <w:instrText xml:space="preserve"> PAGE </w:instrText>
            </w:r>
            <w:r w:rsidRPr="0042508F">
              <w:rPr>
                <w:sz w:val="24"/>
              </w:rPr>
              <w:fldChar w:fldCharType="separate"/>
            </w:r>
            <w:r>
              <w:rPr>
                <w:noProof/>
              </w:rPr>
              <w:t>1</w:t>
            </w:r>
            <w:r w:rsidRPr="0042508F">
              <w:rPr>
                <w:sz w:val="24"/>
              </w:rPr>
              <w:fldChar w:fldCharType="end"/>
            </w:r>
          </w:p>
        </w:sdtContent>
      </w:sdt>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AC34A" w14:textId="77777777" w:rsidR="00D15113" w:rsidRDefault="00F04EA7" w:rsidP="002E3F19">
    <w:pPr>
      <w:pStyle w:val="Footer"/>
    </w:pPr>
    <w:r w:rsidRPr="00187F05">
      <w:fldChar w:fldCharType="begin"/>
    </w:r>
    <w:r w:rsidRPr="00187F05">
      <w:instrText xml:space="preserve"> PAGE   \* MERGEFORMAT </w:instrText>
    </w:r>
    <w:r w:rsidRPr="00187F05">
      <w:fldChar w:fldCharType="separate"/>
    </w:r>
    <w:r w:rsidRPr="00187F05">
      <w:t>1</w:t>
    </w:r>
    <w:r w:rsidRPr="00187F05">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6258332"/>
      <w:docPartObj>
        <w:docPartGallery w:val="Page Numbers (Bottom of Page)"/>
        <w:docPartUnique/>
      </w:docPartObj>
    </w:sdtPr>
    <w:sdtContent>
      <w:sdt>
        <w:sdtPr>
          <w:id w:val="-1635255835"/>
          <w:docPartObj>
            <w:docPartGallery w:val="Page Numbers (Top of Page)"/>
            <w:docPartUnique/>
          </w:docPartObj>
        </w:sdtPr>
        <w:sdtContent>
          <w:p w14:paraId="1BAF9CEC" w14:textId="77777777" w:rsidR="00D15113" w:rsidRDefault="00F04EA7" w:rsidP="002E3F19">
            <w:pPr>
              <w:pStyle w:val="Footer-right"/>
            </w:pPr>
            <w:r w:rsidRPr="0042508F">
              <w:rPr>
                <w:sz w:val="24"/>
              </w:rPr>
              <w:fldChar w:fldCharType="begin"/>
            </w:r>
            <w:r w:rsidRPr="0042508F">
              <w:instrText xml:space="preserve"> PAGE </w:instrText>
            </w:r>
            <w:r w:rsidRPr="0042508F">
              <w:rPr>
                <w:sz w:val="24"/>
              </w:rPr>
              <w:fldChar w:fldCharType="separate"/>
            </w:r>
            <w:r>
              <w:rPr>
                <w:noProof/>
              </w:rPr>
              <w:t>1</w:t>
            </w:r>
            <w:r w:rsidRPr="0042508F">
              <w:rPr>
                <w:sz w:val="24"/>
              </w:rPr>
              <w:fldChar w:fldCharType="end"/>
            </w:r>
          </w:p>
        </w:sdtContent>
      </w:sdt>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12838" w14:textId="77777777" w:rsidR="00DB32A7" w:rsidRDefault="00DB32A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E1102" w14:textId="77777777" w:rsidR="00D15113" w:rsidRDefault="00F04EA7" w:rsidP="002E3F19">
    <w:pPr>
      <w:pStyle w:val="Footer"/>
    </w:pPr>
    <w:r w:rsidRPr="00187F05">
      <w:fldChar w:fldCharType="begin"/>
    </w:r>
    <w:r w:rsidRPr="00187F05">
      <w:instrText xml:space="preserve"> PAGE   \* MERGEFORMAT </w:instrText>
    </w:r>
    <w:r w:rsidRPr="00187F05">
      <w:fldChar w:fldCharType="separate"/>
    </w:r>
    <w:r w:rsidRPr="00187F05">
      <w:t>1</w:t>
    </w:r>
    <w:r w:rsidRPr="00187F05">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0746586"/>
      <w:docPartObj>
        <w:docPartGallery w:val="Page Numbers (Bottom of Page)"/>
        <w:docPartUnique/>
      </w:docPartObj>
    </w:sdtPr>
    <w:sdtContent>
      <w:sdt>
        <w:sdtPr>
          <w:id w:val="825865936"/>
          <w:docPartObj>
            <w:docPartGallery w:val="Page Numbers (Top of Page)"/>
            <w:docPartUnique/>
          </w:docPartObj>
        </w:sdtPr>
        <w:sdtContent>
          <w:p w14:paraId="12A38BEC" w14:textId="77777777" w:rsidR="00D15113" w:rsidRDefault="00F04EA7" w:rsidP="002E3F19">
            <w:pPr>
              <w:pStyle w:val="Footer-right"/>
            </w:pPr>
            <w:r w:rsidRPr="0042508F">
              <w:rPr>
                <w:sz w:val="24"/>
              </w:rPr>
              <w:fldChar w:fldCharType="begin"/>
            </w:r>
            <w:r w:rsidRPr="0042508F">
              <w:instrText xml:space="preserve"> PAGE </w:instrText>
            </w:r>
            <w:r w:rsidRPr="0042508F">
              <w:rPr>
                <w:sz w:val="24"/>
              </w:rPr>
              <w:fldChar w:fldCharType="separate"/>
            </w:r>
            <w:r>
              <w:rPr>
                <w:noProof/>
              </w:rPr>
              <w:t>1</w:t>
            </w:r>
            <w:r w:rsidRPr="0042508F">
              <w:rPr>
                <w:sz w:val="24"/>
              </w:rPr>
              <w:fldChar w:fldCharType="end"/>
            </w:r>
          </w:p>
        </w:sdtContent>
      </w:sdt>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510F3" w14:textId="77777777" w:rsidR="00D15113" w:rsidRDefault="00F04EA7" w:rsidP="002E3F19">
    <w:pPr>
      <w:pStyle w:val="Footer"/>
    </w:pPr>
    <w:r w:rsidRPr="00187F05">
      <w:fldChar w:fldCharType="begin"/>
    </w:r>
    <w:r w:rsidRPr="00187F05">
      <w:instrText xml:space="preserve"> PAGE   \* MERGEFORMAT </w:instrText>
    </w:r>
    <w:r w:rsidRPr="00187F05">
      <w:fldChar w:fldCharType="separate"/>
    </w:r>
    <w:r w:rsidRPr="00187F05">
      <w:t>1</w:t>
    </w:r>
    <w:r w:rsidRPr="00187F05">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5728671"/>
      <w:docPartObj>
        <w:docPartGallery w:val="Page Numbers (Bottom of Page)"/>
        <w:docPartUnique/>
      </w:docPartObj>
    </w:sdtPr>
    <w:sdtContent>
      <w:sdt>
        <w:sdtPr>
          <w:id w:val="1898158842"/>
          <w:docPartObj>
            <w:docPartGallery w:val="Page Numbers (Top of Page)"/>
            <w:docPartUnique/>
          </w:docPartObj>
        </w:sdtPr>
        <w:sdtContent>
          <w:p w14:paraId="2813E265" w14:textId="77777777" w:rsidR="00D15113" w:rsidRDefault="00F04EA7" w:rsidP="002E3F19">
            <w:pPr>
              <w:pStyle w:val="Footer-right"/>
            </w:pPr>
            <w:r w:rsidRPr="0042508F">
              <w:rPr>
                <w:sz w:val="24"/>
              </w:rPr>
              <w:fldChar w:fldCharType="begin"/>
            </w:r>
            <w:r w:rsidRPr="0042508F">
              <w:instrText xml:space="preserve"> PAGE </w:instrText>
            </w:r>
            <w:r w:rsidRPr="0042508F">
              <w:rPr>
                <w:sz w:val="24"/>
              </w:rPr>
              <w:fldChar w:fldCharType="separate"/>
            </w:r>
            <w:r>
              <w:rPr>
                <w:noProof/>
              </w:rPr>
              <w:t>1</w:t>
            </w:r>
            <w:r w:rsidRPr="0042508F">
              <w:rPr>
                <w:sz w:val="24"/>
              </w:rPr>
              <w:fldChar w:fldCharType="end"/>
            </w:r>
          </w:p>
        </w:sdtContent>
      </w:sdt>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6B98E" w14:textId="77777777" w:rsidR="00214445" w:rsidRDefault="00214445" w:rsidP="002E3F19">
    <w:pPr>
      <w:pStyle w:val="Footer"/>
    </w:pPr>
    <w:r w:rsidRPr="00187F05">
      <w:fldChar w:fldCharType="begin"/>
    </w:r>
    <w:r w:rsidRPr="00187F05">
      <w:instrText xml:space="preserve"> PAGE   \* MERGEFORMAT </w:instrText>
    </w:r>
    <w:r w:rsidRPr="00187F05">
      <w:fldChar w:fldCharType="separate"/>
    </w:r>
    <w:r w:rsidRPr="00187F05">
      <w:t>1</w:t>
    </w:r>
    <w:r w:rsidRPr="00187F0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04AFE" w14:textId="77777777" w:rsidR="00C31E23" w:rsidRDefault="00C31E23">
    <w:pPr>
      <w:pStyle w:val="Footer"/>
    </w:pPr>
    <w:r>
      <w:fldChar w:fldCharType="begin"/>
    </w:r>
    <w:r>
      <w:instrText xml:space="preserve"> PAGE   \* MERGEFORMAT </w:instrText>
    </w:r>
    <w:r>
      <w:fldChar w:fldCharType="separate"/>
    </w:r>
    <w:r>
      <w:rPr>
        <w:noProof/>
      </w:rPr>
      <w:t>1</w:t>
    </w:r>
    <w:r>
      <w:rPr>
        <w:noProof/>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3820519"/>
      <w:docPartObj>
        <w:docPartGallery w:val="Page Numbers (Bottom of Page)"/>
        <w:docPartUnique/>
      </w:docPartObj>
    </w:sdtPr>
    <w:sdtContent>
      <w:sdt>
        <w:sdtPr>
          <w:id w:val="2020043193"/>
          <w:docPartObj>
            <w:docPartGallery w:val="Page Numbers (Top of Page)"/>
            <w:docPartUnique/>
          </w:docPartObj>
        </w:sdtPr>
        <w:sdtContent>
          <w:p w14:paraId="7623B411" w14:textId="77777777" w:rsidR="00214445" w:rsidRDefault="00214445" w:rsidP="002E3F19">
            <w:pPr>
              <w:pStyle w:val="Footer-right"/>
            </w:pPr>
            <w:r w:rsidRPr="0042508F">
              <w:rPr>
                <w:sz w:val="24"/>
              </w:rPr>
              <w:fldChar w:fldCharType="begin"/>
            </w:r>
            <w:r w:rsidRPr="0042508F">
              <w:instrText xml:space="preserve"> PAGE </w:instrText>
            </w:r>
            <w:r w:rsidRPr="0042508F">
              <w:rPr>
                <w:sz w:val="24"/>
              </w:rPr>
              <w:fldChar w:fldCharType="separate"/>
            </w:r>
            <w:r>
              <w:rPr>
                <w:noProof/>
              </w:rPr>
              <w:t>1</w:t>
            </w:r>
            <w:r w:rsidRPr="0042508F">
              <w:rPr>
                <w:sz w:val="24"/>
              </w:rPr>
              <w:fldChar w:fldCharType="end"/>
            </w:r>
          </w:p>
        </w:sdtContent>
      </w:sdt>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DB76A" w14:textId="77777777" w:rsidR="00E41661" w:rsidRDefault="00214445">
    <w:pPr>
      <w:pStyle w:val="Footer"/>
    </w:pPr>
    <w:r w:rsidRPr="00187F05">
      <w:fldChar w:fldCharType="begin"/>
    </w:r>
    <w:r w:rsidRPr="00187F05">
      <w:instrText xml:space="preserve"> PAGE   \* MERGEFORMAT </w:instrText>
    </w:r>
    <w:r w:rsidRPr="00187F05">
      <w:fldChar w:fldCharType="separate"/>
    </w:r>
    <w:r w:rsidRPr="00187F05">
      <w:t>1</w:t>
    </w:r>
    <w:r w:rsidRPr="00187F05">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011377"/>
      <w:docPartObj>
        <w:docPartGallery w:val="Page Numbers (Bottom of Page)"/>
        <w:docPartUnique/>
      </w:docPartObj>
    </w:sdtPr>
    <w:sdtContent>
      <w:sdt>
        <w:sdtPr>
          <w:id w:val="1790156744"/>
          <w:docPartObj>
            <w:docPartGallery w:val="Page Numbers (Top of Page)"/>
            <w:docPartUnique/>
          </w:docPartObj>
        </w:sdtPr>
        <w:sdtContent>
          <w:p w14:paraId="33257B01" w14:textId="77777777" w:rsidR="00E41661" w:rsidRDefault="00214445" w:rsidP="002E3F19">
            <w:pPr>
              <w:pStyle w:val="Footer-right"/>
            </w:pPr>
            <w:r w:rsidRPr="0042508F">
              <w:rPr>
                <w:sz w:val="24"/>
              </w:rPr>
              <w:fldChar w:fldCharType="begin"/>
            </w:r>
            <w:r w:rsidRPr="0042508F">
              <w:instrText xml:space="preserve"> PAGE </w:instrText>
            </w:r>
            <w:r w:rsidRPr="0042508F">
              <w:rPr>
                <w:sz w:val="24"/>
              </w:rPr>
              <w:fldChar w:fldCharType="separate"/>
            </w:r>
            <w:r>
              <w:rPr>
                <w:noProof/>
              </w:rPr>
              <w:t>1</w:t>
            </w:r>
            <w:r w:rsidRPr="0042508F">
              <w:rPr>
                <w:sz w:val="24"/>
              </w:rPr>
              <w:fldChar w:fldCharType="end"/>
            </w:r>
          </w:p>
        </w:sdtContent>
      </w:sdt>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56410" w14:textId="77777777" w:rsidR="00E41661" w:rsidRDefault="00E416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752C3" w14:textId="77777777" w:rsidR="00F04EA7" w:rsidRDefault="00C31E23">
    <w:pPr>
      <w:pStyle w:val="Footer"/>
    </w:pPr>
    <w:r>
      <w:fldChar w:fldCharType="begin"/>
    </w:r>
    <w:r>
      <w:instrText xml:space="preserve"> PAGE   \* MERGEFORMAT </w:instrText>
    </w:r>
    <w:r>
      <w:fldChar w:fldCharType="separate"/>
    </w:r>
    <w:r>
      <w:rPr>
        <w:noProof/>
      </w:rPr>
      <w:t>1</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B69C7" w14:textId="77777777" w:rsidR="00D15113" w:rsidRDefault="00F04EA7" w:rsidP="002E3F19">
    <w:pPr>
      <w:pStyle w:val="Footer"/>
    </w:pPr>
    <w:r w:rsidRPr="00187F05">
      <w:fldChar w:fldCharType="begin"/>
    </w:r>
    <w:r w:rsidRPr="00187F05">
      <w:instrText xml:space="preserve"> PAGE   \* MERGEFORMAT </w:instrText>
    </w:r>
    <w:r w:rsidRPr="00187F05">
      <w:fldChar w:fldCharType="separate"/>
    </w:r>
    <w:r w:rsidRPr="00187F05">
      <w:t>1</w:t>
    </w:r>
    <w:r w:rsidRPr="00187F05">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0765408"/>
      <w:docPartObj>
        <w:docPartGallery w:val="Page Numbers (Bottom of Page)"/>
        <w:docPartUnique/>
      </w:docPartObj>
    </w:sdtPr>
    <w:sdtContent>
      <w:sdt>
        <w:sdtPr>
          <w:id w:val="783309045"/>
          <w:docPartObj>
            <w:docPartGallery w:val="Page Numbers (Top of Page)"/>
            <w:docPartUnique/>
          </w:docPartObj>
        </w:sdtPr>
        <w:sdtContent>
          <w:p w14:paraId="5B2AFE56" w14:textId="77777777" w:rsidR="00D15113" w:rsidRDefault="00F04EA7" w:rsidP="002E3F19">
            <w:pPr>
              <w:pStyle w:val="Footer-right"/>
            </w:pPr>
            <w:r w:rsidRPr="0042508F">
              <w:rPr>
                <w:sz w:val="24"/>
              </w:rPr>
              <w:fldChar w:fldCharType="begin"/>
            </w:r>
            <w:r w:rsidRPr="0042508F">
              <w:instrText xml:space="preserve"> PAGE </w:instrText>
            </w:r>
            <w:r w:rsidRPr="0042508F">
              <w:rPr>
                <w:sz w:val="24"/>
              </w:rPr>
              <w:fldChar w:fldCharType="separate"/>
            </w:r>
            <w:r>
              <w:rPr>
                <w:noProof/>
              </w:rPr>
              <w:t>1</w:t>
            </w:r>
            <w:r w:rsidRPr="0042508F">
              <w:rPr>
                <w:sz w:val="24"/>
              </w:rPr>
              <w:fldChar w:fldCharType="end"/>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9EB57" w14:textId="77777777" w:rsidR="00E76EEC" w:rsidRPr="00187F05" w:rsidRDefault="00E76EEC" w:rsidP="004544D6">
    <w:pPr>
      <w:pStyle w:val="Footer"/>
    </w:pPr>
    <w:r w:rsidRPr="00187F05">
      <w:fldChar w:fldCharType="begin"/>
    </w:r>
    <w:r w:rsidRPr="00187F05">
      <w:instrText xml:space="preserve"> PAGE   \* MERGEFORMAT </w:instrText>
    </w:r>
    <w:r w:rsidRPr="00187F05">
      <w:fldChar w:fldCharType="separate"/>
    </w:r>
    <w:r w:rsidRPr="00187F05">
      <w:t>1</w:t>
    </w:r>
    <w:r w:rsidRPr="00187F05">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4105459"/>
      <w:docPartObj>
        <w:docPartGallery w:val="Page Numbers (Bottom of Page)"/>
        <w:docPartUnique/>
      </w:docPartObj>
    </w:sdtPr>
    <w:sdtContent>
      <w:sdt>
        <w:sdtPr>
          <w:id w:val="372884374"/>
          <w:docPartObj>
            <w:docPartGallery w:val="Page Numbers (Top of Page)"/>
            <w:docPartUnique/>
          </w:docPartObj>
        </w:sdtPr>
        <w:sdtContent>
          <w:p w14:paraId="59FD1C2C" w14:textId="77777777" w:rsidR="00E76EEC" w:rsidRPr="0042508F" w:rsidRDefault="00E76EEC" w:rsidP="004544D6">
            <w:pPr>
              <w:pStyle w:val="Footer-right"/>
            </w:pPr>
            <w:r w:rsidRPr="0042508F">
              <w:fldChar w:fldCharType="begin"/>
            </w:r>
            <w:r w:rsidRPr="0042508F">
              <w:instrText xml:space="preserve"> PAGE </w:instrText>
            </w:r>
            <w:r w:rsidRPr="0042508F">
              <w:fldChar w:fldCharType="separate"/>
            </w:r>
            <w:r>
              <w:rPr>
                <w:noProof/>
              </w:rPr>
              <w:t>1</w:t>
            </w:r>
            <w:r w:rsidRPr="0042508F">
              <w:fldChar w:fldCharType="end"/>
            </w:r>
          </w:p>
        </w:sdtContent>
      </w:sdt>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49A4C" w14:textId="77777777" w:rsidR="00DB32A7" w:rsidRDefault="00DB32A7" w:rsidP="002E3F19">
    <w:pPr>
      <w:pStyle w:val="Footer"/>
    </w:pPr>
    <w:r w:rsidRPr="00187F05">
      <w:fldChar w:fldCharType="begin"/>
    </w:r>
    <w:r w:rsidRPr="00187F05">
      <w:instrText xml:space="preserve"> PAGE   \* MERGEFORMAT </w:instrText>
    </w:r>
    <w:r w:rsidRPr="00187F05">
      <w:fldChar w:fldCharType="separate"/>
    </w:r>
    <w:r w:rsidRPr="00187F05">
      <w:t>1</w:t>
    </w:r>
    <w:r w:rsidRPr="00187F05">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9151105"/>
      <w:docPartObj>
        <w:docPartGallery w:val="Page Numbers (Bottom of Page)"/>
        <w:docPartUnique/>
      </w:docPartObj>
    </w:sdtPr>
    <w:sdtContent>
      <w:sdt>
        <w:sdtPr>
          <w:id w:val="-693297816"/>
          <w:docPartObj>
            <w:docPartGallery w:val="Page Numbers (Top of Page)"/>
            <w:docPartUnique/>
          </w:docPartObj>
        </w:sdtPr>
        <w:sdtContent>
          <w:p w14:paraId="15A18400" w14:textId="77777777" w:rsidR="00DB32A7" w:rsidRDefault="00DB32A7" w:rsidP="002E3F19">
            <w:pPr>
              <w:pStyle w:val="Footer-right"/>
            </w:pPr>
            <w:r w:rsidRPr="0042508F">
              <w:rPr>
                <w:sz w:val="24"/>
              </w:rPr>
              <w:fldChar w:fldCharType="begin"/>
            </w:r>
            <w:r w:rsidRPr="0042508F">
              <w:instrText xml:space="preserve"> PAGE </w:instrText>
            </w:r>
            <w:r w:rsidRPr="0042508F">
              <w:rPr>
                <w:sz w:val="24"/>
              </w:rPr>
              <w:fldChar w:fldCharType="separate"/>
            </w:r>
            <w:r>
              <w:rPr>
                <w:noProof/>
              </w:rPr>
              <w:t>1</w:t>
            </w:r>
            <w:r w:rsidRPr="0042508F">
              <w:rPr>
                <w:sz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354A4" w14:textId="77777777" w:rsidR="00205058" w:rsidRPr="00C238D1" w:rsidRDefault="00205058" w:rsidP="00273E86">
      <w:pPr>
        <w:spacing w:after="0" w:line="240" w:lineRule="auto"/>
        <w:rPr>
          <w:rStyle w:val="ColourDarkBlue"/>
        </w:rPr>
      </w:pPr>
      <w:r w:rsidRPr="00C238D1">
        <w:rPr>
          <w:rStyle w:val="ColourDarkBlue"/>
        </w:rPr>
        <w:continuationSeparator/>
      </w:r>
    </w:p>
  </w:footnote>
  <w:footnote w:type="continuationSeparator" w:id="0">
    <w:p w14:paraId="791F7F86" w14:textId="77777777" w:rsidR="00205058" w:rsidRPr="001D7D9B" w:rsidRDefault="00205058" w:rsidP="001D7D9B">
      <w:pPr>
        <w:spacing w:after="0" w:line="240" w:lineRule="auto"/>
        <w:rPr>
          <w:color w:val="265A9A" w:themeColor="background2"/>
        </w:rPr>
      </w:pPr>
      <w:r w:rsidRPr="00C238D1">
        <w:rPr>
          <w:rStyle w:val="ColourDarkBlue"/>
        </w:rPr>
        <w:continuationSeparator/>
      </w:r>
    </w:p>
  </w:footnote>
  <w:footnote w:type="continuationNotice" w:id="1">
    <w:p w14:paraId="79E8136F" w14:textId="77777777" w:rsidR="00205058" w:rsidRDefault="00205058"/>
  </w:footnote>
  <w:footnote w:id="2">
    <w:p w14:paraId="09B0E161" w14:textId="77777777" w:rsidR="00E51755" w:rsidRPr="00DA744F" w:rsidRDefault="00E51755">
      <w:pPr>
        <w:pStyle w:val="FootnoteText"/>
        <w:rPr>
          <w:spacing w:val="-4"/>
        </w:rPr>
      </w:pPr>
      <w:r w:rsidRPr="00DA744F">
        <w:rPr>
          <w:rStyle w:val="FootnoteReference"/>
          <w:spacing w:val="-4"/>
        </w:rPr>
        <w:footnoteRef/>
      </w:r>
      <w:r w:rsidRPr="00DA744F">
        <w:rPr>
          <w:spacing w:val="-4"/>
        </w:rPr>
        <w:t xml:space="preserve"> This is a very simple description of the CGC process, which incorporates an assessment of the unavoidable costs states face when determining how much of the GST pool the Australian Government should allocate to each state. More detail on the CGC and its processes are in the PC’s supporting paper on </w:t>
      </w:r>
      <w:r w:rsidRPr="00DA744F">
        <w:rPr>
          <w:i/>
          <w:iCs/>
          <w:spacing w:val="-4"/>
        </w:rPr>
        <w:t>Understanding Australia’s system of fiscal transfers</w:t>
      </w:r>
      <w:r w:rsidRPr="00DA744F">
        <w:rPr>
          <w:spacing w:val="-4"/>
        </w:rPr>
        <w:t>.</w:t>
      </w:r>
    </w:p>
  </w:footnote>
  <w:footnote w:id="3">
    <w:p w14:paraId="61C30C4B" w14:textId="77777777" w:rsidR="00E51755" w:rsidRDefault="00E51755">
      <w:pPr>
        <w:pStyle w:val="FootnoteText"/>
      </w:pPr>
      <w:r w:rsidRPr="00201B0D">
        <w:rPr>
          <w:rStyle w:val="FootnoteReference"/>
        </w:rPr>
        <w:footnoteRef/>
      </w:r>
      <w:r>
        <w:t xml:space="preserve"> Section 2.2 in chapter 2 provides more detail on how this can occur. </w:t>
      </w:r>
    </w:p>
  </w:footnote>
  <w:footnote w:id="4">
    <w:p w14:paraId="12BB9315" w14:textId="77777777" w:rsidR="00E51755" w:rsidRDefault="00E51755">
      <w:pPr>
        <w:pStyle w:val="FootnoteText"/>
      </w:pPr>
      <w:r w:rsidRPr="00201B0D">
        <w:rPr>
          <w:rStyle w:val="FootnoteReference"/>
        </w:rPr>
        <w:footnoteRef/>
      </w:r>
      <w:r>
        <w:t xml:space="preserve"> </w:t>
      </w:r>
      <w:r w:rsidRPr="008D5924">
        <w:t xml:space="preserve">The CGC </w:t>
      </w:r>
      <w:r>
        <w:t xml:space="preserve">has not formally defined the </w:t>
      </w:r>
      <w:r w:rsidRPr="008D5924">
        <w:t>‘dominant</w:t>
      </w:r>
      <w:r>
        <w:t>-</w:t>
      </w:r>
      <w:r w:rsidRPr="008D5924">
        <w:t>state</w:t>
      </w:r>
      <w:r>
        <w:t xml:space="preserve"> </w:t>
      </w:r>
      <w:r w:rsidRPr="008D5924">
        <w:t>effect’. In practical terms, it arises where a state’s share of an assessed revenue base is much larger than its population share, so its policy</w:t>
      </w:r>
      <w:r>
        <w:t xml:space="preserve"> choices</w:t>
      </w:r>
      <w:r w:rsidRPr="008D5924">
        <w:t xml:space="preserve"> can strongly influence the average policy used in the assessment and produce large</w:t>
      </w:r>
      <w:r>
        <w:t xml:space="preserve"> changes to</w:t>
      </w:r>
      <w:r w:rsidRPr="008D5924">
        <w:t xml:space="preserve"> GST </w:t>
      </w:r>
      <w:r>
        <w:t>payments</w:t>
      </w:r>
      <w:r w:rsidRPr="008D5924">
        <w:t>.</w:t>
      </w:r>
    </w:p>
  </w:footnote>
  <w:footnote w:id="5">
    <w:p w14:paraId="41064D71" w14:textId="77777777" w:rsidR="00E51755" w:rsidRDefault="00E51755">
      <w:pPr>
        <w:pStyle w:val="FootnoteText"/>
      </w:pPr>
      <w:r w:rsidRPr="00201B0D">
        <w:rPr>
          <w:rStyle w:val="FootnoteReference"/>
        </w:rPr>
        <w:footnoteRef/>
      </w:r>
      <w:r>
        <w:t xml:space="preserve"> In the 2018 PC review, a change to the HFE system was recommended on the basis of disincentives to tax reform and the pursuit of efficient service delivery. Since the 2018 reforms, the PC’s view has changed due to changing circumstances, including the pursuit of tax reforms which are discussed in chapter 3.</w:t>
      </w:r>
    </w:p>
  </w:footnote>
  <w:footnote w:id="6">
    <w:p w14:paraId="294EAE89" w14:textId="77777777" w:rsidR="0007750C" w:rsidRPr="0075262B" w:rsidRDefault="0007750C">
      <w:pPr>
        <w:pStyle w:val="FootnoteText"/>
      </w:pPr>
      <w:r w:rsidRPr="00201B0D">
        <w:rPr>
          <w:rStyle w:val="FootnoteReference"/>
        </w:rPr>
        <w:footnoteRef/>
      </w:r>
      <w:r w:rsidRPr="004F7AEE">
        <w:t xml:space="preserve"> For example, </w:t>
      </w:r>
      <w:r w:rsidRPr="004F7AEE">
        <w:rPr>
          <w:i/>
          <w:iCs/>
        </w:rPr>
        <w:t>Ha v New South Wales</w:t>
      </w:r>
      <w:r w:rsidRPr="004F7AEE">
        <w:t xml:space="preserve"> (1997) and </w:t>
      </w:r>
      <w:r w:rsidRPr="004F7AEE">
        <w:rPr>
          <w:i/>
          <w:iCs/>
        </w:rPr>
        <w:t xml:space="preserve">Vanderstock v Victoria </w:t>
      </w:r>
      <w:r w:rsidRPr="004F7AEE">
        <w:t>(2023)</w:t>
      </w:r>
      <w:r>
        <w:t>.</w:t>
      </w:r>
    </w:p>
  </w:footnote>
  <w:footnote w:id="7">
    <w:p w14:paraId="4A8A924A" w14:textId="2FA49F40" w:rsidR="0007750C" w:rsidRPr="009762E4" w:rsidRDefault="0007750C">
      <w:pPr>
        <w:pStyle w:val="FootnoteText"/>
      </w:pPr>
      <w:r w:rsidRPr="00201B0D">
        <w:rPr>
          <w:rStyle w:val="FootnoteReference"/>
        </w:rPr>
        <w:footnoteRef/>
      </w:r>
      <w:r>
        <w:t xml:space="preserve"> </w:t>
      </w:r>
      <w:r>
        <w:rPr>
          <w:lang w:val="en-US"/>
        </w:rPr>
        <w:t xml:space="preserve">Other sources of untied funding include payments to Western Australia for </w:t>
      </w:r>
      <w:r w:rsidRPr="00573D08">
        <w:rPr>
          <w:lang w:val="en-US"/>
        </w:rPr>
        <w:t xml:space="preserve">mining activities in the North West Shelf and to the Australian Capital Territory for the provision of municipal services </w:t>
      </w:r>
      <w:r w:rsidRPr="00573D08">
        <w:rPr>
          <w:rFonts w:cs="Open Sans"/>
          <w:szCs w:val="24"/>
        </w:rPr>
        <w:t>(Commonwealth of Australia 2024a, pp. 126–127)</w:t>
      </w:r>
      <w:r w:rsidRPr="00573D08">
        <w:rPr>
          <w:lang w:val="en-US"/>
        </w:rPr>
        <w:t>.</w:t>
      </w:r>
      <w:r>
        <w:rPr>
          <w:lang w:val="en-US"/>
        </w:rPr>
        <w:t xml:space="preserve"> </w:t>
      </w:r>
    </w:p>
  </w:footnote>
  <w:footnote w:id="8">
    <w:p w14:paraId="411AF687" w14:textId="77777777" w:rsidR="0007750C" w:rsidRPr="005D6E0E" w:rsidRDefault="0007750C">
      <w:pPr>
        <w:pStyle w:val="FootnoteText"/>
      </w:pPr>
      <w:r w:rsidRPr="00201B0D">
        <w:rPr>
          <w:rStyle w:val="FootnoteReference"/>
        </w:rPr>
        <w:footnoteRef/>
      </w:r>
      <w:r>
        <w:t xml:space="preserve"> Assuming states make</w:t>
      </w:r>
      <w:r w:rsidRPr="00BC2AFF">
        <w:t xml:space="preserve"> the same effort to raise own-source revenue and operate at the average level of efficiency</w:t>
      </w:r>
      <w:r>
        <w:t>.</w:t>
      </w:r>
    </w:p>
  </w:footnote>
  <w:footnote w:id="9">
    <w:p w14:paraId="4270641F" w14:textId="77777777" w:rsidR="0007750C" w:rsidRPr="00876E73" w:rsidRDefault="0007750C">
      <w:pPr>
        <w:pStyle w:val="FootnoteText"/>
        <w:rPr>
          <w:lang w:val="en-US"/>
        </w:rPr>
      </w:pPr>
      <w:r w:rsidRPr="00201B0D">
        <w:rPr>
          <w:rStyle w:val="FootnoteReference"/>
        </w:rPr>
        <w:footnoteRef/>
      </w:r>
      <w:r>
        <w:t xml:space="preserve"> </w:t>
      </w:r>
      <w:r>
        <w:rPr>
          <w:lang w:val="en-US"/>
        </w:rPr>
        <w:t xml:space="preserve">Saul Eslake, sub. 3, p. 2; Tasmanian Government, sub. 48, p. 2; </w:t>
      </w:r>
      <w:r>
        <w:t>City of Melbourne, sub. 47, p. 2; Northern Territory Department of Treasury and Finance, sub. 39, p. 34; Victorian Government, sub. 59, pp. 1, 22; NSW Government, sub. 61, p. 8; Queensland Government, sub. 62, p. 3; Rob Fairs MP, sub. 15, p. 1.</w:t>
      </w:r>
    </w:p>
  </w:footnote>
  <w:footnote w:id="10">
    <w:p w14:paraId="6CBDD340" w14:textId="77777777" w:rsidR="0007750C" w:rsidRPr="00420360" w:rsidRDefault="0007750C">
      <w:pPr>
        <w:pStyle w:val="FootnoteText"/>
        <w:rPr>
          <w:lang w:val="en-US"/>
        </w:rPr>
      </w:pPr>
      <w:r w:rsidRPr="00201B0D">
        <w:rPr>
          <w:rStyle w:val="FootnoteReference"/>
        </w:rPr>
        <w:footnoteRef/>
      </w:r>
      <w:r>
        <w:t xml:space="preserve"> </w:t>
      </w:r>
      <w:r w:rsidRPr="00BC2AFF">
        <w:t xml:space="preserve">Rob Fairs MP 2026, </w:t>
      </w:r>
      <w:r>
        <w:t xml:space="preserve">sub. 15, </w:t>
      </w:r>
      <w:r w:rsidRPr="00BC2AFF">
        <w:t>p</w:t>
      </w:r>
      <w:r>
        <w:t>. </w:t>
      </w:r>
      <w:r w:rsidRPr="00BC2AFF">
        <w:t>2; Brendan McCarthy</w:t>
      </w:r>
      <w:r>
        <w:t>, sub. 29</w:t>
      </w:r>
      <w:r w:rsidRPr="00BC2AFF">
        <w:t>, p</w:t>
      </w:r>
      <w:r>
        <w:t>. </w:t>
      </w:r>
      <w:r w:rsidRPr="00BC2AFF">
        <w:t>2; John Purcel</w:t>
      </w:r>
      <w:r>
        <w:t>l, sub. 44</w:t>
      </w:r>
      <w:r w:rsidRPr="00BC2AFF">
        <w:t>, p</w:t>
      </w:r>
      <w:r>
        <w:t>. 3</w:t>
      </w:r>
      <w:r w:rsidRPr="00BC2AFF">
        <w:t>8; Queensland Government</w:t>
      </w:r>
      <w:r>
        <w:t>, sub. 62,</w:t>
      </w:r>
      <w:r w:rsidRPr="00BC2AFF">
        <w:t xml:space="preserve"> p</w:t>
      </w:r>
      <w:r>
        <w:t>p. </w:t>
      </w:r>
      <w:r w:rsidRPr="00BC2AFF">
        <w:t>21</w:t>
      </w:r>
      <w:r>
        <w:t>, 26.</w:t>
      </w:r>
    </w:p>
  </w:footnote>
  <w:footnote w:id="11">
    <w:p w14:paraId="495E1DDC" w14:textId="0D1C5387" w:rsidR="0007750C" w:rsidRPr="0070260E" w:rsidRDefault="0007750C">
      <w:pPr>
        <w:pStyle w:val="FootnoteText"/>
        <w:rPr>
          <w:spacing w:val="-2"/>
        </w:rPr>
      </w:pPr>
      <w:r w:rsidRPr="0070260E">
        <w:rPr>
          <w:rStyle w:val="FootnoteReference"/>
          <w:spacing w:val="-2"/>
        </w:rPr>
        <w:footnoteRef/>
      </w:r>
      <w:r w:rsidRPr="0070260E">
        <w:rPr>
          <w:spacing w:val="-2"/>
        </w:rPr>
        <w:t xml:space="preserve"> These warnings were made during the broader policy debate surrounding the introduction of an Australian Government Mineral Resources Rent Tax (MRRT). Subsequently, Western Australia successfully made a case that the CGC’s treatment of iron ore fines (small particles of iron ore) in its mining assessment would result in a reduction in GST payments greater than the additional revenue raised from the increase in iron ore fines </w:t>
      </w:r>
      <w:r w:rsidRPr="0070260E">
        <w:rPr>
          <w:rFonts w:cs="Open Sans"/>
          <w:spacing w:val="-2"/>
          <w:szCs w:val="24"/>
        </w:rPr>
        <w:t>(Senate Economics Legislation Committee 2011, p. 2)</w:t>
      </w:r>
      <w:r w:rsidRPr="0070260E">
        <w:rPr>
          <w:spacing w:val="-2"/>
        </w:rPr>
        <w:t>. The then Australian Treasurer directed the CGC to prevent this from occurring in the terms of reference for the CGC’s 2011 Update</w:t>
      </w:r>
      <w:r w:rsidRPr="0070260E" w:rsidDel="00AE5CC9">
        <w:rPr>
          <w:spacing w:val="-2"/>
        </w:rPr>
        <w:t xml:space="preserve"> </w:t>
      </w:r>
      <w:r w:rsidRPr="0070260E">
        <w:rPr>
          <w:rFonts w:cs="Open Sans"/>
          <w:spacing w:val="-2"/>
          <w:szCs w:val="24"/>
        </w:rPr>
        <w:t>(Senate Standing Committee on Economics 2011)</w:t>
      </w:r>
      <w:r w:rsidRPr="0070260E">
        <w:rPr>
          <w:spacing w:val="-2"/>
        </w:rPr>
        <w:t xml:space="preserve">. The issue was addressed with a change to the mining assessment in the CGC’s 2015 methodology review </w:t>
      </w:r>
      <w:r w:rsidR="00B24F63" w:rsidRPr="0070260E">
        <w:rPr>
          <w:rFonts w:cs="Open Sans"/>
          <w:spacing w:val="-2"/>
        </w:rPr>
        <w:t>(CGC 2015a, pp. 106–109)</w:t>
      </w:r>
      <w:r w:rsidRPr="0070260E">
        <w:rPr>
          <w:spacing w:val="-2"/>
        </w:rPr>
        <w:t>.</w:t>
      </w:r>
    </w:p>
  </w:footnote>
  <w:footnote w:id="12">
    <w:p w14:paraId="3AAC5212" w14:textId="77777777" w:rsidR="0007750C" w:rsidRPr="005E6036" w:rsidRDefault="0007750C">
      <w:pPr>
        <w:pStyle w:val="FootnoteText"/>
        <w:rPr>
          <w:lang w:val="en-US"/>
        </w:rPr>
      </w:pPr>
      <w:r w:rsidRPr="00201B0D">
        <w:rPr>
          <w:rStyle w:val="FootnoteReference"/>
        </w:rPr>
        <w:footnoteRef/>
      </w:r>
      <w:r>
        <w:t xml:space="preserve"> Government of Western Australia, sub. 37, p. 62;</w:t>
      </w:r>
      <w:r w:rsidRPr="00A34D14">
        <w:t xml:space="preserve"> Amanda Haley, sub. 8</w:t>
      </w:r>
      <w:r>
        <w:t>, p. 11</w:t>
      </w:r>
      <w:r w:rsidRPr="00A34D14">
        <w:t>; C</w:t>
      </w:r>
      <w:r>
        <w:t>ME</w:t>
      </w:r>
      <w:r w:rsidRPr="00A34D14">
        <w:t>, sub. 50</w:t>
      </w:r>
      <w:r>
        <w:t>, p. 2</w:t>
      </w:r>
      <w:r w:rsidRPr="00A34D14">
        <w:t xml:space="preserve">; </w:t>
      </w:r>
      <w:r>
        <w:t xml:space="preserve">CCIWA, sub. 49, p. 5; </w:t>
      </w:r>
      <w:r w:rsidRPr="00A34D14">
        <w:t>Sandra Brewer MLA, sub. 52</w:t>
      </w:r>
      <w:r>
        <w:t>, pp. 2–4.</w:t>
      </w:r>
    </w:p>
  </w:footnote>
  <w:footnote w:id="13">
    <w:p w14:paraId="7FD54B83" w14:textId="77777777" w:rsidR="0007750C" w:rsidRDefault="0007750C">
      <w:pPr>
        <w:pStyle w:val="FootnoteText"/>
      </w:pPr>
      <w:r w:rsidRPr="00201B0D">
        <w:rPr>
          <w:rStyle w:val="FootnoteReference"/>
        </w:rPr>
        <w:footnoteRef/>
      </w:r>
      <w:r>
        <w:t xml:space="preserve"> The HFE system does not redistribute revenue between states. </w:t>
      </w:r>
      <w:r w:rsidRPr="004E0D38">
        <w:t xml:space="preserve">Instead, </w:t>
      </w:r>
      <w:r>
        <w:t xml:space="preserve">a state which undertakes reform may be assessed as having a greater </w:t>
      </w:r>
      <w:r w:rsidRPr="004E0D38">
        <w:t xml:space="preserve">fiscal capacity </w:t>
      </w:r>
      <w:r>
        <w:t xml:space="preserve">due to </w:t>
      </w:r>
      <w:r w:rsidRPr="004E0D38">
        <w:t>an increased ability to raise revenue</w:t>
      </w:r>
      <w:r>
        <w:t xml:space="preserve">. This </w:t>
      </w:r>
      <w:r w:rsidRPr="004E0D38">
        <w:t xml:space="preserve">results in that state being assessed </w:t>
      </w:r>
      <w:r>
        <w:t xml:space="preserve">by the CGC </w:t>
      </w:r>
      <w:r w:rsidRPr="00B3783A">
        <w:t xml:space="preserve">as requiring </w:t>
      </w:r>
      <w:r>
        <w:t xml:space="preserve">relatively </w:t>
      </w:r>
      <w:r w:rsidRPr="00B3783A">
        <w:t xml:space="preserve">less support to provide </w:t>
      </w:r>
      <w:r>
        <w:t xml:space="preserve">a similar </w:t>
      </w:r>
      <w:r w:rsidRPr="00B3783A">
        <w:t>standard of services</w:t>
      </w:r>
      <w:r>
        <w:t xml:space="preserve"> to other states, and therefore the state may receive relatively less in GST payments</w:t>
      </w:r>
      <w:r w:rsidRPr="004D3566">
        <w:t xml:space="preserve"> from the Australian Government.</w:t>
      </w:r>
    </w:p>
  </w:footnote>
  <w:footnote w:id="14">
    <w:p w14:paraId="34BECBAA" w14:textId="77777777" w:rsidR="0007750C" w:rsidRPr="003641C8" w:rsidRDefault="0007750C">
      <w:pPr>
        <w:pStyle w:val="FootnoteText"/>
        <w:rPr>
          <w:lang w:val="en-US"/>
        </w:rPr>
      </w:pPr>
      <w:r w:rsidRPr="00201B0D">
        <w:rPr>
          <w:rStyle w:val="FootnoteReference"/>
        </w:rPr>
        <w:footnoteRef/>
      </w:r>
      <w:r>
        <w:t xml:space="preserve"> </w:t>
      </w:r>
      <w:r>
        <w:rPr>
          <w:lang w:val="en-US"/>
        </w:rPr>
        <w:t xml:space="preserve">Following the 2018 reforms, the dominant state issue has been raised by several other states and considered by the CGC. </w:t>
      </w:r>
    </w:p>
  </w:footnote>
  <w:footnote w:id="15">
    <w:p w14:paraId="6F82C40E" w14:textId="77777777" w:rsidR="000C5687" w:rsidRPr="0006491A" w:rsidRDefault="000C5687">
      <w:pPr>
        <w:pStyle w:val="FootnoteText"/>
        <w:rPr>
          <w:lang w:val="en-US"/>
        </w:rPr>
      </w:pPr>
      <w:r w:rsidRPr="00201B0D">
        <w:rPr>
          <w:rStyle w:val="FootnoteReference"/>
        </w:rPr>
        <w:footnoteRef/>
      </w:r>
      <w:r>
        <w:t xml:space="preserve"> The context of the reforms is explored more deeply in chapter 1.</w:t>
      </w:r>
    </w:p>
  </w:footnote>
  <w:footnote w:id="16">
    <w:p w14:paraId="06A84DAB" w14:textId="77777777" w:rsidR="000C5687" w:rsidRPr="00936750" w:rsidRDefault="000C5687">
      <w:pPr>
        <w:pStyle w:val="FootnoteText"/>
        <w:rPr>
          <w:lang w:val="en-US"/>
        </w:rPr>
      </w:pPr>
      <w:r w:rsidRPr="00201B0D">
        <w:rPr>
          <w:rStyle w:val="FootnoteReference"/>
        </w:rPr>
        <w:footnoteRef/>
      </w:r>
      <w:r>
        <w:t xml:space="preserve"> </w:t>
      </w:r>
      <w:r>
        <w:rPr>
          <w:lang w:val="en-US"/>
        </w:rPr>
        <w:t>These parts of the EM were identified as representing the core ‘intent’ of the reforms because of their consistent sentence structure. Each statement started with the words ‘</w:t>
      </w:r>
      <w:r w:rsidRPr="00FF0D97">
        <w:rPr>
          <w:i/>
          <w:lang w:val="en-US"/>
        </w:rPr>
        <w:t>The plan …</w:t>
      </w:r>
      <w:r>
        <w:rPr>
          <w:lang w:val="en-US"/>
        </w:rPr>
        <w:t>’.</w:t>
      </w:r>
    </w:p>
  </w:footnote>
  <w:footnote w:id="17">
    <w:p w14:paraId="01B840EA" w14:textId="77777777" w:rsidR="000C5687" w:rsidRPr="003E760E" w:rsidRDefault="000C5687">
      <w:pPr>
        <w:pStyle w:val="FootnoteText"/>
        <w:rPr>
          <w:lang w:val="en-US"/>
        </w:rPr>
      </w:pPr>
      <w:r w:rsidRPr="00201B0D">
        <w:rPr>
          <w:rStyle w:val="FootnoteReference"/>
        </w:rPr>
        <w:footnoteRef/>
      </w:r>
      <w:r>
        <w:t xml:space="preserve"> The interaction of the GST distribution system with incentives for state tax reform is discussed in chapter 3.</w:t>
      </w:r>
    </w:p>
  </w:footnote>
  <w:footnote w:id="18">
    <w:p w14:paraId="149EEF6F" w14:textId="624040E0" w:rsidR="000C5687" w:rsidRDefault="000C5687">
      <w:pPr>
        <w:pStyle w:val="FootnoteText"/>
      </w:pPr>
      <w:r w:rsidRPr="00201B0D">
        <w:rPr>
          <w:rStyle w:val="FootnoteReference"/>
        </w:rPr>
        <w:footnoteRef/>
      </w:r>
      <w:r>
        <w:t xml:space="preserve"> The CGC’s treatment of natural disaster expenditure only considers state spending net of reimbursements from insurance payments and Australian Government contributions </w:t>
      </w:r>
      <w:r w:rsidR="00546FEC" w:rsidRPr="00546FEC">
        <w:rPr>
          <w:rFonts w:cs="Open Sans"/>
        </w:rPr>
        <w:t>(CGC 2022b, p. 2)</w:t>
      </w:r>
      <w:r>
        <w:t>. This ensures the assessment only includes expenditure that affects state fiscal capacity. For clarity, this stylised example does not include the lags that exist in the GST distribution system or disasters in other states. Further detail is available in appendix C.</w:t>
      </w:r>
    </w:p>
  </w:footnote>
  <w:footnote w:id="19">
    <w:p w14:paraId="30541F10" w14:textId="77777777" w:rsidR="000C5687" w:rsidRPr="00EF52DE" w:rsidRDefault="000C5687">
      <w:pPr>
        <w:pStyle w:val="FootnoteText"/>
      </w:pPr>
      <w:r w:rsidRPr="00201B0D">
        <w:rPr>
          <w:rStyle w:val="FootnoteReference"/>
        </w:rPr>
        <w:footnoteRef/>
      </w:r>
      <w:r>
        <w:t xml:space="preserve"> This example assumes that the fiscal capacity of New South Wales remains greater than that of Victoria. </w:t>
      </w:r>
    </w:p>
  </w:footnote>
  <w:footnote w:id="20">
    <w:p w14:paraId="263879F6" w14:textId="77777777" w:rsidR="000C5687" w:rsidRPr="00961FF6" w:rsidRDefault="000C5687">
      <w:pPr>
        <w:pStyle w:val="FootnoteText"/>
      </w:pPr>
      <w:r w:rsidRPr="00201B0D">
        <w:rPr>
          <w:rStyle w:val="FootnoteReference"/>
        </w:rPr>
        <w:footnoteRef/>
      </w:r>
      <w:r>
        <w:t xml:space="preserve"> Arrangements for transitional top</w:t>
      </w:r>
      <w:r>
        <w:noBreakHyphen/>
        <w:t>up payments were in place between 2019–20 and 2021–22 but appear in Budget documents from 2018–19 as Western Australia received an advance on a 2019–20 payment in 2018–19.</w:t>
      </w:r>
    </w:p>
  </w:footnote>
  <w:footnote w:id="21">
    <w:p w14:paraId="5FABA157" w14:textId="77777777" w:rsidR="000C5687" w:rsidRPr="009801A0" w:rsidRDefault="000C5687">
      <w:pPr>
        <w:pStyle w:val="FootnoteText"/>
      </w:pPr>
      <w:r w:rsidRPr="00201B0D">
        <w:rPr>
          <w:rStyle w:val="FootnoteReference"/>
        </w:rPr>
        <w:footnoteRef/>
      </w:r>
      <w:r>
        <w:t xml:space="preserve"> This was because the combined effect of an anticipated weakening of the iron ore market (narrowing the gap between Western Australia’s GST revenue under the pre</w:t>
      </w:r>
      <w:r>
        <w:noBreakHyphen/>
        <w:t>2018 and current distribution systems) and the GST pool boost (which increases the size of the GST pool) was anticipated to leave all states better off.</w:t>
      </w:r>
    </w:p>
  </w:footnote>
  <w:footnote w:id="22">
    <w:p w14:paraId="565971AD" w14:textId="4AAECA4C" w:rsidR="000C5687" w:rsidRPr="00236C11" w:rsidRDefault="000C5687">
      <w:pPr>
        <w:pStyle w:val="FootnoteText"/>
        <w:rPr>
          <w:lang w:val="en-US"/>
        </w:rPr>
      </w:pPr>
      <w:r w:rsidRPr="00201B0D">
        <w:rPr>
          <w:rStyle w:val="FootnoteReference"/>
        </w:rPr>
        <w:footnoteRef/>
      </w:r>
      <w:r>
        <w:t xml:space="preserve"> </w:t>
      </w:r>
      <w:r>
        <w:rPr>
          <w:lang w:val="en-US"/>
        </w:rPr>
        <w:t xml:space="preserve">Based on there being 13.6 million Australian taxpayers from 1 July 2024 </w:t>
      </w:r>
      <w:r w:rsidRPr="000929DD">
        <w:rPr>
          <w:rFonts w:cs="Open Sans"/>
        </w:rPr>
        <w:t>(Commonwealth of Australia 2024b, p. 1)</w:t>
      </w:r>
      <w:r>
        <w:rPr>
          <w:lang w:val="en-US"/>
        </w:rPr>
        <w:t>.</w:t>
      </w:r>
    </w:p>
  </w:footnote>
  <w:footnote w:id="23">
    <w:p w14:paraId="406AE957" w14:textId="07286D96" w:rsidR="000C5687" w:rsidRPr="009571CB" w:rsidRDefault="000C5687">
      <w:pPr>
        <w:pStyle w:val="FootnoteText"/>
        <w:rPr>
          <w:spacing w:val="-4"/>
        </w:rPr>
      </w:pPr>
      <w:r w:rsidRPr="009571CB">
        <w:rPr>
          <w:rStyle w:val="FootnoteReference"/>
          <w:spacing w:val="-4"/>
        </w:rPr>
        <w:footnoteRef/>
      </w:r>
      <w:r w:rsidRPr="009571CB">
        <w:rPr>
          <w:spacing w:val="-4"/>
        </w:rPr>
        <w:t xml:space="preserve"> Although NoWO payments are made to states each year, t</w:t>
      </w:r>
      <w:r w:rsidRPr="009571CB">
        <w:rPr>
          <w:spacing w:val="-4"/>
          <w:lang w:val="en-US"/>
        </w:rPr>
        <w:t>he NoWO guarantee is ultimately cumulative over the transition period. States are guaranteed to receive at least as much GST revenue under the current distribution system as they would have under the pre</w:t>
      </w:r>
      <w:r w:rsidRPr="009571CB">
        <w:rPr>
          <w:spacing w:val="-4"/>
          <w:lang w:val="en-US"/>
        </w:rPr>
        <w:noBreakHyphen/>
        <w:t xml:space="preserve">2018 system not in each year, but across the transition period </w:t>
      </w:r>
      <w:r w:rsidR="00546FEC" w:rsidRPr="009571CB">
        <w:rPr>
          <w:rFonts w:cs="Open Sans"/>
          <w:spacing w:val="-4"/>
        </w:rPr>
        <w:t>(CGC 2021c, p. 3)</w:t>
      </w:r>
      <w:r w:rsidRPr="009571CB">
        <w:rPr>
          <w:spacing w:val="-4"/>
          <w:lang w:val="en-US"/>
        </w:rPr>
        <w:t>.</w:t>
      </w:r>
    </w:p>
  </w:footnote>
  <w:footnote w:id="24">
    <w:p w14:paraId="6086933C" w14:textId="77777777" w:rsidR="000C5687" w:rsidRPr="00343175" w:rsidRDefault="000C5687">
      <w:pPr>
        <w:pStyle w:val="FootnoteText"/>
        <w:rPr>
          <w:lang w:val="en-US"/>
        </w:rPr>
      </w:pPr>
      <w:r w:rsidRPr="00201B0D">
        <w:rPr>
          <w:rStyle w:val="FootnoteReference"/>
        </w:rPr>
        <w:footnoteRef/>
      </w:r>
      <w:r>
        <w:t xml:space="preserve"> ACT Government, sub. 38, p. 4</w:t>
      </w:r>
      <w:r>
        <w:rPr>
          <w:lang w:val="en-US"/>
        </w:rPr>
        <w:t>; Government of South Australia, sub. 13, p. 9; Northern Territory Department of Treasury and Finance, sub. 39, p. 31; NSW Government, sub. 61, p. 15; Queensland Government, sub. 62, p. 11; Tasmanian Government, sub. 48, p. 7; Victorian Government, sub. 59, p. 20.</w:t>
      </w:r>
    </w:p>
  </w:footnote>
  <w:footnote w:id="25">
    <w:p w14:paraId="25CB3C77" w14:textId="77777777" w:rsidR="000C5687" w:rsidRPr="006665DB" w:rsidRDefault="000C5687">
      <w:pPr>
        <w:pStyle w:val="FootnoteText"/>
        <w:rPr>
          <w:lang w:val="en-US"/>
        </w:rPr>
      </w:pPr>
      <w:r w:rsidRPr="00201B0D">
        <w:rPr>
          <w:rStyle w:val="FootnoteReference"/>
        </w:rPr>
        <w:footnoteRef/>
      </w:r>
      <w:r>
        <w:t xml:space="preserve"> Trends in volatility are similar if the analysis is restricted to the years following the 2018 reforms.</w:t>
      </w:r>
    </w:p>
  </w:footnote>
  <w:footnote w:id="26">
    <w:p w14:paraId="00DB68A4" w14:textId="77777777" w:rsidR="000C5687" w:rsidRPr="006B6621" w:rsidRDefault="000C5687">
      <w:pPr>
        <w:pStyle w:val="FootnoteText"/>
        <w:rPr>
          <w:lang w:val="en-US"/>
        </w:rPr>
      </w:pPr>
      <w:r w:rsidRPr="00201B0D">
        <w:rPr>
          <w:rStyle w:val="FootnoteReference"/>
        </w:rPr>
        <w:footnoteRef/>
      </w:r>
      <w:r>
        <w:t xml:space="preserve"> </w:t>
      </w:r>
      <w:r w:rsidRPr="00AF7E6D">
        <w:t>Ultimately</w:t>
      </w:r>
      <w:r>
        <w:t xml:space="preserve"> </w:t>
      </w:r>
      <w:r w:rsidRPr="00AF7E6D">
        <w:t xml:space="preserve">this does not mean that this change was not desirable, as the </w:t>
      </w:r>
      <w:r>
        <w:t>Australian</w:t>
      </w:r>
      <w:r w:rsidRPr="00AF7E6D">
        <w:t xml:space="preserve"> Government may be better placed to bear volatility</w:t>
      </w:r>
      <w:r>
        <w:noBreakHyphen/>
      </w:r>
      <w:r w:rsidRPr="00AF7E6D">
        <w:t>related risks.</w:t>
      </w:r>
    </w:p>
  </w:footnote>
  <w:footnote w:id="27">
    <w:p w14:paraId="7C4A1306" w14:textId="77777777" w:rsidR="000C5687" w:rsidRPr="00013596" w:rsidRDefault="000C5687">
      <w:pPr>
        <w:pStyle w:val="FootnoteText"/>
        <w:rPr>
          <w:lang w:val="en-US"/>
        </w:rPr>
      </w:pPr>
      <w:r w:rsidRPr="00201B0D">
        <w:rPr>
          <w:rStyle w:val="FootnoteReference"/>
        </w:rPr>
        <w:footnoteRef/>
      </w:r>
      <w:r>
        <w:t xml:space="preserve"> </w:t>
      </w:r>
      <w:r w:rsidRPr="00CD661B">
        <w:t xml:space="preserve">Dean Winter MP, sub. 14, p. 2; </w:t>
      </w:r>
      <w:r w:rsidRPr="00497615">
        <w:t xml:space="preserve">Government of South Australia, sub. 13, p. 15; </w:t>
      </w:r>
      <w:r w:rsidRPr="00EE1A8F">
        <w:t xml:space="preserve">Huon Valley Council, sub. 19, p. 2; </w:t>
      </w:r>
      <w:r w:rsidRPr="0060485A">
        <w:t xml:space="preserve">Northern Territory Department of Treasury and Finance, sub. 39, p. 31; </w:t>
      </w:r>
      <w:r w:rsidRPr="008D240B">
        <w:t>Rob Fairs MP, sub. 15, p. 2; Rosalie</w:t>
      </w:r>
      <w:r>
        <w:t> </w:t>
      </w:r>
      <w:r w:rsidRPr="008D240B">
        <w:t>Woodruff MP, sub. 26, p. </w:t>
      </w:r>
      <w:r w:rsidRPr="001221D7">
        <w:t>2; Tasmanian Government, sub. 48, p. 39</w:t>
      </w:r>
      <w:r w:rsidRPr="00B41DF8">
        <w:t>; Victorian Government, sub. 59, p. 33.</w:t>
      </w:r>
    </w:p>
  </w:footnote>
  <w:footnote w:id="28">
    <w:p w14:paraId="40C8B6E8" w14:textId="77777777" w:rsidR="000C5687" w:rsidRPr="001310C2" w:rsidRDefault="000C5687">
      <w:pPr>
        <w:pStyle w:val="FootnoteText"/>
        <w:rPr>
          <w:lang w:val="en-US"/>
        </w:rPr>
      </w:pPr>
      <w:r w:rsidRPr="00201B0D">
        <w:rPr>
          <w:rStyle w:val="FootnoteReference"/>
        </w:rPr>
        <w:footnoteRef/>
      </w:r>
      <w:r w:rsidRPr="00E371E6">
        <w:t xml:space="preserve"> </w:t>
      </w:r>
      <w:r w:rsidRPr="00E371E6">
        <w:rPr>
          <w:lang w:val="en-US"/>
        </w:rPr>
        <w:t xml:space="preserve">ACT Government, sub. 38, p. 5; </w:t>
      </w:r>
      <w:r w:rsidRPr="00E371E6">
        <w:t>Dean</w:t>
      </w:r>
      <w:r w:rsidRPr="00CD661B">
        <w:t xml:space="preserve"> Winter MP, sub. 14, p. 2; </w:t>
      </w:r>
      <w:r w:rsidRPr="00497615">
        <w:rPr>
          <w:lang w:val="en-US"/>
        </w:rPr>
        <w:t xml:space="preserve">Government of South Australia, sub. 13, p. 11; </w:t>
      </w:r>
      <w:r w:rsidRPr="000A60B2">
        <w:rPr>
          <w:lang w:val="en-US"/>
        </w:rPr>
        <w:t>Northern</w:t>
      </w:r>
      <w:r w:rsidRPr="0060485A">
        <w:rPr>
          <w:lang w:val="en-US"/>
        </w:rPr>
        <w:t xml:space="preserve"> Territory Department of Treasury and Finance, sub. 39, pp. 9–10; </w:t>
      </w:r>
      <w:r w:rsidRPr="000A60B2">
        <w:rPr>
          <w:lang w:val="en-US"/>
        </w:rPr>
        <w:t xml:space="preserve">NSW Government, sub. 61, p. 33; </w:t>
      </w:r>
      <w:r w:rsidRPr="001221D7">
        <w:rPr>
          <w:lang w:val="en-US"/>
        </w:rPr>
        <w:t xml:space="preserve">Tasmanian Government, sub. 48, p. 14; </w:t>
      </w:r>
      <w:r w:rsidRPr="00B41DF8">
        <w:rPr>
          <w:lang w:val="en-US"/>
        </w:rPr>
        <w:t>Victorian</w:t>
      </w:r>
      <w:r w:rsidRPr="00B41DF8">
        <w:t> Government, sub. 59, p</w:t>
      </w:r>
      <w:r>
        <w:t>p</w:t>
      </w:r>
      <w:r w:rsidRPr="00B41DF8">
        <w:t>. 33</w:t>
      </w:r>
      <w:r>
        <w:t>–34</w:t>
      </w:r>
      <w:r w:rsidRPr="00B41DF8">
        <w:rPr>
          <w:lang w:val="en-US"/>
        </w:rPr>
        <w:t>.</w:t>
      </w:r>
    </w:p>
  </w:footnote>
  <w:footnote w:id="29">
    <w:p w14:paraId="6F1DACAF" w14:textId="77777777" w:rsidR="000C5687" w:rsidRPr="00B97C7B" w:rsidRDefault="000C5687">
      <w:pPr>
        <w:pStyle w:val="FootnoteText"/>
        <w:rPr>
          <w:lang w:val="en-US"/>
        </w:rPr>
      </w:pPr>
      <w:r w:rsidRPr="00201B0D">
        <w:rPr>
          <w:rStyle w:val="FootnoteReference"/>
        </w:rPr>
        <w:footnoteRef/>
      </w:r>
      <w:r>
        <w:t xml:space="preserve"> For New South Wales and Victoria, the shock would need to see their assessed and standard state relativities fall below 0.75 to be afforded protection.</w:t>
      </w:r>
    </w:p>
  </w:footnote>
  <w:footnote w:id="30">
    <w:p w14:paraId="60769D93" w14:textId="77777777" w:rsidR="000C5687" w:rsidRPr="004847F6" w:rsidRDefault="000C5687">
      <w:pPr>
        <w:pStyle w:val="FootnoteText"/>
        <w:rPr>
          <w:lang w:val="en-US"/>
        </w:rPr>
      </w:pPr>
      <w:r w:rsidRPr="00201B0D">
        <w:rPr>
          <w:rStyle w:val="FootnoteReference"/>
        </w:rPr>
        <w:footnoteRef/>
      </w:r>
      <w:r>
        <w:t xml:space="preserve"> Government of South Australia, sub. 13, p. 5; Northern Territory Department of Treasury and Finance, sub. 39, pp. 5–6; NSW Government, sub. 61, p. 4; Queensland Government, sub. 62, pp. 3–7; Tasmanian Government, sub. 48, pp. 2–3; </w:t>
      </w:r>
      <w:r>
        <w:rPr>
          <w:lang w:val="en-US"/>
        </w:rPr>
        <w:t>Victorian Government, sub. 59, p. 1.</w:t>
      </w:r>
    </w:p>
  </w:footnote>
  <w:footnote w:id="31">
    <w:p w14:paraId="2B839BDC" w14:textId="494FE66B" w:rsidR="000A62ED" w:rsidRPr="00A3664E" w:rsidRDefault="000A62ED">
      <w:pPr>
        <w:pStyle w:val="Note"/>
      </w:pPr>
      <w:r w:rsidRPr="00201B0D">
        <w:rPr>
          <w:rStyle w:val="FootnoteReference"/>
        </w:rPr>
        <w:footnoteRef/>
      </w:r>
      <w:r>
        <w:t xml:space="preserve"> Northern Territory Department of Treasury and Finance, sub. 39, p. 16; Tasmanian Government, sub. 48, p. 2; ACT</w:t>
      </w:r>
      <w:r w:rsidR="00854A1D">
        <w:t> </w:t>
      </w:r>
      <w:r>
        <w:t>Government, sub. 38, p. 3-4; Government of South Australia, sub. 13, p. 12-13; Victorian Government, sub. 59, p. 1; Queensland Government, sub. 62, p. 21.</w:t>
      </w:r>
    </w:p>
  </w:footnote>
  <w:footnote w:id="32">
    <w:p w14:paraId="72FF021D" w14:textId="77777777" w:rsidR="000A62ED" w:rsidRDefault="000A62ED">
      <w:pPr>
        <w:pStyle w:val="FootnoteText"/>
      </w:pPr>
      <w:r w:rsidRPr="00201B0D">
        <w:rPr>
          <w:rStyle w:val="FootnoteReference"/>
        </w:rPr>
        <w:footnoteRef/>
      </w:r>
      <w:r>
        <w:t xml:space="preserve"> Each state’s relativity must be at least as high as the standard state benchmark (that is, the relativity of whichever of New South Wales or Victoria has the greater fiscal capacity).</w:t>
      </w:r>
    </w:p>
  </w:footnote>
  <w:footnote w:id="33">
    <w:p w14:paraId="3C00FF68" w14:textId="77777777" w:rsidR="000A62ED" w:rsidRPr="001A74A0" w:rsidRDefault="000A62ED">
      <w:pPr>
        <w:pStyle w:val="FootnoteText"/>
        <w:rPr>
          <w:spacing w:val="-4"/>
        </w:rPr>
      </w:pPr>
      <w:r w:rsidRPr="001A74A0">
        <w:rPr>
          <w:rStyle w:val="FootnoteReference"/>
          <w:spacing w:val="-4"/>
        </w:rPr>
        <w:footnoteRef/>
      </w:r>
      <w:r w:rsidRPr="001A74A0">
        <w:rPr>
          <w:spacing w:val="-4"/>
        </w:rPr>
        <w:t xml:space="preserve"> </w:t>
      </w:r>
      <w:r w:rsidRPr="001A74A0">
        <w:rPr>
          <w:spacing w:val="-4"/>
          <w:lang w:val="en-US"/>
        </w:rPr>
        <w:t xml:space="preserve">Saul Eslake, sub. 3, p. 2; Tasmanian Government, sub. 48, p. 2; </w:t>
      </w:r>
      <w:r w:rsidRPr="001A74A0">
        <w:rPr>
          <w:spacing w:val="-4"/>
        </w:rPr>
        <w:t>City of Melbourne, sub. 47, p. 2; Northern Territory Government, sub. 39, p. 6; Victorian Government, sub. 59, p. 1; Queensland Government, sub. 62, p. 3; Rob Fairs MP, sub. 15, p. 1.</w:t>
      </w:r>
    </w:p>
  </w:footnote>
  <w:footnote w:id="34">
    <w:p w14:paraId="0D530FC7" w14:textId="77777777" w:rsidR="000A62ED" w:rsidRPr="00DF256B" w:rsidRDefault="000A62ED">
      <w:pPr>
        <w:pStyle w:val="FootnoteText"/>
      </w:pPr>
      <w:r w:rsidRPr="00201B0D">
        <w:rPr>
          <w:rStyle w:val="FootnoteReference"/>
        </w:rPr>
        <w:footnoteRef/>
      </w:r>
      <w:r>
        <w:t xml:space="preserve"> </w:t>
      </w:r>
      <w:r w:rsidRPr="00983F97">
        <w:t xml:space="preserve">The PC notes that </w:t>
      </w:r>
      <w:r>
        <w:t>the degree of fiscal equalisation</w:t>
      </w:r>
      <w:r w:rsidRPr="00983F97">
        <w:t xml:space="preserve"> can be measured in several ways, including </w:t>
      </w:r>
      <w:r>
        <w:t xml:space="preserve">with </w:t>
      </w:r>
      <w:r w:rsidRPr="00983F97">
        <w:t xml:space="preserve">Gini coefficients. </w:t>
      </w:r>
      <w:r>
        <w:t>The PC</w:t>
      </w:r>
      <w:r w:rsidRPr="00983F97">
        <w:t xml:space="preserve"> will consult on the most </w:t>
      </w:r>
      <w:r>
        <w:t>relevant</w:t>
      </w:r>
      <w:r w:rsidRPr="00983F97">
        <w:t xml:space="preserve"> measure before the Final Report.</w:t>
      </w:r>
    </w:p>
  </w:footnote>
  <w:footnote w:id="35">
    <w:p w14:paraId="4690F459" w14:textId="77777777" w:rsidR="000A62ED" w:rsidRPr="007C483A" w:rsidRDefault="000A62ED">
      <w:pPr>
        <w:pStyle w:val="Note"/>
        <w:rPr>
          <w:lang w:val="en-US"/>
        </w:rPr>
      </w:pPr>
      <w:r w:rsidRPr="00201B0D">
        <w:rPr>
          <w:rStyle w:val="FootnoteReference"/>
        </w:rPr>
        <w:footnoteRef/>
      </w:r>
      <w:r>
        <w:t xml:space="preserve"> </w:t>
      </w:r>
      <w:r>
        <w:rPr>
          <w:lang w:val="en-US"/>
        </w:rPr>
        <w:t>Note this is the average weighted by assessed expenses of the absolute value of the rate effect, meaning it is measuring distance from no GST effect or pure neutrality.</w:t>
      </w:r>
    </w:p>
  </w:footnote>
  <w:footnote w:id="36">
    <w:p w14:paraId="41FAD6DE" w14:textId="2DF6393F" w:rsidR="000A62ED" w:rsidRPr="00402CEB" w:rsidRDefault="000A62ED">
      <w:pPr>
        <w:pStyle w:val="Note"/>
        <w:rPr>
          <w:spacing w:val="-6"/>
          <w:lang w:val="en-US"/>
        </w:rPr>
      </w:pPr>
      <w:r w:rsidRPr="00402CEB">
        <w:rPr>
          <w:rStyle w:val="FootnoteReference"/>
          <w:spacing w:val="-6"/>
        </w:rPr>
        <w:footnoteRef/>
      </w:r>
      <w:r w:rsidRPr="00402CEB">
        <w:rPr>
          <w:spacing w:val="-6"/>
        </w:rPr>
        <w:t xml:space="preserve"> </w:t>
      </w:r>
      <w:r w:rsidRPr="00402CEB">
        <w:rPr>
          <w:spacing w:val="-6"/>
          <w:lang w:val="en-US"/>
        </w:rPr>
        <w:t xml:space="preserve">The CGC has committed to further investigating elasticity adjustments in its 2026 forward work plan </w:t>
      </w:r>
      <w:r w:rsidR="00546FEC" w:rsidRPr="00402CEB">
        <w:rPr>
          <w:rFonts w:cs="Open Sans"/>
          <w:spacing w:val="-6"/>
        </w:rPr>
        <w:t>(CGC 2026e, pp. 3–4)</w:t>
      </w:r>
      <w:r w:rsidRPr="00402CEB">
        <w:rPr>
          <w:spacing w:val="-6"/>
          <w:lang w:val="en-US"/>
        </w:rPr>
        <w:t>.</w:t>
      </w:r>
    </w:p>
  </w:footnote>
  <w:footnote w:id="37">
    <w:p w14:paraId="4F11E900" w14:textId="77777777" w:rsidR="000A62ED" w:rsidRPr="003E6C81" w:rsidRDefault="000A62ED">
      <w:pPr>
        <w:pStyle w:val="Note"/>
        <w:rPr>
          <w:lang w:val="en-US"/>
        </w:rPr>
      </w:pPr>
      <w:r w:rsidRPr="00201B0D">
        <w:rPr>
          <w:rStyle w:val="FootnoteReference"/>
        </w:rPr>
        <w:footnoteRef/>
      </w:r>
      <w:r>
        <w:t xml:space="preserve"> </w:t>
      </w:r>
      <w:r w:rsidRPr="008D5924">
        <w:t xml:space="preserve">The CGC </w:t>
      </w:r>
      <w:r>
        <w:t xml:space="preserve">has not formally defined the </w:t>
      </w:r>
      <w:r w:rsidRPr="008D5924">
        <w:t>‘dominant</w:t>
      </w:r>
      <w:r>
        <w:t>-</w:t>
      </w:r>
      <w:r w:rsidRPr="008D5924">
        <w:t>state effect’. In practical terms, it arises where a state’s share of an assessed revenue base is much larger than its population share, so its policy can strongly influence the average policy used in the assessment and produce large</w:t>
      </w:r>
      <w:r>
        <w:t xml:space="preserve"> changes to</w:t>
      </w:r>
      <w:r w:rsidRPr="008D5924">
        <w:t xml:space="preserve"> GST </w:t>
      </w:r>
      <w:r>
        <w:t>payments</w:t>
      </w:r>
      <w:r w:rsidRPr="008D5924">
        <w:t>.</w:t>
      </w:r>
    </w:p>
  </w:footnote>
  <w:footnote w:id="38">
    <w:p w14:paraId="7D24837B" w14:textId="77777777" w:rsidR="000A62ED" w:rsidRPr="00CB5786" w:rsidRDefault="000A62ED">
      <w:pPr>
        <w:pStyle w:val="FootnoteText"/>
      </w:pPr>
      <w:r w:rsidRPr="00201B0D">
        <w:rPr>
          <w:rStyle w:val="FootnoteReference"/>
        </w:rPr>
        <w:footnoteRef/>
      </w:r>
      <w:r>
        <w:t xml:space="preserve"> Given CGC assessments average over 3 years, this stylised scenario reflects the cumulative effect over 3 years.</w:t>
      </w:r>
    </w:p>
  </w:footnote>
  <w:footnote w:id="39">
    <w:p w14:paraId="7CD507C1" w14:textId="37CCA686" w:rsidR="000A62ED" w:rsidRPr="00D722C8" w:rsidRDefault="000A62ED">
      <w:pPr>
        <w:pStyle w:val="FootnoteText"/>
      </w:pPr>
      <w:r w:rsidRPr="00201B0D">
        <w:rPr>
          <w:rStyle w:val="FootnoteReference"/>
        </w:rPr>
        <w:footnoteRef/>
      </w:r>
      <w:r>
        <w:t xml:space="preserve"> </w:t>
      </w:r>
      <w:r w:rsidR="00652DE5" w:rsidRPr="006138B9" w:rsidDel="00474065">
        <w:t xml:space="preserve">Figure </w:t>
      </w:r>
      <w:r w:rsidR="00652DE5">
        <w:rPr>
          <w:noProof/>
        </w:rPr>
        <w:t>3</w:t>
      </w:r>
      <w:r w:rsidR="00652DE5" w:rsidRPr="006138B9" w:rsidDel="00474065">
        <w:t>.</w:t>
      </w:r>
      <w:r w:rsidR="00D67411">
        <w:rPr>
          <w:noProof/>
        </w:rPr>
        <w:t>6</w:t>
      </w:r>
      <w:r>
        <w:t xml:space="preserve"> includes budget and forward estimates to illustrate the expected trajectory into the future, actuals data from the GFS is only available until 2024-25.</w:t>
      </w:r>
    </w:p>
  </w:footnote>
  <w:footnote w:id="40">
    <w:p w14:paraId="139783E8" w14:textId="77777777" w:rsidR="000A62ED" w:rsidRPr="00222BB7" w:rsidRDefault="000A62ED">
      <w:pPr>
        <w:pStyle w:val="FootnoteText"/>
      </w:pPr>
      <w:r w:rsidRPr="00201B0D">
        <w:rPr>
          <w:rStyle w:val="FootnoteReference"/>
        </w:rPr>
        <w:footnoteRef/>
      </w:r>
      <w:r>
        <w:t xml:space="preserve"> Analysis of state governments’ fiscal positions often focuses on the general government (GG); however, it can be valuable to consider a broader scope that incorporates both the general government and public non-financial corporations, known as the total non-financial public sector (TNFPS). It should be assumed that analysis refers to GG unless stated otherwise. </w:t>
      </w:r>
    </w:p>
  </w:footnote>
  <w:footnote w:id="41">
    <w:p w14:paraId="36AC1A72" w14:textId="77777777" w:rsidR="000A62ED" w:rsidRPr="00E47E68" w:rsidRDefault="000A62ED">
      <w:pPr>
        <w:pStyle w:val="FootnoteText"/>
      </w:pPr>
      <w:r w:rsidRPr="00201B0D">
        <w:rPr>
          <w:rStyle w:val="FootnoteReference"/>
        </w:rPr>
        <w:footnoteRef/>
      </w:r>
      <w:r>
        <w:t xml:space="preserve"> Own-source revenue is total state revenue excluding Commonwealth payments.</w:t>
      </w:r>
    </w:p>
  </w:footnote>
  <w:footnote w:id="42">
    <w:p w14:paraId="037F65FA" w14:textId="77777777" w:rsidR="000A62ED" w:rsidRPr="0094502D" w:rsidRDefault="000A62ED">
      <w:pPr>
        <w:pStyle w:val="FootnoteText"/>
      </w:pPr>
      <w:r w:rsidRPr="00201B0D">
        <w:rPr>
          <w:rStyle w:val="FootnoteReference"/>
        </w:rPr>
        <w:footnoteRef/>
      </w:r>
      <w:r>
        <w:t xml:space="preserve"> </w:t>
      </w:r>
      <w:r w:rsidRPr="00B42D4B">
        <w:t xml:space="preserve">Total non-financial public sector is </w:t>
      </w:r>
      <w:r>
        <w:t>considered for debt and interest</w:t>
      </w:r>
      <w:r w:rsidRPr="00B42D4B">
        <w:t xml:space="preserve"> because it captures the wider state balance sheet, including infrastructure-related borrowing outside the general government sector.</w:t>
      </w:r>
    </w:p>
  </w:footnote>
  <w:footnote w:id="43">
    <w:p w14:paraId="4977E423" w14:textId="77777777" w:rsidR="000A62ED" w:rsidRPr="005E7867" w:rsidRDefault="000A62ED">
      <w:pPr>
        <w:pStyle w:val="FootnoteText"/>
        <w:rPr>
          <w:lang w:val="en-US"/>
        </w:rPr>
      </w:pPr>
      <w:r w:rsidRPr="00201B0D">
        <w:rPr>
          <w:rStyle w:val="FootnoteReference"/>
        </w:rPr>
        <w:footnoteRef/>
      </w:r>
      <w:r>
        <w:t xml:space="preserve"> </w:t>
      </w:r>
      <w:r w:rsidRPr="009F347E">
        <w:t>The Moody’s categories are used only as a benchmark for interpreting when interest costs become more material to fiscal sustainability; they do not imply a credit rating for any state or GST</w:t>
      </w:r>
      <w:r>
        <w:t xml:space="preserve"> distribution</w:t>
      </w:r>
      <w:r w:rsidRPr="009F347E">
        <w:t xml:space="preserve"> </w:t>
      </w:r>
      <w:r>
        <w:t>system</w:t>
      </w:r>
      <w:r w:rsidRPr="009F347E">
        <w:t>.</w:t>
      </w:r>
    </w:p>
  </w:footnote>
  <w:footnote w:id="44">
    <w:p w14:paraId="1777F506" w14:textId="77777777" w:rsidR="000A62ED" w:rsidRPr="00DB216C" w:rsidRDefault="000A62ED">
      <w:pPr>
        <w:pStyle w:val="FootnoteText"/>
        <w:rPr>
          <w:spacing w:val="-2"/>
        </w:rPr>
      </w:pPr>
      <w:r w:rsidRPr="00DB216C">
        <w:rPr>
          <w:rStyle w:val="FootnoteReference"/>
          <w:spacing w:val="-2"/>
        </w:rPr>
        <w:footnoteRef/>
      </w:r>
      <w:r w:rsidRPr="00DB216C">
        <w:rPr>
          <w:spacing w:val="-2"/>
        </w:rPr>
        <w:t xml:space="preserve"> The PC’s modelling provides a consistent basis for comparing the relative fiscal sustainability impacts of alternative GST distribution systems, rather than an estimate of the fiscal outcomes that would have occurred in practice.</w:t>
      </w:r>
    </w:p>
  </w:footnote>
  <w:footnote w:id="45">
    <w:p w14:paraId="6FFFA6A4" w14:textId="77777777" w:rsidR="000A62ED" w:rsidRPr="008805C1" w:rsidRDefault="000A62ED">
      <w:pPr>
        <w:pStyle w:val="FootnoteText"/>
        <w:rPr>
          <w:spacing w:val="-4"/>
          <w:lang w:val="en-US"/>
        </w:rPr>
      </w:pPr>
      <w:r w:rsidRPr="008805C1">
        <w:rPr>
          <w:rStyle w:val="FootnoteReference"/>
          <w:spacing w:val="-4"/>
        </w:rPr>
        <w:footnoteRef/>
      </w:r>
      <w:r w:rsidRPr="008805C1">
        <w:rPr>
          <w:spacing w:val="-4"/>
        </w:rPr>
        <w:t xml:space="preserve"> Western Australia’s forecasts are confounded by the introduction of the 2018 reforms and preceding revenue support, which create a significant unanticipated increase in GST revenues unrelated to the mechanics of the distribution system.</w:t>
      </w:r>
    </w:p>
  </w:footnote>
  <w:footnote w:id="46">
    <w:p w14:paraId="3DA8DC03" w14:textId="77777777" w:rsidR="000A62ED" w:rsidRPr="00A76493" w:rsidRDefault="000A62ED">
      <w:pPr>
        <w:pStyle w:val="FootnoteText"/>
        <w:rPr>
          <w:lang w:val="en-US"/>
        </w:rPr>
      </w:pPr>
      <w:r w:rsidRPr="00201B0D">
        <w:rPr>
          <w:rStyle w:val="FootnoteReference"/>
        </w:rPr>
        <w:footnoteRef/>
      </w:r>
      <w:r w:rsidRPr="00A76493">
        <w:rPr>
          <w:rStyle w:val="FootnoteReference"/>
          <w:szCs w:val="18"/>
        </w:rPr>
        <w:t xml:space="preserve"> </w:t>
      </w:r>
      <w:r w:rsidRPr="00A76493">
        <w:rPr>
          <w:rStyle w:val="FootnoteReference"/>
          <w:szCs w:val="18"/>
          <w:vertAlign w:val="baseline"/>
        </w:rPr>
        <w:t>Western Australia (sub. 37, pp. 51, 58–59) suggested that large swings in GST revenues can challenge budget management and predictability, and the Northern Territory (sub. 39, pp. 18, 20) noted its GST relativity was subject to unpredictable volatility due to expenditure patterns in other states.</w:t>
      </w:r>
    </w:p>
  </w:footnote>
  <w:footnote w:id="47">
    <w:p w14:paraId="120D3170" w14:textId="6948D06B" w:rsidR="000A62ED" w:rsidRPr="006C7D63" w:rsidRDefault="000A62ED">
      <w:pPr>
        <w:pStyle w:val="FootnoteText"/>
        <w:rPr>
          <w:lang w:val="en-US"/>
        </w:rPr>
      </w:pPr>
      <w:r w:rsidRPr="00201B0D">
        <w:rPr>
          <w:rStyle w:val="FootnoteReference"/>
        </w:rPr>
        <w:footnoteRef/>
      </w:r>
      <w:r>
        <w:t xml:space="preserve"> T</w:t>
      </w:r>
      <w:r w:rsidRPr="00A51339">
        <w:t xml:space="preserve">he PC has </w:t>
      </w:r>
      <w:r>
        <w:t>examined</w:t>
      </w:r>
      <w:r w:rsidRPr="00A51339">
        <w:t xml:space="preserve"> the volatility of real GST revenue per capita, adjusted for growth in the GST pool</w:t>
      </w:r>
      <w:r>
        <w:t xml:space="preserve">. This makes the growth in national average GST per capita without </w:t>
      </w:r>
      <w:r w:rsidR="004F0E85">
        <w:t>the</w:t>
      </w:r>
      <w:r>
        <w:t xml:space="preserve"> </w:t>
      </w:r>
      <w:r w:rsidRPr="004F0E85">
        <w:t xml:space="preserve">pool </w:t>
      </w:r>
      <w:r w:rsidR="00495D20" w:rsidRPr="004F0E85">
        <w:t>b</w:t>
      </w:r>
      <w:r w:rsidR="00495D20">
        <w:t>oost</w:t>
      </w:r>
      <w:r>
        <w:t xml:space="preserve"> equal to 0. The PC’s exact methodology is outlined in appendix C.</w:t>
      </w:r>
    </w:p>
  </w:footnote>
  <w:footnote w:id="48">
    <w:p w14:paraId="7B457898" w14:textId="77777777" w:rsidR="00AA1D91" w:rsidRPr="00BC397E" w:rsidRDefault="00AA1D91" w:rsidP="00AA1D91">
      <w:pPr>
        <w:pStyle w:val="FootnoteText"/>
        <w:rPr>
          <w:spacing w:val="2"/>
          <w:lang w:val="en-US"/>
        </w:rPr>
      </w:pPr>
      <w:r w:rsidRPr="00BC397E">
        <w:rPr>
          <w:rStyle w:val="FootnoteReference"/>
          <w:spacing w:val="2"/>
        </w:rPr>
        <w:footnoteRef/>
      </w:r>
      <w:r w:rsidRPr="00BC397E">
        <w:rPr>
          <w:spacing w:val="2"/>
        </w:rPr>
        <w:t xml:space="preserve"> </w:t>
      </w:r>
      <w:r w:rsidRPr="00BC397E">
        <w:rPr>
          <w:spacing w:val="2"/>
          <w:lang w:val="en-US"/>
        </w:rPr>
        <w:t>The efficiency challenges produced by the standard state benchmark are not fully reflected in the efficiency metric. Nevertheless, the PC judge the standard benchmark creates additional policy distortions that can weigh on system efficiency.</w:t>
      </w:r>
    </w:p>
  </w:footnote>
  <w:footnote w:id="49">
    <w:p w14:paraId="33304A24" w14:textId="77777777" w:rsidR="00AA1D91" w:rsidRPr="00923ADA" w:rsidRDefault="00AA1D91" w:rsidP="00AA1D91">
      <w:pPr>
        <w:pStyle w:val="FootnoteText"/>
      </w:pPr>
      <w:r w:rsidRPr="00201B0D">
        <w:rPr>
          <w:rStyle w:val="FootnoteReference"/>
        </w:rPr>
        <w:footnoteRef/>
      </w:r>
      <w:r>
        <w:t xml:space="preserve"> </w:t>
      </w:r>
      <w:r w:rsidRPr="00923ADA">
        <w:rPr>
          <w:lang w:val="en-US"/>
        </w:rPr>
        <w:t>Note that full equalisation does not occur because while other states are brought up to their full HFE fiscal capacity, a new inequality is introduced because some states receive more than their assessed need.</w:t>
      </w:r>
    </w:p>
  </w:footnote>
  <w:footnote w:id="50">
    <w:p w14:paraId="67DBD2E7" w14:textId="460B4FB1" w:rsidR="00B419F5" w:rsidRDefault="00B419F5">
      <w:pPr>
        <w:pStyle w:val="FootnoteText"/>
      </w:pPr>
      <w:r w:rsidRPr="00201B0D">
        <w:rPr>
          <w:rStyle w:val="FootnoteReference"/>
        </w:rPr>
        <w:footnoteRef/>
      </w:r>
      <w:r>
        <w:t xml:space="preserve"> Final Budget Outcome 2024</w:t>
      </w:r>
      <w:r w:rsidR="005C6473">
        <w:t>–</w:t>
      </w:r>
      <w:r>
        <w:t>25, table 3.1.</w:t>
      </w:r>
    </w:p>
  </w:footnote>
  <w:footnote w:id="51">
    <w:p w14:paraId="7736E7AB" w14:textId="77777777" w:rsidR="00B419F5" w:rsidRPr="00B56B0D" w:rsidRDefault="00B419F5">
      <w:pPr>
        <w:pStyle w:val="FootnoteText"/>
        <w:rPr>
          <w:b/>
          <w:bCs/>
          <w:lang w:val="en-US"/>
        </w:rPr>
      </w:pPr>
      <w:r w:rsidRPr="00201B0D">
        <w:rPr>
          <w:rStyle w:val="FootnoteReference"/>
        </w:rPr>
        <w:footnoteRef/>
      </w:r>
      <w:r>
        <w:t xml:space="preserve"> </w:t>
      </w:r>
      <w:r>
        <w:rPr>
          <w:lang w:val="en-US"/>
        </w:rPr>
        <w:t>The CGC’s supporting principles are: ‘what states do’; policy neutrality; practicality; and contemporaneity</w:t>
      </w:r>
      <w:r w:rsidRPr="00343744">
        <w:rPr>
          <w:lang w:val="en-US"/>
        </w:rPr>
        <w:t xml:space="preserve">. Box </w:t>
      </w:r>
      <w:r>
        <w:rPr>
          <w:lang w:val="en-US"/>
        </w:rPr>
        <w:t>1</w:t>
      </w:r>
      <w:r w:rsidRPr="00343744">
        <w:rPr>
          <w:lang w:val="en-US"/>
        </w:rPr>
        <w:t>.</w:t>
      </w:r>
      <w:r>
        <w:rPr>
          <w:lang w:val="en-US"/>
        </w:rPr>
        <w:t>1</w:t>
      </w:r>
      <w:r w:rsidRPr="00343744">
        <w:rPr>
          <w:lang w:val="en-US"/>
        </w:rPr>
        <w:t xml:space="preserve"> contains more information a</w:t>
      </w:r>
      <w:r>
        <w:rPr>
          <w:lang w:val="en-US"/>
        </w:rPr>
        <w:t xml:space="preserve">bout these principles. </w:t>
      </w:r>
    </w:p>
  </w:footnote>
  <w:footnote w:id="52">
    <w:p w14:paraId="10627FB6" w14:textId="77777777" w:rsidR="00B419F5" w:rsidRDefault="00B419F5">
      <w:pPr>
        <w:pStyle w:val="FootnoteText"/>
      </w:pPr>
      <w:r w:rsidRPr="00201B0D">
        <w:rPr>
          <w:rStyle w:val="FootnoteReference"/>
        </w:rPr>
        <w:footnoteRef/>
      </w:r>
      <w:r>
        <w:t xml:space="preserve"> PLIDA and BLADE are integrated data assets managed by the ABS. PLIDA is the </w:t>
      </w:r>
      <w:r>
        <w:rPr>
          <w:rFonts w:cs="Open Sans"/>
          <w:color w:val="000000"/>
        </w:rPr>
        <w:t xml:space="preserve">Person Level Integrated Data Asset. BLADE is the Business Longitudinal Analysis Data Environment. </w:t>
      </w:r>
    </w:p>
  </w:footnote>
  <w:footnote w:id="53">
    <w:p w14:paraId="2DCA34DF" w14:textId="7BFB0CF7" w:rsidR="00B419F5" w:rsidRPr="0019200B" w:rsidRDefault="00B419F5">
      <w:pPr>
        <w:pStyle w:val="FootnoteText"/>
      </w:pPr>
      <w:r w:rsidRPr="00201B0D">
        <w:rPr>
          <w:rStyle w:val="FootnoteReference"/>
        </w:rPr>
        <w:footnoteRef/>
      </w:r>
      <w:r>
        <w:t xml:space="preserve"> In the PC’s view, using Report on Government Services data to help inform this analysis would be consistent with the recommendation of the </w:t>
      </w:r>
      <w:r>
        <w:rPr>
          <w:i/>
          <w:iCs/>
        </w:rPr>
        <w:t xml:space="preserve">Review of the Report on Government Services and the Performance Reporting Dashboard </w:t>
      </w:r>
      <w:r>
        <w:t xml:space="preserve">that there be additional quantitative, cross-sectional and qualitative analysis undertaken with that data (while noting that it was recommended in the review that the initial focus </w:t>
      </w:r>
      <w:r w:rsidR="00EC676A">
        <w:t xml:space="preserve">of </w:t>
      </w:r>
      <w:r>
        <w:t xml:space="preserve">additional analysis be on innovative or high-impact case studies) </w:t>
      </w:r>
      <w:r w:rsidRPr="00A26A42">
        <w:rPr>
          <w:rFonts w:cs="Open Sans"/>
        </w:rPr>
        <w:t>(Australian Government Department of the Treasury 2024, p. 4)</w:t>
      </w:r>
      <w:r>
        <w:t>.</w:t>
      </w:r>
    </w:p>
  </w:footnote>
  <w:footnote w:id="54">
    <w:p w14:paraId="415B1AFD" w14:textId="77777777" w:rsidR="00B419F5" w:rsidRPr="00866AFE" w:rsidRDefault="00B419F5">
      <w:pPr>
        <w:pStyle w:val="FootnoteText"/>
        <w:rPr>
          <w:lang w:val="en-US"/>
        </w:rPr>
      </w:pPr>
      <w:r w:rsidRPr="00201B0D">
        <w:rPr>
          <w:rStyle w:val="FootnoteReference"/>
        </w:rPr>
        <w:footnoteRef/>
      </w:r>
      <w:r>
        <w:t xml:space="preserve"> Differences in the distribution of these payments between states is discussed further in the</w:t>
      </w:r>
      <w:r w:rsidRPr="00866AFE">
        <w:t xml:space="preserve"> supporting paper</w:t>
      </w:r>
      <w:r>
        <w:t xml:space="preserve"> to this interim report: </w:t>
      </w:r>
      <w:r w:rsidRPr="00866AFE">
        <w:rPr>
          <w:i/>
          <w:iCs/>
        </w:rPr>
        <w:t>Understanding Australia’s system of fiscal transfers</w:t>
      </w:r>
      <w:r>
        <w:t>.</w:t>
      </w:r>
    </w:p>
  </w:footnote>
  <w:footnote w:id="55">
    <w:p w14:paraId="5F273CCA" w14:textId="17572AC4" w:rsidR="00B419F5" w:rsidRPr="00E614B4" w:rsidRDefault="00B419F5">
      <w:pPr>
        <w:pStyle w:val="FootnoteText"/>
        <w:rPr>
          <w:spacing w:val="-4"/>
        </w:rPr>
      </w:pPr>
      <w:r w:rsidRPr="00E614B4">
        <w:rPr>
          <w:rStyle w:val="FootnoteReference"/>
          <w:spacing w:val="-4"/>
        </w:rPr>
        <w:footnoteRef/>
      </w:r>
      <w:r w:rsidRPr="00E614B4">
        <w:rPr>
          <w:spacing w:val="-4"/>
        </w:rPr>
        <w:t xml:space="preserve"> For example, the NSW Government (sub. 61, p. 20) submitted that quarantining should be limited to cases where the </w:t>
      </w:r>
      <w:r w:rsidR="00761FD3" w:rsidRPr="00E614B4">
        <w:rPr>
          <w:spacing w:val="-4"/>
        </w:rPr>
        <w:t>state is supported to undertake an action on behalf of Australia or the Australian Government</w:t>
      </w:r>
      <w:r w:rsidRPr="00E614B4">
        <w:rPr>
          <w:spacing w:val="-4"/>
        </w:rPr>
        <w:t>, while the Northern Territory Department of Treasury and Finance (sub. 39, p. 22) and the Queensland Government (sub. 62, p. 20) suggested payments intended to address outcomes beyond delivering average service quality should fall within any quarantine guidelines.</w:t>
      </w:r>
    </w:p>
  </w:footnote>
  <w:footnote w:id="56">
    <w:p w14:paraId="7F540C43" w14:textId="087E0A5D" w:rsidR="00B419F5" w:rsidRPr="00CD1489" w:rsidRDefault="00B419F5">
      <w:pPr>
        <w:pStyle w:val="FootnoteText"/>
        <w:rPr>
          <w:spacing w:val="-6"/>
          <w:lang w:val="en-US"/>
        </w:rPr>
      </w:pPr>
      <w:r w:rsidRPr="00CD1489">
        <w:rPr>
          <w:rStyle w:val="FootnoteReference"/>
          <w:spacing w:val="-6"/>
        </w:rPr>
        <w:footnoteRef/>
      </w:r>
      <w:r w:rsidRPr="00CD1489">
        <w:rPr>
          <w:spacing w:val="-6"/>
        </w:rPr>
        <w:t xml:space="preserve"> Though the Australian Government at the time suggested the PC would take over the residual responsibilities of the abolished council, the current schedule suggests that no replacement body has been established (Australian Government Department of the Treasury 2022a, p. 1; Cormann 2014). The PC has never been instructed to undertake this function.</w:t>
      </w:r>
    </w:p>
  </w:footnote>
  <w:footnote w:id="57">
    <w:p w14:paraId="56676258" w14:textId="4AFBDF47" w:rsidR="00B419F5" w:rsidRPr="007D0C87" w:rsidRDefault="00B419F5">
      <w:pPr>
        <w:pStyle w:val="FootnoteText"/>
        <w:rPr>
          <w:lang w:val="en-US"/>
        </w:rPr>
      </w:pPr>
      <w:r w:rsidRPr="00201B0D">
        <w:rPr>
          <w:rStyle w:val="FootnoteReference"/>
        </w:rPr>
        <w:footnoteRef/>
      </w:r>
      <w:r>
        <w:t xml:space="preserve"> </w:t>
      </w:r>
      <w:r>
        <w:rPr>
          <w:lang w:val="en-US"/>
        </w:rPr>
        <w:t xml:space="preserve">These findings are based on a list of CFFR meeting dates provided to the PC by the </w:t>
      </w:r>
      <w:r w:rsidR="002D6733">
        <w:rPr>
          <w:lang w:val="en-US"/>
        </w:rPr>
        <w:t>Australian</w:t>
      </w:r>
      <w:r>
        <w:rPr>
          <w:lang w:val="en-US"/>
        </w:rPr>
        <w:t xml:space="preserve"> Treasury.</w:t>
      </w:r>
    </w:p>
  </w:footnote>
  <w:footnote w:id="58">
    <w:p w14:paraId="5734BB7C" w14:textId="2D38C9D8" w:rsidR="00B419F5" w:rsidRPr="00B73B0F" w:rsidRDefault="00B419F5">
      <w:pPr>
        <w:pStyle w:val="FootnoteText"/>
        <w:rPr>
          <w:lang w:val="en-US"/>
        </w:rPr>
      </w:pPr>
      <w:r w:rsidRPr="00201B0D">
        <w:rPr>
          <w:rStyle w:val="FootnoteReference"/>
        </w:rPr>
        <w:footnoteRef/>
      </w:r>
      <w:r>
        <w:t xml:space="preserve"> The Board of Treasurers comprises the Treasurers of each of the states with its role being to </w:t>
      </w:r>
      <w:r w:rsidRPr="00EB660F">
        <w:rPr>
          <w:i/>
        </w:rPr>
        <w:t>‘collaborate on issues of common interest, advance national reform priorities from a state and territory perspective, and foster mor</w:t>
      </w:r>
      <w:r>
        <w:rPr>
          <w:i/>
        </w:rPr>
        <w:t>e</w:t>
      </w:r>
      <w:r w:rsidRPr="00EB660F">
        <w:rPr>
          <w:i/>
        </w:rPr>
        <w:t xml:space="preserve"> constructive and effective engagement with the Commonwealth government</w:t>
      </w:r>
      <w:r>
        <w:t xml:space="preserve">’ </w:t>
      </w:r>
      <w:r w:rsidRPr="0027132E">
        <w:rPr>
          <w:rFonts w:cs="Open Sans"/>
        </w:rPr>
        <w:t>(Government of South Australia 2026)</w:t>
      </w:r>
      <w:r>
        <w:t>.</w:t>
      </w:r>
    </w:p>
  </w:footnote>
  <w:footnote w:id="59">
    <w:p w14:paraId="1D096502" w14:textId="462D4B96" w:rsidR="00B419F5" w:rsidRPr="00A93439" w:rsidRDefault="00B419F5">
      <w:pPr>
        <w:pStyle w:val="FootnoteText"/>
        <w:rPr>
          <w:lang w:val="en-US"/>
        </w:rPr>
      </w:pPr>
      <w:r w:rsidRPr="00201B0D">
        <w:rPr>
          <w:rStyle w:val="FootnoteReference"/>
        </w:rPr>
        <w:footnoteRef/>
      </w:r>
      <w:r>
        <w:t xml:space="preserve"> The PC found a record for 6 of the 9 CFFR meetings held since 2023.</w:t>
      </w:r>
    </w:p>
  </w:footnote>
  <w:footnote w:id="60">
    <w:p w14:paraId="0C74B2DB" w14:textId="0C88E524" w:rsidR="00B419F5" w:rsidRPr="00855FBD" w:rsidRDefault="00B419F5">
      <w:pPr>
        <w:pStyle w:val="FootnoteText"/>
        <w:rPr>
          <w:lang w:val="en-US"/>
        </w:rPr>
      </w:pPr>
      <w:r w:rsidRPr="00201B0D">
        <w:rPr>
          <w:rStyle w:val="FootnoteReference"/>
        </w:rPr>
        <w:footnoteRef/>
      </w:r>
      <w:r>
        <w:t xml:space="preserve"> The </w:t>
      </w:r>
      <w:r>
        <w:rPr>
          <w:i/>
          <w:iCs/>
        </w:rPr>
        <w:t xml:space="preserve">Guidance for Intergovernmental Meetings </w:t>
      </w:r>
      <w:r>
        <w:t xml:space="preserve">indicates if a Ministerial Council (such as CFFR) wishes to escalate a matter to National Cabinet, its Chair should write to the Prime Minister seeking escalation and that clear options on courses of action should be presented for National Cabinet’s consideration </w:t>
      </w:r>
      <w:r w:rsidRPr="00637265">
        <w:rPr>
          <w:rFonts w:cs="Open Sans"/>
        </w:rPr>
        <w:t>(PM&amp;C 2023, p. 3)</w:t>
      </w:r>
      <w:r>
        <w:t>.</w:t>
      </w:r>
    </w:p>
  </w:footnote>
  <w:footnote w:id="61">
    <w:p w14:paraId="73FE26B7" w14:textId="1D93E7A2" w:rsidR="00B419F5" w:rsidRDefault="00B419F5">
      <w:pPr>
        <w:pStyle w:val="FootnoteText"/>
      </w:pPr>
      <w:r w:rsidRPr="00201B0D">
        <w:rPr>
          <w:rStyle w:val="FootnoteReference"/>
        </w:rPr>
        <w:footnoteRef/>
      </w:r>
      <w:r>
        <w:t xml:space="preserve"> Some jurisdictions have completed ad-hoc reporting on their fiscal sustainability – such </w:t>
      </w:r>
      <w:r w:rsidR="000B5AC5">
        <w:t xml:space="preserve">as </w:t>
      </w:r>
      <w:r>
        <w:t xml:space="preserve">the 2026 inquiry into the fiscal sustainability of the Australian Capital Territory </w:t>
      </w:r>
      <w:r w:rsidRPr="007116B2">
        <w:rPr>
          <w:rFonts w:cs="Open Sans"/>
        </w:rPr>
        <w:t>(Eslake 2026)</w:t>
      </w:r>
      <w:r>
        <w:t xml:space="preserve"> – but do not undertake reporting on a regular basis, or do not extend past the forward estimates. </w:t>
      </w:r>
    </w:p>
  </w:footnote>
  <w:footnote w:id="62">
    <w:p w14:paraId="78202C4B" w14:textId="4F6BE0D7" w:rsidR="00B419F5" w:rsidRDefault="00B419F5">
      <w:pPr>
        <w:pStyle w:val="FootnoteText"/>
      </w:pPr>
      <w:r w:rsidRPr="00201B0D">
        <w:rPr>
          <w:rStyle w:val="FootnoteReference"/>
        </w:rPr>
        <w:footnoteRef/>
      </w:r>
      <w:r>
        <w:t xml:space="preserve"> An example where reporting has looked at broader opportunities is the 2021</w:t>
      </w:r>
      <w:r w:rsidR="003404E6">
        <w:t>–</w:t>
      </w:r>
      <w:r>
        <w:t xml:space="preserve">22 New South Wales </w:t>
      </w:r>
      <w:r w:rsidR="000B5AC5">
        <w:t>Intergenerational</w:t>
      </w:r>
      <w:r>
        <w:t xml:space="preserve"> Report, which explored the potential economic and fiscal benefits from increasing women’s labour force participation in New South Wales </w:t>
      </w:r>
      <w:r w:rsidRPr="007116B2">
        <w:rPr>
          <w:rFonts w:cs="Open Sans"/>
        </w:rPr>
        <w:t>(NSW Government 2021b, p. 45)</w:t>
      </w:r>
      <w:r>
        <w:t xml:space="preserve">. </w:t>
      </w:r>
    </w:p>
  </w:footnote>
  <w:footnote w:id="63">
    <w:p w14:paraId="05503628" w14:textId="43A12833" w:rsidR="00B419F5" w:rsidRPr="00CC4B62" w:rsidRDefault="00B419F5">
      <w:pPr>
        <w:pStyle w:val="FootnoteText"/>
      </w:pPr>
      <w:r w:rsidRPr="00201B0D">
        <w:rPr>
          <w:rStyle w:val="FootnoteReference"/>
        </w:rPr>
        <w:footnoteRef/>
      </w:r>
      <w:r>
        <w:t xml:space="preserve"> The relevant legislative provisions are: the </w:t>
      </w:r>
      <w:r w:rsidRPr="00BD74A2">
        <w:rPr>
          <w:i/>
          <w:iCs/>
        </w:rPr>
        <w:t>Charter of Budget Honesty Act 1998</w:t>
      </w:r>
      <w:r>
        <w:t xml:space="preserve"> (Cth), ss. 20</w:t>
      </w:r>
      <w:r w:rsidR="003404E6">
        <w:t>–</w:t>
      </w:r>
      <w:r>
        <w:t xml:space="preserve">21; the </w:t>
      </w:r>
      <w:r>
        <w:rPr>
          <w:i/>
          <w:iCs/>
        </w:rPr>
        <w:t xml:space="preserve">Fiscal Responsibility Act 2012 </w:t>
      </w:r>
      <w:r>
        <w:t xml:space="preserve">(NSW), s. 8(e); and the </w:t>
      </w:r>
      <w:r>
        <w:rPr>
          <w:i/>
          <w:iCs/>
        </w:rPr>
        <w:t>Charter of Budget Responsibility Act 2007</w:t>
      </w:r>
      <w:r>
        <w:t xml:space="preserve"> (Tas), schedule 1; part 6A.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ABDC9" w14:textId="21D34ECD" w:rsidR="001E2FE4" w:rsidRDefault="00000000" w:rsidP="001E2FE4">
    <w:pPr>
      <w:pStyle w:val="Header-Keyline"/>
    </w:pPr>
    <w:sdt>
      <w:sdtPr>
        <w:rPr>
          <w:rStyle w:val="Strong"/>
        </w:rPr>
        <w:alias w:val="Title"/>
        <w:tag w:val=""/>
        <w:id w:val="-1701777645"/>
        <w:placeholder>
          <w:docPart w:val="C34A9AB5316D43E28621C579F3BCC4E0"/>
        </w:placeholder>
        <w:dataBinding w:prefixMappings="xmlns:ns0='http://purl.org/dc/elements/1.1/' xmlns:ns1='http://schemas.openxmlformats.org/package/2006/metadata/core-properties' " w:xpath="/ns1:coreProperties[1]/ns0:title[1]" w:storeItemID="{6C3C8BC8-F283-45AE-878A-BAB7291924A1}"/>
        <w:text/>
      </w:sdtPr>
      <w:sdtContent>
        <w:r w:rsidR="00A67AFB">
          <w:rPr>
            <w:rStyle w:val="Strong"/>
          </w:rPr>
          <w:t>Interim report - GST distribution reforms</w:t>
        </w:r>
      </w:sdtContent>
    </w:sdt>
    <w:r w:rsidR="001E2FE4">
      <w:t xml:space="preserve"> Inquiry Report</w:t>
    </w:r>
  </w:p>
  <w:p w14:paraId="352FBA70" w14:textId="5F261CFA" w:rsidR="001E2FE4" w:rsidRDefault="00000000" w:rsidP="001E2FE4">
    <w:pPr>
      <w:pStyle w:val="Header-Keyline"/>
    </w:pPr>
    <w:sdt>
      <w:sdtPr>
        <w:rPr>
          <w:rStyle w:val="Strong"/>
        </w:rPr>
        <w:alias w:val="Title"/>
        <w:tag w:val=""/>
        <w:id w:val="1209687023"/>
        <w:placeholder>
          <w:docPart w:val="268493A52E724903984D8EE1051AABA4"/>
        </w:placeholder>
        <w:dataBinding w:prefixMappings="xmlns:ns0='http://purl.org/dc/elements/1.1/' xmlns:ns1='http://schemas.openxmlformats.org/package/2006/metadata/core-properties' " w:xpath="/ns1:coreProperties[1]/ns0:title[1]" w:storeItemID="{6C3C8BC8-F283-45AE-878A-BAB7291924A1}"/>
        <w:text/>
      </w:sdtPr>
      <w:sdtContent>
        <w:r w:rsidR="00A67AFB">
          <w:rPr>
            <w:rStyle w:val="Strong"/>
          </w:rPr>
          <w:t>Interim report - GST distribution reforms</w:t>
        </w:r>
      </w:sdtContent>
    </w:sdt>
    <w:r w:rsidR="001E2FE4">
      <w:t xml:space="preserve"> Inquiry Report</w:t>
    </w:r>
  </w:p>
  <w:p w14:paraId="03101C41" w14:textId="77777777" w:rsidR="001E2FE4" w:rsidRDefault="001E2FE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D1EFC" w14:textId="3B6767D2" w:rsidR="00E76EEC" w:rsidRDefault="000D74AB">
    <w:pPr>
      <w:pStyle w:val="Header-Keyline"/>
    </w:pPr>
    <w:r>
      <w:rPr>
        <w:rStyle w:val="Strong"/>
      </w:rPr>
      <w:t>GST distribution reforms</w:t>
    </w:r>
    <w:r w:rsidR="00E76EEC">
      <w:t xml:space="preserve"> </w:t>
    </w:r>
    <w:r w:rsidR="0085334C">
      <w:t>Interim</w:t>
    </w:r>
    <w:r w:rsidR="00E76EEC">
      <w:t xml:space="preserve"> report</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879EA" w14:textId="2A2A6F03" w:rsidR="00E76EEC" w:rsidRPr="00201320" w:rsidRDefault="00E76EEC">
    <w:pPr>
      <w:pStyle w:val="Header-KeylineRight"/>
      <w:rPr>
        <w:rStyle w:val="Strong"/>
        <w:b w:val="0"/>
        <w:bCs w:val="0"/>
      </w:rPr>
    </w:pPr>
    <w:r>
      <w:rPr>
        <w:rStyle w:val="Strong"/>
        <w:b w:val="0"/>
        <w:bCs w:val="0"/>
      </w:rPr>
      <w:fldChar w:fldCharType="begin"/>
    </w:r>
    <w:r>
      <w:rPr>
        <w:rStyle w:val="Strong"/>
        <w:b w:val="0"/>
        <w:bCs w:val="0"/>
      </w:rPr>
      <w:instrText xml:space="preserve"> STYLEREF  "Heading 1-no background"  \* MERGEFORMAT </w:instrText>
    </w:r>
    <w:r>
      <w:rPr>
        <w:rStyle w:val="Strong"/>
        <w:b w:val="0"/>
        <w:bCs w:val="0"/>
      </w:rPr>
      <w:fldChar w:fldCharType="separate"/>
    </w:r>
    <w:r w:rsidR="00005755">
      <w:rPr>
        <w:rStyle w:val="Strong"/>
        <w:b w:val="0"/>
        <w:bCs w:val="0"/>
        <w:noProof/>
      </w:rPr>
      <w:t>Terms of reference</w:t>
    </w:r>
    <w:r>
      <w:rPr>
        <w:rStyle w:val="Strong"/>
        <w:b w:val="0"/>
        <w:bCs w:val="0"/>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01A2C" w14:textId="02C78713" w:rsidR="00E76EEC" w:rsidRDefault="00E76EEC">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4851F" w14:textId="46FB8C3F" w:rsidR="00AF217B" w:rsidRPr="00201320" w:rsidRDefault="00AF217B">
    <w:pPr>
      <w:pStyle w:val="Header-KeylineRight"/>
      <w:rPr>
        <w:rStyle w:val="Strong"/>
        <w:b w:val="0"/>
        <w:bCs w:val="0"/>
      </w:rPr>
    </w:pPr>
    <w:r>
      <w:rPr>
        <w:rStyle w:val="Strong"/>
        <w:b w:val="0"/>
        <w:bCs w:val="0"/>
      </w:rPr>
      <w:fldChar w:fldCharType="begin"/>
    </w:r>
    <w:r>
      <w:rPr>
        <w:rStyle w:val="Strong"/>
        <w:b w:val="0"/>
        <w:bCs w:val="0"/>
      </w:rPr>
      <w:instrText xml:space="preserve"> STYLEREF  "Heading 2-no TOC"  \* MERGEFORMAT </w:instrText>
    </w:r>
    <w:r>
      <w:rPr>
        <w:rStyle w:val="Strong"/>
        <w:b w:val="0"/>
        <w:bCs w:val="0"/>
      </w:rPr>
      <w:fldChar w:fldCharType="separate"/>
    </w:r>
    <w:r w:rsidR="009C08C4">
      <w:rPr>
        <w:rStyle w:val="Strong"/>
        <w:b w:val="0"/>
        <w:bCs w:val="0"/>
        <w:noProof/>
      </w:rPr>
      <w:t>Deliverables</w:t>
    </w:r>
    <w:r>
      <w:rPr>
        <w:rStyle w:val="Strong"/>
        <w:b w:val="0"/>
        <w:bCs w:val="0"/>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6DFAE" w14:textId="748E7072" w:rsidR="00E76EEC" w:rsidRPr="00201320" w:rsidRDefault="00D7466F" w:rsidP="00160FEC">
    <w:pPr>
      <w:pStyle w:val="Header-KeylineRight"/>
      <w:rPr>
        <w:rStyle w:val="Strong"/>
        <w:b w:val="0"/>
        <w:bCs w:val="0"/>
      </w:rPr>
    </w:pPr>
    <w:r>
      <w:rPr>
        <w:rStyle w:val="Strong"/>
        <w:b w:val="0"/>
        <w:bCs w:val="0"/>
      </w:rPr>
      <w:fldChar w:fldCharType="begin"/>
    </w:r>
    <w:r>
      <w:rPr>
        <w:rStyle w:val="Strong"/>
        <w:b w:val="0"/>
        <w:bCs w:val="0"/>
      </w:rPr>
      <w:instrText xml:space="preserve"> STYLEREF  "Heading 1-no background"  \* MERGEFORMAT </w:instrText>
    </w:r>
    <w:r>
      <w:rPr>
        <w:rStyle w:val="Strong"/>
        <w:b w:val="0"/>
        <w:bCs w:val="0"/>
      </w:rPr>
      <w:fldChar w:fldCharType="separate"/>
    </w:r>
    <w:r w:rsidR="00005755">
      <w:rPr>
        <w:rStyle w:val="Strong"/>
        <w:b w:val="0"/>
        <w:bCs w:val="0"/>
        <w:noProof/>
      </w:rPr>
      <w:t>Contents</w:t>
    </w:r>
    <w:r>
      <w:rPr>
        <w:rStyle w:val="Strong"/>
        <w:b w:val="0"/>
        <w:bCs w:val="0"/>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5C3A9" w14:textId="224A6FD9" w:rsidR="00E76EEC" w:rsidRDefault="00E76EEC">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20102" w14:textId="26A64A72" w:rsidR="00DB32A7" w:rsidRDefault="00DB32A7">
    <w:pPr>
      <w:pStyle w:val="Header-Keyline"/>
    </w:pPr>
    <w:r>
      <w:rPr>
        <w:rStyle w:val="Strong"/>
      </w:rPr>
      <w:t>GST distribution reforms</w:t>
    </w:r>
    <w:r>
      <w:t xml:space="preserve"> </w:t>
    </w:r>
    <w:r w:rsidR="00B3471E">
      <w:t>Interim</w:t>
    </w:r>
    <w:r>
      <w:t xml:space="preserve"> report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2203E" w14:textId="7B000A97" w:rsidR="00DB32A7" w:rsidRDefault="00D67411">
    <w:pPr>
      <w:pStyle w:val="Header-KeylineRight"/>
    </w:pPr>
    <w:fldSimple w:instr=" STYLEREF  &quot;Heading 1&quot;  \* MERGEFORMAT ">
      <w:r w:rsidR="00005755">
        <w:rPr>
          <w:noProof/>
        </w:rPr>
        <w:t>Horizontal Fiscal Equalisation in Australia</w:t>
      </w:r>
    </w:fldSimple>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DED75" w14:textId="229BB0DF" w:rsidR="00DB32A7" w:rsidRDefault="00DB32A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DA4C0" w14:textId="02C1F073" w:rsidR="00652DE5" w:rsidRPr="003C107B" w:rsidRDefault="00652DE5">
    <w:pPr>
      <w:pStyle w:val="Header-Keyline"/>
    </w:pPr>
    <w:r>
      <w:rPr>
        <w:rStyle w:val="Strong"/>
      </w:rPr>
      <w:t xml:space="preserve">GST distribution reforms </w:t>
    </w:r>
    <w:r>
      <w:rPr>
        <w:rStyle w:val="Strong"/>
        <w:b w:val="0"/>
        <w:bCs w:val="0"/>
      </w:rPr>
      <w:t>Interim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0714B" w14:textId="239C814C" w:rsidR="001E2FE4" w:rsidRDefault="009C08C4" w:rsidP="001E2FE4">
    <w:pPr>
      <w:pStyle w:val="Header-KeylineRight"/>
    </w:pPr>
    <w:fldSimple w:instr=" STYLEREF  &quot;Heading 1&quot;  \* MERGEFORMAT ">
      <w:r>
        <w:rPr>
          <w:noProof/>
        </w:rPr>
        <w:t>Executive summary</w:t>
      </w:r>
    </w:fldSimple>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43F8D" w14:textId="35B74D75" w:rsidR="00DB32A7" w:rsidRDefault="00DB32A7">
    <w:pPr>
      <w:pStyle w:val="Header-Keyline"/>
    </w:pPr>
    <w:r>
      <w:rPr>
        <w:rStyle w:val="Strong"/>
      </w:rPr>
      <w:t>GST distribution reforms</w:t>
    </w:r>
    <w:r>
      <w:t xml:space="preserve"> Interim report</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02C48" w14:textId="5D15C788" w:rsidR="00DB32A7" w:rsidRDefault="00D67411">
    <w:pPr>
      <w:pStyle w:val="Header-KeylineRight"/>
    </w:pPr>
    <w:fldSimple w:instr=" STYLEREF  &quot;Heading 1&quot;  \* MERGEFORMAT ">
      <w:r w:rsidR="00005755">
        <w:rPr>
          <w:noProof/>
        </w:rPr>
        <w:t>Impacts of the 2018 reforms</w:t>
      </w:r>
    </w:fldSimple>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DDA3A" w14:textId="15BCBBFB" w:rsidR="00DB32A7" w:rsidRDefault="00DB32A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A99E8" w14:textId="2A9258EF" w:rsidR="00DB32A7" w:rsidRPr="00094225" w:rsidRDefault="00DB32A7">
    <w:pPr>
      <w:pStyle w:val="Header-Keyline"/>
    </w:pPr>
    <w:r w:rsidRPr="00094225">
      <w:rPr>
        <w:b/>
        <w:bCs/>
      </w:rPr>
      <w:t xml:space="preserve">GST distribution reforms </w:t>
    </w:r>
    <w:r w:rsidRPr="00094225">
      <w:t>Interim report</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1BCD5" w14:textId="065D8317" w:rsidR="00DB32A7" w:rsidRDefault="00E91EBD">
    <w:pPr>
      <w:pStyle w:val="Header-KeylineRight"/>
    </w:pPr>
    <w:fldSimple w:instr=" STYLEREF  &quot;Heading 1&quot;  \* MERGEFORMAT ">
      <w:r w:rsidR="00005755">
        <w:rPr>
          <w:noProof/>
        </w:rPr>
        <w:t>The PC’s assessment of the current system</w:t>
      </w:r>
    </w:fldSimple>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72158" w14:textId="4667C266" w:rsidR="00DB32A7" w:rsidRDefault="00DB32A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674E8" w14:textId="11A9CAA0" w:rsidR="00DB32A7" w:rsidRDefault="00E91EBD">
    <w:pPr>
      <w:pStyle w:val="Header-KeylineRight"/>
    </w:pPr>
    <w:fldSimple w:instr="STYLEREF  &quot;Heading 1&quot;  \* MERGEFORMAT">
      <w:r w:rsidR="00005755">
        <w:rPr>
          <w:noProof/>
        </w:rPr>
        <w:t>Assessing alternative GST distribution arrangements</w:t>
      </w:r>
    </w:fldSimple>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29EE8" w14:textId="73C607AD" w:rsidR="00DB32A7" w:rsidRDefault="00DB32A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60D04" w14:textId="3AE53E1D" w:rsidR="009A0424" w:rsidRPr="00094225" w:rsidRDefault="009A0424">
    <w:pPr>
      <w:pStyle w:val="Header-Keyline"/>
    </w:pPr>
    <w:r>
      <w:rPr>
        <w:noProof/>
      </w:rPr>
      <w:drawing>
        <wp:anchor distT="0" distB="0" distL="114300" distR="114300" simplePos="0" relativeHeight="251658241" behindDoc="1" locked="0" layoutInCell="1" allowOverlap="1" wp14:anchorId="078CB5AE" wp14:editId="62045D70">
          <wp:simplePos x="0" y="0"/>
          <wp:positionH relativeFrom="page">
            <wp:align>right</wp:align>
          </wp:positionH>
          <wp:positionV relativeFrom="paragraph">
            <wp:posOffset>-506474</wp:posOffset>
          </wp:positionV>
          <wp:extent cx="7560000" cy="10681108"/>
          <wp:effectExtent l="0" t="0" r="3175" b="6350"/>
          <wp:wrapNone/>
          <wp:docPr id="453901798"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504042" name="Picture 1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1108"/>
                  </a:xfrm>
                  <a:prstGeom prst="rect">
                    <a:avLst/>
                  </a:prstGeom>
                </pic:spPr>
              </pic:pic>
            </a:graphicData>
          </a:graphic>
          <wp14:sizeRelH relativeFrom="margin">
            <wp14:pctWidth>0</wp14:pctWidth>
          </wp14:sizeRelH>
          <wp14:sizeRelV relativeFrom="margin">
            <wp14:pctHeight>0</wp14:pctHeight>
          </wp14:sizeRelV>
        </wp:anchor>
      </w:drawing>
    </w:r>
    <w:r w:rsidRPr="00094225">
      <w:rPr>
        <w:b/>
        <w:bCs/>
      </w:rPr>
      <w:t xml:space="preserve">GST distribution reforms </w:t>
    </w:r>
    <w:r w:rsidRPr="00094225">
      <w:t>Interim report</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DA49D" w14:textId="3006A9AE" w:rsidR="00DB32A7" w:rsidRPr="007B0012" w:rsidRDefault="00DB32A7">
    <w:pPr>
      <w:pStyle w:val="Header-Keyline"/>
    </w:pPr>
    <w:r>
      <w:rPr>
        <w:rStyle w:val="Strong"/>
      </w:rPr>
      <w:t xml:space="preserve">GST distribution reforms </w:t>
    </w:r>
    <w:r>
      <w:rPr>
        <w:rStyle w:val="Strong"/>
        <w:b w:val="0"/>
        <w:bCs w:val="0"/>
      </w:rPr>
      <w:t>Interim report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23BC0" w14:textId="5DB53CDF" w:rsidR="00F04EA7" w:rsidRPr="007215EF" w:rsidRDefault="00E74787" w:rsidP="007215EF">
    <w:r>
      <w:rPr>
        <w:noProof/>
      </w:rPr>
      <w:drawing>
        <wp:anchor distT="0" distB="0" distL="114300" distR="114300" simplePos="0" relativeHeight="251658240" behindDoc="0" locked="0" layoutInCell="1" allowOverlap="1" wp14:anchorId="47AEDB50" wp14:editId="5E3D9027">
          <wp:simplePos x="0" y="0"/>
          <wp:positionH relativeFrom="page">
            <wp:posOffset>0</wp:posOffset>
          </wp:positionH>
          <wp:positionV relativeFrom="paragraph">
            <wp:posOffset>-384972</wp:posOffset>
          </wp:positionV>
          <wp:extent cx="7559999" cy="10690797"/>
          <wp:effectExtent l="0" t="0" r="3175" b="0"/>
          <wp:wrapNone/>
          <wp:docPr id="631871882" name="Picture 1" descr="Australian Government Productivity Commission logo | GST distribution reforms interim report 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1871882" name="Picture 1" descr="Australian Government Productivity Commission logo | GST distribution reforms interim report cover"/>
                  <pic:cNvPicPr/>
                </pic:nvPicPr>
                <pic:blipFill>
                  <a:blip r:embed="rId1">
                    <a:extLst>
                      <a:ext uri="{28A0092B-C50C-407E-A947-70E740481C1C}">
                        <a14:useLocalDpi xmlns:a14="http://schemas.microsoft.com/office/drawing/2010/main" val="0"/>
                      </a:ext>
                    </a:extLst>
                  </a:blip>
                  <a:stretch>
                    <a:fillRect/>
                  </a:stretch>
                </pic:blipFill>
                <pic:spPr>
                  <a:xfrm>
                    <a:off x="0" y="0"/>
                    <a:ext cx="7559999" cy="10690797"/>
                  </a:xfrm>
                  <a:prstGeom prst="rect">
                    <a:avLst/>
                  </a:prstGeom>
                </pic:spPr>
              </pic:pic>
            </a:graphicData>
          </a:graphic>
          <wp14:sizeRelH relativeFrom="margin">
            <wp14:pctWidth>0</wp14:pctWidth>
          </wp14:sizeRelH>
          <wp14:sizeRelV relativeFrom="margin">
            <wp14:pctHeight>0</wp14:pctHeight>
          </wp14:sizeRelV>
        </wp:anchor>
      </w:drawing>
    </w:r>
  </w:p>
  <w:p w14:paraId="7AFAF9E8" w14:textId="77777777" w:rsidR="00F04EA7" w:rsidRPr="005965BC" w:rsidRDefault="00F04EA7" w:rsidP="005965BC">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6FEC5" w14:textId="66DABA12" w:rsidR="00DB32A7" w:rsidRDefault="00E91EBD">
    <w:pPr>
      <w:pStyle w:val="Header-KeylineRight"/>
    </w:pPr>
    <w:fldSimple w:instr=" STYLEREF  &quot;Heading 1&quot;  \* MERGEFORMAT ">
      <w:r w:rsidR="00005755">
        <w:rPr>
          <w:noProof/>
        </w:rPr>
        <w:t>Public engagement</w:t>
      </w:r>
    </w:fldSimple>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65E99" w14:textId="4A419499" w:rsidR="00DB32A7" w:rsidRDefault="00DB32A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555AB" w14:textId="17CD9823" w:rsidR="00A65085" w:rsidRPr="007B0012" w:rsidRDefault="00C1189C">
    <w:pPr>
      <w:pStyle w:val="Header-Keyline"/>
    </w:pPr>
    <w:r>
      <w:rPr>
        <w:noProof/>
      </w:rPr>
      <w:drawing>
        <wp:anchor distT="0" distB="0" distL="114300" distR="114300" simplePos="0" relativeHeight="251658242" behindDoc="1" locked="0" layoutInCell="1" allowOverlap="1" wp14:anchorId="45524085" wp14:editId="66F82DC6">
          <wp:simplePos x="0" y="0"/>
          <wp:positionH relativeFrom="page">
            <wp:posOffset>-2540</wp:posOffset>
          </wp:positionH>
          <wp:positionV relativeFrom="paragraph">
            <wp:posOffset>-496138</wp:posOffset>
          </wp:positionV>
          <wp:extent cx="7560000" cy="10681108"/>
          <wp:effectExtent l="0" t="0" r="3175" b="6350"/>
          <wp:wrapNone/>
          <wp:docPr id="1824341294"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504042" name="Picture 1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1108"/>
                  </a:xfrm>
                  <a:prstGeom prst="rect">
                    <a:avLst/>
                  </a:prstGeom>
                </pic:spPr>
              </pic:pic>
            </a:graphicData>
          </a:graphic>
          <wp14:sizeRelH relativeFrom="margin">
            <wp14:pctWidth>0</wp14:pctWidth>
          </wp14:sizeRelH>
          <wp14:sizeRelV relativeFrom="margin">
            <wp14:pctHeight>0</wp14:pctHeight>
          </wp14:sizeRelV>
        </wp:anchor>
      </w:drawing>
    </w:r>
    <w:r w:rsidR="00A65085">
      <w:rPr>
        <w:rStyle w:val="Strong"/>
      </w:rPr>
      <w:t xml:space="preserve">GST distribution reforms </w:t>
    </w:r>
    <w:r w:rsidR="00A65085">
      <w:rPr>
        <w:rStyle w:val="Strong"/>
        <w:b w:val="0"/>
        <w:bCs w:val="0"/>
      </w:rPr>
      <w:t>Interim report</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6C3B5" w14:textId="77777777" w:rsidR="00A65085" w:rsidRPr="007B0012" w:rsidRDefault="00A65085">
    <w:pPr>
      <w:pStyle w:val="Header-Keyline"/>
    </w:pPr>
    <w:r>
      <w:rPr>
        <w:rStyle w:val="Strong"/>
      </w:rPr>
      <w:t xml:space="preserve">GST distribution reforms </w:t>
    </w:r>
    <w:r>
      <w:rPr>
        <w:rStyle w:val="Strong"/>
        <w:b w:val="0"/>
        <w:bCs w:val="0"/>
      </w:rPr>
      <w:t>Interim report</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A2160" w14:textId="528E6738" w:rsidR="00C06130" w:rsidRDefault="00D67411">
    <w:pPr>
      <w:pStyle w:val="Header-KeylineRight"/>
    </w:pPr>
    <w:fldSimple w:instr=" STYLEREF  &quot;Heading 1-no background&quot;  \* MERGEFORMAT ">
      <w:r w:rsidR="00005755">
        <w:rPr>
          <w:noProof/>
        </w:rPr>
        <w:t>Abbreviations</w:t>
      </w:r>
    </w:fldSimple>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5ED8" w14:textId="41ED2A7E" w:rsidR="00214445" w:rsidRDefault="00000000">
    <w:pPr>
      <w:pStyle w:val="Header-Keyline"/>
    </w:pPr>
    <w:sdt>
      <w:sdtPr>
        <w:rPr>
          <w:rStyle w:val="Strong"/>
        </w:rPr>
        <w:alias w:val="Title"/>
        <w:tag w:val=""/>
        <w:id w:val="-763917187"/>
        <w:dataBinding w:prefixMappings="xmlns:ns0='http://purl.org/dc/elements/1.1/' xmlns:ns1='http://schemas.openxmlformats.org/package/2006/metadata/core-properties' " w:xpath="/ns1:coreProperties[1]/ns0:title[1]" w:storeItemID="{6C3C8BC8-F283-45AE-878A-BAB7291924A1}"/>
        <w:text/>
      </w:sdtPr>
      <w:sdtContent>
        <w:r w:rsidR="00A67AFB">
          <w:rPr>
            <w:rStyle w:val="Strong"/>
          </w:rPr>
          <w:t>Interim report - GST distribution reforms</w:t>
        </w:r>
      </w:sdtContent>
    </w:sdt>
    <w:r w:rsidR="00214445">
      <w:t xml:space="preserve"> Inquiry </w:t>
    </w:r>
    <w:r w:rsidR="00DB32A7">
      <w:t>report</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6BCAB" w14:textId="19AADB70" w:rsidR="00214445" w:rsidRDefault="00D67411">
    <w:pPr>
      <w:pStyle w:val="Header-KeylineRight"/>
    </w:pPr>
    <w:fldSimple w:instr=" STYLEREF  &quot;Heading 1&quot;  \* MERGEFORMAT ">
      <w:r w:rsidR="00005755">
        <w:rPr>
          <w:noProof/>
        </w:rPr>
        <w:t>Public engagement</w:t>
      </w:r>
    </w:fldSimple>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DBED9" w14:textId="732157E1" w:rsidR="00214445" w:rsidRDefault="00214445">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656B3" w14:textId="1D92ACB7" w:rsidR="00E41661" w:rsidRDefault="00214445">
    <w:pPr>
      <w:pStyle w:val="Header-Keyline"/>
    </w:pPr>
    <w:r>
      <w:rPr>
        <w:rStyle w:val="Strong"/>
      </w:rPr>
      <w:t>GST distribution reforms</w:t>
    </w:r>
    <w:r>
      <w:t xml:space="preserve"> </w:t>
    </w:r>
    <w:r w:rsidR="008D0038">
      <w:t>Interim</w:t>
    </w:r>
    <w:r>
      <w:t xml:space="preserve"> </w:t>
    </w:r>
    <w:r w:rsidR="00833866">
      <w:t>r</w:t>
    </w:r>
    <w:r>
      <w:t>eport</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4B4D3" w14:textId="5B97EBF9" w:rsidR="00E41661" w:rsidRDefault="00D67411">
    <w:pPr>
      <w:pStyle w:val="Header-KeylineRight"/>
    </w:pPr>
    <w:fldSimple w:instr=" STYLEREF  &quot;Heading 1-no background&quot;  \* MERGEFORMAT ">
      <w:r w:rsidR="00005755">
        <w:rPr>
          <w:noProof/>
        </w:rPr>
        <w:t>References</w:t>
      </w:r>
    </w:fldSimple>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E9AEB" w14:textId="2A1C1A05" w:rsidR="001E2FE4" w:rsidRDefault="000D74AB" w:rsidP="00390E05">
    <w:pPr>
      <w:pStyle w:val="Header-Keyline"/>
    </w:pPr>
    <w:r>
      <w:rPr>
        <w:rStyle w:val="Strong"/>
      </w:rPr>
      <w:t>GST distribution reforms</w:t>
    </w:r>
    <w:r w:rsidR="001E2FE4">
      <w:t xml:space="preserve"> </w:t>
    </w:r>
    <w:r w:rsidR="0085334C">
      <w:t>Interim</w:t>
    </w:r>
    <w:r w:rsidR="001E2FE4">
      <w:t xml:space="preserve"> </w:t>
    </w:r>
    <w:r w:rsidR="00BE5E7E">
      <w:t>r</w:t>
    </w:r>
    <w:r w:rsidR="001E2FE4">
      <w:t>eport</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D308A" w14:textId="5933B386" w:rsidR="00E41661" w:rsidRDefault="00E4166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A88F8" w14:textId="480ACE23" w:rsidR="001E2FE4" w:rsidRPr="00EA3238" w:rsidRDefault="009C08C4" w:rsidP="00EA3238">
    <w:pPr>
      <w:pStyle w:val="Header-KeylineRight"/>
    </w:pPr>
    <w:fldSimple w:instr=" STYLEREF  &quot;Heading 1&quot;  \* MERGEFORMAT ">
      <w:r>
        <w:rPr>
          <w:noProof/>
        </w:rPr>
        <w:t>Executive summary</w:t>
      </w:r>
    </w:fldSimple>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9635E" w14:textId="61DC8C93" w:rsidR="00C73D38" w:rsidRDefault="00C73D3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8B655" w14:textId="5ED008BF" w:rsidR="00E76EEC" w:rsidRDefault="00000000" w:rsidP="001D7D9B">
    <w:pPr>
      <w:pStyle w:val="Header-Keyline"/>
    </w:pPr>
    <w:sdt>
      <w:sdtPr>
        <w:rPr>
          <w:rStyle w:val="Strong"/>
        </w:rPr>
        <w:alias w:val="Title"/>
        <w:tag w:val=""/>
        <w:id w:val="-847643246"/>
        <w:placeholder>
          <w:docPart w:val="31336C52598C49DE8EC9A7F85188E99D"/>
        </w:placeholder>
        <w:dataBinding w:prefixMappings="xmlns:ns0='http://purl.org/dc/elements/1.1/' xmlns:ns1='http://schemas.openxmlformats.org/package/2006/metadata/core-properties' " w:xpath="/ns1:coreProperties[1]/ns0:title[1]" w:storeItemID="{6C3C8BC8-F283-45AE-878A-BAB7291924A1}"/>
        <w:text/>
      </w:sdtPr>
      <w:sdtContent>
        <w:r w:rsidR="00A67AFB">
          <w:rPr>
            <w:rStyle w:val="Strong"/>
          </w:rPr>
          <w:t>Interim report - GST distribution reforms</w:t>
        </w:r>
      </w:sdtContent>
    </w:sdt>
    <w:r w:rsidR="00E76EEC">
      <w:t xml:space="preserve"> Inquiry report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30062" w14:textId="65FC1A58" w:rsidR="00E76EEC" w:rsidRPr="00201320" w:rsidRDefault="00112D8E" w:rsidP="00160FEC">
    <w:pPr>
      <w:pStyle w:val="Header-KeylineRight"/>
      <w:rPr>
        <w:rStyle w:val="Strong"/>
        <w:b w:val="0"/>
        <w:bCs w:val="0"/>
      </w:rPr>
    </w:pPr>
    <w:r>
      <w:rPr>
        <w:rStyle w:val="Strong"/>
        <w:b w:val="0"/>
        <w:bCs w:val="0"/>
      </w:rPr>
      <w:t>Opportunity for comment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F7F88" w14:textId="0CACC284" w:rsidR="00E76EEC" w:rsidRDefault="00E76E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DD48B45E"/>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AE14E84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074A6380"/>
    <w:multiLevelType w:val="multilevel"/>
    <w:tmpl w:val="C47EA3E6"/>
    <w:styleLink w:val="TableList"/>
    <w:lvl w:ilvl="0">
      <w:start w:val="1"/>
      <w:numFmt w:val="decimal"/>
      <w:pStyle w:val="TableHeading-numbered"/>
      <w:suff w:val="space"/>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9C1734A"/>
    <w:multiLevelType w:val="multilevel"/>
    <w:tmpl w:val="72768BCE"/>
    <w:styleLink w:val="AppendixHeadingList"/>
    <w:lvl w:ilvl="0">
      <w:start w:val="1"/>
      <w:numFmt w:val="upperLetter"/>
      <w:pStyle w:val="Heading-Appendix"/>
      <w:lvlText w:val="%1."/>
      <w:lvlJc w:val="left"/>
      <w:pPr>
        <w:ind w:left="1418" w:hanging="851"/>
      </w:pPr>
      <w:rPr>
        <w:rFonts w:hint="default"/>
      </w:rPr>
    </w:lvl>
    <w:lvl w:ilvl="1">
      <w:start w:val="1"/>
      <w:numFmt w:val="decimal"/>
      <w:pStyle w:val="Heading2-Appendix"/>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AC2735F"/>
    <w:multiLevelType w:val="multilevel"/>
    <w:tmpl w:val="EE6A07A2"/>
    <w:styleLink w:val="ListHeadings"/>
    <w:lvl w:ilvl="0">
      <w:start w:val="1"/>
      <w:numFmt w:val="decimal"/>
      <w:isLgl/>
      <w:lvlText w:val="%1."/>
      <w:lvlJc w:val="left"/>
      <w:pPr>
        <w:ind w:left="1418" w:hanging="851"/>
      </w:pPr>
      <w:rPr>
        <w:rFonts w:hint="default"/>
      </w:rPr>
    </w:lvl>
    <w:lvl w:ilvl="1">
      <w:start w:val="1"/>
      <w:numFmt w:val="decimal"/>
      <w:suff w:val="space"/>
      <w:lvlText w:val="Box %1.%2"/>
      <w:lvlJc w:val="left"/>
      <w:pPr>
        <w:ind w:left="1134" w:hanging="1134"/>
      </w:pPr>
      <w:rPr>
        <w:rFonts w:hint="default"/>
      </w:rPr>
    </w:lvl>
    <w:lvl w:ilvl="2">
      <w:start w:val="1"/>
      <w:numFmt w:val="decimal"/>
      <w:lvlText w:val="%1.%3"/>
      <w:lvlJc w:val="left"/>
      <w:pPr>
        <w:ind w:left="851" w:hanging="85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E8D721D"/>
    <w:multiLevelType w:val="multilevel"/>
    <w:tmpl w:val="458C5F96"/>
    <w:lvl w:ilvl="0">
      <w:start w:val="4"/>
      <w:numFmt w:val="decimal"/>
      <w:isLgl/>
      <w:lvlText w:val="%1."/>
      <w:lvlJc w:val="left"/>
      <w:pPr>
        <w:ind w:left="1418" w:hanging="851"/>
      </w:pPr>
      <w:rPr>
        <w:rFonts w:hint="default"/>
      </w:rPr>
    </w:lvl>
    <w:lvl w:ilvl="1">
      <w:start w:val="1"/>
      <w:numFmt w:val="decimal"/>
      <w:suff w:val="space"/>
      <w:lvlText w:val="Box %1.%2"/>
      <w:lvlJc w:val="left"/>
      <w:pPr>
        <w:ind w:left="1134" w:hanging="1134"/>
      </w:pPr>
      <w:rPr>
        <w:rFonts w:hint="default"/>
      </w:rPr>
    </w:lvl>
    <w:lvl w:ilvl="2">
      <w:start w:val="1"/>
      <w:numFmt w:val="decimal"/>
      <w:lvlText w:val="4.%3"/>
      <w:lvlJc w:val="left"/>
      <w:pPr>
        <w:ind w:left="851" w:hanging="85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F6F37EA"/>
    <w:multiLevelType w:val="multilevel"/>
    <w:tmpl w:val="1FA8DC2A"/>
    <w:styleLink w:val="Numbering"/>
    <w:lvl w:ilvl="0">
      <w:start w:val="1"/>
      <w:numFmt w:val="decimal"/>
      <w:pStyle w:val="ListNumber"/>
      <w:lvlText w:val="%1."/>
      <w:lvlJc w:val="left"/>
      <w:pPr>
        <w:ind w:left="681" w:hanging="454"/>
      </w:pPr>
      <w:rPr>
        <w:rFonts w:hint="default"/>
      </w:rPr>
    </w:lvl>
    <w:lvl w:ilvl="1">
      <w:start w:val="1"/>
      <w:numFmt w:val="decimal"/>
      <w:pStyle w:val="ListNumber2"/>
      <w:lvlText w:val="%1.%2."/>
      <w:lvlJc w:val="left"/>
      <w:pPr>
        <w:ind w:left="907" w:hanging="680"/>
      </w:pPr>
      <w:rPr>
        <w:rFonts w:hint="default"/>
      </w:rPr>
    </w:lvl>
    <w:lvl w:ilvl="2">
      <w:start w:val="1"/>
      <w:numFmt w:val="decimal"/>
      <w:pStyle w:val="ListNumber3"/>
      <w:lvlText w:val="%1.%2.%3."/>
      <w:lvlJc w:val="left"/>
      <w:pPr>
        <w:ind w:left="1134" w:hanging="907"/>
      </w:pPr>
      <w:rPr>
        <w:rFonts w:hint="default"/>
      </w:rPr>
    </w:lvl>
    <w:lvl w:ilvl="3">
      <w:start w:val="1"/>
      <w:numFmt w:val="decimal"/>
      <w:pStyle w:val="ListNumber4"/>
      <w:lvlText w:val="%1.%2.%3.%4."/>
      <w:lvlJc w:val="left"/>
      <w:pPr>
        <w:ind w:left="1361" w:hanging="1134"/>
      </w:pPr>
      <w:rPr>
        <w:rFonts w:hint="default"/>
      </w:rPr>
    </w:lvl>
    <w:lvl w:ilvl="4">
      <w:start w:val="1"/>
      <w:numFmt w:val="decimal"/>
      <w:pStyle w:val="ListNumber5"/>
      <w:lvlText w:val="%1.%2.%3.%4.%5"/>
      <w:lvlJc w:val="left"/>
      <w:pPr>
        <w:ind w:left="1588" w:hanging="1361"/>
      </w:pPr>
      <w:rPr>
        <w:rFonts w:hint="default"/>
      </w:rPr>
    </w:lvl>
    <w:lvl w:ilvl="5">
      <w:start w:val="1"/>
      <w:numFmt w:val="decimal"/>
      <w:lvlText w:val="%6"/>
      <w:lvlJc w:val="left"/>
      <w:pPr>
        <w:ind w:left="794" w:hanging="567"/>
      </w:pPr>
      <w:rPr>
        <w:rFonts w:hint="default"/>
      </w:rPr>
    </w:lvl>
    <w:lvl w:ilvl="6">
      <w:start w:val="1"/>
      <w:numFmt w:val="decimal"/>
      <w:lvlText w:val="%7."/>
      <w:lvlJc w:val="left"/>
      <w:pPr>
        <w:ind w:left="794" w:hanging="567"/>
      </w:pPr>
      <w:rPr>
        <w:rFonts w:hint="default"/>
      </w:rPr>
    </w:lvl>
    <w:lvl w:ilvl="7">
      <w:start w:val="1"/>
      <w:numFmt w:val="decimal"/>
      <w:lvlText w:val="%8."/>
      <w:lvlJc w:val="left"/>
      <w:pPr>
        <w:ind w:left="794" w:hanging="567"/>
      </w:pPr>
      <w:rPr>
        <w:rFonts w:hint="default"/>
      </w:rPr>
    </w:lvl>
    <w:lvl w:ilvl="8">
      <w:start w:val="1"/>
      <w:numFmt w:val="none"/>
      <w:lvlText w:val=""/>
      <w:lvlJc w:val="right"/>
      <w:pPr>
        <w:ind w:left="794" w:hanging="567"/>
      </w:pPr>
      <w:rPr>
        <w:rFonts w:hint="default"/>
      </w:rPr>
    </w:lvl>
  </w:abstractNum>
  <w:abstractNum w:abstractNumId="7" w15:restartNumberingAfterBreak="0">
    <w:nsid w:val="12377B66"/>
    <w:multiLevelType w:val="multilevel"/>
    <w:tmpl w:val="4F48000A"/>
    <w:styleLink w:val="Alphalist"/>
    <w:lvl w:ilvl="0">
      <w:start w:val="1"/>
      <w:numFmt w:val="lowerLetter"/>
      <w:pStyle w:val="ListAlpha1"/>
      <w:lvlText w:val="%1."/>
      <w:lvlJc w:val="left"/>
      <w:pPr>
        <w:ind w:left="227" w:hanging="227"/>
      </w:pPr>
      <w:rPr>
        <w:rFonts w:hint="default"/>
      </w:rPr>
    </w:lvl>
    <w:lvl w:ilvl="1">
      <w:start w:val="1"/>
      <w:numFmt w:val="lowerLetter"/>
      <w:pStyle w:val="ListAlpha2"/>
      <w:lvlText w:val="%2."/>
      <w:lvlJc w:val="left"/>
      <w:pPr>
        <w:ind w:left="454" w:hanging="227"/>
      </w:pPr>
      <w:rPr>
        <w:rFonts w:hint="default"/>
      </w:rPr>
    </w:lvl>
    <w:lvl w:ilvl="2">
      <w:start w:val="1"/>
      <w:numFmt w:val="lowerRoman"/>
      <w:pStyle w:val="ListAlpha3"/>
      <w:lvlText w:val="%3."/>
      <w:lvlJc w:val="left"/>
      <w:pPr>
        <w:ind w:left="454" w:hanging="227"/>
      </w:pPr>
      <w:rPr>
        <w:rFonts w:hint="default"/>
      </w:rPr>
    </w:lvl>
    <w:lvl w:ilvl="3">
      <w:start w:val="1"/>
      <w:numFmt w:val="lowerRoman"/>
      <w:pStyle w:val="ListAlpha4"/>
      <w:lvlText w:val="%4."/>
      <w:lvlJc w:val="left"/>
      <w:pPr>
        <w:ind w:left="680" w:hanging="226"/>
      </w:pPr>
      <w:rPr>
        <w:rFonts w:hint="default"/>
      </w:rPr>
    </w:lvl>
    <w:lvl w:ilvl="4">
      <w:start w:val="1"/>
      <w:numFmt w:val="lowerLetter"/>
      <w:lvlText w:val="(%5)"/>
      <w:lvlJc w:val="left"/>
      <w:pPr>
        <w:ind w:left="907" w:hanging="227"/>
      </w:pPr>
      <w:rPr>
        <w:rFonts w:hint="default"/>
      </w:rPr>
    </w:lvl>
    <w:lvl w:ilvl="5">
      <w:start w:val="1"/>
      <w:numFmt w:val="lowerRoman"/>
      <w:lvlText w:val="(%6)"/>
      <w:lvlJc w:val="left"/>
      <w:pPr>
        <w:ind w:left="1134" w:hanging="227"/>
      </w:pPr>
      <w:rPr>
        <w:rFonts w:hint="default"/>
      </w:rPr>
    </w:lvl>
    <w:lvl w:ilvl="6">
      <w:start w:val="1"/>
      <w:numFmt w:val="decimal"/>
      <w:lvlText w:val="%7."/>
      <w:lvlJc w:val="left"/>
      <w:pPr>
        <w:ind w:left="1361" w:hanging="227"/>
      </w:pPr>
      <w:rPr>
        <w:rFonts w:hint="default"/>
      </w:rPr>
    </w:lvl>
    <w:lvl w:ilvl="7">
      <w:start w:val="1"/>
      <w:numFmt w:val="lowerLetter"/>
      <w:lvlText w:val="%8."/>
      <w:lvlJc w:val="left"/>
      <w:pPr>
        <w:ind w:left="1588" w:hanging="227"/>
      </w:pPr>
      <w:rPr>
        <w:rFonts w:hint="default"/>
      </w:rPr>
    </w:lvl>
    <w:lvl w:ilvl="8">
      <w:start w:val="1"/>
      <w:numFmt w:val="lowerRoman"/>
      <w:lvlText w:val="%9."/>
      <w:lvlJc w:val="left"/>
      <w:pPr>
        <w:ind w:left="1814" w:hanging="226"/>
      </w:pPr>
      <w:rPr>
        <w:rFonts w:hint="default"/>
      </w:rPr>
    </w:lvl>
  </w:abstractNum>
  <w:abstractNum w:abstractNumId="8" w15:restartNumberingAfterBreak="0">
    <w:nsid w:val="16155739"/>
    <w:multiLevelType w:val="multilevel"/>
    <w:tmpl w:val="55366B42"/>
    <w:styleLink w:val="LetteredList"/>
    <w:lvl w:ilvl="0">
      <w:start w:val="1"/>
      <w:numFmt w:val="lowerLetter"/>
      <w:pStyle w:val="List"/>
      <w:lvlText w:val="%1."/>
      <w:lvlJc w:val="left"/>
      <w:pPr>
        <w:ind w:left="227" w:hanging="227"/>
      </w:pPr>
      <w:rPr>
        <w:rFonts w:hint="default"/>
      </w:rPr>
    </w:lvl>
    <w:lvl w:ilvl="1">
      <w:start w:val="1"/>
      <w:numFmt w:val="lowerLetter"/>
      <w:pStyle w:val="List2"/>
      <w:lvlText w:val="%2."/>
      <w:lvlJc w:val="left"/>
      <w:pPr>
        <w:ind w:left="454" w:hanging="227"/>
      </w:pPr>
      <w:rPr>
        <w:rFonts w:hint="default"/>
      </w:rPr>
    </w:lvl>
    <w:lvl w:ilvl="2">
      <w:start w:val="1"/>
      <w:numFmt w:val="lowerRoman"/>
      <w:pStyle w:val="List3"/>
      <w:lvlText w:val="%3."/>
      <w:lvlJc w:val="left"/>
      <w:pPr>
        <w:ind w:left="454" w:hanging="227"/>
      </w:pPr>
      <w:rPr>
        <w:rFonts w:hint="default"/>
      </w:rPr>
    </w:lvl>
    <w:lvl w:ilvl="3">
      <w:start w:val="1"/>
      <w:numFmt w:val="lowerRoman"/>
      <w:pStyle w:val="List4"/>
      <w:lvlText w:val="%4."/>
      <w:lvlJc w:val="left"/>
      <w:pPr>
        <w:ind w:left="680" w:hanging="226"/>
      </w:pPr>
      <w:rPr>
        <w:rFonts w:hint="default"/>
      </w:rPr>
    </w:lvl>
    <w:lvl w:ilvl="4">
      <w:start w:val="1"/>
      <w:numFmt w:val="lowerRoman"/>
      <w:lvlText w:val="%5."/>
      <w:lvlJc w:val="left"/>
      <w:pPr>
        <w:ind w:left="907" w:hanging="227"/>
      </w:pPr>
      <w:rPr>
        <w:rFonts w:hint="default"/>
      </w:rPr>
    </w:lvl>
    <w:lvl w:ilvl="5">
      <w:start w:val="1"/>
      <w:numFmt w:val="lowerRoman"/>
      <w:lvlText w:val="%6."/>
      <w:lvlJc w:val="left"/>
      <w:pPr>
        <w:tabs>
          <w:tab w:val="num" w:pos="1644"/>
        </w:tabs>
        <w:ind w:left="1134" w:hanging="227"/>
      </w:pPr>
      <w:rPr>
        <w:rFonts w:hint="default"/>
      </w:rPr>
    </w:lvl>
    <w:lvl w:ilvl="6">
      <w:start w:val="1"/>
      <w:numFmt w:val="lowerLetter"/>
      <w:lvlText w:val="%7."/>
      <w:lvlJc w:val="left"/>
      <w:pPr>
        <w:ind w:left="1361" w:hanging="227"/>
      </w:pPr>
      <w:rPr>
        <w:rFonts w:hint="default"/>
      </w:rPr>
    </w:lvl>
    <w:lvl w:ilvl="7">
      <w:start w:val="1"/>
      <w:numFmt w:val="lowerLetter"/>
      <w:lvlText w:val="%8."/>
      <w:lvlJc w:val="left"/>
      <w:pPr>
        <w:ind w:left="1588" w:hanging="227"/>
      </w:pPr>
      <w:rPr>
        <w:rFonts w:hint="default"/>
      </w:rPr>
    </w:lvl>
    <w:lvl w:ilvl="8">
      <w:start w:val="1"/>
      <w:numFmt w:val="lowerLetter"/>
      <w:lvlText w:val="%9."/>
      <w:lvlJc w:val="left"/>
      <w:pPr>
        <w:ind w:left="1814" w:hanging="226"/>
      </w:pPr>
      <w:rPr>
        <w:rFonts w:hint="default"/>
      </w:rPr>
    </w:lvl>
  </w:abstractNum>
  <w:abstractNum w:abstractNumId="9" w15:restartNumberingAfterBreak="0">
    <w:nsid w:val="1A1A0E47"/>
    <w:multiLevelType w:val="multilevel"/>
    <w:tmpl w:val="C4E2BCE8"/>
    <w:lvl w:ilvl="0">
      <w:start w:val="1"/>
      <w:numFmt w:val="decimal"/>
      <w:pStyle w:val="Heading1"/>
      <w:isLgl/>
      <w:lvlText w:val="%1."/>
      <w:lvlJc w:val="left"/>
      <w:pPr>
        <w:ind w:left="1418" w:hanging="851"/>
      </w:pPr>
      <w:rPr>
        <w:rFonts w:hint="default"/>
      </w:rPr>
    </w:lvl>
    <w:lvl w:ilvl="1">
      <w:start w:val="1"/>
      <w:numFmt w:val="decimal"/>
      <w:suff w:val="space"/>
      <w:lvlText w:val="Box %1.%2"/>
      <w:lvlJc w:val="left"/>
      <w:pPr>
        <w:ind w:left="1134" w:hanging="1134"/>
      </w:pPr>
      <w:rPr>
        <w:rFonts w:hint="default"/>
      </w:rPr>
    </w:lvl>
    <w:lvl w:ilvl="2">
      <w:start w:val="1"/>
      <w:numFmt w:val="decimal"/>
      <w:pStyle w:val="Heading2"/>
      <w:lvlText w:val="%1.%3"/>
      <w:lvlJc w:val="left"/>
      <w:pPr>
        <w:ind w:left="851" w:hanging="85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15905EC"/>
    <w:multiLevelType w:val="multilevel"/>
    <w:tmpl w:val="14F2CE60"/>
    <w:styleLink w:val="AppendixHeading"/>
    <w:lvl w:ilvl="0">
      <w:start w:val="1"/>
      <w:numFmt w:val="upperLetter"/>
      <w:lvlText w:val="%1."/>
      <w:lvlJc w:val="left"/>
      <w:pPr>
        <w:ind w:left="1418" w:hanging="851"/>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5DD58C4"/>
    <w:multiLevelType w:val="hybridMultilevel"/>
    <w:tmpl w:val="7B48018C"/>
    <w:lvl w:ilvl="0" w:tplc="10A4CD0A">
      <w:start w:val="1"/>
      <w:numFmt w:val="decimal"/>
      <w:lvlText w:val="%1."/>
      <w:lvlJc w:val="left"/>
      <w:pPr>
        <w:ind w:left="786" w:hanging="360"/>
      </w:pPr>
    </w:lvl>
    <w:lvl w:ilvl="1" w:tplc="0C090019">
      <w:start w:val="1"/>
      <w:numFmt w:val="lowerLetter"/>
      <w:lvlText w:val="%2."/>
      <w:lvlJc w:val="left"/>
      <w:pPr>
        <w:ind w:left="1506" w:hanging="360"/>
      </w:pPr>
    </w:lvl>
    <w:lvl w:ilvl="2" w:tplc="0C09001B">
      <w:start w:val="1"/>
      <w:numFmt w:val="lowerRoman"/>
      <w:lvlText w:val="%3."/>
      <w:lvlJc w:val="right"/>
      <w:pPr>
        <w:ind w:left="2226" w:hanging="180"/>
      </w:pPr>
    </w:lvl>
    <w:lvl w:ilvl="3" w:tplc="0C09000F">
      <w:start w:val="1"/>
      <w:numFmt w:val="decimal"/>
      <w:lvlText w:val="%4."/>
      <w:lvlJc w:val="left"/>
      <w:pPr>
        <w:ind w:left="2946" w:hanging="360"/>
      </w:pPr>
    </w:lvl>
    <w:lvl w:ilvl="4" w:tplc="0C090019">
      <w:start w:val="1"/>
      <w:numFmt w:val="lowerLetter"/>
      <w:lvlText w:val="%5."/>
      <w:lvlJc w:val="left"/>
      <w:pPr>
        <w:ind w:left="3666" w:hanging="360"/>
      </w:pPr>
    </w:lvl>
    <w:lvl w:ilvl="5" w:tplc="0C09001B">
      <w:start w:val="1"/>
      <w:numFmt w:val="lowerRoman"/>
      <w:lvlText w:val="%6."/>
      <w:lvlJc w:val="right"/>
      <w:pPr>
        <w:ind w:left="4386" w:hanging="180"/>
      </w:pPr>
    </w:lvl>
    <w:lvl w:ilvl="6" w:tplc="0C09000F">
      <w:start w:val="1"/>
      <w:numFmt w:val="decimal"/>
      <w:lvlText w:val="%7."/>
      <w:lvlJc w:val="left"/>
      <w:pPr>
        <w:ind w:left="5106" w:hanging="360"/>
      </w:pPr>
    </w:lvl>
    <w:lvl w:ilvl="7" w:tplc="0C090019">
      <w:start w:val="1"/>
      <w:numFmt w:val="lowerLetter"/>
      <w:lvlText w:val="%8."/>
      <w:lvlJc w:val="left"/>
      <w:pPr>
        <w:ind w:left="5826" w:hanging="360"/>
      </w:pPr>
    </w:lvl>
    <w:lvl w:ilvl="8" w:tplc="0C09001B">
      <w:start w:val="1"/>
      <w:numFmt w:val="lowerRoman"/>
      <w:lvlText w:val="%9."/>
      <w:lvlJc w:val="right"/>
      <w:pPr>
        <w:ind w:left="6546" w:hanging="180"/>
      </w:pPr>
    </w:lvl>
  </w:abstractNum>
  <w:abstractNum w:abstractNumId="12" w15:restartNumberingAfterBreak="0">
    <w:nsid w:val="2D665246"/>
    <w:multiLevelType w:val="multilevel"/>
    <w:tmpl w:val="55366B42"/>
    <w:numStyleLink w:val="LetteredList"/>
  </w:abstractNum>
  <w:abstractNum w:abstractNumId="13" w15:restartNumberingAfterBreak="0">
    <w:nsid w:val="2DFE29AF"/>
    <w:multiLevelType w:val="multilevel"/>
    <w:tmpl w:val="72768BCE"/>
    <w:numStyleLink w:val="AppendixHeadingList"/>
  </w:abstractNum>
  <w:abstractNum w:abstractNumId="14" w15:restartNumberingAfterBreak="0">
    <w:nsid w:val="34945759"/>
    <w:multiLevelType w:val="multilevel"/>
    <w:tmpl w:val="EDDA6002"/>
    <w:styleLink w:val="TOCList"/>
    <w:lvl w:ilvl="0">
      <w:start w:val="1"/>
      <w:numFmt w:val="decimal"/>
      <w:lvlText w:val="%1"/>
      <w:lvlJc w:val="left"/>
      <w:pPr>
        <w:ind w:left="567" w:hanging="567"/>
      </w:pPr>
      <w:rPr>
        <w:rFonts w:hint="default"/>
        <w:b/>
        <w:i w:val="0"/>
        <w:color w:val="265A9A" w:themeColor="background2"/>
      </w:rPr>
    </w:lvl>
    <w:lvl w:ilvl="1">
      <w:start w:val="1"/>
      <w:numFmt w:val="decimal"/>
      <w:lvlText w:val="%1.%2"/>
      <w:lvlJc w:val="left"/>
      <w:pPr>
        <w:ind w:left="851"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71C639B"/>
    <w:multiLevelType w:val="multilevel"/>
    <w:tmpl w:val="4050A73C"/>
    <w:lvl w:ilvl="0">
      <w:start w:val="1"/>
      <w:numFmt w:val="none"/>
      <w:isLgl/>
      <w:lvlText w:val="A."/>
      <w:lvlJc w:val="left"/>
      <w:pPr>
        <w:ind w:left="1418" w:hanging="851"/>
      </w:pPr>
      <w:rPr>
        <w:rFonts w:hint="default"/>
      </w:rPr>
    </w:lvl>
    <w:lvl w:ilvl="1">
      <w:start w:val="1"/>
      <w:numFmt w:val="decimal"/>
      <w:suff w:val="space"/>
      <w:lvlText w:val="Box %1.%2"/>
      <w:lvlJc w:val="left"/>
      <w:pPr>
        <w:ind w:left="1134" w:hanging="1134"/>
      </w:pPr>
      <w:rPr>
        <w:rFonts w:hint="default"/>
      </w:rPr>
    </w:lvl>
    <w:lvl w:ilvl="2">
      <w:start w:val="1"/>
      <w:numFmt w:val="decimal"/>
      <w:lvlText w:val="%1.%3"/>
      <w:lvlJc w:val="left"/>
      <w:pPr>
        <w:ind w:left="851" w:hanging="85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467F3571"/>
    <w:multiLevelType w:val="multilevel"/>
    <w:tmpl w:val="DE7E2246"/>
    <w:styleLink w:val="Figure"/>
    <w:lvl w:ilvl="0">
      <w:start w:val="1"/>
      <w:numFmt w:val="lowerLetter"/>
      <w:suff w:val="space"/>
      <w:lvlText w:val="%1."/>
      <w:lvlJc w:val="left"/>
      <w:pPr>
        <w:ind w:left="0" w:firstLine="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8831E8A"/>
    <w:multiLevelType w:val="hybridMultilevel"/>
    <w:tmpl w:val="08C4AEA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B687294"/>
    <w:multiLevelType w:val="multilevel"/>
    <w:tmpl w:val="BC6CEC38"/>
    <w:styleLink w:val="BoxList"/>
    <w:lvl w:ilvl="0">
      <w:start w:val="1"/>
      <w:numFmt w:val="decimal"/>
      <w:suff w:val="space"/>
      <w:lvlText w:val="Box %1 —"/>
      <w:lvlJc w:val="left"/>
      <w:pPr>
        <w:ind w:left="360" w:hanging="360"/>
      </w:pPr>
      <w:rPr>
        <w:rFonts w:hint="default"/>
      </w:rPr>
    </w:lvl>
    <w:lvl w:ilvl="1">
      <w:start w:val="1"/>
      <w:numFmt w:val="decimal"/>
      <w:suff w:val="space"/>
      <w:lvlText w:val="Box %1.%2 —"/>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0E1502C"/>
    <w:multiLevelType w:val="multilevel"/>
    <w:tmpl w:val="BD7243B4"/>
    <w:styleLink w:val="Bullets"/>
    <w:lvl w:ilvl="0">
      <w:start w:val="1"/>
      <w:numFmt w:val="bullet"/>
      <w:pStyle w:val="ListBullet"/>
      <w:lvlText w:val="•"/>
      <w:lvlJc w:val="left"/>
      <w:pPr>
        <w:ind w:left="227" w:hanging="227"/>
      </w:pPr>
      <w:rPr>
        <w:rFonts w:ascii="Times New Roman" w:hAnsi="Times New Roman" w:cs="Times New Roman" w:hint="default"/>
        <w:color w:val="auto"/>
      </w:rPr>
    </w:lvl>
    <w:lvl w:ilvl="1">
      <w:start w:val="1"/>
      <w:numFmt w:val="bullet"/>
      <w:pStyle w:val="ListBullet2"/>
      <w:lvlText w:val="–"/>
      <w:lvlJc w:val="left"/>
      <w:pPr>
        <w:ind w:left="454" w:hanging="227"/>
      </w:pPr>
      <w:rPr>
        <w:rFonts w:ascii="Arial" w:hAnsi="Arial" w:hint="default"/>
        <w:color w:val="auto"/>
      </w:rPr>
    </w:lvl>
    <w:lvl w:ilvl="2">
      <w:start w:val="1"/>
      <w:numFmt w:val="bullet"/>
      <w:pStyle w:val="ListBullet3"/>
      <w:lvlText w:val="»"/>
      <w:lvlJc w:val="left"/>
      <w:pPr>
        <w:ind w:left="907" w:hanging="227"/>
      </w:pPr>
      <w:rPr>
        <w:rFonts w:ascii="Arial" w:hAnsi="Arial" w:hint="default"/>
        <w:color w:val="auto"/>
      </w:rPr>
    </w:lvl>
    <w:lvl w:ilvl="3">
      <w:start w:val="1"/>
      <w:numFmt w:val="bullet"/>
      <w:lvlText w:val="–"/>
      <w:lvlJc w:val="left"/>
      <w:pPr>
        <w:tabs>
          <w:tab w:val="num" w:pos="851"/>
        </w:tabs>
        <w:ind w:left="907" w:hanging="227"/>
      </w:pPr>
      <w:rPr>
        <w:rFonts w:ascii="Arial" w:hAnsi="Arial" w:hint="default"/>
        <w:color w:val="auto"/>
      </w:rPr>
    </w:lvl>
    <w:lvl w:ilvl="4">
      <w:start w:val="1"/>
      <w:numFmt w:val="bullet"/>
      <w:lvlText w:val="–"/>
      <w:lvlJc w:val="left"/>
      <w:pPr>
        <w:ind w:left="1134" w:hanging="227"/>
      </w:pPr>
      <w:rPr>
        <w:rFonts w:ascii="Arial" w:hAnsi="Arial" w:hint="default"/>
        <w:color w:val="auto"/>
      </w:rPr>
    </w:lvl>
    <w:lvl w:ilvl="5">
      <w:start w:val="1"/>
      <w:numFmt w:val="bullet"/>
      <w:lvlText w:val="–"/>
      <w:lvlJc w:val="left"/>
      <w:pPr>
        <w:ind w:left="1361" w:hanging="227"/>
      </w:pPr>
      <w:rPr>
        <w:rFonts w:ascii="Arial" w:hAnsi="Arial" w:hint="default"/>
      </w:rPr>
    </w:lvl>
    <w:lvl w:ilvl="6">
      <w:start w:val="1"/>
      <w:numFmt w:val="bullet"/>
      <w:lvlText w:val="–"/>
      <w:lvlJc w:val="left"/>
      <w:pPr>
        <w:ind w:left="1588" w:hanging="227"/>
      </w:pPr>
      <w:rPr>
        <w:rFonts w:ascii="Arial" w:hAnsi="Arial" w:hint="default"/>
      </w:rPr>
    </w:lvl>
    <w:lvl w:ilvl="7">
      <w:start w:val="1"/>
      <w:numFmt w:val="bullet"/>
      <w:lvlText w:val="–"/>
      <w:lvlJc w:val="left"/>
      <w:pPr>
        <w:ind w:left="1814" w:hanging="226"/>
      </w:pPr>
      <w:rPr>
        <w:rFonts w:ascii="Arial" w:hAnsi="Arial" w:hint="default"/>
      </w:rPr>
    </w:lvl>
    <w:lvl w:ilvl="8">
      <w:start w:val="1"/>
      <w:numFmt w:val="bullet"/>
      <w:lvlText w:val="–"/>
      <w:lvlJc w:val="left"/>
      <w:pPr>
        <w:tabs>
          <w:tab w:val="num" w:pos="2211"/>
        </w:tabs>
        <w:ind w:left="2041" w:hanging="227"/>
      </w:pPr>
      <w:rPr>
        <w:rFonts w:ascii="Arial" w:hAnsi="Arial" w:hint="default"/>
      </w:rPr>
    </w:lvl>
  </w:abstractNum>
  <w:abstractNum w:abstractNumId="20" w15:restartNumberingAfterBreak="0">
    <w:nsid w:val="61E96900"/>
    <w:multiLevelType w:val="hybridMultilevel"/>
    <w:tmpl w:val="D56629A0"/>
    <w:lvl w:ilvl="0" w:tplc="2858405E">
      <w:start w:val="1"/>
      <w:numFmt w:val="upperLetter"/>
      <w:lvlText w:val="%1."/>
      <w:lvlJc w:val="left"/>
      <w:pPr>
        <w:ind w:left="1287" w:hanging="72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1" w15:restartNumberingAfterBreak="0">
    <w:nsid w:val="67EB6AB0"/>
    <w:multiLevelType w:val="multilevel"/>
    <w:tmpl w:val="BD7243B4"/>
    <w:numStyleLink w:val="Bullets"/>
  </w:abstractNum>
  <w:abstractNum w:abstractNumId="22" w15:restartNumberingAfterBreak="0">
    <w:nsid w:val="689A1F9E"/>
    <w:multiLevelType w:val="multilevel"/>
    <w:tmpl w:val="939644B0"/>
    <w:lvl w:ilvl="0">
      <w:start w:val="3"/>
      <w:numFmt w:val="decimal"/>
      <w:isLgl/>
      <w:lvlText w:val="%1."/>
      <w:lvlJc w:val="left"/>
      <w:pPr>
        <w:ind w:left="1418" w:hanging="851"/>
      </w:pPr>
      <w:rPr>
        <w:rFonts w:hint="default"/>
      </w:rPr>
    </w:lvl>
    <w:lvl w:ilvl="1">
      <w:start w:val="1"/>
      <w:numFmt w:val="decimal"/>
      <w:suff w:val="space"/>
      <w:lvlText w:val="Box %1.%2"/>
      <w:lvlJc w:val="left"/>
      <w:pPr>
        <w:ind w:left="1134" w:hanging="1134"/>
      </w:pPr>
      <w:rPr>
        <w:rFonts w:hint="default"/>
      </w:rPr>
    </w:lvl>
    <w:lvl w:ilvl="2">
      <w:start w:val="1"/>
      <w:numFmt w:val="decimal"/>
      <w:lvlRestart w:val="1"/>
      <w:lvlText w:val="%1.%3"/>
      <w:lvlJc w:val="left"/>
      <w:pPr>
        <w:ind w:left="851" w:hanging="85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699968DF"/>
    <w:multiLevelType w:val="multilevel"/>
    <w:tmpl w:val="C18CC226"/>
    <w:lvl w:ilvl="0">
      <w:start w:val="1"/>
      <w:numFmt w:val="decimal"/>
      <w:isLgl/>
      <w:lvlText w:val="%1."/>
      <w:lvlJc w:val="left"/>
      <w:pPr>
        <w:ind w:left="1418" w:hanging="851"/>
      </w:pPr>
      <w:rPr>
        <w:rFonts w:hint="default"/>
      </w:rPr>
    </w:lvl>
    <w:lvl w:ilvl="1">
      <w:start w:val="1"/>
      <w:numFmt w:val="decimal"/>
      <w:suff w:val="space"/>
      <w:lvlText w:val="Box %1.%2"/>
      <w:lvlJc w:val="left"/>
      <w:pPr>
        <w:ind w:left="1134" w:hanging="1134"/>
      </w:pPr>
      <w:rPr>
        <w:rFonts w:hint="default"/>
      </w:rPr>
    </w:lvl>
    <w:lvl w:ilvl="2">
      <w:start w:val="1"/>
      <w:numFmt w:val="decimal"/>
      <w:lvlText w:val="2.%3"/>
      <w:lvlJc w:val="left"/>
      <w:pPr>
        <w:ind w:left="851" w:hanging="85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73DC0B35"/>
    <w:multiLevelType w:val="multilevel"/>
    <w:tmpl w:val="6BFE7620"/>
    <w:lvl w:ilvl="0">
      <w:start w:val="1"/>
      <w:numFmt w:val="decimal"/>
      <w:isLgl/>
      <w:lvlText w:val="%1."/>
      <w:lvlJc w:val="left"/>
      <w:pPr>
        <w:ind w:left="1418" w:hanging="851"/>
      </w:pPr>
      <w:rPr>
        <w:rFonts w:hint="default"/>
      </w:rPr>
    </w:lvl>
    <w:lvl w:ilvl="1">
      <w:start w:val="1"/>
      <w:numFmt w:val="decimal"/>
      <w:suff w:val="space"/>
      <w:lvlText w:val="Box %1.%2"/>
      <w:lvlJc w:val="left"/>
      <w:pPr>
        <w:ind w:left="1134" w:hanging="1134"/>
      </w:pPr>
      <w:rPr>
        <w:rFonts w:hint="default"/>
      </w:rPr>
    </w:lvl>
    <w:lvl w:ilvl="2">
      <w:start w:val="1"/>
      <w:numFmt w:val="decimal"/>
      <w:lvlText w:val="1.%3"/>
      <w:lvlJc w:val="left"/>
      <w:pPr>
        <w:ind w:left="851" w:hanging="85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761B4A1B"/>
    <w:multiLevelType w:val="multilevel"/>
    <w:tmpl w:val="4F48000A"/>
    <w:numStyleLink w:val="Alphalist"/>
  </w:abstractNum>
  <w:num w:numId="1" w16cid:durableId="2059621589">
    <w:abstractNumId w:val="19"/>
  </w:num>
  <w:num w:numId="2" w16cid:durableId="675377460">
    <w:abstractNumId w:val="6"/>
  </w:num>
  <w:num w:numId="3" w16cid:durableId="664821553">
    <w:abstractNumId w:val="4"/>
  </w:num>
  <w:num w:numId="4" w16cid:durableId="540482035">
    <w:abstractNumId w:val="8"/>
  </w:num>
  <w:num w:numId="5" w16cid:durableId="1274825745">
    <w:abstractNumId w:val="14"/>
  </w:num>
  <w:num w:numId="6" w16cid:durableId="342129395">
    <w:abstractNumId w:val="16"/>
  </w:num>
  <w:num w:numId="7" w16cid:durableId="1412704384">
    <w:abstractNumId w:val="18"/>
  </w:num>
  <w:num w:numId="8" w16cid:durableId="813451545">
    <w:abstractNumId w:val="7"/>
  </w:num>
  <w:num w:numId="9" w16cid:durableId="1813060801">
    <w:abstractNumId w:val="2"/>
  </w:num>
  <w:num w:numId="10" w16cid:durableId="1206793917">
    <w:abstractNumId w:val="10"/>
  </w:num>
  <w:num w:numId="11" w16cid:durableId="780956312">
    <w:abstractNumId w:val="3"/>
  </w:num>
  <w:num w:numId="12" w16cid:durableId="1665887734">
    <w:abstractNumId w:val="13"/>
  </w:num>
  <w:num w:numId="13" w16cid:durableId="2090082061">
    <w:abstractNumId w:val="12"/>
  </w:num>
  <w:num w:numId="14" w16cid:durableId="1888759763">
    <w:abstractNumId w:val="25"/>
  </w:num>
  <w:num w:numId="15" w16cid:durableId="850070367">
    <w:abstractNumId w:val="0"/>
  </w:num>
  <w:num w:numId="16" w16cid:durableId="2083208759">
    <w:abstractNumId w:val="6"/>
  </w:num>
  <w:num w:numId="17" w16cid:durableId="1699040603">
    <w:abstractNumId w:val="2"/>
  </w:num>
  <w:num w:numId="18" w16cid:durableId="741029647">
    <w:abstractNumId w:val="22"/>
  </w:num>
  <w:num w:numId="19" w16cid:durableId="799881963">
    <w:abstractNumId w:val="9"/>
  </w:num>
  <w:num w:numId="20" w16cid:durableId="42798934">
    <w:abstractNumId w:val="9"/>
    <w:lvlOverride w:ilvl="0">
      <w:lvl w:ilvl="0">
        <w:start w:val="1"/>
        <w:numFmt w:val="none"/>
        <w:pStyle w:val="Heading1"/>
        <w:isLgl/>
        <w:lvlText w:val="2"/>
        <w:lvlJc w:val="left"/>
        <w:pPr>
          <w:ind w:left="1418" w:hanging="851"/>
        </w:pPr>
        <w:rPr>
          <w:rFonts w:hint="default"/>
        </w:rPr>
      </w:lvl>
    </w:lvlOverride>
    <w:lvlOverride w:ilvl="1">
      <w:lvl w:ilvl="1">
        <w:start w:val="1"/>
        <w:numFmt w:val="decimal"/>
        <w:suff w:val="space"/>
        <w:lvlText w:val="Box %1.%2"/>
        <w:lvlJc w:val="left"/>
        <w:pPr>
          <w:ind w:left="1134" w:hanging="1134"/>
        </w:pPr>
        <w:rPr>
          <w:rFonts w:hint="default"/>
        </w:rPr>
      </w:lvl>
    </w:lvlOverride>
    <w:lvlOverride w:ilvl="2">
      <w:lvl w:ilvl="2">
        <w:start w:val="1"/>
        <w:numFmt w:val="decimal"/>
        <w:pStyle w:val="Heading2"/>
        <w:lvlText w:val="%1.%3"/>
        <w:lvlJc w:val="left"/>
        <w:pPr>
          <w:ind w:left="851" w:hanging="851"/>
        </w:pPr>
        <w:rPr>
          <w:rFonts w:hint="default"/>
        </w:rPr>
      </w:lvl>
    </w:lvlOverride>
    <w:lvlOverride w:ilvl="3">
      <w:lvl w:ilvl="3">
        <w:start w:val="1"/>
        <w:numFmt w:val="decimal"/>
        <w:lvlText w:val="%1.%2.%3.%4."/>
        <w:lvlJc w:val="left"/>
        <w:pPr>
          <w:ind w:left="1361" w:hanging="1361"/>
        </w:pPr>
        <w:rPr>
          <w:rFonts w:hint="default"/>
        </w:rPr>
      </w:lvl>
    </w:lvlOverride>
    <w:lvlOverride w:ilvl="4">
      <w:lvl w:ilvl="4">
        <w:start w:val="1"/>
        <w:numFmt w:val="decimal"/>
        <w:lvlText w:val="%1.%2.%3.%4.%5"/>
        <w:lvlJc w:val="left"/>
        <w:pPr>
          <w:ind w:left="1701" w:hanging="1701"/>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1" w16cid:durableId="2670836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16408801">
    <w:abstractNumId w:val="20"/>
  </w:num>
  <w:num w:numId="23" w16cid:durableId="103588600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69185198">
    <w:abstractNumId w:val="21"/>
  </w:num>
  <w:num w:numId="25" w16cid:durableId="16447766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766869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94174181">
    <w:abstractNumId w:val="24"/>
  </w:num>
  <w:num w:numId="28" w16cid:durableId="519202755">
    <w:abstractNumId w:val="24"/>
    <w:lvlOverride w:ilvl="0">
      <w:lvl w:ilvl="0">
        <w:start w:val="1"/>
        <w:numFmt w:val="decimal"/>
        <w:isLgl/>
        <w:lvlText w:val="%1."/>
        <w:lvlJc w:val="left"/>
        <w:pPr>
          <w:ind w:left="1418" w:hanging="851"/>
        </w:pPr>
        <w:rPr>
          <w:rFonts w:hint="default"/>
        </w:rPr>
      </w:lvl>
    </w:lvlOverride>
    <w:lvlOverride w:ilvl="1">
      <w:lvl w:ilvl="1">
        <w:start w:val="1"/>
        <w:numFmt w:val="decimal"/>
        <w:suff w:val="space"/>
        <w:lvlText w:val="Box %1.%2"/>
        <w:lvlJc w:val="left"/>
        <w:pPr>
          <w:ind w:left="1134" w:hanging="1134"/>
        </w:pPr>
        <w:rPr>
          <w:rFonts w:hint="default"/>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1.%2.%3.%4."/>
        <w:lvlJc w:val="left"/>
        <w:pPr>
          <w:ind w:left="1361" w:hanging="1361"/>
        </w:pPr>
        <w:rPr>
          <w:rFonts w:hint="default"/>
        </w:rPr>
      </w:lvl>
    </w:lvlOverride>
    <w:lvlOverride w:ilvl="4">
      <w:lvl w:ilvl="4">
        <w:start w:val="1"/>
        <w:numFmt w:val="decimal"/>
        <w:lvlText w:val="%1.%2.%3.%4.%5"/>
        <w:lvlJc w:val="left"/>
        <w:pPr>
          <w:ind w:left="1701" w:hanging="1701"/>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9" w16cid:durableId="161241247">
    <w:abstractNumId w:val="17"/>
  </w:num>
  <w:num w:numId="30" w16cid:durableId="724186258">
    <w:abstractNumId w:val="5"/>
  </w:num>
  <w:num w:numId="31" w16cid:durableId="494035183">
    <w:abstractNumId w:val="11"/>
  </w:num>
  <w:num w:numId="32" w16cid:durableId="1840265845">
    <w:abstractNumId w:val="23"/>
  </w:num>
  <w:num w:numId="33" w16cid:durableId="2101876422">
    <w:abstractNumId w:val="1"/>
  </w:num>
  <w:num w:numId="34" w16cid:durableId="2094357660">
    <w:abstractNumId w:val="9"/>
    <w:lvlOverride w:ilvl="0">
      <w:startOverride w:val="4"/>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34444053">
    <w:abstractNumId w:val="15"/>
  </w:num>
  <w:num w:numId="36" w16cid:durableId="1779064065">
    <w:abstractNumId w:val="9"/>
    <w:lvlOverride w:ilvl="0">
      <w:lvl w:ilvl="0">
        <w:start w:val="1"/>
        <w:numFmt w:val="none"/>
        <w:pStyle w:val="Heading1"/>
        <w:isLgl/>
        <w:lvlText w:val="A"/>
        <w:lvlJc w:val="left"/>
        <w:pPr>
          <w:ind w:left="1418" w:hanging="851"/>
        </w:pPr>
        <w:rPr>
          <w:rFonts w:hint="default"/>
        </w:rPr>
      </w:lvl>
    </w:lvlOverride>
    <w:lvlOverride w:ilvl="1">
      <w:lvl w:ilvl="1">
        <w:start w:val="1"/>
        <w:numFmt w:val="decimal"/>
        <w:suff w:val="space"/>
        <w:lvlText w:val="Box %1.%2"/>
        <w:lvlJc w:val="left"/>
        <w:pPr>
          <w:ind w:left="1134" w:hanging="1134"/>
        </w:pPr>
        <w:rPr>
          <w:rFonts w:hint="default"/>
        </w:rPr>
      </w:lvl>
    </w:lvlOverride>
    <w:lvlOverride w:ilvl="2">
      <w:lvl w:ilvl="2">
        <w:start w:val="1"/>
        <w:numFmt w:val="decimal"/>
        <w:pStyle w:val="Heading2"/>
        <w:lvlText w:val="%1.%3"/>
        <w:lvlJc w:val="left"/>
        <w:pPr>
          <w:ind w:left="851" w:hanging="851"/>
        </w:pPr>
        <w:rPr>
          <w:rFonts w:hint="default"/>
        </w:rPr>
      </w:lvl>
    </w:lvlOverride>
    <w:lvlOverride w:ilvl="3">
      <w:lvl w:ilvl="3">
        <w:start w:val="1"/>
        <w:numFmt w:val="decimal"/>
        <w:lvlText w:val="%1.%2.%3.%4."/>
        <w:lvlJc w:val="left"/>
        <w:pPr>
          <w:ind w:left="1361" w:hanging="1361"/>
        </w:pPr>
        <w:rPr>
          <w:rFonts w:hint="default"/>
        </w:rPr>
      </w:lvl>
    </w:lvlOverride>
    <w:lvlOverride w:ilvl="4">
      <w:lvl w:ilvl="4">
        <w:start w:val="1"/>
        <w:numFmt w:val="decimal"/>
        <w:lvlText w:val="%1.%2.%3.%4.%5"/>
        <w:lvlJc w:val="left"/>
        <w:pPr>
          <w:ind w:left="1701" w:hanging="1701"/>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7" w16cid:durableId="1001618697">
    <w:abstractNumId w:val="9"/>
    <w:lvlOverride w:ilvl="0">
      <w:lvl w:ilvl="0">
        <w:start w:val="1"/>
        <w:numFmt w:val="none"/>
        <w:pStyle w:val="Heading1"/>
        <w:isLgl/>
        <w:lvlText w:val="1"/>
        <w:lvlJc w:val="left"/>
        <w:pPr>
          <w:ind w:left="1418" w:hanging="851"/>
        </w:pPr>
        <w:rPr>
          <w:rFonts w:hint="default"/>
        </w:rPr>
      </w:lvl>
    </w:lvlOverride>
    <w:lvlOverride w:ilvl="1">
      <w:lvl w:ilvl="1">
        <w:start w:val="1"/>
        <w:numFmt w:val="decimal"/>
        <w:suff w:val="space"/>
        <w:lvlText w:val="Box %1.%2"/>
        <w:lvlJc w:val="left"/>
        <w:pPr>
          <w:ind w:left="1134" w:hanging="1134"/>
        </w:pPr>
        <w:rPr>
          <w:rFonts w:hint="default"/>
        </w:rPr>
      </w:lvl>
    </w:lvlOverride>
    <w:lvlOverride w:ilvl="2">
      <w:lvl w:ilvl="2">
        <w:start w:val="1"/>
        <w:numFmt w:val="decimal"/>
        <w:pStyle w:val="Heading2"/>
        <w:lvlText w:val="%12.%3"/>
        <w:lvlJc w:val="left"/>
        <w:pPr>
          <w:ind w:left="851" w:hanging="851"/>
        </w:pPr>
        <w:rPr>
          <w:rFonts w:hint="default"/>
        </w:rPr>
      </w:lvl>
    </w:lvlOverride>
    <w:lvlOverride w:ilvl="3">
      <w:lvl w:ilvl="3">
        <w:start w:val="1"/>
        <w:numFmt w:val="decimal"/>
        <w:lvlText w:val="%1.%2.%3.%4."/>
        <w:lvlJc w:val="left"/>
        <w:pPr>
          <w:ind w:left="1361" w:hanging="1361"/>
        </w:pPr>
        <w:rPr>
          <w:rFonts w:hint="default"/>
        </w:rPr>
      </w:lvl>
    </w:lvlOverride>
    <w:lvlOverride w:ilvl="4">
      <w:lvl w:ilvl="4">
        <w:start w:val="1"/>
        <w:numFmt w:val="decimal"/>
        <w:lvlText w:val="%1.%2.%3.%4.%5"/>
        <w:lvlJc w:val="left"/>
        <w:pPr>
          <w:ind w:left="1701" w:hanging="1701"/>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8" w16cid:durableId="670261051">
    <w:abstractNumId w:val="9"/>
    <w:lvlOverride w:ilvl="0">
      <w:lvl w:ilvl="0">
        <w:start w:val="1"/>
        <w:numFmt w:val="none"/>
        <w:pStyle w:val="Heading1"/>
        <w:isLgl/>
        <w:lvlText w:val="1"/>
        <w:lvlJc w:val="left"/>
        <w:pPr>
          <w:ind w:left="1418" w:hanging="851"/>
        </w:pPr>
        <w:rPr>
          <w:rFonts w:hint="default"/>
        </w:rPr>
      </w:lvl>
    </w:lvlOverride>
    <w:lvlOverride w:ilvl="1">
      <w:lvl w:ilvl="1">
        <w:start w:val="1"/>
        <w:numFmt w:val="decimal"/>
        <w:suff w:val="space"/>
        <w:lvlText w:val="Box %1.%2"/>
        <w:lvlJc w:val="left"/>
        <w:pPr>
          <w:ind w:left="1134" w:hanging="1134"/>
        </w:pPr>
        <w:rPr>
          <w:rFonts w:hint="default"/>
        </w:rPr>
      </w:lvl>
    </w:lvlOverride>
    <w:lvlOverride w:ilvl="2">
      <w:lvl w:ilvl="2">
        <w:start w:val="1"/>
        <w:numFmt w:val="decimal"/>
        <w:pStyle w:val="Heading2"/>
        <w:lvlText w:val="%11.%3"/>
        <w:lvlJc w:val="left"/>
        <w:pPr>
          <w:ind w:left="851" w:hanging="851"/>
        </w:pPr>
        <w:rPr>
          <w:rFonts w:hint="default"/>
        </w:rPr>
      </w:lvl>
    </w:lvlOverride>
    <w:lvlOverride w:ilvl="3">
      <w:lvl w:ilvl="3">
        <w:start w:val="1"/>
        <w:numFmt w:val="decimal"/>
        <w:lvlText w:val="%1.%2.%3.%4."/>
        <w:lvlJc w:val="left"/>
        <w:pPr>
          <w:ind w:left="1361" w:hanging="1361"/>
        </w:pPr>
        <w:rPr>
          <w:rFonts w:hint="default"/>
        </w:rPr>
      </w:lvl>
    </w:lvlOverride>
    <w:lvlOverride w:ilvl="4">
      <w:lvl w:ilvl="4">
        <w:start w:val="1"/>
        <w:numFmt w:val="decimal"/>
        <w:lvlText w:val="%1.%2.%3.%4.%5"/>
        <w:lvlJc w:val="left"/>
        <w:pPr>
          <w:ind w:left="1701" w:hanging="1701"/>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9" w16cid:durableId="2102607020">
    <w:abstractNumId w:val="9"/>
    <w:lvlOverride w:ilvl="0">
      <w:lvl w:ilvl="0">
        <w:start w:val="1"/>
        <w:numFmt w:val="none"/>
        <w:pStyle w:val="Heading1"/>
        <w:isLgl/>
        <w:lvlText w:val="1"/>
        <w:lvlJc w:val="left"/>
        <w:pPr>
          <w:ind w:left="1418" w:hanging="851"/>
        </w:pPr>
        <w:rPr>
          <w:rFonts w:hint="default"/>
        </w:rPr>
      </w:lvl>
    </w:lvlOverride>
    <w:lvlOverride w:ilvl="1">
      <w:lvl w:ilvl="1">
        <w:start w:val="1"/>
        <w:numFmt w:val="decimal"/>
        <w:suff w:val="space"/>
        <w:lvlText w:val="Box %1.%2"/>
        <w:lvlJc w:val="left"/>
        <w:pPr>
          <w:ind w:left="1134" w:hanging="1134"/>
        </w:pPr>
        <w:rPr>
          <w:rFonts w:hint="default"/>
        </w:rPr>
      </w:lvl>
    </w:lvlOverride>
    <w:lvlOverride w:ilvl="2">
      <w:lvl w:ilvl="2">
        <w:start w:val="1"/>
        <w:numFmt w:val="decimal"/>
        <w:pStyle w:val="Heading2"/>
        <w:lvlText w:val="%11.%3"/>
        <w:lvlJc w:val="left"/>
        <w:pPr>
          <w:ind w:left="851" w:hanging="851"/>
        </w:pPr>
        <w:rPr>
          <w:rFonts w:hint="default"/>
        </w:rPr>
      </w:lvl>
    </w:lvlOverride>
    <w:lvlOverride w:ilvl="3">
      <w:lvl w:ilvl="3">
        <w:start w:val="1"/>
        <w:numFmt w:val="decimal"/>
        <w:lvlText w:val="%1.%2.%3.%4."/>
        <w:lvlJc w:val="left"/>
        <w:pPr>
          <w:ind w:left="1361" w:hanging="1361"/>
        </w:pPr>
        <w:rPr>
          <w:rFonts w:hint="default"/>
        </w:rPr>
      </w:lvl>
    </w:lvlOverride>
    <w:lvlOverride w:ilvl="4">
      <w:lvl w:ilvl="4">
        <w:start w:val="1"/>
        <w:numFmt w:val="decimal"/>
        <w:lvlText w:val="%1.%2.%3.%4.%5"/>
        <w:lvlJc w:val="left"/>
        <w:pPr>
          <w:ind w:left="1701" w:hanging="1701"/>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40" w16cid:durableId="17870019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19391919">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mirrorMargins/>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numRestart w:val="eachSect"/>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4AB"/>
    <w:rsid w:val="00000075"/>
    <w:rsid w:val="0000015E"/>
    <w:rsid w:val="00000F3C"/>
    <w:rsid w:val="00000F9C"/>
    <w:rsid w:val="00001D7E"/>
    <w:rsid w:val="00002114"/>
    <w:rsid w:val="0000243B"/>
    <w:rsid w:val="000027FA"/>
    <w:rsid w:val="00002EA7"/>
    <w:rsid w:val="0000365D"/>
    <w:rsid w:val="0000377F"/>
    <w:rsid w:val="00003B58"/>
    <w:rsid w:val="00004489"/>
    <w:rsid w:val="000047AE"/>
    <w:rsid w:val="000048CB"/>
    <w:rsid w:val="00004A69"/>
    <w:rsid w:val="0000516B"/>
    <w:rsid w:val="00005755"/>
    <w:rsid w:val="00005C79"/>
    <w:rsid w:val="00006309"/>
    <w:rsid w:val="000067D2"/>
    <w:rsid w:val="000069DC"/>
    <w:rsid w:val="00006EE3"/>
    <w:rsid w:val="0000732A"/>
    <w:rsid w:val="000077AC"/>
    <w:rsid w:val="0001029F"/>
    <w:rsid w:val="00010E25"/>
    <w:rsid w:val="00011401"/>
    <w:rsid w:val="00014854"/>
    <w:rsid w:val="00014FD7"/>
    <w:rsid w:val="000163FF"/>
    <w:rsid w:val="000173F2"/>
    <w:rsid w:val="00017554"/>
    <w:rsid w:val="00017CB6"/>
    <w:rsid w:val="00020136"/>
    <w:rsid w:val="000201AC"/>
    <w:rsid w:val="000202A8"/>
    <w:rsid w:val="00021DB7"/>
    <w:rsid w:val="000223CD"/>
    <w:rsid w:val="00023393"/>
    <w:rsid w:val="000237C6"/>
    <w:rsid w:val="00023807"/>
    <w:rsid w:val="00023AD4"/>
    <w:rsid w:val="000241A5"/>
    <w:rsid w:val="00024700"/>
    <w:rsid w:val="00024764"/>
    <w:rsid w:val="00024BA0"/>
    <w:rsid w:val="0002585C"/>
    <w:rsid w:val="00025D05"/>
    <w:rsid w:val="00025F6B"/>
    <w:rsid w:val="00026935"/>
    <w:rsid w:val="00026C04"/>
    <w:rsid w:val="00026E50"/>
    <w:rsid w:val="00027186"/>
    <w:rsid w:val="00027D49"/>
    <w:rsid w:val="000300AF"/>
    <w:rsid w:val="00030A8B"/>
    <w:rsid w:val="00030E9B"/>
    <w:rsid w:val="00031442"/>
    <w:rsid w:val="0003201D"/>
    <w:rsid w:val="00032647"/>
    <w:rsid w:val="00032EAB"/>
    <w:rsid w:val="000331B3"/>
    <w:rsid w:val="000331E4"/>
    <w:rsid w:val="0003338D"/>
    <w:rsid w:val="00033619"/>
    <w:rsid w:val="00033D50"/>
    <w:rsid w:val="0003400C"/>
    <w:rsid w:val="000344B8"/>
    <w:rsid w:val="00034560"/>
    <w:rsid w:val="000366CD"/>
    <w:rsid w:val="0004040F"/>
    <w:rsid w:val="000405F7"/>
    <w:rsid w:val="00040C19"/>
    <w:rsid w:val="0004134B"/>
    <w:rsid w:val="00042265"/>
    <w:rsid w:val="00042505"/>
    <w:rsid w:val="00042CFA"/>
    <w:rsid w:val="00042E7B"/>
    <w:rsid w:val="00043A15"/>
    <w:rsid w:val="00043CB6"/>
    <w:rsid w:val="0004447B"/>
    <w:rsid w:val="00044D13"/>
    <w:rsid w:val="00044FC1"/>
    <w:rsid w:val="000452BE"/>
    <w:rsid w:val="000452DB"/>
    <w:rsid w:val="00046678"/>
    <w:rsid w:val="00046714"/>
    <w:rsid w:val="00046BA7"/>
    <w:rsid w:val="00047894"/>
    <w:rsid w:val="00050188"/>
    <w:rsid w:val="00050206"/>
    <w:rsid w:val="00050B48"/>
    <w:rsid w:val="00050EC5"/>
    <w:rsid w:val="0005151B"/>
    <w:rsid w:val="00052DA9"/>
    <w:rsid w:val="00052EBD"/>
    <w:rsid w:val="00054BB5"/>
    <w:rsid w:val="00054C95"/>
    <w:rsid w:val="00054DE7"/>
    <w:rsid w:val="0005522D"/>
    <w:rsid w:val="00055354"/>
    <w:rsid w:val="000554A8"/>
    <w:rsid w:val="00055915"/>
    <w:rsid w:val="00056135"/>
    <w:rsid w:val="00056152"/>
    <w:rsid w:val="000561CF"/>
    <w:rsid w:val="0005734F"/>
    <w:rsid w:val="0005774F"/>
    <w:rsid w:val="00057907"/>
    <w:rsid w:val="00057B44"/>
    <w:rsid w:val="00060180"/>
    <w:rsid w:val="00061B02"/>
    <w:rsid w:val="00062194"/>
    <w:rsid w:val="00062565"/>
    <w:rsid w:val="00062A44"/>
    <w:rsid w:val="00063795"/>
    <w:rsid w:val="000656E7"/>
    <w:rsid w:val="00065C92"/>
    <w:rsid w:val="00065DFF"/>
    <w:rsid w:val="0006629F"/>
    <w:rsid w:val="000664B8"/>
    <w:rsid w:val="0006685E"/>
    <w:rsid w:val="00066902"/>
    <w:rsid w:val="00067278"/>
    <w:rsid w:val="00070CFC"/>
    <w:rsid w:val="00070ED7"/>
    <w:rsid w:val="00071F78"/>
    <w:rsid w:val="000724AE"/>
    <w:rsid w:val="00072C7B"/>
    <w:rsid w:val="00073A90"/>
    <w:rsid w:val="00074C77"/>
    <w:rsid w:val="0007544C"/>
    <w:rsid w:val="00075E0A"/>
    <w:rsid w:val="00076F60"/>
    <w:rsid w:val="000774F9"/>
    <w:rsid w:val="0007750C"/>
    <w:rsid w:val="0007776A"/>
    <w:rsid w:val="00077A76"/>
    <w:rsid w:val="000802BC"/>
    <w:rsid w:val="0008037D"/>
    <w:rsid w:val="00080BCD"/>
    <w:rsid w:val="0008162C"/>
    <w:rsid w:val="00081A95"/>
    <w:rsid w:val="000825F2"/>
    <w:rsid w:val="00082A7C"/>
    <w:rsid w:val="000831E6"/>
    <w:rsid w:val="00084660"/>
    <w:rsid w:val="000846A0"/>
    <w:rsid w:val="00084A22"/>
    <w:rsid w:val="00084B2E"/>
    <w:rsid w:val="000854A3"/>
    <w:rsid w:val="00085D01"/>
    <w:rsid w:val="00085FB9"/>
    <w:rsid w:val="000862AD"/>
    <w:rsid w:val="00086874"/>
    <w:rsid w:val="00086BC8"/>
    <w:rsid w:val="0008793C"/>
    <w:rsid w:val="00091286"/>
    <w:rsid w:val="0009250D"/>
    <w:rsid w:val="00092BB9"/>
    <w:rsid w:val="0009342B"/>
    <w:rsid w:val="00093DDC"/>
    <w:rsid w:val="000940DA"/>
    <w:rsid w:val="000950E8"/>
    <w:rsid w:val="000952F0"/>
    <w:rsid w:val="00095330"/>
    <w:rsid w:val="00095C30"/>
    <w:rsid w:val="00095C5D"/>
    <w:rsid w:val="000968F4"/>
    <w:rsid w:val="000969B2"/>
    <w:rsid w:val="00096B81"/>
    <w:rsid w:val="00096D25"/>
    <w:rsid w:val="00096E14"/>
    <w:rsid w:val="000971D1"/>
    <w:rsid w:val="000972A4"/>
    <w:rsid w:val="00097439"/>
    <w:rsid w:val="00097638"/>
    <w:rsid w:val="00097F80"/>
    <w:rsid w:val="000A0F08"/>
    <w:rsid w:val="000A137A"/>
    <w:rsid w:val="000A15B0"/>
    <w:rsid w:val="000A17E3"/>
    <w:rsid w:val="000A282E"/>
    <w:rsid w:val="000A2FB3"/>
    <w:rsid w:val="000A38AA"/>
    <w:rsid w:val="000A38D8"/>
    <w:rsid w:val="000A3EEE"/>
    <w:rsid w:val="000A4F5A"/>
    <w:rsid w:val="000A5DF7"/>
    <w:rsid w:val="000A6298"/>
    <w:rsid w:val="000A62ED"/>
    <w:rsid w:val="000A65B1"/>
    <w:rsid w:val="000A7362"/>
    <w:rsid w:val="000A7ABB"/>
    <w:rsid w:val="000B08B4"/>
    <w:rsid w:val="000B12E4"/>
    <w:rsid w:val="000B1428"/>
    <w:rsid w:val="000B27CA"/>
    <w:rsid w:val="000B332F"/>
    <w:rsid w:val="000B36A2"/>
    <w:rsid w:val="000B3E3C"/>
    <w:rsid w:val="000B3FFC"/>
    <w:rsid w:val="000B42C2"/>
    <w:rsid w:val="000B435F"/>
    <w:rsid w:val="000B43F0"/>
    <w:rsid w:val="000B497F"/>
    <w:rsid w:val="000B4A72"/>
    <w:rsid w:val="000B4E26"/>
    <w:rsid w:val="000B4F9B"/>
    <w:rsid w:val="000B5105"/>
    <w:rsid w:val="000B5681"/>
    <w:rsid w:val="000B5AC5"/>
    <w:rsid w:val="000B5F17"/>
    <w:rsid w:val="000B6C03"/>
    <w:rsid w:val="000B7989"/>
    <w:rsid w:val="000B7C8B"/>
    <w:rsid w:val="000C0C77"/>
    <w:rsid w:val="000C137E"/>
    <w:rsid w:val="000C14D0"/>
    <w:rsid w:val="000C225C"/>
    <w:rsid w:val="000C22D7"/>
    <w:rsid w:val="000C31F5"/>
    <w:rsid w:val="000C370E"/>
    <w:rsid w:val="000C3AB0"/>
    <w:rsid w:val="000C3D56"/>
    <w:rsid w:val="000C3EEB"/>
    <w:rsid w:val="000C452D"/>
    <w:rsid w:val="000C50C3"/>
    <w:rsid w:val="000C5687"/>
    <w:rsid w:val="000C5A15"/>
    <w:rsid w:val="000C6287"/>
    <w:rsid w:val="000C6364"/>
    <w:rsid w:val="000C6A52"/>
    <w:rsid w:val="000C6B77"/>
    <w:rsid w:val="000C71E7"/>
    <w:rsid w:val="000C744A"/>
    <w:rsid w:val="000C7463"/>
    <w:rsid w:val="000D076A"/>
    <w:rsid w:val="000D09ED"/>
    <w:rsid w:val="000D1E74"/>
    <w:rsid w:val="000D1F48"/>
    <w:rsid w:val="000D2997"/>
    <w:rsid w:val="000D32D6"/>
    <w:rsid w:val="000D3C46"/>
    <w:rsid w:val="000D4695"/>
    <w:rsid w:val="000D5411"/>
    <w:rsid w:val="000D547F"/>
    <w:rsid w:val="000D5D6A"/>
    <w:rsid w:val="000D62A3"/>
    <w:rsid w:val="000D64AD"/>
    <w:rsid w:val="000D718D"/>
    <w:rsid w:val="000D74AB"/>
    <w:rsid w:val="000D7735"/>
    <w:rsid w:val="000D77ED"/>
    <w:rsid w:val="000D7E6F"/>
    <w:rsid w:val="000E01EB"/>
    <w:rsid w:val="000E04D5"/>
    <w:rsid w:val="000E0E18"/>
    <w:rsid w:val="000E0F32"/>
    <w:rsid w:val="000E10AB"/>
    <w:rsid w:val="000E1259"/>
    <w:rsid w:val="000E14A2"/>
    <w:rsid w:val="000E1AFB"/>
    <w:rsid w:val="000E2CA9"/>
    <w:rsid w:val="000E2E96"/>
    <w:rsid w:val="000E43B0"/>
    <w:rsid w:val="000E5679"/>
    <w:rsid w:val="000E5E58"/>
    <w:rsid w:val="000F0794"/>
    <w:rsid w:val="000F07AA"/>
    <w:rsid w:val="000F0D7A"/>
    <w:rsid w:val="000F2110"/>
    <w:rsid w:val="000F2472"/>
    <w:rsid w:val="000F3D95"/>
    <w:rsid w:val="000F4488"/>
    <w:rsid w:val="000F4D46"/>
    <w:rsid w:val="000F4E1A"/>
    <w:rsid w:val="000F5790"/>
    <w:rsid w:val="000F57FA"/>
    <w:rsid w:val="000F5CC1"/>
    <w:rsid w:val="000F6860"/>
    <w:rsid w:val="000F6B58"/>
    <w:rsid w:val="000F6C44"/>
    <w:rsid w:val="000F715E"/>
    <w:rsid w:val="000F7C24"/>
    <w:rsid w:val="000F7C3C"/>
    <w:rsid w:val="00100A64"/>
    <w:rsid w:val="00100FAB"/>
    <w:rsid w:val="001011BB"/>
    <w:rsid w:val="001011D0"/>
    <w:rsid w:val="001017A4"/>
    <w:rsid w:val="00101947"/>
    <w:rsid w:val="001020F3"/>
    <w:rsid w:val="001023B0"/>
    <w:rsid w:val="00102AEB"/>
    <w:rsid w:val="0010389C"/>
    <w:rsid w:val="001043C6"/>
    <w:rsid w:val="00104481"/>
    <w:rsid w:val="00104864"/>
    <w:rsid w:val="00104AF1"/>
    <w:rsid w:val="00105C0B"/>
    <w:rsid w:val="00105D32"/>
    <w:rsid w:val="0010647E"/>
    <w:rsid w:val="00106BA2"/>
    <w:rsid w:val="0010747F"/>
    <w:rsid w:val="00107E9E"/>
    <w:rsid w:val="0011075F"/>
    <w:rsid w:val="00110E0B"/>
    <w:rsid w:val="00111933"/>
    <w:rsid w:val="00111D7C"/>
    <w:rsid w:val="0011217E"/>
    <w:rsid w:val="001124A2"/>
    <w:rsid w:val="001129E4"/>
    <w:rsid w:val="00112D8E"/>
    <w:rsid w:val="00112E8F"/>
    <w:rsid w:val="00113F3A"/>
    <w:rsid w:val="001147D0"/>
    <w:rsid w:val="00114B8E"/>
    <w:rsid w:val="00115862"/>
    <w:rsid w:val="00116D44"/>
    <w:rsid w:val="00116E33"/>
    <w:rsid w:val="00116FF3"/>
    <w:rsid w:val="001170D5"/>
    <w:rsid w:val="00120118"/>
    <w:rsid w:val="00120792"/>
    <w:rsid w:val="00121051"/>
    <w:rsid w:val="00121BC3"/>
    <w:rsid w:val="001222C9"/>
    <w:rsid w:val="0012278D"/>
    <w:rsid w:val="001232B3"/>
    <w:rsid w:val="00123418"/>
    <w:rsid w:val="0012451A"/>
    <w:rsid w:val="0012459B"/>
    <w:rsid w:val="0012543C"/>
    <w:rsid w:val="001254DB"/>
    <w:rsid w:val="0012583E"/>
    <w:rsid w:val="00125CB5"/>
    <w:rsid w:val="001263C5"/>
    <w:rsid w:val="001268BC"/>
    <w:rsid w:val="0013005C"/>
    <w:rsid w:val="00130A87"/>
    <w:rsid w:val="0013103F"/>
    <w:rsid w:val="00131464"/>
    <w:rsid w:val="00131884"/>
    <w:rsid w:val="001321CE"/>
    <w:rsid w:val="001322AD"/>
    <w:rsid w:val="0013406D"/>
    <w:rsid w:val="00135B11"/>
    <w:rsid w:val="00135D0D"/>
    <w:rsid w:val="001369D7"/>
    <w:rsid w:val="00136CC7"/>
    <w:rsid w:val="0013722E"/>
    <w:rsid w:val="00137FAB"/>
    <w:rsid w:val="00140027"/>
    <w:rsid w:val="00141A5D"/>
    <w:rsid w:val="00141F01"/>
    <w:rsid w:val="00141F3B"/>
    <w:rsid w:val="00143DA1"/>
    <w:rsid w:val="00144308"/>
    <w:rsid w:val="00144892"/>
    <w:rsid w:val="00144D75"/>
    <w:rsid w:val="00144E25"/>
    <w:rsid w:val="00145E15"/>
    <w:rsid w:val="00146205"/>
    <w:rsid w:val="00147D7F"/>
    <w:rsid w:val="00147E82"/>
    <w:rsid w:val="001505CA"/>
    <w:rsid w:val="001508A8"/>
    <w:rsid w:val="00150E33"/>
    <w:rsid w:val="0015131A"/>
    <w:rsid w:val="00152556"/>
    <w:rsid w:val="00152560"/>
    <w:rsid w:val="001531F3"/>
    <w:rsid w:val="001538AB"/>
    <w:rsid w:val="001547C0"/>
    <w:rsid w:val="001549BB"/>
    <w:rsid w:val="00154E0D"/>
    <w:rsid w:val="00154E6E"/>
    <w:rsid w:val="00155317"/>
    <w:rsid w:val="001565F6"/>
    <w:rsid w:val="001566AF"/>
    <w:rsid w:val="0015753F"/>
    <w:rsid w:val="00157BC6"/>
    <w:rsid w:val="00157E0D"/>
    <w:rsid w:val="001600E9"/>
    <w:rsid w:val="00160126"/>
    <w:rsid w:val="00160B41"/>
    <w:rsid w:val="00160FEC"/>
    <w:rsid w:val="001610E5"/>
    <w:rsid w:val="001612C7"/>
    <w:rsid w:val="00161BC8"/>
    <w:rsid w:val="00161DA1"/>
    <w:rsid w:val="00163E9A"/>
    <w:rsid w:val="001642B3"/>
    <w:rsid w:val="001646CF"/>
    <w:rsid w:val="00164F29"/>
    <w:rsid w:val="001653CD"/>
    <w:rsid w:val="001657F3"/>
    <w:rsid w:val="00165C37"/>
    <w:rsid w:val="00165F1E"/>
    <w:rsid w:val="001661A2"/>
    <w:rsid w:val="001666DB"/>
    <w:rsid w:val="00166B26"/>
    <w:rsid w:val="0016791D"/>
    <w:rsid w:val="00167E22"/>
    <w:rsid w:val="001714F3"/>
    <w:rsid w:val="0017247B"/>
    <w:rsid w:val="0017259D"/>
    <w:rsid w:val="0017266A"/>
    <w:rsid w:val="0017285E"/>
    <w:rsid w:val="0017326A"/>
    <w:rsid w:val="00173591"/>
    <w:rsid w:val="001735D2"/>
    <w:rsid w:val="00173C71"/>
    <w:rsid w:val="00174914"/>
    <w:rsid w:val="00174F39"/>
    <w:rsid w:val="00175781"/>
    <w:rsid w:val="001758DA"/>
    <w:rsid w:val="00175ED7"/>
    <w:rsid w:val="001765FC"/>
    <w:rsid w:val="00177859"/>
    <w:rsid w:val="001803B4"/>
    <w:rsid w:val="00180D41"/>
    <w:rsid w:val="00181265"/>
    <w:rsid w:val="001816CA"/>
    <w:rsid w:val="00181B1A"/>
    <w:rsid w:val="001825FB"/>
    <w:rsid w:val="00182A10"/>
    <w:rsid w:val="00182A32"/>
    <w:rsid w:val="00182DC5"/>
    <w:rsid w:val="00182E12"/>
    <w:rsid w:val="0018312A"/>
    <w:rsid w:val="00183C7A"/>
    <w:rsid w:val="001847C7"/>
    <w:rsid w:val="0018635C"/>
    <w:rsid w:val="00186571"/>
    <w:rsid w:val="00187906"/>
    <w:rsid w:val="00187F05"/>
    <w:rsid w:val="00190E88"/>
    <w:rsid w:val="001917D6"/>
    <w:rsid w:val="00191B82"/>
    <w:rsid w:val="001939A6"/>
    <w:rsid w:val="00193AD7"/>
    <w:rsid w:val="00193F45"/>
    <w:rsid w:val="001957BF"/>
    <w:rsid w:val="00195BAA"/>
    <w:rsid w:val="00196791"/>
    <w:rsid w:val="00197EF1"/>
    <w:rsid w:val="001A0D03"/>
    <w:rsid w:val="001A0D77"/>
    <w:rsid w:val="001A196A"/>
    <w:rsid w:val="001A1D95"/>
    <w:rsid w:val="001A2059"/>
    <w:rsid w:val="001A229E"/>
    <w:rsid w:val="001A2565"/>
    <w:rsid w:val="001A2E6F"/>
    <w:rsid w:val="001A3056"/>
    <w:rsid w:val="001A3882"/>
    <w:rsid w:val="001A3C5D"/>
    <w:rsid w:val="001A44F1"/>
    <w:rsid w:val="001A4C02"/>
    <w:rsid w:val="001A5162"/>
    <w:rsid w:val="001A578D"/>
    <w:rsid w:val="001A5B92"/>
    <w:rsid w:val="001A5C26"/>
    <w:rsid w:val="001A5E30"/>
    <w:rsid w:val="001A67B0"/>
    <w:rsid w:val="001A74A0"/>
    <w:rsid w:val="001A778E"/>
    <w:rsid w:val="001A79D4"/>
    <w:rsid w:val="001A7CE7"/>
    <w:rsid w:val="001B002D"/>
    <w:rsid w:val="001B076D"/>
    <w:rsid w:val="001B0C77"/>
    <w:rsid w:val="001B1762"/>
    <w:rsid w:val="001B17AC"/>
    <w:rsid w:val="001B1BA5"/>
    <w:rsid w:val="001B2924"/>
    <w:rsid w:val="001B451F"/>
    <w:rsid w:val="001B50E4"/>
    <w:rsid w:val="001B5333"/>
    <w:rsid w:val="001B588D"/>
    <w:rsid w:val="001B5B0F"/>
    <w:rsid w:val="001B660E"/>
    <w:rsid w:val="001B6BDF"/>
    <w:rsid w:val="001B7BC0"/>
    <w:rsid w:val="001B7C92"/>
    <w:rsid w:val="001C018A"/>
    <w:rsid w:val="001C06CC"/>
    <w:rsid w:val="001C15A5"/>
    <w:rsid w:val="001C1863"/>
    <w:rsid w:val="001C3D5C"/>
    <w:rsid w:val="001C3E57"/>
    <w:rsid w:val="001C515A"/>
    <w:rsid w:val="001C6092"/>
    <w:rsid w:val="001C60EE"/>
    <w:rsid w:val="001C6A6B"/>
    <w:rsid w:val="001C6B7E"/>
    <w:rsid w:val="001C7835"/>
    <w:rsid w:val="001D008F"/>
    <w:rsid w:val="001D0224"/>
    <w:rsid w:val="001D03B2"/>
    <w:rsid w:val="001D0A26"/>
    <w:rsid w:val="001D0E2C"/>
    <w:rsid w:val="001D134C"/>
    <w:rsid w:val="001D1767"/>
    <w:rsid w:val="001D1A8A"/>
    <w:rsid w:val="001D1FFB"/>
    <w:rsid w:val="001D2B5F"/>
    <w:rsid w:val="001D34A1"/>
    <w:rsid w:val="001D4050"/>
    <w:rsid w:val="001D40C3"/>
    <w:rsid w:val="001D4F05"/>
    <w:rsid w:val="001D57A4"/>
    <w:rsid w:val="001D5913"/>
    <w:rsid w:val="001D65A2"/>
    <w:rsid w:val="001D67CA"/>
    <w:rsid w:val="001D6D51"/>
    <w:rsid w:val="001D7328"/>
    <w:rsid w:val="001D7D9B"/>
    <w:rsid w:val="001E032A"/>
    <w:rsid w:val="001E0896"/>
    <w:rsid w:val="001E0E47"/>
    <w:rsid w:val="001E1585"/>
    <w:rsid w:val="001E1D66"/>
    <w:rsid w:val="001E23E0"/>
    <w:rsid w:val="001E2FE4"/>
    <w:rsid w:val="001E3A74"/>
    <w:rsid w:val="001E498D"/>
    <w:rsid w:val="001E642B"/>
    <w:rsid w:val="001E67AF"/>
    <w:rsid w:val="001E6EE9"/>
    <w:rsid w:val="001E7054"/>
    <w:rsid w:val="001F138B"/>
    <w:rsid w:val="001F13C1"/>
    <w:rsid w:val="001F1480"/>
    <w:rsid w:val="001F15E0"/>
    <w:rsid w:val="001F1E9A"/>
    <w:rsid w:val="001F2072"/>
    <w:rsid w:val="001F21B4"/>
    <w:rsid w:val="001F2617"/>
    <w:rsid w:val="001F29CD"/>
    <w:rsid w:val="001F3186"/>
    <w:rsid w:val="001F367E"/>
    <w:rsid w:val="001F3D8D"/>
    <w:rsid w:val="001F446D"/>
    <w:rsid w:val="001F471B"/>
    <w:rsid w:val="001F49D9"/>
    <w:rsid w:val="001F507A"/>
    <w:rsid w:val="001F6B0A"/>
    <w:rsid w:val="001F6C51"/>
    <w:rsid w:val="001F73C1"/>
    <w:rsid w:val="00200A4C"/>
    <w:rsid w:val="00201118"/>
    <w:rsid w:val="002012C2"/>
    <w:rsid w:val="00201320"/>
    <w:rsid w:val="00201B0D"/>
    <w:rsid w:val="0020204A"/>
    <w:rsid w:val="0020210C"/>
    <w:rsid w:val="00202A26"/>
    <w:rsid w:val="002032E4"/>
    <w:rsid w:val="0020447E"/>
    <w:rsid w:val="00205058"/>
    <w:rsid w:val="00206A8F"/>
    <w:rsid w:val="00206E33"/>
    <w:rsid w:val="00207214"/>
    <w:rsid w:val="00207F4A"/>
    <w:rsid w:val="00210799"/>
    <w:rsid w:val="002107D7"/>
    <w:rsid w:val="0021115C"/>
    <w:rsid w:val="002112EC"/>
    <w:rsid w:val="00211516"/>
    <w:rsid w:val="00211CBE"/>
    <w:rsid w:val="002123BC"/>
    <w:rsid w:val="00212BA0"/>
    <w:rsid w:val="00212E79"/>
    <w:rsid w:val="00212F8F"/>
    <w:rsid w:val="002130C9"/>
    <w:rsid w:val="002137B2"/>
    <w:rsid w:val="00214247"/>
    <w:rsid w:val="002143FC"/>
    <w:rsid w:val="00214445"/>
    <w:rsid w:val="00214FB7"/>
    <w:rsid w:val="002156E1"/>
    <w:rsid w:val="00215945"/>
    <w:rsid w:val="0021797E"/>
    <w:rsid w:val="00217C5A"/>
    <w:rsid w:val="00217F4D"/>
    <w:rsid w:val="00220110"/>
    <w:rsid w:val="00220587"/>
    <w:rsid w:val="002208A1"/>
    <w:rsid w:val="00220CB3"/>
    <w:rsid w:val="00221334"/>
    <w:rsid w:val="00221800"/>
    <w:rsid w:val="00221AB7"/>
    <w:rsid w:val="00222E7D"/>
    <w:rsid w:val="0022362C"/>
    <w:rsid w:val="00223858"/>
    <w:rsid w:val="00224941"/>
    <w:rsid w:val="00224A5D"/>
    <w:rsid w:val="00225967"/>
    <w:rsid w:val="0022615A"/>
    <w:rsid w:val="0022629D"/>
    <w:rsid w:val="002268E7"/>
    <w:rsid w:val="00226DD3"/>
    <w:rsid w:val="00227712"/>
    <w:rsid w:val="00231B79"/>
    <w:rsid w:val="00231F87"/>
    <w:rsid w:val="00232B66"/>
    <w:rsid w:val="00232D53"/>
    <w:rsid w:val="00234693"/>
    <w:rsid w:val="002350D2"/>
    <w:rsid w:val="002357DC"/>
    <w:rsid w:val="00235A83"/>
    <w:rsid w:val="00236757"/>
    <w:rsid w:val="00236A5A"/>
    <w:rsid w:val="00236C6D"/>
    <w:rsid w:val="00236F34"/>
    <w:rsid w:val="00237192"/>
    <w:rsid w:val="002371FA"/>
    <w:rsid w:val="0023721C"/>
    <w:rsid w:val="002375B1"/>
    <w:rsid w:val="00237B26"/>
    <w:rsid w:val="00237CBC"/>
    <w:rsid w:val="00240096"/>
    <w:rsid w:val="00240780"/>
    <w:rsid w:val="00240E8A"/>
    <w:rsid w:val="00240F26"/>
    <w:rsid w:val="002425D2"/>
    <w:rsid w:val="00242777"/>
    <w:rsid w:val="002429C6"/>
    <w:rsid w:val="0024345C"/>
    <w:rsid w:val="0024431F"/>
    <w:rsid w:val="0024478A"/>
    <w:rsid w:val="00244B86"/>
    <w:rsid w:val="00244FA3"/>
    <w:rsid w:val="00245244"/>
    <w:rsid w:val="002457DE"/>
    <w:rsid w:val="00246435"/>
    <w:rsid w:val="00246522"/>
    <w:rsid w:val="00246A5F"/>
    <w:rsid w:val="00246BCF"/>
    <w:rsid w:val="0024781F"/>
    <w:rsid w:val="00250E56"/>
    <w:rsid w:val="00251245"/>
    <w:rsid w:val="00251CA2"/>
    <w:rsid w:val="00251E38"/>
    <w:rsid w:val="002521C9"/>
    <w:rsid w:val="00253FAD"/>
    <w:rsid w:val="002551AA"/>
    <w:rsid w:val="00255413"/>
    <w:rsid w:val="002559F1"/>
    <w:rsid w:val="00256E30"/>
    <w:rsid w:val="002601BB"/>
    <w:rsid w:val="002605F3"/>
    <w:rsid w:val="00261DE9"/>
    <w:rsid w:val="00262196"/>
    <w:rsid w:val="0026246D"/>
    <w:rsid w:val="00262640"/>
    <w:rsid w:val="00262D71"/>
    <w:rsid w:val="0026494B"/>
    <w:rsid w:val="0026532C"/>
    <w:rsid w:val="002654B1"/>
    <w:rsid w:val="00265918"/>
    <w:rsid w:val="002670B3"/>
    <w:rsid w:val="00267B4D"/>
    <w:rsid w:val="0027081D"/>
    <w:rsid w:val="00270834"/>
    <w:rsid w:val="002719F4"/>
    <w:rsid w:val="00271FAF"/>
    <w:rsid w:val="00272103"/>
    <w:rsid w:val="0027236D"/>
    <w:rsid w:val="002724A8"/>
    <w:rsid w:val="002730C8"/>
    <w:rsid w:val="00273E86"/>
    <w:rsid w:val="002746EB"/>
    <w:rsid w:val="00275996"/>
    <w:rsid w:val="00275B08"/>
    <w:rsid w:val="00275B09"/>
    <w:rsid w:val="00277019"/>
    <w:rsid w:val="002804D8"/>
    <w:rsid w:val="00280848"/>
    <w:rsid w:val="00280D4D"/>
    <w:rsid w:val="00280E60"/>
    <w:rsid w:val="002814E6"/>
    <w:rsid w:val="00281A42"/>
    <w:rsid w:val="00281A54"/>
    <w:rsid w:val="00281CC7"/>
    <w:rsid w:val="00281E8A"/>
    <w:rsid w:val="00281ED7"/>
    <w:rsid w:val="002828F1"/>
    <w:rsid w:val="00282AE5"/>
    <w:rsid w:val="00283A2E"/>
    <w:rsid w:val="002847D7"/>
    <w:rsid w:val="00284A29"/>
    <w:rsid w:val="00285084"/>
    <w:rsid w:val="002851E1"/>
    <w:rsid w:val="00285625"/>
    <w:rsid w:val="00285EC3"/>
    <w:rsid w:val="0028622E"/>
    <w:rsid w:val="002864DB"/>
    <w:rsid w:val="00286D43"/>
    <w:rsid w:val="00287112"/>
    <w:rsid w:val="00287114"/>
    <w:rsid w:val="00287FF7"/>
    <w:rsid w:val="00290F93"/>
    <w:rsid w:val="002917DD"/>
    <w:rsid w:val="00291F6D"/>
    <w:rsid w:val="00292222"/>
    <w:rsid w:val="00292C6D"/>
    <w:rsid w:val="002934E2"/>
    <w:rsid w:val="002936B4"/>
    <w:rsid w:val="002937AE"/>
    <w:rsid w:val="00293B7A"/>
    <w:rsid w:val="00293D4C"/>
    <w:rsid w:val="002940F3"/>
    <w:rsid w:val="00294189"/>
    <w:rsid w:val="0029473A"/>
    <w:rsid w:val="00294BD4"/>
    <w:rsid w:val="00294CCA"/>
    <w:rsid w:val="002951E6"/>
    <w:rsid w:val="00295330"/>
    <w:rsid w:val="00295425"/>
    <w:rsid w:val="00295683"/>
    <w:rsid w:val="00295961"/>
    <w:rsid w:val="00295AEE"/>
    <w:rsid w:val="0029640C"/>
    <w:rsid w:val="00296580"/>
    <w:rsid w:val="002968E6"/>
    <w:rsid w:val="00296D05"/>
    <w:rsid w:val="0029788C"/>
    <w:rsid w:val="00297AA6"/>
    <w:rsid w:val="00297B9A"/>
    <w:rsid w:val="00297D84"/>
    <w:rsid w:val="00297E50"/>
    <w:rsid w:val="002A0085"/>
    <w:rsid w:val="002A00A0"/>
    <w:rsid w:val="002A0377"/>
    <w:rsid w:val="002A048B"/>
    <w:rsid w:val="002A0E6B"/>
    <w:rsid w:val="002A1123"/>
    <w:rsid w:val="002A15FA"/>
    <w:rsid w:val="002A1A5A"/>
    <w:rsid w:val="002A1E43"/>
    <w:rsid w:val="002A2059"/>
    <w:rsid w:val="002A2F1A"/>
    <w:rsid w:val="002A3155"/>
    <w:rsid w:val="002A3340"/>
    <w:rsid w:val="002A447A"/>
    <w:rsid w:val="002A45DD"/>
    <w:rsid w:val="002A4C74"/>
    <w:rsid w:val="002A4E9A"/>
    <w:rsid w:val="002A4EB1"/>
    <w:rsid w:val="002A5BC0"/>
    <w:rsid w:val="002A5BCC"/>
    <w:rsid w:val="002A5E4F"/>
    <w:rsid w:val="002A5FAB"/>
    <w:rsid w:val="002A60B9"/>
    <w:rsid w:val="002A65F6"/>
    <w:rsid w:val="002A787B"/>
    <w:rsid w:val="002A7ACE"/>
    <w:rsid w:val="002B0577"/>
    <w:rsid w:val="002B1C44"/>
    <w:rsid w:val="002B1EB6"/>
    <w:rsid w:val="002B261A"/>
    <w:rsid w:val="002B2D8A"/>
    <w:rsid w:val="002B2E0F"/>
    <w:rsid w:val="002B326B"/>
    <w:rsid w:val="002B4811"/>
    <w:rsid w:val="002B4862"/>
    <w:rsid w:val="002B4DDF"/>
    <w:rsid w:val="002B4E7E"/>
    <w:rsid w:val="002B5311"/>
    <w:rsid w:val="002B5336"/>
    <w:rsid w:val="002B5621"/>
    <w:rsid w:val="002B5873"/>
    <w:rsid w:val="002B58E2"/>
    <w:rsid w:val="002B65DD"/>
    <w:rsid w:val="002B7AC2"/>
    <w:rsid w:val="002C0B48"/>
    <w:rsid w:val="002C0DB4"/>
    <w:rsid w:val="002C2073"/>
    <w:rsid w:val="002C295E"/>
    <w:rsid w:val="002C2BAF"/>
    <w:rsid w:val="002C2BFE"/>
    <w:rsid w:val="002C2FA9"/>
    <w:rsid w:val="002C340A"/>
    <w:rsid w:val="002C4163"/>
    <w:rsid w:val="002C5042"/>
    <w:rsid w:val="002C537E"/>
    <w:rsid w:val="002C6B2D"/>
    <w:rsid w:val="002C797E"/>
    <w:rsid w:val="002D09A4"/>
    <w:rsid w:val="002D1B7F"/>
    <w:rsid w:val="002D27A5"/>
    <w:rsid w:val="002D37E8"/>
    <w:rsid w:val="002D3FBA"/>
    <w:rsid w:val="002D4310"/>
    <w:rsid w:val="002D45E5"/>
    <w:rsid w:val="002D4E73"/>
    <w:rsid w:val="002D50CB"/>
    <w:rsid w:val="002D5311"/>
    <w:rsid w:val="002D54C1"/>
    <w:rsid w:val="002D5954"/>
    <w:rsid w:val="002D611B"/>
    <w:rsid w:val="002D6733"/>
    <w:rsid w:val="002D681C"/>
    <w:rsid w:val="002D6CCF"/>
    <w:rsid w:val="002D71D1"/>
    <w:rsid w:val="002D759D"/>
    <w:rsid w:val="002D776C"/>
    <w:rsid w:val="002D7D15"/>
    <w:rsid w:val="002E031D"/>
    <w:rsid w:val="002E0B62"/>
    <w:rsid w:val="002E13BF"/>
    <w:rsid w:val="002E230A"/>
    <w:rsid w:val="002E282A"/>
    <w:rsid w:val="002E3A5A"/>
    <w:rsid w:val="002E3F19"/>
    <w:rsid w:val="002E5145"/>
    <w:rsid w:val="002E51D2"/>
    <w:rsid w:val="002E64F0"/>
    <w:rsid w:val="002E6A43"/>
    <w:rsid w:val="002E733E"/>
    <w:rsid w:val="002E73F3"/>
    <w:rsid w:val="002E7A0E"/>
    <w:rsid w:val="002E7EFA"/>
    <w:rsid w:val="002F0F14"/>
    <w:rsid w:val="002F172B"/>
    <w:rsid w:val="002F1E80"/>
    <w:rsid w:val="002F21E6"/>
    <w:rsid w:val="002F2472"/>
    <w:rsid w:val="002F29FC"/>
    <w:rsid w:val="002F2F8D"/>
    <w:rsid w:val="002F3869"/>
    <w:rsid w:val="002F427C"/>
    <w:rsid w:val="002F4B74"/>
    <w:rsid w:val="002F50F3"/>
    <w:rsid w:val="002F6386"/>
    <w:rsid w:val="002F65A3"/>
    <w:rsid w:val="002F6A4A"/>
    <w:rsid w:val="002F6C7E"/>
    <w:rsid w:val="002F6F50"/>
    <w:rsid w:val="002F7B56"/>
    <w:rsid w:val="00300457"/>
    <w:rsid w:val="003008F8"/>
    <w:rsid w:val="003013C5"/>
    <w:rsid w:val="0030183F"/>
    <w:rsid w:val="00301BD5"/>
    <w:rsid w:val="00301DB2"/>
    <w:rsid w:val="00302E3B"/>
    <w:rsid w:val="00303134"/>
    <w:rsid w:val="003032FD"/>
    <w:rsid w:val="00303704"/>
    <w:rsid w:val="00303BA2"/>
    <w:rsid w:val="00304867"/>
    <w:rsid w:val="00305171"/>
    <w:rsid w:val="003052ED"/>
    <w:rsid w:val="00305359"/>
    <w:rsid w:val="003053FD"/>
    <w:rsid w:val="00305473"/>
    <w:rsid w:val="003058F3"/>
    <w:rsid w:val="00305CE9"/>
    <w:rsid w:val="00305D6F"/>
    <w:rsid w:val="00305F73"/>
    <w:rsid w:val="0030667C"/>
    <w:rsid w:val="0030680C"/>
    <w:rsid w:val="003103FE"/>
    <w:rsid w:val="003104A4"/>
    <w:rsid w:val="003105C4"/>
    <w:rsid w:val="00310979"/>
    <w:rsid w:val="00313305"/>
    <w:rsid w:val="00315C61"/>
    <w:rsid w:val="0031611E"/>
    <w:rsid w:val="003162C3"/>
    <w:rsid w:val="00316B34"/>
    <w:rsid w:val="00317DA9"/>
    <w:rsid w:val="0032001D"/>
    <w:rsid w:val="00320B75"/>
    <w:rsid w:val="00321A21"/>
    <w:rsid w:val="00321BA2"/>
    <w:rsid w:val="00321C31"/>
    <w:rsid w:val="00322BA0"/>
    <w:rsid w:val="00323400"/>
    <w:rsid w:val="00324E64"/>
    <w:rsid w:val="00325577"/>
    <w:rsid w:val="003255BE"/>
    <w:rsid w:val="003262C9"/>
    <w:rsid w:val="00326A36"/>
    <w:rsid w:val="0033081A"/>
    <w:rsid w:val="00330864"/>
    <w:rsid w:val="003308DC"/>
    <w:rsid w:val="00330F24"/>
    <w:rsid w:val="00331475"/>
    <w:rsid w:val="00331A85"/>
    <w:rsid w:val="00331D4D"/>
    <w:rsid w:val="003331CD"/>
    <w:rsid w:val="00333225"/>
    <w:rsid w:val="0033349E"/>
    <w:rsid w:val="00334C9B"/>
    <w:rsid w:val="003368CF"/>
    <w:rsid w:val="00336ECB"/>
    <w:rsid w:val="00337D9E"/>
    <w:rsid w:val="003404E6"/>
    <w:rsid w:val="00341C23"/>
    <w:rsid w:val="00341FC2"/>
    <w:rsid w:val="00342B33"/>
    <w:rsid w:val="00343940"/>
    <w:rsid w:val="0034518F"/>
    <w:rsid w:val="00345720"/>
    <w:rsid w:val="003458B8"/>
    <w:rsid w:val="003458C3"/>
    <w:rsid w:val="00345974"/>
    <w:rsid w:val="0034599E"/>
    <w:rsid w:val="00346191"/>
    <w:rsid w:val="0034655C"/>
    <w:rsid w:val="0034680A"/>
    <w:rsid w:val="003503C4"/>
    <w:rsid w:val="00350C2B"/>
    <w:rsid w:val="0035127A"/>
    <w:rsid w:val="00351286"/>
    <w:rsid w:val="00351FF2"/>
    <w:rsid w:val="00352529"/>
    <w:rsid w:val="0035274C"/>
    <w:rsid w:val="003535A4"/>
    <w:rsid w:val="00353C1C"/>
    <w:rsid w:val="0035463C"/>
    <w:rsid w:val="00354696"/>
    <w:rsid w:val="0035519A"/>
    <w:rsid w:val="00355740"/>
    <w:rsid w:val="003557AB"/>
    <w:rsid w:val="00355943"/>
    <w:rsid w:val="00356341"/>
    <w:rsid w:val="0035635B"/>
    <w:rsid w:val="00356A8F"/>
    <w:rsid w:val="00356C31"/>
    <w:rsid w:val="0035745A"/>
    <w:rsid w:val="00357E80"/>
    <w:rsid w:val="003600E1"/>
    <w:rsid w:val="00360226"/>
    <w:rsid w:val="00360447"/>
    <w:rsid w:val="003604D0"/>
    <w:rsid w:val="0036059A"/>
    <w:rsid w:val="00361850"/>
    <w:rsid w:val="00361A59"/>
    <w:rsid w:val="00361FAE"/>
    <w:rsid w:val="003629E4"/>
    <w:rsid w:val="00362BD6"/>
    <w:rsid w:val="00363104"/>
    <w:rsid w:val="00363483"/>
    <w:rsid w:val="00363E80"/>
    <w:rsid w:val="00363FF8"/>
    <w:rsid w:val="003640E1"/>
    <w:rsid w:val="00364996"/>
    <w:rsid w:val="00364E3E"/>
    <w:rsid w:val="003652CE"/>
    <w:rsid w:val="00365DFF"/>
    <w:rsid w:val="00365EA3"/>
    <w:rsid w:val="0036612C"/>
    <w:rsid w:val="00366882"/>
    <w:rsid w:val="0036735D"/>
    <w:rsid w:val="00367D01"/>
    <w:rsid w:val="003705D5"/>
    <w:rsid w:val="00371C74"/>
    <w:rsid w:val="00372762"/>
    <w:rsid w:val="00373219"/>
    <w:rsid w:val="00373C50"/>
    <w:rsid w:val="00373F18"/>
    <w:rsid w:val="003747DB"/>
    <w:rsid w:val="003748B9"/>
    <w:rsid w:val="00374E5C"/>
    <w:rsid w:val="0037501E"/>
    <w:rsid w:val="0037607F"/>
    <w:rsid w:val="00376481"/>
    <w:rsid w:val="00376491"/>
    <w:rsid w:val="003767AF"/>
    <w:rsid w:val="0037721D"/>
    <w:rsid w:val="00377900"/>
    <w:rsid w:val="00377BB9"/>
    <w:rsid w:val="003800FD"/>
    <w:rsid w:val="00380612"/>
    <w:rsid w:val="0038102A"/>
    <w:rsid w:val="003814DD"/>
    <w:rsid w:val="003819BF"/>
    <w:rsid w:val="00382368"/>
    <w:rsid w:val="0038248A"/>
    <w:rsid w:val="00382721"/>
    <w:rsid w:val="00383202"/>
    <w:rsid w:val="003833B4"/>
    <w:rsid w:val="00383844"/>
    <w:rsid w:val="00383BE0"/>
    <w:rsid w:val="00384C73"/>
    <w:rsid w:val="00384D65"/>
    <w:rsid w:val="00385129"/>
    <w:rsid w:val="00385699"/>
    <w:rsid w:val="00386169"/>
    <w:rsid w:val="003877B0"/>
    <w:rsid w:val="00387AC4"/>
    <w:rsid w:val="00387D42"/>
    <w:rsid w:val="00390C58"/>
    <w:rsid w:val="00390E05"/>
    <w:rsid w:val="00391086"/>
    <w:rsid w:val="003924F1"/>
    <w:rsid w:val="0039264C"/>
    <w:rsid w:val="0039297E"/>
    <w:rsid w:val="00392BA4"/>
    <w:rsid w:val="003934CC"/>
    <w:rsid w:val="0039402C"/>
    <w:rsid w:val="00394201"/>
    <w:rsid w:val="00394D54"/>
    <w:rsid w:val="00396706"/>
    <w:rsid w:val="00396DF6"/>
    <w:rsid w:val="0039702D"/>
    <w:rsid w:val="0039719A"/>
    <w:rsid w:val="00397290"/>
    <w:rsid w:val="00397447"/>
    <w:rsid w:val="003975B2"/>
    <w:rsid w:val="00397CAC"/>
    <w:rsid w:val="00397CF7"/>
    <w:rsid w:val="00397FDB"/>
    <w:rsid w:val="003A0D05"/>
    <w:rsid w:val="003A1348"/>
    <w:rsid w:val="003A2C6B"/>
    <w:rsid w:val="003A2D20"/>
    <w:rsid w:val="003A35BB"/>
    <w:rsid w:val="003A59B4"/>
    <w:rsid w:val="003A644F"/>
    <w:rsid w:val="003A6796"/>
    <w:rsid w:val="003A743E"/>
    <w:rsid w:val="003A749D"/>
    <w:rsid w:val="003A79B1"/>
    <w:rsid w:val="003A7ADE"/>
    <w:rsid w:val="003A7BD5"/>
    <w:rsid w:val="003A7FD1"/>
    <w:rsid w:val="003B03A8"/>
    <w:rsid w:val="003B0624"/>
    <w:rsid w:val="003B07C1"/>
    <w:rsid w:val="003B0873"/>
    <w:rsid w:val="003B1CBA"/>
    <w:rsid w:val="003B2A34"/>
    <w:rsid w:val="003B2EE2"/>
    <w:rsid w:val="003B33E2"/>
    <w:rsid w:val="003B39A9"/>
    <w:rsid w:val="003B54BF"/>
    <w:rsid w:val="003B5CD9"/>
    <w:rsid w:val="003B5DC0"/>
    <w:rsid w:val="003B6685"/>
    <w:rsid w:val="003B6E2C"/>
    <w:rsid w:val="003B6F05"/>
    <w:rsid w:val="003B7DB1"/>
    <w:rsid w:val="003C018A"/>
    <w:rsid w:val="003C01D4"/>
    <w:rsid w:val="003C04EE"/>
    <w:rsid w:val="003C134B"/>
    <w:rsid w:val="003C1A54"/>
    <w:rsid w:val="003C2686"/>
    <w:rsid w:val="003C2CC3"/>
    <w:rsid w:val="003C3B31"/>
    <w:rsid w:val="003C3DE0"/>
    <w:rsid w:val="003C3E86"/>
    <w:rsid w:val="003C55F7"/>
    <w:rsid w:val="003C6505"/>
    <w:rsid w:val="003C69BF"/>
    <w:rsid w:val="003C6A6E"/>
    <w:rsid w:val="003C6B6B"/>
    <w:rsid w:val="003C6E0D"/>
    <w:rsid w:val="003C72B5"/>
    <w:rsid w:val="003C7679"/>
    <w:rsid w:val="003D02AE"/>
    <w:rsid w:val="003D0460"/>
    <w:rsid w:val="003D09EE"/>
    <w:rsid w:val="003D0E17"/>
    <w:rsid w:val="003D0E48"/>
    <w:rsid w:val="003D1443"/>
    <w:rsid w:val="003D1848"/>
    <w:rsid w:val="003D23A3"/>
    <w:rsid w:val="003D25A8"/>
    <w:rsid w:val="003D41D8"/>
    <w:rsid w:val="003D4BFF"/>
    <w:rsid w:val="003D5856"/>
    <w:rsid w:val="003D5906"/>
    <w:rsid w:val="003D5945"/>
    <w:rsid w:val="003D5A42"/>
    <w:rsid w:val="003D6789"/>
    <w:rsid w:val="003D68E9"/>
    <w:rsid w:val="003D715D"/>
    <w:rsid w:val="003D78B7"/>
    <w:rsid w:val="003D7C30"/>
    <w:rsid w:val="003E056C"/>
    <w:rsid w:val="003E0761"/>
    <w:rsid w:val="003E0D2A"/>
    <w:rsid w:val="003E0DCF"/>
    <w:rsid w:val="003E14EE"/>
    <w:rsid w:val="003E1CB6"/>
    <w:rsid w:val="003E3A3A"/>
    <w:rsid w:val="003E4823"/>
    <w:rsid w:val="003E4F1D"/>
    <w:rsid w:val="003E527A"/>
    <w:rsid w:val="003E54D4"/>
    <w:rsid w:val="003E5F74"/>
    <w:rsid w:val="003E6055"/>
    <w:rsid w:val="003E6758"/>
    <w:rsid w:val="003E69E8"/>
    <w:rsid w:val="003F0398"/>
    <w:rsid w:val="003F09E8"/>
    <w:rsid w:val="003F1402"/>
    <w:rsid w:val="003F2108"/>
    <w:rsid w:val="003F2864"/>
    <w:rsid w:val="003F2C6F"/>
    <w:rsid w:val="003F30A3"/>
    <w:rsid w:val="003F32D1"/>
    <w:rsid w:val="003F398D"/>
    <w:rsid w:val="003F4083"/>
    <w:rsid w:val="003F4439"/>
    <w:rsid w:val="003F4E12"/>
    <w:rsid w:val="003F64B3"/>
    <w:rsid w:val="003F6F1A"/>
    <w:rsid w:val="0040060F"/>
    <w:rsid w:val="00400AB2"/>
    <w:rsid w:val="00400DBB"/>
    <w:rsid w:val="004011EE"/>
    <w:rsid w:val="0040121F"/>
    <w:rsid w:val="00402CEB"/>
    <w:rsid w:val="00403004"/>
    <w:rsid w:val="0040322A"/>
    <w:rsid w:val="00403455"/>
    <w:rsid w:val="00404188"/>
    <w:rsid w:val="00404E4F"/>
    <w:rsid w:val="004058B8"/>
    <w:rsid w:val="00405979"/>
    <w:rsid w:val="00406001"/>
    <w:rsid w:val="004064F7"/>
    <w:rsid w:val="00407232"/>
    <w:rsid w:val="0040735E"/>
    <w:rsid w:val="00407F0A"/>
    <w:rsid w:val="004106CD"/>
    <w:rsid w:val="00410761"/>
    <w:rsid w:val="0041085F"/>
    <w:rsid w:val="00410894"/>
    <w:rsid w:val="00410DE0"/>
    <w:rsid w:val="004117C1"/>
    <w:rsid w:val="004119BB"/>
    <w:rsid w:val="00412609"/>
    <w:rsid w:val="00414232"/>
    <w:rsid w:val="004146D1"/>
    <w:rsid w:val="00414825"/>
    <w:rsid w:val="00414AF2"/>
    <w:rsid w:val="00414DE0"/>
    <w:rsid w:val="0041561E"/>
    <w:rsid w:val="00415668"/>
    <w:rsid w:val="00416182"/>
    <w:rsid w:val="0041653A"/>
    <w:rsid w:val="00416743"/>
    <w:rsid w:val="0041687A"/>
    <w:rsid w:val="00416D6C"/>
    <w:rsid w:val="004173A2"/>
    <w:rsid w:val="00417463"/>
    <w:rsid w:val="004208F3"/>
    <w:rsid w:val="00420F0E"/>
    <w:rsid w:val="00420FD8"/>
    <w:rsid w:val="00422159"/>
    <w:rsid w:val="0042339A"/>
    <w:rsid w:val="004238BF"/>
    <w:rsid w:val="00423978"/>
    <w:rsid w:val="00423B15"/>
    <w:rsid w:val="00424643"/>
    <w:rsid w:val="00424CB8"/>
    <w:rsid w:val="00425059"/>
    <w:rsid w:val="0042508F"/>
    <w:rsid w:val="00425A3B"/>
    <w:rsid w:val="004263A7"/>
    <w:rsid w:val="00426630"/>
    <w:rsid w:val="004276BE"/>
    <w:rsid w:val="00427F41"/>
    <w:rsid w:val="00430952"/>
    <w:rsid w:val="00430C81"/>
    <w:rsid w:val="00432DFA"/>
    <w:rsid w:val="0043326D"/>
    <w:rsid w:val="00433410"/>
    <w:rsid w:val="00433D03"/>
    <w:rsid w:val="004341F8"/>
    <w:rsid w:val="004344CC"/>
    <w:rsid w:val="00434A53"/>
    <w:rsid w:val="00434DAE"/>
    <w:rsid w:val="00435C74"/>
    <w:rsid w:val="00435F2B"/>
    <w:rsid w:val="004363A9"/>
    <w:rsid w:val="004364E8"/>
    <w:rsid w:val="0043747F"/>
    <w:rsid w:val="00437547"/>
    <w:rsid w:val="004378A2"/>
    <w:rsid w:val="004379C2"/>
    <w:rsid w:val="00437ABB"/>
    <w:rsid w:val="00437D3B"/>
    <w:rsid w:val="00437F0F"/>
    <w:rsid w:val="004400E8"/>
    <w:rsid w:val="004401D8"/>
    <w:rsid w:val="00441300"/>
    <w:rsid w:val="00441BAD"/>
    <w:rsid w:val="004421FB"/>
    <w:rsid w:val="00443243"/>
    <w:rsid w:val="004437A0"/>
    <w:rsid w:val="004438DA"/>
    <w:rsid w:val="00443BF7"/>
    <w:rsid w:val="00444318"/>
    <w:rsid w:val="00444540"/>
    <w:rsid w:val="004445EA"/>
    <w:rsid w:val="0044571B"/>
    <w:rsid w:val="004458B0"/>
    <w:rsid w:val="00445D04"/>
    <w:rsid w:val="004465CA"/>
    <w:rsid w:val="004506A7"/>
    <w:rsid w:val="00450C80"/>
    <w:rsid w:val="00450E68"/>
    <w:rsid w:val="00451403"/>
    <w:rsid w:val="00451B2E"/>
    <w:rsid w:val="00451E5E"/>
    <w:rsid w:val="00451E96"/>
    <w:rsid w:val="0045239B"/>
    <w:rsid w:val="0045340B"/>
    <w:rsid w:val="004534C1"/>
    <w:rsid w:val="004541E6"/>
    <w:rsid w:val="004543D6"/>
    <w:rsid w:val="004544D6"/>
    <w:rsid w:val="00454C88"/>
    <w:rsid w:val="00455672"/>
    <w:rsid w:val="00455D54"/>
    <w:rsid w:val="00455F6F"/>
    <w:rsid w:val="004567C5"/>
    <w:rsid w:val="00456BF5"/>
    <w:rsid w:val="004579AD"/>
    <w:rsid w:val="00460622"/>
    <w:rsid w:val="00460C0E"/>
    <w:rsid w:val="004618DE"/>
    <w:rsid w:val="00461989"/>
    <w:rsid w:val="00461B5D"/>
    <w:rsid w:val="00461CE9"/>
    <w:rsid w:val="00462407"/>
    <w:rsid w:val="00462A6F"/>
    <w:rsid w:val="00462EAC"/>
    <w:rsid w:val="004631DD"/>
    <w:rsid w:val="004635FD"/>
    <w:rsid w:val="00464DDA"/>
    <w:rsid w:val="00464E19"/>
    <w:rsid w:val="00465673"/>
    <w:rsid w:val="00465716"/>
    <w:rsid w:val="0046697E"/>
    <w:rsid w:val="00466C52"/>
    <w:rsid w:val="004672B9"/>
    <w:rsid w:val="004672E9"/>
    <w:rsid w:val="00467DAB"/>
    <w:rsid w:val="00470129"/>
    <w:rsid w:val="004703C3"/>
    <w:rsid w:val="00470DB2"/>
    <w:rsid w:val="0047103D"/>
    <w:rsid w:val="00471D3D"/>
    <w:rsid w:val="004726FB"/>
    <w:rsid w:val="004728A0"/>
    <w:rsid w:val="00472CB9"/>
    <w:rsid w:val="00473340"/>
    <w:rsid w:val="00473741"/>
    <w:rsid w:val="00473751"/>
    <w:rsid w:val="00473BC6"/>
    <w:rsid w:val="004742DD"/>
    <w:rsid w:val="004746BA"/>
    <w:rsid w:val="004747D5"/>
    <w:rsid w:val="00474B5D"/>
    <w:rsid w:val="00474C5B"/>
    <w:rsid w:val="00474DC8"/>
    <w:rsid w:val="00475231"/>
    <w:rsid w:val="00475741"/>
    <w:rsid w:val="0047598C"/>
    <w:rsid w:val="004759C0"/>
    <w:rsid w:val="00475A96"/>
    <w:rsid w:val="004760D5"/>
    <w:rsid w:val="0047639E"/>
    <w:rsid w:val="00476C75"/>
    <w:rsid w:val="00476FBA"/>
    <w:rsid w:val="00477627"/>
    <w:rsid w:val="00477729"/>
    <w:rsid w:val="004777F1"/>
    <w:rsid w:val="00477F20"/>
    <w:rsid w:val="00480C8F"/>
    <w:rsid w:val="004813B5"/>
    <w:rsid w:val="00482683"/>
    <w:rsid w:val="00482B3B"/>
    <w:rsid w:val="00483240"/>
    <w:rsid w:val="0048372F"/>
    <w:rsid w:val="00483B72"/>
    <w:rsid w:val="00483BED"/>
    <w:rsid w:val="00484E96"/>
    <w:rsid w:val="0048506C"/>
    <w:rsid w:val="00485315"/>
    <w:rsid w:val="00485BDA"/>
    <w:rsid w:val="00487791"/>
    <w:rsid w:val="00487C8F"/>
    <w:rsid w:val="004909C8"/>
    <w:rsid w:val="00491256"/>
    <w:rsid w:val="00491877"/>
    <w:rsid w:val="00491B9B"/>
    <w:rsid w:val="00492A01"/>
    <w:rsid w:val="00492EC7"/>
    <w:rsid w:val="004934C7"/>
    <w:rsid w:val="004937F3"/>
    <w:rsid w:val="00494328"/>
    <w:rsid w:val="00494C70"/>
    <w:rsid w:val="00495510"/>
    <w:rsid w:val="00495669"/>
    <w:rsid w:val="00495D20"/>
    <w:rsid w:val="00496700"/>
    <w:rsid w:val="0049755A"/>
    <w:rsid w:val="004A003B"/>
    <w:rsid w:val="004A0FD7"/>
    <w:rsid w:val="004A1315"/>
    <w:rsid w:val="004A15E6"/>
    <w:rsid w:val="004A169A"/>
    <w:rsid w:val="004A16B0"/>
    <w:rsid w:val="004A16D1"/>
    <w:rsid w:val="004A186E"/>
    <w:rsid w:val="004A1974"/>
    <w:rsid w:val="004A29ED"/>
    <w:rsid w:val="004A2C21"/>
    <w:rsid w:val="004A2FB8"/>
    <w:rsid w:val="004A3C9E"/>
    <w:rsid w:val="004A41C2"/>
    <w:rsid w:val="004A4DA0"/>
    <w:rsid w:val="004A5586"/>
    <w:rsid w:val="004A6144"/>
    <w:rsid w:val="004A6472"/>
    <w:rsid w:val="004A64D8"/>
    <w:rsid w:val="004A6DEE"/>
    <w:rsid w:val="004A75ED"/>
    <w:rsid w:val="004B01E9"/>
    <w:rsid w:val="004B1307"/>
    <w:rsid w:val="004B1531"/>
    <w:rsid w:val="004B19AE"/>
    <w:rsid w:val="004B214C"/>
    <w:rsid w:val="004B2684"/>
    <w:rsid w:val="004B2902"/>
    <w:rsid w:val="004B2FEA"/>
    <w:rsid w:val="004B3800"/>
    <w:rsid w:val="004B3DEE"/>
    <w:rsid w:val="004B423B"/>
    <w:rsid w:val="004B43ED"/>
    <w:rsid w:val="004B577C"/>
    <w:rsid w:val="004B5883"/>
    <w:rsid w:val="004B609E"/>
    <w:rsid w:val="004B77BC"/>
    <w:rsid w:val="004C185E"/>
    <w:rsid w:val="004C1B01"/>
    <w:rsid w:val="004C34D2"/>
    <w:rsid w:val="004C4823"/>
    <w:rsid w:val="004C49A0"/>
    <w:rsid w:val="004C55CD"/>
    <w:rsid w:val="004C5CAF"/>
    <w:rsid w:val="004C5FF1"/>
    <w:rsid w:val="004C6028"/>
    <w:rsid w:val="004C6179"/>
    <w:rsid w:val="004C62BF"/>
    <w:rsid w:val="004C6385"/>
    <w:rsid w:val="004C6828"/>
    <w:rsid w:val="004C6A51"/>
    <w:rsid w:val="004C6AFD"/>
    <w:rsid w:val="004C6D56"/>
    <w:rsid w:val="004C781C"/>
    <w:rsid w:val="004D03C7"/>
    <w:rsid w:val="004D0570"/>
    <w:rsid w:val="004D0BCE"/>
    <w:rsid w:val="004D0E97"/>
    <w:rsid w:val="004D1DEA"/>
    <w:rsid w:val="004D21A9"/>
    <w:rsid w:val="004D222A"/>
    <w:rsid w:val="004D23BE"/>
    <w:rsid w:val="004D2747"/>
    <w:rsid w:val="004D2893"/>
    <w:rsid w:val="004D2DA6"/>
    <w:rsid w:val="004D38BC"/>
    <w:rsid w:val="004D3EA0"/>
    <w:rsid w:val="004D50CB"/>
    <w:rsid w:val="004D54CD"/>
    <w:rsid w:val="004D5C71"/>
    <w:rsid w:val="004D63C4"/>
    <w:rsid w:val="004D6B1A"/>
    <w:rsid w:val="004D7547"/>
    <w:rsid w:val="004E0C4C"/>
    <w:rsid w:val="004E0CFA"/>
    <w:rsid w:val="004E0FED"/>
    <w:rsid w:val="004E1233"/>
    <w:rsid w:val="004E1938"/>
    <w:rsid w:val="004E1FCB"/>
    <w:rsid w:val="004E28C6"/>
    <w:rsid w:val="004E3E72"/>
    <w:rsid w:val="004E410B"/>
    <w:rsid w:val="004E5C7F"/>
    <w:rsid w:val="004E6210"/>
    <w:rsid w:val="004E6DE1"/>
    <w:rsid w:val="004E6DE4"/>
    <w:rsid w:val="004E700B"/>
    <w:rsid w:val="004E71DD"/>
    <w:rsid w:val="004E7521"/>
    <w:rsid w:val="004E7F6F"/>
    <w:rsid w:val="004F00CA"/>
    <w:rsid w:val="004F02CD"/>
    <w:rsid w:val="004F0542"/>
    <w:rsid w:val="004F0D8D"/>
    <w:rsid w:val="004F0E85"/>
    <w:rsid w:val="004F10E0"/>
    <w:rsid w:val="004F138F"/>
    <w:rsid w:val="004F185F"/>
    <w:rsid w:val="004F2D0A"/>
    <w:rsid w:val="004F2E0B"/>
    <w:rsid w:val="004F3627"/>
    <w:rsid w:val="004F420C"/>
    <w:rsid w:val="004F4388"/>
    <w:rsid w:val="004F76F3"/>
    <w:rsid w:val="004F7874"/>
    <w:rsid w:val="00500123"/>
    <w:rsid w:val="005005AC"/>
    <w:rsid w:val="00500769"/>
    <w:rsid w:val="0050090A"/>
    <w:rsid w:val="0050097B"/>
    <w:rsid w:val="00500A98"/>
    <w:rsid w:val="00502B3A"/>
    <w:rsid w:val="00503107"/>
    <w:rsid w:val="0050316D"/>
    <w:rsid w:val="00504EB0"/>
    <w:rsid w:val="00505EB8"/>
    <w:rsid w:val="00505FA8"/>
    <w:rsid w:val="005062F3"/>
    <w:rsid w:val="0050670B"/>
    <w:rsid w:val="00506FC5"/>
    <w:rsid w:val="005071BA"/>
    <w:rsid w:val="0050740E"/>
    <w:rsid w:val="00507B9D"/>
    <w:rsid w:val="00510016"/>
    <w:rsid w:val="0051019C"/>
    <w:rsid w:val="00510925"/>
    <w:rsid w:val="00510E75"/>
    <w:rsid w:val="005113DB"/>
    <w:rsid w:val="00511467"/>
    <w:rsid w:val="00511B29"/>
    <w:rsid w:val="0051211C"/>
    <w:rsid w:val="005124ED"/>
    <w:rsid w:val="0051266A"/>
    <w:rsid w:val="00512853"/>
    <w:rsid w:val="00514079"/>
    <w:rsid w:val="005141E8"/>
    <w:rsid w:val="005161C9"/>
    <w:rsid w:val="00516836"/>
    <w:rsid w:val="00516A89"/>
    <w:rsid w:val="00517257"/>
    <w:rsid w:val="00517346"/>
    <w:rsid w:val="00517AF2"/>
    <w:rsid w:val="005210DF"/>
    <w:rsid w:val="005215AB"/>
    <w:rsid w:val="00521822"/>
    <w:rsid w:val="00521CBF"/>
    <w:rsid w:val="00521F1A"/>
    <w:rsid w:val="00522093"/>
    <w:rsid w:val="0052260F"/>
    <w:rsid w:val="00522EB1"/>
    <w:rsid w:val="00522FCD"/>
    <w:rsid w:val="00523731"/>
    <w:rsid w:val="00523B64"/>
    <w:rsid w:val="00524B96"/>
    <w:rsid w:val="00525CD3"/>
    <w:rsid w:val="00526A29"/>
    <w:rsid w:val="00527152"/>
    <w:rsid w:val="005274DB"/>
    <w:rsid w:val="00527A18"/>
    <w:rsid w:val="00531418"/>
    <w:rsid w:val="0053193C"/>
    <w:rsid w:val="00532166"/>
    <w:rsid w:val="00532A22"/>
    <w:rsid w:val="00532CDE"/>
    <w:rsid w:val="005335E0"/>
    <w:rsid w:val="00534596"/>
    <w:rsid w:val="00534F9D"/>
    <w:rsid w:val="0053541A"/>
    <w:rsid w:val="005361C9"/>
    <w:rsid w:val="00536C90"/>
    <w:rsid w:val="005371A9"/>
    <w:rsid w:val="0053734F"/>
    <w:rsid w:val="00540013"/>
    <w:rsid w:val="0054095A"/>
    <w:rsid w:val="00540B41"/>
    <w:rsid w:val="00540B70"/>
    <w:rsid w:val="00540F09"/>
    <w:rsid w:val="005417DF"/>
    <w:rsid w:val="00541926"/>
    <w:rsid w:val="00541C1C"/>
    <w:rsid w:val="00542B27"/>
    <w:rsid w:val="00544005"/>
    <w:rsid w:val="00544110"/>
    <w:rsid w:val="0054423B"/>
    <w:rsid w:val="00544A31"/>
    <w:rsid w:val="005452F6"/>
    <w:rsid w:val="005460E1"/>
    <w:rsid w:val="00546979"/>
    <w:rsid w:val="00546D20"/>
    <w:rsid w:val="00546FEC"/>
    <w:rsid w:val="0054725E"/>
    <w:rsid w:val="00547734"/>
    <w:rsid w:val="005505D2"/>
    <w:rsid w:val="00550C99"/>
    <w:rsid w:val="00550D35"/>
    <w:rsid w:val="00551265"/>
    <w:rsid w:val="005512E6"/>
    <w:rsid w:val="005523FC"/>
    <w:rsid w:val="005525B5"/>
    <w:rsid w:val="00552C70"/>
    <w:rsid w:val="00552E5A"/>
    <w:rsid w:val="00553413"/>
    <w:rsid w:val="005534F9"/>
    <w:rsid w:val="00553C10"/>
    <w:rsid w:val="0055595D"/>
    <w:rsid w:val="00555AB2"/>
    <w:rsid w:val="00556866"/>
    <w:rsid w:val="005569E6"/>
    <w:rsid w:val="00556C74"/>
    <w:rsid w:val="00557BE2"/>
    <w:rsid w:val="00557C2E"/>
    <w:rsid w:val="00561129"/>
    <w:rsid w:val="00561354"/>
    <w:rsid w:val="00561A26"/>
    <w:rsid w:val="00561E81"/>
    <w:rsid w:val="00562410"/>
    <w:rsid w:val="005629CB"/>
    <w:rsid w:val="00563057"/>
    <w:rsid w:val="005633BF"/>
    <w:rsid w:val="00563C83"/>
    <w:rsid w:val="00563D46"/>
    <w:rsid w:val="00564300"/>
    <w:rsid w:val="0056528E"/>
    <w:rsid w:val="0056531A"/>
    <w:rsid w:val="00565605"/>
    <w:rsid w:val="00566DCC"/>
    <w:rsid w:val="00566DEF"/>
    <w:rsid w:val="0056737A"/>
    <w:rsid w:val="0056763D"/>
    <w:rsid w:val="00570728"/>
    <w:rsid w:val="00571217"/>
    <w:rsid w:val="00571292"/>
    <w:rsid w:val="00571371"/>
    <w:rsid w:val="00571840"/>
    <w:rsid w:val="00571C54"/>
    <w:rsid w:val="00573007"/>
    <w:rsid w:val="00573118"/>
    <w:rsid w:val="00575291"/>
    <w:rsid w:val="005754AB"/>
    <w:rsid w:val="0057669B"/>
    <w:rsid w:val="005771BC"/>
    <w:rsid w:val="00577607"/>
    <w:rsid w:val="00577C76"/>
    <w:rsid w:val="00580120"/>
    <w:rsid w:val="00580216"/>
    <w:rsid w:val="00580541"/>
    <w:rsid w:val="0058066A"/>
    <w:rsid w:val="005807AA"/>
    <w:rsid w:val="00580B29"/>
    <w:rsid w:val="00580B65"/>
    <w:rsid w:val="00581148"/>
    <w:rsid w:val="00581751"/>
    <w:rsid w:val="005817BC"/>
    <w:rsid w:val="005826F4"/>
    <w:rsid w:val="00582819"/>
    <w:rsid w:val="00583554"/>
    <w:rsid w:val="0058369E"/>
    <w:rsid w:val="00585395"/>
    <w:rsid w:val="00585A3B"/>
    <w:rsid w:val="005875DD"/>
    <w:rsid w:val="005901FF"/>
    <w:rsid w:val="005902B4"/>
    <w:rsid w:val="00590A43"/>
    <w:rsid w:val="00590D09"/>
    <w:rsid w:val="0059156A"/>
    <w:rsid w:val="00591F0B"/>
    <w:rsid w:val="00592799"/>
    <w:rsid w:val="00593314"/>
    <w:rsid w:val="0059368E"/>
    <w:rsid w:val="00593739"/>
    <w:rsid w:val="005938F6"/>
    <w:rsid w:val="00593BF5"/>
    <w:rsid w:val="00593D59"/>
    <w:rsid w:val="00593F09"/>
    <w:rsid w:val="00594031"/>
    <w:rsid w:val="00594347"/>
    <w:rsid w:val="00594496"/>
    <w:rsid w:val="0059485E"/>
    <w:rsid w:val="00594A3A"/>
    <w:rsid w:val="00594AEB"/>
    <w:rsid w:val="005956D3"/>
    <w:rsid w:val="00595A7D"/>
    <w:rsid w:val="00595DE6"/>
    <w:rsid w:val="00596365"/>
    <w:rsid w:val="005964D0"/>
    <w:rsid w:val="005965BC"/>
    <w:rsid w:val="00596C3B"/>
    <w:rsid w:val="005971E3"/>
    <w:rsid w:val="00597623"/>
    <w:rsid w:val="005A024C"/>
    <w:rsid w:val="005A0811"/>
    <w:rsid w:val="005A0B05"/>
    <w:rsid w:val="005A128C"/>
    <w:rsid w:val="005A12FA"/>
    <w:rsid w:val="005A146E"/>
    <w:rsid w:val="005A1B47"/>
    <w:rsid w:val="005A1C94"/>
    <w:rsid w:val="005A1DF9"/>
    <w:rsid w:val="005A1F27"/>
    <w:rsid w:val="005A21C4"/>
    <w:rsid w:val="005A2DC6"/>
    <w:rsid w:val="005A2FB6"/>
    <w:rsid w:val="005A34C3"/>
    <w:rsid w:val="005A35F6"/>
    <w:rsid w:val="005A383A"/>
    <w:rsid w:val="005A3C56"/>
    <w:rsid w:val="005A4336"/>
    <w:rsid w:val="005A4750"/>
    <w:rsid w:val="005A4B9C"/>
    <w:rsid w:val="005A4F7D"/>
    <w:rsid w:val="005A578F"/>
    <w:rsid w:val="005A5FCD"/>
    <w:rsid w:val="005A612E"/>
    <w:rsid w:val="005A6A0F"/>
    <w:rsid w:val="005A6C44"/>
    <w:rsid w:val="005A7E78"/>
    <w:rsid w:val="005B03ED"/>
    <w:rsid w:val="005B0702"/>
    <w:rsid w:val="005B1776"/>
    <w:rsid w:val="005B1BA3"/>
    <w:rsid w:val="005B1F26"/>
    <w:rsid w:val="005B2C90"/>
    <w:rsid w:val="005B32FB"/>
    <w:rsid w:val="005B4CB7"/>
    <w:rsid w:val="005B6544"/>
    <w:rsid w:val="005B6D24"/>
    <w:rsid w:val="005B738C"/>
    <w:rsid w:val="005B7661"/>
    <w:rsid w:val="005B7B31"/>
    <w:rsid w:val="005B7FE4"/>
    <w:rsid w:val="005C0591"/>
    <w:rsid w:val="005C05E0"/>
    <w:rsid w:val="005C0B38"/>
    <w:rsid w:val="005C0DB6"/>
    <w:rsid w:val="005C1F6C"/>
    <w:rsid w:val="005C35BE"/>
    <w:rsid w:val="005C37E0"/>
    <w:rsid w:val="005C3CF2"/>
    <w:rsid w:val="005C530B"/>
    <w:rsid w:val="005C54B9"/>
    <w:rsid w:val="005C5624"/>
    <w:rsid w:val="005C5A1C"/>
    <w:rsid w:val="005C5B31"/>
    <w:rsid w:val="005C5BAF"/>
    <w:rsid w:val="005C6327"/>
    <w:rsid w:val="005C6473"/>
    <w:rsid w:val="005C6618"/>
    <w:rsid w:val="005C692B"/>
    <w:rsid w:val="005C6FF8"/>
    <w:rsid w:val="005C7248"/>
    <w:rsid w:val="005C7CCA"/>
    <w:rsid w:val="005D0189"/>
    <w:rsid w:val="005D0EC1"/>
    <w:rsid w:val="005D297B"/>
    <w:rsid w:val="005D3B42"/>
    <w:rsid w:val="005D41A9"/>
    <w:rsid w:val="005D46EF"/>
    <w:rsid w:val="005D5D6F"/>
    <w:rsid w:val="005D606B"/>
    <w:rsid w:val="005D6490"/>
    <w:rsid w:val="005D6563"/>
    <w:rsid w:val="005D75E4"/>
    <w:rsid w:val="005D7C7D"/>
    <w:rsid w:val="005E0434"/>
    <w:rsid w:val="005E1A65"/>
    <w:rsid w:val="005E2159"/>
    <w:rsid w:val="005E3512"/>
    <w:rsid w:val="005E3DDE"/>
    <w:rsid w:val="005E4470"/>
    <w:rsid w:val="005E47A3"/>
    <w:rsid w:val="005E4A5D"/>
    <w:rsid w:val="005E5794"/>
    <w:rsid w:val="005E5C36"/>
    <w:rsid w:val="005E5FCE"/>
    <w:rsid w:val="005E6B48"/>
    <w:rsid w:val="005E6F3E"/>
    <w:rsid w:val="005E7457"/>
    <w:rsid w:val="005F019A"/>
    <w:rsid w:val="005F0DA1"/>
    <w:rsid w:val="005F16CC"/>
    <w:rsid w:val="005F18A0"/>
    <w:rsid w:val="005F20C9"/>
    <w:rsid w:val="005F26DC"/>
    <w:rsid w:val="005F2B4A"/>
    <w:rsid w:val="005F2BF6"/>
    <w:rsid w:val="005F5EA3"/>
    <w:rsid w:val="005F5FA0"/>
    <w:rsid w:val="005F6760"/>
    <w:rsid w:val="005F6921"/>
    <w:rsid w:val="005F6CFD"/>
    <w:rsid w:val="005F708F"/>
    <w:rsid w:val="005F71C3"/>
    <w:rsid w:val="005F71C6"/>
    <w:rsid w:val="005F76A2"/>
    <w:rsid w:val="005F781F"/>
    <w:rsid w:val="005F7A71"/>
    <w:rsid w:val="006005DA"/>
    <w:rsid w:val="006008A9"/>
    <w:rsid w:val="00600A2A"/>
    <w:rsid w:val="00600C25"/>
    <w:rsid w:val="00601189"/>
    <w:rsid w:val="006017A2"/>
    <w:rsid w:val="00601CE4"/>
    <w:rsid w:val="00601ED1"/>
    <w:rsid w:val="006020DD"/>
    <w:rsid w:val="00602A39"/>
    <w:rsid w:val="00602C92"/>
    <w:rsid w:val="00602E7C"/>
    <w:rsid w:val="006036A5"/>
    <w:rsid w:val="006036B9"/>
    <w:rsid w:val="00603FD5"/>
    <w:rsid w:val="00603FEA"/>
    <w:rsid w:val="00604F4F"/>
    <w:rsid w:val="0060544E"/>
    <w:rsid w:val="0060561E"/>
    <w:rsid w:val="00605770"/>
    <w:rsid w:val="006058E9"/>
    <w:rsid w:val="0060639A"/>
    <w:rsid w:val="0060672F"/>
    <w:rsid w:val="00606DF9"/>
    <w:rsid w:val="0060723D"/>
    <w:rsid w:val="00607945"/>
    <w:rsid w:val="00607E4B"/>
    <w:rsid w:val="00607F03"/>
    <w:rsid w:val="00607F2D"/>
    <w:rsid w:val="00610186"/>
    <w:rsid w:val="00610627"/>
    <w:rsid w:val="006109FC"/>
    <w:rsid w:val="00610F6C"/>
    <w:rsid w:val="0061167B"/>
    <w:rsid w:val="00611B2E"/>
    <w:rsid w:val="00611E31"/>
    <w:rsid w:val="00612327"/>
    <w:rsid w:val="00612466"/>
    <w:rsid w:val="00612D83"/>
    <w:rsid w:val="00612FE5"/>
    <w:rsid w:val="006131AE"/>
    <w:rsid w:val="00613494"/>
    <w:rsid w:val="00613C17"/>
    <w:rsid w:val="006140A5"/>
    <w:rsid w:val="0061508D"/>
    <w:rsid w:val="00616031"/>
    <w:rsid w:val="006169EE"/>
    <w:rsid w:val="00616DC8"/>
    <w:rsid w:val="00617BC3"/>
    <w:rsid w:val="00620548"/>
    <w:rsid w:val="0062124A"/>
    <w:rsid w:val="00622314"/>
    <w:rsid w:val="00622C3E"/>
    <w:rsid w:val="00624620"/>
    <w:rsid w:val="006247F9"/>
    <w:rsid w:val="00624B90"/>
    <w:rsid w:val="00624EA2"/>
    <w:rsid w:val="006255CB"/>
    <w:rsid w:val="00626561"/>
    <w:rsid w:val="00627311"/>
    <w:rsid w:val="006277E5"/>
    <w:rsid w:val="00627AAE"/>
    <w:rsid w:val="00630143"/>
    <w:rsid w:val="00630E82"/>
    <w:rsid w:val="00630F02"/>
    <w:rsid w:val="00630F5D"/>
    <w:rsid w:val="00631D2E"/>
    <w:rsid w:val="00631FCB"/>
    <w:rsid w:val="006323B9"/>
    <w:rsid w:val="006328FD"/>
    <w:rsid w:val="0063379D"/>
    <w:rsid w:val="0063543B"/>
    <w:rsid w:val="00635629"/>
    <w:rsid w:val="00636C77"/>
    <w:rsid w:val="006370F4"/>
    <w:rsid w:val="00637535"/>
    <w:rsid w:val="00637F4A"/>
    <w:rsid w:val="00640ACB"/>
    <w:rsid w:val="00640FFF"/>
    <w:rsid w:val="00641A3A"/>
    <w:rsid w:val="00641AD5"/>
    <w:rsid w:val="006429FA"/>
    <w:rsid w:val="00642B8E"/>
    <w:rsid w:val="00643A8F"/>
    <w:rsid w:val="00643AA6"/>
    <w:rsid w:val="00643C1B"/>
    <w:rsid w:val="00644079"/>
    <w:rsid w:val="0064442E"/>
    <w:rsid w:val="006449D0"/>
    <w:rsid w:val="0064574F"/>
    <w:rsid w:val="0064614B"/>
    <w:rsid w:val="00646980"/>
    <w:rsid w:val="006475BD"/>
    <w:rsid w:val="006501ED"/>
    <w:rsid w:val="006502FC"/>
    <w:rsid w:val="006503B5"/>
    <w:rsid w:val="00651643"/>
    <w:rsid w:val="006525AC"/>
    <w:rsid w:val="006527FF"/>
    <w:rsid w:val="00652DE5"/>
    <w:rsid w:val="00653B0F"/>
    <w:rsid w:val="00653D0B"/>
    <w:rsid w:val="006543DD"/>
    <w:rsid w:val="00654F90"/>
    <w:rsid w:val="006559F3"/>
    <w:rsid w:val="0065682F"/>
    <w:rsid w:val="00656A8A"/>
    <w:rsid w:val="00656D3C"/>
    <w:rsid w:val="00656F04"/>
    <w:rsid w:val="00657041"/>
    <w:rsid w:val="006574DE"/>
    <w:rsid w:val="00657AEF"/>
    <w:rsid w:val="00657AFA"/>
    <w:rsid w:val="00657D78"/>
    <w:rsid w:val="00660649"/>
    <w:rsid w:val="006610DC"/>
    <w:rsid w:val="00661457"/>
    <w:rsid w:val="00661AB0"/>
    <w:rsid w:val="00662209"/>
    <w:rsid w:val="006630C8"/>
    <w:rsid w:val="0066367A"/>
    <w:rsid w:val="00663917"/>
    <w:rsid w:val="006643CD"/>
    <w:rsid w:val="006666D5"/>
    <w:rsid w:val="0066687A"/>
    <w:rsid w:val="00670900"/>
    <w:rsid w:val="0067137B"/>
    <w:rsid w:val="006723D1"/>
    <w:rsid w:val="00672466"/>
    <w:rsid w:val="0067276B"/>
    <w:rsid w:val="00672868"/>
    <w:rsid w:val="00672DCA"/>
    <w:rsid w:val="006732A8"/>
    <w:rsid w:val="00674011"/>
    <w:rsid w:val="006740D2"/>
    <w:rsid w:val="006746A9"/>
    <w:rsid w:val="00674CA2"/>
    <w:rsid w:val="0067571C"/>
    <w:rsid w:val="00675B8E"/>
    <w:rsid w:val="006760B5"/>
    <w:rsid w:val="00676DDB"/>
    <w:rsid w:val="00677481"/>
    <w:rsid w:val="00677AFC"/>
    <w:rsid w:val="00680C9B"/>
    <w:rsid w:val="006812F3"/>
    <w:rsid w:val="006813BD"/>
    <w:rsid w:val="00681434"/>
    <w:rsid w:val="00682373"/>
    <w:rsid w:val="00682819"/>
    <w:rsid w:val="0068333C"/>
    <w:rsid w:val="00683415"/>
    <w:rsid w:val="006844EC"/>
    <w:rsid w:val="00684D4E"/>
    <w:rsid w:val="00685293"/>
    <w:rsid w:val="0068709F"/>
    <w:rsid w:val="0068724F"/>
    <w:rsid w:val="00687963"/>
    <w:rsid w:val="00687B18"/>
    <w:rsid w:val="00687EAD"/>
    <w:rsid w:val="006900E8"/>
    <w:rsid w:val="00690397"/>
    <w:rsid w:val="0069043D"/>
    <w:rsid w:val="00692203"/>
    <w:rsid w:val="006927A9"/>
    <w:rsid w:val="00692866"/>
    <w:rsid w:val="00693613"/>
    <w:rsid w:val="0069368F"/>
    <w:rsid w:val="0069464C"/>
    <w:rsid w:val="00696894"/>
    <w:rsid w:val="00696BA6"/>
    <w:rsid w:val="0069726D"/>
    <w:rsid w:val="006978CB"/>
    <w:rsid w:val="00697A71"/>
    <w:rsid w:val="00697B2F"/>
    <w:rsid w:val="006A0B90"/>
    <w:rsid w:val="006A0BB7"/>
    <w:rsid w:val="006A0EA3"/>
    <w:rsid w:val="006A1DEF"/>
    <w:rsid w:val="006A1FA8"/>
    <w:rsid w:val="006A2521"/>
    <w:rsid w:val="006A2818"/>
    <w:rsid w:val="006A5FE3"/>
    <w:rsid w:val="006A6EAC"/>
    <w:rsid w:val="006A7069"/>
    <w:rsid w:val="006B17A7"/>
    <w:rsid w:val="006B1B09"/>
    <w:rsid w:val="006B1F9B"/>
    <w:rsid w:val="006B2F0F"/>
    <w:rsid w:val="006B38FF"/>
    <w:rsid w:val="006B5855"/>
    <w:rsid w:val="006B66ED"/>
    <w:rsid w:val="006B6834"/>
    <w:rsid w:val="006B6E9B"/>
    <w:rsid w:val="006B787C"/>
    <w:rsid w:val="006C1C55"/>
    <w:rsid w:val="006C27E7"/>
    <w:rsid w:val="006C2E8F"/>
    <w:rsid w:val="006C349E"/>
    <w:rsid w:val="006C34D8"/>
    <w:rsid w:val="006C36D5"/>
    <w:rsid w:val="006C3E59"/>
    <w:rsid w:val="006C4239"/>
    <w:rsid w:val="006C4AF4"/>
    <w:rsid w:val="006C4BDD"/>
    <w:rsid w:val="006C4C82"/>
    <w:rsid w:val="006C5C09"/>
    <w:rsid w:val="006C5D13"/>
    <w:rsid w:val="006C5E78"/>
    <w:rsid w:val="006C64AF"/>
    <w:rsid w:val="006C6D3B"/>
    <w:rsid w:val="006C6F26"/>
    <w:rsid w:val="006C747C"/>
    <w:rsid w:val="006C7AD4"/>
    <w:rsid w:val="006D06FD"/>
    <w:rsid w:val="006D095B"/>
    <w:rsid w:val="006D2CFC"/>
    <w:rsid w:val="006D3F2F"/>
    <w:rsid w:val="006D3F65"/>
    <w:rsid w:val="006D45FD"/>
    <w:rsid w:val="006D47C7"/>
    <w:rsid w:val="006D4831"/>
    <w:rsid w:val="006D4F09"/>
    <w:rsid w:val="006D5257"/>
    <w:rsid w:val="006D5889"/>
    <w:rsid w:val="006D5F4F"/>
    <w:rsid w:val="006D5FB9"/>
    <w:rsid w:val="006D635F"/>
    <w:rsid w:val="006D7002"/>
    <w:rsid w:val="006D71ED"/>
    <w:rsid w:val="006D7BD3"/>
    <w:rsid w:val="006E0334"/>
    <w:rsid w:val="006E04FE"/>
    <w:rsid w:val="006E0D81"/>
    <w:rsid w:val="006E0F5C"/>
    <w:rsid w:val="006E12A0"/>
    <w:rsid w:val="006E134E"/>
    <w:rsid w:val="006E1948"/>
    <w:rsid w:val="006E1AE9"/>
    <w:rsid w:val="006E1E13"/>
    <w:rsid w:val="006E23A1"/>
    <w:rsid w:val="006E3536"/>
    <w:rsid w:val="006E4F64"/>
    <w:rsid w:val="006E5154"/>
    <w:rsid w:val="006E51C7"/>
    <w:rsid w:val="006E68AA"/>
    <w:rsid w:val="006E68CD"/>
    <w:rsid w:val="006E723B"/>
    <w:rsid w:val="006E76EF"/>
    <w:rsid w:val="006E7BAB"/>
    <w:rsid w:val="006F0568"/>
    <w:rsid w:val="006F0EB6"/>
    <w:rsid w:val="006F1699"/>
    <w:rsid w:val="006F245D"/>
    <w:rsid w:val="006F25AD"/>
    <w:rsid w:val="006F29DF"/>
    <w:rsid w:val="006F2C60"/>
    <w:rsid w:val="006F45F1"/>
    <w:rsid w:val="006F470B"/>
    <w:rsid w:val="006F47BC"/>
    <w:rsid w:val="006F484A"/>
    <w:rsid w:val="006F53D2"/>
    <w:rsid w:val="006F59D4"/>
    <w:rsid w:val="006F60A9"/>
    <w:rsid w:val="006F60DC"/>
    <w:rsid w:val="006F6142"/>
    <w:rsid w:val="006F6AC2"/>
    <w:rsid w:val="006F7132"/>
    <w:rsid w:val="006F751A"/>
    <w:rsid w:val="006F7AF7"/>
    <w:rsid w:val="007006AF"/>
    <w:rsid w:val="00700F4B"/>
    <w:rsid w:val="00701100"/>
    <w:rsid w:val="00701324"/>
    <w:rsid w:val="00701B57"/>
    <w:rsid w:val="00701DE0"/>
    <w:rsid w:val="0070260E"/>
    <w:rsid w:val="00702D4B"/>
    <w:rsid w:val="00703232"/>
    <w:rsid w:val="00703765"/>
    <w:rsid w:val="007039AA"/>
    <w:rsid w:val="00704C02"/>
    <w:rsid w:val="00704DC2"/>
    <w:rsid w:val="00705061"/>
    <w:rsid w:val="007056BA"/>
    <w:rsid w:val="00705861"/>
    <w:rsid w:val="00705E3F"/>
    <w:rsid w:val="00706202"/>
    <w:rsid w:val="00706404"/>
    <w:rsid w:val="007069E6"/>
    <w:rsid w:val="0070761D"/>
    <w:rsid w:val="0071194D"/>
    <w:rsid w:val="00711E77"/>
    <w:rsid w:val="00712A5F"/>
    <w:rsid w:val="00712B35"/>
    <w:rsid w:val="0071325A"/>
    <w:rsid w:val="00713CB9"/>
    <w:rsid w:val="00714488"/>
    <w:rsid w:val="00714F95"/>
    <w:rsid w:val="007158C6"/>
    <w:rsid w:val="00715E67"/>
    <w:rsid w:val="0071634F"/>
    <w:rsid w:val="00716759"/>
    <w:rsid w:val="00716AD4"/>
    <w:rsid w:val="0071766F"/>
    <w:rsid w:val="00717C0C"/>
    <w:rsid w:val="00720507"/>
    <w:rsid w:val="007205E5"/>
    <w:rsid w:val="007206E4"/>
    <w:rsid w:val="00720E92"/>
    <w:rsid w:val="00721372"/>
    <w:rsid w:val="007215EF"/>
    <w:rsid w:val="00723F9E"/>
    <w:rsid w:val="007252E4"/>
    <w:rsid w:val="007255F4"/>
    <w:rsid w:val="00727592"/>
    <w:rsid w:val="00727D6F"/>
    <w:rsid w:val="007301C9"/>
    <w:rsid w:val="00730615"/>
    <w:rsid w:val="0073086C"/>
    <w:rsid w:val="00730A70"/>
    <w:rsid w:val="00730DAB"/>
    <w:rsid w:val="00730EE2"/>
    <w:rsid w:val="00731334"/>
    <w:rsid w:val="00731335"/>
    <w:rsid w:val="00732045"/>
    <w:rsid w:val="00732B10"/>
    <w:rsid w:val="00733973"/>
    <w:rsid w:val="007343D1"/>
    <w:rsid w:val="007355CD"/>
    <w:rsid w:val="00735915"/>
    <w:rsid w:val="0073606B"/>
    <w:rsid w:val="00736AF6"/>
    <w:rsid w:val="007373F6"/>
    <w:rsid w:val="007377BD"/>
    <w:rsid w:val="00737EA0"/>
    <w:rsid w:val="0074052B"/>
    <w:rsid w:val="00740C8E"/>
    <w:rsid w:val="007411EA"/>
    <w:rsid w:val="007419D3"/>
    <w:rsid w:val="00741BF5"/>
    <w:rsid w:val="00741FD1"/>
    <w:rsid w:val="00742231"/>
    <w:rsid w:val="007422B3"/>
    <w:rsid w:val="007425C5"/>
    <w:rsid w:val="00742DC1"/>
    <w:rsid w:val="00742DDE"/>
    <w:rsid w:val="00742F0D"/>
    <w:rsid w:val="00743548"/>
    <w:rsid w:val="00743B8A"/>
    <w:rsid w:val="00744120"/>
    <w:rsid w:val="007444C9"/>
    <w:rsid w:val="00744CE0"/>
    <w:rsid w:val="007453FC"/>
    <w:rsid w:val="007458AC"/>
    <w:rsid w:val="00745E71"/>
    <w:rsid w:val="007463CD"/>
    <w:rsid w:val="00746610"/>
    <w:rsid w:val="007472F6"/>
    <w:rsid w:val="00747D76"/>
    <w:rsid w:val="007504D3"/>
    <w:rsid w:val="00750C2F"/>
    <w:rsid w:val="0075117B"/>
    <w:rsid w:val="007526BE"/>
    <w:rsid w:val="007530FA"/>
    <w:rsid w:val="0075386F"/>
    <w:rsid w:val="00753B56"/>
    <w:rsid w:val="00753B93"/>
    <w:rsid w:val="00754EB0"/>
    <w:rsid w:val="007558C7"/>
    <w:rsid w:val="00755AD2"/>
    <w:rsid w:val="00755E22"/>
    <w:rsid w:val="0075654E"/>
    <w:rsid w:val="00757A65"/>
    <w:rsid w:val="0076023E"/>
    <w:rsid w:val="00760304"/>
    <w:rsid w:val="00760371"/>
    <w:rsid w:val="0076037F"/>
    <w:rsid w:val="00760E1B"/>
    <w:rsid w:val="00761FD3"/>
    <w:rsid w:val="007623C3"/>
    <w:rsid w:val="007629B3"/>
    <w:rsid w:val="00762F69"/>
    <w:rsid w:val="00763335"/>
    <w:rsid w:val="007638F8"/>
    <w:rsid w:val="00763F7F"/>
    <w:rsid w:val="007644B1"/>
    <w:rsid w:val="00764F48"/>
    <w:rsid w:val="00764FE1"/>
    <w:rsid w:val="007653E9"/>
    <w:rsid w:val="0076563B"/>
    <w:rsid w:val="00765FC4"/>
    <w:rsid w:val="007669DE"/>
    <w:rsid w:val="00766D96"/>
    <w:rsid w:val="00767672"/>
    <w:rsid w:val="00767883"/>
    <w:rsid w:val="00767A25"/>
    <w:rsid w:val="00767EAE"/>
    <w:rsid w:val="0077024B"/>
    <w:rsid w:val="00770DB0"/>
    <w:rsid w:val="0077153A"/>
    <w:rsid w:val="0077156C"/>
    <w:rsid w:val="00772861"/>
    <w:rsid w:val="00772BFB"/>
    <w:rsid w:val="007737D3"/>
    <w:rsid w:val="00773F34"/>
    <w:rsid w:val="0077487A"/>
    <w:rsid w:val="0077491A"/>
    <w:rsid w:val="00774B16"/>
    <w:rsid w:val="00774B54"/>
    <w:rsid w:val="00775165"/>
    <w:rsid w:val="007758AB"/>
    <w:rsid w:val="007800C9"/>
    <w:rsid w:val="0078023F"/>
    <w:rsid w:val="007808A9"/>
    <w:rsid w:val="00781436"/>
    <w:rsid w:val="00781635"/>
    <w:rsid w:val="00781C3C"/>
    <w:rsid w:val="00781E6C"/>
    <w:rsid w:val="00781FC1"/>
    <w:rsid w:val="00782BF5"/>
    <w:rsid w:val="00782CC2"/>
    <w:rsid w:val="0078322F"/>
    <w:rsid w:val="007844C8"/>
    <w:rsid w:val="0078533C"/>
    <w:rsid w:val="00785646"/>
    <w:rsid w:val="00786118"/>
    <w:rsid w:val="0078702A"/>
    <w:rsid w:val="00787130"/>
    <w:rsid w:val="00787B9D"/>
    <w:rsid w:val="00790D2E"/>
    <w:rsid w:val="00791054"/>
    <w:rsid w:val="007913DA"/>
    <w:rsid w:val="007918A1"/>
    <w:rsid w:val="007921AE"/>
    <w:rsid w:val="00792FEF"/>
    <w:rsid w:val="00793AF7"/>
    <w:rsid w:val="00793C38"/>
    <w:rsid w:val="00794647"/>
    <w:rsid w:val="00794D2D"/>
    <w:rsid w:val="0079505C"/>
    <w:rsid w:val="00795132"/>
    <w:rsid w:val="00796124"/>
    <w:rsid w:val="00796526"/>
    <w:rsid w:val="007968CF"/>
    <w:rsid w:val="00796B96"/>
    <w:rsid w:val="007A0363"/>
    <w:rsid w:val="007A0981"/>
    <w:rsid w:val="007A22F5"/>
    <w:rsid w:val="007A3211"/>
    <w:rsid w:val="007A3C30"/>
    <w:rsid w:val="007A4261"/>
    <w:rsid w:val="007A45FC"/>
    <w:rsid w:val="007A47D3"/>
    <w:rsid w:val="007A4DE8"/>
    <w:rsid w:val="007A4F02"/>
    <w:rsid w:val="007A5259"/>
    <w:rsid w:val="007A6022"/>
    <w:rsid w:val="007A68EE"/>
    <w:rsid w:val="007A72E3"/>
    <w:rsid w:val="007A7557"/>
    <w:rsid w:val="007A77C0"/>
    <w:rsid w:val="007B0672"/>
    <w:rsid w:val="007B1B40"/>
    <w:rsid w:val="007B1FB5"/>
    <w:rsid w:val="007B2A8E"/>
    <w:rsid w:val="007B32AE"/>
    <w:rsid w:val="007B3A25"/>
    <w:rsid w:val="007B4388"/>
    <w:rsid w:val="007B43D7"/>
    <w:rsid w:val="007B4758"/>
    <w:rsid w:val="007B4DD2"/>
    <w:rsid w:val="007B4E9B"/>
    <w:rsid w:val="007B5014"/>
    <w:rsid w:val="007B5B3D"/>
    <w:rsid w:val="007B5F46"/>
    <w:rsid w:val="007B7129"/>
    <w:rsid w:val="007B7B9C"/>
    <w:rsid w:val="007C0065"/>
    <w:rsid w:val="007C1079"/>
    <w:rsid w:val="007C11E5"/>
    <w:rsid w:val="007C1759"/>
    <w:rsid w:val="007C1D5C"/>
    <w:rsid w:val="007C295B"/>
    <w:rsid w:val="007C2A32"/>
    <w:rsid w:val="007C2B49"/>
    <w:rsid w:val="007C3475"/>
    <w:rsid w:val="007C40AD"/>
    <w:rsid w:val="007C4482"/>
    <w:rsid w:val="007C4707"/>
    <w:rsid w:val="007C4801"/>
    <w:rsid w:val="007C4B27"/>
    <w:rsid w:val="007C5184"/>
    <w:rsid w:val="007C542F"/>
    <w:rsid w:val="007C60F9"/>
    <w:rsid w:val="007C69A7"/>
    <w:rsid w:val="007C6D29"/>
    <w:rsid w:val="007C758D"/>
    <w:rsid w:val="007C75AD"/>
    <w:rsid w:val="007D0080"/>
    <w:rsid w:val="007D07D3"/>
    <w:rsid w:val="007D0E82"/>
    <w:rsid w:val="007D1037"/>
    <w:rsid w:val="007D1248"/>
    <w:rsid w:val="007D1569"/>
    <w:rsid w:val="007D1F14"/>
    <w:rsid w:val="007D25EB"/>
    <w:rsid w:val="007D27A4"/>
    <w:rsid w:val="007D3215"/>
    <w:rsid w:val="007D34E0"/>
    <w:rsid w:val="007D354D"/>
    <w:rsid w:val="007D37AE"/>
    <w:rsid w:val="007D3D37"/>
    <w:rsid w:val="007D4170"/>
    <w:rsid w:val="007D4434"/>
    <w:rsid w:val="007D46C7"/>
    <w:rsid w:val="007D4ECD"/>
    <w:rsid w:val="007D4EEC"/>
    <w:rsid w:val="007D5B20"/>
    <w:rsid w:val="007D5B36"/>
    <w:rsid w:val="007D6D3F"/>
    <w:rsid w:val="007D7233"/>
    <w:rsid w:val="007E051D"/>
    <w:rsid w:val="007E0570"/>
    <w:rsid w:val="007E10AB"/>
    <w:rsid w:val="007E1A38"/>
    <w:rsid w:val="007E1BC2"/>
    <w:rsid w:val="007E28D5"/>
    <w:rsid w:val="007E2E93"/>
    <w:rsid w:val="007E4719"/>
    <w:rsid w:val="007E52F9"/>
    <w:rsid w:val="007E6D4F"/>
    <w:rsid w:val="007E7FD1"/>
    <w:rsid w:val="007F0ACD"/>
    <w:rsid w:val="007F3128"/>
    <w:rsid w:val="007F349C"/>
    <w:rsid w:val="007F5173"/>
    <w:rsid w:val="007F57C0"/>
    <w:rsid w:val="007F6BB2"/>
    <w:rsid w:val="007F76EA"/>
    <w:rsid w:val="007F7755"/>
    <w:rsid w:val="007F7F42"/>
    <w:rsid w:val="00800690"/>
    <w:rsid w:val="00800951"/>
    <w:rsid w:val="008011D1"/>
    <w:rsid w:val="008017BC"/>
    <w:rsid w:val="0080195C"/>
    <w:rsid w:val="00802962"/>
    <w:rsid w:val="008030EE"/>
    <w:rsid w:val="0080322B"/>
    <w:rsid w:val="008035C3"/>
    <w:rsid w:val="00803F26"/>
    <w:rsid w:val="00804B8B"/>
    <w:rsid w:val="00804E1D"/>
    <w:rsid w:val="0080500D"/>
    <w:rsid w:val="00805A9F"/>
    <w:rsid w:val="008060DB"/>
    <w:rsid w:val="008061A8"/>
    <w:rsid w:val="00806659"/>
    <w:rsid w:val="00806ADF"/>
    <w:rsid w:val="00806F63"/>
    <w:rsid w:val="0080712D"/>
    <w:rsid w:val="00807355"/>
    <w:rsid w:val="00807688"/>
    <w:rsid w:val="00807F06"/>
    <w:rsid w:val="00811196"/>
    <w:rsid w:val="00811748"/>
    <w:rsid w:val="0081178F"/>
    <w:rsid w:val="00813704"/>
    <w:rsid w:val="00814224"/>
    <w:rsid w:val="00814810"/>
    <w:rsid w:val="0081533C"/>
    <w:rsid w:val="0081596A"/>
    <w:rsid w:val="00815BD6"/>
    <w:rsid w:val="00815F8D"/>
    <w:rsid w:val="008161D7"/>
    <w:rsid w:val="008162E5"/>
    <w:rsid w:val="008163B8"/>
    <w:rsid w:val="00817294"/>
    <w:rsid w:val="00817450"/>
    <w:rsid w:val="008175AE"/>
    <w:rsid w:val="00817623"/>
    <w:rsid w:val="008177F4"/>
    <w:rsid w:val="008179F8"/>
    <w:rsid w:val="008201BD"/>
    <w:rsid w:val="00820661"/>
    <w:rsid w:val="008206FA"/>
    <w:rsid w:val="00820B17"/>
    <w:rsid w:val="00821ED4"/>
    <w:rsid w:val="00822035"/>
    <w:rsid w:val="008222DF"/>
    <w:rsid w:val="0082437F"/>
    <w:rsid w:val="0082439D"/>
    <w:rsid w:val="00824D50"/>
    <w:rsid w:val="008252EE"/>
    <w:rsid w:val="0082566F"/>
    <w:rsid w:val="00826857"/>
    <w:rsid w:val="0082772A"/>
    <w:rsid w:val="00827C4E"/>
    <w:rsid w:val="00827CA7"/>
    <w:rsid w:val="00827EA6"/>
    <w:rsid w:val="00830BEA"/>
    <w:rsid w:val="00830D31"/>
    <w:rsid w:val="00831D2A"/>
    <w:rsid w:val="00832138"/>
    <w:rsid w:val="00832DA1"/>
    <w:rsid w:val="008335D3"/>
    <w:rsid w:val="00833866"/>
    <w:rsid w:val="00833AD4"/>
    <w:rsid w:val="008341DB"/>
    <w:rsid w:val="0083428E"/>
    <w:rsid w:val="008345B8"/>
    <w:rsid w:val="00834B91"/>
    <w:rsid w:val="008359F0"/>
    <w:rsid w:val="00835EAD"/>
    <w:rsid w:val="0083616A"/>
    <w:rsid w:val="00836262"/>
    <w:rsid w:val="00836C2F"/>
    <w:rsid w:val="00836E3A"/>
    <w:rsid w:val="00836E4E"/>
    <w:rsid w:val="00837210"/>
    <w:rsid w:val="00837C6A"/>
    <w:rsid w:val="00840491"/>
    <w:rsid w:val="00840BC1"/>
    <w:rsid w:val="008413E5"/>
    <w:rsid w:val="00841B31"/>
    <w:rsid w:val="0084238D"/>
    <w:rsid w:val="00842C50"/>
    <w:rsid w:val="008439B3"/>
    <w:rsid w:val="00843AF2"/>
    <w:rsid w:val="008445D0"/>
    <w:rsid w:val="0084467F"/>
    <w:rsid w:val="00844719"/>
    <w:rsid w:val="0084481C"/>
    <w:rsid w:val="0084505D"/>
    <w:rsid w:val="0084569F"/>
    <w:rsid w:val="008456C4"/>
    <w:rsid w:val="00846E48"/>
    <w:rsid w:val="008472B8"/>
    <w:rsid w:val="0084744C"/>
    <w:rsid w:val="00850AB2"/>
    <w:rsid w:val="00850F87"/>
    <w:rsid w:val="0085176A"/>
    <w:rsid w:val="008525D2"/>
    <w:rsid w:val="00852662"/>
    <w:rsid w:val="008529A2"/>
    <w:rsid w:val="00852EF4"/>
    <w:rsid w:val="0085334C"/>
    <w:rsid w:val="008540C7"/>
    <w:rsid w:val="008542A9"/>
    <w:rsid w:val="0085439B"/>
    <w:rsid w:val="00854A1D"/>
    <w:rsid w:val="00854A8B"/>
    <w:rsid w:val="00854AB4"/>
    <w:rsid w:val="00854C4C"/>
    <w:rsid w:val="00854F07"/>
    <w:rsid w:val="0085552A"/>
    <w:rsid w:val="00855C35"/>
    <w:rsid w:val="00855F0B"/>
    <w:rsid w:val="008579B4"/>
    <w:rsid w:val="00857BBE"/>
    <w:rsid w:val="00857DCB"/>
    <w:rsid w:val="008601FF"/>
    <w:rsid w:val="00860788"/>
    <w:rsid w:val="00860987"/>
    <w:rsid w:val="00860A43"/>
    <w:rsid w:val="00860C6B"/>
    <w:rsid w:val="0086115D"/>
    <w:rsid w:val="00861B8B"/>
    <w:rsid w:val="008620AD"/>
    <w:rsid w:val="00862117"/>
    <w:rsid w:val="00862237"/>
    <w:rsid w:val="0086235A"/>
    <w:rsid w:val="00862483"/>
    <w:rsid w:val="008629B4"/>
    <w:rsid w:val="00862A5A"/>
    <w:rsid w:val="00862CF5"/>
    <w:rsid w:val="00863ACF"/>
    <w:rsid w:val="008644FD"/>
    <w:rsid w:val="008646F1"/>
    <w:rsid w:val="008647E2"/>
    <w:rsid w:val="00864F57"/>
    <w:rsid w:val="0086568D"/>
    <w:rsid w:val="00865AA2"/>
    <w:rsid w:val="00865B7E"/>
    <w:rsid w:val="00865BA1"/>
    <w:rsid w:val="00866069"/>
    <w:rsid w:val="008666D9"/>
    <w:rsid w:val="00866FF7"/>
    <w:rsid w:val="0086792D"/>
    <w:rsid w:val="0087015E"/>
    <w:rsid w:val="0087050A"/>
    <w:rsid w:val="00870DC8"/>
    <w:rsid w:val="00871A6C"/>
    <w:rsid w:val="008728EC"/>
    <w:rsid w:val="00872A6F"/>
    <w:rsid w:val="008730F9"/>
    <w:rsid w:val="00873280"/>
    <w:rsid w:val="00873EDB"/>
    <w:rsid w:val="00873F29"/>
    <w:rsid w:val="008742B7"/>
    <w:rsid w:val="008747A2"/>
    <w:rsid w:val="00874AE0"/>
    <w:rsid w:val="00875B16"/>
    <w:rsid w:val="00875CCB"/>
    <w:rsid w:val="00875EF9"/>
    <w:rsid w:val="0087784D"/>
    <w:rsid w:val="00877BD8"/>
    <w:rsid w:val="00880485"/>
    <w:rsid w:val="008805C1"/>
    <w:rsid w:val="008812D8"/>
    <w:rsid w:val="00881E19"/>
    <w:rsid w:val="00881E1F"/>
    <w:rsid w:val="008826AE"/>
    <w:rsid w:val="0088305B"/>
    <w:rsid w:val="00883177"/>
    <w:rsid w:val="008833F3"/>
    <w:rsid w:val="008838FA"/>
    <w:rsid w:val="008839C9"/>
    <w:rsid w:val="00883CF5"/>
    <w:rsid w:val="00883DB9"/>
    <w:rsid w:val="00883FE8"/>
    <w:rsid w:val="0088465B"/>
    <w:rsid w:val="008846B6"/>
    <w:rsid w:val="00884E32"/>
    <w:rsid w:val="00886174"/>
    <w:rsid w:val="0088665F"/>
    <w:rsid w:val="008866E6"/>
    <w:rsid w:val="008866FB"/>
    <w:rsid w:val="008874A4"/>
    <w:rsid w:val="008912A4"/>
    <w:rsid w:val="008912D6"/>
    <w:rsid w:val="008915A4"/>
    <w:rsid w:val="00891816"/>
    <w:rsid w:val="0089380B"/>
    <w:rsid w:val="00894D77"/>
    <w:rsid w:val="00894F43"/>
    <w:rsid w:val="008952FD"/>
    <w:rsid w:val="008957F5"/>
    <w:rsid w:val="00896239"/>
    <w:rsid w:val="00896286"/>
    <w:rsid w:val="00896325"/>
    <w:rsid w:val="00896C47"/>
    <w:rsid w:val="00896D76"/>
    <w:rsid w:val="00897206"/>
    <w:rsid w:val="0089737A"/>
    <w:rsid w:val="008975E3"/>
    <w:rsid w:val="00897793"/>
    <w:rsid w:val="008977B0"/>
    <w:rsid w:val="008A02B5"/>
    <w:rsid w:val="008A044E"/>
    <w:rsid w:val="008A12B0"/>
    <w:rsid w:val="008A1632"/>
    <w:rsid w:val="008A1FB4"/>
    <w:rsid w:val="008A290E"/>
    <w:rsid w:val="008A31C1"/>
    <w:rsid w:val="008A385F"/>
    <w:rsid w:val="008A4C1C"/>
    <w:rsid w:val="008A4F06"/>
    <w:rsid w:val="008A5B3F"/>
    <w:rsid w:val="008A5BC3"/>
    <w:rsid w:val="008A65D0"/>
    <w:rsid w:val="008A6F83"/>
    <w:rsid w:val="008A72E6"/>
    <w:rsid w:val="008A76A5"/>
    <w:rsid w:val="008B0422"/>
    <w:rsid w:val="008B05C3"/>
    <w:rsid w:val="008B0814"/>
    <w:rsid w:val="008B0B51"/>
    <w:rsid w:val="008B19DE"/>
    <w:rsid w:val="008B22C7"/>
    <w:rsid w:val="008B240A"/>
    <w:rsid w:val="008B24B4"/>
    <w:rsid w:val="008B2504"/>
    <w:rsid w:val="008B2EC1"/>
    <w:rsid w:val="008B36B6"/>
    <w:rsid w:val="008B3A4B"/>
    <w:rsid w:val="008B4295"/>
    <w:rsid w:val="008B48A3"/>
    <w:rsid w:val="008B4965"/>
    <w:rsid w:val="008B4E5B"/>
    <w:rsid w:val="008B5C25"/>
    <w:rsid w:val="008B6ECC"/>
    <w:rsid w:val="008B78B1"/>
    <w:rsid w:val="008B7F8B"/>
    <w:rsid w:val="008C0B51"/>
    <w:rsid w:val="008C193A"/>
    <w:rsid w:val="008C19AD"/>
    <w:rsid w:val="008C1CCF"/>
    <w:rsid w:val="008C1D48"/>
    <w:rsid w:val="008C2A49"/>
    <w:rsid w:val="008C2AE2"/>
    <w:rsid w:val="008C3424"/>
    <w:rsid w:val="008C36F4"/>
    <w:rsid w:val="008C3835"/>
    <w:rsid w:val="008C3DCA"/>
    <w:rsid w:val="008C42A5"/>
    <w:rsid w:val="008C5841"/>
    <w:rsid w:val="008C5EBE"/>
    <w:rsid w:val="008C5F90"/>
    <w:rsid w:val="008C618D"/>
    <w:rsid w:val="008C6A15"/>
    <w:rsid w:val="008C7000"/>
    <w:rsid w:val="008D0038"/>
    <w:rsid w:val="008D017F"/>
    <w:rsid w:val="008D0477"/>
    <w:rsid w:val="008D0CEB"/>
    <w:rsid w:val="008D1537"/>
    <w:rsid w:val="008D19FD"/>
    <w:rsid w:val="008D1ABD"/>
    <w:rsid w:val="008D2A1F"/>
    <w:rsid w:val="008D2FE0"/>
    <w:rsid w:val="008D358E"/>
    <w:rsid w:val="008D3A0D"/>
    <w:rsid w:val="008D41B9"/>
    <w:rsid w:val="008D4B3D"/>
    <w:rsid w:val="008D65E3"/>
    <w:rsid w:val="008D7452"/>
    <w:rsid w:val="008E00AA"/>
    <w:rsid w:val="008E0340"/>
    <w:rsid w:val="008E0434"/>
    <w:rsid w:val="008E0D57"/>
    <w:rsid w:val="008E157A"/>
    <w:rsid w:val="008E1703"/>
    <w:rsid w:val="008E1FC6"/>
    <w:rsid w:val="008E2341"/>
    <w:rsid w:val="008E25D6"/>
    <w:rsid w:val="008E2B22"/>
    <w:rsid w:val="008E32EE"/>
    <w:rsid w:val="008E4D56"/>
    <w:rsid w:val="008E5358"/>
    <w:rsid w:val="008E5C01"/>
    <w:rsid w:val="008E6168"/>
    <w:rsid w:val="008E64DE"/>
    <w:rsid w:val="008E6AFE"/>
    <w:rsid w:val="008E7A3D"/>
    <w:rsid w:val="008E7AE9"/>
    <w:rsid w:val="008E7BD4"/>
    <w:rsid w:val="008F0A95"/>
    <w:rsid w:val="008F19F1"/>
    <w:rsid w:val="008F227D"/>
    <w:rsid w:val="008F298A"/>
    <w:rsid w:val="008F2A13"/>
    <w:rsid w:val="008F2EF6"/>
    <w:rsid w:val="008F3AD6"/>
    <w:rsid w:val="008F4A3C"/>
    <w:rsid w:val="008F567D"/>
    <w:rsid w:val="008F5D1A"/>
    <w:rsid w:val="008F5F39"/>
    <w:rsid w:val="008F627E"/>
    <w:rsid w:val="008F64A1"/>
    <w:rsid w:val="008F6884"/>
    <w:rsid w:val="008F6C2C"/>
    <w:rsid w:val="008F6F1A"/>
    <w:rsid w:val="008F6FFB"/>
    <w:rsid w:val="008F7535"/>
    <w:rsid w:val="008F7587"/>
    <w:rsid w:val="008F7897"/>
    <w:rsid w:val="0090086B"/>
    <w:rsid w:val="0090137A"/>
    <w:rsid w:val="00902E9A"/>
    <w:rsid w:val="00903370"/>
    <w:rsid w:val="00903ECA"/>
    <w:rsid w:val="009047B9"/>
    <w:rsid w:val="0090564A"/>
    <w:rsid w:val="009060C8"/>
    <w:rsid w:val="00906E7A"/>
    <w:rsid w:val="00906F32"/>
    <w:rsid w:val="0090793C"/>
    <w:rsid w:val="00907A01"/>
    <w:rsid w:val="00910541"/>
    <w:rsid w:val="0091105B"/>
    <w:rsid w:val="0091251F"/>
    <w:rsid w:val="00912CC1"/>
    <w:rsid w:val="0091349A"/>
    <w:rsid w:val="0091356F"/>
    <w:rsid w:val="00913623"/>
    <w:rsid w:val="00914399"/>
    <w:rsid w:val="00914D1C"/>
    <w:rsid w:val="00914D9E"/>
    <w:rsid w:val="0091513E"/>
    <w:rsid w:val="0091530C"/>
    <w:rsid w:val="009153E9"/>
    <w:rsid w:val="009155FB"/>
    <w:rsid w:val="009158BF"/>
    <w:rsid w:val="00916205"/>
    <w:rsid w:val="009165CC"/>
    <w:rsid w:val="00916609"/>
    <w:rsid w:val="00917362"/>
    <w:rsid w:val="0091764D"/>
    <w:rsid w:val="0091789E"/>
    <w:rsid w:val="009204FF"/>
    <w:rsid w:val="00920C77"/>
    <w:rsid w:val="00920D92"/>
    <w:rsid w:val="00920EC5"/>
    <w:rsid w:val="00920FC5"/>
    <w:rsid w:val="00921497"/>
    <w:rsid w:val="00921EE1"/>
    <w:rsid w:val="009220CE"/>
    <w:rsid w:val="00922E04"/>
    <w:rsid w:val="0092308A"/>
    <w:rsid w:val="009237FD"/>
    <w:rsid w:val="00924B6F"/>
    <w:rsid w:val="00925A0C"/>
    <w:rsid w:val="0092646D"/>
    <w:rsid w:val="009267DC"/>
    <w:rsid w:val="00931616"/>
    <w:rsid w:val="009324D3"/>
    <w:rsid w:val="00932B6F"/>
    <w:rsid w:val="0093356A"/>
    <w:rsid w:val="00933A7B"/>
    <w:rsid w:val="00933E08"/>
    <w:rsid w:val="009342FC"/>
    <w:rsid w:val="00934C05"/>
    <w:rsid w:val="00935781"/>
    <w:rsid w:val="009359C7"/>
    <w:rsid w:val="00936068"/>
    <w:rsid w:val="009360C8"/>
    <w:rsid w:val="009366E4"/>
    <w:rsid w:val="0093728A"/>
    <w:rsid w:val="00937FF7"/>
    <w:rsid w:val="009408C6"/>
    <w:rsid w:val="00941929"/>
    <w:rsid w:val="00941A89"/>
    <w:rsid w:val="00942344"/>
    <w:rsid w:val="00943044"/>
    <w:rsid w:val="009434CC"/>
    <w:rsid w:val="00943806"/>
    <w:rsid w:val="0094459A"/>
    <w:rsid w:val="00944955"/>
    <w:rsid w:val="0094515A"/>
    <w:rsid w:val="009455A3"/>
    <w:rsid w:val="00945D48"/>
    <w:rsid w:val="00946178"/>
    <w:rsid w:val="00946351"/>
    <w:rsid w:val="00946853"/>
    <w:rsid w:val="00947983"/>
    <w:rsid w:val="0095056E"/>
    <w:rsid w:val="00950681"/>
    <w:rsid w:val="00951221"/>
    <w:rsid w:val="00951225"/>
    <w:rsid w:val="00951636"/>
    <w:rsid w:val="009517CC"/>
    <w:rsid w:val="00951AFB"/>
    <w:rsid w:val="009524E9"/>
    <w:rsid w:val="00953802"/>
    <w:rsid w:val="00954B87"/>
    <w:rsid w:val="00954EC0"/>
    <w:rsid w:val="00956098"/>
    <w:rsid w:val="0095707F"/>
    <w:rsid w:val="00957163"/>
    <w:rsid w:val="009571CB"/>
    <w:rsid w:val="00957259"/>
    <w:rsid w:val="00960956"/>
    <w:rsid w:val="00960E22"/>
    <w:rsid w:val="009615D4"/>
    <w:rsid w:val="0096219C"/>
    <w:rsid w:val="00962905"/>
    <w:rsid w:val="009637B5"/>
    <w:rsid w:val="00964071"/>
    <w:rsid w:val="0096420B"/>
    <w:rsid w:val="00965D53"/>
    <w:rsid w:val="00967302"/>
    <w:rsid w:val="0096763B"/>
    <w:rsid w:val="0096776D"/>
    <w:rsid w:val="00967B06"/>
    <w:rsid w:val="00967E89"/>
    <w:rsid w:val="00970A20"/>
    <w:rsid w:val="00970BB0"/>
    <w:rsid w:val="0097163D"/>
    <w:rsid w:val="009721F8"/>
    <w:rsid w:val="0097238B"/>
    <w:rsid w:val="009726D9"/>
    <w:rsid w:val="0097320E"/>
    <w:rsid w:val="00974281"/>
    <w:rsid w:val="00974677"/>
    <w:rsid w:val="009747F8"/>
    <w:rsid w:val="00974A06"/>
    <w:rsid w:val="00974B1B"/>
    <w:rsid w:val="00974B5E"/>
    <w:rsid w:val="009753C5"/>
    <w:rsid w:val="00975678"/>
    <w:rsid w:val="00975758"/>
    <w:rsid w:val="009757A4"/>
    <w:rsid w:val="009757BB"/>
    <w:rsid w:val="00975BD6"/>
    <w:rsid w:val="00975EE0"/>
    <w:rsid w:val="00976023"/>
    <w:rsid w:val="00976892"/>
    <w:rsid w:val="00977276"/>
    <w:rsid w:val="00977733"/>
    <w:rsid w:val="0097794C"/>
    <w:rsid w:val="00980461"/>
    <w:rsid w:val="00981574"/>
    <w:rsid w:val="0098296E"/>
    <w:rsid w:val="00982C86"/>
    <w:rsid w:val="00983847"/>
    <w:rsid w:val="00983B7D"/>
    <w:rsid w:val="00983C8B"/>
    <w:rsid w:val="009846C2"/>
    <w:rsid w:val="00984AD2"/>
    <w:rsid w:val="009850E2"/>
    <w:rsid w:val="00985627"/>
    <w:rsid w:val="00985661"/>
    <w:rsid w:val="009858BA"/>
    <w:rsid w:val="00985C65"/>
    <w:rsid w:val="009864AF"/>
    <w:rsid w:val="00987336"/>
    <w:rsid w:val="00987426"/>
    <w:rsid w:val="009901F4"/>
    <w:rsid w:val="00992760"/>
    <w:rsid w:val="00992D19"/>
    <w:rsid w:val="00993CA6"/>
    <w:rsid w:val="00993F11"/>
    <w:rsid w:val="00994254"/>
    <w:rsid w:val="00994BD2"/>
    <w:rsid w:val="00994DCD"/>
    <w:rsid w:val="009954BE"/>
    <w:rsid w:val="00995ED5"/>
    <w:rsid w:val="009960C2"/>
    <w:rsid w:val="0099652F"/>
    <w:rsid w:val="009969BD"/>
    <w:rsid w:val="009969C3"/>
    <w:rsid w:val="00996D46"/>
    <w:rsid w:val="009970F6"/>
    <w:rsid w:val="009A0424"/>
    <w:rsid w:val="009A0609"/>
    <w:rsid w:val="009A0BEB"/>
    <w:rsid w:val="009A15E0"/>
    <w:rsid w:val="009A17B5"/>
    <w:rsid w:val="009A1968"/>
    <w:rsid w:val="009A2614"/>
    <w:rsid w:val="009A2F17"/>
    <w:rsid w:val="009A306D"/>
    <w:rsid w:val="009A36D9"/>
    <w:rsid w:val="009A3AF4"/>
    <w:rsid w:val="009A3C2B"/>
    <w:rsid w:val="009A49A9"/>
    <w:rsid w:val="009A4A5C"/>
    <w:rsid w:val="009A5B56"/>
    <w:rsid w:val="009A6245"/>
    <w:rsid w:val="009A65E9"/>
    <w:rsid w:val="009A7352"/>
    <w:rsid w:val="009A78CF"/>
    <w:rsid w:val="009A7916"/>
    <w:rsid w:val="009B015D"/>
    <w:rsid w:val="009B0456"/>
    <w:rsid w:val="009B04BB"/>
    <w:rsid w:val="009B117B"/>
    <w:rsid w:val="009B1763"/>
    <w:rsid w:val="009B2720"/>
    <w:rsid w:val="009B39E6"/>
    <w:rsid w:val="009B3B42"/>
    <w:rsid w:val="009B41A5"/>
    <w:rsid w:val="009B47A8"/>
    <w:rsid w:val="009B4A9D"/>
    <w:rsid w:val="009B57FB"/>
    <w:rsid w:val="009B58FA"/>
    <w:rsid w:val="009B687D"/>
    <w:rsid w:val="009B7F17"/>
    <w:rsid w:val="009C00B3"/>
    <w:rsid w:val="009C08C4"/>
    <w:rsid w:val="009C0D47"/>
    <w:rsid w:val="009C1ADC"/>
    <w:rsid w:val="009C1BEB"/>
    <w:rsid w:val="009C1FAD"/>
    <w:rsid w:val="009C21D8"/>
    <w:rsid w:val="009C25DF"/>
    <w:rsid w:val="009C2BAD"/>
    <w:rsid w:val="009C304D"/>
    <w:rsid w:val="009C30AE"/>
    <w:rsid w:val="009C4051"/>
    <w:rsid w:val="009C6075"/>
    <w:rsid w:val="009C6550"/>
    <w:rsid w:val="009C6855"/>
    <w:rsid w:val="009C6A56"/>
    <w:rsid w:val="009C700D"/>
    <w:rsid w:val="009C79AE"/>
    <w:rsid w:val="009C7B53"/>
    <w:rsid w:val="009C7E07"/>
    <w:rsid w:val="009C7EB4"/>
    <w:rsid w:val="009D159B"/>
    <w:rsid w:val="009D206B"/>
    <w:rsid w:val="009D24C3"/>
    <w:rsid w:val="009D24F5"/>
    <w:rsid w:val="009D2E26"/>
    <w:rsid w:val="009D2EE3"/>
    <w:rsid w:val="009D36BB"/>
    <w:rsid w:val="009D4BA7"/>
    <w:rsid w:val="009D54EF"/>
    <w:rsid w:val="009D5B6A"/>
    <w:rsid w:val="009D6C43"/>
    <w:rsid w:val="009D7181"/>
    <w:rsid w:val="009D7420"/>
    <w:rsid w:val="009E0EBE"/>
    <w:rsid w:val="009E19A3"/>
    <w:rsid w:val="009E27CE"/>
    <w:rsid w:val="009E2BF5"/>
    <w:rsid w:val="009E2D93"/>
    <w:rsid w:val="009E328A"/>
    <w:rsid w:val="009E3BC1"/>
    <w:rsid w:val="009E4DC0"/>
    <w:rsid w:val="009E5079"/>
    <w:rsid w:val="009E50BC"/>
    <w:rsid w:val="009E52D3"/>
    <w:rsid w:val="009E5B00"/>
    <w:rsid w:val="009E618B"/>
    <w:rsid w:val="009E641D"/>
    <w:rsid w:val="009E7F61"/>
    <w:rsid w:val="009F0660"/>
    <w:rsid w:val="009F1062"/>
    <w:rsid w:val="009F1217"/>
    <w:rsid w:val="009F1E14"/>
    <w:rsid w:val="009F20DB"/>
    <w:rsid w:val="009F2605"/>
    <w:rsid w:val="009F2616"/>
    <w:rsid w:val="009F2764"/>
    <w:rsid w:val="009F27B1"/>
    <w:rsid w:val="009F2A23"/>
    <w:rsid w:val="009F3E74"/>
    <w:rsid w:val="009F4541"/>
    <w:rsid w:val="009F507F"/>
    <w:rsid w:val="009F528E"/>
    <w:rsid w:val="009F54FD"/>
    <w:rsid w:val="009F5F1B"/>
    <w:rsid w:val="009F5F65"/>
    <w:rsid w:val="009F761D"/>
    <w:rsid w:val="009F76C6"/>
    <w:rsid w:val="009F7BC2"/>
    <w:rsid w:val="00A0021B"/>
    <w:rsid w:val="00A00730"/>
    <w:rsid w:val="00A009E0"/>
    <w:rsid w:val="00A019F1"/>
    <w:rsid w:val="00A028EC"/>
    <w:rsid w:val="00A03F21"/>
    <w:rsid w:val="00A047B4"/>
    <w:rsid w:val="00A0561F"/>
    <w:rsid w:val="00A05EBF"/>
    <w:rsid w:val="00A06710"/>
    <w:rsid w:val="00A06E5B"/>
    <w:rsid w:val="00A0757A"/>
    <w:rsid w:val="00A079AF"/>
    <w:rsid w:val="00A07F4D"/>
    <w:rsid w:val="00A1175F"/>
    <w:rsid w:val="00A1184D"/>
    <w:rsid w:val="00A11E99"/>
    <w:rsid w:val="00A126DF"/>
    <w:rsid w:val="00A128B7"/>
    <w:rsid w:val="00A12B2D"/>
    <w:rsid w:val="00A13664"/>
    <w:rsid w:val="00A13B7B"/>
    <w:rsid w:val="00A13CE7"/>
    <w:rsid w:val="00A13EDF"/>
    <w:rsid w:val="00A144A5"/>
    <w:rsid w:val="00A14AEE"/>
    <w:rsid w:val="00A14C0C"/>
    <w:rsid w:val="00A15A0A"/>
    <w:rsid w:val="00A15C61"/>
    <w:rsid w:val="00A1628F"/>
    <w:rsid w:val="00A164B6"/>
    <w:rsid w:val="00A17ED9"/>
    <w:rsid w:val="00A202F1"/>
    <w:rsid w:val="00A2067A"/>
    <w:rsid w:val="00A20F77"/>
    <w:rsid w:val="00A21026"/>
    <w:rsid w:val="00A21364"/>
    <w:rsid w:val="00A21BC8"/>
    <w:rsid w:val="00A21D74"/>
    <w:rsid w:val="00A225F5"/>
    <w:rsid w:val="00A22F04"/>
    <w:rsid w:val="00A22F76"/>
    <w:rsid w:val="00A22FD8"/>
    <w:rsid w:val="00A23FD5"/>
    <w:rsid w:val="00A244CB"/>
    <w:rsid w:val="00A25429"/>
    <w:rsid w:val="00A25715"/>
    <w:rsid w:val="00A25787"/>
    <w:rsid w:val="00A2680A"/>
    <w:rsid w:val="00A26FA5"/>
    <w:rsid w:val="00A27C14"/>
    <w:rsid w:val="00A27C71"/>
    <w:rsid w:val="00A27FA1"/>
    <w:rsid w:val="00A3007D"/>
    <w:rsid w:val="00A300C6"/>
    <w:rsid w:val="00A307BB"/>
    <w:rsid w:val="00A31A79"/>
    <w:rsid w:val="00A33798"/>
    <w:rsid w:val="00A34457"/>
    <w:rsid w:val="00A35CB5"/>
    <w:rsid w:val="00A36C10"/>
    <w:rsid w:val="00A36CBA"/>
    <w:rsid w:val="00A36EE7"/>
    <w:rsid w:val="00A36FFF"/>
    <w:rsid w:val="00A37543"/>
    <w:rsid w:val="00A4031B"/>
    <w:rsid w:val="00A40DDC"/>
    <w:rsid w:val="00A416AD"/>
    <w:rsid w:val="00A41B75"/>
    <w:rsid w:val="00A4236B"/>
    <w:rsid w:val="00A43BBA"/>
    <w:rsid w:val="00A451CD"/>
    <w:rsid w:val="00A4606B"/>
    <w:rsid w:val="00A460EC"/>
    <w:rsid w:val="00A46158"/>
    <w:rsid w:val="00A46421"/>
    <w:rsid w:val="00A46A31"/>
    <w:rsid w:val="00A46F88"/>
    <w:rsid w:val="00A47127"/>
    <w:rsid w:val="00A471AE"/>
    <w:rsid w:val="00A479CD"/>
    <w:rsid w:val="00A47E3C"/>
    <w:rsid w:val="00A50040"/>
    <w:rsid w:val="00A500DA"/>
    <w:rsid w:val="00A50BDD"/>
    <w:rsid w:val="00A50CD9"/>
    <w:rsid w:val="00A51374"/>
    <w:rsid w:val="00A5172E"/>
    <w:rsid w:val="00A52387"/>
    <w:rsid w:val="00A52A9F"/>
    <w:rsid w:val="00A53013"/>
    <w:rsid w:val="00A534F7"/>
    <w:rsid w:val="00A53621"/>
    <w:rsid w:val="00A536D8"/>
    <w:rsid w:val="00A547B9"/>
    <w:rsid w:val="00A550A0"/>
    <w:rsid w:val="00A5526E"/>
    <w:rsid w:val="00A5529A"/>
    <w:rsid w:val="00A55A3B"/>
    <w:rsid w:val="00A55F7C"/>
    <w:rsid w:val="00A56004"/>
    <w:rsid w:val="00A566C4"/>
    <w:rsid w:val="00A5703F"/>
    <w:rsid w:val="00A60051"/>
    <w:rsid w:val="00A6095F"/>
    <w:rsid w:val="00A61124"/>
    <w:rsid w:val="00A61D50"/>
    <w:rsid w:val="00A620C3"/>
    <w:rsid w:val="00A6212B"/>
    <w:rsid w:val="00A6372C"/>
    <w:rsid w:val="00A63A45"/>
    <w:rsid w:val="00A6418D"/>
    <w:rsid w:val="00A65085"/>
    <w:rsid w:val="00A65DCB"/>
    <w:rsid w:val="00A66550"/>
    <w:rsid w:val="00A66B9D"/>
    <w:rsid w:val="00A6773E"/>
    <w:rsid w:val="00A67AFB"/>
    <w:rsid w:val="00A7059D"/>
    <w:rsid w:val="00A711FB"/>
    <w:rsid w:val="00A714CD"/>
    <w:rsid w:val="00A71A54"/>
    <w:rsid w:val="00A71D94"/>
    <w:rsid w:val="00A72876"/>
    <w:rsid w:val="00A72A36"/>
    <w:rsid w:val="00A72D31"/>
    <w:rsid w:val="00A73097"/>
    <w:rsid w:val="00A7352E"/>
    <w:rsid w:val="00A73CD1"/>
    <w:rsid w:val="00A73E4E"/>
    <w:rsid w:val="00A75DCB"/>
    <w:rsid w:val="00A767D3"/>
    <w:rsid w:val="00A76BD2"/>
    <w:rsid w:val="00A80198"/>
    <w:rsid w:val="00A80273"/>
    <w:rsid w:val="00A8183A"/>
    <w:rsid w:val="00A823B2"/>
    <w:rsid w:val="00A827B7"/>
    <w:rsid w:val="00A82AD9"/>
    <w:rsid w:val="00A84B71"/>
    <w:rsid w:val="00A84C5C"/>
    <w:rsid w:val="00A84D31"/>
    <w:rsid w:val="00A84F65"/>
    <w:rsid w:val="00A85595"/>
    <w:rsid w:val="00A85871"/>
    <w:rsid w:val="00A86051"/>
    <w:rsid w:val="00A86096"/>
    <w:rsid w:val="00A8625F"/>
    <w:rsid w:val="00A864A6"/>
    <w:rsid w:val="00A8708E"/>
    <w:rsid w:val="00A871DE"/>
    <w:rsid w:val="00A87AB4"/>
    <w:rsid w:val="00A87BB3"/>
    <w:rsid w:val="00A9014F"/>
    <w:rsid w:val="00A90151"/>
    <w:rsid w:val="00A90256"/>
    <w:rsid w:val="00A90B2A"/>
    <w:rsid w:val="00A917FC"/>
    <w:rsid w:val="00A92210"/>
    <w:rsid w:val="00A92915"/>
    <w:rsid w:val="00A9359B"/>
    <w:rsid w:val="00A935BE"/>
    <w:rsid w:val="00A93F8C"/>
    <w:rsid w:val="00A94148"/>
    <w:rsid w:val="00A949F8"/>
    <w:rsid w:val="00A951EA"/>
    <w:rsid w:val="00A9545C"/>
    <w:rsid w:val="00A95CDE"/>
    <w:rsid w:val="00A95E1B"/>
    <w:rsid w:val="00A970A6"/>
    <w:rsid w:val="00A971BC"/>
    <w:rsid w:val="00A971F0"/>
    <w:rsid w:val="00AA072A"/>
    <w:rsid w:val="00AA0BDD"/>
    <w:rsid w:val="00AA163B"/>
    <w:rsid w:val="00AA1BE2"/>
    <w:rsid w:val="00AA1D91"/>
    <w:rsid w:val="00AA286F"/>
    <w:rsid w:val="00AA2BFD"/>
    <w:rsid w:val="00AA2C2E"/>
    <w:rsid w:val="00AA31E5"/>
    <w:rsid w:val="00AA3569"/>
    <w:rsid w:val="00AA59DE"/>
    <w:rsid w:val="00AA5F16"/>
    <w:rsid w:val="00AA6E03"/>
    <w:rsid w:val="00AA7062"/>
    <w:rsid w:val="00AA7877"/>
    <w:rsid w:val="00AA7951"/>
    <w:rsid w:val="00AB0D04"/>
    <w:rsid w:val="00AB0EC4"/>
    <w:rsid w:val="00AB0FA7"/>
    <w:rsid w:val="00AB10F4"/>
    <w:rsid w:val="00AB1160"/>
    <w:rsid w:val="00AB1F6A"/>
    <w:rsid w:val="00AB2D17"/>
    <w:rsid w:val="00AB2D3E"/>
    <w:rsid w:val="00AB34AD"/>
    <w:rsid w:val="00AB37F7"/>
    <w:rsid w:val="00AB3864"/>
    <w:rsid w:val="00AB44F2"/>
    <w:rsid w:val="00AB46E2"/>
    <w:rsid w:val="00AB550F"/>
    <w:rsid w:val="00AB5588"/>
    <w:rsid w:val="00AB66AE"/>
    <w:rsid w:val="00AB7B8A"/>
    <w:rsid w:val="00AC00BA"/>
    <w:rsid w:val="00AC0951"/>
    <w:rsid w:val="00AC0BFA"/>
    <w:rsid w:val="00AC0DC5"/>
    <w:rsid w:val="00AC1705"/>
    <w:rsid w:val="00AC1D29"/>
    <w:rsid w:val="00AC2609"/>
    <w:rsid w:val="00AC3754"/>
    <w:rsid w:val="00AC4F7C"/>
    <w:rsid w:val="00AC4FAF"/>
    <w:rsid w:val="00AC587D"/>
    <w:rsid w:val="00AC5A70"/>
    <w:rsid w:val="00AC63F4"/>
    <w:rsid w:val="00AC665D"/>
    <w:rsid w:val="00AC66FC"/>
    <w:rsid w:val="00AC6D06"/>
    <w:rsid w:val="00AC74EF"/>
    <w:rsid w:val="00AC750D"/>
    <w:rsid w:val="00AC7867"/>
    <w:rsid w:val="00AC7D52"/>
    <w:rsid w:val="00AD0025"/>
    <w:rsid w:val="00AD1979"/>
    <w:rsid w:val="00AD1AA2"/>
    <w:rsid w:val="00AD1D2B"/>
    <w:rsid w:val="00AD2F0C"/>
    <w:rsid w:val="00AD33E1"/>
    <w:rsid w:val="00AD43EC"/>
    <w:rsid w:val="00AD731A"/>
    <w:rsid w:val="00AD7A30"/>
    <w:rsid w:val="00AD7A63"/>
    <w:rsid w:val="00AD7C71"/>
    <w:rsid w:val="00AE06AB"/>
    <w:rsid w:val="00AE0F1E"/>
    <w:rsid w:val="00AE1173"/>
    <w:rsid w:val="00AE11C5"/>
    <w:rsid w:val="00AE15A3"/>
    <w:rsid w:val="00AE1C18"/>
    <w:rsid w:val="00AE1C92"/>
    <w:rsid w:val="00AE1D72"/>
    <w:rsid w:val="00AE1DFE"/>
    <w:rsid w:val="00AE1E7B"/>
    <w:rsid w:val="00AE2448"/>
    <w:rsid w:val="00AE257F"/>
    <w:rsid w:val="00AE3024"/>
    <w:rsid w:val="00AE3163"/>
    <w:rsid w:val="00AE3212"/>
    <w:rsid w:val="00AE361E"/>
    <w:rsid w:val="00AE3A54"/>
    <w:rsid w:val="00AE3E3E"/>
    <w:rsid w:val="00AE5C3D"/>
    <w:rsid w:val="00AE5EDA"/>
    <w:rsid w:val="00AE60B5"/>
    <w:rsid w:val="00AE67E6"/>
    <w:rsid w:val="00AE6A60"/>
    <w:rsid w:val="00AE6B2E"/>
    <w:rsid w:val="00AE749D"/>
    <w:rsid w:val="00AE78AD"/>
    <w:rsid w:val="00AF1DDE"/>
    <w:rsid w:val="00AF217B"/>
    <w:rsid w:val="00AF28A2"/>
    <w:rsid w:val="00AF2912"/>
    <w:rsid w:val="00AF2C55"/>
    <w:rsid w:val="00AF2ED5"/>
    <w:rsid w:val="00AF3BD9"/>
    <w:rsid w:val="00AF43F7"/>
    <w:rsid w:val="00AF479F"/>
    <w:rsid w:val="00AF48A7"/>
    <w:rsid w:val="00AF4DC4"/>
    <w:rsid w:val="00AF4E2A"/>
    <w:rsid w:val="00AF548B"/>
    <w:rsid w:val="00AF64A2"/>
    <w:rsid w:val="00AF64AB"/>
    <w:rsid w:val="00AF668A"/>
    <w:rsid w:val="00AF6B1B"/>
    <w:rsid w:val="00AF6E56"/>
    <w:rsid w:val="00AF7258"/>
    <w:rsid w:val="00AF72BC"/>
    <w:rsid w:val="00AF7435"/>
    <w:rsid w:val="00B002E0"/>
    <w:rsid w:val="00B00744"/>
    <w:rsid w:val="00B011D9"/>
    <w:rsid w:val="00B0139C"/>
    <w:rsid w:val="00B01744"/>
    <w:rsid w:val="00B044BC"/>
    <w:rsid w:val="00B04AD8"/>
    <w:rsid w:val="00B04C59"/>
    <w:rsid w:val="00B0548C"/>
    <w:rsid w:val="00B05CBE"/>
    <w:rsid w:val="00B062C5"/>
    <w:rsid w:val="00B063B0"/>
    <w:rsid w:val="00B06875"/>
    <w:rsid w:val="00B068B5"/>
    <w:rsid w:val="00B06BB7"/>
    <w:rsid w:val="00B06C96"/>
    <w:rsid w:val="00B06D5F"/>
    <w:rsid w:val="00B07040"/>
    <w:rsid w:val="00B07205"/>
    <w:rsid w:val="00B104D1"/>
    <w:rsid w:val="00B110F3"/>
    <w:rsid w:val="00B11398"/>
    <w:rsid w:val="00B11C93"/>
    <w:rsid w:val="00B11F80"/>
    <w:rsid w:val="00B12600"/>
    <w:rsid w:val="00B128A7"/>
    <w:rsid w:val="00B128C2"/>
    <w:rsid w:val="00B132FF"/>
    <w:rsid w:val="00B14052"/>
    <w:rsid w:val="00B14090"/>
    <w:rsid w:val="00B142A3"/>
    <w:rsid w:val="00B1431B"/>
    <w:rsid w:val="00B1487B"/>
    <w:rsid w:val="00B15F44"/>
    <w:rsid w:val="00B163E7"/>
    <w:rsid w:val="00B16F2A"/>
    <w:rsid w:val="00B17A5B"/>
    <w:rsid w:val="00B17C91"/>
    <w:rsid w:val="00B17DAE"/>
    <w:rsid w:val="00B20CAE"/>
    <w:rsid w:val="00B21879"/>
    <w:rsid w:val="00B22752"/>
    <w:rsid w:val="00B23258"/>
    <w:rsid w:val="00B23497"/>
    <w:rsid w:val="00B23603"/>
    <w:rsid w:val="00B23D6A"/>
    <w:rsid w:val="00B23E0D"/>
    <w:rsid w:val="00B245F3"/>
    <w:rsid w:val="00B24F63"/>
    <w:rsid w:val="00B25788"/>
    <w:rsid w:val="00B268F8"/>
    <w:rsid w:val="00B26B07"/>
    <w:rsid w:val="00B276EB"/>
    <w:rsid w:val="00B27D46"/>
    <w:rsid w:val="00B27D93"/>
    <w:rsid w:val="00B302FA"/>
    <w:rsid w:val="00B303B0"/>
    <w:rsid w:val="00B30469"/>
    <w:rsid w:val="00B304F0"/>
    <w:rsid w:val="00B310DC"/>
    <w:rsid w:val="00B324A8"/>
    <w:rsid w:val="00B32D6C"/>
    <w:rsid w:val="00B339BC"/>
    <w:rsid w:val="00B33AD4"/>
    <w:rsid w:val="00B34048"/>
    <w:rsid w:val="00B3471E"/>
    <w:rsid w:val="00B35180"/>
    <w:rsid w:val="00B355AD"/>
    <w:rsid w:val="00B357DD"/>
    <w:rsid w:val="00B358CD"/>
    <w:rsid w:val="00B36317"/>
    <w:rsid w:val="00B36344"/>
    <w:rsid w:val="00B36767"/>
    <w:rsid w:val="00B36A83"/>
    <w:rsid w:val="00B36D56"/>
    <w:rsid w:val="00B3749D"/>
    <w:rsid w:val="00B40DB4"/>
    <w:rsid w:val="00B410FF"/>
    <w:rsid w:val="00B4121E"/>
    <w:rsid w:val="00B417BE"/>
    <w:rsid w:val="00B418A3"/>
    <w:rsid w:val="00B419F5"/>
    <w:rsid w:val="00B423F9"/>
    <w:rsid w:val="00B430DC"/>
    <w:rsid w:val="00B43733"/>
    <w:rsid w:val="00B43C70"/>
    <w:rsid w:val="00B440C1"/>
    <w:rsid w:val="00B443CC"/>
    <w:rsid w:val="00B443D3"/>
    <w:rsid w:val="00B44B0C"/>
    <w:rsid w:val="00B45AAD"/>
    <w:rsid w:val="00B463EE"/>
    <w:rsid w:val="00B46CDF"/>
    <w:rsid w:val="00B46E2F"/>
    <w:rsid w:val="00B4740F"/>
    <w:rsid w:val="00B4766A"/>
    <w:rsid w:val="00B47787"/>
    <w:rsid w:val="00B50185"/>
    <w:rsid w:val="00B5031C"/>
    <w:rsid w:val="00B507BA"/>
    <w:rsid w:val="00B50A2C"/>
    <w:rsid w:val="00B51197"/>
    <w:rsid w:val="00B51BAC"/>
    <w:rsid w:val="00B51BB8"/>
    <w:rsid w:val="00B5282A"/>
    <w:rsid w:val="00B52C39"/>
    <w:rsid w:val="00B52C42"/>
    <w:rsid w:val="00B52C6B"/>
    <w:rsid w:val="00B53EFF"/>
    <w:rsid w:val="00B53FB0"/>
    <w:rsid w:val="00B5448B"/>
    <w:rsid w:val="00B556CC"/>
    <w:rsid w:val="00B56ADD"/>
    <w:rsid w:val="00B56EE3"/>
    <w:rsid w:val="00B56FA5"/>
    <w:rsid w:val="00B57E3A"/>
    <w:rsid w:val="00B61409"/>
    <w:rsid w:val="00B61595"/>
    <w:rsid w:val="00B61DEC"/>
    <w:rsid w:val="00B62C7D"/>
    <w:rsid w:val="00B6379F"/>
    <w:rsid w:val="00B6453F"/>
    <w:rsid w:val="00B65DAA"/>
    <w:rsid w:val="00B66186"/>
    <w:rsid w:val="00B66229"/>
    <w:rsid w:val="00B6687A"/>
    <w:rsid w:val="00B66B2F"/>
    <w:rsid w:val="00B6733A"/>
    <w:rsid w:val="00B67707"/>
    <w:rsid w:val="00B678BD"/>
    <w:rsid w:val="00B67F1A"/>
    <w:rsid w:val="00B67FC6"/>
    <w:rsid w:val="00B700D2"/>
    <w:rsid w:val="00B701F3"/>
    <w:rsid w:val="00B70292"/>
    <w:rsid w:val="00B70925"/>
    <w:rsid w:val="00B70A9E"/>
    <w:rsid w:val="00B70DD5"/>
    <w:rsid w:val="00B7116D"/>
    <w:rsid w:val="00B71905"/>
    <w:rsid w:val="00B719F3"/>
    <w:rsid w:val="00B71CA2"/>
    <w:rsid w:val="00B71F92"/>
    <w:rsid w:val="00B720EC"/>
    <w:rsid w:val="00B737E0"/>
    <w:rsid w:val="00B741AA"/>
    <w:rsid w:val="00B742E7"/>
    <w:rsid w:val="00B74676"/>
    <w:rsid w:val="00B74F7F"/>
    <w:rsid w:val="00B75679"/>
    <w:rsid w:val="00B75B08"/>
    <w:rsid w:val="00B762CE"/>
    <w:rsid w:val="00B7663C"/>
    <w:rsid w:val="00B76BBE"/>
    <w:rsid w:val="00B7770A"/>
    <w:rsid w:val="00B77E0B"/>
    <w:rsid w:val="00B80CE9"/>
    <w:rsid w:val="00B82920"/>
    <w:rsid w:val="00B82961"/>
    <w:rsid w:val="00B8306E"/>
    <w:rsid w:val="00B83558"/>
    <w:rsid w:val="00B84869"/>
    <w:rsid w:val="00B848ED"/>
    <w:rsid w:val="00B85509"/>
    <w:rsid w:val="00B85647"/>
    <w:rsid w:val="00B86607"/>
    <w:rsid w:val="00B872A0"/>
    <w:rsid w:val="00B877BD"/>
    <w:rsid w:val="00B87859"/>
    <w:rsid w:val="00B90A48"/>
    <w:rsid w:val="00B90E7F"/>
    <w:rsid w:val="00B9112B"/>
    <w:rsid w:val="00B91D47"/>
    <w:rsid w:val="00B91EA0"/>
    <w:rsid w:val="00B9221A"/>
    <w:rsid w:val="00B924F5"/>
    <w:rsid w:val="00B92667"/>
    <w:rsid w:val="00B92B3A"/>
    <w:rsid w:val="00B932CB"/>
    <w:rsid w:val="00B93F2A"/>
    <w:rsid w:val="00B9488A"/>
    <w:rsid w:val="00B94D47"/>
    <w:rsid w:val="00B953E2"/>
    <w:rsid w:val="00B956AC"/>
    <w:rsid w:val="00B96AA6"/>
    <w:rsid w:val="00B96ADC"/>
    <w:rsid w:val="00B96BCF"/>
    <w:rsid w:val="00B9776B"/>
    <w:rsid w:val="00B97FF4"/>
    <w:rsid w:val="00BA02DA"/>
    <w:rsid w:val="00BA0323"/>
    <w:rsid w:val="00BA0AD0"/>
    <w:rsid w:val="00BA171A"/>
    <w:rsid w:val="00BA1E93"/>
    <w:rsid w:val="00BA2349"/>
    <w:rsid w:val="00BA2796"/>
    <w:rsid w:val="00BA2A19"/>
    <w:rsid w:val="00BA2A8F"/>
    <w:rsid w:val="00BA2DE8"/>
    <w:rsid w:val="00BA3539"/>
    <w:rsid w:val="00BA3CB8"/>
    <w:rsid w:val="00BA3DAB"/>
    <w:rsid w:val="00BA3FB0"/>
    <w:rsid w:val="00BA455E"/>
    <w:rsid w:val="00BA4C77"/>
    <w:rsid w:val="00BA5908"/>
    <w:rsid w:val="00BA6542"/>
    <w:rsid w:val="00BA7623"/>
    <w:rsid w:val="00BA7DB0"/>
    <w:rsid w:val="00BB112B"/>
    <w:rsid w:val="00BB1227"/>
    <w:rsid w:val="00BB12F1"/>
    <w:rsid w:val="00BB1D5D"/>
    <w:rsid w:val="00BB201C"/>
    <w:rsid w:val="00BB208C"/>
    <w:rsid w:val="00BB2197"/>
    <w:rsid w:val="00BB45DA"/>
    <w:rsid w:val="00BB4BEB"/>
    <w:rsid w:val="00BB4D9C"/>
    <w:rsid w:val="00BB4DFE"/>
    <w:rsid w:val="00BB52F8"/>
    <w:rsid w:val="00BB5964"/>
    <w:rsid w:val="00BB5BE7"/>
    <w:rsid w:val="00BB67E2"/>
    <w:rsid w:val="00BB6AED"/>
    <w:rsid w:val="00BB7069"/>
    <w:rsid w:val="00BB7A9D"/>
    <w:rsid w:val="00BC0414"/>
    <w:rsid w:val="00BC044C"/>
    <w:rsid w:val="00BC0DCE"/>
    <w:rsid w:val="00BC127C"/>
    <w:rsid w:val="00BC27C7"/>
    <w:rsid w:val="00BC397E"/>
    <w:rsid w:val="00BC4556"/>
    <w:rsid w:val="00BC46FC"/>
    <w:rsid w:val="00BC4840"/>
    <w:rsid w:val="00BC5307"/>
    <w:rsid w:val="00BC548A"/>
    <w:rsid w:val="00BC550D"/>
    <w:rsid w:val="00BC6606"/>
    <w:rsid w:val="00BC6EDB"/>
    <w:rsid w:val="00BC74C0"/>
    <w:rsid w:val="00BC7C1B"/>
    <w:rsid w:val="00BD05E5"/>
    <w:rsid w:val="00BD190D"/>
    <w:rsid w:val="00BD1B95"/>
    <w:rsid w:val="00BD2312"/>
    <w:rsid w:val="00BD237E"/>
    <w:rsid w:val="00BD2D19"/>
    <w:rsid w:val="00BD2F7E"/>
    <w:rsid w:val="00BD3A75"/>
    <w:rsid w:val="00BD46A0"/>
    <w:rsid w:val="00BD4D42"/>
    <w:rsid w:val="00BD4DCD"/>
    <w:rsid w:val="00BD552B"/>
    <w:rsid w:val="00BD5F6D"/>
    <w:rsid w:val="00BD6F24"/>
    <w:rsid w:val="00BD718D"/>
    <w:rsid w:val="00BD7431"/>
    <w:rsid w:val="00BD7F25"/>
    <w:rsid w:val="00BE052E"/>
    <w:rsid w:val="00BE0596"/>
    <w:rsid w:val="00BE0BDB"/>
    <w:rsid w:val="00BE0F78"/>
    <w:rsid w:val="00BE1C33"/>
    <w:rsid w:val="00BE1E79"/>
    <w:rsid w:val="00BE254D"/>
    <w:rsid w:val="00BE296E"/>
    <w:rsid w:val="00BE2F88"/>
    <w:rsid w:val="00BE360B"/>
    <w:rsid w:val="00BE3E52"/>
    <w:rsid w:val="00BE42BF"/>
    <w:rsid w:val="00BE4614"/>
    <w:rsid w:val="00BE46D2"/>
    <w:rsid w:val="00BE486D"/>
    <w:rsid w:val="00BE4D7E"/>
    <w:rsid w:val="00BE523F"/>
    <w:rsid w:val="00BE5E7E"/>
    <w:rsid w:val="00BE69EB"/>
    <w:rsid w:val="00BE7480"/>
    <w:rsid w:val="00BE7888"/>
    <w:rsid w:val="00BF00E2"/>
    <w:rsid w:val="00BF095C"/>
    <w:rsid w:val="00BF0D85"/>
    <w:rsid w:val="00BF0EF2"/>
    <w:rsid w:val="00BF11A0"/>
    <w:rsid w:val="00BF1584"/>
    <w:rsid w:val="00BF15CC"/>
    <w:rsid w:val="00BF198F"/>
    <w:rsid w:val="00BF1FD6"/>
    <w:rsid w:val="00BF285A"/>
    <w:rsid w:val="00BF38DF"/>
    <w:rsid w:val="00BF3EC8"/>
    <w:rsid w:val="00BF40F4"/>
    <w:rsid w:val="00BF4D8A"/>
    <w:rsid w:val="00BF50A1"/>
    <w:rsid w:val="00BF55D2"/>
    <w:rsid w:val="00BF61B2"/>
    <w:rsid w:val="00BF6880"/>
    <w:rsid w:val="00BF68C8"/>
    <w:rsid w:val="00BF6AE5"/>
    <w:rsid w:val="00BF791E"/>
    <w:rsid w:val="00C006CE"/>
    <w:rsid w:val="00C00925"/>
    <w:rsid w:val="00C016A3"/>
    <w:rsid w:val="00C016B2"/>
    <w:rsid w:val="00C0181D"/>
    <w:rsid w:val="00C01E3D"/>
    <w:rsid w:val="00C01E68"/>
    <w:rsid w:val="00C020FC"/>
    <w:rsid w:val="00C0223D"/>
    <w:rsid w:val="00C0278E"/>
    <w:rsid w:val="00C03046"/>
    <w:rsid w:val="00C038FA"/>
    <w:rsid w:val="00C03CEA"/>
    <w:rsid w:val="00C03DAD"/>
    <w:rsid w:val="00C046FB"/>
    <w:rsid w:val="00C047D1"/>
    <w:rsid w:val="00C04EED"/>
    <w:rsid w:val="00C05AA7"/>
    <w:rsid w:val="00C060FF"/>
    <w:rsid w:val="00C06130"/>
    <w:rsid w:val="00C066DB"/>
    <w:rsid w:val="00C06DFB"/>
    <w:rsid w:val="00C075A8"/>
    <w:rsid w:val="00C075CC"/>
    <w:rsid w:val="00C1008C"/>
    <w:rsid w:val="00C10878"/>
    <w:rsid w:val="00C10AF2"/>
    <w:rsid w:val="00C11115"/>
    <w:rsid w:val="00C1189C"/>
    <w:rsid w:val="00C11924"/>
    <w:rsid w:val="00C137D8"/>
    <w:rsid w:val="00C138F6"/>
    <w:rsid w:val="00C13B76"/>
    <w:rsid w:val="00C13FAC"/>
    <w:rsid w:val="00C14016"/>
    <w:rsid w:val="00C1483F"/>
    <w:rsid w:val="00C14C8A"/>
    <w:rsid w:val="00C153AF"/>
    <w:rsid w:val="00C154F2"/>
    <w:rsid w:val="00C15615"/>
    <w:rsid w:val="00C15719"/>
    <w:rsid w:val="00C16777"/>
    <w:rsid w:val="00C17449"/>
    <w:rsid w:val="00C1751F"/>
    <w:rsid w:val="00C17571"/>
    <w:rsid w:val="00C17B40"/>
    <w:rsid w:val="00C20FD1"/>
    <w:rsid w:val="00C217EA"/>
    <w:rsid w:val="00C21B5E"/>
    <w:rsid w:val="00C21E67"/>
    <w:rsid w:val="00C221A0"/>
    <w:rsid w:val="00C23126"/>
    <w:rsid w:val="00C236D2"/>
    <w:rsid w:val="00C237AD"/>
    <w:rsid w:val="00C238D1"/>
    <w:rsid w:val="00C23924"/>
    <w:rsid w:val="00C23AD6"/>
    <w:rsid w:val="00C24162"/>
    <w:rsid w:val="00C2431B"/>
    <w:rsid w:val="00C24419"/>
    <w:rsid w:val="00C246DE"/>
    <w:rsid w:val="00C24EB7"/>
    <w:rsid w:val="00C25C46"/>
    <w:rsid w:val="00C26139"/>
    <w:rsid w:val="00C2613B"/>
    <w:rsid w:val="00C26AEE"/>
    <w:rsid w:val="00C27A0D"/>
    <w:rsid w:val="00C27A56"/>
    <w:rsid w:val="00C304AA"/>
    <w:rsid w:val="00C30DCD"/>
    <w:rsid w:val="00C31307"/>
    <w:rsid w:val="00C31E23"/>
    <w:rsid w:val="00C326F9"/>
    <w:rsid w:val="00C3298F"/>
    <w:rsid w:val="00C32E66"/>
    <w:rsid w:val="00C32EE3"/>
    <w:rsid w:val="00C32F6F"/>
    <w:rsid w:val="00C32FFD"/>
    <w:rsid w:val="00C331A2"/>
    <w:rsid w:val="00C33B39"/>
    <w:rsid w:val="00C33FCD"/>
    <w:rsid w:val="00C345FE"/>
    <w:rsid w:val="00C35231"/>
    <w:rsid w:val="00C36FFC"/>
    <w:rsid w:val="00C372B3"/>
    <w:rsid w:val="00C375D5"/>
    <w:rsid w:val="00C37A29"/>
    <w:rsid w:val="00C37CCD"/>
    <w:rsid w:val="00C40967"/>
    <w:rsid w:val="00C412A1"/>
    <w:rsid w:val="00C41363"/>
    <w:rsid w:val="00C4183A"/>
    <w:rsid w:val="00C42092"/>
    <w:rsid w:val="00C421DC"/>
    <w:rsid w:val="00C42320"/>
    <w:rsid w:val="00C42402"/>
    <w:rsid w:val="00C42854"/>
    <w:rsid w:val="00C43B56"/>
    <w:rsid w:val="00C43EEC"/>
    <w:rsid w:val="00C442A6"/>
    <w:rsid w:val="00C4466C"/>
    <w:rsid w:val="00C46CE0"/>
    <w:rsid w:val="00C4725F"/>
    <w:rsid w:val="00C47534"/>
    <w:rsid w:val="00C505E9"/>
    <w:rsid w:val="00C509B0"/>
    <w:rsid w:val="00C50CFE"/>
    <w:rsid w:val="00C50D54"/>
    <w:rsid w:val="00C514BF"/>
    <w:rsid w:val="00C5197C"/>
    <w:rsid w:val="00C51F00"/>
    <w:rsid w:val="00C52C28"/>
    <w:rsid w:val="00C55982"/>
    <w:rsid w:val="00C5608B"/>
    <w:rsid w:val="00C5649A"/>
    <w:rsid w:val="00C57648"/>
    <w:rsid w:val="00C57842"/>
    <w:rsid w:val="00C60352"/>
    <w:rsid w:val="00C60486"/>
    <w:rsid w:val="00C6180C"/>
    <w:rsid w:val="00C61CED"/>
    <w:rsid w:val="00C626D8"/>
    <w:rsid w:val="00C627BA"/>
    <w:rsid w:val="00C63957"/>
    <w:rsid w:val="00C63CEC"/>
    <w:rsid w:val="00C645D8"/>
    <w:rsid w:val="00C6477D"/>
    <w:rsid w:val="00C648E3"/>
    <w:rsid w:val="00C64947"/>
    <w:rsid w:val="00C65245"/>
    <w:rsid w:val="00C65255"/>
    <w:rsid w:val="00C656C9"/>
    <w:rsid w:val="00C65E4B"/>
    <w:rsid w:val="00C65F5D"/>
    <w:rsid w:val="00C66A1F"/>
    <w:rsid w:val="00C67328"/>
    <w:rsid w:val="00C67CC8"/>
    <w:rsid w:val="00C70638"/>
    <w:rsid w:val="00C70B42"/>
    <w:rsid w:val="00C70D80"/>
    <w:rsid w:val="00C70EFC"/>
    <w:rsid w:val="00C71688"/>
    <w:rsid w:val="00C721C2"/>
    <w:rsid w:val="00C73198"/>
    <w:rsid w:val="00C73D38"/>
    <w:rsid w:val="00C74001"/>
    <w:rsid w:val="00C74740"/>
    <w:rsid w:val="00C74A97"/>
    <w:rsid w:val="00C755BE"/>
    <w:rsid w:val="00C75C56"/>
    <w:rsid w:val="00C76606"/>
    <w:rsid w:val="00C76B7F"/>
    <w:rsid w:val="00C76F55"/>
    <w:rsid w:val="00C771DD"/>
    <w:rsid w:val="00C77450"/>
    <w:rsid w:val="00C81BCE"/>
    <w:rsid w:val="00C822A4"/>
    <w:rsid w:val="00C82609"/>
    <w:rsid w:val="00C82B78"/>
    <w:rsid w:val="00C82BF1"/>
    <w:rsid w:val="00C8320C"/>
    <w:rsid w:val="00C83764"/>
    <w:rsid w:val="00C849D1"/>
    <w:rsid w:val="00C85305"/>
    <w:rsid w:val="00C8678A"/>
    <w:rsid w:val="00C867BB"/>
    <w:rsid w:val="00C87274"/>
    <w:rsid w:val="00C87490"/>
    <w:rsid w:val="00C9029E"/>
    <w:rsid w:val="00C90487"/>
    <w:rsid w:val="00C91464"/>
    <w:rsid w:val="00C91E8B"/>
    <w:rsid w:val="00C91FB0"/>
    <w:rsid w:val="00C92B7D"/>
    <w:rsid w:val="00C92D89"/>
    <w:rsid w:val="00C932F3"/>
    <w:rsid w:val="00C94196"/>
    <w:rsid w:val="00C94500"/>
    <w:rsid w:val="00C94DE9"/>
    <w:rsid w:val="00C953F2"/>
    <w:rsid w:val="00C9576A"/>
    <w:rsid w:val="00C95832"/>
    <w:rsid w:val="00C96066"/>
    <w:rsid w:val="00C96184"/>
    <w:rsid w:val="00C9718A"/>
    <w:rsid w:val="00C9759D"/>
    <w:rsid w:val="00C97A85"/>
    <w:rsid w:val="00C97B21"/>
    <w:rsid w:val="00CA0036"/>
    <w:rsid w:val="00CA0785"/>
    <w:rsid w:val="00CA0B3F"/>
    <w:rsid w:val="00CA0D5D"/>
    <w:rsid w:val="00CA14BF"/>
    <w:rsid w:val="00CA21B5"/>
    <w:rsid w:val="00CA3B55"/>
    <w:rsid w:val="00CA415C"/>
    <w:rsid w:val="00CA455B"/>
    <w:rsid w:val="00CA4B86"/>
    <w:rsid w:val="00CA5789"/>
    <w:rsid w:val="00CA5C77"/>
    <w:rsid w:val="00CA6A1B"/>
    <w:rsid w:val="00CA6DD9"/>
    <w:rsid w:val="00CA742A"/>
    <w:rsid w:val="00CA7A14"/>
    <w:rsid w:val="00CA7F87"/>
    <w:rsid w:val="00CB151E"/>
    <w:rsid w:val="00CB18BB"/>
    <w:rsid w:val="00CB2628"/>
    <w:rsid w:val="00CB2742"/>
    <w:rsid w:val="00CB28B3"/>
    <w:rsid w:val="00CB294B"/>
    <w:rsid w:val="00CB3A71"/>
    <w:rsid w:val="00CB401D"/>
    <w:rsid w:val="00CB50F1"/>
    <w:rsid w:val="00CB51AB"/>
    <w:rsid w:val="00CB51C5"/>
    <w:rsid w:val="00CB5299"/>
    <w:rsid w:val="00CB5328"/>
    <w:rsid w:val="00CB56EC"/>
    <w:rsid w:val="00CB57DE"/>
    <w:rsid w:val="00CB5BEB"/>
    <w:rsid w:val="00CC1500"/>
    <w:rsid w:val="00CC2813"/>
    <w:rsid w:val="00CC3DE4"/>
    <w:rsid w:val="00CC41C5"/>
    <w:rsid w:val="00CC41F1"/>
    <w:rsid w:val="00CC459B"/>
    <w:rsid w:val="00CC5F5B"/>
    <w:rsid w:val="00CC636A"/>
    <w:rsid w:val="00CD01C1"/>
    <w:rsid w:val="00CD03A7"/>
    <w:rsid w:val="00CD0556"/>
    <w:rsid w:val="00CD0AE3"/>
    <w:rsid w:val="00CD0BA4"/>
    <w:rsid w:val="00CD0ECA"/>
    <w:rsid w:val="00CD1489"/>
    <w:rsid w:val="00CD1648"/>
    <w:rsid w:val="00CD1917"/>
    <w:rsid w:val="00CD1EC2"/>
    <w:rsid w:val="00CD1FEB"/>
    <w:rsid w:val="00CD21AE"/>
    <w:rsid w:val="00CD2433"/>
    <w:rsid w:val="00CD2559"/>
    <w:rsid w:val="00CD26BE"/>
    <w:rsid w:val="00CD4C59"/>
    <w:rsid w:val="00CD581D"/>
    <w:rsid w:val="00CD61EB"/>
    <w:rsid w:val="00CD701E"/>
    <w:rsid w:val="00CD70EE"/>
    <w:rsid w:val="00CD7CB9"/>
    <w:rsid w:val="00CD7F44"/>
    <w:rsid w:val="00CE27B0"/>
    <w:rsid w:val="00CE2D81"/>
    <w:rsid w:val="00CE2E17"/>
    <w:rsid w:val="00CE328E"/>
    <w:rsid w:val="00CE3FCA"/>
    <w:rsid w:val="00CE43AF"/>
    <w:rsid w:val="00CE44DD"/>
    <w:rsid w:val="00CE499C"/>
    <w:rsid w:val="00CE4D3A"/>
    <w:rsid w:val="00CE50CD"/>
    <w:rsid w:val="00CE53AA"/>
    <w:rsid w:val="00CE592E"/>
    <w:rsid w:val="00CE64FD"/>
    <w:rsid w:val="00CE67E9"/>
    <w:rsid w:val="00CE68CF"/>
    <w:rsid w:val="00CE7236"/>
    <w:rsid w:val="00CE72C4"/>
    <w:rsid w:val="00CE7E77"/>
    <w:rsid w:val="00CE7F4F"/>
    <w:rsid w:val="00CF02F0"/>
    <w:rsid w:val="00CF0A4E"/>
    <w:rsid w:val="00CF0BAD"/>
    <w:rsid w:val="00CF0C9F"/>
    <w:rsid w:val="00CF1676"/>
    <w:rsid w:val="00CF1E97"/>
    <w:rsid w:val="00CF294E"/>
    <w:rsid w:val="00CF3643"/>
    <w:rsid w:val="00CF4BC6"/>
    <w:rsid w:val="00CF4D79"/>
    <w:rsid w:val="00CF4FBA"/>
    <w:rsid w:val="00CF51E4"/>
    <w:rsid w:val="00CF525D"/>
    <w:rsid w:val="00CF5E38"/>
    <w:rsid w:val="00CF6C60"/>
    <w:rsid w:val="00CF7A6E"/>
    <w:rsid w:val="00CF7F06"/>
    <w:rsid w:val="00D0005E"/>
    <w:rsid w:val="00D00553"/>
    <w:rsid w:val="00D01069"/>
    <w:rsid w:val="00D01598"/>
    <w:rsid w:val="00D01615"/>
    <w:rsid w:val="00D0188D"/>
    <w:rsid w:val="00D01C19"/>
    <w:rsid w:val="00D02306"/>
    <w:rsid w:val="00D023DF"/>
    <w:rsid w:val="00D02433"/>
    <w:rsid w:val="00D02BD7"/>
    <w:rsid w:val="00D0319D"/>
    <w:rsid w:val="00D0352E"/>
    <w:rsid w:val="00D037A8"/>
    <w:rsid w:val="00D03DB8"/>
    <w:rsid w:val="00D03F0E"/>
    <w:rsid w:val="00D04218"/>
    <w:rsid w:val="00D04EC3"/>
    <w:rsid w:val="00D0558D"/>
    <w:rsid w:val="00D05C9B"/>
    <w:rsid w:val="00D0637A"/>
    <w:rsid w:val="00D0707A"/>
    <w:rsid w:val="00D0778E"/>
    <w:rsid w:val="00D07D26"/>
    <w:rsid w:val="00D10F14"/>
    <w:rsid w:val="00D11970"/>
    <w:rsid w:val="00D125DC"/>
    <w:rsid w:val="00D125F6"/>
    <w:rsid w:val="00D12D1F"/>
    <w:rsid w:val="00D14D52"/>
    <w:rsid w:val="00D14E41"/>
    <w:rsid w:val="00D15113"/>
    <w:rsid w:val="00D15479"/>
    <w:rsid w:val="00D156E5"/>
    <w:rsid w:val="00D15B1D"/>
    <w:rsid w:val="00D15B7C"/>
    <w:rsid w:val="00D15B7D"/>
    <w:rsid w:val="00D16111"/>
    <w:rsid w:val="00D16F74"/>
    <w:rsid w:val="00D178BC"/>
    <w:rsid w:val="00D17E69"/>
    <w:rsid w:val="00D20376"/>
    <w:rsid w:val="00D20AF3"/>
    <w:rsid w:val="00D20B05"/>
    <w:rsid w:val="00D21547"/>
    <w:rsid w:val="00D21D17"/>
    <w:rsid w:val="00D21E2A"/>
    <w:rsid w:val="00D22011"/>
    <w:rsid w:val="00D22849"/>
    <w:rsid w:val="00D23016"/>
    <w:rsid w:val="00D2368F"/>
    <w:rsid w:val="00D24093"/>
    <w:rsid w:val="00D240BD"/>
    <w:rsid w:val="00D25146"/>
    <w:rsid w:val="00D253A4"/>
    <w:rsid w:val="00D26263"/>
    <w:rsid w:val="00D26511"/>
    <w:rsid w:val="00D270B3"/>
    <w:rsid w:val="00D3058A"/>
    <w:rsid w:val="00D30672"/>
    <w:rsid w:val="00D30791"/>
    <w:rsid w:val="00D308D0"/>
    <w:rsid w:val="00D30FFB"/>
    <w:rsid w:val="00D313BA"/>
    <w:rsid w:val="00D31E3E"/>
    <w:rsid w:val="00D32051"/>
    <w:rsid w:val="00D32318"/>
    <w:rsid w:val="00D330CA"/>
    <w:rsid w:val="00D3316D"/>
    <w:rsid w:val="00D3377F"/>
    <w:rsid w:val="00D3544E"/>
    <w:rsid w:val="00D35FD4"/>
    <w:rsid w:val="00D369D7"/>
    <w:rsid w:val="00D37220"/>
    <w:rsid w:val="00D372C7"/>
    <w:rsid w:val="00D373B6"/>
    <w:rsid w:val="00D376A7"/>
    <w:rsid w:val="00D37882"/>
    <w:rsid w:val="00D37BF4"/>
    <w:rsid w:val="00D40865"/>
    <w:rsid w:val="00D41232"/>
    <w:rsid w:val="00D41728"/>
    <w:rsid w:val="00D41868"/>
    <w:rsid w:val="00D41A7E"/>
    <w:rsid w:val="00D41F06"/>
    <w:rsid w:val="00D4202D"/>
    <w:rsid w:val="00D42BFC"/>
    <w:rsid w:val="00D42CED"/>
    <w:rsid w:val="00D42F24"/>
    <w:rsid w:val="00D437C3"/>
    <w:rsid w:val="00D4498D"/>
    <w:rsid w:val="00D44D66"/>
    <w:rsid w:val="00D44FFB"/>
    <w:rsid w:val="00D458D1"/>
    <w:rsid w:val="00D45EAF"/>
    <w:rsid w:val="00D46FD9"/>
    <w:rsid w:val="00D47210"/>
    <w:rsid w:val="00D478F9"/>
    <w:rsid w:val="00D47979"/>
    <w:rsid w:val="00D47AEE"/>
    <w:rsid w:val="00D50547"/>
    <w:rsid w:val="00D508AC"/>
    <w:rsid w:val="00D530C8"/>
    <w:rsid w:val="00D535ED"/>
    <w:rsid w:val="00D54F6F"/>
    <w:rsid w:val="00D55000"/>
    <w:rsid w:val="00D557D5"/>
    <w:rsid w:val="00D55A45"/>
    <w:rsid w:val="00D55B1B"/>
    <w:rsid w:val="00D55CC0"/>
    <w:rsid w:val="00D56078"/>
    <w:rsid w:val="00D5683E"/>
    <w:rsid w:val="00D5711D"/>
    <w:rsid w:val="00D57514"/>
    <w:rsid w:val="00D57B77"/>
    <w:rsid w:val="00D604E9"/>
    <w:rsid w:val="00D60649"/>
    <w:rsid w:val="00D6091D"/>
    <w:rsid w:val="00D60D2C"/>
    <w:rsid w:val="00D61E88"/>
    <w:rsid w:val="00D6285A"/>
    <w:rsid w:val="00D62963"/>
    <w:rsid w:val="00D62EB7"/>
    <w:rsid w:val="00D641CE"/>
    <w:rsid w:val="00D64934"/>
    <w:rsid w:val="00D6497E"/>
    <w:rsid w:val="00D66028"/>
    <w:rsid w:val="00D67411"/>
    <w:rsid w:val="00D67A3B"/>
    <w:rsid w:val="00D70266"/>
    <w:rsid w:val="00D709F5"/>
    <w:rsid w:val="00D71095"/>
    <w:rsid w:val="00D715EA"/>
    <w:rsid w:val="00D71F38"/>
    <w:rsid w:val="00D73AAC"/>
    <w:rsid w:val="00D73D6C"/>
    <w:rsid w:val="00D7466F"/>
    <w:rsid w:val="00D7504C"/>
    <w:rsid w:val="00D750DD"/>
    <w:rsid w:val="00D75965"/>
    <w:rsid w:val="00D75AA0"/>
    <w:rsid w:val="00D75B61"/>
    <w:rsid w:val="00D76366"/>
    <w:rsid w:val="00D76454"/>
    <w:rsid w:val="00D76607"/>
    <w:rsid w:val="00D76FA7"/>
    <w:rsid w:val="00D77A27"/>
    <w:rsid w:val="00D80121"/>
    <w:rsid w:val="00D801A5"/>
    <w:rsid w:val="00D80585"/>
    <w:rsid w:val="00D8081A"/>
    <w:rsid w:val="00D81629"/>
    <w:rsid w:val="00D81F7A"/>
    <w:rsid w:val="00D83923"/>
    <w:rsid w:val="00D848E3"/>
    <w:rsid w:val="00D853CA"/>
    <w:rsid w:val="00D858E3"/>
    <w:rsid w:val="00D85B10"/>
    <w:rsid w:val="00D85D5F"/>
    <w:rsid w:val="00D85D65"/>
    <w:rsid w:val="00D85E72"/>
    <w:rsid w:val="00D861CE"/>
    <w:rsid w:val="00D86744"/>
    <w:rsid w:val="00D87DC0"/>
    <w:rsid w:val="00D906C6"/>
    <w:rsid w:val="00D914E0"/>
    <w:rsid w:val="00D91B13"/>
    <w:rsid w:val="00D91E21"/>
    <w:rsid w:val="00D92E72"/>
    <w:rsid w:val="00D93A32"/>
    <w:rsid w:val="00D93ECD"/>
    <w:rsid w:val="00D9419D"/>
    <w:rsid w:val="00D94E6A"/>
    <w:rsid w:val="00D95217"/>
    <w:rsid w:val="00D956C8"/>
    <w:rsid w:val="00D961E2"/>
    <w:rsid w:val="00D96377"/>
    <w:rsid w:val="00D963BD"/>
    <w:rsid w:val="00D96C6C"/>
    <w:rsid w:val="00D96F0C"/>
    <w:rsid w:val="00D96F65"/>
    <w:rsid w:val="00D9731A"/>
    <w:rsid w:val="00DA07CA"/>
    <w:rsid w:val="00DA0A72"/>
    <w:rsid w:val="00DA12E5"/>
    <w:rsid w:val="00DA136C"/>
    <w:rsid w:val="00DA2685"/>
    <w:rsid w:val="00DA300B"/>
    <w:rsid w:val="00DA3017"/>
    <w:rsid w:val="00DA3E91"/>
    <w:rsid w:val="00DA44A1"/>
    <w:rsid w:val="00DA5484"/>
    <w:rsid w:val="00DA590D"/>
    <w:rsid w:val="00DA5EC4"/>
    <w:rsid w:val="00DA61E5"/>
    <w:rsid w:val="00DA744F"/>
    <w:rsid w:val="00DA7875"/>
    <w:rsid w:val="00DB0107"/>
    <w:rsid w:val="00DB0297"/>
    <w:rsid w:val="00DB1975"/>
    <w:rsid w:val="00DB1B2F"/>
    <w:rsid w:val="00DB1DC6"/>
    <w:rsid w:val="00DB216C"/>
    <w:rsid w:val="00DB2356"/>
    <w:rsid w:val="00DB251A"/>
    <w:rsid w:val="00DB32A7"/>
    <w:rsid w:val="00DB437F"/>
    <w:rsid w:val="00DB4682"/>
    <w:rsid w:val="00DB4F71"/>
    <w:rsid w:val="00DB54C5"/>
    <w:rsid w:val="00DB54CD"/>
    <w:rsid w:val="00DB5B49"/>
    <w:rsid w:val="00DB6433"/>
    <w:rsid w:val="00DB6968"/>
    <w:rsid w:val="00DB7E8D"/>
    <w:rsid w:val="00DC0492"/>
    <w:rsid w:val="00DC05DF"/>
    <w:rsid w:val="00DC1012"/>
    <w:rsid w:val="00DC1133"/>
    <w:rsid w:val="00DC18D8"/>
    <w:rsid w:val="00DC1B37"/>
    <w:rsid w:val="00DC1C59"/>
    <w:rsid w:val="00DC2243"/>
    <w:rsid w:val="00DC30B1"/>
    <w:rsid w:val="00DC346E"/>
    <w:rsid w:val="00DC4A97"/>
    <w:rsid w:val="00DC5424"/>
    <w:rsid w:val="00DC5DFF"/>
    <w:rsid w:val="00DC654D"/>
    <w:rsid w:val="00DC6B42"/>
    <w:rsid w:val="00DC74CB"/>
    <w:rsid w:val="00DC77D3"/>
    <w:rsid w:val="00DD0277"/>
    <w:rsid w:val="00DD06D4"/>
    <w:rsid w:val="00DD08C7"/>
    <w:rsid w:val="00DD0DA9"/>
    <w:rsid w:val="00DD1201"/>
    <w:rsid w:val="00DD134A"/>
    <w:rsid w:val="00DD148A"/>
    <w:rsid w:val="00DD181D"/>
    <w:rsid w:val="00DD1931"/>
    <w:rsid w:val="00DD24F4"/>
    <w:rsid w:val="00DD2920"/>
    <w:rsid w:val="00DD2ECE"/>
    <w:rsid w:val="00DD2F67"/>
    <w:rsid w:val="00DD2FDE"/>
    <w:rsid w:val="00DD3025"/>
    <w:rsid w:val="00DD32E6"/>
    <w:rsid w:val="00DD4114"/>
    <w:rsid w:val="00DD500A"/>
    <w:rsid w:val="00DD52FB"/>
    <w:rsid w:val="00DD5CDE"/>
    <w:rsid w:val="00DD5E33"/>
    <w:rsid w:val="00DD6376"/>
    <w:rsid w:val="00DD6473"/>
    <w:rsid w:val="00DD6F11"/>
    <w:rsid w:val="00DD7C1C"/>
    <w:rsid w:val="00DE025A"/>
    <w:rsid w:val="00DE0E22"/>
    <w:rsid w:val="00DE1CE9"/>
    <w:rsid w:val="00DE223F"/>
    <w:rsid w:val="00DE2814"/>
    <w:rsid w:val="00DE3314"/>
    <w:rsid w:val="00DE3D60"/>
    <w:rsid w:val="00DE3E34"/>
    <w:rsid w:val="00DE44B0"/>
    <w:rsid w:val="00DE4A40"/>
    <w:rsid w:val="00DE4CD8"/>
    <w:rsid w:val="00DE5D09"/>
    <w:rsid w:val="00DE63C2"/>
    <w:rsid w:val="00DE717F"/>
    <w:rsid w:val="00DF0B8B"/>
    <w:rsid w:val="00DF0F6B"/>
    <w:rsid w:val="00DF0F81"/>
    <w:rsid w:val="00DF16FD"/>
    <w:rsid w:val="00DF21CB"/>
    <w:rsid w:val="00DF2BB1"/>
    <w:rsid w:val="00DF2C76"/>
    <w:rsid w:val="00DF4A04"/>
    <w:rsid w:val="00DF4E3E"/>
    <w:rsid w:val="00DF4FF4"/>
    <w:rsid w:val="00DF52CF"/>
    <w:rsid w:val="00DF57D9"/>
    <w:rsid w:val="00DF5886"/>
    <w:rsid w:val="00DF5A1C"/>
    <w:rsid w:val="00DF5E59"/>
    <w:rsid w:val="00DF60B9"/>
    <w:rsid w:val="00DF63B7"/>
    <w:rsid w:val="00DF6D44"/>
    <w:rsid w:val="00DF72D4"/>
    <w:rsid w:val="00DF733B"/>
    <w:rsid w:val="00DF7A67"/>
    <w:rsid w:val="00DF7DB3"/>
    <w:rsid w:val="00E007AD"/>
    <w:rsid w:val="00E00890"/>
    <w:rsid w:val="00E00AA2"/>
    <w:rsid w:val="00E00D7F"/>
    <w:rsid w:val="00E00E57"/>
    <w:rsid w:val="00E010CD"/>
    <w:rsid w:val="00E019FB"/>
    <w:rsid w:val="00E01A4F"/>
    <w:rsid w:val="00E02FA0"/>
    <w:rsid w:val="00E0373D"/>
    <w:rsid w:val="00E03A40"/>
    <w:rsid w:val="00E03DB2"/>
    <w:rsid w:val="00E03E6E"/>
    <w:rsid w:val="00E0453D"/>
    <w:rsid w:val="00E04CC0"/>
    <w:rsid w:val="00E05AD7"/>
    <w:rsid w:val="00E05FA6"/>
    <w:rsid w:val="00E06110"/>
    <w:rsid w:val="00E06216"/>
    <w:rsid w:val="00E067C0"/>
    <w:rsid w:val="00E07D77"/>
    <w:rsid w:val="00E10DB9"/>
    <w:rsid w:val="00E11913"/>
    <w:rsid w:val="00E11C95"/>
    <w:rsid w:val="00E12231"/>
    <w:rsid w:val="00E1280F"/>
    <w:rsid w:val="00E13496"/>
    <w:rsid w:val="00E134B8"/>
    <w:rsid w:val="00E13D40"/>
    <w:rsid w:val="00E14608"/>
    <w:rsid w:val="00E14C44"/>
    <w:rsid w:val="00E14E29"/>
    <w:rsid w:val="00E15A2F"/>
    <w:rsid w:val="00E15E10"/>
    <w:rsid w:val="00E1640A"/>
    <w:rsid w:val="00E16F26"/>
    <w:rsid w:val="00E176B0"/>
    <w:rsid w:val="00E1786E"/>
    <w:rsid w:val="00E17970"/>
    <w:rsid w:val="00E206E9"/>
    <w:rsid w:val="00E21676"/>
    <w:rsid w:val="00E22055"/>
    <w:rsid w:val="00E22144"/>
    <w:rsid w:val="00E222DD"/>
    <w:rsid w:val="00E224ED"/>
    <w:rsid w:val="00E229D6"/>
    <w:rsid w:val="00E22B34"/>
    <w:rsid w:val="00E22B52"/>
    <w:rsid w:val="00E22BDA"/>
    <w:rsid w:val="00E2391E"/>
    <w:rsid w:val="00E23A6B"/>
    <w:rsid w:val="00E23AE6"/>
    <w:rsid w:val="00E23E5D"/>
    <w:rsid w:val="00E2469C"/>
    <w:rsid w:val="00E24FC0"/>
    <w:rsid w:val="00E25409"/>
    <w:rsid w:val="00E25474"/>
    <w:rsid w:val="00E256E4"/>
    <w:rsid w:val="00E268F2"/>
    <w:rsid w:val="00E2735B"/>
    <w:rsid w:val="00E303AE"/>
    <w:rsid w:val="00E30412"/>
    <w:rsid w:val="00E30588"/>
    <w:rsid w:val="00E30D75"/>
    <w:rsid w:val="00E31475"/>
    <w:rsid w:val="00E32EE5"/>
    <w:rsid w:val="00E32F4A"/>
    <w:rsid w:val="00E32F93"/>
    <w:rsid w:val="00E33ED9"/>
    <w:rsid w:val="00E34B97"/>
    <w:rsid w:val="00E3576D"/>
    <w:rsid w:val="00E36420"/>
    <w:rsid w:val="00E37397"/>
    <w:rsid w:val="00E379F7"/>
    <w:rsid w:val="00E37D04"/>
    <w:rsid w:val="00E400A0"/>
    <w:rsid w:val="00E404E4"/>
    <w:rsid w:val="00E4058E"/>
    <w:rsid w:val="00E412E0"/>
    <w:rsid w:val="00E41661"/>
    <w:rsid w:val="00E41E8A"/>
    <w:rsid w:val="00E428D1"/>
    <w:rsid w:val="00E43BF5"/>
    <w:rsid w:val="00E443BB"/>
    <w:rsid w:val="00E44B70"/>
    <w:rsid w:val="00E44BA1"/>
    <w:rsid w:val="00E44F2F"/>
    <w:rsid w:val="00E46350"/>
    <w:rsid w:val="00E46F4E"/>
    <w:rsid w:val="00E47107"/>
    <w:rsid w:val="00E50F05"/>
    <w:rsid w:val="00E51135"/>
    <w:rsid w:val="00E513F7"/>
    <w:rsid w:val="00E51755"/>
    <w:rsid w:val="00E51ABB"/>
    <w:rsid w:val="00E51DB6"/>
    <w:rsid w:val="00E52926"/>
    <w:rsid w:val="00E529E8"/>
    <w:rsid w:val="00E52F31"/>
    <w:rsid w:val="00E54793"/>
    <w:rsid w:val="00E549D3"/>
    <w:rsid w:val="00E54A93"/>
    <w:rsid w:val="00E54ACD"/>
    <w:rsid w:val="00E54B2B"/>
    <w:rsid w:val="00E55250"/>
    <w:rsid w:val="00E559D4"/>
    <w:rsid w:val="00E56328"/>
    <w:rsid w:val="00E568A7"/>
    <w:rsid w:val="00E56A21"/>
    <w:rsid w:val="00E56F81"/>
    <w:rsid w:val="00E61139"/>
    <w:rsid w:val="00E613C0"/>
    <w:rsid w:val="00E61439"/>
    <w:rsid w:val="00E6148B"/>
    <w:rsid w:val="00E614B4"/>
    <w:rsid w:val="00E61632"/>
    <w:rsid w:val="00E61686"/>
    <w:rsid w:val="00E61D5C"/>
    <w:rsid w:val="00E63169"/>
    <w:rsid w:val="00E638DC"/>
    <w:rsid w:val="00E63F8B"/>
    <w:rsid w:val="00E64CDF"/>
    <w:rsid w:val="00E64EDE"/>
    <w:rsid w:val="00E650CB"/>
    <w:rsid w:val="00E66834"/>
    <w:rsid w:val="00E6773E"/>
    <w:rsid w:val="00E6795C"/>
    <w:rsid w:val="00E67D65"/>
    <w:rsid w:val="00E70A20"/>
    <w:rsid w:val="00E70DD7"/>
    <w:rsid w:val="00E714F0"/>
    <w:rsid w:val="00E717C4"/>
    <w:rsid w:val="00E722E9"/>
    <w:rsid w:val="00E72BA1"/>
    <w:rsid w:val="00E72EE0"/>
    <w:rsid w:val="00E73531"/>
    <w:rsid w:val="00E741FB"/>
    <w:rsid w:val="00E74787"/>
    <w:rsid w:val="00E74A40"/>
    <w:rsid w:val="00E75777"/>
    <w:rsid w:val="00E76EEC"/>
    <w:rsid w:val="00E77FCB"/>
    <w:rsid w:val="00E77FEF"/>
    <w:rsid w:val="00E80468"/>
    <w:rsid w:val="00E80633"/>
    <w:rsid w:val="00E80759"/>
    <w:rsid w:val="00E80CAC"/>
    <w:rsid w:val="00E81606"/>
    <w:rsid w:val="00E81691"/>
    <w:rsid w:val="00E81CE9"/>
    <w:rsid w:val="00E81D8B"/>
    <w:rsid w:val="00E82BF9"/>
    <w:rsid w:val="00E8307E"/>
    <w:rsid w:val="00E84ADC"/>
    <w:rsid w:val="00E8596A"/>
    <w:rsid w:val="00E85A7C"/>
    <w:rsid w:val="00E85F2B"/>
    <w:rsid w:val="00E875DB"/>
    <w:rsid w:val="00E9057B"/>
    <w:rsid w:val="00E90850"/>
    <w:rsid w:val="00E90B46"/>
    <w:rsid w:val="00E90DC8"/>
    <w:rsid w:val="00E91A7E"/>
    <w:rsid w:val="00E91EBD"/>
    <w:rsid w:val="00E91F78"/>
    <w:rsid w:val="00E91FED"/>
    <w:rsid w:val="00E927E8"/>
    <w:rsid w:val="00E92ED2"/>
    <w:rsid w:val="00E93234"/>
    <w:rsid w:val="00E9339A"/>
    <w:rsid w:val="00E938DD"/>
    <w:rsid w:val="00E95186"/>
    <w:rsid w:val="00E9587A"/>
    <w:rsid w:val="00E95CF8"/>
    <w:rsid w:val="00E96151"/>
    <w:rsid w:val="00E964E3"/>
    <w:rsid w:val="00E96539"/>
    <w:rsid w:val="00E970CB"/>
    <w:rsid w:val="00E9729F"/>
    <w:rsid w:val="00E97752"/>
    <w:rsid w:val="00EA07EA"/>
    <w:rsid w:val="00EA093C"/>
    <w:rsid w:val="00EA09EB"/>
    <w:rsid w:val="00EA0D2E"/>
    <w:rsid w:val="00EA0DB9"/>
    <w:rsid w:val="00EA16BF"/>
    <w:rsid w:val="00EA1943"/>
    <w:rsid w:val="00EA1D64"/>
    <w:rsid w:val="00EA1E4E"/>
    <w:rsid w:val="00EA2F19"/>
    <w:rsid w:val="00EA3238"/>
    <w:rsid w:val="00EA3A45"/>
    <w:rsid w:val="00EA428E"/>
    <w:rsid w:val="00EA4C1C"/>
    <w:rsid w:val="00EA4E6B"/>
    <w:rsid w:val="00EA53CD"/>
    <w:rsid w:val="00EA5909"/>
    <w:rsid w:val="00EA5A0C"/>
    <w:rsid w:val="00EA6557"/>
    <w:rsid w:val="00EA65C0"/>
    <w:rsid w:val="00EA68B2"/>
    <w:rsid w:val="00EA6EB6"/>
    <w:rsid w:val="00EA70BA"/>
    <w:rsid w:val="00EA79EE"/>
    <w:rsid w:val="00EA7C2C"/>
    <w:rsid w:val="00EB006F"/>
    <w:rsid w:val="00EB0841"/>
    <w:rsid w:val="00EB1AF8"/>
    <w:rsid w:val="00EB3117"/>
    <w:rsid w:val="00EB3F9D"/>
    <w:rsid w:val="00EB418D"/>
    <w:rsid w:val="00EB49E9"/>
    <w:rsid w:val="00EB4D34"/>
    <w:rsid w:val="00EB5DC6"/>
    <w:rsid w:val="00EB633B"/>
    <w:rsid w:val="00EB71A3"/>
    <w:rsid w:val="00EC077A"/>
    <w:rsid w:val="00EC0F09"/>
    <w:rsid w:val="00EC1BB6"/>
    <w:rsid w:val="00EC1E19"/>
    <w:rsid w:val="00EC20CE"/>
    <w:rsid w:val="00EC23CF"/>
    <w:rsid w:val="00EC3793"/>
    <w:rsid w:val="00EC3B53"/>
    <w:rsid w:val="00EC3EB1"/>
    <w:rsid w:val="00EC3EBC"/>
    <w:rsid w:val="00EC476E"/>
    <w:rsid w:val="00EC5C4F"/>
    <w:rsid w:val="00EC6558"/>
    <w:rsid w:val="00EC676A"/>
    <w:rsid w:val="00EC6DF4"/>
    <w:rsid w:val="00EC774F"/>
    <w:rsid w:val="00ED1140"/>
    <w:rsid w:val="00ED1EC5"/>
    <w:rsid w:val="00ED2DA8"/>
    <w:rsid w:val="00ED3B21"/>
    <w:rsid w:val="00ED406C"/>
    <w:rsid w:val="00ED4709"/>
    <w:rsid w:val="00ED4983"/>
    <w:rsid w:val="00ED52D5"/>
    <w:rsid w:val="00ED5406"/>
    <w:rsid w:val="00ED55F5"/>
    <w:rsid w:val="00ED5AA2"/>
    <w:rsid w:val="00ED5B99"/>
    <w:rsid w:val="00ED6EB2"/>
    <w:rsid w:val="00ED7814"/>
    <w:rsid w:val="00EE1316"/>
    <w:rsid w:val="00EE1C89"/>
    <w:rsid w:val="00EE2F35"/>
    <w:rsid w:val="00EE3625"/>
    <w:rsid w:val="00EE40ED"/>
    <w:rsid w:val="00EE5F20"/>
    <w:rsid w:val="00EE6141"/>
    <w:rsid w:val="00EE646B"/>
    <w:rsid w:val="00EE6BA1"/>
    <w:rsid w:val="00EE6BE2"/>
    <w:rsid w:val="00EE6F14"/>
    <w:rsid w:val="00EE733D"/>
    <w:rsid w:val="00EF00E9"/>
    <w:rsid w:val="00EF03A7"/>
    <w:rsid w:val="00EF0431"/>
    <w:rsid w:val="00EF05FE"/>
    <w:rsid w:val="00EF0EA7"/>
    <w:rsid w:val="00EF15D2"/>
    <w:rsid w:val="00EF1E86"/>
    <w:rsid w:val="00EF3072"/>
    <w:rsid w:val="00EF3524"/>
    <w:rsid w:val="00EF3942"/>
    <w:rsid w:val="00EF3F23"/>
    <w:rsid w:val="00EF51B4"/>
    <w:rsid w:val="00EF524E"/>
    <w:rsid w:val="00EF56E5"/>
    <w:rsid w:val="00EF65CB"/>
    <w:rsid w:val="00EF674F"/>
    <w:rsid w:val="00EF6852"/>
    <w:rsid w:val="00EF6854"/>
    <w:rsid w:val="00EF7B33"/>
    <w:rsid w:val="00F00955"/>
    <w:rsid w:val="00F0164B"/>
    <w:rsid w:val="00F024FC"/>
    <w:rsid w:val="00F02D3E"/>
    <w:rsid w:val="00F0413B"/>
    <w:rsid w:val="00F04AA6"/>
    <w:rsid w:val="00F04D5C"/>
    <w:rsid w:val="00F04EA7"/>
    <w:rsid w:val="00F05C22"/>
    <w:rsid w:val="00F065AC"/>
    <w:rsid w:val="00F069C1"/>
    <w:rsid w:val="00F06FCF"/>
    <w:rsid w:val="00F0700B"/>
    <w:rsid w:val="00F07516"/>
    <w:rsid w:val="00F07F34"/>
    <w:rsid w:val="00F113FF"/>
    <w:rsid w:val="00F120F2"/>
    <w:rsid w:val="00F12198"/>
    <w:rsid w:val="00F122E3"/>
    <w:rsid w:val="00F13360"/>
    <w:rsid w:val="00F144E2"/>
    <w:rsid w:val="00F14737"/>
    <w:rsid w:val="00F15332"/>
    <w:rsid w:val="00F16234"/>
    <w:rsid w:val="00F162D4"/>
    <w:rsid w:val="00F16418"/>
    <w:rsid w:val="00F16AD2"/>
    <w:rsid w:val="00F1713A"/>
    <w:rsid w:val="00F174F2"/>
    <w:rsid w:val="00F17580"/>
    <w:rsid w:val="00F20460"/>
    <w:rsid w:val="00F2058B"/>
    <w:rsid w:val="00F20DAC"/>
    <w:rsid w:val="00F20F6F"/>
    <w:rsid w:val="00F22023"/>
    <w:rsid w:val="00F24622"/>
    <w:rsid w:val="00F259EA"/>
    <w:rsid w:val="00F25AE6"/>
    <w:rsid w:val="00F25F92"/>
    <w:rsid w:val="00F26FB1"/>
    <w:rsid w:val="00F27E0F"/>
    <w:rsid w:val="00F305FF"/>
    <w:rsid w:val="00F30CD0"/>
    <w:rsid w:val="00F31AE7"/>
    <w:rsid w:val="00F3209B"/>
    <w:rsid w:val="00F3214C"/>
    <w:rsid w:val="00F3373A"/>
    <w:rsid w:val="00F33C0A"/>
    <w:rsid w:val="00F33F8D"/>
    <w:rsid w:val="00F344E4"/>
    <w:rsid w:val="00F34590"/>
    <w:rsid w:val="00F3470C"/>
    <w:rsid w:val="00F34E2C"/>
    <w:rsid w:val="00F35D9C"/>
    <w:rsid w:val="00F37CB6"/>
    <w:rsid w:val="00F37F65"/>
    <w:rsid w:val="00F4010B"/>
    <w:rsid w:val="00F4017A"/>
    <w:rsid w:val="00F405F7"/>
    <w:rsid w:val="00F41903"/>
    <w:rsid w:val="00F41FD6"/>
    <w:rsid w:val="00F42D02"/>
    <w:rsid w:val="00F43116"/>
    <w:rsid w:val="00F4350B"/>
    <w:rsid w:val="00F43565"/>
    <w:rsid w:val="00F436F5"/>
    <w:rsid w:val="00F43852"/>
    <w:rsid w:val="00F43CC1"/>
    <w:rsid w:val="00F4402F"/>
    <w:rsid w:val="00F45063"/>
    <w:rsid w:val="00F453DA"/>
    <w:rsid w:val="00F459A1"/>
    <w:rsid w:val="00F46E42"/>
    <w:rsid w:val="00F46F11"/>
    <w:rsid w:val="00F46FE2"/>
    <w:rsid w:val="00F4702C"/>
    <w:rsid w:val="00F47181"/>
    <w:rsid w:val="00F475AB"/>
    <w:rsid w:val="00F47815"/>
    <w:rsid w:val="00F500A4"/>
    <w:rsid w:val="00F505B8"/>
    <w:rsid w:val="00F51A1C"/>
    <w:rsid w:val="00F51D82"/>
    <w:rsid w:val="00F52808"/>
    <w:rsid w:val="00F52C00"/>
    <w:rsid w:val="00F53294"/>
    <w:rsid w:val="00F536A9"/>
    <w:rsid w:val="00F53ED5"/>
    <w:rsid w:val="00F53EFE"/>
    <w:rsid w:val="00F55408"/>
    <w:rsid w:val="00F5630C"/>
    <w:rsid w:val="00F5727D"/>
    <w:rsid w:val="00F57344"/>
    <w:rsid w:val="00F605CB"/>
    <w:rsid w:val="00F6092E"/>
    <w:rsid w:val="00F60959"/>
    <w:rsid w:val="00F60BA2"/>
    <w:rsid w:val="00F6104A"/>
    <w:rsid w:val="00F612C4"/>
    <w:rsid w:val="00F6171E"/>
    <w:rsid w:val="00F61D9C"/>
    <w:rsid w:val="00F62122"/>
    <w:rsid w:val="00F62E2D"/>
    <w:rsid w:val="00F6319D"/>
    <w:rsid w:val="00F634F6"/>
    <w:rsid w:val="00F63B5B"/>
    <w:rsid w:val="00F65D25"/>
    <w:rsid w:val="00F65F35"/>
    <w:rsid w:val="00F66CB1"/>
    <w:rsid w:val="00F66DAA"/>
    <w:rsid w:val="00F6782A"/>
    <w:rsid w:val="00F7160B"/>
    <w:rsid w:val="00F717E6"/>
    <w:rsid w:val="00F718A8"/>
    <w:rsid w:val="00F722CE"/>
    <w:rsid w:val="00F7249A"/>
    <w:rsid w:val="00F72537"/>
    <w:rsid w:val="00F72DB4"/>
    <w:rsid w:val="00F732A1"/>
    <w:rsid w:val="00F73A39"/>
    <w:rsid w:val="00F73D21"/>
    <w:rsid w:val="00F7440B"/>
    <w:rsid w:val="00F746AD"/>
    <w:rsid w:val="00F74C35"/>
    <w:rsid w:val="00F7563E"/>
    <w:rsid w:val="00F75DC0"/>
    <w:rsid w:val="00F76417"/>
    <w:rsid w:val="00F76BF1"/>
    <w:rsid w:val="00F76DB7"/>
    <w:rsid w:val="00F77B4D"/>
    <w:rsid w:val="00F77DC0"/>
    <w:rsid w:val="00F801EF"/>
    <w:rsid w:val="00F802B9"/>
    <w:rsid w:val="00F804AA"/>
    <w:rsid w:val="00F828C1"/>
    <w:rsid w:val="00F82AAA"/>
    <w:rsid w:val="00F82C0A"/>
    <w:rsid w:val="00F82CAA"/>
    <w:rsid w:val="00F835F3"/>
    <w:rsid w:val="00F8456B"/>
    <w:rsid w:val="00F85BBC"/>
    <w:rsid w:val="00F86276"/>
    <w:rsid w:val="00F86F88"/>
    <w:rsid w:val="00F87200"/>
    <w:rsid w:val="00F874D3"/>
    <w:rsid w:val="00F87B07"/>
    <w:rsid w:val="00F87E13"/>
    <w:rsid w:val="00F90861"/>
    <w:rsid w:val="00F9093E"/>
    <w:rsid w:val="00F90B5B"/>
    <w:rsid w:val="00F90B74"/>
    <w:rsid w:val="00F913FC"/>
    <w:rsid w:val="00F91647"/>
    <w:rsid w:val="00F91AD7"/>
    <w:rsid w:val="00F93373"/>
    <w:rsid w:val="00F93374"/>
    <w:rsid w:val="00F935D2"/>
    <w:rsid w:val="00F93BA3"/>
    <w:rsid w:val="00F94488"/>
    <w:rsid w:val="00F94880"/>
    <w:rsid w:val="00F9548F"/>
    <w:rsid w:val="00F95A27"/>
    <w:rsid w:val="00F965FA"/>
    <w:rsid w:val="00FA06FA"/>
    <w:rsid w:val="00FA088C"/>
    <w:rsid w:val="00FA1B53"/>
    <w:rsid w:val="00FA3019"/>
    <w:rsid w:val="00FA33D2"/>
    <w:rsid w:val="00FA352B"/>
    <w:rsid w:val="00FA462C"/>
    <w:rsid w:val="00FA4989"/>
    <w:rsid w:val="00FA6354"/>
    <w:rsid w:val="00FA671F"/>
    <w:rsid w:val="00FA6C68"/>
    <w:rsid w:val="00FA76A6"/>
    <w:rsid w:val="00FA7B4F"/>
    <w:rsid w:val="00FA7C85"/>
    <w:rsid w:val="00FB016C"/>
    <w:rsid w:val="00FB1034"/>
    <w:rsid w:val="00FB12C8"/>
    <w:rsid w:val="00FB1696"/>
    <w:rsid w:val="00FB1E5D"/>
    <w:rsid w:val="00FB228A"/>
    <w:rsid w:val="00FB2337"/>
    <w:rsid w:val="00FB2EC8"/>
    <w:rsid w:val="00FB3DD5"/>
    <w:rsid w:val="00FB4359"/>
    <w:rsid w:val="00FB4BB8"/>
    <w:rsid w:val="00FB4E68"/>
    <w:rsid w:val="00FB4E93"/>
    <w:rsid w:val="00FB4F00"/>
    <w:rsid w:val="00FB5BD7"/>
    <w:rsid w:val="00FB6074"/>
    <w:rsid w:val="00FB6D9C"/>
    <w:rsid w:val="00FB759D"/>
    <w:rsid w:val="00FC02E3"/>
    <w:rsid w:val="00FC22A2"/>
    <w:rsid w:val="00FC2455"/>
    <w:rsid w:val="00FC2D8B"/>
    <w:rsid w:val="00FC34AD"/>
    <w:rsid w:val="00FC3604"/>
    <w:rsid w:val="00FC3DF5"/>
    <w:rsid w:val="00FC485E"/>
    <w:rsid w:val="00FC51A4"/>
    <w:rsid w:val="00FC568B"/>
    <w:rsid w:val="00FC57C8"/>
    <w:rsid w:val="00FC598E"/>
    <w:rsid w:val="00FC5F37"/>
    <w:rsid w:val="00FC7202"/>
    <w:rsid w:val="00FC79AF"/>
    <w:rsid w:val="00FD0115"/>
    <w:rsid w:val="00FD06BD"/>
    <w:rsid w:val="00FD1247"/>
    <w:rsid w:val="00FD14E4"/>
    <w:rsid w:val="00FD15AB"/>
    <w:rsid w:val="00FD1923"/>
    <w:rsid w:val="00FD2158"/>
    <w:rsid w:val="00FD2188"/>
    <w:rsid w:val="00FD3306"/>
    <w:rsid w:val="00FD36B1"/>
    <w:rsid w:val="00FD4E50"/>
    <w:rsid w:val="00FD5369"/>
    <w:rsid w:val="00FD6894"/>
    <w:rsid w:val="00FD68F9"/>
    <w:rsid w:val="00FD69B1"/>
    <w:rsid w:val="00FD72A4"/>
    <w:rsid w:val="00FE0C30"/>
    <w:rsid w:val="00FE1999"/>
    <w:rsid w:val="00FE1C9C"/>
    <w:rsid w:val="00FE20E7"/>
    <w:rsid w:val="00FE22A7"/>
    <w:rsid w:val="00FE2C0B"/>
    <w:rsid w:val="00FE2CFE"/>
    <w:rsid w:val="00FE322E"/>
    <w:rsid w:val="00FE3AE6"/>
    <w:rsid w:val="00FE4800"/>
    <w:rsid w:val="00FE4D0E"/>
    <w:rsid w:val="00FE5016"/>
    <w:rsid w:val="00FE5979"/>
    <w:rsid w:val="00FE59FD"/>
    <w:rsid w:val="00FE5D5B"/>
    <w:rsid w:val="00FE6E58"/>
    <w:rsid w:val="00FE73ED"/>
    <w:rsid w:val="00FE7946"/>
    <w:rsid w:val="00FE7EA6"/>
    <w:rsid w:val="00FE7F98"/>
    <w:rsid w:val="00FF030E"/>
    <w:rsid w:val="00FF0B47"/>
    <w:rsid w:val="00FF11CF"/>
    <w:rsid w:val="00FF1208"/>
    <w:rsid w:val="00FF1980"/>
    <w:rsid w:val="00FF1C0F"/>
    <w:rsid w:val="00FF1FE3"/>
    <w:rsid w:val="00FF1FED"/>
    <w:rsid w:val="00FF2AEC"/>
    <w:rsid w:val="00FF2CF1"/>
    <w:rsid w:val="00FF2D42"/>
    <w:rsid w:val="00FF2E7F"/>
    <w:rsid w:val="00FF306D"/>
    <w:rsid w:val="00FF3E3C"/>
    <w:rsid w:val="00FF3F33"/>
    <w:rsid w:val="00FF453B"/>
    <w:rsid w:val="00FF566E"/>
    <w:rsid w:val="00FF56D1"/>
    <w:rsid w:val="00FF56E1"/>
    <w:rsid w:val="00FF5F7B"/>
    <w:rsid w:val="00FF65E7"/>
    <w:rsid w:val="00FF6BA5"/>
    <w:rsid w:val="00FF6C28"/>
    <w:rsid w:val="00FF6C6D"/>
    <w:rsid w:val="00FF7BD0"/>
    <w:rsid w:val="3ACE0A9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438E2"/>
  <w15:chartTrackingRefBased/>
  <w15:docId w15:val="{73509DE1-B6DD-42A7-91D1-E5FDFCBFA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lsdException w:name="List 4" w:semiHidden="1" w:unhideWhenUsed="1"/>
    <w:lsdException w:name="List 5" w:semiHidden="1"/>
    <w:lsdException w:name="List Bullet 2" w:semiHidden="1" w:unhideWhenUsed="1" w:qFormat="1"/>
    <w:lsdException w:name="List Bullet 3" w:semiHidden="1" w:unhideWhenUsed="1" w:qFormat="1"/>
    <w:lsdException w:name="List Bullet 4" w:semiHidden="1" w:uiPriority="13"/>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2"/>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0"/>
    <w:unhideWhenUsed/>
    <w:qFormat/>
    <w:rsid w:val="00947983"/>
    <w:pPr>
      <w:spacing w:before="120" w:after="120" w:line="280" w:lineRule="atLeast"/>
    </w:pPr>
    <w:rPr>
      <w:rFonts w:ascii="Open Sans" w:hAnsi="Open Sans"/>
      <w:sz w:val="20"/>
      <w:szCs w:val="20"/>
    </w:rPr>
  </w:style>
  <w:style w:type="paragraph" w:styleId="Heading1">
    <w:name w:val="heading 1"/>
    <w:basedOn w:val="Normal"/>
    <w:next w:val="BodyText"/>
    <w:link w:val="Heading1Char"/>
    <w:uiPriority w:val="9"/>
    <w:qFormat/>
    <w:rsid w:val="00001D7E"/>
    <w:pPr>
      <w:numPr>
        <w:numId w:val="21"/>
      </w:numPr>
      <w:pBdr>
        <w:top w:val="single" w:sz="4" w:space="31" w:color="E7F6FD"/>
        <w:left w:val="single" w:sz="4" w:space="26" w:color="E7F6FD"/>
        <w:bottom w:val="single" w:sz="4" w:space="26" w:color="E7F6FD"/>
        <w:right w:val="single" w:sz="4" w:space="26" w:color="E7F6FD"/>
      </w:pBdr>
      <w:shd w:val="clear" w:color="auto" w:fill="E7F6FD"/>
      <w:spacing w:before="240" w:after="480" w:line="504" w:lineRule="atLeast"/>
      <w:ind w:right="567"/>
      <w:outlineLvl w:val="0"/>
    </w:pPr>
    <w:rPr>
      <w:rFonts w:ascii="Open Sans Extrabold" w:hAnsi="Open Sans Extrabold"/>
      <w:color w:val="132D4D" w:themeColor="background2" w:themeShade="80"/>
      <w:sz w:val="42"/>
    </w:rPr>
  </w:style>
  <w:style w:type="paragraph" w:styleId="Heading2">
    <w:name w:val="heading 2"/>
    <w:basedOn w:val="Normal"/>
    <w:next w:val="BodyText"/>
    <w:link w:val="Heading2Char"/>
    <w:uiPriority w:val="9"/>
    <w:qFormat/>
    <w:rsid w:val="00C43EEC"/>
    <w:pPr>
      <w:keepNext/>
      <w:keepLines/>
      <w:numPr>
        <w:ilvl w:val="2"/>
        <w:numId w:val="21"/>
      </w:numPr>
      <w:spacing w:before="480" w:line="340" w:lineRule="atLeast"/>
      <w:outlineLvl w:val="1"/>
    </w:pPr>
    <w:rPr>
      <w:rFonts w:ascii="Open Sans Extrabold" w:eastAsiaTheme="majorEastAsia" w:hAnsi="Open Sans Extrabold" w:cstheme="majorBidi"/>
      <w:color w:val="132D4D" w:themeColor="background2" w:themeShade="80"/>
      <w:sz w:val="30"/>
      <w:szCs w:val="60"/>
    </w:rPr>
  </w:style>
  <w:style w:type="paragraph" w:styleId="Heading3">
    <w:name w:val="heading 3"/>
    <w:basedOn w:val="Normal"/>
    <w:next w:val="BodyText"/>
    <w:link w:val="Heading3Char"/>
    <w:uiPriority w:val="9"/>
    <w:qFormat/>
    <w:rsid w:val="00947983"/>
    <w:pPr>
      <w:keepNext/>
      <w:keepLines/>
      <w:spacing w:before="240" w:line="300" w:lineRule="atLeast"/>
      <w:outlineLvl w:val="2"/>
    </w:pPr>
    <w:rPr>
      <w:rFonts w:ascii="Open Sans Extrabold" w:eastAsiaTheme="majorEastAsia" w:hAnsi="Open Sans Extrabold" w:cstheme="majorBidi"/>
      <w:color w:val="207291" w:themeColor="text2" w:themeShade="BF"/>
      <w:sz w:val="26"/>
      <w:szCs w:val="37"/>
    </w:rPr>
  </w:style>
  <w:style w:type="paragraph" w:styleId="Heading4">
    <w:name w:val="heading 4"/>
    <w:basedOn w:val="Normal"/>
    <w:next w:val="BodyText"/>
    <w:link w:val="Heading4Char"/>
    <w:uiPriority w:val="9"/>
    <w:qFormat/>
    <w:rsid w:val="00947983"/>
    <w:pPr>
      <w:keepNext/>
      <w:keepLines/>
      <w:spacing w:before="240" w:line="264" w:lineRule="atLeast"/>
      <w:outlineLvl w:val="3"/>
    </w:pPr>
    <w:rPr>
      <w:rFonts w:ascii="Open Sans Extrabold" w:eastAsiaTheme="majorEastAsia" w:hAnsi="Open Sans Extrabold" w:cstheme="majorBidi"/>
      <w:iCs/>
      <w:color w:val="1C4373" w:themeColor="background2" w:themeShade="BF"/>
      <w:sz w:val="22"/>
      <w:szCs w:val="33"/>
    </w:rPr>
  </w:style>
  <w:style w:type="paragraph" w:styleId="Heading5">
    <w:name w:val="heading 5"/>
    <w:basedOn w:val="Normal"/>
    <w:next w:val="BodyText"/>
    <w:link w:val="Heading5Char"/>
    <w:uiPriority w:val="9"/>
    <w:qFormat/>
    <w:rsid w:val="00947983"/>
    <w:pPr>
      <w:keepNext/>
      <w:keepLines/>
      <w:spacing w:before="240" w:line="264" w:lineRule="atLeast"/>
      <w:outlineLvl w:val="4"/>
    </w:pPr>
    <w:rPr>
      <w:rFonts w:eastAsiaTheme="majorEastAsia" w:cstheme="majorBidi"/>
      <w:b/>
      <w:color w:val="265A9A" w:themeColor="background2"/>
      <w:sz w:val="22"/>
      <w:szCs w:val="29"/>
    </w:rPr>
  </w:style>
  <w:style w:type="paragraph" w:styleId="Heading6">
    <w:name w:val="heading 6"/>
    <w:basedOn w:val="Normal"/>
    <w:next w:val="BodyText"/>
    <w:link w:val="Heading6Char"/>
    <w:uiPriority w:val="9"/>
    <w:rsid w:val="00947983"/>
    <w:pPr>
      <w:keepNext/>
      <w:keepLines/>
      <w:spacing w:line="240" w:lineRule="atLeast"/>
      <w:outlineLvl w:val="5"/>
    </w:pPr>
    <w:rPr>
      <w:rFonts w:eastAsiaTheme="majorEastAsia" w:cstheme="minorHAnsi"/>
      <w:b/>
      <w:bCs/>
      <w:i/>
      <w:color w:val="265A9A" w:themeColor="background2"/>
      <w:szCs w:val="24"/>
    </w:rPr>
  </w:style>
  <w:style w:type="paragraph" w:styleId="Heading7">
    <w:name w:val="heading 7"/>
    <w:basedOn w:val="Normal"/>
    <w:next w:val="Normal"/>
    <w:link w:val="Heading7Char"/>
    <w:uiPriority w:val="9"/>
    <w:semiHidden/>
    <w:qFormat/>
    <w:rsid w:val="00947983"/>
    <w:pPr>
      <w:keepNext/>
      <w:keepLines/>
      <w:spacing w:line="240" w:lineRule="atLeast"/>
      <w:outlineLvl w:val="6"/>
    </w:pPr>
    <w:rPr>
      <w:rFonts w:eastAsiaTheme="majorEastAsia" w:cstheme="minorHAnsi"/>
      <w:b/>
      <w:bCs/>
      <w:i/>
      <w:iCs/>
      <w:color w:val="265A9A" w:themeColor="background2"/>
      <w:szCs w:val="22"/>
    </w:rPr>
  </w:style>
  <w:style w:type="paragraph" w:styleId="Heading8">
    <w:name w:val="heading 8"/>
    <w:basedOn w:val="Normal"/>
    <w:next w:val="Normal"/>
    <w:link w:val="Heading8Char"/>
    <w:uiPriority w:val="9"/>
    <w:semiHidden/>
    <w:qFormat/>
    <w:rsid w:val="00947983"/>
    <w:pPr>
      <w:keepNext/>
      <w:keepLines/>
      <w:spacing w:after="0" w:line="293" w:lineRule="auto"/>
      <w:outlineLvl w:val="7"/>
    </w:pPr>
    <w:rPr>
      <w:rFonts w:eastAsiaTheme="majorEastAsia" w:cstheme="majorBidi"/>
      <w:b/>
      <w:sz w:val="18"/>
      <w:szCs w:val="21"/>
    </w:rPr>
  </w:style>
  <w:style w:type="paragraph" w:styleId="Heading9">
    <w:name w:val="heading 9"/>
    <w:basedOn w:val="Normal"/>
    <w:next w:val="Normal"/>
    <w:link w:val="Heading9Char"/>
    <w:uiPriority w:val="9"/>
    <w:semiHidden/>
    <w:rsid w:val="00947983"/>
    <w:pPr>
      <w:spacing w:line="240" w:lineRule="auto"/>
      <w:outlineLvl w:val="8"/>
    </w:pPr>
    <w:rPr>
      <w:rFonts w:asciiTheme="majorHAnsi" w:hAnsiTheme="majorHAnsi"/>
      <w:color w:val="8956A3" w:themeColor="accent2"/>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7983"/>
    <w:rPr>
      <w:color w:val="808080"/>
    </w:rPr>
  </w:style>
  <w:style w:type="paragraph" w:styleId="Date">
    <w:name w:val="Date"/>
    <w:basedOn w:val="Normal"/>
    <w:next w:val="Normal"/>
    <w:link w:val="DateChar"/>
    <w:uiPriority w:val="99"/>
    <w:unhideWhenUsed/>
    <w:rsid w:val="00947983"/>
    <w:pPr>
      <w:spacing w:after="360" w:line="293" w:lineRule="auto"/>
    </w:pPr>
  </w:style>
  <w:style w:type="character" w:customStyle="1" w:styleId="DateChar">
    <w:name w:val="Date Char"/>
    <w:basedOn w:val="DefaultParagraphFont"/>
    <w:link w:val="Date"/>
    <w:uiPriority w:val="99"/>
    <w:rsid w:val="00947983"/>
    <w:rPr>
      <w:rFonts w:ascii="Open Sans" w:hAnsi="Open Sans"/>
      <w:sz w:val="20"/>
      <w:szCs w:val="20"/>
    </w:rPr>
  </w:style>
  <w:style w:type="paragraph" w:styleId="NoSpacing">
    <w:name w:val="No Spacing"/>
    <w:basedOn w:val="Normal"/>
    <w:link w:val="NoSpacingChar"/>
    <w:uiPriority w:val="10"/>
    <w:qFormat/>
    <w:rsid w:val="00947983"/>
    <w:pPr>
      <w:spacing w:before="0" w:after="0"/>
    </w:pPr>
  </w:style>
  <w:style w:type="paragraph" w:styleId="ListBullet">
    <w:name w:val="List Bullet"/>
    <w:basedOn w:val="Normal"/>
    <w:link w:val="ListBulletChar"/>
    <w:uiPriority w:val="1"/>
    <w:qFormat/>
    <w:rsid w:val="008E157A"/>
    <w:pPr>
      <w:numPr>
        <w:numId w:val="41"/>
      </w:numPr>
      <w:contextualSpacing/>
    </w:pPr>
  </w:style>
  <w:style w:type="paragraph" w:styleId="ListBullet2">
    <w:name w:val="List Bullet 2"/>
    <w:basedOn w:val="Normal"/>
    <w:uiPriority w:val="1"/>
    <w:qFormat/>
    <w:rsid w:val="00947983"/>
    <w:pPr>
      <w:numPr>
        <w:ilvl w:val="1"/>
        <w:numId w:val="41"/>
      </w:numPr>
      <w:contextualSpacing/>
    </w:pPr>
  </w:style>
  <w:style w:type="paragraph" w:styleId="ListNumber">
    <w:name w:val="List Number"/>
    <w:basedOn w:val="Normal"/>
    <w:uiPriority w:val="2"/>
    <w:qFormat/>
    <w:rsid w:val="00947983"/>
    <w:pPr>
      <w:numPr>
        <w:numId w:val="16"/>
      </w:numPr>
      <w:spacing w:before="60"/>
      <w:contextualSpacing/>
    </w:pPr>
  </w:style>
  <w:style w:type="numbering" w:customStyle="1" w:styleId="Bullets">
    <w:name w:val="Bullets"/>
    <w:uiPriority w:val="99"/>
    <w:rsid w:val="00947983"/>
    <w:pPr>
      <w:numPr>
        <w:numId w:val="1"/>
      </w:numPr>
    </w:pPr>
  </w:style>
  <w:style w:type="character" w:customStyle="1" w:styleId="Heading1Char">
    <w:name w:val="Heading 1 Char"/>
    <w:basedOn w:val="DefaultParagraphFont"/>
    <w:link w:val="Heading1"/>
    <w:uiPriority w:val="9"/>
    <w:rsid w:val="00DE0E22"/>
    <w:rPr>
      <w:rFonts w:ascii="Open Sans Extrabold" w:hAnsi="Open Sans Extrabold"/>
      <w:color w:val="132D4D" w:themeColor="background2" w:themeShade="80"/>
      <w:sz w:val="42"/>
      <w:szCs w:val="20"/>
      <w:shd w:val="clear" w:color="auto" w:fill="E7F6FD"/>
    </w:rPr>
  </w:style>
  <w:style w:type="paragraph" w:styleId="ListNumber2">
    <w:name w:val="List Number 2"/>
    <w:basedOn w:val="Normal"/>
    <w:uiPriority w:val="13"/>
    <w:semiHidden/>
    <w:qFormat/>
    <w:rsid w:val="00947983"/>
    <w:pPr>
      <w:numPr>
        <w:ilvl w:val="1"/>
        <w:numId w:val="16"/>
      </w:numPr>
      <w:spacing w:before="60"/>
      <w:contextualSpacing/>
    </w:pPr>
  </w:style>
  <w:style w:type="character" w:customStyle="1" w:styleId="Heading2Char">
    <w:name w:val="Heading 2 Char"/>
    <w:basedOn w:val="DefaultParagraphFont"/>
    <w:link w:val="Heading2"/>
    <w:uiPriority w:val="9"/>
    <w:rsid w:val="00DE0E22"/>
    <w:rPr>
      <w:rFonts w:ascii="Open Sans Extrabold" w:eastAsiaTheme="majorEastAsia" w:hAnsi="Open Sans Extrabold" w:cstheme="majorBidi"/>
      <w:color w:val="132D4D" w:themeColor="background2" w:themeShade="80"/>
      <w:sz w:val="30"/>
      <w:szCs w:val="60"/>
    </w:rPr>
  </w:style>
  <w:style w:type="paragraph" w:styleId="ListParagraph">
    <w:name w:val="List Paragraph"/>
    <w:basedOn w:val="Normal"/>
    <w:uiPriority w:val="34"/>
    <w:rsid w:val="00947983"/>
    <w:pPr>
      <w:spacing w:line="293" w:lineRule="auto"/>
      <w:ind w:left="284"/>
      <w:contextualSpacing/>
    </w:pPr>
  </w:style>
  <w:style w:type="paragraph" w:styleId="Header">
    <w:name w:val="header"/>
    <w:basedOn w:val="Normal"/>
    <w:link w:val="HeaderChar"/>
    <w:uiPriority w:val="99"/>
    <w:unhideWhenUsed/>
    <w:rsid w:val="00947983"/>
    <w:pPr>
      <w:tabs>
        <w:tab w:val="center" w:pos="4513"/>
        <w:tab w:val="right" w:pos="9026"/>
      </w:tabs>
      <w:spacing w:after="0" w:line="240" w:lineRule="auto"/>
    </w:pPr>
    <w:rPr>
      <w:sz w:val="16"/>
    </w:rPr>
  </w:style>
  <w:style w:type="character" w:customStyle="1" w:styleId="HeaderChar">
    <w:name w:val="Header Char"/>
    <w:basedOn w:val="DefaultParagraphFont"/>
    <w:link w:val="Header"/>
    <w:uiPriority w:val="99"/>
    <w:rsid w:val="00947983"/>
    <w:rPr>
      <w:rFonts w:ascii="Open Sans" w:hAnsi="Open Sans"/>
      <w:sz w:val="16"/>
      <w:szCs w:val="20"/>
    </w:rPr>
  </w:style>
  <w:style w:type="paragraph" w:styleId="Footer">
    <w:name w:val="footer"/>
    <w:basedOn w:val="Normal"/>
    <w:link w:val="FooterChar"/>
    <w:uiPriority w:val="11"/>
    <w:rsid w:val="00947983"/>
    <w:pPr>
      <w:tabs>
        <w:tab w:val="center" w:pos="4513"/>
        <w:tab w:val="right" w:pos="9026"/>
      </w:tabs>
      <w:spacing w:after="0" w:line="240" w:lineRule="auto"/>
      <w:contextualSpacing/>
    </w:pPr>
    <w:rPr>
      <w:rFonts w:ascii="Open Sans Extrabold" w:hAnsi="Open Sans Extrabold"/>
      <w:sz w:val="17"/>
      <w:szCs w:val="22"/>
    </w:rPr>
  </w:style>
  <w:style w:type="character" w:customStyle="1" w:styleId="FooterChar">
    <w:name w:val="Footer Char"/>
    <w:basedOn w:val="DefaultParagraphFont"/>
    <w:link w:val="Footer"/>
    <w:uiPriority w:val="11"/>
    <w:rsid w:val="00947983"/>
    <w:rPr>
      <w:rFonts w:ascii="Open Sans Extrabold" w:hAnsi="Open Sans Extrabold"/>
      <w:sz w:val="17"/>
    </w:rPr>
  </w:style>
  <w:style w:type="numbering" w:customStyle="1" w:styleId="Numbering">
    <w:name w:val="Numbering"/>
    <w:uiPriority w:val="99"/>
    <w:rsid w:val="00947983"/>
    <w:pPr>
      <w:numPr>
        <w:numId w:val="2"/>
      </w:numPr>
    </w:pPr>
  </w:style>
  <w:style w:type="paragraph" w:styleId="ListBullet3">
    <w:name w:val="List Bullet 3"/>
    <w:basedOn w:val="Normal"/>
    <w:uiPriority w:val="1"/>
    <w:qFormat/>
    <w:rsid w:val="00947983"/>
    <w:pPr>
      <w:numPr>
        <w:ilvl w:val="2"/>
        <w:numId w:val="41"/>
      </w:numPr>
      <w:contextualSpacing/>
    </w:pPr>
  </w:style>
  <w:style w:type="paragraph" w:styleId="ListContinue2">
    <w:name w:val="List Continue 2"/>
    <w:basedOn w:val="Normal"/>
    <w:uiPriority w:val="3"/>
    <w:unhideWhenUsed/>
    <w:qFormat/>
    <w:rsid w:val="00947983"/>
    <w:pPr>
      <w:spacing w:before="60"/>
      <w:ind w:left="454"/>
    </w:pPr>
  </w:style>
  <w:style w:type="paragraph" w:styleId="ListNumber3">
    <w:name w:val="List Number 3"/>
    <w:basedOn w:val="Normal"/>
    <w:uiPriority w:val="13"/>
    <w:semiHidden/>
    <w:qFormat/>
    <w:rsid w:val="00947983"/>
    <w:pPr>
      <w:numPr>
        <w:ilvl w:val="2"/>
        <w:numId w:val="16"/>
      </w:numPr>
      <w:spacing w:before="60"/>
      <w:contextualSpacing/>
    </w:pPr>
  </w:style>
  <w:style w:type="paragraph" w:styleId="ListNumber4">
    <w:name w:val="List Number 4"/>
    <w:basedOn w:val="Normal"/>
    <w:uiPriority w:val="13"/>
    <w:semiHidden/>
    <w:qFormat/>
    <w:rsid w:val="00947983"/>
    <w:pPr>
      <w:numPr>
        <w:ilvl w:val="3"/>
        <w:numId w:val="16"/>
      </w:numPr>
      <w:spacing w:after="200" w:line="293" w:lineRule="auto"/>
      <w:contextualSpacing/>
    </w:pPr>
  </w:style>
  <w:style w:type="paragraph" w:styleId="ListNumber5">
    <w:name w:val="List Number 5"/>
    <w:basedOn w:val="Normal"/>
    <w:uiPriority w:val="13"/>
    <w:semiHidden/>
    <w:rsid w:val="00947983"/>
    <w:pPr>
      <w:numPr>
        <w:ilvl w:val="4"/>
        <w:numId w:val="16"/>
      </w:numPr>
      <w:spacing w:after="200" w:line="293" w:lineRule="auto"/>
      <w:contextualSpacing/>
    </w:pPr>
  </w:style>
  <w:style w:type="paragraph" w:styleId="ListContinue">
    <w:name w:val="List Continue"/>
    <w:basedOn w:val="Normal"/>
    <w:uiPriority w:val="3"/>
    <w:unhideWhenUsed/>
    <w:qFormat/>
    <w:rsid w:val="00947983"/>
    <w:pPr>
      <w:spacing w:before="60"/>
      <w:ind w:left="227"/>
    </w:pPr>
  </w:style>
  <w:style w:type="paragraph" w:styleId="ListContinue3">
    <w:name w:val="List Continue 3"/>
    <w:basedOn w:val="Normal"/>
    <w:uiPriority w:val="3"/>
    <w:unhideWhenUsed/>
    <w:qFormat/>
    <w:rsid w:val="00947983"/>
    <w:pPr>
      <w:spacing w:before="60"/>
      <w:ind w:left="907"/>
    </w:pPr>
  </w:style>
  <w:style w:type="paragraph" w:styleId="ListContinue4">
    <w:name w:val="List Continue 4"/>
    <w:basedOn w:val="Normal"/>
    <w:uiPriority w:val="3"/>
    <w:unhideWhenUsed/>
    <w:qFormat/>
    <w:rsid w:val="00947983"/>
    <w:pPr>
      <w:spacing w:line="293" w:lineRule="auto"/>
      <w:ind w:left="907"/>
      <w:contextualSpacing/>
    </w:pPr>
  </w:style>
  <w:style w:type="character" w:customStyle="1" w:styleId="Heading3Char">
    <w:name w:val="Heading 3 Char"/>
    <w:basedOn w:val="DefaultParagraphFont"/>
    <w:link w:val="Heading3"/>
    <w:uiPriority w:val="9"/>
    <w:rsid w:val="00947983"/>
    <w:rPr>
      <w:rFonts w:ascii="Open Sans Extrabold" w:eastAsiaTheme="majorEastAsia" w:hAnsi="Open Sans Extrabold" w:cstheme="majorBidi"/>
      <w:color w:val="207291" w:themeColor="text2" w:themeShade="BF"/>
      <w:sz w:val="26"/>
      <w:szCs w:val="37"/>
    </w:rPr>
  </w:style>
  <w:style w:type="character" w:customStyle="1" w:styleId="Heading4Char">
    <w:name w:val="Heading 4 Char"/>
    <w:basedOn w:val="DefaultParagraphFont"/>
    <w:link w:val="Heading4"/>
    <w:uiPriority w:val="9"/>
    <w:rsid w:val="00947983"/>
    <w:rPr>
      <w:rFonts w:ascii="Open Sans Extrabold" w:eastAsiaTheme="majorEastAsia" w:hAnsi="Open Sans Extrabold" w:cstheme="majorBidi"/>
      <w:iCs/>
      <w:color w:val="1C4373" w:themeColor="background2" w:themeShade="BF"/>
      <w:szCs w:val="33"/>
    </w:rPr>
  </w:style>
  <w:style w:type="character" w:customStyle="1" w:styleId="Heading5Char">
    <w:name w:val="Heading 5 Char"/>
    <w:basedOn w:val="DefaultParagraphFont"/>
    <w:link w:val="Heading5"/>
    <w:uiPriority w:val="9"/>
    <w:rsid w:val="00947983"/>
    <w:rPr>
      <w:rFonts w:ascii="Open Sans" w:eastAsiaTheme="majorEastAsia" w:hAnsi="Open Sans" w:cstheme="majorBidi"/>
      <w:b/>
      <w:color w:val="265A9A" w:themeColor="background2"/>
      <w:szCs w:val="29"/>
    </w:rPr>
  </w:style>
  <w:style w:type="numbering" w:customStyle="1" w:styleId="ListHeadings">
    <w:name w:val="List Headings"/>
    <w:uiPriority w:val="99"/>
    <w:rsid w:val="00947983"/>
    <w:pPr>
      <w:numPr>
        <w:numId w:val="3"/>
      </w:numPr>
    </w:pPr>
  </w:style>
  <w:style w:type="paragraph" w:styleId="Title">
    <w:name w:val="Title"/>
    <w:basedOn w:val="Heading1"/>
    <w:next w:val="Normal"/>
    <w:link w:val="TitleChar"/>
    <w:uiPriority w:val="39"/>
    <w:rsid w:val="00947983"/>
    <w:pPr>
      <w:pBdr>
        <w:top w:val="none" w:sz="0" w:space="0" w:color="auto"/>
        <w:left w:val="none" w:sz="0" w:space="0" w:color="auto"/>
        <w:bottom w:val="none" w:sz="0" w:space="0" w:color="auto"/>
        <w:right w:val="none" w:sz="0" w:space="0" w:color="auto"/>
      </w:pBdr>
      <w:shd w:val="clear" w:color="auto" w:fill="auto"/>
      <w:spacing w:before="560" w:line="204" w:lineRule="auto"/>
      <w:ind w:left="0" w:right="2268" w:firstLine="0"/>
      <w:contextualSpacing/>
    </w:pPr>
    <w:rPr>
      <w:rFonts w:eastAsiaTheme="majorEastAsia" w:cstheme="majorBidi"/>
      <w:kern w:val="28"/>
      <w:sz w:val="56"/>
      <w:szCs w:val="56"/>
    </w:rPr>
  </w:style>
  <w:style w:type="character" w:customStyle="1" w:styleId="TitleChar">
    <w:name w:val="Title Char"/>
    <w:basedOn w:val="DefaultParagraphFont"/>
    <w:link w:val="Title"/>
    <w:uiPriority w:val="39"/>
    <w:rsid w:val="00947983"/>
    <w:rPr>
      <w:rFonts w:ascii="Open Sans Extrabold" w:eastAsiaTheme="majorEastAsia" w:hAnsi="Open Sans Extrabold" w:cstheme="majorBidi"/>
      <w:color w:val="132D4D" w:themeColor="background2" w:themeShade="80"/>
      <w:kern w:val="28"/>
      <w:sz w:val="56"/>
      <w:szCs w:val="56"/>
    </w:rPr>
  </w:style>
  <w:style w:type="paragraph" w:customStyle="1" w:styleId="Pull-outQuote">
    <w:name w:val="Pull-out Quote"/>
    <w:basedOn w:val="Normal"/>
    <w:link w:val="Pull-outQuoteChar"/>
    <w:uiPriority w:val="99"/>
    <w:semiHidden/>
    <w:rsid w:val="00947983"/>
    <w:pPr>
      <w:pBdr>
        <w:top w:val="single" w:sz="4" w:space="4" w:color="2B9AC2" w:themeColor="text2"/>
        <w:left w:val="single" w:sz="4" w:space="4" w:color="2B9AC2" w:themeColor="text2"/>
        <w:bottom w:val="single" w:sz="4" w:space="4" w:color="2B9AC2" w:themeColor="text2"/>
        <w:right w:val="single" w:sz="4" w:space="4" w:color="2B9AC2" w:themeColor="text2"/>
      </w:pBdr>
      <w:shd w:val="clear" w:color="auto" w:fill="2B9AC2" w:themeFill="text2"/>
      <w:spacing w:line="293" w:lineRule="auto"/>
      <w:ind w:left="113" w:right="113"/>
    </w:pPr>
    <w:rPr>
      <w:color w:val="FFFFFF" w:themeColor="background1"/>
    </w:rPr>
  </w:style>
  <w:style w:type="paragraph" w:customStyle="1" w:styleId="Pull-outQuoteHeading">
    <w:name w:val="Pull-out Quote Heading"/>
    <w:basedOn w:val="Pull-outQuote"/>
    <w:next w:val="Pull-outQuote"/>
    <w:link w:val="Pull-outQuoteHeadingChar"/>
    <w:uiPriority w:val="99"/>
    <w:semiHidden/>
    <w:rsid w:val="00947983"/>
    <w:rPr>
      <w:b/>
    </w:rPr>
  </w:style>
  <w:style w:type="character" w:customStyle="1" w:styleId="Pull-outQuoteChar">
    <w:name w:val="Pull-out Quote Char"/>
    <w:basedOn w:val="DefaultParagraphFont"/>
    <w:link w:val="Pull-outQuote"/>
    <w:uiPriority w:val="99"/>
    <w:semiHidden/>
    <w:rsid w:val="00947983"/>
    <w:rPr>
      <w:rFonts w:ascii="Open Sans" w:hAnsi="Open Sans"/>
      <w:color w:val="FFFFFF" w:themeColor="background1"/>
      <w:sz w:val="20"/>
      <w:szCs w:val="20"/>
      <w:shd w:val="clear" w:color="auto" w:fill="2B9AC2" w:themeFill="text2"/>
    </w:rPr>
  </w:style>
  <w:style w:type="character" w:customStyle="1" w:styleId="Pull-outQuoteHeadingChar">
    <w:name w:val="Pull-out Quote Heading Char"/>
    <w:basedOn w:val="Pull-outQuoteChar"/>
    <w:link w:val="Pull-outQuoteHeading"/>
    <w:uiPriority w:val="99"/>
    <w:semiHidden/>
    <w:rsid w:val="00947983"/>
    <w:rPr>
      <w:rFonts w:ascii="Open Sans" w:hAnsi="Open Sans"/>
      <w:b/>
      <w:color w:val="FFFFFF" w:themeColor="background1"/>
      <w:sz w:val="20"/>
      <w:szCs w:val="20"/>
      <w:shd w:val="clear" w:color="auto" w:fill="2B9AC2" w:themeFill="text2"/>
    </w:rPr>
  </w:style>
  <w:style w:type="paragraph" w:customStyle="1" w:styleId="NumberedHeading1">
    <w:name w:val="Numbered Heading 1"/>
    <w:basedOn w:val="Heading1"/>
    <w:next w:val="Normal"/>
    <w:link w:val="NumberedHeading1Char"/>
    <w:uiPriority w:val="9"/>
    <w:semiHidden/>
    <w:rsid w:val="00947983"/>
  </w:style>
  <w:style w:type="paragraph" w:customStyle="1" w:styleId="NumberedHeading2">
    <w:name w:val="Numbered Heading 2"/>
    <w:basedOn w:val="Heading2"/>
    <w:next w:val="Normal"/>
    <w:link w:val="NumberedHeading2Char"/>
    <w:uiPriority w:val="9"/>
    <w:semiHidden/>
    <w:rsid w:val="00947983"/>
  </w:style>
  <w:style w:type="character" w:customStyle="1" w:styleId="NumberedHeading1Char">
    <w:name w:val="Numbered Heading 1 Char"/>
    <w:basedOn w:val="Heading1Char"/>
    <w:link w:val="NumberedHeading1"/>
    <w:uiPriority w:val="9"/>
    <w:semiHidden/>
    <w:rsid w:val="00947983"/>
    <w:rPr>
      <w:rFonts w:ascii="Open Sans Extrabold" w:hAnsi="Open Sans Extrabold"/>
      <w:color w:val="132D4D" w:themeColor="background2" w:themeShade="80"/>
      <w:sz w:val="42"/>
      <w:szCs w:val="20"/>
      <w:shd w:val="clear" w:color="auto" w:fill="E7F6FD"/>
    </w:rPr>
  </w:style>
  <w:style w:type="character" w:customStyle="1" w:styleId="NumberedHeading2Char">
    <w:name w:val="Numbered Heading 2 Char"/>
    <w:basedOn w:val="Heading2Char"/>
    <w:link w:val="NumberedHeading2"/>
    <w:uiPriority w:val="9"/>
    <w:semiHidden/>
    <w:rsid w:val="00947983"/>
    <w:rPr>
      <w:rFonts w:ascii="Open Sans Extrabold" w:eastAsiaTheme="majorEastAsia" w:hAnsi="Open Sans Extrabold" w:cstheme="majorBidi"/>
      <w:color w:val="132D4D" w:themeColor="background2" w:themeShade="80"/>
      <w:sz w:val="30"/>
      <w:szCs w:val="60"/>
    </w:rPr>
  </w:style>
  <w:style w:type="paragraph" w:styleId="ListContinue5">
    <w:name w:val="List Continue 5"/>
    <w:basedOn w:val="Normal"/>
    <w:uiPriority w:val="3"/>
    <w:unhideWhenUsed/>
    <w:qFormat/>
    <w:rsid w:val="00947983"/>
    <w:pPr>
      <w:ind w:left="1134"/>
      <w:contextualSpacing/>
    </w:pPr>
  </w:style>
  <w:style w:type="table" w:styleId="TableGrid">
    <w:name w:val="Table Grid"/>
    <w:basedOn w:val="TableNormal"/>
    <w:uiPriority w:val="39"/>
    <w:rsid w:val="009479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4"/>
    <w:qFormat/>
    <w:rsid w:val="00947983"/>
    <w:pPr>
      <w:spacing w:before="0" w:after="40"/>
    </w:pPr>
    <w:rPr>
      <w:rFonts w:ascii="Open Sans Extrabold" w:hAnsi="Open Sans Extrabold"/>
      <w:iCs/>
      <w:color w:val="000000" w:themeColor="text1"/>
      <w:szCs w:val="18"/>
    </w:rPr>
  </w:style>
  <w:style w:type="paragraph" w:styleId="List">
    <w:name w:val="List"/>
    <w:basedOn w:val="Normal"/>
    <w:uiPriority w:val="99"/>
    <w:semiHidden/>
    <w:qFormat/>
    <w:rsid w:val="00947983"/>
    <w:pPr>
      <w:numPr>
        <w:numId w:val="13"/>
      </w:numPr>
      <w:spacing w:before="60"/>
    </w:pPr>
  </w:style>
  <w:style w:type="paragraph" w:styleId="List2">
    <w:name w:val="List 2"/>
    <w:basedOn w:val="Normal"/>
    <w:uiPriority w:val="99"/>
    <w:semiHidden/>
    <w:qFormat/>
    <w:rsid w:val="00947983"/>
    <w:pPr>
      <w:numPr>
        <w:ilvl w:val="1"/>
        <w:numId w:val="13"/>
      </w:numPr>
      <w:spacing w:before="60"/>
    </w:pPr>
  </w:style>
  <w:style w:type="numbering" w:customStyle="1" w:styleId="LetteredList">
    <w:name w:val="Lettered List"/>
    <w:uiPriority w:val="99"/>
    <w:rsid w:val="00947983"/>
    <w:pPr>
      <w:numPr>
        <w:numId w:val="4"/>
      </w:numPr>
    </w:pPr>
  </w:style>
  <w:style w:type="paragraph" w:styleId="Subtitle">
    <w:name w:val="Subtitle"/>
    <w:basedOn w:val="Normal"/>
    <w:next w:val="Normal"/>
    <w:link w:val="SubtitleChar"/>
    <w:uiPriority w:val="39"/>
    <w:rsid w:val="00947983"/>
    <w:pPr>
      <w:numPr>
        <w:ilvl w:val="1"/>
      </w:numPr>
      <w:spacing w:before="240" w:after="240" w:line="240" w:lineRule="auto"/>
    </w:pPr>
    <w:rPr>
      <w:rFonts w:eastAsiaTheme="minorEastAsia"/>
      <w:color w:val="1C4373" w:themeColor="background2" w:themeShade="BF"/>
      <w:sz w:val="48"/>
    </w:rPr>
  </w:style>
  <w:style w:type="character" w:customStyle="1" w:styleId="SubtitleChar">
    <w:name w:val="Subtitle Char"/>
    <w:basedOn w:val="DefaultParagraphFont"/>
    <w:link w:val="Subtitle"/>
    <w:uiPriority w:val="39"/>
    <w:rsid w:val="00947983"/>
    <w:rPr>
      <w:rFonts w:ascii="Open Sans" w:eastAsiaTheme="minorEastAsia" w:hAnsi="Open Sans"/>
      <w:color w:val="1C4373" w:themeColor="background2" w:themeShade="BF"/>
      <w:sz w:val="48"/>
      <w:szCs w:val="20"/>
    </w:rPr>
  </w:style>
  <w:style w:type="character" w:styleId="Strong">
    <w:name w:val="Strong"/>
    <w:basedOn w:val="DefaultParagraphFont"/>
    <w:uiPriority w:val="22"/>
    <w:qFormat/>
    <w:rsid w:val="00947983"/>
    <w:rPr>
      <w:rFonts w:ascii="Open Sans" w:hAnsi="Open Sans"/>
      <w:b/>
      <w:bCs/>
    </w:rPr>
  </w:style>
  <w:style w:type="paragraph" w:customStyle="1" w:styleId="Header-Keyline">
    <w:name w:val="Header - Keyline"/>
    <w:basedOn w:val="Header"/>
    <w:link w:val="Header-KeylineChar"/>
    <w:uiPriority w:val="99"/>
    <w:rsid w:val="00947983"/>
    <w:pPr>
      <w:pBdr>
        <w:bottom w:val="single" w:sz="4" w:space="31" w:color="2B9AC2" w:themeColor="text2"/>
      </w:pBdr>
      <w:spacing w:after="600"/>
    </w:pPr>
  </w:style>
  <w:style w:type="character" w:customStyle="1" w:styleId="Heading6Char">
    <w:name w:val="Heading 6 Char"/>
    <w:basedOn w:val="DefaultParagraphFont"/>
    <w:link w:val="Heading6"/>
    <w:uiPriority w:val="9"/>
    <w:rsid w:val="00947983"/>
    <w:rPr>
      <w:rFonts w:ascii="Open Sans" w:eastAsiaTheme="majorEastAsia" w:hAnsi="Open Sans" w:cstheme="minorHAnsi"/>
      <w:b/>
      <w:bCs/>
      <w:i/>
      <w:color w:val="265A9A" w:themeColor="background2"/>
      <w:sz w:val="20"/>
      <w:szCs w:val="24"/>
    </w:rPr>
  </w:style>
  <w:style w:type="character" w:customStyle="1" w:styleId="Header-KeylineChar">
    <w:name w:val="Header - Keyline Char"/>
    <w:basedOn w:val="HeaderChar"/>
    <w:link w:val="Header-Keyline"/>
    <w:uiPriority w:val="99"/>
    <w:rsid w:val="00947983"/>
    <w:rPr>
      <w:rFonts w:ascii="Open Sans" w:hAnsi="Open Sans"/>
      <w:sz w:val="16"/>
      <w:szCs w:val="20"/>
    </w:rPr>
  </w:style>
  <w:style w:type="character" w:customStyle="1" w:styleId="Heading7Char">
    <w:name w:val="Heading 7 Char"/>
    <w:basedOn w:val="DefaultParagraphFont"/>
    <w:link w:val="Heading7"/>
    <w:uiPriority w:val="9"/>
    <w:semiHidden/>
    <w:rsid w:val="00947983"/>
    <w:rPr>
      <w:rFonts w:ascii="Open Sans" w:eastAsiaTheme="majorEastAsia" w:hAnsi="Open Sans" w:cstheme="minorHAnsi"/>
      <w:b/>
      <w:bCs/>
      <w:i/>
      <w:iCs/>
      <w:color w:val="265A9A" w:themeColor="background2"/>
      <w:sz w:val="20"/>
    </w:rPr>
  </w:style>
  <w:style w:type="character" w:customStyle="1" w:styleId="Heading8Char">
    <w:name w:val="Heading 8 Char"/>
    <w:basedOn w:val="DefaultParagraphFont"/>
    <w:link w:val="Heading8"/>
    <w:uiPriority w:val="9"/>
    <w:semiHidden/>
    <w:rsid w:val="00947983"/>
    <w:rPr>
      <w:rFonts w:ascii="Open Sans" w:eastAsiaTheme="majorEastAsia" w:hAnsi="Open Sans" w:cstheme="majorBidi"/>
      <w:b/>
      <w:sz w:val="18"/>
      <w:szCs w:val="21"/>
    </w:rPr>
  </w:style>
  <w:style w:type="table" w:customStyle="1" w:styleId="ProductivityCommissionTable1">
    <w:name w:val="Productivity Commission Table 1"/>
    <w:basedOn w:val="TableNormal"/>
    <w:uiPriority w:val="99"/>
    <w:rsid w:val="00947983"/>
    <w:pPr>
      <w:spacing w:after="0" w:line="240" w:lineRule="auto"/>
    </w:pPr>
    <w:tblPr>
      <w:tblStyleRowBandSize w:val="1"/>
      <w:tblBorders>
        <w:top w:val="single" w:sz="4" w:space="0" w:color="BFBFBF"/>
        <w:bottom w:val="single" w:sz="4" w:space="0" w:color="B3B3B3"/>
        <w:insideH w:val="single" w:sz="4" w:space="0" w:color="B3B3B3"/>
      </w:tblBorders>
      <w:tblCellMar>
        <w:top w:w="45" w:type="dxa"/>
        <w:left w:w="0" w:type="dxa"/>
        <w:bottom w:w="45" w:type="dxa"/>
      </w:tblCellMar>
    </w:tblPr>
    <w:tblStylePr w:type="firstRow">
      <w:rPr>
        <w:b/>
        <w:color w:val="265A9A" w:themeColor="background2"/>
      </w:rPr>
    </w:tblStylePr>
    <w:tblStylePr w:type="firstCol">
      <w:rPr>
        <w:b/>
        <w:color w:val="265A9A" w:themeColor="background2"/>
      </w:rPr>
    </w:tblStylePr>
    <w:tblStylePr w:type="band1Horz">
      <w:tblPr/>
      <w:tcPr>
        <w:shd w:val="clear" w:color="auto" w:fill="F1F1F2"/>
      </w:tcPr>
    </w:tblStylePr>
  </w:style>
  <w:style w:type="character" w:customStyle="1" w:styleId="Heading9Char">
    <w:name w:val="Heading 9 Char"/>
    <w:basedOn w:val="DefaultParagraphFont"/>
    <w:link w:val="Heading9"/>
    <w:uiPriority w:val="9"/>
    <w:semiHidden/>
    <w:rsid w:val="00947983"/>
    <w:rPr>
      <w:rFonts w:asciiTheme="majorHAnsi" w:hAnsiTheme="majorHAnsi"/>
      <w:color w:val="8956A3" w:themeColor="accent2"/>
      <w:sz w:val="18"/>
      <w:szCs w:val="18"/>
    </w:rPr>
  </w:style>
  <w:style w:type="table" w:customStyle="1" w:styleId="ProductivityCommissionTable3">
    <w:name w:val="Productivity Commission Table 3"/>
    <w:basedOn w:val="TableNormal"/>
    <w:uiPriority w:val="99"/>
    <w:rsid w:val="00947983"/>
    <w:pPr>
      <w:spacing w:after="0" w:line="240" w:lineRule="auto"/>
      <w:jc w:val="right"/>
    </w:pPr>
    <w:tblPr>
      <w:tblCellMar>
        <w:top w:w="45" w:type="dxa"/>
        <w:left w:w="0" w:type="dxa"/>
        <w:bottom w:w="45" w:type="dxa"/>
        <w:right w:w="28" w:type="dxa"/>
      </w:tblCellMar>
    </w:tblPr>
    <w:tblStylePr w:type="firstRow">
      <w:rPr>
        <w:b/>
        <w:color w:val="2B9AC2" w:themeColor="text2"/>
      </w:rPr>
      <w:tblPr/>
      <w:tcPr>
        <w:tcBorders>
          <w:top w:val="nil"/>
          <w:left w:val="nil"/>
          <w:bottom w:val="single" w:sz="4" w:space="0" w:color="71CBD5" w:themeColor="accent3"/>
          <w:right w:val="nil"/>
          <w:insideH w:val="nil"/>
          <w:insideV w:val="nil"/>
          <w:tl2br w:val="nil"/>
          <w:tr2bl w:val="nil"/>
        </w:tcBorders>
      </w:tcPr>
    </w:tblStylePr>
    <w:tblStylePr w:type="lastRow">
      <w:rPr>
        <w:b/>
      </w:rPr>
      <w:tblPr/>
      <w:tcPr>
        <w:tcBorders>
          <w:top w:val="single" w:sz="4" w:space="0" w:color="71CBD5" w:themeColor="accent3"/>
          <w:left w:val="nil"/>
          <w:bottom w:val="single" w:sz="4" w:space="0" w:color="71CBD5" w:themeColor="accent3"/>
          <w:right w:val="nil"/>
          <w:insideH w:val="nil"/>
          <w:insideV w:val="nil"/>
          <w:tl2br w:val="nil"/>
          <w:tr2bl w:val="nil"/>
        </w:tcBorders>
      </w:tcPr>
    </w:tblStylePr>
    <w:tblStylePr w:type="firstCol">
      <w:pPr>
        <w:jc w:val="left"/>
      </w:pPr>
    </w:tblStylePr>
  </w:style>
  <w:style w:type="paragraph" w:styleId="TOCHeading">
    <w:name w:val="TOC Heading"/>
    <w:next w:val="Normal"/>
    <w:uiPriority w:val="39"/>
    <w:unhideWhenUsed/>
    <w:rsid w:val="00947983"/>
    <w:pPr>
      <w:spacing w:before="240" w:after="240" w:line="500" w:lineRule="atLeast"/>
      <w:outlineLvl w:val="0"/>
    </w:pPr>
    <w:rPr>
      <w:rFonts w:ascii="Open Sans Extrabold" w:hAnsi="Open Sans Extrabold"/>
      <w:color w:val="1C4373" w:themeColor="background2" w:themeShade="BF"/>
      <w:sz w:val="42"/>
      <w:szCs w:val="20"/>
    </w:rPr>
  </w:style>
  <w:style w:type="paragraph" w:styleId="FootnoteText">
    <w:name w:val="footnote text"/>
    <w:basedOn w:val="Normal"/>
    <w:link w:val="FootnoteTextChar"/>
    <w:uiPriority w:val="99"/>
    <w:rsid w:val="00947983"/>
    <w:pPr>
      <w:spacing w:before="60" w:after="60" w:line="293" w:lineRule="auto"/>
      <w:contextualSpacing/>
    </w:pPr>
    <w:rPr>
      <w:sz w:val="18"/>
    </w:rPr>
  </w:style>
  <w:style w:type="paragraph" w:styleId="TOC1">
    <w:name w:val="toc 1"/>
    <w:basedOn w:val="Normal"/>
    <w:next w:val="BodyText"/>
    <w:autoRedefine/>
    <w:uiPriority w:val="39"/>
    <w:unhideWhenUsed/>
    <w:rsid w:val="00947983"/>
    <w:pPr>
      <w:tabs>
        <w:tab w:val="left" w:pos="567"/>
        <w:tab w:val="right" w:pos="7938"/>
      </w:tabs>
      <w:spacing w:after="100" w:line="293" w:lineRule="auto"/>
      <w:ind w:left="567" w:right="1701" w:hanging="567"/>
    </w:pPr>
    <w:rPr>
      <w:rFonts w:ascii="Open Sans Extrabold" w:hAnsi="Open Sans Extrabold"/>
      <w:color w:val="1C4373" w:themeColor="background2" w:themeShade="BF"/>
    </w:rPr>
  </w:style>
  <w:style w:type="character" w:customStyle="1" w:styleId="FootnoteTextChar">
    <w:name w:val="Footnote Text Char"/>
    <w:basedOn w:val="DefaultParagraphFont"/>
    <w:link w:val="FootnoteText"/>
    <w:uiPriority w:val="99"/>
    <w:rsid w:val="00947983"/>
    <w:rPr>
      <w:rFonts w:ascii="Open Sans" w:hAnsi="Open Sans"/>
      <w:sz w:val="18"/>
      <w:szCs w:val="20"/>
    </w:rPr>
  </w:style>
  <w:style w:type="character" w:styleId="FootnoteReference">
    <w:name w:val="footnote reference"/>
    <w:basedOn w:val="DefaultParagraphFont"/>
    <w:uiPriority w:val="99"/>
    <w:semiHidden/>
    <w:unhideWhenUsed/>
    <w:rsid w:val="00947983"/>
    <w:rPr>
      <w:vertAlign w:val="superscript"/>
    </w:rPr>
  </w:style>
  <w:style w:type="character" w:styleId="Hyperlink">
    <w:name w:val="Hyperlink"/>
    <w:basedOn w:val="DefaultParagraphFont"/>
    <w:uiPriority w:val="99"/>
    <w:unhideWhenUsed/>
    <w:rsid w:val="00947983"/>
    <w:rPr>
      <w:color w:val="000000" w:themeColor="hyperlink"/>
      <w:u w:val="single"/>
    </w:rPr>
  </w:style>
  <w:style w:type="character" w:styleId="HTMLVariable">
    <w:name w:val="HTML Variable"/>
    <w:basedOn w:val="DefaultParagraphFont"/>
    <w:uiPriority w:val="99"/>
    <w:unhideWhenUsed/>
    <w:rsid w:val="00947983"/>
    <w:rPr>
      <w:i/>
      <w:iCs/>
    </w:rPr>
  </w:style>
  <w:style w:type="paragraph" w:styleId="TOC2">
    <w:name w:val="toc 2"/>
    <w:basedOn w:val="Normal"/>
    <w:next w:val="Normal"/>
    <w:autoRedefine/>
    <w:uiPriority w:val="39"/>
    <w:unhideWhenUsed/>
    <w:rsid w:val="00947983"/>
    <w:pPr>
      <w:tabs>
        <w:tab w:val="left" w:pos="567"/>
        <w:tab w:val="left" w:pos="1134"/>
        <w:tab w:val="right" w:pos="7938"/>
      </w:tabs>
      <w:spacing w:after="100" w:line="293" w:lineRule="auto"/>
      <w:ind w:left="567" w:right="1701"/>
    </w:pPr>
    <w:rPr>
      <w:noProof/>
    </w:rPr>
  </w:style>
  <w:style w:type="paragraph" w:styleId="TOC3">
    <w:name w:val="toc 3"/>
    <w:basedOn w:val="Normal"/>
    <w:next w:val="Normal"/>
    <w:autoRedefine/>
    <w:uiPriority w:val="39"/>
    <w:unhideWhenUsed/>
    <w:rsid w:val="00947983"/>
    <w:pPr>
      <w:tabs>
        <w:tab w:val="right" w:pos="7938"/>
      </w:tabs>
      <w:spacing w:after="100" w:line="293" w:lineRule="auto"/>
      <w:ind w:right="1701"/>
    </w:pPr>
    <w:rPr>
      <w:rFonts w:asciiTheme="majorHAnsi" w:hAnsiTheme="majorHAnsi"/>
      <w:color w:val="1C4373" w:themeColor="background2" w:themeShade="BF"/>
    </w:rPr>
  </w:style>
  <w:style w:type="paragraph" w:customStyle="1" w:styleId="Subtitle2">
    <w:name w:val="Subtitle 2"/>
    <w:basedOn w:val="Normal"/>
    <w:link w:val="Subtitle2Char"/>
    <w:uiPriority w:val="39"/>
    <w:rsid w:val="00947983"/>
    <w:pPr>
      <w:spacing w:before="0" w:after="160" w:line="259" w:lineRule="auto"/>
    </w:pPr>
    <w:rPr>
      <w:color w:val="1C4373" w:themeColor="background2" w:themeShade="BF"/>
      <w:sz w:val="28"/>
      <w:szCs w:val="36"/>
    </w:rPr>
  </w:style>
  <w:style w:type="paragraph" w:customStyle="1" w:styleId="Copyrightpage-Heading2">
    <w:name w:val="Copyright page-Heading 2"/>
    <w:basedOn w:val="NoSpacing"/>
    <w:link w:val="Copyrightpage-Heading2Char"/>
    <w:uiPriority w:val="19"/>
    <w:rsid w:val="00947983"/>
    <w:pPr>
      <w:spacing w:before="240" w:after="60"/>
    </w:pPr>
    <w:rPr>
      <w:b/>
      <w:color w:val="FFFFFF" w:themeColor="background1"/>
      <w:sz w:val="16"/>
      <w:szCs w:val="16"/>
    </w:rPr>
  </w:style>
  <w:style w:type="character" w:customStyle="1" w:styleId="Subtitle2Char">
    <w:name w:val="Subtitle 2 Char"/>
    <w:basedOn w:val="DefaultParagraphFont"/>
    <w:link w:val="Subtitle2"/>
    <w:uiPriority w:val="39"/>
    <w:rsid w:val="00947983"/>
    <w:rPr>
      <w:rFonts w:ascii="Open Sans" w:hAnsi="Open Sans"/>
      <w:color w:val="1C4373" w:themeColor="background2" w:themeShade="BF"/>
      <w:sz w:val="28"/>
      <w:szCs w:val="36"/>
    </w:rPr>
  </w:style>
  <w:style w:type="paragraph" w:customStyle="1" w:styleId="Copyrightpage-BodyText">
    <w:name w:val="Copyright page-Body Text"/>
    <w:basedOn w:val="Normal"/>
    <w:link w:val="Copyrightpage-BodyTextChar"/>
    <w:uiPriority w:val="19"/>
    <w:rsid w:val="00947983"/>
    <w:pPr>
      <w:spacing w:before="80" w:line="250" w:lineRule="atLeast"/>
    </w:pPr>
    <w:rPr>
      <w:color w:val="000000" w:themeColor="text1"/>
      <w:sz w:val="16"/>
    </w:rPr>
  </w:style>
  <w:style w:type="character" w:customStyle="1" w:styleId="NoSpacingChar">
    <w:name w:val="No Spacing Char"/>
    <w:basedOn w:val="DefaultParagraphFont"/>
    <w:link w:val="NoSpacing"/>
    <w:uiPriority w:val="10"/>
    <w:rsid w:val="00947983"/>
    <w:rPr>
      <w:rFonts w:ascii="Open Sans" w:hAnsi="Open Sans"/>
      <w:sz w:val="20"/>
      <w:szCs w:val="20"/>
    </w:rPr>
  </w:style>
  <w:style w:type="character" w:customStyle="1" w:styleId="Copyrightpage-Heading2Char">
    <w:name w:val="Copyright page-Heading 2 Char"/>
    <w:basedOn w:val="NoSpacingChar"/>
    <w:link w:val="Copyrightpage-Heading2"/>
    <w:uiPriority w:val="19"/>
    <w:rsid w:val="00947983"/>
    <w:rPr>
      <w:rFonts w:ascii="Open Sans" w:hAnsi="Open Sans"/>
      <w:b/>
      <w:color w:val="FFFFFF" w:themeColor="background1"/>
      <w:sz w:val="16"/>
      <w:szCs w:val="16"/>
    </w:rPr>
  </w:style>
  <w:style w:type="paragraph" w:customStyle="1" w:styleId="Copyrightpage-Heading">
    <w:name w:val="Copyright page-Heading"/>
    <w:basedOn w:val="Subtitle2"/>
    <w:link w:val="Copyrightpage-HeadingChar"/>
    <w:uiPriority w:val="19"/>
    <w:rsid w:val="00947983"/>
    <w:pPr>
      <w:spacing w:line="240" w:lineRule="auto"/>
    </w:pPr>
    <w:rPr>
      <w:rFonts w:ascii="Open Sans Semibold" w:hAnsi="Open Sans Semibold"/>
      <w:spacing w:val="4"/>
      <w:sz w:val="19"/>
      <w:szCs w:val="18"/>
    </w:rPr>
  </w:style>
  <w:style w:type="character" w:customStyle="1" w:styleId="Copyrightpage-BodyTextChar">
    <w:name w:val="Copyright page-Body Text Char"/>
    <w:basedOn w:val="DefaultParagraphFont"/>
    <w:link w:val="Copyrightpage-BodyText"/>
    <w:uiPriority w:val="19"/>
    <w:rsid w:val="00947983"/>
    <w:rPr>
      <w:rFonts w:ascii="Open Sans" w:hAnsi="Open Sans"/>
      <w:color w:val="000000" w:themeColor="text1"/>
      <w:sz w:val="16"/>
      <w:szCs w:val="20"/>
    </w:rPr>
  </w:style>
  <w:style w:type="character" w:customStyle="1" w:styleId="Copyrightpage-HeadingChar">
    <w:name w:val="Copyright page-Heading Char"/>
    <w:basedOn w:val="Subtitle2Char"/>
    <w:link w:val="Copyrightpage-Heading"/>
    <w:uiPriority w:val="19"/>
    <w:rsid w:val="00947983"/>
    <w:rPr>
      <w:rFonts w:ascii="Open Sans Semibold" w:hAnsi="Open Sans Semibold"/>
      <w:color w:val="1C4373" w:themeColor="background2" w:themeShade="BF"/>
      <w:spacing w:val="4"/>
      <w:sz w:val="19"/>
      <w:szCs w:val="18"/>
    </w:rPr>
  </w:style>
  <w:style w:type="paragraph" w:customStyle="1" w:styleId="Heading1-noTOC">
    <w:name w:val="Heading 1-no TOC"/>
    <w:next w:val="BodyText"/>
    <w:uiPriority w:val="9"/>
    <w:qFormat/>
    <w:rsid w:val="00947983"/>
    <w:pPr>
      <w:spacing w:before="600" w:after="480" w:line="504" w:lineRule="atLeast"/>
    </w:pPr>
    <w:rPr>
      <w:rFonts w:ascii="Open Sans Extrabold" w:eastAsiaTheme="majorEastAsia" w:hAnsi="Open Sans Extrabold" w:cstheme="majorBidi"/>
      <w:b/>
      <w:color w:val="1C4373" w:themeColor="background2" w:themeShade="BF"/>
      <w:sz w:val="42"/>
      <w:szCs w:val="68"/>
    </w:rPr>
  </w:style>
  <w:style w:type="paragraph" w:customStyle="1" w:styleId="Heading2-noTOC">
    <w:name w:val="Heading 2-no TOC"/>
    <w:next w:val="BodyText"/>
    <w:uiPriority w:val="9"/>
    <w:unhideWhenUsed/>
    <w:qFormat/>
    <w:rsid w:val="00947983"/>
    <w:pPr>
      <w:spacing w:before="240" w:after="120" w:line="360" w:lineRule="atLeast"/>
    </w:pPr>
    <w:rPr>
      <w:rFonts w:ascii="Open Sans Extrabold" w:eastAsiaTheme="majorEastAsia" w:hAnsi="Open Sans Extrabold" w:cstheme="majorBidi"/>
      <w:color w:val="1C4373" w:themeColor="background2" w:themeShade="BF"/>
      <w:sz w:val="30"/>
      <w:szCs w:val="60"/>
    </w:rPr>
  </w:style>
  <w:style w:type="paragraph" w:styleId="TOC4">
    <w:name w:val="toc 4"/>
    <w:basedOn w:val="Normal"/>
    <w:next w:val="Normal"/>
    <w:autoRedefine/>
    <w:uiPriority w:val="39"/>
    <w:unhideWhenUsed/>
    <w:rsid w:val="00947983"/>
    <w:pPr>
      <w:tabs>
        <w:tab w:val="right" w:pos="7938"/>
        <w:tab w:val="right" w:pos="9628"/>
      </w:tabs>
      <w:spacing w:after="100" w:line="293" w:lineRule="auto"/>
      <w:ind w:left="567" w:right="1701"/>
    </w:pPr>
  </w:style>
  <w:style w:type="paragraph" w:customStyle="1" w:styleId="LetterRight">
    <w:name w:val="Letter Right"/>
    <w:basedOn w:val="Normal"/>
    <w:link w:val="LetterRightChar"/>
    <w:uiPriority w:val="99"/>
    <w:rsid w:val="00947983"/>
    <w:pPr>
      <w:spacing w:line="360" w:lineRule="auto"/>
      <w:jc w:val="right"/>
    </w:pPr>
    <w:rPr>
      <w:sz w:val="16"/>
    </w:rPr>
  </w:style>
  <w:style w:type="paragraph" w:customStyle="1" w:styleId="Letterlogo">
    <w:name w:val="Letter logo"/>
    <w:basedOn w:val="LetterRight"/>
    <w:uiPriority w:val="99"/>
    <w:rsid w:val="00947983"/>
    <w:pPr>
      <w:spacing w:after="320"/>
    </w:pPr>
  </w:style>
  <w:style w:type="character" w:customStyle="1" w:styleId="LetterRightChar">
    <w:name w:val="Letter Right Char"/>
    <w:basedOn w:val="DefaultParagraphFont"/>
    <w:link w:val="LetterRight"/>
    <w:uiPriority w:val="99"/>
    <w:rsid w:val="00947983"/>
    <w:rPr>
      <w:rFonts w:ascii="Open Sans" w:hAnsi="Open Sans"/>
      <w:sz w:val="16"/>
      <w:szCs w:val="20"/>
    </w:rPr>
  </w:style>
  <w:style w:type="character" w:styleId="UnresolvedMention">
    <w:name w:val="Unresolved Mention"/>
    <w:basedOn w:val="DefaultParagraphFont"/>
    <w:uiPriority w:val="99"/>
    <w:semiHidden/>
    <w:unhideWhenUsed/>
    <w:rsid w:val="00947983"/>
    <w:rPr>
      <w:color w:val="605E5C"/>
      <w:shd w:val="clear" w:color="auto" w:fill="E1DFDD"/>
    </w:rPr>
  </w:style>
  <w:style w:type="paragraph" w:customStyle="1" w:styleId="LetterRight-NoSpace">
    <w:name w:val="Letter Right-No Space"/>
    <w:basedOn w:val="LetterRight"/>
    <w:uiPriority w:val="99"/>
    <w:rsid w:val="00947983"/>
    <w:pPr>
      <w:spacing w:after="0"/>
    </w:pPr>
  </w:style>
  <w:style w:type="table" w:customStyle="1" w:styleId="Blank">
    <w:name w:val="Blank"/>
    <w:basedOn w:val="TableNormal"/>
    <w:uiPriority w:val="99"/>
    <w:rsid w:val="00947983"/>
    <w:pPr>
      <w:spacing w:after="0" w:line="240" w:lineRule="auto"/>
    </w:pPr>
    <w:tblPr>
      <w:tblCellMar>
        <w:top w:w="57" w:type="dxa"/>
        <w:left w:w="0" w:type="dxa"/>
        <w:bottom w:w="57" w:type="dxa"/>
        <w:right w:w="0" w:type="dxa"/>
      </w:tblCellMar>
    </w:tblPr>
  </w:style>
  <w:style w:type="paragraph" w:styleId="ListBullet5">
    <w:name w:val="List Bullet 5"/>
    <w:basedOn w:val="Normal"/>
    <w:uiPriority w:val="13"/>
    <w:semiHidden/>
    <w:rsid w:val="00947983"/>
    <w:pPr>
      <w:numPr>
        <w:numId w:val="15"/>
      </w:numPr>
      <w:contextualSpacing/>
    </w:pPr>
  </w:style>
  <w:style w:type="paragraph" w:customStyle="1" w:styleId="Coverdate">
    <w:name w:val="Cover date"/>
    <w:basedOn w:val="Normal"/>
    <w:uiPriority w:val="29"/>
    <w:rsid w:val="00947983"/>
    <w:pPr>
      <w:framePr w:wrap="around" w:vAnchor="page" w:hAnchor="margin" w:xAlign="right" w:y="1135" w:anchorLock="1"/>
      <w:spacing w:before="0" w:after="0"/>
      <w:jc w:val="right"/>
    </w:pPr>
    <w:rPr>
      <w:rFonts w:ascii="Open Sans Semibold" w:hAnsi="Open Sans Semibold"/>
      <w:sz w:val="18"/>
    </w:rPr>
  </w:style>
  <w:style w:type="table" w:customStyle="1" w:styleId="ProductivityCommissionTable2">
    <w:name w:val="Productivity Commission Table 2"/>
    <w:basedOn w:val="ProductivityCommissionTable1"/>
    <w:uiPriority w:val="99"/>
    <w:rsid w:val="00947983"/>
    <w:tblPr>
      <w:tblBorders>
        <w:top w:val="single" w:sz="4" w:space="0" w:color="B3B3B3"/>
        <w:bottom w:val="none" w:sz="0" w:space="0" w:color="auto"/>
        <w:insideH w:val="none" w:sz="0" w:space="0" w:color="auto"/>
      </w:tblBorders>
      <w:tblCellMar>
        <w:top w:w="57" w:type="dxa"/>
        <w:left w:w="57" w:type="dxa"/>
        <w:bottom w:w="57" w:type="dxa"/>
        <w:right w:w="85" w:type="dxa"/>
      </w:tblCellMar>
    </w:tblPr>
    <w:tblStylePr w:type="firstRow">
      <w:rPr>
        <w:b/>
        <w:color w:val="265A9A" w:themeColor="background2"/>
      </w:rPr>
    </w:tblStylePr>
    <w:tblStylePr w:type="firstCol">
      <w:rPr>
        <w:b/>
        <w:color w:val="265A9A" w:themeColor="background2"/>
      </w:rPr>
    </w:tblStylePr>
    <w:tblStylePr w:type="band1Horz">
      <w:tblPr/>
      <w:tcPr>
        <w:shd w:val="clear" w:color="auto" w:fill="F1F1F2"/>
      </w:tcPr>
    </w:tblStylePr>
  </w:style>
  <w:style w:type="character" w:customStyle="1" w:styleId="White">
    <w:name w:val="White"/>
    <w:basedOn w:val="DefaultParagraphFont"/>
    <w:uiPriority w:val="10"/>
    <w:rsid w:val="00947983"/>
    <w:rPr>
      <w:color w:val="FFFFFF" w:themeColor="background1"/>
    </w:rPr>
  </w:style>
  <w:style w:type="paragraph" w:customStyle="1" w:styleId="Copyrightpage-Keylinenotext">
    <w:name w:val="Copyright page-Keyline (no text)"/>
    <w:basedOn w:val="Copyrightpage-Heading2"/>
    <w:uiPriority w:val="19"/>
    <w:rsid w:val="00947983"/>
    <w:pPr>
      <w:pBdr>
        <w:top w:val="single" w:sz="4" w:space="8" w:color="2B9AC2" w:themeColor="text2"/>
      </w:pBdr>
      <w:spacing w:after="0" w:line="168" w:lineRule="auto"/>
    </w:pPr>
    <w:rPr>
      <w:b w:val="0"/>
      <w:color w:val="265A9A" w:themeColor="background2"/>
    </w:rPr>
  </w:style>
  <w:style w:type="table" w:customStyle="1" w:styleId="ProductivityCommissionTable4">
    <w:name w:val="Productivity Commission Table 4"/>
    <w:basedOn w:val="ProductivityCommissionTable3"/>
    <w:uiPriority w:val="99"/>
    <w:rsid w:val="00947983"/>
    <w:pPr>
      <w:jc w:val="left"/>
    </w:pPr>
    <w:tblPr/>
    <w:tblStylePr w:type="firstRow">
      <w:rPr>
        <w:b/>
        <w:color w:val="265A9A" w:themeColor="background2"/>
      </w:rPr>
      <w:tblPr/>
      <w:tcPr>
        <w:tcBorders>
          <w:top w:val="nil"/>
          <w:left w:val="nil"/>
          <w:bottom w:val="single" w:sz="4" w:space="0" w:color="B3B3B3"/>
          <w:right w:val="nil"/>
          <w:insideH w:val="nil"/>
          <w:insideV w:val="nil"/>
          <w:tl2br w:val="nil"/>
          <w:tr2bl w:val="nil"/>
        </w:tcBorders>
      </w:tcPr>
    </w:tblStylePr>
    <w:tblStylePr w:type="lastRow">
      <w:rPr>
        <w:b/>
      </w:rPr>
      <w:tblPr/>
      <w:tcPr>
        <w:tcBorders>
          <w:top w:val="single" w:sz="4" w:space="0" w:color="B3B3B3"/>
          <w:left w:val="nil"/>
          <w:bottom w:val="single" w:sz="4" w:space="0" w:color="B3B3B3"/>
          <w:right w:val="nil"/>
          <w:insideH w:val="nil"/>
          <w:insideV w:val="nil"/>
          <w:tl2br w:val="nil"/>
          <w:tr2bl w:val="nil"/>
        </w:tcBorders>
      </w:tcPr>
    </w:tblStylePr>
    <w:tblStylePr w:type="firstCol">
      <w:pPr>
        <w:jc w:val="left"/>
      </w:pPr>
    </w:tblStylePr>
    <w:tblStylePr w:type="lastCol">
      <w:pPr>
        <w:jc w:val="right"/>
      </w:pPr>
    </w:tblStylePr>
  </w:style>
  <w:style w:type="paragraph" w:customStyle="1" w:styleId="TableHeading-Subheading">
    <w:name w:val="Table Heading - Subheading"/>
    <w:basedOn w:val="NoSpacing"/>
    <w:uiPriority w:val="40"/>
    <w:rsid w:val="00947983"/>
    <w:pPr>
      <w:spacing w:before="46" w:after="46"/>
      <w:ind w:left="57" w:right="108"/>
    </w:pPr>
    <w:rPr>
      <w:b/>
      <w:sz w:val="18"/>
    </w:rPr>
  </w:style>
  <w:style w:type="paragraph" w:customStyle="1" w:styleId="CoverImage">
    <w:name w:val="Cover Image"/>
    <w:basedOn w:val="Normal"/>
    <w:uiPriority w:val="29"/>
    <w:rsid w:val="00947983"/>
    <w:pPr>
      <w:framePr w:w="11913" w:h="4536" w:hRule="exact" w:wrap="around" w:vAnchor="page" w:hAnchor="page" w:y="2269" w:anchorLock="1"/>
      <w:spacing w:before="0" w:after="0" w:line="240" w:lineRule="auto"/>
    </w:pPr>
  </w:style>
  <w:style w:type="table" w:customStyle="1" w:styleId="NoBorderwithPadding">
    <w:name w:val="No Border with Padding"/>
    <w:basedOn w:val="TableNormal"/>
    <w:uiPriority w:val="99"/>
    <w:rsid w:val="00947983"/>
    <w:pPr>
      <w:spacing w:after="0" w:line="240" w:lineRule="auto"/>
    </w:pPr>
    <w:tblPr>
      <w:tblCellMar>
        <w:top w:w="284" w:type="dxa"/>
        <w:left w:w="284" w:type="dxa"/>
        <w:bottom w:w="284" w:type="dxa"/>
        <w:right w:w="284" w:type="dxa"/>
      </w:tblCellMar>
    </w:tblPr>
  </w:style>
  <w:style w:type="table" w:customStyle="1" w:styleId="OverviewPageBannerTableStyle">
    <w:name w:val="Overview/Page Banner Table Style"/>
    <w:basedOn w:val="TableNormal"/>
    <w:uiPriority w:val="99"/>
    <w:rsid w:val="00947983"/>
    <w:pPr>
      <w:spacing w:after="0" w:line="240" w:lineRule="auto"/>
    </w:pPr>
    <w:tblPr>
      <w:tblCellMar>
        <w:top w:w="567" w:type="dxa"/>
        <w:left w:w="567" w:type="dxa"/>
        <w:bottom w:w="680" w:type="dxa"/>
        <w:right w:w="1134" w:type="dxa"/>
      </w:tblCellMar>
    </w:tblPr>
    <w:tcPr>
      <w:shd w:val="clear" w:color="auto" w:fill="265A9A" w:themeFill="background2"/>
      <w:vAlign w:val="bottom"/>
    </w:tcPr>
  </w:style>
  <w:style w:type="paragraph" w:styleId="Quote">
    <w:name w:val="Quote"/>
    <w:basedOn w:val="BodyText"/>
    <w:next w:val="BodyText"/>
    <w:link w:val="QuoteChar"/>
    <w:uiPriority w:val="1"/>
    <w:qFormat/>
    <w:rsid w:val="00947983"/>
    <w:pPr>
      <w:spacing w:before="60"/>
      <w:ind w:left="113" w:right="851"/>
    </w:pPr>
    <w:rPr>
      <w:color w:val="58585B"/>
    </w:rPr>
  </w:style>
  <w:style w:type="numbering" w:customStyle="1" w:styleId="TOCList">
    <w:name w:val="TOC List"/>
    <w:uiPriority w:val="99"/>
    <w:rsid w:val="00947983"/>
    <w:pPr>
      <w:numPr>
        <w:numId w:val="5"/>
      </w:numPr>
    </w:pPr>
  </w:style>
  <w:style w:type="paragraph" w:customStyle="1" w:styleId="Heading1-Section-fullpage">
    <w:name w:val="Heading 1-Section-full page"/>
    <w:basedOn w:val="Heading1-nobackground"/>
    <w:uiPriority w:val="9"/>
    <w:qFormat/>
    <w:rsid w:val="00947983"/>
    <w:pPr>
      <w:framePr w:w="9639" w:h="13041" w:hRule="exact" w:wrap="around" w:vAnchor="text" w:hAnchor="text" w:y="1" w:anchorLock="1"/>
      <w:pBdr>
        <w:top w:val="single" w:sz="4" w:space="31" w:color="E7F6FD"/>
        <w:left w:val="single" w:sz="4" w:space="26" w:color="E7F6FD"/>
        <w:bottom w:val="single" w:sz="4" w:space="26" w:color="E7F6FD"/>
        <w:right w:val="single" w:sz="4" w:space="26" w:color="E7F6FD"/>
      </w:pBdr>
      <w:shd w:val="clear" w:color="auto" w:fill="E7F6FD"/>
      <w:spacing w:before="0"/>
      <w:ind w:left="567" w:right="567"/>
    </w:pPr>
  </w:style>
  <w:style w:type="table" w:customStyle="1" w:styleId="Texttable-Paleblue">
    <w:name w:val="Text table-Pale blue"/>
    <w:basedOn w:val="TableNormal"/>
    <w:uiPriority w:val="99"/>
    <w:rsid w:val="00947983"/>
    <w:pPr>
      <w:spacing w:after="0" w:line="240" w:lineRule="auto"/>
    </w:pPr>
    <w:tblPr>
      <w:tblCellMar>
        <w:top w:w="113" w:type="dxa"/>
        <w:left w:w="113" w:type="dxa"/>
        <w:bottom w:w="113" w:type="dxa"/>
        <w:right w:w="113" w:type="dxa"/>
      </w:tblCellMar>
    </w:tblPr>
    <w:tcPr>
      <w:shd w:val="clear" w:color="auto" w:fill="EFF9FE"/>
    </w:tcPr>
  </w:style>
  <w:style w:type="paragraph" w:customStyle="1" w:styleId="FigureTableHeading">
    <w:name w:val="Figure/Table Heading"/>
    <w:basedOn w:val="Caption"/>
    <w:uiPriority w:val="4"/>
    <w:qFormat/>
    <w:rsid w:val="00947983"/>
    <w:pPr>
      <w:keepNext/>
      <w:spacing w:before="240"/>
    </w:pPr>
  </w:style>
  <w:style w:type="paragraph" w:customStyle="1" w:styleId="Source">
    <w:name w:val="Source"/>
    <w:basedOn w:val="Normal"/>
    <w:uiPriority w:val="9"/>
    <w:qFormat/>
    <w:rsid w:val="00947983"/>
    <w:pPr>
      <w:spacing w:before="80" w:after="240" w:line="216" w:lineRule="atLeast"/>
    </w:pPr>
    <w:rPr>
      <w:sz w:val="18"/>
    </w:rPr>
  </w:style>
  <w:style w:type="paragraph" w:customStyle="1" w:styleId="Note">
    <w:name w:val="Note"/>
    <w:basedOn w:val="Source"/>
    <w:uiPriority w:val="9"/>
    <w:qFormat/>
    <w:rsid w:val="00947983"/>
    <w:pPr>
      <w:spacing w:after="20"/>
    </w:pPr>
  </w:style>
  <w:style w:type="numbering" w:customStyle="1" w:styleId="Figure">
    <w:name w:val="Figure"/>
    <w:uiPriority w:val="99"/>
    <w:rsid w:val="00947983"/>
    <w:pPr>
      <w:numPr>
        <w:numId w:val="6"/>
      </w:numPr>
    </w:pPr>
  </w:style>
  <w:style w:type="table" w:customStyle="1" w:styleId="Boxtable">
    <w:name w:val="Box table"/>
    <w:basedOn w:val="Texttable-Paleblue"/>
    <w:uiPriority w:val="99"/>
    <w:rsid w:val="00947983"/>
    <w:tblPr>
      <w:tblCellMar>
        <w:top w:w="170" w:type="dxa"/>
        <w:left w:w="170" w:type="dxa"/>
        <w:bottom w:w="170" w:type="dxa"/>
        <w:right w:w="170" w:type="dxa"/>
      </w:tblCellMar>
    </w:tblPr>
    <w:tcPr>
      <w:shd w:val="clear" w:color="auto" w:fill="F4F5F6"/>
    </w:tcPr>
  </w:style>
  <w:style w:type="numbering" w:customStyle="1" w:styleId="BoxList">
    <w:name w:val="Box List"/>
    <w:uiPriority w:val="99"/>
    <w:rsid w:val="00947983"/>
    <w:pPr>
      <w:numPr>
        <w:numId w:val="7"/>
      </w:numPr>
    </w:pPr>
  </w:style>
  <w:style w:type="paragraph" w:customStyle="1" w:styleId="BoxHeading2">
    <w:name w:val="Box Heading 2"/>
    <w:basedOn w:val="Normal"/>
    <w:next w:val="BodyText"/>
    <w:uiPriority w:val="4"/>
    <w:qFormat/>
    <w:rsid w:val="00947983"/>
    <w:rPr>
      <w:b/>
    </w:rPr>
  </w:style>
  <w:style w:type="table" w:customStyle="1" w:styleId="ProductivityCommissionTable2-Dark">
    <w:name w:val="Productivity Commission Table 2 - Dark"/>
    <w:basedOn w:val="ProductivityCommissionTable2"/>
    <w:uiPriority w:val="99"/>
    <w:rsid w:val="00947983"/>
    <w:tblPr>
      <w:tblBorders>
        <w:top w:val="none" w:sz="0" w:space="0" w:color="auto"/>
        <w:bottom w:val="single" w:sz="4" w:space="0" w:color="B3B3B3"/>
        <w:insideH w:val="single" w:sz="4" w:space="0" w:color="B3B3B3"/>
      </w:tblBorders>
    </w:tblPr>
    <w:tblStylePr w:type="firstRow">
      <w:rPr>
        <w:b/>
        <w:color w:val="265A9A" w:themeColor="background2"/>
      </w:rPr>
    </w:tblStylePr>
    <w:tblStylePr w:type="firstCol">
      <w:rPr>
        <w:b/>
        <w:color w:val="265A9A" w:themeColor="background2"/>
      </w:rPr>
    </w:tblStylePr>
    <w:tblStylePr w:type="band1Horz">
      <w:tblPr/>
      <w:tcPr>
        <w:shd w:val="clear" w:color="auto" w:fill="DCDDDE"/>
      </w:tcPr>
    </w:tblStylePr>
  </w:style>
  <w:style w:type="paragraph" w:customStyle="1" w:styleId="BoxHeading3">
    <w:name w:val="Box Heading 3"/>
    <w:basedOn w:val="BoxHeading2"/>
    <w:uiPriority w:val="4"/>
    <w:qFormat/>
    <w:rsid w:val="00947983"/>
    <w:rPr>
      <w:i/>
    </w:rPr>
  </w:style>
  <w:style w:type="paragraph" w:customStyle="1" w:styleId="TableListBullet">
    <w:name w:val="Table List Bullet"/>
    <w:basedOn w:val="ListBullet"/>
    <w:uiPriority w:val="10"/>
    <w:qFormat/>
    <w:rsid w:val="00947983"/>
    <w:pPr>
      <w:spacing w:before="46" w:after="46"/>
      <w:ind w:left="170" w:hanging="113"/>
    </w:pPr>
    <w:rPr>
      <w:sz w:val="18"/>
    </w:rPr>
  </w:style>
  <w:style w:type="paragraph" w:customStyle="1" w:styleId="BodyText-Blue">
    <w:name w:val="Body Text-Blue"/>
    <w:basedOn w:val="BodyText"/>
    <w:link w:val="BodyText-BlueChar"/>
    <w:semiHidden/>
    <w:qFormat/>
    <w:rsid w:val="00947983"/>
    <w:rPr>
      <w:color w:val="265A9A" w:themeColor="background2"/>
    </w:rPr>
  </w:style>
  <w:style w:type="table" w:customStyle="1" w:styleId="Texttable-Keyline">
    <w:name w:val="Text table-Keyline"/>
    <w:basedOn w:val="Texttable-Paleblue"/>
    <w:uiPriority w:val="99"/>
    <w:rsid w:val="00947983"/>
    <w:tblPr>
      <w:tblBorders>
        <w:top w:val="single" w:sz="4" w:space="0" w:color="2B9AC2" w:themeColor="text2"/>
        <w:left w:val="single" w:sz="4" w:space="0" w:color="2B9AC2" w:themeColor="text2"/>
        <w:bottom w:val="single" w:sz="4" w:space="0" w:color="2B9AC2" w:themeColor="text2"/>
        <w:right w:val="single" w:sz="4" w:space="0" w:color="2B9AC2" w:themeColor="text2"/>
      </w:tblBorders>
    </w:tblPr>
    <w:tcPr>
      <w:shd w:val="clear" w:color="auto" w:fill="auto"/>
    </w:tcPr>
  </w:style>
  <w:style w:type="paragraph" w:customStyle="1" w:styleId="Header-KeylineRight">
    <w:name w:val="Header - Keyline Right"/>
    <w:basedOn w:val="Header-Keyline"/>
    <w:uiPriority w:val="99"/>
    <w:rsid w:val="00947983"/>
    <w:pPr>
      <w:jc w:val="right"/>
    </w:pPr>
  </w:style>
  <w:style w:type="table" w:customStyle="1" w:styleId="CopyrightPage">
    <w:name w:val="Copyright Page"/>
    <w:basedOn w:val="OverviewPageBannerTableStyle"/>
    <w:uiPriority w:val="99"/>
    <w:rsid w:val="00947983"/>
    <w:rPr>
      <w:color w:val="FFFFFF" w:themeColor="background1"/>
    </w:rPr>
    <w:tblPr>
      <w:tblCellMar>
        <w:top w:w="284" w:type="dxa"/>
        <w:left w:w="284" w:type="dxa"/>
        <w:bottom w:w="284" w:type="dxa"/>
        <w:right w:w="3119" w:type="dxa"/>
      </w:tblCellMar>
    </w:tblPr>
  </w:style>
  <w:style w:type="paragraph" w:customStyle="1" w:styleId="Heading3-noTOC">
    <w:name w:val="Heading 3-no TOC"/>
    <w:basedOn w:val="Heading3"/>
    <w:uiPriority w:val="9"/>
    <w:qFormat/>
    <w:rsid w:val="00947983"/>
    <w:pPr>
      <w:spacing w:line="312" w:lineRule="atLeast"/>
    </w:pPr>
  </w:style>
  <w:style w:type="paragraph" w:styleId="BodyText">
    <w:name w:val="Body Text"/>
    <w:basedOn w:val="Normal"/>
    <w:link w:val="BodyTextChar"/>
    <w:uiPriority w:val="99"/>
    <w:qFormat/>
    <w:rsid w:val="00C43EEC"/>
  </w:style>
  <w:style w:type="character" w:customStyle="1" w:styleId="BodyTextChar">
    <w:name w:val="Body Text Char"/>
    <w:basedOn w:val="DefaultParagraphFont"/>
    <w:link w:val="BodyText"/>
    <w:uiPriority w:val="99"/>
    <w:rsid w:val="00947983"/>
    <w:rPr>
      <w:rFonts w:ascii="Open Sans" w:hAnsi="Open Sans"/>
      <w:sz w:val="20"/>
      <w:szCs w:val="20"/>
    </w:rPr>
  </w:style>
  <w:style w:type="paragraph" w:styleId="List4">
    <w:name w:val="List 4"/>
    <w:basedOn w:val="Normal"/>
    <w:uiPriority w:val="99"/>
    <w:semiHidden/>
    <w:rsid w:val="00947983"/>
    <w:pPr>
      <w:numPr>
        <w:ilvl w:val="3"/>
        <w:numId w:val="13"/>
      </w:numPr>
      <w:contextualSpacing/>
    </w:pPr>
  </w:style>
  <w:style w:type="paragraph" w:styleId="List3">
    <w:name w:val="List 3"/>
    <w:basedOn w:val="Normal"/>
    <w:uiPriority w:val="99"/>
    <w:semiHidden/>
    <w:rsid w:val="00947983"/>
    <w:pPr>
      <w:numPr>
        <w:ilvl w:val="2"/>
        <w:numId w:val="13"/>
      </w:numPr>
      <w:contextualSpacing/>
    </w:pPr>
  </w:style>
  <w:style w:type="paragraph" w:customStyle="1" w:styleId="Heading1-nonumber">
    <w:name w:val="Heading 1-no number"/>
    <w:basedOn w:val="Heading1"/>
    <w:next w:val="BodyText"/>
    <w:uiPriority w:val="9"/>
    <w:qFormat/>
    <w:rsid w:val="00947983"/>
    <w:pPr>
      <w:ind w:left="567" w:firstLine="0"/>
    </w:pPr>
  </w:style>
  <w:style w:type="paragraph" w:customStyle="1" w:styleId="ListAlpha1">
    <w:name w:val="List Alpha 1"/>
    <w:basedOn w:val="Normal"/>
    <w:uiPriority w:val="3"/>
    <w:qFormat/>
    <w:rsid w:val="00947983"/>
    <w:pPr>
      <w:numPr>
        <w:numId w:val="14"/>
      </w:numPr>
      <w:spacing w:before="60"/>
      <w:contextualSpacing/>
    </w:pPr>
  </w:style>
  <w:style w:type="paragraph" w:customStyle="1" w:styleId="ListAlpha2">
    <w:name w:val="List Alpha 2"/>
    <w:basedOn w:val="ListAlpha1"/>
    <w:uiPriority w:val="3"/>
    <w:qFormat/>
    <w:rsid w:val="00947983"/>
    <w:pPr>
      <w:numPr>
        <w:ilvl w:val="1"/>
      </w:numPr>
    </w:pPr>
  </w:style>
  <w:style w:type="paragraph" w:customStyle="1" w:styleId="ListAlpha3">
    <w:name w:val="List Alpha 3"/>
    <w:basedOn w:val="ListAlpha2"/>
    <w:uiPriority w:val="3"/>
    <w:qFormat/>
    <w:rsid w:val="00947983"/>
    <w:pPr>
      <w:numPr>
        <w:ilvl w:val="2"/>
      </w:numPr>
    </w:pPr>
  </w:style>
  <w:style w:type="paragraph" w:customStyle="1" w:styleId="ListAlpha4">
    <w:name w:val="List Alpha 4"/>
    <w:basedOn w:val="ListAlpha3"/>
    <w:uiPriority w:val="3"/>
    <w:semiHidden/>
    <w:qFormat/>
    <w:rsid w:val="00947983"/>
    <w:pPr>
      <w:numPr>
        <w:ilvl w:val="3"/>
      </w:numPr>
    </w:pPr>
  </w:style>
  <w:style w:type="numbering" w:customStyle="1" w:styleId="Alphalist">
    <w:name w:val="Alpha list"/>
    <w:uiPriority w:val="99"/>
    <w:rsid w:val="00947983"/>
    <w:pPr>
      <w:numPr>
        <w:numId w:val="8"/>
      </w:numPr>
    </w:pPr>
  </w:style>
  <w:style w:type="paragraph" w:customStyle="1" w:styleId="KeyPoints-Bold">
    <w:name w:val="Key Points-Bold"/>
    <w:basedOn w:val="Normal"/>
    <w:uiPriority w:val="10"/>
    <w:qFormat/>
    <w:rsid w:val="00947983"/>
    <w:pPr>
      <w:spacing w:before="40" w:after="60" w:line="274" w:lineRule="atLeast"/>
    </w:pPr>
    <w:rPr>
      <w:b/>
      <w:sz w:val="18"/>
    </w:rPr>
  </w:style>
  <w:style w:type="paragraph" w:customStyle="1" w:styleId="Copyrightpage-BodyBold">
    <w:name w:val="Copyright page-Body Bold"/>
    <w:basedOn w:val="Copyrightpage-BodyText"/>
    <w:uiPriority w:val="19"/>
    <w:rsid w:val="00947983"/>
    <w:rPr>
      <w:b/>
    </w:rPr>
  </w:style>
  <w:style w:type="paragraph" w:customStyle="1" w:styleId="KeyPoints-Bullet">
    <w:name w:val="Key Points-Bullet"/>
    <w:basedOn w:val="ListBullet"/>
    <w:uiPriority w:val="10"/>
    <w:qFormat/>
    <w:rsid w:val="00947983"/>
    <w:pPr>
      <w:spacing w:after="60" w:line="274" w:lineRule="atLeast"/>
    </w:pPr>
    <w:rPr>
      <w:sz w:val="18"/>
    </w:rPr>
  </w:style>
  <w:style w:type="paragraph" w:customStyle="1" w:styleId="BodyText-Grey">
    <w:name w:val="Body Text-Grey"/>
    <w:basedOn w:val="BodyText"/>
    <w:link w:val="BodyText-GreyChar"/>
    <w:semiHidden/>
    <w:qFormat/>
    <w:rsid w:val="00947983"/>
    <w:rPr>
      <w:color w:val="58585B"/>
    </w:rPr>
  </w:style>
  <w:style w:type="character" w:customStyle="1" w:styleId="BodyText-GreyChar">
    <w:name w:val="Body Text-Grey Char"/>
    <w:basedOn w:val="BodyTextChar"/>
    <w:link w:val="BodyText-Grey"/>
    <w:semiHidden/>
    <w:rsid w:val="00947983"/>
    <w:rPr>
      <w:rFonts w:ascii="Open Sans" w:hAnsi="Open Sans"/>
      <w:color w:val="58585B"/>
      <w:sz w:val="20"/>
      <w:szCs w:val="20"/>
    </w:rPr>
  </w:style>
  <w:style w:type="paragraph" w:styleId="BalloonText">
    <w:name w:val="Balloon Text"/>
    <w:basedOn w:val="Normal"/>
    <w:link w:val="BalloonTextChar"/>
    <w:uiPriority w:val="99"/>
    <w:semiHidden/>
    <w:unhideWhenUsed/>
    <w:rsid w:val="009479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7983"/>
    <w:rPr>
      <w:rFonts w:ascii="Segoe UI" w:hAnsi="Segoe UI" w:cs="Segoe UI"/>
      <w:sz w:val="18"/>
      <w:szCs w:val="18"/>
    </w:rPr>
  </w:style>
  <w:style w:type="character" w:styleId="CommentReference">
    <w:name w:val="annotation reference"/>
    <w:basedOn w:val="DefaultParagraphFont"/>
    <w:uiPriority w:val="99"/>
    <w:semiHidden/>
    <w:unhideWhenUsed/>
    <w:rsid w:val="00947983"/>
    <w:rPr>
      <w:sz w:val="16"/>
      <w:szCs w:val="16"/>
    </w:rPr>
  </w:style>
  <w:style w:type="paragraph" w:styleId="CommentText">
    <w:name w:val="annotation text"/>
    <w:basedOn w:val="Normal"/>
    <w:link w:val="CommentTextChar"/>
    <w:uiPriority w:val="99"/>
    <w:unhideWhenUsed/>
    <w:rsid w:val="00947983"/>
    <w:pPr>
      <w:spacing w:line="240" w:lineRule="auto"/>
    </w:pPr>
  </w:style>
  <w:style w:type="character" w:customStyle="1" w:styleId="CommentTextChar">
    <w:name w:val="Comment Text Char"/>
    <w:basedOn w:val="DefaultParagraphFont"/>
    <w:link w:val="CommentText"/>
    <w:uiPriority w:val="99"/>
    <w:rsid w:val="00947983"/>
    <w:rPr>
      <w:rFonts w:ascii="Open Sans" w:hAnsi="Open Sans"/>
      <w:sz w:val="20"/>
      <w:szCs w:val="20"/>
    </w:rPr>
  </w:style>
  <w:style w:type="paragraph" w:styleId="CommentSubject">
    <w:name w:val="annotation subject"/>
    <w:basedOn w:val="CommentText"/>
    <w:next w:val="CommentText"/>
    <w:link w:val="CommentSubjectChar"/>
    <w:uiPriority w:val="99"/>
    <w:semiHidden/>
    <w:unhideWhenUsed/>
    <w:rsid w:val="00947983"/>
    <w:rPr>
      <w:b/>
      <w:bCs/>
    </w:rPr>
  </w:style>
  <w:style w:type="character" w:customStyle="1" w:styleId="CommentSubjectChar">
    <w:name w:val="Comment Subject Char"/>
    <w:basedOn w:val="CommentTextChar"/>
    <w:link w:val="CommentSubject"/>
    <w:uiPriority w:val="99"/>
    <w:semiHidden/>
    <w:rsid w:val="00947983"/>
    <w:rPr>
      <w:rFonts w:ascii="Open Sans" w:hAnsi="Open Sans"/>
      <w:b/>
      <w:bCs/>
      <w:sz w:val="20"/>
      <w:szCs w:val="20"/>
    </w:rPr>
  </w:style>
  <w:style w:type="character" w:customStyle="1" w:styleId="ColourBlue">
    <w:name w:val="Colour Blue"/>
    <w:basedOn w:val="DefaultParagraphFont"/>
    <w:uiPriority w:val="22"/>
    <w:qFormat/>
    <w:rsid w:val="00947983"/>
    <w:rPr>
      <w:color w:val="2B9AC2" w:themeColor="text2"/>
    </w:rPr>
  </w:style>
  <w:style w:type="character" w:customStyle="1" w:styleId="ColourDarkBlue">
    <w:name w:val="Colour Dark Blue"/>
    <w:basedOn w:val="ColourBlue"/>
    <w:uiPriority w:val="22"/>
    <w:qFormat/>
    <w:rsid w:val="00947983"/>
    <w:rPr>
      <w:color w:val="265A9A" w:themeColor="background2"/>
    </w:rPr>
  </w:style>
  <w:style w:type="paragraph" w:customStyle="1" w:styleId="BodyText-Beforebullet">
    <w:name w:val="Body Text-Before bullet"/>
    <w:basedOn w:val="BodyText"/>
    <w:link w:val="BodyText-BeforebulletChar"/>
    <w:semiHidden/>
    <w:unhideWhenUsed/>
    <w:rsid w:val="00947983"/>
    <w:pPr>
      <w:spacing w:after="20"/>
    </w:pPr>
  </w:style>
  <w:style w:type="paragraph" w:customStyle="1" w:styleId="PullQuote">
    <w:name w:val="Pull Quote"/>
    <w:basedOn w:val="BodyText"/>
    <w:next w:val="BodyText"/>
    <w:uiPriority w:val="10"/>
    <w:qFormat/>
    <w:rsid w:val="00947983"/>
    <w:pPr>
      <w:spacing w:before="60"/>
      <w:ind w:left="113" w:right="1134"/>
    </w:pPr>
    <w:rPr>
      <w:rFonts w:ascii="Open Sans Extrabold" w:hAnsi="Open Sans Extrabold"/>
      <w:color w:val="207291" w:themeColor="text2" w:themeShade="BF"/>
      <w:sz w:val="24"/>
    </w:rPr>
  </w:style>
  <w:style w:type="character" w:customStyle="1" w:styleId="BodyText-BeforebulletChar">
    <w:name w:val="Body Text-Before bullet Char"/>
    <w:basedOn w:val="BodyTextChar"/>
    <w:link w:val="BodyText-Beforebullet"/>
    <w:semiHidden/>
    <w:rsid w:val="00947983"/>
    <w:rPr>
      <w:rFonts w:ascii="Open Sans" w:hAnsi="Open Sans"/>
      <w:sz w:val="20"/>
      <w:szCs w:val="20"/>
    </w:rPr>
  </w:style>
  <w:style w:type="paragraph" w:customStyle="1" w:styleId="TableHeading">
    <w:name w:val="Table Heading"/>
    <w:basedOn w:val="NoSpacing"/>
    <w:link w:val="TableHeadingChar"/>
    <w:uiPriority w:val="4"/>
    <w:qFormat/>
    <w:rsid w:val="00947983"/>
    <w:pPr>
      <w:spacing w:before="46" w:after="46"/>
      <w:ind w:left="57" w:right="108"/>
    </w:pPr>
    <w:rPr>
      <w:b/>
      <w:color w:val="132D4D" w:themeColor="background2" w:themeShade="80"/>
      <w:sz w:val="18"/>
    </w:rPr>
  </w:style>
  <w:style w:type="paragraph" w:customStyle="1" w:styleId="TableBody">
    <w:name w:val="Table Body"/>
    <w:basedOn w:val="NoSpacing"/>
    <w:uiPriority w:val="4"/>
    <w:qFormat/>
    <w:rsid w:val="00947983"/>
    <w:pPr>
      <w:spacing w:before="46" w:after="46"/>
      <w:ind w:left="57"/>
    </w:pPr>
    <w:rPr>
      <w:sz w:val="18"/>
    </w:rPr>
  </w:style>
  <w:style w:type="paragraph" w:styleId="Revision">
    <w:name w:val="Revision"/>
    <w:hidden/>
    <w:uiPriority w:val="99"/>
    <w:semiHidden/>
    <w:rsid w:val="008D19FD"/>
    <w:pPr>
      <w:spacing w:after="0" w:line="240" w:lineRule="auto"/>
    </w:pPr>
    <w:rPr>
      <w:sz w:val="20"/>
      <w:szCs w:val="20"/>
    </w:rPr>
  </w:style>
  <w:style w:type="paragraph" w:customStyle="1" w:styleId="KeyPointsicon">
    <w:name w:val="Key Points icon"/>
    <w:basedOn w:val="Normal"/>
    <w:uiPriority w:val="10"/>
    <w:qFormat/>
    <w:rsid w:val="00947983"/>
    <w:pPr>
      <w:spacing w:before="60"/>
      <w:jc w:val="right"/>
    </w:pPr>
  </w:style>
  <w:style w:type="paragraph" w:customStyle="1" w:styleId="FigureTableSubheading">
    <w:name w:val="Figure/Table Subheading"/>
    <w:basedOn w:val="FigureTableHeading"/>
    <w:uiPriority w:val="4"/>
    <w:qFormat/>
    <w:rsid w:val="00947983"/>
    <w:pPr>
      <w:spacing w:before="40"/>
    </w:pPr>
    <w:rPr>
      <w:color w:val="58585B"/>
    </w:rPr>
  </w:style>
  <w:style w:type="table" w:customStyle="1" w:styleId="TextTable-Grey">
    <w:name w:val="Text Table-Grey"/>
    <w:basedOn w:val="Texttable-Paleblue"/>
    <w:uiPriority w:val="99"/>
    <w:rsid w:val="00947983"/>
    <w:rPr>
      <w:color w:val="265A9A" w:themeColor="background2"/>
    </w:rPr>
    <w:tblPr/>
    <w:tcPr>
      <w:shd w:val="clear" w:color="auto" w:fill="F2F2F2"/>
    </w:tcPr>
  </w:style>
  <w:style w:type="character" w:customStyle="1" w:styleId="BodyText-BlueChar">
    <w:name w:val="Body Text-Blue Char"/>
    <w:basedOn w:val="BodyTextChar"/>
    <w:link w:val="BodyText-Blue"/>
    <w:semiHidden/>
    <w:rsid w:val="00947983"/>
    <w:rPr>
      <w:rFonts w:ascii="Open Sans" w:hAnsi="Open Sans"/>
      <w:color w:val="265A9A" w:themeColor="background2"/>
      <w:sz w:val="20"/>
      <w:szCs w:val="20"/>
    </w:rPr>
  </w:style>
  <w:style w:type="paragraph" w:customStyle="1" w:styleId="Heading3-nonumber">
    <w:name w:val="Heading 3-no number"/>
    <w:basedOn w:val="Heading3"/>
    <w:uiPriority w:val="9"/>
    <w:semiHidden/>
    <w:qFormat/>
    <w:rsid w:val="00947983"/>
  </w:style>
  <w:style w:type="paragraph" w:customStyle="1" w:styleId="Heading1-nobackground">
    <w:name w:val="Heading 1-no background"/>
    <w:basedOn w:val="Heading1"/>
    <w:next w:val="BodyText"/>
    <w:uiPriority w:val="9"/>
    <w:qFormat/>
    <w:rsid w:val="00947983"/>
    <w:pPr>
      <w:pBdr>
        <w:top w:val="none" w:sz="0" w:space="0" w:color="auto"/>
        <w:left w:val="none" w:sz="0" w:space="0" w:color="auto"/>
        <w:bottom w:val="none" w:sz="0" w:space="0" w:color="auto"/>
        <w:right w:val="none" w:sz="0" w:space="0" w:color="auto"/>
      </w:pBdr>
      <w:shd w:val="clear" w:color="auto" w:fill="auto"/>
      <w:spacing w:before="600"/>
      <w:ind w:left="0" w:right="0" w:firstLine="0"/>
    </w:pPr>
  </w:style>
  <w:style w:type="character" w:customStyle="1" w:styleId="QuoteChar">
    <w:name w:val="Quote Char"/>
    <w:basedOn w:val="DefaultParagraphFont"/>
    <w:link w:val="Quote"/>
    <w:uiPriority w:val="1"/>
    <w:rsid w:val="00947983"/>
    <w:rPr>
      <w:rFonts w:ascii="Open Sans" w:hAnsi="Open Sans"/>
      <w:color w:val="58585B"/>
      <w:sz w:val="20"/>
      <w:szCs w:val="20"/>
    </w:rPr>
  </w:style>
  <w:style w:type="paragraph" w:customStyle="1" w:styleId="TableHeading-numbered">
    <w:name w:val="Table Heading-numbered"/>
    <w:basedOn w:val="Normal"/>
    <w:semiHidden/>
    <w:qFormat/>
    <w:rsid w:val="00947983"/>
    <w:pPr>
      <w:numPr>
        <w:numId w:val="17"/>
      </w:numPr>
      <w:spacing w:before="60"/>
      <w:contextualSpacing/>
    </w:pPr>
    <w:rPr>
      <w:b/>
      <w:color w:val="265A9A" w:themeColor="background2"/>
    </w:rPr>
  </w:style>
  <w:style w:type="numbering" w:customStyle="1" w:styleId="TableList">
    <w:name w:val="TableList"/>
    <w:uiPriority w:val="99"/>
    <w:rsid w:val="00947983"/>
    <w:pPr>
      <w:numPr>
        <w:numId w:val="9"/>
      </w:numPr>
    </w:pPr>
  </w:style>
  <w:style w:type="paragraph" w:customStyle="1" w:styleId="Footer-right">
    <w:name w:val="Footer-right"/>
    <w:basedOn w:val="Footer"/>
    <w:uiPriority w:val="11"/>
    <w:rsid w:val="00947983"/>
    <w:pPr>
      <w:jc w:val="right"/>
    </w:pPr>
    <w:rPr>
      <w:szCs w:val="24"/>
    </w:rPr>
  </w:style>
  <w:style w:type="paragraph" w:customStyle="1" w:styleId="Heading2-nonumber">
    <w:name w:val="Heading 2-no number"/>
    <w:basedOn w:val="Heading2"/>
    <w:uiPriority w:val="9"/>
    <w:qFormat/>
    <w:rsid w:val="00947983"/>
    <w:pPr>
      <w:ind w:left="0" w:firstLine="0"/>
    </w:pPr>
  </w:style>
  <w:style w:type="paragraph" w:customStyle="1" w:styleId="Heading-Appendix">
    <w:name w:val="Heading-Appendix"/>
    <w:basedOn w:val="Heading1-nonumber"/>
    <w:next w:val="BodyText"/>
    <w:uiPriority w:val="9"/>
    <w:qFormat/>
    <w:rsid w:val="00947983"/>
    <w:pPr>
      <w:numPr>
        <w:numId w:val="12"/>
      </w:numPr>
    </w:pPr>
  </w:style>
  <w:style w:type="numbering" w:customStyle="1" w:styleId="AppendixHeading">
    <w:name w:val="AppendixHeading"/>
    <w:uiPriority w:val="99"/>
    <w:rsid w:val="00947983"/>
    <w:pPr>
      <w:numPr>
        <w:numId w:val="10"/>
      </w:numPr>
    </w:pPr>
  </w:style>
  <w:style w:type="paragraph" w:customStyle="1" w:styleId="DraftingNote">
    <w:name w:val="Drafting Note"/>
    <w:basedOn w:val="BodyText"/>
    <w:link w:val="DraftingNoteChar"/>
    <w:qFormat/>
    <w:rsid w:val="00947983"/>
    <w:pPr>
      <w:contextualSpacing/>
    </w:pPr>
    <w:rPr>
      <w:color w:val="A22D2B"/>
      <w:sz w:val="24"/>
      <w:u w:val="dotted"/>
    </w:rPr>
  </w:style>
  <w:style w:type="character" w:customStyle="1" w:styleId="DraftingNoteChar">
    <w:name w:val="Drafting Note Char"/>
    <w:basedOn w:val="BodyTextChar"/>
    <w:link w:val="DraftingNote"/>
    <w:rsid w:val="00947983"/>
    <w:rPr>
      <w:rFonts w:ascii="Open Sans" w:hAnsi="Open Sans"/>
      <w:color w:val="A22D2B"/>
      <w:sz w:val="24"/>
      <w:szCs w:val="20"/>
      <w:u w:val="dotted"/>
    </w:rPr>
  </w:style>
  <w:style w:type="paragraph" w:customStyle="1" w:styleId="BoxHeading1">
    <w:name w:val="Box Heading 1"/>
    <w:basedOn w:val="FigureTableHeading"/>
    <w:next w:val="BodyText"/>
    <w:uiPriority w:val="4"/>
    <w:qFormat/>
    <w:rsid w:val="00947983"/>
    <w:pPr>
      <w:spacing w:after="0"/>
    </w:pPr>
  </w:style>
  <w:style w:type="character" w:styleId="Emphasis">
    <w:name w:val="Emphasis"/>
    <w:basedOn w:val="DefaultParagraphFont"/>
    <w:uiPriority w:val="22"/>
    <w:qFormat/>
    <w:rsid w:val="00947983"/>
    <w:rPr>
      <w:i/>
      <w:iCs/>
    </w:rPr>
  </w:style>
  <w:style w:type="paragraph" w:customStyle="1" w:styleId="Reference">
    <w:name w:val="Reference"/>
    <w:basedOn w:val="BodyText"/>
    <w:qFormat/>
    <w:rsid w:val="00947983"/>
    <w:pPr>
      <w:spacing w:before="0" w:after="60" w:line="200" w:lineRule="exact"/>
    </w:pPr>
    <w:rPr>
      <w:sz w:val="16"/>
    </w:rPr>
  </w:style>
  <w:style w:type="paragraph" w:customStyle="1" w:styleId="Keypoints-heading">
    <w:name w:val="Key points-heading"/>
    <w:basedOn w:val="Heading3"/>
    <w:uiPriority w:val="10"/>
    <w:qFormat/>
    <w:rsid w:val="00947983"/>
    <w:rPr>
      <w:color w:val="auto"/>
    </w:rPr>
  </w:style>
  <w:style w:type="paragraph" w:customStyle="1" w:styleId="Heading2-Appendix">
    <w:name w:val="Heading 2-Appendix"/>
    <w:basedOn w:val="Heading2-nonumber"/>
    <w:next w:val="Normal"/>
    <w:uiPriority w:val="10"/>
    <w:qFormat/>
    <w:rsid w:val="00947983"/>
    <w:pPr>
      <w:numPr>
        <w:ilvl w:val="1"/>
        <w:numId w:val="12"/>
      </w:numPr>
    </w:pPr>
  </w:style>
  <w:style w:type="numbering" w:customStyle="1" w:styleId="AppendixHeadingList">
    <w:name w:val="Appendix Heading List"/>
    <w:uiPriority w:val="99"/>
    <w:rsid w:val="00947983"/>
    <w:pPr>
      <w:numPr>
        <w:numId w:val="11"/>
      </w:numPr>
    </w:pPr>
  </w:style>
  <w:style w:type="paragraph" w:customStyle="1" w:styleId="Space">
    <w:name w:val="Space"/>
    <w:basedOn w:val="BodyText"/>
    <w:uiPriority w:val="1"/>
    <w:rsid w:val="00947983"/>
    <w:pPr>
      <w:spacing w:before="0" w:after="0"/>
    </w:pPr>
  </w:style>
  <w:style w:type="paragraph" w:customStyle="1" w:styleId="QuoteBullet">
    <w:name w:val="Quote Bullet"/>
    <w:basedOn w:val="ListBullet"/>
    <w:link w:val="QuoteBulletChar"/>
    <w:uiPriority w:val="1"/>
    <w:qFormat/>
    <w:rsid w:val="00947983"/>
    <w:pPr>
      <w:spacing w:before="60"/>
      <w:ind w:left="340" w:right="851"/>
    </w:pPr>
    <w:rPr>
      <w:color w:val="58585B"/>
    </w:rPr>
  </w:style>
  <w:style w:type="character" w:customStyle="1" w:styleId="ListBulletChar">
    <w:name w:val="List Bullet Char"/>
    <w:basedOn w:val="DefaultParagraphFont"/>
    <w:link w:val="ListBullet"/>
    <w:uiPriority w:val="1"/>
    <w:rsid w:val="008E157A"/>
    <w:rPr>
      <w:rFonts w:ascii="Open Sans" w:hAnsi="Open Sans"/>
      <w:sz w:val="20"/>
      <w:szCs w:val="20"/>
    </w:rPr>
  </w:style>
  <w:style w:type="character" w:customStyle="1" w:styleId="QuoteBulletChar">
    <w:name w:val="Quote Bullet Char"/>
    <w:basedOn w:val="ListBulletChar"/>
    <w:link w:val="QuoteBullet"/>
    <w:uiPriority w:val="1"/>
    <w:rsid w:val="00947983"/>
    <w:rPr>
      <w:rFonts w:ascii="Open Sans" w:hAnsi="Open Sans"/>
      <w:color w:val="58585B"/>
      <w:sz w:val="20"/>
      <w:szCs w:val="20"/>
    </w:rPr>
  </w:style>
  <w:style w:type="paragraph" w:customStyle="1" w:styleId="Figurecharttitle">
    <w:name w:val="Figure chart title"/>
    <w:basedOn w:val="BodyText"/>
    <w:uiPriority w:val="10"/>
    <w:qFormat/>
    <w:rsid w:val="00947983"/>
    <w:pPr>
      <w:spacing w:before="0" w:after="0"/>
      <w:ind w:left="284" w:hanging="284"/>
    </w:pPr>
    <w:rPr>
      <w:sz w:val="18"/>
      <w:szCs w:val="18"/>
    </w:rPr>
  </w:style>
  <w:style w:type="paragraph" w:customStyle="1" w:styleId="PullQuoteNoSpacing">
    <w:name w:val="Pull Quote No Spacing"/>
    <w:basedOn w:val="NoSpacing"/>
    <w:link w:val="PullQuoteNoSpacingChar"/>
    <w:uiPriority w:val="10"/>
    <w:qFormat/>
    <w:rsid w:val="00947983"/>
    <w:pPr>
      <w:spacing w:line="160" w:lineRule="exact"/>
    </w:pPr>
  </w:style>
  <w:style w:type="character" w:customStyle="1" w:styleId="PullQuoteNoSpacingChar">
    <w:name w:val="Pull Quote No Spacing Char"/>
    <w:basedOn w:val="NoSpacingChar"/>
    <w:link w:val="PullQuoteNoSpacing"/>
    <w:uiPriority w:val="10"/>
    <w:rsid w:val="00947983"/>
    <w:rPr>
      <w:rFonts w:ascii="Open Sans" w:hAnsi="Open Sans"/>
      <w:sz w:val="20"/>
      <w:szCs w:val="20"/>
    </w:rPr>
  </w:style>
  <w:style w:type="paragraph" w:customStyle="1" w:styleId="PullQuote-Indigenous">
    <w:name w:val="Pull Quote-Indigenous"/>
    <w:basedOn w:val="PullQuote"/>
    <w:uiPriority w:val="10"/>
    <w:qFormat/>
    <w:rsid w:val="00947983"/>
    <w:pPr>
      <w:ind w:right="680"/>
    </w:pPr>
    <w:rPr>
      <w:rFonts w:ascii="Open Sans" w:hAnsi="Open Sans" w:cs="Arial"/>
      <w:color w:val="auto"/>
      <w:spacing w:val="6"/>
      <w:sz w:val="22"/>
      <w:szCs w:val="22"/>
    </w:rPr>
  </w:style>
  <w:style w:type="paragraph" w:customStyle="1" w:styleId="CoverdisclaimerwhiteCover">
    <w:name w:val="Cover – disclaimer (white) (Cover)"/>
    <w:basedOn w:val="Normal"/>
    <w:uiPriority w:val="99"/>
    <w:rsid w:val="00947983"/>
    <w:pPr>
      <w:tabs>
        <w:tab w:val="left" w:pos="170"/>
        <w:tab w:val="left" w:pos="6236"/>
      </w:tabs>
      <w:suppressAutoHyphens/>
      <w:autoSpaceDE w:val="0"/>
      <w:autoSpaceDN w:val="0"/>
      <w:adjustRightInd w:val="0"/>
      <w:spacing w:before="0" w:after="0" w:line="288" w:lineRule="auto"/>
      <w:textAlignment w:val="center"/>
    </w:pPr>
    <w:rPr>
      <w:rFonts w:cs="Open Sans"/>
      <w:color w:val="FFFFFF" w:themeColor="background1"/>
      <w:sz w:val="18"/>
      <w:szCs w:val="18"/>
      <w:lang w:val="en-US"/>
    </w:rPr>
  </w:style>
  <w:style w:type="character" w:customStyle="1" w:styleId="TableHeadingChar">
    <w:name w:val="Table Heading Char"/>
    <w:basedOn w:val="NoSpacingChar"/>
    <w:link w:val="TableHeading"/>
    <w:uiPriority w:val="4"/>
    <w:rsid w:val="00947983"/>
    <w:rPr>
      <w:rFonts w:ascii="Open Sans" w:hAnsi="Open Sans"/>
      <w:b/>
      <w:color w:val="132D4D" w:themeColor="background2" w:themeShade="80"/>
      <w:sz w:val="18"/>
      <w:szCs w:val="20"/>
    </w:rPr>
  </w:style>
  <w:style w:type="paragraph" w:customStyle="1" w:styleId="FindingRecRequesttitle">
    <w:name w:val="Finding/Rec/Request title"/>
    <w:basedOn w:val="TableHeading"/>
    <w:link w:val="FindingRecRequesttitleChar"/>
    <w:uiPriority w:val="10"/>
    <w:qFormat/>
    <w:rsid w:val="00947983"/>
    <w:pPr>
      <w:keepNext/>
      <w:keepLines/>
      <w:spacing w:before="120" w:after="120"/>
      <w:contextualSpacing/>
    </w:pPr>
    <w:rPr>
      <w:color w:val="265A9A" w:themeColor="background2"/>
      <w:sz w:val="20"/>
    </w:rPr>
  </w:style>
  <w:style w:type="character" w:customStyle="1" w:styleId="FindingRecRequesttitleChar">
    <w:name w:val="Finding/Rec/Request title Char"/>
    <w:basedOn w:val="TableHeadingChar"/>
    <w:link w:val="FindingRecRequesttitle"/>
    <w:uiPriority w:val="10"/>
    <w:rsid w:val="00947983"/>
    <w:rPr>
      <w:rFonts w:ascii="Open Sans" w:hAnsi="Open Sans"/>
      <w:b/>
      <w:color w:val="265A9A" w:themeColor="background2"/>
      <w:sz w:val="20"/>
      <w:szCs w:val="20"/>
    </w:rPr>
  </w:style>
  <w:style w:type="paragraph" w:customStyle="1" w:styleId="Subtitle4">
    <w:name w:val="Subtitle 4"/>
    <w:basedOn w:val="Copyrightpage-Heading"/>
    <w:link w:val="Subtitle4Char"/>
    <w:uiPriority w:val="39"/>
    <w:rsid w:val="0007750C"/>
    <w:pPr>
      <w:spacing w:after="40"/>
    </w:pPr>
    <w:rPr>
      <w:b/>
      <w:color w:val="132D4D" w:themeColor="background2" w:themeShade="80"/>
      <w:sz w:val="16"/>
    </w:rPr>
  </w:style>
  <w:style w:type="character" w:customStyle="1" w:styleId="Subtitle4Char">
    <w:name w:val="Subtitle 4 Char"/>
    <w:basedOn w:val="Copyrightpage-HeadingChar"/>
    <w:link w:val="Subtitle4"/>
    <w:uiPriority w:val="39"/>
    <w:rsid w:val="0007750C"/>
    <w:rPr>
      <w:rFonts w:ascii="Open Sans Semibold" w:hAnsi="Open Sans Semibold"/>
      <w:b/>
      <w:color w:val="132D4D" w:themeColor="background2" w:themeShade="80"/>
      <w:spacing w:val="4"/>
      <w:sz w:val="16"/>
      <w:szCs w:val="18"/>
    </w:rPr>
  </w:style>
  <w:style w:type="character" w:styleId="FollowedHyperlink">
    <w:name w:val="FollowedHyperlink"/>
    <w:basedOn w:val="DefaultParagraphFont"/>
    <w:uiPriority w:val="99"/>
    <w:semiHidden/>
    <w:unhideWhenUsed/>
    <w:rsid w:val="0007750C"/>
    <w:rPr>
      <w:color w:val="BFBFBF" w:themeColor="followedHyperlink"/>
      <w:u w:val="single"/>
    </w:rPr>
  </w:style>
  <w:style w:type="character" w:styleId="EndnoteReference">
    <w:name w:val="endnote reference"/>
    <w:basedOn w:val="DefaultParagraphFont"/>
    <w:uiPriority w:val="99"/>
    <w:semiHidden/>
    <w:unhideWhenUsed/>
    <w:rsid w:val="0007750C"/>
    <w:rPr>
      <w:vertAlign w:val="superscript"/>
    </w:rPr>
  </w:style>
  <w:style w:type="character" w:styleId="Mention">
    <w:name w:val="Mention"/>
    <w:basedOn w:val="DefaultParagraphFont"/>
    <w:uiPriority w:val="99"/>
    <w:unhideWhenUsed/>
    <w:rsid w:val="0007750C"/>
    <w:rPr>
      <w:color w:val="2B579A"/>
      <w:shd w:val="clear" w:color="auto" w:fill="E1DFDD"/>
    </w:rPr>
  </w:style>
  <w:style w:type="paragraph" w:customStyle="1" w:styleId="Findingtitle">
    <w:name w:val="Finding title"/>
    <w:basedOn w:val="TableHeading"/>
    <w:link w:val="FindingtitleChar"/>
    <w:uiPriority w:val="10"/>
    <w:qFormat/>
    <w:rsid w:val="000C5687"/>
    <w:pPr>
      <w:keepNext/>
      <w:keepLines/>
      <w:spacing w:before="120" w:after="120"/>
      <w:contextualSpacing/>
    </w:pPr>
    <w:rPr>
      <w:color w:val="265A9A" w:themeColor="background2"/>
      <w:sz w:val="20"/>
    </w:rPr>
  </w:style>
  <w:style w:type="character" w:customStyle="1" w:styleId="FindingtitleChar">
    <w:name w:val="Finding title Char"/>
    <w:basedOn w:val="TableHeadingChar"/>
    <w:link w:val="Findingtitle"/>
    <w:uiPriority w:val="10"/>
    <w:rsid w:val="000C5687"/>
    <w:rPr>
      <w:rFonts w:ascii="Open Sans" w:hAnsi="Open Sans"/>
      <w:b/>
      <w:color w:val="265A9A" w:themeColor="background2"/>
      <w:sz w:val="20"/>
      <w:szCs w:val="20"/>
    </w:rPr>
  </w:style>
  <w:style w:type="paragraph" w:styleId="Bibliography">
    <w:name w:val="Bibliography"/>
    <w:basedOn w:val="Normal"/>
    <w:next w:val="Normal"/>
    <w:uiPriority w:val="37"/>
    <w:unhideWhenUsed/>
    <w:rsid w:val="000C5687"/>
    <w:pPr>
      <w:spacing w:after="240" w:line="240" w:lineRule="atLeast"/>
      <w:ind w:left="720" w:hanging="720"/>
    </w:pPr>
  </w:style>
  <w:style w:type="character" w:customStyle="1" w:styleId="normaltextrun">
    <w:name w:val="normaltextrun"/>
    <w:basedOn w:val="DefaultParagraphFont"/>
    <w:rsid w:val="000A62ED"/>
  </w:style>
  <w:style w:type="character" w:customStyle="1" w:styleId="eop">
    <w:name w:val="eop"/>
    <w:basedOn w:val="DefaultParagraphFont"/>
    <w:rsid w:val="000A62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pc.gov.au/inquiries-and-research/gst-reforms/submissions/" TargetMode="External"/><Relationship Id="rId21" Type="http://schemas.openxmlformats.org/officeDocument/2006/relationships/hyperlink" Target="https://www.pc.gov.au" TargetMode="External"/><Relationship Id="rId42" Type="http://schemas.openxmlformats.org/officeDocument/2006/relationships/header" Target="header15.xml"/><Relationship Id="rId63" Type="http://schemas.openxmlformats.org/officeDocument/2006/relationships/image" Target="media/image20.emf"/><Relationship Id="rId84" Type="http://schemas.openxmlformats.org/officeDocument/2006/relationships/image" Target="media/image35.emf"/><Relationship Id="rId16" Type="http://schemas.openxmlformats.org/officeDocument/2006/relationships/footer" Target="footer1.xml"/><Relationship Id="rId107" Type="http://schemas.openxmlformats.org/officeDocument/2006/relationships/header" Target="header28.xml"/><Relationship Id="rId11" Type="http://schemas.openxmlformats.org/officeDocument/2006/relationships/webSettings" Target="webSettings.xml"/><Relationship Id="rId32" Type="http://schemas.openxmlformats.org/officeDocument/2006/relationships/header" Target="header8.xml"/><Relationship Id="rId37" Type="http://schemas.openxmlformats.org/officeDocument/2006/relationships/header" Target="header11.xml"/><Relationship Id="rId53" Type="http://schemas.openxmlformats.org/officeDocument/2006/relationships/image" Target="media/image10.emf"/><Relationship Id="rId58" Type="http://schemas.openxmlformats.org/officeDocument/2006/relationships/image" Target="media/image15.emf"/><Relationship Id="rId74" Type="http://schemas.openxmlformats.org/officeDocument/2006/relationships/footer" Target="footer10.xml"/><Relationship Id="rId79" Type="http://schemas.openxmlformats.org/officeDocument/2006/relationships/image" Target="media/image30.emf"/><Relationship Id="rId102" Type="http://schemas.openxmlformats.org/officeDocument/2006/relationships/image" Target="media/image47.svg"/><Relationship Id="rId123" Type="http://schemas.openxmlformats.org/officeDocument/2006/relationships/footer" Target="footer20.xml"/><Relationship Id="rId128" Type="http://schemas.openxmlformats.org/officeDocument/2006/relationships/footer" Target="footer22.xml"/><Relationship Id="rId5" Type="http://schemas.openxmlformats.org/officeDocument/2006/relationships/customXml" Target="../customXml/item5.xml"/><Relationship Id="rId90" Type="http://schemas.openxmlformats.org/officeDocument/2006/relationships/footer" Target="footer13.xml"/><Relationship Id="rId95" Type="http://schemas.openxmlformats.org/officeDocument/2006/relationships/image" Target="media/image40.emf"/><Relationship Id="rId22" Type="http://schemas.openxmlformats.org/officeDocument/2006/relationships/image" Target="media/image3.png"/><Relationship Id="rId27" Type="http://schemas.openxmlformats.org/officeDocument/2006/relationships/footer" Target="footer4.xml"/><Relationship Id="rId43" Type="http://schemas.openxmlformats.org/officeDocument/2006/relationships/image" Target="media/image5.emf"/><Relationship Id="rId48" Type="http://schemas.openxmlformats.org/officeDocument/2006/relationships/footer" Target="footer9.xml"/><Relationship Id="rId64" Type="http://schemas.openxmlformats.org/officeDocument/2006/relationships/header" Target="header19.xml"/><Relationship Id="rId69" Type="http://schemas.openxmlformats.org/officeDocument/2006/relationships/image" Target="media/image25.emf"/><Relationship Id="rId113" Type="http://schemas.openxmlformats.org/officeDocument/2006/relationships/footer" Target="footer17.xml"/><Relationship Id="rId118" Type="http://schemas.openxmlformats.org/officeDocument/2006/relationships/header" Target="header33.xml"/><Relationship Id="rId80" Type="http://schemas.openxmlformats.org/officeDocument/2006/relationships/image" Target="media/image31.emf"/><Relationship Id="rId85" Type="http://schemas.openxmlformats.org/officeDocument/2006/relationships/image" Target="media/image36.emf"/><Relationship Id="rId12" Type="http://schemas.openxmlformats.org/officeDocument/2006/relationships/footnotes" Target="footnotes.xml"/><Relationship Id="rId17" Type="http://schemas.openxmlformats.org/officeDocument/2006/relationships/footer" Target="footer2.xml"/><Relationship Id="rId33" Type="http://schemas.openxmlformats.org/officeDocument/2006/relationships/footer" Target="footer6.xml"/><Relationship Id="rId38" Type="http://schemas.openxmlformats.org/officeDocument/2006/relationships/header" Target="header12.xml"/><Relationship Id="rId59" Type="http://schemas.openxmlformats.org/officeDocument/2006/relationships/image" Target="media/image16.png"/><Relationship Id="rId103" Type="http://schemas.openxmlformats.org/officeDocument/2006/relationships/header" Target="header26.xml"/><Relationship Id="rId108" Type="http://schemas.openxmlformats.org/officeDocument/2006/relationships/image" Target="media/image49.emf"/><Relationship Id="rId124" Type="http://schemas.openxmlformats.org/officeDocument/2006/relationships/header" Target="header37.xml"/><Relationship Id="rId129" Type="http://schemas.openxmlformats.org/officeDocument/2006/relationships/header" Target="header40.xml"/><Relationship Id="rId54" Type="http://schemas.openxmlformats.org/officeDocument/2006/relationships/image" Target="media/image11.emf"/><Relationship Id="rId70" Type="http://schemas.openxmlformats.org/officeDocument/2006/relationships/image" Target="media/image26.emf"/><Relationship Id="rId75" Type="http://schemas.openxmlformats.org/officeDocument/2006/relationships/footer" Target="footer11.xml"/><Relationship Id="rId91" Type="http://schemas.openxmlformats.org/officeDocument/2006/relationships/header" Target="header25.xml"/><Relationship Id="rId96" Type="http://schemas.openxmlformats.org/officeDocument/2006/relationships/image" Target="media/image41.emf"/><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image" Target="media/image4.svg"/><Relationship Id="rId28" Type="http://schemas.openxmlformats.org/officeDocument/2006/relationships/footer" Target="footer5.xml"/><Relationship Id="rId49" Type="http://schemas.openxmlformats.org/officeDocument/2006/relationships/header" Target="header18.xml"/><Relationship Id="rId114" Type="http://schemas.openxmlformats.org/officeDocument/2006/relationships/footer" Target="footer18.xml"/><Relationship Id="rId119" Type="http://schemas.openxmlformats.org/officeDocument/2006/relationships/header" Target="header34.xml"/><Relationship Id="rId44" Type="http://schemas.openxmlformats.org/officeDocument/2006/relationships/image" Target="media/image6.emf"/><Relationship Id="rId60" Type="http://schemas.openxmlformats.org/officeDocument/2006/relationships/image" Target="media/image17.emf"/><Relationship Id="rId65" Type="http://schemas.openxmlformats.org/officeDocument/2006/relationships/image" Target="media/image21.emf"/><Relationship Id="rId81" Type="http://schemas.openxmlformats.org/officeDocument/2006/relationships/image" Target="media/image32.emf"/><Relationship Id="rId86" Type="http://schemas.openxmlformats.org/officeDocument/2006/relationships/image" Target="media/image37.emf"/><Relationship Id="rId130" Type="http://schemas.openxmlformats.org/officeDocument/2006/relationships/footer" Target="footer23.xml"/><Relationship Id="rId13" Type="http://schemas.openxmlformats.org/officeDocument/2006/relationships/endnotes" Target="endnotes.xml"/><Relationship Id="rId18" Type="http://schemas.openxmlformats.org/officeDocument/2006/relationships/header" Target="header3.xml"/><Relationship Id="rId39" Type="http://schemas.openxmlformats.org/officeDocument/2006/relationships/header" Target="header13.xml"/><Relationship Id="rId109" Type="http://schemas.openxmlformats.org/officeDocument/2006/relationships/image" Target="media/image50.emf"/><Relationship Id="rId34" Type="http://schemas.openxmlformats.org/officeDocument/2006/relationships/footer" Target="footer7.xml"/><Relationship Id="rId50" Type="http://schemas.openxmlformats.org/officeDocument/2006/relationships/image" Target="media/image7.emf"/><Relationship Id="rId55" Type="http://schemas.openxmlformats.org/officeDocument/2006/relationships/image" Target="media/image12.emf"/><Relationship Id="rId76" Type="http://schemas.openxmlformats.org/officeDocument/2006/relationships/header" Target="header22.xml"/><Relationship Id="rId97" Type="http://schemas.openxmlformats.org/officeDocument/2006/relationships/image" Target="media/image42.emf"/><Relationship Id="rId104" Type="http://schemas.openxmlformats.org/officeDocument/2006/relationships/footer" Target="footer15.xml"/><Relationship Id="rId120" Type="http://schemas.openxmlformats.org/officeDocument/2006/relationships/header" Target="header35.xml"/><Relationship Id="rId125" Type="http://schemas.openxmlformats.org/officeDocument/2006/relationships/header" Target="header38.xml"/><Relationship Id="rId7" Type="http://schemas.openxmlformats.org/officeDocument/2006/relationships/customXml" Target="../customXml/item7.xml"/><Relationship Id="rId71" Type="http://schemas.openxmlformats.org/officeDocument/2006/relationships/image" Target="media/image27.emf"/><Relationship Id="rId92" Type="http://schemas.openxmlformats.org/officeDocument/2006/relationships/footer" Target="footer14.xml"/><Relationship Id="rId2" Type="http://schemas.openxmlformats.org/officeDocument/2006/relationships/customXml" Target="../customXml/item2.xml"/><Relationship Id="rId29" Type="http://schemas.openxmlformats.org/officeDocument/2006/relationships/header" Target="header6.xml"/><Relationship Id="rId24" Type="http://schemas.openxmlformats.org/officeDocument/2006/relationships/hyperlink" Target="mailto:publications@pc.gov.au" TargetMode="External"/><Relationship Id="rId40" Type="http://schemas.openxmlformats.org/officeDocument/2006/relationships/hyperlink" Target="https://www.pc.gov.au/inquiries-and-research/gst-reforms/" TargetMode="External"/><Relationship Id="rId45" Type="http://schemas.openxmlformats.org/officeDocument/2006/relationships/header" Target="header16.xml"/><Relationship Id="rId66" Type="http://schemas.openxmlformats.org/officeDocument/2006/relationships/image" Target="media/image22.emf"/><Relationship Id="rId87" Type="http://schemas.openxmlformats.org/officeDocument/2006/relationships/header" Target="header23.xml"/><Relationship Id="rId110" Type="http://schemas.openxmlformats.org/officeDocument/2006/relationships/image" Target="media/image51.emf"/><Relationship Id="rId115" Type="http://schemas.openxmlformats.org/officeDocument/2006/relationships/header" Target="header31.xml"/><Relationship Id="rId131" Type="http://schemas.openxmlformats.org/officeDocument/2006/relationships/fontTable" Target="fontTable.xml"/><Relationship Id="rId61" Type="http://schemas.openxmlformats.org/officeDocument/2006/relationships/image" Target="media/image18.emf"/><Relationship Id="rId82" Type="http://schemas.openxmlformats.org/officeDocument/2006/relationships/image" Target="media/image33.emf"/><Relationship Id="rId19" Type="http://schemas.openxmlformats.org/officeDocument/2006/relationships/footer" Target="footer3.xml"/><Relationship Id="rId14" Type="http://schemas.openxmlformats.org/officeDocument/2006/relationships/header" Target="header1.xml"/><Relationship Id="rId30" Type="http://schemas.openxmlformats.org/officeDocument/2006/relationships/hyperlink" Target="https://www.pc.gov.au/inquiries-and-research/gst-reforms/" TargetMode="External"/><Relationship Id="rId35" Type="http://schemas.openxmlformats.org/officeDocument/2006/relationships/header" Target="header9.xml"/><Relationship Id="rId56" Type="http://schemas.openxmlformats.org/officeDocument/2006/relationships/image" Target="media/image13.emf"/><Relationship Id="rId77" Type="http://schemas.openxmlformats.org/officeDocument/2006/relationships/image" Target="media/image28.emf"/><Relationship Id="rId100" Type="http://schemas.openxmlformats.org/officeDocument/2006/relationships/image" Target="media/image45.emf"/><Relationship Id="rId105" Type="http://schemas.openxmlformats.org/officeDocument/2006/relationships/footer" Target="footer16.xml"/><Relationship Id="rId126" Type="http://schemas.openxmlformats.org/officeDocument/2006/relationships/header" Target="header39.xml"/><Relationship Id="rId8" Type="http://schemas.openxmlformats.org/officeDocument/2006/relationships/numbering" Target="numbering.xml"/><Relationship Id="rId51" Type="http://schemas.openxmlformats.org/officeDocument/2006/relationships/image" Target="media/image8.emf"/><Relationship Id="rId72" Type="http://schemas.openxmlformats.org/officeDocument/2006/relationships/header" Target="header20.xml"/><Relationship Id="rId93" Type="http://schemas.openxmlformats.org/officeDocument/2006/relationships/image" Target="media/image38.emf"/><Relationship Id="rId98" Type="http://schemas.openxmlformats.org/officeDocument/2006/relationships/image" Target="media/image43.emf"/><Relationship Id="rId121" Type="http://schemas.openxmlformats.org/officeDocument/2006/relationships/header" Target="header36.xml"/><Relationship Id="rId3" Type="http://schemas.openxmlformats.org/officeDocument/2006/relationships/customXml" Target="../customXml/item3.xml"/><Relationship Id="rId25" Type="http://schemas.openxmlformats.org/officeDocument/2006/relationships/header" Target="header4.xml"/><Relationship Id="rId46" Type="http://schemas.openxmlformats.org/officeDocument/2006/relationships/header" Target="header17.xml"/><Relationship Id="rId67" Type="http://schemas.openxmlformats.org/officeDocument/2006/relationships/image" Target="media/image23.emf"/><Relationship Id="rId116" Type="http://schemas.openxmlformats.org/officeDocument/2006/relationships/header" Target="header32.xml"/><Relationship Id="rId20" Type="http://schemas.openxmlformats.org/officeDocument/2006/relationships/image" Target="media/image2.png"/><Relationship Id="rId41" Type="http://schemas.openxmlformats.org/officeDocument/2006/relationships/header" Target="header14.xml"/><Relationship Id="rId62" Type="http://schemas.openxmlformats.org/officeDocument/2006/relationships/image" Target="media/image19.emf"/><Relationship Id="rId83" Type="http://schemas.openxmlformats.org/officeDocument/2006/relationships/image" Target="media/image34.emf"/><Relationship Id="rId88" Type="http://schemas.openxmlformats.org/officeDocument/2006/relationships/header" Target="header24.xml"/><Relationship Id="rId111" Type="http://schemas.openxmlformats.org/officeDocument/2006/relationships/header" Target="header29.xml"/><Relationship Id="rId132" Type="http://schemas.openxmlformats.org/officeDocument/2006/relationships/glossaryDocument" Target="glossary/document.xml"/><Relationship Id="rId15" Type="http://schemas.openxmlformats.org/officeDocument/2006/relationships/header" Target="header2.xml"/><Relationship Id="rId36" Type="http://schemas.openxmlformats.org/officeDocument/2006/relationships/header" Target="header10.xml"/><Relationship Id="rId57" Type="http://schemas.openxmlformats.org/officeDocument/2006/relationships/image" Target="media/image14.emf"/><Relationship Id="rId106" Type="http://schemas.openxmlformats.org/officeDocument/2006/relationships/header" Target="header27.xml"/><Relationship Id="rId127" Type="http://schemas.openxmlformats.org/officeDocument/2006/relationships/footer" Target="footer21.xml"/><Relationship Id="rId10" Type="http://schemas.openxmlformats.org/officeDocument/2006/relationships/settings" Target="settings.xml"/><Relationship Id="rId31" Type="http://schemas.openxmlformats.org/officeDocument/2006/relationships/header" Target="header7.xml"/><Relationship Id="rId52" Type="http://schemas.openxmlformats.org/officeDocument/2006/relationships/image" Target="media/image9.emf"/><Relationship Id="rId73" Type="http://schemas.openxmlformats.org/officeDocument/2006/relationships/header" Target="header21.xml"/><Relationship Id="rId78" Type="http://schemas.openxmlformats.org/officeDocument/2006/relationships/image" Target="media/image29.emf"/><Relationship Id="rId94" Type="http://schemas.openxmlformats.org/officeDocument/2006/relationships/image" Target="media/image39.emf"/><Relationship Id="rId99" Type="http://schemas.openxmlformats.org/officeDocument/2006/relationships/image" Target="media/image44.emf"/><Relationship Id="rId101" Type="http://schemas.openxmlformats.org/officeDocument/2006/relationships/image" Target="media/image46.png"/><Relationship Id="rId122" Type="http://schemas.openxmlformats.org/officeDocument/2006/relationships/footer" Target="footer19.xml"/><Relationship Id="rId4" Type="http://schemas.openxmlformats.org/officeDocument/2006/relationships/customXml" Target="../customXml/item4.xml"/><Relationship Id="rId9" Type="http://schemas.openxmlformats.org/officeDocument/2006/relationships/styles" Target="styles.xml"/><Relationship Id="rId26" Type="http://schemas.openxmlformats.org/officeDocument/2006/relationships/header" Target="header5.xml"/><Relationship Id="rId47" Type="http://schemas.openxmlformats.org/officeDocument/2006/relationships/footer" Target="footer8.xml"/><Relationship Id="rId68" Type="http://schemas.openxmlformats.org/officeDocument/2006/relationships/image" Target="media/image24.emf"/><Relationship Id="rId89" Type="http://schemas.openxmlformats.org/officeDocument/2006/relationships/footer" Target="footer12.xml"/><Relationship Id="rId112" Type="http://schemas.openxmlformats.org/officeDocument/2006/relationships/header" Target="header30.xml"/><Relationship Id="rId133" Type="http://schemas.openxmlformats.org/officeDocument/2006/relationships/theme" Target="theme/theme1.xml"/></Relationships>
</file>

<file path=word/_rels/header28.xml.rels><?xml version="1.0" encoding="UTF-8" standalone="yes"?>
<Relationships xmlns="http://schemas.openxmlformats.org/package/2006/relationships"><Relationship Id="rId1" Type="http://schemas.openxmlformats.org/officeDocument/2006/relationships/image" Target="media/image48.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32.xml.rels><?xml version="1.0" encoding="UTF-8" standalone="yes"?>
<Relationships xmlns="http://schemas.openxmlformats.org/package/2006/relationships"><Relationship Id="rId1" Type="http://schemas.openxmlformats.org/officeDocument/2006/relationships/image" Target="media/image48.png"/></Relationships>
</file>

<file path=word/_rels/settings.xml.rels><?xml version="1.0" encoding="UTF-8" standalone="yes"?>
<Relationships xmlns="http://schemas.openxmlformats.org/package/2006/relationships"><Relationship Id="rId1" Type="http://schemas.openxmlformats.org/officeDocument/2006/relationships/attachedTemplate" Target="https://pcgov.sharepoint.com/sites/sce/FormServerTemplates/PC-report-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4A9AB5316D43E28621C579F3BCC4E0"/>
        <w:category>
          <w:name w:val="General"/>
          <w:gallery w:val="placeholder"/>
        </w:category>
        <w:types>
          <w:type w:val="bbPlcHdr"/>
        </w:types>
        <w:behaviors>
          <w:behavior w:val="content"/>
        </w:behaviors>
        <w:guid w:val="{B556B9A8-BC5B-447A-8F15-3AD9A917606A}"/>
      </w:docPartPr>
      <w:docPartBody>
        <w:p w:rsidR="00DE025A" w:rsidRDefault="00DE025A">
          <w:pPr>
            <w:pStyle w:val="C34A9AB5316D43E28621C579F3BCC4E0"/>
          </w:pPr>
          <w:r w:rsidRPr="00A25715">
            <w:rPr>
              <w:i/>
              <w:iCs/>
            </w:rPr>
            <w:t>[Title]</w:t>
          </w:r>
        </w:p>
      </w:docPartBody>
    </w:docPart>
    <w:docPart>
      <w:docPartPr>
        <w:name w:val="268493A52E724903984D8EE1051AABA4"/>
        <w:category>
          <w:name w:val="General"/>
          <w:gallery w:val="placeholder"/>
        </w:category>
        <w:types>
          <w:type w:val="bbPlcHdr"/>
        </w:types>
        <w:behaviors>
          <w:behavior w:val="content"/>
        </w:behaviors>
        <w:guid w:val="{578E0E0A-C958-4479-B7C5-9D4D5792DD9D}"/>
      </w:docPartPr>
      <w:docPartBody>
        <w:p w:rsidR="00DE025A" w:rsidRDefault="00DE025A">
          <w:pPr>
            <w:pStyle w:val="268493A52E724903984D8EE1051AABA4"/>
          </w:pPr>
          <w:r w:rsidRPr="00F2058B">
            <w:rPr>
              <w:highlight w:val="lightGray"/>
            </w:rPr>
            <w:t>[click to add text]</w:t>
          </w:r>
        </w:p>
      </w:docPartBody>
    </w:docPart>
    <w:docPart>
      <w:docPartPr>
        <w:name w:val="31336C52598C49DE8EC9A7F85188E99D"/>
        <w:category>
          <w:name w:val="General"/>
          <w:gallery w:val="placeholder"/>
        </w:category>
        <w:types>
          <w:type w:val="bbPlcHdr"/>
        </w:types>
        <w:behaviors>
          <w:behavior w:val="content"/>
        </w:behaviors>
        <w:guid w:val="{5ECD7B7E-87CE-4BC6-97FF-BDC8885D833A}"/>
      </w:docPartPr>
      <w:docPartBody>
        <w:p w:rsidR="00DE025A" w:rsidRDefault="00DE025A">
          <w:pPr>
            <w:pStyle w:val="31336C52598C49DE8EC9A7F85188E99D"/>
          </w:pPr>
          <w:r w:rsidRPr="00201320">
            <w:rPr>
              <w:rStyle w:val="Strong"/>
            </w:rPr>
            <w:t>[Title]</w:t>
          </w:r>
        </w:p>
      </w:docPartBody>
    </w:docPart>
    <w:docPart>
      <w:docPartPr>
        <w:name w:val="14670343A43C403695BC1EB786EE776D"/>
        <w:category>
          <w:name w:val="General"/>
          <w:gallery w:val="placeholder"/>
        </w:category>
        <w:types>
          <w:type w:val="bbPlcHdr"/>
        </w:types>
        <w:behaviors>
          <w:behavior w:val="content"/>
        </w:behaviors>
        <w:guid w:val="{03EF949F-D248-4033-8FB7-7A5E9389499E}"/>
      </w:docPartPr>
      <w:docPartBody>
        <w:p w:rsidR="002C5F36" w:rsidRDefault="00587926" w:rsidP="00587926">
          <w:pPr>
            <w:pStyle w:val="14670343A43C403695BC1EB786EE776D"/>
          </w:pPr>
          <w:r w:rsidRPr="00265918">
            <w:rPr>
              <w:highlight w:val="lightGray"/>
            </w:rPr>
            <w:t>[Choose Received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Open Sans Extrabold">
    <w:panose1 w:val="020B0906030804020204"/>
    <w:charset w:val="00"/>
    <w:family w:val="swiss"/>
    <w:pitch w:val="variable"/>
    <w:sig w:usb0="E00002EF" w:usb1="4000205B" w:usb2="00000028" w:usb3="00000000" w:csb0="0000019F" w:csb1="00000000"/>
  </w:font>
  <w:font w:name="SimHei">
    <w:panose1 w:val="02010600030101010101"/>
    <w:charset w:val="86"/>
    <w:family w:val="modern"/>
    <w:pitch w:val="fixed"/>
    <w:sig w:usb0="800002BF" w:usb1="38CF7CFA"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Open Sans Semibold">
    <w:panose1 w:val="020B07060308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25A"/>
    <w:rsid w:val="00017554"/>
    <w:rsid w:val="0023451C"/>
    <w:rsid w:val="00263FB8"/>
    <w:rsid w:val="00295996"/>
    <w:rsid w:val="002C5F36"/>
    <w:rsid w:val="003952B9"/>
    <w:rsid w:val="003D5C5E"/>
    <w:rsid w:val="00470627"/>
    <w:rsid w:val="004C0032"/>
    <w:rsid w:val="00556C74"/>
    <w:rsid w:val="00587926"/>
    <w:rsid w:val="00654AAF"/>
    <w:rsid w:val="006C34D8"/>
    <w:rsid w:val="006F2FE2"/>
    <w:rsid w:val="00826857"/>
    <w:rsid w:val="00846E48"/>
    <w:rsid w:val="00954B87"/>
    <w:rsid w:val="009C79AE"/>
    <w:rsid w:val="009F7BC2"/>
    <w:rsid w:val="00AA647A"/>
    <w:rsid w:val="00AB6B35"/>
    <w:rsid w:val="00AE60B5"/>
    <w:rsid w:val="00B12600"/>
    <w:rsid w:val="00B700D2"/>
    <w:rsid w:val="00BD6E9D"/>
    <w:rsid w:val="00C016B2"/>
    <w:rsid w:val="00D02099"/>
    <w:rsid w:val="00D55B77"/>
    <w:rsid w:val="00DB4682"/>
    <w:rsid w:val="00DC6B42"/>
    <w:rsid w:val="00DE025A"/>
    <w:rsid w:val="00E443BB"/>
    <w:rsid w:val="00E70B06"/>
    <w:rsid w:val="00E95186"/>
    <w:rsid w:val="00EC4955"/>
    <w:rsid w:val="00F37F78"/>
    <w:rsid w:val="00F65AED"/>
    <w:rsid w:val="00FD215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58F757D"/>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34A9AB5316D43E28621C579F3BCC4E0">
    <w:name w:val="C34A9AB5316D43E28621C579F3BCC4E0"/>
  </w:style>
  <w:style w:type="paragraph" w:customStyle="1" w:styleId="268493A52E724903984D8EE1051AABA4">
    <w:name w:val="268493A52E724903984D8EE1051AABA4"/>
  </w:style>
  <w:style w:type="character" w:styleId="Strong">
    <w:name w:val="Strong"/>
    <w:basedOn w:val="DefaultParagraphFont"/>
    <w:uiPriority w:val="22"/>
    <w:qFormat/>
    <w:rPr>
      <w:rFonts w:asciiTheme="minorHAnsi" w:hAnsiTheme="minorHAnsi"/>
      <w:b/>
      <w:bCs/>
    </w:rPr>
  </w:style>
  <w:style w:type="paragraph" w:customStyle="1" w:styleId="31336C52598C49DE8EC9A7F85188E99D">
    <w:name w:val="31336C52598C49DE8EC9A7F85188E99D"/>
  </w:style>
  <w:style w:type="paragraph" w:customStyle="1" w:styleId="14670343A43C403695BC1EB786EE776D">
    <w:name w:val="14670343A43C403695BC1EB786EE776D"/>
    <w:rsid w:val="005879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PC colour scheme 2025">
      <a:dk1>
        <a:srgbClr val="000000"/>
      </a:dk1>
      <a:lt1>
        <a:srgbClr val="FFFFFF"/>
      </a:lt1>
      <a:dk2>
        <a:srgbClr val="2B9AC2"/>
      </a:dk2>
      <a:lt2>
        <a:srgbClr val="265A9A"/>
      </a:lt2>
      <a:accent1>
        <a:srgbClr val="66BCDB"/>
      </a:accent1>
      <a:accent2>
        <a:srgbClr val="8956A3"/>
      </a:accent2>
      <a:accent3>
        <a:srgbClr val="71CBD5"/>
      </a:accent3>
      <a:accent4>
        <a:srgbClr val="90D8F7"/>
      </a:accent4>
      <a:accent5>
        <a:srgbClr val="14315B"/>
      </a:accent5>
      <a:accent6>
        <a:srgbClr val="542972"/>
      </a:accent6>
      <a:hlink>
        <a:srgbClr val="000000"/>
      </a:hlink>
      <a:folHlink>
        <a:srgbClr val="BFBFBF"/>
      </a:folHlink>
    </a:clrScheme>
    <a:fontScheme name="ACDC">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PC Dark Blue">
      <a:srgbClr val="265999"/>
    </a:custClr>
    <a:custClr name="PC Mid Blue">
      <a:srgbClr val="2C9BC2"/>
    </a:custClr>
    <a:custClr name="PC Blue">
      <a:srgbClr val="66B9DA"/>
    </a:custClr>
    <a:custClr name="PC Light Blue">
      <a:srgbClr val="EEF8FD"/>
    </a:custClr>
    <a:custClr name="PC Light Grey">
      <a:srgbClr val="F2F2F2"/>
    </a:custClr>
    <a:custClr name="PC Grey">
      <a:srgbClr val="DBDCDE"/>
    </a:custClr>
    <a:custClr name="PC Dark Grey">
      <a:srgbClr val="58585B"/>
    </a:custClr>
    <a:custClr name="PC Green">
      <a:srgbClr val="7AA644"/>
    </a:custClr>
    <a:custClr name="PC Dark green">
      <a:srgbClr val="3A703A"/>
    </a:custClr>
    <a:custClr name="PC Yellow">
      <a:srgbClr val="FCB221"/>
    </a:custClr>
    <a:custClr name="PC Orange">
      <a:srgbClr val="F15A2B"/>
    </a:custClr>
    <a:custClr name="PC Dark Red">
      <a:srgbClr val="A22D2B"/>
    </a:custClr>
    <a:custClr name="PC Purple">
      <a:srgbClr val="8857A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TemplafyFormConfiguration><![CDATA[{"formFields":[],"formDataEntries":[]}]]></TemplafyFormConfigura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i0f84bba906045b4af568ee102a52dcb xmlns="20393cdf-440a-4521-8f19-00ba43423d00">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3955eeb1-2d18-4582-aeb2-00144ec3aaf5</TermId>
        </TermInfo>
      </Terms>
    </i0f84bba906045b4af568ee102a52dcb>
    <TaxCatchAll xmlns="20393cdf-440a-4521-8f19-00ba43423d00">
      <Value>1</Value>
    </TaxCatchAll>
    <lcf76f155ced4ddcb4097134ff3c332f xmlns="3d385984-9344-419b-a80b-49c06a2bdab8">
      <Terms xmlns="http://schemas.microsoft.com/office/infopath/2007/PartnerControls"/>
    </lcf76f155ced4ddcb4097134ff3c332f>
    <thumbnail xmlns="3d385984-9344-419b-a80b-49c06a2bdab8" xsi:nil="true"/>
    <Status xmlns="3d385984-9344-419b-a80b-49c06a2bdab8" xsi:nil="true"/>
    <_Flow_SignoffStatus xmlns="3d385984-9344-419b-a80b-49c06a2bdab8" xsi:nil="true"/>
    <_dlc_DocId xmlns="20393cdf-440a-4521-8f19-00ba43423d00">MPWT-2140667901-109632</_dlc_DocId>
    <_dlc_DocIdUrl xmlns="20393cdf-440a-4521-8f19-00ba43423d00">
      <Url>https://pcgov.sharepoint.com/sites/sceteam/_layouts/15/DocIdRedir.aspx?ID=MPWT-2140667901-109632</Url>
      <Description>MPWT-2140667901-109632</Description>
    </_dlc_DocIdUrl>
  </documentManagement>
</p:properties>
</file>

<file path=customXml/item6.xml><?xml version="1.0" encoding="utf-8"?>
<TemplafyTemplateConfiguration><![CDATA[{"elementsMetadata":[],"transformationConfigurations":[],"templateName":"prelims-draft report","templateDescription":"Prelims for draft inquiry and study reports","enableDocumentContentUpdater":false,"version":"2.0"}]]></TemplafyTemplateConfiguration>
</file>

<file path=customXml/item7.xml><?xml version="1.0" encoding="utf-8"?>
<ct:contentTypeSchema xmlns:ct="http://schemas.microsoft.com/office/2006/metadata/contentType" xmlns:ma="http://schemas.microsoft.com/office/2006/metadata/properties/metaAttributes" ct:_="" ma:_="" ma:contentTypeName="MPW Document" ma:contentTypeID="0x0101006C0B5E815648EF46B6FA6D42F17E5E9F000C963E276195B04F83BC027CFDC94A8D" ma:contentTypeVersion="20" ma:contentTypeDescription="" ma:contentTypeScope="" ma:versionID="c23251bed3d0ef9404a49a41843dcf41">
  <xsd:schema xmlns:xsd="http://www.w3.org/2001/XMLSchema" xmlns:xs="http://www.w3.org/2001/XMLSchema" xmlns:p="http://schemas.microsoft.com/office/2006/metadata/properties" xmlns:ns2="20393cdf-440a-4521-8f19-00ba43423d00" xmlns:ns3="3d385984-9344-419b-a80b-49c06a2bdab8" targetNamespace="http://schemas.microsoft.com/office/2006/metadata/properties" ma:root="true" ma:fieldsID="7898c787e18e6c7779e8f1c3e93452b9" ns2:_="" ns3:_="">
    <xsd:import namespace="20393cdf-440a-4521-8f19-00ba43423d00"/>
    <xsd:import namespace="3d385984-9344-419b-a80b-49c06a2bdab8"/>
    <xsd:element name="properties">
      <xsd:complexType>
        <xsd:sequence>
          <xsd:element name="documentManagement">
            <xsd:complexType>
              <xsd:all>
                <xsd:element ref="ns2:_dlc_DocId" minOccurs="0"/>
                <xsd:element ref="ns2:_dlc_DocIdUrl" minOccurs="0"/>
                <xsd:element ref="ns2:_dlc_DocIdPersistId"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ServiceLocation" minOccurs="0"/>
                <xsd:element ref="ns2:i0f84bba906045b4af568ee102a52dcb" minOccurs="0"/>
                <xsd:element ref="ns2:TaxCatchAll" minOccurs="0"/>
                <xsd:element ref="ns3:MediaLengthInSeconds" minOccurs="0"/>
                <xsd:element ref="ns3:thumbnail" minOccurs="0"/>
                <xsd:element ref="ns3:lcf76f155ced4ddcb4097134ff3c332f" minOccurs="0"/>
                <xsd:element ref="ns3:_Flow_SignoffStatus" minOccurs="0"/>
                <xsd:element ref="ns3:MediaServiceObjectDetectorVersions" minOccurs="0"/>
                <xsd:element ref="ns3:MediaServiceSearchProperties" minOccurs="0"/>
                <xsd:element ref="ns3: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393cdf-440a-4521-8f19-00ba43423d0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i0f84bba906045b4af568ee102a52dcb" ma:index="20" nillable="true" ma:taxonomy="true" ma:internalName="i0f84bba906045b4af568ee102a52dcb" ma:taxonomyFieldName="RevIMBCS" ma:displayName="Record" ma:indexed="true" ma:default="" ma:fieldId="{20f84bba-9060-45b4-af56-8ee102a52dcb}" ma:sspId="9e7832e3-0c1d-4697-8be2-0d137dca2da6" ma:termSetId="3c672b5e-1100-4960-a8a3-535520ee1155" ma:anchorId="00000000-0000-0000-0000-000000000000" ma:open="false" ma:isKeyword="false">
      <xsd:complexType>
        <xsd:sequence>
          <xsd:element ref="pc:Terms" minOccurs="0" maxOccurs="1"/>
        </xsd:sequence>
      </xsd:complexType>
    </xsd:element>
    <xsd:element name="TaxCatchAll" ma:index="21" nillable="true" ma:displayName="Taxonomy Catch All Column" ma:hidden="true" ma:list="{af6d4cc1-c529-4b5b-a8f1-9797b2b9eddf}" ma:internalName="TaxCatchAll" ma:showField="CatchAllData" ma:web="20393cdf-440a-4521-8f19-00ba43423d0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d385984-9344-419b-a80b-49c06a2bdab8" elementFormDefault="qualified">
    <xsd:import namespace="http://schemas.microsoft.com/office/2006/documentManagement/types"/>
    <xsd:import namespace="http://schemas.microsoft.com/office/infopath/2007/PartnerControls"/>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thumbnail" ma:index="23" nillable="true" ma:displayName="thumbnail" ma:format="Thumbnail" ma:internalName="thumbnail">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9e7832e3-0c1d-4697-8be2-0d137dca2da6" ma:termSetId="09814cd3-568e-fe90-9814-8d621ff8fb84" ma:anchorId="fba54fb3-c3e1-fe81-a776-ca4b69148c4d" ma:open="true" ma:isKeyword="false">
      <xsd:complexType>
        <xsd:sequence>
          <xsd:element ref="pc:Terms" minOccurs="0" maxOccurs="1"/>
        </xsd:sequence>
      </xsd:complexType>
    </xsd:element>
    <xsd:element name="_Flow_SignoffStatus" ma:index="26" nillable="true" ma:displayName="Sign-off status" ma:internalName="Sign_x002d_off_x0020_status">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Status" ma:index="29" nillable="true" ma:displayName="Status" ma:format="Dropdown" ma:internalName="Status">
      <xsd:simpleType>
        <xsd:restriction base="dms:Choice">
          <xsd:enumeration value="In progress"/>
          <xsd:enumeration value="Ready for review"/>
          <xsd:enumeration value="S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97F752-2238-441E-ABA5-DB8C10DEA577}">
  <ds:schemaRefs/>
</ds:datastoreItem>
</file>

<file path=customXml/itemProps2.xml><?xml version="1.0" encoding="utf-8"?>
<ds:datastoreItem xmlns:ds="http://schemas.openxmlformats.org/officeDocument/2006/customXml" ds:itemID="{21ED88CD-FE2F-4F77-901D-672651A1376B}">
  <ds:schemaRefs>
    <ds:schemaRef ds:uri="http://schemas.microsoft.com/sharepoint/v3/contenttype/forms"/>
  </ds:schemaRefs>
</ds:datastoreItem>
</file>

<file path=customXml/itemProps3.xml><?xml version="1.0" encoding="utf-8"?>
<ds:datastoreItem xmlns:ds="http://schemas.openxmlformats.org/officeDocument/2006/customXml" ds:itemID="{06A31E1E-E0A7-4CBA-9632-B7088E604C85}">
  <ds:schemaRefs>
    <ds:schemaRef ds:uri="http://schemas.microsoft.com/sharepoint/events"/>
  </ds:schemaRefs>
</ds:datastoreItem>
</file>

<file path=customXml/itemProps4.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customXml/itemProps5.xml><?xml version="1.0" encoding="utf-8"?>
<ds:datastoreItem xmlns:ds="http://schemas.openxmlformats.org/officeDocument/2006/customXml" ds:itemID="{E55B0D2D-7B8E-44EE-8991-D7DEA56F5C1C}">
  <ds:schemaRefs>
    <ds:schemaRef ds:uri="http://schemas.microsoft.com/office/2006/metadata/properties"/>
    <ds:schemaRef ds:uri="http://schemas.microsoft.com/office/infopath/2007/PartnerControls"/>
    <ds:schemaRef ds:uri="20393cdf-440a-4521-8f19-00ba43423d00"/>
    <ds:schemaRef ds:uri="3d385984-9344-419b-a80b-49c06a2bdab8"/>
  </ds:schemaRefs>
</ds:datastoreItem>
</file>

<file path=customXml/itemProps6.xml><?xml version="1.0" encoding="utf-8"?>
<ds:datastoreItem xmlns:ds="http://schemas.openxmlformats.org/officeDocument/2006/customXml" ds:itemID="{5CCDCE8C-2FF2-479D-91C1-79A7A7683D3C}">
  <ds:schemaRefs/>
</ds:datastoreItem>
</file>

<file path=customXml/itemProps7.xml><?xml version="1.0" encoding="utf-8"?>
<ds:datastoreItem xmlns:ds="http://schemas.openxmlformats.org/officeDocument/2006/customXml" ds:itemID="{7BEF6381-21CC-41C1-84BC-83FF3ED5AF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393cdf-440a-4521-8f19-00ba43423d00"/>
    <ds:schemaRef ds:uri="3d385984-9344-419b-a80b-49c06a2bda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PC-report-template.dotx</Template>
  <TotalTime>1695</TotalTime>
  <Pages>124</Pages>
  <Words>46448</Words>
  <Characters>261967</Characters>
  <Application>Microsoft Office Word</Application>
  <DocSecurity>0</DocSecurity>
  <Lines>4440</Lines>
  <Paragraphs>1869</Paragraphs>
  <ScaleCrop>false</ScaleCrop>
  <HeadingPairs>
    <vt:vector size="2" baseType="variant">
      <vt:variant>
        <vt:lpstr>Title</vt:lpstr>
      </vt:variant>
      <vt:variant>
        <vt:i4>1</vt:i4>
      </vt:variant>
    </vt:vector>
  </HeadingPairs>
  <TitlesOfParts>
    <vt:vector size="1" baseType="lpstr">
      <vt:lpstr>Interim report - GST distribution reforms</vt:lpstr>
    </vt:vector>
  </TitlesOfParts>
  <Company>Productivity Commission</Company>
  <LinksUpToDate>false</LinksUpToDate>
  <CharactersWithSpaces>306546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Interim report - GST distribution reforms</dc:title>
  <dc:subject>Interim report</dc:subject>
  <dc:creator>Productivity Commission</dc:creator>
  <cp:keywords/>
  <dc:description/>
  <cp:lastModifiedBy>Michelle Cross</cp:lastModifiedBy>
  <cp:revision>336</cp:revision>
  <cp:lastPrinted>2026-08-06T04:55:00Z</cp:lastPrinted>
  <dcterms:created xsi:type="dcterms:W3CDTF">2026-08-04T12:26:00Z</dcterms:created>
  <dcterms:modified xsi:type="dcterms:W3CDTF">2026-08-14T00:53:00Z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vIMBCS">
    <vt:lpwstr>1;#Unclassified|3955eeb1-2d18-4582-aeb2-00144ec3aaf5</vt:lpwstr>
  </property>
  <property fmtid="{D5CDD505-2E9C-101B-9397-08002B2CF9AE}" pid="3" name="MediaServiceImageTags">
    <vt:lpwstr/>
  </property>
  <property fmtid="{D5CDD505-2E9C-101B-9397-08002B2CF9AE}" pid="4" name="TemplafyTenantId">
    <vt:lpwstr>productivitycommission</vt:lpwstr>
  </property>
  <property fmtid="{D5CDD505-2E9C-101B-9397-08002B2CF9AE}" pid="5" name="TemplafyTemplateId">
    <vt:lpwstr>637629323326921041</vt:lpwstr>
  </property>
  <property fmtid="{D5CDD505-2E9C-101B-9397-08002B2CF9AE}" pid="6" name="TemplafyUserProfileId">
    <vt:lpwstr>637691794692158824</vt:lpwstr>
  </property>
  <property fmtid="{D5CDD505-2E9C-101B-9397-08002B2CF9AE}" pid="7" name="TemplafyFromBlank">
    <vt:bool>false</vt:bool>
  </property>
  <property fmtid="{D5CDD505-2E9C-101B-9397-08002B2CF9AE}" pid="8" name="ZOTERO_PREF_1">
    <vt:lpwstr>&lt;data data-version="3" zotero-version="9.0.6"&gt;&lt;session id="ZLCAc5NN"/&gt;&lt;style id="http://www.zotero.org/styles/Productivity-Commission" hasBibliography="1" bibliographyStyleHasBeenSet="1"/&gt;&lt;prefs&gt;&lt;pref name="fieldType" value="Field"/&gt;&lt;pref name="automaticJ</vt:lpwstr>
  </property>
  <property fmtid="{D5CDD505-2E9C-101B-9397-08002B2CF9AE}" pid="9" name="ZOTERO_PREF_2">
    <vt:lpwstr>ournalAbbreviations" value="true"/&gt;&lt;/prefs&gt;&lt;/data&gt;</vt:lpwstr>
  </property>
  <property fmtid="{D5CDD505-2E9C-101B-9397-08002B2CF9AE}" pid="10" name="ContentTypeId">
    <vt:lpwstr>0x0101006C0B5E815648EF46B6FA6D42F17E5E9F000C963E276195B04F83BC027CFDC94A8D</vt:lpwstr>
  </property>
  <property fmtid="{D5CDD505-2E9C-101B-9397-08002B2CF9AE}" pid="11" name="_dlc_DocIdItemGuid">
    <vt:lpwstr>982a9856-3a76-4885-aa4b-d325827f2cf9</vt:lpwstr>
  </property>
  <property fmtid="{D5CDD505-2E9C-101B-9397-08002B2CF9AE}" pid="12" name="MSIP_Label_c1f2b1ce-4212-46db-a901-dd8453f57141_Enabled">
    <vt:lpwstr>true</vt:lpwstr>
  </property>
  <property fmtid="{D5CDD505-2E9C-101B-9397-08002B2CF9AE}" pid="13" name="MSIP_Label_c1f2b1ce-4212-46db-a901-dd8453f57141_SetDate">
    <vt:lpwstr>2026-08-05T00:03:15Z</vt:lpwstr>
  </property>
  <property fmtid="{D5CDD505-2E9C-101B-9397-08002B2CF9AE}" pid="14" name="MSIP_Label_c1f2b1ce-4212-46db-a901-dd8453f57141_Method">
    <vt:lpwstr>Privileged</vt:lpwstr>
  </property>
  <property fmtid="{D5CDD505-2E9C-101B-9397-08002B2CF9AE}" pid="15" name="MSIP_Label_c1f2b1ce-4212-46db-a901-dd8453f57141_Name">
    <vt:lpwstr>Publish</vt:lpwstr>
  </property>
  <property fmtid="{D5CDD505-2E9C-101B-9397-08002B2CF9AE}" pid="16" name="MSIP_Label_c1f2b1ce-4212-46db-a901-dd8453f57141_SiteId">
    <vt:lpwstr>29f9330b-c0fe-4244-830e-ba9f275d6c34</vt:lpwstr>
  </property>
  <property fmtid="{D5CDD505-2E9C-101B-9397-08002B2CF9AE}" pid="17" name="MSIP_Label_c1f2b1ce-4212-46db-a901-dd8453f57141_ActionId">
    <vt:lpwstr>8497daa0-a088-4215-85d4-5924ecf16274</vt:lpwstr>
  </property>
  <property fmtid="{D5CDD505-2E9C-101B-9397-08002B2CF9AE}" pid="18" name="MSIP_Label_c1f2b1ce-4212-46db-a901-dd8453f57141_ContentBits">
    <vt:lpwstr>0</vt:lpwstr>
  </property>
  <property fmtid="{D5CDD505-2E9C-101B-9397-08002B2CF9AE}" pid="19" name="MSIP_Label_c1f2b1ce-4212-46db-a901-dd8453f57141_Tag">
    <vt:lpwstr>10, 0, 1, 1</vt:lpwstr>
  </property>
</Properties>
</file>