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15256" w14:textId="43FA22D6" w:rsidR="000D4FD9" w:rsidRPr="003B7DC9" w:rsidRDefault="0056528B" w:rsidP="00915439">
      <w:pPr>
        <w:pStyle w:val="Title"/>
        <w:contextualSpacing w:val="0"/>
      </w:pPr>
      <w:r w:rsidRPr="003B7DC9">
        <w:t>Fabricated structural steel safeguards</w:t>
      </w:r>
    </w:p>
    <w:sdt>
      <w:sdtPr>
        <w:rPr>
          <w:rFonts w:ascii="Open Sans" w:eastAsiaTheme="minorEastAsia" w:hAnsi="Open Sans" w:cstheme="minorBidi"/>
          <w:color w:val="auto"/>
          <w:kern w:val="0"/>
          <w:sz w:val="20"/>
          <w:szCs w:val="20"/>
        </w:rPr>
        <w:id w:val="-228914026"/>
        <w:docPartObj>
          <w:docPartGallery w:val="Cover Pages"/>
          <w:docPartUnique/>
        </w:docPartObj>
      </w:sdtPr>
      <w:sdtEndPr>
        <w:rPr>
          <w:rStyle w:val="White"/>
          <w:b/>
          <w:bCs/>
          <w:color w:val="FFFFFF" w:themeColor="background1"/>
        </w:rPr>
      </w:sdtEndPr>
      <w:sdtContent>
        <w:p w14:paraId="0767E55C" w14:textId="3CEC9167" w:rsidR="00B302FA" w:rsidRPr="003B7DC9" w:rsidRDefault="0056528B" w:rsidP="00BA7F3B">
          <w:pPr>
            <w:pStyle w:val="Title"/>
            <w:rPr>
              <w:rStyle w:val="SubtitleChar"/>
            </w:rPr>
          </w:pPr>
          <w:r w:rsidRPr="003B7DC9">
            <w:rPr>
              <w:rStyle w:val="SubtitleChar"/>
            </w:rPr>
            <w:t>Interim report</w:t>
          </w:r>
        </w:p>
        <w:p w14:paraId="37D6AA27" w14:textId="35D4A2AC" w:rsidR="007C11E5" w:rsidRPr="00E74787" w:rsidRDefault="00010AB5" w:rsidP="00AC7A27">
          <w:pPr>
            <w:pStyle w:val="BodyText"/>
          </w:pPr>
          <w:r w:rsidRPr="004F7BE2">
            <w:rPr>
              <w:noProof/>
            </w:rPr>
            <mc:AlternateContent>
              <mc:Choice Requires="wps">
                <w:drawing>
                  <wp:anchor distT="0" distB="0" distL="114300" distR="114300" simplePos="0" relativeHeight="251658241" behindDoc="0" locked="0" layoutInCell="1" allowOverlap="1" wp14:anchorId="294FBECB" wp14:editId="3971632C">
                    <wp:simplePos x="0" y="0"/>
                    <wp:positionH relativeFrom="margin">
                      <wp:posOffset>0</wp:posOffset>
                    </wp:positionH>
                    <wp:positionV relativeFrom="margin">
                      <wp:posOffset>7418846</wp:posOffset>
                    </wp:positionV>
                    <wp:extent cx="2232660" cy="89789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2232660" cy="897890"/>
                            </a:xfrm>
                            <a:prstGeom prst="rect">
                              <a:avLst/>
                            </a:prstGeom>
                            <a:solidFill>
                              <a:srgbClr val="E7F6FD"/>
                            </a:solidFill>
                            <a:ln w="6350">
                              <a:noFill/>
                            </a:ln>
                          </wps:spPr>
                          <wps:txbx>
                            <w:txbxContent>
                              <w:p w14:paraId="4C9BB42E" w14:textId="2AE4CF04" w:rsidR="00A25715" w:rsidRPr="00AC7A27" w:rsidRDefault="00A25715" w:rsidP="004F2CEA">
                                <w:pPr>
                                  <w:pStyle w:val="CoverdisclaimerwhiteCover"/>
                                  <w:rPr>
                                    <w:color w:val="1C4373" w:themeColor="background2" w:themeShade="BF"/>
                                  </w:rPr>
                                </w:pPr>
                                <w:r w:rsidRPr="00AC7A27">
                                  <w:rPr>
                                    <w:color w:val="1C4373" w:themeColor="background2" w:themeShade="BF"/>
                                  </w:rPr>
                                  <w:t>This is a</w:t>
                                </w:r>
                                <w:r w:rsidR="005917C4" w:rsidRPr="00AC7A27">
                                  <w:rPr>
                                    <w:color w:val="1C4373" w:themeColor="background2" w:themeShade="BF"/>
                                  </w:rPr>
                                  <w:t>n</w:t>
                                </w:r>
                                <w:r w:rsidRPr="00AC7A27">
                                  <w:rPr>
                                    <w:color w:val="1C4373" w:themeColor="background2" w:themeShade="BF"/>
                                  </w:rPr>
                                  <w:t xml:space="preserve"> </w:t>
                                </w:r>
                                <w:r w:rsidR="000411E8" w:rsidRPr="00AC7A27">
                                  <w:rPr>
                                    <w:color w:val="1C4373" w:themeColor="background2" w:themeShade="BF"/>
                                  </w:rPr>
                                  <w:t xml:space="preserve">interim </w:t>
                                </w:r>
                                <w:r w:rsidRPr="00AC7A27">
                                  <w:rPr>
                                    <w:color w:val="1C4373" w:themeColor="background2" w:themeShade="BF"/>
                                  </w:rPr>
                                  <w:t xml:space="preserve">report prepared for further public consultation and input. The </w:t>
                                </w:r>
                                <w:r w:rsidR="00DD2F67" w:rsidRPr="00AC7A27">
                                  <w:rPr>
                                    <w:color w:val="1C4373" w:themeColor="background2" w:themeShade="BF"/>
                                  </w:rPr>
                                  <w:t>PC</w:t>
                                </w:r>
                                <w:r w:rsidRPr="00AC7A27">
                                  <w:rPr>
                                    <w:color w:val="1C4373" w:themeColor="background2" w:themeShade="BF"/>
                                  </w:rPr>
                                  <w:t xml:space="preserve"> will finalise its report after these processes have taken place.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FBECB" id="_x0000_t202" coordsize="21600,21600" o:spt="202" path="m,l,21600r21600,l21600,xe">
                    <v:stroke joinstyle="miter"/>
                    <v:path gradientshapeok="t" o:connecttype="rect"/>
                  </v:shapetype>
                  <v:shape id="Text Box 15" o:spid="_x0000_s1026" type="#_x0000_t202" style="position:absolute;margin-left:0;margin-top:584.15pt;width:175.8pt;height:70.7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" fillcolor="#e7f6fd" stroked="f" strokeweight=".5pt">
                    <v:textbox>
                      <w:txbxContent>
                        <w:p w14:paraId="4C9BB42E" w14:textId="2AE4CF04" w:rsidR="00A25715" w:rsidRPr="00AC7A27" w:rsidRDefault="00A25715" w:rsidP="004F2CEA">
                          <w:pPr>
                            <w:pStyle w:val="CoverdisclaimerwhiteCover"/>
                            <w:rPr>
                              <w:color w:val="1C4373" w:themeColor="background2" w:themeShade="BF"/>
                            </w:rPr>
                          </w:pPr>
                          <w:r w:rsidRPr="00AC7A27">
                            <w:rPr>
                              <w:color w:val="1C4373" w:themeColor="background2" w:themeShade="BF"/>
                            </w:rPr>
                            <w:t>This is a</w:t>
                          </w:r>
                          <w:r w:rsidR="005917C4" w:rsidRPr="00AC7A27">
                            <w:rPr>
                              <w:color w:val="1C4373" w:themeColor="background2" w:themeShade="BF"/>
                            </w:rPr>
                            <w:t>n</w:t>
                          </w:r>
                          <w:r w:rsidRPr="00AC7A27">
                            <w:rPr>
                              <w:color w:val="1C4373" w:themeColor="background2" w:themeShade="BF"/>
                            </w:rPr>
                            <w:t xml:space="preserve"> </w:t>
                          </w:r>
                          <w:r w:rsidR="000411E8" w:rsidRPr="00AC7A27">
                            <w:rPr>
                              <w:color w:val="1C4373" w:themeColor="background2" w:themeShade="BF"/>
                            </w:rPr>
                            <w:t xml:space="preserve">interim </w:t>
                          </w:r>
                          <w:r w:rsidRPr="00AC7A27">
                            <w:rPr>
                              <w:color w:val="1C4373" w:themeColor="background2" w:themeShade="BF"/>
                            </w:rPr>
                            <w:t xml:space="preserve">report prepared for further public consultation and input. The </w:t>
                          </w:r>
                          <w:r w:rsidR="00DD2F67" w:rsidRPr="00AC7A27">
                            <w:rPr>
                              <w:color w:val="1C4373" w:themeColor="background2" w:themeShade="BF"/>
                            </w:rPr>
                            <w:t>PC</w:t>
                          </w:r>
                          <w:r w:rsidRPr="00AC7A27">
                            <w:rPr>
                              <w:color w:val="1C4373" w:themeColor="background2" w:themeShade="BF"/>
                            </w:rPr>
                            <w:t xml:space="preserve"> will finalise its report after these processes have taken place.</w:t>
                          </w:r>
                        </w:p>
                      </w:txbxContent>
                    </v:textbox>
                    <w10:wrap anchorx="margin" anchory="margin"/>
                  </v:shape>
                </w:pict>
              </mc:Fallback>
            </mc:AlternateContent>
          </w:r>
        </w:p>
        <w:p w14:paraId="414A68B1" w14:textId="77777777" w:rsidR="00B302FA" w:rsidRDefault="00B302FA">
          <w:pPr>
            <w:spacing w:after="160" w:line="259" w:lineRule="auto"/>
            <w:sectPr w:rsidR="00B302FA" w:rsidSect="002E3F19">
              <w:headerReference w:type="even" r:id="rId14"/>
              <w:headerReference w:type="default" r:id="rId15"/>
              <w:footerReference w:type="even" r:id="rId16"/>
              <w:footerReference w:type="default" r:id="rId17"/>
              <w:headerReference w:type="first" r:id="rId18"/>
              <w:footerReference w:type="first" r:id="rId19"/>
              <w:pgSz w:w="11906" w:h="16838" w:code="9"/>
              <w:pgMar w:top="2835" w:right="1134" w:bottom="1134" w:left="1134" w:header="624" w:footer="510" w:gutter="0"/>
              <w:pgNumType w:fmt="lowerRoman"/>
              <w:cols w:space="708"/>
              <w:titlePg/>
              <w:docGrid w:linePitch="360"/>
            </w:sectPr>
          </w:pPr>
        </w:p>
        <w:tbl>
          <w:tblPr>
            <w:tblStyle w:val="CopyrightPage"/>
            <w:tblW w:w="0" w:type="auto"/>
            <w:shd w:val="clear" w:color="auto" w:fill="E7F6FD"/>
            <w:tblLook w:val="04A0" w:firstRow="1" w:lastRow="0" w:firstColumn="1" w:lastColumn="0" w:noHBand="0" w:noVBand="1"/>
          </w:tblPr>
          <w:tblGrid>
            <w:gridCol w:w="9638"/>
          </w:tblGrid>
          <w:tr w:rsidR="00C31E23" w14:paraId="5EB165C7" w14:textId="77777777" w:rsidTr="00BA2796">
            <w:trPr>
              <w:trHeight w:hRule="exact" w:val="12756"/>
            </w:trPr>
            <w:tc>
              <w:tcPr>
                <w:tcW w:w="9638" w:type="dxa"/>
                <w:shd w:val="clear" w:color="auto" w:fill="E7F6FD"/>
                <w:tcMar>
                  <w:top w:w="340" w:type="dxa"/>
                </w:tcMar>
                <w:vAlign w:val="top"/>
              </w:tcPr>
              <w:p w14:paraId="5E9F35ED" w14:textId="77777777" w:rsidR="00682373" w:rsidRPr="00993031" w:rsidRDefault="00B302FA" w:rsidP="00BA2796">
                <w:pPr>
                  <w:pStyle w:val="Copyrightpage-Heading"/>
                </w:pPr>
                <w:r>
                  <w:rPr>
                    <w:rStyle w:val="White"/>
                  </w:rPr>
                  <w:lastRenderedPageBreak/>
                  <w:br w:type="page"/>
                </w:r>
                <w:r w:rsidR="00682373" w:rsidRPr="00993031">
                  <w:t>Acknowledgment of Country</w:t>
                </w:r>
              </w:p>
              <w:p w14:paraId="1CE4A6F5" w14:textId="77777777" w:rsidR="00682373" w:rsidRPr="000049DB" w:rsidRDefault="00682373" w:rsidP="00682373">
                <w:pPr>
                  <w:pStyle w:val="Copyrightpage-BodyBold"/>
                  <w:ind w:right="-284"/>
                  <w:rPr>
                    <w:rFonts w:cs="Arial"/>
                    <w:b w:val="0"/>
                    <w:bCs/>
                    <w:color w:val="auto"/>
                    <w:spacing w:val="2"/>
                  </w:rPr>
                </w:pPr>
                <w:r w:rsidRPr="000049DB">
                  <w:rPr>
                    <w:rFonts w:cs="Arial"/>
                    <w:b w:val="0"/>
                    <w:bCs/>
                    <w:noProof/>
                    <w:color w:val="auto"/>
                  </w:rPr>
                  <w:drawing>
                    <wp:anchor distT="0" distB="0" distL="114300" distR="114300" simplePos="0" relativeHeight="251658240" behindDoc="0" locked="0" layoutInCell="1" allowOverlap="1" wp14:anchorId="7638DD4C" wp14:editId="35415D7A">
                      <wp:simplePos x="0" y="0"/>
                      <wp:positionH relativeFrom="column">
                        <wp:posOffset>0</wp:posOffset>
                      </wp:positionH>
                      <wp:positionV relativeFrom="paragraph">
                        <wp:posOffset>-36195</wp:posOffset>
                      </wp:positionV>
                      <wp:extent cx="630000" cy="640800"/>
                      <wp:effectExtent l="0" t="0" r="0" b="6985"/>
                      <wp:wrapSquare wrapText="right"/>
                      <wp:docPr id="47409023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090232" name="Picture 1">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0000" cy="640800"/>
                              </a:xfrm>
                              <a:prstGeom prst="rect">
                                <a:avLst/>
                              </a:prstGeom>
                            </pic:spPr>
                          </pic:pic>
                        </a:graphicData>
                      </a:graphic>
                      <wp14:sizeRelH relativeFrom="margin">
                        <wp14:pctWidth>0</wp14:pctWidth>
                      </wp14:sizeRelH>
                      <wp14:sizeRelV relativeFrom="margin">
                        <wp14:pctHeight>0</wp14:pctHeight>
                      </wp14:sizeRelV>
                    </wp:anchor>
                  </w:drawing>
                </w:r>
                <w:r w:rsidRPr="000049DB">
                  <w:rPr>
                    <w:rFonts w:cs="Arial"/>
                    <w:b w:val="0"/>
                    <w:bCs/>
                    <w:color w:val="auto"/>
                    <w:spacing w:val="2"/>
                  </w:rPr>
                  <w:t>The Productivity Commission acknowledges the Traditional Owners of Country throughout Australia and their continuing connection to land, waters and community. We pay our respects to their Cultures, Country and Elders past and present.</w:t>
                </w:r>
              </w:p>
              <w:p w14:paraId="0AE5C106" w14:textId="77777777" w:rsidR="00682373" w:rsidRPr="00157240" w:rsidRDefault="00682373" w:rsidP="00682373">
                <w:pPr>
                  <w:pStyle w:val="Copyrightpage-Keylinenotext"/>
                  <w:ind w:right="-284"/>
                  <w:rPr>
                    <w:color w:val="auto"/>
                  </w:rPr>
                </w:pPr>
              </w:p>
              <w:p w14:paraId="2B2AC99D" w14:textId="77777777" w:rsidR="00C31E23" w:rsidRPr="00D96F65" w:rsidRDefault="00BE5E7E" w:rsidP="00BE5E7E">
                <w:pPr>
                  <w:pStyle w:val="Copyrightpage-Heading"/>
                </w:pPr>
                <w:r>
                  <w:t>About us</w:t>
                </w:r>
              </w:p>
              <w:p w14:paraId="23855BFC" w14:textId="77777777" w:rsidR="00C31E23" w:rsidRPr="00BE5E7E" w:rsidRDefault="00C31E23" w:rsidP="00BE5E7E">
                <w:pPr>
                  <w:pStyle w:val="Copyrightpage-BodyText"/>
                  <w:rPr>
                    <w:spacing w:val="2"/>
                  </w:rPr>
                </w:pPr>
                <w:r w:rsidRPr="00BE5E7E">
                  <w:rPr>
                    <w:spacing w:val="2"/>
                  </w:rPr>
                  <w:t xml:space="preserve">The </w:t>
                </w:r>
                <w:r w:rsidR="00434A53">
                  <w:rPr>
                    <w:spacing w:val="2"/>
                  </w:rPr>
                  <w:t xml:space="preserve">PC </w:t>
                </w:r>
                <w:r w:rsidRPr="00BE5E7E">
                  <w:rPr>
                    <w:spacing w:val="2"/>
                  </w:rPr>
                  <w:t xml:space="preserve">is the Australian Government’s independent research and advisory body on a range of economic, social and environmental issues affecting the welfare of Australians. Its role, expressed most simply, is to help governments make better policies, in the </w:t>
                </w:r>
                <w:r w:rsidR="00BE5E7E" w:rsidRPr="00BE5E7E">
                  <w:rPr>
                    <w:spacing w:val="2"/>
                  </w:rPr>
                  <w:t>long-term</w:t>
                </w:r>
                <w:r w:rsidRPr="00BE5E7E">
                  <w:rPr>
                    <w:spacing w:val="2"/>
                  </w:rPr>
                  <w:t xml:space="preserve"> interest of the Australian community.</w:t>
                </w:r>
              </w:p>
              <w:p w14:paraId="4E26A51E" w14:textId="77777777" w:rsidR="00C31E23" w:rsidRPr="000F4488" w:rsidRDefault="00C31E23" w:rsidP="00BE5E7E">
                <w:pPr>
                  <w:pStyle w:val="Copyrightpage-BodyText"/>
                </w:pPr>
                <w:r w:rsidRPr="000561CF">
                  <w:t xml:space="preserve">The </w:t>
                </w:r>
                <w:r w:rsidR="00BE5E7E">
                  <w:t>PC’s</w:t>
                </w:r>
                <w:r w:rsidRPr="000561CF">
                  <w:t xml:space="preserve"> independence is underpinned by an Act of Parliament. Its processes and outputs are open to public scrutiny and are driven by concern for the wellbeing of the </w:t>
                </w:r>
                <w:proofErr w:type="gramStart"/>
                <w:r w:rsidRPr="000561CF">
                  <w:t>community as a whole</w:t>
                </w:r>
                <w:proofErr w:type="gramEnd"/>
                <w:r w:rsidRPr="000561CF">
                  <w:t>.</w:t>
                </w:r>
              </w:p>
              <w:p w14:paraId="3B99502F" w14:textId="77777777" w:rsidR="00C31E23" w:rsidRPr="00434A53" w:rsidRDefault="00682373" w:rsidP="00BE5E7E">
                <w:pPr>
                  <w:pStyle w:val="Copyrightpage-BodyText"/>
                  <w:rPr>
                    <w:u w:val="single"/>
                  </w:rPr>
                </w:pPr>
                <w:r>
                  <w:t>For more</w:t>
                </w:r>
                <w:r w:rsidR="00C31E23" w:rsidRPr="000561CF">
                  <w:t xml:space="preserve"> information </w:t>
                </w:r>
                <w:r>
                  <w:t xml:space="preserve">visit our </w:t>
                </w:r>
                <w:r w:rsidR="00C31E23" w:rsidRPr="000561CF">
                  <w:t>website</w:t>
                </w:r>
                <w:r w:rsidRPr="00434A53">
                  <w:t xml:space="preserve">: </w:t>
                </w:r>
                <w:hyperlink r:id="rId21" w:history="1">
                  <w:r w:rsidR="00C31E23" w:rsidRPr="00434A53">
                    <w:rPr>
                      <w:rStyle w:val="Hyperlink"/>
                    </w:rPr>
                    <w:t>www.pc.gov.au</w:t>
                  </w:r>
                </w:hyperlink>
                <w:r w:rsidR="00C31E23" w:rsidRPr="00434A53">
                  <w:rPr>
                    <w:u w:val="single"/>
                  </w:rPr>
                  <w:t>.</w:t>
                </w:r>
              </w:p>
              <w:p w14:paraId="03A5DE37" w14:textId="77777777" w:rsidR="00C31E23" w:rsidRPr="007C4801" w:rsidRDefault="00C31E23" w:rsidP="00BE5E7E">
                <w:pPr>
                  <w:pStyle w:val="Copyrightpage-Keylinenotext"/>
                  <w:ind w:right="-284"/>
                  <w:rPr>
                    <w:b/>
                    <w:bCs/>
                    <w:color w:val="auto"/>
                  </w:rPr>
                </w:pPr>
              </w:p>
              <w:p w14:paraId="0D4A8DDE" w14:textId="77777777" w:rsidR="00C31E23" w:rsidRPr="00B1487B" w:rsidRDefault="00C31E23" w:rsidP="00A84F65">
                <w:pPr>
                  <w:pStyle w:val="Copyrightpage-BodyText"/>
                  <w:spacing w:before="0"/>
                </w:pPr>
                <w:r w:rsidRPr="00B1487B">
                  <w:t>© Commonwealth of Australia 202</w:t>
                </w:r>
                <w:r w:rsidR="00D20B05">
                  <w:t>6</w:t>
                </w:r>
              </w:p>
              <w:p w14:paraId="003145BC" w14:textId="77777777" w:rsidR="00C31E23" w:rsidRPr="00B1487B" w:rsidRDefault="00C31E23" w:rsidP="00BE5E7E">
                <w:pPr>
                  <w:pStyle w:val="Copyrightpage-Heading2"/>
                  <w:spacing w:before="0"/>
                  <w:ind w:right="-284"/>
                  <w:rPr>
                    <w:bCs/>
                    <w:color w:val="auto"/>
                  </w:rPr>
                </w:pPr>
                <w:r w:rsidRPr="00E72EE0">
                  <w:rPr>
                    <w:bCs/>
                    <w:noProof/>
                  </w:rPr>
                  <w:drawing>
                    <wp:inline distT="0" distB="0" distL="0" distR="0" wp14:anchorId="1CA98808" wp14:editId="3FAE69C9">
                      <wp:extent cx="774000" cy="270000"/>
                      <wp:effectExtent l="0" t="0" r="7620" b="0"/>
                      <wp:docPr id="6" name="Graphic 5" descr="CC BY logo">
                        <a:extLst xmlns:a="http://schemas.openxmlformats.org/drawingml/2006/main">
                          <a:ext uri="{FF2B5EF4-FFF2-40B4-BE49-F238E27FC236}">
                            <a16:creationId xmlns:a16="http://schemas.microsoft.com/office/drawing/2014/main" id="{F54E5013-412A-4F91-9DD3-DA71DB1337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CC BY logo">
                                <a:extLst>
                                  <a:ext uri="{FF2B5EF4-FFF2-40B4-BE49-F238E27FC236}">
                                    <a16:creationId xmlns:a16="http://schemas.microsoft.com/office/drawing/2014/main" id="{F54E5013-412A-4F91-9DD3-DA71DB1337DF}"/>
                                  </a:ext>
                                </a:extLst>
                              </pic:cNvPr>
                              <pic:cNvPicPr>
                                <a:picLocks noChangeAspect="1"/>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774000" cy="270000"/>
                              </a:xfrm>
                              <a:prstGeom prst="rect">
                                <a:avLst/>
                              </a:prstGeom>
                            </pic:spPr>
                          </pic:pic>
                        </a:graphicData>
                      </a:graphic>
                    </wp:inline>
                  </w:drawing>
                </w:r>
              </w:p>
              <w:p w14:paraId="7D4CE6BB" w14:textId="77777777" w:rsidR="00C31E23" w:rsidRPr="007C4801" w:rsidRDefault="00C31E23" w:rsidP="00BE5E7E">
                <w:pPr>
                  <w:pStyle w:val="Copyrightpage-BodyText"/>
                  <w:rPr>
                    <w:spacing w:val="-2"/>
                  </w:rPr>
                </w:pPr>
                <w:proofErr w:type="gramStart"/>
                <w:r w:rsidRPr="007C4801">
                  <w:rPr>
                    <w:spacing w:val="-2"/>
                  </w:rPr>
                  <w:t>With the exception of</w:t>
                </w:r>
                <w:proofErr w:type="gramEnd"/>
                <w:r w:rsidRPr="007C4801">
                  <w:rPr>
                    <w:spacing w:val="-2"/>
                  </w:rPr>
                  <w:t xml:space="preserve"> the Commonwealth Coat of Arms and content supplied by third parties, this copyright work is licensed under a Creative Commons Attribution</w:t>
                </w:r>
                <w:r w:rsidR="007C4801" w:rsidRPr="007C4801">
                  <w:rPr>
                    <w:spacing w:val="-2"/>
                  </w:rPr>
                  <w:t> </w:t>
                </w:r>
                <w:r w:rsidRPr="007C4801">
                  <w:rPr>
                    <w:spacing w:val="-2"/>
                  </w:rPr>
                  <w:t xml:space="preserve">4.0 International licence. In essence, you are free to copy, communicate and adapt the work, </w:t>
                </w:r>
                <w:proofErr w:type="gramStart"/>
                <w:r w:rsidRPr="007C4801">
                  <w:rPr>
                    <w:spacing w:val="-2"/>
                  </w:rPr>
                  <w:t>as long as</w:t>
                </w:r>
                <w:proofErr w:type="gramEnd"/>
                <w:r w:rsidRPr="007C4801">
                  <w:rPr>
                    <w:spacing w:val="-2"/>
                  </w:rPr>
                  <w:t xml:space="preserve"> you attribute the work to the </w:t>
                </w:r>
                <w:r w:rsidR="00BE5E7E" w:rsidRPr="007C4801">
                  <w:rPr>
                    <w:spacing w:val="-2"/>
                  </w:rPr>
                  <w:t xml:space="preserve">PC </w:t>
                </w:r>
                <w:r w:rsidRPr="007C4801">
                  <w:rPr>
                    <w:spacing w:val="-2"/>
                  </w:rPr>
                  <w:t xml:space="preserve">(but not in any way that suggests the </w:t>
                </w:r>
                <w:r w:rsidR="00BE5E7E" w:rsidRPr="007C4801">
                  <w:rPr>
                    <w:spacing w:val="-2"/>
                  </w:rPr>
                  <w:t>PC</w:t>
                </w:r>
                <w:r w:rsidRPr="007C4801">
                  <w:rPr>
                    <w:spacing w:val="-2"/>
                  </w:rPr>
                  <w:t xml:space="preserve"> endorses you or your use) and abide by the other licence terms. The licence can be viewed at: https://creativecommons.org/licenses/by/4.0.</w:t>
                </w:r>
              </w:p>
              <w:p w14:paraId="0A3C7EF0" w14:textId="77777777" w:rsidR="00C31E23" w:rsidRPr="000F4488" w:rsidRDefault="00C31E23" w:rsidP="00BE5E7E">
                <w:pPr>
                  <w:pStyle w:val="Copyrightpage-BodyText"/>
                </w:pPr>
                <w:r w:rsidRPr="000561CF">
                  <w:t>The terms under which the Coat of Arms can be used are detailed at: www.pmc.gov.au/government/commonwealth-coat-arms.</w:t>
                </w:r>
              </w:p>
              <w:p w14:paraId="4DDE675F" w14:textId="77777777" w:rsidR="00C31E23" w:rsidRPr="00915439" w:rsidRDefault="00C31E23" w:rsidP="00BE5E7E">
                <w:pPr>
                  <w:pStyle w:val="Copyrightpage-BodyText"/>
                  <w:rPr>
                    <w:spacing w:val="2"/>
                  </w:rPr>
                </w:pPr>
                <w:r w:rsidRPr="00915439">
                  <w:rPr>
                    <w:spacing w:val="2"/>
                  </w:rPr>
                  <w:t>Wherever a third party holds copyright in this material the copyright remains with that party. Their permission may be required to use the material, please contact them directly.</w:t>
                </w:r>
              </w:p>
              <w:p w14:paraId="3749FA23" w14:textId="2349A226" w:rsidR="000D4FD9" w:rsidRDefault="00C31E23" w:rsidP="00BE5E7E">
                <w:pPr>
                  <w:pStyle w:val="Copyrightpage-BodyText"/>
                </w:pPr>
                <w:r w:rsidRPr="000F4488">
                  <w:t>An appropriate reference for this publication is:</w:t>
                </w:r>
                <w:r>
                  <w:br/>
                </w:r>
                <w:r w:rsidR="00A25715">
                  <w:t xml:space="preserve">Productivity Commission 2026, </w:t>
                </w:r>
                <w:sdt>
                  <w:sdtPr>
                    <w:rPr>
                      <w:i/>
                      <w:iCs/>
                    </w:rPr>
                    <w:alias w:val="Title"/>
                    <w:id w:val="93518128"/>
                    <w:placeholder>
                      <w:docPart w:val="50BDF5AF418B4321AF19AE91FC740170"/>
                    </w:placeholder>
                    <w:dataBinding w:prefixMappings="xmlns:ns0='http://purl.org/dc/elements/1.1/' xmlns:ns1='http://schemas.openxmlformats.org/package/2006/metadata/core-properties' " w:xpath="/ns1:coreProperties[1]/ns0:title[1]" w:storeItemID="{6C3C8BC8-F283-45AE-878A-BAB7291924A1}"/>
                    <w:text/>
                  </w:sdtPr>
                  <w:sdtContent>
                    <w:r w:rsidR="00DC3F47">
                      <w:rPr>
                        <w:i/>
                        <w:iCs/>
                      </w:rPr>
                      <w:t>Interim report - Fabricated structural steel safeguards</w:t>
                    </w:r>
                  </w:sdtContent>
                </w:sdt>
                <w:r w:rsidR="00A25715" w:rsidRPr="00A25715">
                  <w:t xml:space="preserve">, </w:t>
                </w:r>
                <w:r w:rsidR="00EE6BE2">
                  <w:t>Interim</w:t>
                </w:r>
                <w:r w:rsidR="00A25715" w:rsidRPr="00A25715">
                  <w:t xml:space="preserve"> report, Canberra, </w:t>
                </w:r>
                <w:r w:rsidR="002F0EC8">
                  <w:t xml:space="preserve">September </w:t>
                </w:r>
              </w:p>
              <w:p w14:paraId="296339E9" w14:textId="712F1BCA" w:rsidR="00C31E23" w:rsidRPr="00CC49A5" w:rsidRDefault="00C31E23" w:rsidP="00BE5E7E">
                <w:pPr>
                  <w:pStyle w:val="Copyrightpage-BodyText"/>
                  <w:rPr>
                    <w:lang w:val="fr-CA"/>
                  </w:rPr>
                </w:pPr>
                <w:r w:rsidRPr="00CC49A5">
                  <w:rPr>
                    <w:lang w:val="fr-CA"/>
                  </w:rPr>
                  <w:t xml:space="preserve">Publication </w:t>
                </w:r>
                <w:proofErr w:type="spellStart"/>
                <w:r w:rsidRPr="00CC49A5">
                  <w:rPr>
                    <w:lang w:val="fr-CA"/>
                  </w:rPr>
                  <w:t>enquiries</w:t>
                </w:r>
                <w:proofErr w:type="spellEnd"/>
                <w:r w:rsidRPr="00CC49A5">
                  <w:rPr>
                    <w:lang w:val="fr-CA"/>
                  </w:rPr>
                  <w:t xml:space="preserve">: </w:t>
                </w:r>
                <w:r w:rsidRPr="00CC49A5">
                  <w:rPr>
                    <w:lang w:val="fr-CA"/>
                  </w:rPr>
                  <w:br/>
                </w:r>
                <w:r w:rsidR="00390E05" w:rsidRPr="00CC49A5">
                  <w:rPr>
                    <w:lang w:val="fr-CA"/>
                  </w:rPr>
                  <w:t>P</w:t>
                </w:r>
                <w:r w:rsidRPr="00CC49A5">
                  <w:rPr>
                    <w:lang w:val="fr-CA"/>
                  </w:rPr>
                  <w:t xml:space="preserve">hone 03 9653 2244 | </w:t>
                </w:r>
                <w:proofErr w:type="gramStart"/>
                <w:r w:rsidRPr="00CC49A5">
                  <w:rPr>
                    <w:lang w:val="fr-CA"/>
                  </w:rPr>
                  <w:t>email</w:t>
                </w:r>
                <w:proofErr w:type="gramEnd"/>
                <w:r w:rsidRPr="00CC49A5">
                  <w:rPr>
                    <w:lang w:val="fr-CA"/>
                  </w:rPr>
                  <w:t xml:space="preserve"> </w:t>
                </w:r>
                <w:hyperlink r:id="rId24" w:history="1">
                  <w:r w:rsidR="001E2FE4" w:rsidRPr="00CC49A5">
                    <w:rPr>
                      <w:lang w:val="fr-CA"/>
                    </w:rPr>
                    <w:t>publications@pc.gov.au</w:t>
                  </w:r>
                </w:hyperlink>
              </w:p>
            </w:tc>
          </w:tr>
        </w:tbl>
        <w:p w14:paraId="569A5DBB" w14:textId="01EC2076" w:rsidR="00E74787" w:rsidRDefault="006040DC" w:rsidP="00DA3017">
          <w:pPr>
            <w:spacing w:before="0" w:after="160" w:line="259" w:lineRule="auto"/>
            <w:rPr>
              <w:rStyle w:val="White"/>
              <w:b/>
            </w:rPr>
            <w:sectPr w:rsidR="00E74787" w:rsidSect="00C138F6">
              <w:headerReference w:type="even" r:id="rId25"/>
              <w:headerReference w:type="default" r:id="rId26"/>
              <w:footerReference w:type="even" r:id="rId27"/>
              <w:footerReference w:type="default" r:id="rId28"/>
              <w:headerReference w:type="first" r:id="rId29"/>
              <w:pgSz w:w="11906" w:h="16838" w:code="9"/>
              <w:pgMar w:top="1134" w:right="1134" w:bottom="1134" w:left="1134" w:header="794" w:footer="510" w:gutter="0"/>
              <w:pgNumType w:fmt="lowerRoman"/>
              <w:cols w:space="708"/>
              <w:docGrid w:linePitch="360"/>
            </w:sectPr>
          </w:pPr>
          <w:r w:rsidRPr="00CC49A5">
            <w:rPr>
              <w:rStyle w:val="White"/>
              <w:b/>
              <w:lang w:val="fr-CA"/>
            </w:rPr>
            <w:t xml:space="preserve"> </w:t>
          </w:r>
        </w:p>
      </w:sdtContent>
    </w:sdt>
    <w:p w14:paraId="28450974" w14:textId="39C084A2" w:rsidR="00ED3681" w:rsidRPr="005D6C39" w:rsidRDefault="00ED3681" w:rsidP="005D6C39">
      <w:pPr>
        <w:pStyle w:val="Heading1-nobackground"/>
        <w:spacing w:before="0" w:after="0" w:line="20" w:lineRule="exact"/>
        <w:rPr>
          <w:color w:val="FFFFFF" w:themeColor="background1"/>
          <w:sz w:val="2"/>
          <w:szCs w:val="2"/>
        </w:rPr>
      </w:pPr>
      <w:r w:rsidRPr="005D6C39">
        <w:rPr>
          <w:color w:val="FFFFFF" w:themeColor="background1"/>
          <w:sz w:val="2"/>
          <w:szCs w:val="2"/>
        </w:rPr>
        <w:lastRenderedPageBreak/>
        <w:t>Opportunity for comment</w:t>
      </w:r>
    </w:p>
    <w:tbl>
      <w:tblPr>
        <w:tblStyle w:val="NoBorderwithPadding"/>
        <w:tblW w:w="0" w:type="auto"/>
        <w:shd w:val="clear" w:color="auto" w:fill="2B9AC2" w:themeFill="text2"/>
        <w:tblLook w:val="04A0" w:firstRow="1" w:lastRow="0" w:firstColumn="1" w:lastColumn="0" w:noHBand="0" w:noVBand="1"/>
      </w:tblPr>
      <w:tblGrid>
        <w:gridCol w:w="9638"/>
      </w:tblGrid>
      <w:tr w:rsidR="00A25715" w14:paraId="32C2C986" w14:textId="77777777" w:rsidTr="00EE6BE2">
        <w:trPr>
          <w:trHeight w:hRule="exact" w:val="12756"/>
        </w:trPr>
        <w:tc>
          <w:tcPr>
            <w:tcW w:w="9638" w:type="dxa"/>
            <w:shd w:val="clear" w:color="auto" w:fill="F4F5F6"/>
          </w:tcPr>
          <w:p w14:paraId="7B0AB1FC" w14:textId="13144EED" w:rsidR="00A25715" w:rsidRDefault="00A25715" w:rsidP="002570A7">
            <w:pPr>
              <w:pStyle w:val="Heading1-nobackground"/>
            </w:pPr>
            <w:bookmarkStart w:id="0" w:name="_Toc132456074"/>
            <w:bookmarkStart w:id="1" w:name="_Toc238643897"/>
            <w:r>
              <w:t>Opportunity for comment</w:t>
            </w:r>
            <w:bookmarkEnd w:id="0"/>
            <w:bookmarkEnd w:id="1"/>
          </w:p>
          <w:p w14:paraId="42BD2187" w14:textId="15B0D76D" w:rsidR="00107FE7" w:rsidRDefault="00107FE7" w:rsidP="002570A7">
            <w:pPr>
              <w:pStyle w:val="BodyText"/>
            </w:pPr>
            <w:r w:rsidRPr="00107FE7">
              <w:t>The Productivity Commission thanks all participants for their contribution to this inquiry and now seeks additional input for the final report.</w:t>
            </w:r>
          </w:p>
          <w:p w14:paraId="645B15B1" w14:textId="2BCA2BB1" w:rsidR="00A25715" w:rsidRDefault="00A25715" w:rsidP="002570A7">
            <w:pPr>
              <w:pStyle w:val="BodyText"/>
            </w:pPr>
            <w:r>
              <w:t xml:space="preserve">You are invited to examine </w:t>
            </w:r>
            <w:r w:rsidR="00107FE7">
              <w:t>this</w:t>
            </w:r>
            <w:r w:rsidR="009752D0">
              <w:t xml:space="preserve"> interim report</w:t>
            </w:r>
            <w:r w:rsidR="00502CC7">
              <w:t xml:space="preserve"> and comment on it by written submissions to the PC</w:t>
            </w:r>
            <w:r w:rsidR="00DD3685">
              <w:t>, preferably in electronic format</w:t>
            </w:r>
            <w:r w:rsidR="00BE54DF">
              <w:t>,</w:t>
            </w:r>
            <w:r w:rsidR="00DD3685">
              <w:t xml:space="preserve"> by </w:t>
            </w:r>
            <w:r w:rsidR="00DD3685" w:rsidRPr="00B5342D">
              <w:rPr>
                <w:b/>
                <w:bCs/>
              </w:rPr>
              <w:t>30</w:t>
            </w:r>
            <w:r w:rsidR="0066563A">
              <w:rPr>
                <w:b/>
                <w:bCs/>
              </w:rPr>
              <w:t> </w:t>
            </w:r>
            <w:r w:rsidR="00DD3685" w:rsidRPr="00B5342D">
              <w:rPr>
                <w:b/>
                <w:bCs/>
              </w:rPr>
              <w:t>September 2026</w:t>
            </w:r>
            <w:r w:rsidR="00DD3685">
              <w:t xml:space="preserve">. </w:t>
            </w:r>
          </w:p>
          <w:p w14:paraId="326EAD03" w14:textId="6AEE4ED0" w:rsidR="00715BCA" w:rsidRDefault="00600D0D" w:rsidP="002570A7">
            <w:pPr>
              <w:pStyle w:val="BodyText"/>
            </w:pPr>
            <w:r>
              <w:t>Further information on how to provide a submission is included on the website:</w:t>
            </w:r>
            <w:r w:rsidR="00ED7B71" w:rsidRPr="00ED7B71">
              <w:t xml:space="preserve"> </w:t>
            </w:r>
            <w:hyperlink r:id="rId30" w:history="1">
              <w:r w:rsidR="00C405E7" w:rsidRPr="00A54517">
                <w:rPr>
                  <w:rStyle w:val="Hyperlink"/>
                </w:rPr>
                <w:t>www.pc.gov.au/inquiries-and-research/steel-safeguards/</w:t>
              </w:r>
            </w:hyperlink>
            <w:r w:rsidR="00133065">
              <w:t>.</w:t>
            </w:r>
          </w:p>
          <w:p w14:paraId="2D051B04" w14:textId="19B94446" w:rsidR="00D20E82" w:rsidRDefault="00A25715" w:rsidP="00D20E82">
            <w:pPr>
              <w:pStyle w:val="BodyText"/>
            </w:pPr>
            <w:r>
              <w:t xml:space="preserve">The </w:t>
            </w:r>
            <w:r w:rsidR="00133065">
              <w:t xml:space="preserve">PC will prepare the </w:t>
            </w:r>
            <w:r>
              <w:t>final report after submissions have been received</w:t>
            </w:r>
            <w:r w:rsidR="00D20E82">
              <w:t xml:space="preserve"> and it will hold further discussions with participants. </w:t>
            </w:r>
          </w:p>
          <w:p w14:paraId="4A965D05" w14:textId="77777777" w:rsidR="00A25715" w:rsidRPr="00683E2C" w:rsidRDefault="00A25715" w:rsidP="002570A7">
            <w:pPr>
              <w:pStyle w:val="Heading2-noTOC"/>
            </w:pPr>
            <w:r w:rsidRPr="00683E2C">
              <w:t>Commissioners</w:t>
            </w:r>
          </w:p>
          <w:p w14:paraId="057B65E2" w14:textId="77D426CD" w:rsidR="00A25715" w:rsidRPr="007151C7" w:rsidRDefault="00EA61EB" w:rsidP="002570A7">
            <w:pPr>
              <w:pStyle w:val="BodyText"/>
            </w:pPr>
            <w:r w:rsidRPr="007151C7">
              <w:t xml:space="preserve">For the purposes of this inquiry and </w:t>
            </w:r>
            <w:r>
              <w:t xml:space="preserve">interim </w:t>
            </w:r>
            <w:r w:rsidRPr="007151C7">
              <w:t xml:space="preserve">report, in accordance with section 40 of the </w:t>
            </w:r>
            <w:r w:rsidRPr="00297BB6">
              <w:rPr>
                <w:i/>
              </w:rPr>
              <w:t>Productivity Commission Act 1998</w:t>
            </w:r>
            <w:r w:rsidR="00382A1C">
              <w:rPr>
                <w:i/>
              </w:rPr>
              <w:t>,</w:t>
            </w:r>
            <w:r w:rsidRPr="007151C7">
              <w:t xml:space="preserve"> the powers of the </w:t>
            </w:r>
            <w:r>
              <w:t xml:space="preserve">PC </w:t>
            </w:r>
            <w:r w:rsidRPr="007151C7">
              <w:t>have been exercised by:</w:t>
            </w:r>
          </w:p>
          <w:tbl>
            <w:tblPr>
              <w:tblW w:w="0" w:type="auto"/>
              <w:tblLook w:val="01E0" w:firstRow="1" w:lastRow="1" w:firstColumn="1" w:lastColumn="1" w:noHBand="0" w:noVBand="0"/>
            </w:tblPr>
            <w:tblGrid>
              <w:gridCol w:w="2554"/>
              <w:gridCol w:w="6235"/>
            </w:tblGrid>
            <w:tr w:rsidR="00A25715" w14:paraId="14F2E19A" w14:textId="77777777" w:rsidTr="00713768">
              <w:tc>
                <w:tcPr>
                  <w:tcW w:w="2554" w:type="dxa"/>
                  <w:tcMar>
                    <w:left w:w="0" w:type="dxa"/>
                    <w:right w:w="0" w:type="dxa"/>
                  </w:tcMar>
                </w:tcPr>
                <w:p w14:paraId="6A003324" w14:textId="38FFE522" w:rsidR="00A25715" w:rsidRDefault="00EA61EB" w:rsidP="002570A7">
                  <w:pPr>
                    <w:pStyle w:val="BodyText"/>
                  </w:pPr>
                  <w:r>
                    <w:t>Catherine de Fontenay</w:t>
                  </w:r>
                </w:p>
              </w:tc>
              <w:tc>
                <w:tcPr>
                  <w:tcW w:w="6235" w:type="dxa"/>
                </w:tcPr>
                <w:p w14:paraId="24B6D415" w14:textId="42BAD1E6" w:rsidR="00A25715" w:rsidRDefault="007E1598" w:rsidP="002570A7">
                  <w:pPr>
                    <w:pStyle w:val="BodyText"/>
                  </w:pPr>
                  <w:r>
                    <w:t>Commissioner</w:t>
                  </w:r>
                </w:p>
              </w:tc>
            </w:tr>
            <w:tr w:rsidR="00A25715" w14:paraId="42CC714B" w14:textId="77777777" w:rsidTr="00713768">
              <w:tc>
                <w:tcPr>
                  <w:tcW w:w="2554" w:type="dxa"/>
                  <w:tcMar>
                    <w:left w:w="0" w:type="dxa"/>
                    <w:right w:w="0" w:type="dxa"/>
                  </w:tcMar>
                </w:tcPr>
                <w:p w14:paraId="44C59EB9" w14:textId="12218E6C" w:rsidR="00A25715" w:rsidRDefault="00EA61EB" w:rsidP="002570A7">
                  <w:pPr>
                    <w:pStyle w:val="BodyText"/>
                  </w:pPr>
                  <w:r>
                    <w:t>Barry Sterland</w:t>
                  </w:r>
                </w:p>
              </w:tc>
              <w:tc>
                <w:tcPr>
                  <w:tcW w:w="6235" w:type="dxa"/>
                </w:tcPr>
                <w:p w14:paraId="6C66E783" w14:textId="77777777" w:rsidR="00A25715" w:rsidRDefault="00A25715" w:rsidP="002570A7">
                  <w:pPr>
                    <w:pStyle w:val="BodyText"/>
                  </w:pPr>
                  <w:r>
                    <w:t>Commissioner</w:t>
                  </w:r>
                </w:p>
              </w:tc>
            </w:tr>
          </w:tbl>
          <w:p w14:paraId="1026922F" w14:textId="77777777" w:rsidR="00A25715" w:rsidRPr="00DD6473" w:rsidRDefault="00A25715" w:rsidP="002570A7">
            <w:pPr>
              <w:pStyle w:val="BodyText"/>
            </w:pPr>
          </w:p>
        </w:tc>
      </w:tr>
    </w:tbl>
    <w:p w14:paraId="75B9F936" w14:textId="77777777" w:rsidR="00E76EEC" w:rsidRDefault="00E76EEC" w:rsidP="00E76EEC">
      <w:pPr>
        <w:pStyle w:val="BodyText"/>
        <w:sectPr w:rsidR="00E76EEC" w:rsidSect="00E76EEC">
          <w:headerReference w:type="even" r:id="rId31"/>
          <w:headerReference w:type="default" r:id="rId32"/>
          <w:footerReference w:type="even" r:id="rId33"/>
          <w:footerReference w:type="default" r:id="rId34"/>
          <w:headerReference w:type="first" r:id="rId35"/>
          <w:type w:val="oddPage"/>
          <w:pgSz w:w="11906" w:h="16838" w:code="9"/>
          <w:pgMar w:top="1134" w:right="1134" w:bottom="1134" w:left="1134" w:header="794" w:footer="510" w:gutter="0"/>
          <w:pgNumType w:fmt="lowerRoman" w:start="2"/>
          <w:cols w:space="708"/>
          <w:docGrid w:linePitch="360"/>
        </w:sectPr>
      </w:pPr>
    </w:p>
    <w:p w14:paraId="7A9A7D28" w14:textId="38B8C998" w:rsidR="00E76EEC" w:rsidRPr="003B7DB1" w:rsidRDefault="00E76EEC" w:rsidP="00095C5D">
      <w:pPr>
        <w:pStyle w:val="Heading1-nobackground"/>
      </w:pPr>
      <w:bookmarkStart w:id="2" w:name="_Toc238643898"/>
      <w:r w:rsidRPr="003B7DB1">
        <w:lastRenderedPageBreak/>
        <w:t xml:space="preserve">Terms of </w:t>
      </w:r>
      <w:r w:rsidRPr="002E7A0E">
        <w:t>reference</w:t>
      </w:r>
      <w:bookmarkEnd w:id="2"/>
    </w:p>
    <w:p w14:paraId="13C06125" w14:textId="190CD9C5" w:rsidR="00E76EEC" w:rsidRPr="00915439" w:rsidRDefault="00E76EEC" w:rsidP="00E76EEC">
      <w:pPr>
        <w:pStyle w:val="BodyText"/>
        <w:rPr>
          <w:spacing w:val="-4"/>
        </w:rPr>
      </w:pPr>
      <w:r w:rsidRPr="00915439">
        <w:rPr>
          <w:spacing w:val="-4"/>
        </w:rPr>
        <w:t>I,</w:t>
      </w:r>
      <w:r w:rsidR="007D75B9" w:rsidRPr="00915439">
        <w:rPr>
          <w:spacing w:val="-4"/>
        </w:rPr>
        <w:t xml:space="preserve"> </w:t>
      </w:r>
      <w:r w:rsidR="002E137D" w:rsidRPr="00915439">
        <w:rPr>
          <w:spacing w:val="-4"/>
        </w:rPr>
        <w:t>the Hon</w:t>
      </w:r>
      <w:r w:rsidRPr="00915439" w:rsidDel="00F539C4">
        <w:rPr>
          <w:spacing w:val="-4"/>
        </w:rPr>
        <w:t xml:space="preserve"> </w:t>
      </w:r>
      <w:r w:rsidRPr="00915439">
        <w:rPr>
          <w:spacing w:val="-4"/>
        </w:rPr>
        <w:t xml:space="preserve">Jim Chalmers, Treasurer, pursuant to parts 2 and 3 of the </w:t>
      </w:r>
      <w:r w:rsidRPr="00915439">
        <w:rPr>
          <w:i/>
          <w:iCs/>
          <w:spacing w:val="-4"/>
        </w:rPr>
        <w:t>Productivity Commission Act 1998</w:t>
      </w:r>
      <w:r w:rsidRPr="00915439">
        <w:rPr>
          <w:spacing w:val="-4"/>
        </w:rPr>
        <w:t>, hereby request that the Productivity Commission</w:t>
      </w:r>
      <w:r w:rsidR="00DE5597" w:rsidRPr="00915439">
        <w:rPr>
          <w:spacing w:val="-4"/>
        </w:rPr>
        <w:t xml:space="preserve"> (PC)</w:t>
      </w:r>
      <w:r w:rsidRPr="00915439">
        <w:rPr>
          <w:spacing w:val="-4"/>
        </w:rPr>
        <w:t xml:space="preserve"> undertake an inquiry into </w:t>
      </w:r>
      <w:r w:rsidR="00F15088" w:rsidRPr="00915439">
        <w:rPr>
          <w:spacing w:val="-4"/>
        </w:rPr>
        <w:t>whether safeguard action is warranted against imports of fabricated structural steel products of the Australian Customs Tariff.</w:t>
      </w:r>
    </w:p>
    <w:p w14:paraId="565B746C" w14:textId="4FBB5F92" w:rsidR="00E76EEC" w:rsidRPr="003B7DB1" w:rsidRDefault="00E76EEC" w:rsidP="00EA07EA">
      <w:pPr>
        <w:pStyle w:val="Heading2-noTOC"/>
      </w:pPr>
      <w:r w:rsidRPr="003B7DB1">
        <w:t>Background</w:t>
      </w:r>
      <w:r>
        <w:t xml:space="preserve"> </w:t>
      </w:r>
    </w:p>
    <w:p w14:paraId="0D8E44FB" w14:textId="5DDB20E0" w:rsidR="00E76EEC" w:rsidRPr="003B7DB1" w:rsidRDefault="00C27722" w:rsidP="00E76EEC">
      <w:pPr>
        <w:pStyle w:val="BodyText"/>
      </w:pPr>
      <w:r w:rsidRPr="00C27722">
        <w:t xml:space="preserve">The Australian Steel Institute, on behalf of the industry, has lodged an application requesting that the Australian Government apply safeguard measures for fabricated structural steel products. The PC is Australia’s competent authority to investigate whether safeguard measures are justified under World Trade Organisation (WTO) rules, </w:t>
      </w:r>
      <w:proofErr w:type="gramStart"/>
      <w:r w:rsidRPr="00C27722">
        <w:t>on the basis of</w:t>
      </w:r>
      <w:proofErr w:type="gramEnd"/>
      <w:r w:rsidRPr="00C27722">
        <w:t xml:space="preserve"> there being a surge of imports that causes, or threatens to cause, serious injury to a domestic industry.</w:t>
      </w:r>
    </w:p>
    <w:p w14:paraId="25F8FA52" w14:textId="785E30C5" w:rsidR="00E76EEC" w:rsidRPr="003B7DB1" w:rsidRDefault="00E76EEC" w:rsidP="00EA07EA">
      <w:pPr>
        <w:pStyle w:val="Heading2-noTOC"/>
      </w:pPr>
      <w:r w:rsidRPr="003B7DB1">
        <w:t>Scope</w:t>
      </w:r>
    </w:p>
    <w:p w14:paraId="081E280C" w14:textId="77777777" w:rsidR="001B30B7" w:rsidRDefault="001B30B7" w:rsidP="00E76EEC">
      <w:pPr>
        <w:pStyle w:val="BodyText"/>
      </w:pPr>
      <w:r w:rsidRPr="001B30B7">
        <w:t xml:space="preserve">The PC is to undertake an inquiry into whether safeguard action is warranted against imports of the following fabricated structural steel products of the Australian Customs Tariff: </w:t>
      </w:r>
    </w:p>
    <w:p w14:paraId="5BA7EAE9" w14:textId="0A01F74A" w:rsidR="00E76EEC" w:rsidRDefault="001B30B7" w:rsidP="006619F2">
      <w:pPr>
        <w:pStyle w:val="ListBullet"/>
        <w:spacing w:line="320" w:lineRule="atLeast"/>
      </w:pPr>
      <w:r w:rsidRPr="001B30B7">
        <w:t>7308100001 – Bridges and bridge</w:t>
      </w:r>
      <w:r w:rsidR="00541146">
        <w:noBreakHyphen/>
      </w:r>
      <w:r w:rsidRPr="001B30B7">
        <w:t>sections of iron or steel.</w:t>
      </w:r>
    </w:p>
    <w:p w14:paraId="2D998645" w14:textId="4DC2A79D" w:rsidR="001B30B7" w:rsidRDefault="0049471C" w:rsidP="006619F2">
      <w:pPr>
        <w:pStyle w:val="ListBullet"/>
        <w:spacing w:line="320" w:lineRule="atLeast"/>
      </w:pPr>
      <w:r>
        <w:t>7308900052 – Columns, pillars, posts, beams, girders, bracing, gantries, brackets, struts, ties and similar structural units, hot rolled, of iron or steel (excl. those of HTISCs 7308100001, 7308200002, 7308300003 and 7308400004).</w:t>
      </w:r>
    </w:p>
    <w:p w14:paraId="026ACFDD" w14:textId="12E7284F" w:rsidR="009625F5" w:rsidRPr="009625F5" w:rsidRDefault="009625F5" w:rsidP="006619F2">
      <w:pPr>
        <w:pStyle w:val="ListBullet"/>
        <w:spacing w:line="320" w:lineRule="atLeast"/>
      </w:pPr>
      <w:r w:rsidRPr="009625F5">
        <w:t>7308900053 – Same as above, roll formed, plated or coated with zinc or aluminium</w:t>
      </w:r>
      <w:r w:rsidR="00541146">
        <w:noBreakHyphen/>
      </w:r>
      <w:r w:rsidRPr="009625F5">
        <w:t>zinc alloys, less than 1.2mm thick, of iron or steel (excl. hot rolled and HS 730810 to 730840).</w:t>
      </w:r>
    </w:p>
    <w:p w14:paraId="1CFBC896" w14:textId="1C025892" w:rsidR="0049471C" w:rsidRDefault="009625F5" w:rsidP="006619F2">
      <w:pPr>
        <w:pStyle w:val="ListBullet"/>
        <w:spacing w:line="320" w:lineRule="atLeast"/>
      </w:pPr>
      <w:r w:rsidRPr="009625F5">
        <w:t>7308900054 – Same as above, roll formed, plated or coated with zinc or aluminium</w:t>
      </w:r>
      <w:r w:rsidR="00541146">
        <w:noBreakHyphen/>
      </w:r>
      <w:r w:rsidRPr="009625F5">
        <w:t>zinc alloys, greater than or equal to 1.2mm thick, of iron or steel (excl. hot rolled and HS 730810 to 730840).</w:t>
      </w:r>
    </w:p>
    <w:p w14:paraId="0C63D1C7" w14:textId="4E3D01B7" w:rsidR="00EA387C" w:rsidRPr="00EA387C" w:rsidRDefault="00EA387C" w:rsidP="006619F2">
      <w:pPr>
        <w:pStyle w:val="ListBullet"/>
        <w:spacing w:line="320" w:lineRule="atLeast"/>
      </w:pPr>
      <w:r w:rsidRPr="00EA387C">
        <w:t>7308900055 – Same as above, roll formed, of iron or steel (excluding hot rolled; plated or coated with zinc or aluminium</w:t>
      </w:r>
      <w:r w:rsidR="00541146">
        <w:noBreakHyphen/>
      </w:r>
      <w:r w:rsidRPr="00EA387C">
        <w:t>zinc alloys; and HS 730810 to 730840).</w:t>
      </w:r>
    </w:p>
    <w:p w14:paraId="6C73777D" w14:textId="47D6FC6F" w:rsidR="00EA387C" w:rsidRPr="00EA387C" w:rsidRDefault="00EA387C" w:rsidP="006619F2">
      <w:pPr>
        <w:pStyle w:val="ListBullet"/>
        <w:spacing w:line="320" w:lineRule="atLeast"/>
      </w:pPr>
      <w:r w:rsidRPr="00EA387C">
        <w:t>7308900056 – Same as above, of iron or steel (excluding roll</w:t>
      </w:r>
      <w:r w:rsidR="00541146">
        <w:noBreakHyphen/>
      </w:r>
      <w:r w:rsidRPr="00EA387C">
        <w:t>formed structures and those of HTISCs 7308100001, 7308200002, 7308300003 and 7308400004).</w:t>
      </w:r>
    </w:p>
    <w:p w14:paraId="11058B12" w14:textId="24BBD918" w:rsidR="00104A94" w:rsidRDefault="00EA387C" w:rsidP="006619F2">
      <w:pPr>
        <w:pStyle w:val="ListBullet"/>
        <w:spacing w:line="320" w:lineRule="atLeast"/>
      </w:pPr>
      <w:r w:rsidRPr="00EA387C">
        <w:t>7308900057 – Steel grating, stairways and treads (excluding those of HTISCs 7308100001, 7308200002, 7308300003 and 7308400004).</w:t>
      </w:r>
    </w:p>
    <w:p w14:paraId="4B2947EB" w14:textId="77777777" w:rsidR="00EA387C" w:rsidRPr="00EA387C" w:rsidRDefault="00EA387C" w:rsidP="006619F2">
      <w:pPr>
        <w:pStyle w:val="ListBullet"/>
        <w:spacing w:line="320" w:lineRule="atLeast"/>
      </w:pPr>
      <w:r w:rsidRPr="00EA387C">
        <w:t>7308900060 – Handrails and stanchions, of iron or steel (excluding those of HTISCs 7308100001, 7308200002, 7308300003 and 7308400004).</w:t>
      </w:r>
    </w:p>
    <w:p w14:paraId="09B8E19C" w14:textId="77777777" w:rsidR="00EA387C" w:rsidRPr="00EA387C" w:rsidRDefault="00EA387C" w:rsidP="006619F2">
      <w:pPr>
        <w:pStyle w:val="ListBullet"/>
        <w:spacing w:line="320" w:lineRule="atLeast"/>
      </w:pPr>
      <w:r w:rsidRPr="00EA387C">
        <w:t>7308900062 – Guard rails and road barriers, of iron or steel, prepared for use on bridges and roads.</w:t>
      </w:r>
    </w:p>
    <w:p w14:paraId="14B3CBFB" w14:textId="77777777" w:rsidR="00EA387C" w:rsidRPr="00EA387C" w:rsidRDefault="00EA387C" w:rsidP="006619F2">
      <w:pPr>
        <w:pStyle w:val="ListBullet"/>
        <w:spacing w:line="320" w:lineRule="atLeast"/>
      </w:pPr>
      <w:r w:rsidRPr="00EA387C">
        <w:t>7308900063 – Sectional components, of iron or steel, prepared for use in towers and lattice masts.</w:t>
      </w:r>
    </w:p>
    <w:p w14:paraId="50A51966" w14:textId="77777777" w:rsidR="00EA387C" w:rsidRPr="00EA387C" w:rsidRDefault="00EA387C" w:rsidP="006619F2">
      <w:pPr>
        <w:pStyle w:val="ListBullet"/>
        <w:spacing w:line="320" w:lineRule="atLeast"/>
      </w:pPr>
      <w:r w:rsidRPr="00EA387C">
        <w:t>7308900064 – Lintels, of iron or steel, prepared for use with doors and windows.</w:t>
      </w:r>
    </w:p>
    <w:p w14:paraId="7D40FDB7" w14:textId="68CC4740" w:rsidR="00EA387C" w:rsidRDefault="00EA387C" w:rsidP="006619F2">
      <w:pPr>
        <w:pStyle w:val="ListBullet"/>
        <w:spacing w:line="320" w:lineRule="atLeast"/>
      </w:pPr>
      <w:r w:rsidRPr="00EA387C">
        <w:t>7308900065 – Structures and parts of structures and plates, rods, angles, shapes, sections, tubes and the like, prepared for use in structures, of iron or steel (excluding those of HTISC 7308100001).</w:t>
      </w:r>
    </w:p>
    <w:p w14:paraId="1BD61EEC" w14:textId="77E097FF" w:rsidR="00E76EEC" w:rsidRDefault="00B65058" w:rsidP="00E76EEC">
      <w:pPr>
        <w:pStyle w:val="BodyText"/>
      </w:pPr>
      <w:r w:rsidRPr="00B65058">
        <w:lastRenderedPageBreak/>
        <w:t>The inquiry is to be undertaken in accordance with the WTO safeguard investigation procedures published in the Gazette of S297 of 25</w:t>
      </w:r>
      <w:r w:rsidR="0066563A">
        <w:t> </w:t>
      </w:r>
      <w:r w:rsidRPr="00B65058">
        <w:t>June 1998, as amended by GN39 of 5</w:t>
      </w:r>
      <w:r w:rsidR="0066563A">
        <w:t> </w:t>
      </w:r>
      <w:r w:rsidRPr="00B65058">
        <w:t>October 2005, and consistent with Australia’s relevant free trade agreement obligations.</w:t>
      </w:r>
      <w:r>
        <w:t xml:space="preserve"> </w:t>
      </w:r>
      <w:r w:rsidR="00933CBE" w:rsidRPr="00933CBE">
        <w:t>The PC is to report at an industry level, and where feasible, for each tariff line on</w:t>
      </w:r>
      <w:r w:rsidR="00361E8E">
        <w:t>:</w:t>
      </w:r>
    </w:p>
    <w:p w14:paraId="64BB89C8" w14:textId="77777777" w:rsidR="006619F2" w:rsidRDefault="006619F2" w:rsidP="00207645">
      <w:pPr>
        <w:pStyle w:val="ListBullet"/>
        <w:spacing w:line="320" w:lineRule="atLeast"/>
      </w:pPr>
      <w:r>
        <w:t>Whether conditions are such that safeguard measures would be justified under the WTO Agreements, including the General Agreement on Tariffs and Trade 1994 (GATT) and the WTO Agreement on Safeguards.</w:t>
      </w:r>
    </w:p>
    <w:p w14:paraId="09A1AC67" w14:textId="77777777" w:rsidR="006619F2" w:rsidRDefault="006619F2" w:rsidP="00207645">
      <w:pPr>
        <w:pStyle w:val="ListBullet"/>
        <w:spacing w:line="320" w:lineRule="atLeast"/>
      </w:pPr>
      <w:r>
        <w:t>If these conditions are met, what measures would be necessary to prevent or remedy serious injury, and the threat thereof, and to facilitate adjustment.</w:t>
      </w:r>
    </w:p>
    <w:p w14:paraId="6B575F6A" w14:textId="707DB3D7" w:rsidR="00F91DF1" w:rsidRDefault="006619F2" w:rsidP="00DF7276">
      <w:pPr>
        <w:pStyle w:val="ListBullet"/>
        <w:spacing w:line="320" w:lineRule="atLeast"/>
      </w:pPr>
      <w:r>
        <w:t>Whether those measures should be implemented, having regard to the public interest.</w:t>
      </w:r>
    </w:p>
    <w:p w14:paraId="06DBF36C" w14:textId="12CA0610" w:rsidR="00207645" w:rsidRDefault="00F91DF1" w:rsidP="00DF7276">
      <w:pPr>
        <w:pStyle w:val="BodyText"/>
      </w:pPr>
      <w:r w:rsidRPr="00F91DF1">
        <w:t>The PC is to provide an interim report on whether critical circumstances exist where delay in applying measures would cause damage which it would be difficult to repair. If such circumstances exist, and pursuant to a preliminary determination that there is clear evidence that increased imports have caused or are threatening to cause serious injury, the PC is to recommend what provisional safeguard measures (to apply for no more than 200 days) would be appropriate.</w:t>
      </w:r>
    </w:p>
    <w:p w14:paraId="095D3637" w14:textId="4DC32ACB" w:rsidR="00207645" w:rsidRDefault="00207645" w:rsidP="00207645">
      <w:pPr>
        <w:pStyle w:val="Heading2-noTOC"/>
      </w:pPr>
      <w:r>
        <w:t>P</w:t>
      </w:r>
      <w:r w:rsidRPr="003B7DB1">
        <w:t>rocess</w:t>
      </w:r>
    </w:p>
    <w:p w14:paraId="62AC59A8" w14:textId="77777777" w:rsidR="00F91DF1" w:rsidRDefault="00F91DF1" w:rsidP="00F91DF1">
      <w:pPr>
        <w:pStyle w:val="BodyText"/>
      </w:pPr>
      <w:r>
        <w:t xml:space="preserve">The PC is to provide an interim report to the Government no later than 8 months and a final report within 10 months of receipt of this reference. The reports will be published as soon as practicable. </w:t>
      </w:r>
    </w:p>
    <w:p w14:paraId="7707FEC4" w14:textId="08F85C66" w:rsidR="00933CBE" w:rsidRDefault="00F91DF1" w:rsidP="00F91DF1">
      <w:pPr>
        <w:pStyle w:val="BodyText"/>
      </w:pPr>
      <w:r>
        <w:t>The PC is to consult widely, hold hearings and invite submissions for the purpose of the inquiry.</w:t>
      </w:r>
    </w:p>
    <w:p w14:paraId="006D02C1" w14:textId="77777777" w:rsidR="00E76EEC" w:rsidRPr="003B7DB1" w:rsidRDefault="00E76EEC" w:rsidP="00EA07EA">
      <w:pPr>
        <w:pStyle w:val="BodyText"/>
        <w:spacing w:before="360"/>
      </w:pPr>
      <w:r w:rsidRPr="007D1569">
        <w:rPr>
          <w:b/>
          <w:bCs/>
        </w:rPr>
        <w:t xml:space="preserve">The Hon </w:t>
      </w:r>
      <w:r>
        <w:rPr>
          <w:b/>
          <w:bCs/>
        </w:rPr>
        <w:t xml:space="preserve">Dr Jim Chalmers </w:t>
      </w:r>
      <w:r w:rsidRPr="007D1569">
        <w:rPr>
          <w:b/>
          <w:bCs/>
        </w:rPr>
        <w:t>MP</w:t>
      </w:r>
      <w:r>
        <w:br/>
      </w:r>
      <w:r w:rsidRPr="003B7DB1">
        <w:t>Treasurer</w:t>
      </w:r>
    </w:p>
    <w:p w14:paraId="710F505F" w14:textId="626FECE4" w:rsidR="00E76EEC" w:rsidRPr="003B7DB1" w:rsidRDefault="00EA07EA" w:rsidP="00E76EEC">
      <w:pPr>
        <w:pStyle w:val="BodyText"/>
      </w:pPr>
      <w:r>
        <w:t xml:space="preserve">[Received </w:t>
      </w:r>
      <w:sdt>
        <w:sdtPr>
          <w:id w:val="1805112169"/>
          <w:placeholder>
            <w:docPart w:val="260886A51358417E9A824009AC3BE5F6"/>
          </w:placeholder>
          <w:date w:fullDate="2026-01-23T00:00:00Z">
            <w:dateFormat w:val="d MMMM yyyy"/>
            <w:lid w:val="en-AU"/>
            <w:storeMappedDataAs w:val="dateTime"/>
            <w:calendar w:val="gregorian"/>
          </w:date>
        </w:sdtPr>
        <w:sdtContent>
          <w:r w:rsidR="0056528B">
            <w:t>23</w:t>
          </w:r>
          <w:r w:rsidR="00541146">
            <w:t> </w:t>
          </w:r>
          <w:r w:rsidR="0056528B">
            <w:t>January 2026</w:t>
          </w:r>
        </w:sdtContent>
      </w:sdt>
      <w:r>
        <w:t>]</w:t>
      </w:r>
    </w:p>
    <w:p w14:paraId="738B376F" w14:textId="48D05CA2" w:rsidR="00261D0D" w:rsidRDefault="00261D0D">
      <w:pPr>
        <w:spacing w:before="0" w:after="160" w:line="259" w:lineRule="auto"/>
      </w:pPr>
      <w:r>
        <w:br w:type="page"/>
      </w:r>
    </w:p>
    <w:p w14:paraId="73552FD7" w14:textId="1F27E546" w:rsidR="009A4C76" w:rsidRPr="007D1569" w:rsidRDefault="009A4C76" w:rsidP="009A4C76">
      <w:pPr>
        <w:pStyle w:val="Heading2-noTOC"/>
      </w:pPr>
      <w:bookmarkStart w:id="3" w:name="_Toc87865131"/>
      <w:bookmarkStart w:id="4" w:name="_Toc226473600"/>
      <w:bookmarkStart w:id="5" w:name="_Toc226474526"/>
      <w:bookmarkStart w:id="6" w:name="_Toc226548683"/>
      <w:r w:rsidRPr="007D1569">
        <w:lastRenderedPageBreak/>
        <w:t>Disclosure of interests</w:t>
      </w:r>
      <w:r>
        <w:t xml:space="preserve"> </w:t>
      </w:r>
    </w:p>
    <w:p w14:paraId="274080BB" w14:textId="77777777" w:rsidR="00F913D1" w:rsidRDefault="00B523D1" w:rsidP="009A4C76">
      <w:pPr>
        <w:pStyle w:val="BodyText"/>
      </w:pPr>
      <w:r w:rsidRPr="00B523D1">
        <w:t xml:space="preserve">The </w:t>
      </w:r>
      <w:r w:rsidRPr="00B5342D">
        <w:rPr>
          <w:i/>
        </w:rPr>
        <w:t>Productivity Commission Act 1998</w:t>
      </w:r>
      <w:r w:rsidRPr="00B523D1">
        <w:t xml:space="preserve"> (</w:t>
      </w:r>
      <w:proofErr w:type="spellStart"/>
      <w:r w:rsidRPr="00B523D1">
        <w:t>Cth</w:t>
      </w:r>
      <w:proofErr w:type="spellEnd"/>
      <w:r w:rsidRPr="00B523D1">
        <w:t>) specifies that where Commissioners have or acquire interests, pecuniary or otherwise, that could conflict with the proper performance of their functions they must disclose those interests.</w:t>
      </w:r>
    </w:p>
    <w:p w14:paraId="261944A4" w14:textId="3ABE9DC5" w:rsidR="009A4C76" w:rsidRDefault="00B523D1" w:rsidP="009A4C76">
      <w:pPr>
        <w:pStyle w:val="BodyText"/>
      </w:pPr>
      <w:r w:rsidRPr="00B523D1">
        <w:t>The Commissioners working on this report have no interests requiring disclosure.</w:t>
      </w:r>
    </w:p>
    <w:p w14:paraId="326B1308" w14:textId="03C5B981" w:rsidR="009A4C76" w:rsidRPr="00DD14E4" w:rsidRDefault="009A4C76" w:rsidP="009A4C76">
      <w:pPr>
        <w:pStyle w:val="Heading2-noTOC"/>
      </w:pPr>
      <w:r w:rsidRPr="00DD14E4">
        <w:t xml:space="preserve">Acknowledgments </w:t>
      </w:r>
    </w:p>
    <w:p w14:paraId="75442345" w14:textId="73E7B498" w:rsidR="00203952" w:rsidRDefault="0A27BA93" w:rsidP="009A4C76">
      <w:pPr>
        <w:pStyle w:val="BodyText"/>
      </w:pPr>
      <w:r>
        <w:t xml:space="preserve">In undertaking this inquiry, the PC has benefited from engagement with a wide range of stakeholders across the fabricated structural steel supply chain, as well as Australian and international government agencies and industry bodies. A full list of who we met with is included in </w:t>
      </w:r>
      <w:r w:rsidR="00996D09">
        <w:t>a</w:t>
      </w:r>
      <w:r>
        <w:t>ppendix</w:t>
      </w:r>
      <w:r w:rsidR="00541146">
        <w:t> </w:t>
      </w:r>
      <w:r w:rsidR="0045399D">
        <w:t>A</w:t>
      </w:r>
      <w:r>
        <w:t>.</w:t>
      </w:r>
    </w:p>
    <w:p w14:paraId="4EBAE1BE" w14:textId="072735B3" w:rsidR="11C6FAD4" w:rsidRDefault="11C6FAD4" w:rsidP="29A67B04">
      <w:pPr>
        <w:pStyle w:val="Heading2-noTOC"/>
      </w:pPr>
      <w:r>
        <w:t>BLADE disclaimer notice</w:t>
      </w:r>
    </w:p>
    <w:p w14:paraId="4B209A45" w14:textId="1A6A66FA" w:rsidR="00E91BE2" w:rsidRDefault="3037393E" w:rsidP="7222DF97">
      <w:pPr>
        <w:pStyle w:val="BodyText"/>
      </w:pPr>
      <w:r w:rsidRPr="7222DF97">
        <w:rPr>
          <w:rFonts w:eastAsia="Open Sans" w:cs="Open Sans"/>
          <w:color w:val="000000" w:themeColor="text1"/>
        </w:rPr>
        <w:t>The following Disclaimer Notice refers to data and graphs sourced from the Australian Bureau of Statistics</w:t>
      </w:r>
      <w:r w:rsidR="005C668D">
        <w:rPr>
          <w:rFonts w:eastAsia="Open Sans" w:cs="Open Sans"/>
          <w:color w:val="000000" w:themeColor="text1"/>
        </w:rPr>
        <w:t xml:space="preserve"> (ABS)</w:t>
      </w:r>
      <w:r w:rsidRPr="7222DF97">
        <w:rPr>
          <w:rFonts w:eastAsia="Open Sans" w:cs="Open Sans"/>
          <w:color w:val="000000" w:themeColor="text1"/>
        </w:rPr>
        <w:t xml:space="preserve"> BLADE (Business Longitudinal Analysis Data Environment) </w:t>
      </w:r>
      <w:r w:rsidRPr="00624A3F">
        <w:t>database.</w:t>
      </w:r>
    </w:p>
    <w:p w14:paraId="0EBE38C2" w14:textId="01D7B3FD" w:rsidR="48FE6C5F" w:rsidRDefault="3037393E" w:rsidP="7222DF97">
      <w:pPr>
        <w:pStyle w:val="BodyText"/>
      </w:pPr>
      <w:r w:rsidRPr="00635354">
        <w:rPr>
          <w:rFonts w:eastAsia="Open Sans" w:cs="Open Sans"/>
          <w:color w:val="000000" w:themeColor="text1"/>
        </w:rPr>
        <w:t>The results of these studies are based, in part, on data supplied to th</w:t>
      </w:r>
      <w:r w:rsidRPr="7222DF97">
        <w:rPr>
          <w:rFonts w:eastAsia="Open Sans" w:cs="Open Sans"/>
          <w:color w:val="000000" w:themeColor="text1"/>
        </w:rPr>
        <w:t xml:space="preserve">e ABS under the </w:t>
      </w:r>
      <w:r w:rsidRPr="00A62FC5">
        <w:rPr>
          <w:rFonts w:eastAsia="Open Sans" w:cs="Open Sans"/>
          <w:i/>
          <w:color w:val="000000" w:themeColor="text1"/>
        </w:rPr>
        <w:t>Taxation Administration Act 1953</w:t>
      </w:r>
      <w:r w:rsidRPr="7222DF97">
        <w:rPr>
          <w:rFonts w:eastAsia="Open Sans" w:cs="Open Sans"/>
          <w:color w:val="000000" w:themeColor="text1"/>
        </w:rPr>
        <w:t xml:space="preserve">, </w:t>
      </w:r>
      <w:r w:rsidRPr="00A62FC5">
        <w:rPr>
          <w:rFonts w:eastAsia="Open Sans" w:cs="Open Sans"/>
          <w:i/>
          <w:color w:val="000000" w:themeColor="text1"/>
        </w:rPr>
        <w:t>A New Tax System (Australian Business Number) Act 1999</w:t>
      </w:r>
      <w:r w:rsidRPr="7222DF97">
        <w:rPr>
          <w:rFonts w:eastAsia="Open Sans" w:cs="Open Sans"/>
          <w:color w:val="000000" w:themeColor="text1"/>
        </w:rPr>
        <w:t xml:space="preserve">, </w:t>
      </w:r>
      <w:r w:rsidRPr="00A62FC5">
        <w:rPr>
          <w:rFonts w:eastAsia="Open Sans" w:cs="Open Sans"/>
          <w:i/>
          <w:color w:val="000000" w:themeColor="text1"/>
        </w:rPr>
        <w:t>Australian Border Force Act 2015, Social Security (Administration) Act 1999, A New Tax System (Family Assistance) (Administration) Act 1999, Paid Parental Leave Act 20</w:t>
      </w:r>
      <w:r w:rsidRPr="00635354">
        <w:rPr>
          <w:rFonts w:eastAsia="Open Sans" w:cs="Open Sans"/>
          <w:color w:val="000000" w:themeColor="text1"/>
        </w:rPr>
        <w:t>10</w:t>
      </w:r>
      <w:r w:rsidRPr="7222DF97">
        <w:rPr>
          <w:rFonts w:eastAsia="Open Sans" w:cs="Open Sans"/>
          <w:color w:val="000000" w:themeColor="text1"/>
        </w:rPr>
        <w:t xml:space="preserve"> and/or the </w:t>
      </w:r>
      <w:r w:rsidRPr="00A62FC5">
        <w:rPr>
          <w:rFonts w:eastAsia="Open Sans" w:cs="Open Sans"/>
          <w:i/>
          <w:color w:val="000000" w:themeColor="text1"/>
        </w:rPr>
        <w:t>Student Assistance Act 1973</w:t>
      </w:r>
      <w:r w:rsidRPr="7222DF97">
        <w:rPr>
          <w:rFonts w:eastAsia="Open Sans" w:cs="Open Sans"/>
          <w:color w:val="000000" w:themeColor="text1"/>
        </w:rPr>
        <w:t xml:space="preserve">. Such data may only be used for the purpose of administering the </w:t>
      </w:r>
      <w:r w:rsidRPr="00A62FC5">
        <w:rPr>
          <w:rFonts w:eastAsia="Open Sans" w:cs="Open Sans"/>
          <w:i/>
          <w:color w:val="000000" w:themeColor="text1"/>
        </w:rPr>
        <w:t>Census and Statistics Act 1905</w:t>
      </w:r>
      <w:r w:rsidRPr="7222DF97">
        <w:rPr>
          <w:rFonts w:eastAsia="Open Sans" w:cs="Open Sans"/>
          <w:color w:val="000000" w:themeColor="text1"/>
        </w:rPr>
        <w:t xml:space="preserve"> or performance of functions of the ABS as set out in section 6 of the </w:t>
      </w:r>
      <w:r w:rsidRPr="00A62FC5">
        <w:rPr>
          <w:rFonts w:eastAsia="Open Sans" w:cs="Open Sans"/>
          <w:i/>
          <w:color w:val="000000" w:themeColor="text1"/>
        </w:rPr>
        <w:t>Australian Bureau of Statistics Act 1975.</w:t>
      </w:r>
      <w:r w:rsidRPr="7222DF97">
        <w:rPr>
          <w:rFonts w:eastAsia="Open Sans" w:cs="Open Sans"/>
          <w:color w:val="000000" w:themeColor="text1"/>
        </w:rPr>
        <w:t xml:space="preserve"> No individual information collected under the </w:t>
      </w:r>
      <w:r w:rsidRPr="00A62FC5">
        <w:rPr>
          <w:rFonts w:eastAsia="Open Sans" w:cs="Open Sans"/>
          <w:i/>
          <w:color w:val="000000" w:themeColor="text1"/>
        </w:rPr>
        <w:t>Census and Statistics Act 1905</w:t>
      </w:r>
      <w:r w:rsidRPr="7222DF97">
        <w:rPr>
          <w:rFonts w:eastAsia="Open Sans" w:cs="Open Sans"/>
          <w:color w:val="000000" w:themeColor="text1"/>
        </w:rPr>
        <w:t xml:space="preserve"> is provided back to custodians for administrative or regulatory purposes. Any discussion of data limitations or weaknesses is in the context of using the data for statistical purposes and is not related to the ability of the data to support the Australian Taxation Office, Australian Business Register, Department of Social Services and/or Department of Home Affairs’ core operational req</w:t>
      </w:r>
      <w:r w:rsidRPr="7222DF97">
        <w:rPr>
          <w:rFonts w:asciiTheme="minorHAnsi" w:eastAsiaTheme="minorEastAsia" w:hAnsiTheme="minorHAnsi"/>
        </w:rPr>
        <w:t>uirements.</w:t>
      </w:r>
    </w:p>
    <w:p w14:paraId="3E909AD8" w14:textId="33922E4E" w:rsidR="3CB902F9" w:rsidRPr="00A858E3" w:rsidRDefault="3037393E" w:rsidP="7222DF97">
      <w:pPr>
        <w:shd w:val="clear" w:color="auto" w:fill="FFFFFF" w:themeFill="background1"/>
        <w:spacing w:before="225" w:after="0"/>
        <w:rPr>
          <w:rFonts w:eastAsia="Open Sans" w:cs="Open Sans"/>
          <w:color w:val="000000" w:themeColor="text1"/>
          <w:spacing w:val="-2"/>
        </w:rPr>
      </w:pPr>
      <w:r w:rsidRPr="00A858E3">
        <w:rPr>
          <w:rFonts w:eastAsia="Open Sans" w:cs="Open Sans"/>
          <w:color w:val="000000" w:themeColor="text1"/>
          <w:spacing w:val="-2"/>
        </w:rPr>
        <w:t>Legislative requirements to ensure privacy and secrecy of these data have been followed. For access to MADIP</w:t>
      </w:r>
      <w:r w:rsidR="00B15539" w:rsidRPr="00A858E3">
        <w:rPr>
          <w:rFonts w:eastAsia="Open Sans" w:cs="Open Sans"/>
          <w:color w:val="000000" w:themeColor="text1"/>
          <w:spacing w:val="-2"/>
        </w:rPr>
        <w:t xml:space="preserve"> </w:t>
      </w:r>
      <w:r w:rsidR="00375B45" w:rsidRPr="00A858E3">
        <w:rPr>
          <w:rFonts w:eastAsia="Open Sans" w:cs="Open Sans"/>
          <w:color w:val="000000" w:themeColor="text1"/>
          <w:spacing w:val="-2"/>
        </w:rPr>
        <w:t>(Multi-Agency Data Integration Project)</w:t>
      </w:r>
      <w:r w:rsidRPr="00A858E3">
        <w:rPr>
          <w:rFonts w:eastAsia="Open Sans" w:cs="Open Sans"/>
          <w:color w:val="000000" w:themeColor="text1"/>
          <w:spacing w:val="-2"/>
        </w:rPr>
        <w:t xml:space="preserve"> and/or BLADE data under </w:t>
      </w:r>
      <w:r w:rsidR="0066563A" w:rsidRPr="00A858E3">
        <w:rPr>
          <w:rFonts w:eastAsia="Open Sans" w:cs="Open Sans"/>
          <w:color w:val="000000" w:themeColor="text1"/>
          <w:spacing w:val="-2"/>
        </w:rPr>
        <w:t>s</w:t>
      </w:r>
      <w:r w:rsidRPr="00A858E3">
        <w:rPr>
          <w:rFonts w:eastAsia="Open Sans" w:cs="Open Sans"/>
          <w:color w:val="000000" w:themeColor="text1"/>
          <w:spacing w:val="-2"/>
        </w:rPr>
        <w:t xml:space="preserve">ection 16A of the </w:t>
      </w:r>
      <w:r w:rsidRPr="00A858E3">
        <w:rPr>
          <w:rFonts w:eastAsia="Open Sans" w:cs="Open Sans"/>
          <w:i/>
          <w:color w:val="000000" w:themeColor="text1"/>
          <w:spacing w:val="-2"/>
        </w:rPr>
        <w:t>ABS Act 1975</w:t>
      </w:r>
      <w:r w:rsidRPr="00A858E3">
        <w:rPr>
          <w:rFonts w:eastAsia="Open Sans" w:cs="Open Sans"/>
          <w:color w:val="000000" w:themeColor="text1"/>
          <w:spacing w:val="-2"/>
        </w:rPr>
        <w:t xml:space="preserve"> or enabled by section 15 of the </w:t>
      </w:r>
      <w:r w:rsidRPr="00A858E3">
        <w:rPr>
          <w:rFonts w:eastAsia="Open Sans" w:cs="Open Sans"/>
          <w:i/>
          <w:color w:val="000000" w:themeColor="text1"/>
          <w:spacing w:val="-2"/>
        </w:rPr>
        <w:t>Census and Statistics (Information Release and Access) Determination 2018</w:t>
      </w:r>
      <w:r w:rsidRPr="00A858E3">
        <w:rPr>
          <w:rFonts w:eastAsia="Open Sans" w:cs="Open Sans"/>
          <w:color w:val="000000" w:themeColor="text1"/>
          <w:spacing w:val="-2"/>
        </w:rPr>
        <w:t>, source data are de</w:t>
      </w:r>
      <w:r w:rsidR="00541146" w:rsidRPr="00A858E3">
        <w:rPr>
          <w:rFonts w:eastAsia="Open Sans" w:cs="Open Sans"/>
          <w:color w:val="000000" w:themeColor="text1"/>
          <w:spacing w:val="-2"/>
        </w:rPr>
        <w:noBreakHyphen/>
      </w:r>
      <w:r w:rsidRPr="00A858E3">
        <w:rPr>
          <w:rFonts w:eastAsia="Open Sans" w:cs="Open Sans"/>
          <w:color w:val="000000" w:themeColor="text1"/>
          <w:spacing w:val="-2"/>
        </w:rPr>
        <w:t>identified and so data about specific individuals has not been viewed in conducting this analysis. In accordance with the Census and Statistics Act 1905, results have been treated where necessary to ensure that they are not likely to enable identification of a particular person or organisation.</w:t>
      </w:r>
    </w:p>
    <w:p w14:paraId="483050AB" w14:textId="4FD5A1AA" w:rsidR="002472AC" w:rsidRDefault="002472AC" w:rsidP="002472AC">
      <w:pPr>
        <w:pStyle w:val="Heading2-noTOC"/>
      </w:pPr>
      <w:r w:rsidRPr="002472AC">
        <w:t>AI transparency statement</w:t>
      </w:r>
    </w:p>
    <w:p w14:paraId="70E12B46" w14:textId="23C1B6D2" w:rsidR="009A4C76" w:rsidRPr="00DF7276" w:rsidRDefault="002472AC" w:rsidP="00DF7276">
      <w:pPr>
        <w:pStyle w:val="BodyText"/>
      </w:pPr>
      <w:r w:rsidRPr="002472AC">
        <w:t>This report was prepared using the assistance of AI tools for purposes of general research, note taking, coding and editing. PC staff reviewed all AI</w:t>
      </w:r>
      <w:r w:rsidR="00541146">
        <w:noBreakHyphen/>
      </w:r>
      <w:r w:rsidRPr="002472AC">
        <w:t xml:space="preserve">generated outputs for accuracy and </w:t>
      </w:r>
      <w:r w:rsidRPr="00DF7276">
        <w:t>quality.</w:t>
      </w:r>
    </w:p>
    <w:p w14:paraId="4385131C" w14:textId="77777777" w:rsidR="00261D0D" w:rsidRPr="00DF7276" w:rsidRDefault="00261D0D" w:rsidP="00DF7276">
      <w:pPr>
        <w:pStyle w:val="BodyText"/>
        <w:sectPr w:rsidR="00261D0D" w:rsidRPr="00DF7276" w:rsidSect="00713768">
          <w:headerReference w:type="even" r:id="rId36"/>
          <w:headerReference w:type="default" r:id="rId37"/>
          <w:headerReference w:type="first" r:id="rId38"/>
          <w:pgSz w:w="11906" w:h="16838" w:code="9"/>
          <w:pgMar w:top="1134" w:right="1134" w:bottom="1134" w:left="1134" w:header="794" w:footer="510" w:gutter="0"/>
          <w:pgNumType w:fmt="lowerRoman"/>
          <w:cols w:space="708"/>
          <w:docGrid w:linePitch="360"/>
        </w:sectPr>
      </w:pPr>
    </w:p>
    <w:p w14:paraId="60FFF6A3" w14:textId="71A63F62" w:rsidR="00E76EEC" w:rsidRDefault="00E76EEC" w:rsidP="00EA07EA">
      <w:pPr>
        <w:pStyle w:val="Heading1-nobackground"/>
      </w:pPr>
      <w:bookmarkStart w:id="7" w:name="_Toc238643899"/>
      <w:r w:rsidRPr="00EA07EA">
        <w:lastRenderedPageBreak/>
        <w:t>Contents</w:t>
      </w:r>
      <w:bookmarkEnd w:id="3"/>
      <w:bookmarkEnd w:id="4"/>
      <w:bookmarkEnd w:id="5"/>
      <w:bookmarkEnd w:id="6"/>
      <w:bookmarkEnd w:id="7"/>
    </w:p>
    <w:sdt>
      <w:sdtPr>
        <w:rPr>
          <w:rFonts w:asciiTheme="minorHAnsi" w:hAnsiTheme="minorHAnsi"/>
          <w:b/>
          <w:bCs/>
          <w:color w:val="auto"/>
        </w:rPr>
        <w:id w:val="-896974578"/>
        <w:docPartObj>
          <w:docPartGallery w:val="Table of Contents"/>
          <w:docPartUnique/>
        </w:docPartObj>
      </w:sdtPr>
      <w:sdtEndPr>
        <w:rPr>
          <w:b w:val="0"/>
          <w:bCs w:val="0"/>
          <w:noProof/>
        </w:rPr>
      </w:sdtEndPr>
      <w:sdtContent>
        <w:p w14:paraId="76A03AFB" w14:textId="0743F99D" w:rsidR="00151F09" w:rsidRDefault="00E76EEC">
          <w:pPr>
            <w:pStyle w:val="TOC1"/>
            <w:rPr>
              <w:rFonts w:asciiTheme="minorHAnsi" w:eastAsiaTheme="minorEastAsia" w:hAnsiTheme="minorHAnsi"/>
              <w:noProof/>
              <w:color w:val="auto"/>
              <w:kern w:val="2"/>
              <w:sz w:val="24"/>
              <w:szCs w:val="24"/>
              <w:lang w:eastAsia="en-AU"/>
              <w14:ligatures w14:val="standardContextual"/>
            </w:rPr>
          </w:pPr>
          <w:r>
            <w:rPr>
              <w:rFonts w:asciiTheme="majorHAnsi" w:hAnsiTheme="majorHAnsi"/>
              <w:noProof/>
              <w:color w:val="265A9A" w:themeColor="background2"/>
            </w:rPr>
            <w:fldChar w:fldCharType="begin"/>
          </w:r>
          <w:r>
            <w:instrText xml:space="preserve"> TOC \\h \z \t "Heading 1,1,</w:instrText>
          </w:r>
          <w:r w:rsidRPr="00484E96">
            <w:instrText>Heading-Appendix</w:instrText>
          </w:r>
          <w:r>
            <w:instrText>,1,</w:instrText>
          </w:r>
          <w:r w:rsidRPr="00F37F65">
            <w:instrText xml:space="preserve"> Heading 1</w:instrText>
          </w:r>
          <w:r>
            <w:instrText>-no number</w:instrText>
          </w:r>
          <w:r w:rsidRPr="00F37F65">
            <w:instrText>,1</w:instrText>
          </w:r>
          <w:r>
            <w:instrText>, Heading 1-no background,1,</w:instrText>
          </w:r>
          <w:r w:rsidRPr="00F37F65">
            <w:instrText xml:space="preserve"> Heading 1-Section blue background</w:instrText>
          </w:r>
          <w:r>
            <w:instrText>,3,</w:instrText>
          </w:r>
          <w:r w:rsidRPr="00F37F65">
            <w:instrText xml:space="preserve"> Heading 1-Section-full page</w:instrText>
          </w:r>
          <w:r>
            <w:instrText xml:space="preserve">,3,Heading 2,2,Heading 2-no number,2,Heading 2-Appendix,2,Heading 1 - Intro,3,Heading 1-numbered,3,Section Heading-pale blue,3" </w:instrText>
          </w:r>
          <w:r>
            <w:rPr>
              <w:rFonts w:asciiTheme="majorHAnsi" w:hAnsiTheme="majorHAnsi"/>
              <w:noProof/>
              <w:color w:val="265A9A" w:themeColor="background2"/>
            </w:rPr>
            <w:fldChar w:fldCharType="separate"/>
          </w:r>
          <w:r w:rsidR="00151F09">
            <w:rPr>
              <w:noProof/>
            </w:rPr>
            <w:t>Opportunity for comment</w:t>
          </w:r>
          <w:r w:rsidR="00151F09">
            <w:rPr>
              <w:noProof/>
              <w:webHidden/>
            </w:rPr>
            <w:tab/>
          </w:r>
          <w:r w:rsidR="00151F09">
            <w:rPr>
              <w:noProof/>
              <w:webHidden/>
            </w:rPr>
            <w:fldChar w:fldCharType="begin"/>
          </w:r>
          <w:r w:rsidR="00151F09">
            <w:rPr>
              <w:noProof/>
              <w:webHidden/>
            </w:rPr>
            <w:instrText xml:space="preserve"> PAGEREF _Toc238643897 \h </w:instrText>
          </w:r>
          <w:r w:rsidR="00151F09">
            <w:rPr>
              <w:noProof/>
              <w:webHidden/>
            </w:rPr>
          </w:r>
          <w:r w:rsidR="00151F09">
            <w:rPr>
              <w:noProof/>
              <w:webHidden/>
            </w:rPr>
            <w:fldChar w:fldCharType="separate"/>
          </w:r>
          <w:r w:rsidR="000F468A">
            <w:rPr>
              <w:noProof/>
              <w:webHidden/>
            </w:rPr>
            <w:t>iii</w:t>
          </w:r>
          <w:r w:rsidR="00151F09">
            <w:rPr>
              <w:noProof/>
              <w:webHidden/>
            </w:rPr>
            <w:fldChar w:fldCharType="end"/>
          </w:r>
        </w:p>
        <w:p w14:paraId="7C039B9A" w14:textId="021BE623" w:rsidR="00151F09" w:rsidRDefault="00151F09">
          <w:pPr>
            <w:pStyle w:val="TOC1"/>
            <w:rPr>
              <w:rFonts w:asciiTheme="minorHAnsi" w:eastAsiaTheme="minorEastAsia" w:hAnsiTheme="minorHAnsi"/>
              <w:noProof/>
              <w:color w:val="auto"/>
              <w:kern w:val="2"/>
              <w:sz w:val="24"/>
              <w:szCs w:val="24"/>
              <w:lang w:eastAsia="en-AU"/>
              <w14:ligatures w14:val="standardContextual"/>
            </w:rPr>
          </w:pPr>
          <w:r>
            <w:rPr>
              <w:noProof/>
            </w:rPr>
            <w:t>Terms of reference</w:t>
          </w:r>
          <w:r>
            <w:rPr>
              <w:noProof/>
              <w:webHidden/>
            </w:rPr>
            <w:tab/>
          </w:r>
          <w:r>
            <w:rPr>
              <w:noProof/>
              <w:webHidden/>
            </w:rPr>
            <w:fldChar w:fldCharType="begin"/>
          </w:r>
          <w:r>
            <w:rPr>
              <w:noProof/>
              <w:webHidden/>
            </w:rPr>
            <w:instrText xml:space="preserve"> PAGEREF _Toc238643898 \h </w:instrText>
          </w:r>
          <w:r>
            <w:rPr>
              <w:noProof/>
              <w:webHidden/>
            </w:rPr>
          </w:r>
          <w:r>
            <w:rPr>
              <w:noProof/>
              <w:webHidden/>
            </w:rPr>
            <w:fldChar w:fldCharType="separate"/>
          </w:r>
          <w:r w:rsidR="000F468A">
            <w:rPr>
              <w:noProof/>
              <w:webHidden/>
            </w:rPr>
            <w:t>iv</w:t>
          </w:r>
          <w:r>
            <w:rPr>
              <w:noProof/>
              <w:webHidden/>
            </w:rPr>
            <w:fldChar w:fldCharType="end"/>
          </w:r>
        </w:p>
        <w:p w14:paraId="7E780569" w14:textId="748B515C" w:rsidR="00151F09" w:rsidRDefault="00151F09">
          <w:pPr>
            <w:pStyle w:val="TOC3"/>
            <w:rPr>
              <w:noProof/>
              <w:webHidden/>
            </w:rPr>
          </w:pPr>
          <w:r>
            <w:rPr>
              <w:noProof/>
            </w:rPr>
            <w:t>Overview</w:t>
          </w:r>
          <w:r>
            <w:rPr>
              <w:noProof/>
              <w:webHidden/>
            </w:rPr>
            <w:tab/>
          </w:r>
          <w:r>
            <w:rPr>
              <w:noProof/>
              <w:webHidden/>
            </w:rPr>
            <w:fldChar w:fldCharType="begin"/>
          </w:r>
          <w:r>
            <w:rPr>
              <w:noProof/>
              <w:webHidden/>
            </w:rPr>
            <w:instrText xml:space="preserve"> PAGEREF _Toc238643900 \h </w:instrText>
          </w:r>
          <w:r>
            <w:rPr>
              <w:noProof/>
              <w:webHidden/>
            </w:rPr>
          </w:r>
          <w:r>
            <w:rPr>
              <w:noProof/>
              <w:webHidden/>
            </w:rPr>
            <w:fldChar w:fldCharType="separate"/>
          </w:r>
          <w:r w:rsidR="000F468A">
            <w:rPr>
              <w:noProof/>
              <w:webHidden/>
            </w:rPr>
            <w:t>1</w:t>
          </w:r>
          <w:r>
            <w:rPr>
              <w:noProof/>
              <w:webHidden/>
            </w:rPr>
            <w:fldChar w:fldCharType="end"/>
          </w:r>
        </w:p>
        <w:p w14:paraId="4B7544EF" w14:textId="71628240" w:rsidR="00A858E3" w:rsidRPr="00A858E3" w:rsidRDefault="00A858E3" w:rsidP="00A858E3">
          <w:pPr>
            <w:pStyle w:val="TOC1"/>
            <w:rPr>
              <w:noProof/>
            </w:rPr>
          </w:pPr>
          <w:r>
            <w:rPr>
              <w:noProof/>
            </w:rPr>
            <w:t>Key points</w:t>
          </w:r>
          <w:r>
            <w:rPr>
              <w:noProof/>
            </w:rPr>
            <w:tab/>
            <w:t>2</w:t>
          </w:r>
        </w:p>
        <w:p w14:paraId="5D7494C3" w14:textId="39B4048D" w:rsidR="00151F09" w:rsidRDefault="00151F09">
          <w:pPr>
            <w:pStyle w:val="TOC1"/>
            <w:rPr>
              <w:rFonts w:asciiTheme="minorHAnsi" w:eastAsiaTheme="minorEastAsia" w:hAnsiTheme="minorHAnsi"/>
              <w:noProof/>
              <w:color w:val="auto"/>
              <w:kern w:val="2"/>
              <w:sz w:val="24"/>
              <w:szCs w:val="24"/>
              <w:lang w:eastAsia="en-AU"/>
              <w14:ligatures w14:val="standardContextual"/>
            </w:rPr>
          </w:pPr>
          <w:r>
            <w:rPr>
              <w:noProof/>
            </w:rPr>
            <w:t>1.</w:t>
          </w:r>
          <w:r>
            <w:rPr>
              <w:rFonts w:asciiTheme="minorHAnsi" w:eastAsiaTheme="minorEastAsia" w:hAnsiTheme="minorHAnsi"/>
              <w:noProof/>
              <w:color w:val="auto"/>
              <w:kern w:val="2"/>
              <w:sz w:val="24"/>
              <w:szCs w:val="24"/>
              <w:lang w:eastAsia="en-AU"/>
              <w14:ligatures w14:val="standardContextual"/>
            </w:rPr>
            <w:tab/>
          </w:r>
          <w:r>
            <w:rPr>
              <w:noProof/>
            </w:rPr>
            <w:t>About the inquiry</w:t>
          </w:r>
          <w:r>
            <w:rPr>
              <w:noProof/>
              <w:webHidden/>
            </w:rPr>
            <w:tab/>
          </w:r>
          <w:r>
            <w:rPr>
              <w:noProof/>
              <w:webHidden/>
            </w:rPr>
            <w:fldChar w:fldCharType="begin"/>
          </w:r>
          <w:r>
            <w:rPr>
              <w:noProof/>
              <w:webHidden/>
            </w:rPr>
            <w:instrText xml:space="preserve"> PAGEREF _Toc238643901 \h </w:instrText>
          </w:r>
          <w:r>
            <w:rPr>
              <w:noProof/>
              <w:webHidden/>
            </w:rPr>
          </w:r>
          <w:r>
            <w:rPr>
              <w:noProof/>
              <w:webHidden/>
            </w:rPr>
            <w:fldChar w:fldCharType="separate"/>
          </w:r>
          <w:r w:rsidR="000F468A">
            <w:rPr>
              <w:noProof/>
              <w:webHidden/>
            </w:rPr>
            <w:t>9</w:t>
          </w:r>
          <w:r>
            <w:rPr>
              <w:noProof/>
              <w:webHidden/>
            </w:rPr>
            <w:fldChar w:fldCharType="end"/>
          </w:r>
        </w:p>
        <w:p w14:paraId="5C7BF459" w14:textId="2F65537B" w:rsidR="00151F09" w:rsidRDefault="00151F09">
          <w:pPr>
            <w:pStyle w:val="TOC1"/>
            <w:rPr>
              <w:rFonts w:asciiTheme="minorHAnsi" w:eastAsiaTheme="minorEastAsia" w:hAnsiTheme="minorHAnsi"/>
              <w:noProof/>
              <w:color w:val="auto"/>
              <w:kern w:val="2"/>
              <w:sz w:val="24"/>
              <w:szCs w:val="24"/>
              <w:lang w:eastAsia="en-AU"/>
              <w14:ligatures w14:val="standardContextual"/>
            </w:rPr>
          </w:pPr>
          <w:r>
            <w:rPr>
              <w:noProof/>
            </w:rPr>
            <w:t>2.</w:t>
          </w:r>
          <w:r>
            <w:rPr>
              <w:rFonts w:asciiTheme="minorHAnsi" w:eastAsiaTheme="minorEastAsia" w:hAnsiTheme="minorHAnsi"/>
              <w:noProof/>
              <w:color w:val="auto"/>
              <w:kern w:val="2"/>
              <w:sz w:val="24"/>
              <w:szCs w:val="24"/>
              <w:lang w:eastAsia="en-AU"/>
              <w14:ligatures w14:val="standardContextual"/>
            </w:rPr>
            <w:tab/>
          </w:r>
          <w:r>
            <w:rPr>
              <w:noProof/>
            </w:rPr>
            <w:t>Scope of the safeguard investigation</w:t>
          </w:r>
          <w:r>
            <w:rPr>
              <w:noProof/>
              <w:webHidden/>
            </w:rPr>
            <w:tab/>
          </w:r>
          <w:r>
            <w:rPr>
              <w:noProof/>
              <w:webHidden/>
            </w:rPr>
            <w:fldChar w:fldCharType="begin"/>
          </w:r>
          <w:r>
            <w:rPr>
              <w:noProof/>
              <w:webHidden/>
            </w:rPr>
            <w:instrText xml:space="preserve"> PAGEREF _Toc238643902 \h </w:instrText>
          </w:r>
          <w:r>
            <w:rPr>
              <w:noProof/>
              <w:webHidden/>
            </w:rPr>
          </w:r>
          <w:r>
            <w:rPr>
              <w:noProof/>
              <w:webHidden/>
            </w:rPr>
            <w:fldChar w:fldCharType="separate"/>
          </w:r>
          <w:r w:rsidR="000F468A">
            <w:rPr>
              <w:noProof/>
              <w:webHidden/>
            </w:rPr>
            <w:t>13</w:t>
          </w:r>
          <w:r>
            <w:rPr>
              <w:noProof/>
              <w:webHidden/>
            </w:rPr>
            <w:fldChar w:fldCharType="end"/>
          </w:r>
        </w:p>
        <w:p w14:paraId="1A59EFAC" w14:textId="0C3F96A4" w:rsidR="00151F09" w:rsidRDefault="00151F09">
          <w:pPr>
            <w:pStyle w:val="TOC2"/>
            <w:rPr>
              <w:rFonts w:asciiTheme="minorHAnsi" w:eastAsiaTheme="minorEastAsia" w:hAnsiTheme="minorHAnsi"/>
              <w:kern w:val="2"/>
              <w:sz w:val="24"/>
              <w:szCs w:val="24"/>
              <w:lang w:eastAsia="en-AU"/>
              <w14:ligatures w14:val="standardContextual"/>
            </w:rPr>
          </w:pPr>
          <w:r>
            <w:t>2.1</w:t>
          </w:r>
          <w:r>
            <w:rPr>
              <w:rFonts w:asciiTheme="minorHAnsi" w:eastAsiaTheme="minorEastAsia" w:hAnsiTheme="minorHAnsi"/>
              <w:kern w:val="2"/>
              <w:sz w:val="24"/>
              <w:szCs w:val="24"/>
              <w:lang w:eastAsia="en-AU"/>
              <w14:ligatures w14:val="standardContextual"/>
            </w:rPr>
            <w:tab/>
          </w:r>
          <w:r>
            <w:t>The product and the domestic industry</w:t>
          </w:r>
          <w:r>
            <w:rPr>
              <w:webHidden/>
            </w:rPr>
            <w:tab/>
          </w:r>
          <w:r>
            <w:rPr>
              <w:webHidden/>
            </w:rPr>
            <w:fldChar w:fldCharType="begin"/>
          </w:r>
          <w:r>
            <w:rPr>
              <w:webHidden/>
            </w:rPr>
            <w:instrText xml:space="preserve"> PAGEREF _Toc238643903 \h </w:instrText>
          </w:r>
          <w:r>
            <w:rPr>
              <w:webHidden/>
            </w:rPr>
          </w:r>
          <w:r>
            <w:rPr>
              <w:webHidden/>
            </w:rPr>
            <w:fldChar w:fldCharType="separate"/>
          </w:r>
          <w:r w:rsidR="000F468A">
            <w:rPr>
              <w:webHidden/>
            </w:rPr>
            <w:t>13</w:t>
          </w:r>
          <w:r>
            <w:rPr>
              <w:webHidden/>
            </w:rPr>
            <w:fldChar w:fldCharType="end"/>
          </w:r>
        </w:p>
        <w:p w14:paraId="074C5E33" w14:textId="7844AD79" w:rsidR="00151F09" w:rsidRDefault="00151F09">
          <w:pPr>
            <w:pStyle w:val="TOC2"/>
            <w:rPr>
              <w:rFonts w:asciiTheme="minorHAnsi" w:eastAsiaTheme="minorEastAsia" w:hAnsiTheme="minorHAnsi"/>
              <w:kern w:val="2"/>
              <w:sz w:val="24"/>
              <w:szCs w:val="24"/>
              <w:lang w:eastAsia="en-AU"/>
              <w14:ligatures w14:val="standardContextual"/>
            </w:rPr>
          </w:pPr>
          <w:r>
            <w:t>2.2</w:t>
          </w:r>
          <w:r>
            <w:rPr>
              <w:rFonts w:asciiTheme="minorHAnsi" w:eastAsiaTheme="minorEastAsia" w:hAnsiTheme="minorHAnsi"/>
              <w:kern w:val="2"/>
              <w:sz w:val="24"/>
              <w:szCs w:val="24"/>
              <w:lang w:eastAsia="en-AU"/>
              <w14:ligatures w14:val="standardContextual"/>
            </w:rPr>
            <w:tab/>
          </w:r>
          <w:r>
            <w:t>The period of investigation</w:t>
          </w:r>
          <w:r>
            <w:rPr>
              <w:webHidden/>
            </w:rPr>
            <w:tab/>
          </w:r>
          <w:r>
            <w:rPr>
              <w:webHidden/>
            </w:rPr>
            <w:fldChar w:fldCharType="begin"/>
          </w:r>
          <w:r>
            <w:rPr>
              <w:webHidden/>
            </w:rPr>
            <w:instrText xml:space="preserve"> PAGEREF _Toc238643904 \h </w:instrText>
          </w:r>
          <w:r>
            <w:rPr>
              <w:webHidden/>
            </w:rPr>
          </w:r>
          <w:r>
            <w:rPr>
              <w:webHidden/>
            </w:rPr>
            <w:fldChar w:fldCharType="separate"/>
          </w:r>
          <w:r w:rsidR="000F468A">
            <w:rPr>
              <w:webHidden/>
            </w:rPr>
            <w:t>17</w:t>
          </w:r>
          <w:r>
            <w:rPr>
              <w:webHidden/>
            </w:rPr>
            <w:fldChar w:fldCharType="end"/>
          </w:r>
        </w:p>
        <w:p w14:paraId="17C66D4C" w14:textId="4763F90A" w:rsidR="00151F09" w:rsidRDefault="00151F09">
          <w:pPr>
            <w:pStyle w:val="TOC2"/>
            <w:rPr>
              <w:rFonts w:asciiTheme="minorHAnsi" w:eastAsiaTheme="minorEastAsia" w:hAnsiTheme="minorHAnsi"/>
              <w:kern w:val="2"/>
              <w:sz w:val="24"/>
              <w:szCs w:val="24"/>
              <w:lang w:eastAsia="en-AU"/>
              <w14:ligatures w14:val="standardContextual"/>
            </w:rPr>
          </w:pPr>
          <w:r>
            <w:t>2.3</w:t>
          </w:r>
          <w:r>
            <w:rPr>
              <w:rFonts w:asciiTheme="minorHAnsi" w:eastAsiaTheme="minorEastAsia" w:hAnsiTheme="minorHAnsi"/>
              <w:kern w:val="2"/>
              <w:sz w:val="24"/>
              <w:szCs w:val="24"/>
              <w:lang w:eastAsia="en-AU"/>
              <w14:ligatures w14:val="standardContextual"/>
            </w:rPr>
            <w:tab/>
          </w:r>
          <w:r>
            <w:t>Excluded countries</w:t>
          </w:r>
          <w:r>
            <w:rPr>
              <w:webHidden/>
            </w:rPr>
            <w:tab/>
          </w:r>
          <w:r>
            <w:rPr>
              <w:webHidden/>
            </w:rPr>
            <w:fldChar w:fldCharType="begin"/>
          </w:r>
          <w:r>
            <w:rPr>
              <w:webHidden/>
            </w:rPr>
            <w:instrText xml:space="preserve"> PAGEREF _Toc238643905 \h </w:instrText>
          </w:r>
          <w:r>
            <w:rPr>
              <w:webHidden/>
            </w:rPr>
          </w:r>
          <w:r>
            <w:rPr>
              <w:webHidden/>
            </w:rPr>
            <w:fldChar w:fldCharType="separate"/>
          </w:r>
          <w:r w:rsidR="000F468A">
            <w:rPr>
              <w:webHidden/>
            </w:rPr>
            <w:t>19</w:t>
          </w:r>
          <w:r>
            <w:rPr>
              <w:webHidden/>
            </w:rPr>
            <w:fldChar w:fldCharType="end"/>
          </w:r>
        </w:p>
        <w:p w14:paraId="325BBAE0" w14:textId="358276C0" w:rsidR="00151F09" w:rsidRDefault="00151F09">
          <w:pPr>
            <w:pStyle w:val="TOC1"/>
            <w:rPr>
              <w:rFonts w:asciiTheme="minorHAnsi" w:eastAsiaTheme="minorEastAsia" w:hAnsiTheme="minorHAnsi"/>
              <w:noProof/>
              <w:color w:val="auto"/>
              <w:kern w:val="2"/>
              <w:sz w:val="24"/>
              <w:szCs w:val="24"/>
              <w:lang w:eastAsia="en-AU"/>
              <w14:ligatures w14:val="standardContextual"/>
            </w:rPr>
          </w:pPr>
          <w:r>
            <w:rPr>
              <w:noProof/>
            </w:rPr>
            <w:t>3.</w:t>
          </w:r>
          <w:r>
            <w:rPr>
              <w:rFonts w:asciiTheme="minorHAnsi" w:eastAsiaTheme="minorEastAsia" w:hAnsiTheme="minorHAnsi"/>
              <w:noProof/>
              <w:color w:val="auto"/>
              <w:kern w:val="2"/>
              <w:sz w:val="24"/>
              <w:szCs w:val="24"/>
              <w:lang w:eastAsia="en-AU"/>
              <w14:ligatures w14:val="standardContextual"/>
            </w:rPr>
            <w:tab/>
          </w:r>
          <w:r>
            <w:rPr>
              <w:noProof/>
            </w:rPr>
            <w:t>Imports</w:t>
          </w:r>
          <w:r>
            <w:rPr>
              <w:noProof/>
              <w:webHidden/>
            </w:rPr>
            <w:tab/>
          </w:r>
          <w:r>
            <w:rPr>
              <w:noProof/>
              <w:webHidden/>
            </w:rPr>
            <w:fldChar w:fldCharType="begin"/>
          </w:r>
          <w:r>
            <w:rPr>
              <w:noProof/>
              <w:webHidden/>
            </w:rPr>
            <w:instrText xml:space="preserve"> PAGEREF _Toc238643906 \h </w:instrText>
          </w:r>
          <w:r>
            <w:rPr>
              <w:noProof/>
              <w:webHidden/>
            </w:rPr>
          </w:r>
          <w:r>
            <w:rPr>
              <w:noProof/>
              <w:webHidden/>
            </w:rPr>
            <w:fldChar w:fldCharType="separate"/>
          </w:r>
          <w:r w:rsidR="000F468A">
            <w:rPr>
              <w:noProof/>
              <w:webHidden/>
            </w:rPr>
            <w:t>21</w:t>
          </w:r>
          <w:r>
            <w:rPr>
              <w:noProof/>
              <w:webHidden/>
            </w:rPr>
            <w:fldChar w:fldCharType="end"/>
          </w:r>
        </w:p>
        <w:p w14:paraId="041CFB0C" w14:textId="01698992" w:rsidR="00151F09" w:rsidRDefault="00151F09">
          <w:pPr>
            <w:pStyle w:val="TOC2"/>
            <w:rPr>
              <w:rFonts w:asciiTheme="minorHAnsi" w:eastAsiaTheme="minorEastAsia" w:hAnsiTheme="minorHAnsi"/>
              <w:kern w:val="2"/>
              <w:sz w:val="24"/>
              <w:szCs w:val="24"/>
              <w:lang w:eastAsia="en-AU"/>
              <w14:ligatures w14:val="standardContextual"/>
            </w:rPr>
          </w:pPr>
          <w:r>
            <w:t>3.1</w:t>
          </w:r>
          <w:r>
            <w:rPr>
              <w:rFonts w:asciiTheme="minorHAnsi" w:eastAsiaTheme="minorEastAsia" w:hAnsiTheme="minorHAnsi"/>
              <w:kern w:val="2"/>
              <w:sz w:val="24"/>
              <w:szCs w:val="24"/>
              <w:lang w:eastAsia="en-AU"/>
              <w14:ligatures w14:val="standardContextual"/>
            </w:rPr>
            <w:tab/>
          </w:r>
          <w:r>
            <w:t>How have imports changed?</w:t>
          </w:r>
          <w:r>
            <w:rPr>
              <w:webHidden/>
            </w:rPr>
            <w:tab/>
          </w:r>
          <w:r>
            <w:rPr>
              <w:webHidden/>
            </w:rPr>
            <w:fldChar w:fldCharType="begin"/>
          </w:r>
          <w:r>
            <w:rPr>
              <w:webHidden/>
            </w:rPr>
            <w:instrText xml:space="preserve"> PAGEREF _Toc238643907 \h </w:instrText>
          </w:r>
          <w:r>
            <w:rPr>
              <w:webHidden/>
            </w:rPr>
          </w:r>
          <w:r>
            <w:rPr>
              <w:webHidden/>
            </w:rPr>
            <w:fldChar w:fldCharType="separate"/>
          </w:r>
          <w:r w:rsidR="000F468A">
            <w:rPr>
              <w:webHidden/>
            </w:rPr>
            <w:t>21</w:t>
          </w:r>
          <w:r>
            <w:rPr>
              <w:webHidden/>
            </w:rPr>
            <w:fldChar w:fldCharType="end"/>
          </w:r>
        </w:p>
        <w:p w14:paraId="66D79C67" w14:textId="56FD1F5D" w:rsidR="00151F09" w:rsidRDefault="00151F09">
          <w:pPr>
            <w:pStyle w:val="TOC2"/>
            <w:rPr>
              <w:rFonts w:asciiTheme="minorHAnsi" w:eastAsiaTheme="minorEastAsia" w:hAnsiTheme="minorHAnsi"/>
              <w:kern w:val="2"/>
              <w:sz w:val="24"/>
              <w:szCs w:val="24"/>
              <w:lang w:eastAsia="en-AU"/>
              <w14:ligatures w14:val="standardContextual"/>
            </w:rPr>
          </w:pPr>
          <w:r>
            <w:t>3.2</w:t>
          </w:r>
          <w:r>
            <w:rPr>
              <w:rFonts w:asciiTheme="minorHAnsi" w:eastAsiaTheme="minorEastAsia" w:hAnsiTheme="minorHAnsi"/>
              <w:kern w:val="2"/>
              <w:sz w:val="24"/>
              <w:szCs w:val="24"/>
              <w:lang w:eastAsia="en-AU"/>
              <w14:ligatures w14:val="standardContextual"/>
            </w:rPr>
            <w:tab/>
          </w:r>
          <w:r>
            <w:t>Unforeseen developments and GATT obligations</w:t>
          </w:r>
          <w:r>
            <w:rPr>
              <w:webHidden/>
            </w:rPr>
            <w:tab/>
          </w:r>
          <w:r>
            <w:rPr>
              <w:webHidden/>
            </w:rPr>
            <w:fldChar w:fldCharType="begin"/>
          </w:r>
          <w:r>
            <w:rPr>
              <w:webHidden/>
            </w:rPr>
            <w:instrText xml:space="preserve"> PAGEREF _Toc238643908 \h </w:instrText>
          </w:r>
          <w:r>
            <w:rPr>
              <w:webHidden/>
            </w:rPr>
          </w:r>
          <w:r>
            <w:rPr>
              <w:webHidden/>
            </w:rPr>
            <w:fldChar w:fldCharType="separate"/>
          </w:r>
          <w:r w:rsidR="000F468A">
            <w:rPr>
              <w:webHidden/>
            </w:rPr>
            <w:t>26</w:t>
          </w:r>
          <w:r>
            <w:rPr>
              <w:webHidden/>
            </w:rPr>
            <w:fldChar w:fldCharType="end"/>
          </w:r>
        </w:p>
        <w:p w14:paraId="7897F93A" w14:textId="3ED9DF51" w:rsidR="00151F09" w:rsidRDefault="00151F09">
          <w:pPr>
            <w:pStyle w:val="TOC1"/>
            <w:rPr>
              <w:rFonts w:asciiTheme="minorHAnsi" w:eastAsiaTheme="minorEastAsia" w:hAnsiTheme="minorHAnsi"/>
              <w:noProof/>
              <w:color w:val="auto"/>
              <w:kern w:val="2"/>
              <w:sz w:val="24"/>
              <w:szCs w:val="24"/>
              <w:lang w:eastAsia="en-AU"/>
              <w14:ligatures w14:val="standardContextual"/>
            </w:rPr>
          </w:pPr>
          <w:r>
            <w:rPr>
              <w:noProof/>
            </w:rPr>
            <w:t>4.</w:t>
          </w:r>
          <w:r>
            <w:rPr>
              <w:rFonts w:asciiTheme="minorHAnsi" w:eastAsiaTheme="minorEastAsia" w:hAnsiTheme="minorHAnsi"/>
              <w:noProof/>
              <w:color w:val="auto"/>
              <w:kern w:val="2"/>
              <w:sz w:val="24"/>
              <w:szCs w:val="24"/>
              <w:lang w:eastAsia="en-AU"/>
              <w14:ligatures w14:val="standardContextual"/>
            </w:rPr>
            <w:tab/>
          </w:r>
          <w:r>
            <w:rPr>
              <w:noProof/>
            </w:rPr>
            <w:t>Injury</w:t>
          </w:r>
          <w:r>
            <w:rPr>
              <w:noProof/>
              <w:webHidden/>
            </w:rPr>
            <w:tab/>
          </w:r>
          <w:r>
            <w:rPr>
              <w:noProof/>
              <w:webHidden/>
            </w:rPr>
            <w:fldChar w:fldCharType="begin"/>
          </w:r>
          <w:r>
            <w:rPr>
              <w:noProof/>
              <w:webHidden/>
            </w:rPr>
            <w:instrText xml:space="preserve"> PAGEREF _Toc238643909 \h </w:instrText>
          </w:r>
          <w:r>
            <w:rPr>
              <w:noProof/>
              <w:webHidden/>
            </w:rPr>
          </w:r>
          <w:r>
            <w:rPr>
              <w:noProof/>
              <w:webHidden/>
            </w:rPr>
            <w:fldChar w:fldCharType="separate"/>
          </w:r>
          <w:r w:rsidR="000F468A">
            <w:rPr>
              <w:noProof/>
              <w:webHidden/>
            </w:rPr>
            <w:t>29</w:t>
          </w:r>
          <w:r>
            <w:rPr>
              <w:noProof/>
              <w:webHidden/>
            </w:rPr>
            <w:fldChar w:fldCharType="end"/>
          </w:r>
        </w:p>
        <w:p w14:paraId="79410FCA" w14:textId="3E858A31" w:rsidR="00151F09" w:rsidRDefault="00151F09">
          <w:pPr>
            <w:pStyle w:val="TOC2"/>
            <w:rPr>
              <w:rFonts w:asciiTheme="minorHAnsi" w:eastAsiaTheme="minorEastAsia" w:hAnsiTheme="minorHAnsi"/>
              <w:kern w:val="2"/>
              <w:sz w:val="24"/>
              <w:szCs w:val="24"/>
              <w:lang w:eastAsia="en-AU"/>
              <w14:ligatures w14:val="standardContextual"/>
            </w:rPr>
          </w:pPr>
          <w:r w:rsidRPr="00D054AA">
            <w:rPr>
              <w:color w:val="000000" w:themeColor="text1"/>
            </w:rPr>
            <w:t>4.1</w:t>
          </w:r>
          <w:r>
            <w:rPr>
              <w:rFonts w:asciiTheme="minorHAnsi" w:eastAsiaTheme="minorEastAsia" w:hAnsiTheme="minorHAnsi"/>
              <w:kern w:val="2"/>
              <w:sz w:val="24"/>
              <w:szCs w:val="24"/>
              <w:lang w:eastAsia="en-AU"/>
              <w14:ligatures w14:val="standardContextual"/>
            </w:rPr>
            <w:tab/>
          </w:r>
          <w:r w:rsidRPr="00D054AA">
            <w:rPr>
              <w:color w:val="000000" w:themeColor="text1"/>
            </w:rPr>
            <w:t>Assessing injury</w:t>
          </w:r>
          <w:r>
            <w:rPr>
              <w:webHidden/>
            </w:rPr>
            <w:tab/>
          </w:r>
          <w:r>
            <w:rPr>
              <w:webHidden/>
            </w:rPr>
            <w:fldChar w:fldCharType="begin"/>
          </w:r>
          <w:r>
            <w:rPr>
              <w:webHidden/>
            </w:rPr>
            <w:instrText xml:space="preserve"> PAGEREF _Toc238643910 \h </w:instrText>
          </w:r>
          <w:r>
            <w:rPr>
              <w:webHidden/>
            </w:rPr>
          </w:r>
          <w:r>
            <w:rPr>
              <w:webHidden/>
            </w:rPr>
            <w:fldChar w:fldCharType="separate"/>
          </w:r>
          <w:r w:rsidR="000F468A">
            <w:rPr>
              <w:webHidden/>
            </w:rPr>
            <w:t>30</w:t>
          </w:r>
          <w:r>
            <w:rPr>
              <w:webHidden/>
            </w:rPr>
            <w:fldChar w:fldCharType="end"/>
          </w:r>
        </w:p>
        <w:p w14:paraId="5007C3F9" w14:textId="13E9F2D9" w:rsidR="00151F09" w:rsidRDefault="00151F09">
          <w:pPr>
            <w:pStyle w:val="TOC2"/>
            <w:rPr>
              <w:rFonts w:asciiTheme="minorHAnsi" w:eastAsiaTheme="minorEastAsia" w:hAnsiTheme="minorHAnsi"/>
              <w:kern w:val="2"/>
              <w:sz w:val="24"/>
              <w:szCs w:val="24"/>
              <w:lang w:eastAsia="en-AU"/>
              <w14:ligatures w14:val="standardContextual"/>
            </w:rPr>
          </w:pPr>
          <w:r>
            <w:t>4.2</w:t>
          </w:r>
          <w:r>
            <w:rPr>
              <w:rFonts w:asciiTheme="minorHAnsi" w:eastAsiaTheme="minorEastAsia" w:hAnsiTheme="minorHAnsi"/>
              <w:kern w:val="2"/>
              <w:sz w:val="24"/>
              <w:szCs w:val="24"/>
              <w:lang w:eastAsia="en-AU"/>
              <w14:ligatures w14:val="standardContextual"/>
            </w:rPr>
            <w:tab/>
          </w:r>
          <w:r>
            <w:t>Is there serious injury?</w:t>
          </w:r>
          <w:r>
            <w:rPr>
              <w:webHidden/>
            </w:rPr>
            <w:tab/>
          </w:r>
          <w:r>
            <w:rPr>
              <w:webHidden/>
            </w:rPr>
            <w:fldChar w:fldCharType="begin"/>
          </w:r>
          <w:r>
            <w:rPr>
              <w:webHidden/>
            </w:rPr>
            <w:instrText xml:space="preserve"> PAGEREF _Toc238643911 \h </w:instrText>
          </w:r>
          <w:r>
            <w:rPr>
              <w:webHidden/>
            </w:rPr>
          </w:r>
          <w:r>
            <w:rPr>
              <w:webHidden/>
            </w:rPr>
            <w:fldChar w:fldCharType="separate"/>
          </w:r>
          <w:r w:rsidR="000F468A">
            <w:rPr>
              <w:webHidden/>
            </w:rPr>
            <w:t>31</w:t>
          </w:r>
          <w:r>
            <w:rPr>
              <w:webHidden/>
            </w:rPr>
            <w:fldChar w:fldCharType="end"/>
          </w:r>
        </w:p>
        <w:p w14:paraId="54F61095" w14:textId="1BDE0377" w:rsidR="00151F09" w:rsidRDefault="00151F09">
          <w:pPr>
            <w:pStyle w:val="TOC2"/>
            <w:rPr>
              <w:rFonts w:asciiTheme="minorHAnsi" w:eastAsiaTheme="minorEastAsia" w:hAnsiTheme="minorHAnsi"/>
              <w:kern w:val="2"/>
              <w:sz w:val="24"/>
              <w:szCs w:val="24"/>
              <w:lang w:eastAsia="en-AU"/>
              <w14:ligatures w14:val="standardContextual"/>
            </w:rPr>
          </w:pPr>
          <w:r w:rsidRPr="00D054AA">
            <w:rPr>
              <w:color w:val="000000" w:themeColor="text1"/>
            </w:rPr>
            <w:t>4.3</w:t>
          </w:r>
          <w:r>
            <w:rPr>
              <w:rFonts w:asciiTheme="minorHAnsi" w:eastAsiaTheme="minorEastAsia" w:hAnsiTheme="minorHAnsi"/>
              <w:kern w:val="2"/>
              <w:sz w:val="24"/>
              <w:szCs w:val="24"/>
              <w:lang w:eastAsia="en-AU"/>
              <w14:ligatures w14:val="standardContextual"/>
            </w:rPr>
            <w:tab/>
          </w:r>
          <w:r w:rsidRPr="00D054AA">
            <w:rPr>
              <w:color w:val="000000" w:themeColor="text1"/>
            </w:rPr>
            <w:t>Is there a threat of serious injury?</w:t>
          </w:r>
          <w:r>
            <w:rPr>
              <w:webHidden/>
            </w:rPr>
            <w:tab/>
          </w:r>
          <w:r>
            <w:rPr>
              <w:webHidden/>
            </w:rPr>
            <w:fldChar w:fldCharType="begin"/>
          </w:r>
          <w:r>
            <w:rPr>
              <w:webHidden/>
            </w:rPr>
            <w:instrText xml:space="preserve"> PAGEREF _Toc238643912 \h </w:instrText>
          </w:r>
          <w:r>
            <w:rPr>
              <w:webHidden/>
            </w:rPr>
          </w:r>
          <w:r>
            <w:rPr>
              <w:webHidden/>
            </w:rPr>
            <w:fldChar w:fldCharType="separate"/>
          </w:r>
          <w:r w:rsidR="000F468A">
            <w:rPr>
              <w:webHidden/>
            </w:rPr>
            <w:t>42</w:t>
          </w:r>
          <w:r>
            <w:rPr>
              <w:webHidden/>
            </w:rPr>
            <w:fldChar w:fldCharType="end"/>
          </w:r>
        </w:p>
        <w:p w14:paraId="7EE6F7E5" w14:textId="05C57F9C" w:rsidR="00151F09" w:rsidRDefault="00151F09">
          <w:pPr>
            <w:pStyle w:val="TOC2"/>
            <w:rPr>
              <w:rFonts w:asciiTheme="minorHAnsi" w:eastAsiaTheme="minorEastAsia" w:hAnsiTheme="minorHAnsi"/>
              <w:kern w:val="2"/>
              <w:sz w:val="24"/>
              <w:szCs w:val="24"/>
              <w:lang w:eastAsia="en-AU"/>
              <w14:ligatures w14:val="standardContextual"/>
            </w:rPr>
          </w:pPr>
          <w:r w:rsidRPr="00D054AA">
            <w:t>4.4</w:t>
          </w:r>
          <w:r>
            <w:rPr>
              <w:rFonts w:asciiTheme="minorHAnsi" w:eastAsiaTheme="minorEastAsia" w:hAnsiTheme="minorHAnsi"/>
              <w:kern w:val="2"/>
              <w:sz w:val="24"/>
              <w:szCs w:val="24"/>
              <w:lang w:eastAsia="en-AU"/>
              <w14:ligatures w14:val="standardContextual"/>
            </w:rPr>
            <w:tab/>
          </w:r>
          <w:r w:rsidRPr="00D054AA">
            <w:t>Assessment of overall impairment and threat thereof</w:t>
          </w:r>
          <w:r>
            <w:rPr>
              <w:webHidden/>
            </w:rPr>
            <w:tab/>
          </w:r>
          <w:r>
            <w:rPr>
              <w:webHidden/>
            </w:rPr>
            <w:fldChar w:fldCharType="begin"/>
          </w:r>
          <w:r>
            <w:rPr>
              <w:webHidden/>
            </w:rPr>
            <w:instrText xml:space="preserve"> PAGEREF _Toc238643913 \h </w:instrText>
          </w:r>
          <w:r>
            <w:rPr>
              <w:webHidden/>
            </w:rPr>
          </w:r>
          <w:r>
            <w:rPr>
              <w:webHidden/>
            </w:rPr>
            <w:fldChar w:fldCharType="separate"/>
          </w:r>
          <w:r w:rsidR="000F468A">
            <w:rPr>
              <w:webHidden/>
            </w:rPr>
            <w:t>44</w:t>
          </w:r>
          <w:r>
            <w:rPr>
              <w:webHidden/>
            </w:rPr>
            <w:fldChar w:fldCharType="end"/>
          </w:r>
        </w:p>
        <w:p w14:paraId="7DC10F3D" w14:textId="683632C7" w:rsidR="00151F09" w:rsidRDefault="00151F09">
          <w:pPr>
            <w:pStyle w:val="TOC1"/>
            <w:rPr>
              <w:rFonts w:asciiTheme="minorHAnsi" w:eastAsiaTheme="minorEastAsia" w:hAnsiTheme="minorHAnsi"/>
              <w:noProof/>
              <w:color w:val="auto"/>
              <w:kern w:val="2"/>
              <w:sz w:val="24"/>
              <w:szCs w:val="24"/>
              <w:lang w:eastAsia="en-AU"/>
              <w14:ligatures w14:val="standardContextual"/>
            </w:rPr>
          </w:pPr>
          <w:r>
            <w:rPr>
              <w:noProof/>
            </w:rPr>
            <w:t>5.</w:t>
          </w:r>
          <w:r>
            <w:rPr>
              <w:rFonts w:asciiTheme="minorHAnsi" w:eastAsiaTheme="minorEastAsia" w:hAnsiTheme="minorHAnsi"/>
              <w:noProof/>
              <w:color w:val="auto"/>
              <w:kern w:val="2"/>
              <w:sz w:val="24"/>
              <w:szCs w:val="24"/>
              <w:lang w:eastAsia="en-AU"/>
              <w14:ligatures w14:val="standardContextual"/>
            </w:rPr>
            <w:tab/>
          </w:r>
          <w:r>
            <w:rPr>
              <w:noProof/>
            </w:rPr>
            <w:t>Are the conditions for safeguard measures met?</w:t>
          </w:r>
          <w:r>
            <w:rPr>
              <w:noProof/>
              <w:webHidden/>
            </w:rPr>
            <w:tab/>
          </w:r>
          <w:r>
            <w:rPr>
              <w:noProof/>
              <w:webHidden/>
            </w:rPr>
            <w:fldChar w:fldCharType="begin"/>
          </w:r>
          <w:r>
            <w:rPr>
              <w:noProof/>
              <w:webHidden/>
            </w:rPr>
            <w:instrText xml:space="preserve"> PAGEREF _Toc238643914 \h </w:instrText>
          </w:r>
          <w:r>
            <w:rPr>
              <w:noProof/>
              <w:webHidden/>
            </w:rPr>
          </w:r>
          <w:r>
            <w:rPr>
              <w:noProof/>
              <w:webHidden/>
            </w:rPr>
            <w:fldChar w:fldCharType="separate"/>
          </w:r>
          <w:r w:rsidR="000F468A">
            <w:rPr>
              <w:noProof/>
              <w:webHidden/>
            </w:rPr>
            <w:t>45</w:t>
          </w:r>
          <w:r>
            <w:rPr>
              <w:noProof/>
              <w:webHidden/>
            </w:rPr>
            <w:fldChar w:fldCharType="end"/>
          </w:r>
        </w:p>
        <w:p w14:paraId="72728B85" w14:textId="7779CF81" w:rsidR="00151F09" w:rsidRDefault="00151F09">
          <w:pPr>
            <w:pStyle w:val="TOC2"/>
            <w:rPr>
              <w:rFonts w:asciiTheme="minorHAnsi" w:eastAsiaTheme="minorEastAsia" w:hAnsiTheme="minorHAnsi"/>
              <w:kern w:val="2"/>
              <w:sz w:val="24"/>
              <w:szCs w:val="24"/>
              <w:lang w:eastAsia="en-AU"/>
              <w14:ligatures w14:val="standardContextual"/>
            </w:rPr>
          </w:pPr>
          <w:r>
            <w:t>5.1</w:t>
          </w:r>
          <w:r>
            <w:rPr>
              <w:rFonts w:asciiTheme="minorHAnsi" w:eastAsiaTheme="minorEastAsia" w:hAnsiTheme="minorHAnsi"/>
              <w:kern w:val="2"/>
              <w:sz w:val="24"/>
              <w:szCs w:val="24"/>
              <w:lang w:eastAsia="en-AU"/>
              <w14:ligatures w14:val="standardContextual"/>
            </w:rPr>
            <w:tab/>
          </w:r>
          <w:r>
            <w:t>The conditions for safeguard measures are not met</w:t>
          </w:r>
          <w:r>
            <w:rPr>
              <w:webHidden/>
            </w:rPr>
            <w:tab/>
          </w:r>
          <w:r>
            <w:rPr>
              <w:webHidden/>
            </w:rPr>
            <w:fldChar w:fldCharType="begin"/>
          </w:r>
          <w:r>
            <w:rPr>
              <w:webHidden/>
            </w:rPr>
            <w:instrText xml:space="preserve"> PAGEREF _Toc238643915 \h </w:instrText>
          </w:r>
          <w:r>
            <w:rPr>
              <w:webHidden/>
            </w:rPr>
          </w:r>
          <w:r>
            <w:rPr>
              <w:webHidden/>
            </w:rPr>
            <w:fldChar w:fldCharType="separate"/>
          </w:r>
          <w:r w:rsidR="000F468A">
            <w:rPr>
              <w:webHidden/>
            </w:rPr>
            <w:t>45</w:t>
          </w:r>
          <w:r>
            <w:rPr>
              <w:webHidden/>
            </w:rPr>
            <w:fldChar w:fldCharType="end"/>
          </w:r>
        </w:p>
        <w:p w14:paraId="2F5F70F7" w14:textId="7024F9F3" w:rsidR="00151F09" w:rsidRDefault="00151F09">
          <w:pPr>
            <w:pStyle w:val="TOC2"/>
            <w:rPr>
              <w:rFonts w:asciiTheme="minorHAnsi" w:eastAsiaTheme="minorEastAsia" w:hAnsiTheme="minorHAnsi"/>
              <w:kern w:val="2"/>
              <w:sz w:val="24"/>
              <w:szCs w:val="24"/>
              <w:lang w:eastAsia="en-AU"/>
              <w14:ligatures w14:val="standardContextual"/>
            </w:rPr>
          </w:pPr>
          <w:r>
            <w:t>5.2</w:t>
          </w:r>
          <w:r>
            <w:rPr>
              <w:rFonts w:asciiTheme="minorHAnsi" w:eastAsiaTheme="minorEastAsia" w:hAnsiTheme="minorHAnsi"/>
              <w:kern w:val="2"/>
              <w:sz w:val="24"/>
              <w:szCs w:val="24"/>
              <w:lang w:eastAsia="en-AU"/>
              <w14:ligatures w14:val="standardContextual"/>
            </w:rPr>
            <w:tab/>
          </w:r>
          <w:r>
            <w:t>FSS imports are a long</w:t>
          </w:r>
          <w:r>
            <w:noBreakHyphen/>
            <w:t>term feature of the Australian market</w:t>
          </w:r>
          <w:r>
            <w:rPr>
              <w:webHidden/>
            </w:rPr>
            <w:tab/>
          </w:r>
          <w:r>
            <w:rPr>
              <w:webHidden/>
            </w:rPr>
            <w:fldChar w:fldCharType="begin"/>
          </w:r>
          <w:r>
            <w:rPr>
              <w:webHidden/>
            </w:rPr>
            <w:instrText xml:space="preserve"> PAGEREF _Toc238643916 \h </w:instrText>
          </w:r>
          <w:r>
            <w:rPr>
              <w:webHidden/>
            </w:rPr>
          </w:r>
          <w:r>
            <w:rPr>
              <w:webHidden/>
            </w:rPr>
            <w:fldChar w:fldCharType="separate"/>
          </w:r>
          <w:r w:rsidR="000F468A">
            <w:rPr>
              <w:webHidden/>
            </w:rPr>
            <w:t>47</w:t>
          </w:r>
          <w:r>
            <w:rPr>
              <w:webHidden/>
            </w:rPr>
            <w:fldChar w:fldCharType="end"/>
          </w:r>
        </w:p>
        <w:p w14:paraId="7B7D931C" w14:textId="6E94C6EB" w:rsidR="00151F09" w:rsidRDefault="00151F09">
          <w:pPr>
            <w:pStyle w:val="TOC1"/>
            <w:rPr>
              <w:rFonts w:asciiTheme="minorHAnsi" w:eastAsiaTheme="minorEastAsia" w:hAnsiTheme="minorHAnsi"/>
              <w:noProof/>
              <w:color w:val="auto"/>
              <w:kern w:val="2"/>
              <w:sz w:val="24"/>
              <w:szCs w:val="24"/>
              <w:lang w:eastAsia="en-AU"/>
              <w14:ligatures w14:val="standardContextual"/>
            </w:rPr>
          </w:pPr>
          <w:r>
            <w:rPr>
              <w:noProof/>
            </w:rPr>
            <w:t>6.</w:t>
          </w:r>
          <w:r>
            <w:rPr>
              <w:rFonts w:asciiTheme="minorHAnsi" w:eastAsiaTheme="minorEastAsia" w:hAnsiTheme="minorHAnsi"/>
              <w:noProof/>
              <w:color w:val="auto"/>
              <w:kern w:val="2"/>
              <w:sz w:val="24"/>
              <w:szCs w:val="24"/>
              <w:lang w:eastAsia="en-AU"/>
              <w14:ligatures w14:val="standardContextual"/>
            </w:rPr>
            <w:tab/>
          </w:r>
          <w:r>
            <w:rPr>
              <w:noProof/>
            </w:rPr>
            <w:t>Public interest assessment and measure design considerations</w:t>
          </w:r>
          <w:r>
            <w:rPr>
              <w:noProof/>
              <w:webHidden/>
            </w:rPr>
            <w:tab/>
          </w:r>
          <w:r>
            <w:rPr>
              <w:noProof/>
              <w:webHidden/>
            </w:rPr>
            <w:fldChar w:fldCharType="begin"/>
          </w:r>
          <w:r>
            <w:rPr>
              <w:noProof/>
              <w:webHidden/>
            </w:rPr>
            <w:instrText xml:space="preserve"> PAGEREF _Toc238643917 \h </w:instrText>
          </w:r>
          <w:r>
            <w:rPr>
              <w:noProof/>
              <w:webHidden/>
            </w:rPr>
          </w:r>
          <w:r>
            <w:rPr>
              <w:noProof/>
              <w:webHidden/>
            </w:rPr>
            <w:fldChar w:fldCharType="separate"/>
          </w:r>
          <w:r w:rsidR="000F468A">
            <w:rPr>
              <w:noProof/>
              <w:webHidden/>
            </w:rPr>
            <w:t>49</w:t>
          </w:r>
          <w:r>
            <w:rPr>
              <w:noProof/>
              <w:webHidden/>
            </w:rPr>
            <w:fldChar w:fldCharType="end"/>
          </w:r>
        </w:p>
        <w:p w14:paraId="1B81A225" w14:textId="04198965" w:rsidR="00151F09" w:rsidRDefault="00151F09">
          <w:pPr>
            <w:pStyle w:val="TOC2"/>
            <w:rPr>
              <w:rFonts w:asciiTheme="minorHAnsi" w:eastAsiaTheme="minorEastAsia" w:hAnsiTheme="minorHAnsi"/>
              <w:kern w:val="2"/>
              <w:sz w:val="24"/>
              <w:szCs w:val="24"/>
              <w:lang w:eastAsia="en-AU"/>
              <w14:ligatures w14:val="standardContextual"/>
            </w:rPr>
          </w:pPr>
          <w:r>
            <w:t>6.1</w:t>
          </w:r>
          <w:r>
            <w:rPr>
              <w:rFonts w:asciiTheme="minorHAnsi" w:eastAsiaTheme="minorEastAsia" w:hAnsiTheme="minorHAnsi"/>
              <w:kern w:val="2"/>
              <w:sz w:val="24"/>
              <w:szCs w:val="24"/>
              <w:lang w:eastAsia="en-AU"/>
              <w14:ligatures w14:val="standardContextual"/>
            </w:rPr>
            <w:tab/>
          </w:r>
          <w:r>
            <w:t>Public interest assessment</w:t>
          </w:r>
          <w:r>
            <w:rPr>
              <w:webHidden/>
            </w:rPr>
            <w:tab/>
          </w:r>
          <w:r>
            <w:rPr>
              <w:webHidden/>
            </w:rPr>
            <w:fldChar w:fldCharType="begin"/>
          </w:r>
          <w:r>
            <w:rPr>
              <w:webHidden/>
            </w:rPr>
            <w:instrText xml:space="preserve"> PAGEREF _Toc238643918 \h </w:instrText>
          </w:r>
          <w:r>
            <w:rPr>
              <w:webHidden/>
            </w:rPr>
          </w:r>
          <w:r>
            <w:rPr>
              <w:webHidden/>
            </w:rPr>
            <w:fldChar w:fldCharType="separate"/>
          </w:r>
          <w:r w:rsidR="000F468A">
            <w:rPr>
              <w:webHidden/>
            </w:rPr>
            <w:t>50</w:t>
          </w:r>
          <w:r>
            <w:rPr>
              <w:webHidden/>
            </w:rPr>
            <w:fldChar w:fldCharType="end"/>
          </w:r>
        </w:p>
        <w:p w14:paraId="57361A6A" w14:textId="60872262" w:rsidR="00151F09" w:rsidRDefault="00151F09">
          <w:pPr>
            <w:pStyle w:val="TOC2"/>
            <w:rPr>
              <w:rFonts w:asciiTheme="minorHAnsi" w:eastAsiaTheme="minorEastAsia" w:hAnsiTheme="minorHAnsi"/>
              <w:kern w:val="2"/>
              <w:sz w:val="24"/>
              <w:szCs w:val="24"/>
              <w:lang w:eastAsia="en-AU"/>
              <w14:ligatures w14:val="standardContextual"/>
            </w:rPr>
          </w:pPr>
          <w:r>
            <w:t>6.2</w:t>
          </w:r>
          <w:r>
            <w:rPr>
              <w:rFonts w:asciiTheme="minorHAnsi" w:eastAsiaTheme="minorEastAsia" w:hAnsiTheme="minorHAnsi"/>
              <w:kern w:val="2"/>
              <w:sz w:val="24"/>
              <w:szCs w:val="24"/>
              <w:lang w:eastAsia="en-AU"/>
              <w14:ligatures w14:val="standardContextual"/>
            </w:rPr>
            <w:tab/>
          </w:r>
          <w:r>
            <w:t>Measure design</w:t>
          </w:r>
          <w:r>
            <w:rPr>
              <w:webHidden/>
            </w:rPr>
            <w:tab/>
          </w:r>
          <w:r>
            <w:rPr>
              <w:webHidden/>
            </w:rPr>
            <w:fldChar w:fldCharType="begin"/>
          </w:r>
          <w:r>
            <w:rPr>
              <w:webHidden/>
            </w:rPr>
            <w:instrText xml:space="preserve"> PAGEREF _Toc238643919 \h </w:instrText>
          </w:r>
          <w:r>
            <w:rPr>
              <w:webHidden/>
            </w:rPr>
          </w:r>
          <w:r>
            <w:rPr>
              <w:webHidden/>
            </w:rPr>
            <w:fldChar w:fldCharType="separate"/>
          </w:r>
          <w:r w:rsidR="000F468A">
            <w:rPr>
              <w:webHidden/>
            </w:rPr>
            <w:t>55</w:t>
          </w:r>
          <w:r>
            <w:rPr>
              <w:webHidden/>
            </w:rPr>
            <w:fldChar w:fldCharType="end"/>
          </w:r>
        </w:p>
        <w:p w14:paraId="51A03E75" w14:textId="7B1D6461" w:rsidR="00151F09" w:rsidRDefault="00151F09">
          <w:pPr>
            <w:pStyle w:val="TOC1"/>
            <w:rPr>
              <w:rFonts w:asciiTheme="minorHAnsi" w:eastAsiaTheme="minorEastAsia" w:hAnsiTheme="minorHAnsi"/>
              <w:noProof/>
              <w:color w:val="auto"/>
              <w:kern w:val="2"/>
              <w:sz w:val="24"/>
              <w:szCs w:val="24"/>
              <w:lang w:eastAsia="en-AU"/>
              <w14:ligatures w14:val="standardContextual"/>
            </w:rPr>
          </w:pPr>
          <w:r>
            <w:rPr>
              <w:noProof/>
            </w:rPr>
            <w:t>A.</w:t>
          </w:r>
          <w:r>
            <w:rPr>
              <w:rFonts w:asciiTheme="minorHAnsi" w:eastAsiaTheme="minorEastAsia" w:hAnsiTheme="minorHAnsi"/>
              <w:noProof/>
              <w:color w:val="auto"/>
              <w:kern w:val="2"/>
              <w:sz w:val="24"/>
              <w:szCs w:val="24"/>
              <w:lang w:eastAsia="en-AU"/>
              <w14:ligatures w14:val="standardContextual"/>
            </w:rPr>
            <w:tab/>
          </w:r>
          <w:r>
            <w:rPr>
              <w:noProof/>
            </w:rPr>
            <w:t>Public engagement</w:t>
          </w:r>
          <w:r>
            <w:rPr>
              <w:noProof/>
              <w:webHidden/>
            </w:rPr>
            <w:tab/>
          </w:r>
          <w:r>
            <w:rPr>
              <w:noProof/>
              <w:webHidden/>
            </w:rPr>
            <w:fldChar w:fldCharType="begin"/>
          </w:r>
          <w:r>
            <w:rPr>
              <w:noProof/>
              <w:webHidden/>
            </w:rPr>
            <w:instrText xml:space="preserve"> PAGEREF _Toc238643920 \h </w:instrText>
          </w:r>
          <w:r>
            <w:rPr>
              <w:noProof/>
              <w:webHidden/>
            </w:rPr>
          </w:r>
          <w:r>
            <w:rPr>
              <w:noProof/>
              <w:webHidden/>
            </w:rPr>
            <w:fldChar w:fldCharType="separate"/>
          </w:r>
          <w:r w:rsidR="000F468A">
            <w:rPr>
              <w:noProof/>
              <w:webHidden/>
            </w:rPr>
            <w:t>59</w:t>
          </w:r>
          <w:r>
            <w:rPr>
              <w:noProof/>
              <w:webHidden/>
            </w:rPr>
            <w:fldChar w:fldCharType="end"/>
          </w:r>
        </w:p>
        <w:p w14:paraId="0B88E234" w14:textId="7F935574" w:rsidR="00151F09" w:rsidRDefault="00151F09">
          <w:pPr>
            <w:pStyle w:val="TOC1"/>
            <w:rPr>
              <w:rFonts w:asciiTheme="minorHAnsi" w:eastAsiaTheme="minorEastAsia" w:hAnsiTheme="minorHAnsi"/>
              <w:noProof/>
              <w:color w:val="auto"/>
              <w:kern w:val="2"/>
              <w:sz w:val="24"/>
              <w:szCs w:val="24"/>
              <w:lang w:eastAsia="en-AU"/>
              <w14:ligatures w14:val="standardContextual"/>
            </w:rPr>
          </w:pPr>
          <w:r>
            <w:rPr>
              <w:noProof/>
            </w:rPr>
            <w:t>B.</w:t>
          </w:r>
          <w:r>
            <w:rPr>
              <w:rFonts w:asciiTheme="minorHAnsi" w:eastAsiaTheme="minorEastAsia" w:hAnsiTheme="minorHAnsi"/>
              <w:noProof/>
              <w:color w:val="auto"/>
              <w:kern w:val="2"/>
              <w:sz w:val="24"/>
              <w:szCs w:val="24"/>
              <w:lang w:eastAsia="en-AU"/>
              <w14:ligatures w14:val="standardContextual"/>
            </w:rPr>
            <w:tab/>
          </w:r>
          <w:r>
            <w:rPr>
              <w:noProof/>
            </w:rPr>
            <w:t>Technical appendix</w:t>
          </w:r>
          <w:r>
            <w:rPr>
              <w:noProof/>
              <w:webHidden/>
            </w:rPr>
            <w:tab/>
          </w:r>
          <w:r>
            <w:rPr>
              <w:noProof/>
              <w:webHidden/>
            </w:rPr>
            <w:fldChar w:fldCharType="begin"/>
          </w:r>
          <w:r>
            <w:rPr>
              <w:noProof/>
              <w:webHidden/>
            </w:rPr>
            <w:instrText xml:space="preserve"> PAGEREF _Toc238643921 \h </w:instrText>
          </w:r>
          <w:r>
            <w:rPr>
              <w:noProof/>
              <w:webHidden/>
            </w:rPr>
          </w:r>
          <w:r>
            <w:rPr>
              <w:noProof/>
              <w:webHidden/>
            </w:rPr>
            <w:fldChar w:fldCharType="separate"/>
          </w:r>
          <w:r w:rsidR="000F468A">
            <w:rPr>
              <w:noProof/>
              <w:webHidden/>
            </w:rPr>
            <w:t>65</w:t>
          </w:r>
          <w:r>
            <w:rPr>
              <w:noProof/>
              <w:webHidden/>
            </w:rPr>
            <w:fldChar w:fldCharType="end"/>
          </w:r>
        </w:p>
        <w:p w14:paraId="1D5A943F" w14:textId="508C1668" w:rsidR="00151F09" w:rsidRDefault="00151F09">
          <w:pPr>
            <w:pStyle w:val="TOC2"/>
            <w:rPr>
              <w:rFonts w:asciiTheme="minorHAnsi" w:eastAsiaTheme="minorEastAsia" w:hAnsiTheme="minorHAnsi"/>
              <w:kern w:val="2"/>
              <w:sz w:val="24"/>
              <w:szCs w:val="24"/>
              <w:lang w:eastAsia="en-AU"/>
              <w14:ligatures w14:val="standardContextual"/>
            </w:rPr>
          </w:pPr>
          <w:r>
            <w:t>B.1</w:t>
          </w:r>
          <w:r>
            <w:rPr>
              <w:rFonts w:asciiTheme="minorHAnsi" w:eastAsiaTheme="minorEastAsia" w:hAnsiTheme="minorHAnsi"/>
              <w:kern w:val="2"/>
              <w:sz w:val="24"/>
              <w:szCs w:val="24"/>
              <w:lang w:eastAsia="en-AU"/>
              <w14:ligatures w14:val="standardContextual"/>
            </w:rPr>
            <w:tab/>
          </w:r>
          <w:r>
            <w:t>Analysis of imports</w:t>
          </w:r>
          <w:r>
            <w:rPr>
              <w:webHidden/>
            </w:rPr>
            <w:tab/>
          </w:r>
          <w:r>
            <w:rPr>
              <w:webHidden/>
            </w:rPr>
            <w:fldChar w:fldCharType="begin"/>
          </w:r>
          <w:r>
            <w:rPr>
              <w:webHidden/>
            </w:rPr>
            <w:instrText xml:space="preserve"> PAGEREF _Toc238643922 \h </w:instrText>
          </w:r>
          <w:r>
            <w:rPr>
              <w:webHidden/>
            </w:rPr>
          </w:r>
          <w:r>
            <w:rPr>
              <w:webHidden/>
            </w:rPr>
            <w:fldChar w:fldCharType="separate"/>
          </w:r>
          <w:r w:rsidR="000F468A">
            <w:rPr>
              <w:webHidden/>
            </w:rPr>
            <w:t>65</w:t>
          </w:r>
          <w:r>
            <w:rPr>
              <w:webHidden/>
            </w:rPr>
            <w:fldChar w:fldCharType="end"/>
          </w:r>
        </w:p>
        <w:p w14:paraId="36F606EF" w14:textId="40E661AB" w:rsidR="00151F09" w:rsidRDefault="00151F09">
          <w:pPr>
            <w:pStyle w:val="TOC2"/>
            <w:rPr>
              <w:rFonts w:asciiTheme="minorHAnsi" w:eastAsiaTheme="minorEastAsia" w:hAnsiTheme="minorHAnsi"/>
              <w:kern w:val="2"/>
              <w:sz w:val="24"/>
              <w:szCs w:val="24"/>
              <w:lang w:eastAsia="en-AU"/>
              <w14:ligatures w14:val="standardContextual"/>
            </w:rPr>
          </w:pPr>
          <w:r>
            <w:lastRenderedPageBreak/>
            <w:t>B.2</w:t>
          </w:r>
          <w:r>
            <w:rPr>
              <w:rFonts w:asciiTheme="minorHAnsi" w:eastAsiaTheme="minorEastAsia" w:hAnsiTheme="minorHAnsi"/>
              <w:kern w:val="2"/>
              <w:sz w:val="24"/>
              <w:szCs w:val="24"/>
              <w:lang w:eastAsia="en-AU"/>
              <w14:ligatures w14:val="standardContextual"/>
            </w:rPr>
            <w:tab/>
          </w:r>
          <w:r>
            <w:t>Identifying the Australian FSS industry</w:t>
          </w:r>
          <w:r>
            <w:rPr>
              <w:webHidden/>
            </w:rPr>
            <w:tab/>
          </w:r>
          <w:r>
            <w:rPr>
              <w:webHidden/>
            </w:rPr>
            <w:fldChar w:fldCharType="begin"/>
          </w:r>
          <w:r>
            <w:rPr>
              <w:webHidden/>
            </w:rPr>
            <w:instrText xml:space="preserve"> PAGEREF _Toc238643923 \h </w:instrText>
          </w:r>
          <w:r>
            <w:rPr>
              <w:webHidden/>
            </w:rPr>
          </w:r>
          <w:r>
            <w:rPr>
              <w:webHidden/>
            </w:rPr>
            <w:fldChar w:fldCharType="separate"/>
          </w:r>
          <w:r w:rsidR="000F468A">
            <w:rPr>
              <w:webHidden/>
            </w:rPr>
            <w:t>70</w:t>
          </w:r>
          <w:r>
            <w:rPr>
              <w:webHidden/>
            </w:rPr>
            <w:fldChar w:fldCharType="end"/>
          </w:r>
        </w:p>
        <w:p w14:paraId="1774D4B2" w14:textId="15C0C2A4" w:rsidR="00151F09" w:rsidRDefault="00151F09">
          <w:pPr>
            <w:pStyle w:val="TOC2"/>
            <w:rPr>
              <w:rFonts w:asciiTheme="minorHAnsi" w:eastAsiaTheme="minorEastAsia" w:hAnsiTheme="minorHAnsi"/>
              <w:kern w:val="2"/>
              <w:sz w:val="24"/>
              <w:szCs w:val="24"/>
              <w:lang w:eastAsia="en-AU"/>
              <w14:ligatures w14:val="standardContextual"/>
            </w:rPr>
          </w:pPr>
          <w:r>
            <w:t>B.3</w:t>
          </w:r>
          <w:r>
            <w:rPr>
              <w:rFonts w:asciiTheme="minorHAnsi" w:eastAsiaTheme="minorEastAsia" w:hAnsiTheme="minorHAnsi"/>
              <w:kern w:val="2"/>
              <w:sz w:val="24"/>
              <w:szCs w:val="24"/>
              <w:lang w:eastAsia="en-AU"/>
              <w14:ligatures w14:val="standardContextual"/>
            </w:rPr>
            <w:tab/>
          </w:r>
          <w:r>
            <w:t>Estimating domestic production</w:t>
          </w:r>
          <w:r>
            <w:rPr>
              <w:webHidden/>
            </w:rPr>
            <w:tab/>
          </w:r>
          <w:r>
            <w:rPr>
              <w:webHidden/>
            </w:rPr>
            <w:fldChar w:fldCharType="begin"/>
          </w:r>
          <w:r>
            <w:rPr>
              <w:webHidden/>
            </w:rPr>
            <w:instrText xml:space="preserve"> PAGEREF _Toc238643924 \h </w:instrText>
          </w:r>
          <w:r>
            <w:rPr>
              <w:webHidden/>
            </w:rPr>
          </w:r>
          <w:r>
            <w:rPr>
              <w:webHidden/>
            </w:rPr>
            <w:fldChar w:fldCharType="separate"/>
          </w:r>
          <w:r w:rsidR="000F468A">
            <w:rPr>
              <w:webHidden/>
            </w:rPr>
            <w:t>73</w:t>
          </w:r>
          <w:r>
            <w:rPr>
              <w:webHidden/>
            </w:rPr>
            <w:fldChar w:fldCharType="end"/>
          </w:r>
        </w:p>
        <w:p w14:paraId="78106A48" w14:textId="214BAC8C" w:rsidR="00151F09" w:rsidRDefault="00151F09">
          <w:pPr>
            <w:pStyle w:val="TOC2"/>
            <w:rPr>
              <w:rFonts w:asciiTheme="minorHAnsi" w:eastAsiaTheme="minorEastAsia" w:hAnsiTheme="minorHAnsi"/>
              <w:kern w:val="2"/>
              <w:sz w:val="24"/>
              <w:szCs w:val="24"/>
              <w:lang w:eastAsia="en-AU"/>
              <w14:ligatures w14:val="standardContextual"/>
            </w:rPr>
          </w:pPr>
          <w:r>
            <w:t>B.4</w:t>
          </w:r>
          <w:r>
            <w:rPr>
              <w:rFonts w:asciiTheme="minorHAnsi" w:eastAsiaTheme="minorEastAsia" w:hAnsiTheme="minorHAnsi"/>
              <w:kern w:val="2"/>
              <w:sz w:val="24"/>
              <w:szCs w:val="24"/>
              <w:lang w:eastAsia="en-AU"/>
              <w14:ligatures w14:val="standardContextual"/>
            </w:rPr>
            <w:tab/>
          </w:r>
          <w:r>
            <w:t>Construction of injury metrics</w:t>
          </w:r>
          <w:r>
            <w:rPr>
              <w:webHidden/>
            </w:rPr>
            <w:tab/>
          </w:r>
          <w:r>
            <w:rPr>
              <w:webHidden/>
            </w:rPr>
            <w:fldChar w:fldCharType="begin"/>
          </w:r>
          <w:r>
            <w:rPr>
              <w:webHidden/>
            </w:rPr>
            <w:instrText xml:space="preserve"> PAGEREF _Toc238643925 \h </w:instrText>
          </w:r>
          <w:r>
            <w:rPr>
              <w:webHidden/>
            </w:rPr>
          </w:r>
          <w:r>
            <w:rPr>
              <w:webHidden/>
            </w:rPr>
            <w:fldChar w:fldCharType="separate"/>
          </w:r>
          <w:r w:rsidR="000F468A">
            <w:rPr>
              <w:webHidden/>
            </w:rPr>
            <w:t>77</w:t>
          </w:r>
          <w:r>
            <w:rPr>
              <w:webHidden/>
            </w:rPr>
            <w:fldChar w:fldCharType="end"/>
          </w:r>
        </w:p>
        <w:p w14:paraId="28CA4026" w14:textId="4C59595F" w:rsidR="00151F09" w:rsidRDefault="00151F09">
          <w:pPr>
            <w:pStyle w:val="TOC1"/>
            <w:rPr>
              <w:rFonts w:asciiTheme="minorHAnsi" w:eastAsiaTheme="minorEastAsia" w:hAnsiTheme="minorHAnsi"/>
              <w:noProof/>
              <w:color w:val="auto"/>
              <w:kern w:val="2"/>
              <w:sz w:val="24"/>
              <w:szCs w:val="24"/>
              <w:lang w:eastAsia="en-AU"/>
              <w14:ligatures w14:val="standardContextual"/>
            </w:rPr>
          </w:pPr>
          <w:r>
            <w:rPr>
              <w:noProof/>
            </w:rPr>
            <w:t>Abbreviations</w:t>
          </w:r>
          <w:r>
            <w:rPr>
              <w:noProof/>
              <w:webHidden/>
            </w:rPr>
            <w:tab/>
          </w:r>
          <w:r>
            <w:rPr>
              <w:noProof/>
              <w:webHidden/>
            </w:rPr>
            <w:fldChar w:fldCharType="begin"/>
          </w:r>
          <w:r>
            <w:rPr>
              <w:noProof/>
              <w:webHidden/>
            </w:rPr>
            <w:instrText xml:space="preserve"> PAGEREF _Toc238643926 \h </w:instrText>
          </w:r>
          <w:r>
            <w:rPr>
              <w:noProof/>
              <w:webHidden/>
            </w:rPr>
          </w:r>
          <w:r>
            <w:rPr>
              <w:noProof/>
              <w:webHidden/>
            </w:rPr>
            <w:fldChar w:fldCharType="separate"/>
          </w:r>
          <w:r w:rsidR="000F468A">
            <w:rPr>
              <w:noProof/>
              <w:webHidden/>
            </w:rPr>
            <w:t>91</w:t>
          </w:r>
          <w:r>
            <w:rPr>
              <w:noProof/>
              <w:webHidden/>
            </w:rPr>
            <w:fldChar w:fldCharType="end"/>
          </w:r>
        </w:p>
        <w:p w14:paraId="720BAC2C" w14:textId="493F2B4C" w:rsidR="00151F09" w:rsidRDefault="00151F09">
          <w:pPr>
            <w:pStyle w:val="TOC1"/>
            <w:rPr>
              <w:rFonts w:asciiTheme="minorHAnsi" w:eastAsiaTheme="minorEastAsia" w:hAnsiTheme="minorHAnsi"/>
              <w:noProof/>
              <w:color w:val="auto"/>
              <w:kern w:val="2"/>
              <w:sz w:val="24"/>
              <w:szCs w:val="24"/>
              <w:lang w:eastAsia="en-AU"/>
              <w14:ligatures w14:val="standardContextual"/>
            </w:rPr>
          </w:pPr>
          <w:r>
            <w:rPr>
              <w:noProof/>
            </w:rPr>
            <w:t>References</w:t>
          </w:r>
          <w:r>
            <w:rPr>
              <w:noProof/>
              <w:webHidden/>
            </w:rPr>
            <w:tab/>
          </w:r>
          <w:r>
            <w:rPr>
              <w:noProof/>
              <w:webHidden/>
            </w:rPr>
            <w:fldChar w:fldCharType="begin"/>
          </w:r>
          <w:r>
            <w:rPr>
              <w:noProof/>
              <w:webHidden/>
            </w:rPr>
            <w:instrText xml:space="preserve"> PAGEREF _Toc238643927 \h </w:instrText>
          </w:r>
          <w:r>
            <w:rPr>
              <w:noProof/>
              <w:webHidden/>
            </w:rPr>
          </w:r>
          <w:r>
            <w:rPr>
              <w:noProof/>
              <w:webHidden/>
            </w:rPr>
            <w:fldChar w:fldCharType="separate"/>
          </w:r>
          <w:r w:rsidR="000F468A">
            <w:rPr>
              <w:noProof/>
              <w:webHidden/>
            </w:rPr>
            <w:t>93</w:t>
          </w:r>
          <w:r>
            <w:rPr>
              <w:noProof/>
              <w:webHidden/>
            </w:rPr>
            <w:fldChar w:fldCharType="end"/>
          </w:r>
        </w:p>
        <w:p w14:paraId="7246DB63" w14:textId="44D900EE" w:rsidR="00E76EEC" w:rsidRDefault="00E76EEC" w:rsidP="00E76EEC">
          <w:pPr>
            <w:rPr>
              <w:bCs/>
              <w:noProof/>
            </w:rPr>
          </w:pPr>
          <w:r>
            <w:rPr>
              <w:sz w:val="18"/>
            </w:rPr>
            <w:fldChar w:fldCharType="end"/>
          </w:r>
        </w:p>
      </w:sdtContent>
    </w:sdt>
    <w:p w14:paraId="235B641F" w14:textId="77777777" w:rsidR="00E76EEC" w:rsidRDefault="00E76EEC" w:rsidP="00E76EEC">
      <w:pPr>
        <w:pStyle w:val="BodyText"/>
      </w:pPr>
    </w:p>
    <w:p w14:paraId="5965699E" w14:textId="77777777" w:rsidR="00AB0BDC" w:rsidRDefault="00AB0BDC" w:rsidP="00E76EEC">
      <w:pPr>
        <w:pStyle w:val="Heading1"/>
        <w:sectPr w:rsidR="00AB0BDC" w:rsidSect="00E76EEC">
          <w:type w:val="oddPage"/>
          <w:pgSz w:w="11906" w:h="16838" w:code="9"/>
          <w:pgMar w:top="1134" w:right="1134" w:bottom="1134" w:left="1134" w:header="794" w:footer="510" w:gutter="0"/>
          <w:pgNumType w:fmt="lowerRoman"/>
          <w:cols w:space="708"/>
          <w:docGrid w:linePitch="360"/>
        </w:sectPr>
      </w:pPr>
    </w:p>
    <w:p w14:paraId="2A6E7693" w14:textId="77777777" w:rsidR="00AB0BDC" w:rsidRPr="00C064AA" w:rsidRDefault="00AB0BDC" w:rsidP="00011592">
      <w:pPr>
        <w:pStyle w:val="Heading1-Section-fullpage"/>
        <w:framePr w:wrap="around"/>
      </w:pPr>
      <w:bookmarkStart w:id="8" w:name="_Toc238643900"/>
      <w:r w:rsidRPr="00C064AA">
        <w:lastRenderedPageBreak/>
        <w:t>Overview</w:t>
      </w:r>
      <w:bookmarkEnd w:id="8"/>
    </w:p>
    <w:tbl>
      <w:tblPr>
        <w:tblStyle w:val="Texttable-Paleblue"/>
        <w:tblW w:w="5000" w:type="pct"/>
        <w:tblLook w:val="04A0" w:firstRow="1" w:lastRow="0" w:firstColumn="1" w:lastColumn="0" w:noHBand="0" w:noVBand="1"/>
      </w:tblPr>
      <w:tblGrid>
        <w:gridCol w:w="577"/>
        <w:gridCol w:w="9061"/>
      </w:tblGrid>
      <w:tr w:rsidR="00AB0BDC" w:rsidRPr="00C064AA" w14:paraId="08D303CC" w14:textId="77777777" w:rsidTr="00011592">
        <w:tc>
          <w:tcPr>
            <w:tcW w:w="9638" w:type="dxa"/>
            <w:gridSpan w:val="2"/>
            <w:shd w:val="clear" w:color="auto" w:fill="E7F6FD"/>
            <w:tcMar>
              <w:left w:w="170" w:type="dxa"/>
            </w:tcMar>
          </w:tcPr>
          <w:p w14:paraId="6AC7AA09" w14:textId="77777777" w:rsidR="00AB0BDC" w:rsidRPr="00C064AA" w:rsidRDefault="00AB0BDC" w:rsidP="00011592">
            <w:pPr>
              <w:pStyle w:val="Keypoints-heading"/>
            </w:pPr>
            <w:r w:rsidRPr="00C064AA">
              <w:lastRenderedPageBreak/>
              <w:t>Key points</w:t>
            </w:r>
          </w:p>
        </w:tc>
      </w:tr>
      <w:tr w:rsidR="00AB0BDC" w:rsidRPr="00C064AA" w14:paraId="1E9D80F6" w14:textId="77777777" w:rsidTr="00011592">
        <w:tc>
          <w:tcPr>
            <w:tcW w:w="577" w:type="dxa"/>
            <w:shd w:val="clear" w:color="auto" w:fill="E7F6FD"/>
            <w:tcMar>
              <w:top w:w="0" w:type="dxa"/>
              <w:bottom w:w="0" w:type="dxa"/>
              <w:right w:w="113" w:type="dxa"/>
            </w:tcMar>
          </w:tcPr>
          <w:p w14:paraId="22456B93" w14:textId="77777777" w:rsidR="00AB0BDC" w:rsidRPr="00C064AA" w:rsidRDefault="00AB0BDC" w:rsidP="000C6B77">
            <w:pPr>
              <w:pStyle w:val="KeyPointsicon"/>
              <w:rPr>
                <w:noProof/>
              </w:rPr>
            </w:pPr>
            <w:r w:rsidRPr="00C064AA">
              <w:rPr>
                <w:noProof/>
              </w:rPr>
              <w:drawing>
                <wp:inline distT="0" distB="0" distL="0" distR="0" wp14:anchorId="51D0A0D0" wp14:editId="4BB6324A">
                  <wp:extent cx="180000" cy="180000"/>
                  <wp:effectExtent l="0" t="0" r="0" b="0"/>
                  <wp:docPr id="723544161" name="Graphic 7235441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a:extLst>
                              <a:ext uri="{C183D7F6-B498-43B3-948B-1728B52AA6E4}">
                                <adec:decorative xmlns:adec="http://schemas.microsoft.com/office/drawing/2017/decorative" val="1"/>
                              </a:ext>
                            </a:extLst>
                          </pic:cNvPr>
                          <pic:cNvPicPr/>
                        </pic:nvPicPr>
                        <pic:blipFill>
                          <a:blip r:embed="rId39">
                            <a:extLst>
                              <a:ext uri="{96DAC541-7B7A-43D3-8B79-37D633B846F1}">
                                <asvg:svgBlip xmlns:asvg="http://schemas.microsoft.com/office/drawing/2016/SVG/main" r:embed="rId40"/>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bottom w:w="113" w:type="dxa"/>
              <w:right w:w="113" w:type="dxa"/>
            </w:tcMar>
            <w:hideMark/>
          </w:tcPr>
          <w:p w14:paraId="5C3C9E4C" w14:textId="77777777" w:rsidR="00AB0BDC" w:rsidRPr="00C064AA" w:rsidRDefault="00AB0BDC">
            <w:pPr>
              <w:pStyle w:val="KeyPoints-Bold"/>
              <w:rPr>
                <w:kern w:val="2"/>
                <w:szCs w:val="18"/>
                <w:lang w:eastAsia="en-AU"/>
                <w14:ligatures w14:val="standardContextual"/>
              </w:rPr>
            </w:pPr>
            <w:r w:rsidRPr="00C064AA">
              <w:t xml:space="preserve">Safeguard measures are for ‘extraordinary emergency’ situations to temporarily protect a domestic industry. </w:t>
            </w:r>
          </w:p>
          <w:p w14:paraId="1C91B6C8" w14:textId="77777777" w:rsidR="00AB0BDC" w:rsidRPr="00C427CF" w:rsidRDefault="00AB0BDC" w:rsidP="00C427CF">
            <w:pPr>
              <w:pStyle w:val="KeyPoints-Bullet"/>
            </w:pPr>
            <w:r w:rsidRPr="00C427CF">
              <w:t>A safeguard measure is a trade barrier, such as a tariff, quota, or tariff rate quota, on imported goods that can be applied in limited circumstances.</w:t>
            </w:r>
          </w:p>
          <w:p w14:paraId="1D1DE316" w14:textId="77777777" w:rsidR="00AB0BDC" w:rsidRPr="00C064AA" w:rsidRDefault="00AB0BDC" w:rsidP="00C427CF">
            <w:pPr>
              <w:pStyle w:val="KeyPoints-Bullet"/>
            </w:pPr>
            <w:r w:rsidRPr="00C427CF">
              <w:t>Before a measure can be introduced, the evidence must show there has been a recent, sudden, sharp and significant surge in imports that has caused, or threatens to cause, serious harm to the Australian industry that makes like or directly competing goods.</w:t>
            </w:r>
          </w:p>
        </w:tc>
      </w:tr>
      <w:tr w:rsidR="00AB0BDC" w:rsidRPr="00C064AA" w14:paraId="6D9F58FF" w14:textId="77777777" w:rsidTr="00011592">
        <w:tc>
          <w:tcPr>
            <w:tcW w:w="577" w:type="dxa"/>
            <w:shd w:val="clear" w:color="auto" w:fill="E7F6FD"/>
            <w:tcMar>
              <w:top w:w="0" w:type="dxa"/>
              <w:bottom w:w="0" w:type="dxa"/>
              <w:right w:w="113" w:type="dxa"/>
            </w:tcMar>
          </w:tcPr>
          <w:p w14:paraId="1B69192A" w14:textId="77777777" w:rsidR="00AB0BDC" w:rsidRPr="00C064AA" w:rsidRDefault="00AB0BDC" w:rsidP="000C6B77">
            <w:pPr>
              <w:pStyle w:val="KeyPointsicon"/>
            </w:pPr>
            <w:r w:rsidRPr="00C064AA">
              <w:rPr>
                <w:noProof/>
              </w:rPr>
              <w:drawing>
                <wp:inline distT="0" distB="0" distL="0" distR="0" wp14:anchorId="27B41BD9" wp14:editId="439D1AF0">
                  <wp:extent cx="180000" cy="180000"/>
                  <wp:effectExtent l="0" t="0" r="0" b="0"/>
                  <wp:docPr id="5"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a:extLst>
                              <a:ext uri="{C183D7F6-B498-43B3-948B-1728B52AA6E4}">
                                <adec:decorative xmlns:adec="http://schemas.microsoft.com/office/drawing/2017/decorative" val="1"/>
                              </a:ext>
                            </a:extLst>
                          </pic:cNvPr>
                          <pic:cNvPicPr/>
                        </pic:nvPicPr>
                        <pic:blipFill>
                          <a:blip r:embed="rId39">
                            <a:extLst>
                              <a:ext uri="{96DAC541-7B7A-43D3-8B79-37D633B846F1}">
                                <asvg:svgBlip xmlns:asvg="http://schemas.microsoft.com/office/drawing/2016/SVG/main" r:embed="rId40"/>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bottom w:w="113" w:type="dxa"/>
              <w:right w:w="113" w:type="dxa"/>
            </w:tcMar>
            <w:hideMark/>
          </w:tcPr>
          <w:p w14:paraId="29F711C9" w14:textId="77777777" w:rsidR="00AB0BDC" w:rsidRPr="00C064AA" w:rsidRDefault="00AB0BDC" w:rsidP="00011592">
            <w:pPr>
              <w:pStyle w:val="KeyPoints-Bold"/>
              <w:rPr>
                <w:spacing w:val="-2"/>
                <w:szCs w:val="18"/>
              </w:rPr>
            </w:pPr>
            <w:r w:rsidRPr="00C064AA">
              <w:rPr>
                <w:spacing w:val="-2"/>
                <w:szCs w:val="18"/>
              </w:rPr>
              <w:t>The evidentiary threshold to introduce a safeguard measure is very high and we have drawn on comprehensive data sources to make our assessments.</w:t>
            </w:r>
          </w:p>
          <w:p w14:paraId="06722856" w14:textId="3D9BBFEB" w:rsidR="00AB0BDC" w:rsidRPr="00C427CF" w:rsidRDefault="00AB0BDC" w:rsidP="00C427CF">
            <w:pPr>
              <w:pStyle w:val="KeyPoints-Bullet"/>
            </w:pPr>
            <w:r w:rsidRPr="00C427CF">
              <w:t>The Productivity Commission has received and considered extensive data and information from industry in undertaking this inquiry.</w:t>
            </w:r>
          </w:p>
          <w:p w14:paraId="64821653" w14:textId="1C09C4C5" w:rsidR="00AB0BDC" w:rsidRPr="00C064AA" w:rsidRDefault="00AB0BDC" w:rsidP="00C427CF">
            <w:pPr>
              <w:pStyle w:val="KeyPoints-Bullet"/>
              <w:rPr>
                <w:szCs w:val="18"/>
              </w:rPr>
            </w:pPr>
            <w:r w:rsidRPr="00C427CF">
              <w:t xml:space="preserve">The PC has also used anonymised data for the whole industry from the </w:t>
            </w:r>
            <w:r w:rsidR="009616E9">
              <w:t xml:space="preserve">ABS </w:t>
            </w:r>
            <w:r w:rsidRPr="00C427CF">
              <w:t>to test whether the legal requirements under the Agreement on Safeguards are met.</w:t>
            </w:r>
          </w:p>
        </w:tc>
      </w:tr>
      <w:tr w:rsidR="00AB0BDC" w:rsidRPr="00C064AA" w14:paraId="52FAA9B8" w14:textId="77777777" w:rsidTr="00011592">
        <w:tc>
          <w:tcPr>
            <w:tcW w:w="577" w:type="dxa"/>
            <w:shd w:val="clear" w:color="auto" w:fill="E7F6FD"/>
            <w:tcMar>
              <w:top w:w="0" w:type="dxa"/>
              <w:bottom w:w="0" w:type="dxa"/>
              <w:right w:w="113" w:type="dxa"/>
            </w:tcMar>
          </w:tcPr>
          <w:p w14:paraId="15262F97" w14:textId="77777777" w:rsidR="00AB0BDC" w:rsidRPr="00C064AA" w:rsidRDefault="00AB0BDC" w:rsidP="000C6B77">
            <w:pPr>
              <w:pStyle w:val="KeyPointsicon"/>
            </w:pPr>
            <w:r w:rsidRPr="00C064AA">
              <w:rPr>
                <w:noProof/>
              </w:rPr>
              <w:drawing>
                <wp:inline distT="0" distB="0" distL="0" distR="0" wp14:anchorId="7D1F517C" wp14:editId="3585FC42">
                  <wp:extent cx="180000" cy="180000"/>
                  <wp:effectExtent l="0" t="0" r="0" b="0"/>
                  <wp:docPr id="7"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a:extLst>
                              <a:ext uri="{C183D7F6-B498-43B3-948B-1728B52AA6E4}">
                                <adec:decorative xmlns:adec="http://schemas.microsoft.com/office/drawing/2017/decorative" val="1"/>
                              </a:ext>
                            </a:extLst>
                          </pic:cNvPr>
                          <pic:cNvPicPr/>
                        </pic:nvPicPr>
                        <pic:blipFill>
                          <a:blip r:embed="rId39">
                            <a:extLst>
                              <a:ext uri="{96DAC541-7B7A-43D3-8B79-37D633B846F1}">
                                <asvg:svgBlip xmlns:asvg="http://schemas.microsoft.com/office/drawing/2016/SVG/main" r:embed="rId40"/>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bottom w:w="113" w:type="dxa"/>
              <w:right w:w="113" w:type="dxa"/>
            </w:tcMar>
            <w:hideMark/>
          </w:tcPr>
          <w:p w14:paraId="74FC7E8E" w14:textId="03BEFC69" w:rsidR="00AB0BDC" w:rsidRPr="00C064AA" w:rsidRDefault="00AB0BDC" w:rsidP="00011592">
            <w:pPr>
              <w:pStyle w:val="KeyPoints-Bold"/>
            </w:pPr>
            <w:r w:rsidRPr="00C064AA">
              <w:t>During the investigation period, imports of fabricated structural steel continued to increase consistent with longer</w:t>
            </w:r>
            <w:r w:rsidR="00541146">
              <w:noBreakHyphen/>
            </w:r>
            <w:r w:rsidRPr="00C064AA">
              <w:t>term trends, but this does not meet the requirements for the introduction of a safeguard measure.</w:t>
            </w:r>
          </w:p>
          <w:p w14:paraId="15901176" w14:textId="77777777" w:rsidR="00AB0BDC" w:rsidRPr="00C064AA" w:rsidRDefault="00AB0BDC" w:rsidP="00BD5342">
            <w:pPr>
              <w:pStyle w:val="KeyPoints-Bullet"/>
              <w:rPr>
                <w:b/>
                <w:szCs w:val="18"/>
              </w:rPr>
            </w:pPr>
            <w:r w:rsidRPr="00C064AA">
              <w:t>The increase in imports, either absolutely or relative to domestic production is not recent, sudden, sharp and significant enough to meet the thresholds required.</w:t>
            </w:r>
          </w:p>
        </w:tc>
      </w:tr>
      <w:tr w:rsidR="00AB0BDC" w:rsidRPr="00C064AA" w14:paraId="22BABF4D" w14:textId="77777777" w:rsidTr="00011592">
        <w:tc>
          <w:tcPr>
            <w:tcW w:w="577" w:type="dxa"/>
            <w:shd w:val="clear" w:color="auto" w:fill="E7F6FD"/>
            <w:tcMar>
              <w:top w:w="0" w:type="dxa"/>
              <w:bottom w:w="0" w:type="dxa"/>
              <w:right w:w="113" w:type="dxa"/>
            </w:tcMar>
          </w:tcPr>
          <w:p w14:paraId="754DC71D" w14:textId="77777777" w:rsidR="00AB0BDC" w:rsidRPr="00C064AA" w:rsidRDefault="00AB0BDC" w:rsidP="000C6B77">
            <w:pPr>
              <w:pStyle w:val="KeyPointsicon"/>
            </w:pPr>
            <w:r w:rsidRPr="00C064AA">
              <w:rPr>
                <w:noProof/>
              </w:rPr>
              <w:drawing>
                <wp:inline distT="0" distB="0" distL="0" distR="0" wp14:anchorId="702B2D57" wp14:editId="437759BE">
                  <wp:extent cx="180000" cy="180000"/>
                  <wp:effectExtent l="0" t="0" r="0" b="0"/>
                  <wp:docPr id="3"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a:extLst>
                              <a:ext uri="{C183D7F6-B498-43B3-948B-1728B52AA6E4}">
                                <adec:decorative xmlns:adec="http://schemas.microsoft.com/office/drawing/2017/decorative" val="1"/>
                              </a:ext>
                            </a:extLst>
                          </pic:cNvPr>
                          <pic:cNvPicPr/>
                        </pic:nvPicPr>
                        <pic:blipFill>
                          <a:blip r:embed="rId39">
                            <a:extLst>
                              <a:ext uri="{96DAC541-7B7A-43D3-8B79-37D633B846F1}">
                                <asvg:svgBlip xmlns:asvg="http://schemas.microsoft.com/office/drawing/2016/SVG/main" r:embed="rId40"/>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bottom w:w="113" w:type="dxa"/>
              <w:right w:w="113" w:type="dxa"/>
            </w:tcMar>
            <w:hideMark/>
          </w:tcPr>
          <w:p w14:paraId="43DCAA7B" w14:textId="77777777" w:rsidR="00AB0BDC" w:rsidRPr="00C064AA" w:rsidRDefault="00AB0BDC">
            <w:pPr>
              <w:pStyle w:val="BodyText"/>
              <w:rPr>
                <w:b/>
                <w:bCs/>
                <w:kern w:val="2"/>
                <w:sz w:val="18"/>
                <w:szCs w:val="18"/>
                <w:lang w:eastAsia="en-AU"/>
                <w14:ligatures w14:val="standardContextual"/>
              </w:rPr>
            </w:pPr>
            <w:r w:rsidRPr="00C064AA">
              <w:rPr>
                <w:b/>
                <w:bCs/>
                <w:color w:val="000000"/>
                <w:sz w:val="18"/>
                <w:szCs w:val="18"/>
              </w:rPr>
              <w:t>At the aggregate level, the evidence does not show serious injury across the domestic fabricated structural steel industry, or the threat of such injury, that meets the</w:t>
            </w:r>
            <w:r w:rsidRPr="00C064AA">
              <w:rPr>
                <w:b/>
                <w:bCs/>
                <w:sz w:val="18"/>
                <w:szCs w:val="18"/>
              </w:rPr>
              <w:t xml:space="preserve"> high legal standard for safeguard measures.</w:t>
            </w:r>
          </w:p>
          <w:p w14:paraId="03850FC6" w14:textId="5CB99FCE" w:rsidR="00AB0BDC" w:rsidRPr="00C064AA" w:rsidRDefault="00AB0BDC" w:rsidP="00BD5342">
            <w:pPr>
              <w:pStyle w:val="KeyPoints-Bullet"/>
              <w:rPr>
                <w:b/>
                <w:bCs/>
                <w:szCs w:val="18"/>
              </w:rPr>
            </w:pPr>
            <w:r w:rsidRPr="00C064AA">
              <w:rPr>
                <w:szCs w:val="18"/>
              </w:rPr>
              <w:t>Evidence from inquiry participants and administrative data indicate</w:t>
            </w:r>
            <w:r w:rsidRPr="00C064AA">
              <w:rPr>
                <w:color w:val="000000"/>
                <w:szCs w:val="18"/>
              </w:rPr>
              <w:t xml:space="preserve"> some firms are under pressure, but industry</w:t>
            </w:r>
            <w:r w:rsidR="00541146">
              <w:rPr>
                <w:color w:val="000000"/>
                <w:szCs w:val="18"/>
              </w:rPr>
              <w:noBreakHyphen/>
            </w:r>
            <w:r w:rsidRPr="00C064AA">
              <w:rPr>
                <w:color w:val="000000"/>
                <w:szCs w:val="18"/>
              </w:rPr>
              <w:t xml:space="preserve">wide data shows growth in key indicators such as sales and profits over the investigation period, albeit with a weakening in employment </w:t>
            </w:r>
            <w:r w:rsidR="00B530A8">
              <w:rPr>
                <w:color w:val="000000"/>
                <w:szCs w:val="18"/>
              </w:rPr>
              <w:t xml:space="preserve">in </w:t>
            </w:r>
            <w:proofErr w:type="spellStart"/>
            <w:r w:rsidRPr="00C064AA">
              <w:rPr>
                <w:color w:val="000000"/>
                <w:szCs w:val="18"/>
              </w:rPr>
              <w:t>latter</w:t>
            </w:r>
            <w:proofErr w:type="spellEnd"/>
            <w:r w:rsidRPr="00C064AA">
              <w:rPr>
                <w:color w:val="000000"/>
                <w:szCs w:val="18"/>
              </w:rPr>
              <w:t xml:space="preserve"> year</w:t>
            </w:r>
            <w:r>
              <w:rPr>
                <w:color w:val="000000"/>
                <w:szCs w:val="18"/>
              </w:rPr>
              <w:t>s</w:t>
            </w:r>
            <w:r w:rsidRPr="00C064AA">
              <w:rPr>
                <w:color w:val="000000"/>
                <w:szCs w:val="18"/>
              </w:rPr>
              <w:t xml:space="preserve">. Similarly, there is not data showing threat of serious injury for the industry </w:t>
            </w:r>
            <w:proofErr w:type="gramStart"/>
            <w:r w:rsidRPr="00C064AA">
              <w:rPr>
                <w:color w:val="000000"/>
                <w:szCs w:val="18"/>
              </w:rPr>
              <w:t>as a whole that</w:t>
            </w:r>
            <w:proofErr w:type="gramEnd"/>
            <w:r w:rsidRPr="00C064AA">
              <w:rPr>
                <w:color w:val="000000"/>
                <w:szCs w:val="18"/>
              </w:rPr>
              <w:t xml:space="preserve"> would meet evidentiary requirements.</w:t>
            </w:r>
          </w:p>
        </w:tc>
      </w:tr>
      <w:tr w:rsidR="00AB0BDC" w:rsidRPr="00C064AA" w14:paraId="60354E13" w14:textId="77777777" w:rsidTr="00011592">
        <w:tc>
          <w:tcPr>
            <w:tcW w:w="577" w:type="dxa"/>
            <w:shd w:val="clear" w:color="auto" w:fill="E7F6FD"/>
            <w:tcMar>
              <w:top w:w="0" w:type="dxa"/>
              <w:bottom w:w="0" w:type="dxa"/>
              <w:right w:w="113" w:type="dxa"/>
            </w:tcMar>
          </w:tcPr>
          <w:p w14:paraId="7149B26E" w14:textId="77777777" w:rsidR="00AB0BDC" w:rsidRPr="00C064AA" w:rsidRDefault="00AB0BDC" w:rsidP="000C6B77">
            <w:pPr>
              <w:pStyle w:val="KeyPointsicon"/>
            </w:pPr>
            <w:r w:rsidRPr="00C064AA">
              <w:rPr>
                <w:noProof/>
              </w:rPr>
              <w:drawing>
                <wp:inline distT="0" distB="0" distL="0" distR="0" wp14:anchorId="54BAA0AB" wp14:editId="16B2A760">
                  <wp:extent cx="180000" cy="180000"/>
                  <wp:effectExtent l="0" t="0" r="0" b="0"/>
                  <wp:docPr id="8" name="Graphic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a:extLst>
                              <a:ext uri="{C183D7F6-B498-43B3-948B-1728B52AA6E4}">
                                <adec:decorative xmlns:adec="http://schemas.microsoft.com/office/drawing/2017/decorative" val="1"/>
                              </a:ext>
                            </a:extLst>
                          </pic:cNvPr>
                          <pic:cNvPicPr/>
                        </pic:nvPicPr>
                        <pic:blipFill>
                          <a:blip r:embed="rId39">
                            <a:extLst>
                              <a:ext uri="{96DAC541-7B7A-43D3-8B79-37D633B846F1}">
                                <asvg:svgBlip xmlns:asvg="http://schemas.microsoft.com/office/drawing/2016/SVG/main" r:embed="rId40"/>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334F0E69" w14:textId="77777777" w:rsidR="00AB0BDC" w:rsidRPr="00C064AA" w:rsidRDefault="00AB0BDC" w:rsidP="00011592">
            <w:pPr>
              <w:pStyle w:val="KeyPoints-Bold"/>
              <w:rPr>
                <w:szCs w:val="18"/>
              </w:rPr>
            </w:pPr>
            <w:r w:rsidRPr="00C064AA">
              <w:rPr>
                <w:szCs w:val="18"/>
              </w:rPr>
              <w:t>This report sets out the PC’s interim assessment that definitive safeguard measures are not warranted.</w:t>
            </w:r>
          </w:p>
          <w:p w14:paraId="7AE8B413" w14:textId="77777777" w:rsidR="00AB0BDC" w:rsidRPr="00C064AA" w:rsidRDefault="00AB0BDC" w:rsidP="00BD5342">
            <w:pPr>
              <w:pStyle w:val="KeyPoints-Bullet"/>
              <w:rPr>
                <w:b/>
                <w:bCs/>
                <w:szCs w:val="18"/>
              </w:rPr>
            </w:pPr>
            <w:r w:rsidRPr="00C064AA">
              <w:rPr>
                <w:bCs/>
                <w:szCs w:val="18"/>
              </w:rPr>
              <w:t xml:space="preserve">It is the PC’s assessment that </w:t>
            </w:r>
            <w:r w:rsidRPr="00C064AA">
              <w:rPr>
                <w:bCs/>
              </w:rPr>
              <w:t xml:space="preserve">the conditions for the immediate introduction of </w:t>
            </w:r>
            <w:r w:rsidRPr="00C064AA">
              <w:rPr>
                <w:bCs/>
                <w:szCs w:val="18"/>
              </w:rPr>
              <w:t xml:space="preserve">provisional safeguard </w:t>
            </w:r>
            <w:r w:rsidRPr="00BD5342">
              <w:t>measures</w:t>
            </w:r>
            <w:r w:rsidRPr="00C064AA">
              <w:rPr>
                <w:bCs/>
              </w:rPr>
              <w:t xml:space="preserve"> </w:t>
            </w:r>
            <w:r w:rsidRPr="00C064AA">
              <w:rPr>
                <w:bCs/>
                <w:szCs w:val="18"/>
              </w:rPr>
              <w:t xml:space="preserve">(where delay would cause damage which would be difficult to repair) </w:t>
            </w:r>
            <w:r w:rsidRPr="00C064AA">
              <w:rPr>
                <w:bCs/>
              </w:rPr>
              <w:t>are also not met.</w:t>
            </w:r>
          </w:p>
          <w:p w14:paraId="4C512640" w14:textId="7DDC722A" w:rsidR="00AB0BDC" w:rsidRPr="00C064AA" w:rsidRDefault="00AB0BDC" w:rsidP="00BD5342">
            <w:pPr>
              <w:pStyle w:val="KeyPoints-Bullet"/>
              <w:rPr>
                <w:szCs w:val="18"/>
              </w:rPr>
            </w:pPr>
            <w:r w:rsidRPr="00C064AA">
              <w:rPr>
                <w:bCs/>
              </w:rPr>
              <w:t>Further</w:t>
            </w:r>
            <w:r w:rsidRPr="00C064AA" w:rsidDel="004078AB">
              <w:rPr>
                <w:bCs/>
              </w:rPr>
              <w:t xml:space="preserve"> </w:t>
            </w:r>
            <w:r w:rsidRPr="00C064AA">
              <w:rPr>
                <w:bCs/>
              </w:rPr>
              <w:t xml:space="preserve">consultation will be undertaken before making a final determination about definitive </w:t>
            </w:r>
            <w:r w:rsidRPr="00BD5342">
              <w:t>measures</w:t>
            </w:r>
            <w:r w:rsidRPr="00C064AA">
              <w:rPr>
                <w:bCs/>
              </w:rPr>
              <w:t xml:space="preserve"> in November 2026.</w:t>
            </w:r>
          </w:p>
        </w:tc>
      </w:tr>
      <w:tr w:rsidR="00AB0BDC" w:rsidRPr="00C064AA" w14:paraId="781517AD" w14:textId="77777777" w:rsidTr="00011592">
        <w:tc>
          <w:tcPr>
            <w:tcW w:w="577" w:type="dxa"/>
            <w:shd w:val="clear" w:color="auto" w:fill="E7F6FD"/>
            <w:tcMar>
              <w:top w:w="0" w:type="dxa"/>
              <w:bottom w:w="0" w:type="dxa"/>
              <w:right w:w="113" w:type="dxa"/>
            </w:tcMar>
          </w:tcPr>
          <w:p w14:paraId="78010D29" w14:textId="77777777" w:rsidR="00AB0BDC" w:rsidRPr="00C064AA" w:rsidRDefault="00AB0BDC" w:rsidP="000C6B77">
            <w:pPr>
              <w:pStyle w:val="KeyPointsicon"/>
              <w:rPr>
                <w:noProof/>
              </w:rPr>
            </w:pPr>
            <w:r w:rsidRPr="00C064AA">
              <w:rPr>
                <w:noProof/>
              </w:rPr>
              <w:drawing>
                <wp:inline distT="0" distB="0" distL="0" distR="0" wp14:anchorId="5ECBCCE3" wp14:editId="4B801773">
                  <wp:extent cx="180000" cy="180000"/>
                  <wp:effectExtent l="0" t="0" r="0" b="0"/>
                  <wp:docPr id="29115114" name="Graphic 291151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a:extLst>
                              <a:ext uri="{C183D7F6-B498-43B3-948B-1728B52AA6E4}">
                                <adec:decorative xmlns:adec="http://schemas.microsoft.com/office/drawing/2017/decorative" val="1"/>
                              </a:ext>
                            </a:extLst>
                          </pic:cNvPr>
                          <pic:cNvPicPr/>
                        </pic:nvPicPr>
                        <pic:blipFill>
                          <a:blip r:embed="rId39">
                            <a:extLst>
                              <a:ext uri="{96DAC541-7B7A-43D3-8B79-37D633B846F1}">
                                <asvg:svgBlip xmlns:asvg="http://schemas.microsoft.com/office/drawing/2016/SVG/main" r:embed="rId40"/>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5B62CB10" w14:textId="4B43EAF1" w:rsidR="00AB0BDC" w:rsidRPr="00C064AA" w:rsidRDefault="00AB0BDC" w:rsidP="00C405E7">
            <w:pPr>
              <w:pStyle w:val="KeyPoints-Bold"/>
              <w:spacing w:after="120"/>
              <w:rPr>
                <w:b w:val="0"/>
                <w:bCs/>
                <w:szCs w:val="18"/>
              </w:rPr>
            </w:pPr>
            <w:r w:rsidRPr="00C064AA">
              <w:rPr>
                <w:szCs w:val="18"/>
              </w:rPr>
              <w:t xml:space="preserve">As we have not found the necessary conditions have been met to introduce safeguards, the PC has not assessed whether a measure is in the public </w:t>
            </w:r>
            <w:proofErr w:type="gramStart"/>
            <w:r w:rsidRPr="00C064AA">
              <w:rPr>
                <w:szCs w:val="18"/>
              </w:rPr>
              <w:t>interest</w:t>
            </w:r>
            <w:r w:rsidR="00F66BF2">
              <w:rPr>
                <w:szCs w:val="18"/>
              </w:rPr>
              <w:t>,</w:t>
            </w:r>
            <w:r w:rsidRPr="00C064AA">
              <w:rPr>
                <w:szCs w:val="18"/>
              </w:rPr>
              <w:t xml:space="preserve"> but</w:t>
            </w:r>
            <w:proofErr w:type="gramEnd"/>
            <w:r w:rsidRPr="00C064AA">
              <w:rPr>
                <w:szCs w:val="18"/>
              </w:rPr>
              <w:t xml:space="preserve"> has outlined factors and evidence that would need to be considered in such an assessment.</w:t>
            </w:r>
          </w:p>
        </w:tc>
      </w:tr>
    </w:tbl>
    <w:p w14:paraId="3FC8F07A" w14:textId="77777777" w:rsidR="00AB0BDC" w:rsidRPr="00C064AA" w:rsidRDefault="00AB0BDC" w:rsidP="00011592">
      <w:pPr>
        <w:pStyle w:val="Heading3"/>
      </w:pPr>
      <w:r w:rsidRPr="00C064AA">
        <w:lastRenderedPageBreak/>
        <w:t>The PC has been asked to investigate whether safeguard measures are warranted for fabricated structural steel products</w:t>
      </w:r>
    </w:p>
    <w:p w14:paraId="1ABE5097" w14:textId="53078EAD" w:rsidR="00AB0BDC" w:rsidRPr="00C064AA" w:rsidRDefault="00AB0BDC" w:rsidP="00011592">
      <w:pPr>
        <w:pStyle w:val="BodyText"/>
      </w:pPr>
      <w:r w:rsidRPr="00C064AA">
        <w:t xml:space="preserve">The Treasurer has asked the </w:t>
      </w:r>
      <w:r>
        <w:t>PC</w:t>
      </w:r>
      <w:r w:rsidRPr="00C064AA">
        <w:t xml:space="preserve"> to investigate whether safeguard measures should be applied to fabricated structural steel</w:t>
      </w:r>
      <w:r>
        <w:t xml:space="preserve"> (FSS)</w:t>
      </w:r>
      <w:r w:rsidRPr="00C064AA">
        <w:t xml:space="preserve"> products. These products include bridges and bridge sections, gratings, stairways and treads, guardrails and road barriers and a range of other products set out in </w:t>
      </w:r>
      <w:r>
        <w:t>twelve</w:t>
      </w:r>
      <w:r w:rsidRPr="00C064AA">
        <w:t xml:space="preserve"> 10</w:t>
      </w:r>
      <w:r w:rsidR="00541146">
        <w:noBreakHyphen/>
      </w:r>
      <w:r w:rsidRPr="00C064AA">
        <w:t>digit tariff codes that fall under heading 7308 of the Australian Tariff Code. Fabricators cut, shape, hole, weld and bend semi</w:t>
      </w:r>
      <w:r w:rsidRPr="00C064AA">
        <w:noBreakHyphen/>
        <w:t>finished steel, such as beams, plates and coils, to create finished steel products. The PC is the ‘competent authority’ in Australia for investigating proposed safeguard measures and the inquiry is being conducted in line with Australia</w:t>
      </w:r>
      <w:r>
        <w:t>’</w:t>
      </w:r>
      <w:r w:rsidRPr="00C064AA">
        <w:t xml:space="preserve">s obligations under the World Trade Organization (WTO) </w:t>
      </w:r>
      <w:r>
        <w:t>Agreement on Safeguards</w:t>
      </w:r>
      <w:r w:rsidRPr="00C064AA">
        <w:t xml:space="preserve">. </w:t>
      </w:r>
    </w:p>
    <w:p w14:paraId="12266349" w14:textId="27BD2EB1" w:rsidR="00AB0BDC" w:rsidRPr="00C064AA" w:rsidRDefault="00AB0BDC" w:rsidP="00011592">
      <w:pPr>
        <w:pStyle w:val="BodyText"/>
      </w:pPr>
      <w:r w:rsidRPr="00C064AA">
        <w:rPr>
          <w:spacing w:val="-2"/>
        </w:rPr>
        <w:t>A safeguard measure is a trade barrier</w:t>
      </w:r>
      <w:r>
        <w:rPr>
          <w:spacing w:val="-2"/>
        </w:rPr>
        <w:t xml:space="preserve">, </w:t>
      </w:r>
      <w:r w:rsidRPr="00C064AA">
        <w:rPr>
          <w:spacing w:val="-2"/>
        </w:rPr>
        <w:t>such as a tariff, quota, or tariff rate quota</w:t>
      </w:r>
      <w:r>
        <w:rPr>
          <w:spacing w:val="-2"/>
        </w:rPr>
        <w:t xml:space="preserve">, </w:t>
      </w:r>
      <w:r w:rsidRPr="00C064AA">
        <w:rPr>
          <w:spacing w:val="-2"/>
        </w:rPr>
        <w:t xml:space="preserve">on imported goods that can be applied in limited circumstances to act as a ‘safety valve’ to allow a domestic industry to adapt to new economic realities. </w:t>
      </w:r>
      <w:r w:rsidRPr="00C064AA">
        <w:t xml:space="preserve">In accordance with the </w:t>
      </w:r>
      <w:r w:rsidR="002239D7">
        <w:t>Agreement on Safeguards</w:t>
      </w:r>
      <w:r w:rsidRPr="00C064AA">
        <w:t xml:space="preserve">, the PC has examined whether imports have increased in such volumes, and under such conditions, that they have caused or threaten to cause serious injury to the Australian </w:t>
      </w:r>
      <w:r w:rsidR="000F45C2">
        <w:t>FSS</w:t>
      </w:r>
      <w:r w:rsidRPr="00C064AA">
        <w:t xml:space="preserve"> industry. </w:t>
      </w:r>
    </w:p>
    <w:p w14:paraId="65BBA45C" w14:textId="023235B3" w:rsidR="00AB0BDC" w:rsidRPr="00C064AA" w:rsidRDefault="00AB0BDC" w:rsidP="00011592">
      <w:pPr>
        <w:pStyle w:val="BodyText"/>
        <w:rPr>
          <w:kern w:val="2"/>
          <w:lang w:eastAsia="en-AU"/>
          <w14:ligatures w14:val="standardContextual"/>
        </w:rPr>
      </w:pPr>
      <w:r w:rsidRPr="00C064AA">
        <w:t>The PC has undertaken a formal, evidence</w:t>
      </w:r>
      <w:r w:rsidR="00541146">
        <w:noBreakHyphen/>
      </w:r>
      <w:r w:rsidRPr="00C064AA">
        <w:t>based assessment of imports, injury to domestic producers, and other matters required under the WTO framework. This report presents our interim findings on whether the requirements for the introduction of safeguard measures have been met. The PC will make its final assessment in November 2026, following further input</w:t>
      </w:r>
      <w:r w:rsidR="004078AB">
        <w:t xml:space="preserve"> from inquiry participants</w:t>
      </w:r>
      <w:r w:rsidRPr="00C064AA">
        <w:t>.</w:t>
      </w:r>
    </w:p>
    <w:p w14:paraId="6A9D4A24" w14:textId="77777777" w:rsidR="00AB0BDC" w:rsidRPr="00C064AA" w:rsidRDefault="00AB0BDC">
      <w:pPr>
        <w:pStyle w:val="BodyText"/>
        <w:rPr>
          <w:kern w:val="2"/>
          <w:lang w:eastAsia="en-AU"/>
          <w14:ligatures w14:val="standardContextual"/>
        </w:rPr>
      </w:pPr>
      <w:r w:rsidRPr="00C064AA">
        <w:t>The PC has defined the scope of this inquiry based on industry insights and with reference to WTO requirements:</w:t>
      </w:r>
    </w:p>
    <w:p w14:paraId="2F32366C" w14:textId="7BD9419C" w:rsidR="00AB0BDC" w:rsidRPr="00C064AA" w:rsidRDefault="00AB0BDC" w:rsidP="00A431AB">
      <w:pPr>
        <w:pStyle w:val="ListBullet"/>
        <w:rPr>
          <w:kern w:val="2"/>
          <w:lang w:eastAsia="en-AU"/>
          <w14:ligatures w14:val="standardContextual"/>
        </w:rPr>
      </w:pPr>
      <w:r w:rsidRPr="00C064AA">
        <w:t>The PC has assessed the twelve 10</w:t>
      </w:r>
      <w:r w:rsidR="00541146">
        <w:noBreakHyphen/>
      </w:r>
      <w:r w:rsidRPr="00C064AA">
        <w:t xml:space="preserve">digit codes in the terms of reference as one product group. It has examined imports for that group and assessed the domestic industry that produces like or directly competing products. These products share a common functional character as </w:t>
      </w:r>
      <w:r w:rsidR="000F45C2">
        <w:t>FSS</w:t>
      </w:r>
      <w:r w:rsidRPr="00C064AA">
        <w:t xml:space="preserve"> components prepared for use in structures and are produced by an identifiable group of firms using the same facilities, inputs, labour and processes.</w:t>
      </w:r>
    </w:p>
    <w:p w14:paraId="345EA3ED" w14:textId="5FB15FB4" w:rsidR="00AB0BDC" w:rsidRPr="00C53577" w:rsidRDefault="00AB0BDC" w:rsidP="00A431AB">
      <w:pPr>
        <w:pStyle w:val="ListBullet"/>
        <w:rPr>
          <w:spacing w:val="2"/>
        </w:rPr>
      </w:pPr>
      <w:r w:rsidRPr="00C53577">
        <w:rPr>
          <w:spacing w:val="2"/>
        </w:rPr>
        <w:t xml:space="preserve">336 Australian Steel Institute (ASI) members and an additional 40 fabricators identified </w:t>
      </w:r>
      <w:proofErr w:type="gramStart"/>
      <w:r w:rsidRPr="00C53577">
        <w:rPr>
          <w:spacing w:val="2"/>
        </w:rPr>
        <w:t>during the course of</w:t>
      </w:r>
      <w:proofErr w:type="gramEnd"/>
      <w:r w:rsidRPr="00C53577">
        <w:rPr>
          <w:spacing w:val="2"/>
        </w:rPr>
        <w:t xml:space="preserve"> this inquiry represent a major proportion of domestic production of </w:t>
      </w:r>
      <w:r w:rsidR="000F45C2" w:rsidRPr="00C53577">
        <w:rPr>
          <w:spacing w:val="2"/>
        </w:rPr>
        <w:t>FSS</w:t>
      </w:r>
      <w:r w:rsidRPr="00C53577">
        <w:rPr>
          <w:spacing w:val="2"/>
        </w:rPr>
        <w:t xml:space="preserve"> and are considered by the PC to be the ‘conservative’ population for the purposes of this inquiry. To test the representativeness of findings, analysis has also been undertaken for an extended group which includes an additional 13</w:t>
      </w:r>
      <w:r w:rsidR="00B94206">
        <w:rPr>
          <w:spacing w:val="2"/>
        </w:rPr>
        <w:t>8</w:t>
      </w:r>
      <w:r w:rsidRPr="00C53577">
        <w:rPr>
          <w:spacing w:val="2"/>
        </w:rPr>
        <w:t xml:space="preserve"> businesses that have been identified as common consumers of key </w:t>
      </w:r>
      <w:r w:rsidR="000F45C2" w:rsidRPr="00C53577">
        <w:rPr>
          <w:spacing w:val="2"/>
        </w:rPr>
        <w:t>FSS</w:t>
      </w:r>
      <w:r w:rsidRPr="00C53577">
        <w:rPr>
          <w:spacing w:val="2"/>
        </w:rPr>
        <w:t xml:space="preserve"> inputs. </w:t>
      </w:r>
    </w:p>
    <w:p w14:paraId="2DC39B02" w14:textId="77777777" w:rsidR="00AB0BDC" w:rsidRPr="00C064AA" w:rsidRDefault="00AB0BDC" w:rsidP="00011592">
      <w:pPr>
        <w:pStyle w:val="BodyText"/>
      </w:pPr>
      <w:r w:rsidRPr="00C064AA">
        <w:t>The inquiry’s terms of reference</w:t>
      </w:r>
      <w:r w:rsidRPr="00C064AA" w:rsidDel="006126F4">
        <w:t xml:space="preserve"> </w:t>
      </w:r>
      <w:r w:rsidRPr="00C064AA">
        <w:t>are silent on what the period of the investigation should be, although the Australian Government’s notice of initiation to the WTO references information from ASI as highlighting growth in imports from 2020 to 2024.</w:t>
      </w:r>
    </w:p>
    <w:p w14:paraId="441E6262" w14:textId="1823AEFC" w:rsidR="00AB0BDC" w:rsidRPr="00C064AA" w:rsidRDefault="00AB0BDC" w:rsidP="00011592">
      <w:pPr>
        <w:pStyle w:val="BodyText"/>
      </w:pPr>
      <w:r w:rsidRPr="00C064AA">
        <w:t>Identifying the appropriate start of the investigation period was complicated by potential distortions caused by COVID</w:t>
      </w:r>
      <w:r w:rsidR="00541146">
        <w:noBreakHyphen/>
      </w:r>
      <w:r w:rsidRPr="00C064AA">
        <w:t>19. A 5</w:t>
      </w:r>
      <w:r w:rsidR="00541146">
        <w:noBreakHyphen/>
      </w:r>
      <w:r w:rsidRPr="00C064AA">
        <w:t>year investigation period for this inquiry, over financial years 2020</w:t>
      </w:r>
      <w:r w:rsidR="0090267A">
        <w:t>–</w:t>
      </w:r>
      <w:r w:rsidRPr="00C064AA">
        <w:t>21 to 2024</w:t>
      </w:r>
      <w:r w:rsidR="0090267A">
        <w:t>–</w:t>
      </w:r>
      <w:r w:rsidRPr="00C064AA">
        <w:t xml:space="preserve">25, is long enough to account for these distortions when assessing trends in imports and the health of the domestic industry. </w:t>
      </w:r>
    </w:p>
    <w:p w14:paraId="5CB12E74" w14:textId="7E09684F" w:rsidR="00AB0BDC" w:rsidRPr="00C064AA" w:rsidRDefault="00AB0BDC" w:rsidP="00011592">
      <w:pPr>
        <w:pStyle w:val="BodyText"/>
      </w:pPr>
      <w:r w:rsidRPr="00C064AA">
        <w:t>For added context, the PC has analysed evidence about import trends and injury to the industry for earlier periods and, where available, data beyond the investigation period, but we have focused on the 5</w:t>
      </w:r>
      <w:r w:rsidR="00541146">
        <w:noBreakHyphen/>
      </w:r>
      <w:r w:rsidRPr="00C064AA">
        <w:t>year investigation period when determining whether there has been an increase in imports causing serious injury to the domestic industry.</w:t>
      </w:r>
    </w:p>
    <w:p w14:paraId="145004B7" w14:textId="77777777" w:rsidR="00AB0BDC" w:rsidRPr="00C064AA" w:rsidRDefault="00AB0BDC" w:rsidP="00011592">
      <w:pPr>
        <w:pStyle w:val="Heading3"/>
      </w:pPr>
      <w:r w:rsidRPr="00C064AA">
        <w:lastRenderedPageBreak/>
        <w:t>Consistent with the focus on extraordinary circumstances, the evidentiary threshold for a safeguard investigation is very high</w:t>
      </w:r>
    </w:p>
    <w:p w14:paraId="5CD19B86" w14:textId="77777777" w:rsidR="00AB0BDC" w:rsidRPr="00C064AA" w:rsidRDefault="00AB0BDC" w:rsidP="00011592">
      <w:pPr>
        <w:rPr>
          <w:spacing w:val="-2"/>
        </w:rPr>
      </w:pPr>
      <w:r w:rsidRPr="00C064AA">
        <w:rPr>
          <w:spacing w:val="-2"/>
        </w:rPr>
        <w:t>The WTO</w:t>
      </w:r>
      <w:r>
        <w:rPr>
          <w:spacing w:val="-2"/>
        </w:rPr>
        <w:t xml:space="preserve"> </w:t>
      </w:r>
      <w:r w:rsidRPr="00C064AA">
        <w:rPr>
          <w:spacing w:val="-2"/>
        </w:rPr>
        <w:t>Appellate Body has stressed that a safeguard measure is ‘an extraordinary measure that is applied in extraordinary circumstances’ (</w:t>
      </w:r>
      <w:r w:rsidRPr="00C064AA">
        <w:rPr>
          <w:i/>
          <w:spacing w:val="-2"/>
        </w:rPr>
        <w:t>US – Line Pipe</w:t>
      </w:r>
      <w:r w:rsidRPr="00C064AA">
        <w:rPr>
          <w:spacing w:val="-2"/>
        </w:rPr>
        <w:t xml:space="preserve">, para. 111). </w:t>
      </w:r>
    </w:p>
    <w:p w14:paraId="7048429C" w14:textId="04FB7E4C" w:rsidR="00AB0BDC" w:rsidRPr="00C064AA" w:rsidRDefault="00AB0BDC" w:rsidP="00011592">
      <w:r w:rsidRPr="00C064AA">
        <w:t>The legal requirements for introducing safeguard measures are set out in Article XIX of the General Agreement on Tariffs and Trade 1994 (GATT)</w:t>
      </w:r>
      <w:r w:rsidRPr="00C064AA" w:rsidDel="004515BF">
        <w:t>,</w:t>
      </w:r>
      <w:r w:rsidRPr="00C064AA">
        <w:t xml:space="preserve"> </w:t>
      </w:r>
      <w:r w:rsidRPr="00C064AA" w:rsidDel="004515BF">
        <w:rPr>
          <w:i/>
          <w:iCs/>
        </w:rPr>
        <w:t>Emergency Action on Imports of Particular Products</w:t>
      </w:r>
      <w:r w:rsidRPr="00C064AA" w:rsidDel="004515BF">
        <w:t xml:space="preserve">, </w:t>
      </w:r>
      <w:r w:rsidRPr="00C064AA">
        <w:t>and the Agreement on Safeguards. These include a requirement to provide reasoned conclusions on all pertinent issues of fact and law (</w:t>
      </w:r>
      <w:r w:rsidR="00D04676">
        <w:t xml:space="preserve">SA </w:t>
      </w:r>
      <w:r w:rsidRPr="00C064AA">
        <w:t>Article 3) and evaluate all relative factors of an objective and quantifiable nature (</w:t>
      </w:r>
      <w:r w:rsidR="00D04676">
        <w:t xml:space="preserve">SA </w:t>
      </w:r>
      <w:r w:rsidRPr="00C064AA">
        <w:t>Article 4.2 (a)).</w:t>
      </w:r>
    </w:p>
    <w:p w14:paraId="1F306032" w14:textId="770AD28C" w:rsidR="00AB0BDC" w:rsidRPr="00C064AA" w:rsidRDefault="00AB0BDC">
      <w:pPr>
        <w:rPr>
          <w:kern w:val="2"/>
          <w:lang w:eastAsia="en-AU"/>
          <w14:ligatures w14:val="standardContextual"/>
        </w:rPr>
      </w:pPr>
      <w:r w:rsidRPr="00C064AA">
        <w:t xml:space="preserve">In undertaking this inquiry, the PC has used comprehensive administrative data held by the </w:t>
      </w:r>
      <w:r>
        <w:t>ABS</w:t>
      </w:r>
      <w:r w:rsidRPr="00C064AA">
        <w:t xml:space="preserve"> to examine import trends and the condition of the domestic industry. This includes transaction</w:t>
      </w:r>
      <w:r w:rsidR="00541146">
        <w:noBreakHyphen/>
      </w:r>
      <w:r w:rsidRPr="00C064AA">
        <w:t xml:space="preserve">level import data, anonymised Business Income Tax (BIT) returns, Business Activity Statements (BAS) and Pay </w:t>
      </w:r>
      <w:proofErr w:type="gramStart"/>
      <w:r w:rsidRPr="00C064AA">
        <w:t>As</w:t>
      </w:r>
      <w:proofErr w:type="gramEnd"/>
      <w:r w:rsidRPr="00C064AA">
        <w:t xml:space="preserve"> You Go (PAYG) submissions and other relevant information. Using these administrative datasets reduces the reporting burden on businesses and allows the most accurate assessment possible. </w:t>
      </w:r>
    </w:p>
    <w:p w14:paraId="1DE72C04" w14:textId="77777777" w:rsidR="00AB0BDC" w:rsidRPr="00C064AA" w:rsidRDefault="00AB0BDC">
      <w:pPr>
        <w:pStyle w:val="Heading3"/>
        <w:rPr>
          <w:kern w:val="2"/>
          <w:szCs w:val="26"/>
          <w:lang w:eastAsia="en-AU"/>
          <w14:ligatures w14:val="standardContextual"/>
        </w:rPr>
      </w:pPr>
      <w:r w:rsidRPr="00C064AA">
        <w:t>Imports have increased, but there has not been a sudden surge</w:t>
      </w:r>
    </w:p>
    <w:p w14:paraId="489064BA" w14:textId="5527B3A6" w:rsidR="00AB0BDC" w:rsidRPr="00C064AA" w:rsidRDefault="00AB0BDC" w:rsidP="00011592">
      <w:pPr>
        <w:pStyle w:val="BodyText"/>
      </w:pPr>
      <w:r w:rsidRPr="00C064AA">
        <w:rPr>
          <w:spacing w:val="-2"/>
        </w:rPr>
        <w:t>To justify safeguard measures, there must be an increase in imports that is ‘recent enough, sudden enough, sharp enough, and significant enough, both quantitatively and qualitatively, to cause or threaten to cause “serious injury”’</w:t>
      </w:r>
      <w:r>
        <w:rPr>
          <w:spacing w:val="-2"/>
        </w:rPr>
        <w:t xml:space="preserve"> </w:t>
      </w:r>
      <w:r w:rsidRPr="00500691">
        <w:rPr>
          <w:spacing w:val="-2"/>
        </w:rPr>
        <w:t>(</w:t>
      </w:r>
      <w:r w:rsidRPr="00500691">
        <w:rPr>
          <w:i/>
          <w:iCs/>
          <w:spacing w:val="-2"/>
        </w:rPr>
        <w:t xml:space="preserve">Argentina </w:t>
      </w:r>
      <w:r w:rsidR="0090267A">
        <w:rPr>
          <w:i/>
          <w:iCs/>
          <w:spacing w:val="-2"/>
        </w:rPr>
        <w:t>–</w:t>
      </w:r>
      <w:r w:rsidRPr="00500691">
        <w:rPr>
          <w:i/>
          <w:iCs/>
          <w:spacing w:val="-2"/>
        </w:rPr>
        <w:t xml:space="preserve"> Footwear (EC)</w:t>
      </w:r>
      <w:r w:rsidRPr="00500691">
        <w:rPr>
          <w:spacing w:val="-2"/>
        </w:rPr>
        <w:t>, para. 131)</w:t>
      </w:r>
      <w:r w:rsidRPr="00C064AA">
        <w:rPr>
          <w:spacing w:val="-2"/>
        </w:rPr>
        <w:t xml:space="preserve">. The WTO Appellate Body’s report in the </w:t>
      </w:r>
      <w:r w:rsidRPr="00C064AA">
        <w:rPr>
          <w:i/>
          <w:iCs/>
          <w:spacing w:val="-2"/>
        </w:rPr>
        <w:t>US – Lamb</w:t>
      </w:r>
      <w:r w:rsidRPr="00C064AA">
        <w:rPr>
          <w:spacing w:val="-2"/>
        </w:rPr>
        <w:t xml:space="preserve"> case</w:t>
      </w:r>
      <w:r>
        <w:rPr>
          <w:spacing w:val="-2"/>
        </w:rPr>
        <w:t xml:space="preserve"> (para. 138)</w:t>
      </w:r>
      <w:r w:rsidRPr="00C064AA">
        <w:rPr>
          <w:spacing w:val="-2"/>
        </w:rPr>
        <w:t xml:space="preserve"> ‘affirmed that the real significance of short</w:t>
      </w:r>
      <w:r w:rsidR="00541146">
        <w:rPr>
          <w:spacing w:val="-2"/>
        </w:rPr>
        <w:noBreakHyphen/>
      </w:r>
      <w:r w:rsidRPr="00C064AA">
        <w:rPr>
          <w:spacing w:val="-2"/>
        </w:rPr>
        <w:t>term trends in the most recent data should be assessed in the light of long</w:t>
      </w:r>
      <w:r w:rsidR="00541146">
        <w:rPr>
          <w:spacing w:val="-2"/>
        </w:rPr>
        <w:noBreakHyphen/>
      </w:r>
      <w:r w:rsidRPr="00C064AA">
        <w:rPr>
          <w:spacing w:val="-2"/>
        </w:rPr>
        <w:t xml:space="preserve">term </w:t>
      </w:r>
      <w:proofErr w:type="gramStart"/>
      <w:r w:rsidRPr="00C064AA">
        <w:rPr>
          <w:spacing w:val="-2"/>
        </w:rPr>
        <w:t>trends’</w:t>
      </w:r>
      <w:proofErr w:type="gramEnd"/>
      <w:r w:rsidRPr="00C064AA">
        <w:rPr>
          <w:spacing w:val="-2"/>
        </w:rPr>
        <w:t>.</w:t>
      </w:r>
    </w:p>
    <w:p w14:paraId="66751427" w14:textId="45C4EF4C" w:rsidR="00AB0BDC" w:rsidRPr="00C064AA" w:rsidRDefault="00AB0BDC">
      <w:pPr>
        <w:pStyle w:val="BodyText"/>
        <w:rPr>
          <w:kern w:val="2"/>
          <w:lang w:eastAsia="en-AU"/>
          <w14:ligatures w14:val="standardContextual"/>
        </w:rPr>
      </w:pPr>
      <w:r w:rsidRPr="00C064AA">
        <w:t>The ASI’s application requesting the safeguard investigation stated that ‘since CY2022, there has been a clear and sustained surge in import volumes across the consolidated category of key FSS products.’ The PC has examined transaction</w:t>
      </w:r>
      <w:r w:rsidR="00541146">
        <w:noBreakHyphen/>
      </w:r>
      <w:r w:rsidRPr="00C064AA">
        <w:t xml:space="preserve">level import data sourced from </w:t>
      </w:r>
      <w:r>
        <w:t>the ABS</w:t>
      </w:r>
      <w:r w:rsidRPr="00C064AA">
        <w:t xml:space="preserve"> which captures all imports over the period under investigation. To assess imports relative to domestic production, the PC has estimated domestic production using firm</w:t>
      </w:r>
      <w:r w:rsidR="00541146">
        <w:noBreakHyphen/>
      </w:r>
      <w:r w:rsidRPr="00C064AA">
        <w:t>level ABS data and information provided by industry participants.</w:t>
      </w:r>
    </w:p>
    <w:p w14:paraId="3492FB2E" w14:textId="342D7F5D" w:rsidR="00AB0BDC" w:rsidRPr="00C064AA" w:rsidRDefault="00AB0BDC" w:rsidP="00011592">
      <w:pPr>
        <w:pStyle w:val="BodyText"/>
      </w:pPr>
      <w:r w:rsidRPr="00C064AA">
        <w:t>This data shows that imports have increased, both in total and relative to domestic production</w:t>
      </w:r>
      <w:r>
        <w:t xml:space="preserve"> (figure 1)</w:t>
      </w:r>
      <w:r w:rsidRPr="00C064AA">
        <w:t>. However, growth largely continues a trend that has been ongoing since at least 2016</w:t>
      </w:r>
      <w:r w:rsidR="0090267A">
        <w:t>–</w:t>
      </w:r>
      <w:r w:rsidRPr="00C064AA">
        <w:t xml:space="preserve">17, and there has not been a recent, sudden or sharp increase. </w:t>
      </w:r>
      <w:r>
        <w:t>Annual growth in absolute imports was just over 6% during the investigation period. It was just over 15% from 2016</w:t>
      </w:r>
      <w:r w:rsidR="0090267A">
        <w:t>–</w:t>
      </w:r>
      <w:r>
        <w:t>17 to 2019</w:t>
      </w:r>
      <w:r w:rsidR="0090267A">
        <w:t>–</w:t>
      </w:r>
      <w:r>
        <w:t xml:space="preserve">20 (before the investigation period). </w:t>
      </w:r>
    </w:p>
    <w:p w14:paraId="05BAD37B" w14:textId="77777777" w:rsidR="00AB0BDC" w:rsidRPr="00C064AA" w:rsidRDefault="00AB0BDC" w:rsidP="00011592">
      <w:pPr>
        <w:pStyle w:val="BodyText"/>
      </w:pPr>
    </w:p>
    <w:p w14:paraId="6B4FB8E6" w14:textId="247F4645" w:rsidR="00AB0BDC" w:rsidRPr="00C064AA" w:rsidRDefault="00AB0BDC" w:rsidP="004F4CAE">
      <w:pPr>
        <w:pStyle w:val="FigureTableHeading"/>
      </w:pPr>
      <w:r w:rsidRPr="00C064AA">
        <w:lastRenderedPageBreak/>
        <w:t>Figure</w:t>
      </w:r>
      <w:r>
        <w:t> 1</w:t>
      </w:r>
      <w:r w:rsidRPr="00C064AA">
        <w:t xml:space="preserve"> – </w:t>
      </w:r>
      <w:r w:rsidR="00B6147F">
        <w:t>G</w:t>
      </w:r>
      <w:r w:rsidR="00AB236D">
        <w:t xml:space="preserve">rowth in </w:t>
      </w:r>
      <w:r w:rsidRPr="00C064AA">
        <w:t xml:space="preserve">imports </w:t>
      </w:r>
      <w:r w:rsidR="00EB095D">
        <w:t xml:space="preserve">does not meet conditions for the </w:t>
      </w:r>
      <w:r w:rsidR="00E061A2">
        <w:t>introduction</w:t>
      </w:r>
      <w:r w:rsidR="00EB095D">
        <w:t xml:space="preserve"> of a measure</w:t>
      </w:r>
    </w:p>
    <w:p w14:paraId="6C7537A1" w14:textId="333983FD" w:rsidR="00AB0BDC" w:rsidRPr="009874EC" w:rsidRDefault="0020410B" w:rsidP="009874EC">
      <w:pPr>
        <w:pStyle w:val="BodyText"/>
      </w:pPr>
      <w:r w:rsidRPr="0020410B">
        <w:rPr>
          <w:noProof/>
        </w:rPr>
        <w:drawing>
          <wp:inline distT="0" distB="0" distL="0" distR="0" wp14:anchorId="3A056463" wp14:editId="4F6718F6">
            <wp:extent cx="6120130" cy="4430395"/>
            <wp:effectExtent l="0" t="0" r="0" b="8255"/>
            <wp:docPr id="1294094886" name="Picture 3" descr="Figure 1 - The figure contains two panels: absolute imports and relative imports. Absolute imports increase steadily over the investigation period (2020-21 to 2024-25), and relative imports increase slightly over the same period. The figure also indicates that absolute imports increased by 28% over the investigation period or a 6% annual growth rate. Relative imports increased 11 percentage points over the period or 3 percentage points on average per yea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094886" name="Picture 3" descr="Figure 1 - The figure contains two panels: absolute imports and relative imports. Absolute imports increase steadily over the investigation period (2020-21 to 2024-25), and relative imports increase slightly over the same period. The figure also indicates that absolute imports increased by 28% over the investigation period or a 6% annual growth rate. Relative imports increased 11 percentage points over the period or 3 percentage points on average per year.&#1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20130" cy="4430395"/>
                    </a:xfrm>
                    <a:prstGeom prst="rect">
                      <a:avLst/>
                    </a:prstGeom>
                    <a:noFill/>
                    <a:ln>
                      <a:noFill/>
                    </a:ln>
                  </pic:spPr>
                </pic:pic>
              </a:graphicData>
            </a:graphic>
          </wp:inline>
        </w:drawing>
      </w:r>
      <w:r w:rsidRPr="0020410B">
        <w:t xml:space="preserve"> </w:t>
      </w:r>
    </w:p>
    <w:p w14:paraId="67E400DD" w14:textId="2F3B6AC7" w:rsidR="00AB0BDC" w:rsidRPr="00C064AA" w:rsidRDefault="00C14F81" w:rsidP="009874EC">
      <w:pPr>
        <w:pStyle w:val="Note"/>
        <w:spacing w:after="360"/>
      </w:pPr>
      <w:r>
        <w:t>R</w:t>
      </w:r>
      <w:r w:rsidR="00AB0BDC" w:rsidRPr="00677DC3">
        <w:t>elative imports for 2024</w:t>
      </w:r>
      <w:r w:rsidR="0090267A">
        <w:t>–</w:t>
      </w:r>
      <w:r w:rsidR="00AB0BDC" w:rsidRPr="00677DC3">
        <w:t xml:space="preserve">25 </w:t>
      </w:r>
      <w:proofErr w:type="gramStart"/>
      <w:r w:rsidR="007C4857">
        <w:t>uses</w:t>
      </w:r>
      <w:proofErr w:type="gramEnd"/>
      <w:r w:rsidR="007C4857">
        <w:t xml:space="preserve"> an</w:t>
      </w:r>
      <w:r w:rsidR="00AB0BDC" w:rsidRPr="00677DC3" w:rsidDel="007C4857">
        <w:t xml:space="preserve"> </w:t>
      </w:r>
      <w:r w:rsidR="007C4857">
        <w:t xml:space="preserve">estimate of domestic production based on turnover rather than cost of sales (which is </w:t>
      </w:r>
      <w:r w:rsidR="00761C2D">
        <w:t>not available for 2024–25</w:t>
      </w:r>
      <w:r w:rsidR="00375245">
        <w:t>)</w:t>
      </w:r>
      <w:r w:rsidR="00AB0BDC" w:rsidRPr="00677DC3">
        <w:t>.</w:t>
      </w:r>
    </w:p>
    <w:p w14:paraId="31021559" w14:textId="220E27E1" w:rsidR="00AB0BDC" w:rsidRPr="00C064AA" w:rsidRDefault="00AB0BDC" w:rsidP="00011592">
      <w:pPr>
        <w:pStyle w:val="BodyText"/>
        <w:rPr>
          <w:kern w:val="2"/>
          <w:lang w:eastAsia="en-AU"/>
          <w14:ligatures w14:val="standardContextual"/>
        </w:rPr>
      </w:pPr>
      <w:r w:rsidRPr="00C064AA">
        <w:t xml:space="preserve">Inquiry participants identified several international developments that may have contributed to increased </w:t>
      </w:r>
      <w:r w:rsidR="000F45C2">
        <w:t>FSS</w:t>
      </w:r>
      <w:r w:rsidRPr="00C064AA">
        <w:t xml:space="preserve"> imports. These include global steel overcapacity impacting downstream foreign production of goods, upstream trade protection measures (such as anti</w:t>
      </w:r>
      <w:r w:rsidR="00541146">
        <w:noBreakHyphen/>
      </w:r>
      <w:r w:rsidRPr="00C064AA">
        <w:t xml:space="preserve">dumping actions) increasing the cost of inputs and therefore impacting the competitiveness of local FSS producers, and more competitive overseas FSS manufacturing. </w:t>
      </w:r>
    </w:p>
    <w:p w14:paraId="37F9C2DC" w14:textId="77777777" w:rsidR="00AB0BDC" w:rsidRPr="00C064AA" w:rsidRDefault="00AB0BDC">
      <w:pPr>
        <w:pStyle w:val="BodyText"/>
      </w:pPr>
      <w:r w:rsidRPr="00C064AA">
        <w:t>Participants also identified domestic factors that may have contributed to higher FSS imports, for example rising demand consistent with increases in construction, infrastructure, and mining activity, and disruptions in domestic steel production in recent years.</w:t>
      </w:r>
    </w:p>
    <w:p w14:paraId="03B54F5D" w14:textId="77777777" w:rsidR="00AB0BDC" w:rsidRPr="00C064AA" w:rsidRDefault="00AB0BDC">
      <w:pPr>
        <w:pStyle w:val="Heading3"/>
        <w:rPr>
          <w:kern w:val="2"/>
          <w:szCs w:val="26"/>
          <w:lang w:eastAsia="en-AU"/>
          <w14:ligatures w14:val="standardContextual"/>
        </w:rPr>
      </w:pPr>
      <w:r w:rsidRPr="00C064AA">
        <w:t xml:space="preserve">The evidence does not show serious injury across the </w:t>
      </w:r>
      <w:proofErr w:type="gramStart"/>
      <w:r w:rsidRPr="00C064AA">
        <w:t>industry as a whole</w:t>
      </w:r>
      <w:r>
        <w:t>,</w:t>
      </w:r>
      <w:r w:rsidRPr="00C064AA">
        <w:t xml:space="preserve"> but</w:t>
      </w:r>
      <w:proofErr w:type="gramEnd"/>
      <w:r w:rsidRPr="00C064AA">
        <w:t xml:space="preserve"> some segments are facing difficult conditions </w:t>
      </w:r>
    </w:p>
    <w:p w14:paraId="5DB2434D" w14:textId="2450CCF5" w:rsidR="00AB0BDC" w:rsidRPr="00C064AA" w:rsidRDefault="00AB0BDC">
      <w:pPr>
        <w:pStyle w:val="BodyText"/>
      </w:pPr>
      <w:r w:rsidRPr="00C064AA">
        <w:t>The data examined by the PC shows that, over the investigation period, the industry recorded growth in sales, profits and production. Employment also grew for most of the period, although it came off its peak in the second</w:t>
      </w:r>
      <w:r w:rsidR="00541146">
        <w:noBreakHyphen/>
      </w:r>
      <w:r w:rsidRPr="00C064AA">
        <w:t xml:space="preserve">last year </w:t>
      </w:r>
      <w:r w:rsidR="0074488D">
        <w:t xml:space="preserve">of </w:t>
      </w:r>
      <w:r w:rsidRPr="00C064AA">
        <w:t>the investigation period. Productivity and capacity utilisation improved overall, despite some moderation in the later years. Import market share remained broadly stable over the period</w:t>
      </w:r>
      <w:r>
        <w:t xml:space="preserve"> (figure 2)</w:t>
      </w:r>
      <w:r w:rsidRPr="00C064AA">
        <w:t>.</w:t>
      </w:r>
    </w:p>
    <w:p w14:paraId="1ACCDABC" w14:textId="77777777" w:rsidR="00AB0BDC" w:rsidRPr="00FF3DBB" w:rsidRDefault="00AB0BDC" w:rsidP="004F4CAE">
      <w:pPr>
        <w:pStyle w:val="FigureTableHeading"/>
        <w:rPr>
          <w:spacing w:val="-6"/>
        </w:rPr>
      </w:pPr>
      <w:bookmarkStart w:id="9" w:name="_Ref236348848"/>
      <w:r w:rsidRPr="00FF3DBB">
        <w:rPr>
          <w:spacing w:val="-6"/>
        </w:rPr>
        <w:lastRenderedPageBreak/>
        <w:t>Figure</w:t>
      </w:r>
      <w:bookmarkEnd w:id="9"/>
      <w:r w:rsidRPr="00FF3DBB">
        <w:rPr>
          <w:spacing w:val="-6"/>
        </w:rPr>
        <w:t> 2 – Analysis of administrative data does not reveal serious injury for the industry as a whole</w:t>
      </w:r>
    </w:p>
    <w:p w14:paraId="3FF01824" w14:textId="5D636F81" w:rsidR="00AB0BDC" w:rsidRPr="007A3EED" w:rsidRDefault="00A66BA0" w:rsidP="00D7644F">
      <w:pPr>
        <w:pStyle w:val="BodyText"/>
        <w:spacing w:after="0"/>
        <w:rPr>
          <w:rStyle w:val="BodyTextChar"/>
        </w:rPr>
      </w:pPr>
      <w:r w:rsidRPr="00A66BA0">
        <w:rPr>
          <w:noProof/>
        </w:rPr>
        <w:drawing>
          <wp:inline distT="0" distB="0" distL="0" distR="0" wp14:anchorId="4073AA2F" wp14:editId="6F43916C">
            <wp:extent cx="6119495" cy="5300421"/>
            <wp:effectExtent l="0" t="0" r="0" b="0"/>
            <wp:docPr id="995008562" name="Picture 5" descr="Figure 2 - The figure contains 6 panels: production, market share, sales and turnover, profits and EBITDA, employment by headcount and FTE, and capacity utilisation. Production dips in 2021-22 but otherwise increases steadily over the investigation period. Market share increases slightly in 2021-22 but decreases slightly over the period as a whole. Sales and turnover both decrease slightly in 2021-22 but otherwise increase over the investigation period. Profits and EBITDA decline slightly in 2021-22 but otherwise increase over the investigation period. Employment by headcount and FTE both increase steadily over the start of the investigation period but decline slightly in the latter years. Capacity utilisation decreases slightly in 2021-22, increase strongly in 2022-23, then decrease in 2023-2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008562" name="Picture 5" descr="Figure 2 - The figure contains 6 panels: production, market share, sales and turnover, profits and EBITDA, employment by headcount and FTE, and capacity utilisation. Production dips in 2021-22 but otherwise increases steadily over the investigation period. Market share increases slightly in 2021-22 but decreases slightly over the period as a whole. Sales and turnover both decrease slightly in 2021-22 but otherwise increase over the investigation period. Profits and EBITDA decline slightly in 2021-22 but otherwise increase over the investigation period. Employment by headcount and FTE both increase steadily over the start of the investigation period but decline slightly in the latter years. Capacity utilisation decreases slightly in 2021-22, increase strongly in 2022-23, then decrease in 2023-24.&#10;"/>
                    <pic:cNvPicPr>
                      <a:picLocks noChangeAspect="1" noChangeArrowheads="1"/>
                    </pic:cNvPicPr>
                  </pic:nvPicPr>
                  <pic:blipFill rotWithShape="1">
                    <a:blip r:embed="rId42">
                      <a:extLst>
                        <a:ext uri="{28A0092B-C50C-407E-A947-70E740481C1C}">
                          <a14:useLocalDpi xmlns:a14="http://schemas.microsoft.com/office/drawing/2010/main" val="0"/>
                        </a:ext>
                      </a:extLst>
                    </a:blip>
                    <a:srcRect l="760" b="462"/>
                    <a:stretch>
                      <a:fillRect/>
                    </a:stretch>
                  </pic:blipFill>
                  <pic:spPr bwMode="auto">
                    <a:xfrm>
                      <a:off x="0" y="0"/>
                      <a:ext cx="6120000" cy="5300858"/>
                    </a:xfrm>
                    <a:prstGeom prst="rect">
                      <a:avLst/>
                    </a:prstGeom>
                    <a:noFill/>
                    <a:ln>
                      <a:noFill/>
                    </a:ln>
                    <a:extLst>
                      <a:ext uri="{53640926-AAD7-44D8-BBD7-CCE9431645EC}">
                        <a14:shadowObscured xmlns:a14="http://schemas.microsoft.com/office/drawing/2010/main"/>
                      </a:ext>
                    </a:extLst>
                  </pic:spPr>
                </pic:pic>
              </a:graphicData>
            </a:graphic>
          </wp:inline>
        </w:drawing>
      </w:r>
      <w:r w:rsidR="00AB0BDC" w:rsidRPr="00D479CE" w:rsidDel="00BF4CE4">
        <w:t xml:space="preserve"> </w:t>
      </w:r>
    </w:p>
    <w:p w14:paraId="78DAFF9B" w14:textId="0B886378" w:rsidR="00AB0BDC" w:rsidRDefault="00AB0BDC" w:rsidP="00160EE7">
      <w:pPr>
        <w:pStyle w:val="Note"/>
        <w:spacing w:after="360"/>
      </w:pPr>
      <w:r w:rsidRPr="00C94A2E">
        <w:t>Business income tax data is only available to 2023</w:t>
      </w:r>
      <w:r w:rsidR="0090267A">
        <w:t>–</w:t>
      </w:r>
      <w:r w:rsidRPr="00C94A2E">
        <w:t>24, so production, market share, sales, profits and EBITDA are estimated for 2024</w:t>
      </w:r>
      <w:r w:rsidR="0090267A">
        <w:t>–</w:t>
      </w:r>
      <w:r w:rsidRPr="00C94A2E">
        <w:t>25.</w:t>
      </w:r>
      <w:r w:rsidRPr="00C94A2E" w:rsidDel="00C94A2E">
        <w:t xml:space="preserve"> </w:t>
      </w:r>
    </w:p>
    <w:p w14:paraId="048CD80C" w14:textId="77777777" w:rsidR="00AB0BDC" w:rsidRPr="00C064AA" w:rsidRDefault="00AB0BDC" w:rsidP="004F4CAE">
      <w:pPr>
        <w:pStyle w:val="BodyText"/>
      </w:pPr>
      <w:r w:rsidRPr="00C064AA">
        <w:t>The overall weight of evidence does not indicate significant impairment across the domestic industry.</w:t>
      </w:r>
    </w:p>
    <w:p w14:paraId="2A48E5DB" w14:textId="24779E5E" w:rsidR="00AB0BDC" w:rsidRPr="00C064AA" w:rsidRDefault="00AB0BDC" w:rsidP="004F4CAE">
      <w:pPr>
        <w:pStyle w:val="BodyText"/>
      </w:pPr>
      <w:r w:rsidRPr="00C064AA">
        <w:t xml:space="preserve">The safeguards test requires the PC to assess the domestic </w:t>
      </w:r>
      <w:proofErr w:type="gramStart"/>
      <w:r w:rsidRPr="00C064AA">
        <w:t>industry as a whole</w:t>
      </w:r>
      <w:proofErr w:type="gramEnd"/>
      <w:r w:rsidRPr="00C064AA">
        <w:t>. Where possible, this report presents results broken down by firm size to show how conditions may differ across the industry. The PC notes that the results presented in the data differ from the experiences shared by many industry participants through the course of this inquiry. To</w:t>
      </w:r>
      <w:r w:rsidRPr="00C064AA" w:rsidDel="000B3008">
        <w:t xml:space="preserve"> </w:t>
      </w:r>
      <w:r w:rsidR="000B3008">
        <w:t>test</w:t>
      </w:r>
      <w:r w:rsidRPr="00C064AA">
        <w:t xml:space="preserve"> our results, we sought to locate additional fabricating businesses, for example through identifying firms which are common consumers of key </w:t>
      </w:r>
      <w:r w:rsidR="000B03BA">
        <w:t>FSS</w:t>
      </w:r>
      <w:r w:rsidRPr="00C064AA">
        <w:t xml:space="preserve"> inputs. We have confirmed that analysis using this larger industry group (over 500 businesses in total) generates the same conclusion.</w:t>
      </w:r>
    </w:p>
    <w:p w14:paraId="49A6BD74" w14:textId="77777777" w:rsidR="00AB0BDC" w:rsidRPr="00C064AA" w:rsidRDefault="00AB0BDC">
      <w:pPr>
        <w:pStyle w:val="Heading3"/>
        <w:rPr>
          <w:kern w:val="2"/>
          <w:szCs w:val="26"/>
          <w:lang w:eastAsia="en-AU"/>
          <w14:ligatures w14:val="standardContextual"/>
        </w:rPr>
      </w:pPr>
      <w:r w:rsidRPr="00C064AA">
        <w:lastRenderedPageBreak/>
        <w:t>While there are uncertainties in the industry outlook, the evidence does not suggest that serious injury is threatened</w:t>
      </w:r>
      <w:r>
        <w:rPr>
          <w:b/>
          <w:color w:val="000000"/>
          <w:sz w:val="18"/>
          <w:szCs w:val="18"/>
        </w:rPr>
        <w:t xml:space="preserve"> </w:t>
      </w:r>
    </w:p>
    <w:p w14:paraId="1CBEDC24" w14:textId="4A90AC71" w:rsidR="00AB0BDC" w:rsidRPr="00C064AA" w:rsidRDefault="00AB0BDC" w:rsidP="00011592">
      <w:pPr>
        <w:pStyle w:val="BodyText"/>
      </w:pPr>
      <w:r w:rsidRPr="00C064AA">
        <w:t>Analysis of the threat</w:t>
      </w:r>
      <w:r>
        <w:t xml:space="preserve"> of</w:t>
      </w:r>
      <w:r w:rsidRPr="00C064AA">
        <w:t xml:space="preserve"> serious injury must be ‘based on facts and not merely on allegation, conjecture or remote possibility’ (SA Article 4.1(b)).</w:t>
      </w:r>
      <w:r w:rsidRPr="00C064AA">
        <w:rPr>
          <w:color w:val="000000" w:themeColor="text1"/>
        </w:rPr>
        <w:t xml:space="preserve"> As noted above, recent evidence on imports and industry performance are particularly relevant but short</w:t>
      </w:r>
      <w:r w:rsidR="00541146">
        <w:rPr>
          <w:color w:val="000000" w:themeColor="text1"/>
        </w:rPr>
        <w:noBreakHyphen/>
      </w:r>
      <w:r w:rsidRPr="00C064AA">
        <w:rPr>
          <w:color w:val="000000" w:themeColor="text1"/>
        </w:rPr>
        <w:t>term movements should be interpreted in the context of long</w:t>
      </w:r>
      <w:r w:rsidR="00541146">
        <w:rPr>
          <w:color w:val="000000" w:themeColor="text1"/>
        </w:rPr>
        <w:noBreakHyphen/>
      </w:r>
      <w:r w:rsidRPr="00C064AA">
        <w:rPr>
          <w:color w:val="000000" w:themeColor="text1"/>
        </w:rPr>
        <w:t>term trends (</w:t>
      </w:r>
      <w:r w:rsidRPr="00C064AA">
        <w:rPr>
          <w:i/>
          <w:iCs/>
          <w:color w:val="000000" w:themeColor="text1"/>
        </w:rPr>
        <w:t>US – Lamb</w:t>
      </w:r>
      <w:r w:rsidRPr="00C064AA">
        <w:rPr>
          <w:color w:val="000000" w:themeColor="text1"/>
        </w:rPr>
        <w:t>, paras. 136</w:t>
      </w:r>
      <w:r w:rsidR="00160EE7">
        <w:rPr>
          <w:color w:val="000000" w:themeColor="text1"/>
        </w:rPr>
        <w:t>–</w:t>
      </w:r>
      <w:r w:rsidRPr="00C064AA">
        <w:rPr>
          <w:color w:val="000000" w:themeColor="text1"/>
        </w:rPr>
        <w:t>138). Hence it is relevant in assessing the threat of serious injury that the most recent data points above do not suggest a severe deterioration at the end of the investigation period.</w:t>
      </w:r>
    </w:p>
    <w:p w14:paraId="6110121D" w14:textId="6A1B4158" w:rsidR="00AB0BDC" w:rsidRPr="00C064AA" w:rsidRDefault="00AB0BDC" w:rsidP="00011592">
      <w:pPr>
        <w:pStyle w:val="BodyText"/>
      </w:pPr>
      <w:r w:rsidRPr="00C064AA">
        <w:t>Preliminary data for the first 3 quarters of 2025</w:t>
      </w:r>
      <w:r w:rsidR="0090267A">
        <w:t>–</w:t>
      </w:r>
      <w:r w:rsidRPr="00C064AA">
        <w:t>26 suggest the longer</w:t>
      </w:r>
      <w:r w:rsidR="00541146">
        <w:noBreakHyphen/>
      </w:r>
      <w:r w:rsidRPr="00C064AA">
        <w:t>term import trend has continued beyond the period of investigation. Demand for FSS is expected to remain strong further into the future, with Infrastructure Australia forecasting $1.14 trillion of construction expenditure between 2024</w:t>
      </w:r>
      <w:r w:rsidR="0090267A">
        <w:t>–</w:t>
      </w:r>
      <w:r w:rsidRPr="00C064AA">
        <w:t>25 and 2028</w:t>
      </w:r>
      <w:r w:rsidR="0090267A">
        <w:t>–</w:t>
      </w:r>
      <w:r w:rsidRPr="00C064AA">
        <w:t>29</w:t>
      </w:r>
      <w:r>
        <w:t xml:space="preserve"> (I</w:t>
      </w:r>
      <w:r w:rsidR="005755F8">
        <w:t>nfrastructure Australia</w:t>
      </w:r>
      <w:r>
        <w:t xml:space="preserve"> 2025, p. 20)</w:t>
      </w:r>
      <w:r w:rsidRPr="00C064AA">
        <w:t xml:space="preserve">. </w:t>
      </w:r>
    </w:p>
    <w:p w14:paraId="4093D5DA" w14:textId="77777777" w:rsidR="00AB0BDC" w:rsidRPr="00C064AA" w:rsidRDefault="00AB0BDC" w:rsidP="00011592">
      <w:pPr>
        <w:pStyle w:val="BodyText"/>
      </w:pPr>
      <w:r w:rsidRPr="00C064AA">
        <w:t xml:space="preserve">Some of the evidence received throughout this inquiry has reported challenges to a range of existing businesses. This included reports of </w:t>
      </w:r>
      <w:r>
        <w:t>imports priced</w:t>
      </w:r>
      <w:r w:rsidRPr="00C064AA">
        <w:t xml:space="preserve"> below profitable levels for domestic businesses. Others were operating at tight margins and </w:t>
      </w:r>
      <w:r>
        <w:t>were</w:t>
      </w:r>
      <w:r w:rsidRPr="00C064AA">
        <w:t xml:space="preserve"> unable to make major investment decisions. </w:t>
      </w:r>
    </w:p>
    <w:p w14:paraId="027FD495" w14:textId="43D34E70" w:rsidR="00AB0BDC" w:rsidRPr="00C064AA" w:rsidRDefault="00AB0BDC" w:rsidP="00011592">
      <w:pPr>
        <w:pStyle w:val="BodyText"/>
      </w:pPr>
      <w:r w:rsidRPr="00C064AA">
        <w:t xml:space="preserve">Other evidence provided also suggests that </w:t>
      </w:r>
      <w:r w:rsidRPr="00C064AA">
        <w:rPr>
          <w:color w:val="000000" w:themeColor="text1"/>
        </w:rPr>
        <w:t>fabricators have started to change their business models. This includes shifting towards more complex and bespoke projects where imported fabricated steel may be less competitive or focusing on government</w:t>
      </w:r>
      <w:r w:rsidR="00541146">
        <w:rPr>
          <w:color w:val="000000" w:themeColor="text1"/>
        </w:rPr>
        <w:noBreakHyphen/>
      </w:r>
      <w:r w:rsidRPr="00C064AA">
        <w:rPr>
          <w:color w:val="000000" w:themeColor="text1"/>
        </w:rPr>
        <w:t>funded infrastructure</w:t>
      </w:r>
      <w:r w:rsidRPr="00C064AA">
        <w:t xml:space="preserve">, which can include local content requirements. Other participants have noted some shifts within the domestic </w:t>
      </w:r>
      <w:r w:rsidRPr="00C064AA">
        <w:rPr>
          <w:color w:val="000000" w:themeColor="text1"/>
        </w:rPr>
        <w:t>FSS market, with firms which previously specialised in portal frames – identified as highly exposed to imports – picking up more one</w:t>
      </w:r>
      <w:r w:rsidR="00541146">
        <w:rPr>
          <w:color w:val="000000" w:themeColor="text1"/>
        </w:rPr>
        <w:noBreakHyphen/>
      </w:r>
      <w:r w:rsidRPr="00C064AA">
        <w:rPr>
          <w:color w:val="000000" w:themeColor="text1"/>
        </w:rPr>
        <w:t>off project work, or firms</w:t>
      </w:r>
      <w:r w:rsidRPr="00C064AA">
        <w:t xml:space="preserve"> increasing their activity in engineering and design</w:t>
      </w:r>
      <w:r w:rsidR="00541146">
        <w:noBreakHyphen/>
      </w:r>
      <w:r w:rsidRPr="00C064AA">
        <w:t>and</w:t>
      </w:r>
      <w:r w:rsidR="00541146">
        <w:noBreakHyphen/>
      </w:r>
      <w:r w:rsidRPr="00C064AA">
        <w:t xml:space="preserve">construction relative to steel fabrication. </w:t>
      </w:r>
    </w:p>
    <w:p w14:paraId="7D0AF712" w14:textId="77777777" w:rsidR="00AB0BDC" w:rsidRPr="00C064AA" w:rsidRDefault="00AB0BDC" w:rsidP="00011592">
      <w:pPr>
        <w:pStyle w:val="BodyText"/>
      </w:pPr>
      <w:r w:rsidRPr="00C064AA">
        <w:t xml:space="preserve">Taken at face value, these accounts describe adjustment rather than serious injury as required by the relevant international legal tests. </w:t>
      </w:r>
    </w:p>
    <w:p w14:paraId="28B56E6B" w14:textId="77777777" w:rsidR="00AB0BDC" w:rsidRPr="00C064AA" w:rsidRDefault="00AB0BDC">
      <w:pPr>
        <w:pStyle w:val="Heading3"/>
        <w:rPr>
          <w:kern w:val="2"/>
          <w:szCs w:val="26"/>
          <w:lang w:eastAsia="en-AU"/>
          <w14:ligatures w14:val="standardContextual"/>
        </w:rPr>
      </w:pPr>
      <w:r w:rsidRPr="00C064AA">
        <w:t xml:space="preserve">Whether a measure is in the public interest depends on benefits from supporting the industry outweighing broader economic costs </w:t>
      </w:r>
    </w:p>
    <w:p w14:paraId="5359D99C" w14:textId="4EF1BFFA" w:rsidR="00AB0BDC" w:rsidRPr="00C064AA" w:rsidRDefault="00AB0BDC" w:rsidP="00011592">
      <w:pPr>
        <w:pStyle w:val="BodyText"/>
      </w:pPr>
      <w:r w:rsidRPr="00C064AA">
        <w:t>Because the PC has not found that the threshold for a safeguard measure has been met, it is not required to complete a public interest assessment. However,</w:t>
      </w:r>
      <w:r w:rsidRPr="00C064AA">
        <w:rPr>
          <w:bCs/>
          <w:szCs w:val="18"/>
        </w:rPr>
        <w:t xml:space="preserve"> given this </w:t>
      </w:r>
      <w:r>
        <w:rPr>
          <w:bCs/>
          <w:szCs w:val="18"/>
        </w:rPr>
        <w:t>is an</w:t>
      </w:r>
      <w:r w:rsidRPr="00C064AA">
        <w:rPr>
          <w:bCs/>
          <w:szCs w:val="18"/>
        </w:rPr>
        <w:t xml:space="preserve"> interim report, we have </w:t>
      </w:r>
      <w:r w:rsidRPr="00C064AA">
        <w:rPr>
          <w:bCs/>
        </w:rPr>
        <w:t>outlined</w:t>
      </w:r>
      <w:r w:rsidRPr="00C064AA">
        <w:rPr>
          <w:bCs/>
          <w:szCs w:val="18"/>
        </w:rPr>
        <w:t xml:space="preserve"> some of the considerations that would need to be examined to make such an assessment. These considerations should also be relevant to</w:t>
      </w:r>
      <w:r w:rsidRPr="00C064AA">
        <w:rPr>
          <w:szCs w:val="18"/>
        </w:rPr>
        <w:t xml:space="preserve"> </w:t>
      </w:r>
      <w:r w:rsidRPr="00C064AA">
        <w:t>future decision</w:t>
      </w:r>
      <w:r w:rsidR="00541146">
        <w:noBreakHyphen/>
      </w:r>
      <w:r w:rsidRPr="00C064AA">
        <w:t xml:space="preserve">making, including </w:t>
      </w:r>
      <w:proofErr w:type="gramStart"/>
      <w:r w:rsidRPr="00C064AA">
        <w:t>in light of</w:t>
      </w:r>
      <w:proofErr w:type="gramEnd"/>
      <w:r w:rsidRPr="00C064AA">
        <w:t xml:space="preserve"> the proposed transfer of safeguard functions to the </w:t>
      </w:r>
      <w:r w:rsidR="00CD7CD0">
        <w:t>Anti</w:t>
      </w:r>
      <w:r w:rsidR="00541146">
        <w:noBreakHyphen/>
      </w:r>
      <w:r w:rsidR="00CD7CD0">
        <w:t xml:space="preserve">Dumping Commission (proposed to be renamed the </w:t>
      </w:r>
      <w:r w:rsidRPr="00C064AA">
        <w:t>Australian Trade Remedies Commission</w:t>
      </w:r>
      <w:r w:rsidR="00CD7CD0">
        <w:t>)</w:t>
      </w:r>
      <w:r w:rsidRPr="00C064AA">
        <w:t xml:space="preserve">. </w:t>
      </w:r>
    </w:p>
    <w:p w14:paraId="38FE0E3D" w14:textId="41BBD4F4" w:rsidR="00AB0BDC" w:rsidRPr="00C064AA" w:rsidRDefault="00AB0BDC" w:rsidP="00011592">
      <w:pPr>
        <w:pStyle w:val="BodyText"/>
      </w:pPr>
      <w:r w:rsidRPr="00C064AA">
        <w:t>Safeguard measures provide scope to temporarily depart from open approaches to trade in circumstances where an industry is facing serious injury and therefore adjustment pressure. By sustaining demand for domestically produced goods, they can provide temporary breathing space to businesses in the protected industry, their workers and suppliers. However, like all border measures</w:t>
      </w:r>
      <w:r w:rsidR="00D0585D">
        <w:t>,</w:t>
      </w:r>
      <w:r w:rsidRPr="00C064AA">
        <w:t xml:space="preserve"> </w:t>
      </w:r>
      <w:r>
        <w:t>safeguard measures</w:t>
      </w:r>
      <w:r w:rsidRPr="00C064AA">
        <w:t xml:space="preserve"> will generally impose costs for users of the relevant goods and risk impeding adjustment in the industry concerned and movement of resources in the economy to their most productive uses. These costs and risks arise regardless of whether a tariff, quota or tariff</w:t>
      </w:r>
      <w:r w:rsidR="006B3217">
        <w:t xml:space="preserve"> </w:t>
      </w:r>
      <w:r w:rsidRPr="00C064AA">
        <w:t>rate quota is employed. Therefore, even if the legal conditions are met that allow for a safeguard measure to be imposed, careful assessment of the benefits, costs and overall public interest is warranted.</w:t>
      </w:r>
    </w:p>
    <w:p w14:paraId="05750877" w14:textId="77777777" w:rsidR="00AB0BDC" w:rsidRPr="00C064AA" w:rsidRDefault="00AB0BDC" w:rsidP="00011592">
      <w:pPr>
        <w:pStyle w:val="BodyText"/>
      </w:pPr>
      <w:r w:rsidRPr="00C064AA">
        <w:lastRenderedPageBreak/>
        <w:t xml:space="preserve">The first consideration in testing whether such measures are in the public interest is whether they contribute to facilitating a sustainable and efficient industry. Safeguard measures are temporary and must be relaxed over time (SA Article 7). Governments can initially impose measures for no more than 4 years and must progressively liberalise any measure that operates for more than 1 year (for example, by increasing a quota or reducing a tariff rate). </w:t>
      </w:r>
    </w:p>
    <w:p w14:paraId="75D26996" w14:textId="77777777" w:rsidR="00AB0BDC" w:rsidRPr="00C064AA" w:rsidRDefault="00AB0BDC" w:rsidP="00011592">
      <w:pPr>
        <w:pStyle w:val="BodyText"/>
      </w:pPr>
      <w:r w:rsidRPr="00C064AA">
        <w:t>The case for temporary protection may be stronger where:</w:t>
      </w:r>
    </w:p>
    <w:p w14:paraId="24298DB7" w14:textId="2300E1E1" w:rsidR="00AB0BDC" w:rsidRPr="00C064AA" w:rsidRDefault="00AB0BDC" w:rsidP="00160EE7">
      <w:pPr>
        <w:pStyle w:val="ListBullet"/>
      </w:pPr>
      <w:r w:rsidRPr="00C064AA">
        <w:t>without it, an industry faces a near</w:t>
      </w:r>
      <w:r w:rsidR="00541146">
        <w:noBreakHyphen/>
      </w:r>
      <w:r w:rsidRPr="00C064AA">
        <w:t>term risk of losing capabilities that would be difficult or costly to re</w:t>
      </w:r>
      <w:r w:rsidR="00541146">
        <w:noBreakHyphen/>
      </w:r>
      <w:r w:rsidRPr="00C064AA">
        <w:t>establish if conditions later improve. In such cases, the public interest assessment should consider whether the safeguard would materially reduce the risk of that loss and whether preserving the capability would generate an enduring benefit</w:t>
      </w:r>
    </w:p>
    <w:p w14:paraId="692E6072" w14:textId="28601BF4" w:rsidR="00AB0BDC" w:rsidRPr="00C064AA" w:rsidRDefault="00AB0BDC" w:rsidP="00160EE7">
      <w:pPr>
        <w:pStyle w:val="ListBullet"/>
      </w:pPr>
      <w:r w:rsidRPr="00C064AA">
        <w:t>the industry is considered to have longer</w:t>
      </w:r>
      <w:r w:rsidR="00541146">
        <w:noBreakHyphen/>
      </w:r>
      <w:r w:rsidRPr="00C064AA">
        <w:t>term strategic importance to the economy, for example contributing to achieving economic resilience or net zero objectives</w:t>
      </w:r>
    </w:p>
    <w:p w14:paraId="3336F3BF" w14:textId="7D1860FD" w:rsidR="00AB0BDC" w:rsidRPr="00C064AA" w:rsidRDefault="00C016C4" w:rsidP="00160EE7">
      <w:pPr>
        <w:pStyle w:val="ListBullet"/>
      </w:pPr>
      <w:r>
        <w:t>t</w:t>
      </w:r>
      <w:r w:rsidR="00AB0BDC" w:rsidRPr="00C064AA">
        <w:t xml:space="preserve">he strategic importance of an industry should be established separately to a safeguard measure investigation using established frameworks, such as the National Interest Framework as part of the </w:t>
      </w:r>
      <w:r w:rsidR="00AB0BDC">
        <w:t>Future Made in Australia agenda</w:t>
      </w:r>
      <w:r w:rsidR="00AB0BDC" w:rsidRPr="00C064AA">
        <w:t xml:space="preserve"> and drawing on rigorous approaches to assessing the case for </w:t>
      </w:r>
      <w:r w:rsidR="00AB0BDC">
        <w:t>support</w:t>
      </w:r>
      <w:r w:rsidR="00AB0BDC" w:rsidRPr="00C064AA">
        <w:t xml:space="preserve"> such as those outlined in the PC’s </w:t>
      </w:r>
      <w:r w:rsidR="00AB0BDC" w:rsidRPr="00361314">
        <w:rPr>
          <w:i/>
          <w:iCs/>
        </w:rPr>
        <w:t>Guardrails for modern industry policy</w:t>
      </w:r>
      <w:r w:rsidR="00AB0BDC" w:rsidRPr="00601E78">
        <w:t xml:space="preserve"> </w:t>
      </w:r>
      <w:r w:rsidR="00AB0BDC" w:rsidRPr="00361314">
        <w:rPr>
          <w:rFonts w:cs="Open Sans"/>
        </w:rPr>
        <w:t>(2025)</w:t>
      </w:r>
      <w:r w:rsidR="00AB0BDC" w:rsidRPr="00C064AA">
        <w:t xml:space="preserve">. </w:t>
      </w:r>
    </w:p>
    <w:p w14:paraId="5E31A34D" w14:textId="77777777" w:rsidR="00AB0BDC" w:rsidRPr="00C064AA" w:rsidRDefault="00AB0BDC" w:rsidP="00011592">
      <w:pPr>
        <w:pStyle w:val="BodyText"/>
      </w:pPr>
      <w:r w:rsidRPr="00C064AA">
        <w:t xml:space="preserve">Assessing whether a safeguard measure would be in the public interest also requires consideration of other policy options that could address identified problems or achieve the government’s objectives more effectively or at lower cost. </w:t>
      </w:r>
    </w:p>
    <w:p w14:paraId="3152B4AA" w14:textId="0950E17F" w:rsidR="00AB0BDC" w:rsidRPr="00C064AA" w:rsidRDefault="00AB0BDC" w:rsidP="00011592">
      <w:pPr>
        <w:pStyle w:val="BodyText"/>
        <w:rPr>
          <w:rFonts w:ascii="Segoe UI" w:hAnsi="Segoe UI" w:cs="Segoe UI"/>
          <w:sz w:val="21"/>
          <w:szCs w:val="21"/>
        </w:rPr>
      </w:pPr>
      <w:r w:rsidRPr="00C064AA">
        <w:rPr>
          <w:rFonts w:ascii="Segoe UI" w:hAnsi="Segoe UI" w:cs="Segoe UI"/>
          <w:sz w:val="21"/>
          <w:szCs w:val="21"/>
        </w:rPr>
        <w:t>A public interest assessment should consider all material benefits and costs of a safeguard measure across the economy, including effects outside the protected industry. This includes economic modelling of the effect of imposing higher prices (than would otherwise be the case) on downstream industries and consumers, and distortions to resource allocation in the economy more broadly.</w:t>
      </w:r>
    </w:p>
    <w:p w14:paraId="3A105E77" w14:textId="4BFBD26B" w:rsidR="00AB0BDC" w:rsidRPr="00160EE7" w:rsidRDefault="00AB0BDC" w:rsidP="00011592">
      <w:pPr>
        <w:pStyle w:val="BodyText"/>
        <w:rPr>
          <w:spacing w:val="-4"/>
        </w:rPr>
      </w:pPr>
      <w:r w:rsidRPr="00160EE7">
        <w:rPr>
          <w:rFonts w:ascii="Segoe UI" w:hAnsi="Segoe UI" w:cs="Segoe UI"/>
          <w:spacing w:val="-4"/>
          <w:sz w:val="21"/>
          <w:szCs w:val="21"/>
        </w:rPr>
        <w:t xml:space="preserve">If a safeguard measure was determined to meet the high evidentiary tests of being justified under international law </w:t>
      </w:r>
      <w:proofErr w:type="gramStart"/>
      <w:r w:rsidRPr="00160EE7">
        <w:rPr>
          <w:rFonts w:ascii="Segoe UI" w:hAnsi="Segoe UI" w:cs="Segoe UI"/>
          <w:spacing w:val="-4"/>
          <w:sz w:val="21"/>
          <w:szCs w:val="21"/>
        </w:rPr>
        <w:t>and also</w:t>
      </w:r>
      <w:proofErr w:type="gramEnd"/>
      <w:r w:rsidRPr="00160EE7">
        <w:rPr>
          <w:rFonts w:ascii="Segoe UI" w:hAnsi="Segoe UI" w:cs="Segoe UI"/>
          <w:spacing w:val="-4"/>
          <w:sz w:val="21"/>
          <w:szCs w:val="21"/>
        </w:rPr>
        <w:t xml:space="preserve"> being in the public interest, there are important design considerations to be made to minimise the cost of any measures. Quotas should not be preferred as they impose more uncertain costs to the wider economy, are generally more complex than alternatives to implement, and are less transparent. The PC has concerns about the possible return of quotas or tariff</w:t>
      </w:r>
      <w:r w:rsidR="00046656" w:rsidRPr="00160EE7">
        <w:rPr>
          <w:rFonts w:ascii="Segoe UI" w:hAnsi="Segoe UI" w:cs="Segoe UI"/>
          <w:spacing w:val="-4"/>
          <w:sz w:val="21"/>
          <w:szCs w:val="21"/>
        </w:rPr>
        <w:t xml:space="preserve"> </w:t>
      </w:r>
      <w:r w:rsidR="00654B81" w:rsidRPr="00160EE7">
        <w:rPr>
          <w:rFonts w:ascii="Segoe UI" w:hAnsi="Segoe UI" w:cs="Segoe UI"/>
          <w:spacing w:val="-4"/>
          <w:sz w:val="21"/>
          <w:szCs w:val="21"/>
        </w:rPr>
        <w:t xml:space="preserve">rate </w:t>
      </w:r>
      <w:r w:rsidRPr="00160EE7">
        <w:rPr>
          <w:rFonts w:ascii="Segoe UI" w:hAnsi="Segoe UI" w:cs="Segoe UI"/>
          <w:spacing w:val="-4"/>
          <w:sz w:val="21"/>
          <w:szCs w:val="21"/>
        </w:rPr>
        <w:t>quotas to the policy toolkit, because of their propensity to foster lobbying and an uneven playing field between competitors.</w:t>
      </w:r>
    </w:p>
    <w:p w14:paraId="2104D79F" w14:textId="77777777" w:rsidR="00AB0BDC" w:rsidRPr="00C064AA" w:rsidRDefault="00AB0BDC">
      <w:pPr>
        <w:spacing w:before="0" w:after="160" w:line="259" w:lineRule="auto"/>
      </w:pPr>
    </w:p>
    <w:p w14:paraId="02F20E8E" w14:textId="77777777" w:rsidR="005B5676" w:rsidRDefault="005B5676" w:rsidP="00E76EEC">
      <w:pPr>
        <w:pStyle w:val="BodyText"/>
        <w:sectPr w:rsidR="005B5676" w:rsidSect="00E76EEC">
          <w:headerReference w:type="default" r:id="rId43"/>
          <w:headerReference w:type="first" r:id="rId44"/>
          <w:type w:val="oddPage"/>
          <w:pgSz w:w="11906" w:h="16838" w:code="9"/>
          <w:pgMar w:top="1134" w:right="1134" w:bottom="1134" w:left="1134" w:header="794" w:footer="510" w:gutter="0"/>
          <w:pgNumType w:start="1"/>
          <w:cols w:space="708"/>
          <w:docGrid w:linePitch="360"/>
        </w:sectPr>
      </w:pPr>
    </w:p>
    <w:p w14:paraId="4BC7B205" w14:textId="77777777" w:rsidR="007B4C5A" w:rsidRDefault="007B4C5A" w:rsidP="00011592">
      <w:pPr>
        <w:pStyle w:val="Heading1"/>
      </w:pPr>
      <w:bookmarkStart w:id="10" w:name="_Toc238643901"/>
      <w:r>
        <w:lastRenderedPageBreak/>
        <w:t>About the inquiry</w:t>
      </w:r>
      <w:bookmarkEnd w:id="10"/>
    </w:p>
    <w:tbl>
      <w:tblPr>
        <w:tblStyle w:val="Texttable-Paleblue"/>
        <w:tblW w:w="5000" w:type="pct"/>
        <w:shd w:val="clear" w:color="auto" w:fill="E7F6FD"/>
        <w:tblLook w:val="04A0" w:firstRow="1" w:lastRow="0" w:firstColumn="1" w:lastColumn="0" w:noHBand="0" w:noVBand="1"/>
      </w:tblPr>
      <w:tblGrid>
        <w:gridCol w:w="577"/>
        <w:gridCol w:w="9061"/>
      </w:tblGrid>
      <w:tr w:rsidR="007B4C5A" w:rsidRPr="002F759A" w14:paraId="30A80E34" w14:textId="77777777">
        <w:tc>
          <w:tcPr>
            <w:tcW w:w="9638" w:type="dxa"/>
            <w:gridSpan w:val="2"/>
            <w:shd w:val="clear" w:color="auto" w:fill="E7F6FD"/>
            <w:tcMar>
              <w:left w:w="170" w:type="dxa"/>
            </w:tcMar>
          </w:tcPr>
          <w:p w14:paraId="47054800" w14:textId="77777777" w:rsidR="007B4C5A" w:rsidRPr="002F759A" w:rsidRDefault="007B4C5A">
            <w:pPr>
              <w:pStyle w:val="Keypoints-heading"/>
            </w:pPr>
            <w:r w:rsidRPr="002F759A">
              <w:t>Key points</w:t>
            </w:r>
          </w:p>
        </w:tc>
      </w:tr>
      <w:tr w:rsidR="007B4C5A" w14:paraId="4349EE42" w14:textId="77777777">
        <w:tc>
          <w:tcPr>
            <w:tcW w:w="577" w:type="dxa"/>
            <w:shd w:val="clear" w:color="auto" w:fill="E7F6FD"/>
            <w:tcMar>
              <w:top w:w="0" w:type="dxa"/>
              <w:bottom w:w="0" w:type="dxa"/>
              <w:right w:w="113" w:type="dxa"/>
            </w:tcMar>
          </w:tcPr>
          <w:p w14:paraId="3A35B170" w14:textId="77777777" w:rsidR="007B4C5A" w:rsidRDefault="007B4C5A" w:rsidP="000C6B77">
            <w:pPr>
              <w:pStyle w:val="KeyPointsicon"/>
            </w:pPr>
            <w:r w:rsidRPr="00A51374">
              <w:rPr>
                <w:noProof/>
              </w:rPr>
              <w:drawing>
                <wp:inline distT="0" distB="0" distL="0" distR="0" wp14:anchorId="2F12EC94" wp14:editId="040ABAC4">
                  <wp:extent cx="180000" cy="180000"/>
                  <wp:effectExtent l="0" t="0" r="0" b="0"/>
                  <wp:docPr id="1296062560" name="Graphic 12960625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a:extLst>
                              <a:ext uri="{C183D7F6-B498-43B3-948B-1728B52AA6E4}">
                                <adec:decorative xmlns:adec="http://schemas.microsoft.com/office/drawing/2017/decorative" val="1"/>
                              </a:ext>
                            </a:extLst>
                          </pic:cNvPr>
                          <pic:cNvPicPr/>
                        </pic:nvPicPr>
                        <pic:blipFill>
                          <a:blip r:embed="rId39">
                            <a:extLst>
                              <a:ext uri="{96DAC541-7B7A-43D3-8B79-37D633B846F1}">
                                <asvg:svgBlip xmlns:asvg="http://schemas.microsoft.com/office/drawing/2016/SVG/main" r:embed="rId40"/>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38E4F9A5" w14:textId="77777777" w:rsidR="007B4C5A" w:rsidRDefault="007B4C5A" w:rsidP="00011592">
            <w:pPr>
              <w:pStyle w:val="KeyPoints-Bold"/>
            </w:pPr>
            <w:r>
              <w:t xml:space="preserve">Safeguard measures are for ‘extraordinary emergency’ situations </w:t>
            </w:r>
            <w:r w:rsidRPr="00A52B59">
              <w:t>to temporarily protect a domestic industry</w:t>
            </w:r>
            <w:r>
              <w:t xml:space="preserve">. They can only be applied if </w:t>
            </w:r>
            <w:r w:rsidRPr="00E51FA7">
              <w:t xml:space="preserve">imports </w:t>
            </w:r>
            <w:r>
              <w:t xml:space="preserve">have increased in a recent, sudden, sharp and significant way that has </w:t>
            </w:r>
            <w:r w:rsidRPr="00E51FA7">
              <w:t>caused or</w:t>
            </w:r>
            <w:r>
              <w:t xml:space="preserve"> </w:t>
            </w:r>
            <w:r w:rsidRPr="00E51FA7">
              <w:t>threaten</w:t>
            </w:r>
            <w:r>
              <w:t>s</w:t>
            </w:r>
            <w:r w:rsidRPr="00E51FA7">
              <w:t xml:space="preserve"> to cause serious injury to the domestic industry</w:t>
            </w:r>
            <w:r>
              <w:t>.</w:t>
            </w:r>
          </w:p>
        </w:tc>
      </w:tr>
      <w:tr w:rsidR="007B4C5A" w14:paraId="0ACCBFBB" w14:textId="77777777">
        <w:tc>
          <w:tcPr>
            <w:tcW w:w="577" w:type="dxa"/>
            <w:shd w:val="clear" w:color="auto" w:fill="E7F6FD"/>
            <w:tcMar>
              <w:top w:w="0" w:type="dxa"/>
              <w:bottom w:w="0" w:type="dxa"/>
              <w:right w:w="113" w:type="dxa"/>
            </w:tcMar>
          </w:tcPr>
          <w:p w14:paraId="0646201D" w14:textId="77777777" w:rsidR="007B4C5A" w:rsidRPr="00A51374" w:rsidRDefault="007B4C5A" w:rsidP="000C6B77">
            <w:pPr>
              <w:pStyle w:val="KeyPointsicon"/>
            </w:pPr>
            <w:r w:rsidRPr="00F31E73">
              <w:rPr>
                <w:noProof/>
              </w:rPr>
              <w:drawing>
                <wp:inline distT="0" distB="0" distL="0" distR="0" wp14:anchorId="2AABB23E" wp14:editId="17E1C17A">
                  <wp:extent cx="180000" cy="180000"/>
                  <wp:effectExtent l="0" t="0" r="0" b="0"/>
                  <wp:docPr id="1509247887" name="Graphic 15092478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a:extLst>
                              <a:ext uri="{C183D7F6-B498-43B3-948B-1728B52AA6E4}">
                                <adec:decorative xmlns:adec="http://schemas.microsoft.com/office/drawing/2017/decorative" val="1"/>
                              </a:ext>
                            </a:extLst>
                          </pic:cNvPr>
                          <pic:cNvPicPr/>
                        </pic:nvPicPr>
                        <pic:blipFill>
                          <a:blip r:embed="rId39">
                            <a:extLst>
                              <a:ext uri="{96DAC541-7B7A-43D3-8B79-37D633B846F1}">
                                <asvg:svgBlip xmlns:asvg="http://schemas.microsoft.com/office/drawing/2016/SVG/main" r:embed="rId40"/>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4B4AAC9C" w14:textId="3B9BBBAC" w:rsidR="007B4C5A" w:rsidRPr="00160EE7" w:rsidRDefault="007B4C5A" w:rsidP="00011592">
            <w:pPr>
              <w:pStyle w:val="KeyPoints-Bold"/>
              <w:rPr>
                <w:spacing w:val="-2"/>
              </w:rPr>
            </w:pPr>
            <w:r w:rsidRPr="00160EE7">
              <w:rPr>
                <w:spacing w:val="-2"/>
              </w:rPr>
              <w:t xml:space="preserve">The Productivity Commission is responsible for conducting safeguard measure investigations in Australia, and it must do so in accordance with Article XIX of the General Agreement on Tariffs and Trade 1994, the Agreement on Safeguards, and the </w:t>
            </w:r>
            <w:r w:rsidRPr="00160EE7">
              <w:rPr>
                <w:i/>
                <w:iCs/>
                <w:spacing w:val="-2"/>
              </w:rPr>
              <w:t xml:space="preserve">Productivity Commission Act 1998 </w:t>
            </w:r>
            <w:r w:rsidRPr="00160EE7">
              <w:rPr>
                <w:spacing w:val="-2"/>
              </w:rPr>
              <w:t>(</w:t>
            </w:r>
            <w:proofErr w:type="spellStart"/>
            <w:r w:rsidRPr="00160EE7">
              <w:rPr>
                <w:spacing w:val="-2"/>
              </w:rPr>
              <w:t>Cth</w:t>
            </w:r>
            <w:proofErr w:type="spellEnd"/>
            <w:r w:rsidRPr="00160EE7">
              <w:rPr>
                <w:spacing w:val="-2"/>
              </w:rPr>
              <w:t>).</w:t>
            </w:r>
          </w:p>
        </w:tc>
      </w:tr>
      <w:tr w:rsidR="007B4C5A" w14:paraId="2266AD1A" w14:textId="77777777">
        <w:tc>
          <w:tcPr>
            <w:tcW w:w="577" w:type="dxa"/>
            <w:shd w:val="clear" w:color="auto" w:fill="E7F6FD"/>
            <w:tcMar>
              <w:top w:w="0" w:type="dxa"/>
              <w:bottom w:w="0" w:type="dxa"/>
              <w:right w:w="113" w:type="dxa"/>
            </w:tcMar>
          </w:tcPr>
          <w:p w14:paraId="6BE4215A" w14:textId="77777777" w:rsidR="007B4C5A" w:rsidRPr="00F31E73" w:rsidRDefault="007B4C5A" w:rsidP="000C6B77">
            <w:pPr>
              <w:pStyle w:val="KeyPointsicon"/>
              <w:rPr>
                <w:noProof/>
              </w:rPr>
            </w:pPr>
            <w:r w:rsidRPr="00F31E73">
              <w:rPr>
                <w:noProof/>
              </w:rPr>
              <w:drawing>
                <wp:inline distT="0" distB="0" distL="0" distR="0" wp14:anchorId="4AC82DB3" wp14:editId="7C8E17B2">
                  <wp:extent cx="180000" cy="180000"/>
                  <wp:effectExtent l="0" t="0" r="0" b="0"/>
                  <wp:docPr id="1631910992" name="Graphic 16319109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a:extLst>
                              <a:ext uri="{C183D7F6-B498-43B3-948B-1728B52AA6E4}">
                                <adec:decorative xmlns:adec="http://schemas.microsoft.com/office/drawing/2017/decorative" val="1"/>
                              </a:ext>
                            </a:extLst>
                          </pic:cNvPr>
                          <pic:cNvPicPr/>
                        </pic:nvPicPr>
                        <pic:blipFill>
                          <a:blip r:embed="rId39">
                            <a:extLst>
                              <a:ext uri="{96DAC541-7B7A-43D3-8B79-37D633B846F1}">
                                <asvg:svgBlip xmlns:asvg="http://schemas.microsoft.com/office/drawing/2016/SVG/main" r:embed="rId40"/>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29E07148" w14:textId="77777777" w:rsidR="007B4C5A" w:rsidRDefault="007B4C5A" w:rsidP="00011592">
            <w:pPr>
              <w:pStyle w:val="KeyPoints-Bold"/>
            </w:pPr>
            <w:r>
              <w:t>In response to an application from the Australian Steel Institute (ASI), the PC has been asked by the Treasurer to conduct an inquiry into whether safeguard action is warranted on the import of certain fabricated structural steel products.</w:t>
            </w:r>
          </w:p>
        </w:tc>
      </w:tr>
      <w:tr w:rsidR="007B4C5A" w14:paraId="67229E09" w14:textId="77777777">
        <w:tc>
          <w:tcPr>
            <w:tcW w:w="577" w:type="dxa"/>
            <w:shd w:val="clear" w:color="auto" w:fill="E7F6FD"/>
            <w:tcMar>
              <w:top w:w="0" w:type="dxa"/>
              <w:bottom w:w="0" w:type="dxa"/>
              <w:right w:w="113" w:type="dxa"/>
            </w:tcMar>
          </w:tcPr>
          <w:p w14:paraId="580B7F08" w14:textId="77777777" w:rsidR="007B4C5A" w:rsidRPr="00F31E73" w:rsidRDefault="007B4C5A" w:rsidP="00011592">
            <w:pPr>
              <w:pStyle w:val="KeyPointsicon"/>
              <w:rPr>
                <w:noProof/>
              </w:rPr>
            </w:pPr>
            <w:r w:rsidRPr="00F31E73">
              <w:rPr>
                <w:noProof/>
              </w:rPr>
              <w:drawing>
                <wp:inline distT="0" distB="0" distL="0" distR="0" wp14:anchorId="7230088A" wp14:editId="37C48028">
                  <wp:extent cx="180000" cy="180000"/>
                  <wp:effectExtent l="0" t="0" r="0" b="0"/>
                  <wp:docPr id="1162135407" name="Graphic 11621354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a:extLst>
                              <a:ext uri="{C183D7F6-B498-43B3-948B-1728B52AA6E4}">
                                <adec:decorative xmlns:adec="http://schemas.microsoft.com/office/drawing/2017/decorative" val="1"/>
                              </a:ext>
                            </a:extLst>
                          </pic:cNvPr>
                          <pic:cNvPicPr/>
                        </pic:nvPicPr>
                        <pic:blipFill>
                          <a:blip r:embed="rId39">
                            <a:extLst>
                              <a:ext uri="{96DAC541-7B7A-43D3-8B79-37D633B846F1}">
                                <asvg:svgBlip xmlns:asvg="http://schemas.microsoft.com/office/drawing/2016/SVG/main" r:embed="rId40"/>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4C1545C6" w14:textId="77777777" w:rsidR="007B4C5A" w:rsidRDefault="007B4C5A" w:rsidP="00011592">
            <w:pPr>
              <w:pStyle w:val="KeyPoints-Bold"/>
            </w:pPr>
            <w:r>
              <w:t xml:space="preserve">This report includes a final finding about whether </w:t>
            </w:r>
            <w:r w:rsidRPr="00864BC5">
              <w:rPr>
                <w:i/>
                <w:iCs/>
              </w:rPr>
              <w:t>provisional</w:t>
            </w:r>
            <w:r>
              <w:t xml:space="preserve"> safeguard measures are warranted and an interim finding about whether </w:t>
            </w:r>
            <w:r w:rsidRPr="00163463">
              <w:rPr>
                <w:i/>
              </w:rPr>
              <w:t>definitive</w:t>
            </w:r>
            <w:r>
              <w:t xml:space="preserve"> safeguard measures are warranted. The final report will be sent to the Australian Government in November 2026. </w:t>
            </w:r>
          </w:p>
        </w:tc>
      </w:tr>
      <w:tr w:rsidR="007B4C5A" w14:paraId="1FED791E" w14:textId="77777777">
        <w:tc>
          <w:tcPr>
            <w:tcW w:w="577" w:type="dxa"/>
            <w:shd w:val="clear" w:color="auto" w:fill="E7F6FD"/>
            <w:tcMar>
              <w:top w:w="0" w:type="dxa"/>
              <w:bottom w:w="0" w:type="dxa"/>
              <w:right w:w="113" w:type="dxa"/>
            </w:tcMar>
          </w:tcPr>
          <w:p w14:paraId="3615A8B2" w14:textId="77777777" w:rsidR="007B4C5A" w:rsidRPr="00F31E73" w:rsidRDefault="007B4C5A" w:rsidP="00011592">
            <w:pPr>
              <w:pStyle w:val="KeyPointsicon"/>
              <w:rPr>
                <w:noProof/>
              </w:rPr>
            </w:pPr>
            <w:r w:rsidRPr="00F31E73">
              <w:rPr>
                <w:noProof/>
              </w:rPr>
              <w:drawing>
                <wp:inline distT="0" distB="0" distL="0" distR="0" wp14:anchorId="08755946" wp14:editId="18EE84A2">
                  <wp:extent cx="180000" cy="180000"/>
                  <wp:effectExtent l="0" t="0" r="0" b="0"/>
                  <wp:docPr id="845596939" name="Graphic 8455969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a:extLst>
                              <a:ext uri="{C183D7F6-B498-43B3-948B-1728B52AA6E4}">
                                <adec:decorative xmlns:adec="http://schemas.microsoft.com/office/drawing/2017/decorative" val="1"/>
                              </a:ext>
                            </a:extLst>
                          </pic:cNvPr>
                          <pic:cNvPicPr/>
                        </pic:nvPicPr>
                        <pic:blipFill>
                          <a:blip r:embed="rId39">
                            <a:extLst>
                              <a:ext uri="{96DAC541-7B7A-43D3-8B79-37D633B846F1}">
                                <asvg:svgBlip xmlns:asvg="http://schemas.microsoft.com/office/drawing/2016/SVG/main" r:embed="rId40"/>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77F57DF1" w14:textId="77777777" w:rsidR="007B4C5A" w:rsidRDefault="007B4C5A" w:rsidP="00011592">
            <w:pPr>
              <w:pStyle w:val="KeyPoints-Bold"/>
            </w:pPr>
            <w:r>
              <w:t>Inquiry participants</w:t>
            </w:r>
            <w:r w:rsidRPr="00EA366A">
              <w:t xml:space="preserve"> have been given </w:t>
            </w:r>
            <w:r>
              <w:t>several</w:t>
            </w:r>
            <w:r w:rsidRPr="00EA366A">
              <w:t xml:space="preserve"> opportunities to provide evidence to the PC, including through submissions</w:t>
            </w:r>
            <w:r>
              <w:t>, visits</w:t>
            </w:r>
            <w:r w:rsidRPr="00EA366A">
              <w:t xml:space="preserve"> and at public hearings. </w:t>
            </w:r>
            <w:r>
              <w:t>We</w:t>
            </w:r>
            <w:r w:rsidRPr="00EA366A">
              <w:t xml:space="preserve"> invite</w:t>
            </w:r>
            <w:r>
              <w:t xml:space="preserve"> further</w:t>
            </w:r>
            <w:r w:rsidRPr="00EA366A">
              <w:t xml:space="preserve"> submissions in response to this interim report.</w:t>
            </w:r>
          </w:p>
        </w:tc>
      </w:tr>
    </w:tbl>
    <w:p w14:paraId="744C4365" w14:textId="3CA0DD36" w:rsidR="007B4C5A" w:rsidRDefault="007B4C5A">
      <w:pPr>
        <w:pStyle w:val="NoSpacing"/>
      </w:pPr>
    </w:p>
    <w:p w14:paraId="2CC26F2E" w14:textId="2F7DD69A" w:rsidR="007B4C5A" w:rsidRDefault="007B4C5A" w:rsidP="00011592">
      <w:pPr>
        <w:rPr>
          <w:spacing w:val="-2"/>
        </w:rPr>
      </w:pPr>
      <w:r>
        <w:t xml:space="preserve">This inquiry is about </w:t>
      </w:r>
      <w:r w:rsidRPr="00D32E97">
        <w:t xml:space="preserve">whether safeguard </w:t>
      </w:r>
      <w:r>
        <w:t xml:space="preserve">measures are warranted for </w:t>
      </w:r>
      <w:r w:rsidRPr="00D32E97">
        <w:t xml:space="preserve">imports of </w:t>
      </w:r>
      <w:r>
        <w:t xml:space="preserve">certain </w:t>
      </w:r>
      <w:r w:rsidRPr="00D32E97">
        <w:t xml:space="preserve">fabricated structural steel </w:t>
      </w:r>
      <w:r>
        <w:t xml:space="preserve">(FSS) </w:t>
      </w:r>
      <w:r w:rsidRPr="00D32E97">
        <w:t>products</w:t>
      </w:r>
      <w:r>
        <w:t xml:space="preserve">. </w:t>
      </w:r>
      <w:r w:rsidRPr="00CA6901">
        <w:rPr>
          <w:spacing w:val="-2"/>
        </w:rPr>
        <w:t>A safeguard measure is a trade barrier</w:t>
      </w:r>
      <w:r>
        <w:rPr>
          <w:spacing w:val="-2"/>
        </w:rPr>
        <w:t xml:space="preserve"> –</w:t>
      </w:r>
      <w:r w:rsidRPr="00CA6901">
        <w:rPr>
          <w:spacing w:val="-2"/>
        </w:rPr>
        <w:t xml:space="preserve"> such as a tariff</w:t>
      </w:r>
      <w:r>
        <w:rPr>
          <w:spacing w:val="-2"/>
        </w:rPr>
        <w:t>, quota, or tariff rate</w:t>
      </w:r>
      <w:r w:rsidRPr="00CA6901">
        <w:rPr>
          <w:spacing w:val="-2"/>
        </w:rPr>
        <w:t xml:space="preserve"> quota </w:t>
      </w:r>
      <w:r>
        <w:rPr>
          <w:spacing w:val="-2"/>
        </w:rPr>
        <w:t xml:space="preserve">– </w:t>
      </w:r>
      <w:r w:rsidRPr="00CA6901">
        <w:rPr>
          <w:spacing w:val="-2"/>
        </w:rPr>
        <w:t xml:space="preserve">on imported goods that can be applied in limited circumstances to </w:t>
      </w:r>
      <w:r>
        <w:rPr>
          <w:spacing w:val="-2"/>
        </w:rPr>
        <w:t>act as a</w:t>
      </w:r>
      <w:r w:rsidRPr="00CA6901">
        <w:rPr>
          <w:spacing w:val="-2"/>
        </w:rPr>
        <w:t xml:space="preserve"> ‘</w:t>
      </w:r>
      <w:r>
        <w:rPr>
          <w:spacing w:val="-2"/>
        </w:rPr>
        <w:t>safety valve</w:t>
      </w:r>
      <w:r w:rsidRPr="00CA6901">
        <w:rPr>
          <w:spacing w:val="-2"/>
        </w:rPr>
        <w:t xml:space="preserve">’ </w:t>
      </w:r>
      <w:r>
        <w:rPr>
          <w:spacing w:val="-2"/>
        </w:rPr>
        <w:t>that can allow</w:t>
      </w:r>
      <w:r w:rsidRPr="00CA6901">
        <w:rPr>
          <w:spacing w:val="-2"/>
        </w:rPr>
        <w:t xml:space="preserve"> a domestic industry ‘to adapt to new economic realities’ </w:t>
      </w:r>
      <w:r w:rsidRPr="00BA026D">
        <w:rPr>
          <w:rFonts w:cs="Open Sans"/>
        </w:rPr>
        <w:t xml:space="preserve">(Van den Bossche and </w:t>
      </w:r>
      <w:proofErr w:type="spellStart"/>
      <w:r w:rsidRPr="00BA026D">
        <w:rPr>
          <w:rFonts w:cs="Open Sans"/>
        </w:rPr>
        <w:t>Zdouc</w:t>
      </w:r>
      <w:proofErr w:type="spellEnd"/>
      <w:r w:rsidRPr="00BA026D">
        <w:rPr>
          <w:rFonts w:cs="Open Sans"/>
        </w:rPr>
        <w:t> 2022, p. 689)</w:t>
      </w:r>
      <w:r w:rsidRPr="00CA6901">
        <w:rPr>
          <w:spacing w:val="-2"/>
        </w:rPr>
        <w:t xml:space="preserve">. </w:t>
      </w:r>
      <w:r w:rsidRPr="00B82E24">
        <w:rPr>
          <w:spacing w:val="-2"/>
        </w:rPr>
        <w:t>Safeguard measures are a</w:t>
      </w:r>
      <w:r>
        <w:rPr>
          <w:spacing w:val="-2"/>
        </w:rPr>
        <w:t xml:space="preserve">n </w:t>
      </w:r>
      <w:r w:rsidRPr="00B82E24">
        <w:rPr>
          <w:spacing w:val="-2"/>
        </w:rPr>
        <w:t xml:space="preserve">exception to the general direction of the multilateral trading system, which has largely focused on reducing </w:t>
      </w:r>
      <w:r>
        <w:rPr>
          <w:spacing w:val="-2"/>
        </w:rPr>
        <w:t xml:space="preserve">trade </w:t>
      </w:r>
      <w:r w:rsidRPr="00B82E24">
        <w:rPr>
          <w:spacing w:val="-2"/>
        </w:rPr>
        <w:t>barriers and promoting greater</w:t>
      </w:r>
      <w:r>
        <w:rPr>
          <w:spacing w:val="-2"/>
        </w:rPr>
        <w:t xml:space="preserve"> </w:t>
      </w:r>
      <w:r w:rsidRPr="00B82E24">
        <w:rPr>
          <w:spacing w:val="-2"/>
        </w:rPr>
        <w:t>openness.</w:t>
      </w:r>
    </w:p>
    <w:p w14:paraId="3A300A5C" w14:textId="5B3F06DF" w:rsidR="007B4C5A" w:rsidRPr="002522BE" w:rsidDel="0044644F" w:rsidRDefault="007B4C5A" w:rsidP="00011592">
      <w:pPr>
        <w:rPr>
          <w:spacing w:val="2"/>
        </w:rPr>
      </w:pPr>
      <w:r w:rsidRPr="002522BE" w:rsidDel="0044644F">
        <w:rPr>
          <w:spacing w:val="2"/>
        </w:rPr>
        <w:t xml:space="preserve">The legal requirements for taking safeguard measures are set out in Article XIX of the </w:t>
      </w:r>
      <w:r w:rsidRPr="002522BE">
        <w:rPr>
          <w:spacing w:val="2"/>
        </w:rPr>
        <w:t>GATT (</w:t>
      </w:r>
      <w:r w:rsidRPr="002522BE" w:rsidDel="0044644F">
        <w:rPr>
          <w:i/>
          <w:iCs/>
          <w:spacing w:val="2"/>
        </w:rPr>
        <w:t>Emergency Action on Imports of Particular Products</w:t>
      </w:r>
      <w:r w:rsidRPr="002522BE">
        <w:rPr>
          <w:i/>
          <w:iCs/>
          <w:spacing w:val="2"/>
        </w:rPr>
        <w:t>)</w:t>
      </w:r>
      <w:r w:rsidRPr="002522BE" w:rsidDel="0044644F">
        <w:rPr>
          <w:spacing w:val="2"/>
        </w:rPr>
        <w:t xml:space="preserve"> and the </w:t>
      </w:r>
      <w:r w:rsidR="00CD43FF">
        <w:t>Agreement on Safeguards</w:t>
      </w:r>
      <w:r w:rsidRPr="002522BE" w:rsidDel="0044644F">
        <w:rPr>
          <w:spacing w:val="2"/>
        </w:rPr>
        <w:t>. The substantive and procedural requirements have been explained and interpreted in decisions of W</w:t>
      </w:r>
      <w:r w:rsidRPr="002522BE">
        <w:rPr>
          <w:spacing w:val="2"/>
        </w:rPr>
        <w:t>orld Trade Organization (WTO)</w:t>
      </w:r>
      <w:r w:rsidRPr="002522BE" w:rsidDel="0044644F">
        <w:rPr>
          <w:spacing w:val="2"/>
        </w:rPr>
        <w:t xml:space="preserve"> panels and </w:t>
      </w:r>
      <w:r w:rsidRPr="002522BE">
        <w:rPr>
          <w:spacing w:val="2"/>
        </w:rPr>
        <w:t xml:space="preserve">the WTO </w:t>
      </w:r>
      <w:r w:rsidRPr="002522BE" w:rsidDel="0044644F">
        <w:rPr>
          <w:spacing w:val="2"/>
        </w:rPr>
        <w:t xml:space="preserve">Appellate Body. </w:t>
      </w:r>
    </w:p>
    <w:p w14:paraId="600A2C4F" w14:textId="77777777" w:rsidR="007B4C5A" w:rsidRDefault="007B4C5A" w:rsidP="00011592">
      <w:pPr>
        <w:pStyle w:val="BodyText"/>
      </w:pPr>
      <w:r>
        <w:t xml:space="preserve">Safeguard measures can only be applied if </w:t>
      </w:r>
      <w:r w:rsidRPr="00E51FA7">
        <w:t xml:space="preserve">imports </w:t>
      </w:r>
      <w:r>
        <w:t xml:space="preserve">have increased in a recent, sudden, sharp and significant way and </w:t>
      </w:r>
      <w:r w:rsidRPr="00E51FA7">
        <w:t>have caused or threaten to cause serious injury to the domestic industry</w:t>
      </w:r>
      <w:r>
        <w:t xml:space="preserve"> </w:t>
      </w:r>
      <w:r w:rsidRPr="00A36162">
        <w:t>(box</w:t>
      </w:r>
      <w:r>
        <w:t> </w:t>
      </w:r>
      <w:r w:rsidRPr="00A36162">
        <w:t>1.1)</w:t>
      </w:r>
      <w:r>
        <w:t>.</w:t>
      </w:r>
    </w:p>
    <w:p w14:paraId="0152B815" w14:textId="798E1238" w:rsidR="007B4C5A" w:rsidRPr="00F82BD9" w:rsidRDefault="007B4C5A" w:rsidP="00011592">
      <w:pPr>
        <w:pStyle w:val="NoSpacing"/>
      </w:pPr>
    </w:p>
    <w:tbl>
      <w:tblPr>
        <w:tblStyle w:val="Boxtable"/>
        <w:tblW w:w="5000" w:type="pct"/>
        <w:tblLook w:val="04A0" w:firstRow="1" w:lastRow="0" w:firstColumn="1" w:lastColumn="0" w:noHBand="0" w:noVBand="1"/>
      </w:tblPr>
      <w:tblGrid>
        <w:gridCol w:w="9638"/>
      </w:tblGrid>
      <w:tr w:rsidR="007B4C5A" w14:paraId="2C719A64" w14:textId="77777777" w:rsidTr="00011592">
        <w:trPr>
          <w:tblHeader/>
        </w:trPr>
        <w:tc>
          <w:tcPr>
            <w:tcW w:w="9638" w:type="dxa"/>
            <w:shd w:val="clear" w:color="auto" w:fill="EBEBEB"/>
            <w:tcMar>
              <w:top w:w="170" w:type="dxa"/>
              <w:left w:w="170" w:type="dxa"/>
              <w:bottom w:w="113" w:type="dxa"/>
              <w:right w:w="170" w:type="dxa"/>
            </w:tcMar>
            <w:hideMark/>
          </w:tcPr>
          <w:p w14:paraId="5D6CA7E3" w14:textId="77777777" w:rsidR="007B4C5A" w:rsidRDefault="007B4C5A">
            <w:pPr>
              <w:pStyle w:val="BoxHeading1"/>
            </w:pPr>
            <w:r>
              <w:lastRenderedPageBreak/>
              <w:t>Box 1.1 – When can safeguard measures be applied?</w:t>
            </w:r>
          </w:p>
        </w:tc>
      </w:tr>
      <w:tr w:rsidR="007B4C5A" w14:paraId="038AC060" w14:textId="77777777" w:rsidTr="00011592">
        <w:tc>
          <w:tcPr>
            <w:tcW w:w="9638" w:type="dxa"/>
            <w:shd w:val="clear" w:color="auto" w:fill="EBEBEB"/>
            <w:tcMar>
              <w:top w:w="28" w:type="dxa"/>
              <w:left w:w="170" w:type="dxa"/>
              <w:bottom w:w="170" w:type="dxa"/>
              <w:right w:w="170" w:type="dxa"/>
            </w:tcMar>
            <w:hideMark/>
          </w:tcPr>
          <w:p w14:paraId="1D3CB4FD" w14:textId="77777777" w:rsidR="007B4C5A" w:rsidRPr="00CA6901" w:rsidRDefault="007B4C5A" w:rsidP="00011592">
            <w:pPr>
              <w:rPr>
                <w:spacing w:val="-2"/>
              </w:rPr>
            </w:pPr>
            <w:r w:rsidRPr="00CA6901">
              <w:rPr>
                <w:spacing w:val="-2"/>
              </w:rPr>
              <w:t>The WTO Appellate Body has stressed that a safeguard measure is ‘an extraordinary measure that is applied in extraordinary circumstances’</w:t>
            </w:r>
            <w:r>
              <w:rPr>
                <w:spacing w:val="-2"/>
              </w:rPr>
              <w:t xml:space="preserve"> (</w:t>
            </w:r>
            <w:r w:rsidRPr="00AB3430">
              <w:rPr>
                <w:i/>
                <w:spacing w:val="-2"/>
              </w:rPr>
              <w:t>US – Line Pipe</w:t>
            </w:r>
            <w:r>
              <w:rPr>
                <w:spacing w:val="-2"/>
              </w:rPr>
              <w:t>, para. 111)</w:t>
            </w:r>
            <w:r w:rsidRPr="00CA6901">
              <w:rPr>
                <w:spacing w:val="-2"/>
              </w:rPr>
              <w:t>.</w:t>
            </w:r>
            <w:r>
              <w:rPr>
                <w:spacing w:val="-2"/>
              </w:rPr>
              <w:t xml:space="preserve"> Part of the purpose of measures is to enable countries to resort </w:t>
            </w:r>
            <w:r w:rsidRPr="00F81824">
              <w:rPr>
                <w:spacing w:val="-2"/>
              </w:rPr>
              <w:t xml:space="preserve">to </w:t>
            </w:r>
            <w:r>
              <w:rPr>
                <w:spacing w:val="-2"/>
              </w:rPr>
              <w:t>‘</w:t>
            </w:r>
            <w:r w:rsidRPr="00F81824">
              <w:rPr>
                <w:spacing w:val="-2"/>
              </w:rPr>
              <w:t>an effective remedy in an extraordinary emergency situation that, in the judgment of that Member, makes it necessary to protect a domestic industry temporarily</w:t>
            </w:r>
            <w:r>
              <w:rPr>
                <w:spacing w:val="-2"/>
              </w:rPr>
              <w:t>’ (</w:t>
            </w:r>
            <w:r w:rsidRPr="00AB3430">
              <w:rPr>
                <w:i/>
                <w:spacing w:val="-2"/>
              </w:rPr>
              <w:t>US – Line Pipe</w:t>
            </w:r>
            <w:r>
              <w:rPr>
                <w:spacing w:val="-2"/>
              </w:rPr>
              <w:t>, para. 82)</w:t>
            </w:r>
            <w:r w:rsidRPr="00F81824">
              <w:rPr>
                <w:spacing w:val="-2"/>
              </w:rPr>
              <w:t>.</w:t>
            </w:r>
          </w:p>
          <w:p w14:paraId="3CF80C67" w14:textId="77777777" w:rsidR="007B4C5A" w:rsidRDefault="007B4C5A" w:rsidP="00011592">
            <w:pPr>
              <w:pStyle w:val="BodyText"/>
            </w:pPr>
            <w:r>
              <w:t>Safeguard measures can be imposed regardless of whether imports are being ‘dumped’ (sold below normal value) or subsidised. And safeguard measures are generally not targeted at specific countries but instead apply to a product ‘irrespective of its source’ (SA Article 2.2).</w:t>
            </w:r>
          </w:p>
          <w:p w14:paraId="130091A1" w14:textId="77777777" w:rsidR="007B4C5A" w:rsidRDefault="007B4C5A" w:rsidP="00011592">
            <w:pPr>
              <w:pStyle w:val="BodyText"/>
            </w:pPr>
            <w:r>
              <w:t>There are strict legal criteria for applying safeguard measures. These include:</w:t>
            </w:r>
          </w:p>
          <w:p w14:paraId="17DF8889" w14:textId="77777777" w:rsidR="007B4C5A" w:rsidRDefault="007B4C5A" w:rsidP="00011592">
            <w:pPr>
              <w:pStyle w:val="ListBullet"/>
            </w:pPr>
            <w:r>
              <w:t>Imports of the relevant product must be increasing, in absolute terms or relative to domestic production, and the increase must be the result of unforeseen developments and the effect of Australia’s GATT obligations. The increase must be ‘recent enough, sudden enough, sharp enough, and significant enough, both quantitatively and qualitatively, to cause or threaten to cause “serious injury”’ (</w:t>
            </w:r>
            <w:r w:rsidRPr="005D6404">
              <w:rPr>
                <w:i/>
                <w:iCs/>
              </w:rPr>
              <w:t>Argentina – Footwear</w:t>
            </w:r>
            <w:r>
              <w:rPr>
                <w:i/>
                <w:iCs/>
              </w:rPr>
              <w:t xml:space="preserve"> (EC)</w:t>
            </w:r>
            <w:r>
              <w:t xml:space="preserve">, para. </w:t>
            </w:r>
            <w:r w:rsidRPr="005D6404">
              <w:t>13</w:t>
            </w:r>
            <w:r>
              <w:t xml:space="preserve">1). </w:t>
            </w:r>
          </w:p>
          <w:p w14:paraId="7585A856" w14:textId="12EA598B" w:rsidR="007B4C5A" w:rsidRDefault="007B4C5A" w:rsidP="00011592">
            <w:pPr>
              <w:pStyle w:val="ListBullet"/>
            </w:pPr>
            <w:r>
              <w:t>The domestic industry must be suffering ‘serious injury’, or there must be an imminent threat of serious injury. Serious injury means ‘significant overall impairment’ (SA Article 4.1(a)). The WTO Appellate Body has said this is a ‘very high standard’, ‘much higher’ than the standard of injury for anti</w:t>
            </w:r>
            <w:r w:rsidR="00541146">
              <w:noBreakHyphen/>
            </w:r>
            <w:r>
              <w:t>dumping matters (</w:t>
            </w:r>
            <w:r w:rsidRPr="00DC02F6">
              <w:rPr>
                <w:i/>
                <w:iCs/>
              </w:rPr>
              <w:t>US – Lamb</w:t>
            </w:r>
            <w:r>
              <w:t>, paras. 126, 124). Serious injury must be assessed by considering various injury factors, including the rate and amount of the increase in imports, the share of the domestic market taken by increased imports, sales, production, productivity, capacity utilisation, profits and losses, and employment (SA Article 4.2(a)).</w:t>
            </w:r>
          </w:p>
          <w:p w14:paraId="2397F0C4" w14:textId="77777777" w:rsidR="007B4C5A" w:rsidRPr="006622CB" w:rsidRDefault="007B4C5A" w:rsidP="00011592">
            <w:pPr>
              <w:pStyle w:val="ListBullet"/>
              <w:rPr>
                <w:spacing w:val="-2"/>
              </w:rPr>
            </w:pPr>
            <w:r w:rsidRPr="006622CB">
              <w:rPr>
                <w:spacing w:val="-4"/>
              </w:rPr>
              <w:t>There must be a ‘genuine and substantial relationship of cause and effect’ between increased imports and injury (</w:t>
            </w:r>
            <w:r w:rsidRPr="006622CB">
              <w:rPr>
                <w:i/>
                <w:iCs/>
                <w:spacing w:val="-4"/>
              </w:rPr>
              <w:t>US – Wheat Gluten</w:t>
            </w:r>
            <w:r w:rsidRPr="006622CB">
              <w:rPr>
                <w:spacing w:val="-4"/>
              </w:rPr>
              <w:t xml:space="preserve">, para. 69). Other causal factors must also be identified, to ensure </w:t>
            </w:r>
            <w:r w:rsidRPr="006622CB">
              <w:rPr>
                <w:spacing w:val="-2"/>
              </w:rPr>
              <w:t>injury caused by these other factors are not attributed to increased imports (SA Article 4.2(b)).</w:t>
            </w:r>
          </w:p>
          <w:p w14:paraId="16FC5D0E" w14:textId="77777777" w:rsidR="007B4C5A" w:rsidRDefault="007B4C5A" w:rsidP="00011592">
            <w:pPr>
              <w:pStyle w:val="BodyText"/>
            </w:pPr>
            <w:r>
              <w:t xml:space="preserve">Safeguard measures can only be applied to the extent necessary to prevent or remedy serious injury caused by increased imports and to facilitate adjustment (SA Article 5.1). </w:t>
            </w:r>
          </w:p>
          <w:p w14:paraId="6A8AB15C" w14:textId="77777777" w:rsidR="007B4C5A" w:rsidRDefault="007B4C5A" w:rsidP="00011592">
            <w:pPr>
              <w:pStyle w:val="BodyText"/>
            </w:pPr>
            <w:r w:rsidRPr="00970DB0">
              <w:rPr>
                <w:i/>
                <w:iCs/>
              </w:rPr>
              <w:t>Provisional</w:t>
            </w:r>
            <w:r>
              <w:t xml:space="preserve"> safeguard measures can be introduced before safeguard investigations are completed, for up to 200 days, in ‘critical circumstances where delay would cause damage which it would be difficult to repair’ (SA Article 6). They can only be introduced if there is ‘clear evidence’ that increased imports have caused or are threatening to cause serious injury (SA Article 6).</w:t>
            </w:r>
          </w:p>
          <w:p w14:paraId="65C2F701" w14:textId="77777777" w:rsidR="007B4C5A" w:rsidRPr="00D04CEB" w:rsidRDefault="007B4C5A" w:rsidP="00011592">
            <w:pPr>
              <w:pStyle w:val="BoxHeading2"/>
              <w:rPr>
                <w:b w:val="0"/>
                <w:bCs/>
              </w:rPr>
            </w:pPr>
            <w:r w:rsidRPr="00D04CEB">
              <w:rPr>
                <w:b w:val="0"/>
                <w:bCs/>
                <w:i/>
                <w:iCs/>
              </w:rPr>
              <w:t xml:space="preserve">Definitive </w:t>
            </w:r>
            <w:r w:rsidRPr="00D04CEB">
              <w:rPr>
                <w:b w:val="0"/>
                <w:bCs/>
              </w:rPr>
              <w:t>safeguard measures lasting up to 4 years (inclusive of the time any provisional measures are applied for) can only be introduced following completion of the competent authority’s investigation. Definitive measures can be extended subject to certain procedural requirements and determinations by the competent authority that they are still necessary to prevent or remedy serious injury, and there is evidence the industry is adjusting (SA Article 7.2).</w:t>
            </w:r>
          </w:p>
        </w:tc>
      </w:tr>
      <w:tr w:rsidR="007B4C5A" w14:paraId="72BD7728" w14:textId="77777777" w:rsidTr="00011592">
        <w:trPr>
          <w:hidden/>
        </w:trPr>
        <w:tc>
          <w:tcPr>
            <w:tcW w:w="9638" w:type="dxa"/>
            <w:shd w:val="clear" w:color="auto" w:fill="auto"/>
            <w:tcMar>
              <w:top w:w="0" w:type="dxa"/>
              <w:left w:w="170" w:type="dxa"/>
              <w:bottom w:w="0" w:type="dxa"/>
              <w:right w:w="170" w:type="dxa"/>
            </w:tcMar>
          </w:tcPr>
          <w:p w14:paraId="7D02E2A3" w14:textId="579C3E60" w:rsidR="007B4C5A" w:rsidRPr="00465191" w:rsidRDefault="007B4C5A">
            <w:pPr>
              <w:pStyle w:val="BodyText"/>
              <w:spacing w:before="0" w:after="0" w:line="80" w:lineRule="atLeast"/>
              <w:rPr>
                <w:smallCaps/>
                <w:vanish/>
              </w:rPr>
            </w:pPr>
          </w:p>
        </w:tc>
      </w:tr>
    </w:tbl>
    <w:p w14:paraId="5DF96813" w14:textId="77777777" w:rsidR="00736061" w:rsidRDefault="00736061" w:rsidP="00011592"/>
    <w:p w14:paraId="4739D8D1" w14:textId="77777777" w:rsidR="00736061" w:rsidRDefault="00736061">
      <w:pPr>
        <w:spacing w:before="0" w:after="160" w:line="259" w:lineRule="auto"/>
      </w:pPr>
      <w:r>
        <w:br w:type="page"/>
      </w:r>
    </w:p>
    <w:p w14:paraId="7FC8DC6D" w14:textId="515C3DCE" w:rsidR="007B4C5A" w:rsidRDefault="007B4C5A" w:rsidP="00011592">
      <w:r>
        <w:lastRenderedPageBreak/>
        <w:t xml:space="preserve">This inquiry is being conducted </w:t>
      </w:r>
      <w:r w:rsidRPr="0037588A">
        <w:t xml:space="preserve">in accordance with </w:t>
      </w:r>
      <w:r>
        <w:t>the WTO safeguard investigation procedures and the Productivity Commission Act.</w:t>
      </w:r>
    </w:p>
    <w:p w14:paraId="57BD3057" w14:textId="77777777" w:rsidR="007B4C5A" w:rsidRPr="006622CB" w:rsidRDefault="007B4C5A" w:rsidP="00011592">
      <w:pPr>
        <w:rPr>
          <w:spacing w:val="-2"/>
        </w:rPr>
      </w:pPr>
      <w:r w:rsidRPr="006622CB">
        <w:rPr>
          <w:spacing w:val="-2"/>
        </w:rPr>
        <w:t>The PC is currently the ‘competent authority’ in Australia for investigating proposed safeguard measures but does not initiate safeguard investigations (Commonwealth Gazette, No. S 297, 25 June 1998).</w:t>
      </w:r>
      <w:r w:rsidRPr="006622CB">
        <w:rPr>
          <w:rStyle w:val="FootnoteReference"/>
          <w:spacing w:val="-2"/>
        </w:rPr>
        <w:footnoteReference w:id="2"/>
      </w:r>
      <w:r w:rsidRPr="006622CB">
        <w:rPr>
          <w:spacing w:val="-2"/>
        </w:rPr>
        <w:t xml:space="preserve"> The PC conducts inquiries upon receipt of terms of reference from the Australian Government Treasurer.</w:t>
      </w:r>
    </w:p>
    <w:p w14:paraId="0FF4656E" w14:textId="77777777" w:rsidR="007B4C5A" w:rsidRDefault="007B4C5A" w:rsidP="00011592">
      <w:r>
        <w:t xml:space="preserve">As the competent authority, the PC’s findings regarding whether the conditions for safeguards are met determine whether the Australian Government can introduce safeguards. </w:t>
      </w:r>
    </w:p>
    <w:p w14:paraId="2DE3EF0D" w14:textId="77777777" w:rsidR="007B4C5A" w:rsidRDefault="007B4C5A" w:rsidP="00011592">
      <w:r>
        <w:t>The terms of reference for this inquiry ask the PC to provide advice on what measure should be introduced and whether introducing it would be in the public interest (if the conditions for a safeguard are met), but the government is not bound by the PC’s views on these matters.</w:t>
      </w:r>
    </w:p>
    <w:p w14:paraId="1C568125" w14:textId="77777777" w:rsidR="007B4C5A" w:rsidRDefault="007B4C5A" w:rsidP="00011592">
      <w:pPr>
        <w:pStyle w:val="Heading3"/>
      </w:pPr>
      <w:r>
        <w:t>Terms of reference</w:t>
      </w:r>
    </w:p>
    <w:p w14:paraId="3DA51D7E" w14:textId="485FD2C2" w:rsidR="007B4C5A" w:rsidRDefault="007B4C5A" w:rsidP="00011592">
      <w:pPr>
        <w:pStyle w:val="BodyText"/>
      </w:pPr>
      <w:r>
        <w:t>Terms of reference for this safeguard investigation were received by the PC on 23</w:t>
      </w:r>
      <w:r w:rsidR="00541146">
        <w:t> </w:t>
      </w:r>
      <w:r>
        <w:t>January 2026. The Australian Steel Institute (ASI) made an application to the Australian Government requesting safeguard measures in November 2025.</w:t>
      </w:r>
    </w:p>
    <w:p w14:paraId="02693555" w14:textId="10695404" w:rsidR="007B4C5A" w:rsidRDefault="007B4C5A" w:rsidP="00011592">
      <w:pPr>
        <w:pStyle w:val="BodyText"/>
      </w:pPr>
      <w:r>
        <w:t>The terms of reference require the PC to provide an interim report by 23</w:t>
      </w:r>
      <w:r w:rsidR="00541146">
        <w:t> </w:t>
      </w:r>
      <w:r>
        <w:t>September 2026 and a final report by 23</w:t>
      </w:r>
      <w:r w:rsidR="00541146">
        <w:t> </w:t>
      </w:r>
      <w:r>
        <w:t xml:space="preserve">November 2026. </w:t>
      </w:r>
    </w:p>
    <w:p w14:paraId="192FA718" w14:textId="77777777" w:rsidR="007B4C5A" w:rsidRDefault="007B4C5A" w:rsidP="00011592">
      <w:pPr>
        <w:pStyle w:val="BodyText"/>
      </w:pPr>
      <w:r>
        <w:t xml:space="preserve">This interim report makes a final finding about whether a </w:t>
      </w:r>
      <w:r w:rsidRPr="00DF4F97">
        <w:t>provisional</w:t>
      </w:r>
      <w:r>
        <w:t xml:space="preserve"> safeguard measure can be applied and an interim finding about whether a </w:t>
      </w:r>
      <w:r w:rsidRPr="00DF4F97">
        <w:t>definitive</w:t>
      </w:r>
      <w:r w:rsidRPr="00DF4F97">
        <w:rPr>
          <w:i/>
          <w:iCs/>
        </w:rPr>
        <w:t xml:space="preserve"> </w:t>
      </w:r>
      <w:r>
        <w:t>measure can be applied.</w:t>
      </w:r>
    </w:p>
    <w:p w14:paraId="5429F373" w14:textId="77777777" w:rsidR="007B4C5A" w:rsidRDefault="007B4C5A" w:rsidP="00011592">
      <w:pPr>
        <w:pStyle w:val="Heading3"/>
      </w:pPr>
      <w:r>
        <w:t>Public notice</w:t>
      </w:r>
    </w:p>
    <w:p w14:paraId="686D684E" w14:textId="4EA8DDA8" w:rsidR="007B4C5A" w:rsidRDefault="007B4C5A" w:rsidP="00011592">
      <w:pPr>
        <w:pStyle w:val="BodyText"/>
      </w:pPr>
      <w:r>
        <w:t>The Australian Government notified the WTO of the investigation on 23</w:t>
      </w:r>
      <w:r w:rsidR="00541146">
        <w:t> </w:t>
      </w:r>
      <w:r>
        <w:t>January 2026. The notice is available on the WTO’s notification portal. The PC gave public notice of the inquiry on its website on 23 January 2026, in accordance with section 13 of the Productivity Commission Act.</w:t>
      </w:r>
    </w:p>
    <w:p w14:paraId="484756E5" w14:textId="77777777" w:rsidR="007B4C5A" w:rsidRDefault="007B4C5A" w:rsidP="00011592">
      <w:pPr>
        <w:pStyle w:val="Heading3"/>
      </w:pPr>
      <w:r>
        <w:t>Submissions</w:t>
      </w:r>
    </w:p>
    <w:p w14:paraId="73DD71DE" w14:textId="2273F087" w:rsidR="007B4C5A" w:rsidRDefault="007B4C5A" w:rsidP="00011592">
      <w:pPr>
        <w:pStyle w:val="BodyText"/>
        <w:rPr>
          <w:spacing w:val="-4"/>
        </w:rPr>
      </w:pPr>
      <w:r>
        <w:rPr>
          <w:spacing w:val="-4"/>
        </w:rPr>
        <w:t>We released a call for submissions paper on</w:t>
      </w:r>
      <w:r w:rsidRPr="00183EB0">
        <w:t xml:space="preserve"> </w:t>
      </w:r>
      <w:r w:rsidRPr="00183EB0">
        <w:rPr>
          <w:spacing w:val="-4"/>
        </w:rPr>
        <w:t>24</w:t>
      </w:r>
      <w:r>
        <w:rPr>
          <w:spacing w:val="-4"/>
        </w:rPr>
        <w:t> </w:t>
      </w:r>
      <w:r w:rsidRPr="00183EB0">
        <w:rPr>
          <w:spacing w:val="-4"/>
        </w:rPr>
        <w:t>February 2026</w:t>
      </w:r>
      <w:r>
        <w:rPr>
          <w:spacing w:val="-4"/>
        </w:rPr>
        <w:t xml:space="preserve">. </w:t>
      </w:r>
      <w:r w:rsidRPr="00CA6901">
        <w:rPr>
          <w:spacing w:val="-4"/>
        </w:rPr>
        <w:t xml:space="preserve">Inquiry participants </w:t>
      </w:r>
      <w:r>
        <w:rPr>
          <w:spacing w:val="-4"/>
        </w:rPr>
        <w:t>were</w:t>
      </w:r>
      <w:r w:rsidRPr="00CA6901">
        <w:rPr>
          <w:spacing w:val="-4"/>
        </w:rPr>
        <w:t xml:space="preserve"> invited to make submissions in response by </w:t>
      </w:r>
      <w:r w:rsidRPr="00240D5E">
        <w:rPr>
          <w:spacing w:val="-4"/>
        </w:rPr>
        <w:t>20 April</w:t>
      </w:r>
      <w:r>
        <w:rPr>
          <w:spacing w:val="-4"/>
        </w:rPr>
        <w:t xml:space="preserve"> </w:t>
      </w:r>
      <w:r w:rsidRPr="00240D5E">
        <w:rPr>
          <w:spacing w:val="-4"/>
        </w:rPr>
        <w:t>2026</w:t>
      </w:r>
      <w:r w:rsidRPr="00CA6901">
        <w:rPr>
          <w:spacing w:val="-4"/>
        </w:rPr>
        <w:t>.</w:t>
      </w:r>
      <w:r>
        <w:rPr>
          <w:spacing w:val="-4"/>
        </w:rPr>
        <w:t xml:space="preserve"> Extensions were granted to all participants who requested an extension.</w:t>
      </w:r>
      <w:r w:rsidRPr="00CA6901">
        <w:rPr>
          <w:spacing w:val="-4"/>
        </w:rPr>
        <w:t xml:space="preserve"> </w:t>
      </w:r>
      <w:r>
        <w:rPr>
          <w:spacing w:val="-4"/>
        </w:rPr>
        <w:t>Non</w:t>
      </w:r>
      <w:r w:rsidR="00541146">
        <w:rPr>
          <w:spacing w:val="-4"/>
        </w:rPr>
        <w:noBreakHyphen/>
      </w:r>
      <w:r>
        <w:rPr>
          <w:spacing w:val="-4"/>
        </w:rPr>
        <w:t xml:space="preserve">confidential submissions were published on the PC’s website as late as June 2026. </w:t>
      </w:r>
    </w:p>
    <w:p w14:paraId="11665A52" w14:textId="77777777" w:rsidR="007B4C5A" w:rsidRDefault="007B4C5A" w:rsidP="00011592">
      <w:pPr>
        <w:pStyle w:val="BodyText"/>
        <w:rPr>
          <w:spacing w:val="-4"/>
        </w:rPr>
      </w:pPr>
      <w:r>
        <w:rPr>
          <w:spacing w:val="-4"/>
        </w:rPr>
        <w:t>There are 62 submissions published on the PC website. The PC received 45 confidential submissions or submission attachments (treatment of confidential material is discussed below).</w:t>
      </w:r>
    </w:p>
    <w:p w14:paraId="1EA3BB41" w14:textId="77777777" w:rsidR="007B4C5A" w:rsidRDefault="007B4C5A" w:rsidP="00011592">
      <w:pPr>
        <w:pStyle w:val="BodyText"/>
        <w:rPr>
          <w:spacing w:val="-4"/>
        </w:rPr>
      </w:pPr>
      <w:r>
        <w:t xml:space="preserve">The PC invites submissions in response to this interim report </w:t>
      </w:r>
      <w:r w:rsidRPr="00107D69">
        <w:t>by 30</w:t>
      </w:r>
      <w:r>
        <w:t> </w:t>
      </w:r>
      <w:r w:rsidRPr="00107D69">
        <w:t>September 2026. Submissions</w:t>
      </w:r>
      <w:r>
        <w:t xml:space="preserve"> should address matters relevant to whether </w:t>
      </w:r>
      <w:r w:rsidRPr="00970DB0">
        <w:t>definitive</w:t>
      </w:r>
      <w:r>
        <w:t xml:space="preserve"> measures should be applied. </w:t>
      </w:r>
    </w:p>
    <w:p w14:paraId="0A5380B0" w14:textId="77777777" w:rsidR="007B4C5A" w:rsidRDefault="007B4C5A" w:rsidP="00011592">
      <w:pPr>
        <w:pStyle w:val="Heading3"/>
      </w:pPr>
      <w:r>
        <w:lastRenderedPageBreak/>
        <w:t>Consultation</w:t>
      </w:r>
    </w:p>
    <w:p w14:paraId="407C8BC5" w14:textId="2762FB4D" w:rsidR="007B4C5A" w:rsidRDefault="007B4C5A" w:rsidP="00011592">
      <w:pPr>
        <w:pStyle w:val="BodyText"/>
      </w:pPr>
      <w:r>
        <w:t xml:space="preserve">The PC has met with </w:t>
      </w:r>
      <w:r w:rsidRPr="00FD7996">
        <w:rPr>
          <w:color w:val="000000" w:themeColor="text1"/>
        </w:rPr>
        <w:t xml:space="preserve">38 different </w:t>
      </w:r>
      <w:r>
        <w:t>organisations, and with some of these organisations more than once. We have met with</w:t>
      </w:r>
      <w:r w:rsidRPr="0045007E" w:rsidDel="00521D5B">
        <w:t xml:space="preserve"> </w:t>
      </w:r>
      <w:r>
        <w:t xml:space="preserve">individual </w:t>
      </w:r>
      <w:r w:rsidRPr="0045007E">
        <w:t xml:space="preserve">domestic </w:t>
      </w:r>
      <w:r>
        <w:t xml:space="preserve">FSS producers, </w:t>
      </w:r>
      <w:r w:rsidRPr="0045007E">
        <w:t>steel distributors</w:t>
      </w:r>
      <w:r>
        <w:t xml:space="preserve">, steel producers, construction firms, and peak bodies representing these market segments. We have also met with Australian and foreign government organisations, as well as the China Chamber of Commerce of Metals, Minerals and Chemical Importers and Exporters. </w:t>
      </w:r>
      <w:r w:rsidRPr="00181E31">
        <w:t>Staff from the PC toured a steel distribution facility and several steel fabrication workshops in south</w:t>
      </w:r>
      <w:r w:rsidR="00541146">
        <w:noBreakHyphen/>
      </w:r>
      <w:r w:rsidRPr="00181E31">
        <w:t>east Melbourne to gain a deeper understanding of the FSS industry. </w:t>
      </w:r>
    </w:p>
    <w:p w14:paraId="050AE860" w14:textId="77777777" w:rsidR="007B4C5A" w:rsidRDefault="007B4C5A" w:rsidP="00011592">
      <w:pPr>
        <w:pStyle w:val="BodyText"/>
      </w:pPr>
      <w:r>
        <w:t>Appendix A lists every organisation the PC has met with.</w:t>
      </w:r>
    </w:p>
    <w:p w14:paraId="0E815C42" w14:textId="77777777" w:rsidR="007B4C5A" w:rsidRDefault="007B4C5A" w:rsidP="00011592">
      <w:pPr>
        <w:pStyle w:val="Heading3"/>
      </w:pPr>
      <w:r>
        <w:t>Public hearings</w:t>
      </w:r>
    </w:p>
    <w:p w14:paraId="13BCF7FE" w14:textId="77777777" w:rsidR="007B4C5A" w:rsidRDefault="007B4C5A" w:rsidP="00011592">
      <w:pPr>
        <w:pStyle w:val="BodyText"/>
      </w:pPr>
      <w:r>
        <w:t>Public hearings were held from 13 to 15 May 2026. The PC invited participants to express an interest in appearing as a witness at the hearings and through a registration page on the PC’s website. Everyone who indicated they wanted to appear as a witness was able to do so.</w:t>
      </w:r>
    </w:p>
    <w:p w14:paraId="53827E99" w14:textId="77777777" w:rsidR="007B4C5A" w:rsidDel="00152D34" w:rsidRDefault="007B4C5A">
      <w:pPr>
        <w:pStyle w:val="BodyText"/>
      </w:pPr>
      <w:r>
        <w:t>A complete list of witnesses is at appendix A.</w:t>
      </w:r>
      <w:r w:rsidDel="00EF3016">
        <w:t xml:space="preserve"> </w:t>
      </w:r>
      <w:r>
        <w:t>Transcripts</w:t>
      </w:r>
      <w:r w:rsidDel="00152D34">
        <w:t xml:space="preserve"> of the hearings </w:t>
      </w:r>
      <w:r>
        <w:t>were</w:t>
      </w:r>
      <w:r w:rsidDel="00152D34">
        <w:t xml:space="preserve"> published on the PC’s website on 25</w:t>
      </w:r>
      <w:r>
        <w:t> </w:t>
      </w:r>
      <w:r w:rsidDel="00152D34">
        <w:t>May 2026.</w:t>
      </w:r>
      <w:r>
        <w:t xml:space="preserve"> </w:t>
      </w:r>
    </w:p>
    <w:p w14:paraId="503F9DAE" w14:textId="40AF7674" w:rsidR="007B4C5A" w:rsidRDefault="007B4C5A" w:rsidP="00011592">
      <w:pPr>
        <w:pStyle w:val="BodyText"/>
      </w:pPr>
      <w:r w:rsidDel="00152D34">
        <w:t xml:space="preserve">A further opportunity was provided to participants to make submissions </w:t>
      </w:r>
      <w:r>
        <w:t>after</w:t>
      </w:r>
      <w:r w:rsidDel="00152D34">
        <w:t xml:space="preserve"> the hearing</w:t>
      </w:r>
      <w:r>
        <w:t>,</w:t>
      </w:r>
      <w:r w:rsidDel="00152D34">
        <w:t xml:space="preserve"> by 1</w:t>
      </w:r>
      <w:r>
        <w:t> </w:t>
      </w:r>
      <w:r w:rsidDel="00152D34">
        <w:t xml:space="preserve">June 2026. These </w:t>
      </w:r>
      <w:r>
        <w:t>post</w:t>
      </w:r>
      <w:r w:rsidR="00541146">
        <w:noBreakHyphen/>
      </w:r>
      <w:r>
        <w:t xml:space="preserve">hearing </w:t>
      </w:r>
      <w:r w:rsidDel="00152D34">
        <w:t xml:space="preserve">submissions </w:t>
      </w:r>
      <w:r>
        <w:t xml:space="preserve">were </w:t>
      </w:r>
      <w:r w:rsidDel="00152D34">
        <w:t xml:space="preserve">published </w:t>
      </w:r>
      <w:r>
        <w:t>alongside the transcripts o</w:t>
      </w:r>
      <w:r w:rsidDel="00152D34">
        <w:t>n the PC’s website</w:t>
      </w:r>
      <w:r>
        <w:t xml:space="preserve">. </w:t>
      </w:r>
    </w:p>
    <w:p w14:paraId="3390FDD8" w14:textId="77777777" w:rsidR="007B4C5A" w:rsidRDefault="007B4C5A" w:rsidP="00011592">
      <w:pPr>
        <w:pStyle w:val="Heading3"/>
      </w:pPr>
      <w:r>
        <w:t>Final report</w:t>
      </w:r>
    </w:p>
    <w:p w14:paraId="5C6714F1" w14:textId="3D6C838C" w:rsidR="007B4C5A" w:rsidRPr="00933932" w:rsidRDefault="007B4C5A" w:rsidP="00011592">
      <w:pPr>
        <w:pStyle w:val="BodyText"/>
        <w:rPr>
          <w:spacing w:val="-4"/>
        </w:rPr>
      </w:pPr>
      <w:r w:rsidRPr="00933932">
        <w:rPr>
          <w:spacing w:val="-2"/>
        </w:rPr>
        <w:t>The final report will set out in detail our findings, reasoned conclusions and recommendations, as required by the Agreement on Safeguards</w:t>
      </w:r>
      <w:r w:rsidR="00A4395E" w:rsidRPr="00933932">
        <w:rPr>
          <w:spacing w:val="-2"/>
        </w:rPr>
        <w:t xml:space="preserve"> </w:t>
      </w:r>
      <w:r w:rsidRPr="00933932">
        <w:rPr>
          <w:spacing w:val="-2"/>
        </w:rPr>
        <w:t xml:space="preserve">and the Productivity Commission Act. The final report must be </w:t>
      </w:r>
      <w:r w:rsidRPr="00933932">
        <w:rPr>
          <w:spacing w:val="-4"/>
        </w:rPr>
        <w:t>tabled within 25 parliamentary sitting days, at which point the report will be published on the PC’s website.</w:t>
      </w:r>
    </w:p>
    <w:p w14:paraId="799B5AB5" w14:textId="77777777" w:rsidR="007B4C5A" w:rsidRDefault="007B4C5A" w:rsidP="00011592">
      <w:pPr>
        <w:pStyle w:val="BodyText"/>
      </w:pPr>
      <w:r>
        <w:t>Following the conclusion of this inquiry, the Australian Government is responsible for providing notifications to the WTO and relevant trading partners. The Australian Government is also responsible for deciding whether to implement safeguard measures if the PC finds they are warranted.</w:t>
      </w:r>
    </w:p>
    <w:p w14:paraId="57F3C6F1" w14:textId="77777777" w:rsidR="007B4C5A" w:rsidRDefault="007B4C5A" w:rsidP="00011592">
      <w:pPr>
        <w:pStyle w:val="Heading3"/>
      </w:pPr>
      <w:r>
        <w:t>Confidential material</w:t>
      </w:r>
    </w:p>
    <w:p w14:paraId="3E23E8B0" w14:textId="77777777" w:rsidR="007B4C5A" w:rsidRDefault="007B4C5A" w:rsidP="00011592">
      <w:pPr>
        <w:pStyle w:val="BodyText"/>
        <w:rPr>
          <w:spacing w:val="-4"/>
        </w:rPr>
      </w:pPr>
      <w:r>
        <w:rPr>
          <w:spacing w:val="-4"/>
        </w:rPr>
        <w:t xml:space="preserve">Some inquiry participants sent the PC confidential material. This includes the ASI’s original application and attachments, as well as </w:t>
      </w:r>
      <w:proofErr w:type="gramStart"/>
      <w:r>
        <w:rPr>
          <w:spacing w:val="-4"/>
        </w:rPr>
        <w:t>a number of</w:t>
      </w:r>
      <w:proofErr w:type="gramEnd"/>
      <w:r>
        <w:rPr>
          <w:spacing w:val="-4"/>
        </w:rPr>
        <w:t xml:space="preserve"> submissions and parts of submissions provided by other participants. Confidential material has been treated as such by the PC. </w:t>
      </w:r>
    </w:p>
    <w:p w14:paraId="02A27950" w14:textId="0148E196" w:rsidR="007B4C5A" w:rsidRDefault="007B4C5A" w:rsidP="00011592">
      <w:pPr>
        <w:pStyle w:val="BodyText"/>
      </w:pPr>
      <w:r>
        <w:rPr>
          <w:spacing w:val="-4"/>
        </w:rPr>
        <w:t xml:space="preserve">Consistent with section 16 of the </w:t>
      </w:r>
      <w:r w:rsidRPr="003005BA">
        <w:rPr>
          <w:spacing w:val="-4"/>
        </w:rPr>
        <w:t>Productivity Commission Act</w:t>
      </w:r>
      <w:r>
        <w:rPr>
          <w:spacing w:val="-4"/>
        </w:rPr>
        <w:t xml:space="preserve"> and Article 3.2 of the Agreement on Safeguards, the PC invited participants who provided confidential material to provide non</w:t>
      </w:r>
      <w:r w:rsidR="00541146">
        <w:rPr>
          <w:spacing w:val="-4"/>
        </w:rPr>
        <w:noBreakHyphen/>
      </w:r>
      <w:r>
        <w:rPr>
          <w:spacing w:val="-4"/>
        </w:rPr>
        <w:t>confidential versions or summaries for publication. Some did so, and this non</w:t>
      </w:r>
      <w:r w:rsidR="00541146">
        <w:rPr>
          <w:spacing w:val="-4"/>
        </w:rPr>
        <w:noBreakHyphen/>
      </w:r>
      <w:r>
        <w:rPr>
          <w:spacing w:val="-4"/>
        </w:rPr>
        <w:t>confidential material was published on the PC’s website.</w:t>
      </w:r>
      <w:r w:rsidDel="00D17327">
        <w:t xml:space="preserve"> </w:t>
      </w:r>
    </w:p>
    <w:p w14:paraId="2E14AF94" w14:textId="77777777" w:rsidR="007B4C5A" w:rsidRDefault="007B4C5A" w:rsidP="00011592">
      <w:pPr>
        <w:pStyle w:val="BodyText"/>
      </w:pPr>
      <w:r w:rsidRPr="0066361B">
        <w:t xml:space="preserve">Because safeguard investigations are conducted as public inquiries, the </w:t>
      </w:r>
      <w:r>
        <w:t>PC</w:t>
      </w:r>
      <w:r w:rsidRPr="0066361B">
        <w:t xml:space="preserve"> places particular weight on evidence and reasoning that can be disclosed, scrutinised and responded to by interested parties. </w:t>
      </w:r>
      <w:r>
        <w:t>Our reasoning and findings are supported, as far as practicable, based on material that can be publicly tested through the inquiry process</w:t>
      </w:r>
      <w:r w:rsidRPr="0066361B">
        <w:t>.</w:t>
      </w:r>
      <w:r>
        <w:t xml:space="preserve"> Where c</w:t>
      </w:r>
      <w:r w:rsidRPr="0066361B">
        <w:t xml:space="preserve">onfidential information </w:t>
      </w:r>
      <w:r>
        <w:t xml:space="preserve">has informed our analysis, this is clearly indicated. </w:t>
      </w:r>
    </w:p>
    <w:p w14:paraId="2C18D052" w14:textId="77777777" w:rsidR="0012688B" w:rsidRDefault="0012688B" w:rsidP="00011592">
      <w:pPr>
        <w:pStyle w:val="NoSpacing"/>
        <w:sectPr w:rsidR="0012688B" w:rsidSect="00C5279C">
          <w:headerReference w:type="even" r:id="rId45"/>
          <w:headerReference w:type="default" r:id="rId46"/>
          <w:footerReference w:type="even" r:id="rId47"/>
          <w:footerReference w:type="default" r:id="rId48"/>
          <w:headerReference w:type="first" r:id="rId49"/>
          <w:type w:val="oddPage"/>
          <w:pgSz w:w="11906" w:h="16838" w:code="9"/>
          <w:pgMar w:top="1134" w:right="1134" w:bottom="1134" w:left="1134" w:header="794" w:footer="510" w:gutter="0"/>
          <w:cols w:space="708"/>
          <w:docGrid w:linePitch="360"/>
        </w:sectPr>
      </w:pPr>
    </w:p>
    <w:p w14:paraId="3F061AB1" w14:textId="736BC54F" w:rsidR="004C31F5" w:rsidRPr="006A316E" w:rsidRDefault="004C31F5" w:rsidP="006A316E">
      <w:pPr>
        <w:pStyle w:val="Heading1"/>
      </w:pPr>
      <w:bookmarkStart w:id="11" w:name="_Toc238643902"/>
      <w:r w:rsidRPr="006A316E">
        <w:lastRenderedPageBreak/>
        <w:t>Scope of the safeguard investigation</w:t>
      </w:r>
      <w:bookmarkEnd w:id="11"/>
    </w:p>
    <w:tbl>
      <w:tblPr>
        <w:tblStyle w:val="Texttable-Paleblue"/>
        <w:tblW w:w="5000" w:type="pct"/>
        <w:shd w:val="clear" w:color="auto" w:fill="E7F6FD"/>
        <w:tblLook w:val="04A0" w:firstRow="1" w:lastRow="0" w:firstColumn="1" w:lastColumn="0" w:noHBand="0" w:noVBand="1"/>
      </w:tblPr>
      <w:tblGrid>
        <w:gridCol w:w="577"/>
        <w:gridCol w:w="9061"/>
      </w:tblGrid>
      <w:tr w:rsidR="004C31F5" w:rsidRPr="002F759A" w14:paraId="332C65CB" w14:textId="77777777">
        <w:tc>
          <w:tcPr>
            <w:tcW w:w="9638" w:type="dxa"/>
            <w:gridSpan w:val="2"/>
            <w:shd w:val="clear" w:color="auto" w:fill="E7F6FD"/>
            <w:tcMar>
              <w:left w:w="170" w:type="dxa"/>
            </w:tcMar>
          </w:tcPr>
          <w:p w14:paraId="683ACF37" w14:textId="77777777" w:rsidR="004C31F5" w:rsidRPr="002F759A" w:rsidRDefault="004C31F5">
            <w:pPr>
              <w:pStyle w:val="Keypoints-heading"/>
            </w:pPr>
            <w:r w:rsidRPr="002F759A">
              <w:t>Key points</w:t>
            </w:r>
          </w:p>
        </w:tc>
      </w:tr>
      <w:tr w:rsidR="004C31F5" w14:paraId="7F06BEFA" w14:textId="77777777">
        <w:tc>
          <w:tcPr>
            <w:tcW w:w="577" w:type="dxa"/>
            <w:shd w:val="clear" w:color="auto" w:fill="E7F6FD"/>
            <w:tcMar>
              <w:top w:w="0" w:type="dxa"/>
              <w:bottom w:w="0" w:type="dxa"/>
              <w:right w:w="113" w:type="dxa"/>
            </w:tcMar>
          </w:tcPr>
          <w:p w14:paraId="4949FD67" w14:textId="77777777" w:rsidR="004C31F5" w:rsidRDefault="004C31F5" w:rsidP="000C6B77">
            <w:pPr>
              <w:pStyle w:val="KeyPointsicon"/>
            </w:pPr>
            <w:r w:rsidRPr="00A51374">
              <w:rPr>
                <w:noProof/>
              </w:rPr>
              <w:drawing>
                <wp:inline distT="0" distB="0" distL="0" distR="0" wp14:anchorId="2A35DF41" wp14:editId="6FC29667">
                  <wp:extent cx="180000" cy="180000"/>
                  <wp:effectExtent l="0" t="0" r="0" b="0"/>
                  <wp:docPr id="1502822036" name="Graphic 15028220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a:extLst>
                              <a:ext uri="{C183D7F6-B498-43B3-948B-1728B52AA6E4}">
                                <adec:decorative xmlns:adec="http://schemas.microsoft.com/office/drawing/2017/decorative" val="1"/>
                              </a:ext>
                            </a:extLst>
                          </pic:cNvPr>
                          <pic:cNvPicPr/>
                        </pic:nvPicPr>
                        <pic:blipFill>
                          <a:blip r:embed="rId39">
                            <a:extLst>
                              <a:ext uri="{96DAC541-7B7A-43D3-8B79-37D633B846F1}">
                                <asvg:svgBlip xmlns:asvg="http://schemas.microsoft.com/office/drawing/2016/SVG/main" r:embed="rId40"/>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368B3E65" w14:textId="77777777" w:rsidR="004C31F5" w:rsidRDefault="004C31F5" w:rsidP="00011592">
            <w:pPr>
              <w:pStyle w:val="KeyPoints-Bold"/>
            </w:pPr>
            <w:r w:rsidRPr="00720547">
              <w:t xml:space="preserve">The product under investigation is defined by reference to </w:t>
            </w:r>
            <w:r>
              <w:t xml:space="preserve">12 items in the </w:t>
            </w:r>
            <w:r w:rsidRPr="006F3D76">
              <w:t>Australian Tariff Code</w:t>
            </w:r>
            <w:r>
              <w:t xml:space="preserve">. </w:t>
            </w:r>
          </w:p>
          <w:p w14:paraId="16E58AB3" w14:textId="43EE519E" w:rsidR="004C31F5" w:rsidRPr="00833CFB" w:rsidRDefault="004C31F5" w:rsidP="007D4571">
            <w:pPr>
              <w:pStyle w:val="KeyPoints-Bullet"/>
              <w:numPr>
                <w:ilvl w:val="0"/>
                <w:numId w:val="1"/>
              </w:numPr>
              <w:spacing w:before="0"/>
              <w:rPr>
                <w:spacing w:val="-4"/>
              </w:rPr>
            </w:pPr>
            <w:r w:rsidRPr="00833CFB">
              <w:rPr>
                <w:spacing w:val="-4"/>
              </w:rPr>
              <w:t>The Productivity Commission has chosen to treat these as one product for the purposes of the investigation.</w:t>
            </w:r>
          </w:p>
        </w:tc>
      </w:tr>
      <w:tr w:rsidR="004C31F5" w14:paraId="0C38FDA6" w14:textId="77777777">
        <w:tc>
          <w:tcPr>
            <w:tcW w:w="577" w:type="dxa"/>
            <w:shd w:val="clear" w:color="auto" w:fill="E7F6FD"/>
            <w:tcMar>
              <w:top w:w="0" w:type="dxa"/>
              <w:bottom w:w="0" w:type="dxa"/>
              <w:right w:w="113" w:type="dxa"/>
            </w:tcMar>
          </w:tcPr>
          <w:p w14:paraId="40D987BD" w14:textId="77777777" w:rsidR="004C31F5" w:rsidRPr="00A51374" w:rsidRDefault="004C31F5" w:rsidP="000C6B77">
            <w:pPr>
              <w:pStyle w:val="KeyPointsicon"/>
            </w:pPr>
            <w:r w:rsidRPr="00F31E73">
              <w:rPr>
                <w:noProof/>
              </w:rPr>
              <w:drawing>
                <wp:inline distT="0" distB="0" distL="0" distR="0" wp14:anchorId="1710ECCD" wp14:editId="7F591FDA">
                  <wp:extent cx="180000" cy="180000"/>
                  <wp:effectExtent l="0" t="0" r="0" b="0"/>
                  <wp:docPr id="827872381" name="Graphic 8278723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a:extLst>
                              <a:ext uri="{C183D7F6-B498-43B3-948B-1728B52AA6E4}">
                                <adec:decorative xmlns:adec="http://schemas.microsoft.com/office/drawing/2017/decorative" val="1"/>
                              </a:ext>
                            </a:extLst>
                          </pic:cNvPr>
                          <pic:cNvPicPr/>
                        </pic:nvPicPr>
                        <pic:blipFill>
                          <a:blip r:embed="rId39">
                            <a:extLst>
                              <a:ext uri="{96DAC541-7B7A-43D3-8B79-37D633B846F1}">
                                <asvg:svgBlip xmlns:asvg="http://schemas.microsoft.com/office/drawing/2016/SVG/main" r:embed="rId40"/>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74392E81" w14:textId="77777777" w:rsidR="004C31F5" w:rsidRPr="00C55095" w:rsidRDefault="004C31F5" w:rsidP="00011592">
            <w:pPr>
              <w:pStyle w:val="KeyPoints-Bold"/>
              <w:rPr>
                <w:spacing w:val="-4"/>
              </w:rPr>
            </w:pPr>
            <w:r w:rsidRPr="00C55095">
              <w:rPr>
                <w:spacing w:val="-4"/>
              </w:rPr>
              <w:t>There is a domestic industry making products that are ‘like or directly competitive’ with these products.</w:t>
            </w:r>
          </w:p>
          <w:p w14:paraId="50BA0AB1" w14:textId="77777777" w:rsidR="004C31F5" w:rsidRPr="00362F11" w:rsidRDefault="004C31F5" w:rsidP="007D4571">
            <w:pPr>
              <w:pStyle w:val="KeyPoints-Bullet"/>
              <w:numPr>
                <w:ilvl w:val="0"/>
                <w:numId w:val="1"/>
              </w:numPr>
              <w:spacing w:before="0"/>
            </w:pPr>
            <w:r w:rsidRPr="00362F11">
              <w:rPr>
                <w:bCs/>
              </w:rPr>
              <w:t xml:space="preserve">The PC has identified </w:t>
            </w:r>
            <w:r w:rsidRPr="00362F11">
              <w:t>Australian businesses that make the product</w:t>
            </w:r>
            <w:r>
              <w:t xml:space="preserve">s that are ‘like or directly competitive’ and drawn on data about those businesses to conduct this investigation. </w:t>
            </w:r>
          </w:p>
        </w:tc>
      </w:tr>
      <w:tr w:rsidR="004C31F5" w14:paraId="4ABF9A23" w14:textId="77777777">
        <w:tc>
          <w:tcPr>
            <w:tcW w:w="577" w:type="dxa"/>
            <w:shd w:val="clear" w:color="auto" w:fill="E7F6FD"/>
            <w:tcMar>
              <w:top w:w="0" w:type="dxa"/>
              <w:bottom w:w="0" w:type="dxa"/>
              <w:right w:w="113" w:type="dxa"/>
            </w:tcMar>
          </w:tcPr>
          <w:p w14:paraId="01677883" w14:textId="77777777" w:rsidR="004C31F5" w:rsidRPr="00A51374" w:rsidRDefault="004C31F5" w:rsidP="000C6B77">
            <w:pPr>
              <w:pStyle w:val="KeyPointsicon"/>
            </w:pPr>
            <w:r w:rsidRPr="00F31E73">
              <w:rPr>
                <w:noProof/>
              </w:rPr>
              <w:drawing>
                <wp:inline distT="0" distB="0" distL="0" distR="0" wp14:anchorId="1927F4EB" wp14:editId="2CEBA5A0">
                  <wp:extent cx="180000" cy="180000"/>
                  <wp:effectExtent l="0" t="0" r="0" b="0"/>
                  <wp:docPr id="480497910" name="Graphic 4804979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39">
                            <a:extLst>
                              <a:ext uri="{96DAC541-7B7A-43D3-8B79-37D633B846F1}">
                                <asvg:svgBlip xmlns:asvg="http://schemas.microsoft.com/office/drawing/2016/SVG/main" r:embed="rId40"/>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7986FDB2" w14:textId="77777777" w:rsidR="004C31F5" w:rsidRPr="00610627" w:rsidRDefault="004C31F5" w:rsidP="00610627">
            <w:pPr>
              <w:pStyle w:val="KeyPoints-Bold"/>
            </w:pPr>
            <w:r>
              <w:t>The period of the investigation is financial years 2020–21 to 2024–25.</w:t>
            </w:r>
          </w:p>
        </w:tc>
      </w:tr>
      <w:tr w:rsidR="004C31F5" w14:paraId="795427A7" w14:textId="77777777">
        <w:tc>
          <w:tcPr>
            <w:tcW w:w="577" w:type="dxa"/>
            <w:shd w:val="clear" w:color="auto" w:fill="E7F6FD"/>
            <w:tcMar>
              <w:top w:w="0" w:type="dxa"/>
              <w:bottom w:w="0" w:type="dxa"/>
              <w:right w:w="113" w:type="dxa"/>
            </w:tcMar>
          </w:tcPr>
          <w:p w14:paraId="33891B7D" w14:textId="77777777" w:rsidR="004C31F5" w:rsidRPr="00F31E73" w:rsidRDefault="004C31F5" w:rsidP="000C6B77">
            <w:pPr>
              <w:pStyle w:val="KeyPointsicon"/>
              <w:rPr>
                <w:noProof/>
              </w:rPr>
            </w:pPr>
            <w:r w:rsidRPr="00F31E73">
              <w:rPr>
                <w:noProof/>
              </w:rPr>
              <w:drawing>
                <wp:inline distT="0" distB="0" distL="0" distR="0" wp14:anchorId="673DC530" wp14:editId="47C2A904">
                  <wp:extent cx="180000" cy="180000"/>
                  <wp:effectExtent l="0" t="0" r="0" b="0"/>
                  <wp:docPr id="583399214" name="Graphic 5833992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39">
                            <a:extLst>
                              <a:ext uri="{96DAC541-7B7A-43D3-8B79-37D633B846F1}">
                                <asvg:svgBlip xmlns:asvg="http://schemas.microsoft.com/office/drawing/2016/SVG/main" r:embed="rId40"/>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2DF05E08" w14:textId="77777777" w:rsidR="004C31F5" w:rsidRDefault="004C31F5" w:rsidP="00610627">
            <w:pPr>
              <w:pStyle w:val="KeyPoints-Bold"/>
            </w:pPr>
            <w:r>
              <w:t xml:space="preserve">In accordance with Australia’s trade agreements, imports from New Zealand and Singapore have been excluded from the investigation. </w:t>
            </w:r>
          </w:p>
        </w:tc>
      </w:tr>
    </w:tbl>
    <w:p w14:paraId="2C822E33" w14:textId="1B455037" w:rsidR="004C31F5" w:rsidRPr="00C60F8C" w:rsidRDefault="004C31F5">
      <w:pPr>
        <w:pStyle w:val="NoSpacing"/>
      </w:pPr>
    </w:p>
    <w:p w14:paraId="1933302C" w14:textId="77777777" w:rsidR="004C31F5" w:rsidRDefault="004C31F5" w:rsidP="00011592">
      <w:pPr>
        <w:pStyle w:val="Heading2"/>
      </w:pPr>
      <w:bookmarkStart w:id="12" w:name="_Toc238643903"/>
      <w:r>
        <w:t>The product and the domestic industry</w:t>
      </w:r>
      <w:bookmarkEnd w:id="12"/>
    </w:p>
    <w:p w14:paraId="5BCBD310" w14:textId="77777777" w:rsidR="004C31F5" w:rsidRDefault="004C31F5" w:rsidP="00011592">
      <w:pPr>
        <w:pStyle w:val="Heading3"/>
      </w:pPr>
      <w:r>
        <w:t>The product under investigation</w:t>
      </w:r>
    </w:p>
    <w:p w14:paraId="356CE6CD" w14:textId="60D3EDF3" w:rsidR="004C31F5" w:rsidRPr="006F3D76" w:rsidRDefault="004C31F5" w:rsidP="00011592">
      <w:pPr>
        <w:pStyle w:val="BodyText"/>
      </w:pPr>
      <w:r w:rsidRPr="006F3D76">
        <w:t xml:space="preserve">The product </w:t>
      </w:r>
      <w:r>
        <w:t xml:space="preserve">under investigation is defined in the inquiry’s </w:t>
      </w:r>
      <w:r w:rsidRPr="006F3D76">
        <w:t>terms of reference</w:t>
      </w:r>
      <w:r>
        <w:t xml:space="preserve"> by 10</w:t>
      </w:r>
      <w:r w:rsidR="00541146">
        <w:noBreakHyphen/>
      </w:r>
      <w:r>
        <w:t>digit codes falling under heading</w:t>
      </w:r>
      <w:r w:rsidRPr="006F3D76">
        <w:t xml:space="preserve"> 7308 </w:t>
      </w:r>
      <w:r>
        <w:t xml:space="preserve">of the </w:t>
      </w:r>
      <w:r w:rsidRPr="006F3D76">
        <w:t>Australian Tariff Code</w:t>
      </w:r>
      <w:r>
        <w:t xml:space="preserve">. Code 7308 </w:t>
      </w:r>
      <w:r w:rsidRPr="006F3D76">
        <w:t>generally captures:</w:t>
      </w:r>
    </w:p>
    <w:p w14:paraId="2DDF2615" w14:textId="77777777" w:rsidR="004C31F5" w:rsidRDefault="004C31F5" w:rsidP="004C31F5">
      <w:pPr>
        <w:pStyle w:val="ListBullet"/>
        <w:numPr>
          <w:ilvl w:val="0"/>
          <w:numId w:val="1"/>
        </w:numPr>
      </w:pPr>
      <w:r>
        <w:t>i</w:t>
      </w:r>
      <w:r w:rsidRPr="006F3D76">
        <w:t xml:space="preserve">ron or steel structures and parts of structures </w:t>
      </w:r>
    </w:p>
    <w:p w14:paraId="64C4C4C6" w14:textId="77777777" w:rsidR="004C31F5" w:rsidRDefault="004C31F5" w:rsidP="004C31F5">
      <w:pPr>
        <w:pStyle w:val="ListBullet"/>
        <w:numPr>
          <w:ilvl w:val="0"/>
          <w:numId w:val="1"/>
        </w:numPr>
      </w:pPr>
      <w:r>
        <w:t>i</w:t>
      </w:r>
      <w:r w:rsidRPr="006F3D76">
        <w:t>ron or steel plates, rods, angles, shapes, sections, tubes and the like, prepared for use in structures</w:t>
      </w:r>
      <w:r>
        <w:t>.</w:t>
      </w:r>
    </w:p>
    <w:p w14:paraId="6BBDD544" w14:textId="77777777" w:rsidR="004C31F5" w:rsidRDefault="004C31F5" w:rsidP="00011592">
      <w:pPr>
        <w:pStyle w:val="BodyText"/>
      </w:pPr>
      <w:r>
        <w:t>The 12 codes in our terms of reference are:</w:t>
      </w:r>
    </w:p>
    <w:p w14:paraId="6CAB7CC6" w14:textId="4DE65BAC" w:rsidR="004C31F5" w:rsidRDefault="004C31F5" w:rsidP="004C31F5">
      <w:pPr>
        <w:pStyle w:val="ListBullet"/>
        <w:numPr>
          <w:ilvl w:val="0"/>
          <w:numId w:val="1"/>
        </w:numPr>
      </w:pPr>
      <w:r>
        <w:t>7308100001 – Bridges and bridge</w:t>
      </w:r>
      <w:r w:rsidR="00541146">
        <w:noBreakHyphen/>
      </w:r>
      <w:r>
        <w:t>sections of iron or steel</w:t>
      </w:r>
    </w:p>
    <w:p w14:paraId="09DEA780" w14:textId="0E6DFE13" w:rsidR="004C31F5" w:rsidRDefault="004C31F5" w:rsidP="004C31F5">
      <w:pPr>
        <w:pStyle w:val="ListBullet"/>
        <w:numPr>
          <w:ilvl w:val="0"/>
          <w:numId w:val="1"/>
        </w:numPr>
      </w:pPr>
      <w:r>
        <w:t>7308900052 – Columns, pillars, posts, beams, girders, bracing, gantries, brackets, struts, ties and similar structural units, hot rolled, of iron or steel (excl. those of HTISCs 7308100001, 7308200002, 7308300003 and 7308400004)</w:t>
      </w:r>
    </w:p>
    <w:p w14:paraId="3DCC9ECF" w14:textId="4C129023" w:rsidR="004C31F5" w:rsidRDefault="004C31F5" w:rsidP="004C31F5">
      <w:pPr>
        <w:pStyle w:val="ListBullet"/>
        <w:numPr>
          <w:ilvl w:val="0"/>
          <w:numId w:val="1"/>
        </w:numPr>
      </w:pPr>
      <w:r>
        <w:t>7308900053 – Same as above, roll formed, plated or coated with zinc or aluminium</w:t>
      </w:r>
      <w:r w:rsidR="00541146">
        <w:noBreakHyphen/>
      </w:r>
      <w:r>
        <w:t>zinc alloys, less than 1.2mm thick, of iron or steel (excl. hot rolled and HS 730810 to 730840)</w:t>
      </w:r>
    </w:p>
    <w:p w14:paraId="6DF545B6" w14:textId="58CEFAF0" w:rsidR="004C31F5" w:rsidRDefault="004C31F5" w:rsidP="004C31F5">
      <w:pPr>
        <w:pStyle w:val="ListBullet"/>
        <w:numPr>
          <w:ilvl w:val="0"/>
          <w:numId w:val="1"/>
        </w:numPr>
      </w:pPr>
      <w:r>
        <w:t>7308900054 – Same as above, roll formed, plated or coated with zinc or aluminium</w:t>
      </w:r>
      <w:r w:rsidR="00541146">
        <w:noBreakHyphen/>
      </w:r>
      <w:r>
        <w:t>zinc alloys, greater than or equal to 1.2mm thick, of iron or steel (excl. hot rolled and HS 730810 to 730840)</w:t>
      </w:r>
    </w:p>
    <w:p w14:paraId="75804123" w14:textId="4B9AC36D" w:rsidR="004C31F5" w:rsidRDefault="004C31F5" w:rsidP="004C31F5">
      <w:pPr>
        <w:pStyle w:val="ListBullet"/>
        <w:numPr>
          <w:ilvl w:val="0"/>
          <w:numId w:val="1"/>
        </w:numPr>
      </w:pPr>
      <w:r>
        <w:lastRenderedPageBreak/>
        <w:t>7308900055 – Same as above, roll formed, of iron or steel (excluding hot rolled; plated or coated with zinc or aluminium</w:t>
      </w:r>
      <w:r w:rsidR="00541146">
        <w:noBreakHyphen/>
      </w:r>
      <w:r>
        <w:t>zinc alloys; and HS 730810 to 730840)</w:t>
      </w:r>
    </w:p>
    <w:p w14:paraId="544FDCD1" w14:textId="33A0229F" w:rsidR="004C31F5" w:rsidRDefault="004C31F5" w:rsidP="004C31F5">
      <w:pPr>
        <w:pStyle w:val="ListBullet"/>
        <w:numPr>
          <w:ilvl w:val="0"/>
          <w:numId w:val="1"/>
        </w:numPr>
      </w:pPr>
      <w:r>
        <w:t>7308900056 – Same as above, of iron or steel (excluding roll</w:t>
      </w:r>
      <w:r w:rsidR="00541146">
        <w:noBreakHyphen/>
      </w:r>
      <w:r>
        <w:t>formed structures and those of HTISCs 7308100001, 7308200002, 7308300003 and 7308400004)</w:t>
      </w:r>
    </w:p>
    <w:p w14:paraId="16D71692" w14:textId="7FD5B448" w:rsidR="004C31F5" w:rsidRDefault="004C31F5" w:rsidP="004C31F5">
      <w:pPr>
        <w:pStyle w:val="ListBullet"/>
        <w:numPr>
          <w:ilvl w:val="0"/>
          <w:numId w:val="1"/>
        </w:numPr>
      </w:pPr>
      <w:r>
        <w:t>7308900057 – Steel grating, stairways and treads (excluding those of HTISCs 7308100001, 7308200002, 7308300003 and 7308400004)</w:t>
      </w:r>
    </w:p>
    <w:p w14:paraId="54898DF1" w14:textId="1ABFE09C" w:rsidR="004C31F5" w:rsidRDefault="004C31F5" w:rsidP="004C31F5">
      <w:pPr>
        <w:pStyle w:val="ListBullet"/>
        <w:numPr>
          <w:ilvl w:val="0"/>
          <w:numId w:val="1"/>
        </w:numPr>
      </w:pPr>
      <w:r>
        <w:t>7308900060 – Handrails and stanchions, of iron or steel (excluding those of HTISCs 7308100001, 7308200002, 7308300003 and 7308400004)</w:t>
      </w:r>
    </w:p>
    <w:p w14:paraId="3C174B84" w14:textId="63F0B46F" w:rsidR="004C31F5" w:rsidRDefault="004C31F5" w:rsidP="004C31F5">
      <w:pPr>
        <w:pStyle w:val="ListBullet"/>
        <w:numPr>
          <w:ilvl w:val="0"/>
          <w:numId w:val="1"/>
        </w:numPr>
      </w:pPr>
      <w:r>
        <w:t>7308900062 – Guard rails and road barriers, of iron or steel, prepared for use on bridges and roads</w:t>
      </w:r>
    </w:p>
    <w:p w14:paraId="64B8CF2F" w14:textId="18C29DCE" w:rsidR="004C31F5" w:rsidRDefault="004C31F5" w:rsidP="004C31F5">
      <w:pPr>
        <w:pStyle w:val="ListBullet"/>
        <w:numPr>
          <w:ilvl w:val="0"/>
          <w:numId w:val="1"/>
        </w:numPr>
      </w:pPr>
      <w:r>
        <w:t>7308900063 – Sectional components, of iron or steel, prepared for use in towers and lattice masts</w:t>
      </w:r>
    </w:p>
    <w:p w14:paraId="20F11BD0" w14:textId="680AD21D" w:rsidR="004C31F5" w:rsidRDefault="004C31F5" w:rsidP="004C31F5">
      <w:pPr>
        <w:pStyle w:val="ListBullet"/>
        <w:numPr>
          <w:ilvl w:val="0"/>
          <w:numId w:val="1"/>
        </w:numPr>
      </w:pPr>
      <w:r>
        <w:t>7308900064 – Lintels, of iron or steel, prepared for use with doors and windows</w:t>
      </w:r>
    </w:p>
    <w:p w14:paraId="5CC4B6F4" w14:textId="77777777" w:rsidR="004C31F5" w:rsidRDefault="004C31F5" w:rsidP="004C31F5">
      <w:pPr>
        <w:pStyle w:val="ListBullet"/>
        <w:numPr>
          <w:ilvl w:val="0"/>
          <w:numId w:val="1"/>
        </w:numPr>
      </w:pPr>
      <w:r>
        <w:t>7308900065 – Structures and parts of structures and plates, rods, angles, shapes, sections, tubes and the like, prepared for use in structures, of iron or steel (excluding those of HTISC 7308100001).</w:t>
      </w:r>
    </w:p>
    <w:p w14:paraId="01AB97EB" w14:textId="733C3561" w:rsidR="004C31F5" w:rsidRPr="00407A1D" w:rsidRDefault="004C31F5" w:rsidP="00011592">
      <w:pPr>
        <w:pStyle w:val="BodyText"/>
        <w:rPr>
          <w:spacing w:val="-2"/>
        </w:rPr>
      </w:pPr>
      <w:r w:rsidRPr="00407A1D">
        <w:rPr>
          <w:spacing w:val="-2"/>
        </w:rPr>
        <w:t xml:space="preserve">This investigation captures some but not </w:t>
      </w:r>
      <w:proofErr w:type="gramStart"/>
      <w:r w:rsidRPr="00407A1D">
        <w:rPr>
          <w:spacing w:val="-2"/>
        </w:rPr>
        <w:t>all of</w:t>
      </w:r>
      <w:proofErr w:type="gramEnd"/>
      <w:r w:rsidRPr="00407A1D">
        <w:rPr>
          <w:spacing w:val="-2"/>
        </w:rPr>
        <w:t xml:space="preserve"> the codes within the 10</w:t>
      </w:r>
      <w:r w:rsidR="00541146" w:rsidRPr="00407A1D">
        <w:rPr>
          <w:spacing w:val="-2"/>
        </w:rPr>
        <w:noBreakHyphen/>
      </w:r>
      <w:r w:rsidRPr="00407A1D">
        <w:rPr>
          <w:spacing w:val="-2"/>
        </w:rPr>
        <w:t>digit 7308.90.00 subheading. At the public hearings, it was stated that any safeguard measure would need to be implemented at the 6</w:t>
      </w:r>
      <w:r w:rsidR="00541146" w:rsidRPr="00407A1D">
        <w:rPr>
          <w:spacing w:val="-2"/>
        </w:rPr>
        <w:noBreakHyphen/>
      </w:r>
      <w:r w:rsidRPr="00407A1D">
        <w:rPr>
          <w:spacing w:val="-2"/>
        </w:rPr>
        <w:t xml:space="preserve"> or 8</w:t>
      </w:r>
      <w:r w:rsidR="00541146" w:rsidRPr="00407A1D">
        <w:rPr>
          <w:spacing w:val="-2"/>
        </w:rPr>
        <w:noBreakHyphen/>
      </w:r>
      <w:r w:rsidRPr="00407A1D">
        <w:rPr>
          <w:spacing w:val="-2"/>
        </w:rPr>
        <w:t>digit level, not at the 10</w:t>
      </w:r>
      <w:r w:rsidR="00541146" w:rsidRPr="00407A1D">
        <w:rPr>
          <w:spacing w:val="-2"/>
        </w:rPr>
        <w:noBreakHyphen/>
      </w:r>
      <w:r w:rsidRPr="00407A1D">
        <w:rPr>
          <w:spacing w:val="-2"/>
        </w:rPr>
        <w:t>digit level used to define the scope of this investigation (Moulis Legal representing the China Chamber of Commerce of Metals, Minerals and Chemicals Importers and Exporters, transcript 14 May, p.</w:t>
      </w:r>
      <w:r w:rsidR="00541146" w:rsidRPr="00407A1D">
        <w:rPr>
          <w:spacing w:val="-2"/>
        </w:rPr>
        <w:t> </w:t>
      </w:r>
      <w:r w:rsidRPr="00407A1D">
        <w:rPr>
          <w:spacing w:val="-2"/>
        </w:rPr>
        <w:t xml:space="preserve">9). This is correct. </w:t>
      </w:r>
      <w:proofErr w:type="gramStart"/>
      <w:r w:rsidRPr="00407A1D">
        <w:rPr>
          <w:spacing w:val="-2"/>
        </w:rPr>
        <w:t>In order to</w:t>
      </w:r>
      <w:proofErr w:type="gramEnd"/>
      <w:r w:rsidRPr="00407A1D">
        <w:rPr>
          <w:spacing w:val="-2"/>
        </w:rPr>
        <w:t xml:space="preserve"> apply safeguard measures targeting the in</w:t>
      </w:r>
      <w:r w:rsidR="00541146" w:rsidRPr="00407A1D">
        <w:rPr>
          <w:spacing w:val="-2"/>
        </w:rPr>
        <w:noBreakHyphen/>
      </w:r>
      <w:r w:rsidRPr="00407A1D">
        <w:rPr>
          <w:spacing w:val="-2"/>
        </w:rPr>
        <w:t>scope products, the 10</w:t>
      </w:r>
      <w:r w:rsidR="00541146" w:rsidRPr="00407A1D">
        <w:rPr>
          <w:spacing w:val="-2"/>
        </w:rPr>
        <w:noBreakHyphen/>
      </w:r>
      <w:r w:rsidRPr="00407A1D">
        <w:rPr>
          <w:spacing w:val="-2"/>
        </w:rPr>
        <w:t>digit codes that form the basis of this investigation would need to be ‘elevated’ to the 8</w:t>
      </w:r>
      <w:r w:rsidR="00541146" w:rsidRPr="00407A1D">
        <w:rPr>
          <w:spacing w:val="-2"/>
        </w:rPr>
        <w:noBreakHyphen/>
      </w:r>
      <w:r w:rsidRPr="00407A1D">
        <w:rPr>
          <w:spacing w:val="-2"/>
        </w:rPr>
        <w:t xml:space="preserve">digit level, because the </w:t>
      </w:r>
      <w:r w:rsidRPr="00407A1D">
        <w:rPr>
          <w:i/>
          <w:iCs/>
          <w:spacing w:val="-2"/>
        </w:rPr>
        <w:t>Customs Tariff Act 1995</w:t>
      </w:r>
      <w:r w:rsidRPr="00407A1D">
        <w:rPr>
          <w:spacing w:val="-2"/>
        </w:rPr>
        <w:t xml:space="preserve"> (</w:t>
      </w:r>
      <w:proofErr w:type="spellStart"/>
      <w:r w:rsidRPr="00407A1D">
        <w:rPr>
          <w:spacing w:val="-2"/>
        </w:rPr>
        <w:t>Cth</w:t>
      </w:r>
      <w:proofErr w:type="spellEnd"/>
      <w:r w:rsidRPr="00407A1D">
        <w:rPr>
          <w:spacing w:val="-2"/>
        </w:rPr>
        <w:t>) sets duty rates for 8</w:t>
      </w:r>
      <w:r w:rsidRPr="00407A1D">
        <w:rPr>
          <w:spacing w:val="-2"/>
        </w:rPr>
        <w:noBreakHyphen/>
        <w:t xml:space="preserve">digit tariff subheadings. </w:t>
      </w:r>
    </w:p>
    <w:p w14:paraId="2EEFCDB7" w14:textId="3C9E87F5" w:rsidR="004C31F5" w:rsidRDefault="004C31F5" w:rsidP="00011592">
      <w:pPr>
        <w:pStyle w:val="BodyText"/>
      </w:pPr>
      <w:r>
        <w:t>One submission noted that the 10</w:t>
      </w:r>
      <w:r w:rsidR="00541146">
        <w:noBreakHyphen/>
      </w:r>
      <w:r>
        <w:t>digit codes in the terms of reference capture ‘a substantial range of unrelated steel products forming part of ordinary Australian distribution and import supply chains’ (name withheld, sub.</w:t>
      </w:r>
      <w:r w:rsidR="00541146">
        <w:t> </w:t>
      </w:r>
      <w:r>
        <w:t>59, p.</w:t>
      </w:r>
      <w:r w:rsidR="00541146">
        <w:t> </w:t>
      </w:r>
      <w:r>
        <w:t>6). However, the Agreement on Safeguards (SA) does ‘</w:t>
      </w:r>
      <w:r w:rsidRPr="00965962">
        <w:t>not set out rules for selecting the product under investigation</w:t>
      </w:r>
      <w:r>
        <w:t xml:space="preserve">, and for example they do </w:t>
      </w:r>
      <w:r w:rsidRPr="00965962">
        <w:t xml:space="preserve">not prevent a </w:t>
      </w:r>
      <w:proofErr w:type="gramStart"/>
      <w:r w:rsidRPr="00965962">
        <w:t>Member</w:t>
      </w:r>
      <w:proofErr w:type="gramEnd"/>
      <w:r w:rsidRPr="00965962">
        <w:t xml:space="preserve"> from including a range of products in a single investigation</w:t>
      </w:r>
      <w:r>
        <w:t>’ (</w:t>
      </w:r>
      <w:r w:rsidRPr="00136D73">
        <w:rPr>
          <w:i/>
          <w:iCs/>
        </w:rPr>
        <w:t>EU – Certain Steel Products</w:t>
      </w:r>
      <w:r>
        <w:t xml:space="preserve"> (Panel), para. 7.34). </w:t>
      </w:r>
    </w:p>
    <w:p w14:paraId="40B3B9ED" w14:textId="0A76B6D4" w:rsidR="004C31F5" w:rsidRPr="006F3D76" w:rsidRDefault="004C31F5" w:rsidP="00011592">
      <w:pPr>
        <w:pStyle w:val="Heading4"/>
      </w:pPr>
      <w:r>
        <w:t>The PC has analysed the in</w:t>
      </w:r>
      <w:r w:rsidR="00541146">
        <w:noBreakHyphen/>
      </w:r>
      <w:r>
        <w:t>scope 10</w:t>
      </w:r>
      <w:r w:rsidR="00541146">
        <w:noBreakHyphen/>
      </w:r>
      <w:r>
        <w:t>digit codes together</w:t>
      </w:r>
    </w:p>
    <w:p w14:paraId="49F09EC6" w14:textId="0AD11761" w:rsidR="004C31F5" w:rsidRDefault="004C31F5" w:rsidP="00011592">
      <w:pPr>
        <w:pStyle w:val="BodyText"/>
      </w:pPr>
      <w:r>
        <w:t xml:space="preserve">In </w:t>
      </w:r>
      <w:r>
        <w:rPr>
          <w:i/>
          <w:iCs/>
        </w:rPr>
        <w:t>EU – Certain Steel Products,</w:t>
      </w:r>
      <w:r w:rsidRPr="00741747">
        <w:t xml:space="preserve"> the </w:t>
      </w:r>
      <w:r>
        <w:t xml:space="preserve">Panel held that </w:t>
      </w:r>
      <w:r w:rsidRPr="00045C8B">
        <w:t>Article XIX</w:t>
      </w:r>
      <w:r>
        <w:t xml:space="preserve"> of the General Agreement on Tariffs and Trade 1994 </w:t>
      </w:r>
      <w:r w:rsidRPr="00045C8B">
        <w:t xml:space="preserve">and the Agreement on Safeguards </w:t>
      </w:r>
      <w:r>
        <w:t>‘</w:t>
      </w:r>
      <w:r w:rsidRPr="00045C8B">
        <w:t>do not constrain the choice of product(s) under investigation</w:t>
      </w:r>
      <w:r>
        <w:t xml:space="preserve">’ and </w:t>
      </w:r>
      <w:r w:rsidRPr="00036570">
        <w:t xml:space="preserve">investigating </w:t>
      </w:r>
      <w:r>
        <w:t>bodies ‘</w:t>
      </w:r>
      <w:r w:rsidRPr="00036570">
        <w:t>can investigate and apply a safeguard on a range of products taken together</w:t>
      </w:r>
      <w:r>
        <w:t>’ (para. 7.53). Another Panel rejected the argument that grouped products must be like or directly competitive with each other (</w:t>
      </w:r>
      <w:r>
        <w:rPr>
          <w:i/>
          <w:iCs/>
        </w:rPr>
        <w:t xml:space="preserve">Dominican Republic – Safeguard Measures </w:t>
      </w:r>
      <w:r>
        <w:t>(Panel), para. 7.181).</w:t>
      </w:r>
    </w:p>
    <w:p w14:paraId="2F07FE6D" w14:textId="77777777" w:rsidR="004C31F5" w:rsidRPr="00A26E79" w:rsidRDefault="004C31F5" w:rsidP="00011592">
      <w:pPr>
        <w:pStyle w:val="BodyText"/>
      </w:pPr>
      <w:r w:rsidRPr="00A26E79">
        <w:t>However, the conditions for applying a safeguard measure must be established in relation to the product as defined: the authority must demonstrate increased imports of that product, serious injury or threat of serious injury to the domestic industry producing the corresponding like or directly competitive products, and a causal link between the increased imports and that injury.</w:t>
      </w:r>
    </w:p>
    <w:p w14:paraId="60B87609" w14:textId="090F436F" w:rsidR="004C31F5" w:rsidRPr="00A26E79" w:rsidRDefault="004C31F5" w:rsidP="00011592">
      <w:pPr>
        <w:pStyle w:val="BodyText"/>
      </w:pPr>
      <w:r w:rsidRPr="00A26E79">
        <w:t xml:space="preserve">Consistent with these requirements, the PC has </w:t>
      </w:r>
      <w:r>
        <w:t xml:space="preserve">treated the </w:t>
      </w:r>
      <w:r w:rsidRPr="00A26E79">
        <w:t>twelve 10</w:t>
      </w:r>
      <w:r w:rsidR="00541146">
        <w:noBreakHyphen/>
      </w:r>
      <w:r w:rsidRPr="00A26E79">
        <w:t>digit codes in the terms of reference</w:t>
      </w:r>
      <w:r>
        <w:t xml:space="preserve"> as a single product grouping,</w:t>
      </w:r>
      <w:r w:rsidRPr="00A26E79">
        <w:t xml:space="preserve"> assessed import trends by reference to this product grouping, and assessed the condition of the domestic industry identified as producing the corresponding like or directly competitive products.</w:t>
      </w:r>
    </w:p>
    <w:p w14:paraId="1F951A54" w14:textId="7F099342" w:rsidR="004C31F5" w:rsidRPr="00A26E79" w:rsidRDefault="004C31F5" w:rsidP="00011592">
      <w:pPr>
        <w:pStyle w:val="BodyText"/>
      </w:pPr>
      <w:r>
        <w:t>The products covered by the in</w:t>
      </w:r>
      <w:r w:rsidR="00541146">
        <w:noBreakHyphen/>
      </w:r>
      <w:r>
        <w:t>scope 10</w:t>
      </w:r>
      <w:r w:rsidR="00541146">
        <w:noBreakHyphen/>
      </w:r>
      <w:r>
        <w:t xml:space="preserve">digit codes share a common functional character as fabricated structural steel components prepared for use in structures. While they vary in their form and end use and are not generally substitutable from the perspective of buyers, they are produced by </w:t>
      </w:r>
      <w:r w:rsidRPr="00A26E79">
        <w:t xml:space="preserve">an identifiable group of firms </w:t>
      </w:r>
      <w:r>
        <w:t xml:space="preserve">using the same </w:t>
      </w:r>
      <w:r w:rsidRPr="00A26E79">
        <w:t xml:space="preserve">facilities, inputs, labour and processes. These features mean that analysing the products together reflects the organisation and production activities of the domestic </w:t>
      </w:r>
      <w:r w:rsidRPr="00A26E79">
        <w:lastRenderedPageBreak/>
        <w:t xml:space="preserve">industry and provides an appropriate basis for assessing the overall effects of imports on </w:t>
      </w:r>
      <w:r>
        <w:t>the domestic industry.</w:t>
      </w:r>
      <w:r w:rsidRPr="009E0A42">
        <w:t xml:space="preserve"> </w:t>
      </w:r>
      <w:r>
        <w:t>Identification of the domestic industry producing ‘like or directly competitive’ products is discussed in more detail below.</w:t>
      </w:r>
    </w:p>
    <w:p w14:paraId="361FC0F0" w14:textId="2C42DAF2" w:rsidR="004C31F5" w:rsidRDefault="004C31F5" w:rsidP="00011592">
      <w:pPr>
        <w:pStyle w:val="BodyText"/>
      </w:pPr>
      <w:r>
        <w:t>The way imports are recorded provides an additional rationale for grouping the in</w:t>
      </w:r>
      <w:r w:rsidR="00541146">
        <w:noBreakHyphen/>
      </w:r>
      <w:r>
        <w:t>scope 10</w:t>
      </w:r>
      <w:r w:rsidR="00541146">
        <w:noBreakHyphen/>
      </w:r>
      <w:r>
        <w:t>digit codes.</w:t>
      </w:r>
      <w:r w:rsidRPr="00A26E79">
        <w:t xml:space="preserve"> </w:t>
      </w:r>
      <w:r>
        <w:t>The terms of reference include a residual ‘other’ category (</w:t>
      </w:r>
      <w:r w:rsidRPr="00A26E79">
        <w:t>7308.90.00.65</w:t>
      </w:r>
      <w:r>
        <w:t>) which accounted for between 72% and 83% of the volume of in</w:t>
      </w:r>
      <w:r w:rsidR="00541146">
        <w:noBreakHyphen/>
      </w:r>
      <w:r>
        <w:t>scope imports over the investigation period</w:t>
      </w:r>
      <w:r w:rsidRPr="00A26E79">
        <w:t xml:space="preserve"> </w:t>
      </w:r>
      <w:r>
        <w:t xml:space="preserve">(PC analysis of ABS data). </w:t>
      </w:r>
      <w:r w:rsidRPr="00A26E79">
        <w:t xml:space="preserve">This category likely includes products that could reasonably be included within the more specific codes. </w:t>
      </w:r>
      <w:r>
        <w:t>A</w:t>
      </w:r>
      <w:r w:rsidRPr="00A26E79">
        <w:t>t the public hearings</w:t>
      </w:r>
      <w:r>
        <w:t xml:space="preserve">, the ASI said that </w:t>
      </w:r>
      <w:r w:rsidRPr="00A26E79">
        <w:t>the ‘other’ category ‘is somewhat of a catch</w:t>
      </w:r>
      <w:r w:rsidR="00541146">
        <w:noBreakHyphen/>
      </w:r>
      <w:r w:rsidRPr="00A26E79">
        <w:t>all. If people weren’t sure how to classify something when they’re importing, or just weren’t very careful, they use that’ (</w:t>
      </w:r>
      <w:r>
        <w:t xml:space="preserve">transcript, </w:t>
      </w:r>
      <w:r w:rsidRPr="00A26E79">
        <w:t>13 May, p.</w:t>
      </w:r>
      <w:r w:rsidR="00541146">
        <w:t> </w:t>
      </w:r>
      <w:r w:rsidRPr="00A26E79">
        <w:t>7).</w:t>
      </w:r>
    </w:p>
    <w:p w14:paraId="7B398868" w14:textId="34637598" w:rsidR="004C31F5" w:rsidRPr="00144235" w:rsidRDefault="004C31F5" w:rsidP="00011592">
      <w:pPr>
        <w:pStyle w:val="BodyText"/>
        <w:rPr>
          <w:spacing w:val="-4"/>
        </w:rPr>
      </w:pPr>
      <w:r w:rsidRPr="00144235">
        <w:rPr>
          <w:spacing w:val="-4"/>
        </w:rPr>
        <w:t>As a result, the distribution of imports across the 10</w:t>
      </w:r>
      <w:r w:rsidR="00541146" w:rsidRPr="00144235">
        <w:rPr>
          <w:spacing w:val="-4"/>
        </w:rPr>
        <w:noBreakHyphen/>
      </w:r>
      <w:r w:rsidRPr="00144235">
        <w:rPr>
          <w:spacing w:val="-4"/>
        </w:rPr>
        <w:t>digit codes can be influenced by classification practices rather than substantive variation in the imports themselves. Analysing each tariff code in isolation could produce unstable or misleading results. For example, the PC has heard that import penetration has been greatest in the portal frames segment (ASI, post</w:t>
      </w:r>
      <w:r w:rsidR="00541146" w:rsidRPr="00144235">
        <w:rPr>
          <w:spacing w:val="-4"/>
        </w:rPr>
        <w:noBreakHyphen/>
      </w:r>
      <w:r w:rsidRPr="00144235">
        <w:rPr>
          <w:spacing w:val="-4"/>
        </w:rPr>
        <w:t>hearing submission, p.</w:t>
      </w:r>
      <w:r w:rsidR="00541146" w:rsidRPr="00144235">
        <w:rPr>
          <w:spacing w:val="-4"/>
        </w:rPr>
        <w:t> </w:t>
      </w:r>
      <w:r w:rsidRPr="00144235">
        <w:rPr>
          <w:spacing w:val="-4"/>
        </w:rPr>
        <w:t>22) but the code that most naturally captures these products (7308.90.00.52) only accounts for around 1% of the in</w:t>
      </w:r>
      <w:r w:rsidR="00541146" w:rsidRPr="00144235">
        <w:rPr>
          <w:spacing w:val="-4"/>
        </w:rPr>
        <w:noBreakHyphen/>
      </w:r>
      <w:r w:rsidRPr="00144235">
        <w:rPr>
          <w:spacing w:val="-4"/>
        </w:rPr>
        <w:t>scope products in volume terms (PC analysis of ABS data). And while total imports of the in</w:t>
      </w:r>
      <w:r w:rsidR="00541146" w:rsidRPr="00144235">
        <w:rPr>
          <w:spacing w:val="-4"/>
        </w:rPr>
        <w:noBreakHyphen/>
      </w:r>
      <w:r w:rsidRPr="00144235">
        <w:rPr>
          <w:spacing w:val="-4"/>
        </w:rPr>
        <w:t>scope 10</w:t>
      </w:r>
      <w:r w:rsidR="00541146" w:rsidRPr="00144235">
        <w:rPr>
          <w:spacing w:val="-4"/>
        </w:rPr>
        <w:noBreakHyphen/>
      </w:r>
      <w:r w:rsidRPr="00144235">
        <w:rPr>
          <w:spacing w:val="-4"/>
        </w:rPr>
        <w:t xml:space="preserve">digit codes increased over the investigation period, imports in half of the codes </w:t>
      </w:r>
      <w:proofErr w:type="gramStart"/>
      <w:r w:rsidRPr="00144235">
        <w:rPr>
          <w:spacing w:val="-4"/>
        </w:rPr>
        <w:t>actually declined</w:t>
      </w:r>
      <w:proofErr w:type="gramEnd"/>
      <w:r w:rsidRPr="00144235">
        <w:rPr>
          <w:spacing w:val="-4"/>
        </w:rPr>
        <w:t xml:space="preserve">; this outcome is driven by significant growth in the ‘other’ code (PC analysis of ABS data). Given the overlap in the facilities, inputs, labour and processes used to produce products across the codes, these divergent trends seem more likely to reflect classification practices than substantive differences in import competition across the codes. </w:t>
      </w:r>
    </w:p>
    <w:p w14:paraId="6932FA16" w14:textId="77777777" w:rsidR="004C31F5" w:rsidRPr="00741747" w:rsidRDefault="004C31F5" w:rsidP="00011592">
      <w:pPr>
        <w:pStyle w:val="BodyText"/>
        <w:rPr>
          <w:strike/>
        </w:rPr>
      </w:pPr>
      <w:r>
        <w:t xml:space="preserve">This all suggests that relevant imports are often recorded under the ‘other’ category 7308.90.00.65, which is consistent with the ASI’s view. </w:t>
      </w:r>
      <w:r w:rsidRPr="00A26E79">
        <w:t>Analysing the codes together provides a more reliable basis for assessing the evolution of imports</w:t>
      </w:r>
      <w:r>
        <w:t xml:space="preserve"> of fabricated structural steel and outcomes for the industry producing like or directly competitive products.</w:t>
      </w:r>
    </w:p>
    <w:p w14:paraId="63B10504" w14:textId="77777777" w:rsidR="004C31F5" w:rsidRPr="006F3D76" w:rsidRDefault="004C31F5" w:rsidP="00011592">
      <w:pPr>
        <w:pStyle w:val="Heading3"/>
      </w:pPr>
      <w:r>
        <w:t>The domestic industry</w:t>
      </w:r>
      <w:r w:rsidRPr="00236A53" w:rsidDel="00236A53">
        <w:t xml:space="preserve"> </w:t>
      </w:r>
    </w:p>
    <w:p w14:paraId="191A614B" w14:textId="77777777" w:rsidR="004C31F5" w:rsidRDefault="004C31F5" w:rsidP="00011592">
      <w:pPr>
        <w:pStyle w:val="BodyText"/>
      </w:pPr>
      <w:r>
        <w:t>The PC is required to identify the domestic industry producing products that are ‘like or directly competitive’ with the relevant imported product (SA Article 2.1).</w:t>
      </w:r>
    </w:p>
    <w:p w14:paraId="241330DF" w14:textId="77777777" w:rsidR="004C31F5" w:rsidRPr="00AB7D5E" w:rsidRDefault="004C31F5" w:rsidP="00011592">
      <w:pPr>
        <w:pStyle w:val="BodyText"/>
        <w:rPr>
          <w:spacing w:val="-2"/>
        </w:rPr>
      </w:pPr>
      <w:r w:rsidRPr="00AB7D5E">
        <w:rPr>
          <w:spacing w:val="-2"/>
        </w:rPr>
        <w:t>Asked about whether its members make the products defined in the terms of reference, the ASI said that:</w:t>
      </w:r>
    </w:p>
    <w:p w14:paraId="0F469E73" w14:textId="53254776" w:rsidR="004C31F5" w:rsidRPr="00AB7D5E" w:rsidRDefault="004C31F5" w:rsidP="00011592">
      <w:pPr>
        <w:pStyle w:val="Quote"/>
        <w:rPr>
          <w:spacing w:val="-4"/>
        </w:rPr>
      </w:pPr>
      <w:r w:rsidRPr="00AB7D5E">
        <w:rPr>
          <w:spacing w:val="-4"/>
        </w:rPr>
        <w:t xml:space="preserve">most of our members can make at least some, if not all, of those products covered in those different tariff codes. … they are reasonably flexible in terms of the type of work that they can take on. That’s not defined so much by the nature of the work, but what equipment they have and what level of specialisation they have by way of equipment. … Within the sort of things we’ve talked about, there isn’t a fundamental difference between a portal frame structure and a </w:t>
      </w:r>
      <w:proofErr w:type="gramStart"/>
      <w:r w:rsidRPr="00AB7D5E">
        <w:rPr>
          <w:spacing w:val="-4"/>
        </w:rPr>
        <w:t>really complex</w:t>
      </w:r>
      <w:proofErr w:type="gramEnd"/>
      <w:r w:rsidRPr="00AB7D5E">
        <w:rPr>
          <w:spacing w:val="-4"/>
        </w:rPr>
        <w:t xml:space="preserve"> thing like a large naval ship, for example. (transcript, 13 May, pp.</w:t>
      </w:r>
      <w:r w:rsidR="00541146" w:rsidRPr="00AB7D5E">
        <w:rPr>
          <w:spacing w:val="-4"/>
        </w:rPr>
        <w:t> </w:t>
      </w:r>
      <w:r w:rsidRPr="00AB7D5E">
        <w:rPr>
          <w:spacing w:val="-4"/>
        </w:rPr>
        <w:t>6–7)</w:t>
      </w:r>
    </w:p>
    <w:p w14:paraId="2339678A" w14:textId="77777777" w:rsidR="004C31F5" w:rsidRPr="0003653F" w:rsidRDefault="004C31F5" w:rsidP="00144235">
      <w:pPr>
        <w:pStyle w:val="BodyText"/>
        <w:spacing w:line="260" w:lineRule="atLeast"/>
        <w:rPr>
          <w:spacing w:val="-4"/>
        </w:rPr>
      </w:pPr>
      <w:r w:rsidRPr="0003653F">
        <w:rPr>
          <w:spacing w:val="-4"/>
        </w:rPr>
        <w:t>This aligns with what the PC has heard through engagement and submissions from fabricators, many of whom indicate they compete with imports across a range of the codes specified in the terms of reference.</w:t>
      </w:r>
      <w:r w:rsidRPr="0003653F">
        <w:rPr>
          <w:rStyle w:val="FootnoteReference"/>
          <w:spacing w:val="-4"/>
        </w:rPr>
        <w:footnoteReference w:id="3"/>
      </w:r>
    </w:p>
    <w:p w14:paraId="6C45D0BA" w14:textId="3DF1F311" w:rsidR="004C31F5" w:rsidRDefault="004C31F5" w:rsidP="00144235">
      <w:pPr>
        <w:pStyle w:val="BodyText"/>
        <w:spacing w:line="260" w:lineRule="atLeast"/>
      </w:pPr>
      <w:r>
        <w:t>One submission suggested that some in</w:t>
      </w:r>
      <w:r w:rsidR="00541146">
        <w:noBreakHyphen/>
      </w:r>
      <w:r>
        <w:t xml:space="preserve">scope products, including gratings, handrails and stanchions ‘are not fabricated by the structural fabricators the safeguard inquiry is purportedly seeking to protect’ </w:t>
      </w:r>
      <w:r>
        <w:lastRenderedPageBreak/>
        <w:t>(name withheld, sub.</w:t>
      </w:r>
      <w:r w:rsidR="00541146">
        <w:t> </w:t>
      </w:r>
      <w:r>
        <w:t>59, p.</w:t>
      </w:r>
      <w:r w:rsidR="00541146">
        <w:t> </w:t>
      </w:r>
      <w:r>
        <w:t>6). These products are captured within the in</w:t>
      </w:r>
      <w:r w:rsidR="00541146">
        <w:noBreakHyphen/>
      </w:r>
      <w:r>
        <w:t xml:space="preserve">scope codes 7308.90.00.57 and 7308.90.00.60. However, </w:t>
      </w:r>
      <w:proofErr w:type="gramStart"/>
      <w:r>
        <w:t>a number of</w:t>
      </w:r>
      <w:proofErr w:type="gramEnd"/>
      <w:r>
        <w:t xml:space="preserve"> submissions from fabricators indicate that they do produce products within these codes.</w:t>
      </w:r>
      <w:r w:rsidRPr="00DE26DB">
        <w:rPr>
          <w:rStyle w:val="FootnoteReference"/>
        </w:rPr>
        <w:footnoteReference w:id="4"/>
      </w:r>
    </w:p>
    <w:p w14:paraId="4D65673B" w14:textId="77777777" w:rsidR="004C31F5" w:rsidRDefault="004C31F5" w:rsidP="00144235">
      <w:pPr>
        <w:pStyle w:val="BodyText"/>
        <w:spacing w:line="260" w:lineRule="atLeast"/>
      </w:pPr>
      <w:proofErr w:type="gramStart"/>
      <w:r>
        <w:t>In light of</w:t>
      </w:r>
      <w:proofErr w:type="gramEnd"/>
      <w:r>
        <w:t xml:space="preserve"> these considerations, the PC is satisfied there is a domestic industry producing products that are like or directly competitive with the relevant imported products. </w:t>
      </w:r>
    </w:p>
    <w:p w14:paraId="46361F6B" w14:textId="77777777" w:rsidR="004C31F5" w:rsidRDefault="004C31F5" w:rsidP="00011592">
      <w:pPr>
        <w:pStyle w:val="Heading4"/>
      </w:pPr>
      <w:r>
        <w:t>The PC has identified specific businesses comprising the domestic industry</w:t>
      </w:r>
    </w:p>
    <w:p w14:paraId="256035AC" w14:textId="594EC13D" w:rsidR="004C31F5" w:rsidRDefault="004C31F5" w:rsidP="00144235">
      <w:pPr>
        <w:pStyle w:val="BodyText"/>
        <w:spacing w:line="260" w:lineRule="atLeast"/>
      </w:pPr>
      <w:r>
        <w:t>Some inquiry participants have suggested that heterogeneity across the 10</w:t>
      </w:r>
      <w:r w:rsidR="00541146">
        <w:noBreakHyphen/>
      </w:r>
      <w:r>
        <w:t>digit codes included in this investigation is a barrier to identifying the relevant domestic industry (Ministry of Commerce of the People’s Republic of China, sub.</w:t>
      </w:r>
      <w:r w:rsidR="00541146">
        <w:t> </w:t>
      </w:r>
      <w:r>
        <w:t>50, p.</w:t>
      </w:r>
      <w:r w:rsidR="00541146">
        <w:t> </w:t>
      </w:r>
      <w:r>
        <w:t>3; China Chamber of Commerce of Metals, Minerals and Chemicals Importers and Exporters, sub.</w:t>
      </w:r>
      <w:r w:rsidR="00541146">
        <w:t> </w:t>
      </w:r>
      <w:r>
        <w:t>55, p.</w:t>
      </w:r>
      <w:r w:rsidR="00541146">
        <w:t> </w:t>
      </w:r>
      <w:r>
        <w:t>4). If the domestic industry cannot be identified it would not be possible to analyse whether it is injured.</w:t>
      </w:r>
    </w:p>
    <w:p w14:paraId="76F7CD3D" w14:textId="10A63518" w:rsidR="004C31F5" w:rsidRDefault="004C31F5" w:rsidP="00144235">
      <w:pPr>
        <w:pStyle w:val="BodyText"/>
        <w:spacing w:line="260" w:lineRule="atLeast"/>
      </w:pPr>
      <w:r>
        <w:t>The PC has taken steps to identify a sufficiently large and representative group of businesses to undertake this safeguard investigation. The ASI provided the PC with a list of</w:t>
      </w:r>
      <w:r w:rsidRPr="00CA1BD6">
        <w:t xml:space="preserve"> </w:t>
      </w:r>
      <w:r w:rsidRPr="004965B0">
        <w:t>336</w:t>
      </w:r>
      <w:r w:rsidRPr="00CA1BD6">
        <w:t xml:space="preserve"> </w:t>
      </w:r>
      <w:r>
        <w:t>fabricator members</w:t>
      </w:r>
      <w:r w:rsidRPr="00CA1BD6">
        <w:t xml:space="preserve"> that </w:t>
      </w:r>
      <w:r>
        <w:t>make</w:t>
      </w:r>
      <w:r w:rsidRPr="00CA1BD6">
        <w:t xml:space="preserve"> the relevant products, and they estimate that </w:t>
      </w:r>
      <w:r>
        <w:t>their fabricator members</w:t>
      </w:r>
      <w:r w:rsidRPr="00CA1BD6">
        <w:t xml:space="preserve"> </w:t>
      </w:r>
      <w:r w:rsidRPr="007D424D">
        <w:t>represent 70% of</w:t>
      </w:r>
      <w:r>
        <w:t xml:space="preserve"> industry capacity </w:t>
      </w:r>
      <w:r w:rsidR="00762450" w:rsidRPr="00AA033D">
        <w:t>(ASI 2026, pp. 9–10)</w:t>
      </w:r>
      <w:r>
        <w:t xml:space="preserve">. In addition, the PC invited fabricator businesses that are not ASI members to register with the PC, but only </w:t>
      </w:r>
      <w:r w:rsidRPr="004965B0">
        <w:t>6</w:t>
      </w:r>
      <w:r>
        <w:t xml:space="preserve"> did so. </w:t>
      </w:r>
      <w:proofErr w:type="gramStart"/>
      <w:r>
        <w:t>A number of</w:t>
      </w:r>
      <w:proofErr w:type="gramEnd"/>
      <w:r>
        <w:t xml:space="preserve"> other fabricators have been directly identified through the course of this inquiry, including some that have closed in recent years (these </w:t>
      </w:r>
      <w:r w:rsidRPr="00D31EBB">
        <w:t xml:space="preserve">businesses have been identified through direct engagement or have been named by people we have engaged with). The PC also sought and received information from </w:t>
      </w:r>
      <w:proofErr w:type="gramStart"/>
      <w:r w:rsidRPr="00D31EBB">
        <w:t>a number of</w:t>
      </w:r>
      <w:proofErr w:type="gramEnd"/>
      <w:r w:rsidRPr="00D31EBB">
        <w:t xml:space="preserve"> key industry participants on businesses that purchase the major steel inputs used by fabricators.</w:t>
      </w:r>
    </w:p>
    <w:p w14:paraId="1B89A17C" w14:textId="41E4F0D3" w:rsidR="004C31F5" w:rsidRPr="00AB7D5E" w:rsidRDefault="004C31F5" w:rsidP="00144235">
      <w:pPr>
        <w:pStyle w:val="BodyText"/>
        <w:spacing w:line="260" w:lineRule="atLeast"/>
        <w:rPr>
          <w:spacing w:val="-2"/>
        </w:rPr>
      </w:pPr>
      <w:r w:rsidRPr="00AB7D5E">
        <w:rPr>
          <w:spacing w:val="-2"/>
        </w:rPr>
        <w:t>The PC’s findings are based on aggregated data associated with 376 businesses the PC believes represent a major proportion of the total domestic production of FSS. This group includes the 336 ASI members and 40</w:t>
      </w:r>
      <w:r w:rsidRPr="00AB7D5E">
        <w:rPr>
          <w:color w:val="C00000"/>
          <w:spacing w:val="-2"/>
        </w:rPr>
        <w:t xml:space="preserve"> </w:t>
      </w:r>
      <w:r w:rsidRPr="00AB7D5E">
        <w:rPr>
          <w:spacing w:val="-2"/>
        </w:rPr>
        <w:t>fabricators directly identified through the course of this inquiry. As a robustness check, the PC also analysed an expanded industry group which included 13</w:t>
      </w:r>
      <w:r w:rsidR="00AA033D">
        <w:rPr>
          <w:spacing w:val="-2"/>
        </w:rPr>
        <w:t>8</w:t>
      </w:r>
      <w:r w:rsidRPr="00AB7D5E">
        <w:rPr>
          <w:spacing w:val="-2"/>
        </w:rPr>
        <w:t xml:space="preserve"> businesses that were common consumers of key fabricated structural steel inputs. Data on production and injury for this expanded population is also presented where appropriate. The PC has analysed the performance of domestic fabricators using data in the Business Longitudinal Analysis Data Environment (BLADE) in the ABS </w:t>
      </w:r>
      <w:proofErr w:type="spellStart"/>
      <w:r w:rsidRPr="00AB7D5E">
        <w:rPr>
          <w:spacing w:val="-2"/>
        </w:rPr>
        <w:t>DataLab</w:t>
      </w:r>
      <w:proofErr w:type="spellEnd"/>
      <w:r w:rsidRPr="00AB7D5E">
        <w:rPr>
          <w:spacing w:val="-2"/>
        </w:rPr>
        <w:t xml:space="preserve"> (box</w:t>
      </w:r>
      <w:r w:rsidR="00541146" w:rsidRPr="00AB7D5E">
        <w:rPr>
          <w:spacing w:val="-2"/>
        </w:rPr>
        <w:t> </w:t>
      </w:r>
      <w:r w:rsidRPr="00AB7D5E">
        <w:rPr>
          <w:spacing w:val="-2"/>
        </w:rPr>
        <w:t>2.1). Additional detail on the quantitative methods used by the PC is included in appendix</w:t>
      </w:r>
      <w:r w:rsidR="00541146" w:rsidRPr="00AB7D5E">
        <w:rPr>
          <w:spacing w:val="-2"/>
        </w:rPr>
        <w:t> </w:t>
      </w:r>
      <w:r w:rsidRPr="00AB7D5E">
        <w:rPr>
          <w:spacing w:val="-2"/>
        </w:rPr>
        <w:t>B.</w:t>
      </w:r>
    </w:p>
    <w:p w14:paraId="0A04E37F" w14:textId="77777777" w:rsidR="004C31F5" w:rsidRDefault="004C31F5" w:rsidP="00144235">
      <w:pPr>
        <w:pStyle w:val="BodyText"/>
        <w:spacing w:line="260" w:lineRule="atLeast"/>
      </w:pPr>
      <w:r>
        <w:t>The PC is satisfied that it has a sufficiently large and representative sample of the relevant businesses to determine whether the domestic industry is suffering serious injury or is at threat of serious injury.</w:t>
      </w:r>
    </w:p>
    <w:p w14:paraId="7898439E" w14:textId="77777777" w:rsidR="004C31F5" w:rsidRDefault="004C31F5" w:rsidP="00144235">
      <w:pPr>
        <w:pStyle w:val="BodyText"/>
        <w:spacing w:line="260" w:lineRule="atLeast"/>
      </w:pPr>
      <w:r>
        <w:t xml:space="preserve">There is no requirement that the domestic industry analysed produces </w:t>
      </w:r>
      <w:r>
        <w:rPr>
          <w:i/>
          <w:iCs/>
        </w:rPr>
        <w:t>only</w:t>
      </w:r>
      <w:r w:rsidRPr="00CF6E6C">
        <w:t xml:space="preserve"> </w:t>
      </w:r>
      <w:r>
        <w:t>like or directly competitive products.</w:t>
      </w:r>
      <w:r w:rsidRPr="00FA7065">
        <w:t xml:space="preserve"> However, consistent with Article 4.1(c) of the Agreement on Safeguards, the domestic industry must be defined by reference to producers of the like or directly competitive products, and </w:t>
      </w:r>
      <w:r>
        <w:t xml:space="preserve">the PC has included </w:t>
      </w:r>
      <w:r w:rsidRPr="00FA7065">
        <w:t xml:space="preserve">firms </w:t>
      </w:r>
      <w:r>
        <w:t xml:space="preserve">in its analysis </w:t>
      </w:r>
      <w:proofErr w:type="gramStart"/>
      <w:r w:rsidRPr="00FA7065">
        <w:t>on the basis of</w:t>
      </w:r>
      <w:proofErr w:type="gramEnd"/>
      <w:r w:rsidRPr="00FA7065">
        <w:t xml:space="preserve"> their production of those products</w:t>
      </w:r>
      <w:r>
        <w:t>. Across 14 submissions that provide quantitative evidence on what percentage of their revenue is exposed to direct import competition, the median response was 80%.</w:t>
      </w:r>
      <w:r w:rsidRPr="00DE26DB">
        <w:rPr>
          <w:rStyle w:val="FootnoteReference"/>
        </w:rPr>
        <w:footnoteReference w:id="5"/>
      </w:r>
    </w:p>
    <w:tbl>
      <w:tblPr>
        <w:tblStyle w:val="Boxtable"/>
        <w:tblW w:w="5000" w:type="pct"/>
        <w:tblLook w:val="04A0" w:firstRow="1" w:lastRow="0" w:firstColumn="1" w:lastColumn="0" w:noHBand="0" w:noVBand="1"/>
      </w:tblPr>
      <w:tblGrid>
        <w:gridCol w:w="9638"/>
      </w:tblGrid>
      <w:tr w:rsidR="004C31F5" w14:paraId="18C5DE91" w14:textId="77777777">
        <w:trPr>
          <w:tblHeader/>
        </w:trPr>
        <w:tc>
          <w:tcPr>
            <w:tcW w:w="9638" w:type="dxa"/>
            <w:shd w:val="clear" w:color="auto" w:fill="EBEBEB"/>
            <w:tcMar>
              <w:top w:w="170" w:type="dxa"/>
              <w:left w:w="170" w:type="dxa"/>
              <w:bottom w:w="113" w:type="dxa"/>
              <w:right w:w="170" w:type="dxa"/>
            </w:tcMar>
            <w:hideMark/>
          </w:tcPr>
          <w:p w14:paraId="7F451865" w14:textId="77777777" w:rsidR="004C31F5" w:rsidRPr="003E5957" w:rsidRDefault="004C31F5" w:rsidP="00011592">
            <w:pPr>
              <w:pStyle w:val="BoxHeading1"/>
            </w:pPr>
            <w:bookmarkStart w:id="13" w:name="_Ref78902111"/>
            <w:r>
              <w:lastRenderedPageBreak/>
              <w:t xml:space="preserve">Box 2.1 – </w:t>
            </w:r>
            <w:bookmarkEnd w:id="13"/>
            <w:r>
              <w:t xml:space="preserve">What are </w:t>
            </w:r>
            <w:proofErr w:type="spellStart"/>
            <w:r>
              <w:t>DataLab</w:t>
            </w:r>
            <w:proofErr w:type="spellEnd"/>
            <w:r>
              <w:t xml:space="preserve"> and BLADE?</w:t>
            </w:r>
          </w:p>
        </w:tc>
      </w:tr>
      <w:tr w:rsidR="004C31F5" w14:paraId="2389E096" w14:textId="77777777">
        <w:tc>
          <w:tcPr>
            <w:tcW w:w="9638" w:type="dxa"/>
            <w:shd w:val="clear" w:color="auto" w:fill="EBEBEB"/>
            <w:tcMar>
              <w:top w:w="28" w:type="dxa"/>
              <w:left w:w="170" w:type="dxa"/>
              <w:bottom w:w="170" w:type="dxa"/>
              <w:right w:w="170" w:type="dxa"/>
            </w:tcMar>
            <w:hideMark/>
          </w:tcPr>
          <w:p w14:paraId="79F82E86" w14:textId="77777777" w:rsidR="004C31F5" w:rsidRPr="008E5662" w:rsidRDefault="004C31F5" w:rsidP="00144235">
            <w:pPr>
              <w:pStyle w:val="BodyText"/>
              <w:spacing w:line="260" w:lineRule="atLeast"/>
            </w:pPr>
            <w:proofErr w:type="spellStart"/>
            <w:r w:rsidRPr="0067295F">
              <w:t>DataLab</w:t>
            </w:r>
            <w:proofErr w:type="spellEnd"/>
            <w:r w:rsidRPr="008E5662">
              <w:t xml:space="preserve"> is a secure ABS research environment that allows authorised researchers to analyse detailed data for approved statistical and research purposes. Access is subject to strict confidentiality requirements and projects must have a public benefit.</w:t>
            </w:r>
          </w:p>
          <w:p w14:paraId="411DC051" w14:textId="5A92DAB0" w:rsidR="004C31F5" w:rsidRPr="008E5662" w:rsidRDefault="004C31F5" w:rsidP="00144235">
            <w:pPr>
              <w:pStyle w:val="BodyText"/>
              <w:spacing w:line="260" w:lineRule="atLeast"/>
            </w:pPr>
            <w:proofErr w:type="spellStart"/>
            <w:r w:rsidRPr="008E5662">
              <w:t>DataLab</w:t>
            </w:r>
            <w:proofErr w:type="spellEnd"/>
            <w:r w:rsidRPr="008E5662">
              <w:t xml:space="preserve"> is designed </w:t>
            </w:r>
            <w:r>
              <w:t>to protect the confidentiality of businesses and individuals</w:t>
            </w:r>
            <w:r w:rsidRPr="008E5662">
              <w:t>. Researchers work with de</w:t>
            </w:r>
            <w:r w:rsidR="00541146">
              <w:noBreakHyphen/>
            </w:r>
            <w:r w:rsidRPr="008E5662">
              <w:t xml:space="preserve">identified data and do not have access to identifying information such as business names or ABNs. Researchers are </w:t>
            </w:r>
            <w:r>
              <w:t xml:space="preserve">legally </w:t>
            </w:r>
            <w:r w:rsidRPr="008E5662">
              <w:t>prohibited from attempting to identify any business or person.</w:t>
            </w:r>
            <w:r>
              <w:t xml:space="preserve"> The </w:t>
            </w:r>
            <w:r w:rsidRPr="00081AF7">
              <w:t xml:space="preserve">information is protected by the </w:t>
            </w:r>
            <w:r w:rsidRPr="00AE300A">
              <w:rPr>
                <w:i/>
                <w:iCs/>
              </w:rPr>
              <w:t>Census and Statistics Act 1905</w:t>
            </w:r>
            <w:r w:rsidRPr="00AE4299">
              <w:t xml:space="preserve"> (</w:t>
            </w:r>
            <w:proofErr w:type="spellStart"/>
            <w:r w:rsidRPr="00AE4299">
              <w:t>Cth</w:t>
            </w:r>
            <w:proofErr w:type="spellEnd"/>
            <w:r w:rsidRPr="00AE4299">
              <w:t>)</w:t>
            </w:r>
            <w:r w:rsidRPr="00081AF7">
              <w:t xml:space="preserve">, and the ABS is also subject to the </w:t>
            </w:r>
            <w:r w:rsidRPr="00AE300A">
              <w:rPr>
                <w:i/>
                <w:iCs/>
              </w:rPr>
              <w:t>Privacy Act 1988</w:t>
            </w:r>
            <w:r w:rsidRPr="00AE4299">
              <w:t xml:space="preserve"> (</w:t>
            </w:r>
            <w:proofErr w:type="spellStart"/>
            <w:r w:rsidRPr="00AE4299">
              <w:t>Cth</w:t>
            </w:r>
            <w:proofErr w:type="spellEnd"/>
            <w:r w:rsidRPr="00AE4299">
              <w:t xml:space="preserve">) </w:t>
            </w:r>
            <w:r w:rsidRPr="00081AF7">
              <w:t>and the Australian Privacy Principles.</w:t>
            </w:r>
          </w:p>
          <w:p w14:paraId="2D67C429" w14:textId="77777777" w:rsidR="004C31F5" w:rsidRPr="0078729A" w:rsidRDefault="004C31F5" w:rsidP="00144235">
            <w:pPr>
              <w:pStyle w:val="BodyText"/>
              <w:spacing w:line="260" w:lineRule="atLeast"/>
              <w:rPr>
                <w:spacing w:val="-4"/>
              </w:rPr>
            </w:pPr>
            <w:r w:rsidRPr="0078729A">
              <w:rPr>
                <w:spacing w:val="-4"/>
              </w:rPr>
              <w:t xml:space="preserve">BLADE, the Business Longitudinal Analysis Data Environment, is an integrated business dataset available through </w:t>
            </w:r>
            <w:proofErr w:type="spellStart"/>
            <w:r w:rsidRPr="0078729A">
              <w:rPr>
                <w:spacing w:val="-4"/>
              </w:rPr>
              <w:t>DataLab</w:t>
            </w:r>
            <w:proofErr w:type="spellEnd"/>
            <w:r w:rsidRPr="0078729A">
              <w:rPr>
                <w:spacing w:val="-4"/>
              </w:rPr>
              <w:t xml:space="preserve">. It brings together administrative and survey information from sources including Business Income Tax (BIT), Business Activity Statements (BAS) and Pay </w:t>
            </w:r>
            <w:proofErr w:type="gramStart"/>
            <w:r w:rsidRPr="0078729A">
              <w:rPr>
                <w:spacing w:val="-4"/>
              </w:rPr>
              <w:t>As</w:t>
            </w:r>
            <w:proofErr w:type="gramEnd"/>
            <w:r w:rsidRPr="0078729A">
              <w:rPr>
                <w:spacing w:val="-4"/>
              </w:rPr>
              <w:t xml:space="preserve"> You Go (PAYG) data.</w:t>
            </w:r>
          </w:p>
          <w:p w14:paraId="00DD1F7B" w14:textId="0835BD72" w:rsidR="004C31F5" w:rsidRPr="008E5662" w:rsidRDefault="004C31F5" w:rsidP="00144235">
            <w:pPr>
              <w:pStyle w:val="BodyText"/>
              <w:spacing w:line="260" w:lineRule="atLeast"/>
            </w:pPr>
            <w:r w:rsidRPr="008E5662">
              <w:t>For this inquiry, the PC use</w:t>
            </w:r>
            <w:r>
              <w:t xml:space="preserve">d </w:t>
            </w:r>
            <w:r w:rsidRPr="008E5662">
              <w:t>only the information required to construct industry</w:t>
            </w:r>
            <w:r w:rsidR="00541146">
              <w:noBreakHyphen/>
            </w:r>
            <w:r w:rsidRPr="008E5662">
              <w:t xml:space="preserve">level measures. The analysis </w:t>
            </w:r>
            <w:r>
              <w:t xml:space="preserve">was </w:t>
            </w:r>
            <w:r w:rsidRPr="008E5662">
              <w:t>undertaken on de</w:t>
            </w:r>
            <w:r w:rsidR="00541146">
              <w:noBreakHyphen/>
            </w:r>
            <w:r w:rsidRPr="008E5662">
              <w:t xml:space="preserve">identified records and is reported in aggregate. </w:t>
            </w:r>
            <w:r w:rsidR="007E1DFA" w:rsidRPr="007E1DFA">
              <w:t>The PC supplied the ABS with a list of ABNs identifying the businesses to be included in the analysis, but the data made available to the PC did not contain business names or original ABNs.</w:t>
            </w:r>
            <w:r w:rsidR="007E1DFA">
              <w:t xml:space="preserve"> </w:t>
            </w:r>
            <w:r w:rsidR="0059055C" w:rsidRPr="0059055C">
              <w:t xml:space="preserve">Results cannot be accessed outside </w:t>
            </w:r>
            <w:proofErr w:type="spellStart"/>
            <w:r w:rsidR="0059055C" w:rsidRPr="0059055C">
              <w:t>DataLab</w:t>
            </w:r>
            <w:proofErr w:type="spellEnd"/>
            <w:r w:rsidR="0059055C" w:rsidRPr="0059055C">
              <w:t xml:space="preserve"> until they have been checked and cleared by the ABS in accordance with its confidentiality requirements.</w:t>
            </w:r>
          </w:p>
          <w:p w14:paraId="3E0D6935" w14:textId="77777777" w:rsidR="004C31F5" w:rsidRDefault="004C31F5" w:rsidP="00144235">
            <w:pPr>
              <w:pStyle w:val="BodyText"/>
              <w:spacing w:line="260" w:lineRule="atLeast"/>
            </w:pPr>
            <w:r w:rsidRPr="008E5662">
              <w:t xml:space="preserve">This </w:t>
            </w:r>
            <w:r>
              <w:t xml:space="preserve">has </w:t>
            </w:r>
            <w:r w:rsidRPr="008E5662">
              <w:t>allow</w:t>
            </w:r>
            <w:r>
              <w:t>ed</w:t>
            </w:r>
            <w:r w:rsidRPr="008E5662">
              <w:t xml:space="preserve"> the PC to analyse changes in the industry over time without accessing or reporting the identity of individual firms.</w:t>
            </w:r>
          </w:p>
        </w:tc>
      </w:tr>
      <w:tr w:rsidR="004C31F5" w14:paraId="0413F491" w14:textId="77777777">
        <w:trPr>
          <w:hidden/>
        </w:trPr>
        <w:tc>
          <w:tcPr>
            <w:tcW w:w="9638" w:type="dxa"/>
            <w:shd w:val="clear" w:color="auto" w:fill="auto"/>
            <w:tcMar>
              <w:top w:w="0" w:type="dxa"/>
              <w:left w:w="170" w:type="dxa"/>
              <w:bottom w:w="0" w:type="dxa"/>
              <w:right w:w="170" w:type="dxa"/>
            </w:tcMar>
          </w:tcPr>
          <w:p w14:paraId="7B79A09F" w14:textId="19F27FD9" w:rsidR="004C31F5" w:rsidRPr="00465191" w:rsidRDefault="004C31F5">
            <w:pPr>
              <w:pStyle w:val="BodyText"/>
              <w:spacing w:before="0" w:after="0" w:line="80" w:lineRule="atLeast"/>
              <w:rPr>
                <w:smallCaps/>
                <w:vanish/>
              </w:rPr>
            </w:pPr>
          </w:p>
        </w:tc>
      </w:tr>
    </w:tbl>
    <w:p w14:paraId="0C9A1B72" w14:textId="77777777" w:rsidR="004C31F5" w:rsidRPr="003B0F88" w:rsidRDefault="004C31F5" w:rsidP="00011592">
      <w:pPr>
        <w:pStyle w:val="Heading2"/>
      </w:pPr>
      <w:bookmarkStart w:id="14" w:name="_Toc238643904"/>
      <w:r>
        <w:t>The period of investigation</w:t>
      </w:r>
      <w:bookmarkEnd w:id="14"/>
    </w:p>
    <w:p w14:paraId="0F1BA3CF" w14:textId="1DDCC6B5" w:rsidR="004C31F5" w:rsidRDefault="004C31F5" w:rsidP="00011592">
      <w:pPr>
        <w:pStyle w:val="BodyText"/>
      </w:pPr>
      <w:r>
        <w:t>The inquiry’s terms of reference</w:t>
      </w:r>
      <w:r w:rsidDel="006126F4">
        <w:t xml:space="preserve"> </w:t>
      </w:r>
      <w:r>
        <w:t xml:space="preserve">are silent on what the period of the investigation should be, although the Australian Government’s notice of initiation to the WTO references information from the ASI as highlighting growth in imports from 2020 to 2024 </w:t>
      </w:r>
      <w:r w:rsidRPr="00ED62C8">
        <w:rPr>
          <w:rFonts w:ascii="Arial" w:hAnsi="Arial" w:cs="Arial"/>
        </w:rPr>
        <w:t>(WTO 2026, p. 2)</w:t>
      </w:r>
      <w:r>
        <w:t xml:space="preserve">. </w:t>
      </w:r>
    </w:p>
    <w:p w14:paraId="161C83ED" w14:textId="77777777" w:rsidR="00765BCB" w:rsidRDefault="004C31F5" w:rsidP="00011592">
      <w:pPr>
        <w:pStyle w:val="BodyText"/>
        <w:rPr>
          <w:spacing w:val="-4"/>
        </w:rPr>
      </w:pPr>
      <w:r w:rsidRPr="00AB7D5E">
        <w:rPr>
          <w:spacing w:val="-4"/>
        </w:rPr>
        <w:t>Identifying the appropriate start of the investigation period was complicated by potential distortions caused by COVID</w:t>
      </w:r>
      <w:r w:rsidR="00541146" w:rsidRPr="00AB7D5E">
        <w:rPr>
          <w:spacing w:val="-4"/>
        </w:rPr>
        <w:noBreakHyphen/>
      </w:r>
      <w:r w:rsidRPr="00AB7D5E">
        <w:rPr>
          <w:spacing w:val="-4"/>
        </w:rPr>
        <w:t>19. A 5</w:t>
      </w:r>
      <w:r w:rsidR="00541146" w:rsidRPr="00AB7D5E">
        <w:rPr>
          <w:spacing w:val="-4"/>
        </w:rPr>
        <w:noBreakHyphen/>
      </w:r>
      <w:r w:rsidRPr="00AB7D5E">
        <w:rPr>
          <w:spacing w:val="-4"/>
        </w:rPr>
        <w:t>year investigation period for this inquiry is long enough to account for these distortions when assessing trends in imports and the health of the domestic industry. While some participants commented on earlier trends in import competition, most focused on the last 5 years (figure</w:t>
      </w:r>
      <w:r w:rsidR="00541146" w:rsidRPr="00AB7D5E">
        <w:rPr>
          <w:spacing w:val="-4"/>
        </w:rPr>
        <w:t> </w:t>
      </w:r>
      <w:r w:rsidRPr="00AB7D5E">
        <w:rPr>
          <w:spacing w:val="-4"/>
        </w:rPr>
        <w:t xml:space="preserve">2.1). </w:t>
      </w:r>
    </w:p>
    <w:p w14:paraId="3267E2F0" w14:textId="2C10A87D" w:rsidR="00765BCB" w:rsidRDefault="00765BCB" w:rsidP="00011592">
      <w:pPr>
        <w:pStyle w:val="BodyText"/>
        <w:rPr>
          <w:spacing w:val="-4"/>
        </w:rPr>
      </w:pPr>
      <w:r>
        <w:rPr>
          <w:spacing w:val="-4"/>
        </w:rPr>
        <w:br w:type="page"/>
      </w:r>
    </w:p>
    <w:p w14:paraId="1C457626" w14:textId="77777777" w:rsidR="004C31F5" w:rsidRDefault="004C31F5" w:rsidP="00011592">
      <w:pPr>
        <w:pStyle w:val="FigureTableHeading"/>
      </w:pPr>
      <w:r>
        <w:lastRenderedPageBreak/>
        <w:t>Figure 2.1 – Views on when imports increased are mixed</w:t>
      </w:r>
    </w:p>
    <w:p w14:paraId="2FD245C1" w14:textId="77777777" w:rsidR="004C31F5" w:rsidRDefault="004C31F5" w:rsidP="009A7DF6">
      <w:pPr>
        <w:pStyle w:val="FigureTableSubheading"/>
      </w:pPr>
      <w:r>
        <w:t xml:space="preserve">Inquiry </w:t>
      </w:r>
      <w:r w:rsidRPr="009A7DF6">
        <w:t>participant</w:t>
      </w:r>
      <w:r>
        <w:t xml:space="preserve"> indications of when imports of FSS </w:t>
      </w:r>
      <w:proofErr w:type="gramStart"/>
      <w:r>
        <w:t>increased,</w:t>
      </w:r>
      <w:proofErr w:type="gramEnd"/>
      <w:r>
        <w:t xml:space="preserve"> calendar year basis</w:t>
      </w:r>
    </w:p>
    <w:tbl>
      <w:tblPr>
        <w:tblW w:w="5001" w:type="pct"/>
        <w:tblBorders>
          <w:top w:val="single" w:sz="4" w:space="0" w:color="D9D9D9" w:themeColor="background1" w:themeShade="D9"/>
          <w:bottom w:val="single" w:sz="4" w:space="0" w:color="D9D9D9" w:themeColor="background1" w:themeShade="D9"/>
          <w:insideH w:val="single" w:sz="4" w:space="0" w:color="D9D9D9" w:themeColor="background1" w:themeShade="D9"/>
        </w:tblBorders>
        <w:tblLayout w:type="fixed"/>
        <w:tblLook w:val="04A0" w:firstRow="1" w:lastRow="0" w:firstColumn="1" w:lastColumn="0" w:noHBand="0" w:noVBand="1"/>
      </w:tblPr>
      <w:tblGrid>
        <w:gridCol w:w="285"/>
        <w:gridCol w:w="395"/>
        <w:gridCol w:w="681"/>
        <w:gridCol w:w="681"/>
        <w:gridCol w:w="681"/>
        <w:gridCol w:w="681"/>
        <w:gridCol w:w="681"/>
        <w:gridCol w:w="681"/>
        <w:gridCol w:w="681"/>
        <w:gridCol w:w="681"/>
        <w:gridCol w:w="681"/>
        <w:gridCol w:w="2831"/>
      </w:tblGrid>
      <w:tr w:rsidR="004C31F5" w:rsidRPr="005063BE" w14:paraId="126612E3" w14:textId="77777777" w:rsidTr="00AC42AB">
        <w:trPr>
          <w:trHeight w:val="300"/>
          <w:tblHeader/>
        </w:trPr>
        <w:tc>
          <w:tcPr>
            <w:tcW w:w="680" w:type="dxa"/>
            <w:gridSpan w:val="2"/>
            <w:tcBorders>
              <w:top w:val="nil"/>
              <w:bottom w:val="single" w:sz="4" w:space="0" w:color="D9D9D9" w:themeColor="background1" w:themeShade="D9"/>
            </w:tcBorders>
            <w:vAlign w:val="center"/>
            <w:hideMark/>
          </w:tcPr>
          <w:p w14:paraId="30CACE90" w14:textId="77777777" w:rsidR="004C31F5" w:rsidRPr="005063BE" w:rsidRDefault="004C31F5" w:rsidP="00011592">
            <w:pPr>
              <w:spacing w:before="0" w:after="0" w:line="240" w:lineRule="auto"/>
              <w:jc w:val="right"/>
              <w:rPr>
                <w:rFonts w:eastAsia="Times New Roman" w:cs="Open Sans"/>
                <w:b/>
                <w:bCs/>
                <w:color w:val="000000"/>
                <w:sz w:val="18"/>
                <w:szCs w:val="18"/>
                <w:lang w:eastAsia="en-AU"/>
              </w:rPr>
            </w:pPr>
            <w:r w:rsidRPr="005063BE">
              <w:rPr>
                <w:rFonts w:eastAsia="Times New Roman" w:cs="Open Sans"/>
                <w:b/>
                <w:bCs/>
                <w:color w:val="000000"/>
                <w:sz w:val="18"/>
                <w:szCs w:val="18"/>
                <w:lang w:val="en-US" w:eastAsia="en-AU"/>
              </w:rPr>
              <w:t>2017</w:t>
            </w:r>
          </w:p>
        </w:tc>
        <w:tc>
          <w:tcPr>
            <w:tcW w:w="681" w:type="dxa"/>
            <w:tcBorders>
              <w:top w:val="nil"/>
              <w:bottom w:val="single" w:sz="4" w:space="0" w:color="D9D9D9" w:themeColor="background1" w:themeShade="D9"/>
            </w:tcBorders>
            <w:vAlign w:val="center"/>
            <w:hideMark/>
          </w:tcPr>
          <w:p w14:paraId="6F632ECB" w14:textId="77777777" w:rsidR="004C31F5" w:rsidRPr="005063BE" w:rsidRDefault="004C31F5" w:rsidP="00011592">
            <w:pPr>
              <w:spacing w:before="0" w:after="0" w:line="240" w:lineRule="auto"/>
              <w:jc w:val="right"/>
              <w:rPr>
                <w:rFonts w:eastAsia="Times New Roman" w:cs="Open Sans"/>
                <w:b/>
                <w:bCs/>
                <w:color w:val="000000"/>
                <w:sz w:val="18"/>
                <w:szCs w:val="18"/>
                <w:lang w:eastAsia="en-AU"/>
              </w:rPr>
            </w:pPr>
            <w:r w:rsidRPr="005063BE">
              <w:rPr>
                <w:rFonts w:eastAsia="Times New Roman" w:cs="Open Sans"/>
                <w:b/>
                <w:bCs/>
                <w:color w:val="000000"/>
                <w:sz w:val="18"/>
                <w:szCs w:val="18"/>
                <w:lang w:val="en-US" w:eastAsia="en-AU"/>
              </w:rPr>
              <w:t>2018</w:t>
            </w:r>
          </w:p>
        </w:tc>
        <w:tc>
          <w:tcPr>
            <w:tcW w:w="681" w:type="dxa"/>
            <w:tcBorders>
              <w:top w:val="nil"/>
              <w:bottom w:val="single" w:sz="4" w:space="0" w:color="D9D9D9" w:themeColor="background1" w:themeShade="D9"/>
            </w:tcBorders>
            <w:vAlign w:val="center"/>
            <w:hideMark/>
          </w:tcPr>
          <w:p w14:paraId="4B0722B3" w14:textId="77777777" w:rsidR="004C31F5" w:rsidRPr="005063BE" w:rsidRDefault="004C31F5" w:rsidP="00011592">
            <w:pPr>
              <w:spacing w:before="0" w:after="0" w:line="240" w:lineRule="auto"/>
              <w:jc w:val="right"/>
              <w:rPr>
                <w:rFonts w:eastAsia="Times New Roman" w:cs="Open Sans"/>
                <w:b/>
                <w:bCs/>
                <w:color w:val="000000"/>
                <w:sz w:val="18"/>
                <w:szCs w:val="18"/>
                <w:lang w:eastAsia="en-AU"/>
              </w:rPr>
            </w:pPr>
            <w:r w:rsidRPr="005063BE">
              <w:rPr>
                <w:rFonts w:eastAsia="Times New Roman" w:cs="Open Sans"/>
                <w:b/>
                <w:bCs/>
                <w:color w:val="000000"/>
                <w:sz w:val="18"/>
                <w:szCs w:val="18"/>
                <w:lang w:val="en-US" w:eastAsia="en-AU"/>
              </w:rPr>
              <w:t>2019</w:t>
            </w:r>
          </w:p>
        </w:tc>
        <w:tc>
          <w:tcPr>
            <w:tcW w:w="681" w:type="dxa"/>
            <w:tcBorders>
              <w:top w:val="nil"/>
              <w:bottom w:val="single" w:sz="4" w:space="0" w:color="D9D9D9" w:themeColor="background1" w:themeShade="D9"/>
            </w:tcBorders>
            <w:vAlign w:val="center"/>
            <w:hideMark/>
          </w:tcPr>
          <w:p w14:paraId="6BCAF7BA" w14:textId="77777777" w:rsidR="004C31F5" w:rsidRPr="005063BE" w:rsidRDefault="004C31F5" w:rsidP="00011592">
            <w:pPr>
              <w:spacing w:before="0" w:after="0" w:line="240" w:lineRule="auto"/>
              <w:jc w:val="right"/>
              <w:rPr>
                <w:rFonts w:eastAsia="Times New Roman" w:cs="Open Sans"/>
                <w:b/>
                <w:bCs/>
                <w:color w:val="000000"/>
                <w:sz w:val="18"/>
                <w:szCs w:val="18"/>
                <w:lang w:eastAsia="en-AU"/>
              </w:rPr>
            </w:pPr>
            <w:r w:rsidRPr="005063BE">
              <w:rPr>
                <w:rFonts w:eastAsia="Times New Roman" w:cs="Open Sans"/>
                <w:b/>
                <w:bCs/>
                <w:color w:val="000000"/>
                <w:sz w:val="18"/>
                <w:szCs w:val="18"/>
                <w:lang w:val="en-US" w:eastAsia="en-AU"/>
              </w:rPr>
              <w:t>2020</w:t>
            </w:r>
          </w:p>
        </w:tc>
        <w:tc>
          <w:tcPr>
            <w:tcW w:w="681" w:type="dxa"/>
            <w:tcBorders>
              <w:top w:val="nil"/>
              <w:bottom w:val="single" w:sz="4" w:space="0" w:color="D9D9D9" w:themeColor="background1" w:themeShade="D9"/>
            </w:tcBorders>
            <w:vAlign w:val="center"/>
            <w:hideMark/>
          </w:tcPr>
          <w:p w14:paraId="648E9E71" w14:textId="77777777" w:rsidR="004C31F5" w:rsidRPr="005063BE" w:rsidRDefault="004C31F5" w:rsidP="00011592">
            <w:pPr>
              <w:spacing w:before="0" w:after="0" w:line="240" w:lineRule="auto"/>
              <w:jc w:val="right"/>
              <w:rPr>
                <w:rFonts w:eastAsia="Times New Roman" w:cs="Open Sans"/>
                <w:b/>
                <w:bCs/>
                <w:color w:val="000000"/>
                <w:sz w:val="18"/>
                <w:szCs w:val="18"/>
                <w:lang w:eastAsia="en-AU"/>
              </w:rPr>
            </w:pPr>
            <w:r w:rsidRPr="005063BE">
              <w:rPr>
                <w:rFonts w:eastAsia="Times New Roman" w:cs="Open Sans"/>
                <w:b/>
                <w:bCs/>
                <w:color w:val="000000"/>
                <w:sz w:val="18"/>
                <w:szCs w:val="18"/>
                <w:lang w:val="en-US" w:eastAsia="en-AU"/>
              </w:rPr>
              <w:t>2021</w:t>
            </w:r>
          </w:p>
        </w:tc>
        <w:tc>
          <w:tcPr>
            <w:tcW w:w="681" w:type="dxa"/>
            <w:tcBorders>
              <w:top w:val="nil"/>
              <w:bottom w:val="single" w:sz="4" w:space="0" w:color="D9D9D9" w:themeColor="background1" w:themeShade="D9"/>
            </w:tcBorders>
            <w:vAlign w:val="center"/>
            <w:hideMark/>
          </w:tcPr>
          <w:p w14:paraId="4E614944" w14:textId="77777777" w:rsidR="004C31F5" w:rsidRPr="005063BE" w:rsidRDefault="004C31F5" w:rsidP="00011592">
            <w:pPr>
              <w:spacing w:before="0" w:after="0" w:line="240" w:lineRule="auto"/>
              <w:jc w:val="right"/>
              <w:rPr>
                <w:rFonts w:eastAsia="Times New Roman" w:cs="Open Sans"/>
                <w:b/>
                <w:bCs/>
                <w:color w:val="000000"/>
                <w:sz w:val="18"/>
                <w:szCs w:val="18"/>
                <w:lang w:eastAsia="en-AU"/>
              </w:rPr>
            </w:pPr>
            <w:r w:rsidRPr="005063BE">
              <w:rPr>
                <w:rFonts w:eastAsia="Times New Roman" w:cs="Open Sans"/>
                <w:b/>
                <w:bCs/>
                <w:color w:val="000000"/>
                <w:sz w:val="18"/>
                <w:szCs w:val="18"/>
                <w:lang w:val="en-US" w:eastAsia="en-AU"/>
              </w:rPr>
              <w:t>2022</w:t>
            </w:r>
          </w:p>
        </w:tc>
        <w:tc>
          <w:tcPr>
            <w:tcW w:w="681" w:type="dxa"/>
            <w:tcBorders>
              <w:top w:val="nil"/>
              <w:bottom w:val="single" w:sz="4" w:space="0" w:color="D9D9D9" w:themeColor="background1" w:themeShade="D9"/>
            </w:tcBorders>
            <w:vAlign w:val="center"/>
            <w:hideMark/>
          </w:tcPr>
          <w:p w14:paraId="054484FB" w14:textId="77777777" w:rsidR="004C31F5" w:rsidRPr="005063BE" w:rsidRDefault="004C31F5" w:rsidP="00011592">
            <w:pPr>
              <w:spacing w:before="0" w:after="0" w:line="240" w:lineRule="auto"/>
              <w:jc w:val="right"/>
              <w:rPr>
                <w:rFonts w:eastAsia="Times New Roman" w:cs="Open Sans"/>
                <w:b/>
                <w:bCs/>
                <w:color w:val="000000"/>
                <w:sz w:val="18"/>
                <w:szCs w:val="18"/>
                <w:lang w:eastAsia="en-AU"/>
              </w:rPr>
            </w:pPr>
            <w:r w:rsidRPr="005063BE">
              <w:rPr>
                <w:rFonts w:eastAsia="Times New Roman" w:cs="Open Sans"/>
                <w:b/>
                <w:bCs/>
                <w:color w:val="000000"/>
                <w:sz w:val="18"/>
                <w:szCs w:val="18"/>
                <w:lang w:val="en-US" w:eastAsia="en-AU"/>
              </w:rPr>
              <w:t>2023</w:t>
            </w:r>
          </w:p>
        </w:tc>
        <w:tc>
          <w:tcPr>
            <w:tcW w:w="681" w:type="dxa"/>
            <w:tcBorders>
              <w:top w:val="nil"/>
              <w:bottom w:val="single" w:sz="4" w:space="0" w:color="D9D9D9" w:themeColor="background1" w:themeShade="D9"/>
            </w:tcBorders>
            <w:vAlign w:val="center"/>
            <w:hideMark/>
          </w:tcPr>
          <w:p w14:paraId="30AE4B67" w14:textId="77777777" w:rsidR="004C31F5" w:rsidRPr="005063BE" w:rsidRDefault="004C31F5" w:rsidP="00011592">
            <w:pPr>
              <w:spacing w:before="0" w:after="0" w:line="240" w:lineRule="auto"/>
              <w:jc w:val="right"/>
              <w:rPr>
                <w:rFonts w:eastAsia="Times New Roman" w:cs="Open Sans"/>
                <w:b/>
                <w:bCs/>
                <w:color w:val="000000"/>
                <w:sz w:val="18"/>
                <w:szCs w:val="18"/>
                <w:lang w:eastAsia="en-AU"/>
              </w:rPr>
            </w:pPr>
            <w:r w:rsidRPr="005063BE">
              <w:rPr>
                <w:rFonts w:eastAsia="Times New Roman" w:cs="Open Sans"/>
                <w:b/>
                <w:bCs/>
                <w:color w:val="000000"/>
                <w:sz w:val="18"/>
                <w:szCs w:val="18"/>
                <w:lang w:val="en-US" w:eastAsia="en-AU"/>
              </w:rPr>
              <w:t>2024</w:t>
            </w:r>
          </w:p>
        </w:tc>
        <w:tc>
          <w:tcPr>
            <w:tcW w:w="681" w:type="dxa"/>
            <w:tcBorders>
              <w:top w:val="nil"/>
              <w:bottom w:val="single" w:sz="4" w:space="0" w:color="D9D9D9" w:themeColor="background1" w:themeShade="D9"/>
            </w:tcBorders>
            <w:vAlign w:val="center"/>
            <w:hideMark/>
          </w:tcPr>
          <w:p w14:paraId="298F8D6E" w14:textId="77777777" w:rsidR="004C31F5" w:rsidRPr="005063BE" w:rsidRDefault="004C31F5" w:rsidP="00011592">
            <w:pPr>
              <w:spacing w:before="0" w:after="0" w:line="240" w:lineRule="auto"/>
              <w:jc w:val="right"/>
              <w:rPr>
                <w:rFonts w:eastAsia="Times New Roman" w:cs="Open Sans"/>
                <w:b/>
                <w:bCs/>
                <w:color w:val="000000"/>
                <w:sz w:val="18"/>
                <w:szCs w:val="18"/>
                <w:lang w:eastAsia="en-AU"/>
              </w:rPr>
            </w:pPr>
            <w:r w:rsidRPr="005063BE">
              <w:rPr>
                <w:rFonts w:eastAsia="Times New Roman" w:cs="Open Sans"/>
                <w:b/>
                <w:bCs/>
                <w:color w:val="000000"/>
                <w:sz w:val="18"/>
                <w:szCs w:val="18"/>
                <w:lang w:val="en-US" w:eastAsia="en-AU"/>
              </w:rPr>
              <w:t>2025</w:t>
            </w:r>
          </w:p>
        </w:tc>
        <w:tc>
          <w:tcPr>
            <w:tcW w:w="681" w:type="dxa"/>
            <w:tcBorders>
              <w:top w:val="nil"/>
              <w:bottom w:val="single" w:sz="4" w:space="0" w:color="D9D9D9" w:themeColor="background1" w:themeShade="D9"/>
            </w:tcBorders>
            <w:vAlign w:val="center"/>
            <w:hideMark/>
          </w:tcPr>
          <w:p w14:paraId="033174BB" w14:textId="77777777" w:rsidR="004C31F5" w:rsidRPr="005063BE" w:rsidRDefault="004C31F5" w:rsidP="00011592">
            <w:pPr>
              <w:spacing w:before="0" w:after="0" w:line="240" w:lineRule="auto"/>
              <w:jc w:val="right"/>
              <w:rPr>
                <w:rFonts w:eastAsia="Times New Roman" w:cs="Open Sans"/>
                <w:b/>
                <w:bCs/>
                <w:color w:val="000000"/>
                <w:sz w:val="18"/>
                <w:szCs w:val="18"/>
                <w:lang w:eastAsia="en-AU"/>
              </w:rPr>
            </w:pPr>
            <w:r w:rsidRPr="005063BE">
              <w:rPr>
                <w:rFonts w:eastAsia="Times New Roman" w:cs="Open Sans"/>
                <w:b/>
                <w:bCs/>
                <w:color w:val="000000"/>
                <w:sz w:val="18"/>
                <w:szCs w:val="18"/>
                <w:lang w:val="en-US" w:eastAsia="en-AU"/>
              </w:rPr>
              <w:t>2026</w:t>
            </w:r>
          </w:p>
        </w:tc>
        <w:tc>
          <w:tcPr>
            <w:tcW w:w="2831" w:type="dxa"/>
            <w:tcBorders>
              <w:top w:val="nil"/>
              <w:bottom w:val="single" w:sz="4" w:space="0" w:color="D9D9D9" w:themeColor="background1" w:themeShade="D9"/>
            </w:tcBorders>
            <w:hideMark/>
          </w:tcPr>
          <w:p w14:paraId="1B57CD27" w14:textId="77777777" w:rsidR="004C31F5" w:rsidRPr="005063BE" w:rsidRDefault="004C31F5" w:rsidP="00011592">
            <w:pPr>
              <w:spacing w:before="0" w:after="0" w:line="240" w:lineRule="auto"/>
              <w:jc w:val="right"/>
              <w:rPr>
                <w:rFonts w:eastAsia="Times New Roman" w:cs="Open Sans"/>
                <w:b/>
                <w:bCs/>
                <w:color w:val="000000"/>
                <w:sz w:val="18"/>
                <w:szCs w:val="18"/>
                <w:lang w:eastAsia="en-AU"/>
              </w:rPr>
            </w:pPr>
          </w:p>
        </w:tc>
      </w:tr>
      <w:tr w:rsidR="004C31F5" w:rsidRPr="005063BE" w14:paraId="688412BB" w14:textId="77777777" w:rsidTr="00AC42AB">
        <w:trPr>
          <w:trHeight w:val="454"/>
        </w:trPr>
        <w:tc>
          <w:tcPr>
            <w:tcW w:w="680" w:type="dxa"/>
            <w:gridSpan w:val="2"/>
            <w:tcBorders>
              <w:left w:val="nil"/>
              <w:bottom w:val="single" w:sz="4" w:space="0" w:color="FFFFFF" w:themeColor="background1"/>
              <w:right w:val="nil"/>
            </w:tcBorders>
            <w:vAlign w:val="center"/>
          </w:tcPr>
          <w:p w14:paraId="70EF3E0B"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left w:val="nil"/>
              <w:bottom w:val="single" w:sz="4" w:space="0" w:color="FFFFFF" w:themeColor="background1"/>
              <w:right w:val="nil"/>
            </w:tcBorders>
            <w:vAlign w:val="center"/>
          </w:tcPr>
          <w:p w14:paraId="252C12F3"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left w:val="nil"/>
              <w:bottom w:val="single" w:sz="4" w:space="0" w:color="FFFFFF" w:themeColor="background1"/>
              <w:right w:val="nil"/>
            </w:tcBorders>
            <w:vAlign w:val="center"/>
          </w:tcPr>
          <w:p w14:paraId="26DFBDEF"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left w:val="nil"/>
              <w:bottom w:val="single" w:sz="4" w:space="0" w:color="FFFFFF" w:themeColor="background1"/>
              <w:right w:val="nil"/>
            </w:tcBorders>
            <w:vAlign w:val="center"/>
          </w:tcPr>
          <w:p w14:paraId="70864281"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left w:val="nil"/>
              <w:bottom w:val="single" w:sz="4" w:space="0" w:color="FFFFFF" w:themeColor="background1"/>
              <w:right w:val="nil"/>
            </w:tcBorders>
            <w:vAlign w:val="center"/>
          </w:tcPr>
          <w:p w14:paraId="69B2300B"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left w:val="nil"/>
              <w:bottom w:val="single" w:sz="4" w:space="0" w:color="FFFFFF" w:themeColor="background1"/>
              <w:right w:val="nil"/>
            </w:tcBorders>
            <w:vAlign w:val="center"/>
          </w:tcPr>
          <w:p w14:paraId="73EA0676"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left w:val="nil"/>
              <w:bottom w:val="single" w:sz="4" w:space="0" w:color="FFFFFF" w:themeColor="background1"/>
              <w:right w:val="nil"/>
            </w:tcBorders>
            <w:vAlign w:val="center"/>
          </w:tcPr>
          <w:p w14:paraId="7406CF5B"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left w:val="nil"/>
              <w:bottom w:val="single" w:sz="4" w:space="0" w:color="FFFFFF" w:themeColor="background1"/>
              <w:right w:val="nil"/>
            </w:tcBorders>
            <w:vAlign w:val="center"/>
          </w:tcPr>
          <w:p w14:paraId="444DC4E1"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left w:val="nil"/>
              <w:bottom w:val="single" w:sz="4" w:space="0" w:color="FFFFFF" w:themeColor="background1"/>
              <w:right w:val="nil"/>
            </w:tcBorders>
            <w:shd w:val="clear" w:color="auto" w:fill="D2ECF5"/>
            <w:vAlign w:val="center"/>
          </w:tcPr>
          <w:p w14:paraId="7686B816"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6F51FA">
              <w:rPr>
                <w:rFonts w:eastAsia="Times New Roman" w:cs="Open Sans"/>
                <w:color w:val="D2ECF5"/>
                <w:sz w:val="18"/>
                <w:szCs w:val="18"/>
                <w:lang w:eastAsia="en-AU"/>
              </w:rPr>
              <w:t>~</w:t>
            </w:r>
          </w:p>
        </w:tc>
        <w:tc>
          <w:tcPr>
            <w:tcW w:w="681" w:type="dxa"/>
            <w:tcBorders>
              <w:left w:val="nil"/>
              <w:bottom w:val="single" w:sz="4" w:space="0" w:color="FFFFFF" w:themeColor="background1"/>
              <w:right w:val="nil"/>
            </w:tcBorders>
            <w:shd w:val="clear" w:color="auto" w:fill="2B9AC2"/>
            <w:vAlign w:val="center"/>
          </w:tcPr>
          <w:p w14:paraId="295127B8"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6F51FA">
              <w:rPr>
                <w:rFonts w:eastAsia="Times New Roman" w:cs="Open Sans"/>
                <w:color w:val="2B9AC2"/>
                <w:sz w:val="18"/>
                <w:szCs w:val="18"/>
                <w:lang w:eastAsia="en-AU"/>
              </w:rPr>
              <w:t>^</w:t>
            </w:r>
          </w:p>
        </w:tc>
        <w:tc>
          <w:tcPr>
            <w:tcW w:w="2831" w:type="dxa"/>
            <w:tcBorders>
              <w:left w:val="nil"/>
              <w:right w:val="nil"/>
            </w:tcBorders>
            <w:noWrap/>
            <w:vAlign w:val="center"/>
            <w:hideMark/>
          </w:tcPr>
          <w:p w14:paraId="296D7DE9" w14:textId="4FDDF380" w:rsidR="004C31F5" w:rsidRPr="005063BE" w:rsidRDefault="004C31F5" w:rsidP="00011592">
            <w:pPr>
              <w:spacing w:before="0" w:after="0" w:line="240" w:lineRule="auto"/>
              <w:rPr>
                <w:rFonts w:eastAsia="Times New Roman" w:cs="Open Sans"/>
                <w:color w:val="000000"/>
                <w:sz w:val="18"/>
                <w:szCs w:val="18"/>
                <w:lang w:eastAsia="en-AU"/>
              </w:rPr>
            </w:pPr>
            <w:r w:rsidRPr="005063BE">
              <w:rPr>
                <w:rFonts w:eastAsia="Times New Roman" w:cs="Open Sans"/>
                <w:color w:val="000000"/>
                <w:sz w:val="18"/>
                <w:szCs w:val="18"/>
                <w:lang w:val="en-US" w:eastAsia="en-AU"/>
              </w:rPr>
              <w:t>Name withheld (sub.</w:t>
            </w:r>
            <w:r w:rsidR="00541146">
              <w:rPr>
                <w:rFonts w:eastAsia="Times New Roman" w:cs="Open Sans"/>
                <w:color w:val="000000"/>
                <w:sz w:val="18"/>
                <w:szCs w:val="18"/>
                <w:lang w:val="en-US" w:eastAsia="en-AU"/>
              </w:rPr>
              <w:t> </w:t>
            </w:r>
            <w:r w:rsidRPr="005063BE">
              <w:rPr>
                <w:rFonts w:eastAsia="Times New Roman" w:cs="Open Sans"/>
                <w:color w:val="000000"/>
                <w:sz w:val="18"/>
                <w:szCs w:val="18"/>
                <w:lang w:val="en-US" w:eastAsia="en-AU"/>
              </w:rPr>
              <w:t>28, p.</w:t>
            </w:r>
            <w:r w:rsidR="00541146">
              <w:rPr>
                <w:rFonts w:eastAsia="Times New Roman" w:cs="Open Sans"/>
                <w:color w:val="000000"/>
                <w:sz w:val="18"/>
                <w:szCs w:val="18"/>
                <w:lang w:val="en-US" w:eastAsia="en-AU"/>
              </w:rPr>
              <w:t> </w:t>
            </w:r>
            <w:r w:rsidRPr="005063BE">
              <w:rPr>
                <w:rFonts w:eastAsia="Times New Roman" w:cs="Open Sans"/>
                <w:color w:val="000000"/>
                <w:sz w:val="18"/>
                <w:szCs w:val="18"/>
                <w:lang w:val="en-US" w:eastAsia="en-AU"/>
              </w:rPr>
              <w:t>4)</w:t>
            </w:r>
          </w:p>
        </w:tc>
      </w:tr>
      <w:tr w:rsidR="004C31F5" w:rsidRPr="005063BE" w14:paraId="2D2B9DD4" w14:textId="77777777" w:rsidTr="00AC42AB">
        <w:trPr>
          <w:trHeight w:val="454"/>
        </w:trPr>
        <w:tc>
          <w:tcPr>
            <w:tcW w:w="680" w:type="dxa"/>
            <w:gridSpan w:val="2"/>
            <w:tcBorders>
              <w:top w:val="single" w:sz="4" w:space="0" w:color="FFFFFF" w:themeColor="background1"/>
              <w:left w:val="nil"/>
              <w:bottom w:val="single" w:sz="4" w:space="0" w:color="FFFFFF" w:themeColor="background1"/>
              <w:right w:val="nil"/>
            </w:tcBorders>
            <w:vAlign w:val="center"/>
          </w:tcPr>
          <w:p w14:paraId="2DCF8DE4"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top w:val="single" w:sz="4" w:space="0" w:color="FFFFFF" w:themeColor="background1"/>
              <w:left w:val="nil"/>
              <w:bottom w:val="single" w:sz="4" w:space="0" w:color="FFFFFF" w:themeColor="background1"/>
              <w:right w:val="nil"/>
            </w:tcBorders>
            <w:vAlign w:val="center"/>
          </w:tcPr>
          <w:p w14:paraId="0E832445"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top w:val="single" w:sz="4" w:space="0" w:color="FFFFFF" w:themeColor="background1"/>
              <w:left w:val="nil"/>
              <w:bottom w:val="single" w:sz="4" w:space="0" w:color="FFFFFF" w:themeColor="background1"/>
              <w:right w:val="nil"/>
            </w:tcBorders>
            <w:vAlign w:val="center"/>
          </w:tcPr>
          <w:p w14:paraId="581326A2"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top w:val="single" w:sz="4" w:space="0" w:color="FFFFFF" w:themeColor="background1"/>
              <w:left w:val="nil"/>
              <w:bottom w:val="single" w:sz="4" w:space="0" w:color="FFFFFF" w:themeColor="background1"/>
              <w:right w:val="nil"/>
            </w:tcBorders>
            <w:vAlign w:val="center"/>
          </w:tcPr>
          <w:p w14:paraId="71BDFE33"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top w:val="single" w:sz="4" w:space="0" w:color="FFFFFF" w:themeColor="background1"/>
              <w:left w:val="nil"/>
              <w:bottom w:val="single" w:sz="4" w:space="0" w:color="FFFFFF" w:themeColor="background1"/>
              <w:right w:val="nil"/>
            </w:tcBorders>
            <w:vAlign w:val="center"/>
          </w:tcPr>
          <w:p w14:paraId="20CDD334"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top w:val="single" w:sz="4" w:space="0" w:color="FFFFFF" w:themeColor="background1"/>
              <w:left w:val="nil"/>
              <w:bottom w:val="single" w:sz="4" w:space="0" w:color="FFFFFF" w:themeColor="background1"/>
              <w:right w:val="nil"/>
            </w:tcBorders>
            <w:vAlign w:val="center"/>
          </w:tcPr>
          <w:p w14:paraId="132C424B"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top w:val="single" w:sz="4" w:space="0" w:color="FFFFFF" w:themeColor="background1"/>
              <w:left w:val="nil"/>
              <w:bottom w:val="single" w:sz="4" w:space="0" w:color="FFFFFF" w:themeColor="background1"/>
              <w:right w:val="nil"/>
            </w:tcBorders>
            <w:vAlign w:val="center"/>
          </w:tcPr>
          <w:p w14:paraId="23F7E6E7"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top w:val="single" w:sz="4" w:space="0" w:color="FFFFFF" w:themeColor="background1"/>
              <w:left w:val="nil"/>
              <w:bottom w:val="single" w:sz="4" w:space="0" w:color="FFFFFF" w:themeColor="background1"/>
              <w:right w:val="nil"/>
            </w:tcBorders>
            <w:vAlign w:val="center"/>
          </w:tcPr>
          <w:p w14:paraId="7861F379"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60C654B4"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360E0C">
              <w:rPr>
                <w:rFonts w:eastAsia="Times New Roman" w:cs="Open Sans"/>
                <w:color w:val="2B9AC2"/>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33AC5F06"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360E0C">
              <w:rPr>
                <w:rFonts w:eastAsia="Times New Roman" w:cs="Open Sans"/>
                <w:color w:val="2B9AC2"/>
                <w:sz w:val="18"/>
                <w:szCs w:val="18"/>
                <w:lang w:eastAsia="en-AU"/>
              </w:rPr>
              <w:t>^</w:t>
            </w:r>
          </w:p>
        </w:tc>
        <w:tc>
          <w:tcPr>
            <w:tcW w:w="2831" w:type="dxa"/>
            <w:tcBorders>
              <w:left w:val="nil"/>
              <w:right w:val="nil"/>
            </w:tcBorders>
            <w:noWrap/>
            <w:vAlign w:val="center"/>
            <w:hideMark/>
          </w:tcPr>
          <w:p w14:paraId="76C636A7" w14:textId="402882AE" w:rsidR="004C31F5" w:rsidRPr="00B93766" w:rsidRDefault="004C31F5" w:rsidP="00011592">
            <w:pPr>
              <w:spacing w:before="0" w:after="0" w:line="240" w:lineRule="auto"/>
              <w:rPr>
                <w:rFonts w:eastAsia="Times New Roman" w:cs="Open Sans"/>
                <w:color w:val="000000"/>
                <w:spacing w:val="-4"/>
                <w:sz w:val="18"/>
                <w:szCs w:val="18"/>
                <w:lang w:eastAsia="en-AU"/>
              </w:rPr>
            </w:pPr>
            <w:r w:rsidRPr="00B93766">
              <w:rPr>
                <w:rFonts w:eastAsia="Times New Roman" w:cs="Open Sans"/>
                <w:color w:val="000000"/>
                <w:spacing w:val="-4"/>
                <w:sz w:val="18"/>
                <w:szCs w:val="18"/>
                <w:lang w:val="en-US" w:eastAsia="en-AU"/>
              </w:rPr>
              <w:t>Rowville Engineering (sub.</w:t>
            </w:r>
            <w:r w:rsidR="00541146" w:rsidRPr="00B93766">
              <w:rPr>
                <w:rFonts w:eastAsia="Times New Roman" w:cs="Open Sans"/>
                <w:color w:val="000000"/>
                <w:spacing w:val="-4"/>
                <w:sz w:val="18"/>
                <w:szCs w:val="18"/>
                <w:lang w:val="en-US" w:eastAsia="en-AU"/>
              </w:rPr>
              <w:t> </w:t>
            </w:r>
            <w:r w:rsidRPr="00B93766">
              <w:rPr>
                <w:rFonts w:eastAsia="Times New Roman" w:cs="Open Sans"/>
                <w:color w:val="000000"/>
                <w:spacing w:val="-4"/>
                <w:sz w:val="18"/>
                <w:szCs w:val="18"/>
                <w:lang w:val="en-US" w:eastAsia="en-AU"/>
              </w:rPr>
              <w:t>4, p.</w:t>
            </w:r>
            <w:r w:rsidR="00541146" w:rsidRPr="00B93766">
              <w:rPr>
                <w:rFonts w:eastAsia="Times New Roman" w:cs="Open Sans"/>
                <w:color w:val="000000"/>
                <w:spacing w:val="-4"/>
                <w:sz w:val="18"/>
                <w:szCs w:val="18"/>
                <w:lang w:val="en-US" w:eastAsia="en-AU"/>
              </w:rPr>
              <w:t> </w:t>
            </w:r>
            <w:r w:rsidRPr="00B93766">
              <w:rPr>
                <w:rFonts w:eastAsia="Times New Roman" w:cs="Open Sans"/>
                <w:color w:val="000000"/>
                <w:spacing w:val="-4"/>
                <w:sz w:val="18"/>
                <w:szCs w:val="18"/>
                <w:lang w:val="en-US" w:eastAsia="en-AU"/>
              </w:rPr>
              <w:t>1)</w:t>
            </w:r>
            <w:r w:rsidR="00B35049" w:rsidRPr="00B93766">
              <w:rPr>
                <w:rFonts w:eastAsia="Times New Roman" w:cs="Open Sans"/>
                <w:color w:val="000000"/>
                <w:spacing w:val="-4"/>
                <w:sz w:val="18"/>
                <w:szCs w:val="18"/>
                <w:lang w:val="en-US" w:eastAsia="en-AU"/>
              </w:rPr>
              <w:t>;</w:t>
            </w:r>
            <w:r w:rsidR="00B93766" w:rsidRPr="00B93766">
              <w:rPr>
                <w:rFonts w:eastAsia="Times New Roman" w:cs="Open Sans"/>
                <w:color w:val="000000"/>
                <w:spacing w:val="-4"/>
                <w:sz w:val="18"/>
                <w:szCs w:val="18"/>
                <w:lang w:val="en-US" w:eastAsia="en-AU"/>
              </w:rPr>
              <w:t xml:space="preserve"> </w:t>
            </w:r>
            <w:r w:rsidRPr="00B93766">
              <w:rPr>
                <w:rFonts w:eastAsia="Times New Roman" w:cs="Open Sans"/>
                <w:color w:val="000000"/>
                <w:spacing w:val="-4"/>
                <w:sz w:val="18"/>
                <w:szCs w:val="18"/>
                <w:lang w:val="en-US" w:eastAsia="en-AU"/>
              </w:rPr>
              <w:t>Stevens Group (sub.</w:t>
            </w:r>
            <w:r w:rsidR="00541146" w:rsidRPr="00B93766">
              <w:rPr>
                <w:rFonts w:eastAsia="Times New Roman" w:cs="Open Sans"/>
                <w:color w:val="000000"/>
                <w:spacing w:val="-4"/>
                <w:sz w:val="18"/>
                <w:szCs w:val="18"/>
                <w:lang w:val="en-US" w:eastAsia="en-AU"/>
              </w:rPr>
              <w:t> </w:t>
            </w:r>
            <w:r w:rsidRPr="00B93766">
              <w:rPr>
                <w:rFonts w:eastAsia="Times New Roman" w:cs="Open Sans"/>
                <w:color w:val="000000"/>
                <w:spacing w:val="-4"/>
                <w:sz w:val="18"/>
                <w:szCs w:val="18"/>
                <w:lang w:val="en-US" w:eastAsia="en-AU"/>
              </w:rPr>
              <w:t>5, p.</w:t>
            </w:r>
            <w:r w:rsidR="00541146" w:rsidRPr="00B93766">
              <w:rPr>
                <w:rFonts w:eastAsia="Times New Roman" w:cs="Open Sans"/>
                <w:color w:val="000000"/>
                <w:spacing w:val="-4"/>
                <w:sz w:val="18"/>
                <w:szCs w:val="18"/>
                <w:lang w:val="en-US" w:eastAsia="en-AU"/>
              </w:rPr>
              <w:t> </w:t>
            </w:r>
            <w:r w:rsidRPr="00B93766">
              <w:rPr>
                <w:rFonts w:eastAsia="Times New Roman" w:cs="Open Sans"/>
                <w:color w:val="000000"/>
                <w:spacing w:val="-4"/>
                <w:sz w:val="18"/>
                <w:szCs w:val="18"/>
                <w:lang w:val="en-US" w:eastAsia="en-AU"/>
              </w:rPr>
              <w:t>1)</w:t>
            </w:r>
          </w:p>
        </w:tc>
      </w:tr>
      <w:tr w:rsidR="004C31F5" w:rsidRPr="005063BE" w14:paraId="1CF17DED" w14:textId="77777777" w:rsidTr="00AC42AB">
        <w:trPr>
          <w:trHeight w:val="454"/>
        </w:trPr>
        <w:tc>
          <w:tcPr>
            <w:tcW w:w="680" w:type="dxa"/>
            <w:gridSpan w:val="2"/>
            <w:tcBorders>
              <w:top w:val="single" w:sz="4" w:space="0" w:color="FFFFFF" w:themeColor="background1"/>
              <w:left w:val="nil"/>
              <w:bottom w:val="single" w:sz="4" w:space="0" w:color="FFFFFF" w:themeColor="background1"/>
              <w:right w:val="nil"/>
            </w:tcBorders>
            <w:vAlign w:val="center"/>
          </w:tcPr>
          <w:p w14:paraId="7D529CE9"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top w:val="single" w:sz="4" w:space="0" w:color="FFFFFF" w:themeColor="background1"/>
              <w:left w:val="nil"/>
              <w:bottom w:val="single" w:sz="4" w:space="0" w:color="FFFFFF" w:themeColor="background1"/>
              <w:right w:val="nil"/>
            </w:tcBorders>
            <w:vAlign w:val="center"/>
          </w:tcPr>
          <w:p w14:paraId="655AA11C"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top w:val="single" w:sz="4" w:space="0" w:color="FFFFFF" w:themeColor="background1"/>
              <w:left w:val="nil"/>
              <w:bottom w:val="single" w:sz="4" w:space="0" w:color="FFFFFF" w:themeColor="background1"/>
              <w:right w:val="nil"/>
            </w:tcBorders>
            <w:vAlign w:val="center"/>
          </w:tcPr>
          <w:p w14:paraId="60E3A2C9"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top w:val="single" w:sz="4" w:space="0" w:color="FFFFFF" w:themeColor="background1"/>
              <w:left w:val="nil"/>
              <w:bottom w:val="single" w:sz="4" w:space="0" w:color="FFFFFF" w:themeColor="background1"/>
              <w:right w:val="nil"/>
            </w:tcBorders>
            <w:vAlign w:val="center"/>
          </w:tcPr>
          <w:p w14:paraId="17E8DD47"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top w:val="single" w:sz="4" w:space="0" w:color="FFFFFF" w:themeColor="background1"/>
              <w:left w:val="nil"/>
              <w:bottom w:val="single" w:sz="4" w:space="0" w:color="FFFFFF" w:themeColor="background1"/>
              <w:right w:val="nil"/>
            </w:tcBorders>
            <w:vAlign w:val="center"/>
          </w:tcPr>
          <w:p w14:paraId="5B7DA19E"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top w:val="single" w:sz="4" w:space="0" w:color="FFFFFF" w:themeColor="background1"/>
              <w:left w:val="nil"/>
              <w:bottom w:val="single" w:sz="4" w:space="0" w:color="FFFFFF" w:themeColor="background1"/>
              <w:right w:val="nil"/>
            </w:tcBorders>
            <w:vAlign w:val="center"/>
          </w:tcPr>
          <w:p w14:paraId="7DAE0668"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top w:val="single" w:sz="4" w:space="0" w:color="FFFFFF" w:themeColor="background1"/>
              <w:left w:val="nil"/>
              <w:bottom w:val="single" w:sz="4" w:space="0" w:color="FFFFFF" w:themeColor="background1"/>
              <w:right w:val="nil"/>
            </w:tcBorders>
            <w:vAlign w:val="center"/>
          </w:tcPr>
          <w:p w14:paraId="1838C616"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5513E8AC"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9B42B8">
              <w:rPr>
                <w:rFonts w:eastAsia="Times New Roman" w:cs="Open Sans"/>
                <w:color w:val="2B9AC2"/>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77D1EE8A"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360E0C">
              <w:rPr>
                <w:rFonts w:eastAsia="Times New Roman" w:cs="Open Sans"/>
                <w:color w:val="2B9AC2"/>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4BB91F17"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360E0C">
              <w:rPr>
                <w:rFonts w:eastAsia="Times New Roman" w:cs="Open Sans"/>
                <w:color w:val="2B9AC2"/>
                <w:sz w:val="18"/>
                <w:szCs w:val="18"/>
                <w:lang w:eastAsia="en-AU"/>
              </w:rPr>
              <w:t>^</w:t>
            </w:r>
          </w:p>
        </w:tc>
        <w:tc>
          <w:tcPr>
            <w:tcW w:w="2831" w:type="dxa"/>
            <w:tcBorders>
              <w:left w:val="nil"/>
              <w:right w:val="nil"/>
            </w:tcBorders>
            <w:noWrap/>
            <w:vAlign w:val="center"/>
            <w:hideMark/>
          </w:tcPr>
          <w:p w14:paraId="17EA920B" w14:textId="06F462D7" w:rsidR="004C31F5" w:rsidRPr="00B93766" w:rsidRDefault="004C31F5" w:rsidP="00B93766">
            <w:pPr>
              <w:spacing w:before="0" w:after="0" w:line="240" w:lineRule="auto"/>
              <w:ind w:right="-113"/>
              <w:rPr>
                <w:rFonts w:eastAsia="Times New Roman" w:cs="Open Sans"/>
                <w:color w:val="000000"/>
                <w:spacing w:val="-6"/>
                <w:sz w:val="18"/>
                <w:szCs w:val="18"/>
                <w:lang w:eastAsia="en-AU"/>
              </w:rPr>
            </w:pPr>
            <w:r w:rsidRPr="00B93766">
              <w:rPr>
                <w:rFonts w:eastAsia="Times New Roman" w:cs="Open Sans"/>
                <w:color w:val="000000"/>
                <w:spacing w:val="-6"/>
                <w:sz w:val="18"/>
                <w:szCs w:val="18"/>
                <w:lang w:val="en-US" w:eastAsia="en-AU"/>
              </w:rPr>
              <w:t>Australian Steel (sub.</w:t>
            </w:r>
            <w:r w:rsidR="00541146" w:rsidRPr="00B93766">
              <w:rPr>
                <w:rFonts w:eastAsia="Times New Roman" w:cs="Open Sans"/>
                <w:color w:val="000000"/>
                <w:spacing w:val="-6"/>
                <w:sz w:val="18"/>
                <w:szCs w:val="18"/>
                <w:lang w:val="en-US" w:eastAsia="en-AU"/>
              </w:rPr>
              <w:t> </w:t>
            </w:r>
            <w:r w:rsidRPr="00B93766">
              <w:rPr>
                <w:rFonts w:eastAsia="Times New Roman" w:cs="Open Sans"/>
                <w:color w:val="000000"/>
                <w:spacing w:val="-6"/>
                <w:sz w:val="18"/>
                <w:szCs w:val="18"/>
                <w:lang w:val="en-US" w:eastAsia="en-AU"/>
              </w:rPr>
              <w:t>1, p.</w:t>
            </w:r>
            <w:r w:rsidR="00541146" w:rsidRPr="00B93766">
              <w:rPr>
                <w:rFonts w:eastAsia="Times New Roman" w:cs="Open Sans"/>
                <w:color w:val="000000"/>
                <w:spacing w:val="-6"/>
                <w:sz w:val="18"/>
                <w:szCs w:val="18"/>
                <w:lang w:val="en-US" w:eastAsia="en-AU"/>
              </w:rPr>
              <w:t> </w:t>
            </w:r>
            <w:r w:rsidRPr="00B93766">
              <w:rPr>
                <w:rFonts w:eastAsia="Times New Roman" w:cs="Open Sans"/>
                <w:color w:val="000000"/>
                <w:spacing w:val="-6"/>
                <w:sz w:val="18"/>
                <w:szCs w:val="18"/>
                <w:lang w:val="en-US" w:eastAsia="en-AU"/>
              </w:rPr>
              <w:t>1)</w:t>
            </w:r>
            <w:r w:rsidR="00B35049" w:rsidRPr="00B93766">
              <w:rPr>
                <w:rFonts w:eastAsia="Times New Roman" w:cs="Open Sans"/>
                <w:color w:val="000000"/>
                <w:spacing w:val="-6"/>
                <w:sz w:val="18"/>
                <w:szCs w:val="18"/>
                <w:lang w:val="en-US" w:eastAsia="en-AU"/>
              </w:rPr>
              <w:t>;</w:t>
            </w:r>
            <w:r w:rsidR="00B93766" w:rsidRPr="00B93766">
              <w:rPr>
                <w:rFonts w:eastAsia="Times New Roman" w:cs="Open Sans"/>
                <w:color w:val="000000"/>
                <w:spacing w:val="-6"/>
                <w:sz w:val="18"/>
                <w:szCs w:val="18"/>
                <w:lang w:val="en-US" w:eastAsia="en-AU"/>
              </w:rPr>
              <w:t xml:space="preserve"> </w:t>
            </w:r>
            <w:proofErr w:type="spellStart"/>
            <w:r w:rsidRPr="00B93766">
              <w:rPr>
                <w:rFonts w:eastAsia="Times New Roman" w:cs="Open Sans"/>
                <w:color w:val="000000"/>
                <w:spacing w:val="-6"/>
                <w:sz w:val="18"/>
                <w:szCs w:val="18"/>
                <w:lang w:val="en-US" w:eastAsia="en-AU"/>
              </w:rPr>
              <w:t>Caneland</w:t>
            </w:r>
            <w:proofErr w:type="spellEnd"/>
            <w:r w:rsidRPr="00B93766">
              <w:rPr>
                <w:rFonts w:eastAsia="Times New Roman" w:cs="Open Sans"/>
                <w:color w:val="000000"/>
                <w:spacing w:val="-6"/>
                <w:sz w:val="18"/>
                <w:szCs w:val="18"/>
                <w:lang w:val="en-US" w:eastAsia="en-AU"/>
              </w:rPr>
              <w:t xml:space="preserve"> Engineering (sub.</w:t>
            </w:r>
            <w:r w:rsidR="00541146" w:rsidRPr="00B93766">
              <w:rPr>
                <w:rFonts w:eastAsia="Times New Roman" w:cs="Open Sans"/>
                <w:color w:val="000000"/>
                <w:spacing w:val="-6"/>
                <w:sz w:val="18"/>
                <w:szCs w:val="18"/>
                <w:lang w:val="en-US" w:eastAsia="en-AU"/>
              </w:rPr>
              <w:t> </w:t>
            </w:r>
            <w:r w:rsidRPr="00B93766">
              <w:rPr>
                <w:rFonts w:eastAsia="Times New Roman" w:cs="Open Sans"/>
                <w:color w:val="000000"/>
                <w:spacing w:val="-6"/>
                <w:sz w:val="18"/>
                <w:szCs w:val="18"/>
                <w:lang w:val="en-US" w:eastAsia="en-AU"/>
              </w:rPr>
              <w:t>8, p.</w:t>
            </w:r>
            <w:r w:rsidR="00541146" w:rsidRPr="00B93766">
              <w:rPr>
                <w:rFonts w:eastAsia="Times New Roman" w:cs="Open Sans"/>
                <w:color w:val="000000"/>
                <w:spacing w:val="-6"/>
                <w:sz w:val="18"/>
                <w:szCs w:val="18"/>
                <w:lang w:val="en-US" w:eastAsia="en-AU"/>
              </w:rPr>
              <w:t> </w:t>
            </w:r>
            <w:r w:rsidRPr="00B93766">
              <w:rPr>
                <w:rFonts w:eastAsia="Times New Roman" w:cs="Open Sans"/>
                <w:color w:val="000000"/>
                <w:spacing w:val="-6"/>
                <w:sz w:val="18"/>
                <w:szCs w:val="18"/>
                <w:lang w:val="en-US" w:eastAsia="en-AU"/>
              </w:rPr>
              <w:t>1)</w:t>
            </w:r>
          </w:p>
        </w:tc>
      </w:tr>
      <w:tr w:rsidR="004C31F5" w:rsidRPr="005063BE" w14:paraId="4ACEF2B0" w14:textId="77777777" w:rsidTr="00AC42AB">
        <w:trPr>
          <w:trHeight w:val="454"/>
        </w:trPr>
        <w:tc>
          <w:tcPr>
            <w:tcW w:w="680" w:type="dxa"/>
            <w:gridSpan w:val="2"/>
            <w:tcBorders>
              <w:top w:val="single" w:sz="4" w:space="0" w:color="FFFFFF" w:themeColor="background1"/>
              <w:left w:val="nil"/>
              <w:bottom w:val="single" w:sz="4" w:space="0" w:color="FFFFFF" w:themeColor="background1"/>
              <w:right w:val="nil"/>
            </w:tcBorders>
            <w:vAlign w:val="center"/>
          </w:tcPr>
          <w:p w14:paraId="77789CF9"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top w:val="single" w:sz="4" w:space="0" w:color="FFFFFF" w:themeColor="background1"/>
              <w:left w:val="nil"/>
              <w:bottom w:val="single" w:sz="4" w:space="0" w:color="FFFFFF" w:themeColor="background1"/>
              <w:right w:val="nil"/>
            </w:tcBorders>
            <w:vAlign w:val="center"/>
          </w:tcPr>
          <w:p w14:paraId="692AFF48"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top w:val="single" w:sz="4" w:space="0" w:color="FFFFFF" w:themeColor="background1"/>
              <w:left w:val="nil"/>
              <w:bottom w:val="single" w:sz="4" w:space="0" w:color="FFFFFF" w:themeColor="background1"/>
              <w:right w:val="nil"/>
            </w:tcBorders>
            <w:vAlign w:val="center"/>
          </w:tcPr>
          <w:p w14:paraId="31904CB1"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top w:val="single" w:sz="4" w:space="0" w:color="FFFFFF" w:themeColor="background1"/>
              <w:left w:val="nil"/>
              <w:bottom w:val="single" w:sz="4" w:space="0" w:color="FFFFFF" w:themeColor="background1"/>
              <w:right w:val="nil"/>
            </w:tcBorders>
            <w:vAlign w:val="center"/>
          </w:tcPr>
          <w:p w14:paraId="07DAEC7C"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top w:val="single" w:sz="4" w:space="0" w:color="FFFFFF" w:themeColor="background1"/>
              <w:left w:val="nil"/>
              <w:bottom w:val="single" w:sz="4" w:space="0" w:color="FFFFFF" w:themeColor="background1"/>
              <w:right w:val="nil"/>
            </w:tcBorders>
            <w:vAlign w:val="center"/>
          </w:tcPr>
          <w:p w14:paraId="74AEFDC7"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top w:val="single" w:sz="4" w:space="0" w:color="FFFFFF" w:themeColor="background1"/>
              <w:left w:val="nil"/>
              <w:bottom w:val="single" w:sz="4" w:space="0" w:color="FFFFFF" w:themeColor="background1"/>
              <w:right w:val="nil"/>
            </w:tcBorders>
            <w:vAlign w:val="center"/>
          </w:tcPr>
          <w:p w14:paraId="784AA5FD"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top w:val="single" w:sz="4" w:space="0" w:color="FFFFFF" w:themeColor="background1"/>
              <w:left w:val="nil"/>
              <w:bottom w:val="single" w:sz="4" w:space="0" w:color="FFFFFF" w:themeColor="background1"/>
              <w:right w:val="nil"/>
            </w:tcBorders>
            <w:shd w:val="clear" w:color="000000" w:fill="D2ECF5"/>
            <w:vAlign w:val="center"/>
          </w:tcPr>
          <w:p w14:paraId="62CECDEC"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6F51FA">
              <w:rPr>
                <w:rFonts w:eastAsia="Times New Roman" w:cs="Open Sans"/>
                <w:color w:val="D2ECF5"/>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32BED00B"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9B42B8">
              <w:rPr>
                <w:rFonts w:eastAsia="Times New Roman" w:cs="Open Sans"/>
                <w:color w:val="2B9AC2"/>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5D4012C1"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360E0C">
              <w:rPr>
                <w:rFonts w:eastAsia="Times New Roman" w:cs="Open Sans"/>
                <w:color w:val="2B9AC2"/>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7E1C715E"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360E0C">
              <w:rPr>
                <w:rFonts w:eastAsia="Times New Roman" w:cs="Open Sans"/>
                <w:color w:val="2B9AC2"/>
                <w:sz w:val="18"/>
                <w:szCs w:val="18"/>
                <w:lang w:eastAsia="en-AU"/>
              </w:rPr>
              <w:t>^</w:t>
            </w:r>
          </w:p>
        </w:tc>
        <w:tc>
          <w:tcPr>
            <w:tcW w:w="2831" w:type="dxa"/>
            <w:tcBorders>
              <w:left w:val="nil"/>
              <w:right w:val="nil"/>
            </w:tcBorders>
            <w:noWrap/>
            <w:vAlign w:val="center"/>
            <w:hideMark/>
          </w:tcPr>
          <w:p w14:paraId="24361BA3" w14:textId="3776F3EC" w:rsidR="004C31F5" w:rsidRPr="005063BE" w:rsidRDefault="004C31F5" w:rsidP="00011592">
            <w:pPr>
              <w:spacing w:before="0" w:after="0" w:line="240" w:lineRule="auto"/>
              <w:rPr>
                <w:rFonts w:eastAsia="Times New Roman" w:cs="Open Sans"/>
                <w:color w:val="000000"/>
                <w:sz w:val="18"/>
                <w:szCs w:val="18"/>
                <w:lang w:eastAsia="en-AU"/>
              </w:rPr>
            </w:pPr>
            <w:r w:rsidRPr="005063BE">
              <w:rPr>
                <w:rFonts w:eastAsia="Times New Roman" w:cs="Open Sans"/>
                <w:color w:val="000000"/>
                <w:sz w:val="18"/>
                <w:szCs w:val="18"/>
                <w:lang w:val="en-US" w:eastAsia="en-AU"/>
              </w:rPr>
              <w:t>Kyst Engineering (sub.</w:t>
            </w:r>
            <w:r w:rsidR="00541146">
              <w:rPr>
                <w:rFonts w:eastAsia="Times New Roman" w:cs="Open Sans"/>
                <w:color w:val="000000"/>
                <w:sz w:val="18"/>
                <w:szCs w:val="18"/>
                <w:lang w:val="en-US" w:eastAsia="en-AU"/>
              </w:rPr>
              <w:t> </w:t>
            </w:r>
            <w:r w:rsidRPr="005063BE">
              <w:rPr>
                <w:rFonts w:eastAsia="Times New Roman" w:cs="Open Sans"/>
                <w:color w:val="000000"/>
                <w:sz w:val="18"/>
                <w:szCs w:val="18"/>
                <w:lang w:val="en-US" w:eastAsia="en-AU"/>
              </w:rPr>
              <w:t>18, p.</w:t>
            </w:r>
            <w:r w:rsidR="00541146">
              <w:rPr>
                <w:rFonts w:eastAsia="Times New Roman" w:cs="Open Sans"/>
                <w:color w:val="000000"/>
                <w:sz w:val="18"/>
                <w:szCs w:val="18"/>
                <w:lang w:val="en-US" w:eastAsia="en-AU"/>
              </w:rPr>
              <w:t> </w:t>
            </w:r>
            <w:r w:rsidRPr="005063BE">
              <w:rPr>
                <w:rFonts w:eastAsia="Times New Roman" w:cs="Open Sans"/>
                <w:color w:val="000000"/>
                <w:sz w:val="18"/>
                <w:szCs w:val="18"/>
                <w:lang w:val="en-US" w:eastAsia="en-AU"/>
              </w:rPr>
              <w:t>1)</w:t>
            </w:r>
          </w:p>
        </w:tc>
      </w:tr>
      <w:tr w:rsidR="004C31F5" w:rsidRPr="005063BE" w14:paraId="07BBE0BC" w14:textId="77777777" w:rsidTr="00AC42AB">
        <w:trPr>
          <w:trHeight w:val="454"/>
        </w:trPr>
        <w:tc>
          <w:tcPr>
            <w:tcW w:w="680" w:type="dxa"/>
            <w:gridSpan w:val="2"/>
            <w:tcBorders>
              <w:top w:val="single" w:sz="4" w:space="0" w:color="FFFFFF" w:themeColor="background1"/>
              <w:left w:val="nil"/>
              <w:bottom w:val="single" w:sz="4" w:space="0" w:color="FFFFFF" w:themeColor="background1"/>
              <w:right w:val="nil"/>
            </w:tcBorders>
            <w:vAlign w:val="center"/>
          </w:tcPr>
          <w:p w14:paraId="004125CE"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top w:val="single" w:sz="4" w:space="0" w:color="FFFFFF" w:themeColor="background1"/>
              <w:left w:val="nil"/>
              <w:bottom w:val="single" w:sz="4" w:space="0" w:color="FFFFFF" w:themeColor="background1"/>
              <w:right w:val="nil"/>
            </w:tcBorders>
            <w:vAlign w:val="center"/>
          </w:tcPr>
          <w:p w14:paraId="5E53F779"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top w:val="single" w:sz="4" w:space="0" w:color="FFFFFF" w:themeColor="background1"/>
              <w:left w:val="nil"/>
              <w:bottom w:val="single" w:sz="4" w:space="0" w:color="FFFFFF" w:themeColor="background1"/>
              <w:right w:val="nil"/>
            </w:tcBorders>
            <w:vAlign w:val="center"/>
          </w:tcPr>
          <w:p w14:paraId="5649BA2B"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top w:val="single" w:sz="4" w:space="0" w:color="FFFFFF" w:themeColor="background1"/>
              <w:left w:val="nil"/>
              <w:bottom w:val="single" w:sz="4" w:space="0" w:color="FFFFFF" w:themeColor="background1"/>
              <w:right w:val="nil"/>
            </w:tcBorders>
            <w:vAlign w:val="center"/>
          </w:tcPr>
          <w:p w14:paraId="6577EA59"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top w:val="single" w:sz="4" w:space="0" w:color="FFFFFF" w:themeColor="background1"/>
              <w:left w:val="nil"/>
              <w:bottom w:val="single" w:sz="4" w:space="0" w:color="FFFFFF" w:themeColor="background1"/>
              <w:right w:val="nil"/>
            </w:tcBorders>
            <w:vAlign w:val="center"/>
          </w:tcPr>
          <w:p w14:paraId="4466334C"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top w:val="single" w:sz="4" w:space="0" w:color="FFFFFF" w:themeColor="background1"/>
              <w:left w:val="nil"/>
              <w:bottom w:val="single" w:sz="4" w:space="0" w:color="FFFFFF" w:themeColor="background1"/>
              <w:right w:val="nil"/>
            </w:tcBorders>
            <w:shd w:val="clear" w:color="000000" w:fill="D2ECF5"/>
            <w:vAlign w:val="center"/>
          </w:tcPr>
          <w:p w14:paraId="1FCAB1B8"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665A30">
              <w:rPr>
                <w:rFonts w:eastAsia="Times New Roman" w:cs="Open Sans"/>
                <w:color w:val="D2ECF5"/>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000000" w:fill="D2ECF5"/>
            <w:vAlign w:val="center"/>
          </w:tcPr>
          <w:p w14:paraId="3E10A1C8"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665A30">
              <w:rPr>
                <w:rFonts w:eastAsia="Times New Roman" w:cs="Open Sans"/>
                <w:color w:val="D2ECF5"/>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1F1B4981"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9B42B8">
              <w:rPr>
                <w:rFonts w:eastAsia="Times New Roman" w:cs="Open Sans"/>
                <w:color w:val="2B9AC2"/>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74DF9727"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360E0C">
              <w:rPr>
                <w:rFonts w:eastAsia="Times New Roman" w:cs="Open Sans"/>
                <w:color w:val="2B9AC2"/>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40B6A356"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360E0C">
              <w:rPr>
                <w:rFonts w:eastAsia="Times New Roman" w:cs="Open Sans"/>
                <w:color w:val="2B9AC2"/>
                <w:sz w:val="18"/>
                <w:szCs w:val="18"/>
                <w:lang w:eastAsia="en-AU"/>
              </w:rPr>
              <w:t>^</w:t>
            </w:r>
          </w:p>
        </w:tc>
        <w:tc>
          <w:tcPr>
            <w:tcW w:w="2831" w:type="dxa"/>
            <w:tcBorders>
              <w:left w:val="nil"/>
              <w:right w:val="nil"/>
            </w:tcBorders>
            <w:noWrap/>
            <w:vAlign w:val="center"/>
            <w:hideMark/>
          </w:tcPr>
          <w:p w14:paraId="39A4F0EF" w14:textId="023FA9C1" w:rsidR="004C31F5" w:rsidRPr="005063BE" w:rsidRDefault="004C31F5" w:rsidP="00011592">
            <w:pPr>
              <w:spacing w:before="0" w:after="0" w:line="240" w:lineRule="auto"/>
              <w:rPr>
                <w:rFonts w:eastAsia="Times New Roman" w:cs="Open Sans"/>
                <w:color w:val="000000"/>
                <w:sz w:val="18"/>
                <w:szCs w:val="18"/>
                <w:lang w:eastAsia="en-AU"/>
              </w:rPr>
            </w:pPr>
            <w:r w:rsidRPr="005063BE">
              <w:rPr>
                <w:rFonts w:eastAsia="Times New Roman" w:cs="Open Sans"/>
                <w:color w:val="000000"/>
                <w:sz w:val="18"/>
                <w:szCs w:val="18"/>
                <w:lang w:val="en-US" w:eastAsia="en-AU"/>
              </w:rPr>
              <w:t>First Line Engineering (sub.</w:t>
            </w:r>
            <w:r w:rsidR="00541146">
              <w:rPr>
                <w:rFonts w:eastAsia="Times New Roman" w:cs="Open Sans"/>
                <w:color w:val="000000"/>
                <w:sz w:val="18"/>
                <w:szCs w:val="18"/>
                <w:lang w:val="en-US" w:eastAsia="en-AU"/>
              </w:rPr>
              <w:t> </w:t>
            </w:r>
            <w:r w:rsidRPr="005063BE">
              <w:rPr>
                <w:rFonts w:eastAsia="Times New Roman" w:cs="Open Sans"/>
                <w:color w:val="000000"/>
                <w:sz w:val="18"/>
                <w:szCs w:val="18"/>
                <w:lang w:val="en-US" w:eastAsia="en-AU"/>
              </w:rPr>
              <w:t>34)</w:t>
            </w:r>
          </w:p>
        </w:tc>
      </w:tr>
      <w:tr w:rsidR="004C31F5" w:rsidRPr="005063BE" w14:paraId="6B9AE819" w14:textId="77777777" w:rsidTr="00AC42AB">
        <w:trPr>
          <w:trHeight w:val="454"/>
        </w:trPr>
        <w:tc>
          <w:tcPr>
            <w:tcW w:w="680" w:type="dxa"/>
            <w:gridSpan w:val="2"/>
            <w:tcBorders>
              <w:top w:val="single" w:sz="4" w:space="0" w:color="FFFFFF" w:themeColor="background1"/>
              <w:left w:val="nil"/>
              <w:bottom w:val="single" w:sz="4" w:space="0" w:color="FFFFFF" w:themeColor="background1"/>
              <w:right w:val="nil"/>
            </w:tcBorders>
            <w:vAlign w:val="center"/>
          </w:tcPr>
          <w:p w14:paraId="4DA952F4"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top w:val="single" w:sz="4" w:space="0" w:color="FFFFFF" w:themeColor="background1"/>
              <w:left w:val="nil"/>
              <w:bottom w:val="single" w:sz="4" w:space="0" w:color="FFFFFF" w:themeColor="background1"/>
              <w:right w:val="nil"/>
            </w:tcBorders>
            <w:shd w:val="clear" w:color="auto" w:fill="D2ECF5"/>
            <w:vAlign w:val="center"/>
          </w:tcPr>
          <w:p w14:paraId="73E03F7E"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CA632E">
              <w:rPr>
                <w:rFonts w:eastAsia="Times New Roman" w:cs="Open Sans"/>
                <w:color w:val="D2ECF5"/>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auto" w:fill="D2ECF5"/>
            <w:vAlign w:val="center"/>
          </w:tcPr>
          <w:p w14:paraId="7CF0B157"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CA632E">
              <w:rPr>
                <w:rFonts w:eastAsia="Times New Roman" w:cs="Open Sans"/>
                <w:color w:val="D2ECF5"/>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auto" w:fill="D2ECF5"/>
            <w:vAlign w:val="center"/>
          </w:tcPr>
          <w:p w14:paraId="38D05E74"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CA632E">
              <w:rPr>
                <w:rFonts w:eastAsia="Times New Roman" w:cs="Open Sans"/>
                <w:color w:val="D2ECF5"/>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auto" w:fill="D2ECF5"/>
            <w:vAlign w:val="center"/>
          </w:tcPr>
          <w:p w14:paraId="2CC447C2"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CA632E">
              <w:rPr>
                <w:rFonts w:eastAsia="Times New Roman" w:cs="Open Sans"/>
                <w:color w:val="D2ECF5"/>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auto" w:fill="D2ECF5"/>
            <w:vAlign w:val="center"/>
          </w:tcPr>
          <w:p w14:paraId="01019920"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665A30">
              <w:rPr>
                <w:rFonts w:eastAsia="Times New Roman" w:cs="Open Sans"/>
                <w:color w:val="D2ECF5"/>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auto" w:fill="D2ECF5"/>
            <w:vAlign w:val="center"/>
          </w:tcPr>
          <w:p w14:paraId="355C0438"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665A30">
              <w:rPr>
                <w:rFonts w:eastAsia="Times New Roman" w:cs="Open Sans"/>
                <w:color w:val="D2ECF5"/>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261A968A"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9B42B8">
              <w:rPr>
                <w:rFonts w:eastAsia="Times New Roman" w:cs="Open Sans"/>
                <w:color w:val="2B9AC2"/>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650DE1F8"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360E0C">
              <w:rPr>
                <w:rFonts w:eastAsia="Times New Roman" w:cs="Open Sans"/>
                <w:color w:val="2B9AC2"/>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60A2C145"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360E0C">
              <w:rPr>
                <w:rFonts w:eastAsia="Times New Roman" w:cs="Open Sans"/>
                <w:color w:val="2B9AC2"/>
                <w:sz w:val="18"/>
                <w:szCs w:val="18"/>
                <w:lang w:eastAsia="en-AU"/>
              </w:rPr>
              <w:t>^</w:t>
            </w:r>
          </w:p>
        </w:tc>
        <w:tc>
          <w:tcPr>
            <w:tcW w:w="2831" w:type="dxa"/>
            <w:tcBorders>
              <w:left w:val="nil"/>
              <w:right w:val="nil"/>
            </w:tcBorders>
            <w:noWrap/>
            <w:vAlign w:val="center"/>
            <w:hideMark/>
          </w:tcPr>
          <w:p w14:paraId="5EDD51E0" w14:textId="71D27F20" w:rsidR="004C31F5" w:rsidRPr="005063BE" w:rsidRDefault="004C31F5" w:rsidP="00011592">
            <w:pPr>
              <w:spacing w:before="0" w:after="0" w:line="240" w:lineRule="auto"/>
              <w:rPr>
                <w:rFonts w:eastAsia="Times New Roman" w:cs="Open Sans"/>
                <w:color w:val="000000"/>
                <w:sz w:val="18"/>
                <w:szCs w:val="18"/>
                <w:lang w:eastAsia="en-AU"/>
              </w:rPr>
            </w:pPr>
            <w:r w:rsidRPr="005063BE">
              <w:rPr>
                <w:rFonts w:eastAsia="Times New Roman" w:cs="Open Sans"/>
                <w:color w:val="000000"/>
                <w:sz w:val="18"/>
                <w:szCs w:val="18"/>
                <w:lang w:val="en-US" w:eastAsia="en-AU"/>
              </w:rPr>
              <w:t>CASA Engineering (sub.</w:t>
            </w:r>
            <w:r w:rsidR="00541146">
              <w:rPr>
                <w:rFonts w:eastAsia="Times New Roman" w:cs="Open Sans"/>
                <w:color w:val="000000"/>
                <w:sz w:val="18"/>
                <w:szCs w:val="18"/>
                <w:lang w:val="en-US" w:eastAsia="en-AU"/>
              </w:rPr>
              <w:t> </w:t>
            </w:r>
            <w:r w:rsidRPr="005063BE">
              <w:rPr>
                <w:rFonts w:eastAsia="Times New Roman" w:cs="Open Sans"/>
                <w:color w:val="000000"/>
                <w:sz w:val="18"/>
                <w:szCs w:val="18"/>
                <w:lang w:val="en-US" w:eastAsia="en-AU"/>
              </w:rPr>
              <w:t>14, p.</w:t>
            </w:r>
            <w:r w:rsidR="00541146">
              <w:rPr>
                <w:rFonts w:eastAsia="Times New Roman" w:cs="Open Sans"/>
                <w:color w:val="000000"/>
                <w:sz w:val="18"/>
                <w:szCs w:val="18"/>
                <w:lang w:val="en-US" w:eastAsia="en-AU"/>
              </w:rPr>
              <w:t> </w:t>
            </w:r>
            <w:r w:rsidRPr="005063BE">
              <w:rPr>
                <w:rFonts w:eastAsia="Times New Roman" w:cs="Open Sans"/>
                <w:color w:val="000000"/>
                <w:sz w:val="18"/>
                <w:szCs w:val="18"/>
                <w:lang w:val="en-US" w:eastAsia="en-AU"/>
              </w:rPr>
              <w:t>3;</w:t>
            </w:r>
            <w:r w:rsidR="00B93766">
              <w:rPr>
                <w:rFonts w:eastAsia="Times New Roman" w:cs="Open Sans"/>
                <w:color w:val="000000"/>
                <w:sz w:val="18"/>
                <w:szCs w:val="18"/>
                <w:lang w:val="en-US" w:eastAsia="en-AU"/>
              </w:rPr>
              <w:t xml:space="preserve"> </w:t>
            </w:r>
            <w:r w:rsidRPr="005063BE">
              <w:rPr>
                <w:rFonts w:eastAsia="Times New Roman" w:cs="Open Sans"/>
                <w:color w:val="000000"/>
                <w:sz w:val="18"/>
                <w:szCs w:val="18"/>
                <w:lang w:val="en-US" w:eastAsia="en-AU"/>
              </w:rPr>
              <w:t>transcript, 13 May, p.</w:t>
            </w:r>
            <w:r w:rsidR="00541146">
              <w:rPr>
                <w:rFonts w:eastAsia="Times New Roman" w:cs="Open Sans"/>
                <w:color w:val="000000"/>
                <w:sz w:val="18"/>
                <w:szCs w:val="18"/>
                <w:lang w:val="en-US" w:eastAsia="en-AU"/>
              </w:rPr>
              <w:t> </w:t>
            </w:r>
            <w:r w:rsidRPr="005063BE">
              <w:rPr>
                <w:rFonts w:eastAsia="Times New Roman" w:cs="Open Sans"/>
                <w:color w:val="000000"/>
                <w:sz w:val="18"/>
                <w:szCs w:val="18"/>
                <w:lang w:val="en-US" w:eastAsia="en-AU"/>
              </w:rPr>
              <w:t>28)</w:t>
            </w:r>
          </w:p>
        </w:tc>
      </w:tr>
      <w:tr w:rsidR="004C31F5" w:rsidRPr="005063BE" w14:paraId="282FEF76" w14:textId="77777777" w:rsidTr="00AC42AB">
        <w:trPr>
          <w:trHeight w:val="454"/>
        </w:trPr>
        <w:tc>
          <w:tcPr>
            <w:tcW w:w="680" w:type="dxa"/>
            <w:gridSpan w:val="2"/>
            <w:tcBorders>
              <w:top w:val="single" w:sz="4" w:space="0" w:color="FFFFFF" w:themeColor="background1"/>
              <w:left w:val="nil"/>
              <w:bottom w:val="single" w:sz="4" w:space="0" w:color="FFFFFF" w:themeColor="background1"/>
              <w:right w:val="nil"/>
            </w:tcBorders>
            <w:shd w:val="clear" w:color="auto" w:fill="D2ECF5"/>
            <w:vAlign w:val="center"/>
          </w:tcPr>
          <w:p w14:paraId="30C6EC3D"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2D4B85">
              <w:rPr>
                <w:rFonts w:eastAsia="Times New Roman" w:cs="Open Sans"/>
                <w:color w:val="D2ECF5"/>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auto" w:fill="D2ECF5"/>
            <w:vAlign w:val="center"/>
          </w:tcPr>
          <w:p w14:paraId="5A619C07"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2D4B85">
              <w:rPr>
                <w:rFonts w:eastAsia="Times New Roman" w:cs="Open Sans"/>
                <w:color w:val="D2ECF5"/>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auto" w:fill="D2ECF5"/>
            <w:vAlign w:val="center"/>
          </w:tcPr>
          <w:p w14:paraId="6DAB9766"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2D4B85">
              <w:rPr>
                <w:rFonts w:eastAsia="Times New Roman" w:cs="Open Sans"/>
                <w:color w:val="D2ECF5"/>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auto" w:fill="D2ECF5"/>
            <w:vAlign w:val="center"/>
          </w:tcPr>
          <w:p w14:paraId="6ADC229B"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2D4B85">
              <w:rPr>
                <w:rFonts w:eastAsia="Times New Roman" w:cs="Open Sans"/>
                <w:color w:val="D2ECF5"/>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auto" w:fill="D2ECF5"/>
            <w:vAlign w:val="center"/>
          </w:tcPr>
          <w:p w14:paraId="1A288C92"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2D4B85">
              <w:rPr>
                <w:rFonts w:eastAsia="Times New Roman" w:cs="Open Sans"/>
                <w:color w:val="D2ECF5"/>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auto" w:fill="D2ECF5"/>
            <w:vAlign w:val="center"/>
          </w:tcPr>
          <w:p w14:paraId="20A5850C"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2D4B85">
              <w:rPr>
                <w:rFonts w:eastAsia="Times New Roman" w:cs="Open Sans"/>
                <w:color w:val="D2ECF5"/>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auto" w:fill="D2ECF5"/>
            <w:vAlign w:val="center"/>
          </w:tcPr>
          <w:p w14:paraId="08EDE632"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2D4B85">
              <w:rPr>
                <w:rFonts w:eastAsia="Times New Roman" w:cs="Open Sans"/>
                <w:color w:val="D2ECF5"/>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29A4AE8F"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831F03">
              <w:rPr>
                <w:rFonts w:eastAsia="Times New Roman" w:cs="Open Sans"/>
                <w:color w:val="2B9AC2"/>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2DC965BD"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831F03">
              <w:rPr>
                <w:rFonts w:eastAsia="Times New Roman" w:cs="Open Sans"/>
                <w:color w:val="2B9AC2"/>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2250C992"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831F03">
              <w:rPr>
                <w:rFonts w:eastAsia="Times New Roman" w:cs="Open Sans"/>
                <w:color w:val="2B9AC2"/>
                <w:sz w:val="18"/>
                <w:szCs w:val="18"/>
                <w:lang w:eastAsia="en-AU"/>
              </w:rPr>
              <w:t>^</w:t>
            </w:r>
          </w:p>
        </w:tc>
        <w:tc>
          <w:tcPr>
            <w:tcW w:w="2831" w:type="dxa"/>
            <w:tcBorders>
              <w:left w:val="nil"/>
              <w:right w:val="nil"/>
            </w:tcBorders>
            <w:noWrap/>
            <w:vAlign w:val="center"/>
            <w:hideMark/>
          </w:tcPr>
          <w:p w14:paraId="1051AB93" w14:textId="6CA2E8F1" w:rsidR="004C31F5" w:rsidRPr="005063BE" w:rsidRDefault="004C31F5" w:rsidP="00011592">
            <w:pPr>
              <w:spacing w:before="0" w:after="0" w:line="240" w:lineRule="auto"/>
              <w:rPr>
                <w:rFonts w:eastAsia="Times New Roman" w:cs="Open Sans"/>
                <w:color w:val="000000"/>
                <w:sz w:val="18"/>
                <w:szCs w:val="18"/>
                <w:lang w:eastAsia="en-AU"/>
              </w:rPr>
            </w:pPr>
            <w:proofErr w:type="spellStart"/>
            <w:r w:rsidRPr="005063BE">
              <w:rPr>
                <w:rFonts w:eastAsia="Times New Roman" w:cs="Open Sans"/>
                <w:color w:val="000000"/>
                <w:sz w:val="18"/>
                <w:szCs w:val="18"/>
                <w:lang w:val="en-US" w:eastAsia="en-AU"/>
              </w:rPr>
              <w:t>Westys</w:t>
            </w:r>
            <w:proofErr w:type="spellEnd"/>
            <w:r w:rsidRPr="005063BE">
              <w:rPr>
                <w:rFonts w:eastAsia="Times New Roman" w:cs="Open Sans"/>
                <w:color w:val="000000"/>
                <w:sz w:val="18"/>
                <w:szCs w:val="18"/>
                <w:lang w:val="en-US" w:eastAsia="en-AU"/>
              </w:rPr>
              <w:t xml:space="preserve"> Steel Fabrication (sub.</w:t>
            </w:r>
            <w:r w:rsidR="00541146">
              <w:rPr>
                <w:rFonts w:eastAsia="Times New Roman" w:cs="Open Sans"/>
                <w:color w:val="000000"/>
                <w:sz w:val="18"/>
                <w:szCs w:val="18"/>
                <w:lang w:val="en-US" w:eastAsia="en-AU"/>
              </w:rPr>
              <w:t> </w:t>
            </w:r>
            <w:r w:rsidRPr="005063BE">
              <w:rPr>
                <w:rFonts w:eastAsia="Times New Roman" w:cs="Open Sans"/>
                <w:color w:val="000000"/>
                <w:sz w:val="18"/>
                <w:szCs w:val="18"/>
                <w:lang w:val="en-US" w:eastAsia="en-AU"/>
              </w:rPr>
              <w:t>27, p.</w:t>
            </w:r>
            <w:r w:rsidR="00541146">
              <w:rPr>
                <w:rFonts w:eastAsia="Times New Roman" w:cs="Open Sans"/>
                <w:color w:val="000000"/>
                <w:sz w:val="18"/>
                <w:szCs w:val="18"/>
                <w:lang w:val="en-US" w:eastAsia="en-AU"/>
              </w:rPr>
              <w:t> </w:t>
            </w:r>
            <w:r w:rsidRPr="005063BE">
              <w:rPr>
                <w:rFonts w:eastAsia="Times New Roman" w:cs="Open Sans"/>
                <w:color w:val="000000"/>
                <w:sz w:val="18"/>
                <w:szCs w:val="18"/>
                <w:lang w:val="en-US" w:eastAsia="en-AU"/>
              </w:rPr>
              <w:t>2)</w:t>
            </w:r>
          </w:p>
        </w:tc>
      </w:tr>
      <w:tr w:rsidR="004C31F5" w:rsidRPr="005063BE" w14:paraId="645037E6" w14:textId="77777777" w:rsidTr="00AC42AB">
        <w:trPr>
          <w:trHeight w:val="454"/>
        </w:trPr>
        <w:tc>
          <w:tcPr>
            <w:tcW w:w="680" w:type="dxa"/>
            <w:gridSpan w:val="2"/>
            <w:tcBorders>
              <w:top w:val="single" w:sz="4" w:space="0" w:color="FFFFFF" w:themeColor="background1"/>
              <w:left w:val="nil"/>
              <w:bottom w:val="single" w:sz="4" w:space="0" w:color="FFFFFF" w:themeColor="background1"/>
              <w:right w:val="nil"/>
            </w:tcBorders>
            <w:vAlign w:val="center"/>
          </w:tcPr>
          <w:p w14:paraId="5202392A"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top w:val="single" w:sz="4" w:space="0" w:color="FFFFFF" w:themeColor="background1"/>
              <w:left w:val="nil"/>
              <w:bottom w:val="single" w:sz="4" w:space="0" w:color="FFFFFF" w:themeColor="background1"/>
              <w:right w:val="nil"/>
            </w:tcBorders>
            <w:vAlign w:val="center"/>
          </w:tcPr>
          <w:p w14:paraId="3A57DC0C"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top w:val="single" w:sz="4" w:space="0" w:color="FFFFFF" w:themeColor="background1"/>
              <w:left w:val="nil"/>
              <w:bottom w:val="single" w:sz="4" w:space="0" w:color="FFFFFF" w:themeColor="background1"/>
              <w:right w:val="nil"/>
            </w:tcBorders>
            <w:vAlign w:val="center"/>
          </w:tcPr>
          <w:p w14:paraId="57A17F64"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top w:val="single" w:sz="4" w:space="0" w:color="FFFFFF" w:themeColor="background1"/>
              <w:left w:val="nil"/>
              <w:bottom w:val="single" w:sz="4" w:space="0" w:color="FFFFFF" w:themeColor="background1"/>
              <w:right w:val="nil"/>
            </w:tcBorders>
            <w:vAlign w:val="center"/>
          </w:tcPr>
          <w:p w14:paraId="69A100A8"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top w:val="single" w:sz="4" w:space="0" w:color="FFFFFF" w:themeColor="background1"/>
              <w:left w:val="nil"/>
              <w:bottom w:val="single" w:sz="4" w:space="0" w:color="FFFFFF" w:themeColor="background1"/>
              <w:right w:val="nil"/>
            </w:tcBorders>
            <w:vAlign w:val="center"/>
          </w:tcPr>
          <w:p w14:paraId="60A32B5C"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top w:val="single" w:sz="4" w:space="0" w:color="FFFFFF" w:themeColor="background1"/>
              <w:left w:val="nil"/>
              <w:bottom w:val="single" w:sz="4" w:space="0" w:color="FFFFFF" w:themeColor="background1"/>
              <w:right w:val="nil"/>
            </w:tcBorders>
            <w:vAlign w:val="center"/>
          </w:tcPr>
          <w:p w14:paraId="6EC34BB3"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553C05B7"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5A0BB7">
              <w:rPr>
                <w:rFonts w:eastAsia="Times New Roman" w:cs="Open Sans"/>
                <w:color w:val="2B9AC2"/>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7AB428B3"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831F03">
              <w:rPr>
                <w:rFonts w:eastAsia="Times New Roman" w:cs="Open Sans"/>
                <w:color w:val="2B9AC2"/>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6C8A5874"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831F03">
              <w:rPr>
                <w:rFonts w:eastAsia="Times New Roman" w:cs="Open Sans"/>
                <w:color w:val="2B9AC2"/>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12705D0B"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831F03">
              <w:rPr>
                <w:rFonts w:eastAsia="Times New Roman" w:cs="Open Sans"/>
                <w:color w:val="2B9AC2"/>
                <w:sz w:val="18"/>
                <w:szCs w:val="18"/>
                <w:lang w:eastAsia="en-AU"/>
              </w:rPr>
              <w:t>^</w:t>
            </w:r>
          </w:p>
        </w:tc>
        <w:tc>
          <w:tcPr>
            <w:tcW w:w="2831" w:type="dxa"/>
            <w:tcBorders>
              <w:left w:val="nil"/>
              <w:right w:val="nil"/>
            </w:tcBorders>
            <w:noWrap/>
            <w:vAlign w:val="center"/>
            <w:hideMark/>
          </w:tcPr>
          <w:p w14:paraId="7BAE2F0E" w14:textId="057BC612" w:rsidR="004C31F5" w:rsidRPr="00B93766" w:rsidRDefault="004C31F5" w:rsidP="00011592">
            <w:pPr>
              <w:spacing w:before="0" w:after="0" w:line="240" w:lineRule="auto"/>
              <w:rPr>
                <w:rFonts w:eastAsia="Times New Roman" w:cs="Open Sans"/>
                <w:color w:val="000000"/>
                <w:spacing w:val="-4"/>
                <w:sz w:val="18"/>
                <w:szCs w:val="18"/>
                <w:lang w:eastAsia="en-AU"/>
              </w:rPr>
            </w:pPr>
            <w:r w:rsidRPr="00B93766">
              <w:rPr>
                <w:rFonts w:eastAsia="Times New Roman" w:cs="Open Sans"/>
                <w:color w:val="000000"/>
                <w:spacing w:val="-4"/>
                <w:sz w:val="18"/>
                <w:szCs w:val="18"/>
                <w:lang w:val="en-US" w:eastAsia="en-AU"/>
              </w:rPr>
              <w:t>Buttler Engineering (sub.</w:t>
            </w:r>
            <w:r w:rsidR="00541146" w:rsidRPr="00B93766">
              <w:rPr>
                <w:rFonts w:eastAsia="Times New Roman" w:cs="Open Sans"/>
                <w:color w:val="000000"/>
                <w:spacing w:val="-4"/>
                <w:sz w:val="18"/>
                <w:szCs w:val="18"/>
                <w:lang w:val="en-US" w:eastAsia="en-AU"/>
              </w:rPr>
              <w:t> </w:t>
            </w:r>
            <w:r w:rsidRPr="00B93766">
              <w:rPr>
                <w:rFonts w:eastAsia="Times New Roman" w:cs="Open Sans"/>
                <w:color w:val="000000"/>
                <w:spacing w:val="-4"/>
                <w:sz w:val="18"/>
                <w:szCs w:val="18"/>
                <w:lang w:val="en-US" w:eastAsia="en-AU"/>
              </w:rPr>
              <w:t>19, p.</w:t>
            </w:r>
            <w:r w:rsidR="00541146" w:rsidRPr="00B93766">
              <w:rPr>
                <w:rFonts w:eastAsia="Times New Roman" w:cs="Open Sans"/>
                <w:color w:val="000000"/>
                <w:spacing w:val="-4"/>
                <w:sz w:val="18"/>
                <w:szCs w:val="18"/>
                <w:lang w:val="en-US" w:eastAsia="en-AU"/>
              </w:rPr>
              <w:t> </w:t>
            </w:r>
            <w:r w:rsidRPr="00B93766">
              <w:rPr>
                <w:rFonts w:eastAsia="Times New Roman" w:cs="Open Sans"/>
                <w:color w:val="000000"/>
                <w:spacing w:val="-4"/>
                <w:sz w:val="18"/>
                <w:szCs w:val="18"/>
                <w:lang w:val="en-US" w:eastAsia="en-AU"/>
              </w:rPr>
              <w:t>1)</w:t>
            </w:r>
            <w:r w:rsidR="00B35049" w:rsidRPr="00B93766">
              <w:rPr>
                <w:rFonts w:eastAsia="Times New Roman" w:cs="Open Sans"/>
                <w:color w:val="000000"/>
                <w:spacing w:val="-4"/>
                <w:sz w:val="18"/>
                <w:szCs w:val="18"/>
                <w:lang w:val="en-US" w:eastAsia="en-AU"/>
              </w:rPr>
              <w:t>;</w:t>
            </w:r>
            <w:r w:rsidR="00B93766" w:rsidRPr="00B93766">
              <w:rPr>
                <w:rFonts w:eastAsia="Times New Roman" w:cs="Open Sans"/>
                <w:color w:val="000000"/>
                <w:spacing w:val="-4"/>
                <w:sz w:val="18"/>
                <w:szCs w:val="18"/>
                <w:lang w:val="en-US" w:eastAsia="en-AU"/>
              </w:rPr>
              <w:t xml:space="preserve"> </w:t>
            </w:r>
            <w:r w:rsidRPr="00B93766">
              <w:rPr>
                <w:rFonts w:eastAsia="Times New Roman" w:cs="Open Sans"/>
                <w:color w:val="000000"/>
                <w:spacing w:val="-4"/>
                <w:sz w:val="18"/>
                <w:szCs w:val="18"/>
                <w:lang w:val="en-US" w:eastAsia="en-AU"/>
              </w:rPr>
              <w:t>Watkins Steel (sub.</w:t>
            </w:r>
            <w:r w:rsidR="00541146" w:rsidRPr="00B93766">
              <w:rPr>
                <w:rFonts w:eastAsia="Times New Roman" w:cs="Open Sans"/>
                <w:color w:val="000000"/>
                <w:spacing w:val="-4"/>
                <w:sz w:val="18"/>
                <w:szCs w:val="18"/>
                <w:lang w:val="en-US" w:eastAsia="en-AU"/>
              </w:rPr>
              <w:t> </w:t>
            </w:r>
            <w:r w:rsidRPr="00B93766">
              <w:rPr>
                <w:rFonts w:eastAsia="Times New Roman" w:cs="Open Sans"/>
                <w:color w:val="000000"/>
                <w:spacing w:val="-4"/>
                <w:sz w:val="18"/>
                <w:szCs w:val="18"/>
                <w:lang w:val="en-US" w:eastAsia="en-AU"/>
              </w:rPr>
              <w:t>20, p.</w:t>
            </w:r>
            <w:r w:rsidR="00541146" w:rsidRPr="00B93766">
              <w:rPr>
                <w:rFonts w:eastAsia="Times New Roman" w:cs="Open Sans"/>
                <w:color w:val="000000"/>
                <w:spacing w:val="-4"/>
                <w:sz w:val="18"/>
                <w:szCs w:val="18"/>
                <w:lang w:val="en-US" w:eastAsia="en-AU"/>
              </w:rPr>
              <w:t> </w:t>
            </w:r>
            <w:r w:rsidRPr="00B93766">
              <w:rPr>
                <w:rFonts w:eastAsia="Times New Roman" w:cs="Open Sans"/>
                <w:color w:val="000000"/>
                <w:spacing w:val="-4"/>
                <w:sz w:val="18"/>
                <w:szCs w:val="18"/>
                <w:lang w:val="en-US" w:eastAsia="en-AU"/>
              </w:rPr>
              <w:t xml:space="preserve">1) </w:t>
            </w:r>
          </w:p>
        </w:tc>
      </w:tr>
      <w:tr w:rsidR="004C31F5" w:rsidRPr="005063BE" w14:paraId="7F69239C" w14:textId="77777777" w:rsidTr="00AC42AB">
        <w:trPr>
          <w:trHeight w:val="454"/>
        </w:trPr>
        <w:tc>
          <w:tcPr>
            <w:tcW w:w="680" w:type="dxa"/>
            <w:gridSpan w:val="2"/>
            <w:tcBorders>
              <w:top w:val="single" w:sz="4" w:space="0" w:color="FFFFFF" w:themeColor="background1"/>
              <w:left w:val="nil"/>
              <w:bottom w:val="single" w:sz="4" w:space="0" w:color="FFFFFF" w:themeColor="background1"/>
              <w:right w:val="nil"/>
            </w:tcBorders>
            <w:vAlign w:val="center"/>
          </w:tcPr>
          <w:p w14:paraId="747D70A8"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top w:val="single" w:sz="4" w:space="0" w:color="FFFFFF" w:themeColor="background1"/>
              <w:left w:val="nil"/>
              <w:bottom w:val="single" w:sz="4" w:space="0" w:color="FFFFFF" w:themeColor="background1"/>
              <w:right w:val="nil"/>
            </w:tcBorders>
            <w:vAlign w:val="center"/>
          </w:tcPr>
          <w:p w14:paraId="0B57D1C6"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top w:val="single" w:sz="4" w:space="0" w:color="FFFFFF" w:themeColor="background1"/>
              <w:left w:val="nil"/>
              <w:bottom w:val="single" w:sz="4" w:space="0" w:color="FFFFFF" w:themeColor="background1"/>
              <w:right w:val="nil"/>
            </w:tcBorders>
            <w:vAlign w:val="center"/>
          </w:tcPr>
          <w:p w14:paraId="43174C68"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top w:val="single" w:sz="4" w:space="0" w:color="FFFFFF" w:themeColor="background1"/>
              <w:left w:val="nil"/>
              <w:bottom w:val="single" w:sz="4" w:space="0" w:color="FFFFFF" w:themeColor="background1"/>
              <w:right w:val="nil"/>
            </w:tcBorders>
            <w:vAlign w:val="center"/>
          </w:tcPr>
          <w:p w14:paraId="6FDB0373"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top w:val="single" w:sz="4" w:space="0" w:color="FFFFFF" w:themeColor="background1"/>
              <w:left w:val="nil"/>
              <w:bottom w:val="single" w:sz="4" w:space="0" w:color="FFFFFF" w:themeColor="background1"/>
              <w:right w:val="nil"/>
            </w:tcBorders>
            <w:vAlign w:val="center"/>
          </w:tcPr>
          <w:p w14:paraId="40205288"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top w:val="single" w:sz="4" w:space="0" w:color="FFFFFF" w:themeColor="background1"/>
              <w:left w:val="nil"/>
              <w:bottom w:val="single" w:sz="4" w:space="0" w:color="FFFFFF" w:themeColor="background1"/>
              <w:right w:val="nil"/>
            </w:tcBorders>
            <w:shd w:val="clear" w:color="000000" w:fill="D2ECF5"/>
            <w:vAlign w:val="center"/>
          </w:tcPr>
          <w:p w14:paraId="330AF9B5"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6F51FA">
              <w:rPr>
                <w:rFonts w:eastAsia="Times New Roman" w:cs="Open Sans"/>
                <w:color w:val="D2ECF5"/>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471A677A"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5A0BB7">
              <w:rPr>
                <w:rFonts w:eastAsia="Times New Roman" w:cs="Open Sans"/>
                <w:color w:val="2B9AC2"/>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5B007B2D"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831F03">
              <w:rPr>
                <w:rFonts w:eastAsia="Times New Roman" w:cs="Open Sans"/>
                <w:color w:val="2B9AC2"/>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3C824E9B"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831F03">
              <w:rPr>
                <w:rFonts w:eastAsia="Times New Roman" w:cs="Open Sans"/>
                <w:color w:val="2B9AC2"/>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6E0E614E"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831F03">
              <w:rPr>
                <w:rFonts w:eastAsia="Times New Roman" w:cs="Open Sans"/>
                <w:color w:val="2B9AC2"/>
                <w:sz w:val="18"/>
                <w:szCs w:val="18"/>
                <w:lang w:eastAsia="en-AU"/>
              </w:rPr>
              <w:t>^</w:t>
            </w:r>
          </w:p>
        </w:tc>
        <w:tc>
          <w:tcPr>
            <w:tcW w:w="2831" w:type="dxa"/>
            <w:tcBorders>
              <w:left w:val="nil"/>
              <w:right w:val="nil"/>
            </w:tcBorders>
            <w:noWrap/>
            <w:vAlign w:val="center"/>
            <w:hideMark/>
          </w:tcPr>
          <w:p w14:paraId="38B7D4BD" w14:textId="311C8819" w:rsidR="004C31F5" w:rsidRPr="00B93766" w:rsidRDefault="004C31F5" w:rsidP="00011592">
            <w:pPr>
              <w:spacing w:before="0" w:after="0" w:line="240" w:lineRule="auto"/>
              <w:rPr>
                <w:rFonts w:eastAsia="Times New Roman" w:cs="Open Sans"/>
                <w:color w:val="000000"/>
                <w:spacing w:val="-4"/>
                <w:sz w:val="18"/>
                <w:szCs w:val="18"/>
                <w:lang w:eastAsia="en-AU"/>
              </w:rPr>
            </w:pPr>
            <w:r w:rsidRPr="00B93766">
              <w:rPr>
                <w:rFonts w:eastAsia="Times New Roman" w:cs="Open Sans"/>
                <w:color w:val="000000"/>
                <w:spacing w:val="-4"/>
                <w:sz w:val="18"/>
                <w:szCs w:val="18"/>
                <w:lang w:val="en-US" w:eastAsia="en-AU"/>
              </w:rPr>
              <w:t>CSF Industries (sub.</w:t>
            </w:r>
            <w:r w:rsidR="00541146" w:rsidRPr="00B93766">
              <w:rPr>
                <w:rFonts w:eastAsia="Times New Roman" w:cs="Open Sans"/>
                <w:color w:val="000000"/>
                <w:spacing w:val="-4"/>
                <w:sz w:val="18"/>
                <w:szCs w:val="18"/>
                <w:lang w:val="en-US" w:eastAsia="en-AU"/>
              </w:rPr>
              <w:t> </w:t>
            </w:r>
            <w:r w:rsidRPr="00B93766">
              <w:rPr>
                <w:rFonts w:eastAsia="Times New Roman" w:cs="Open Sans"/>
                <w:color w:val="000000"/>
                <w:spacing w:val="-4"/>
                <w:sz w:val="18"/>
                <w:szCs w:val="18"/>
                <w:lang w:val="en-US" w:eastAsia="en-AU"/>
              </w:rPr>
              <w:t>17, p.</w:t>
            </w:r>
            <w:r w:rsidR="00541146" w:rsidRPr="00B93766">
              <w:rPr>
                <w:rFonts w:eastAsia="Times New Roman" w:cs="Open Sans"/>
                <w:color w:val="000000"/>
                <w:spacing w:val="-4"/>
                <w:sz w:val="18"/>
                <w:szCs w:val="18"/>
                <w:lang w:val="en-US" w:eastAsia="en-AU"/>
              </w:rPr>
              <w:t> </w:t>
            </w:r>
            <w:r w:rsidRPr="00B93766">
              <w:rPr>
                <w:rFonts w:eastAsia="Times New Roman" w:cs="Open Sans"/>
                <w:color w:val="000000"/>
                <w:spacing w:val="-4"/>
                <w:sz w:val="18"/>
                <w:szCs w:val="18"/>
                <w:lang w:val="en-US" w:eastAsia="en-AU"/>
              </w:rPr>
              <w:t>1)</w:t>
            </w:r>
            <w:r w:rsidR="00B35049" w:rsidRPr="00B93766">
              <w:rPr>
                <w:rFonts w:eastAsia="Times New Roman" w:cs="Open Sans"/>
                <w:color w:val="000000"/>
                <w:spacing w:val="-4"/>
                <w:sz w:val="18"/>
                <w:szCs w:val="18"/>
                <w:lang w:val="en-US" w:eastAsia="en-AU"/>
              </w:rPr>
              <w:t>;</w:t>
            </w:r>
            <w:r w:rsidRPr="00B93766">
              <w:rPr>
                <w:rFonts w:eastAsia="Times New Roman" w:cs="Open Sans"/>
                <w:color w:val="000000"/>
                <w:spacing w:val="-4"/>
                <w:sz w:val="18"/>
                <w:szCs w:val="18"/>
                <w:lang w:val="en-US" w:eastAsia="en-AU"/>
              </w:rPr>
              <w:br/>
              <w:t>Roam Engineering (sub.</w:t>
            </w:r>
            <w:r w:rsidR="00541146" w:rsidRPr="00B93766">
              <w:rPr>
                <w:rFonts w:eastAsia="Times New Roman" w:cs="Open Sans"/>
                <w:color w:val="000000"/>
                <w:spacing w:val="-4"/>
                <w:sz w:val="18"/>
                <w:szCs w:val="18"/>
                <w:lang w:val="en-US" w:eastAsia="en-AU"/>
              </w:rPr>
              <w:t> </w:t>
            </w:r>
            <w:r w:rsidRPr="00B93766">
              <w:rPr>
                <w:rFonts w:eastAsia="Times New Roman" w:cs="Open Sans"/>
                <w:color w:val="000000"/>
                <w:spacing w:val="-4"/>
                <w:sz w:val="18"/>
                <w:szCs w:val="18"/>
                <w:lang w:val="en-US" w:eastAsia="en-AU"/>
              </w:rPr>
              <w:t>47, p.</w:t>
            </w:r>
            <w:r w:rsidR="00541146" w:rsidRPr="00B93766">
              <w:rPr>
                <w:rFonts w:eastAsia="Times New Roman" w:cs="Open Sans"/>
                <w:color w:val="000000"/>
                <w:spacing w:val="-4"/>
                <w:sz w:val="18"/>
                <w:szCs w:val="18"/>
                <w:lang w:val="en-US" w:eastAsia="en-AU"/>
              </w:rPr>
              <w:t> </w:t>
            </w:r>
            <w:r w:rsidRPr="00B93766">
              <w:rPr>
                <w:rFonts w:eastAsia="Times New Roman" w:cs="Open Sans"/>
                <w:color w:val="000000"/>
                <w:spacing w:val="-4"/>
                <w:sz w:val="18"/>
                <w:szCs w:val="18"/>
                <w:lang w:val="en-US" w:eastAsia="en-AU"/>
              </w:rPr>
              <w:t>1)</w:t>
            </w:r>
          </w:p>
        </w:tc>
      </w:tr>
      <w:tr w:rsidR="004C31F5" w:rsidRPr="005063BE" w14:paraId="4CC7224A" w14:textId="77777777" w:rsidTr="00AC42AB">
        <w:trPr>
          <w:trHeight w:val="454"/>
        </w:trPr>
        <w:tc>
          <w:tcPr>
            <w:tcW w:w="680" w:type="dxa"/>
            <w:gridSpan w:val="2"/>
            <w:tcBorders>
              <w:top w:val="single" w:sz="4" w:space="0" w:color="FFFFFF" w:themeColor="background1"/>
              <w:left w:val="nil"/>
              <w:bottom w:val="single" w:sz="4" w:space="0" w:color="FFFFFF" w:themeColor="background1"/>
              <w:right w:val="nil"/>
            </w:tcBorders>
            <w:vAlign w:val="center"/>
          </w:tcPr>
          <w:p w14:paraId="7F88066A"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top w:val="single" w:sz="4" w:space="0" w:color="FFFFFF" w:themeColor="background1"/>
              <w:left w:val="nil"/>
              <w:bottom w:val="single" w:sz="4" w:space="0" w:color="FFFFFF" w:themeColor="background1"/>
              <w:right w:val="nil"/>
            </w:tcBorders>
            <w:vAlign w:val="center"/>
          </w:tcPr>
          <w:p w14:paraId="206AFC55"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top w:val="single" w:sz="4" w:space="0" w:color="FFFFFF" w:themeColor="background1"/>
              <w:left w:val="nil"/>
              <w:bottom w:val="single" w:sz="4" w:space="0" w:color="FFFFFF" w:themeColor="background1"/>
              <w:right w:val="nil"/>
            </w:tcBorders>
            <w:vAlign w:val="center"/>
          </w:tcPr>
          <w:p w14:paraId="435F0B0A"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top w:val="single" w:sz="4" w:space="0" w:color="FFFFFF" w:themeColor="background1"/>
              <w:left w:val="nil"/>
              <w:bottom w:val="single" w:sz="4" w:space="0" w:color="FFFFFF" w:themeColor="background1"/>
              <w:right w:val="nil"/>
            </w:tcBorders>
            <w:vAlign w:val="center"/>
          </w:tcPr>
          <w:p w14:paraId="30376762"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top w:val="single" w:sz="4" w:space="0" w:color="FFFFFF" w:themeColor="background1"/>
              <w:left w:val="nil"/>
              <w:bottom w:val="single" w:sz="4" w:space="0" w:color="FFFFFF" w:themeColor="background1"/>
              <w:right w:val="nil"/>
            </w:tcBorders>
            <w:shd w:val="clear" w:color="auto" w:fill="D2ECF5"/>
            <w:vAlign w:val="center"/>
          </w:tcPr>
          <w:p w14:paraId="5885F1E4"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7262B0">
              <w:rPr>
                <w:rFonts w:eastAsia="Times New Roman" w:cs="Open Sans"/>
                <w:color w:val="D2ECF5"/>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auto" w:fill="D2ECF5"/>
            <w:vAlign w:val="center"/>
          </w:tcPr>
          <w:p w14:paraId="259DA91F"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7262B0">
              <w:rPr>
                <w:rFonts w:eastAsia="Times New Roman" w:cs="Open Sans"/>
                <w:color w:val="D2ECF5"/>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2C6DD651"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5A0BB7">
              <w:rPr>
                <w:rFonts w:eastAsia="Times New Roman" w:cs="Open Sans"/>
                <w:color w:val="2B9AC2"/>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0CC3A2EB"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831F03">
              <w:rPr>
                <w:rFonts w:eastAsia="Times New Roman" w:cs="Open Sans"/>
                <w:color w:val="2B9AC2"/>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484DBB68"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831F03">
              <w:rPr>
                <w:rFonts w:eastAsia="Times New Roman" w:cs="Open Sans"/>
                <w:color w:val="2B9AC2"/>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691B5ACC"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831F03">
              <w:rPr>
                <w:rFonts w:eastAsia="Times New Roman" w:cs="Open Sans"/>
                <w:color w:val="2B9AC2"/>
                <w:sz w:val="18"/>
                <w:szCs w:val="18"/>
                <w:lang w:eastAsia="en-AU"/>
              </w:rPr>
              <w:t>^</w:t>
            </w:r>
          </w:p>
        </w:tc>
        <w:tc>
          <w:tcPr>
            <w:tcW w:w="2831" w:type="dxa"/>
            <w:tcBorders>
              <w:left w:val="nil"/>
              <w:right w:val="nil"/>
            </w:tcBorders>
            <w:noWrap/>
            <w:vAlign w:val="center"/>
            <w:hideMark/>
          </w:tcPr>
          <w:p w14:paraId="59773207" w14:textId="51C4D87B" w:rsidR="004C31F5" w:rsidRPr="00B93766" w:rsidRDefault="004C31F5" w:rsidP="00011592">
            <w:pPr>
              <w:spacing w:before="0" w:after="0" w:line="240" w:lineRule="auto"/>
              <w:rPr>
                <w:rFonts w:eastAsia="Times New Roman" w:cs="Open Sans"/>
                <w:color w:val="000000"/>
                <w:spacing w:val="-4"/>
                <w:sz w:val="18"/>
                <w:szCs w:val="18"/>
                <w:lang w:eastAsia="en-AU"/>
              </w:rPr>
            </w:pPr>
            <w:r w:rsidRPr="00B93766">
              <w:rPr>
                <w:rFonts w:eastAsia="Times New Roman" w:cs="Open Sans"/>
                <w:color w:val="000000"/>
                <w:spacing w:val="-4"/>
                <w:sz w:val="18"/>
                <w:szCs w:val="18"/>
                <w:lang w:val="en-US" w:eastAsia="en-AU"/>
              </w:rPr>
              <w:t>AMARCON (sub.</w:t>
            </w:r>
            <w:r w:rsidR="00541146" w:rsidRPr="00B93766">
              <w:rPr>
                <w:rFonts w:eastAsia="Times New Roman" w:cs="Open Sans"/>
                <w:color w:val="000000"/>
                <w:spacing w:val="-4"/>
                <w:sz w:val="18"/>
                <w:szCs w:val="18"/>
                <w:lang w:val="en-US" w:eastAsia="en-AU"/>
              </w:rPr>
              <w:t> </w:t>
            </w:r>
            <w:r w:rsidRPr="00B93766">
              <w:rPr>
                <w:rFonts w:eastAsia="Times New Roman" w:cs="Open Sans"/>
                <w:color w:val="000000"/>
                <w:spacing w:val="-4"/>
                <w:sz w:val="18"/>
                <w:szCs w:val="18"/>
                <w:lang w:val="en-US" w:eastAsia="en-AU"/>
              </w:rPr>
              <w:t>16 p.</w:t>
            </w:r>
            <w:r w:rsidR="00541146" w:rsidRPr="00B93766">
              <w:rPr>
                <w:rFonts w:eastAsia="Times New Roman" w:cs="Open Sans"/>
                <w:color w:val="000000"/>
                <w:spacing w:val="-4"/>
                <w:sz w:val="18"/>
                <w:szCs w:val="18"/>
                <w:lang w:val="en-US" w:eastAsia="en-AU"/>
              </w:rPr>
              <w:t> </w:t>
            </w:r>
            <w:r w:rsidRPr="00B93766">
              <w:rPr>
                <w:rFonts w:eastAsia="Times New Roman" w:cs="Open Sans"/>
                <w:color w:val="000000"/>
                <w:spacing w:val="-4"/>
                <w:sz w:val="18"/>
                <w:szCs w:val="18"/>
                <w:lang w:val="en-US" w:eastAsia="en-AU"/>
              </w:rPr>
              <w:t>1)</w:t>
            </w:r>
          </w:p>
        </w:tc>
      </w:tr>
      <w:tr w:rsidR="004C31F5" w:rsidRPr="005063BE" w14:paraId="17445C9A" w14:textId="77777777" w:rsidTr="00AC42AB">
        <w:trPr>
          <w:trHeight w:val="454"/>
        </w:trPr>
        <w:tc>
          <w:tcPr>
            <w:tcW w:w="680" w:type="dxa"/>
            <w:gridSpan w:val="2"/>
            <w:tcBorders>
              <w:top w:val="single" w:sz="4" w:space="0" w:color="FFFFFF" w:themeColor="background1"/>
              <w:left w:val="nil"/>
              <w:bottom w:val="single" w:sz="4" w:space="0" w:color="FFFFFF" w:themeColor="background1"/>
              <w:right w:val="nil"/>
            </w:tcBorders>
            <w:vAlign w:val="center"/>
          </w:tcPr>
          <w:p w14:paraId="0E7B525E"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top w:val="single" w:sz="4" w:space="0" w:color="FFFFFF" w:themeColor="background1"/>
              <w:left w:val="nil"/>
              <w:bottom w:val="single" w:sz="4" w:space="0" w:color="FFFFFF" w:themeColor="background1"/>
              <w:right w:val="nil"/>
            </w:tcBorders>
            <w:vAlign w:val="center"/>
          </w:tcPr>
          <w:p w14:paraId="2C139FB0"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top w:val="single" w:sz="4" w:space="0" w:color="FFFFFF" w:themeColor="background1"/>
              <w:left w:val="nil"/>
              <w:bottom w:val="single" w:sz="4" w:space="0" w:color="FFFFFF" w:themeColor="background1"/>
              <w:right w:val="nil"/>
            </w:tcBorders>
            <w:vAlign w:val="center"/>
          </w:tcPr>
          <w:p w14:paraId="07E1FDFB"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top w:val="single" w:sz="4" w:space="0" w:color="FFFFFF" w:themeColor="background1"/>
              <w:left w:val="nil"/>
              <w:bottom w:val="single" w:sz="4" w:space="0" w:color="FFFFFF" w:themeColor="background1"/>
              <w:right w:val="nil"/>
            </w:tcBorders>
            <w:vAlign w:val="center"/>
          </w:tcPr>
          <w:p w14:paraId="03D92DE6"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top w:val="single" w:sz="4" w:space="0" w:color="FFFFFF" w:themeColor="background1"/>
              <w:left w:val="nil"/>
              <w:bottom w:val="single" w:sz="4" w:space="0" w:color="FFFFFF" w:themeColor="background1"/>
              <w:right w:val="nil"/>
            </w:tcBorders>
            <w:vAlign w:val="center"/>
          </w:tcPr>
          <w:p w14:paraId="3DC28E5F"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6BDCA6BB"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DB78A0">
              <w:rPr>
                <w:rFonts w:eastAsia="Times New Roman" w:cs="Open Sans"/>
                <w:color w:val="2B9AC2"/>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0AF53412"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5A0BB7">
              <w:rPr>
                <w:rFonts w:eastAsia="Times New Roman" w:cs="Open Sans"/>
                <w:color w:val="2B9AC2"/>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7BDB4BCF"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831F03">
              <w:rPr>
                <w:rFonts w:eastAsia="Times New Roman" w:cs="Open Sans"/>
                <w:color w:val="2B9AC2"/>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26F84A06"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831F03">
              <w:rPr>
                <w:rFonts w:eastAsia="Times New Roman" w:cs="Open Sans"/>
                <w:color w:val="2B9AC2"/>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1E3C8B8B"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831F03">
              <w:rPr>
                <w:rFonts w:eastAsia="Times New Roman" w:cs="Open Sans"/>
                <w:color w:val="2B9AC2"/>
                <w:sz w:val="18"/>
                <w:szCs w:val="18"/>
                <w:lang w:eastAsia="en-AU"/>
              </w:rPr>
              <w:t>^</w:t>
            </w:r>
          </w:p>
        </w:tc>
        <w:tc>
          <w:tcPr>
            <w:tcW w:w="2831" w:type="dxa"/>
            <w:tcBorders>
              <w:left w:val="nil"/>
              <w:right w:val="nil"/>
            </w:tcBorders>
            <w:noWrap/>
            <w:vAlign w:val="center"/>
            <w:hideMark/>
          </w:tcPr>
          <w:p w14:paraId="13C2124A" w14:textId="24DC03EE" w:rsidR="004C31F5" w:rsidRPr="00B93766" w:rsidRDefault="004C31F5" w:rsidP="00B93766">
            <w:pPr>
              <w:spacing w:before="0" w:after="0" w:line="240" w:lineRule="auto"/>
              <w:ind w:right="-113"/>
              <w:rPr>
                <w:rFonts w:eastAsia="Times New Roman" w:cs="Open Sans"/>
                <w:color w:val="000000"/>
                <w:spacing w:val="-6"/>
                <w:sz w:val="18"/>
                <w:szCs w:val="18"/>
                <w:lang w:eastAsia="en-AU"/>
              </w:rPr>
            </w:pPr>
            <w:r w:rsidRPr="00B93766">
              <w:rPr>
                <w:rFonts w:eastAsia="Times New Roman" w:cs="Open Sans"/>
                <w:color w:val="000000"/>
                <w:spacing w:val="-6"/>
                <w:sz w:val="18"/>
                <w:szCs w:val="18"/>
                <w:lang w:val="en-US" w:eastAsia="en-AU"/>
              </w:rPr>
              <w:t>ASI (transcript, 13 May, pp.</w:t>
            </w:r>
            <w:r w:rsidR="00541146" w:rsidRPr="00B93766">
              <w:rPr>
                <w:rFonts w:eastAsia="Times New Roman" w:cs="Open Sans"/>
                <w:color w:val="000000"/>
                <w:spacing w:val="-6"/>
                <w:sz w:val="18"/>
                <w:szCs w:val="18"/>
                <w:lang w:val="en-US" w:eastAsia="en-AU"/>
              </w:rPr>
              <w:t> </w:t>
            </w:r>
            <w:r w:rsidRPr="00B93766">
              <w:rPr>
                <w:rFonts w:eastAsia="Times New Roman" w:cs="Open Sans"/>
                <w:color w:val="000000"/>
                <w:spacing w:val="-6"/>
                <w:sz w:val="18"/>
                <w:szCs w:val="18"/>
                <w:lang w:val="en-US" w:eastAsia="en-AU"/>
              </w:rPr>
              <w:t>4–5)</w:t>
            </w:r>
            <w:r w:rsidR="00B35049" w:rsidRPr="00B93766">
              <w:rPr>
                <w:rFonts w:eastAsia="Times New Roman" w:cs="Open Sans"/>
                <w:color w:val="000000"/>
                <w:spacing w:val="-6"/>
                <w:sz w:val="18"/>
                <w:szCs w:val="18"/>
                <w:lang w:val="en-US" w:eastAsia="en-AU"/>
              </w:rPr>
              <w:t>;</w:t>
            </w:r>
            <w:r w:rsidRPr="00B93766">
              <w:rPr>
                <w:rFonts w:eastAsia="Times New Roman" w:cs="Open Sans"/>
                <w:color w:val="000000"/>
                <w:spacing w:val="-6"/>
                <w:sz w:val="18"/>
                <w:szCs w:val="18"/>
                <w:lang w:val="en-US" w:eastAsia="en-AU"/>
              </w:rPr>
              <w:t xml:space="preserve"> name withheld (sub.</w:t>
            </w:r>
            <w:r w:rsidR="00541146" w:rsidRPr="00B93766">
              <w:rPr>
                <w:rFonts w:eastAsia="Times New Roman" w:cs="Open Sans"/>
                <w:color w:val="000000"/>
                <w:spacing w:val="-6"/>
                <w:sz w:val="18"/>
                <w:szCs w:val="18"/>
                <w:lang w:val="en-US" w:eastAsia="en-AU"/>
              </w:rPr>
              <w:t> </w:t>
            </w:r>
            <w:r w:rsidRPr="00B93766">
              <w:rPr>
                <w:rFonts w:eastAsia="Times New Roman" w:cs="Open Sans"/>
                <w:color w:val="000000"/>
                <w:spacing w:val="-6"/>
                <w:sz w:val="18"/>
                <w:szCs w:val="18"/>
                <w:lang w:val="en-US" w:eastAsia="en-AU"/>
              </w:rPr>
              <w:t>31, p.</w:t>
            </w:r>
            <w:r w:rsidR="00541146" w:rsidRPr="00B93766">
              <w:rPr>
                <w:rFonts w:eastAsia="Times New Roman" w:cs="Open Sans"/>
                <w:color w:val="000000"/>
                <w:spacing w:val="-6"/>
                <w:sz w:val="18"/>
                <w:szCs w:val="18"/>
                <w:lang w:val="en-US" w:eastAsia="en-AU"/>
              </w:rPr>
              <w:t> </w:t>
            </w:r>
            <w:r w:rsidRPr="00B93766">
              <w:rPr>
                <w:rFonts w:eastAsia="Times New Roman" w:cs="Open Sans"/>
                <w:color w:val="000000"/>
                <w:spacing w:val="-6"/>
                <w:sz w:val="18"/>
                <w:szCs w:val="18"/>
                <w:lang w:val="en-US" w:eastAsia="en-AU"/>
              </w:rPr>
              <w:t>1; sub.</w:t>
            </w:r>
            <w:r w:rsidR="00541146" w:rsidRPr="00B93766">
              <w:rPr>
                <w:rFonts w:eastAsia="Times New Roman" w:cs="Open Sans"/>
                <w:color w:val="000000"/>
                <w:spacing w:val="-6"/>
                <w:sz w:val="18"/>
                <w:szCs w:val="18"/>
                <w:lang w:val="en-US" w:eastAsia="en-AU"/>
              </w:rPr>
              <w:t> </w:t>
            </w:r>
            <w:r w:rsidRPr="00B93766">
              <w:rPr>
                <w:rFonts w:eastAsia="Times New Roman" w:cs="Open Sans"/>
                <w:color w:val="000000"/>
                <w:spacing w:val="-6"/>
                <w:sz w:val="18"/>
                <w:szCs w:val="18"/>
                <w:lang w:val="en-US" w:eastAsia="en-AU"/>
              </w:rPr>
              <w:t>58, p.</w:t>
            </w:r>
            <w:r w:rsidR="00541146" w:rsidRPr="00B93766">
              <w:rPr>
                <w:rFonts w:eastAsia="Times New Roman" w:cs="Open Sans"/>
                <w:color w:val="000000"/>
                <w:spacing w:val="-6"/>
                <w:sz w:val="18"/>
                <w:szCs w:val="18"/>
                <w:lang w:val="en-US" w:eastAsia="en-AU"/>
              </w:rPr>
              <w:t> </w:t>
            </w:r>
            <w:r w:rsidRPr="00B93766">
              <w:rPr>
                <w:rFonts w:eastAsia="Times New Roman" w:cs="Open Sans"/>
                <w:color w:val="000000"/>
                <w:spacing w:val="-6"/>
                <w:sz w:val="18"/>
                <w:szCs w:val="18"/>
                <w:lang w:val="en-US" w:eastAsia="en-AU"/>
              </w:rPr>
              <w:t>2)</w:t>
            </w:r>
            <w:r w:rsidR="00B35049" w:rsidRPr="00B93766">
              <w:rPr>
                <w:rFonts w:eastAsia="Times New Roman" w:cs="Open Sans"/>
                <w:color w:val="000000"/>
                <w:spacing w:val="-6"/>
                <w:sz w:val="18"/>
                <w:szCs w:val="18"/>
                <w:lang w:val="en-US" w:eastAsia="en-AU"/>
              </w:rPr>
              <w:t>;</w:t>
            </w:r>
            <w:r w:rsidRPr="00B93766">
              <w:rPr>
                <w:rFonts w:eastAsia="Times New Roman" w:cs="Open Sans"/>
                <w:color w:val="000000"/>
                <w:spacing w:val="-6"/>
                <w:sz w:val="18"/>
                <w:szCs w:val="18"/>
                <w:lang w:val="en-US" w:eastAsia="en-AU"/>
              </w:rPr>
              <w:t xml:space="preserve"> NEACH (sub.</w:t>
            </w:r>
            <w:r w:rsidR="00541146" w:rsidRPr="00B93766">
              <w:rPr>
                <w:rFonts w:eastAsia="Times New Roman" w:cs="Open Sans"/>
                <w:color w:val="000000"/>
                <w:spacing w:val="-6"/>
                <w:sz w:val="18"/>
                <w:szCs w:val="18"/>
                <w:lang w:val="en-US" w:eastAsia="en-AU"/>
              </w:rPr>
              <w:t> </w:t>
            </w:r>
            <w:r w:rsidRPr="00B93766">
              <w:rPr>
                <w:rFonts w:eastAsia="Times New Roman" w:cs="Open Sans"/>
                <w:color w:val="000000"/>
                <w:spacing w:val="-6"/>
                <w:sz w:val="18"/>
                <w:szCs w:val="18"/>
                <w:lang w:val="en-US" w:eastAsia="en-AU"/>
              </w:rPr>
              <w:t>15, p.</w:t>
            </w:r>
            <w:r w:rsidR="00541146" w:rsidRPr="00B93766">
              <w:rPr>
                <w:rFonts w:eastAsia="Times New Roman" w:cs="Open Sans"/>
                <w:color w:val="000000"/>
                <w:spacing w:val="-6"/>
                <w:sz w:val="18"/>
                <w:szCs w:val="18"/>
                <w:lang w:val="en-US" w:eastAsia="en-AU"/>
              </w:rPr>
              <w:t> </w:t>
            </w:r>
            <w:r w:rsidRPr="00B93766">
              <w:rPr>
                <w:rFonts w:eastAsia="Times New Roman" w:cs="Open Sans"/>
                <w:color w:val="000000"/>
                <w:spacing w:val="-6"/>
                <w:sz w:val="18"/>
                <w:szCs w:val="18"/>
                <w:lang w:val="en-US" w:eastAsia="en-AU"/>
              </w:rPr>
              <w:t>2)</w:t>
            </w:r>
          </w:p>
        </w:tc>
      </w:tr>
      <w:tr w:rsidR="004C31F5" w:rsidRPr="005063BE" w14:paraId="2CA02FE2" w14:textId="77777777" w:rsidTr="00AC42AB">
        <w:trPr>
          <w:trHeight w:val="454"/>
        </w:trPr>
        <w:tc>
          <w:tcPr>
            <w:tcW w:w="680" w:type="dxa"/>
            <w:gridSpan w:val="2"/>
            <w:tcBorders>
              <w:top w:val="single" w:sz="4" w:space="0" w:color="FFFFFF" w:themeColor="background1"/>
              <w:left w:val="nil"/>
              <w:bottom w:val="single" w:sz="4" w:space="0" w:color="FFFFFF" w:themeColor="background1"/>
              <w:right w:val="nil"/>
            </w:tcBorders>
            <w:vAlign w:val="center"/>
          </w:tcPr>
          <w:p w14:paraId="34A150DE"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top w:val="single" w:sz="4" w:space="0" w:color="FFFFFF" w:themeColor="background1"/>
              <w:left w:val="nil"/>
              <w:bottom w:val="single" w:sz="4" w:space="0" w:color="FFFFFF" w:themeColor="background1"/>
              <w:right w:val="nil"/>
            </w:tcBorders>
            <w:vAlign w:val="center"/>
          </w:tcPr>
          <w:p w14:paraId="2BA83515"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top w:val="single" w:sz="4" w:space="0" w:color="FFFFFF" w:themeColor="background1"/>
              <w:left w:val="nil"/>
              <w:bottom w:val="single" w:sz="4" w:space="0" w:color="FFFFFF" w:themeColor="background1"/>
              <w:right w:val="nil"/>
            </w:tcBorders>
            <w:vAlign w:val="center"/>
          </w:tcPr>
          <w:p w14:paraId="6F0937B3"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top w:val="single" w:sz="4" w:space="0" w:color="FFFFFF" w:themeColor="background1"/>
              <w:left w:val="nil"/>
              <w:bottom w:val="single" w:sz="4" w:space="0" w:color="FFFFFF" w:themeColor="background1"/>
              <w:right w:val="nil"/>
            </w:tcBorders>
            <w:vAlign w:val="center"/>
          </w:tcPr>
          <w:p w14:paraId="4FAABC65"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640A5DF5"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CE7E5E">
              <w:rPr>
                <w:rFonts w:eastAsia="Times New Roman" w:cs="Open Sans"/>
                <w:color w:val="2B9AC2"/>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7CC37616"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DB78A0">
              <w:rPr>
                <w:rFonts w:eastAsia="Times New Roman" w:cs="Open Sans"/>
                <w:color w:val="2B9AC2"/>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71963462"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5A0BB7">
              <w:rPr>
                <w:rFonts w:eastAsia="Times New Roman" w:cs="Open Sans"/>
                <w:color w:val="2B9AC2"/>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2A648053"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831F03">
              <w:rPr>
                <w:rFonts w:eastAsia="Times New Roman" w:cs="Open Sans"/>
                <w:color w:val="2B9AC2"/>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6C9BB934"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831F03">
              <w:rPr>
                <w:rFonts w:eastAsia="Times New Roman" w:cs="Open Sans"/>
                <w:color w:val="2B9AC2"/>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2D1D03EA"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831F03">
              <w:rPr>
                <w:rFonts w:eastAsia="Times New Roman" w:cs="Open Sans"/>
                <w:color w:val="2B9AC2"/>
                <w:sz w:val="18"/>
                <w:szCs w:val="18"/>
                <w:lang w:eastAsia="en-AU"/>
              </w:rPr>
              <w:t>^</w:t>
            </w:r>
          </w:p>
        </w:tc>
        <w:tc>
          <w:tcPr>
            <w:tcW w:w="2831" w:type="dxa"/>
            <w:tcBorders>
              <w:left w:val="nil"/>
              <w:right w:val="nil"/>
            </w:tcBorders>
            <w:noWrap/>
            <w:vAlign w:val="center"/>
            <w:hideMark/>
          </w:tcPr>
          <w:p w14:paraId="4D2C03F2" w14:textId="57EC895F" w:rsidR="004C31F5" w:rsidRPr="00B93766" w:rsidRDefault="004C31F5" w:rsidP="00011592">
            <w:pPr>
              <w:spacing w:before="0" w:after="0" w:line="240" w:lineRule="auto"/>
              <w:rPr>
                <w:rFonts w:eastAsia="Times New Roman" w:cs="Open Sans"/>
                <w:color w:val="000000"/>
                <w:spacing w:val="-4"/>
                <w:sz w:val="18"/>
                <w:szCs w:val="18"/>
                <w:lang w:eastAsia="en-AU"/>
              </w:rPr>
            </w:pPr>
            <w:proofErr w:type="spellStart"/>
            <w:r w:rsidRPr="00B93766">
              <w:rPr>
                <w:rFonts w:eastAsia="Times New Roman" w:cs="Open Sans"/>
                <w:color w:val="000000"/>
                <w:spacing w:val="-4"/>
                <w:sz w:val="18"/>
                <w:szCs w:val="18"/>
                <w:lang w:val="en-US" w:eastAsia="en-AU"/>
              </w:rPr>
              <w:t>Galintel</w:t>
            </w:r>
            <w:proofErr w:type="spellEnd"/>
            <w:r w:rsidRPr="00B93766">
              <w:rPr>
                <w:rFonts w:eastAsia="Times New Roman" w:cs="Open Sans"/>
                <w:color w:val="000000"/>
                <w:spacing w:val="-4"/>
                <w:sz w:val="18"/>
                <w:szCs w:val="18"/>
                <w:lang w:val="en-US" w:eastAsia="en-AU"/>
              </w:rPr>
              <w:t xml:space="preserve"> (sub.</w:t>
            </w:r>
            <w:r w:rsidR="00541146" w:rsidRPr="00B93766">
              <w:rPr>
                <w:rFonts w:eastAsia="Times New Roman" w:cs="Open Sans"/>
                <w:color w:val="000000"/>
                <w:spacing w:val="-4"/>
                <w:sz w:val="18"/>
                <w:szCs w:val="18"/>
                <w:lang w:val="en-US" w:eastAsia="en-AU"/>
              </w:rPr>
              <w:t> </w:t>
            </w:r>
            <w:r w:rsidRPr="00B93766">
              <w:rPr>
                <w:rFonts w:eastAsia="Times New Roman" w:cs="Open Sans"/>
                <w:color w:val="000000"/>
                <w:spacing w:val="-4"/>
                <w:sz w:val="18"/>
                <w:szCs w:val="18"/>
                <w:lang w:val="en-US" w:eastAsia="en-AU"/>
              </w:rPr>
              <w:t>33, p.</w:t>
            </w:r>
            <w:r w:rsidR="00541146" w:rsidRPr="00B93766">
              <w:rPr>
                <w:rFonts w:eastAsia="Times New Roman" w:cs="Open Sans"/>
                <w:color w:val="000000"/>
                <w:spacing w:val="-4"/>
                <w:sz w:val="18"/>
                <w:szCs w:val="18"/>
                <w:lang w:val="en-US" w:eastAsia="en-AU"/>
              </w:rPr>
              <w:t> </w:t>
            </w:r>
            <w:r w:rsidRPr="00B93766">
              <w:rPr>
                <w:rFonts w:eastAsia="Times New Roman" w:cs="Open Sans"/>
                <w:color w:val="000000"/>
                <w:spacing w:val="-4"/>
                <w:sz w:val="18"/>
                <w:szCs w:val="18"/>
                <w:lang w:val="en-US" w:eastAsia="en-AU"/>
              </w:rPr>
              <w:t>1)</w:t>
            </w:r>
            <w:r w:rsidR="00B35049" w:rsidRPr="00B93766">
              <w:rPr>
                <w:rFonts w:eastAsia="Times New Roman" w:cs="Open Sans"/>
                <w:color w:val="000000"/>
                <w:spacing w:val="-4"/>
                <w:sz w:val="18"/>
                <w:szCs w:val="18"/>
                <w:lang w:val="en-US" w:eastAsia="en-AU"/>
              </w:rPr>
              <w:t>;</w:t>
            </w:r>
            <w:r w:rsidRPr="00B93766">
              <w:rPr>
                <w:rFonts w:eastAsia="Times New Roman" w:cs="Open Sans"/>
                <w:color w:val="000000"/>
                <w:spacing w:val="-4"/>
                <w:sz w:val="18"/>
                <w:szCs w:val="18"/>
                <w:lang w:val="en-US" w:eastAsia="en-AU"/>
              </w:rPr>
              <w:t xml:space="preserve"> name withheld (sub.</w:t>
            </w:r>
            <w:r w:rsidR="00541146" w:rsidRPr="00B93766">
              <w:rPr>
                <w:rFonts w:eastAsia="Times New Roman" w:cs="Open Sans"/>
                <w:color w:val="000000"/>
                <w:spacing w:val="-4"/>
                <w:sz w:val="18"/>
                <w:szCs w:val="18"/>
                <w:lang w:val="en-US" w:eastAsia="en-AU"/>
              </w:rPr>
              <w:t> </w:t>
            </w:r>
            <w:r w:rsidRPr="00B93766">
              <w:rPr>
                <w:rFonts w:eastAsia="Times New Roman" w:cs="Open Sans"/>
                <w:color w:val="000000"/>
                <w:spacing w:val="-4"/>
                <w:sz w:val="18"/>
                <w:szCs w:val="18"/>
                <w:lang w:val="en-US" w:eastAsia="en-AU"/>
              </w:rPr>
              <w:t>7, p.</w:t>
            </w:r>
            <w:r w:rsidR="00541146" w:rsidRPr="00B93766">
              <w:rPr>
                <w:rFonts w:eastAsia="Times New Roman" w:cs="Open Sans"/>
                <w:color w:val="000000"/>
                <w:spacing w:val="-4"/>
                <w:sz w:val="18"/>
                <w:szCs w:val="18"/>
                <w:lang w:val="en-US" w:eastAsia="en-AU"/>
              </w:rPr>
              <w:t> </w:t>
            </w:r>
            <w:r w:rsidRPr="00B93766">
              <w:rPr>
                <w:rFonts w:eastAsia="Times New Roman" w:cs="Open Sans"/>
                <w:color w:val="000000"/>
                <w:spacing w:val="-4"/>
                <w:sz w:val="18"/>
                <w:szCs w:val="18"/>
                <w:lang w:val="en-US" w:eastAsia="en-AU"/>
              </w:rPr>
              <w:t>2; sub.</w:t>
            </w:r>
            <w:r w:rsidR="00541146" w:rsidRPr="00B93766">
              <w:rPr>
                <w:rFonts w:eastAsia="Times New Roman" w:cs="Open Sans"/>
                <w:color w:val="000000"/>
                <w:spacing w:val="-4"/>
                <w:sz w:val="18"/>
                <w:szCs w:val="18"/>
                <w:lang w:val="en-US" w:eastAsia="en-AU"/>
              </w:rPr>
              <w:t> </w:t>
            </w:r>
            <w:r w:rsidRPr="00B93766">
              <w:rPr>
                <w:rFonts w:eastAsia="Times New Roman" w:cs="Open Sans"/>
                <w:color w:val="000000"/>
                <w:spacing w:val="-4"/>
                <w:sz w:val="18"/>
                <w:szCs w:val="18"/>
                <w:lang w:val="en-US" w:eastAsia="en-AU"/>
              </w:rPr>
              <w:t>39, p.</w:t>
            </w:r>
            <w:r w:rsidR="00541146" w:rsidRPr="00B93766">
              <w:rPr>
                <w:rFonts w:eastAsia="Times New Roman" w:cs="Open Sans"/>
                <w:color w:val="000000"/>
                <w:spacing w:val="-4"/>
                <w:sz w:val="18"/>
                <w:szCs w:val="18"/>
                <w:lang w:val="en-US" w:eastAsia="en-AU"/>
              </w:rPr>
              <w:t> </w:t>
            </w:r>
            <w:r w:rsidRPr="00B93766">
              <w:rPr>
                <w:rFonts w:eastAsia="Times New Roman" w:cs="Open Sans"/>
                <w:color w:val="000000"/>
                <w:spacing w:val="-4"/>
                <w:sz w:val="18"/>
                <w:szCs w:val="18"/>
                <w:lang w:val="en-US" w:eastAsia="en-AU"/>
              </w:rPr>
              <w:t>1)</w:t>
            </w:r>
            <w:r w:rsidR="00B35049" w:rsidRPr="00B93766">
              <w:rPr>
                <w:rFonts w:eastAsia="Times New Roman" w:cs="Open Sans"/>
                <w:color w:val="000000"/>
                <w:spacing w:val="-4"/>
                <w:sz w:val="18"/>
                <w:szCs w:val="18"/>
                <w:lang w:val="en-US" w:eastAsia="en-AU"/>
              </w:rPr>
              <w:t>;</w:t>
            </w:r>
            <w:r w:rsidRPr="00B93766">
              <w:rPr>
                <w:rFonts w:eastAsia="Times New Roman" w:cs="Open Sans"/>
                <w:color w:val="000000"/>
                <w:spacing w:val="-4"/>
                <w:sz w:val="18"/>
                <w:szCs w:val="18"/>
                <w:lang w:val="en-US" w:eastAsia="en-AU"/>
              </w:rPr>
              <w:t xml:space="preserve"> </w:t>
            </w:r>
            <w:proofErr w:type="spellStart"/>
            <w:r w:rsidRPr="00B93766">
              <w:rPr>
                <w:rFonts w:eastAsia="Times New Roman" w:cs="Open Sans"/>
                <w:color w:val="000000"/>
                <w:spacing w:val="-4"/>
                <w:sz w:val="18"/>
                <w:szCs w:val="18"/>
                <w:lang w:val="en-US" w:eastAsia="en-AU"/>
              </w:rPr>
              <w:t>Sencova</w:t>
            </w:r>
            <w:proofErr w:type="spellEnd"/>
            <w:r w:rsidRPr="00B93766">
              <w:rPr>
                <w:rFonts w:eastAsia="Times New Roman" w:cs="Open Sans"/>
                <w:color w:val="000000"/>
                <w:spacing w:val="-4"/>
                <w:sz w:val="18"/>
                <w:szCs w:val="18"/>
                <w:lang w:val="en-US" w:eastAsia="en-AU"/>
              </w:rPr>
              <w:t xml:space="preserve"> Steel Fabrication (sub.</w:t>
            </w:r>
            <w:r w:rsidR="00541146" w:rsidRPr="00B93766">
              <w:rPr>
                <w:rFonts w:eastAsia="Times New Roman" w:cs="Open Sans"/>
                <w:color w:val="000000"/>
                <w:spacing w:val="-4"/>
                <w:sz w:val="18"/>
                <w:szCs w:val="18"/>
                <w:lang w:val="en-US" w:eastAsia="en-AU"/>
              </w:rPr>
              <w:t> </w:t>
            </w:r>
            <w:r w:rsidRPr="00B93766">
              <w:rPr>
                <w:rFonts w:eastAsia="Times New Roman" w:cs="Open Sans"/>
                <w:color w:val="000000"/>
                <w:spacing w:val="-4"/>
                <w:sz w:val="18"/>
                <w:szCs w:val="18"/>
                <w:lang w:val="en-US" w:eastAsia="en-AU"/>
              </w:rPr>
              <w:t>26, pp.</w:t>
            </w:r>
            <w:r w:rsidR="00541146" w:rsidRPr="00B93766">
              <w:rPr>
                <w:rFonts w:eastAsia="Times New Roman" w:cs="Open Sans"/>
                <w:color w:val="000000"/>
                <w:spacing w:val="-4"/>
                <w:sz w:val="18"/>
                <w:szCs w:val="18"/>
                <w:lang w:val="en-US" w:eastAsia="en-AU"/>
              </w:rPr>
              <w:t> </w:t>
            </w:r>
            <w:r w:rsidRPr="00B93766">
              <w:rPr>
                <w:rFonts w:eastAsia="Times New Roman" w:cs="Open Sans"/>
                <w:color w:val="000000"/>
                <w:spacing w:val="-4"/>
                <w:sz w:val="18"/>
                <w:szCs w:val="18"/>
                <w:lang w:val="en-US" w:eastAsia="en-AU"/>
              </w:rPr>
              <w:t>1, 3)</w:t>
            </w:r>
          </w:p>
        </w:tc>
      </w:tr>
      <w:tr w:rsidR="004C31F5" w:rsidRPr="005063BE" w14:paraId="12C04E03" w14:textId="77777777" w:rsidTr="00AC42AB">
        <w:trPr>
          <w:trHeight w:val="454"/>
        </w:trPr>
        <w:tc>
          <w:tcPr>
            <w:tcW w:w="680" w:type="dxa"/>
            <w:gridSpan w:val="2"/>
            <w:tcBorders>
              <w:top w:val="single" w:sz="4" w:space="0" w:color="FFFFFF" w:themeColor="background1"/>
              <w:left w:val="nil"/>
              <w:bottom w:val="single" w:sz="4" w:space="0" w:color="FFFFFF" w:themeColor="background1"/>
              <w:right w:val="nil"/>
            </w:tcBorders>
            <w:shd w:val="clear" w:color="auto" w:fill="D2ECF5"/>
            <w:vAlign w:val="center"/>
          </w:tcPr>
          <w:p w14:paraId="1859CA32"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B708FD">
              <w:rPr>
                <w:rFonts w:eastAsia="Times New Roman" w:cs="Open Sans"/>
                <w:color w:val="D2ECF5"/>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auto" w:fill="D2ECF5"/>
            <w:vAlign w:val="center"/>
          </w:tcPr>
          <w:p w14:paraId="47AE9284"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B708FD">
              <w:rPr>
                <w:rFonts w:eastAsia="Times New Roman" w:cs="Open Sans"/>
                <w:color w:val="D2ECF5"/>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auto" w:fill="D2ECF5"/>
            <w:vAlign w:val="center"/>
          </w:tcPr>
          <w:p w14:paraId="0F37AE31"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B708FD">
              <w:rPr>
                <w:rFonts w:eastAsia="Times New Roman" w:cs="Open Sans"/>
                <w:color w:val="D2ECF5"/>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66225847"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024B06">
              <w:rPr>
                <w:rFonts w:eastAsia="Times New Roman" w:cs="Open Sans"/>
                <w:color w:val="2B9AC2"/>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4EA18AC3"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CE7E5E">
              <w:rPr>
                <w:rFonts w:eastAsia="Times New Roman" w:cs="Open Sans"/>
                <w:color w:val="2B9AC2"/>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2655350E"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DB78A0">
              <w:rPr>
                <w:rFonts w:eastAsia="Times New Roman" w:cs="Open Sans"/>
                <w:color w:val="2B9AC2"/>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2DE1283D"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5A0BB7">
              <w:rPr>
                <w:rFonts w:eastAsia="Times New Roman" w:cs="Open Sans"/>
                <w:color w:val="2B9AC2"/>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31D170F2"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831F03">
              <w:rPr>
                <w:rFonts w:eastAsia="Times New Roman" w:cs="Open Sans"/>
                <w:color w:val="2B9AC2"/>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4AE6C403"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831F03">
              <w:rPr>
                <w:rFonts w:eastAsia="Times New Roman" w:cs="Open Sans"/>
                <w:color w:val="2B9AC2"/>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11FA879A"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831F03">
              <w:rPr>
                <w:rFonts w:eastAsia="Times New Roman" w:cs="Open Sans"/>
                <w:color w:val="2B9AC2"/>
                <w:sz w:val="18"/>
                <w:szCs w:val="18"/>
                <w:lang w:eastAsia="en-AU"/>
              </w:rPr>
              <w:t>^</w:t>
            </w:r>
          </w:p>
        </w:tc>
        <w:tc>
          <w:tcPr>
            <w:tcW w:w="2831" w:type="dxa"/>
            <w:tcBorders>
              <w:left w:val="nil"/>
              <w:right w:val="nil"/>
            </w:tcBorders>
            <w:noWrap/>
            <w:vAlign w:val="center"/>
            <w:hideMark/>
          </w:tcPr>
          <w:p w14:paraId="5330D09F" w14:textId="08C7E06E" w:rsidR="004C31F5" w:rsidRPr="00B93766" w:rsidRDefault="004C31F5" w:rsidP="00011592">
            <w:pPr>
              <w:spacing w:before="0" w:after="0" w:line="240" w:lineRule="auto"/>
              <w:rPr>
                <w:rFonts w:eastAsia="Times New Roman" w:cs="Open Sans"/>
                <w:color w:val="000000"/>
                <w:spacing w:val="-4"/>
                <w:sz w:val="18"/>
                <w:szCs w:val="18"/>
                <w:lang w:eastAsia="en-AU"/>
              </w:rPr>
            </w:pPr>
            <w:r w:rsidRPr="00B93766">
              <w:rPr>
                <w:rFonts w:eastAsia="Times New Roman" w:cs="Open Sans"/>
                <w:color w:val="000000"/>
                <w:spacing w:val="-4"/>
                <w:sz w:val="18"/>
                <w:szCs w:val="18"/>
                <w:lang w:val="en-US" w:eastAsia="en-AU"/>
              </w:rPr>
              <w:t>Prince Engineering (sub.</w:t>
            </w:r>
            <w:r w:rsidR="00541146" w:rsidRPr="00B93766">
              <w:rPr>
                <w:rFonts w:eastAsia="Times New Roman" w:cs="Open Sans"/>
                <w:color w:val="000000"/>
                <w:spacing w:val="-4"/>
                <w:sz w:val="18"/>
                <w:szCs w:val="18"/>
                <w:lang w:val="en-US" w:eastAsia="en-AU"/>
              </w:rPr>
              <w:t> </w:t>
            </w:r>
            <w:r w:rsidRPr="00B93766">
              <w:rPr>
                <w:rFonts w:eastAsia="Times New Roman" w:cs="Open Sans"/>
                <w:color w:val="000000"/>
                <w:spacing w:val="-4"/>
                <w:sz w:val="18"/>
                <w:szCs w:val="18"/>
                <w:lang w:val="en-US" w:eastAsia="en-AU"/>
              </w:rPr>
              <w:t>3, p.</w:t>
            </w:r>
            <w:r w:rsidR="00541146" w:rsidRPr="00B93766">
              <w:rPr>
                <w:rFonts w:eastAsia="Times New Roman" w:cs="Open Sans"/>
                <w:color w:val="000000"/>
                <w:spacing w:val="-4"/>
                <w:sz w:val="18"/>
                <w:szCs w:val="18"/>
                <w:lang w:val="en-US" w:eastAsia="en-AU"/>
              </w:rPr>
              <w:t> </w:t>
            </w:r>
            <w:r w:rsidRPr="00B93766">
              <w:rPr>
                <w:rFonts w:eastAsia="Times New Roman" w:cs="Open Sans"/>
                <w:color w:val="000000"/>
                <w:spacing w:val="-4"/>
                <w:sz w:val="18"/>
                <w:szCs w:val="18"/>
                <w:lang w:val="en-US" w:eastAsia="en-AU"/>
              </w:rPr>
              <w:t>2)</w:t>
            </w:r>
          </w:p>
        </w:tc>
      </w:tr>
      <w:tr w:rsidR="004C31F5" w:rsidRPr="005063BE" w14:paraId="2DE42551" w14:textId="77777777" w:rsidTr="00AC42AB">
        <w:trPr>
          <w:trHeight w:val="454"/>
        </w:trPr>
        <w:tc>
          <w:tcPr>
            <w:tcW w:w="680" w:type="dxa"/>
            <w:gridSpan w:val="2"/>
            <w:tcBorders>
              <w:top w:val="single" w:sz="4" w:space="0" w:color="FFFFFF" w:themeColor="background1"/>
              <w:left w:val="nil"/>
              <w:bottom w:val="single" w:sz="4" w:space="0" w:color="FFFFFF" w:themeColor="background1"/>
              <w:right w:val="nil"/>
            </w:tcBorders>
            <w:vAlign w:val="center"/>
          </w:tcPr>
          <w:p w14:paraId="767D924B"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top w:val="single" w:sz="4" w:space="0" w:color="FFFFFF" w:themeColor="background1"/>
              <w:left w:val="nil"/>
              <w:bottom w:val="single" w:sz="4" w:space="0" w:color="FFFFFF" w:themeColor="background1"/>
              <w:right w:val="nil"/>
            </w:tcBorders>
            <w:vAlign w:val="center"/>
          </w:tcPr>
          <w:p w14:paraId="4A6232D8"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34455C04"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771E39">
              <w:rPr>
                <w:rFonts w:eastAsia="Times New Roman" w:cs="Open Sans"/>
                <w:color w:val="2B9AC2"/>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63E7CD3C"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024B06">
              <w:rPr>
                <w:rFonts w:eastAsia="Times New Roman" w:cs="Open Sans"/>
                <w:color w:val="2B9AC2"/>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4EB95116"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CE7E5E">
              <w:rPr>
                <w:rFonts w:eastAsia="Times New Roman" w:cs="Open Sans"/>
                <w:color w:val="2B9AC2"/>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36688E1D"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DB78A0">
              <w:rPr>
                <w:rFonts w:eastAsia="Times New Roman" w:cs="Open Sans"/>
                <w:color w:val="2B9AC2"/>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6420AF32"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5A0BB7">
              <w:rPr>
                <w:rFonts w:eastAsia="Times New Roman" w:cs="Open Sans"/>
                <w:color w:val="2B9AC2"/>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54EE0800"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831F03">
              <w:rPr>
                <w:rFonts w:eastAsia="Times New Roman" w:cs="Open Sans"/>
                <w:color w:val="2B9AC2"/>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4AB5C4FC"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831F03">
              <w:rPr>
                <w:rFonts w:eastAsia="Times New Roman" w:cs="Open Sans"/>
                <w:color w:val="2B9AC2"/>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3A52E159"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831F03">
              <w:rPr>
                <w:rFonts w:eastAsia="Times New Roman" w:cs="Open Sans"/>
                <w:color w:val="2B9AC2"/>
                <w:sz w:val="18"/>
                <w:szCs w:val="18"/>
                <w:lang w:eastAsia="en-AU"/>
              </w:rPr>
              <w:t>^</w:t>
            </w:r>
          </w:p>
        </w:tc>
        <w:tc>
          <w:tcPr>
            <w:tcW w:w="2831" w:type="dxa"/>
            <w:tcBorders>
              <w:left w:val="nil"/>
              <w:right w:val="nil"/>
            </w:tcBorders>
            <w:noWrap/>
            <w:vAlign w:val="center"/>
            <w:hideMark/>
          </w:tcPr>
          <w:p w14:paraId="189BD918" w14:textId="6E3724A5" w:rsidR="004C31F5" w:rsidRPr="00B93766" w:rsidRDefault="004C31F5" w:rsidP="00011592">
            <w:pPr>
              <w:spacing w:before="0" w:after="0" w:line="240" w:lineRule="auto"/>
              <w:rPr>
                <w:rFonts w:eastAsia="Times New Roman" w:cs="Open Sans"/>
                <w:color w:val="000000"/>
                <w:spacing w:val="-4"/>
                <w:sz w:val="18"/>
                <w:szCs w:val="18"/>
                <w:lang w:eastAsia="en-AU"/>
              </w:rPr>
            </w:pPr>
            <w:proofErr w:type="spellStart"/>
            <w:r w:rsidRPr="00B93766">
              <w:rPr>
                <w:rFonts w:eastAsia="Times New Roman" w:cs="Open Sans"/>
                <w:color w:val="000000"/>
                <w:spacing w:val="-4"/>
                <w:sz w:val="18"/>
                <w:szCs w:val="18"/>
                <w:lang w:val="en-US" w:eastAsia="en-AU"/>
              </w:rPr>
              <w:t>idec</w:t>
            </w:r>
            <w:proofErr w:type="spellEnd"/>
            <w:r w:rsidRPr="00B93766">
              <w:rPr>
                <w:rFonts w:eastAsia="Times New Roman" w:cs="Open Sans"/>
                <w:color w:val="000000"/>
                <w:spacing w:val="-4"/>
                <w:sz w:val="18"/>
                <w:szCs w:val="18"/>
                <w:lang w:val="en-US" w:eastAsia="en-AU"/>
              </w:rPr>
              <w:t xml:space="preserve"> Solutions (sub.</w:t>
            </w:r>
            <w:r w:rsidR="00541146" w:rsidRPr="00B93766">
              <w:rPr>
                <w:rFonts w:eastAsia="Times New Roman" w:cs="Open Sans"/>
                <w:color w:val="000000"/>
                <w:spacing w:val="-4"/>
                <w:sz w:val="18"/>
                <w:szCs w:val="18"/>
                <w:lang w:val="en-US" w:eastAsia="en-AU"/>
              </w:rPr>
              <w:t> </w:t>
            </w:r>
            <w:r w:rsidRPr="00B93766">
              <w:rPr>
                <w:rFonts w:eastAsia="Times New Roman" w:cs="Open Sans"/>
                <w:color w:val="000000"/>
                <w:spacing w:val="-4"/>
                <w:sz w:val="18"/>
                <w:szCs w:val="18"/>
                <w:lang w:val="en-US" w:eastAsia="en-AU"/>
              </w:rPr>
              <w:t>21, p.</w:t>
            </w:r>
            <w:r w:rsidR="00541146" w:rsidRPr="00B93766">
              <w:rPr>
                <w:rFonts w:eastAsia="Times New Roman" w:cs="Open Sans"/>
                <w:color w:val="000000"/>
                <w:spacing w:val="-4"/>
                <w:sz w:val="18"/>
                <w:szCs w:val="18"/>
                <w:lang w:val="en-US" w:eastAsia="en-AU"/>
              </w:rPr>
              <w:t> </w:t>
            </w:r>
            <w:r w:rsidRPr="00B93766">
              <w:rPr>
                <w:rFonts w:eastAsia="Times New Roman" w:cs="Open Sans"/>
                <w:color w:val="000000"/>
                <w:spacing w:val="-4"/>
                <w:sz w:val="18"/>
                <w:szCs w:val="18"/>
                <w:lang w:val="en-US" w:eastAsia="en-AU"/>
              </w:rPr>
              <w:t>1)</w:t>
            </w:r>
          </w:p>
        </w:tc>
      </w:tr>
      <w:tr w:rsidR="004C31F5" w:rsidRPr="005063BE" w14:paraId="16CAD903" w14:textId="77777777" w:rsidTr="000F468A">
        <w:trPr>
          <w:trHeight w:val="454"/>
        </w:trPr>
        <w:tc>
          <w:tcPr>
            <w:tcW w:w="680" w:type="dxa"/>
            <w:gridSpan w:val="2"/>
            <w:tcBorders>
              <w:top w:val="single" w:sz="4" w:space="0" w:color="FFFFFF" w:themeColor="background1"/>
              <w:left w:val="nil"/>
              <w:bottom w:val="single" w:sz="4" w:space="0" w:color="FFFFFF" w:themeColor="background1"/>
              <w:right w:val="nil"/>
            </w:tcBorders>
            <w:vAlign w:val="center"/>
          </w:tcPr>
          <w:p w14:paraId="247865BA"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39E3471E"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967DF9">
              <w:rPr>
                <w:rFonts w:eastAsia="Times New Roman" w:cs="Open Sans"/>
                <w:color w:val="2B9AC2"/>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5F2C2CBA"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771E39">
              <w:rPr>
                <w:rFonts w:eastAsia="Times New Roman" w:cs="Open Sans"/>
                <w:color w:val="2B9AC2"/>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3CBCCBD0"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024B06">
              <w:rPr>
                <w:rFonts w:eastAsia="Times New Roman" w:cs="Open Sans"/>
                <w:color w:val="2B9AC2"/>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31E3C826"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CE7E5E">
              <w:rPr>
                <w:rFonts w:eastAsia="Times New Roman" w:cs="Open Sans"/>
                <w:color w:val="2B9AC2"/>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0A822EA1"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DB78A0">
              <w:rPr>
                <w:rFonts w:eastAsia="Times New Roman" w:cs="Open Sans"/>
                <w:color w:val="2B9AC2"/>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3F437B47"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5A0BB7">
              <w:rPr>
                <w:rFonts w:eastAsia="Times New Roman" w:cs="Open Sans"/>
                <w:color w:val="2B9AC2"/>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1ADD33C1"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831F03">
              <w:rPr>
                <w:rFonts w:eastAsia="Times New Roman" w:cs="Open Sans"/>
                <w:color w:val="2B9AC2"/>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3317283D"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831F03">
              <w:rPr>
                <w:rFonts w:eastAsia="Times New Roman" w:cs="Open Sans"/>
                <w:color w:val="2B9AC2"/>
                <w:sz w:val="18"/>
                <w:szCs w:val="18"/>
                <w:lang w:eastAsia="en-AU"/>
              </w:rPr>
              <w:t>^</w:t>
            </w:r>
          </w:p>
        </w:tc>
        <w:tc>
          <w:tcPr>
            <w:tcW w:w="681" w:type="dxa"/>
            <w:tcBorders>
              <w:top w:val="single" w:sz="4" w:space="0" w:color="FFFFFF" w:themeColor="background1"/>
              <w:left w:val="nil"/>
              <w:bottom w:val="single" w:sz="4" w:space="0" w:color="FFFFFF" w:themeColor="background1"/>
              <w:right w:val="nil"/>
            </w:tcBorders>
            <w:shd w:val="clear" w:color="000000" w:fill="2B9AC2"/>
            <w:vAlign w:val="center"/>
          </w:tcPr>
          <w:p w14:paraId="1A6F7DAF"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831F03">
              <w:rPr>
                <w:rFonts w:eastAsia="Times New Roman" w:cs="Open Sans"/>
                <w:color w:val="2B9AC2"/>
                <w:sz w:val="18"/>
                <w:szCs w:val="18"/>
                <w:lang w:eastAsia="en-AU"/>
              </w:rPr>
              <w:t>^</w:t>
            </w:r>
          </w:p>
        </w:tc>
        <w:tc>
          <w:tcPr>
            <w:tcW w:w="2831" w:type="dxa"/>
            <w:tcBorders>
              <w:left w:val="nil"/>
              <w:right w:val="nil"/>
            </w:tcBorders>
            <w:noWrap/>
            <w:vAlign w:val="center"/>
            <w:hideMark/>
          </w:tcPr>
          <w:p w14:paraId="42356E07" w14:textId="2D0E2691" w:rsidR="004C31F5" w:rsidRPr="00B93766" w:rsidRDefault="004C31F5" w:rsidP="00011592">
            <w:pPr>
              <w:spacing w:before="0" w:after="0" w:line="240" w:lineRule="auto"/>
              <w:rPr>
                <w:rFonts w:eastAsia="Times New Roman" w:cs="Open Sans"/>
                <w:color w:val="000000"/>
                <w:spacing w:val="-4"/>
                <w:sz w:val="18"/>
                <w:szCs w:val="18"/>
                <w:lang w:eastAsia="en-AU"/>
              </w:rPr>
            </w:pPr>
            <w:r w:rsidRPr="00B93766">
              <w:rPr>
                <w:rFonts w:eastAsia="Times New Roman" w:cs="Open Sans"/>
                <w:color w:val="000000"/>
                <w:spacing w:val="-4"/>
                <w:sz w:val="18"/>
                <w:szCs w:val="18"/>
                <w:lang w:val="en-US" w:eastAsia="en-AU"/>
              </w:rPr>
              <w:t>SEMMA (transcript, 15 May, p.</w:t>
            </w:r>
            <w:r w:rsidR="00541146" w:rsidRPr="00B93766">
              <w:rPr>
                <w:rFonts w:eastAsia="Times New Roman" w:cs="Open Sans"/>
                <w:color w:val="000000"/>
                <w:spacing w:val="-4"/>
                <w:sz w:val="18"/>
                <w:szCs w:val="18"/>
                <w:lang w:val="en-US" w:eastAsia="en-AU"/>
              </w:rPr>
              <w:t> </w:t>
            </w:r>
            <w:r w:rsidRPr="00B93766">
              <w:rPr>
                <w:rFonts w:eastAsia="Times New Roman" w:cs="Open Sans"/>
                <w:color w:val="000000"/>
                <w:spacing w:val="-4"/>
                <w:sz w:val="18"/>
                <w:szCs w:val="18"/>
                <w:lang w:val="en-US" w:eastAsia="en-AU"/>
              </w:rPr>
              <w:t>8)</w:t>
            </w:r>
          </w:p>
        </w:tc>
      </w:tr>
      <w:tr w:rsidR="004C31F5" w:rsidRPr="005063BE" w14:paraId="30B3B2A7" w14:textId="77777777" w:rsidTr="000F468A">
        <w:trPr>
          <w:trHeight w:val="454"/>
        </w:trPr>
        <w:tc>
          <w:tcPr>
            <w:tcW w:w="680" w:type="dxa"/>
            <w:gridSpan w:val="2"/>
            <w:tcBorders>
              <w:top w:val="single" w:sz="4" w:space="0" w:color="FFFFFF" w:themeColor="background1"/>
              <w:left w:val="nil"/>
              <w:bottom w:val="single" w:sz="4" w:space="0" w:color="BFBFBF" w:themeColor="background1" w:themeShade="BF"/>
              <w:right w:val="nil"/>
            </w:tcBorders>
            <w:shd w:val="clear" w:color="000000" w:fill="2B9AC2"/>
            <w:vAlign w:val="center"/>
          </w:tcPr>
          <w:p w14:paraId="7EF41317"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6F51FA">
              <w:rPr>
                <w:rFonts w:eastAsia="Times New Roman" w:cs="Open Sans"/>
                <w:color w:val="2B9AC2"/>
                <w:sz w:val="18"/>
                <w:szCs w:val="18"/>
                <w:lang w:eastAsia="en-AU"/>
              </w:rPr>
              <w:t>^</w:t>
            </w:r>
          </w:p>
        </w:tc>
        <w:tc>
          <w:tcPr>
            <w:tcW w:w="681" w:type="dxa"/>
            <w:tcBorders>
              <w:top w:val="single" w:sz="4" w:space="0" w:color="FFFFFF" w:themeColor="background1"/>
              <w:left w:val="nil"/>
              <w:bottom w:val="single" w:sz="4" w:space="0" w:color="BFBFBF" w:themeColor="background1" w:themeShade="BF"/>
              <w:right w:val="nil"/>
            </w:tcBorders>
            <w:shd w:val="clear" w:color="000000" w:fill="2B9AC2"/>
            <w:vAlign w:val="center"/>
          </w:tcPr>
          <w:p w14:paraId="748D52BD"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967DF9">
              <w:rPr>
                <w:rFonts w:eastAsia="Times New Roman" w:cs="Open Sans"/>
                <w:color w:val="2B9AC2"/>
                <w:sz w:val="18"/>
                <w:szCs w:val="18"/>
                <w:lang w:eastAsia="en-AU"/>
              </w:rPr>
              <w:t>^</w:t>
            </w:r>
          </w:p>
        </w:tc>
        <w:tc>
          <w:tcPr>
            <w:tcW w:w="681" w:type="dxa"/>
            <w:tcBorders>
              <w:top w:val="single" w:sz="4" w:space="0" w:color="FFFFFF" w:themeColor="background1"/>
              <w:left w:val="nil"/>
              <w:bottom w:val="single" w:sz="4" w:space="0" w:color="BFBFBF" w:themeColor="background1" w:themeShade="BF"/>
              <w:right w:val="nil"/>
            </w:tcBorders>
            <w:shd w:val="clear" w:color="000000" w:fill="2B9AC2"/>
            <w:vAlign w:val="center"/>
          </w:tcPr>
          <w:p w14:paraId="6CAC0063"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771E39">
              <w:rPr>
                <w:rFonts w:eastAsia="Times New Roman" w:cs="Open Sans"/>
                <w:color w:val="2B9AC2"/>
                <w:sz w:val="18"/>
                <w:szCs w:val="18"/>
                <w:lang w:eastAsia="en-AU"/>
              </w:rPr>
              <w:t>^</w:t>
            </w:r>
          </w:p>
        </w:tc>
        <w:tc>
          <w:tcPr>
            <w:tcW w:w="681" w:type="dxa"/>
            <w:tcBorders>
              <w:top w:val="single" w:sz="4" w:space="0" w:color="FFFFFF" w:themeColor="background1"/>
              <w:left w:val="nil"/>
              <w:bottom w:val="single" w:sz="4" w:space="0" w:color="BFBFBF" w:themeColor="background1" w:themeShade="BF"/>
              <w:right w:val="nil"/>
            </w:tcBorders>
            <w:shd w:val="clear" w:color="000000" w:fill="2B9AC2"/>
            <w:vAlign w:val="center"/>
          </w:tcPr>
          <w:p w14:paraId="1D97CD2E"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024B06">
              <w:rPr>
                <w:rFonts w:eastAsia="Times New Roman" w:cs="Open Sans"/>
                <w:color w:val="2B9AC2"/>
                <w:sz w:val="18"/>
                <w:szCs w:val="18"/>
                <w:lang w:eastAsia="en-AU"/>
              </w:rPr>
              <w:t>^</w:t>
            </w:r>
          </w:p>
        </w:tc>
        <w:tc>
          <w:tcPr>
            <w:tcW w:w="681" w:type="dxa"/>
            <w:tcBorders>
              <w:top w:val="single" w:sz="4" w:space="0" w:color="FFFFFF" w:themeColor="background1"/>
              <w:left w:val="nil"/>
              <w:bottom w:val="single" w:sz="4" w:space="0" w:color="BFBFBF" w:themeColor="background1" w:themeShade="BF"/>
              <w:right w:val="nil"/>
            </w:tcBorders>
            <w:shd w:val="clear" w:color="000000" w:fill="2B9AC2"/>
            <w:vAlign w:val="center"/>
          </w:tcPr>
          <w:p w14:paraId="63A710E3"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CE7E5E">
              <w:rPr>
                <w:rFonts w:eastAsia="Times New Roman" w:cs="Open Sans"/>
                <w:color w:val="2B9AC2"/>
                <w:sz w:val="18"/>
                <w:szCs w:val="18"/>
                <w:lang w:eastAsia="en-AU"/>
              </w:rPr>
              <w:t>^</w:t>
            </w:r>
          </w:p>
        </w:tc>
        <w:tc>
          <w:tcPr>
            <w:tcW w:w="681" w:type="dxa"/>
            <w:tcBorders>
              <w:top w:val="single" w:sz="4" w:space="0" w:color="FFFFFF" w:themeColor="background1"/>
              <w:left w:val="nil"/>
              <w:bottom w:val="single" w:sz="4" w:space="0" w:color="BFBFBF" w:themeColor="background1" w:themeShade="BF"/>
              <w:right w:val="nil"/>
            </w:tcBorders>
            <w:shd w:val="clear" w:color="000000" w:fill="2B9AC2"/>
            <w:vAlign w:val="center"/>
          </w:tcPr>
          <w:p w14:paraId="1B3FB0A1"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DB78A0">
              <w:rPr>
                <w:rFonts w:eastAsia="Times New Roman" w:cs="Open Sans"/>
                <w:color w:val="2B9AC2"/>
                <w:sz w:val="18"/>
                <w:szCs w:val="18"/>
                <w:lang w:eastAsia="en-AU"/>
              </w:rPr>
              <w:t>^</w:t>
            </w:r>
          </w:p>
        </w:tc>
        <w:tc>
          <w:tcPr>
            <w:tcW w:w="681" w:type="dxa"/>
            <w:tcBorders>
              <w:top w:val="single" w:sz="4" w:space="0" w:color="FFFFFF" w:themeColor="background1"/>
              <w:left w:val="nil"/>
              <w:bottom w:val="single" w:sz="4" w:space="0" w:color="BFBFBF" w:themeColor="background1" w:themeShade="BF"/>
              <w:right w:val="nil"/>
            </w:tcBorders>
            <w:shd w:val="clear" w:color="000000" w:fill="2B9AC2"/>
            <w:vAlign w:val="center"/>
          </w:tcPr>
          <w:p w14:paraId="7567D3FF"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5A0BB7">
              <w:rPr>
                <w:rFonts w:eastAsia="Times New Roman" w:cs="Open Sans"/>
                <w:color w:val="2B9AC2"/>
                <w:sz w:val="18"/>
                <w:szCs w:val="18"/>
                <w:lang w:eastAsia="en-AU"/>
              </w:rPr>
              <w:t>^</w:t>
            </w:r>
          </w:p>
        </w:tc>
        <w:tc>
          <w:tcPr>
            <w:tcW w:w="681" w:type="dxa"/>
            <w:tcBorders>
              <w:top w:val="single" w:sz="4" w:space="0" w:color="FFFFFF" w:themeColor="background1"/>
              <w:left w:val="nil"/>
              <w:bottom w:val="single" w:sz="4" w:space="0" w:color="BFBFBF" w:themeColor="background1" w:themeShade="BF"/>
              <w:right w:val="nil"/>
            </w:tcBorders>
            <w:shd w:val="clear" w:color="000000" w:fill="2B9AC2"/>
            <w:vAlign w:val="center"/>
          </w:tcPr>
          <w:p w14:paraId="2B3CD0BA"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831F03">
              <w:rPr>
                <w:rFonts w:eastAsia="Times New Roman" w:cs="Open Sans"/>
                <w:color w:val="2B9AC2"/>
                <w:sz w:val="18"/>
                <w:szCs w:val="18"/>
                <w:lang w:eastAsia="en-AU"/>
              </w:rPr>
              <w:t>^</w:t>
            </w:r>
          </w:p>
        </w:tc>
        <w:tc>
          <w:tcPr>
            <w:tcW w:w="681" w:type="dxa"/>
            <w:tcBorders>
              <w:top w:val="single" w:sz="4" w:space="0" w:color="FFFFFF" w:themeColor="background1"/>
              <w:left w:val="nil"/>
              <w:bottom w:val="single" w:sz="4" w:space="0" w:color="BFBFBF" w:themeColor="background1" w:themeShade="BF"/>
              <w:right w:val="nil"/>
            </w:tcBorders>
            <w:shd w:val="clear" w:color="000000" w:fill="2B9AC2"/>
            <w:vAlign w:val="center"/>
          </w:tcPr>
          <w:p w14:paraId="57204969"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831F03">
              <w:rPr>
                <w:rFonts w:eastAsia="Times New Roman" w:cs="Open Sans"/>
                <w:color w:val="2B9AC2"/>
                <w:sz w:val="18"/>
                <w:szCs w:val="18"/>
                <w:lang w:eastAsia="en-AU"/>
              </w:rPr>
              <w:t>^</w:t>
            </w:r>
          </w:p>
        </w:tc>
        <w:tc>
          <w:tcPr>
            <w:tcW w:w="681" w:type="dxa"/>
            <w:tcBorders>
              <w:top w:val="single" w:sz="4" w:space="0" w:color="FFFFFF" w:themeColor="background1"/>
              <w:left w:val="nil"/>
              <w:bottom w:val="single" w:sz="4" w:space="0" w:color="BFBFBF" w:themeColor="background1" w:themeShade="BF"/>
              <w:right w:val="nil"/>
            </w:tcBorders>
            <w:shd w:val="clear" w:color="000000" w:fill="2B9AC2"/>
            <w:vAlign w:val="center"/>
          </w:tcPr>
          <w:p w14:paraId="0CAD12D2" w14:textId="77777777" w:rsidR="004C31F5" w:rsidRPr="005063BE" w:rsidRDefault="004C31F5" w:rsidP="00011592">
            <w:pPr>
              <w:spacing w:before="0" w:after="0" w:line="240" w:lineRule="auto"/>
              <w:jc w:val="center"/>
              <w:rPr>
                <w:rFonts w:eastAsia="Times New Roman" w:cs="Open Sans"/>
                <w:color w:val="000000"/>
                <w:sz w:val="18"/>
                <w:szCs w:val="18"/>
                <w:lang w:eastAsia="en-AU"/>
              </w:rPr>
            </w:pPr>
            <w:r w:rsidRPr="00831F03">
              <w:rPr>
                <w:rFonts w:eastAsia="Times New Roman" w:cs="Open Sans"/>
                <w:color w:val="2B9AC2"/>
                <w:sz w:val="18"/>
                <w:szCs w:val="18"/>
                <w:lang w:eastAsia="en-AU"/>
              </w:rPr>
              <w:t>^</w:t>
            </w:r>
          </w:p>
        </w:tc>
        <w:tc>
          <w:tcPr>
            <w:tcW w:w="2831" w:type="dxa"/>
            <w:tcBorders>
              <w:left w:val="nil"/>
              <w:bottom w:val="single" w:sz="4" w:space="0" w:color="D9D9D9" w:themeColor="background1" w:themeShade="D9"/>
              <w:right w:val="nil"/>
            </w:tcBorders>
            <w:noWrap/>
            <w:vAlign w:val="center"/>
            <w:hideMark/>
          </w:tcPr>
          <w:p w14:paraId="66B7B550" w14:textId="4E632937" w:rsidR="004C31F5" w:rsidRPr="00B93766" w:rsidRDefault="004C31F5" w:rsidP="00011592">
            <w:pPr>
              <w:spacing w:before="0" w:after="0" w:line="240" w:lineRule="auto"/>
              <w:rPr>
                <w:rFonts w:eastAsia="Times New Roman" w:cs="Open Sans"/>
                <w:color w:val="000000"/>
                <w:spacing w:val="-4"/>
                <w:sz w:val="18"/>
                <w:szCs w:val="18"/>
                <w:lang w:eastAsia="en-AU"/>
              </w:rPr>
            </w:pPr>
            <w:r w:rsidRPr="00B93766">
              <w:rPr>
                <w:rFonts w:eastAsia="Times New Roman" w:cs="Open Sans"/>
                <w:color w:val="000000"/>
                <w:spacing w:val="-4"/>
                <w:sz w:val="18"/>
                <w:szCs w:val="18"/>
                <w:lang w:val="en-US" w:eastAsia="en-AU"/>
              </w:rPr>
              <w:t>Name withheld (sub.</w:t>
            </w:r>
            <w:r w:rsidR="00541146" w:rsidRPr="00B93766">
              <w:rPr>
                <w:rFonts w:eastAsia="Times New Roman" w:cs="Open Sans"/>
                <w:color w:val="000000"/>
                <w:spacing w:val="-4"/>
                <w:sz w:val="18"/>
                <w:szCs w:val="18"/>
                <w:lang w:val="en-US" w:eastAsia="en-AU"/>
              </w:rPr>
              <w:t> </w:t>
            </w:r>
            <w:r w:rsidRPr="00B93766">
              <w:rPr>
                <w:rFonts w:eastAsia="Times New Roman" w:cs="Open Sans"/>
                <w:color w:val="000000"/>
                <w:spacing w:val="-4"/>
                <w:sz w:val="18"/>
                <w:szCs w:val="18"/>
                <w:lang w:val="en-US" w:eastAsia="en-AU"/>
              </w:rPr>
              <w:t>9, p.</w:t>
            </w:r>
            <w:r w:rsidR="00541146" w:rsidRPr="00B93766">
              <w:rPr>
                <w:rFonts w:eastAsia="Times New Roman" w:cs="Open Sans"/>
                <w:color w:val="000000"/>
                <w:spacing w:val="-4"/>
                <w:sz w:val="18"/>
                <w:szCs w:val="18"/>
                <w:lang w:val="en-US" w:eastAsia="en-AU"/>
              </w:rPr>
              <w:t> </w:t>
            </w:r>
            <w:r w:rsidRPr="00B93766">
              <w:rPr>
                <w:rFonts w:eastAsia="Times New Roman" w:cs="Open Sans"/>
                <w:color w:val="000000"/>
                <w:spacing w:val="-4"/>
                <w:sz w:val="18"/>
                <w:szCs w:val="18"/>
                <w:lang w:val="en-US" w:eastAsia="en-AU"/>
              </w:rPr>
              <w:t>1)</w:t>
            </w:r>
          </w:p>
        </w:tc>
      </w:tr>
      <w:tr w:rsidR="004C31F5" w:rsidRPr="005063BE" w14:paraId="22892DED" w14:textId="77777777" w:rsidTr="000F468A">
        <w:trPr>
          <w:trHeight w:val="185"/>
        </w:trPr>
        <w:tc>
          <w:tcPr>
            <w:tcW w:w="680" w:type="dxa"/>
            <w:gridSpan w:val="2"/>
            <w:tcBorders>
              <w:top w:val="single" w:sz="4" w:space="0" w:color="BFBFBF" w:themeColor="background1" w:themeShade="BF"/>
              <w:bottom w:val="single" w:sz="8" w:space="0" w:color="FFFFFF" w:themeColor="background1"/>
            </w:tcBorders>
          </w:tcPr>
          <w:p w14:paraId="78D97C6B" w14:textId="77777777" w:rsidR="004C31F5" w:rsidRPr="005063BE" w:rsidRDefault="004C31F5" w:rsidP="00011592">
            <w:pPr>
              <w:spacing w:before="0" w:after="0" w:line="240" w:lineRule="auto"/>
              <w:rPr>
                <w:rFonts w:eastAsia="Times New Roman" w:cs="Open Sans"/>
                <w:color w:val="000000"/>
                <w:sz w:val="18"/>
                <w:szCs w:val="18"/>
                <w:lang w:eastAsia="en-AU"/>
              </w:rPr>
            </w:pPr>
          </w:p>
        </w:tc>
        <w:tc>
          <w:tcPr>
            <w:tcW w:w="681" w:type="dxa"/>
            <w:tcBorders>
              <w:top w:val="single" w:sz="4" w:space="0" w:color="BFBFBF" w:themeColor="background1" w:themeShade="BF"/>
              <w:bottom w:val="single" w:sz="8" w:space="0" w:color="FFFFFF" w:themeColor="background1"/>
            </w:tcBorders>
          </w:tcPr>
          <w:p w14:paraId="4A870736" w14:textId="77777777" w:rsidR="004C31F5" w:rsidRPr="005063BE" w:rsidRDefault="004C31F5" w:rsidP="00011592">
            <w:pPr>
              <w:spacing w:before="0" w:after="0" w:line="240" w:lineRule="auto"/>
              <w:rPr>
                <w:rFonts w:eastAsia="Times New Roman" w:cs="Open Sans"/>
                <w:color w:val="000000"/>
                <w:sz w:val="18"/>
                <w:szCs w:val="18"/>
                <w:lang w:eastAsia="en-AU"/>
              </w:rPr>
            </w:pPr>
          </w:p>
        </w:tc>
        <w:tc>
          <w:tcPr>
            <w:tcW w:w="681" w:type="dxa"/>
            <w:tcBorders>
              <w:top w:val="single" w:sz="4" w:space="0" w:color="BFBFBF" w:themeColor="background1" w:themeShade="BF"/>
              <w:bottom w:val="single" w:sz="8" w:space="0" w:color="FFFFFF" w:themeColor="background1"/>
            </w:tcBorders>
          </w:tcPr>
          <w:p w14:paraId="392C83A6" w14:textId="77777777" w:rsidR="004C31F5" w:rsidRPr="005063BE" w:rsidRDefault="004C31F5" w:rsidP="00011592">
            <w:pPr>
              <w:spacing w:before="0" w:after="0" w:line="240" w:lineRule="auto"/>
              <w:rPr>
                <w:rFonts w:eastAsia="Times New Roman" w:cs="Open Sans"/>
                <w:color w:val="000000"/>
                <w:sz w:val="18"/>
                <w:szCs w:val="18"/>
                <w:lang w:eastAsia="en-AU"/>
              </w:rPr>
            </w:pPr>
          </w:p>
        </w:tc>
        <w:tc>
          <w:tcPr>
            <w:tcW w:w="681" w:type="dxa"/>
            <w:tcBorders>
              <w:top w:val="single" w:sz="4" w:space="0" w:color="BFBFBF" w:themeColor="background1" w:themeShade="BF"/>
              <w:bottom w:val="single" w:sz="8" w:space="0" w:color="FFFFFF" w:themeColor="background1"/>
            </w:tcBorders>
          </w:tcPr>
          <w:p w14:paraId="7BC359C2" w14:textId="77777777" w:rsidR="004C31F5" w:rsidRPr="005063BE" w:rsidRDefault="004C31F5" w:rsidP="00011592">
            <w:pPr>
              <w:spacing w:before="0" w:after="0" w:line="240" w:lineRule="auto"/>
              <w:rPr>
                <w:rFonts w:eastAsia="Times New Roman" w:cs="Open Sans"/>
                <w:color w:val="000000"/>
                <w:sz w:val="18"/>
                <w:szCs w:val="18"/>
                <w:lang w:eastAsia="en-AU"/>
              </w:rPr>
            </w:pPr>
          </w:p>
        </w:tc>
        <w:tc>
          <w:tcPr>
            <w:tcW w:w="681" w:type="dxa"/>
            <w:tcBorders>
              <w:top w:val="single" w:sz="4" w:space="0" w:color="BFBFBF" w:themeColor="background1" w:themeShade="BF"/>
              <w:bottom w:val="single" w:sz="8" w:space="0" w:color="FFFFFF" w:themeColor="background1"/>
            </w:tcBorders>
          </w:tcPr>
          <w:p w14:paraId="10575B3E" w14:textId="77777777" w:rsidR="004C31F5" w:rsidRPr="005063BE" w:rsidRDefault="004C31F5" w:rsidP="00011592">
            <w:pPr>
              <w:spacing w:before="0" w:after="0" w:line="240" w:lineRule="auto"/>
              <w:rPr>
                <w:rFonts w:eastAsia="Times New Roman" w:cs="Open Sans"/>
                <w:color w:val="000000"/>
                <w:sz w:val="18"/>
                <w:szCs w:val="18"/>
                <w:lang w:eastAsia="en-AU"/>
              </w:rPr>
            </w:pPr>
          </w:p>
        </w:tc>
        <w:tc>
          <w:tcPr>
            <w:tcW w:w="681" w:type="dxa"/>
            <w:tcBorders>
              <w:top w:val="single" w:sz="4" w:space="0" w:color="BFBFBF" w:themeColor="background1" w:themeShade="BF"/>
              <w:bottom w:val="single" w:sz="8" w:space="0" w:color="FFFFFF" w:themeColor="background1"/>
            </w:tcBorders>
          </w:tcPr>
          <w:p w14:paraId="0254256E" w14:textId="77777777" w:rsidR="004C31F5" w:rsidRPr="005063BE" w:rsidRDefault="004C31F5" w:rsidP="00011592">
            <w:pPr>
              <w:spacing w:before="0" w:after="0" w:line="240" w:lineRule="auto"/>
              <w:rPr>
                <w:rFonts w:eastAsia="Times New Roman" w:cs="Open Sans"/>
                <w:color w:val="000000"/>
                <w:sz w:val="18"/>
                <w:szCs w:val="18"/>
                <w:lang w:eastAsia="en-AU"/>
              </w:rPr>
            </w:pPr>
          </w:p>
        </w:tc>
        <w:tc>
          <w:tcPr>
            <w:tcW w:w="681" w:type="dxa"/>
            <w:tcBorders>
              <w:top w:val="single" w:sz="4" w:space="0" w:color="BFBFBF" w:themeColor="background1" w:themeShade="BF"/>
              <w:bottom w:val="single" w:sz="8" w:space="0" w:color="FFFFFF" w:themeColor="background1"/>
            </w:tcBorders>
          </w:tcPr>
          <w:p w14:paraId="712CA082" w14:textId="77777777" w:rsidR="004C31F5" w:rsidRPr="005063BE" w:rsidRDefault="004C31F5" w:rsidP="00011592">
            <w:pPr>
              <w:spacing w:before="0" w:after="0" w:line="240" w:lineRule="auto"/>
              <w:rPr>
                <w:rFonts w:eastAsia="Times New Roman" w:cs="Open Sans"/>
                <w:color w:val="000000"/>
                <w:sz w:val="18"/>
                <w:szCs w:val="18"/>
                <w:lang w:eastAsia="en-AU"/>
              </w:rPr>
            </w:pPr>
          </w:p>
        </w:tc>
        <w:tc>
          <w:tcPr>
            <w:tcW w:w="681" w:type="dxa"/>
            <w:tcBorders>
              <w:top w:val="single" w:sz="4" w:space="0" w:color="BFBFBF" w:themeColor="background1" w:themeShade="BF"/>
              <w:bottom w:val="single" w:sz="8" w:space="0" w:color="FFFFFF" w:themeColor="background1"/>
            </w:tcBorders>
          </w:tcPr>
          <w:p w14:paraId="58169A3B" w14:textId="77777777" w:rsidR="004C31F5" w:rsidRPr="005063BE" w:rsidRDefault="004C31F5" w:rsidP="00011592">
            <w:pPr>
              <w:spacing w:before="0" w:after="0" w:line="240" w:lineRule="auto"/>
              <w:rPr>
                <w:rFonts w:eastAsia="Times New Roman" w:cs="Open Sans"/>
                <w:color w:val="000000"/>
                <w:sz w:val="18"/>
                <w:szCs w:val="18"/>
                <w:lang w:eastAsia="en-AU"/>
              </w:rPr>
            </w:pPr>
          </w:p>
        </w:tc>
        <w:tc>
          <w:tcPr>
            <w:tcW w:w="681" w:type="dxa"/>
            <w:tcBorders>
              <w:top w:val="single" w:sz="4" w:space="0" w:color="BFBFBF" w:themeColor="background1" w:themeShade="BF"/>
              <w:bottom w:val="single" w:sz="8" w:space="0" w:color="FFFFFF" w:themeColor="background1"/>
            </w:tcBorders>
          </w:tcPr>
          <w:p w14:paraId="7627B5B4" w14:textId="77777777" w:rsidR="004C31F5" w:rsidRPr="005063BE" w:rsidRDefault="004C31F5" w:rsidP="00011592">
            <w:pPr>
              <w:spacing w:before="0" w:after="0" w:line="240" w:lineRule="auto"/>
              <w:rPr>
                <w:rFonts w:eastAsia="Times New Roman" w:cs="Open Sans"/>
                <w:color w:val="000000"/>
                <w:sz w:val="18"/>
                <w:szCs w:val="18"/>
                <w:lang w:eastAsia="en-AU"/>
              </w:rPr>
            </w:pPr>
          </w:p>
        </w:tc>
        <w:tc>
          <w:tcPr>
            <w:tcW w:w="681" w:type="dxa"/>
            <w:tcBorders>
              <w:top w:val="single" w:sz="4" w:space="0" w:color="BFBFBF" w:themeColor="background1" w:themeShade="BF"/>
              <w:bottom w:val="single" w:sz="8" w:space="0" w:color="FFFFFF" w:themeColor="background1"/>
            </w:tcBorders>
          </w:tcPr>
          <w:p w14:paraId="6C72A649" w14:textId="77777777" w:rsidR="004C31F5" w:rsidRPr="005063BE" w:rsidRDefault="004C31F5" w:rsidP="00011592">
            <w:pPr>
              <w:spacing w:before="0" w:after="0" w:line="240" w:lineRule="auto"/>
              <w:rPr>
                <w:rFonts w:eastAsia="Times New Roman" w:cs="Open Sans"/>
                <w:color w:val="000000"/>
                <w:sz w:val="18"/>
                <w:szCs w:val="18"/>
                <w:lang w:eastAsia="en-AU"/>
              </w:rPr>
            </w:pPr>
          </w:p>
        </w:tc>
        <w:tc>
          <w:tcPr>
            <w:tcW w:w="2831" w:type="dxa"/>
            <w:tcBorders>
              <w:bottom w:val="single" w:sz="8" w:space="0" w:color="FFFFFF" w:themeColor="background1"/>
            </w:tcBorders>
            <w:noWrap/>
          </w:tcPr>
          <w:p w14:paraId="05622DF1" w14:textId="77777777" w:rsidR="004C31F5" w:rsidRPr="005063BE" w:rsidRDefault="004C31F5" w:rsidP="00011592">
            <w:pPr>
              <w:spacing w:before="0" w:after="0" w:line="240" w:lineRule="auto"/>
              <w:rPr>
                <w:rFonts w:eastAsia="Times New Roman" w:cs="Open Sans"/>
                <w:color w:val="000000"/>
                <w:sz w:val="18"/>
                <w:szCs w:val="18"/>
                <w:lang w:val="en-US" w:eastAsia="en-AU"/>
              </w:rPr>
            </w:pPr>
          </w:p>
        </w:tc>
      </w:tr>
      <w:tr w:rsidR="004C31F5" w:rsidRPr="005063BE" w14:paraId="4EF5D048" w14:textId="77777777" w:rsidTr="00B93766">
        <w:trPr>
          <w:trHeight w:val="283"/>
        </w:trPr>
        <w:tc>
          <w:tcPr>
            <w:tcW w:w="285" w:type="dxa"/>
            <w:tcBorders>
              <w:top w:val="single" w:sz="8" w:space="0" w:color="FFFFFF" w:themeColor="background1"/>
              <w:bottom w:val="single" w:sz="8" w:space="0" w:color="FFFFFF" w:themeColor="background1"/>
            </w:tcBorders>
            <w:shd w:val="clear" w:color="000000" w:fill="2B9AC2"/>
            <w:vAlign w:val="center"/>
          </w:tcPr>
          <w:p w14:paraId="03B3997E" w14:textId="77777777" w:rsidR="004C31F5" w:rsidRPr="005063BE" w:rsidRDefault="004C31F5" w:rsidP="00011592">
            <w:pPr>
              <w:spacing w:before="0" w:after="0" w:line="240" w:lineRule="auto"/>
              <w:rPr>
                <w:rFonts w:eastAsia="Times New Roman" w:cs="Open Sans"/>
                <w:color w:val="000000"/>
                <w:sz w:val="18"/>
                <w:szCs w:val="18"/>
                <w:lang w:val="en-US" w:eastAsia="en-AU"/>
              </w:rPr>
            </w:pPr>
            <w:r w:rsidRPr="006F51FA">
              <w:rPr>
                <w:rFonts w:eastAsia="Times New Roman" w:cs="Open Sans"/>
                <w:color w:val="2B9AC2"/>
                <w:sz w:val="18"/>
                <w:szCs w:val="18"/>
                <w:lang w:eastAsia="en-AU"/>
              </w:rPr>
              <w:t>^</w:t>
            </w:r>
          </w:p>
        </w:tc>
        <w:tc>
          <w:tcPr>
            <w:tcW w:w="9355" w:type="dxa"/>
            <w:gridSpan w:val="11"/>
            <w:tcBorders>
              <w:top w:val="single" w:sz="8" w:space="0" w:color="FFFFFF" w:themeColor="background1"/>
              <w:bottom w:val="single" w:sz="8" w:space="0" w:color="FFFFFF" w:themeColor="background1"/>
            </w:tcBorders>
            <w:vAlign w:val="center"/>
          </w:tcPr>
          <w:p w14:paraId="1C1439B0" w14:textId="5B6DA386" w:rsidR="004C31F5" w:rsidRPr="008275DD" w:rsidRDefault="004C31F5" w:rsidP="00011592">
            <w:pPr>
              <w:spacing w:before="0" w:after="0" w:line="240" w:lineRule="auto"/>
              <w:rPr>
                <w:rFonts w:eastAsia="Times New Roman" w:cs="Open Sans"/>
                <w:color w:val="000000"/>
                <w:spacing w:val="-4"/>
                <w:sz w:val="18"/>
                <w:szCs w:val="18"/>
                <w:lang w:val="en-US" w:eastAsia="en-AU"/>
              </w:rPr>
            </w:pPr>
            <w:r w:rsidRPr="008275DD">
              <w:rPr>
                <w:rFonts w:eastAsia="Times New Roman" w:cs="Open Sans"/>
                <w:color w:val="000000"/>
                <w:spacing w:val="-4"/>
                <w:sz w:val="18"/>
                <w:szCs w:val="18"/>
                <w:lang w:eastAsia="en-AU"/>
              </w:rPr>
              <w:t xml:space="preserve">Dark shading is used if the source indicated high confidence in this being </w:t>
            </w:r>
            <w:r w:rsidR="001B53AA">
              <w:rPr>
                <w:rFonts w:eastAsia="Times New Roman" w:cs="Open Sans"/>
                <w:color w:val="000000"/>
                <w:spacing w:val="-4"/>
                <w:sz w:val="18"/>
                <w:szCs w:val="18"/>
                <w:lang w:eastAsia="en-AU"/>
              </w:rPr>
              <w:br/>
            </w:r>
            <w:r w:rsidRPr="008275DD">
              <w:rPr>
                <w:rFonts w:eastAsia="Times New Roman" w:cs="Open Sans"/>
                <w:color w:val="000000"/>
                <w:spacing w:val="-4"/>
                <w:sz w:val="18"/>
                <w:szCs w:val="18"/>
                <w:lang w:eastAsia="en-AU"/>
              </w:rPr>
              <w:t>a period of strong or growing import competition.</w:t>
            </w:r>
          </w:p>
        </w:tc>
      </w:tr>
      <w:tr w:rsidR="004C31F5" w:rsidRPr="005063BE" w14:paraId="6737DAF5" w14:textId="77777777" w:rsidTr="005802CE">
        <w:trPr>
          <w:trHeight w:val="283"/>
        </w:trPr>
        <w:tc>
          <w:tcPr>
            <w:tcW w:w="285" w:type="dxa"/>
            <w:tcBorders>
              <w:top w:val="single" w:sz="8" w:space="0" w:color="FFFFFF" w:themeColor="background1"/>
              <w:bottom w:val="nil"/>
            </w:tcBorders>
            <w:shd w:val="clear" w:color="auto" w:fill="D2ECF5"/>
            <w:vAlign w:val="center"/>
          </w:tcPr>
          <w:p w14:paraId="47442E9A" w14:textId="77777777" w:rsidR="004C31F5" w:rsidRPr="005063BE" w:rsidRDefault="004C31F5" w:rsidP="00011592">
            <w:pPr>
              <w:spacing w:before="0" w:after="0" w:line="240" w:lineRule="auto"/>
              <w:rPr>
                <w:rFonts w:eastAsia="Times New Roman" w:cs="Open Sans"/>
                <w:color w:val="000000"/>
                <w:sz w:val="18"/>
                <w:szCs w:val="18"/>
                <w:lang w:val="en-US" w:eastAsia="en-AU"/>
              </w:rPr>
            </w:pPr>
            <w:r w:rsidRPr="006F51FA">
              <w:rPr>
                <w:rFonts w:eastAsia="Times New Roman" w:cs="Open Sans"/>
                <w:color w:val="D2ECF5"/>
                <w:sz w:val="18"/>
                <w:szCs w:val="18"/>
                <w:lang w:eastAsia="en-AU"/>
              </w:rPr>
              <w:t>~</w:t>
            </w:r>
          </w:p>
        </w:tc>
        <w:tc>
          <w:tcPr>
            <w:tcW w:w="9355" w:type="dxa"/>
            <w:gridSpan w:val="11"/>
            <w:tcBorders>
              <w:top w:val="single" w:sz="8" w:space="0" w:color="FFFFFF" w:themeColor="background1"/>
              <w:bottom w:val="single" w:sz="8" w:space="0" w:color="FFFFFF" w:themeColor="background1"/>
            </w:tcBorders>
            <w:vAlign w:val="center"/>
          </w:tcPr>
          <w:p w14:paraId="1DBC989F" w14:textId="61B612FD" w:rsidR="004C31F5" w:rsidRPr="005063BE" w:rsidRDefault="004C31F5" w:rsidP="00011592">
            <w:pPr>
              <w:spacing w:before="0" w:after="0" w:line="240" w:lineRule="auto"/>
              <w:rPr>
                <w:rFonts w:eastAsia="Times New Roman" w:cs="Open Sans"/>
                <w:color w:val="000000"/>
                <w:sz w:val="18"/>
                <w:szCs w:val="18"/>
                <w:lang w:val="en-US" w:eastAsia="en-AU"/>
              </w:rPr>
            </w:pPr>
            <w:r w:rsidRPr="005063BE">
              <w:rPr>
                <w:rFonts w:eastAsia="Times New Roman" w:cs="Open Sans"/>
                <w:color w:val="000000"/>
                <w:sz w:val="18"/>
                <w:szCs w:val="18"/>
                <w:lang w:val="en-US" w:eastAsia="en-AU"/>
              </w:rPr>
              <w:t xml:space="preserve">Light shading is used if the source </w:t>
            </w:r>
            <w:proofErr w:type="gramStart"/>
            <w:r w:rsidRPr="005063BE">
              <w:rPr>
                <w:rFonts w:eastAsia="Times New Roman" w:cs="Open Sans"/>
                <w:color w:val="000000"/>
                <w:sz w:val="18"/>
                <w:szCs w:val="18"/>
                <w:lang w:val="en-US" w:eastAsia="en-AU"/>
              </w:rPr>
              <w:t>indicated</w:t>
            </w:r>
            <w:proofErr w:type="gramEnd"/>
            <w:r w:rsidRPr="005063BE">
              <w:rPr>
                <w:rFonts w:eastAsia="Times New Roman" w:cs="Open Sans"/>
                <w:color w:val="000000"/>
                <w:sz w:val="18"/>
                <w:szCs w:val="18"/>
                <w:lang w:val="en-US" w:eastAsia="en-AU"/>
              </w:rPr>
              <w:t xml:space="preserve"> uncertainty over timing or </w:t>
            </w:r>
            <w:r w:rsidR="001B53AA">
              <w:rPr>
                <w:rFonts w:eastAsia="Times New Roman" w:cs="Open Sans"/>
                <w:color w:val="000000"/>
                <w:sz w:val="18"/>
                <w:szCs w:val="18"/>
                <w:lang w:val="en-US" w:eastAsia="en-AU"/>
              </w:rPr>
              <w:br/>
            </w:r>
            <w:r w:rsidRPr="005063BE">
              <w:rPr>
                <w:rFonts w:eastAsia="Times New Roman" w:cs="Open Sans"/>
                <w:color w:val="000000"/>
                <w:sz w:val="18"/>
                <w:szCs w:val="18"/>
                <w:lang w:val="en-US" w:eastAsia="en-AU"/>
              </w:rPr>
              <w:t>mild import competition.</w:t>
            </w:r>
          </w:p>
        </w:tc>
      </w:tr>
    </w:tbl>
    <w:p w14:paraId="64D7E8FB" w14:textId="276C14E1" w:rsidR="004C31F5" w:rsidRDefault="004C31F5" w:rsidP="008B2874">
      <w:pPr>
        <w:pStyle w:val="BodyText"/>
        <w:spacing w:after="360" w:line="160" w:lineRule="atLeast"/>
        <w:rPr>
          <w:spacing w:val="-2"/>
          <w:sz w:val="18"/>
          <w:szCs w:val="18"/>
        </w:rPr>
      </w:pPr>
      <w:r w:rsidRPr="008B2874">
        <w:rPr>
          <w:spacing w:val="-2"/>
          <w:sz w:val="18"/>
          <w:szCs w:val="18"/>
        </w:rPr>
        <w:t xml:space="preserve">Much of the data underpinning this figure is based on information from fabricators provided in response to a questionnaire circulated by the ASI which </w:t>
      </w:r>
      <w:proofErr w:type="gramStart"/>
      <w:r w:rsidRPr="008B2874">
        <w:rPr>
          <w:spacing w:val="-2"/>
          <w:sz w:val="18"/>
          <w:szCs w:val="18"/>
        </w:rPr>
        <w:t>asked</w:t>
      </w:r>
      <w:proofErr w:type="gramEnd"/>
      <w:r w:rsidRPr="008B2874">
        <w:rPr>
          <w:spacing w:val="-2"/>
          <w:sz w:val="18"/>
          <w:szCs w:val="18"/>
        </w:rPr>
        <w:t xml:space="preserve"> ‘Have you observed increased import penetration in your product category?’ and ‘Over what period?’ Where people indicated a range (‘3</w:t>
      </w:r>
      <w:r w:rsidR="00541146" w:rsidRPr="008B2874">
        <w:rPr>
          <w:spacing w:val="-2"/>
          <w:sz w:val="18"/>
          <w:szCs w:val="18"/>
        </w:rPr>
        <w:noBreakHyphen/>
      </w:r>
      <w:r w:rsidRPr="008B2874">
        <w:rPr>
          <w:spacing w:val="-2"/>
          <w:sz w:val="18"/>
          <w:szCs w:val="18"/>
        </w:rPr>
        <w:t>5 years’, for example) we have taken the mid</w:t>
      </w:r>
      <w:r w:rsidR="00541146" w:rsidRPr="008B2874">
        <w:rPr>
          <w:spacing w:val="-2"/>
          <w:sz w:val="18"/>
          <w:szCs w:val="18"/>
        </w:rPr>
        <w:noBreakHyphen/>
      </w:r>
      <w:r w:rsidRPr="008B2874">
        <w:rPr>
          <w:spacing w:val="-2"/>
          <w:sz w:val="18"/>
          <w:szCs w:val="18"/>
        </w:rPr>
        <w:t>point of the range. The data underpinning the figure is often presented in calendar year terms, so the figure is presented on calendar year terms (though the period of investigation is defined in financial year terms). Some of the cited submissions indicated import competition started even earlier. For example, Prince Engineering said it had observed sustained growth in import penetration ‘over approximately the last 5</w:t>
      </w:r>
      <w:r w:rsidR="00541146" w:rsidRPr="008B2874">
        <w:rPr>
          <w:spacing w:val="-2"/>
          <w:sz w:val="18"/>
          <w:szCs w:val="18"/>
        </w:rPr>
        <w:noBreakHyphen/>
      </w:r>
      <w:r w:rsidRPr="008B2874">
        <w:rPr>
          <w:spacing w:val="-2"/>
          <w:sz w:val="18"/>
          <w:szCs w:val="18"/>
        </w:rPr>
        <w:t>7 years, with the most pronounced acceleration occurring in the renewable energy and large infrastructure sector since 2012’ (sub.</w:t>
      </w:r>
      <w:r w:rsidR="00541146" w:rsidRPr="008B2874">
        <w:rPr>
          <w:spacing w:val="-2"/>
          <w:sz w:val="18"/>
          <w:szCs w:val="18"/>
        </w:rPr>
        <w:t> </w:t>
      </w:r>
      <w:r w:rsidRPr="008B2874">
        <w:rPr>
          <w:spacing w:val="-2"/>
          <w:sz w:val="18"/>
          <w:szCs w:val="18"/>
        </w:rPr>
        <w:t>3, p. 2).</w:t>
      </w:r>
    </w:p>
    <w:p w14:paraId="6A57DD5E" w14:textId="2C63D9D6" w:rsidR="00765BCB" w:rsidRDefault="00765BCB" w:rsidP="00765BCB">
      <w:pPr>
        <w:pStyle w:val="BodyText"/>
        <w:spacing w:before="100" w:after="100" w:line="270" w:lineRule="atLeast"/>
      </w:pPr>
      <w:r>
        <w:lastRenderedPageBreak/>
        <w:t xml:space="preserve">Concerning the end of the investigation period, some participants submitted that the period of investigation should include </w:t>
      </w:r>
      <w:r w:rsidRPr="002653CA">
        <w:t xml:space="preserve">2025, a more recent </w:t>
      </w:r>
      <w:proofErr w:type="gramStart"/>
      <w:r w:rsidRPr="002653CA">
        <w:t>period of time</w:t>
      </w:r>
      <w:proofErr w:type="gramEnd"/>
      <w:r w:rsidRPr="002653CA">
        <w:t xml:space="preserve"> than is covered in the ASI application </w:t>
      </w:r>
      <w:r w:rsidRPr="00762450">
        <w:rPr>
          <w:rFonts w:ascii="Arial" w:hAnsi="Arial" w:cs="Arial"/>
        </w:rPr>
        <w:t>(2026, p. 19)</w:t>
      </w:r>
      <w:r w:rsidRPr="002653CA">
        <w:t>. The PC agrees. At the public</w:t>
      </w:r>
      <w:r>
        <w:t xml:space="preserve"> hearings the ASI said it believed a surge in imports has ‘continued into 2025 and 2026’ (transcript, 13 May, p. 5). The WTO Appellate Body has emphasised that to apply safeguard measures, the increase in imports must have been ‘recent’ and the investigation period should therefore capture the recent past (</w:t>
      </w:r>
      <w:r>
        <w:rPr>
          <w:i/>
          <w:iCs/>
        </w:rPr>
        <w:t xml:space="preserve">Argentina – Footwear (EC), </w:t>
      </w:r>
      <w:r>
        <w:t xml:space="preserve">para. 130). </w:t>
      </w:r>
    </w:p>
    <w:p w14:paraId="47D44B7F" w14:textId="77777777" w:rsidR="00765BCB" w:rsidRPr="0078729A" w:rsidRDefault="00765BCB" w:rsidP="00765BCB">
      <w:pPr>
        <w:pStyle w:val="BodyText"/>
        <w:spacing w:before="100" w:after="100" w:line="270" w:lineRule="atLeast"/>
        <w:rPr>
          <w:spacing w:val="-2"/>
        </w:rPr>
      </w:pPr>
      <w:r w:rsidRPr="0078729A">
        <w:rPr>
          <w:spacing w:val="-2"/>
        </w:rPr>
        <w:t>2024–25 is the most recent financial year for which enough data is available to analyse imports and injury. Data on absolute imports is available for all of 2024–25 (and the PC has been given access to preliminary imports data for the first 3 quarters of 2025–26). Data on some injury factors is available up to 2024–25. The PC has undertaken quantitative analysis to estimate values for 2024–25 data that is not available. In the final report, we will include analysis drawing on data on turnover for the first 2 quarters of 2025–26. Data is discussed further in chapter 3 and 4 and appendix B.</w:t>
      </w:r>
    </w:p>
    <w:p w14:paraId="366113A4" w14:textId="77777777" w:rsidR="00765BCB" w:rsidRDefault="00765BCB" w:rsidP="00765BCB">
      <w:pPr>
        <w:pStyle w:val="BodyText"/>
        <w:spacing w:before="100" w:after="100" w:line="270" w:lineRule="atLeast"/>
      </w:pPr>
      <w:r w:rsidDel="00653930">
        <w:t>Five</w:t>
      </w:r>
      <w:r>
        <w:noBreakHyphen/>
        <w:t xml:space="preserve">year investigation periods capturing the recent past have been used in many other safeguard measure investigations, including those conducted by the PC. </w:t>
      </w:r>
      <w:proofErr w:type="gramStart"/>
      <w:r>
        <w:t>In light of</w:t>
      </w:r>
      <w:proofErr w:type="gramEnd"/>
      <w:r>
        <w:t xml:space="preserve"> all these matters, the PC has determined that the investigation period will be financial years </w:t>
      </w:r>
      <w:r w:rsidRPr="00F265E9">
        <w:t>2020</w:t>
      </w:r>
      <w:r>
        <w:t>–</w:t>
      </w:r>
      <w:r w:rsidRPr="00F265E9">
        <w:t>21 to 2024</w:t>
      </w:r>
      <w:r>
        <w:t>–</w:t>
      </w:r>
      <w:r w:rsidRPr="00F265E9">
        <w:t>25</w:t>
      </w:r>
      <w:r>
        <w:t>.</w:t>
      </w:r>
    </w:p>
    <w:p w14:paraId="453B3F83" w14:textId="77777777" w:rsidR="00765BCB" w:rsidRDefault="00765BCB" w:rsidP="00765BCB">
      <w:pPr>
        <w:pStyle w:val="BodyText"/>
        <w:spacing w:before="100" w:after="100" w:line="270" w:lineRule="atLeast"/>
      </w:pPr>
      <w:r>
        <w:t xml:space="preserve">The PC has included information on imports and injury for periods earlier than 2020–21, and preliminary imports data for the first 3 quarters of 2025–26. This information provides useful context for understanding trends observed during the investigation period and developments immediately thereafter. However, the PC’s analysis of imports and actual injury are based on what has occurred during the investigation period. </w:t>
      </w:r>
    </w:p>
    <w:p w14:paraId="4A11C850" w14:textId="77777777" w:rsidR="004C31F5" w:rsidRDefault="004C31F5" w:rsidP="00765BCB">
      <w:pPr>
        <w:pStyle w:val="Heading2"/>
        <w:spacing w:before="360"/>
      </w:pPr>
      <w:bookmarkStart w:id="15" w:name="_Toc238643905"/>
      <w:r>
        <w:t>Excluded countries</w:t>
      </w:r>
      <w:bookmarkEnd w:id="15"/>
    </w:p>
    <w:p w14:paraId="273E8AD1" w14:textId="77777777" w:rsidR="004C31F5" w:rsidRDefault="004C31F5" w:rsidP="00AD0A89">
      <w:pPr>
        <w:pStyle w:val="BodyText"/>
        <w:spacing w:before="100" w:after="100" w:line="270" w:lineRule="atLeast"/>
      </w:pPr>
      <w:proofErr w:type="gramStart"/>
      <w:r>
        <w:t>As a general rule</w:t>
      </w:r>
      <w:proofErr w:type="gramEnd"/>
      <w:r>
        <w:t xml:space="preserve">, if safeguard measures are </w:t>
      </w:r>
      <w:proofErr w:type="gramStart"/>
      <w:r>
        <w:t>applied</w:t>
      </w:r>
      <w:proofErr w:type="gramEnd"/>
      <w:r>
        <w:t xml:space="preserve"> they should apply to the product being imported ‘irrespective of its source’ (SA Article 2.2). </w:t>
      </w:r>
    </w:p>
    <w:p w14:paraId="25604107" w14:textId="7B895CDC" w:rsidR="004C31F5" w:rsidRPr="000833C3" w:rsidRDefault="004C31F5" w:rsidP="00AD0A89">
      <w:pPr>
        <w:pStyle w:val="BodyText"/>
        <w:spacing w:before="100" w:after="100" w:line="270" w:lineRule="atLeast"/>
        <w:rPr>
          <w:spacing w:val="-4"/>
        </w:rPr>
      </w:pPr>
      <w:r w:rsidRPr="000833C3">
        <w:rPr>
          <w:spacing w:val="-4"/>
        </w:rPr>
        <w:t>There are some exceptions to this ‘non</w:t>
      </w:r>
      <w:r w:rsidR="00541146" w:rsidRPr="000833C3">
        <w:rPr>
          <w:spacing w:val="-4"/>
        </w:rPr>
        <w:noBreakHyphen/>
      </w:r>
      <w:r w:rsidRPr="000833C3">
        <w:rPr>
          <w:spacing w:val="-4"/>
        </w:rPr>
        <w:t>discrimination’ principle, including under certain trade agreements.</w:t>
      </w:r>
    </w:p>
    <w:p w14:paraId="78AB7FDB" w14:textId="77777777" w:rsidR="004C31F5" w:rsidRDefault="004C31F5" w:rsidP="00AD0A89">
      <w:pPr>
        <w:pStyle w:val="BodyText"/>
        <w:spacing w:before="100" w:after="100" w:line="270" w:lineRule="atLeast"/>
      </w:pPr>
      <w:r>
        <w:t>Australia’s trade agreements with Singapore and New Zealand preclude Australia from imposing safeguard measures that would apply to these countries.</w:t>
      </w:r>
      <w:r w:rsidRPr="00DE26DB">
        <w:rPr>
          <w:rStyle w:val="FootnoteReference"/>
        </w:rPr>
        <w:footnoteReference w:id="6"/>
      </w:r>
      <w:r>
        <w:t xml:space="preserve"> The ‘principle of parallelism’ requires that there must be symmetry between the products investigated and the products on which any safeguard measure is later applied, so Singapore and New Zealand have been excluded from the investigation (</w:t>
      </w:r>
      <w:r>
        <w:rPr>
          <w:i/>
          <w:iCs/>
        </w:rPr>
        <w:t>US – Steel Safeguards</w:t>
      </w:r>
      <w:r>
        <w:t>, section VII). In any event, Australia imports very little FSS from these countries.</w:t>
      </w:r>
    </w:p>
    <w:p w14:paraId="6654FE5A" w14:textId="77777777" w:rsidR="004C31F5" w:rsidRPr="000833C3" w:rsidRDefault="004C31F5" w:rsidP="00AD0A89">
      <w:pPr>
        <w:pStyle w:val="BodyText"/>
        <w:spacing w:before="100" w:after="100" w:line="270" w:lineRule="atLeast"/>
        <w:rPr>
          <w:spacing w:val="-4"/>
        </w:rPr>
      </w:pPr>
      <w:r w:rsidRPr="000833C3">
        <w:rPr>
          <w:spacing w:val="-4"/>
        </w:rPr>
        <w:t xml:space="preserve">Australia also has bilateral or plurilateral free trade agreements with </w:t>
      </w:r>
      <w:proofErr w:type="gramStart"/>
      <w:r w:rsidRPr="000833C3">
        <w:rPr>
          <w:spacing w:val="-4"/>
        </w:rPr>
        <w:t>a number of</w:t>
      </w:r>
      <w:proofErr w:type="gramEnd"/>
      <w:r w:rsidRPr="000833C3">
        <w:rPr>
          <w:spacing w:val="-4"/>
        </w:rPr>
        <w:t xml:space="preserve"> countries that export FSS to Australia, including the People’s Republic of China, Vietnam, Malaysia, Indonesia and the United States of America. These agreements do not preclude Australia from imposing safeguard measures that would apply to these countries. These countries have not been excluded from the scope of this inquiry.</w:t>
      </w:r>
    </w:p>
    <w:p w14:paraId="23C255BF" w14:textId="77777777" w:rsidR="00F9487B" w:rsidRDefault="004C31F5" w:rsidP="00AD0A89">
      <w:pPr>
        <w:pStyle w:val="BodyText"/>
        <w:spacing w:before="100" w:after="100" w:line="270" w:lineRule="atLeast"/>
        <w:sectPr w:rsidR="00F9487B" w:rsidSect="004C31F5">
          <w:headerReference w:type="even" r:id="rId50"/>
          <w:headerReference w:type="default" r:id="rId51"/>
          <w:footerReference w:type="even" r:id="rId52"/>
          <w:footerReference w:type="default" r:id="rId53"/>
          <w:headerReference w:type="first" r:id="rId54"/>
          <w:type w:val="oddPage"/>
          <w:pgSz w:w="11906" w:h="16838" w:code="9"/>
          <w:pgMar w:top="1134" w:right="1134" w:bottom="1134" w:left="1134" w:header="794" w:footer="510" w:gutter="0"/>
          <w:cols w:space="708"/>
          <w:docGrid w:linePitch="360"/>
        </w:sectPr>
      </w:pPr>
      <w:r>
        <w:t>There is also an exception to the general ‘non</w:t>
      </w:r>
      <w:r w:rsidR="00541146">
        <w:noBreakHyphen/>
      </w:r>
      <w:r>
        <w:t xml:space="preserve">discrimination’ principle for developing countries in Article 9.1 of the Agreement on Safeguards. If measures were to be applied, certain countries may be excluded from the application of the measures under this provision. This will be considered more closely if the PC finds in the final report that safeguard measures are warranted. Even if some developing countries are excluded from the </w:t>
      </w:r>
      <w:r w:rsidRPr="003B79F7">
        <w:rPr>
          <w:i/>
        </w:rPr>
        <w:t>application</w:t>
      </w:r>
      <w:r>
        <w:t xml:space="preserve"> of measures, this does not mean they must be excluded from the investigation (for example, they do not need to be excluded when calculating levels of imports of the product under investigation). </w:t>
      </w:r>
    </w:p>
    <w:p w14:paraId="76F182DA" w14:textId="7D909AB0" w:rsidR="004C31F5" w:rsidRPr="00A91551" w:rsidRDefault="004C31F5" w:rsidP="00AD0A89">
      <w:pPr>
        <w:pStyle w:val="BodyText"/>
        <w:spacing w:before="100" w:after="100" w:line="270" w:lineRule="atLeast"/>
      </w:pPr>
    </w:p>
    <w:p w14:paraId="3FF01637" w14:textId="557C86F9" w:rsidR="00367A3F" w:rsidRDefault="00F9487B" w:rsidP="005B5676">
      <w:pPr>
        <w:pStyle w:val="BodyText"/>
        <w:sectPr w:rsidR="00367A3F" w:rsidSect="00F9487B">
          <w:headerReference w:type="even" r:id="rId55"/>
          <w:pgSz w:w="11906" w:h="16838" w:code="9"/>
          <w:pgMar w:top="1134" w:right="1134" w:bottom="1134" w:left="1134" w:header="794" w:footer="510" w:gutter="0"/>
          <w:cols w:space="708"/>
          <w:docGrid w:linePitch="360"/>
        </w:sectPr>
      </w:pPr>
      <w:r>
        <w:t xml:space="preserve"> </w:t>
      </w:r>
    </w:p>
    <w:p w14:paraId="0079CDAF" w14:textId="77777777" w:rsidR="00401855" w:rsidRDefault="00401855" w:rsidP="00011592">
      <w:pPr>
        <w:pStyle w:val="Heading1"/>
      </w:pPr>
      <w:bookmarkStart w:id="16" w:name="_Toc238643906"/>
      <w:r>
        <w:lastRenderedPageBreak/>
        <w:t>Imports</w:t>
      </w:r>
      <w:bookmarkEnd w:id="16"/>
    </w:p>
    <w:tbl>
      <w:tblPr>
        <w:tblStyle w:val="Texttable-Paleblue"/>
        <w:tblW w:w="5000" w:type="pct"/>
        <w:shd w:val="clear" w:color="auto" w:fill="E7F6FD"/>
        <w:tblLook w:val="04A0" w:firstRow="1" w:lastRow="0" w:firstColumn="1" w:lastColumn="0" w:noHBand="0" w:noVBand="1"/>
      </w:tblPr>
      <w:tblGrid>
        <w:gridCol w:w="577"/>
        <w:gridCol w:w="9061"/>
      </w:tblGrid>
      <w:tr w:rsidR="00401855" w:rsidRPr="002F759A" w14:paraId="7D2B201A" w14:textId="77777777">
        <w:tc>
          <w:tcPr>
            <w:tcW w:w="9638" w:type="dxa"/>
            <w:gridSpan w:val="2"/>
            <w:shd w:val="clear" w:color="auto" w:fill="E7F6FD"/>
            <w:tcMar>
              <w:left w:w="170" w:type="dxa"/>
            </w:tcMar>
          </w:tcPr>
          <w:p w14:paraId="5BD45E1B" w14:textId="77777777" w:rsidR="00401855" w:rsidRPr="002F759A" w:rsidRDefault="00401855">
            <w:pPr>
              <w:pStyle w:val="Keypoints-heading"/>
            </w:pPr>
            <w:r w:rsidRPr="002F759A">
              <w:t>Key points</w:t>
            </w:r>
          </w:p>
        </w:tc>
      </w:tr>
      <w:tr w:rsidR="00401855" w14:paraId="050F005D" w14:textId="77777777">
        <w:tc>
          <w:tcPr>
            <w:tcW w:w="577" w:type="dxa"/>
            <w:shd w:val="clear" w:color="auto" w:fill="E7F6FD"/>
            <w:tcMar>
              <w:top w:w="0" w:type="dxa"/>
              <w:bottom w:w="0" w:type="dxa"/>
              <w:right w:w="113" w:type="dxa"/>
            </w:tcMar>
          </w:tcPr>
          <w:p w14:paraId="7A7B7922" w14:textId="77777777" w:rsidR="00401855" w:rsidRDefault="00401855" w:rsidP="000C6B77">
            <w:pPr>
              <w:pStyle w:val="KeyPointsicon"/>
            </w:pPr>
            <w:r w:rsidRPr="00A51374">
              <w:rPr>
                <w:noProof/>
              </w:rPr>
              <w:drawing>
                <wp:inline distT="0" distB="0" distL="0" distR="0" wp14:anchorId="4976F1B9" wp14:editId="732423A4">
                  <wp:extent cx="180000" cy="180000"/>
                  <wp:effectExtent l="0" t="0" r="0" b="0"/>
                  <wp:docPr id="1766789532" name="Graphic 17667895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a:extLst>
                              <a:ext uri="{C183D7F6-B498-43B3-948B-1728B52AA6E4}">
                                <adec:decorative xmlns:adec="http://schemas.microsoft.com/office/drawing/2017/decorative" val="1"/>
                              </a:ext>
                            </a:extLst>
                          </pic:cNvPr>
                          <pic:cNvPicPr/>
                        </pic:nvPicPr>
                        <pic:blipFill>
                          <a:blip r:embed="rId39">
                            <a:extLst>
                              <a:ext uri="{96DAC541-7B7A-43D3-8B79-37D633B846F1}">
                                <asvg:svgBlip xmlns:asvg="http://schemas.microsoft.com/office/drawing/2016/SVG/main" r:embed="rId40"/>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6DE2F892" w14:textId="77777777" w:rsidR="00401855" w:rsidRDefault="00401855" w:rsidP="00011592">
            <w:pPr>
              <w:pStyle w:val="KeyPoints-Bold"/>
            </w:pPr>
            <w:r>
              <w:t xml:space="preserve">Imports of fabricated structural steel (FSS) have increased during the investigation </w:t>
            </w:r>
            <w:proofErr w:type="gramStart"/>
            <w:r>
              <w:t>period</w:t>
            </w:r>
            <w:proofErr w:type="gramEnd"/>
            <w:r>
              <w:t xml:space="preserve"> but the increase does not meet the high legal standard for safeguard measures.</w:t>
            </w:r>
          </w:p>
          <w:p w14:paraId="3766F68B" w14:textId="5821497F" w:rsidR="00401855" w:rsidRDefault="00401855" w:rsidP="00011592">
            <w:pPr>
              <w:pStyle w:val="KeyPoints-Bullet"/>
            </w:pPr>
            <w:r>
              <w:t>Growth in imports was relatively consistent and in line with longer</w:t>
            </w:r>
            <w:r w:rsidR="00541146">
              <w:noBreakHyphen/>
            </w:r>
            <w:r>
              <w:t xml:space="preserve">term trends when considering the investigation </w:t>
            </w:r>
            <w:proofErr w:type="gramStart"/>
            <w:r>
              <w:t>period as a whole</w:t>
            </w:r>
            <w:proofErr w:type="gramEnd"/>
            <w:r>
              <w:t>.</w:t>
            </w:r>
          </w:p>
          <w:p w14:paraId="040D15EE" w14:textId="77777777" w:rsidR="00401855" w:rsidRPr="001E4DD7" w:rsidRDefault="00401855" w:rsidP="00011592">
            <w:pPr>
              <w:pStyle w:val="KeyPoints-Bullet"/>
            </w:pPr>
            <w:r>
              <w:t>Within the investigation period, there was a sudden and sharp increase in imports in 2021–22. However, this event was not recent, and imports subsequently fell and then returned</w:t>
            </w:r>
            <w:r w:rsidDel="000F72A8">
              <w:t xml:space="preserve"> </w:t>
            </w:r>
            <w:r>
              <w:t>to trend</w:t>
            </w:r>
            <w:r w:rsidRPr="001E4DD7">
              <w:t>.</w:t>
            </w:r>
            <w:r>
              <w:t xml:space="preserve"> </w:t>
            </w:r>
          </w:p>
        </w:tc>
      </w:tr>
      <w:tr w:rsidR="00401855" w14:paraId="1E14FCB9" w14:textId="77777777">
        <w:tc>
          <w:tcPr>
            <w:tcW w:w="577" w:type="dxa"/>
            <w:shd w:val="clear" w:color="auto" w:fill="E7F6FD"/>
            <w:tcMar>
              <w:top w:w="0" w:type="dxa"/>
              <w:bottom w:w="0" w:type="dxa"/>
              <w:right w:w="113" w:type="dxa"/>
            </w:tcMar>
          </w:tcPr>
          <w:p w14:paraId="2B8DAC67" w14:textId="77777777" w:rsidR="00401855" w:rsidRPr="00A51374" w:rsidRDefault="00401855" w:rsidP="000C6B77">
            <w:pPr>
              <w:pStyle w:val="KeyPointsicon"/>
            </w:pPr>
            <w:r w:rsidRPr="00F31E73">
              <w:rPr>
                <w:noProof/>
              </w:rPr>
              <w:drawing>
                <wp:inline distT="0" distB="0" distL="0" distR="0" wp14:anchorId="4C7837D3" wp14:editId="3B026D33">
                  <wp:extent cx="180000" cy="180000"/>
                  <wp:effectExtent l="0" t="0" r="0" b="0"/>
                  <wp:docPr id="285312276" name="Graphic 2853122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39">
                            <a:extLst>
                              <a:ext uri="{96DAC541-7B7A-43D3-8B79-37D633B846F1}">
                                <asvg:svgBlip xmlns:asvg="http://schemas.microsoft.com/office/drawing/2016/SVG/main" r:embed="rId40"/>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751BC33B" w14:textId="77777777" w:rsidR="00401855" w:rsidRDefault="00401855" w:rsidP="00610627">
            <w:pPr>
              <w:pStyle w:val="KeyPoints-Bold"/>
            </w:pPr>
            <w:r>
              <w:t>Inquiry participants have identified developments which may have</w:t>
            </w:r>
            <w:r w:rsidDel="00E176DD">
              <w:t xml:space="preserve"> </w:t>
            </w:r>
            <w:r>
              <w:t xml:space="preserve">affected imports of the products under investigation. </w:t>
            </w:r>
          </w:p>
          <w:p w14:paraId="451DAA24" w14:textId="766D38CF" w:rsidR="00401855" w:rsidRPr="00610627" w:rsidRDefault="00401855" w:rsidP="00011592">
            <w:pPr>
              <w:pStyle w:val="KeyPoints-Bullet"/>
            </w:pPr>
            <w:r w:rsidRPr="001E4DD7">
              <w:t>These developments include global steel overcapacity</w:t>
            </w:r>
            <w:r>
              <w:t>,</w:t>
            </w:r>
            <w:r w:rsidRPr="001E4DD7" w:rsidDel="00367F6F">
              <w:t xml:space="preserve"> </w:t>
            </w:r>
            <w:r w:rsidRPr="001E4DD7">
              <w:t xml:space="preserve">trade measures </w:t>
            </w:r>
            <w:r>
              <w:t>imposed on steel, improvements in the quality of imported FSS products, disruptions in upstream domestic steel production and trends in FSS end</w:t>
            </w:r>
            <w:r w:rsidR="00541146">
              <w:noBreakHyphen/>
            </w:r>
            <w:r>
              <w:t>user industry demand</w:t>
            </w:r>
            <w:r w:rsidDel="00B03553">
              <w:t>.</w:t>
            </w:r>
          </w:p>
        </w:tc>
      </w:tr>
    </w:tbl>
    <w:p w14:paraId="26301049" w14:textId="396BB30B" w:rsidR="00401855" w:rsidRDefault="00401855">
      <w:pPr>
        <w:pStyle w:val="NoSpacing"/>
      </w:pPr>
    </w:p>
    <w:p w14:paraId="1CED9A83" w14:textId="2937F0A1" w:rsidR="00401855" w:rsidRDefault="00401855" w:rsidP="00011592">
      <w:pPr>
        <w:pStyle w:val="BodyText"/>
        <w:rPr>
          <w:spacing w:val="-2"/>
        </w:rPr>
      </w:pPr>
      <w:r>
        <w:rPr>
          <w:spacing w:val="-2"/>
        </w:rPr>
        <w:t>S</w:t>
      </w:r>
      <w:r w:rsidRPr="000B0B2E">
        <w:rPr>
          <w:spacing w:val="-2"/>
        </w:rPr>
        <w:t xml:space="preserve">afeguard measures </w:t>
      </w:r>
      <w:r>
        <w:rPr>
          <w:spacing w:val="-2"/>
        </w:rPr>
        <w:t>can</w:t>
      </w:r>
      <w:r w:rsidRPr="000B0B2E">
        <w:rPr>
          <w:spacing w:val="-2"/>
        </w:rPr>
        <w:t xml:space="preserve"> only be </w:t>
      </w:r>
      <w:r>
        <w:rPr>
          <w:spacing w:val="-2"/>
        </w:rPr>
        <w:t>applied</w:t>
      </w:r>
      <w:r w:rsidRPr="000B0B2E">
        <w:rPr>
          <w:spacing w:val="-2"/>
        </w:rPr>
        <w:t xml:space="preserve"> </w:t>
      </w:r>
      <w:r>
        <w:rPr>
          <w:spacing w:val="-2"/>
        </w:rPr>
        <w:t>if</w:t>
      </w:r>
      <w:r w:rsidRPr="000B0B2E">
        <w:rPr>
          <w:spacing w:val="-2"/>
        </w:rPr>
        <w:t xml:space="preserve"> a product is being imported </w:t>
      </w:r>
      <w:r>
        <w:rPr>
          <w:spacing w:val="-2"/>
        </w:rPr>
        <w:t>‘</w:t>
      </w:r>
      <w:r w:rsidRPr="000B0B2E">
        <w:rPr>
          <w:spacing w:val="-2"/>
        </w:rPr>
        <w:t>in such increased quantities, absolute or relative to domestic production, and under such conditions as to cause or threaten to cause serious injury to the domestic industry</w:t>
      </w:r>
      <w:r>
        <w:rPr>
          <w:spacing w:val="-2"/>
        </w:rPr>
        <w:t>’</w:t>
      </w:r>
      <w:r w:rsidRPr="000B0B2E">
        <w:rPr>
          <w:spacing w:val="-2"/>
        </w:rPr>
        <w:t xml:space="preserve"> (</w:t>
      </w:r>
      <w:r>
        <w:rPr>
          <w:spacing w:val="-2"/>
        </w:rPr>
        <w:t>Agreement on Safeguards (SA) Article 2.1</w:t>
      </w:r>
      <w:r w:rsidRPr="000B0B2E">
        <w:rPr>
          <w:spacing w:val="-2"/>
        </w:rPr>
        <w:t>).</w:t>
      </w:r>
      <w:r>
        <w:rPr>
          <w:spacing w:val="-2"/>
        </w:rPr>
        <w:t xml:space="preserve"> WTO jurisprudence has interpreted the Agreement on Safeguards as requiring that the increase in imports is recent, sudden, sharp and significant (</w:t>
      </w:r>
      <w:r>
        <w:rPr>
          <w:i/>
          <w:iCs/>
          <w:spacing w:val="-2"/>
        </w:rPr>
        <w:t>Argentina – Footwear (EC)</w:t>
      </w:r>
      <w:r w:rsidRPr="00BA145F">
        <w:rPr>
          <w:spacing w:val="-2"/>
        </w:rPr>
        <w:t>, para. 131</w:t>
      </w:r>
      <w:r>
        <w:rPr>
          <w:spacing w:val="-2"/>
        </w:rPr>
        <w:t>).</w:t>
      </w:r>
      <w:r>
        <w:rPr>
          <w:i/>
          <w:iCs/>
          <w:spacing w:val="-2"/>
        </w:rPr>
        <w:t xml:space="preserve"> </w:t>
      </w:r>
      <w:r>
        <w:rPr>
          <w:spacing w:val="-2"/>
        </w:rPr>
        <w:t xml:space="preserve">In </w:t>
      </w:r>
      <w:r>
        <w:t>addition, the</w:t>
      </w:r>
      <w:r w:rsidDel="00D97E64">
        <w:t xml:space="preserve"> </w:t>
      </w:r>
      <w:r w:rsidRPr="005C33B0">
        <w:t>increase in imports</w:t>
      </w:r>
      <w:r>
        <w:t xml:space="preserve"> </w:t>
      </w:r>
      <w:r w:rsidRPr="003812D3">
        <w:t xml:space="preserve">must be </w:t>
      </w:r>
      <w:r>
        <w:t xml:space="preserve">the </w:t>
      </w:r>
      <w:r w:rsidRPr="003812D3">
        <w:t xml:space="preserve">result of ‘unforeseen </w:t>
      </w:r>
      <w:proofErr w:type="gramStart"/>
      <w:r w:rsidRPr="003812D3">
        <w:t>developments</w:t>
      </w:r>
      <w:r>
        <w:t>’</w:t>
      </w:r>
      <w:proofErr w:type="gramEnd"/>
      <w:r w:rsidRPr="003812D3">
        <w:t xml:space="preserve"> and the effect of the obligations Australia incurred </w:t>
      </w:r>
      <w:r>
        <w:t>under the General Agreement on Tariffs and Trade (</w:t>
      </w:r>
      <w:r w:rsidRPr="003812D3">
        <w:t>GATT</w:t>
      </w:r>
      <w:r>
        <w:t xml:space="preserve">, </w:t>
      </w:r>
      <w:r w:rsidRPr="003812D3">
        <w:t>Article XIX, par</w:t>
      </w:r>
      <w:r>
        <w:t>a.</w:t>
      </w:r>
      <w:r w:rsidRPr="003812D3">
        <w:t xml:space="preserve"> 1(a)).</w:t>
      </w:r>
      <w:r>
        <w:t xml:space="preserve"> ‘Unforeseen’ means unforeseen when the relevant GATT obligations were introduced in 1994 </w:t>
      </w:r>
      <w:r w:rsidRPr="00B81C18">
        <w:rPr>
          <w:rFonts w:cs="Open Sans"/>
        </w:rPr>
        <w:t>(Zhou and Fang 2023, pp. 544, 551)</w:t>
      </w:r>
      <w:r>
        <w:t>.</w:t>
      </w:r>
    </w:p>
    <w:p w14:paraId="624D4CD5" w14:textId="529AF775" w:rsidR="00401855" w:rsidRDefault="008F1138" w:rsidP="00011592">
      <w:pPr>
        <w:pStyle w:val="Heading2"/>
      </w:pPr>
      <w:bookmarkStart w:id="17" w:name="_Toc238643907"/>
      <w:r>
        <w:t>How have imports changed</w:t>
      </w:r>
      <w:r w:rsidR="00401855">
        <w:t>?</w:t>
      </w:r>
      <w:bookmarkEnd w:id="17"/>
    </w:p>
    <w:p w14:paraId="4A897EE4" w14:textId="77777777" w:rsidR="00401855" w:rsidRDefault="00401855" w:rsidP="00011592">
      <w:pPr>
        <w:pStyle w:val="BodyText"/>
      </w:pPr>
      <w:r>
        <w:t xml:space="preserve">Regarding </w:t>
      </w:r>
      <w:r w:rsidRPr="00800531">
        <w:t>absolute</w:t>
      </w:r>
      <w:r>
        <w:t xml:space="preserve"> imports, the ASI’s application states that:</w:t>
      </w:r>
    </w:p>
    <w:p w14:paraId="17D5BFCE" w14:textId="6FC2DBEC" w:rsidR="00401855" w:rsidRPr="007F0DC0" w:rsidRDefault="00401855" w:rsidP="00011592">
      <w:pPr>
        <w:pStyle w:val="Quote"/>
        <w:rPr>
          <w:spacing w:val="-4"/>
        </w:rPr>
      </w:pPr>
      <w:r w:rsidRPr="007F0DC0">
        <w:rPr>
          <w:spacing w:val="-4"/>
        </w:rPr>
        <w:t>Since CY2022, there has been a clear and sustained surge in import volumes across the consolidated category of key FSS products. Total imports have expanded markedly year</w:t>
      </w:r>
      <w:r w:rsidR="00541146" w:rsidRPr="007F0DC0">
        <w:rPr>
          <w:spacing w:val="-4"/>
        </w:rPr>
        <w:noBreakHyphen/>
      </w:r>
      <w:r w:rsidRPr="007F0DC0">
        <w:rPr>
          <w:spacing w:val="-4"/>
        </w:rPr>
        <w:t>on</w:t>
      </w:r>
      <w:r w:rsidR="00541146" w:rsidRPr="007F0DC0">
        <w:rPr>
          <w:spacing w:val="-4"/>
        </w:rPr>
        <w:noBreakHyphen/>
      </w:r>
      <w:r w:rsidRPr="007F0DC0">
        <w:rPr>
          <w:spacing w:val="-4"/>
        </w:rPr>
        <w:t xml:space="preserve">year, reflecting the import growth in modular and prefabricated steel solutions. </w:t>
      </w:r>
      <w:r w:rsidR="00762450" w:rsidRPr="007F0DC0">
        <w:rPr>
          <w:rFonts w:cs="Open Sans"/>
          <w:spacing w:val="-4"/>
        </w:rPr>
        <w:t>(2026, p. 19)</w:t>
      </w:r>
      <w:r w:rsidRPr="007F0DC0">
        <w:rPr>
          <w:spacing w:val="-4"/>
        </w:rPr>
        <w:t xml:space="preserve"> </w:t>
      </w:r>
    </w:p>
    <w:p w14:paraId="7E2C068B" w14:textId="77777777" w:rsidR="00401855" w:rsidRDefault="00401855" w:rsidP="00011592">
      <w:pPr>
        <w:pStyle w:val="BodyText"/>
      </w:pPr>
      <w:r>
        <w:t>The application includes similar comments regarding relative imports:</w:t>
      </w:r>
    </w:p>
    <w:p w14:paraId="7A03F1FC" w14:textId="2DB8B6B4" w:rsidR="00401855" w:rsidRDefault="00401855" w:rsidP="00011592">
      <w:pPr>
        <w:pStyle w:val="Quote"/>
      </w:pPr>
      <w:r>
        <w:t xml:space="preserve">The period from CY2022 to CY2024 witnessed a significant surge in FSS imports into Australia that substantially exceeded domestic production output. This surge has fundamentally disrupted the competitive balance between imported and domestically produced FSS, with </w:t>
      </w:r>
      <w:r>
        <w:lastRenderedPageBreak/>
        <w:t xml:space="preserve">import volumes and pricing creating market conditions that have severely impacted the viability of local production. </w:t>
      </w:r>
      <w:r w:rsidR="00762450" w:rsidRPr="00762450">
        <w:rPr>
          <w:rFonts w:cs="Open Sans"/>
        </w:rPr>
        <w:t>(ASI 2026, p. 21)</w:t>
      </w:r>
    </w:p>
    <w:p w14:paraId="04675B8B" w14:textId="7BA161E7" w:rsidR="00401855" w:rsidRPr="00F82BD9" w:rsidRDefault="00401855" w:rsidP="00011592">
      <w:pPr>
        <w:pStyle w:val="BodyText"/>
      </w:pPr>
      <w:r>
        <w:t xml:space="preserve">For this investigation, </w:t>
      </w:r>
      <w:r w:rsidDel="00F307AA">
        <w:t>t</w:t>
      </w:r>
      <w:r>
        <w:t>he Productivity Commission has undertaken detailed analysis of in</w:t>
      </w:r>
      <w:r w:rsidR="00541146">
        <w:noBreakHyphen/>
      </w:r>
      <w:r>
        <w:t xml:space="preserve">scope FSS imports. </w:t>
      </w:r>
      <w:r>
        <w:rPr>
          <w:spacing w:val="-2"/>
        </w:rPr>
        <w:t xml:space="preserve">The analysis </w:t>
      </w:r>
      <w:r w:rsidRPr="000B0B2E">
        <w:rPr>
          <w:spacing w:val="-2"/>
        </w:rPr>
        <w:t>dr</w:t>
      </w:r>
      <w:r>
        <w:rPr>
          <w:spacing w:val="-2"/>
        </w:rPr>
        <w:t>ew</w:t>
      </w:r>
      <w:r w:rsidRPr="000B0B2E">
        <w:rPr>
          <w:spacing w:val="-2"/>
        </w:rPr>
        <w:t xml:space="preserve"> on </w:t>
      </w:r>
      <w:r>
        <w:rPr>
          <w:spacing w:val="-2"/>
        </w:rPr>
        <w:t xml:space="preserve">the ABS </w:t>
      </w:r>
      <w:r>
        <w:t>Merchandise Trade Imports module, which is based on data collected by the Australian Border Force. This dataset includes data on all import transactions</w:t>
      </w:r>
      <w:r>
        <w:rPr>
          <w:spacing w:val="-2"/>
        </w:rPr>
        <w:t>. To calculate relative imports, domestic production has been estimated using ABS firm</w:t>
      </w:r>
      <w:r w:rsidR="00541146">
        <w:rPr>
          <w:spacing w:val="-2"/>
        </w:rPr>
        <w:noBreakHyphen/>
      </w:r>
      <w:r>
        <w:rPr>
          <w:spacing w:val="-2"/>
        </w:rPr>
        <w:t>level microdata and information from members of the steel industry</w:t>
      </w:r>
      <w:r w:rsidRPr="000B0B2E">
        <w:rPr>
          <w:spacing w:val="-2"/>
        </w:rPr>
        <w:t xml:space="preserve">. </w:t>
      </w:r>
      <w:r>
        <w:rPr>
          <w:spacing w:val="-2"/>
        </w:rPr>
        <w:t>We also reviewed submissions from inquiry participants.</w:t>
      </w:r>
      <w:r w:rsidDel="001A7BF7">
        <w:rPr>
          <w:spacing w:val="-2"/>
        </w:rPr>
        <w:t xml:space="preserve"> </w:t>
      </w:r>
      <w:r w:rsidR="00051173">
        <w:t>Appendix B details how the PC estimated domestic production.</w:t>
      </w:r>
    </w:p>
    <w:p w14:paraId="0C2F94E1" w14:textId="77777777" w:rsidR="00401855" w:rsidRDefault="00401855" w:rsidP="00011592">
      <w:pPr>
        <w:pStyle w:val="Heading3"/>
      </w:pPr>
      <w:r w:rsidRPr="00A70AEF">
        <w:t>Absolute imports</w:t>
      </w:r>
    </w:p>
    <w:p w14:paraId="186F23C1" w14:textId="28676123" w:rsidR="00401855" w:rsidRPr="007F0DC0" w:rsidRDefault="00401855" w:rsidP="00011592">
      <w:pPr>
        <w:pStyle w:val="BodyText"/>
        <w:rPr>
          <w:spacing w:val="-4"/>
        </w:rPr>
      </w:pPr>
      <w:r w:rsidRPr="007F0DC0">
        <w:rPr>
          <w:spacing w:val="-4"/>
        </w:rPr>
        <w:t>Over the 5</w:t>
      </w:r>
      <w:r w:rsidR="00541146" w:rsidRPr="007F0DC0">
        <w:rPr>
          <w:spacing w:val="-4"/>
        </w:rPr>
        <w:noBreakHyphen/>
      </w:r>
      <w:r w:rsidRPr="007F0DC0">
        <w:rPr>
          <w:spacing w:val="-4"/>
        </w:rPr>
        <w:t>year investigation period from 2020–21 to 2024–25, annual imports increased by 124,600 tonnes or 2</w:t>
      </w:r>
      <w:r w:rsidR="002975DE" w:rsidRPr="007F0DC0">
        <w:rPr>
          <w:spacing w:val="-4"/>
        </w:rPr>
        <w:t>7.</w:t>
      </w:r>
      <w:r w:rsidR="003C0D7A" w:rsidRPr="007F0DC0">
        <w:rPr>
          <w:spacing w:val="-4"/>
        </w:rPr>
        <w:t>9</w:t>
      </w:r>
      <w:r w:rsidRPr="007F0DC0">
        <w:rPr>
          <w:spacing w:val="-4"/>
        </w:rPr>
        <w:t>% (table</w:t>
      </w:r>
      <w:r w:rsidR="00541146" w:rsidRPr="007F0DC0">
        <w:rPr>
          <w:spacing w:val="-4"/>
        </w:rPr>
        <w:t> </w:t>
      </w:r>
      <w:r w:rsidRPr="007F0DC0">
        <w:rPr>
          <w:spacing w:val="-4"/>
        </w:rPr>
        <w:t>3.1). This is an average annual increase of just over 6</w:t>
      </w:r>
      <w:r w:rsidR="00D91A75" w:rsidRPr="007F0DC0">
        <w:rPr>
          <w:spacing w:val="-4"/>
        </w:rPr>
        <w:t>.3</w:t>
      </w:r>
      <w:r w:rsidRPr="007F0DC0">
        <w:rPr>
          <w:spacing w:val="-4"/>
        </w:rPr>
        <w:t>% and largely continues a trend that has been ongoing since at least 2016–17 (</w:t>
      </w:r>
      <w:r w:rsidR="00EF4A26">
        <w:rPr>
          <w:spacing w:val="-4"/>
        </w:rPr>
        <w:t>f</w:t>
      </w:r>
      <w:r w:rsidR="00C56C9B" w:rsidRPr="00C56C9B">
        <w:rPr>
          <w:spacing w:val="-4"/>
        </w:rPr>
        <w:t>igure 3.1</w:t>
      </w:r>
      <w:r w:rsidRPr="007F0DC0">
        <w:rPr>
          <w:spacing w:val="-4"/>
        </w:rPr>
        <w:t>). During the investigation period, the largest annual increase occurred in 2021–22 when imports increased by 85,900 tonnes, or 19.</w:t>
      </w:r>
      <w:r w:rsidR="004D4050" w:rsidRPr="007F0DC0">
        <w:rPr>
          <w:spacing w:val="-4"/>
        </w:rPr>
        <w:t>2</w:t>
      </w:r>
      <w:r w:rsidRPr="007F0DC0">
        <w:rPr>
          <w:spacing w:val="-4"/>
        </w:rPr>
        <w:t>%. This was followed by a 4.1% decline in imports in 2022–23, then increases of 4.8% and 6.8% for 2023–24 and 2024–25.</w:t>
      </w:r>
    </w:p>
    <w:p w14:paraId="7ABB5670" w14:textId="07AA0612" w:rsidR="00401855" w:rsidRDefault="00401855" w:rsidP="00011592">
      <w:pPr>
        <w:pStyle w:val="BodyText"/>
      </w:pPr>
      <w:r>
        <w:t>The PC considers the</w:t>
      </w:r>
      <w:r w:rsidRPr="002E3D6A">
        <w:t xml:space="preserve"> </w:t>
      </w:r>
      <w:r>
        <w:t>average annual growth of 6</w:t>
      </w:r>
      <w:r w:rsidR="00CB0E5D">
        <w:t>.3</w:t>
      </w:r>
      <w:r>
        <w:t>%</w:t>
      </w:r>
      <w:r w:rsidRPr="002E3D6A">
        <w:t xml:space="preserve"> </w:t>
      </w:r>
      <w:r>
        <w:t>during the investigation period</w:t>
      </w:r>
      <w:r w:rsidRPr="002E3D6A">
        <w:t xml:space="preserve"> </w:t>
      </w:r>
      <w:r>
        <w:t>to be</w:t>
      </w:r>
      <w:r w:rsidRPr="002E3D6A">
        <w:t xml:space="preserve"> recent and significant in size,</w:t>
      </w:r>
      <w:r>
        <w:t xml:space="preserve"> though neither</w:t>
      </w:r>
      <w:r w:rsidRPr="002E3D6A">
        <w:t xml:space="preserve"> sudden </w:t>
      </w:r>
      <w:r>
        <w:t>n</w:t>
      </w:r>
      <w:r w:rsidRPr="002E3D6A">
        <w:t>or sharp</w:t>
      </w:r>
      <w:r>
        <w:t>. From 2016–17 to 2019–20 imports grew at an annualised average rate of 15</w:t>
      </w:r>
      <w:r w:rsidR="00920EE0">
        <w:t>.2</w:t>
      </w:r>
      <w:r>
        <w:t>%. Further, while the increase in 2021–22 was sudden and sharp, because i</w:t>
      </w:r>
      <w:r w:rsidRPr="00576D5A">
        <w:t>mports decreased the following year</w:t>
      </w:r>
      <w:r>
        <w:t xml:space="preserve"> (thereby</w:t>
      </w:r>
      <w:r w:rsidRPr="00576D5A">
        <w:t xml:space="preserve"> returning to the longer</w:t>
      </w:r>
      <w:r w:rsidR="00541146">
        <w:noBreakHyphen/>
      </w:r>
      <w:r w:rsidRPr="00576D5A">
        <w:t>term trend</w:t>
      </w:r>
      <w:r>
        <w:t>), the increase was not</w:t>
      </w:r>
      <w:r w:rsidDel="00DA172F">
        <w:t xml:space="preserve"> </w:t>
      </w:r>
      <w:r w:rsidRPr="00BF0C69">
        <w:t>significant</w:t>
      </w:r>
      <w:r w:rsidRPr="00576D5A">
        <w:t>.</w:t>
      </w:r>
      <w:r>
        <w:t xml:space="preserve"> In addition, 2021–22 was 4 years ago at the time of this investigation and, therefore, may not be considered </w:t>
      </w:r>
      <w:r w:rsidRPr="00576D5A">
        <w:t xml:space="preserve">recent. </w:t>
      </w:r>
    </w:p>
    <w:p w14:paraId="7FEFF0C8" w14:textId="330EC19A" w:rsidR="00401855" w:rsidRDefault="00401855" w:rsidP="00011592">
      <w:pPr>
        <w:pStyle w:val="BodyText"/>
      </w:pPr>
      <w:r>
        <w:t>The growth in imports before and during the investigation period is also evident in quarterly data (figure</w:t>
      </w:r>
      <w:r w:rsidR="00541146">
        <w:t> </w:t>
      </w:r>
      <w:r>
        <w:t>3.2). Preliminary data for the first three quarters of 2025–26 suggests imports have continued to grow after the investigation period. This is discussed further in chapter</w:t>
      </w:r>
      <w:r w:rsidR="00541146">
        <w:t> </w:t>
      </w:r>
      <w:r>
        <w:t>4 in the context of whether there is threat of serious injury.</w:t>
      </w:r>
    </w:p>
    <w:p w14:paraId="32F530A7" w14:textId="294C737A" w:rsidR="00401855" w:rsidRDefault="00401855" w:rsidP="00011592">
      <w:pPr>
        <w:pStyle w:val="Caption"/>
      </w:pPr>
      <w:bookmarkStart w:id="18" w:name="_Ref238047878"/>
      <w:r>
        <w:t>Table 3.1</w:t>
      </w:r>
      <w:bookmarkEnd w:id="18"/>
      <w:r>
        <w:t xml:space="preserve"> – Absolute imports</w:t>
      </w:r>
    </w:p>
    <w:p w14:paraId="03584439" w14:textId="13E6C6C1" w:rsidR="00401855" w:rsidRDefault="00401855" w:rsidP="00011592">
      <w:pPr>
        <w:pStyle w:val="FigureTableSubheading"/>
      </w:pPr>
      <w:r>
        <w:t>Annual imports of in</w:t>
      </w:r>
      <w:r w:rsidR="00541146">
        <w:noBreakHyphen/>
      </w:r>
      <w:r>
        <w:t>scope FSS over the investigation period</w:t>
      </w:r>
    </w:p>
    <w:tbl>
      <w:tblPr>
        <w:tblW w:w="5000" w:type="pct"/>
        <w:tblBorders>
          <w:bottom w:val="single" w:sz="4" w:space="0" w:color="B3B3B3"/>
        </w:tblBorders>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1094"/>
        <w:gridCol w:w="1974"/>
        <w:gridCol w:w="2743"/>
        <w:gridCol w:w="2410"/>
        <w:gridCol w:w="1417"/>
      </w:tblGrid>
      <w:tr w:rsidR="00401855" w:rsidRPr="0013175B" w14:paraId="5667BBD0" w14:textId="77777777" w:rsidTr="00011592">
        <w:trPr>
          <w:tblHeader/>
        </w:trPr>
        <w:tc>
          <w:tcPr>
            <w:tcW w:w="568" w:type="pct"/>
            <w:tcBorders>
              <w:bottom w:val="single" w:sz="4" w:space="0" w:color="B3B3B3"/>
            </w:tcBorders>
            <w:vAlign w:val="bottom"/>
          </w:tcPr>
          <w:p w14:paraId="6C3DF21B" w14:textId="77777777" w:rsidR="00401855" w:rsidRPr="0013175B" w:rsidRDefault="00401855" w:rsidP="00011592">
            <w:pPr>
              <w:pStyle w:val="BodyText"/>
              <w:spacing w:before="45" w:after="45"/>
              <w:ind w:left="57" w:right="108"/>
              <w:rPr>
                <w:rFonts w:cs="Open Sans"/>
                <w:b/>
                <w:color w:val="1D4374"/>
                <w:sz w:val="18"/>
                <w:szCs w:val="18"/>
              </w:rPr>
            </w:pPr>
          </w:p>
        </w:tc>
        <w:tc>
          <w:tcPr>
            <w:tcW w:w="1024" w:type="pct"/>
            <w:tcBorders>
              <w:bottom w:val="single" w:sz="4" w:space="0" w:color="B3B3B3"/>
            </w:tcBorders>
            <w:vAlign w:val="bottom"/>
          </w:tcPr>
          <w:p w14:paraId="1F7DE6E1" w14:textId="132FF554" w:rsidR="00401855" w:rsidRPr="0013175B" w:rsidRDefault="00401855" w:rsidP="007F0DC0">
            <w:pPr>
              <w:pStyle w:val="BodyText"/>
              <w:spacing w:before="45" w:after="45"/>
              <w:ind w:left="57" w:right="108"/>
              <w:jc w:val="right"/>
              <w:rPr>
                <w:rFonts w:cs="Open Sans"/>
                <w:b/>
                <w:color w:val="1D4374"/>
                <w:sz w:val="18"/>
                <w:szCs w:val="18"/>
              </w:rPr>
            </w:pPr>
            <w:r w:rsidRPr="0013175B">
              <w:rPr>
                <w:rFonts w:cs="Open Sans"/>
                <w:b/>
                <w:color w:val="1D4374"/>
                <w:sz w:val="18"/>
                <w:szCs w:val="18"/>
              </w:rPr>
              <w:t>Imports (tonnes)</w:t>
            </w:r>
          </w:p>
        </w:tc>
        <w:tc>
          <w:tcPr>
            <w:tcW w:w="1423" w:type="pct"/>
            <w:tcBorders>
              <w:bottom w:val="single" w:sz="4" w:space="0" w:color="B3B3B3"/>
            </w:tcBorders>
          </w:tcPr>
          <w:p w14:paraId="3C0EFCF6" w14:textId="77777777" w:rsidR="00401855" w:rsidRPr="0013175B" w:rsidRDefault="00401855" w:rsidP="007F0DC0">
            <w:pPr>
              <w:pStyle w:val="BodyText"/>
              <w:spacing w:before="45" w:after="45"/>
              <w:ind w:left="57" w:right="108"/>
              <w:jc w:val="right"/>
              <w:rPr>
                <w:rFonts w:cs="Open Sans"/>
                <w:b/>
                <w:color w:val="1D4374"/>
                <w:sz w:val="18"/>
                <w:szCs w:val="18"/>
              </w:rPr>
            </w:pPr>
            <w:r w:rsidRPr="0013175B">
              <w:rPr>
                <w:rFonts w:cs="Open Sans"/>
                <w:b/>
                <w:color w:val="1D4374"/>
                <w:sz w:val="18"/>
                <w:szCs w:val="18"/>
              </w:rPr>
              <w:t>Absolute change relative to previous year (tonnes)</w:t>
            </w:r>
          </w:p>
        </w:tc>
        <w:tc>
          <w:tcPr>
            <w:tcW w:w="1250" w:type="pct"/>
            <w:tcBorders>
              <w:bottom w:val="single" w:sz="4" w:space="0" w:color="B3B3B3"/>
            </w:tcBorders>
            <w:vAlign w:val="bottom"/>
          </w:tcPr>
          <w:p w14:paraId="260B3E30" w14:textId="77777777" w:rsidR="00401855" w:rsidRPr="0013175B" w:rsidRDefault="00401855" w:rsidP="007F0DC0">
            <w:pPr>
              <w:pStyle w:val="BodyText"/>
              <w:spacing w:before="45" w:after="45"/>
              <w:ind w:left="57" w:right="108"/>
              <w:jc w:val="right"/>
              <w:rPr>
                <w:rFonts w:cs="Open Sans"/>
                <w:b/>
                <w:color w:val="1D4374"/>
                <w:sz w:val="18"/>
                <w:szCs w:val="18"/>
              </w:rPr>
            </w:pPr>
            <w:r w:rsidRPr="0013175B">
              <w:rPr>
                <w:rFonts w:cs="Open Sans"/>
                <w:b/>
                <w:color w:val="1D4374"/>
                <w:sz w:val="18"/>
                <w:szCs w:val="18"/>
              </w:rPr>
              <w:t>Percentage change relative to previous year</w:t>
            </w:r>
          </w:p>
        </w:tc>
        <w:tc>
          <w:tcPr>
            <w:tcW w:w="735" w:type="pct"/>
            <w:tcBorders>
              <w:bottom w:val="single" w:sz="4" w:space="0" w:color="B3B3B3"/>
            </w:tcBorders>
            <w:vAlign w:val="bottom"/>
          </w:tcPr>
          <w:p w14:paraId="185D8298" w14:textId="77777777" w:rsidR="00401855" w:rsidRPr="0013175B" w:rsidRDefault="00401855" w:rsidP="007F0DC0">
            <w:pPr>
              <w:pStyle w:val="BodyText"/>
              <w:spacing w:before="45" w:after="45"/>
              <w:ind w:left="57" w:right="108"/>
              <w:jc w:val="right"/>
              <w:rPr>
                <w:rFonts w:cs="Open Sans"/>
                <w:b/>
                <w:color w:val="1D4374"/>
                <w:sz w:val="18"/>
                <w:szCs w:val="18"/>
              </w:rPr>
            </w:pPr>
            <w:r w:rsidRPr="0013175B">
              <w:rPr>
                <w:rFonts w:cs="Open Sans"/>
                <w:b/>
                <w:color w:val="1D4374"/>
                <w:sz w:val="18"/>
                <w:szCs w:val="18"/>
              </w:rPr>
              <w:t>Index</w:t>
            </w:r>
          </w:p>
        </w:tc>
      </w:tr>
      <w:tr w:rsidR="006950B5" w:rsidRPr="0013175B" w14:paraId="32380658" w14:textId="77777777" w:rsidTr="00011592">
        <w:tc>
          <w:tcPr>
            <w:tcW w:w="568" w:type="pct"/>
            <w:tcBorders>
              <w:top w:val="single" w:sz="4" w:space="0" w:color="B3B3B3"/>
              <w:bottom w:val="nil"/>
            </w:tcBorders>
            <w:shd w:val="clear" w:color="auto" w:fill="E6E6E6"/>
          </w:tcPr>
          <w:p w14:paraId="649CF60C" w14:textId="77777777" w:rsidR="006950B5" w:rsidRPr="0013175B" w:rsidRDefault="006950B5" w:rsidP="006950B5">
            <w:pPr>
              <w:pStyle w:val="BodyText"/>
              <w:spacing w:before="45" w:after="45"/>
              <w:ind w:left="57" w:right="108"/>
              <w:rPr>
                <w:rFonts w:cs="Open Sans"/>
                <w:b/>
                <w:color w:val="1D4374"/>
                <w:sz w:val="18"/>
                <w:szCs w:val="18"/>
              </w:rPr>
            </w:pPr>
            <w:r w:rsidRPr="0013175B">
              <w:rPr>
                <w:rFonts w:cs="Open Sans"/>
                <w:b/>
                <w:color w:val="1D4374"/>
                <w:sz w:val="18"/>
                <w:szCs w:val="18"/>
              </w:rPr>
              <w:t>2020–21</w:t>
            </w:r>
          </w:p>
        </w:tc>
        <w:tc>
          <w:tcPr>
            <w:tcW w:w="1024" w:type="pct"/>
            <w:tcBorders>
              <w:top w:val="single" w:sz="4" w:space="0" w:color="B3B3B3"/>
              <w:bottom w:val="nil"/>
            </w:tcBorders>
            <w:shd w:val="clear" w:color="auto" w:fill="E6E6E6"/>
            <w:vAlign w:val="bottom"/>
          </w:tcPr>
          <w:p w14:paraId="7498223E" w14:textId="6811332B" w:rsidR="006950B5" w:rsidRPr="0013175B" w:rsidRDefault="006950B5" w:rsidP="007F0DC0">
            <w:pPr>
              <w:pStyle w:val="BodyText"/>
              <w:spacing w:before="45" w:after="45"/>
              <w:ind w:right="108"/>
              <w:jc w:val="right"/>
              <w:rPr>
                <w:rFonts w:cs="Open Sans"/>
                <w:color w:val="000000"/>
                <w:sz w:val="18"/>
                <w:szCs w:val="18"/>
              </w:rPr>
            </w:pPr>
            <w:r w:rsidRPr="0013175B">
              <w:rPr>
                <w:rFonts w:cs="Open Sans"/>
                <w:color w:val="000000"/>
                <w:sz w:val="18"/>
                <w:szCs w:val="18"/>
              </w:rPr>
              <w:t>446,600</w:t>
            </w:r>
          </w:p>
        </w:tc>
        <w:tc>
          <w:tcPr>
            <w:tcW w:w="1423" w:type="pct"/>
            <w:tcBorders>
              <w:top w:val="single" w:sz="4" w:space="0" w:color="B3B3B3"/>
              <w:bottom w:val="nil"/>
            </w:tcBorders>
            <w:shd w:val="clear" w:color="auto" w:fill="E6E6E6"/>
          </w:tcPr>
          <w:p w14:paraId="0B669658" w14:textId="77777777" w:rsidR="006950B5" w:rsidRPr="0013175B" w:rsidRDefault="006950B5" w:rsidP="007F0DC0">
            <w:pPr>
              <w:pStyle w:val="BodyText"/>
              <w:spacing w:before="45" w:after="45"/>
              <w:ind w:left="57" w:right="108"/>
              <w:jc w:val="right"/>
              <w:rPr>
                <w:rFonts w:cs="Open Sans"/>
                <w:color w:val="000000"/>
                <w:sz w:val="18"/>
                <w:szCs w:val="18"/>
              </w:rPr>
            </w:pPr>
          </w:p>
        </w:tc>
        <w:tc>
          <w:tcPr>
            <w:tcW w:w="1250" w:type="pct"/>
            <w:tcBorders>
              <w:top w:val="single" w:sz="4" w:space="0" w:color="B3B3B3"/>
              <w:bottom w:val="nil"/>
            </w:tcBorders>
            <w:shd w:val="clear" w:color="auto" w:fill="E6E6E6"/>
          </w:tcPr>
          <w:p w14:paraId="79A25E25" w14:textId="77777777" w:rsidR="006950B5" w:rsidRPr="0013175B" w:rsidRDefault="006950B5" w:rsidP="007F0DC0">
            <w:pPr>
              <w:pStyle w:val="BodyText"/>
              <w:spacing w:before="45" w:after="45"/>
              <w:ind w:left="57" w:right="108"/>
              <w:jc w:val="right"/>
              <w:rPr>
                <w:rFonts w:cs="Open Sans"/>
                <w:color w:val="000000"/>
                <w:sz w:val="18"/>
                <w:szCs w:val="18"/>
              </w:rPr>
            </w:pPr>
          </w:p>
        </w:tc>
        <w:tc>
          <w:tcPr>
            <w:tcW w:w="735" w:type="pct"/>
            <w:tcBorders>
              <w:top w:val="single" w:sz="4" w:space="0" w:color="B3B3B3"/>
              <w:bottom w:val="nil"/>
            </w:tcBorders>
            <w:shd w:val="clear" w:color="auto" w:fill="E6E6E6"/>
          </w:tcPr>
          <w:p w14:paraId="6502A9C6" w14:textId="56A6AF12" w:rsidR="006950B5" w:rsidRPr="0013175B" w:rsidRDefault="006950B5" w:rsidP="007F0DC0">
            <w:pPr>
              <w:pStyle w:val="BodyText"/>
              <w:spacing w:before="45" w:after="45"/>
              <w:ind w:left="57" w:right="108"/>
              <w:jc w:val="right"/>
              <w:rPr>
                <w:rFonts w:cs="Open Sans"/>
                <w:color w:val="000000"/>
                <w:sz w:val="18"/>
                <w:szCs w:val="18"/>
              </w:rPr>
            </w:pPr>
            <w:r w:rsidRPr="0013175B">
              <w:rPr>
                <w:rFonts w:cs="Open Sans"/>
                <w:sz w:val="18"/>
                <w:szCs w:val="18"/>
              </w:rPr>
              <w:t>100.0</w:t>
            </w:r>
          </w:p>
        </w:tc>
      </w:tr>
      <w:tr w:rsidR="006950B5" w:rsidRPr="0013175B" w14:paraId="64391E31" w14:textId="77777777" w:rsidTr="00011592">
        <w:tc>
          <w:tcPr>
            <w:tcW w:w="568" w:type="pct"/>
            <w:tcBorders>
              <w:top w:val="nil"/>
              <w:bottom w:val="nil"/>
            </w:tcBorders>
          </w:tcPr>
          <w:p w14:paraId="2A5829A6" w14:textId="77777777" w:rsidR="006950B5" w:rsidRPr="0013175B" w:rsidRDefault="006950B5" w:rsidP="006950B5">
            <w:pPr>
              <w:pStyle w:val="BodyText"/>
              <w:spacing w:before="45" w:after="45"/>
              <w:ind w:left="57" w:right="108"/>
              <w:rPr>
                <w:rFonts w:cs="Open Sans"/>
                <w:b/>
                <w:color w:val="1D4374"/>
                <w:sz w:val="18"/>
                <w:szCs w:val="18"/>
              </w:rPr>
            </w:pPr>
            <w:r w:rsidRPr="0013175B">
              <w:rPr>
                <w:rFonts w:cs="Open Sans"/>
                <w:b/>
                <w:color w:val="1D4374"/>
                <w:sz w:val="18"/>
                <w:szCs w:val="18"/>
              </w:rPr>
              <w:t>2021–22</w:t>
            </w:r>
          </w:p>
        </w:tc>
        <w:tc>
          <w:tcPr>
            <w:tcW w:w="1024" w:type="pct"/>
            <w:tcBorders>
              <w:top w:val="nil"/>
              <w:bottom w:val="nil"/>
            </w:tcBorders>
            <w:vAlign w:val="bottom"/>
          </w:tcPr>
          <w:p w14:paraId="13428A51" w14:textId="76E4ED82" w:rsidR="006950B5" w:rsidRPr="0013175B" w:rsidRDefault="006950B5" w:rsidP="007F0DC0">
            <w:pPr>
              <w:pStyle w:val="BodyText"/>
              <w:spacing w:before="45" w:after="45"/>
              <w:ind w:left="57" w:right="108"/>
              <w:jc w:val="right"/>
              <w:rPr>
                <w:rFonts w:cs="Open Sans"/>
                <w:color w:val="000000"/>
                <w:sz w:val="18"/>
                <w:szCs w:val="18"/>
              </w:rPr>
            </w:pPr>
            <w:r w:rsidRPr="0013175B">
              <w:rPr>
                <w:rFonts w:cs="Open Sans"/>
                <w:color w:val="000000"/>
                <w:sz w:val="18"/>
                <w:szCs w:val="18"/>
              </w:rPr>
              <w:t>532,600</w:t>
            </w:r>
          </w:p>
        </w:tc>
        <w:tc>
          <w:tcPr>
            <w:tcW w:w="1423" w:type="pct"/>
            <w:tcBorders>
              <w:top w:val="nil"/>
              <w:bottom w:val="nil"/>
            </w:tcBorders>
          </w:tcPr>
          <w:p w14:paraId="7AC10410" w14:textId="53972479" w:rsidR="006950B5" w:rsidRPr="0013175B" w:rsidRDefault="006950B5" w:rsidP="007F0DC0">
            <w:pPr>
              <w:pStyle w:val="BodyText"/>
              <w:spacing w:before="45" w:after="45"/>
              <w:ind w:left="57" w:right="108"/>
              <w:jc w:val="right"/>
              <w:rPr>
                <w:rFonts w:cs="Open Sans"/>
                <w:color w:val="000000"/>
                <w:sz w:val="18"/>
                <w:szCs w:val="18"/>
              </w:rPr>
            </w:pPr>
            <w:r w:rsidRPr="0013175B">
              <w:rPr>
                <w:rFonts w:cs="Open Sans"/>
                <w:color w:val="000000"/>
                <w:sz w:val="18"/>
                <w:szCs w:val="18"/>
              </w:rPr>
              <w:t>+85,900</w:t>
            </w:r>
          </w:p>
        </w:tc>
        <w:tc>
          <w:tcPr>
            <w:tcW w:w="1250" w:type="pct"/>
            <w:tcBorders>
              <w:top w:val="nil"/>
              <w:bottom w:val="nil"/>
            </w:tcBorders>
            <w:vAlign w:val="bottom"/>
          </w:tcPr>
          <w:p w14:paraId="59C5D452" w14:textId="685F151D" w:rsidR="006950B5" w:rsidRPr="0013175B" w:rsidRDefault="006950B5" w:rsidP="007F0DC0">
            <w:pPr>
              <w:pStyle w:val="BodyText"/>
              <w:spacing w:before="45" w:after="45"/>
              <w:ind w:left="57" w:right="108"/>
              <w:jc w:val="right"/>
              <w:rPr>
                <w:rFonts w:cs="Open Sans"/>
                <w:color w:val="000000"/>
                <w:sz w:val="18"/>
                <w:szCs w:val="18"/>
              </w:rPr>
            </w:pPr>
            <w:r w:rsidRPr="0013175B">
              <w:rPr>
                <w:rFonts w:cs="Open Sans"/>
                <w:color w:val="000000"/>
                <w:sz w:val="18"/>
                <w:szCs w:val="18"/>
              </w:rPr>
              <w:t>+19.2%</w:t>
            </w:r>
          </w:p>
        </w:tc>
        <w:tc>
          <w:tcPr>
            <w:tcW w:w="735" w:type="pct"/>
            <w:tcBorders>
              <w:top w:val="nil"/>
              <w:bottom w:val="nil"/>
            </w:tcBorders>
          </w:tcPr>
          <w:p w14:paraId="156F2708" w14:textId="22B9ED9A" w:rsidR="006950B5" w:rsidRPr="0013175B" w:rsidRDefault="006950B5" w:rsidP="007F0DC0">
            <w:pPr>
              <w:pStyle w:val="BodyText"/>
              <w:spacing w:before="45" w:after="45"/>
              <w:ind w:left="57" w:right="108"/>
              <w:jc w:val="right"/>
              <w:rPr>
                <w:rFonts w:cs="Open Sans"/>
                <w:color w:val="000000"/>
                <w:sz w:val="18"/>
                <w:szCs w:val="18"/>
              </w:rPr>
            </w:pPr>
            <w:r w:rsidRPr="0013175B">
              <w:rPr>
                <w:rFonts w:cs="Open Sans"/>
                <w:sz w:val="18"/>
                <w:szCs w:val="18"/>
              </w:rPr>
              <w:t>119.2</w:t>
            </w:r>
          </w:p>
        </w:tc>
      </w:tr>
      <w:tr w:rsidR="006950B5" w:rsidRPr="0013175B" w14:paraId="2A4BC0B2" w14:textId="77777777" w:rsidTr="00011592">
        <w:tc>
          <w:tcPr>
            <w:tcW w:w="568" w:type="pct"/>
            <w:tcBorders>
              <w:bottom w:val="nil"/>
            </w:tcBorders>
            <w:shd w:val="clear" w:color="auto" w:fill="E6E6E6"/>
          </w:tcPr>
          <w:p w14:paraId="7E483828" w14:textId="77777777" w:rsidR="006950B5" w:rsidRPr="0013175B" w:rsidRDefault="006950B5" w:rsidP="006950B5">
            <w:pPr>
              <w:pStyle w:val="BodyText"/>
              <w:spacing w:before="45" w:after="45"/>
              <w:ind w:left="57" w:right="108"/>
              <w:rPr>
                <w:rFonts w:cs="Open Sans"/>
                <w:b/>
                <w:color w:val="1D4374"/>
                <w:sz w:val="18"/>
                <w:szCs w:val="18"/>
              </w:rPr>
            </w:pPr>
            <w:r w:rsidRPr="0013175B">
              <w:rPr>
                <w:rFonts w:cs="Open Sans"/>
                <w:b/>
                <w:color w:val="1D4374"/>
                <w:sz w:val="18"/>
                <w:szCs w:val="18"/>
              </w:rPr>
              <w:t>2022–23</w:t>
            </w:r>
          </w:p>
        </w:tc>
        <w:tc>
          <w:tcPr>
            <w:tcW w:w="1024" w:type="pct"/>
            <w:tcBorders>
              <w:bottom w:val="nil"/>
            </w:tcBorders>
            <w:shd w:val="clear" w:color="auto" w:fill="E6E6E6"/>
            <w:vAlign w:val="bottom"/>
          </w:tcPr>
          <w:p w14:paraId="339F4820" w14:textId="47787BDA" w:rsidR="006950B5" w:rsidRPr="0013175B" w:rsidRDefault="006950B5" w:rsidP="007F0DC0">
            <w:pPr>
              <w:pStyle w:val="BodyText"/>
              <w:spacing w:before="45" w:after="45"/>
              <w:ind w:left="57" w:right="108"/>
              <w:jc w:val="right"/>
              <w:rPr>
                <w:rFonts w:cs="Open Sans"/>
                <w:color w:val="000000"/>
                <w:sz w:val="18"/>
                <w:szCs w:val="18"/>
              </w:rPr>
            </w:pPr>
            <w:r w:rsidRPr="0013175B">
              <w:rPr>
                <w:rFonts w:cs="Open Sans"/>
                <w:color w:val="000000"/>
                <w:sz w:val="18"/>
                <w:szCs w:val="18"/>
              </w:rPr>
              <w:t>510,600</w:t>
            </w:r>
          </w:p>
        </w:tc>
        <w:tc>
          <w:tcPr>
            <w:tcW w:w="1423" w:type="pct"/>
            <w:tcBorders>
              <w:bottom w:val="nil"/>
            </w:tcBorders>
            <w:shd w:val="clear" w:color="auto" w:fill="E6E6E6"/>
          </w:tcPr>
          <w:p w14:paraId="009EB531" w14:textId="65CC9CA6" w:rsidR="006950B5" w:rsidRPr="0013175B" w:rsidRDefault="00541146" w:rsidP="007F0DC0">
            <w:pPr>
              <w:pStyle w:val="BodyText"/>
              <w:spacing w:before="45" w:after="45"/>
              <w:ind w:left="57" w:right="108"/>
              <w:jc w:val="right"/>
              <w:rPr>
                <w:rFonts w:cs="Open Sans"/>
                <w:color w:val="000000"/>
                <w:sz w:val="18"/>
                <w:szCs w:val="18"/>
              </w:rPr>
            </w:pPr>
            <w:r w:rsidRPr="0013175B">
              <w:rPr>
                <w:rFonts w:cs="Open Sans"/>
                <w:color w:val="000000"/>
                <w:sz w:val="18"/>
                <w:szCs w:val="18"/>
              </w:rPr>
              <w:noBreakHyphen/>
            </w:r>
            <w:r w:rsidR="006950B5" w:rsidRPr="0013175B">
              <w:rPr>
                <w:rFonts w:cs="Open Sans"/>
                <w:color w:val="000000"/>
                <w:sz w:val="18"/>
                <w:szCs w:val="18"/>
              </w:rPr>
              <w:t>21,900</w:t>
            </w:r>
          </w:p>
        </w:tc>
        <w:tc>
          <w:tcPr>
            <w:tcW w:w="1250" w:type="pct"/>
            <w:tcBorders>
              <w:bottom w:val="nil"/>
            </w:tcBorders>
            <w:shd w:val="clear" w:color="auto" w:fill="E6E6E6"/>
            <w:vAlign w:val="bottom"/>
          </w:tcPr>
          <w:p w14:paraId="6399C9CD" w14:textId="19CDA65B" w:rsidR="006950B5" w:rsidRPr="0013175B" w:rsidRDefault="00541146" w:rsidP="007F0DC0">
            <w:pPr>
              <w:pStyle w:val="BodyText"/>
              <w:spacing w:before="45" w:after="45"/>
              <w:ind w:left="57" w:right="108"/>
              <w:jc w:val="right"/>
              <w:rPr>
                <w:rFonts w:cs="Open Sans"/>
                <w:color w:val="000000"/>
                <w:sz w:val="18"/>
                <w:szCs w:val="18"/>
              </w:rPr>
            </w:pPr>
            <w:r w:rsidRPr="0013175B">
              <w:rPr>
                <w:rFonts w:cs="Open Sans"/>
                <w:color w:val="000000"/>
                <w:sz w:val="18"/>
                <w:szCs w:val="18"/>
              </w:rPr>
              <w:noBreakHyphen/>
            </w:r>
            <w:r w:rsidR="006950B5" w:rsidRPr="0013175B">
              <w:rPr>
                <w:rFonts w:cs="Open Sans"/>
                <w:color w:val="000000"/>
                <w:sz w:val="18"/>
                <w:szCs w:val="18"/>
              </w:rPr>
              <w:t>4.1%</w:t>
            </w:r>
          </w:p>
        </w:tc>
        <w:tc>
          <w:tcPr>
            <w:tcW w:w="735" w:type="pct"/>
            <w:tcBorders>
              <w:bottom w:val="nil"/>
            </w:tcBorders>
            <w:shd w:val="clear" w:color="auto" w:fill="E6E6E6"/>
          </w:tcPr>
          <w:p w14:paraId="1DDFB5BC" w14:textId="138B1FBF" w:rsidR="006950B5" w:rsidRPr="0013175B" w:rsidRDefault="006950B5" w:rsidP="007F0DC0">
            <w:pPr>
              <w:pStyle w:val="BodyText"/>
              <w:spacing w:before="45" w:after="45"/>
              <w:ind w:left="57" w:right="108"/>
              <w:jc w:val="right"/>
              <w:rPr>
                <w:rFonts w:cs="Open Sans"/>
                <w:color w:val="000000"/>
                <w:sz w:val="18"/>
                <w:szCs w:val="18"/>
              </w:rPr>
            </w:pPr>
            <w:r w:rsidRPr="0013175B">
              <w:rPr>
                <w:rFonts w:cs="Open Sans"/>
                <w:sz w:val="18"/>
                <w:szCs w:val="18"/>
              </w:rPr>
              <w:t>11</w:t>
            </w:r>
            <w:r w:rsidR="009C1685" w:rsidRPr="0013175B">
              <w:rPr>
                <w:rFonts w:cs="Open Sans"/>
                <w:sz w:val="18"/>
                <w:szCs w:val="18"/>
              </w:rPr>
              <w:t>4</w:t>
            </w:r>
            <w:r w:rsidRPr="0013175B">
              <w:rPr>
                <w:rFonts w:cs="Open Sans"/>
                <w:sz w:val="18"/>
                <w:szCs w:val="18"/>
              </w:rPr>
              <w:t>.</w:t>
            </w:r>
            <w:r w:rsidR="009C1685" w:rsidRPr="0013175B">
              <w:rPr>
                <w:rFonts w:cs="Open Sans"/>
                <w:sz w:val="18"/>
                <w:szCs w:val="18"/>
              </w:rPr>
              <w:t>3</w:t>
            </w:r>
          </w:p>
        </w:tc>
      </w:tr>
      <w:tr w:rsidR="006950B5" w:rsidRPr="0013175B" w14:paraId="5F3C5D61" w14:textId="77777777" w:rsidTr="00011592">
        <w:tc>
          <w:tcPr>
            <w:tcW w:w="568" w:type="pct"/>
            <w:tcBorders>
              <w:top w:val="nil"/>
              <w:bottom w:val="nil"/>
            </w:tcBorders>
          </w:tcPr>
          <w:p w14:paraId="372C2682" w14:textId="77777777" w:rsidR="006950B5" w:rsidRPr="0013175B" w:rsidRDefault="006950B5" w:rsidP="006950B5">
            <w:pPr>
              <w:pStyle w:val="BodyText"/>
              <w:spacing w:before="45" w:after="45"/>
              <w:ind w:left="57" w:right="108"/>
              <w:rPr>
                <w:rFonts w:cs="Open Sans"/>
                <w:b/>
                <w:color w:val="1D4374"/>
                <w:sz w:val="18"/>
                <w:szCs w:val="18"/>
              </w:rPr>
            </w:pPr>
            <w:r w:rsidRPr="0013175B">
              <w:rPr>
                <w:rFonts w:cs="Open Sans"/>
                <w:b/>
                <w:color w:val="1D4374"/>
                <w:sz w:val="18"/>
                <w:szCs w:val="18"/>
              </w:rPr>
              <w:t>2023–24</w:t>
            </w:r>
          </w:p>
        </w:tc>
        <w:tc>
          <w:tcPr>
            <w:tcW w:w="1024" w:type="pct"/>
            <w:tcBorders>
              <w:top w:val="nil"/>
              <w:bottom w:val="nil"/>
            </w:tcBorders>
            <w:vAlign w:val="bottom"/>
          </w:tcPr>
          <w:p w14:paraId="33CE2BC2" w14:textId="77777777" w:rsidR="006950B5" w:rsidRPr="0013175B" w:rsidRDefault="006950B5" w:rsidP="007F0DC0">
            <w:pPr>
              <w:pStyle w:val="BodyText"/>
              <w:spacing w:before="45" w:after="45"/>
              <w:ind w:left="57" w:right="108"/>
              <w:jc w:val="right"/>
              <w:rPr>
                <w:rFonts w:cs="Open Sans"/>
                <w:color w:val="000000"/>
                <w:sz w:val="18"/>
                <w:szCs w:val="18"/>
              </w:rPr>
            </w:pPr>
            <w:r w:rsidRPr="0013175B">
              <w:rPr>
                <w:rFonts w:cs="Open Sans"/>
                <w:color w:val="000000"/>
                <w:sz w:val="18"/>
                <w:szCs w:val="18"/>
              </w:rPr>
              <w:t>535,000</w:t>
            </w:r>
          </w:p>
        </w:tc>
        <w:tc>
          <w:tcPr>
            <w:tcW w:w="1423" w:type="pct"/>
            <w:tcBorders>
              <w:top w:val="nil"/>
              <w:bottom w:val="nil"/>
            </w:tcBorders>
          </w:tcPr>
          <w:p w14:paraId="077185D9" w14:textId="3D03FF80" w:rsidR="006950B5" w:rsidRPr="0013175B" w:rsidRDefault="006950B5" w:rsidP="007F0DC0">
            <w:pPr>
              <w:pStyle w:val="BodyText"/>
              <w:spacing w:before="45" w:after="45"/>
              <w:ind w:left="57" w:right="108"/>
              <w:jc w:val="right"/>
              <w:rPr>
                <w:rFonts w:cs="Open Sans"/>
                <w:color w:val="000000"/>
                <w:sz w:val="18"/>
                <w:szCs w:val="18"/>
              </w:rPr>
            </w:pPr>
            <w:r w:rsidRPr="0013175B">
              <w:rPr>
                <w:rFonts w:cs="Open Sans"/>
                <w:color w:val="000000"/>
                <w:sz w:val="18"/>
                <w:szCs w:val="18"/>
              </w:rPr>
              <w:t>+24,3</w:t>
            </w:r>
            <w:r w:rsidR="000D26DC" w:rsidRPr="0013175B">
              <w:rPr>
                <w:rFonts w:cs="Open Sans"/>
                <w:color w:val="000000"/>
                <w:sz w:val="18"/>
                <w:szCs w:val="18"/>
              </w:rPr>
              <w:t>0</w:t>
            </w:r>
            <w:r w:rsidRPr="0013175B">
              <w:rPr>
                <w:rFonts w:cs="Open Sans"/>
                <w:color w:val="000000"/>
                <w:sz w:val="18"/>
                <w:szCs w:val="18"/>
              </w:rPr>
              <w:t>0</w:t>
            </w:r>
          </w:p>
        </w:tc>
        <w:tc>
          <w:tcPr>
            <w:tcW w:w="1250" w:type="pct"/>
            <w:tcBorders>
              <w:top w:val="nil"/>
              <w:bottom w:val="nil"/>
            </w:tcBorders>
            <w:vAlign w:val="bottom"/>
          </w:tcPr>
          <w:p w14:paraId="29289D8A" w14:textId="77777777" w:rsidR="006950B5" w:rsidRPr="0013175B" w:rsidRDefault="006950B5" w:rsidP="007F0DC0">
            <w:pPr>
              <w:pStyle w:val="BodyText"/>
              <w:spacing w:before="45" w:after="45"/>
              <w:ind w:left="57" w:right="108"/>
              <w:jc w:val="right"/>
              <w:rPr>
                <w:rFonts w:cs="Open Sans"/>
                <w:color w:val="000000"/>
                <w:sz w:val="18"/>
                <w:szCs w:val="18"/>
              </w:rPr>
            </w:pPr>
            <w:r w:rsidRPr="0013175B">
              <w:rPr>
                <w:rFonts w:cs="Open Sans"/>
                <w:color w:val="000000"/>
                <w:sz w:val="18"/>
                <w:szCs w:val="18"/>
              </w:rPr>
              <w:t>+4.8%</w:t>
            </w:r>
          </w:p>
        </w:tc>
        <w:tc>
          <w:tcPr>
            <w:tcW w:w="735" w:type="pct"/>
            <w:tcBorders>
              <w:top w:val="nil"/>
              <w:bottom w:val="nil"/>
            </w:tcBorders>
          </w:tcPr>
          <w:p w14:paraId="16308A75" w14:textId="23878C46" w:rsidR="006950B5" w:rsidRPr="0013175B" w:rsidRDefault="006950B5" w:rsidP="007F0DC0">
            <w:pPr>
              <w:pStyle w:val="BodyText"/>
              <w:spacing w:before="45" w:after="45"/>
              <w:ind w:left="57" w:right="108"/>
              <w:jc w:val="right"/>
              <w:rPr>
                <w:rFonts w:cs="Open Sans"/>
                <w:color w:val="000000"/>
                <w:sz w:val="18"/>
                <w:szCs w:val="18"/>
              </w:rPr>
            </w:pPr>
            <w:r w:rsidRPr="0013175B">
              <w:rPr>
                <w:rFonts w:cs="Open Sans"/>
                <w:sz w:val="18"/>
                <w:szCs w:val="18"/>
              </w:rPr>
              <w:t>119.</w:t>
            </w:r>
            <w:r w:rsidR="009C1685" w:rsidRPr="0013175B">
              <w:rPr>
                <w:rFonts w:cs="Open Sans"/>
                <w:sz w:val="18"/>
                <w:szCs w:val="18"/>
              </w:rPr>
              <w:t>8</w:t>
            </w:r>
          </w:p>
        </w:tc>
      </w:tr>
      <w:tr w:rsidR="006950B5" w:rsidRPr="0013175B" w14:paraId="03D80465" w14:textId="77777777" w:rsidTr="00011592">
        <w:tc>
          <w:tcPr>
            <w:tcW w:w="568" w:type="pct"/>
            <w:tcBorders>
              <w:top w:val="nil"/>
              <w:bottom w:val="single" w:sz="4" w:space="0" w:color="B3B3B3"/>
            </w:tcBorders>
            <w:shd w:val="clear" w:color="auto" w:fill="E6E6E6"/>
          </w:tcPr>
          <w:p w14:paraId="29D738E4" w14:textId="77777777" w:rsidR="006950B5" w:rsidRPr="0013175B" w:rsidRDefault="006950B5" w:rsidP="006950B5">
            <w:pPr>
              <w:pStyle w:val="BodyText"/>
              <w:spacing w:before="45" w:after="45"/>
              <w:ind w:left="57" w:right="108"/>
              <w:rPr>
                <w:rFonts w:cs="Open Sans"/>
                <w:b/>
                <w:sz w:val="18"/>
                <w:szCs w:val="18"/>
              </w:rPr>
            </w:pPr>
            <w:r w:rsidRPr="0013175B">
              <w:rPr>
                <w:rFonts w:cs="Open Sans"/>
                <w:b/>
                <w:color w:val="1D4374"/>
                <w:sz w:val="18"/>
                <w:szCs w:val="18"/>
              </w:rPr>
              <w:t>2024–25</w:t>
            </w:r>
          </w:p>
        </w:tc>
        <w:tc>
          <w:tcPr>
            <w:tcW w:w="1024" w:type="pct"/>
            <w:tcBorders>
              <w:top w:val="nil"/>
              <w:bottom w:val="single" w:sz="4" w:space="0" w:color="B3B3B3"/>
            </w:tcBorders>
            <w:shd w:val="clear" w:color="auto" w:fill="E6E6E6"/>
            <w:vAlign w:val="bottom"/>
          </w:tcPr>
          <w:p w14:paraId="40AE56D3" w14:textId="77777777" w:rsidR="006950B5" w:rsidRPr="0013175B" w:rsidRDefault="006950B5" w:rsidP="007F0DC0">
            <w:pPr>
              <w:pStyle w:val="BodyText"/>
              <w:spacing w:before="45" w:after="45"/>
              <w:ind w:left="57" w:right="108"/>
              <w:jc w:val="right"/>
              <w:rPr>
                <w:rFonts w:cs="Open Sans"/>
                <w:sz w:val="18"/>
                <w:szCs w:val="18"/>
              </w:rPr>
            </w:pPr>
            <w:r w:rsidRPr="0013175B">
              <w:rPr>
                <w:rFonts w:cs="Open Sans"/>
                <w:sz w:val="18"/>
                <w:szCs w:val="18"/>
              </w:rPr>
              <w:t>571,200</w:t>
            </w:r>
          </w:p>
        </w:tc>
        <w:tc>
          <w:tcPr>
            <w:tcW w:w="1423" w:type="pct"/>
            <w:tcBorders>
              <w:top w:val="nil"/>
              <w:bottom w:val="single" w:sz="4" w:space="0" w:color="B3B3B3"/>
            </w:tcBorders>
            <w:shd w:val="clear" w:color="auto" w:fill="E6E6E6"/>
          </w:tcPr>
          <w:p w14:paraId="7B45A7E1" w14:textId="77777777" w:rsidR="006950B5" w:rsidRPr="0013175B" w:rsidRDefault="006950B5" w:rsidP="007F0DC0">
            <w:pPr>
              <w:pStyle w:val="BodyText"/>
              <w:spacing w:before="45" w:after="45"/>
              <w:ind w:left="57" w:right="108"/>
              <w:jc w:val="right"/>
              <w:rPr>
                <w:rFonts w:cs="Open Sans"/>
                <w:sz w:val="18"/>
                <w:szCs w:val="18"/>
              </w:rPr>
            </w:pPr>
            <w:r w:rsidRPr="0013175B">
              <w:rPr>
                <w:rFonts w:cs="Open Sans"/>
                <w:sz w:val="18"/>
                <w:szCs w:val="18"/>
              </w:rPr>
              <w:t>+36,200</w:t>
            </w:r>
          </w:p>
        </w:tc>
        <w:tc>
          <w:tcPr>
            <w:tcW w:w="1250" w:type="pct"/>
            <w:tcBorders>
              <w:top w:val="nil"/>
              <w:bottom w:val="single" w:sz="4" w:space="0" w:color="B3B3B3"/>
            </w:tcBorders>
            <w:shd w:val="clear" w:color="auto" w:fill="E6E6E6"/>
            <w:vAlign w:val="bottom"/>
          </w:tcPr>
          <w:p w14:paraId="3A464AAA" w14:textId="77777777" w:rsidR="006950B5" w:rsidRPr="0013175B" w:rsidRDefault="006950B5" w:rsidP="007F0DC0">
            <w:pPr>
              <w:pStyle w:val="BodyText"/>
              <w:spacing w:before="45" w:after="45"/>
              <w:ind w:left="57" w:right="108"/>
              <w:jc w:val="right"/>
              <w:rPr>
                <w:rFonts w:cs="Open Sans"/>
                <w:sz w:val="18"/>
                <w:szCs w:val="18"/>
              </w:rPr>
            </w:pPr>
            <w:r w:rsidRPr="0013175B">
              <w:rPr>
                <w:rFonts w:cs="Open Sans"/>
                <w:sz w:val="18"/>
                <w:szCs w:val="18"/>
              </w:rPr>
              <w:t>+6.8%</w:t>
            </w:r>
          </w:p>
        </w:tc>
        <w:tc>
          <w:tcPr>
            <w:tcW w:w="735" w:type="pct"/>
            <w:tcBorders>
              <w:top w:val="nil"/>
              <w:bottom w:val="single" w:sz="4" w:space="0" w:color="B3B3B3"/>
            </w:tcBorders>
            <w:shd w:val="clear" w:color="auto" w:fill="E6E6E6"/>
          </w:tcPr>
          <w:p w14:paraId="35AB3333" w14:textId="01AE9E37" w:rsidR="006950B5" w:rsidRPr="0013175B" w:rsidRDefault="006950B5" w:rsidP="007F0DC0">
            <w:pPr>
              <w:pStyle w:val="BodyText"/>
              <w:spacing w:before="45" w:after="45"/>
              <w:ind w:left="57" w:right="108"/>
              <w:jc w:val="right"/>
              <w:rPr>
                <w:rFonts w:cs="Open Sans"/>
                <w:sz w:val="18"/>
                <w:szCs w:val="18"/>
              </w:rPr>
            </w:pPr>
            <w:r w:rsidRPr="0013175B">
              <w:rPr>
                <w:rFonts w:cs="Open Sans"/>
                <w:sz w:val="18"/>
                <w:szCs w:val="18"/>
              </w:rPr>
              <w:t>127.9</w:t>
            </w:r>
          </w:p>
        </w:tc>
      </w:tr>
    </w:tbl>
    <w:p w14:paraId="112D5A81" w14:textId="42138B4C" w:rsidR="00401855" w:rsidRDefault="00EA5A86" w:rsidP="00011592">
      <w:pPr>
        <w:pStyle w:val="Note"/>
      </w:pPr>
      <w:r>
        <w:t>Imports and absolute change in imports have been rounded to the nearest 100 tonnes. Percentage</w:t>
      </w:r>
      <w:r w:rsidR="00401855">
        <w:t xml:space="preserve"> change and index </w:t>
      </w:r>
      <w:r>
        <w:t xml:space="preserve">figures are based on actual </w:t>
      </w:r>
      <w:r w:rsidR="00401855">
        <w:t>numbers</w:t>
      </w:r>
      <w:r>
        <w:t>. Inconsistencies are</w:t>
      </w:r>
      <w:r w:rsidR="00401855">
        <w:t xml:space="preserve"> due to rounding.</w:t>
      </w:r>
    </w:p>
    <w:p w14:paraId="13F5C91A" w14:textId="77777777" w:rsidR="00401855" w:rsidRDefault="00401855" w:rsidP="00011592">
      <w:pPr>
        <w:pStyle w:val="Source"/>
      </w:pPr>
      <w:r>
        <w:t xml:space="preserve">Source: PC analysis using ABS data. </w:t>
      </w:r>
    </w:p>
    <w:p w14:paraId="5730B3CD" w14:textId="646A2164" w:rsidR="00401855" w:rsidRPr="00146382" w:rsidRDefault="00401855" w:rsidP="00011592">
      <w:pPr>
        <w:pStyle w:val="FigureTableHeading"/>
      </w:pPr>
      <w:bookmarkStart w:id="19" w:name="_Ref238048479"/>
      <w:r>
        <w:lastRenderedPageBreak/>
        <w:t>Figure</w:t>
      </w:r>
      <w:r w:rsidR="00541146">
        <w:t> </w:t>
      </w:r>
      <w:r w:rsidR="00C56C9B">
        <w:rPr>
          <w:noProof/>
        </w:rPr>
        <w:t>3</w:t>
      </w:r>
      <w:r>
        <w:t>.</w:t>
      </w:r>
      <w:r w:rsidR="00C56C9B">
        <w:rPr>
          <w:noProof/>
        </w:rPr>
        <w:t>1</w:t>
      </w:r>
      <w:bookmarkEnd w:id="19"/>
      <w:r>
        <w:rPr>
          <w:noProof/>
        </w:rPr>
        <w:t xml:space="preserve"> </w:t>
      </w:r>
      <w:r>
        <w:t>– Absolute imports (financial year basis)</w:t>
      </w:r>
    </w:p>
    <w:p w14:paraId="026E92A6" w14:textId="760D9BAB" w:rsidR="00401855" w:rsidRDefault="00401855" w:rsidP="00011592">
      <w:pPr>
        <w:pStyle w:val="FigureTableSubheading"/>
        <w:keepLines/>
      </w:pPr>
      <w:r>
        <w:t>Annual imports of in</w:t>
      </w:r>
      <w:r w:rsidR="00541146">
        <w:noBreakHyphen/>
      </w:r>
      <w:r>
        <w:t>scope fabricated structural steel</w:t>
      </w:r>
    </w:p>
    <w:p w14:paraId="15B02960" w14:textId="1FBFC7CA" w:rsidR="007F0DC0" w:rsidRDefault="00E858CE" w:rsidP="007F0DC0">
      <w:pPr>
        <w:pStyle w:val="BodyText"/>
      </w:pPr>
      <w:r w:rsidRPr="00E858CE">
        <w:rPr>
          <w:noProof/>
        </w:rPr>
        <w:drawing>
          <wp:inline distT="0" distB="0" distL="0" distR="0" wp14:anchorId="3B9D6E35" wp14:editId="0BB2DCA6">
            <wp:extent cx="6120130" cy="2742565"/>
            <wp:effectExtent l="0" t="0" r="0" b="0"/>
            <wp:docPr id="1936622310" name="Picture 6" descr="Figure 3.1 - The figure shows a notable increase in absolute imports in 2021-22, followed by a slight decrease in 2022-23 and a steady increase in remaining years of the investigation perio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622310" name="Picture 6" descr="Figure 3.1 - The figure shows a notable increase in absolute imports in 2021-22, followed by a slight decrease in 2022-23 and a steady increase in remaining years of the investigation period.&#1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120130" cy="2742565"/>
                    </a:xfrm>
                    <a:prstGeom prst="rect">
                      <a:avLst/>
                    </a:prstGeom>
                    <a:noFill/>
                    <a:ln>
                      <a:noFill/>
                    </a:ln>
                  </pic:spPr>
                </pic:pic>
              </a:graphicData>
            </a:graphic>
          </wp:inline>
        </w:drawing>
      </w:r>
    </w:p>
    <w:p w14:paraId="66FC8F3E" w14:textId="56DA7465" w:rsidR="00401855" w:rsidRDefault="00401855" w:rsidP="00011592">
      <w:pPr>
        <w:pStyle w:val="Source"/>
      </w:pPr>
      <w:r w:rsidRPr="00373052">
        <w:t>Source: PC analysis using</w:t>
      </w:r>
      <w:r>
        <w:t xml:space="preserve"> ABS data</w:t>
      </w:r>
      <w:r w:rsidRPr="00373052">
        <w:t>.</w:t>
      </w:r>
    </w:p>
    <w:p w14:paraId="02102C6C" w14:textId="1AE189CC" w:rsidR="00401855" w:rsidRPr="00146382" w:rsidRDefault="00401855" w:rsidP="00011592">
      <w:pPr>
        <w:pStyle w:val="Caption"/>
      </w:pPr>
      <w:bookmarkStart w:id="20" w:name="_Ref238049544"/>
      <w:r>
        <w:t>Figure</w:t>
      </w:r>
      <w:bookmarkEnd w:id="20"/>
      <w:r w:rsidR="00541146">
        <w:t> </w:t>
      </w:r>
      <w:r>
        <w:t>3.2</w:t>
      </w:r>
      <w:r>
        <w:rPr>
          <w:noProof/>
        </w:rPr>
        <w:t xml:space="preserve"> </w:t>
      </w:r>
      <w:r>
        <w:t>– Absolute imports (quarterly basis)</w:t>
      </w:r>
    </w:p>
    <w:p w14:paraId="4184EF1F" w14:textId="54204DDE" w:rsidR="00401855" w:rsidRDefault="00401855">
      <w:pPr>
        <w:pStyle w:val="FigureTableSubheading"/>
        <w:keepLines/>
      </w:pPr>
      <w:r>
        <w:t>Quarterly imports of in</w:t>
      </w:r>
      <w:r w:rsidR="00541146">
        <w:noBreakHyphen/>
      </w:r>
      <w:r>
        <w:t>scope fabricated structural steel</w:t>
      </w:r>
    </w:p>
    <w:p w14:paraId="23D64179" w14:textId="486C09E3" w:rsidR="00401855" w:rsidRDefault="00FA4AC5" w:rsidP="007F0DC0">
      <w:pPr>
        <w:pStyle w:val="BodyText"/>
      </w:pPr>
      <w:r w:rsidRPr="00FA4AC5">
        <w:rPr>
          <w:noProof/>
        </w:rPr>
        <w:drawing>
          <wp:inline distT="0" distB="0" distL="0" distR="0" wp14:anchorId="55DCC010" wp14:editId="1C4714C2">
            <wp:extent cx="6120000" cy="3082856"/>
            <wp:effectExtent l="0" t="0" r="0" b="0"/>
            <wp:docPr id="327324604" name="Picture 4" descr="Figure 3.2 - The figure shows significant variation in absolute imports from quarter to quarter but an increasing trend between 2016-17 and 2025-2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324604" name="Picture 4" descr="Figure 3.2 - The figure shows significant variation in absolute imports from quarter to quarter but an increasing trend between 2016-17 and 2025-26.&#10;"/>
                    <pic:cNvPicPr>
                      <a:picLocks noChangeAspect="1" noChangeArrowheads="1"/>
                    </pic:cNvPicPr>
                  </pic:nvPicPr>
                  <pic:blipFill rotWithShape="1">
                    <a:blip r:embed="rId57">
                      <a:extLst>
                        <a:ext uri="{28A0092B-C50C-407E-A947-70E740481C1C}">
                          <a14:useLocalDpi xmlns:a14="http://schemas.microsoft.com/office/drawing/2010/main" val="0"/>
                        </a:ext>
                      </a:extLst>
                    </a:blip>
                    <a:srcRect l="6488"/>
                    <a:stretch>
                      <a:fillRect/>
                    </a:stretch>
                  </pic:blipFill>
                  <pic:spPr bwMode="auto">
                    <a:xfrm>
                      <a:off x="0" y="0"/>
                      <a:ext cx="6120000" cy="3082856"/>
                    </a:xfrm>
                    <a:prstGeom prst="rect">
                      <a:avLst/>
                    </a:prstGeom>
                    <a:noFill/>
                    <a:ln>
                      <a:noFill/>
                    </a:ln>
                    <a:extLst>
                      <a:ext uri="{53640926-AAD7-44D8-BBD7-CCE9431645EC}">
                        <a14:shadowObscured xmlns:a14="http://schemas.microsoft.com/office/drawing/2010/main"/>
                      </a:ext>
                    </a:extLst>
                  </pic:spPr>
                </pic:pic>
              </a:graphicData>
            </a:graphic>
          </wp:inline>
        </w:drawing>
      </w:r>
      <w:r w:rsidR="00F60468" w:rsidRPr="00F60468">
        <w:t xml:space="preserve"> </w:t>
      </w:r>
    </w:p>
    <w:p w14:paraId="6D9A74D4" w14:textId="77777777" w:rsidR="00401855" w:rsidRDefault="00401855" w:rsidP="00011592">
      <w:pPr>
        <w:pStyle w:val="Note"/>
      </w:pPr>
      <w:r>
        <w:t>D</w:t>
      </w:r>
      <w:r w:rsidRPr="00CB3D49">
        <w:t>ata</w:t>
      </w:r>
      <w:r>
        <w:t xml:space="preserve"> for the first 3 quarters of 2025–26 are preliminary and subject to revision.</w:t>
      </w:r>
    </w:p>
    <w:p w14:paraId="5980D9DB" w14:textId="0FF8CE9E" w:rsidR="00401855" w:rsidRPr="006B576D" w:rsidRDefault="00401855" w:rsidP="00011592">
      <w:pPr>
        <w:pStyle w:val="Source"/>
      </w:pPr>
      <w:r w:rsidRPr="00696447">
        <w:t xml:space="preserve">Source: </w:t>
      </w:r>
      <w:r>
        <w:t>PC analysis using ABS data</w:t>
      </w:r>
      <w:r w:rsidR="007D23D4">
        <w:t>.</w:t>
      </w:r>
    </w:p>
    <w:p w14:paraId="3F3295AD" w14:textId="77777777" w:rsidR="00401855" w:rsidRPr="007F0DC0" w:rsidRDefault="00401855" w:rsidP="007F0DC0">
      <w:pPr>
        <w:pStyle w:val="BodyText"/>
      </w:pPr>
      <w:r w:rsidRPr="007F0DC0">
        <w:br w:type="page"/>
      </w:r>
    </w:p>
    <w:p w14:paraId="12A4F600" w14:textId="77777777" w:rsidR="00401855" w:rsidRDefault="00401855" w:rsidP="00011592">
      <w:pPr>
        <w:pStyle w:val="Heading3"/>
      </w:pPr>
      <w:r>
        <w:lastRenderedPageBreak/>
        <w:t>Relative imports</w:t>
      </w:r>
    </w:p>
    <w:p w14:paraId="5D7E23E8" w14:textId="77777777" w:rsidR="00401855" w:rsidRDefault="00401855" w:rsidP="00011592">
      <w:pPr>
        <w:pStyle w:val="BodyText"/>
      </w:pPr>
      <w:r>
        <w:t xml:space="preserve">The increased imports requirement for safeguard measures can be met if there is an increase in imports ‘relative to domestic production’ (SA </w:t>
      </w:r>
      <w:r w:rsidRPr="004C7341">
        <w:t>Article 2.1</w:t>
      </w:r>
      <w:r>
        <w:t xml:space="preserve">). As with absolute imports, the relative increase must be recent, sudden, sharp and significant. </w:t>
      </w:r>
    </w:p>
    <w:p w14:paraId="4B34672D" w14:textId="77777777" w:rsidR="00401855" w:rsidRDefault="00401855" w:rsidP="00011592">
      <w:pPr>
        <w:pStyle w:val="BodyText"/>
      </w:pPr>
      <w:r>
        <w:t xml:space="preserve">Calculating relative imports (the ratio of imports to domestic production) requires data on domestic FSS production. </w:t>
      </w:r>
      <w:r w:rsidRPr="0018789E">
        <w:t>T</w:t>
      </w:r>
      <w:r w:rsidRPr="00DF0080">
        <w:t>he PC estimated domestic production based on administrative data held by the ABS and information from members of the FSS industry.</w:t>
      </w:r>
      <w:r w:rsidRPr="00DF0080">
        <w:rPr>
          <w:rStyle w:val="FootnoteReference"/>
        </w:rPr>
        <w:footnoteReference w:id="7"/>
      </w:r>
      <w:r>
        <w:t xml:space="preserve"> </w:t>
      </w:r>
    </w:p>
    <w:p w14:paraId="346718C4" w14:textId="77777777" w:rsidR="00401855" w:rsidRPr="007F0DC0" w:rsidRDefault="00401855" w:rsidP="00011592">
      <w:pPr>
        <w:pStyle w:val="BodyText"/>
        <w:rPr>
          <w:spacing w:val="-2"/>
        </w:rPr>
      </w:pPr>
      <w:r w:rsidRPr="007F0DC0">
        <w:rPr>
          <w:spacing w:val="-2"/>
        </w:rPr>
        <w:t>Two series for relative imports are presented, each based on a different estimate of domestic production.</w:t>
      </w:r>
    </w:p>
    <w:p w14:paraId="722DF4DC" w14:textId="77777777" w:rsidR="00401855" w:rsidRDefault="00401855" w:rsidP="00011592">
      <w:pPr>
        <w:pStyle w:val="ListBullet"/>
      </w:pPr>
      <w:r>
        <w:t>First, domestic production has been estimated based on a conservatively estimated population of domestic firms. This includes firms on the ASI fabricator member list as well as firms identified directly through the course of this inquiry, amounting to 376 businesses at the most (the list includes some businesses known to have ceased operating so the number of firms included in the estimates can vary from year to year).</w:t>
      </w:r>
    </w:p>
    <w:p w14:paraId="68179E12" w14:textId="0C1270F3" w:rsidR="00401855" w:rsidRDefault="00401855" w:rsidP="00011592">
      <w:pPr>
        <w:pStyle w:val="ListBullet"/>
      </w:pPr>
      <w:r>
        <w:t>Second, domestic production has been estimated using an expanded population that also includes businesses not otherwise identified but which we expect to be FSS producers based on information shared by key industry stakeholders. This group includes up to 514 businesses. Additional detail on industry identification is included in appendix</w:t>
      </w:r>
      <w:r w:rsidR="00541146">
        <w:t> </w:t>
      </w:r>
      <w:r>
        <w:t>B.</w:t>
      </w:r>
    </w:p>
    <w:p w14:paraId="6D180602" w14:textId="45782548" w:rsidR="00401855" w:rsidRDefault="00401855" w:rsidP="00011592">
      <w:pPr>
        <w:pStyle w:val="BodyText"/>
      </w:pPr>
      <w:r>
        <w:t xml:space="preserve">The PC considers that estimates based on the conservative population are sufficient for making findings about whether relative imports have increased in a way that satisfies the requirements for a safeguard measure. The ASI has estimated that its fabricator members represent 70% of domestic capacity </w:t>
      </w:r>
      <w:r w:rsidR="00762450" w:rsidRPr="00762450">
        <w:rPr>
          <w:rFonts w:cs="Open Sans"/>
        </w:rPr>
        <w:t>(ASI 2026, pp. 9–10)</w:t>
      </w:r>
      <w:r>
        <w:t xml:space="preserve">. However, the estimates for the expanded population are included because the PC considers they are likely a more accurate representation of the level of domestic production (and so relative imports). </w:t>
      </w:r>
    </w:p>
    <w:p w14:paraId="4DAB6307" w14:textId="67E2EA12" w:rsidR="00401855" w:rsidRDefault="00401855" w:rsidP="00011592">
      <w:pPr>
        <w:pStyle w:val="BodyText"/>
      </w:pPr>
      <w:r>
        <w:rPr>
          <w:spacing w:val="-2"/>
        </w:rPr>
        <w:t xml:space="preserve">Based on the conservative population, </w:t>
      </w:r>
      <w:r w:rsidRPr="0094506E">
        <w:rPr>
          <w:spacing w:val="-2"/>
        </w:rPr>
        <w:t xml:space="preserve">PC analysis indicates that </w:t>
      </w:r>
      <w:r>
        <w:rPr>
          <w:spacing w:val="-2"/>
        </w:rPr>
        <w:t>relative imports increased from 94</w:t>
      </w:r>
      <w:r w:rsidR="00DE0239">
        <w:rPr>
          <w:spacing w:val="-2"/>
        </w:rPr>
        <w:t>.1</w:t>
      </w:r>
      <w:r>
        <w:rPr>
          <w:spacing w:val="-2"/>
        </w:rPr>
        <w:t>% to 105</w:t>
      </w:r>
      <w:r w:rsidR="00256089">
        <w:rPr>
          <w:spacing w:val="-2"/>
        </w:rPr>
        <w:t>.</w:t>
      </w:r>
      <w:r w:rsidR="00E821B2">
        <w:rPr>
          <w:spacing w:val="-2"/>
        </w:rPr>
        <w:t>3</w:t>
      </w:r>
      <w:r>
        <w:rPr>
          <w:spacing w:val="-2"/>
        </w:rPr>
        <w:t>%</w:t>
      </w:r>
      <w:r>
        <w:rPr>
          <w:rStyle w:val="FootnoteReference"/>
          <w:spacing w:val="-2"/>
        </w:rPr>
        <w:footnoteReference w:id="8"/>
      </w:r>
      <w:r>
        <w:rPr>
          <w:spacing w:val="-2"/>
        </w:rPr>
        <w:t xml:space="preserve"> </w:t>
      </w:r>
      <w:r w:rsidRPr="0094506E">
        <w:rPr>
          <w:spacing w:val="-2"/>
        </w:rPr>
        <w:t xml:space="preserve">over the </w:t>
      </w:r>
      <w:r w:rsidRPr="0094506E">
        <w:t>investigation period</w:t>
      </w:r>
      <w:r>
        <w:t>,</w:t>
      </w:r>
      <w:r w:rsidRPr="0094506E" w:rsidDel="000A445C">
        <w:t xml:space="preserve"> </w:t>
      </w:r>
      <w:r w:rsidRPr="0094506E">
        <w:t xml:space="preserve">an increase of </w:t>
      </w:r>
      <w:r>
        <w:t>11</w:t>
      </w:r>
      <w:r w:rsidR="000E3E43">
        <w:t>.2</w:t>
      </w:r>
      <w:r w:rsidRPr="0094506E" w:rsidDel="00141B25">
        <w:t xml:space="preserve"> </w:t>
      </w:r>
      <w:r w:rsidRPr="0094506E">
        <w:t>percentage points (</w:t>
      </w:r>
      <w:r>
        <w:t>table</w:t>
      </w:r>
      <w:r w:rsidR="00541146">
        <w:t> </w:t>
      </w:r>
      <w:r>
        <w:t>3.2; figure</w:t>
      </w:r>
      <w:r w:rsidR="00541146">
        <w:t> </w:t>
      </w:r>
      <w:r>
        <w:t>3.</w:t>
      </w:r>
      <w:r w:rsidR="00541021">
        <w:t>3</w:t>
      </w:r>
      <w:r w:rsidRPr="0094506E" w:rsidDel="007E707D">
        <w:t xml:space="preserve">). </w:t>
      </w:r>
      <w:r>
        <w:t>R</w:t>
      </w:r>
      <w:r w:rsidRPr="0094506E">
        <w:t xml:space="preserve">elative imports increased by </w:t>
      </w:r>
      <w:r>
        <w:t>28</w:t>
      </w:r>
      <w:r w:rsidR="004625F0">
        <w:t>.4</w:t>
      </w:r>
      <w:r w:rsidRPr="0094506E">
        <w:t xml:space="preserve"> percentage points in 2021–22, driven both by reduced domestic production and the </w:t>
      </w:r>
      <w:r>
        <w:t>biggest</w:t>
      </w:r>
      <w:r w:rsidRPr="0094506E">
        <w:t xml:space="preserve"> </w:t>
      </w:r>
      <w:r>
        <w:t xml:space="preserve">annual </w:t>
      </w:r>
      <w:r w:rsidRPr="0094506E">
        <w:t>increase in imports in the investigation period. This was followed by</w:t>
      </w:r>
      <w:r>
        <w:t xml:space="preserve"> a </w:t>
      </w:r>
      <w:r w:rsidR="00951CEE" w:rsidRPr="00951CEE">
        <w:t>16.7</w:t>
      </w:r>
      <w:r w:rsidR="00D56EC2">
        <w:t xml:space="preserve"> </w:t>
      </w:r>
      <w:r w:rsidRPr="0094506E">
        <w:t>percentage point decrease in 2022–23</w:t>
      </w:r>
      <w:r>
        <w:t>, a</w:t>
      </w:r>
      <w:r w:rsidRPr="0094506E">
        <w:t xml:space="preserve"> </w:t>
      </w:r>
      <w:r w:rsidR="007F7540" w:rsidRPr="007F7540">
        <w:t>0.9</w:t>
      </w:r>
      <w:r w:rsidR="00D56EC2">
        <w:t xml:space="preserve"> </w:t>
      </w:r>
      <w:r w:rsidRPr="0094506E">
        <w:t xml:space="preserve">percentage point </w:t>
      </w:r>
      <w:r>
        <w:t xml:space="preserve">increase </w:t>
      </w:r>
      <w:r w:rsidRPr="0094506E">
        <w:t>in 2023–24</w:t>
      </w:r>
      <w:r>
        <w:t xml:space="preserve"> and a </w:t>
      </w:r>
      <w:r w:rsidR="00F320A1" w:rsidRPr="00F320A1">
        <w:t>1.5</w:t>
      </w:r>
      <w:r w:rsidR="00D56EC2">
        <w:t xml:space="preserve"> </w:t>
      </w:r>
      <w:r>
        <w:t xml:space="preserve">percentage point decrease </w:t>
      </w:r>
      <w:r w:rsidRPr="0094506E">
        <w:t>in</w:t>
      </w:r>
      <w:r>
        <w:t> </w:t>
      </w:r>
      <w:r w:rsidRPr="0094506E">
        <w:t>2024</w:t>
      </w:r>
      <w:r>
        <w:t>–</w:t>
      </w:r>
      <w:r w:rsidRPr="0094506E">
        <w:t>25.</w:t>
      </w:r>
    </w:p>
    <w:p w14:paraId="4302D763" w14:textId="45982C00" w:rsidR="00401855" w:rsidRDefault="00401855" w:rsidP="00011592">
      <w:pPr>
        <w:pStyle w:val="BodyText"/>
      </w:pPr>
      <w:r>
        <w:rPr>
          <w:spacing w:val="-2"/>
        </w:rPr>
        <w:t xml:space="preserve">Based on the expanded population, </w:t>
      </w:r>
      <w:r w:rsidRPr="0094506E">
        <w:rPr>
          <w:spacing w:val="-2"/>
        </w:rPr>
        <w:t xml:space="preserve">PC analysis indicates that </w:t>
      </w:r>
      <w:r>
        <w:rPr>
          <w:spacing w:val="-2"/>
        </w:rPr>
        <w:t xml:space="preserve">relative imports increased from </w:t>
      </w:r>
      <w:r w:rsidR="00F74BFF" w:rsidRPr="00F74BFF">
        <w:rPr>
          <w:spacing w:val="-2"/>
        </w:rPr>
        <w:t>63.5</w:t>
      </w:r>
      <w:r>
        <w:rPr>
          <w:spacing w:val="-2"/>
        </w:rPr>
        <w:t>% to 75</w:t>
      </w:r>
      <w:r w:rsidR="00CB24D2">
        <w:rPr>
          <w:spacing w:val="-2"/>
        </w:rPr>
        <w:t>.3</w:t>
      </w:r>
      <w:r>
        <w:rPr>
          <w:spacing w:val="-2"/>
        </w:rPr>
        <w:t xml:space="preserve">% </w:t>
      </w:r>
      <w:r w:rsidRPr="0094506E">
        <w:rPr>
          <w:spacing w:val="-2"/>
        </w:rPr>
        <w:t xml:space="preserve">over the </w:t>
      </w:r>
      <w:r w:rsidRPr="0094506E">
        <w:t>investigation period</w:t>
      </w:r>
      <w:r>
        <w:t xml:space="preserve">, </w:t>
      </w:r>
      <w:r w:rsidRPr="0094506E">
        <w:t>an increase of</w:t>
      </w:r>
      <w:r>
        <w:t xml:space="preserve"> </w:t>
      </w:r>
      <w:r w:rsidR="00E57B35">
        <w:t>11.7</w:t>
      </w:r>
      <w:r w:rsidR="00E57B35" w:rsidRPr="0094506E" w:rsidDel="00141B25">
        <w:t xml:space="preserve"> </w:t>
      </w:r>
      <w:r w:rsidRPr="0094506E">
        <w:t>percentage points (</w:t>
      </w:r>
      <w:r w:rsidR="00AC5D43">
        <w:t>table 3.2</w:t>
      </w:r>
      <w:r>
        <w:t xml:space="preserve">; </w:t>
      </w:r>
      <w:r w:rsidR="00EA0280">
        <w:t>f</w:t>
      </w:r>
      <w:r w:rsidR="00C56C9B" w:rsidRPr="00A235D5">
        <w:t>igure</w:t>
      </w:r>
      <w:r w:rsidR="00C56C9B">
        <w:t> </w:t>
      </w:r>
      <w:r w:rsidR="00C56C9B">
        <w:rPr>
          <w:noProof/>
        </w:rPr>
        <w:t>3</w:t>
      </w:r>
      <w:r w:rsidR="00C56C9B">
        <w:t>.</w:t>
      </w:r>
      <w:r w:rsidR="009040C8">
        <w:t>3</w:t>
      </w:r>
      <w:r w:rsidRPr="0094506E">
        <w:t xml:space="preserve">). </w:t>
      </w:r>
      <w:r>
        <w:t>These figures are significantly lower than those estimated based on the conservative population because the expanded population includes a larger set of businesses. This also drives some variation in the pattern of increases and decreases in relative imports over the investigation period.</w:t>
      </w:r>
    </w:p>
    <w:p w14:paraId="5F0DD49E" w14:textId="21709158" w:rsidR="00401855" w:rsidRPr="00542502" w:rsidRDefault="00401855" w:rsidP="00011592">
      <w:pPr>
        <w:pStyle w:val="BodyText"/>
      </w:pPr>
      <w:r w:rsidRPr="00542502">
        <w:lastRenderedPageBreak/>
        <w:t>The PC considers that relative imports have not increased in a way that is recent, sudden, sharp and significant</w:t>
      </w:r>
      <w:r>
        <w:t>, whether using the conservative or expanded populations</w:t>
      </w:r>
      <w:r w:rsidRPr="00542502">
        <w:t>. The sharp and significant increase in 2021–22 was neither recent nor significant in the context of longer</w:t>
      </w:r>
      <w:r w:rsidR="00541146">
        <w:noBreakHyphen/>
      </w:r>
      <w:r w:rsidRPr="00542502">
        <w:t>term trends</w:t>
      </w:r>
      <w:r>
        <w:t>.</w:t>
      </w:r>
    </w:p>
    <w:p w14:paraId="30A2A191" w14:textId="77777777" w:rsidR="00401855" w:rsidRDefault="00401855" w:rsidP="00011592">
      <w:pPr>
        <w:pStyle w:val="Caption"/>
      </w:pPr>
      <w:bookmarkStart w:id="21" w:name="_Ref238051965"/>
      <w:r w:rsidRPr="00542502">
        <w:t xml:space="preserve">Table </w:t>
      </w:r>
      <w:bookmarkEnd w:id="21"/>
      <w:r>
        <w:t>3.2</w:t>
      </w:r>
      <w:r w:rsidRPr="00542502">
        <w:t xml:space="preserve"> – Relative imports</w:t>
      </w:r>
      <w:r>
        <w:t xml:space="preserve"> </w:t>
      </w:r>
    </w:p>
    <w:tbl>
      <w:tblPr>
        <w:tblW w:w="5000" w:type="pct"/>
        <w:tblBorders>
          <w:bottom w:val="single" w:sz="4" w:space="0" w:color="B3B3B3"/>
        </w:tblBorders>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1341"/>
        <w:gridCol w:w="1933"/>
        <w:gridCol w:w="2142"/>
        <w:gridCol w:w="2082"/>
        <w:gridCol w:w="2140"/>
      </w:tblGrid>
      <w:tr w:rsidR="007F0DC0" w:rsidRPr="00A4099B" w14:paraId="615555ED" w14:textId="77777777" w:rsidTr="003F11CD">
        <w:trPr>
          <w:tblHeader/>
        </w:trPr>
        <w:tc>
          <w:tcPr>
            <w:tcW w:w="696" w:type="pct"/>
            <w:tcBorders>
              <w:bottom w:val="single" w:sz="4" w:space="0" w:color="B3B3B3"/>
            </w:tcBorders>
            <w:vAlign w:val="bottom"/>
          </w:tcPr>
          <w:p w14:paraId="7ABC0D48" w14:textId="77777777" w:rsidR="007F0DC0" w:rsidRPr="00A4099B" w:rsidRDefault="007F0DC0" w:rsidP="00011592">
            <w:pPr>
              <w:pStyle w:val="BodyText"/>
              <w:spacing w:before="45" w:after="45"/>
              <w:ind w:left="57" w:right="108"/>
              <w:rPr>
                <w:rFonts w:cs="Open Sans"/>
                <w:b/>
                <w:color w:val="1D4374"/>
                <w:sz w:val="18"/>
              </w:rPr>
            </w:pPr>
          </w:p>
        </w:tc>
        <w:tc>
          <w:tcPr>
            <w:tcW w:w="2114" w:type="pct"/>
            <w:gridSpan w:val="2"/>
            <w:tcBorders>
              <w:bottom w:val="single" w:sz="4" w:space="0" w:color="B3B3B3"/>
              <w:right w:val="single" w:sz="24" w:space="0" w:color="FFFFFF" w:themeColor="background1"/>
            </w:tcBorders>
            <w:vAlign w:val="bottom"/>
          </w:tcPr>
          <w:p w14:paraId="5E53D0B0" w14:textId="07A317C2" w:rsidR="007F0DC0" w:rsidDel="00A45EED" w:rsidRDefault="007F0DC0" w:rsidP="00011592">
            <w:pPr>
              <w:pStyle w:val="BodyText"/>
              <w:spacing w:before="45" w:after="45"/>
              <w:ind w:left="57" w:right="108"/>
              <w:rPr>
                <w:rFonts w:cs="Open Sans"/>
                <w:b/>
                <w:color w:val="1D4374"/>
                <w:sz w:val="18"/>
              </w:rPr>
            </w:pPr>
            <w:r>
              <w:rPr>
                <w:rFonts w:cs="Open Sans"/>
                <w:b/>
                <w:color w:val="1D4374"/>
                <w:sz w:val="18"/>
              </w:rPr>
              <w:t>Conservative population</w:t>
            </w:r>
          </w:p>
        </w:tc>
        <w:tc>
          <w:tcPr>
            <w:tcW w:w="2190" w:type="pct"/>
            <w:gridSpan w:val="2"/>
            <w:tcBorders>
              <w:left w:val="single" w:sz="24" w:space="0" w:color="FFFFFF" w:themeColor="background1"/>
              <w:bottom w:val="single" w:sz="4" w:space="0" w:color="B3B3B3"/>
            </w:tcBorders>
            <w:vAlign w:val="bottom"/>
          </w:tcPr>
          <w:p w14:paraId="6E3E266F" w14:textId="6AC7AC0F" w:rsidR="007F0DC0" w:rsidRDefault="007F0DC0" w:rsidP="00011592">
            <w:pPr>
              <w:pStyle w:val="BodyText"/>
              <w:spacing w:before="45" w:after="45"/>
              <w:ind w:left="57" w:right="108"/>
              <w:rPr>
                <w:rFonts w:cs="Open Sans"/>
                <w:b/>
                <w:color w:val="1D4374"/>
                <w:sz w:val="18"/>
              </w:rPr>
            </w:pPr>
            <w:r>
              <w:rPr>
                <w:rFonts w:cs="Open Sans"/>
                <w:b/>
                <w:color w:val="1D4374"/>
                <w:sz w:val="18"/>
              </w:rPr>
              <w:t>Expanded population</w:t>
            </w:r>
          </w:p>
        </w:tc>
      </w:tr>
      <w:tr w:rsidR="00401855" w:rsidRPr="00A4099B" w14:paraId="78A069FE" w14:textId="77777777" w:rsidTr="003F11CD">
        <w:trPr>
          <w:tblHeader/>
        </w:trPr>
        <w:tc>
          <w:tcPr>
            <w:tcW w:w="696" w:type="pct"/>
            <w:tcBorders>
              <w:bottom w:val="single" w:sz="4" w:space="0" w:color="B3B3B3"/>
            </w:tcBorders>
            <w:vAlign w:val="bottom"/>
          </w:tcPr>
          <w:p w14:paraId="299D4A57" w14:textId="77777777" w:rsidR="00401855" w:rsidRPr="00A4099B" w:rsidRDefault="00401855" w:rsidP="00011592">
            <w:pPr>
              <w:pStyle w:val="BodyText"/>
              <w:spacing w:before="45" w:after="45"/>
              <w:ind w:left="57" w:right="108"/>
              <w:rPr>
                <w:rFonts w:cs="Open Sans"/>
                <w:b/>
                <w:color w:val="1D4374"/>
                <w:sz w:val="18"/>
              </w:rPr>
            </w:pPr>
          </w:p>
        </w:tc>
        <w:tc>
          <w:tcPr>
            <w:tcW w:w="1003" w:type="pct"/>
            <w:tcBorders>
              <w:bottom w:val="single" w:sz="4" w:space="0" w:color="B3B3B3"/>
            </w:tcBorders>
            <w:vAlign w:val="bottom"/>
          </w:tcPr>
          <w:p w14:paraId="1239B304" w14:textId="77777777" w:rsidR="00401855" w:rsidRPr="00A4099B" w:rsidRDefault="00401855" w:rsidP="003F11CD">
            <w:pPr>
              <w:pStyle w:val="BodyText"/>
              <w:spacing w:before="45" w:after="45"/>
              <w:ind w:left="57" w:right="108"/>
              <w:jc w:val="right"/>
              <w:rPr>
                <w:rFonts w:cs="Open Sans"/>
                <w:b/>
                <w:color w:val="1D4374"/>
                <w:sz w:val="18"/>
              </w:rPr>
            </w:pPr>
            <w:r>
              <w:rPr>
                <w:rFonts w:cs="Open Sans"/>
                <w:b/>
                <w:color w:val="1D4374"/>
                <w:sz w:val="18"/>
              </w:rPr>
              <w:t>Relative imports</w:t>
            </w:r>
          </w:p>
        </w:tc>
        <w:tc>
          <w:tcPr>
            <w:tcW w:w="1111" w:type="pct"/>
            <w:tcBorders>
              <w:bottom w:val="single" w:sz="4" w:space="0" w:color="B3B3B3"/>
              <w:right w:val="single" w:sz="24" w:space="0" w:color="FFFFFF" w:themeColor="background1"/>
            </w:tcBorders>
            <w:vAlign w:val="bottom"/>
          </w:tcPr>
          <w:p w14:paraId="4A9557E6" w14:textId="1E319686" w:rsidR="00401855" w:rsidRPr="00A4099B" w:rsidRDefault="00401855" w:rsidP="003F11CD">
            <w:pPr>
              <w:pStyle w:val="BodyText"/>
              <w:spacing w:before="45" w:after="45"/>
              <w:ind w:left="57" w:right="108"/>
              <w:jc w:val="right"/>
              <w:rPr>
                <w:rFonts w:cs="Open Sans"/>
                <w:b/>
                <w:color w:val="1D4374"/>
                <w:sz w:val="18"/>
              </w:rPr>
            </w:pPr>
            <w:r w:rsidDel="00A45EED">
              <w:rPr>
                <w:rFonts w:cs="Open Sans"/>
                <w:b/>
                <w:color w:val="1D4374"/>
                <w:sz w:val="18"/>
              </w:rPr>
              <w:t>Year</w:t>
            </w:r>
            <w:r w:rsidR="00541146">
              <w:rPr>
                <w:rFonts w:cs="Open Sans"/>
                <w:b/>
                <w:color w:val="1D4374"/>
                <w:sz w:val="18"/>
              </w:rPr>
              <w:noBreakHyphen/>
            </w:r>
            <w:r w:rsidDel="00A45EED">
              <w:rPr>
                <w:rFonts w:cs="Open Sans"/>
                <w:b/>
                <w:color w:val="1D4374"/>
                <w:sz w:val="18"/>
              </w:rPr>
              <w:t>on</w:t>
            </w:r>
            <w:r w:rsidR="00541146">
              <w:rPr>
                <w:rFonts w:cs="Open Sans"/>
                <w:b/>
                <w:color w:val="1D4374"/>
                <w:sz w:val="18"/>
              </w:rPr>
              <w:noBreakHyphen/>
            </w:r>
            <w:r w:rsidDel="00A45EED">
              <w:rPr>
                <w:rFonts w:cs="Open Sans"/>
                <w:b/>
                <w:color w:val="1D4374"/>
                <w:sz w:val="18"/>
              </w:rPr>
              <w:t>year change</w:t>
            </w:r>
          </w:p>
        </w:tc>
        <w:tc>
          <w:tcPr>
            <w:tcW w:w="1080" w:type="pct"/>
            <w:tcBorders>
              <w:left w:val="single" w:sz="24" w:space="0" w:color="FFFFFF" w:themeColor="background1"/>
              <w:bottom w:val="single" w:sz="4" w:space="0" w:color="B3B3B3"/>
            </w:tcBorders>
            <w:vAlign w:val="bottom"/>
          </w:tcPr>
          <w:p w14:paraId="5E59FC47" w14:textId="77777777" w:rsidR="00401855" w:rsidRDefault="00401855" w:rsidP="003F11CD">
            <w:pPr>
              <w:pStyle w:val="BodyText"/>
              <w:spacing w:before="45" w:after="45"/>
              <w:ind w:left="57" w:right="108"/>
              <w:jc w:val="right"/>
              <w:rPr>
                <w:rFonts w:cs="Open Sans"/>
                <w:b/>
                <w:color w:val="1D4374"/>
                <w:sz w:val="18"/>
              </w:rPr>
            </w:pPr>
            <w:r>
              <w:rPr>
                <w:rFonts w:cs="Open Sans"/>
                <w:b/>
                <w:color w:val="1D4374"/>
                <w:sz w:val="18"/>
              </w:rPr>
              <w:t>Relative imports</w:t>
            </w:r>
          </w:p>
        </w:tc>
        <w:tc>
          <w:tcPr>
            <w:tcW w:w="1110" w:type="pct"/>
            <w:tcBorders>
              <w:bottom w:val="single" w:sz="4" w:space="0" w:color="B3B3B3"/>
            </w:tcBorders>
            <w:vAlign w:val="bottom"/>
          </w:tcPr>
          <w:p w14:paraId="3D3014F2" w14:textId="60C353C4" w:rsidR="00401855" w:rsidRDefault="00401855" w:rsidP="003F11CD">
            <w:pPr>
              <w:pStyle w:val="BodyText"/>
              <w:spacing w:before="45" w:after="45"/>
              <w:ind w:left="57" w:right="108"/>
              <w:jc w:val="right"/>
              <w:rPr>
                <w:rFonts w:cs="Open Sans"/>
                <w:b/>
                <w:color w:val="1D4374"/>
                <w:sz w:val="18"/>
              </w:rPr>
            </w:pPr>
            <w:r>
              <w:rPr>
                <w:rFonts w:cs="Open Sans"/>
                <w:b/>
                <w:color w:val="1D4374"/>
                <w:sz w:val="18"/>
              </w:rPr>
              <w:t>Year</w:t>
            </w:r>
            <w:r w:rsidR="00541146">
              <w:rPr>
                <w:rFonts w:cs="Open Sans"/>
                <w:b/>
                <w:color w:val="1D4374"/>
                <w:sz w:val="18"/>
              </w:rPr>
              <w:noBreakHyphen/>
            </w:r>
            <w:r>
              <w:rPr>
                <w:rFonts w:cs="Open Sans"/>
                <w:b/>
                <w:color w:val="1D4374"/>
                <w:sz w:val="18"/>
              </w:rPr>
              <w:t>on</w:t>
            </w:r>
            <w:r w:rsidR="00541146">
              <w:rPr>
                <w:rFonts w:cs="Open Sans"/>
                <w:b/>
                <w:color w:val="1D4374"/>
                <w:sz w:val="18"/>
              </w:rPr>
              <w:noBreakHyphen/>
            </w:r>
            <w:r>
              <w:rPr>
                <w:rFonts w:cs="Open Sans"/>
                <w:b/>
                <w:color w:val="1D4374"/>
                <w:sz w:val="18"/>
              </w:rPr>
              <w:t>year change</w:t>
            </w:r>
          </w:p>
        </w:tc>
      </w:tr>
      <w:tr w:rsidR="0061161E" w:rsidRPr="00A4099B" w14:paraId="3B18F516" w14:textId="77777777" w:rsidTr="003F11CD">
        <w:tc>
          <w:tcPr>
            <w:tcW w:w="696" w:type="pct"/>
            <w:tcBorders>
              <w:top w:val="single" w:sz="4" w:space="0" w:color="B3B3B3"/>
              <w:bottom w:val="nil"/>
            </w:tcBorders>
            <w:shd w:val="clear" w:color="auto" w:fill="E6E6E6"/>
          </w:tcPr>
          <w:p w14:paraId="3D0F2C8F" w14:textId="77777777" w:rsidR="0061161E" w:rsidRPr="00A4099B" w:rsidRDefault="0061161E" w:rsidP="0061161E">
            <w:pPr>
              <w:pStyle w:val="BodyText"/>
              <w:spacing w:before="45" w:after="45"/>
              <w:ind w:left="57" w:right="108"/>
              <w:rPr>
                <w:rFonts w:cs="Open Sans"/>
                <w:b/>
                <w:color w:val="1D4374"/>
                <w:sz w:val="18"/>
              </w:rPr>
            </w:pPr>
            <w:r w:rsidRPr="00A4099B">
              <w:rPr>
                <w:rFonts w:cs="Open Sans"/>
                <w:b/>
                <w:color w:val="1D4374"/>
                <w:sz w:val="18"/>
              </w:rPr>
              <w:t>2020</w:t>
            </w:r>
            <w:r>
              <w:rPr>
                <w:rFonts w:cs="Open Sans"/>
                <w:b/>
                <w:color w:val="1D4374"/>
                <w:sz w:val="18"/>
              </w:rPr>
              <w:t>–</w:t>
            </w:r>
            <w:r w:rsidRPr="00A4099B">
              <w:rPr>
                <w:rFonts w:cs="Open Sans"/>
                <w:b/>
                <w:color w:val="1D4374"/>
                <w:sz w:val="18"/>
              </w:rPr>
              <w:t>21</w:t>
            </w:r>
          </w:p>
        </w:tc>
        <w:tc>
          <w:tcPr>
            <w:tcW w:w="1003" w:type="pct"/>
            <w:tcBorders>
              <w:top w:val="single" w:sz="4" w:space="0" w:color="B3B3B3"/>
              <w:bottom w:val="nil"/>
            </w:tcBorders>
            <w:shd w:val="clear" w:color="auto" w:fill="E6E6E6"/>
          </w:tcPr>
          <w:p w14:paraId="0A2D4A63" w14:textId="2EAEFF2D" w:rsidR="0061161E" w:rsidRPr="00556962" w:rsidRDefault="0061161E" w:rsidP="00040F8C">
            <w:pPr>
              <w:pStyle w:val="BodyText"/>
              <w:spacing w:before="45" w:after="45"/>
              <w:ind w:left="57" w:right="108"/>
              <w:jc w:val="right"/>
              <w:rPr>
                <w:rFonts w:cs="Open Sans"/>
                <w:sz w:val="18"/>
                <w:szCs w:val="18"/>
              </w:rPr>
            </w:pPr>
            <w:r w:rsidRPr="00556962">
              <w:rPr>
                <w:sz w:val="18"/>
                <w:szCs w:val="18"/>
              </w:rPr>
              <w:t>94.1%</w:t>
            </w:r>
          </w:p>
        </w:tc>
        <w:tc>
          <w:tcPr>
            <w:tcW w:w="1111" w:type="pct"/>
            <w:tcBorders>
              <w:top w:val="single" w:sz="4" w:space="0" w:color="B3B3B3"/>
              <w:bottom w:val="nil"/>
              <w:right w:val="single" w:sz="24" w:space="0" w:color="FFFFFF" w:themeColor="background1"/>
            </w:tcBorders>
            <w:shd w:val="clear" w:color="auto" w:fill="E6E6E6"/>
          </w:tcPr>
          <w:p w14:paraId="068B62AE" w14:textId="77777777" w:rsidR="0061161E" w:rsidRPr="00556962" w:rsidRDefault="0061161E" w:rsidP="00040F8C">
            <w:pPr>
              <w:pStyle w:val="BodyText"/>
              <w:spacing w:before="45" w:after="45"/>
              <w:ind w:left="57" w:right="108"/>
              <w:jc w:val="right"/>
              <w:rPr>
                <w:rFonts w:cs="Open Sans"/>
                <w:sz w:val="18"/>
                <w:szCs w:val="18"/>
              </w:rPr>
            </w:pPr>
          </w:p>
        </w:tc>
        <w:tc>
          <w:tcPr>
            <w:tcW w:w="1080" w:type="pct"/>
            <w:tcBorders>
              <w:top w:val="single" w:sz="4" w:space="0" w:color="B3B3B3"/>
              <w:left w:val="single" w:sz="24" w:space="0" w:color="FFFFFF" w:themeColor="background1"/>
              <w:bottom w:val="nil"/>
            </w:tcBorders>
            <w:shd w:val="clear" w:color="auto" w:fill="E6E6E6"/>
          </w:tcPr>
          <w:p w14:paraId="2C554EDB" w14:textId="2BB27DB4" w:rsidR="0061161E" w:rsidRPr="00556962" w:rsidRDefault="0061161E" w:rsidP="00040F8C">
            <w:pPr>
              <w:pStyle w:val="BodyText"/>
              <w:spacing w:before="45" w:after="45"/>
              <w:ind w:left="57" w:right="108"/>
              <w:jc w:val="right"/>
              <w:rPr>
                <w:rFonts w:cs="Open Sans"/>
                <w:sz w:val="18"/>
                <w:szCs w:val="18"/>
              </w:rPr>
            </w:pPr>
            <w:r w:rsidRPr="00556962">
              <w:rPr>
                <w:sz w:val="18"/>
                <w:szCs w:val="18"/>
              </w:rPr>
              <w:t>63.5%</w:t>
            </w:r>
          </w:p>
        </w:tc>
        <w:tc>
          <w:tcPr>
            <w:tcW w:w="1110" w:type="pct"/>
            <w:tcBorders>
              <w:top w:val="single" w:sz="4" w:space="0" w:color="B3B3B3"/>
              <w:bottom w:val="nil"/>
            </w:tcBorders>
            <w:shd w:val="clear" w:color="auto" w:fill="E6E6E6"/>
          </w:tcPr>
          <w:p w14:paraId="5FBEF063" w14:textId="77777777" w:rsidR="0061161E" w:rsidRPr="00556962" w:rsidRDefault="0061161E" w:rsidP="00040F8C">
            <w:pPr>
              <w:pStyle w:val="BodyText"/>
              <w:spacing w:before="45" w:after="45"/>
              <w:ind w:left="57" w:right="108"/>
              <w:jc w:val="right"/>
              <w:rPr>
                <w:rFonts w:cs="Open Sans"/>
                <w:sz w:val="18"/>
                <w:szCs w:val="18"/>
              </w:rPr>
            </w:pPr>
          </w:p>
        </w:tc>
      </w:tr>
      <w:tr w:rsidR="000A2243" w:rsidRPr="00A4099B" w14:paraId="20236F61" w14:textId="77777777" w:rsidTr="003F11CD">
        <w:tc>
          <w:tcPr>
            <w:tcW w:w="696" w:type="pct"/>
            <w:tcBorders>
              <w:top w:val="nil"/>
              <w:bottom w:val="nil"/>
            </w:tcBorders>
          </w:tcPr>
          <w:p w14:paraId="477F0EC7" w14:textId="77777777" w:rsidR="000A2243" w:rsidRPr="00A4099B" w:rsidRDefault="000A2243" w:rsidP="000A2243">
            <w:pPr>
              <w:pStyle w:val="BodyText"/>
              <w:spacing w:before="45" w:after="45"/>
              <w:ind w:left="57" w:right="108"/>
              <w:rPr>
                <w:rFonts w:cs="Open Sans"/>
                <w:b/>
                <w:color w:val="1D4374"/>
                <w:sz w:val="18"/>
              </w:rPr>
            </w:pPr>
            <w:r w:rsidRPr="00A4099B">
              <w:rPr>
                <w:rFonts w:cs="Open Sans"/>
                <w:b/>
                <w:color w:val="1D4374"/>
                <w:sz w:val="18"/>
              </w:rPr>
              <w:t>2021</w:t>
            </w:r>
            <w:r>
              <w:rPr>
                <w:rFonts w:cs="Open Sans"/>
                <w:b/>
                <w:color w:val="1D4374"/>
                <w:sz w:val="18"/>
              </w:rPr>
              <w:t>–</w:t>
            </w:r>
            <w:r w:rsidRPr="00A4099B">
              <w:rPr>
                <w:rFonts w:cs="Open Sans"/>
                <w:b/>
                <w:color w:val="1D4374"/>
                <w:sz w:val="18"/>
              </w:rPr>
              <w:t>22</w:t>
            </w:r>
          </w:p>
        </w:tc>
        <w:tc>
          <w:tcPr>
            <w:tcW w:w="1003" w:type="pct"/>
            <w:tcBorders>
              <w:top w:val="nil"/>
              <w:bottom w:val="nil"/>
            </w:tcBorders>
          </w:tcPr>
          <w:p w14:paraId="7066D490" w14:textId="578145C8" w:rsidR="000A2243" w:rsidRPr="00556962" w:rsidRDefault="000A2243" w:rsidP="00040F8C">
            <w:pPr>
              <w:pStyle w:val="BodyText"/>
              <w:spacing w:before="45" w:after="45"/>
              <w:ind w:left="57" w:right="108"/>
              <w:jc w:val="right"/>
              <w:rPr>
                <w:rFonts w:cs="Open Sans"/>
                <w:sz w:val="18"/>
                <w:szCs w:val="18"/>
              </w:rPr>
            </w:pPr>
            <w:r w:rsidRPr="00556962">
              <w:rPr>
                <w:sz w:val="18"/>
                <w:szCs w:val="18"/>
              </w:rPr>
              <w:t>122.5%</w:t>
            </w:r>
          </w:p>
        </w:tc>
        <w:tc>
          <w:tcPr>
            <w:tcW w:w="1111" w:type="pct"/>
            <w:tcBorders>
              <w:top w:val="nil"/>
              <w:bottom w:val="nil"/>
              <w:right w:val="single" w:sz="24" w:space="0" w:color="FFFFFF" w:themeColor="background1"/>
            </w:tcBorders>
          </w:tcPr>
          <w:p w14:paraId="33F58436" w14:textId="75F37E3D" w:rsidR="000A2243" w:rsidRPr="00556962" w:rsidRDefault="000A2243" w:rsidP="00040F8C">
            <w:pPr>
              <w:pStyle w:val="BodyText"/>
              <w:spacing w:before="45" w:after="45"/>
              <w:ind w:left="57" w:right="108"/>
              <w:jc w:val="right"/>
              <w:rPr>
                <w:rFonts w:cs="Open Sans"/>
                <w:sz w:val="18"/>
                <w:szCs w:val="18"/>
              </w:rPr>
            </w:pPr>
            <w:r w:rsidRPr="00556962">
              <w:rPr>
                <w:sz w:val="18"/>
                <w:szCs w:val="18"/>
              </w:rPr>
              <w:t>+28.4 pp</w:t>
            </w:r>
          </w:p>
        </w:tc>
        <w:tc>
          <w:tcPr>
            <w:tcW w:w="1080" w:type="pct"/>
            <w:tcBorders>
              <w:top w:val="nil"/>
              <w:left w:val="single" w:sz="24" w:space="0" w:color="FFFFFF" w:themeColor="background1"/>
              <w:bottom w:val="nil"/>
            </w:tcBorders>
          </w:tcPr>
          <w:p w14:paraId="6CDDD4AB" w14:textId="1DAEE3BD" w:rsidR="000A2243" w:rsidRPr="00556962" w:rsidRDefault="000A2243" w:rsidP="00040F8C">
            <w:pPr>
              <w:pStyle w:val="BodyText"/>
              <w:spacing w:before="45" w:after="45"/>
              <w:ind w:left="57" w:right="108"/>
              <w:jc w:val="right"/>
              <w:rPr>
                <w:sz w:val="18"/>
                <w:szCs w:val="18"/>
              </w:rPr>
            </w:pPr>
            <w:r w:rsidRPr="00556962">
              <w:rPr>
                <w:sz w:val="18"/>
                <w:szCs w:val="18"/>
              </w:rPr>
              <w:t>81.5%</w:t>
            </w:r>
          </w:p>
        </w:tc>
        <w:tc>
          <w:tcPr>
            <w:tcW w:w="1110" w:type="pct"/>
            <w:tcBorders>
              <w:top w:val="nil"/>
              <w:bottom w:val="nil"/>
            </w:tcBorders>
          </w:tcPr>
          <w:p w14:paraId="1534A826" w14:textId="50E0F10F" w:rsidR="000A2243" w:rsidRPr="00556962" w:rsidRDefault="000A2243" w:rsidP="00040F8C">
            <w:pPr>
              <w:pStyle w:val="BodyText"/>
              <w:spacing w:before="45" w:after="45"/>
              <w:ind w:left="57" w:right="108"/>
              <w:jc w:val="right"/>
              <w:rPr>
                <w:sz w:val="18"/>
                <w:szCs w:val="18"/>
              </w:rPr>
            </w:pPr>
            <w:r w:rsidRPr="00556962">
              <w:rPr>
                <w:sz w:val="18"/>
                <w:szCs w:val="18"/>
              </w:rPr>
              <w:t>+18.0 pp</w:t>
            </w:r>
          </w:p>
        </w:tc>
      </w:tr>
      <w:tr w:rsidR="000A2243" w:rsidRPr="00A4099B" w14:paraId="34C31879" w14:textId="77777777" w:rsidTr="003F11CD">
        <w:tc>
          <w:tcPr>
            <w:tcW w:w="696" w:type="pct"/>
            <w:tcBorders>
              <w:bottom w:val="nil"/>
            </w:tcBorders>
            <w:shd w:val="clear" w:color="auto" w:fill="E6E6E6"/>
          </w:tcPr>
          <w:p w14:paraId="0A74B136" w14:textId="77777777" w:rsidR="000A2243" w:rsidRPr="00A4099B" w:rsidRDefault="000A2243" w:rsidP="000A2243">
            <w:pPr>
              <w:pStyle w:val="BodyText"/>
              <w:spacing w:before="45" w:after="45"/>
              <w:ind w:left="57" w:right="108"/>
              <w:rPr>
                <w:rFonts w:cs="Open Sans"/>
                <w:b/>
                <w:color w:val="1D4374"/>
                <w:sz w:val="18"/>
              </w:rPr>
            </w:pPr>
            <w:r w:rsidRPr="00A4099B">
              <w:rPr>
                <w:rFonts w:cs="Open Sans"/>
                <w:b/>
                <w:color w:val="1D4374"/>
                <w:sz w:val="18"/>
              </w:rPr>
              <w:t>2022</w:t>
            </w:r>
            <w:r>
              <w:rPr>
                <w:rFonts w:cs="Open Sans"/>
                <w:b/>
                <w:color w:val="1D4374"/>
                <w:sz w:val="18"/>
              </w:rPr>
              <w:t>–</w:t>
            </w:r>
            <w:r w:rsidRPr="00A4099B">
              <w:rPr>
                <w:rFonts w:cs="Open Sans"/>
                <w:b/>
                <w:color w:val="1D4374"/>
                <w:sz w:val="18"/>
              </w:rPr>
              <w:t>23</w:t>
            </w:r>
          </w:p>
        </w:tc>
        <w:tc>
          <w:tcPr>
            <w:tcW w:w="1003" w:type="pct"/>
            <w:tcBorders>
              <w:bottom w:val="nil"/>
            </w:tcBorders>
            <w:shd w:val="clear" w:color="auto" w:fill="E6E6E6"/>
          </w:tcPr>
          <w:p w14:paraId="39BF1758" w14:textId="356C40FD" w:rsidR="000A2243" w:rsidRPr="00556962" w:rsidRDefault="000A2243" w:rsidP="00040F8C">
            <w:pPr>
              <w:pStyle w:val="BodyText"/>
              <w:spacing w:before="45" w:after="45"/>
              <w:ind w:left="57" w:right="108"/>
              <w:jc w:val="right"/>
              <w:rPr>
                <w:rFonts w:cs="Open Sans"/>
                <w:sz w:val="18"/>
                <w:szCs w:val="18"/>
              </w:rPr>
            </w:pPr>
            <w:r w:rsidRPr="00556962">
              <w:rPr>
                <w:sz w:val="18"/>
                <w:szCs w:val="18"/>
              </w:rPr>
              <w:t>105.9%</w:t>
            </w:r>
          </w:p>
        </w:tc>
        <w:tc>
          <w:tcPr>
            <w:tcW w:w="1111" w:type="pct"/>
            <w:tcBorders>
              <w:bottom w:val="nil"/>
              <w:right w:val="single" w:sz="24" w:space="0" w:color="FFFFFF" w:themeColor="background1"/>
            </w:tcBorders>
            <w:shd w:val="clear" w:color="auto" w:fill="E6E6E6"/>
          </w:tcPr>
          <w:p w14:paraId="72EF63AE" w14:textId="12CFF827" w:rsidR="000A2243" w:rsidRPr="00556962" w:rsidRDefault="00541146" w:rsidP="00040F8C">
            <w:pPr>
              <w:pStyle w:val="BodyText"/>
              <w:spacing w:before="45" w:after="45"/>
              <w:ind w:left="57" w:right="108"/>
              <w:jc w:val="right"/>
              <w:rPr>
                <w:rFonts w:cs="Open Sans"/>
                <w:sz w:val="18"/>
                <w:szCs w:val="18"/>
              </w:rPr>
            </w:pPr>
            <w:r w:rsidRPr="00556962">
              <w:rPr>
                <w:sz w:val="18"/>
                <w:szCs w:val="18"/>
              </w:rPr>
              <w:noBreakHyphen/>
            </w:r>
            <w:r w:rsidR="000A2243" w:rsidRPr="00556962">
              <w:rPr>
                <w:sz w:val="18"/>
                <w:szCs w:val="18"/>
              </w:rPr>
              <w:t>16.7 pp</w:t>
            </w:r>
          </w:p>
        </w:tc>
        <w:tc>
          <w:tcPr>
            <w:tcW w:w="1080" w:type="pct"/>
            <w:tcBorders>
              <w:left w:val="single" w:sz="24" w:space="0" w:color="FFFFFF" w:themeColor="background1"/>
              <w:bottom w:val="nil"/>
            </w:tcBorders>
            <w:shd w:val="clear" w:color="auto" w:fill="E6E6E6"/>
          </w:tcPr>
          <w:p w14:paraId="64D00CCF" w14:textId="442A4B60" w:rsidR="000A2243" w:rsidRPr="00556962" w:rsidRDefault="000A2243" w:rsidP="00040F8C">
            <w:pPr>
              <w:pStyle w:val="BodyText"/>
              <w:spacing w:before="45" w:after="45"/>
              <w:ind w:left="57" w:right="108"/>
              <w:jc w:val="right"/>
              <w:rPr>
                <w:sz w:val="18"/>
                <w:szCs w:val="18"/>
              </w:rPr>
            </w:pPr>
            <w:r w:rsidRPr="00556962">
              <w:rPr>
                <w:sz w:val="18"/>
                <w:szCs w:val="18"/>
              </w:rPr>
              <w:t>71.9%</w:t>
            </w:r>
          </w:p>
        </w:tc>
        <w:tc>
          <w:tcPr>
            <w:tcW w:w="1110" w:type="pct"/>
            <w:tcBorders>
              <w:bottom w:val="nil"/>
            </w:tcBorders>
            <w:shd w:val="clear" w:color="auto" w:fill="E6E6E6"/>
          </w:tcPr>
          <w:p w14:paraId="1C88521E" w14:textId="4A381E15" w:rsidR="000A2243" w:rsidRPr="00556962" w:rsidRDefault="000A2243" w:rsidP="00040F8C">
            <w:pPr>
              <w:pStyle w:val="BodyText"/>
              <w:spacing w:before="45" w:after="45"/>
              <w:ind w:left="57" w:right="108"/>
              <w:jc w:val="right"/>
              <w:rPr>
                <w:sz w:val="18"/>
                <w:szCs w:val="18"/>
              </w:rPr>
            </w:pPr>
            <w:r w:rsidRPr="00556962">
              <w:rPr>
                <w:sz w:val="18"/>
                <w:szCs w:val="18"/>
              </w:rPr>
              <w:t xml:space="preserve"> </w:t>
            </w:r>
            <w:r w:rsidR="00541146" w:rsidRPr="00556962">
              <w:rPr>
                <w:sz w:val="18"/>
                <w:szCs w:val="18"/>
              </w:rPr>
              <w:noBreakHyphen/>
            </w:r>
            <w:r w:rsidRPr="00556962">
              <w:rPr>
                <w:sz w:val="18"/>
                <w:szCs w:val="18"/>
              </w:rPr>
              <w:t>9.6 pp</w:t>
            </w:r>
          </w:p>
        </w:tc>
      </w:tr>
      <w:tr w:rsidR="000A2243" w:rsidRPr="00A4099B" w14:paraId="1777916F" w14:textId="77777777" w:rsidTr="003F11CD">
        <w:tc>
          <w:tcPr>
            <w:tcW w:w="696" w:type="pct"/>
            <w:tcBorders>
              <w:top w:val="nil"/>
              <w:bottom w:val="nil"/>
            </w:tcBorders>
          </w:tcPr>
          <w:p w14:paraId="3B8EB00D" w14:textId="77777777" w:rsidR="000A2243" w:rsidRPr="00A4099B" w:rsidRDefault="000A2243" w:rsidP="000A2243">
            <w:pPr>
              <w:pStyle w:val="BodyText"/>
              <w:spacing w:before="45" w:after="45"/>
              <w:ind w:left="57" w:right="108"/>
              <w:rPr>
                <w:rFonts w:cs="Open Sans"/>
                <w:b/>
                <w:color w:val="1D4374"/>
                <w:sz w:val="18"/>
              </w:rPr>
            </w:pPr>
            <w:r w:rsidRPr="00A4099B">
              <w:rPr>
                <w:rFonts w:cs="Open Sans"/>
                <w:b/>
                <w:color w:val="1D4374"/>
                <w:sz w:val="18"/>
              </w:rPr>
              <w:t>2023</w:t>
            </w:r>
            <w:r>
              <w:rPr>
                <w:rFonts w:cs="Open Sans"/>
                <w:b/>
                <w:color w:val="1D4374"/>
                <w:sz w:val="18"/>
              </w:rPr>
              <w:t>–</w:t>
            </w:r>
            <w:r w:rsidRPr="00A4099B">
              <w:rPr>
                <w:rFonts w:cs="Open Sans"/>
                <w:b/>
                <w:color w:val="1D4374"/>
                <w:sz w:val="18"/>
              </w:rPr>
              <w:t>24</w:t>
            </w:r>
          </w:p>
        </w:tc>
        <w:tc>
          <w:tcPr>
            <w:tcW w:w="1003" w:type="pct"/>
            <w:tcBorders>
              <w:top w:val="nil"/>
              <w:bottom w:val="nil"/>
            </w:tcBorders>
          </w:tcPr>
          <w:p w14:paraId="6C04B13F" w14:textId="331E8F25" w:rsidR="000A2243" w:rsidRPr="00556962" w:rsidRDefault="000A2243" w:rsidP="00040F8C">
            <w:pPr>
              <w:pStyle w:val="BodyText"/>
              <w:spacing w:before="45" w:after="45"/>
              <w:ind w:left="57" w:right="108"/>
              <w:jc w:val="right"/>
              <w:rPr>
                <w:rFonts w:cs="Open Sans"/>
                <w:sz w:val="18"/>
                <w:szCs w:val="18"/>
              </w:rPr>
            </w:pPr>
            <w:r w:rsidRPr="00556962">
              <w:rPr>
                <w:sz w:val="18"/>
                <w:szCs w:val="18"/>
              </w:rPr>
              <w:t>106.8%</w:t>
            </w:r>
          </w:p>
        </w:tc>
        <w:tc>
          <w:tcPr>
            <w:tcW w:w="1111" w:type="pct"/>
            <w:tcBorders>
              <w:top w:val="nil"/>
              <w:bottom w:val="nil"/>
              <w:right w:val="single" w:sz="24" w:space="0" w:color="FFFFFF" w:themeColor="background1"/>
            </w:tcBorders>
          </w:tcPr>
          <w:p w14:paraId="0B10A584" w14:textId="0528EA74" w:rsidR="000A2243" w:rsidRPr="00556962" w:rsidRDefault="000A2243" w:rsidP="00040F8C">
            <w:pPr>
              <w:pStyle w:val="BodyText"/>
              <w:spacing w:before="45" w:after="45"/>
              <w:ind w:left="57" w:right="108"/>
              <w:jc w:val="right"/>
              <w:rPr>
                <w:rFonts w:cs="Open Sans"/>
                <w:sz w:val="18"/>
                <w:szCs w:val="18"/>
              </w:rPr>
            </w:pPr>
            <w:r w:rsidRPr="00556962">
              <w:rPr>
                <w:sz w:val="18"/>
                <w:szCs w:val="18"/>
              </w:rPr>
              <w:t>+0.9 pp</w:t>
            </w:r>
          </w:p>
        </w:tc>
        <w:tc>
          <w:tcPr>
            <w:tcW w:w="1080" w:type="pct"/>
            <w:tcBorders>
              <w:top w:val="nil"/>
              <w:left w:val="single" w:sz="24" w:space="0" w:color="FFFFFF" w:themeColor="background1"/>
              <w:bottom w:val="nil"/>
            </w:tcBorders>
          </w:tcPr>
          <w:p w14:paraId="18AA7486" w14:textId="456DAA6C" w:rsidR="000A2243" w:rsidRPr="00556962" w:rsidRDefault="000A2243" w:rsidP="00040F8C">
            <w:pPr>
              <w:pStyle w:val="BodyText"/>
              <w:spacing w:before="45" w:after="45"/>
              <w:ind w:left="57" w:right="108"/>
              <w:jc w:val="right"/>
              <w:rPr>
                <w:sz w:val="18"/>
                <w:szCs w:val="18"/>
              </w:rPr>
            </w:pPr>
            <w:r w:rsidRPr="00556962">
              <w:rPr>
                <w:sz w:val="18"/>
                <w:szCs w:val="18"/>
              </w:rPr>
              <w:t>71.6%</w:t>
            </w:r>
          </w:p>
        </w:tc>
        <w:tc>
          <w:tcPr>
            <w:tcW w:w="1110" w:type="pct"/>
            <w:tcBorders>
              <w:top w:val="nil"/>
              <w:bottom w:val="nil"/>
            </w:tcBorders>
          </w:tcPr>
          <w:p w14:paraId="5E44FBAA" w14:textId="489BEA75" w:rsidR="000A2243" w:rsidRPr="00556962" w:rsidRDefault="00541146" w:rsidP="00040F8C">
            <w:pPr>
              <w:pStyle w:val="BodyText"/>
              <w:spacing w:before="45" w:after="45"/>
              <w:ind w:left="57" w:right="108"/>
              <w:jc w:val="right"/>
              <w:rPr>
                <w:sz w:val="18"/>
                <w:szCs w:val="18"/>
              </w:rPr>
            </w:pPr>
            <w:r w:rsidRPr="00556962">
              <w:rPr>
                <w:sz w:val="18"/>
                <w:szCs w:val="18"/>
              </w:rPr>
              <w:noBreakHyphen/>
            </w:r>
            <w:r w:rsidR="000A2243" w:rsidRPr="00556962">
              <w:rPr>
                <w:sz w:val="18"/>
                <w:szCs w:val="18"/>
              </w:rPr>
              <w:t>0.3 pp</w:t>
            </w:r>
          </w:p>
        </w:tc>
      </w:tr>
      <w:tr w:rsidR="000A2243" w:rsidRPr="00A4099B" w14:paraId="0824B7C6" w14:textId="77777777" w:rsidTr="003F11CD">
        <w:tc>
          <w:tcPr>
            <w:tcW w:w="696" w:type="pct"/>
            <w:tcBorders>
              <w:top w:val="nil"/>
            </w:tcBorders>
            <w:shd w:val="clear" w:color="auto" w:fill="E6E6E6"/>
          </w:tcPr>
          <w:p w14:paraId="61131FA5" w14:textId="77777777" w:rsidR="000A2243" w:rsidRPr="00A4099B" w:rsidRDefault="000A2243" w:rsidP="000A2243">
            <w:pPr>
              <w:pStyle w:val="BodyText"/>
              <w:spacing w:before="45" w:after="45"/>
              <w:ind w:left="57" w:right="108"/>
              <w:rPr>
                <w:rFonts w:cs="Open Sans"/>
                <w:b/>
                <w:color w:val="1D4374"/>
                <w:sz w:val="18"/>
              </w:rPr>
            </w:pPr>
            <w:r w:rsidRPr="00A4099B">
              <w:rPr>
                <w:rFonts w:cs="Open Sans"/>
                <w:b/>
                <w:color w:val="1D4374"/>
                <w:sz w:val="18"/>
              </w:rPr>
              <w:t>2024</w:t>
            </w:r>
            <w:r>
              <w:rPr>
                <w:rFonts w:cs="Open Sans"/>
                <w:b/>
                <w:color w:val="1D4374"/>
                <w:sz w:val="18"/>
              </w:rPr>
              <w:t>–</w:t>
            </w:r>
            <w:r w:rsidRPr="00A4099B">
              <w:rPr>
                <w:rFonts w:cs="Open Sans"/>
                <w:b/>
                <w:color w:val="1D4374"/>
                <w:sz w:val="18"/>
              </w:rPr>
              <w:t>25</w:t>
            </w:r>
          </w:p>
        </w:tc>
        <w:tc>
          <w:tcPr>
            <w:tcW w:w="1003" w:type="pct"/>
            <w:tcBorders>
              <w:top w:val="nil"/>
            </w:tcBorders>
            <w:shd w:val="clear" w:color="auto" w:fill="E6E6E6"/>
          </w:tcPr>
          <w:p w14:paraId="35B1F25B" w14:textId="1FC9895E" w:rsidR="000A2243" w:rsidRPr="00556962" w:rsidRDefault="000A2243" w:rsidP="00040F8C">
            <w:pPr>
              <w:pStyle w:val="BodyText"/>
              <w:spacing w:before="45" w:after="45"/>
              <w:ind w:left="57" w:right="108"/>
              <w:jc w:val="right"/>
              <w:rPr>
                <w:rFonts w:cs="Open Sans"/>
                <w:sz w:val="18"/>
                <w:szCs w:val="18"/>
              </w:rPr>
            </w:pPr>
            <w:r w:rsidRPr="00556962">
              <w:rPr>
                <w:sz w:val="18"/>
                <w:szCs w:val="18"/>
              </w:rPr>
              <w:t>105.3%</w:t>
            </w:r>
          </w:p>
        </w:tc>
        <w:tc>
          <w:tcPr>
            <w:tcW w:w="1111" w:type="pct"/>
            <w:tcBorders>
              <w:top w:val="nil"/>
              <w:bottom w:val="single" w:sz="4" w:space="0" w:color="B3B3B3"/>
              <w:right w:val="single" w:sz="24" w:space="0" w:color="FFFFFF" w:themeColor="background1"/>
            </w:tcBorders>
            <w:shd w:val="clear" w:color="auto" w:fill="E6E6E6"/>
          </w:tcPr>
          <w:p w14:paraId="06AB58BD" w14:textId="490EF0CB" w:rsidR="000A2243" w:rsidRPr="00556962" w:rsidRDefault="00541146" w:rsidP="00040F8C">
            <w:pPr>
              <w:pStyle w:val="BodyText"/>
              <w:spacing w:before="45" w:after="45"/>
              <w:ind w:left="57" w:right="108"/>
              <w:jc w:val="right"/>
              <w:rPr>
                <w:rFonts w:cs="Open Sans"/>
                <w:sz w:val="18"/>
                <w:szCs w:val="18"/>
              </w:rPr>
            </w:pPr>
            <w:r w:rsidRPr="00556962">
              <w:rPr>
                <w:sz w:val="18"/>
                <w:szCs w:val="18"/>
              </w:rPr>
              <w:noBreakHyphen/>
            </w:r>
            <w:r w:rsidR="000A2243" w:rsidRPr="00556962">
              <w:rPr>
                <w:sz w:val="18"/>
                <w:szCs w:val="18"/>
              </w:rPr>
              <w:t>1.5 pp</w:t>
            </w:r>
          </w:p>
        </w:tc>
        <w:tc>
          <w:tcPr>
            <w:tcW w:w="1080" w:type="pct"/>
            <w:tcBorders>
              <w:top w:val="nil"/>
              <w:left w:val="single" w:sz="24" w:space="0" w:color="FFFFFF" w:themeColor="background1"/>
            </w:tcBorders>
            <w:shd w:val="clear" w:color="auto" w:fill="E6E6E6"/>
          </w:tcPr>
          <w:p w14:paraId="76780FAB" w14:textId="64CDC6B9" w:rsidR="000A2243" w:rsidRPr="00556962" w:rsidRDefault="000A2243" w:rsidP="00040F8C">
            <w:pPr>
              <w:pStyle w:val="BodyText"/>
              <w:spacing w:before="45" w:after="45"/>
              <w:ind w:left="57" w:right="108"/>
              <w:jc w:val="right"/>
              <w:rPr>
                <w:sz w:val="18"/>
                <w:szCs w:val="18"/>
              </w:rPr>
            </w:pPr>
            <w:r w:rsidRPr="00556962">
              <w:rPr>
                <w:sz w:val="18"/>
                <w:szCs w:val="18"/>
              </w:rPr>
              <w:t>75.3%</w:t>
            </w:r>
          </w:p>
        </w:tc>
        <w:tc>
          <w:tcPr>
            <w:tcW w:w="1110" w:type="pct"/>
            <w:tcBorders>
              <w:top w:val="nil"/>
            </w:tcBorders>
            <w:shd w:val="clear" w:color="auto" w:fill="E6E6E6"/>
          </w:tcPr>
          <w:p w14:paraId="76FDF81F" w14:textId="71F99A41" w:rsidR="000A2243" w:rsidRPr="00556962" w:rsidRDefault="000A2243" w:rsidP="00040F8C">
            <w:pPr>
              <w:pStyle w:val="BodyText"/>
              <w:spacing w:before="45" w:after="45"/>
              <w:ind w:left="57" w:right="108"/>
              <w:jc w:val="right"/>
              <w:rPr>
                <w:sz w:val="18"/>
                <w:szCs w:val="18"/>
              </w:rPr>
            </w:pPr>
            <w:r w:rsidRPr="00556962">
              <w:rPr>
                <w:sz w:val="18"/>
                <w:szCs w:val="18"/>
              </w:rPr>
              <w:t xml:space="preserve"> +3.7 pp</w:t>
            </w:r>
          </w:p>
        </w:tc>
      </w:tr>
    </w:tbl>
    <w:p w14:paraId="03AAD9CF" w14:textId="6ED50722" w:rsidR="00401855" w:rsidRDefault="00401855" w:rsidP="00011592">
      <w:pPr>
        <w:pStyle w:val="Note"/>
      </w:pPr>
      <w:r>
        <w:t xml:space="preserve">Cost of sales data used to estimate domestic production (and so relative imports) is not available for 2024–25, so 2024–25 domestic production is estimated based on the historical relationship between cost of sales and turnover, which is available for 2024–25. The approach to estimating domestic production and values for 2024–25 </w:t>
      </w:r>
      <w:proofErr w:type="gramStart"/>
      <w:r>
        <w:t>are</w:t>
      </w:r>
      <w:proofErr w:type="gramEnd"/>
      <w:r>
        <w:t xml:space="preserve"> discussed in appendix</w:t>
      </w:r>
      <w:r w:rsidR="00541146">
        <w:t> </w:t>
      </w:r>
      <w:r>
        <w:t>B. Figures for relative imports and year</w:t>
      </w:r>
      <w:r w:rsidR="00541146">
        <w:noBreakHyphen/>
      </w:r>
      <w:r>
        <w:t>on</w:t>
      </w:r>
      <w:r w:rsidR="00541146">
        <w:noBreakHyphen/>
      </w:r>
      <w:r>
        <w:t>year change are inconsistent due to rounding.</w:t>
      </w:r>
    </w:p>
    <w:p w14:paraId="4C729A7D" w14:textId="77777777" w:rsidR="00401855" w:rsidRDefault="00401855" w:rsidP="00011592">
      <w:pPr>
        <w:pStyle w:val="Source"/>
      </w:pPr>
      <w:r>
        <w:t>Source: PC analysis using ABS data and confidential information from key industry stakeholders.</w:t>
      </w:r>
      <w:r w:rsidRPr="00ED5AF2" w:rsidDel="007E4184">
        <w:rPr>
          <w:color w:val="A22D2B"/>
        </w:rPr>
        <w:t xml:space="preserve"> </w:t>
      </w:r>
    </w:p>
    <w:p w14:paraId="639D8167" w14:textId="2D720914" w:rsidR="00401855" w:rsidRDefault="00401855" w:rsidP="00011592">
      <w:pPr>
        <w:pStyle w:val="Caption"/>
      </w:pPr>
      <w:bookmarkStart w:id="22" w:name="_Ref238051982"/>
      <w:bookmarkStart w:id="23" w:name="_Ref238069064"/>
      <w:r w:rsidRPr="00A235D5">
        <w:t>Figure</w:t>
      </w:r>
      <w:r w:rsidR="00541146">
        <w:t> </w:t>
      </w:r>
      <w:r w:rsidR="00C56C9B">
        <w:rPr>
          <w:noProof/>
        </w:rPr>
        <w:t>3</w:t>
      </w:r>
      <w:r>
        <w:t>.</w:t>
      </w:r>
      <w:bookmarkEnd w:id="22"/>
      <w:r w:rsidR="00541021">
        <w:t>3</w:t>
      </w:r>
      <w:r w:rsidRPr="00A235D5">
        <w:t xml:space="preserve"> – Imports relative to domestic production</w:t>
      </w:r>
      <w:bookmarkEnd w:id="23"/>
    </w:p>
    <w:p w14:paraId="2C7A3E03" w14:textId="6080DF7A" w:rsidR="00401855" w:rsidRDefault="00401855" w:rsidP="00011592">
      <w:pPr>
        <w:pStyle w:val="FigureTableSubheading"/>
        <w:keepLines/>
        <w:rPr>
          <w:noProof/>
        </w:rPr>
      </w:pPr>
      <w:r>
        <w:t>Annual relative imports of in</w:t>
      </w:r>
      <w:r w:rsidR="00541146">
        <w:noBreakHyphen/>
      </w:r>
      <w:r>
        <w:t>scope fabricated structural steel</w:t>
      </w:r>
    </w:p>
    <w:p w14:paraId="68A9BAA6" w14:textId="583B9F9B" w:rsidR="00401855" w:rsidRDefault="00B76CBE" w:rsidP="006A316E">
      <w:pPr>
        <w:pStyle w:val="BodyText"/>
        <w:rPr>
          <w:noProof/>
        </w:rPr>
      </w:pPr>
      <w:r w:rsidRPr="00B76CBE">
        <w:rPr>
          <w:noProof/>
        </w:rPr>
        <w:drawing>
          <wp:inline distT="0" distB="0" distL="0" distR="0" wp14:anchorId="0545A685" wp14:editId="136BF0A0">
            <wp:extent cx="6120130" cy="2750820"/>
            <wp:effectExtent l="0" t="0" r="0" b="0"/>
            <wp:docPr id="2025133273" name="Picture 4" descr="Figure 3.3 - The figure shows a sharp increase in relative imports in 2021-22 followed by a sharp decrease in 2022-23. Relative imports are relatively stable for the remaining years of the investigation period. These patterns hold for relative imports based on both the conservative and expanded popul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133273" name="Picture 4" descr="Figure 3.3 - The figure shows a sharp increase in relative imports in 2021-22 followed by a sharp decrease in 2022-23. Relative imports are relatively stable for the remaining years of the investigation period. These patterns hold for relative imports based on both the conservative and expanded population.&#1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120130" cy="2750820"/>
                    </a:xfrm>
                    <a:prstGeom prst="rect">
                      <a:avLst/>
                    </a:prstGeom>
                    <a:noFill/>
                    <a:ln>
                      <a:noFill/>
                    </a:ln>
                  </pic:spPr>
                </pic:pic>
              </a:graphicData>
            </a:graphic>
          </wp:inline>
        </w:drawing>
      </w:r>
    </w:p>
    <w:p w14:paraId="526A7009" w14:textId="37F502B3" w:rsidR="00401855" w:rsidRDefault="00401855" w:rsidP="00011592">
      <w:pPr>
        <w:pStyle w:val="Note"/>
      </w:pPr>
      <w:r>
        <w:t xml:space="preserve">Cost of sales data used to estimate domestic production (and so relative imports) is not available for 2024–25, so 2024–25 domestic production is estimated based on the historical relationship between cost of sales and turnover, which is available for 2024–25. The approach to estimating domestic production and values for 2024–25 </w:t>
      </w:r>
      <w:r w:rsidR="006B7410">
        <w:t>is</w:t>
      </w:r>
      <w:r>
        <w:t xml:space="preserve"> discussed in appendix</w:t>
      </w:r>
      <w:r w:rsidR="00541146">
        <w:t> </w:t>
      </w:r>
      <w:r>
        <w:t>B.</w:t>
      </w:r>
    </w:p>
    <w:p w14:paraId="5858DB2A" w14:textId="77777777" w:rsidR="00401855" w:rsidRDefault="00401855" w:rsidP="00011592">
      <w:pPr>
        <w:pStyle w:val="Source"/>
      </w:pPr>
      <w:r w:rsidRPr="00696447">
        <w:t xml:space="preserve">Source: </w:t>
      </w:r>
      <w:r>
        <w:t>PC analysis using ABS data and confidential information from key industry stakeholders.</w:t>
      </w:r>
      <w:r w:rsidRPr="00ED5AF2" w:rsidDel="007E4184">
        <w:rPr>
          <w:color w:val="A22D2B"/>
        </w:rPr>
        <w:t xml:space="preserve"> </w:t>
      </w:r>
    </w:p>
    <w:tbl>
      <w:tblPr>
        <w:tblStyle w:val="TableGrid"/>
        <w:tblW w:w="5000" w:type="pct"/>
        <w:tblBorders>
          <w:top w:val="single" w:sz="4" w:space="0" w:color="2B9AC2" w:themeColor="text2"/>
          <w:left w:val="single" w:sz="4" w:space="0" w:color="2B9AC2" w:themeColor="text2"/>
          <w:bottom w:val="single" w:sz="4" w:space="0" w:color="2B9AC2" w:themeColor="text2"/>
          <w:right w:val="single" w:sz="4" w:space="0" w:color="2B9AC2" w:themeColor="text2"/>
          <w:insideH w:val="none" w:sz="0" w:space="0" w:color="auto"/>
          <w:insideV w:val="none" w:sz="0" w:space="0" w:color="auto"/>
        </w:tblBorders>
        <w:tblCellMar>
          <w:bottom w:w="113" w:type="dxa"/>
        </w:tblCellMar>
        <w:tblLook w:val="04A0" w:firstRow="1" w:lastRow="0" w:firstColumn="1" w:lastColumn="0" w:noHBand="0" w:noVBand="1"/>
      </w:tblPr>
      <w:tblGrid>
        <w:gridCol w:w="705"/>
        <w:gridCol w:w="8923"/>
      </w:tblGrid>
      <w:tr w:rsidR="00401855" w14:paraId="572CCF71" w14:textId="77777777">
        <w:trPr>
          <w:trHeight w:val="765"/>
          <w:tblHeader/>
        </w:trPr>
        <w:tc>
          <w:tcPr>
            <w:tcW w:w="366" w:type="pct"/>
            <w:tcBorders>
              <w:bottom w:val="nil"/>
            </w:tcBorders>
            <w:tcMar>
              <w:bottom w:w="0" w:type="dxa"/>
            </w:tcMar>
            <w:vAlign w:val="center"/>
          </w:tcPr>
          <w:p w14:paraId="63DCC88D" w14:textId="77777777" w:rsidR="00401855" w:rsidRDefault="00401855">
            <w:pPr>
              <w:pStyle w:val="NoSpacing"/>
              <w:keepNext/>
              <w:keepLines/>
              <w:jc w:val="right"/>
            </w:pPr>
            <w:r w:rsidRPr="00A51374">
              <w:rPr>
                <w:noProof/>
              </w:rPr>
              <w:lastRenderedPageBreak/>
              <w:drawing>
                <wp:inline distT="0" distB="0" distL="0" distR="0" wp14:anchorId="2CE93518" wp14:editId="09A69FEE">
                  <wp:extent cx="288000" cy="288000"/>
                  <wp:effectExtent l="0" t="0" r="0" b="0"/>
                  <wp:docPr id="1930443162" name="Graphic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phic 39">
                            <a:extLst>
                              <a:ext uri="{C183D7F6-B498-43B3-948B-1728B52AA6E4}">
                                <adec:decorative xmlns:adec="http://schemas.microsoft.com/office/drawing/2017/decorative" val="1"/>
                              </a:ext>
                            </a:extLst>
                          </pic:cNvPr>
                          <pic:cNvPicPr/>
                        </pic:nvPicPr>
                        <pic:blipFill>
                          <a:blip r:embed="rId59">
                            <a:extLst>
                              <a:ext uri="{28A0092B-C50C-407E-A947-70E740481C1C}">
                                <a14:useLocalDpi xmlns:a14="http://schemas.microsoft.com/office/drawing/2010/main" val="0"/>
                              </a:ext>
                            </a:extLst>
                          </a:blip>
                          <a:stretch>
                            <a:fillRect/>
                          </a:stretch>
                        </pic:blipFill>
                        <pic:spPr>
                          <a:xfrm>
                            <a:off x="0" y="0"/>
                            <a:ext cx="288000" cy="288000"/>
                          </a:xfrm>
                          <a:prstGeom prst="rect">
                            <a:avLst/>
                          </a:prstGeom>
                        </pic:spPr>
                      </pic:pic>
                    </a:graphicData>
                  </a:graphic>
                </wp:inline>
              </w:drawing>
            </w:r>
          </w:p>
        </w:tc>
        <w:tc>
          <w:tcPr>
            <w:tcW w:w="4634" w:type="pct"/>
            <w:tcBorders>
              <w:bottom w:val="nil"/>
            </w:tcBorders>
            <w:tcMar>
              <w:bottom w:w="0" w:type="dxa"/>
            </w:tcMar>
            <w:vAlign w:val="center"/>
          </w:tcPr>
          <w:p w14:paraId="2806B173" w14:textId="77777777" w:rsidR="00401855" w:rsidRPr="00A4395A" w:rsidRDefault="00401855" w:rsidP="00B91519">
            <w:pPr>
              <w:pStyle w:val="FindingRecRequesttitle"/>
            </w:pPr>
            <w:r w:rsidRPr="00A4395A">
              <w:t>Finding</w:t>
            </w:r>
            <w:r>
              <w:t xml:space="preserve"> 3.1</w:t>
            </w:r>
          </w:p>
          <w:p w14:paraId="23D255A8" w14:textId="77777777" w:rsidR="00401855" w:rsidRDefault="00401855" w:rsidP="00B91519">
            <w:pPr>
              <w:pStyle w:val="FindingRecRequesttitle"/>
            </w:pPr>
            <w:r>
              <w:t>The increase in imports does not meet the standards required</w:t>
            </w:r>
          </w:p>
        </w:tc>
      </w:tr>
      <w:tr w:rsidR="00401855" w14:paraId="5BFC659B" w14:textId="77777777">
        <w:tc>
          <w:tcPr>
            <w:tcW w:w="5000" w:type="pct"/>
            <w:gridSpan w:val="2"/>
            <w:tcBorders>
              <w:top w:val="nil"/>
              <w:bottom w:val="single" w:sz="4" w:space="0" w:color="2B9AC2" w:themeColor="text2"/>
            </w:tcBorders>
          </w:tcPr>
          <w:p w14:paraId="6D1F11D7" w14:textId="77777777" w:rsidR="00401855" w:rsidRDefault="00401855" w:rsidP="00011592">
            <w:pPr>
              <w:pStyle w:val="BodyText"/>
            </w:pPr>
            <w:r>
              <w:t>The evidence indicates that growth in imports, in absolute terms or relative to domestic production, does not meet the standard required by the WTO Agreement on Safeguards.</w:t>
            </w:r>
          </w:p>
        </w:tc>
      </w:tr>
      <w:tr w:rsidR="00401855" w14:paraId="3FD8F256" w14:textId="77777777">
        <w:tc>
          <w:tcPr>
            <w:tcW w:w="5000" w:type="pct"/>
            <w:gridSpan w:val="2"/>
            <w:tcBorders>
              <w:top w:val="single" w:sz="4" w:space="0" w:color="2B9AC2" w:themeColor="text2"/>
              <w:left w:val="nil"/>
              <w:bottom w:val="nil"/>
              <w:right w:val="nil"/>
            </w:tcBorders>
            <w:tcMar>
              <w:bottom w:w="0" w:type="dxa"/>
            </w:tcMar>
          </w:tcPr>
          <w:p w14:paraId="7CD2D8ED" w14:textId="60B73932" w:rsidR="00401855" w:rsidRDefault="00401855">
            <w:pPr>
              <w:pStyle w:val="NoSpacing"/>
              <w:spacing w:line="200" w:lineRule="atLeast"/>
            </w:pPr>
          </w:p>
        </w:tc>
      </w:tr>
    </w:tbl>
    <w:p w14:paraId="00D59900" w14:textId="77777777" w:rsidR="00401855" w:rsidRDefault="00401855" w:rsidP="00011592">
      <w:pPr>
        <w:pStyle w:val="Heading2"/>
      </w:pPr>
      <w:bookmarkStart w:id="24" w:name="_Toc238643908"/>
      <w:r>
        <w:t>Unforeseen developments and GATT obligations</w:t>
      </w:r>
      <w:bookmarkEnd w:id="24"/>
    </w:p>
    <w:p w14:paraId="1D5B3A9E" w14:textId="7FB7BEA2" w:rsidR="00401855" w:rsidRDefault="00401855" w:rsidP="00011592">
      <w:pPr>
        <w:pStyle w:val="BodyText"/>
      </w:pPr>
      <w:r>
        <w:t xml:space="preserve">To apply safeguard </w:t>
      </w:r>
      <w:r w:rsidRPr="005C33B0">
        <w:t xml:space="preserve">measures, the </w:t>
      </w:r>
      <w:r>
        <w:t xml:space="preserve">recent, sudden, sharp and significant </w:t>
      </w:r>
      <w:r w:rsidRPr="005C33B0">
        <w:t>increase in imports</w:t>
      </w:r>
      <w:r>
        <w:t xml:space="preserve"> </w:t>
      </w:r>
      <w:r w:rsidRPr="003812D3">
        <w:t xml:space="preserve">must be </w:t>
      </w:r>
      <w:r>
        <w:t xml:space="preserve">the </w:t>
      </w:r>
      <w:r w:rsidRPr="003812D3">
        <w:t xml:space="preserve">result of ‘unforeseen </w:t>
      </w:r>
      <w:proofErr w:type="gramStart"/>
      <w:r w:rsidRPr="003812D3">
        <w:t>developments</w:t>
      </w:r>
      <w:r>
        <w:t>’</w:t>
      </w:r>
      <w:proofErr w:type="gramEnd"/>
      <w:r w:rsidRPr="003812D3">
        <w:t xml:space="preserve"> and the effect of the obligations Australia incurred </w:t>
      </w:r>
      <w:r>
        <w:t xml:space="preserve">under </w:t>
      </w:r>
      <w:r w:rsidRPr="003812D3">
        <w:t xml:space="preserve">GATT </w:t>
      </w:r>
      <w:r>
        <w:t>in 1994</w:t>
      </w:r>
      <w:r w:rsidRPr="003812D3">
        <w:t xml:space="preserve"> (Article XIX, par</w:t>
      </w:r>
      <w:r>
        <w:t>a.</w:t>
      </w:r>
      <w:r w:rsidRPr="003812D3">
        <w:t xml:space="preserve"> 1(a)).</w:t>
      </w:r>
      <w:r>
        <w:rPr>
          <w:rStyle w:val="FootnoteReference"/>
        </w:rPr>
        <w:footnoteReference w:id="9"/>
      </w:r>
      <w:r>
        <w:t xml:space="preserve"> ‘Unforeseen’ means unforeseen when the relevant GATT obligations were introduced in 1994 </w:t>
      </w:r>
      <w:r w:rsidRPr="00B81C18">
        <w:rPr>
          <w:rFonts w:cs="Open Sans"/>
        </w:rPr>
        <w:t>(Zhou and Fang 2023, pp. 544, 551)</w:t>
      </w:r>
      <w:r>
        <w:t>.</w:t>
      </w:r>
    </w:p>
    <w:p w14:paraId="4FE479EB" w14:textId="3AF56CF8" w:rsidR="00401855" w:rsidRDefault="00401855" w:rsidP="00011592">
      <w:pPr>
        <w:pStyle w:val="BodyText"/>
      </w:pPr>
      <w:r>
        <w:t>The PC’s interim finding is that the increase in imports does not meet the legal standard for introducing definitive safeguard measures (chapter</w:t>
      </w:r>
      <w:r w:rsidR="00541146">
        <w:t> </w:t>
      </w:r>
      <w:r>
        <w:t xml:space="preserve">5). This means </w:t>
      </w:r>
      <w:r w:rsidRPr="004954F4">
        <w:t xml:space="preserve">it </w:t>
      </w:r>
      <w:r>
        <w:t>is not</w:t>
      </w:r>
      <w:r w:rsidRPr="004954F4">
        <w:t xml:space="preserve"> necessary to </w:t>
      </w:r>
      <w:r>
        <w:t xml:space="preserve">consider the ‘unforeseen developments’ test in detail. Nevertheless, as this is an interim report, </w:t>
      </w:r>
      <w:r w:rsidRPr="00003F12">
        <w:t xml:space="preserve">we briefly outline evidence and views on the causes of </w:t>
      </w:r>
      <w:r>
        <w:t xml:space="preserve">growth in FSS </w:t>
      </w:r>
      <w:r w:rsidRPr="00003F12">
        <w:t>imports and the extent to which these might be considered unforeseen</w:t>
      </w:r>
      <w:r>
        <w:t xml:space="preserve"> in the context of GATT obligations. </w:t>
      </w:r>
    </w:p>
    <w:p w14:paraId="0B260C65" w14:textId="77777777" w:rsidR="00401855" w:rsidRDefault="00401855" w:rsidP="00011592">
      <w:pPr>
        <w:pStyle w:val="Heading3"/>
      </w:pPr>
      <w:r>
        <w:t xml:space="preserve">Steelmaking overcapacity and trade </w:t>
      </w:r>
      <w:r w:rsidDel="008D768A">
        <w:t>protection</w:t>
      </w:r>
      <w:r>
        <w:t xml:space="preserve"> measures</w:t>
      </w:r>
    </w:p>
    <w:p w14:paraId="4DB63C95" w14:textId="3557CABE" w:rsidR="00401855" w:rsidRDefault="00401855" w:rsidP="00011592">
      <w:pPr>
        <w:pStyle w:val="BodyText"/>
      </w:pPr>
      <w:r>
        <w:t xml:space="preserve">The ASI has argued that growth in imports of FSS has been driven by </w:t>
      </w:r>
      <w:r w:rsidRPr="0041112B">
        <w:t>global overcapacity in steelmaking</w:t>
      </w:r>
      <w:r>
        <w:t xml:space="preserve">, a collapse in domestic demand for FSS in China and the use of trade protection measures for steel </w:t>
      </w:r>
      <w:r w:rsidR="00762450" w:rsidRPr="00762450">
        <w:rPr>
          <w:rFonts w:ascii="Arial" w:hAnsi="Arial" w:cs="Arial"/>
        </w:rPr>
        <w:t>(ASI 2026, pp. 24–34)</w:t>
      </w:r>
      <w:r>
        <w:t xml:space="preserve">. </w:t>
      </w:r>
    </w:p>
    <w:p w14:paraId="633EFB51" w14:textId="508F321A" w:rsidR="00401855" w:rsidRPr="00BD5BCD" w:rsidRDefault="00401855" w:rsidP="00011592">
      <w:pPr>
        <w:pStyle w:val="BodyText"/>
        <w:rPr>
          <w:spacing w:val="-2"/>
        </w:rPr>
      </w:pPr>
      <w:r w:rsidRPr="00BD5BCD">
        <w:rPr>
          <w:spacing w:val="-2"/>
        </w:rPr>
        <w:t xml:space="preserve">OECD analysis suggests that there has been longstanding overcapacity in steelmaking globally, increasing in recent years </w:t>
      </w:r>
      <w:r w:rsidRPr="00BD5BCD">
        <w:rPr>
          <w:rFonts w:ascii="Arial" w:hAnsi="Arial" w:cs="Arial"/>
          <w:spacing w:val="-2"/>
        </w:rPr>
        <w:t>(OECD 2026, p. 11)</w:t>
      </w:r>
      <w:r w:rsidRPr="00BD5BCD">
        <w:rPr>
          <w:spacing w:val="-2"/>
        </w:rPr>
        <w:t>. The OECD has noted that when output ‘cannot be absorbed in national markets, the steel is typically exported to foreign markets at low prices, or in the form of steel</w:t>
      </w:r>
      <w:r w:rsidR="00541146" w:rsidRPr="00BD5BCD">
        <w:rPr>
          <w:spacing w:val="-2"/>
        </w:rPr>
        <w:noBreakHyphen/>
      </w:r>
      <w:r w:rsidRPr="00BD5BCD">
        <w:rPr>
          <w:spacing w:val="-2"/>
        </w:rPr>
        <w:t xml:space="preserve">intensive downstream products, at the expense of producers elsewhere’ </w:t>
      </w:r>
      <w:r w:rsidRPr="00BD5BCD">
        <w:rPr>
          <w:rFonts w:ascii="Arial" w:hAnsi="Arial" w:cs="Arial"/>
          <w:spacing w:val="-2"/>
        </w:rPr>
        <w:t>(OECD 2026, p. 8)</w:t>
      </w:r>
      <w:r w:rsidRPr="00BD5BCD">
        <w:rPr>
          <w:spacing w:val="-2"/>
        </w:rPr>
        <w:t>. This has been particularly relevant in the case of China, where a weak domestic market has contributed to record steel exports</w:t>
      </w:r>
      <w:r w:rsidRPr="00BD5BCD" w:rsidDel="00E65231">
        <w:rPr>
          <w:spacing w:val="-2"/>
        </w:rPr>
        <w:t xml:space="preserve"> </w:t>
      </w:r>
      <w:r w:rsidRPr="00BD5BCD">
        <w:rPr>
          <w:spacing w:val="-2"/>
        </w:rPr>
        <w:t xml:space="preserve">in 2025 </w:t>
      </w:r>
      <w:r w:rsidRPr="00BD5BCD">
        <w:rPr>
          <w:rFonts w:ascii="Arial" w:hAnsi="Arial" w:cs="Arial"/>
          <w:spacing w:val="-2"/>
        </w:rPr>
        <w:t>(OECD 2026, p. 8)</w:t>
      </w:r>
      <w:r w:rsidRPr="00BD5BCD">
        <w:rPr>
          <w:spacing w:val="-2"/>
        </w:rPr>
        <w:t xml:space="preserve">. China’s role as a major exporter could be considered unforeseen; when GATT was negotiated in 1994, China was a net importer of steel </w:t>
      </w:r>
      <w:r w:rsidRPr="00BD5BCD">
        <w:rPr>
          <w:rFonts w:ascii="Arial" w:hAnsi="Arial" w:cs="Arial"/>
          <w:spacing w:val="-2"/>
        </w:rPr>
        <w:t>(OECD 1998, p. 43)</w:t>
      </w:r>
      <w:r w:rsidRPr="00BD5BCD">
        <w:rPr>
          <w:spacing w:val="-2"/>
        </w:rPr>
        <w:t>.</w:t>
      </w:r>
    </w:p>
    <w:p w14:paraId="023C2E71" w14:textId="47FD1B5F" w:rsidR="00401855" w:rsidRDefault="00401855" w:rsidP="00011592">
      <w:pPr>
        <w:pStyle w:val="BodyText"/>
      </w:pPr>
      <w:r w:rsidRPr="00A00726">
        <w:t>In response to global steelmaking overcapacity, several countries have introduced trade protection measures against raw steel imports.</w:t>
      </w:r>
      <w:r>
        <w:t xml:space="preserve"> In 2025 there were 395 active anti</w:t>
      </w:r>
      <w:r w:rsidR="00541146">
        <w:noBreakHyphen/>
      </w:r>
      <w:r>
        <w:t xml:space="preserve">dumping or countervailing duty measures on steel, and 75 new investigations were launched </w:t>
      </w:r>
      <w:r w:rsidRPr="003D39EE">
        <w:rPr>
          <w:rFonts w:ascii="Arial" w:hAnsi="Arial" w:cs="Arial"/>
        </w:rPr>
        <w:t>(OECD 2026, p. 64)</w:t>
      </w:r>
      <w:r>
        <w:t xml:space="preserve">. Australia ranks third globally as a user of trade protection measures against raw steel </w:t>
      </w:r>
      <w:r w:rsidRPr="0068336D">
        <w:rPr>
          <w:rFonts w:ascii="Arial" w:hAnsi="Arial" w:cs="Arial"/>
        </w:rPr>
        <w:t>(OECD 2026, p. 64)</w:t>
      </w:r>
      <w:r>
        <w:t xml:space="preserve">. </w:t>
      </w:r>
    </w:p>
    <w:p w14:paraId="59CE5AA0" w14:textId="54DD02C8" w:rsidR="00401855" w:rsidRDefault="00401855" w:rsidP="00011592">
      <w:pPr>
        <w:pStyle w:val="BodyText"/>
      </w:pPr>
      <w:r w:rsidRPr="002A2D96">
        <w:t>Global</w:t>
      </w:r>
      <w:r>
        <w:t xml:space="preserve"> overcapacity in steelmaking combined with trade protection measures introduced by the Australian Government may have contributed to growth in FSS imports. If overcapacity pushes down </w:t>
      </w:r>
      <w:r>
        <w:lastRenderedPageBreak/>
        <w:t xml:space="preserve">raw steel prices for foreign fabricators, but Australian fabricators cannot access steel at those cheaper prices due to trade measures introduced by the Australian Government, domestic fabricators will be at a disadvantage relative to foreign fabricators. This will occur even if there is not global overcapacity: trade measures that increase costs for domestic producers of traded goods make imports relatively cheaper. This has been discussed previously by the PC </w:t>
      </w:r>
      <w:r w:rsidRPr="009D778B">
        <w:rPr>
          <w:rFonts w:cs="Open Sans"/>
        </w:rPr>
        <w:t>(2010, pp. 38–39)</w:t>
      </w:r>
      <w:r>
        <w:rPr>
          <w:rStyle w:val="FootnoteReference"/>
        </w:rPr>
        <w:footnoteReference w:id="10"/>
      </w:r>
      <w:r>
        <w:t xml:space="preserve"> and was raised in this inquiry (CS Traders, sub.</w:t>
      </w:r>
      <w:r w:rsidR="00541146">
        <w:t> </w:t>
      </w:r>
      <w:r>
        <w:t>23, pp.</w:t>
      </w:r>
      <w:r w:rsidR="00541146">
        <w:t> </w:t>
      </w:r>
      <w:r>
        <w:t>2</w:t>
      </w:r>
      <w:r>
        <w:rPr>
          <w:rFonts w:ascii="Arial" w:eastAsia="Times New Roman" w:hAnsi="Arial" w:cs="Arial"/>
          <w:color w:val="000000"/>
          <w:sz w:val="16"/>
          <w:szCs w:val="16"/>
          <w:lang w:val="en-US" w:eastAsia="en-AU"/>
        </w:rPr>
        <w:t>–</w:t>
      </w:r>
      <w:r>
        <w:t>4; Steel Builder Australia, sub.</w:t>
      </w:r>
      <w:r w:rsidR="00541146">
        <w:t> </w:t>
      </w:r>
      <w:r>
        <w:t>42, p.</w:t>
      </w:r>
      <w:r w:rsidR="00541146">
        <w:t> </w:t>
      </w:r>
      <w:r>
        <w:t xml:space="preserve">28). </w:t>
      </w:r>
    </w:p>
    <w:p w14:paraId="5C778118" w14:textId="11334298" w:rsidR="00401855" w:rsidRDefault="00401855" w:rsidP="00011592">
      <w:pPr>
        <w:pStyle w:val="BodyText"/>
      </w:pPr>
      <w:r>
        <w:t>The Australian Government has introduced</w:t>
      </w:r>
      <w:r w:rsidRPr="002A2D96">
        <w:t xml:space="preserve"> trade measures </w:t>
      </w:r>
      <w:r>
        <w:t>that are</w:t>
      </w:r>
      <w:r w:rsidRPr="002A2D96">
        <w:t xml:space="preserve"> likely i</w:t>
      </w:r>
      <w:r>
        <w:t xml:space="preserve">ncreasing </w:t>
      </w:r>
      <w:r w:rsidRPr="002A2D96">
        <w:t>the prices domestic fabricators pay for steel</w:t>
      </w:r>
      <w:r>
        <w:t xml:space="preserve">. </w:t>
      </w:r>
      <w:r w:rsidRPr="002A2D96">
        <w:t>There have been anti</w:t>
      </w:r>
      <w:r w:rsidR="00541146">
        <w:noBreakHyphen/>
      </w:r>
      <w:r w:rsidRPr="002A2D96">
        <w:t xml:space="preserve">dumping measures in place for hot rolled structural steel sections imported from Japan, Korea, Thailand, and Taiwan since 2014 </w:t>
      </w:r>
      <w:r w:rsidRPr="004C698C">
        <w:rPr>
          <w:rFonts w:cs="Open Sans"/>
        </w:rPr>
        <w:t>(ADC 2026)</w:t>
      </w:r>
      <w:r w:rsidRPr="002A2D96">
        <w:t xml:space="preserve">. </w:t>
      </w:r>
      <w:r>
        <w:t>These and other measures are catalogued in appendix</w:t>
      </w:r>
      <w:r w:rsidR="00541146">
        <w:t> </w:t>
      </w:r>
      <w:r>
        <w:t xml:space="preserve">B of </w:t>
      </w:r>
      <w:proofErr w:type="spellStart"/>
      <w:r>
        <w:t>Technoweld’s</w:t>
      </w:r>
      <w:proofErr w:type="spellEnd"/>
      <w:r>
        <w:t xml:space="preserve"> post</w:t>
      </w:r>
      <w:r w:rsidR="00541146">
        <w:noBreakHyphen/>
      </w:r>
      <w:r>
        <w:t>hearing submission. Anti</w:t>
      </w:r>
      <w:r w:rsidR="00541146">
        <w:noBreakHyphen/>
      </w:r>
      <w:r>
        <w:t xml:space="preserve">dumping measures on hot rolled coil introduced in May 2026 were noted by </w:t>
      </w:r>
      <w:proofErr w:type="spellStart"/>
      <w:r>
        <w:t>Galintel</w:t>
      </w:r>
      <w:proofErr w:type="spellEnd"/>
      <w:r>
        <w:t xml:space="preserve"> (sub.</w:t>
      </w:r>
      <w:r w:rsidR="00541146">
        <w:t> </w:t>
      </w:r>
      <w:r>
        <w:t>33, p.</w:t>
      </w:r>
      <w:r w:rsidR="00541146">
        <w:t> </w:t>
      </w:r>
      <w:r>
        <w:t xml:space="preserve">1) and </w:t>
      </w:r>
      <w:proofErr w:type="spellStart"/>
      <w:r>
        <w:t>Weldlok</w:t>
      </w:r>
      <w:proofErr w:type="spellEnd"/>
      <w:r>
        <w:t xml:space="preserve"> Industries, who submitted that ‘Australian manufacturers bear input cost pressures from trade</w:t>
      </w:r>
      <w:r w:rsidR="00541146">
        <w:noBreakHyphen/>
      </w:r>
      <w:r>
        <w:t>remedy</w:t>
      </w:r>
      <w:r w:rsidR="00541146">
        <w:noBreakHyphen/>
      </w:r>
      <w:r>
        <w:t>affected [hot rolled coil] while simultaneously competing against imported finished goods that are not subject to equivalent measures’ (sub.</w:t>
      </w:r>
      <w:r w:rsidR="00541146">
        <w:t> </w:t>
      </w:r>
      <w:r>
        <w:t>36, p.</w:t>
      </w:r>
      <w:r w:rsidR="00541146">
        <w:t> </w:t>
      </w:r>
      <w:r>
        <w:t>6).</w:t>
      </w:r>
    </w:p>
    <w:p w14:paraId="6FA065CF" w14:textId="77777777" w:rsidR="00401855" w:rsidRDefault="00401855" w:rsidP="00011592">
      <w:pPr>
        <w:pStyle w:val="BodyText"/>
      </w:pPr>
      <w:r>
        <w:t>Additional analysis would be needed to estimate the impact of raw steel overcapacity and trade measures on imports of fabricated structural steel. This would include analysis of pricing differences between imported and domestically produced fabricated structural steel. Many inquiry participants have indicated that imported FSS is cheaper than domestic production:</w:t>
      </w:r>
    </w:p>
    <w:p w14:paraId="776EAC35" w14:textId="6C711C86" w:rsidR="00401855" w:rsidRDefault="00401855" w:rsidP="00011592">
      <w:pPr>
        <w:pStyle w:val="ListBullet"/>
      </w:pPr>
      <w:r>
        <w:t>The ASI’s suggestion that prices of imported FSS are 15–50% lower than domestically produced equivalent products aligns broadly with what the PC has heard from other inquiry participants (ASI, transcript, 13 May, p.</w:t>
      </w:r>
      <w:r w:rsidR="00541146">
        <w:t> </w:t>
      </w:r>
      <w:r>
        <w:t>5). Roam Engineering submitted that ‘a</w:t>
      </w:r>
      <w:r w:rsidRPr="00E1391D">
        <w:t xml:space="preserve"> significant portion of the cost gap between local and imported fabricated steel reflects scale. Overseas suppliers typically operate at volumes that Australian fabricators cannot match under current market conditions</w:t>
      </w:r>
      <w:r>
        <w:t>’ (sub.</w:t>
      </w:r>
      <w:r w:rsidR="00541146">
        <w:t> </w:t>
      </w:r>
      <w:r>
        <w:t>47, p.</w:t>
      </w:r>
      <w:r w:rsidR="00541146">
        <w:t> </w:t>
      </w:r>
      <w:r>
        <w:t xml:space="preserve">2). </w:t>
      </w:r>
    </w:p>
    <w:p w14:paraId="6BD170C0" w14:textId="77777777" w:rsidR="00401855" w:rsidRDefault="00401855" w:rsidP="00011592">
      <w:pPr>
        <w:pStyle w:val="ListBullet"/>
      </w:pPr>
      <w:r>
        <w:t>Submissions often indicate that pricing pressure from imports has always existed, or at least existed long before the investigation period, but has intensified in recent years.</w:t>
      </w:r>
      <w:r>
        <w:rPr>
          <w:rStyle w:val="FootnoteReference"/>
        </w:rPr>
        <w:footnoteReference w:id="11"/>
      </w:r>
    </w:p>
    <w:p w14:paraId="5CDF6D8F" w14:textId="180812C8" w:rsidR="00401855" w:rsidRDefault="00401855" w:rsidP="00011592">
      <w:pPr>
        <w:pStyle w:val="BodyText"/>
      </w:pPr>
      <w:r>
        <w:t>Competition with lower</w:t>
      </w:r>
      <w:r w:rsidR="00541146">
        <w:noBreakHyphen/>
      </w:r>
      <w:r>
        <w:t xml:space="preserve">priced imports was raised in the ASI’s submission to a 2016 Senate inquiry into the future of Australia’s steel industry </w:t>
      </w:r>
      <w:r w:rsidRPr="00351A89">
        <w:rPr>
          <w:rFonts w:cs="Open Sans"/>
        </w:rPr>
        <w:t>(2016, pp. 49–99)</w:t>
      </w:r>
      <w:r>
        <w:t>. The average price of within</w:t>
      </w:r>
      <w:r w:rsidR="00541146">
        <w:noBreakHyphen/>
      </w:r>
      <w:r>
        <w:t>scope imports has not varied significantly over time (appendix</w:t>
      </w:r>
      <w:r w:rsidR="00541146">
        <w:t> </w:t>
      </w:r>
      <w:r>
        <w:t xml:space="preserve">B, figure B.2). </w:t>
      </w:r>
    </w:p>
    <w:p w14:paraId="027AF1E0" w14:textId="77777777" w:rsidR="00401855" w:rsidRDefault="00401855" w:rsidP="00011592">
      <w:pPr>
        <w:pStyle w:val="Heading3"/>
      </w:pPr>
      <w:r>
        <w:t>Other potential drivers of increased imports</w:t>
      </w:r>
    </w:p>
    <w:p w14:paraId="419DD992" w14:textId="108651F4" w:rsidR="00401855" w:rsidRDefault="00401855" w:rsidP="00011592">
      <w:pPr>
        <w:pStyle w:val="BodyText"/>
      </w:pPr>
      <w:r>
        <w:t xml:space="preserve">Inquiry participants have said the tradability, quality and acceptance of imported FSS </w:t>
      </w:r>
      <w:proofErr w:type="gramStart"/>
      <w:r>
        <w:t>has</w:t>
      </w:r>
      <w:proofErr w:type="gramEnd"/>
      <w:r>
        <w:t xml:space="preserve"> increased. For example, </w:t>
      </w:r>
      <w:r w:rsidR="00E54AF7">
        <w:t>CASA Engineering</w:t>
      </w:r>
      <w:r>
        <w:t xml:space="preserve"> said at the public hearings that:</w:t>
      </w:r>
    </w:p>
    <w:p w14:paraId="5FB07C8C" w14:textId="574DA686" w:rsidR="00401855" w:rsidRDefault="00401855" w:rsidP="00011592">
      <w:pPr>
        <w:pStyle w:val="Quote"/>
      </w:pPr>
      <w:r>
        <w:t>[FSS used to be imported as]</w:t>
      </w:r>
      <w:r w:rsidRPr="00A92A62">
        <w:t xml:space="preserve"> break bulk, and when it was </w:t>
      </w:r>
      <w:proofErr w:type="gramStart"/>
      <w:r w:rsidRPr="00A92A62">
        <w:t>break</w:t>
      </w:r>
      <w:proofErr w:type="gramEnd"/>
      <w:r w:rsidRPr="00A92A62">
        <w:t xml:space="preserve"> bulk, we were still competitive because break bulk was more expensive shipping. Now a container box costs $3,000 US. You break that down, you can work out how many tonnes you can put in there, and they are getting very, very efficient at how much they can slide into a container.</w:t>
      </w:r>
      <w:r>
        <w:t xml:space="preserve"> … </w:t>
      </w:r>
      <w:r w:rsidRPr="00A92A62">
        <w:t xml:space="preserve">If you </w:t>
      </w:r>
      <w:r w:rsidRPr="00A92A62">
        <w:lastRenderedPageBreak/>
        <w:t>can get it in a container, it can be imported. It is just that simple.</w:t>
      </w:r>
      <w:r>
        <w:t xml:space="preserve"> … the design has evolved to suit overseas. … </w:t>
      </w:r>
    </w:p>
    <w:p w14:paraId="10A6F4C8" w14:textId="681E5801" w:rsidR="00401855" w:rsidRDefault="00401855" w:rsidP="00011592">
      <w:pPr>
        <w:pStyle w:val="Quote"/>
      </w:pPr>
      <w:r w:rsidRPr="0034501C">
        <w:t>The big change for us now is the acceptance of imported steel. Previously, everybody thought it was a risk to bring imported steel in this country because there were so many issues with it technically. All that has evolved</w:t>
      </w:r>
      <w:r w:rsidRPr="00C642AD">
        <w:t>. The technical part of imported steel is now being removed. The risk is minimal. The risk is now about how soon your ship will arrive or not.</w:t>
      </w:r>
      <w:r>
        <w:t xml:space="preserve"> (CASA Engineering, transcript, 13 May, p.</w:t>
      </w:r>
      <w:r w:rsidR="00541146">
        <w:t> </w:t>
      </w:r>
      <w:r>
        <w:t xml:space="preserve">27) </w:t>
      </w:r>
    </w:p>
    <w:p w14:paraId="7009620A" w14:textId="3EE5AB2C" w:rsidR="00401855" w:rsidRPr="00F36048" w:rsidRDefault="00401855" w:rsidP="00011592">
      <w:pPr>
        <w:pStyle w:val="BodyText"/>
        <w:rPr>
          <w:spacing w:val="-2"/>
        </w:rPr>
      </w:pPr>
      <w:r w:rsidRPr="00F36048">
        <w:rPr>
          <w:spacing w:val="-2"/>
        </w:rPr>
        <w:t>Another</w:t>
      </w:r>
      <w:r w:rsidRPr="00F36048" w:rsidDel="0094055C">
        <w:rPr>
          <w:spacing w:val="-2"/>
        </w:rPr>
        <w:t xml:space="preserve"> </w:t>
      </w:r>
      <w:r w:rsidRPr="00F36048">
        <w:rPr>
          <w:spacing w:val="-2"/>
        </w:rPr>
        <w:t xml:space="preserve">development raised by some inquiry participants is shutdowns at the Whyalla </w:t>
      </w:r>
      <w:r w:rsidR="00B419DC">
        <w:rPr>
          <w:spacing w:val="-2"/>
        </w:rPr>
        <w:t>S</w:t>
      </w:r>
      <w:r w:rsidRPr="00F36048">
        <w:rPr>
          <w:spacing w:val="-2"/>
        </w:rPr>
        <w:t>teelworks and related uncertainty over supply of the steel inputs used by the FSS industry. Whyalla Steelworks has faced production issues since an initial failed restart following planned maintenance in 2024, and some inquiry participants suggested that this has contributed to buyers of FSS in Australia testing and becoming more comfortable with imports (CS Traders, sub.</w:t>
      </w:r>
      <w:r w:rsidR="00541146" w:rsidRPr="00F36048">
        <w:rPr>
          <w:spacing w:val="-2"/>
        </w:rPr>
        <w:t> </w:t>
      </w:r>
      <w:r w:rsidRPr="00F36048">
        <w:rPr>
          <w:spacing w:val="-2"/>
        </w:rPr>
        <w:t>23, pp.</w:t>
      </w:r>
      <w:r w:rsidR="00541146" w:rsidRPr="00F36048">
        <w:rPr>
          <w:spacing w:val="-2"/>
        </w:rPr>
        <w:t> </w:t>
      </w:r>
      <w:r w:rsidRPr="00F36048">
        <w:rPr>
          <w:spacing w:val="-2"/>
        </w:rPr>
        <w:t>3</w:t>
      </w:r>
      <w:r w:rsidRPr="00F36048">
        <w:rPr>
          <w:rFonts w:ascii="Arial" w:eastAsia="Times New Roman" w:hAnsi="Arial" w:cs="Arial"/>
          <w:color w:val="000000"/>
          <w:spacing w:val="-2"/>
          <w:sz w:val="16"/>
          <w:szCs w:val="16"/>
          <w:lang w:val="en-US" w:eastAsia="en-AU"/>
        </w:rPr>
        <w:t>–</w:t>
      </w:r>
      <w:r w:rsidRPr="00F36048">
        <w:rPr>
          <w:spacing w:val="-2"/>
        </w:rPr>
        <w:t>4; Steel Builder Australia, sub.</w:t>
      </w:r>
      <w:r w:rsidR="00541146" w:rsidRPr="00F36048">
        <w:rPr>
          <w:spacing w:val="-2"/>
        </w:rPr>
        <w:t> </w:t>
      </w:r>
      <w:r w:rsidRPr="00F36048">
        <w:rPr>
          <w:spacing w:val="-2"/>
        </w:rPr>
        <w:t>42, p.</w:t>
      </w:r>
      <w:r w:rsidR="00541146" w:rsidRPr="00F36048">
        <w:rPr>
          <w:spacing w:val="-2"/>
        </w:rPr>
        <w:t> </w:t>
      </w:r>
      <w:r w:rsidRPr="00F36048">
        <w:rPr>
          <w:spacing w:val="-2"/>
        </w:rPr>
        <w:t xml:space="preserve">29). </w:t>
      </w:r>
    </w:p>
    <w:p w14:paraId="3302FB1E" w14:textId="56041BD1" w:rsidR="00401855" w:rsidRDefault="00401855" w:rsidP="00011592">
      <w:pPr>
        <w:pStyle w:val="BodyText"/>
      </w:pPr>
      <w:r>
        <w:t>Others have</w:t>
      </w:r>
      <w:r w:rsidDel="00C63789">
        <w:t xml:space="preserve"> </w:t>
      </w:r>
      <w:r>
        <w:t xml:space="preserve">countered that distributors are able to flex domestic and import channels and hold significant quantities of inventories to shield against market shocks such as Whyalla </w:t>
      </w:r>
      <w:r w:rsidDel="00F90A64">
        <w:t>shutdowns</w:t>
      </w:r>
      <w:r>
        <w:t>, minimising any impact on domestic FSS firms’ ability to supply the market (ASI, post</w:t>
      </w:r>
      <w:r w:rsidR="00541146">
        <w:noBreakHyphen/>
      </w:r>
      <w:r>
        <w:t>hearing submission, p.</w:t>
      </w:r>
      <w:r w:rsidR="00541146">
        <w:t> </w:t>
      </w:r>
      <w:r>
        <w:t>12</w:t>
      </w:r>
      <w:r w:rsidDel="00D3636F">
        <w:t>)</w:t>
      </w:r>
      <w:r>
        <w:t>. Overall, there was conflicting evidence from inquiry participants on the significance and relevance of Whyalla Steelworks’ shutdowns for the FSS industry.</w:t>
      </w:r>
    </w:p>
    <w:p w14:paraId="053E1C9A" w14:textId="73EA3284" w:rsidR="00401855" w:rsidRPr="00E21C8D" w:rsidRDefault="00401855" w:rsidP="00011592">
      <w:pPr>
        <w:pStyle w:val="BodyText"/>
        <w:rPr>
          <w:spacing w:val="-4"/>
        </w:rPr>
      </w:pPr>
      <w:r w:rsidRPr="00E21C8D">
        <w:rPr>
          <w:spacing w:val="-4"/>
        </w:rPr>
        <w:t>Finally, imports of FSS are affected by the downstream industries which demand these products. In particular, demand for FSS rises and falls with construction, infrastructure and mining activity, so fluctuations in these downstream industries will directly impact demand facing the domestic industry and imports. Inquiry participants provided conflicting evidence as to whether industry trends over the investigation period are reflective of changing downstream domestic demand versus a substitution toward imports and away from domestic production (BlueScope Steel, sub.</w:t>
      </w:r>
      <w:r w:rsidR="00541146" w:rsidRPr="00E21C8D">
        <w:rPr>
          <w:spacing w:val="-4"/>
        </w:rPr>
        <w:t> </w:t>
      </w:r>
      <w:r w:rsidRPr="00E21C8D">
        <w:rPr>
          <w:spacing w:val="-4"/>
        </w:rPr>
        <w:t xml:space="preserve">48, </w:t>
      </w:r>
      <w:r w:rsidRPr="00E21C8D" w:rsidDel="00CC08AF">
        <w:rPr>
          <w:spacing w:val="-4"/>
        </w:rPr>
        <w:t>p</w:t>
      </w:r>
      <w:r w:rsidRPr="00E21C8D">
        <w:rPr>
          <w:spacing w:val="-4"/>
        </w:rPr>
        <w:t>.</w:t>
      </w:r>
      <w:r w:rsidR="00541146" w:rsidRPr="00E21C8D">
        <w:rPr>
          <w:spacing w:val="-4"/>
        </w:rPr>
        <w:t> </w:t>
      </w:r>
      <w:r w:rsidRPr="00E21C8D">
        <w:rPr>
          <w:spacing w:val="-4"/>
        </w:rPr>
        <w:t>8; CASA Engineering, sub.</w:t>
      </w:r>
      <w:r w:rsidR="00541146" w:rsidRPr="00E21C8D">
        <w:rPr>
          <w:spacing w:val="-4"/>
        </w:rPr>
        <w:t> </w:t>
      </w:r>
      <w:r w:rsidRPr="00E21C8D">
        <w:rPr>
          <w:spacing w:val="-4"/>
        </w:rPr>
        <w:t>14, p.</w:t>
      </w:r>
      <w:r w:rsidR="00541146" w:rsidRPr="00E21C8D">
        <w:rPr>
          <w:spacing w:val="-4"/>
        </w:rPr>
        <w:t> </w:t>
      </w:r>
      <w:r w:rsidRPr="00E21C8D">
        <w:rPr>
          <w:spacing w:val="-4"/>
        </w:rPr>
        <w:t>6; Instant Steel Solutions, sub.</w:t>
      </w:r>
      <w:r w:rsidR="00541146" w:rsidRPr="00E21C8D">
        <w:rPr>
          <w:spacing w:val="-4"/>
        </w:rPr>
        <w:t> </w:t>
      </w:r>
      <w:r w:rsidRPr="00E21C8D">
        <w:rPr>
          <w:spacing w:val="-4"/>
        </w:rPr>
        <w:t>46, p.</w:t>
      </w:r>
      <w:r w:rsidR="00541146" w:rsidRPr="00E21C8D">
        <w:rPr>
          <w:spacing w:val="-4"/>
        </w:rPr>
        <w:t> </w:t>
      </w:r>
      <w:r w:rsidRPr="00E21C8D">
        <w:rPr>
          <w:spacing w:val="-4"/>
        </w:rPr>
        <w:t>2; Master Builders Australia, sub.</w:t>
      </w:r>
      <w:r w:rsidR="00541146" w:rsidRPr="00E21C8D">
        <w:rPr>
          <w:spacing w:val="-4"/>
        </w:rPr>
        <w:t> </w:t>
      </w:r>
      <w:r w:rsidRPr="00E21C8D">
        <w:rPr>
          <w:spacing w:val="-4"/>
        </w:rPr>
        <w:t>49, p.</w:t>
      </w:r>
      <w:r w:rsidR="00541146" w:rsidRPr="00E21C8D">
        <w:rPr>
          <w:spacing w:val="-4"/>
        </w:rPr>
        <w:t> </w:t>
      </w:r>
      <w:r w:rsidRPr="00E21C8D">
        <w:rPr>
          <w:spacing w:val="-4"/>
        </w:rPr>
        <w:t xml:space="preserve">4; </w:t>
      </w:r>
      <w:proofErr w:type="spellStart"/>
      <w:r w:rsidRPr="00E21C8D">
        <w:rPr>
          <w:spacing w:val="-4"/>
        </w:rPr>
        <w:t>Sencova</w:t>
      </w:r>
      <w:proofErr w:type="spellEnd"/>
      <w:r w:rsidRPr="00E21C8D">
        <w:rPr>
          <w:spacing w:val="-4"/>
        </w:rPr>
        <w:t xml:space="preserve"> Steel Fabricators, sub.</w:t>
      </w:r>
      <w:r w:rsidR="00541146" w:rsidRPr="00E21C8D">
        <w:rPr>
          <w:spacing w:val="-4"/>
        </w:rPr>
        <w:t> </w:t>
      </w:r>
      <w:r w:rsidRPr="00E21C8D">
        <w:rPr>
          <w:spacing w:val="-4"/>
        </w:rPr>
        <w:t>26, p.</w:t>
      </w:r>
      <w:r w:rsidR="00541146" w:rsidRPr="00E21C8D">
        <w:rPr>
          <w:spacing w:val="-4"/>
        </w:rPr>
        <w:t> </w:t>
      </w:r>
      <w:r w:rsidRPr="00E21C8D">
        <w:rPr>
          <w:spacing w:val="-4"/>
        </w:rPr>
        <w:t>1; Steel Builder Australia, sub.</w:t>
      </w:r>
      <w:r w:rsidR="00541146" w:rsidRPr="00E21C8D">
        <w:rPr>
          <w:spacing w:val="-4"/>
        </w:rPr>
        <w:t> </w:t>
      </w:r>
      <w:r w:rsidRPr="00E21C8D">
        <w:rPr>
          <w:spacing w:val="-4"/>
        </w:rPr>
        <w:t>42, p.</w:t>
      </w:r>
      <w:r w:rsidR="00541146" w:rsidRPr="00E21C8D">
        <w:rPr>
          <w:spacing w:val="-4"/>
        </w:rPr>
        <w:t> </w:t>
      </w:r>
      <w:r w:rsidRPr="00E21C8D">
        <w:rPr>
          <w:spacing w:val="-4"/>
        </w:rPr>
        <w:t>28). Regardless, the cyclical performance of industries downstream to the FSS industry would be unlikely to meet the threshold of unforeseen circumstances.</w:t>
      </w:r>
    </w:p>
    <w:p w14:paraId="3ADBE389" w14:textId="573BB07C" w:rsidR="00401855" w:rsidRDefault="00401855" w:rsidP="00011592">
      <w:pPr>
        <w:pStyle w:val="BodyText"/>
      </w:pPr>
      <w:r>
        <w:t>While useful contextual information, as the PC has not found evidence of an increase in imports that meets the requirements for safeguard measures, the implications of industry trends and</w:t>
      </w:r>
      <w:r w:rsidR="00ED21E5">
        <w:t xml:space="preserve"> other</w:t>
      </w:r>
      <w:r>
        <w:t xml:space="preserve"> developments do not </w:t>
      </w:r>
      <w:r w:rsidRPr="00E03E5D">
        <w:t xml:space="preserve">require further </w:t>
      </w:r>
      <w:r>
        <w:t>analysis at this stage</w:t>
      </w:r>
      <w:r w:rsidRPr="00E03E5D">
        <w:t>.</w:t>
      </w:r>
    </w:p>
    <w:p w14:paraId="20B4E353" w14:textId="77777777" w:rsidR="00401855" w:rsidRDefault="00401855" w:rsidP="00011592">
      <w:pPr>
        <w:pStyle w:val="BodyText"/>
      </w:pPr>
    </w:p>
    <w:p w14:paraId="6499E339" w14:textId="77777777" w:rsidR="00692657" w:rsidRDefault="00692657" w:rsidP="005B5676">
      <w:pPr>
        <w:pStyle w:val="BodyText"/>
        <w:sectPr w:rsidR="00692657" w:rsidSect="00401855">
          <w:headerReference w:type="even" r:id="rId60"/>
          <w:headerReference w:type="default" r:id="rId61"/>
          <w:footerReference w:type="even" r:id="rId62"/>
          <w:footerReference w:type="default" r:id="rId63"/>
          <w:headerReference w:type="first" r:id="rId64"/>
          <w:type w:val="oddPage"/>
          <w:pgSz w:w="11906" w:h="16838" w:code="9"/>
          <w:pgMar w:top="1134" w:right="1134" w:bottom="1134" w:left="1134" w:header="794" w:footer="510" w:gutter="0"/>
          <w:cols w:space="708"/>
          <w:docGrid w:linePitch="360"/>
        </w:sectPr>
      </w:pPr>
    </w:p>
    <w:p w14:paraId="0FC7C8AA" w14:textId="77777777" w:rsidR="00692657" w:rsidRDefault="00692657" w:rsidP="00011592">
      <w:pPr>
        <w:pStyle w:val="Heading1"/>
      </w:pPr>
      <w:bookmarkStart w:id="25" w:name="_Toc238643909"/>
      <w:r>
        <w:lastRenderedPageBreak/>
        <w:t>Injury</w:t>
      </w:r>
      <w:bookmarkEnd w:id="25"/>
    </w:p>
    <w:tbl>
      <w:tblPr>
        <w:tblStyle w:val="Texttable-Paleblue"/>
        <w:tblW w:w="5000" w:type="pct"/>
        <w:shd w:val="clear" w:color="auto" w:fill="E7F6FD"/>
        <w:tblLook w:val="04A0" w:firstRow="1" w:lastRow="0" w:firstColumn="1" w:lastColumn="0" w:noHBand="0" w:noVBand="1"/>
      </w:tblPr>
      <w:tblGrid>
        <w:gridCol w:w="577"/>
        <w:gridCol w:w="9061"/>
      </w:tblGrid>
      <w:tr w:rsidR="005E3306" w:rsidRPr="002F759A" w14:paraId="1E712A65" w14:textId="77777777">
        <w:tc>
          <w:tcPr>
            <w:tcW w:w="9638" w:type="dxa"/>
            <w:gridSpan w:val="2"/>
            <w:shd w:val="clear" w:color="auto" w:fill="E7F6FD"/>
            <w:tcMar>
              <w:left w:w="170" w:type="dxa"/>
            </w:tcMar>
          </w:tcPr>
          <w:p w14:paraId="084D743E" w14:textId="77777777" w:rsidR="005E3306" w:rsidRPr="002F759A" w:rsidRDefault="005E3306">
            <w:pPr>
              <w:pStyle w:val="Keypoints-heading"/>
            </w:pPr>
            <w:r w:rsidRPr="002F759A">
              <w:t>Key points</w:t>
            </w:r>
          </w:p>
        </w:tc>
      </w:tr>
      <w:tr w:rsidR="005E3306" w14:paraId="16DFBBC0" w14:textId="77777777">
        <w:tc>
          <w:tcPr>
            <w:tcW w:w="577" w:type="dxa"/>
            <w:shd w:val="clear" w:color="auto" w:fill="E7F6FD"/>
            <w:tcMar>
              <w:top w:w="0" w:type="dxa"/>
              <w:bottom w:w="0" w:type="dxa"/>
              <w:right w:w="113" w:type="dxa"/>
            </w:tcMar>
          </w:tcPr>
          <w:p w14:paraId="76741D2F" w14:textId="77777777" w:rsidR="005E3306" w:rsidRDefault="005E3306" w:rsidP="000C6B77">
            <w:pPr>
              <w:pStyle w:val="KeyPointsicon"/>
            </w:pPr>
            <w:r w:rsidRPr="00A51374">
              <w:rPr>
                <w:noProof/>
              </w:rPr>
              <w:drawing>
                <wp:inline distT="0" distB="0" distL="0" distR="0" wp14:anchorId="32ECDDEB" wp14:editId="440A5B7C">
                  <wp:extent cx="180000" cy="180000"/>
                  <wp:effectExtent l="0" t="0" r="0" b="0"/>
                  <wp:docPr id="581894315" name="Graphic 5818943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a:extLst>
                              <a:ext uri="{C183D7F6-B498-43B3-948B-1728B52AA6E4}">
                                <adec:decorative xmlns:adec="http://schemas.microsoft.com/office/drawing/2017/decorative" val="1"/>
                              </a:ext>
                            </a:extLst>
                          </pic:cNvPr>
                          <pic:cNvPicPr/>
                        </pic:nvPicPr>
                        <pic:blipFill>
                          <a:blip r:embed="rId39">
                            <a:extLst>
                              <a:ext uri="{96DAC541-7B7A-43D3-8B79-37D633B846F1}">
                                <asvg:svgBlip xmlns:asvg="http://schemas.microsoft.com/office/drawing/2016/SVG/main" r:embed="rId40"/>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4063F9EB" w14:textId="77777777" w:rsidR="005E3306" w:rsidRDefault="005E3306" w:rsidP="005E3306">
            <w:pPr>
              <w:pStyle w:val="KeyPoints-Bold"/>
            </w:pPr>
            <w:r>
              <w:t xml:space="preserve">To apply safeguard measures, an increase in imports must be </w:t>
            </w:r>
            <w:r w:rsidRPr="003D0D32">
              <w:t>demonstrably</w:t>
            </w:r>
            <w:r>
              <w:t xml:space="preserve"> causing serious injury or there must be a threat of serious injury.</w:t>
            </w:r>
          </w:p>
          <w:p w14:paraId="07C4DF38" w14:textId="3570B888" w:rsidR="005E3306" w:rsidRDefault="005E3306" w:rsidP="005E3306">
            <w:pPr>
              <w:pStyle w:val="KeyPoints-Bullet"/>
            </w:pPr>
            <w:r>
              <w:t xml:space="preserve">‘Serious injury’ means ‘significant overall impairment’ to the </w:t>
            </w:r>
            <w:proofErr w:type="gramStart"/>
            <w:r>
              <w:t>industry as a whole</w:t>
            </w:r>
            <w:proofErr w:type="gramEnd"/>
            <w:r>
              <w:t xml:space="preserve">. The Agreement on Safeguards requires that the investigation of injury is based on objective and quantifiable evidence, including </w:t>
            </w:r>
            <w:proofErr w:type="gramStart"/>
            <w:r>
              <w:t>a number of</w:t>
            </w:r>
            <w:proofErr w:type="gramEnd"/>
            <w:r>
              <w:t xml:space="preserve"> specific ‘injury </w:t>
            </w:r>
            <w:proofErr w:type="gramStart"/>
            <w:r>
              <w:t>factors’</w:t>
            </w:r>
            <w:proofErr w:type="gramEnd"/>
            <w:r>
              <w:t>.</w:t>
            </w:r>
          </w:p>
          <w:p w14:paraId="26B4211E" w14:textId="77777777" w:rsidR="005E3306" w:rsidRDefault="005E3306" w:rsidP="005E3306">
            <w:pPr>
              <w:pStyle w:val="KeyPoints-Bullet"/>
            </w:pPr>
            <w:r>
              <w:t>‘Threat of serious injury’ means serious injury that is ‘clearly imminent’. The Agreement on Safeguards requires the investigation of threat to be based on facts, ‘not merely on allegation, conjecture or remote possibility’.</w:t>
            </w:r>
          </w:p>
          <w:p w14:paraId="58141E6A" w14:textId="67673118" w:rsidR="005E3306" w:rsidRDefault="005E3306" w:rsidP="005E3306">
            <w:pPr>
              <w:pStyle w:val="KeyPoints-Bullet"/>
            </w:pPr>
            <w:r>
              <w:t xml:space="preserve">A recent, sudden, sharp and significant increase in imports must be shown to be causally responsible for both serious injury </w:t>
            </w:r>
            <w:proofErr w:type="gramStart"/>
            <w:r>
              <w:t>or</w:t>
            </w:r>
            <w:proofErr w:type="gramEnd"/>
            <w:r>
              <w:t xml:space="preserve"> threat thereof if a safeguard measure is to be introduced.</w:t>
            </w:r>
          </w:p>
        </w:tc>
      </w:tr>
      <w:tr w:rsidR="005E3306" w14:paraId="58CA2413" w14:textId="77777777">
        <w:tc>
          <w:tcPr>
            <w:tcW w:w="577" w:type="dxa"/>
            <w:shd w:val="clear" w:color="auto" w:fill="E7F6FD"/>
            <w:tcMar>
              <w:top w:w="0" w:type="dxa"/>
              <w:bottom w:w="0" w:type="dxa"/>
              <w:right w:w="113" w:type="dxa"/>
            </w:tcMar>
          </w:tcPr>
          <w:p w14:paraId="2032762A" w14:textId="77777777" w:rsidR="005E3306" w:rsidRPr="00A51374" w:rsidRDefault="005E3306" w:rsidP="000C6B77">
            <w:pPr>
              <w:pStyle w:val="KeyPointsicon"/>
            </w:pPr>
            <w:r w:rsidRPr="00F31E73">
              <w:rPr>
                <w:noProof/>
              </w:rPr>
              <w:drawing>
                <wp:inline distT="0" distB="0" distL="0" distR="0" wp14:anchorId="5C647917" wp14:editId="1586476B">
                  <wp:extent cx="180000" cy="180000"/>
                  <wp:effectExtent l="0" t="0" r="0" b="0"/>
                  <wp:docPr id="228793983" name="Graphic 2287939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a:extLst>
                              <a:ext uri="{C183D7F6-B498-43B3-948B-1728B52AA6E4}">
                                <adec:decorative xmlns:adec="http://schemas.microsoft.com/office/drawing/2017/decorative" val="1"/>
                              </a:ext>
                            </a:extLst>
                          </pic:cNvPr>
                          <pic:cNvPicPr/>
                        </pic:nvPicPr>
                        <pic:blipFill>
                          <a:blip r:embed="rId39">
                            <a:extLst>
                              <a:ext uri="{96DAC541-7B7A-43D3-8B79-37D633B846F1}">
                                <asvg:svgBlip xmlns:asvg="http://schemas.microsoft.com/office/drawing/2016/SVG/main" r:embed="rId40"/>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53D6E21F" w14:textId="77777777" w:rsidR="009C307C" w:rsidRDefault="009C307C" w:rsidP="009C307C">
            <w:pPr>
              <w:pStyle w:val="KeyPoints-Bold"/>
            </w:pPr>
            <w:r w:rsidRPr="002E3848">
              <w:t xml:space="preserve">Over the investigation period, </w:t>
            </w:r>
            <w:r w:rsidRPr="00316278">
              <w:t>the domestic industry expanded</w:t>
            </w:r>
            <w:r w:rsidRPr="002E3848">
              <w:t xml:space="preserve">. </w:t>
            </w:r>
          </w:p>
          <w:p w14:paraId="75ADAA8E" w14:textId="77777777" w:rsidR="009C307C" w:rsidRDefault="009C307C" w:rsidP="009C307C">
            <w:pPr>
              <w:pStyle w:val="KeyPoints-Bullet"/>
            </w:pPr>
            <w:r w:rsidRPr="00CB4BB6">
              <w:t>Sales, profits, production, productivity, capacity utilisation</w:t>
            </w:r>
            <w:r>
              <w:t>,</w:t>
            </w:r>
            <w:r w:rsidRPr="00CB4BB6">
              <w:t xml:space="preserve"> and employment all increased over the </w:t>
            </w:r>
            <w:r>
              <w:t xml:space="preserve">investigation </w:t>
            </w:r>
            <w:r w:rsidRPr="00CB4BB6">
              <w:t xml:space="preserve">period, while import market share </w:t>
            </w:r>
            <w:r>
              <w:t>declined marginally (in value terms).</w:t>
            </w:r>
            <w:r w:rsidRPr="00E85CAB">
              <w:t xml:space="preserve"> </w:t>
            </w:r>
          </w:p>
          <w:p w14:paraId="4AEBF2B0" w14:textId="10665411" w:rsidR="005E3306" w:rsidRPr="00610627" w:rsidRDefault="009C307C" w:rsidP="00A62FC5">
            <w:pPr>
              <w:pStyle w:val="KeyPoints-Bullet"/>
            </w:pPr>
            <w:r>
              <w:t xml:space="preserve">Evidence from inquiry participants and administrative data indicate variation in the performance of different parts of the industry, but the safeguard investigation must be based on the condition of the </w:t>
            </w:r>
            <w:proofErr w:type="gramStart"/>
            <w:r>
              <w:t>industry as a whole</w:t>
            </w:r>
            <w:proofErr w:type="gramEnd"/>
            <w:r>
              <w:t>.</w:t>
            </w:r>
          </w:p>
        </w:tc>
      </w:tr>
      <w:tr w:rsidR="005E3306" w14:paraId="5C49A74C" w14:textId="77777777">
        <w:tc>
          <w:tcPr>
            <w:tcW w:w="577" w:type="dxa"/>
            <w:shd w:val="clear" w:color="auto" w:fill="E7F6FD"/>
            <w:tcMar>
              <w:top w:w="0" w:type="dxa"/>
              <w:bottom w:w="0" w:type="dxa"/>
              <w:right w:w="113" w:type="dxa"/>
            </w:tcMar>
          </w:tcPr>
          <w:p w14:paraId="5DD6DA72" w14:textId="77777777" w:rsidR="005E3306" w:rsidRPr="00A51374" w:rsidRDefault="005E3306" w:rsidP="000C6B77">
            <w:pPr>
              <w:pStyle w:val="KeyPointsicon"/>
            </w:pPr>
            <w:r w:rsidRPr="00F31E73">
              <w:rPr>
                <w:noProof/>
              </w:rPr>
              <w:drawing>
                <wp:inline distT="0" distB="0" distL="0" distR="0" wp14:anchorId="5B6E821A" wp14:editId="3981FC0F">
                  <wp:extent cx="180000" cy="180000"/>
                  <wp:effectExtent l="0" t="0" r="0" b="0"/>
                  <wp:docPr id="843227107" name="Graphic 8432271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a:extLst>
                              <a:ext uri="{C183D7F6-B498-43B3-948B-1728B52AA6E4}">
                                <adec:decorative xmlns:adec="http://schemas.microsoft.com/office/drawing/2017/decorative" val="1"/>
                              </a:ext>
                            </a:extLst>
                          </pic:cNvPr>
                          <pic:cNvPicPr/>
                        </pic:nvPicPr>
                        <pic:blipFill>
                          <a:blip r:embed="rId39">
                            <a:extLst>
                              <a:ext uri="{96DAC541-7B7A-43D3-8B79-37D633B846F1}">
                                <asvg:svgBlip xmlns:asvg="http://schemas.microsoft.com/office/drawing/2016/SVG/main" r:embed="rId40"/>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6FE62FD7" w14:textId="20A60FF7" w:rsidR="009C307C" w:rsidRDefault="009C307C" w:rsidP="009C307C">
            <w:pPr>
              <w:pStyle w:val="KeyPoints-Bold"/>
            </w:pPr>
            <w:r>
              <w:t xml:space="preserve">Based on the weight of evidence available, </w:t>
            </w:r>
            <w:r w:rsidRPr="000749FE">
              <w:t>the P</w:t>
            </w:r>
            <w:r>
              <w:t xml:space="preserve">roductivity </w:t>
            </w:r>
            <w:r w:rsidRPr="000749FE">
              <w:t>C</w:t>
            </w:r>
            <w:r>
              <w:t>ommission</w:t>
            </w:r>
            <w:r w:rsidR="001D0D84">
              <w:t xml:space="preserve"> </w:t>
            </w:r>
            <w:r w:rsidRPr="000749FE">
              <w:t>finds that</w:t>
            </w:r>
            <w:r>
              <w:t xml:space="preserve"> the Australian fabricated structural steel (FSS) industry </w:t>
            </w:r>
            <w:proofErr w:type="gramStart"/>
            <w:r>
              <w:t>as a whole is</w:t>
            </w:r>
            <w:proofErr w:type="gramEnd"/>
            <w:r>
              <w:t xml:space="preserve"> not suffering serious injury and there is not a threat of serious injury.</w:t>
            </w:r>
          </w:p>
          <w:p w14:paraId="6CC64A8E" w14:textId="65D73002" w:rsidR="009C307C" w:rsidRPr="00C25E00" w:rsidRDefault="009C307C" w:rsidP="009C307C">
            <w:pPr>
              <w:pStyle w:val="KeyPoints-Bullet"/>
            </w:pPr>
            <w:r>
              <w:t>The health</w:t>
            </w:r>
            <w:r w:rsidDel="003D0D32">
              <w:t xml:space="preserve"> </w:t>
            </w:r>
            <w:r>
              <w:t xml:space="preserve">of all injury factors </w:t>
            </w:r>
            <w:r w:rsidRPr="00C25E00">
              <w:t>increased over the investigation period, despite some weakening</w:t>
            </w:r>
            <w:r>
              <w:t xml:space="preserve"> off peaks</w:t>
            </w:r>
            <w:r w:rsidRPr="00C25E00">
              <w:t xml:space="preserve"> for </w:t>
            </w:r>
            <w:r>
              <w:t>a few</w:t>
            </w:r>
            <w:r w:rsidRPr="00C25E00">
              <w:t xml:space="preserve"> </w:t>
            </w:r>
            <w:r w:rsidR="00F86A1D">
              <w:t xml:space="preserve">factors </w:t>
            </w:r>
            <w:r w:rsidRPr="00C25E00">
              <w:t>in the most recent years.</w:t>
            </w:r>
          </w:p>
          <w:p w14:paraId="168736AF" w14:textId="0E2728BE" w:rsidR="005E3306" w:rsidRPr="00610627" w:rsidRDefault="009C307C" w:rsidP="00E65118">
            <w:pPr>
              <w:pStyle w:val="KeyPoints-Bullet"/>
            </w:pPr>
            <w:r w:rsidRPr="00C25E00">
              <w:t xml:space="preserve">Submissions indicate </w:t>
            </w:r>
            <w:r>
              <w:t>challengin</w:t>
            </w:r>
            <w:r w:rsidRPr="00C25E00">
              <w:t>g tender</w:t>
            </w:r>
            <w:r>
              <w:t>ing</w:t>
            </w:r>
            <w:r w:rsidRPr="00C25E00">
              <w:t xml:space="preserve"> conditions and pressure in some segments, but there is insufficient evidence that significant industry</w:t>
            </w:r>
            <w:r>
              <w:t>–</w:t>
            </w:r>
            <w:r w:rsidRPr="00C25E00">
              <w:t>wide impairment is clearly imminent.</w:t>
            </w:r>
          </w:p>
        </w:tc>
      </w:tr>
    </w:tbl>
    <w:p w14:paraId="645CE8BE" w14:textId="77777777" w:rsidR="00692657" w:rsidRPr="00E21C8D" w:rsidRDefault="00692657" w:rsidP="00E21C8D">
      <w:pPr>
        <w:pStyle w:val="BodyText"/>
      </w:pPr>
      <w:r w:rsidRPr="00E21C8D">
        <w:br w:type="page"/>
      </w:r>
    </w:p>
    <w:p w14:paraId="5B59AA39" w14:textId="77777777" w:rsidR="00692657" w:rsidRPr="00CF3B5D" w:rsidRDefault="00692657" w:rsidP="00011592">
      <w:pPr>
        <w:pStyle w:val="Heading2"/>
        <w:rPr>
          <w:color w:val="000000" w:themeColor="text1"/>
        </w:rPr>
      </w:pPr>
      <w:bookmarkStart w:id="26" w:name="_Toc238643910"/>
      <w:r>
        <w:rPr>
          <w:color w:val="000000" w:themeColor="text1"/>
        </w:rPr>
        <w:lastRenderedPageBreak/>
        <w:t>Assessing injury</w:t>
      </w:r>
      <w:bookmarkEnd w:id="26"/>
    </w:p>
    <w:p w14:paraId="19E42773" w14:textId="77777777" w:rsidR="00692657" w:rsidRDefault="00692657" w:rsidP="00011592">
      <w:pPr>
        <w:pStyle w:val="BodyText"/>
      </w:pPr>
      <w:r>
        <w:t xml:space="preserve">Safeguard measures can only be applied if a recent, sudden, sharp and significant increase in imports has caused, or threatens to cause, serious injury to the domestic industry producing like or directly competitive products (SA Article 2). ‘Serious injury’ means ‘a significant overall impairment in the position’ of the domestic industry and ‘threat of serious injury’ means ‘serious injury that is clearly imminent’ (SA Article 4). </w:t>
      </w:r>
      <w:r w:rsidRPr="00A7769D">
        <w:t>If both these conditions are met, it must</w:t>
      </w:r>
      <w:r>
        <w:t xml:space="preserve"> then</w:t>
      </w:r>
      <w:r w:rsidRPr="00A7769D">
        <w:t xml:space="preserve"> be established that the serious injury or threat thereof is causally linked to the increase in imports and not due to unrelated factors (</w:t>
      </w:r>
      <w:r w:rsidRPr="00E0022B">
        <w:rPr>
          <w:i/>
          <w:iCs/>
        </w:rPr>
        <w:t>Argentina</w:t>
      </w:r>
      <w:r>
        <w:rPr>
          <w:i/>
          <w:iCs/>
        </w:rPr>
        <w:t xml:space="preserve"> – </w:t>
      </w:r>
      <w:r w:rsidRPr="005E274F">
        <w:rPr>
          <w:i/>
          <w:iCs/>
        </w:rPr>
        <w:t>Footwear (EC)</w:t>
      </w:r>
      <w:r>
        <w:t xml:space="preserve">, para. </w:t>
      </w:r>
      <w:r w:rsidRPr="005E274F">
        <w:t>8.267</w:t>
      </w:r>
      <w:r>
        <w:t xml:space="preserve">; </w:t>
      </w:r>
      <w:r w:rsidRPr="00A7769D">
        <w:t>SA Article 4.2(b)).</w:t>
      </w:r>
    </w:p>
    <w:p w14:paraId="60CA18FA" w14:textId="77777777" w:rsidR="00692657" w:rsidRDefault="00692657" w:rsidP="00011592">
      <w:pPr>
        <w:pStyle w:val="BodyText"/>
      </w:pPr>
      <w:r>
        <w:t>To assess whether Australia’s FSS industry is experiencing serious injury, the PC must evaluate ‘all relevant factors of an objective and quantifiable nature having a bearing on the situation of that industry’, including at a minimum those set out in Article 4 of the Agreement on Safeguards:</w:t>
      </w:r>
    </w:p>
    <w:p w14:paraId="442D237C" w14:textId="77777777" w:rsidR="00692657" w:rsidRDefault="00692657" w:rsidP="00011592">
      <w:pPr>
        <w:pStyle w:val="ListBullet"/>
      </w:pPr>
      <w:r>
        <w:t xml:space="preserve">changes in sales </w:t>
      </w:r>
    </w:p>
    <w:p w14:paraId="12B71EC5" w14:textId="77777777" w:rsidR="00692657" w:rsidRDefault="00692657" w:rsidP="00011592">
      <w:pPr>
        <w:pStyle w:val="ListBullet"/>
      </w:pPr>
      <w:r>
        <w:t xml:space="preserve">changes in profits and losses </w:t>
      </w:r>
    </w:p>
    <w:p w14:paraId="1624336D" w14:textId="77777777" w:rsidR="00692657" w:rsidRDefault="00692657" w:rsidP="00011592">
      <w:pPr>
        <w:pStyle w:val="ListBullet"/>
      </w:pPr>
      <w:r>
        <w:t>changes in employment</w:t>
      </w:r>
    </w:p>
    <w:p w14:paraId="05D5977F" w14:textId="77777777" w:rsidR="00692657" w:rsidRDefault="00692657" w:rsidP="00011592">
      <w:pPr>
        <w:pStyle w:val="ListBullet"/>
      </w:pPr>
      <w:r>
        <w:t xml:space="preserve">changes in productivity </w:t>
      </w:r>
    </w:p>
    <w:p w14:paraId="6E218DC5" w14:textId="77777777" w:rsidR="00692657" w:rsidRDefault="00692657" w:rsidP="00011592">
      <w:pPr>
        <w:pStyle w:val="ListBullet"/>
      </w:pPr>
      <w:r>
        <w:t>changes in capacity utilisation</w:t>
      </w:r>
    </w:p>
    <w:p w14:paraId="1848A5F8" w14:textId="5CF1A2EF" w:rsidR="00692657" w:rsidRDefault="00692657" w:rsidP="00011592">
      <w:pPr>
        <w:pStyle w:val="ListBullet"/>
      </w:pPr>
      <w:r w:rsidRPr="005E7822">
        <w:t>changes in production</w:t>
      </w:r>
    </w:p>
    <w:p w14:paraId="3613E80C" w14:textId="77777777" w:rsidR="00692657" w:rsidRDefault="00692657" w:rsidP="00011592">
      <w:pPr>
        <w:pStyle w:val="ListBullet"/>
      </w:pPr>
      <w:r>
        <w:t>the rate and amount of the increase in imports in absolute and relative terms</w:t>
      </w:r>
    </w:p>
    <w:p w14:paraId="34B9DCBE" w14:textId="77777777" w:rsidR="00692657" w:rsidRDefault="00692657" w:rsidP="00011592">
      <w:pPr>
        <w:pStyle w:val="ListBullet"/>
      </w:pPr>
      <w:r>
        <w:t>the share of the domestic market taken by increased imports.</w:t>
      </w:r>
    </w:p>
    <w:p w14:paraId="59562A55" w14:textId="77777777" w:rsidR="00692657" w:rsidRPr="00A91551" w:rsidRDefault="00692657">
      <w:pPr>
        <w:pStyle w:val="BodyText"/>
      </w:pPr>
      <w:r w:rsidRPr="00477CC4">
        <w:t xml:space="preserve">Not </w:t>
      </w:r>
      <w:r>
        <w:t xml:space="preserve">every </w:t>
      </w:r>
      <w:r w:rsidRPr="00477CC4">
        <w:t>factor need</w:t>
      </w:r>
      <w:r>
        <w:t>s</w:t>
      </w:r>
      <w:r w:rsidRPr="00477CC4">
        <w:t xml:space="preserve"> to indicate serious injury</w:t>
      </w:r>
      <w:r>
        <w:t xml:space="preserve">: </w:t>
      </w:r>
      <w:r w:rsidRPr="00D21542">
        <w:t xml:space="preserve">the PC </w:t>
      </w:r>
      <w:r>
        <w:t>must</w:t>
      </w:r>
      <w:r w:rsidRPr="00D21542">
        <w:t xml:space="preserve"> consider all factors and decide whether they indicate the industry is suffering ‘</w:t>
      </w:r>
      <w:r>
        <w:t xml:space="preserve">significant </w:t>
      </w:r>
      <w:r w:rsidRPr="00D21542">
        <w:t>overall impairment’.</w:t>
      </w:r>
      <w:r>
        <w:t xml:space="preserve"> </w:t>
      </w:r>
      <w:r w:rsidRPr="00C01967">
        <w:t xml:space="preserve">The WTO Appellate </w:t>
      </w:r>
      <w:r>
        <w:t>B</w:t>
      </w:r>
      <w:r w:rsidRPr="00C01967">
        <w:t xml:space="preserve">ody has emphasised that serious injury is a ‘very high’ and ‘exacting’ standard, higher than the material injury threshold used for </w:t>
      </w:r>
      <w:r>
        <w:t>anti–dumping and countervailing measures (</w:t>
      </w:r>
      <w:r>
        <w:rPr>
          <w:i/>
          <w:iCs/>
        </w:rPr>
        <w:t>US – Lamb</w:t>
      </w:r>
      <w:r>
        <w:t xml:space="preserve">, para. 124). </w:t>
      </w:r>
    </w:p>
    <w:p w14:paraId="59A2D964" w14:textId="35607A0F" w:rsidR="00692657" w:rsidRDefault="00692657" w:rsidP="00011592">
      <w:pPr>
        <w:pStyle w:val="Heading3"/>
      </w:pPr>
      <w:r>
        <w:t>The PC has used administrative data to provide a complete and unbiased picture of the FSS industry</w:t>
      </w:r>
    </w:p>
    <w:p w14:paraId="577ABB5A" w14:textId="3E520637" w:rsidR="00692657" w:rsidRDefault="00692657" w:rsidP="00011592">
      <w:pPr>
        <w:pStyle w:val="BodyText"/>
      </w:pPr>
      <w:r>
        <w:t xml:space="preserve">To analyse whether the Australian FSS industry is experiencing significant overall impairment, the PC has drawn on firm–level anonymised administrative data </w:t>
      </w:r>
      <w:r w:rsidRPr="007B4888">
        <w:t xml:space="preserve">held by the </w:t>
      </w:r>
      <w:r w:rsidR="00F87DC7">
        <w:t>ABS</w:t>
      </w:r>
      <w:r>
        <w:t>. The data is based on</w:t>
      </w:r>
      <w:r w:rsidRPr="007B4888">
        <w:t xml:space="preserve"> individual firms’ </w:t>
      </w:r>
      <w:r>
        <w:t>B</w:t>
      </w:r>
      <w:r w:rsidRPr="007B4888">
        <w:t xml:space="preserve">usiness </w:t>
      </w:r>
      <w:r>
        <w:t>I</w:t>
      </w:r>
      <w:r w:rsidRPr="007B4888">
        <w:t xml:space="preserve">ncome </w:t>
      </w:r>
      <w:r>
        <w:t>T</w:t>
      </w:r>
      <w:r w:rsidRPr="007B4888">
        <w:t xml:space="preserve">ax </w:t>
      </w:r>
      <w:r>
        <w:t>(BIT)</w:t>
      </w:r>
      <w:r w:rsidRPr="007B4888">
        <w:t xml:space="preserve"> returns</w:t>
      </w:r>
      <w:r w:rsidRPr="00834879">
        <w:t xml:space="preserve">, </w:t>
      </w:r>
      <w:r>
        <w:t>B</w:t>
      </w:r>
      <w:r w:rsidRPr="00834879">
        <w:t xml:space="preserve">usiness </w:t>
      </w:r>
      <w:r>
        <w:t>A</w:t>
      </w:r>
      <w:r w:rsidRPr="00834879">
        <w:t xml:space="preserve">ctivity </w:t>
      </w:r>
      <w:r>
        <w:t>S</w:t>
      </w:r>
      <w:r w:rsidRPr="00834879">
        <w:t>tatements</w:t>
      </w:r>
      <w:r>
        <w:t xml:space="preserve"> (BAS)</w:t>
      </w:r>
      <w:r w:rsidRPr="00834879">
        <w:t xml:space="preserve"> and Pay </w:t>
      </w:r>
      <w:proofErr w:type="gramStart"/>
      <w:r w:rsidR="00A35E89">
        <w:t>A</w:t>
      </w:r>
      <w:r w:rsidR="00A35E89" w:rsidRPr="00834879">
        <w:t>s</w:t>
      </w:r>
      <w:proofErr w:type="gramEnd"/>
      <w:r w:rsidRPr="00834879" w:rsidDel="00A35E89">
        <w:t xml:space="preserve"> </w:t>
      </w:r>
      <w:r w:rsidR="00A35E89">
        <w:t>Y</w:t>
      </w:r>
      <w:r w:rsidR="00A35E89" w:rsidRPr="00834879">
        <w:t xml:space="preserve">ou </w:t>
      </w:r>
      <w:r w:rsidR="00A35E89">
        <w:t>G</w:t>
      </w:r>
      <w:r w:rsidR="00A35E89" w:rsidRPr="00834879">
        <w:t xml:space="preserve">o </w:t>
      </w:r>
      <w:r w:rsidRPr="00834879">
        <w:t>(PAYG) submissions.</w:t>
      </w:r>
      <w:r w:rsidRPr="0066219B">
        <w:t xml:space="preserve"> </w:t>
      </w:r>
      <w:r w:rsidRPr="008C7E23">
        <w:t>BIT data is derived from business tax returns and provides the most comprehensive insight on business performance, so the PC has relied on BIT for assessing most injury factors in most years</w:t>
      </w:r>
      <w:r>
        <w:t xml:space="preserve"> </w:t>
      </w:r>
      <w:r w:rsidRPr="00E9700F">
        <w:rPr>
          <w:rFonts w:cs="Open Sans"/>
        </w:rPr>
        <w:t>(McMillan and Burns 2021, p. 3)</w:t>
      </w:r>
      <w:r w:rsidRPr="008C7E23">
        <w:t>.</w:t>
      </w:r>
    </w:p>
    <w:p w14:paraId="1A72465C" w14:textId="5D397ED5" w:rsidR="00692657" w:rsidRDefault="00692657" w:rsidP="00011592">
      <w:pPr>
        <w:pStyle w:val="BodyText"/>
      </w:pPr>
      <w:r>
        <w:t xml:space="preserve">For most of the injury factors, the estimates are based on the performance of ASI fabricator members and fabricators directly identified </w:t>
      </w:r>
      <w:proofErr w:type="gramStart"/>
      <w:r>
        <w:t>during the course of</w:t>
      </w:r>
      <w:proofErr w:type="gramEnd"/>
      <w:r>
        <w:t xml:space="preserve"> this inquiry. This is referred to as the </w:t>
      </w:r>
      <w:r w:rsidRPr="00EC1F89">
        <w:t xml:space="preserve">conservative </w:t>
      </w:r>
      <w:proofErr w:type="gramStart"/>
      <w:r w:rsidRPr="00EC1F89">
        <w:t>population</w:t>
      </w:r>
      <w:r>
        <w:t>, and</w:t>
      </w:r>
      <w:proofErr w:type="gramEnd"/>
      <w:r>
        <w:t xml:space="preserve"> likely produces estimates that understate the total size of the Australian FSS industry. For some injury factors, estimates for an </w:t>
      </w:r>
      <w:r w:rsidRPr="00330544">
        <w:t>expanded industry group</w:t>
      </w:r>
      <w:r>
        <w:t xml:space="preserve"> are also presented to test the robustness of the results based on the conservative population. This </w:t>
      </w:r>
      <w:r w:rsidRPr="00EC1F89">
        <w:t xml:space="preserve">expanded </w:t>
      </w:r>
      <w:r w:rsidR="00E564A7" w:rsidRPr="00EC1F89">
        <w:t>population</w:t>
      </w:r>
      <w:r>
        <w:rPr>
          <w:b/>
        </w:rPr>
        <w:t xml:space="preserve"> </w:t>
      </w:r>
      <w:r>
        <w:t>adds firms that were identified as purchasers of key FSS inputs through multiple sources. Population identification is discussed further in chapter</w:t>
      </w:r>
      <w:r w:rsidR="00541146">
        <w:t> </w:t>
      </w:r>
      <w:r>
        <w:t>2 and appendix</w:t>
      </w:r>
      <w:r w:rsidR="00541146">
        <w:t> </w:t>
      </w:r>
      <w:r>
        <w:t xml:space="preserve">B. The PC’s analysis and findings hold regardless of which set of firms are assessed. </w:t>
      </w:r>
    </w:p>
    <w:p w14:paraId="2D020905" w14:textId="77777777" w:rsidR="00692657" w:rsidRDefault="00692657" w:rsidP="00011592">
      <w:pPr>
        <w:pStyle w:val="Heading4"/>
      </w:pPr>
      <w:r w:rsidRPr="00FF1342">
        <w:lastRenderedPageBreak/>
        <w:t>Administrative data gives a comprehensive and accurate view of industry activity</w:t>
      </w:r>
    </w:p>
    <w:p w14:paraId="4220D73D" w14:textId="77777777" w:rsidR="00692657" w:rsidRPr="00A91551" w:rsidRDefault="00692657">
      <w:pPr>
        <w:pStyle w:val="BodyText"/>
      </w:pPr>
      <w:r w:rsidRPr="000E5685">
        <w:t xml:space="preserve">The PC considers administrative data to be the best available </w:t>
      </w:r>
      <w:r w:rsidRPr="00A36F71">
        <w:t>source for assessing</w:t>
      </w:r>
      <w:r w:rsidRPr="000E5685">
        <w:t xml:space="preserve"> overall industry performance.</w:t>
      </w:r>
      <w:r>
        <w:t xml:space="preserve"> </w:t>
      </w:r>
      <w:r w:rsidRPr="00A36F71">
        <w:t>It provides broad coverage, uses information firms have already reported to the ATO</w:t>
      </w:r>
      <w:r>
        <w:t xml:space="preserve"> (subject to the </w:t>
      </w:r>
      <w:r w:rsidRPr="00821728">
        <w:t xml:space="preserve">legislative definitions, </w:t>
      </w:r>
      <w:r w:rsidRPr="00364088">
        <w:t xml:space="preserve">reporting </w:t>
      </w:r>
      <w:r w:rsidRPr="00821728">
        <w:t>requirements and quality assurance standards of the Australian tax system</w:t>
      </w:r>
      <w:r>
        <w:t xml:space="preserve">) </w:t>
      </w:r>
      <w:r w:rsidRPr="00A36F71">
        <w:t xml:space="preserve">and reduces the </w:t>
      </w:r>
      <w:r>
        <w:t>burden</w:t>
      </w:r>
      <w:r w:rsidRPr="00A36F71">
        <w:t xml:space="preserve"> on industry.</w:t>
      </w:r>
    </w:p>
    <w:p w14:paraId="00EE1183" w14:textId="77777777" w:rsidR="00692657" w:rsidRPr="00A91551" w:rsidRDefault="00692657">
      <w:pPr>
        <w:pStyle w:val="BodyText"/>
      </w:pPr>
      <w:r w:rsidRPr="00E90DF7">
        <w:t>Administrative data also helps reduce selection bias. Unlike a survey, it is less likely to over</w:t>
      </w:r>
      <w:r>
        <w:t>–</w:t>
      </w:r>
      <w:r w:rsidRPr="00E90DF7">
        <w:t xml:space="preserve">represent firms that are still operating, or firms experiencing particular difficulties. This makes it a more reliable basis for assessing the condition of the </w:t>
      </w:r>
      <w:proofErr w:type="gramStart"/>
      <w:r w:rsidRPr="00E90DF7">
        <w:t>industry as a whole</w:t>
      </w:r>
      <w:proofErr w:type="gramEnd"/>
      <w:r w:rsidRPr="00E90DF7">
        <w:t>.</w:t>
      </w:r>
    </w:p>
    <w:p w14:paraId="4822739B" w14:textId="359A5B75" w:rsidR="00692657" w:rsidRPr="00A91551" w:rsidRDefault="00692657">
      <w:pPr>
        <w:pStyle w:val="BodyText"/>
      </w:pPr>
      <w:r w:rsidRPr="00B42FFC">
        <w:t>There are some limitations</w:t>
      </w:r>
      <w:r>
        <w:t xml:space="preserve"> in using administrative data</w:t>
      </w:r>
      <w:r w:rsidRPr="00B42FFC">
        <w:t xml:space="preserve">. </w:t>
      </w:r>
      <w:r>
        <w:t xml:space="preserve">One disadvantage of using administrative data is that it is only generated with a lag and not every firm consistently provides data on every variable. The BIT data used for some injury factors is only available up to 2023–24, so the PC has </w:t>
      </w:r>
      <w:r w:rsidRPr="00B42FFC">
        <w:t xml:space="preserve">estimated several 2024–25 </w:t>
      </w:r>
      <w:r>
        <w:t xml:space="preserve">injury factors </w:t>
      </w:r>
      <w:r w:rsidRPr="00B42FFC">
        <w:t>using more recent</w:t>
      </w:r>
      <w:r>
        <w:t xml:space="preserve"> </w:t>
      </w:r>
      <w:r w:rsidRPr="006141AC">
        <w:t>BAS and PAYG data</w:t>
      </w:r>
      <w:r>
        <w:t xml:space="preserve">. More information about the methodology is at </w:t>
      </w:r>
      <w:r w:rsidR="00541146">
        <w:t>a</w:t>
      </w:r>
      <w:r w:rsidR="00BF3BA4">
        <w:t>ppendix</w:t>
      </w:r>
      <w:r w:rsidR="00541146">
        <w:t> </w:t>
      </w:r>
      <w:r>
        <w:t>B.</w:t>
      </w:r>
    </w:p>
    <w:p w14:paraId="6CB9D0CE" w14:textId="77777777" w:rsidR="00692657" w:rsidRDefault="00692657">
      <w:pPr>
        <w:pStyle w:val="BodyText"/>
        <w:rPr>
          <w:kern w:val="2"/>
          <w:lang w:eastAsia="en-AU"/>
          <w14:ligatures w14:val="standardContextual"/>
        </w:rPr>
      </w:pPr>
      <w:r w:rsidRPr="009139C8">
        <w:t xml:space="preserve">A further limitation is that administrative data is collected for tax and reporting purposes, not specifically for this inquiry. </w:t>
      </w:r>
      <w:r w:rsidRPr="00515F52">
        <w:t>This limits the PC’s ability to distinguish between different activities undertaken by firms identified as part of the FSS industry. In particular, the data do</w:t>
      </w:r>
      <w:r>
        <w:t>es</w:t>
      </w:r>
      <w:r w:rsidRPr="00515F52">
        <w:t xml:space="preserve"> not identify the share of businesses’ income unrelated to the production of FSS (for example, income earned through </w:t>
      </w:r>
      <w:r>
        <w:t xml:space="preserve">engineering services, design or </w:t>
      </w:r>
      <w:r w:rsidRPr="00515F52">
        <w:t>installation)</w:t>
      </w:r>
      <w:r>
        <w:t xml:space="preserve">. </w:t>
      </w:r>
      <w:r w:rsidRPr="00515F52">
        <w:t>Accordingly, some of the activity captured in the administrative data may reflect diversification into other activities rather than domestic fabrication.</w:t>
      </w:r>
      <w:r>
        <w:t xml:space="preserve"> Across 14 submissions that provide quantitative evidence on what percentage of their revenue is exposed to direct import competition, the median response was 80%.</w:t>
      </w:r>
      <w:r w:rsidRPr="00DE26DB">
        <w:rPr>
          <w:rStyle w:val="FootnoteReference"/>
        </w:rPr>
        <w:footnoteReference w:id="12"/>
      </w:r>
    </w:p>
    <w:p w14:paraId="2F8C6FCA" w14:textId="492A8DB3" w:rsidR="00692657" w:rsidRDefault="00692657" w:rsidP="00011592">
      <w:pPr>
        <w:pStyle w:val="BodyText"/>
      </w:pPr>
      <w:r>
        <w:t>However, as</w:t>
      </w:r>
      <w:r w:rsidRPr="00A77F61">
        <w:t xml:space="preserve"> discussed in chapter</w:t>
      </w:r>
      <w:r w:rsidR="00541146">
        <w:t> </w:t>
      </w:r>
      <w:r w:rsidRPr="00A77F61">
        <w:t>2</w:t>
      </w:r>
      <w:r>
        <w:t xml:space="preserve">, there is no requirement under the Agreement on Safeguards that the firms making up the domestic industry produce only goods that are like or directly competitive with the in–scope imports. Income earned from the sale of other goods and services may mitigate against injury caused by increased imports of in–scope products. </w:t>
      </w:r>
    </w:p>
    <w:p w14:paraId="324B2081" w14:textId="77777777" w:rsidR="00692657" w:rsidRDefault="00692657" w:rsidP="00011592">
      <w:pPr>
        <w:pStyle w:val="Heading2"/>
      </w:pPr>
      <w:bookmarkStart w:id="27" w:name="_Toc238643911"/>
      <w:r>
        <w:t>Is there serious injury?</w:t>
      </w:r>
      <w:bookmarkEnd w:id="27"/>
    </w:p>
    <w:p w14:paraId="072AC2B8" w14:textId="77777777" w:rsidR="00692657" w:rsidRPr="00A91551" w:rsidRDefault="00692657" w:rsidP="00011592">
      <w:pPr>
        <w:pStyle w:val="Heading3"/>
      </w:pPr>
      <w:r>
        <w:t>Inquiry participants generally indicated declining performance</w:t>
      </w:r>
    </w:p>
    <w:p w14:paraId="0E7CB5C2" w14:textId="41C70D13" w:rsidR="00692657" w:rsidRDefault="00692657" w:rsidP="00011592">
      <w:pPr>
        <w:pStyle w:val="BodyText"/>
      </w:pPr>
      <w:r>
        <w:t xml:space="preserve">The </w:t>
      </w:r>
      <w:r w:rsidRPr="00F13097">
        <w:t>account</w:t>
      </w:r>
      <w:r>
        <w:t>s</w:t>
      </w:r>
      <w:r w:rsidRPr="00F13097">
        <w:t xml:space="preserve"> provided</w:t>
      </w:r>
      <w:r>
        <w:t xml:space="preserve"> by domestic FSS industry </w:t>
      </w:r>
      <w:r w:rsidRPr="00F13097">
        <w:t>participants</w:t>
      </w:r>
      <w:r>
        <w:t xml:space="preserve"> in public hearings and </w:t>
      </w:r>
      <w:r w:rsidRPr="00F13097">
        <w:t xml:space="preserve">submissions </w:t>
      </w:r>
      <w:r>
        <w:t xml:space="preserve">largely suggested they have been negatively impacted by increasing import competition. </w:t>
      </w:r>
      <w:r w:rsidRPr="005858E4">
        <w:t xml:space="preserve">34 domestic FSS firms </w:t>
      </w:r>
      <w:r>
        <w:t xml:space="preserve">made public </w:t>
      </w:r>
      <w:proofErr w:type="gramStart"/>
      <w:r>
        <w:t>submissions</w:t>
      </w:r>
      <w:proofErr w:type="gramEnd"/>
      <w:r>
        <w:t xml:space="preserve"> and n</w:t>
      </w:r>
      <w:r w:rsidRPr="005858E4">
        <w:t xml:space="preserve">early all </w:t>
      </w:r>
      <w:r>
        <w:t xml:space="preserve">said they have observed growth in imports and </w:t>
      </w:r>
      <w:r w:rsidRPr="005858E4">
        <w:t>reduced market share (</w:t>
      </w:r>
      <w:r>
        <w:t>t</w:t>
      </w:r>
      <w:r w:rsidRPr="005858E4">
        <w:t>able</w:t>
      </w:r>
      <w:r w:rsidR="00541146">
        <w:t> </w:t>
      </w:r>
      <w:r w:rsidRPr="005858E4">
        <w:t>4.1).</w:t>
      </w:r>
      <w:r>
        <w:t xml:space="preserve"> </w:t>
      </w:r>
    </w:p>
    <w:p w14:paraId="61558DB2" w14:textId="77777777" w:rsidR="00692657" w:rsidRPr="004F76FF" w:rsidRDefault="00692657" w:rsidP="00011592">
      <w:pPr>
        <w:pStyle w:val="FigureTableHeading"/>
        <w:rPr>
          <w:spacing w:val="-4"/>
        </w:rPr>
      </w:pPr>
      <w:r w:rsidRPr="004F76FF">
        <w:rPr>
          <w:spacing w:val="-4"/>
        </w:rPr>
        <w:lastRenderedPageBreak/>
        <w:t>Table 4.1 – Inquiry participants reported a decline in business performance across injury factors</w:t>
      </w:r>
    </w:p>
    <w:p w14:paraId="2A29C4AD" w14:textId="77777777" w:rsidR="00692657" w:rsidRPr="00214870" w:rsidRDefault="00692657" w:rsidP="00011592">
      <w:pPr>
        <w:pStyle w:val="FigureTableSubheading"/>
      </w:pPr>
      <w:r>
        <w:t>Reported</w:t>
      </w:r>
      <w:r w:rsidRPr="008B6D79">
        <w:t xml:space="preserve"> injury</w:t>
      </w:r>
      <w:r>
        <w:t>–</w:t>
      </w:r>
      <w:r w:rsidRPr="008B6D79">
        <w:t>factor impacts experienced by FSS firms during investigation</w:t>
      </w:r>
      <w:r>
        <w:t xml:space="preserve"> </w:t>
      </w:r>
      <w:r w:rsidRPr="008B6D79">
        <w:t>period</w:t>
      </w:r>
    </w:p>
    <w:tbl>
      <w:tblPr>
        <w:tblW w:w="8960" w:type="dxa"/>
        <w:tblCellMar>
          <w:left w:w="0" w:type="dxa"/>
          <w:right w:w="0" w:type="dxa"/>
        </w:tblCellMar>
        <w:tblLook w:val="04A0" w:firstRow="1" w:lastRow="0" w:firstColumn="1" w:lastColumn="0" w:noHBand="0" w:noVBand="1"/>
      </w:tblPr>
      <w:tblGrid>
        <w:gridCol w:w="2720"/>
        <w:gridCol w:w="1560"/>
        <w:gridCol w:w="1560"/>
        <w:gridCol w:w="1560"/>
        <w:gridCol w:w="1560"/>
      </w:tblGrid>
      <w:tr w:rsidR="002C3EE5" w:rsidRPr="005A366D" w14:paraId="23D2A417" w14:textId="77777777">
        <w:trPr>
          <w:trHeight w:val="334"/>
        </w:trPr>
        <w:tc>
          <w:tcPr>
            <w:tcW w:w="2720" w:type="dxa"/>
            <w:tcBorders>
              <w:top w:val="nil"/>
              <w:left w:val="nil"/>
              <w:bottom w:val="single" w:sz="8" w:space="0" w:color="BFBFBF"/>
              <w:right w:val="nil"/>
            </w:tcBorders>
            <w:tcMar>
              <w:top w:w="15" w:type="dxa"/>
              <w:left w:w="15" w:type="dxa"/>
              <w:bottom w:w="0" w:type="dxa"/>
              <w:right w:w="15" w:type="dxa"/>
            </w:tcMar>
            <w:vAlign w:val="center"/>
            <w:hideMark/>
          </w:tcPr>
          <w:p w14:paraId="21EC9DBD" w14:textId="77777777" w:rsidR="002C3EE5" w:rsidRPr="005A366D" w:rsidRDefault="002C3EE5" w:rsidP="005A366D">
            <w:pPr>
              <w:pStyle w:val="TableBody"/>
              <w:rPr>
                <w:b/>
                <w:bCs/>
              </w:rPr>
            </w:pPr>
            <w:r w:rsidRPr="005A366D">
              <w:rPr>
                <w:b/>
                <w:bCs/>
              </w:rPr>
              <w:t>Injury factor</w:t>
            </w:r>
          </w:p>
        </w:tc>
        <w:tc>
          <w:tcPr>
            <w:tcW w:w="1560" w:type="dxa"/>
            <w:tcBorders>
              <w:top w:val="nil"/>
              <w:left w:val="nil"/>
              <w:bottom w:val="single" w:sz="8" w:space="0" w:color="BFBFBF"/>
              <w:right w:val="nil"/>
            </w:tcBorders>
            <w:tcMar>
              <w:top w:w="15" w:type="dxa"/>
              <w:left w:w="15" w:type="dxa"/>
              <w:bottom w:w="0" w:type="dxa"/>
              <w:right w:w="15" w:type="dxa"/>
            </w:tcMar>
            <w:vAlign w:val="center"/>
            <w:hideMark/>
          </w:tcPr>
          <w:p w14:paraId="0D6C2744" w14:textId="77777777" w:rsidR="002C3EE5" w:rsidRPr="005A366D" w:rsidRDefault="002C3EE5" w:rsidP="00FD4E5F">
            <w:pPr>
              <w:pStyle w:val="TableBody"/>
              <w:jc w:val="center"/>
              <w:rPr>
                <w:b/>
                <w:bCs/>
              </w:rPr>
            </w:pPr>
            <w:r w:rsidRPr="005A366D">
              <w:rPr>
                <w:b/>
                <w:bCs/>
              </w:rPr>
              <w:t>Improved</w:t>
            </w:r>
          </w:p>
        </w:tc>
        <w:tc>
          <w:tcPr>
            <w:tcW w:w="1560" w:type="dxa"/>
            <w:tcBorders>
              <w:top w:val="nil"/>
              <w:left w:val="nil"/>
              <w:bottom w:val="single" w:sz="8" w:space="0" w:color="BFBFBF"/>
              <w:right w:val="nil"/>
            </w:tcBorders>
            <w:tcMar>
              <w:top w:w="15" w:type="dxa"/>
              <w:left w:w="15" w:type="dxa"/>
              <w:bottom w:w="0" w:type="dxa"/>
              <w:right w:w="15" w:type="dxa"/>
            </w:tcMar>
            <w:vAlign w:val="center"/>
            <w:hideMark/>
          </w:tcPr>
          <w:p w14:paraId="092B19BF" w14:textId="77777777" w:rsidR="002C3EE5" w:rsidRPr="005A366D" w:rsidRDefault="002C3EE5" w:rsidP="00FD4E5F">
            <w:pPr>
              <w:pStyle w:val="TableBody"/>
              <w:jc w:val="center"/>
              <w:rPr>
                <w:b/>
                <w:bCs/>
              </w:rPr>
            </w:pPr>
            <w:r w:rsidRPr="005A366D">
              <w:rPr>
                <w:b/>
                <w:bCs/>
              </w:rPr>
              <w:t>Worsened</w:t>
            </w:r>
          </w:p>
        </w:tc>
        <w:tc>
          <w:tcPr>
            <w:tcW w:w="1560" w:type="dxa"/>
            <w:tcBorders>
              <w:top w:val="nil"/>
              <w:left w:val="nil"/>
              <w:bottom w:val="single" w:sz="8" w:space="0" w:color="BFBFBF"/>
              <w:right w:val="nil"/>
            </w:tcBorders>
            <w:tcMar>
              <w:top w:w="15" w:type="dxa"/>
              <w:left w:w="15" w:type="dxa"/>
              <w:bottom w:w="0" w:type="dxa"/>
              <w:right w:w="15" w:type="dxa"/>
            </w:tcMar>
            <w:vAlign w:val="center"/>
            <w:hideMark/>
          </w:tcPr>
          <w:p w14:paraId="55877726" w14:textId="77777777" w:rsidR="002C3EE5" w:rsidRPr="005A366D" w:rsidRDefault="002C3EE5" w:rsidP="00FD4E5F">
            <w:pPr>
              <w:pStyle w:val="TableBody"/>
              <w:jc w:val="center"/>
              <w:rPr>
                <w:b/>
                <w:bCs/>
              </w:rPr>
            </w:pPr>
            <w:r w:rsidRPr="005A366D">
              <w:rPr>
                <w:b/>
                <w:bCs/>
              </w:rPr>
              <w:t>Neutral</w:t>
            </w:r>
          </w:p>
        </w:tc>
        <w:tc>
          <w:tcPr>
            <w:tcW w:w="1560" w:type="dxa"/>
            <w:tcBorders>
              <w:top w:val="nil"/>
              <w:left w:val="nil"/>
              <w:bottom w:val="single" w:sz="8" w:space="0" w:color="BFBFBF"/>
              <w:right w:val="nil"/>
            </w:tcBorders>
            <w:tcMar>
              <w:top w:w="15" w:type="dxa"/>
              <w:left w:w="15" w:type="dxa"/>
              <w:bottom w:w="0" w:type="dxa"/>
              <w:right w:w="15" w:type="dxa"/>
            </w:tcMar>
            <w:vAlign w:val="center"/>
            <w:hideMark/>
          </w:tcPr>
          <w:p w14:paraId="48F2C093" w14:textId="77777777" w:rsidR="002C3EE5" w:rsidRPr="005A366D" w:rsidRDefault="002C3EE5" w:rsidP="00FD4E5F">
            <w:pPr>
              <w:pStyle w:val="TableBody"/>
              <w:jc w:val="center"/>
              <w:rPr>
                <w:b/>
                <w:bCs/>
              </w:rPr>
            </w:pPr>
            <w:r w:rsidRPr="005A366D">
              <w:rPr>
                <w:b/>
                <w:bCs/>
              </w:rPr>
              <w:t>Not addressed</w:t>
            </w:r>
          </w:p>
        </w:tc>
      </w:tr>
      <w:tr w:rsidR="002C3EE5" w:rsidRPr="002C3EE5" w14:paraId="40B1AD2B" w14:textId="77777777" w:rsidTr="00FD4E5F">
        <w:trPr>
          <w:trHeight w:val="334"/>
        </w:trPr>
        <w:tc>
          <w:tcPr>
            <w:tcW w:w="2720" w:type="dxa"/>
            <w:tcBorders>
              <w:top w:val="single" w:sz="8" w:space="0" w:color="BFBFBF"/>
              <w:left w:val="nil"/>
              <w:bottom w:val="nil"/>
              <w:right w:val="nil"/>
            </w:tcBorders>
            <w:tcMar>
              <w:top w:w="15" w:type="dxa"/>
              <w:left w:w="15" w:type="dxa"/>
              <w:bottom w:w="0" w:type="dxa"/>
              <w:right w:w="15" w:type="dxa"/>
            </w:tcMar>
            <w:vAlign w:val="bottom"/>
            <w:hideMark/>
          </w:tcPr>
          <w:p w14:paraId="62EDD447" w14:textId="1DBE0110" w:rsidR="002C3EE5" w:rsidRPr="002C3EE5" w:rsidRDefault="002C3EE5" w:rsidP="005A366D">
            <w:pPr>
              <w:pStyle w:val="TableBody"/>
            </w:pPr>
            <w:r w:rsidRPr="002C3EE5">
              <w:t>Sales/</w:t>
            </w:r>
            <w:r w:rsidR="00F62561">
              <w:t>r</w:t>
            </w:r>
            <w:r w:rsidRPr="002C3EE5">
              <w:t>evenue</w:t>
            </w:r>
          </w:p>
        </w:tc>
        <w:tc>
          <w:tcPr>
            <w:tcW w:w="1560" w:type="dxa"/>
            <w:tcBorders>
              <w:top w:val="single" w:sz="8" w:space="0" w:color="BFBFBF"/>
              <w:left w:val="nil"/>
              <w:bottom w:val="nil"/>
              <w:right w:val="nil"/>
            </w:tcBorders>
            <w:shd w:val="clear" w:color="auto" w:fill="265A9A"/>
            <w:tcMar>
              <w:top w:w="15" w:type="dxa"/>
              <w:left w:w="15" w:type="dxa"/>
              <w:bottom w:w="0" w:type="dxa"/>
              <w:right w:w="15" w:type="dxa"/>
            </w:tcMar>
            <w:vAlign w:val="center"/>
            <w:hideMark/>
          </w:tcPr>
          <w:p w14:paraId="58F5A466" w14:textId="77777777" w:rsidR="002C3EE5" w:rsidRPr="00690FD7" w:rsidRDefault="002C3EE5" w:rsidP="00FD4E5F">
            <w:pPr>
              <w:pStyle w:val="TableBody"/>
              <w:jc w:val="center"/>
            </w:pPr>
            <w:r w:rsidRPr="00690FD7">
              <w:rPr>
                <w:color w:val="FFFFFF" w:themeColor="background1"/>
              </w:rPr>
              <w:t>2</w:t>
            </w:r>
          </w:p>
        </w:tc>
        <w:tc>
          <w:tcPr>
            <w:tcW w:w="1560" w:type="dxa"/>
            <w:tcBorders>
              <w:top w:val="single" w:sz="8" w:space="0" w:color="BFBFBF"/>
              <w:left w:val="nil"/>
              <w:bottom w:val="nil"/>
              <w:right w:val="nil"/>
            </w:tcBorders>
            <w:shd w:val="clear" w:color="auto" w:fill="D0BBDB"/>
            <w:tcMar>
              <w:top w:w="15" w:type="dxa"/>
              <w:left w:w="15" w:type="dxa"/>
              <w:bottom w:w="0" w:type="dxa"/>
              <w:right w:w="15" w:type="dxa"/>
            </w:tcMar>
            <w:vAlign w:val="center"/>
            <w:hideMark/>
          </w:tcPr>
          <w:p w14:paraId="62B0B984" w14:textId="77777777" w:rsidR="002C3EE5" w:rsidRPr="00690FD7" w:rsidRDefault="002C3EE5" w:rsidP="00FD4E5F">
            <w:pPr>
              <w:pStyle w:val="TableBody"/>
              <w:jc w:val="center"/>
            </w:pPr>
            <w:r w:rsidRPr="00690FD7">
              <w:t>12</w:t>
            </w:r>
          </w:p>
        </w:tc>
        <w:tc>
          <w:tcPr>
            <w:tcW w:w="1560" w:type="dxa"/>
            <w:tcBorders>
              <w:top w:val="single" w:sz="8" w:space="0" w:color="BFBFBF"/>
              <w:left w:val="nil"/>
              <w:bottom w:val="nil"/>
              <w:right w:val="nil"/>
            </w:tcBorders>
            <w:shd w:val="clear" w:color="auto" w:fill="669AD9"/>
            <w:tcMar>
              <w:top w:w="15" w:type="dxa"/>
              <w:left w:w="15" w:type="dxa"/>
              <w:bottom w:w="0" w:type="dxa"/>
              <w:right w:w="15" w:type="dxa"/>
            </w:tcMar>
            <w:vAlign w:val="center"/>
            <w:hideMark/>
          </w:tcPr>
          <w:p w14:paraId="30C9DC57" w14:textId="77777777" w:rsidR="002C3EE5" w:rsidRPr="00690FD7" w:rsidRDefault="002C3EE5" w:rsidP="00FD4E5F">
            <w:pPr>
              <w:pStyle w:val="TableBody"/>
              <w:jc w:val="center"/>
            </w:pPr>
            <w:r w:rsidRPr="00690FD7">
              <w:rPr>
                <w:color w:val="FFFFFF" w:themeColor="background1"/>
              </w:rPr>
              <w:t>4</w:t>
            </w:r>
          </w:p>
        </w:tc>
        <w:tc>
          <w:tcPr>
            <w:tcW w:w="1560" w:type="dxa"/>
            <w:tcBorders>
              <w:top w:val="single" w:sz="8" w:space="0" w:color="BFBFBF"/>
              <w:left w:val="nil"/>
              <w:bottom w:val="nil"/>
              <w:right w:val="nil"/>
            </w:tcBorders>
            <w:shd w:val="clear" w:color="auto" w:fill="A6D9EB"/>
            <w:tcMar>
              <w:top w:w="15" w:type="dxa"/>
              <w:left w:w="15" w:type="dxa"/>
              <w:bottom w:w="0" w:type="dxa"/>
              <w:right w:w="15" w:type="dxa"/>
            </w:tcMar>
            <w:vAlign w:val="center"/>
            <w:hideMark/>
          </w:tcPr>
          <w:p w14:paraId="4B16B1D9" w14:textId="77777777" w:rsidR="002C3EE5" w:rsidRPr="00690FD7" w:rsidRDefault="002C3EE5" w:rsidP="00FD4E5F">
            <w:pPr>
              <w:pStyle w:val="TableBody"/>
              <w:jc w:val="center"/>
            </w:pPr>
            <w:r w:rsidRPr="00690FD7">
              <w:t>16</w:t>
            </w:r>
          </w:p>
        </w:tc>
      </w:tr>
      <w:tr w:rsidR="002C3EE5" w:rsidRPr="002C3EE5" w14:paraId="39EFDF56" w14:textId="77777777" w:rsidTr="00FD4E5F">
        <w:trPr>
          <w:trHeight w:val="334"/>
        </w:trPr>
        <w:tc>
          <w:tcPr>
            <w:tcW w:w="2720" w:type="dxa"/>
            <w:tcBorders>
              <w:top w:val="nil"/>
              <w:left w:val="nil"/>
              <w:bottom w:val="nil"/>
              <w:right w:val="nil"/>
            </w:tcBorders>
            <w:tcMar>
              <w:top w:w="15" w:type="dxa"/>
              <w:left w:w="15" w:type="dxa"/>
              <w:bottom w:w="0" w:type="dxa"/>
              <w:right w:w="15" w:type="dxa"/>
            </w:tcMar>
            <w:vAlign w:val="bottom"/>
            <w:hideMark/>
          </w:tcPr>
          <w:p w14:paraId="7B4D3491" w14:textId="77777777" w:rsidR="002C3EE5" w:rsidRPr="002C3EE5" w:rsidRDefault="002C3EE5" w:rsidP="005A366D">
            <w:pPr>
              <w:pStyle w:val="TableBody"/>
            </w:pPr>
            <w:r w:rsidRPr="002C3EE5">
              <w:t>Employment (headcount)</w:t>
            </w:r>
          </w:p>
        </w:tc>
        <w:tc>
          <w:tcPr>
            <w:tcW w:w="1560" w:type="dxa"/>
            <w:tcBorders>
              <w:top w:val="nil"/>
              <w:left w:val="nil"/>
              <w:bottom w:val="nil"/>
              <w:right w:val="nil"/>
            </w:tcBorders>
            <w:tcMar>
              <w:top w:w="15" w:type="dxa"/>
              <w:left w:w="15" w:type="dxa"/>
              <w:bottom w:w="0" w:type="dxa"/>
              <w:right w:w="15" w:type="dxa"/>
            </w:tcMar>
            <w:vAlign w:val="center"/>
            <w:hideMark/>
          </w:tcPr>
          <w:p w14:paraId="5BE698BC" w14:textId="77777777" w:rsidR="002C3EE5" w:rsidRPr="00690FD7" w:rsidRDefault="002C3EE5" w:rsidP="00FD4E5F">
            <w:pPr>
              <w:pStyle w:val="TableBody"/>
              <w:jc w:val="center"/>
            </w:pPr>
            <w:r w:rsidRPr="00690FD7">
              <w:t>0</w:t>
            </w:r>
          </w:p>
        </w:tc>
        <w:tc>
          <w:tcPr>
            <w:tcW w:w="1560" w:type="dxa"/>
            <w:tcBorders>
              <w:top w:val="nil"/>
              <w:left w:val="nil"/>
              <w:bottom w:val="nil"/>
              <w:right w:val="nil"/>
            </w:tcBorders>
            <w:shd w:val="clear" w:color="auto" w:fill="D0BBDB"/>
            <w:tcMar>
              <w:top w:w="15" w:type="dxa"/>
              <w:left w:w="15" w:type="dxa"/>
              <w:bottom w:w="0" w:type="dxa"/>
              <w:right w:w="15" w:type="dxa"/>
            </w:tcMar>
            <w:vAlign w:val="center"/>
            <w:hideMark/>
          </w:tcPr>
          <w:p w14:paraId="387E3A17" w14:textId="77777777" w:rsidR="002C3EE5" w:rsidRPr="00690FD7" w:rsidRDefault="002C3EE5" w:rsidP="00FD4E5F">
            <w:pPr>
              <w:pStyle w:val="TableBody"/>
              <w:jc w:val="center"/>
            </w:pPr>
            <w:r w:rsidRPr="00690FD7">
              <w:t>14</w:t>
            </w:r>
          </w:p>
        </w:tc>
        <w:tc>
          <w:tcPr>
            <w:tcW w:w="1560" w:type="dxa"/>
            <w:tcBorders>
              <w:top w:val="nil"/>
              <w:left w:val="nil"/>
              <w:bottom w:val="nil"/>
              <w:right w:val="nil"/>
            </w:tcBorders>
            <w:shd w:val="clear" w:color="auto" w:fill="265A9A"/>
            <w:tcMar>
              <w:top w:w="15" w:type="dxa"/>
              <w:left w:w="15" w:type="dxa"/>
              <w:bottom w:w="0" w:type="dxa"/>
              <w:right w:w="15" w:type="dxa"/>
            </w:tcMar>
            <w:vAlign w:val="center"/>
            <w:hideMark/>
          </w:tcPr>
          <w:p w14:paraId="5D875D5E" w14:textId="77777777" w:rsidR="002C3EE5" w:rsidRPr="00690FD7" w:rsidRDefault="002C3EE5" w:rsidP="00FD4E5F">
            <w:pPr>
              <w:pStyle w:val="TableBody"/>
              <w:jc w:val="center"/>
            </w:pPr>
            <w:r w:rsidRPr="00690FD7">
              <w:rPr>
                <w:color w:val="FFFFFF" w:themeColor="background1"/>
                <w:lang w:val="en-US"/>
              </w:rPr>
              <w:t>6</w:t>
            </w:r>
          </w:p>
        </w:tc>
        <w:tc>
          <w:tcPr>
            <w:tcW w:w="1560" w:type="dxa"/>
            <w:tcBorders>
              <w:top w:val="nil"/>
              <w:left w:val="nil"/>
              <w:bottom w:val="nil"/>
              <w:right w:val="nil"/>
            </w:tcBorders>
            <w:shd w:val="clear" w:color="auto" w:fill="D2ECF5"/>
            <w:tcMar>
              <w:top w:w="15" w:type="dxa"/>
              <w:left w:w="15" w:type="dxa"/>
              <w:bottom w:w="0" w:type="dxa"/>
              <w:right w:w="15" w:type="dxa"/>
            </w:tcMar>
            <w:vAlign w:val="center"/>
            <w:hideMark/>
          </w:tcPr>
          <w:p w14:paraId="2D15D743" w14:textId="77777777" w:rsidR="002C3EE5" w:rsidRPr="00690FD7" w:rsidRDefault="002C3EE5" w:rsidP="00FD4E5F">
            <w:pPr>
              <w:pStyle w:val="TableBody"/>
              <w:jc w:val="center"/>
            </w:pPr>
            <w:r w:rsidRPr="00690FD7">
              <w:t>14</w:t>
            </w:r>
          </w:p>
        </w:tc>
      </w:tr>
      <w:tr w:rsidR="002C3EE5" w:rsidRPr="002C3EE5" w14:paraId="391111D6" w14:textId="77777777" w:rsidTr="00FD4E5F">
        <w:trPr>
          <w:trHeight w:val="334"/>
        </w:trPr>
        <w:tc>
          <w:tcPr>
            <w:tcW w:w="2720" w:type="dxa"/>
            <w:tcBorders>
              <w:top w:val="nil"/>
              <w:left w:val="nil"/>
              <w:bottom w:val="nil"/>
              <w:right w:val="nil"/>
            </w:tcBorders>
            <w:tcMar>
              <w:top w:w="15" w:type="dxa"/>
              <w:left w:w="15" w:type="dxa"/>
              <w:bottom w:w="0" w:type="dxa"/>
              <w:right w:w="15" w:type="dxa"/>
            </w:tcMar>
            <w:vAlign w:val="bottom"/>
            <w:hideMark/>
          </w:tcPr>
          <w:p w14:paraId="4257B059" w14:textId="77777777" w:rsidR="002C3EE5" w:rsidRPr="002C3EE5" w:rsidRDefault="002C3EE5" w:rsidP="005A366D">
            <w:pPr>
              <w:pStyle w:val="TableBody"/>
            </w:pPr>
            <w:r w:rsidRPr="002C3EE5">
              <w:t>Profit</w:t>
            </w:r>
          </w:p>
        </w:tc>
        <w:tc>
          <w:tcPr>
            <w:tcW w:w="1560" w:type="dxa"/>
            <w:tcBorders>
              <w:top w:val="nil"/>
              <w:left w:val="nil"/>
              <w:bottom w:val="nil"/>
              <w:right w:val="nil"/>
            </w:tcBorders>
            <w:tcMar>
              <w:top w:w="15" w:type="dxa"/>
              <w:left w:w="15" w:type="dxa"/>
              <w:bottom w:w="0" w:type="dxa"/>
              <w:right w:w="15" w:type="dxa"/>
            </w:tcMar>
            <w:vAlign w:val="center"/>
            <w:hideMark/>
          </w:tcPr>
          <w:p w14:paraId="39151276" w14:textId="77777777" w:rsidR="002C3EE5" w:rsidRPr="00690FD7" w:rsidRDefault="002C3EE5" w:rsidP="00FD4E5F">
            <w:pPr>
              <w:pStyle w:val="TableBody"/>
              <w:jc w:val="center"/>
            </w:pPr>
            <w:r w:rsidRPr="00690FD7">
              <w:t>0</w:t>
            </w:r>
          </w:p>
        </w:tc>
        <w:tc>
          <w:tcPr>
            <w:tcW w:w="1560" w:type="dxa"/>
            <w:tcBorders>
              <w:top w:val="nil"/>
              <w:left w:val="nil"/>
              <w:bottom w:val="nil"/>
              <w:right w:val="nil"/>
            </w:tcBorders>
            <w:shd w:val="clear" w:color="auto" w:fill="B998C9"/>
            <w:tcMar>
              <w:top w:w="15" w:type="dxa"/>
              <w:left w:w="15" w:type="dxa"/>
              <w:bottom w:w="0" w:type="dxa"/>
              <w:right w:w="15" w:type="dxa"/>
            </w:tcMar>
            <w:vAlign w:val="center"/>
            <w:hideMark/>
          </w:tcPr>
          <w:p w14:paraId="78720152" w14:textId="77777777" w:rsidR="002C3EE5" w:rsidRPr="00690FD7" w:rsidRDefault="002C3EE5" w:rsidP="00FD4E5F">
            <w:pPr>
              <w:pStyle w:val="TableBody"/>
              <w:jc w:val="center"/>
            </w:pPr>
            <w:r w:rsidRPr="00690FD7">
              <w:rPr>
                <w:lang w:val="en-US"/>
              </w:rPr>
              <w:t>1</w:t>
            </w:r>
            <w:r w:rsidRPr="00690FD7">
              <w:t>9</w:t>
            </w:r>
          </w:p>
        </w:tc>
        <w:tc>
          <w:tcPr>
            <w:tcW w:w="1560" w:type="dxa"/>
            <w:tcBorders>
              <w:top w:val="nil"/>
              <w:left w:val="nil"/>
              <w:bottom w:val="nil"/>
              <w:right w:val="nil"/>
            </w:tcBorders>
            <w:shd w:val="clear" w:color="auto" w:fill="CCDDF2"/>
            <w:tcMar>
              <w:top w:w="15" w:type="dxa"/>
              <w:left w:w="15" w:type="dxa"/>
              <w:bottom w:w="0" w:type="dxa"/>
              <w:right w:w="15" w:type="dxa"/>
            </w:tcMar>
            <w:vAlign w:val="center"/>
            <w:hideMark/>
          </w:tcPr>
          <w:p w14:paraId="48A9996E" w14:textId="77777777" w:rsidR="002C3EE5" w:rsidRPr="00690FD7" w:rsidRDefault="002C3EE5" w:rsidP="00FD4E5F">
            <w:pPr>
              <w:pStyle w:val="TableBody"/>
              <w:jc w:val="center"/>
            </w:pPr>
            <w:r w:rsidRPr="00690FD7">
              <w:t>1</w:t>
            </w:r>
          </w:p>
        </w:tc>
        <w:tc>
          <w:tcPr>
            <w:tcW w:w="1560" w:type="dxa"/>
            <w:tcBorders>
              <w:top w:val="nil"/>
              <w:left w:val="nil"/>
              <w:bottom w:val="nil"/>
              <w:right w:val="nil"/>
            </w:tcBorders>
            <w:shd w:val="clear" w:color="auto" w:fill="D2ECF5"/>
            <w:tcMar>
              <w:top w:w="15" w:type="dxa"/>
              <w:left w:w="15" w:type="dxa"/>
              <w:bottom w:w="0" w:type="dxa"/>
              <w:right w:w="15" w:type="dxa"/>
            </w:tcMar>
            <w:vAlign w:val="center"/>
            <w:hideMark/>
          </w:tcPr>
          <w:p w14:paraId="2D6FE781" w14:textId="77777777" w:rsidR="002C3EE5" w:rsidRPr="00690FD7" w:rsidRDefault="002C3EE5" w:rsidP="00FD4E5F">
            <w:pPr>
              <w:pStyle w:val="TableBody"/>
              <w:jc w:val="center"/>
            </w:pPr>
            <w:r w:rsidRPr="00690FD7">
              <w:t>14</w:t>
            </w:r>
          </w:p>
        </w:tc>
      </w:tr>
      <w:tr w:rsidR="002C3EE5" w:rsidRPr="002C3EE5" w14:paraId="7261FA9A" w14:textId="77777777" w:rsidTr="00FD4E5F">
        <w:trPr>
          <w:trHeight w:val="334"/>
        </w:trPr>
        <w:tc>
          <w:tcPr>
            <w:tcW w:w="2720" w:type="dxa"/>
            <w:tcBorders>
              <w:top w:val="nil"/>
              <w:left w:val="nil"/>
              <w:bottom w:val="nil"/>
              <w:right w:val="nil"/>
            </w:tcBorders>
            <w:tcMar>
              <w:top w:w="15" w:type="dxa"/>
              <w:left w:w="15" w:type="dxa"/>
              <w:bottom w:w="0" w:type="dxa"/>
              <w:right w:w="15" w:type="dxa"/>
            </w:tcMar>
            <w:vAlign w:val="bottom"/>
            <w:hideMark/>
          </w:tcPr>
          <w:p w14:paraId="5EE60DA4" w14:textId="77777777" w:rsidR="002C3EE5" w:rsidRPr="002C3EE5" w:rsidRDefault="002C3EE5" w:rsidP="005A366D">
            <w:pPr>
              <w:pStyle w:val="TableBody"/>
            </w:pPr>
            <w:r w:rsidRPr="002C3EE5">
              <w:t>Production (tonnes)</w:t>
            </w:r>
          </w:p>
        </w:tc>
        <w:tc>
          <w:tcPr>
            <w:tcW w:w="1560" w:type="dxa"/>
            <w:tcBorders>
              <w:top w:val="nil"/>
              <w:left w:val="nil"/>
              <w:bottom w:val="nil"/>
              <w:right w:val="nil"/>
            </w:tcBorders>
            <w:tcMar>
              <w:top w:w="15" w:type="dxa"/>
              <w:left w:w="15" w:type="dxa"/>
              <w:bottom w:w="0" w:type="dxa"/>
              <w:right w:w="15" w:type="dxa"/>
            </w:tcMar>
            <w:vAlign w:val="center"/>
            <w:hideMark/>
          </w:tcPr>
          <w:p w14:paraId="3AA630AF" w14:textId="77777777" w:rsidR="002C3EE5" w:rsidRPr="00690FD7" w:rsidRDefault="002C3EE5" w:rsidP="00FD4E5F">
            <w:pPr>
              <w:pStyle w:val="TableBody"/>
              <w:jc w:val="center"/>
            </w:pPr>
            <w:r w:rsidRPr="00690FD7">
              <w:t>0</w:t>
            </w:r>
          </w:p>
        </w:tc>
        <w:tc>
          <w:tcPr>
            <w:tcW w:w="1560" w:type="dxa"/>
            <w:tcBorders>
              <w:top w:val="nil"/>
              <w:left w:val="nil"/>
              <w:bottom w:val="nil"/>
              <w:right w:val="nil"/>
            </w:tcBorders>
            <w:shd w:val="clear" w:color="auto" w:fill="D0BBDB"/>
            <w:tcMar>
              <w:top w:w="15" w:type="dxa"/>
              <w:left w:w="15" w:type="dxa"/>
              <w:bottom w:w="0" w:type="dxa"/>
              <w:right w:w="15" w:type="dxa"/>
            </w:tcMar>
            <w:vAlign w:val="center"/>
            <w:hideMark/>
          </w:tcPr>
          <w:p w14:paraId="14A676D4" w14:textId="77777777" w:rsidR="002C3EE5" w:rsidRPr="00690FD7" w:rsidRDefault="002C3EE5" w:rsidP="00FD4E5F">
            <w:pPr>
              <w:pStyle w:val="TableBody"/>
              <w:jc w:val="center"/>
            </w:pPr>
            <w:r w:rsidRPr="00690FD7">
              <w:t>12</w:t>
            </w:r>
          </w:p>
        </w:tc>
        <w:tc>
          <w:tcPr>
            <w:tcW w:w="1560" w:type="dxa"/>
            <w:tcBorders>
              <w:top w:val="nil"/>
              <w:left w:val="nil"/>
              <w:bottom w:val="nil"/>
              <w:right w:val="nil"/>
            </w:tcBorders>
            <w:shd w:val="clear" w:color="auto" w:fill="669AD9"/>
            <w:tcMar>
              <w:top w:w="15" w:type="dxa"/>
              <w:left w:w="15" w:type="dxa"/>
              <w:bottom w:w="0" w:type="dxa"/>
              <w:right w:w="15" w:type="dxa"/>
            </w:tcMar>
            <w:vAlign w:val="center"/>
            <w:hideMark/>
          </w:tcPr>
          <w:p w14:paraId="512960E8" w14:textId="77777777" w:rsidR="002C3EE5" w:rsidRPr="00690FD7" w:rsidRDefault="002C3EE5" w:rsidP="00FD4E5F">
            <w:pPr>
              <w:pStyle w:val="TableBody"/>
              <w:jc w:val="center"/>
            </w:pPr>
            <w:r w:rsidRPr="00690FD7">
              <w:t>3</w:t>
            </w:r>
          </w:p>
        </w:tc>
        <w:tc>
          <w:tcPr>
            <w:tcW w:w="1560" w:type="dxa"/>
            <w:tcBorders>
              <w:top w:val="nil"/>
              <w:left w:val="nil"/>
              <w:bottom w:val="nil"/>
              <w:right w:val="nil"/>
            </w:tcBorders>
            <w:shd w:val="clear" w:color="auto" w:fill="79C6E1"/>
            <w:tcMar>
              <w:top w:w="15" w:type="dxa"/>
              <w:left w:w="15" w:type="dxa"/>
              <w:bottom w:w="0" w:type="dxa"/>
              <w:right w:w="15" w:type="dxa"/>
            </w:tcMar>
            <w:vAlign w:val="center"/>
            <w:hideMark/>
          </w:tcPr>
          <w:p w14:paraId="3B777F78" w14:textId="77777777" w:rsidR="002C3EE5" w:rsidRPr="00690FD7" w:rsidRDefault="002C3EE5" w:rsidP="00FD4E5F">
            <w:pPr>
              <w:pStyle w:val="TableBody"/>
              <w:jc w:val="center"/>
            </w:pPr>
            <w:r w:rsidRPr="00690FD7">
              <w:rPr>
                <w:lang w:val="en-US"/>
              </w:rPr>
              <w:t>1</w:t>
            </w:r>
            <w:r w:rsidRPr="00690FD7">
              <w:t>9</w:t>
            </w:r>
          </w:p>
        </w:tc>
      </w:tr>
      <w:tr w:rsidR="002C3EE5" w:rsidRPr="002C3EE5" w14:paraId="4B73CA96" w14:textId="77777777" w:rsidTr="00FD4E5F">
        <w:trPr>
          <w:trHeight w:val="334"/>
        </w:trPr>
        <w:tc>
          <w:tcPr>
            <w:tcW w:w="2720" w:type="dxa"/>
            <w:tcBorders>
              <w:top w:val="nil"/>
              <w:left w:val="nil"/>
              <w:bottom w:val="nil"/>
              <w:right w:val="nil"/>
            </w:tcBorders>
            <w:tcMar>
              <w:top w:w="15" w:type="dxa"/>
              <w:left w:w="15" w:type="dxa"/>
              <w:bottom w:w="0" w:type="dxa"/>
              <w:right w:w="15" w:type="dxa"/>
            </w:tcMar>
            <w:vAlign w:val="bottom"/>
            <w:hideMark/>
          </w:tcPr>
          <w:p w14:paraId="33D7E83F" w14:textId="77777777" w:rsidR="002C3EE5" w:rsidRPr="002C3EE5" w:rsidRDefault="002C3EE5" w:rsidP="005A366D">
            <w:pPr>
              <w:pStyle w:val="TableBody"/>
            </w:pPr>
            <w:r w:rsidRPr="002C3EE5">
              <w:t>Productivity</w:t>
            </w:r>
          </w:p>
        </w:tc>
        <w:tc>
          <w:tcPr>
            <w:tcW w:w="1560" w:type="dxa"/>
            <w:tcBorders>
              <w:top w:val="nil"/>
              <w:left w:val="nil"/>
              <w:bottom w:val="nil"/>
              <w:right w:val="nil"/>
            </w:tcBorders>
            <w:tcMar>
              <w:top w:w="15" w:type="dxa"/>
              <w:left w:w="15" w:type="dxa"/>
              <w:bottom w:w="0" w:type="dxa"/>
              <w:right w:w="15" w:type="dxa"/>
            </w:tcMar>
            <w:vAlign w:val="center"/>
            <w:hideMark/>
          </w:tcPr>
          <w:p w14:paraId="7CF58DED" w14:textId="77777777" w:rsidR="002C3EE5" w:rsidRPr="00690FD7" w:rsidRDefault="002C3EE5" w:rsidP="00FD4E5F">
            <w:pPr>
              <w:pStyle w:val="TableBody"/>
              <w:jc w:val="center"/>
            </w:pPr>
            <w:r w:rsidRPr="00690FD7">
              <w:t>0</w:t>
            </w:r>
          </w:p>
        </w:tc>
        <w:tc>
          <w:tcPr>
            <w:tcW w:w="1560" w:type="dxa"/>
            <w:tcBorders>
              <w:top w:val="nil"/>
              <w:left w:val="nil"/>
              <w:bottom w:val="nil"/>
              <w:right w:val="nil"/>
            </w:tcBorders>
            <w:tcMar>
              <w:top w:w="15" w:type="dxa"/>
              <w:left w:w="15" w:type="dxa"/>
              <w:bottom w:w="0" w:type="dxa"/>
              <w:right w:w="15" w:type="dxa"/>
            </w:tcMar>
            <w:vAlign w:val="center"/>
            <w:hideMark/>
          </w:tcPr>
          <w:p w14:paraId="7352C384" w14:textId="77777777" w:rsidR="002C3EE5" w:rsidRPr="00690FD7" w:rsidRDefault="002C3EE5" w:rsidP="00FD4E5F">
            <w:pPr>
              <w:pStyle w:val="TableBody"/>
              <w:jc w:val="center"/>
            </w:pPr>
            <w:r w:rsidRPr="00690FD7">
              <w:rPr>
                <w:lang w:val="en-US"/>
              </w:rPr>
              <w:t>1</w:t>
            </w:r>
          </w:p>
        </w:tc>
        <w:tc>
          <w:tcPr>
            <w:tcW w:w="1560" w:type="dxa"/>
            <w:tcBorders>
              <w:top w:val="nil"/>
              <w:left w:val="nil"/>
              <w:bottom w:val="nil"/>
              <w:right w:val="nil"/>
            </w:tcBorders>
            <w:tcMar>
              <w:top w:w="15" w:type="dxa"/>
              <w:left w:w="15" w:type="dxa"/>
              <w:bottom w:w="0" w:type="dxa"/>
              <w:right w:w="15" w:type="dxa"/>
            </w:tcMar>
            <w:vAlign w:val="center"/>
            <w:hideMark/>
          </w:tcPr>
          <w:p w14:paraId="49239A0F" w14:textId="77777777" w:rsidR="002C3EE5" w:rsidRPr="00690FD7" w:rsidRDefault="002C3EE5" w:rsidP="00FD4E5F">
            <w:pPr>
              <w:pStyle w:val="TableBody"/>
              <w:jc w:val="center"/>
            </w:pPr>
            <w:r w:rsidRPr="00690FD7">
              <w:t>0</w:t>
            </w:r>
          </w:p>
        </w:tc>
        <w:tc>
          <w:tcPr>
            <w:tcW w:w="1560" w:type="dxa"/>
            <w:tcBorders>
              <w:top w:val="nil"/>
              <w:left w:val="nil"/>
              <w:bottom w:val="nil"/>
              <w:right w:val="nil"/>
            </w:tcBorders>
            <w:shd w:val="clear" w:color="auto" w:fill="2B9AC2"/>
            <w:tcMar>
              <w:top w:w="15" w:type="dxa"/>
              <w:left w:w="15" w:type="dxa"/>
              <w:bottom w:w="0" w:type="dxa"/>
              <w:right w:w="15" w:type="dxa"/>
            </w:tcMar>
            <w:vAlign w:val="center"/>
            <w:hideMark/>
          </w:tcPr>
          <w:p w14:paraId="75DA1C12" w14:textId="77777777" w:rsidR="002C3EE5" w:rsidRPr="00690FD7" w:rsidRDefault="002C3EE5" w:rsidP="00FD4E5F">
            <w:pPr>
              <w:pStyle w:val="TableBody"/>
              <w:jc w:val="center"/>
            </w:pPr>
            <w:r w:rsidRPr="00690FD7">
              <w:rPr>
                <w:color w:val="FFFFFF" w:themeColor="background1"/>
              </w:rPr>
              <w:t>33</w:t>
            </w:r>
          </w:p>
        </w:tc>
      </w:tr>
      <w:tr w:rsidR="002C3EE5" w:rsidRPr="002C3EE5" w14:paraId="0BD2C525" w14:textId="77777777" w:rsidTr="00FD4E5F">
        <w:trPr>
          <w:trHeight w:val="334"/>
        </w:trPr>
        <w:tc>
          <w:tcPr>
            <w:tcW w:w="2720" w:type="dxa"/>
            <w:tcBorders>
              <w:top w:val="nil"/>
              <w:left w:val="nil"/>
              <w:bottom w:val="nil"/>
              <w:right w:val="nil"/>
            </w:tcBorders>
            <w:tcMar>
              <w:top w:w="15" w:type="dxa"/>
              <w:left w:w="15" w:type="dxa"/>
              <w:bottom w:w="0" w:type="dxa"/>
              <w:right w:w="15" w:type="dxa"/>
            </w:tcMar>
            <w:vAlign w:val="bottom"/>
            <w:hideMark/>
          </w:tcPr>
          <w:p w14:paraId="342FB3A3" w14:textId="77777777" w:rsidR="002C3EE5" w:rsidRPr="002C3EE5" w:rsidRDefault="002C3EE5" w:rsidP="005A366D">
            <w:pPr>
              <w:pStyle w:val="TableBody"/>
            </w:pPr>
            <w:r w:rsidRPr="002C3EE5">
              <w:t>Capacity utilisation (%)</w:t>
            </w:r>
          </w:p>
        </w:tc>
        <w:tc>
          <w:tcPr>
            <w:tcW w:w="1560" w:type="dxa"/>
            <w:tcBorders>
              <w:top w:val="nil"/>
              <w:left w:val="nil"/>
              <w:bottom w:val="nil"/>
              <w:right w:val="nil"/>
            </w:tcBorders>
            <w:tcMar>
              <w:top w:w="15" w:type="dxa"/>
              <w:left w:w="15" w:type="dxa"/>
              <w:bottom w:w="0" w:type="dxa"/>
              <w:right w:w="15" w:type="dxa"/>
            </w:tcMar>
            <w:vAlign w:val="center"/>
            <w:hideMark/>
          </w:tcPr>
          <w:p w14:paraId="250B3135" w14:textId="77777777" w:rsidR="002C3EE5" w:rsidRPr="00690FD7" w:rsidRDefault="002C3EE5" w:rsidP="00FD4E5F">
            <w:pPr>
              <w:pStyle w:val="TableBody"/>
              <w:jc w:val="center"/>
            </w:pPr>
            <w:r w:rsidRPr="00690FD7">
              <w:t>0</w:t>
            </w:r>
          </w:p>
        </w:tc>
        <w:tc>
          <w:tcPr>
            <w:tcW w:w="1560" w:type="dxa"/>
            <w:tcBorders>
              <w:top w:val="nil"/>
              <w:left w:val="nil"/>
              <w:bottom w:val="nil"/>
              <w:right w:val="nil"/>
            </w:tcBorders>
            <w:shd w:val="clear" w:color="auto" w:fill="D0BBDB"/>
            <w:tcMar>
              <w:top w:w="15" w:type="dxa"/>
              <w:left w:w="15" w:type="dxa"/>
              <w:bottom w:w="0" w:type="dxa"/>
              <w:right w:w="15" w:type="dxa"/>
            </w:tcMar>
            <w:vAlign w:val="center"/>
            <w:hideMark/>
          </w:tcPr>
          <w:p w14:paraId="396B928D" w14:textId="77777777" w:rsidR="002C3EE5" w:rsidRPr="00690FD7" w:rsidRDefault="002C3EE5" w:rsidP="00FD4E5F">
            <w:pPr>
              <w:pStyle w:val="TableBody"/>
              <w:jc w:val="center"/>
            </w:pPr>
            <w:r w:rsidRPr="00690FD7">
              <w:t>13</w:t>
            </w:r>
          </w:p>
        </w:tc>
        <w:tc>
          <w:tcPr>
            <w:tcW w:w="1560" w:type="dxa"/>
            <w:tcBorders>
              <w:top w:val="nil"/>
              <w:left w:val="nil"/>
              <w:bottom w:val="nil"/>
              <w:right w:val="nil"/>
            </w:tcBorders>
            <w:shd w:val="clear" w:color="auto" w:fill="CCDDF2"/>
            <w:tcMar>
              <w:top w:w="15" w:type="dxa"/>
              <w:left w:w="15" w:type="dxa"/>
              <w:bottom w:w="0" w:type="dxa"/>
              <w:right w:w="15" w:type="dxa"/>
            </w:tcMar>
            <w:vAlign w:val="center"/>
            <w:hideMark/>
          </w:tcPr>
          <w:p w14:paraId="6EE1EBF5" w14:textId="77777777" w:rsidR="002C3EE5" w:rsidRPr="00690FD7" w:rsidRDefault="002C3EE5" w:rsidP="00FD4E5F">
            <w:pPr>
              <w:pStyle w:val="TableBody"/>
              <w:jc w:val="center"/>
            </w:pPr>
            <w:r w:rsidRPr="00690FD7">
              <w:t>1</w:t>
            </w:r>
          </w:p>
        </w:tc>
        <w:tc>
          <w:tcPr>
            <w:tcW w:w="1560" w:type="dxa"/>
            <w:tcBorders>
              <w:top w:val="nil"/>
              <w:left w:val="nil"/>
              <w:bottom w:val="nil"/>
              <w:right w:val="nil"/>
            </w:tcBorders>
            <w:shd w:val="clear" w:color="auto" w:fill="79C6E1"/>
            <w:tcMar>
              <w:top w:w="15" w:type="dxa"/>
              <w:left w:w="15" w:type="dxa"/>
              <w:bottom w:w="0" w:type="dxa"/>
              <w:right w:w="15" w:type="dxa"/>
            </w:tcMar>
            <w:vAlign w:val="center"/>
            <w:hideMark/>
          </w:tcPr>
          <w:p w14:paraId="6C2613CE" w14:textId="77777777" w:rsidR="002C3EE5" w:rsidRPr="00690FD7" w:rsidRDefault="002C3EE5" w:rsidP="00FD4E5F">
            <w:pPr>
              <w:pStyle w:val="TableBody"/>
              <w:jc w:val="center"/>
            </w:pPr>
            <w:r w:rsidRPr="00690FD7">
              <w:rPr>
                <w:lang w:val="en-US"/>
              </w:rPr>
              <w:t>2</w:t>
            </w:r>
            <w:r w:rsidRPr="00690FD7">
              <w:t>0</w:t>
            </w:r>
          </w:p>
        </w:tc>
      </w:tr>
      <w:tr w:rsidR="002C3EE5" w:rsidRPr="002C3EE5" w14:paraId="766238B8" w14:textId="77777777" w:rsidTr="00FD4E5F">
        <w:trPr>
          <w:trHeight w:val="334"/>
        </w:trPr>
        <w:tc>
          <w:tcPr>
            <w:tcW w:w="2720" w:type="dxa"/>
            <w:tcBorders>
              <w:top w:val="nil"/>
              <w:left w:val="nil"/>
              <w:bottom w:val="nil"/>
              <w:right w:val="nil"/>
            </w:tcBorders>
            <w:tcMar>
              <w:top w:w="15" w:type="dxa"/>
              <w:left w:w="15" w:type="dxa"/>
              <w:bottom w:w="0" w:type="dxa"/>
              <w:right w:w="15" w:type="dxa"/>
            </w:tcMar>
            <w:vAlign w:val="bottom"/>
            <w:hideMark/>
          </w:tcPr>
          <w:p w14:paraId="2FE1C0EF" w14:textId="77777777" w:rsidR="002C3EE5" w:rsidRPr="002C3EE5" w:rsidRDefault="002C3EE5" w:rsidP="005A366D">
            <w:pPr>
              <w:pStyle w:val="TableBody"/>
            </w:pPr>
            <w:r w:rsidRPr="002C3EE5">
              <w:t>Market share</w:t>
            </w:r>
          </w:p>
        </w:tc>
        <w:tc>
          <w:tcPr>
            <w:tcW w:w="1560" w:type="dxa"/>
            <w:tcBorders>
              <w:top w:val="nil"/>
              <w:left w:val="nil"/>
              <w:bottom w:val="nil"/>
              <w:right w:val="nil"/>
            </w:tcBorders>
            <w:tcMar>
              <w:top w:w="15" w:type="dxa"/>
              <w:left w:w="15" w:type="dxa"/>
              <w:bottom w:w="0" w:type="dxa"/>
              <w:right w:w="15" w:type="dxa"/>
            </w:tcMar>
            <w:vAlign w:val="center"/>
            <w:hideMark/>
          </w:tcPr>
          <w:p w14:paraId="02B355EA" w14:textId="77777777" w:rsidR="002C3EE5" w:rsidRPr="00690FD7" w:rsidRDefault="002C3EE5" w:rsidP="00FD4E5F">
            <w:pPr>
              <w:pStyle w:val="TableBody"/>
              <w:jc w:val="center"/>
            </w:pPr>
            <w:r w:rsidRPr="00690FD7">
              <w:t>0</w:t>
            </w:r>
          </w:p>
        </w:tc>
        <w:tc>
          <w:tcPr>
            <w:tcW w:w="1560" w:type="dxa"/>
            <w:tcBorders>
              <w:top w:val="nil"/>
              <w:left w:val="nil"/>
              <w:bottom w:val="nil"/>
              <w:right w:val="nil"/>
            </w:tcBorders>
            <w:shd w:val="clear" w:color="auto" w:fill="8956A3"/>
            <w:tcMar>
              <w:top w:w="15" w:type="dxa"/>
              <w:left w:w="15" w:type="dxa"/>
              <w:bottom w:w="0" w:type="dxa"/>
              <w:right w:w="15" w:type="dxa"/>
            </w:tcMar>
            <w:vAlign w:val="center"/>
            <w:hideMark/>
          </w:tcPr>
          <w:p w14:paraId="34F39141" w14:textId="77777777" w:rsidR="002C3EE5" w:rsidRPr="00690FD7" w:rsidRDefault="002C3EE5" w:rsidP="00FD4E5F">
            <w:pPr>
              <w:pStyle w:val="TableBody"/>
              <w:jc w:val="center"/>
              <w:rPr>
                <w:color w:val="FFFFFF" w:themeColor="background1"/>
              </w:rPr>
            </w:pPr>
            <w:r w:rsidRPr="00690FD7">
              <w:rPr>
                <w:color w:val="FFFFFF" w:themeColor="background1"/>
                <w:lang w:val="en-US"/>
              </w:rPr>
              <w:t>2</w:t>
            </w:r>
            <w:r w:rsidRPr="00690FD7">
              <w:rPr>
                <w:color w:val="FFFFFF" w:themeColor="background1"/>
              </w:rPr>
              <w:t>9</w:t>
            </w:r>
          </w:p>
        </w:tc>
        <w:tc>
          <w:tcPr>
            <w:tcW w:w="1560" w:type="dxa"/>
            <w:tcBorders>
              <w:top w:val="nil"/>
              <w:left w:val="nil"/>
              <w:bottom w:val="nil"/>
              <w:right w:val="nil"/>
            </w:tcBorders>
            <w:tcMar>
              <w:top w:w="15" w:type="dxa"/>
              <w:left w:w="15" w:type="dxa"/>
              <w:bottom w:w="0" w:type="dxa"/>
              <w:right w:w="15" w:type="dxa"/>
            </w:tcMar>
            <w:vAlign w:val="center"/>
            <w:hideMark/>
          </w:tcPr>
          <w:p w14:paraId="7F183AA3" w14:textId="77777777" w:rsidR="002C3EE5" w:rsidRPr="00690FD7" w:rsidRDefault="002C3EE5" w:rsidP="00FD4E5F">
            <w:pPr>
              <w:pStyle w:val="TableBody"/>
              <w:jc w:val="center"/>
            </w:pPr>
            <w:r w:rsidRPr="00690FD7">
              <w:t>0</w:t>
            </w:r>
          </w:p>
        </w:tc>
        <w:tc>
          <w:tcPr>
            <w:tcW w:w="1560" w:type="dxa"/>
            <w:tcBorders>
              <w:top w:val="nil"/>
              <w:left w:val="nil"/>
              <w:bottom w:val="nil"/>
              <w:right w:val="nil"/>
            </w:tcBorders>
            <w:tcMar>
              <w:top w:w="15" w:type="dxa"/>
              <w:left w:w="15" w:type="dxa"/>
              <w:bottom w:w="0" w:type="dxa"/>
              <w:right w:w="15" w:type="dxa"/>
            </w:tcMar>
            <w:vAlign w:val="center"/>
            <w:hideMark/>
          </w:tcPr>
          <w:p w14:paraId="5F8E6FC1" w14:textId="77777777" w:rsidR="002C3EE5" w:rsidRPr="00690FD7" w:rsidRDefault="002C3EE5" w:rsidP="00FD4E5F">
            <w:pPr>
              <w:pStyle w:val="TableBody"/>
              <w:jc w:val="center"/>
            </w:pPr>
            <w:r w:rsidRPr="00690FD7">
              <w:rPr>
                <w:lang w:val="en-US"/>
              </w:rPr>
              <w:t>5</w:t>
            </w:r>
          </w:p>
        </w:tc>
      </w:tr>
      <w:tr w:rsidR="002C3EE5" w:rsidRPr="002C3EE5" w14:paraId="3E11A84D" w14:textId="77777777" w:rsidTr="00FD4E5F">
        <w:trPr>
          <w:trHeight w:val="334"/>
        </w:trPr>
        <w:tc>
          <w:tcPr>
            <w:tcW w:w="2720" w:type="dxa"/>
            <w:tcBorders>
              <w:top w:val="nil"/>
              <w:left w:val="nil"/>
              <w:bottom w:val="nil"/>
              <w:right w:val="nil"/>
            </w:tcBorders>
            <w:tcMar>
              <w:top w:w="15" w:type="dxa"/>
              <w:left w:w="15" w:type="dxa"/>
              <w:bottom w:w="0" w:type="dxa"/>
              <w:right w:w="15" w:type="dxa"/>
            </w:tcMar>
            <w:vAlign w:val="bottom"/>
            <w:hideMark/>
          </w:tcPr>
          <w:p w14:paraId="3126E37B" w14:textId="77777777" w:rsidR="002C3EE5" w:rsidRPr="002C3EE5" w:rsidRDefault="002C3EE5" w:rsidP="005A366D">
            <w:pPr>
              <w:pStyle w:val="TableBody"/>
            </w:pPr>
            <w:r w:rsidRPr="002C3EE5">
              <w:t>Imports</w:t>
            </w:r>
          </w:p>
        </w:tc>
        <w:tc>
          <w:tcPr>
            <w:tcW w:w="1560" w:type="dxa"/>
            <w:tcBorders>
              <w:top w:val="nil"/>
              <w:left w:val="nil"/>
              <w:bottom w:val="nil"/>
              <w:right w:val="nil"/>
            </w:tcBorders>
            <w:tcMar>
              <w:top w:w="15" w:type="dxa"/>
              <w:left w:w="15" w:type="dxa"/>
              <w:bottom w:w="0" w:type="dxa"/>
              <w:right w:w="15" w:type="dxa"/>
            </w:tcMar>
            <w:vAlign w:val="center"/>
            <w:hideMark/>
          </w:tcPr>
          <w:p w14:paraId="3BF1AA3E" w14:textId="77777777" w:rsidR="002C3EE5" w:rsidRPr="00690FD7" w:rsidRDefault="002C3EE5" w:rsidP="00FD4E5F">
            <w:pPr>
              <w:pStyle w:val="TableBody"/>
              <w:jc w:val="center"/>
            </w:pPr>
            <w:r w:rsidRPr="00690FD7">
              <w:t>0</w:t>
            </w:r>
          </w:p>
        </w:tc>
        <w:tc>
          <w:tcPr>
            <w:tcW w:w="1560" w:type="dxa"/>
            <w:tcBorders>
              <w:top w:val="nil"/>
              <w:left w:val="nil"/>
              <w:bottom w:val="nil"/>
              <w:right w:val="nil"/>
            </w:tcBorders>
            <w:shd w:val="clear" w:color="auto" w:fill="8956A3"/>
            <w:tcMar>
              <w:top w:w="15" w:type="dxa"/>
              <w:left w:w="15" w:type="dxa"/>
              <w:bottom w:w="0" w:type="dxa"/>
              <w:right w:w="15" w:type="dxa"/>
            </w:tcMar>
            <w:vAlign w:val="center"/>
            <w:hideMark/>
          </w:tcPr>
          <w:p w14:paraId="411CEE15" w14:textId="77777777" w:rsidR="002C3EE5" w:rsidRPr="00690FD7" w:rsidRDefault="002C3EE5" w:rsidP="00FD4E5F">
            <w:pPr>
              <w:pStyle w:val="TableBody"/>
              <w:jc w:val="center"/>
              <w:rPr>
                <w:color w:val="FFFFFF" w:themeColor="background1"/>
              </w:rPr>
            </w:pPr>
            <w:r w:rsidRPr="00690FD7">
              <w:rPr>
                <w:color w:val="FFFFFF" w:themeColor="background1"/>
              </w:rPr>
              <w:t>30</w:t>
            </w:r>
          </w:p>
        </w:tc>
        <w:tc>
          <w:tcPr>
            <w:tcW w:w="1560" w:type="dxa"/>
            <w:tcBorders>
              <w:top w:val="nil"/>
              <w:left w:val="nil"/>
              <w:bottom w:val="nil"/>
              <w:right w:val="nil"/>
            </w:tcBorders>
            <w:tcMar>
              <w:top w:w="15" w:type="dxa"/>
              <w:left w:w="15" w:type="dxa"/>
              <w:bottom w:w="0" w:type="dxa"/>
              <w:right w:w="15" w:type="dxa"/>
            </w:tcMar>
            <w:vAlign w:val="center"/>
            <w:hideMark/>
          </w:tcPr>
          <w:p w14:paraId="0DE66224" w14:textId="77777777" w:rsidR="002C3EE5" w:rsidRPr="00690FD7" w:rsidRDefault="002C3EE5" w:rsidP="00FD4E5F">
            <w:pPr>
              <w:pStyle w:val="TableBody"/>
              <w:jc w:val="center"/>
            </w:pPr>
            <w:r w:rsidRPr="00690FD7">
              <w:t>0</w:t>
            </w:r>
          </w:p>
        </w:tc>
        <w:tc>
          <w:tcPr>
            <w:tcW w:w="1560" w:type="dxa"/>
            <w:tcBorders>
              <w:top w:val="nil"/>
              <w:left w:val="nil"/>
              <w:bottom w:val="nil"/>
              <w:right w:val="nil"/>
            </w:tcBorders>
            <w:tcMar>
              <w:top w:w="15" w:type="dxa"/>
              <w:left w:w="15" w:type="dxa"/>
              <w:bottom w:w="0" w:type="dxa"/>
              <w:right w:w="15" w:type="dxa"/>
            </w:tcMar>
            <w:vAlign w:val="center"/>
            <w:hideMark/>
          </w:tcPr>
          <w:p w14:paraId="5A4FAFA1" w14:textId="77777777" w:rsidR="002C3EE5" w:rsidRPr="00690FD7" w:rsidRDefault="002C3EE5" w:rsidP="00FD4E5F">
            <w:pPr>
              <w:pStyle w:val="TableBody"/>
              <w:jc w:val="center"/>
            </w:pPr>
            <w:r w:rsidRPr="00690FD7">
              <w:t>4</w:t>
            </w:r>
          </w:p>
        </w:tc>
      </w:tr>
      <w:tr w:rsidR="002C3EE5" w:rsidRPr="002C3EE5" w14:paraId="70304D0D" w14:textId="77777777" w:rsidTr="00FD4E5F">
        <w:trPr>
          <w:trHeight w:val="334"/>
        </w:trPr>
        <w:tc>
          <w:tcPr>
            <w:tcW w:w="2720" w:type="dxa"/>
            <w:tcBorders>
              <w:top w:val="nil"/>
              <w:left w:val="nil"/>
              <w:bottom w:val="single" w:sz="8" w:space="0" w:color="BFBFBF"/>
              <w:right w:val="nil"/>
            </w:tcBorders>
            <w:tcMar>
              <w:top w:w="15" w:type="dxa"/>
              <w:left w:w="15" w:type="dxa"/>
              <w:bottom w:w="0" w:type="dxa"/>
              <w:right w:w="15" w:type="dxa"/>
            </w:tcMar>
            <w:vAlign w:val="bottom"/>
            <w:hideMark/>
          </w:tcPr>
          <w:p w14:paraId="467272A1" w14:textId="77777777" w:rsidR="002C3EE5" w:rsidRPr="002C3EE5" w:rsidRDefault="002C3EE5" w:rsidP="005A366D">
            <w:pPr>
              <w:pStyle w:val="TableBody"/>
            </w:pPr>
            <w:r w:rsidRPr="002C3EE5">
              <w:t>Capex/investment</w:t>
            </w:r>
          </w:p>
        </w:tc>
        <w:tc>
          <w:tcPr>
            <w:tcW w:w="1560" w:type="dxa"/>
            <w:tcBorders>
              <w:top w:val="nil"/>
              <w:left w:val="nil"/>
              <w:bottom w:val="single" w:sz="8" w:space="0" w:color="BFBFBF"/>
              <w:right w:val="nil"/>
            </w:tcBorders>
            <w:tcMar>
              <w:top w:w="15" w:type="dxa"/>
              <w:left w:w="15" w:type="dxa"/>
              <w:bottom w:w="0" w:type="dxa"/>
              <w:right w:w="15" w:type="dxa"/>
            </w:tcMar>
            <w:vAlign w:val="center"/>
            <w:hideMark/>
          </w:tcPr>
          <w:p w14:paraId="2FA47078" w14:textId="77777777" w:rsidR="002C3EE5" w:rsidRPr="00690FD7" w:rsidRDefault="002C3EE5" w:rsidP="00FD4E5F">
            <w:pPr>
              <w:pStyle w:val="TableBody"/>
              <w:jc w:val="center"/>
            </w:pPr>
            <w:r w:rsidRPr="00690FD7">
              <w:t>0</w:t>
            </w:r>
          </w:p>
        </w:tc>
        <w:tc>
          <w:tcPr>
            <w:tcW w:w="1560" w:type="dxa"/>
            <w:tcBorders>
              <w:top w:val="nil"/>
              <w:left w:val="nil"/>
              <w:bottom w:val="single" w:sz="8" w:space="0" w:color="BFBFBF"/>
              <w:right w:val="nil"/>
            </w:tcBorders>
            <w:shd w:val="clear" w:color="auto" w:fill="B998C9"/>
            <w:tcMar>
              <w:top w:w="15" w:type="dxa"/>
              <w:left w:w="15" w:type="dxa"/>
              <w:bottom w:w="0" w:type="dxa"/>
              <w:right w:w="15" w:type="dxa"/>
            </w:tcMar>
            <w:vAlign w:val="center"/>
            <w:hideMark/>
          </w:tcPr>
          <w:p w14:paraId="527B673C" w14:textId="77777777" w:rsidR="002C3EE5" w:rsidRPr="00690FD7" w:rsidRDefault="002C3EE5" w:rsidP="00FD4E5F">
            <w:pPr>
              <w:pStyle w:val="TableBody"/>
              <w:jc w:val="center"/>
            </w:pPr>
            <w:r w:rsidRPr="00690FD7">
              <w:t>21</w:t>
            </w:r>
          </w:p>
        </w:tc>
        <w:tc>
          <w:tcPr>
            <w:tcW w:w="1560" w:type="dxa"/>
            <w:tcBorders>
              <w:top w:val="nil"/>
              <w:left w:val="nil"/>
              <w:bottom w:val="single" w:sz="8" w:space="0" w:color="BFBFBF"/>
              <w:right w:val="nil"/>
            </w:tcBorders>
            <w:tcMar>
              <w:top w:w="15" w:type="dxa"/>
              <w:left w:w="15" w:type="dxa"/>
              <w:bottom w:w="0" w:type="dxa"/>
              <w:right w:w="15" w:type="dxa"/>
            </w:tcMar>
            <w:vAlign w:val="center"/>
            <w:hideMark/>
          </w:tcPr>
          <w:p w14:paraId="6334591D" w14:textId="77777777" w:rsidR="002C3EE5" w:rsidRPr="00690FD7" w:rsidRDefault="002C3EE5" w:rsidP="00FD4E5F">
            <w:pPr>
              <w:pStyle w:val="TableBody"/>
              <w:jc w:val="center"/>
            </w:pPr>
            <w:r w:rsidRPr="00690FD7">
              <w:t>0</w:t>
            </w:r>
          </w:p>
        </w:tc>
        <w:tc>
          <w:tcPr>
            <w:tcW w:w="1560" w:type="dxa"/>
            <w:tcBorders>
              <w:top w:val="nil"/>
              <w:left w:val="nil"/>
              <w:bottom w:val="single" w:sz="8" w:space="0" w:color="BFBFBF"/>
              <w:right w:val="nil"/>
            </w:tcBorders>
            <w:shd w:val="clear" w:color="auto" w:fill="D2ECF5"/>
            <w:tcMar>
              <w:top w:w="15" w:type="dxa"/>
              <w:left w:w="15" w:type="dxa"/>
              <w:bottom w:w="0" w:type="dxa"/>
              <w:right w:w="15" w:type="dxa"/>
            </w:tcMar>
            <w:vAlign w:val="center"/>
            <w:hideMark/>
          </w:tcPr>
          <w:p w14:paraId="6A4B9216" w14:textId="77777777" w:rsidR="002C3EE5" w:rsidRPr="00690FD7" w:rsidRDefault="002C3EE5" w:rsidP="00FD4E5F">
            <w:pPr>
              <w:pStyle w:val="TableBody"/>
              <w:jc w:val="center"/>
            </w:pPr>
            <w:r w:rsidRPr="00690FD7">
              <w:t>13</w:t>
            </w:r>
          </w:p>
        </w:tc>
      </w:tr>
    </w:tbl>
    <w:p w14:paraId="1F6AE09D" w14:textId="76F56BAF" w:rsidR="00692657" w:rsidRPr="00214870" w:rsidRDefault="00692657" w:rsidP="00203E11">
      <w:pPr>
        <w:pStyle w:val="Note"/>
        <w:spacing w:after="120"/>
      </w:pPr>
    </w:p>
    <w:p w14:paraId="6237B09D" w14:textId="05D83E41" w:rsidR="00692657" w:rsidRDefault="00692657" w:rsidP="009F0542">
      <w:pPr>
        <w:pStyle w:val="Note"/>
      </w:pPr>
      <w:r w:rsidRPr="006C443F">
        <w:t>Cells are shaded according to the proportion of firms that reported a particular impact for each factor, with darker shading indicating a higher proportion and lighter shading indicating a lower proportion.</w:t>
      </w:r>
      <w:r>
        <w:t xml:space="preserve"> A factor is recorded as improved or worsened where this was stated or could reasonably be inferred as relating to the investigation period (2020–21 to 2024–25); where it was evident that a reported change related to a period outside the investigation period, or reflected only a very recent shift, this was instead recorded as not addressed. For imports and market share, worsened means an increase in imports or in the share of the market held by imports.</w:t>
      </w:r>
    </w:p>
    <w:p w14:paraId="16CB32B1" w14:textId="5501CD58" w:rsidR="00666446" w:rsidRDefault="00666446" w:rsidP="00FD4E5F">
      <w:pPr>
        <w:pStyle w:val="Source"/>
        <w:spacing w:after="360"/>
      </w:pPr>
      <w:r>
        <w:t xml:space="preserve">Source: PC analysis of inquiry submissions. </w:t>
      </w:r>
    </w:p>
    <w:p w14:paraId="0D7F5F1D" w14:textId="65A9F303" w:rsidR="00692657" w:rsidRPr="00B0420B" w:rsidRDefault="00692657" w:rsidP="00011592">
      <w:pPr>
        <w:pStyle w:val="BodyText"/>
      </w:pPr>
      <w:r>
        <w:t>Where fabricators provided information on specific injury factors, they mostly indicated deteriorating</w:t>
      </w:r>
      <w:r w:rsidRPr="005858E4">
        <w:t xml:space="preserve"> performance</w:t>
      </w:r>
      <w:r>
        <w:t xml:space="preserve">. </w:t>
      </w:r>
      <w:r w:rsidRPr="00DE7418">
        <w:t xml:space="preserve">The </w:t>
      </w:r>
      <w:proofErr w:type="gramStart"/>
      <w:r w:rsidRPr="00DE7418">
        <w:t xml:space="preserve">most </w:t>
      </w:r>
      <w:r w:rsidRPr="00436D93">
        <w:t xml:space="preserve">commonly </w:t>
      </w:r>
      <w:r w:rsidRPr="00DE7418">
        <w:t>reported</w:t>
      </w:r>
      <w:proofErr w:type="gramEnd"/>
      <w:r w:rsidRPr="00DE7418">
        <w:t xml:space="preserve"> injury factors were sales, profit, production, utilisation and employment.</w:t>
      </w:r>
      <w:r>
        <w:t xml:space="preserve"> On </w:t>
      </w:r>
      <w:r w:rsidRPr="00375129" w:rsidDel="00895C94">
        <w:t>profit</w:t>
      </w:r>
      <w:r w:rsidRPr="00375129">
        <w:t xml:space="preserve">, </w:t>
      </w:r>
      <w:r>
        <w:t>there was a common</w:t>
      </w:r>
      <w:r w:rsidRPr="00375129">
        <w:t xml:space="preserve"> narrative</w:t>
      </w:r>
      <w:r>
        <w:t xml:space="preserve"> linking</w:t>
      </w:r>
      <w:r w:rsidRPr="00375129">
        <w:t xml:space="preserve"> increased competition from lower</w:t>
      </w:r>
      <w:r w:rsidR="00541146">
        <w:noBreakHyphen/>
      </w:r>
      <w:r w:rsidRPr="00375129">
        <w:t xml:space="preserve">priced imported goods in competitive tendering processes to domestic fabricators being forced to significantly lower their quoted prices, reducing profit margins and, in turn, </w:t>
      </w:r>
      <w:r>
        <w:t>investment</w:t>
      </w:r>
      <w:r w:rsidRPr="00375129">
        <w:t xml:space="preserve">. This issue is discussed further in </w:t>
      </w:r>
      <w:r>
        <w:t>the context of whether there is a threat of serious injury (section</w:t>
      </w:r>
      <w:r w:rsidR="00541146">
        <w:t> </w:t>
      </w:r>
      <w:r>
        <w:t>4.</w:t>
      </w:r>
      <w:r w:rsidR="007648C3">
        <w:t>3</w:t>
      </w:r>
      <w:r>
        <w:t>)</w:t>
      </w:r>
      <w:r w:rsidRPr="00375129">
        <w:t>.</w:t>
      </w:r>
    </w:p>
    <w:p w14:paraId="6A709A79" w14:textId="632CB3F8" w:rsidR="00692657" w:rsidRDefault="00692657" w:rsidP="00011592">
      <w:pPr>
        <w:pStyle w:val="BodyText"/>
      </w:pPr>
      <w:r>
        <w:t xml:space="preserve">Very few firms </w:t>
      </w:r>
      <w:r w:rsidRPr="00AF03B6">
        <w:t>reported</w:t>
      </w:r>
      <w:r>
        <w:t xml:space="preserve"> an improvement in any of the injury factors. NEACH, a fabricator in southeast Queensland, reported an increase in revenue due to securing contracts for major government infrastructure projects (sub.</w:t>
      </w:r>
      <w:r w:rsidR="00541146">
        <w:t> </w:t>
      </w:r>
      <w:r>
        <w:t>15, p.</w:t>
      </w:r>
      <w:r w:rsidR="00541146">
        <w:t> </w:t>
      </w:r>
      <w:r>
        <w:t>4).</w:t>
      </w:r>
    </w:p>
    <w:p w14:paraId="7CE303F9" w14:textId="6CFF9912" w:rsidR="00692657" w:rsidRDefault="00692657" w:rsidP="00011592">
      <w:pPr>
        <w:pStyle w:val="BodyText"/>
      </w:pPr>
      <w:r w:rsidRPr="00726F51">
        <w:t xml:space="preserve">Of the 34 firms that made submissions, </w:t>
      </w:r>
      <w:r w:rsidR="00860844" w:rsidRPr="00E3667C">
        <w:t>very few provided full time-series data for injury factors</w:t>
      </w:r>
      <w:r w:rsidR="00860844">
        <w:t>.</w:t>
      </w:r>
      <w:r>
        <w:rPr>
          <w:rStyle w:val="FootnoteReference"/>
        </w:rPr>
        <w:footnoteReference w:id="13"/>
      </w:r>
      <w:r w:rsidRPr="00726F51">
        <w:t xml:space="preserve"> Their evidence does not reveal a clear or consistent pattern. </w:t>
      </w:r>
      <w:r w:rsidRPr="00DA5F51">
        <w:t xml:space="preserve">One fabricator, for example, reported a sharp increase in sales, profit, production, and utilisation in 2021–22, followed by a decline in 2023–24 and a </w:t>
      </w:r>
      <w:r w:rsidRPr="00D02906">
        <w:t>year</w:t>
      </w:r>
      <w:r w:rsidR="00541146">
        <w:noBreakHyphen/>
      </w:r>
      <w:r w:rsidRPr="00D02906">
        <w:t>to</w:t>
      </w:r>
      <w:r w:rsidR="00541146">
        <w:noBreakHyphen/>
      </w:r>
      <w:r w:rsidRPr="00D02906">
        <w:t>date recovery in 2024–25</w:t>
      </w:r>
      <w:r w:rsidRPr="00DA5F51">
        <w:t>.</w:t>
      </w:r>
      <w:r>
        <w:rPr>
          <w:rStyle w:val="FootnoteReference"/>
        </w:rPr>
        <w:footnoteReference w:id="14"/>
      </w:r>
      <w:r>
        <w:t xml:space="preserve"> </w:t>
      </w:r>
      <w:r w:rsidRPr="001637F5">
        <w:t xml:space="preserve">By contrast, a second fabricator reported only a small peak in sales </w:t>
      </w:r>
      <w:r w:rsidRPr="001637F5">
        <w:lastRenderedPageBreak/>
        <w:t xml:space="preserve">in 2023–24 and otherwise </w:t>
      </w:r>
      <w:r w:rsidRPr="008D6A70">
        <w:t>relatively</w:t>
      </w:r>
      <w:r>
        <w:t xml:space="preserve"> </w:t>
      </w:r>
      <w:r w:rsidRPr="001637F5">
        <w:t>stable performance over the 2022–23 to 2024–25 period.</w:t>
      </w:r>
      <w:r>
        <w:rPr>
          <w:rStyle w:val="FootnoteReference"/>
        </w:rPr>
        <w:footnoteReference w:id="15"/>
      </w:r>
      <w:r>
        <w:t xml:space="preserve"> </w:t>
      </w:r>
      <w:r w:rsidRPr="000C12E7">
        <w:t>A third fabricator reported a</w:t>
      </w:r>
      <w:r w:rsidRPr="000C12E7" w:rsidDel="002917A1">
        <w:t xml:space="preserve"> </w:t>
      </w:r>
      <w:r w:rsidRPr="000C12E7">
        <w:t>sharp deterioration in sales and capacity utilisation from 2021–22 to 2024–25, while employment remained broadly stable or increased slightly over the same period</w:t>
      </w:r>
      <w:r>
        <w:t xml:space="preserve"> </w:t>
      </w:r>
      <w:r w:rsidRPr="000C437C">
        <w:t>(</w:t>
      </w:r>
      <w:r w:rsidRPr="00754F9C">
        <w:t>though hours</w:t>
      </w:r>
      <w:r>
        <w:t xml:space="preserve"> worked</w:t>
      </w:r>
      <w:r w:rsidRPr="00754F9C">
        <w:t xml:space="preserve"> decreased</w:t>
      </w:r>
      <w:r w:rsidRPr="000C437C">
        <w:t>)</w:t>
      </w:r>
      <w:r>
        <w:t xml:space="preserve"> (name withheld, sub.</w:t>
      </w:r>
      <w:r w:rsidR="00541146">
        <w:t> </w:t>
      </w:r>
      <w:r>
        <w:t>44, p.</w:t>
      </w:r>
      <w:r w:rsidR="00541146">
        <w:t> </w:t>
      </w:r>
      <w:r>
        <w:t>3)</w:t>
      </w:r>
      <w:r w:rsidRPr="000C12E7">
        <w:t>.</w:t>
      </w:r>
      <w:r>
        <w:t xml:space="preserve"> </w:t>
      </w:r>
      <w:r w:rsidRPr="00D55554">
        <w:rPr>
          <w:color w:val="000000" w:themeColor="text1"/>
        </w:rPr>
        <w:t>The project</w:t>
      </w:r>
      <w:r w:rsidR="00541146">
        <w:rPr>
          <w:color w:val="000000" w:themeColor="text1"/>
        </w:rPr>
        <w:noBreakHyphen/>
      </w:r>
      <w:r w:rsidRPr="00D55554">
        <w:rPr>
          <w:color w:val="000000" w:themeColor="text1"/>
        </w:rPr>
        <w:t xml:space="preserve">based nature of structural steel fabrication </w:t>
      </w:r>
      <w:r>
        <w:rPr>
          <w:color w:val="000000" w:themeColor="text1"/>
        </w:rPr>
        <w:t>may contribute to variations in the timing of firms’ reporting of injury.</w:t>
      </w:r>
    </w:p>
    <w:p w14:paraId="2C1C5681" w14:textId="742152AA" w:rsidR="00692657" w:rsidRDefault="00692657" w:rsidP="00011592">
      <w:pPr>
        <w:pStyle w:val="BodyText"/>
      </w:pPr>
      <w:r>
        <w:t xml:space="preserve">The results from an ASI survey of 6 fabricators indicate broadly stable performance from </w:t>
      </w:r>
      <w:r w:rsidRPr="00310F67">
        <w:t>202</w:t>
      </w:r>
      <w:r>
        <w:t>1</w:t>
      </w:r>
      <w:r w:rsidRPr="00310F67">
        <w:t xml:space="preserve">–22 to 2023–24 </w:t>
      </w:r>
      <w:r>
        <w:t xml:space="preserve">across most injury factors, followed by a sharp decline in 2024–25 </w:t>
      </w:r>
      <w:r w:rsidR="00762450" w:rsidRPr="00762450">
        <w:rPr>
          <w:rFonts w:cs="Open Sans"/>
        </w:rPr>
        <w:t>(ASI 2026, p. 37)</w:t>
      </w:r>
      <w:r>
        <w:t>. Production, sales and capacity utilisation were broadly stable until declining to about 50% of their 2021–22 levels. In both 2022–23 and 2023–24 profits were approximately double their 2021–22 level, before falling to 36% of their 2021–22 level in 2024–25. E</w:t>
      </w:r>
      <w:r w:rsidRPr="00310F67">
        <w:t xml:space="preserve">mployment </w:t>
      </w:r>
      <w:r>
        <w:t>was stable or increasing before declining to 90% of its 2021–22 level in 2024–25</w:t>
      </w:r>
      <w:r w:rsidRPr="00310F67">
        <w:t xml:space="preserve"> </w:t>
      </w:r>
      <w:r w:rsidR="00762450" w:rsidRPr="00762450">
        <w:rPr>
          <w:rFonts w:cs="Open Sans"/>
        </w:rPr>
        <w:t>(ASI 2026, p. 39)</w:t>
      </w:r>
      <w:r>
        <w:t>.</w:t>
      </w:r>
    </w:p>
    <w:p w14:paraId="562F4DD5" w14:textId="78038C74" w:rsidR="00692657" w:rsidRDefault="00692657" w:rsidP="00011592">
      <w:pPr>
        <w:pStyle w:val="BodyText"/>
      </w:pPr>
      <w:r>
        <w:t>Other sources indicate similar trends in the injury factors as the ASI survey.</w:t>
      </w:r>
      <w:r w:rsidRPr="00A879A9" w:rsidDel="00B16459">
        <w:t xml:space="preserve"> </w:t>
      </w:r>
      <w:r>
        <w:t>Unpublished modelling commissioned by the ASI suggests that Australian FSS production increased in 2023 before falling sharply in 2024</w:t>
      </w:r>
      <w:r w:rsidRPr="00A879A9">
        <w:t xml:space="preserve"> </w:t>
      </w:r>
      <w:r w:rsidRPr="006E525C">
        <w:rPr>
          <w:rFonts w:cs="Open Sans"/>
        </w:rPr>
        <w:t>(Oxford Economics Australia 2025)</w:t>
      </w:r>
      <w:r w:rsidR="00ED3EEA">
        <w:t>.</w:t>
      </w:r>
      <w:r>
        <w:rPr>
          <w:rStyle w:val="FootnoteReference"/>
        </w:rPr>
        <w:footnoteReference w:id="16"/>
      </w:r>
      <w:r w:rsidRPr="00A879A9">
        <w:t xml:space="preserve"> </w:t>
      </w:r>
    </w:p>
    <w:p w14:paraId="6FC9BC58" w14:textId="3437C05C" w:rsidR="00692657" w:rsidRDefault="00692657" w:rsidP="00011592">
      <w:pPr>
        <w:pStyle w:val="BodyText"/>
      </w:pPr>
      <w:r>
        <w:t>T</w:t>
      </w:r>
      <w:r w:rsidRPr="00A879A9">
        <w:t xml:space="preserve">he IBISWorld report </w:t>
      </w:r>
      <w:r>
        <w:t>cited</w:t>
      </w:r>
      <w:r w:rsidRPr="00A879A9">
        <w:t xml:space="preserve"> by the Australian Workers’ Union suggests declines in profit and employment </w:t>
      </w:r>
      <w:r>
        <w:t xml:space="preserve">over the period of the investigation </w:t>
      </w:r>
      <w:r w:rsidRPr="00A879A9">
        <w:t>(sub.</w:t>
      </w:r>
      <w:r w:rsidR="00541146">
        <w:t> </w:t>
      </w:r>
      <w:r w:rsidRPr="00A879A9">
        <w:t>53, pp.</w:t>
      </w:r>
      <w:r w:rsidR="00541146">
        <w:t> </w:t>
      </w:r>
      <w:r w:rsidRPr="00A879A9">
        <w:t>5–7).</w:t>
      </w:r>
      <w:r>
        <w:t xml:space="preserve"> </w:t>
      </w:r>
      <w:r w:rsidRPr="00920C89">
        <w:t>However, the IBISWorld estimates relate to the Structural Steel Fabricating industry (ANZSIC 2221), which does not align closely with the PC’s identified FSS population.</w:t>
      </w:r>
      <w:r>
        <w:t xml:space="preserve"> Classification of firms at the 4–digit ANZSIC code level can be inaccurate. For instance, o</w:t>
      </w:r>
      <w:r w:rsidRPr="00261294">
        <w:t>f the 367 firms active during the investigation period, 2</w:t>
      </w:r>
      <w:r>
        <w:t>4.</w:t>
      </w:r>
      <w:r w:rsidRPr="00261294" w:rsidDel="008F7063">
        <w:t>5</w:t>
      </w:r>
      <w:r w:rsidRPr="00261294">
        <w:t xml:space="preserve">% remained classified under ANZSIC 2221 throughout the period, while a further </w:t>
      </w:r>
      <w:r>
        <w:t>7.9</w:t>
      </w:r>
      <w:r w:rsidRPr="00261294">
        <w:t>% moved into or out of the classification during the period. The remaining 6</w:t>
      </w:r>
      <w:r>
        <w:t>7.</w:t>
      </w:r>
      <w:r w:rsidRPr="00261294">
        <w:t>6% were classified under other ANZSIC codes throughout.</w:t>
      </w:r>
    </w:p>
    <w:p w14:paraId="294B5F40" w14:textId="64FF46D1" w:rsidR="00692657" w:rsidRPr="00884FBF" w:rsidRDefault="00692657" w:rsidP="00011592">
      <w:pPr>
        <w:pStyle w:val="BodyText"/>
      </w:pPr>
      <w:r w:rsidRPr="00D35BA1">
        <w:t xml:space="preserve">Two Australian steel distributors, </w:t>
      </w:r>
      <w:proofErr w:type="spellStart"/>
      <w:r w:rsidRPr="00D35BA1">
        <w:t>InfraBuild</w:t>
      </w:r>
      <w:proofErr w:type="spellEnd"/>
      <w:r w:rsidRPr="00D35BA1">
        <w:t xml:space="preserve"> and BlueScope Steel, </w:t>
      </w:r>
      <w:r w:rsidRPr="004D08F7">
        <w:t>reported that</w:t>
      </w:r>
      <w:r>
        <w:t xml:space="preserve"> </w:t>
      </w:r>
      <w:r w:rsidRPr="00D35BA1">
        <w:t xml:space="preserve">their sales to the FSS industry declined during the investigation period. </w:t>
      </w:r>
      <w:proofErr w:type="spellStart"/>
      <w:r w:rsidRPr="00D35BA1">
        <w:t>InfraBuild</w:t>
      </w:r>
      <w:proofErr w:type="spellEnd"/>
      <w:r w:rsidRPr="00D35BA1">
        <w:t xml:space="preserve"> pointed to dips in domestic FSS production in 2022 and 2024, </w:t>
      </w:r>
      <w:r>
        <w:t>with some recovery in 2025 (sub.</w:t>
      </w:r>
      <w:r w:rsidR="00541146">
        <w:t> </w:t>
      </w:r>
      <w:r w:rsidRPr="00D35BA1">
        <w:t>40, p.</w:t>
      </w:r>
      <w:r w:rsidR="00541146">
        <w:t> </w:t>
      </w:r>
      <w:r w:rsidRPr="00D35BA1">
        <w:t>12)</w:t>
      </w:r>
      <w:r>
        <w:t xml:space="preserve">. </w:t>
      </w:r>
      <w:r w:rsidRPr="00D35BA1">
        <w:t xml:space="preserve">BlueScope reported </w:t>
      </w:r>
      <w:r>
        <w:t>’</w:t>
      </w:r>
      <w:r w:rsidRPr="00E4368B">
        <w:t>weakening demand for, and sales of, Australian</w:t>
      </w:r>
      <w:r>
        <w:t>–</w:t>
      </w:r>
      <w:r w:rsidRPr="00E4368B">
        <w:t>made steel inputs into the domestic fabrication</w:t>
      </w:r>
      <w:r>
        <w:t xml:space="preserve"> </w:t>
      </w:r>
      <w:proofErr w:type="gramStart"/>
      <w:r>
        <w:t xml:space="preserve">segment‘ </w:t>
      </w:r>
      <w:r w:rsidRPr="00D35BA1">
        <w:t>(</w:t>
      </w:r>
      <w:proofErr w:type="gramEnd"/>
      <w:r w:rsidRPr="00D35BA1">
        <w:t>sub.</w:t>
      </w:r>
      <w:r w:rsidR="00541146">
        <w:t> </w:t>
      </w:r>
      <w:r w:rsidRPr="00D35BA1">
        <w:t>48</w:t>
      </w:r>
      <w:r>
        <w:t xml:space="preserve">, </w:t>
      </w:r>
      <w:r w:rsidRPr="00D35BA1">
        <w:t>p.</w:t>
      </w:r>
      <w:r w:rsidR="00541146">
        <w:t> </w:t>
      </w:r>
      <w:r>
        <w:t>11</w:t>
      </w:r>
      <w:r w:rsidRPr="00D35BA1">
        <w:t>).</w:t>
      </w:r>
      <w:r>
        <w:t xml:space="preserve"> </w:t>
      </w:r>
    </w:p>
    <w:p w14:paraId="4B91E7A7" w14:textId="77777777" w:rsidR="00692657" w:rsidRDefault="00692657" w:rsidP="00011592">
      <w:pPr>
        <w:pStyle w:val="Heading3"/>
      </w:pPr>
      <w:r>
        <w:t>Data on overall industry performance does not show serious injury</w:t>
      </w:r>
    </w:p>
    <w:p w14:paraId="3770BD7F" w14:textId="77777777" w:rsidR="00692657" w:rsidRDefault="00692657" w:rsidP="00011592">
      <w:pPr>
        <w:pStyle w:val="BodyText"/>
      </w:pPr>
      <w:r>
        <w:t>In each section below, the PC presents evidence relating to the injury factors specified in the Agreement on Safeguards.</w:t>
      </w:r>
    </w:p>
    <w:p w14:paraId="7B228414" w14:textId="77777777" w:rsidR="00692657" w:rsidRPr="00A91551" w:rsidRDefault="00692657" w:rsidP="00011592">
      <w:pPr>
        <w:pStyle w:val="BodyText"/>
      </w:pPr>
      <w:r w:rsidRPr="006C518F">
        <w:t>Overall, the data do</w:t>
      </w:r>
      <w:r>
        <w:t>es</w:t>
      </w:r>
      <w:r w:rsidRPr="006C518F">
        <w:t xml:space="preserve"> not demonstrate t</w:t>
      </w:r>
      <w:r>
        <w:t xml:space="preserve">hat the industry </w:t>
      </w:r>
      <w:proofErr w:type="gramStart"/>
      <w:r>
        <w:t>as a whole has</w:t>
      </w:r>
      <w:proofErr w:type="gramEnd"/>
      <w:r>
        <w:t xml:space="preserve"> experienced serious injury. The health of all </w:t>
      </w:r>
      <w:r w:rsidRPr="002046B8">
        <w:t>injury indicators increased from the start to the end of the investigation period, although some moderated from earlier peaks towards the end of the period.</w:t>
      </w:r>
      <w:r>
        <w:t xml:space="preserve"> The data does demonstrate variation in performance within different parts of the industry. </w:t>
      </w:r>
    </w:p>
    <w:p w14:paraId="7631F663" w14:textId="77777777" w:rsidR="00692657" w:rsidRDefault="00692657" w:rsidP="00011592">
      <w:pPr>
        <w:pStyle w:val="Heading4"/>
      </w:pPr>
      <w:r>
        <w:t>Sales</w:t>
      </w:r>
    </w:p>
    <w:p w14:paraId="75C62F5E" w14:textId="2C294579" w:rsidR="00692657" w:rsidRDefault="00692657" w:rsidP="00011592">
      <w:r>
        <w:t>T</w:t>
      </w:r>
      <w:r w:rsidRPr="00596D08">
        <w:t xml:space="preserve">he PC </w:t>
      </w:r>
      <w:r>
        <w:t>assessed income derived from the</w:t>
      </w:r>
      <w:r w:rsidRPr="00596D08">
        <w:t xml:space="preserve"> sale</w:t>
      </w:r>
      <w:r>
        <w:t xml:space="preserve"> of goods and services over </w:t>
      </w:r>
      <w:r w:rsidRPr="00596D08" w:rsidDel="00E60FD4">
        <w:t>the</w:t>
      </w:r>
      <w:r w:rsidRPr="00596D08">
        <w:t xml:space="preserve"> investigation period. </w:t>
      </w:r>
      <w:r w:rsidRPr="00DF61B7">
        <w:t xml:space="preserve">Sales increased over the investigation period by an average of </w:t>
      </w:r>
      <w:r>
        <w:t>8.5</w:t>
      </w:r>
      <w:r w:rsidRPr="00DF61B7">
        <w:t>%</w:t>
      </w:r>
      <w:bookmarkStart w:id="28" w:name="_Ref238128039"/>
      <w:r>
        <w:t xml:space="preserve"> per year.</w:t>
      </w:r>
      <w:r>
        <w:rPr>
          <w:rStyle w:val="FootnoteReference"/>
        </w:rPr>
        <w:footnoteReference w:id="17"/>
      </w:r>
      <w:bookmarkEnd w:id="28"/>
      <w:r>
        <w:t xml:space="preserve"> Sales declined 6.5% to $3.7 billion in the second year of the investigation period (2021–22) before growing in the rest of the </w:t>
      </w:r>
      <w:r>
        <w:lastRenderedPageBreak/>
        <w:t xml:space="preserve">investigation period, reaching </w:t>
      </w:r>
      <w:r w:rsidRPr="00131626">
        <w:rPr>
          <w:color w:val="000000" w:themeColor="text1"/>
        </w:rPr>
        <w:t>$</w:t>
      </w:r>
      <w:r>
        <w:rPr>
          <w:color w:val="000000" w:themeColor="text1"/>
        </w:rPr>
        <w:t>5.1</w:t>
      </w:r>
      <w:r w:rsidRPr="00131626">
        <w:rPr>
          <w:color w:val="000000" w:themeColor="text1"/>
        </w:rPr>
        <w:t xml:space="preserve"> billion</w:t>
      </w:r>
      <w:r>
        <w:t xml:space="preserve"> by 2023–24 (figure</w:t>
      </w:r>
      <w:r w:rsidR="00541146">
        <w:t> </w:t>
      </w:r>
      <w:r>
        <w:t>4.1). The PC estimates that sales income grew again in 2024–25, reaching $5.4 billion in line with growth in turnover.</w:t>
      </w:r>
    </w:p>
    <w:p w14:paraId="4F142FA5" w14:textId="77777777" w:rsidR="00692657" w:rsidRDefault="00692657" w:rsidP="00011592">
      <w:pPr>
        <w:pStyle w:val="BodyText"/>
      </w:pPr>
      <w:r>
        <w:t xml:space="preserve">The PC examined turnover for Australian FSS businesses which is collected through BAS and is available for the entire investigation period to 2024–25. </w:t>
      </w:r>
      <w:r w:rsidRPr="00596D08">
        <w:t xml:space="preserve">Turnover is </w:t>
      </w:r>
      <w:r>
        <w:t xml:space="preserve">a </w:t>
      </w:r>
      <w:r w:rsidRPr="00596D08">
        <w:t xml:space="preserve">broader </w:t>
      </w:r>
      <w:r>
        <w:t xml:space="preserve">measure of income </w:t>
      </w:r>
      <w:r w:rsidRPr="00596D08">
        <w:t>than sales</w:t>
      </w:r>
      <w:r>
        <w:t xml:space="preserve"> and includes revenue from all sources. For businesses analysed, income from sales and turnover track closely, with income from sales consistently accounting for the bulk of turnover. </w:t>
      </w:r>
    </w:p>
    <w:p w14:paraId="5474A894" w14:textId="3773CA38" w:rsidR="00692657" w:rsidRDefault="00692657" w:rsidP="00011592">
      <w:pPr>
        <w:pStyle w:val="BodyText"/>
      </w:pPr>
      <w:r>
        <w:t>T</w:t>
      </w:r>
      <w:r w:rsidRPr="00DF61B7">
        <w:t xml:space="preserve">urnover increased over the investigation period by an average </w:t>
      </w:r>
      <w:r>
        <w:t>7</w:t>
      </w:r>
      <w:r w:rsidRPr="00DF61B7">
        <w:t>.</w:t>
      </w:r>
      <w:r>
        <w:t>0</w:t>
      </w:r>
      <w:r w:rsidRPr="00DF61B7">
        <w:t>% per year.</w:t>
      </w:r>
      <w:r>
        <w:t xml:space="preserve"> </w:t>
      </w:r>
      <w:r w:rsidRPr="0093455B">
        <w:t>Turnover follows a similar trend</w:t>
      </w:r>
      <w:r>
        <w:t xml:space="preserve"> to sales</w:t>
      </w:r>
      <w:r w:rsidRPr="0093455B">
        <w:t>, declining more in 2021–22 and growing less thereafter</w:t>
      </w:r>
      <w:r>
        <w:t>.</w:t>
      </w:r>
      <w:r w:rsidRPr="0093455B">
        <w:t xml:space="preserve"> </w:t>
      </w:r>
      <w:r>
        <w:t>T</w:t>
      </w:r>
      <w:r w:rsidRPr="0093455B">
        <w:t xml:space="preserve">urnover </w:t>
      </w:r>
      <w:r>
        <w:t>declined 4.2</w:t>
      </w:r>
      <w:r w:rsidRPr="0093455B">
        <w:t>% in 2021–22 before increasing</w:t>
      </w:r>
      <w:r w:rsidRPr="0093455B" w:rsidDel="00D428C2">
        <w:t xml:space="preserve"> </w:t>
      </w:r>
      <w:r>
        <w:t>28.0</w:t>
      </w:r>
      <w:r w:rsidRPr="0093455B">
        <w:t xml:space="preserve">% above 2020–21 levels </w:t>
      </w:r>
      <w:r>
        <w:t>by 2023–24</w:t>
      </w:r>
      <w:r w:rsidRPr="00A64085" w:rsidDel="00D428C2">
        <w:t xml:space="preserve"> </w:t>
      </w:r>
      <w:r w:rsidRPr="00A64085">
        <w:t>and increase</w:t>
      </w:r>
      <w:r>
        <w:t>d</w:t>
      </w:r>
      <w:r w:rsidRPr="00A64085" w:rsidDel="00D428C2">
        <w:t xml:space="preserve"> to </w:t>
      </w:r>
      <w:r>
        <w:t xml:space="preserve">30.8% </w:t>
      </w:r>
      <w:r w:rsidRPr="00FD1351">
        <w:t>above 2020–21 levels by</w:t>
      </w:r>
      <w:r>
        <w:t xml:space="preserve"> 2024–25</w:t>
      </w:r>
      <w:r w:rsidRPr="0093455B">
        <w:t xml:space="preserve"> (</w:t>
      </w:r>
      <w:r>
        <w:t>f</w:t>
      </w:r>
      <w:r w:rsidRPr="0093455B">
        <w:t>igure</w:t>
      </w:r>
      <w:r w:rsidR="00541146">
        <w:t> </w:t>
      </w:r>
      <w:r w:rsidRPr="0093455B">
        <w:t>4.</w:t>
      </w:r>
      <w:r>
        <w:t>1</w:t>
      </w:r>
      <w:r w:rsidDel="00D428C2">
        <w:t>)</w:t>
      </w:r>
      <w:r w:rsidRPr="00A64085" w:rsidDel="00D428C2">
        <w:t>.</w:t>
      </w:r>
    </w:p>
    <w:p w14:paraId="44C0425F" w14:textId="14041400" w:rsidR="00692657" w:rsidRDefault="00692657" w:rsidP="007A3699">
      <w:pPr>
        <w:pStyle w:val="FigureTableHeading"/>
        <w:keepLines/>
        <w:rPr>
          <w:b/>
        </w:rPr>
      </w:pPr>
      <w:bookmarkStart w:id="29" w:name="_Ref236826080"/>
      <w:r>
        <w:t xml:space="preserve">Figure </w:t>
      </w:r>
      <w:r w:rsidR="00C56C9B">
        <w:rPr>
          <w:noProof/>
        </w:rPr>
        <w:t>4</w:t>
      </w:r>
      <w:r>
        <w:t>.</w:t>
      </w:r>
      <w:r w:rsidR="00C56C9B">
        <w:rPr>
          <w:noProof/>
        </w:rPr>
        <w:t>1</w:t>
      </w:r>
      <w:bookmarkEnd w:id="29"/>
      <w:r>
        <w:t xml:space="preserve"> </w:t>
      </w:r>
      <w:r w:rsidRPr="00311AD5">
        <w:t>–</w:t>
      </w:r>
      <w:r>
        <w:t xml:space="preserve"> An initial decrease in sales was followed by strong growth</w:t>
      </w:r>
    </w:p>
    <w:tbl>
      <w:tblPr>
        <w:tblStyle w:val="ProductivityCommissionTable1"/>
        <w:tblW w:w="0" w:type="auto"/>
        <w:tblBorders>
          <w:top w:val="none" w:sz="0" w:space="0" w:color="auto"/>
          <w:bottom w:val="none" w:sz="0" w:space="0" w:color="auto"/>
          <w:insideH w:val="none" w:sz="0" w:space="0" w:color="auto"/>
        </w:tblBorders>
        <w:tblLook w:val="04A0" w:firstRow="1" w:lastRow="0" w:firstColumn="1" w:lastColumn="0" w:noHBand="0" w:noVBand="1"/>
      </w:tblPr>
      <w:tblGrid>
        <w:gridCol w:w="4762"/>
        <w:gridCol w:w="4876"/>
      </w:tblGrid>
      <w:tr w:rsidR="00692657" w:rsidRPr="004D03F5" w14:paraId="4293D57C" w14:textId="77777777" w:rsidTr="000115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78" w:type="dxa"/>
          </w:tcPr>
          <w:p w14:paraId="1EBF20D6" w14:textId="4E6E2D97" w:rsidR="00692657" w:rsidRPr="004D03F5" w:rsidRDefault="00692657" w:rsidP="007A3699">
            <w:pPr>
              <w:pStyle w:val="FigureTableSubheading"/>
            </w:pPr>
            <w:r w:rsidRPr="004D03F5">
              <w:t xml:space="preserve">a. Australian FSS industry sales </w:t>
            </w:r>
            <w:r w:rsidR="004D03F5">
              <w:br/>
            </w:r>
            <w:r w:rsidRPr="004D03F5">
              <w:t>($b, 2024–25 dollars)</w:t>
            </w:r>
          </w:p>
        </w:tc>
        <w:tc>
          <w:tcPr>
            <w:tcW w:w="5060" w:type="dxa"/>
          </w:tcPr>
          <w:p w14:paraId="255B81EB" w14:textId="77777777" w:rsidR="00692657" w:rsidRPr="004D03F5" w:rsidRDefault="00692657" w:rsidP="007A3699">
            <w:pPr>
              <w:pStyle w:val="FigureTableSubheading"/>
              <w:cnfStyle w:val="100000000000" w:firstRow="1" w:lastRow="0" w:firstColumn="0" w:lastColumn="0" w:oddVBand="0" w:evenVBand="0" w:oddHBand="0" w:evenHBand="0" w:firstRowFirstColumn="0" w:firstRowLastColumn="0" w:lastRowFirstColumn="0" w:lastRowLastColumn="0"/>
            </w:pPr>
            <w:r w:rsidRPr="004D03F5">
              <w:t>b. Australian FSS industry median sales by FTE quartile (relative to 2020–21, 2024–25 dollars)</w:t>
            </w:r>
          </w:p>
        </w:tc>
      </w:tr>
      <w:tr w:rsidR="00D068C9" w:rsidRPr="0032649B" w14:paraId="4862A1A4" w14:textId="77777777" w:rsidTr="00D068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78" w:type="dxa"/>
            <w:shd w:val="clear" w:color="auto" w:fill="auto"/>
          </w:tcPr>
          <w:p w14:paraId="66ED959E" w14:textId="21105BCE" w:rsidR="00D068C9" w:rsidRPr="0032649B" w:rsidRDefault="0032649B" w:rsidP="00451945">
            <w:pPr>
              <w:pStyle w:val="BodyText"/>
              <w:spacing w:before="240" w:after="0"/>
            </w:pPr>
            <w:r w:rsidRPr="0032649B">
              <w:rPr>
                <w:noProof/>
              </w:rPr>
              <w:drawing>
                <wp:inline distT="0" distB="0" distL="0" distR="0" wp14:anchorId="4AAC94F4" wp14:editId="4EE0EC86">
                  <wp:extent cx="2988000" cy="3527584"/>
                  <wp:effectExtent l="0" t="0" r="0" b="0"/>
                  <wp:docPr id="2103181187" name="Picture 9" descr="Figure 4.1 - The figure has two panels, a and b. Panel a shows that turnover and sales have inreased throughout the period of investigation, other than a decline in 2021-22. Panel b shows that median sales in each quartile of the industry have increased over the period of investigation, though inreased the most in the first quarti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181187" name="Picture 9" descr="Figure 4.1 - The figure has two panels, a and b. Panel a shows that turnover and sales have inreased throughout the period of investigation, other than a decline in 2021-22. Panel b shows that median sales in each quartile of the industry have increased over the period of investigation, though inreased the most in the first quartile.&#10;"/>
                          <pic:cNvPicPr>
                            <a:picLocks noChangeAspect="1" noChangeArrowheads="1"/>
                          </pic:cNvPicPr>
                        </pic:nvPicPr>
                        <pic:blipFill rotWithShape="1">
                          <a:blip r:embed="rId65">
                            <a:extLst>
                              <a:ext uri="{28A0092B-C50C-407E-A947-70E740481C1C}">
                                <a14:useLocalDpi xmlns:a14="http://schemas.microsoft.com/office/drawing/2010/main" val="0"/>
                              </a:ext>
                            </a:extLst>
                          </a:blip>
                          <a:srcRect r="7307"/>
                          <a:stretch>
                            <a:fillRect/>
                          </a:stretch>
                        </pic:blipFill>
                        <pic:spPr bwMode="auto">
                          <a:xfrm>
                            <a:off x="0" y="0"/>
                            <a:ext cx="2988000" cy="352758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60" w:type="dxa"/>
            <w:shd w:val="clear" w:color="auto" w:fill="auto"/>
          </w:tcPr>
          <w:p w14:paraId="4391B892" w14:textId="4A6888F4" w:rsidR="00D068C9" w:rsidRPr="0032649B" w:rsidRDefault="00E13128" w:rsidP="00451945">
            <w:pPr>
              <w:pStyle w:val="BodyText"/>
              <w:spacing w:after="0"/>
              <w:cnfStyle w:val="000000100000" w:firstRow="0" w:lastRow="0" w:firstColumn="0" w:lastColumn="0" w:oddVBand="0" w:evenVBand="0" w:oddHBand="1" w:evenHBand="0" w:firstRowFirstColumn="0" w:firstRowLastColumn="0" w:lastRowFirstColumn="0" w:lastRowLastColumn="0"/>
            </w:pPr>
            <w:r w:rsidRPr="00E13128">
              <w:rPr>
                <w:noProof/>
              </w:rPr>
              <w:drawing>
                <wp:inline distT="0" distB="0" distL="0" distR="0" wp14:anchorId="71AE6EEF" wp14:editId="56412DEF">
                  <wp:extent cx="3061335" cy="3597910"/>
                  <wp:effectExtent l="0" t="0" r="0" b="0"/>
                  <wp:docPr id="1270175404" name="Picture 5" descr="Panel b shows that median sales in each quartile of the industry have increased over the period of investigation, though increased the most in the first quart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175404" name="Picture 5" descr="Panel b shows that median sales in each quartile of the industry have increased over the period of investigation, though increased the most in the first quartile."/>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061335" cy="3597910"/>
                          </a:xfrm>
                          <a:prstGeom prst="rect">
                            <a:avLst/>
                          </a:prstGeom>
                          <a:noFill/>
                          <a:ln>
                            <a:noFill/>
                          </a:ln>
                        </pic:spPr>
                      </pic:pic>
                    </a:graphicData>
                  </a:graphic>
                </wp:inline>
              </w:drawing>
            </w:r>
            <w:r w:rsidRPr="00E13128">
              <w:t xml:space="preserve"> </w:t>
            </w:r>
          </w:p>
        </w:tc>
      </w:tr>
    </w:tbl>
    <w:p w14:paraId="745DF35A" w14:textId="77777777" w:rsidR="00692657" w:rsidRDefault="00692657" w:rsidP="00011592">
      <w:pPr>
        <w:pStyle w:val="Note"/>
      </w:pPr>
      <w:r>
        <w:t>Quartiles divide the population into 4 groups, each with an equal number of members. In this case, the population has been divided into groups based on the number of FTE employees.</w:t>
      </w:r>
    </w:p>
    <w:p w14:paraId="534DAFBE" w14:textId="118EF92C" w:rsidR="00692657" w:rsidRDefault="00692657" w:rsidP="00011592">
      <w:pPr>
        <w:pStyle w:val="Source"/>
      </w:pPr>
      <w:bookmarkStart w:id="30" w:name="_Ref232716438"/>
      <w:r w:rsidRPr="00025521">
        <w:t xml:space="preserve">Source: </w:t>
      </w:r>
      <w:proofErr w:type="gramStart"/>
      <w:r w:rsidR="00180086" w:rsidRPr="0061515F">
        <w:t>PC analysis of ABS data,</w:t>
      </w:r>
      <w:proofErr w:type="gramEnd"/>
      <w:r w:rsidR="00180086" w:rsidRPr="0061515F">
        <w:t xml:space="preserve"> deflated using</w:t>
      </w:r>
      <w:r w:rsidR="00180086">
        <w:t xml:space="preserve"> </w:t>
      </w:r>
      <w:r>
        <w:t>Producer Price Index (PPI) for industry code 2221.</w:t>
      </w:r>
    </w:p>
    <w:p w14:paraId="534B6261" w14:textId="77777777" w:rsidR="00436CC0" w:rsidRDefault="00436CC0" w:rsidP="00436CC0">
      <w:pPr>
        <w:pStyle w:val="BodyText"/>
      </w:pPr>
      <w:r w:rsidRPr="008F07A4">
        <w:t>Median sales increased across all firm</w:t>
      </w:r>
      <w:r>
        <w:t>–</w:t>
      </w:r>
      <w:r w:rsidRPr="008F07A4">
        <w:t>size quartiles between 2020</w:t>
      </w:r>
      <w:r>
        <w:t>–</w:t>
      </w:r>
      <w:r w:rsidRPr="008F07A4">
        <w:t>21 and 2023</w:t>
      </w:r>
      <w:r>
        <w:t>–</w:t>
      </w:r>
      <w:r w:rsidRPr="008F07A4">
        <w:t>24 (figure</w:t>
      </w:r>
      <w:r>
        <w:t> </w:t>
      </w:r>
      <w:r w:rsidRPr="008F07A4">
        <w:t>4.1). Sales are expressed in constant 2024</w:t>
      </w:r>
      <w:r>
        <w:t>–</w:t>
      </w:r>
      <w:r w:rsidRPr="008F07A4">
        <w:t>25 prices, with the figure indexed to 2020</w:t>
      </w:r>
      <w:r>
        <w:t>–</w:t>
      </w:r>
      <w:r w:rsidRPr="008F07A4">
        <w:t xml:space="preserve">21 </w:t>
      </w:r>
      <w:r>
        <w:t>(equal to</w:t>
      </w:r>
      <w:r w:rsidRPr="008F07A4">
        <w:t xml:space="preserve"> 100</w:t>
      </w:r>
      <w:r>
        <w:t>)</w:t>
      </w:r>
      <w:r w:rsidRPr="008F07A4">
        <w:t xml:space="preserve"> to show changes over time.</w:t>
      </w:r>
      <w:r>
        <w:t xml:space="preserve"> </w:t>
      </w:r>
      <w:r w:rsidRPr="00837B42">
        <w:t>Firms are grouped by</w:t>
      </w:r>
      <w:r w:rsidRPr="00B6521D">
        <w:t xml:space="preserve"> </w:t>
      </w:r>
      <w:r>
        <w:t>full–time equivalent (</w:t>
      </w:r>
      <w:r w:rsidRPr="00B6521D">
        <w:t>FTE</w:t>
      </w:r>
      <w:r>
        <w:t>)</w:t>
      </w:r>
      <w:r w:rsidRPr="00B6521D">
        <w:t xml:space="preserve"> employment</w:t>
      </w:r>
      <w:r>
        <w:t xml:space="preserve"> </w:t>
      </w:r>
      <w:r w:rsidRPr="00B6521D">
        <w:t>in the first year</w:t>
      </w:r>
      <w:r>
        <w:t xml:space="preserve"> of the investigation (2020–21)</w:t>
      </w:r>
      <w:r w:rsidRPr="00B6521D">
        <w:t xml:space="preserve">, with Q4 comprising the largest firms. </w:t>
      </w:r>
      <w:r>
        <w:t>Unlike our industry–wide analysis,</w:t>
      </w:r>
      <w:r w:rsidRPr="00837B42">
        <w:t xml:space="preserve"> </w:t>
      </w:r>
      <w:r>
        <w:t xml:space="preserve">in the quartile analysis only </w:t>
      </w:r>
      <w:r w:rsidRPr="00837B42">
        <w:t xml:space="preserve">firms with positive FTE employment in every year are included, </w:t>
      </w:r>
      <w:r>
        <w:t>to ensure</w:t>
      </w:r>
      <w:r w:rsidRPr="00837B42">
        <w:t xml:space="preserve"> </w:t>
      </w:r>
      <w:r>
        <w:t>that the population of each quartile is consistent across time. As a result,</w:t>
      </w:r>
      <w:r w:rsidRPr="00837B42">
        <w:t xml:space="preserve"> th</w:t>
      </w:r>
      <w:r>
        <w:t>e quartile</w:t>
      </w:r>
      <w:r w:rsidRPr="00837B42">
        <w:t xml:space="preserve"> analysis uses a fixed population and excludes entrants and exits</w:t>
      </w:r>
      <w:r w:rsidRPr="00B6521D">
        <w:t>.</w:t>
      </w:r>
    </w:p>
    <w:p w14:paraId="0E0A0E17" w14:textId="77777777" w:rsidR="00436CC0" w:rsidRPr="002647D1" w:rsidRDefault="00436CC0" w:rsidP="00436CC0">
      <w:pPr>
        <w:pStyle w:val="BodyText"/>
      </w:pPr>
      <w:r w:rsidRPr="00A0232B">
        <w:lastRenderedPageBreak/>
        <w:t>The variation across quartiles does not indicate a consistent relationship between firm size and sales growth.</w:t>
      </w:r>
      <w:r>
        <w:t xml:space="preserve"> </w:t>
      </w:r>
      <w:r w:rsidRPr="00A0232B">
        <w:t xml:space="preserve">The median firm in Q1 recorded the strongest growth, with sales increasing by </w:t>
      </w:r>
      <w:r>
        <w:t>96</w:t>
      </w:r>
      <w:r w:rsidRPr="00A0232B">
        <w:t>% between 2020</w:t>
      </w:r>
      <w:r>
        <w:t>–</w:t>
      </w:r>
      <w:r w:rsidRPr="00A0232B">
        <w:t>21 and 2023</w:t>
      </w:r>
      <w:r>
        <w:t>–</w:t>
      </w:r>
      <w:r w:rsidRPr="00A0232B">
        <w:t xml:space="preserve">24. Median sales increased by </w:t>
      </w:r>
      <w:r>
        <w:t>35</w:t>
      </w:r>
      <w:r w:rsidRPr="00A0232B">
        <w:t>% in Q2, 1</w:t>
      </w:r>
      <w:r>
        <w:t>6</w:t>
      </w:r>
      <w:r w:rsidRPr="00A0232B">
        <w:t xml:space="preserve">% in Q3 and </w:t>
      </w:r>
      <w:r>
        <w:t>23</w:t>
      </w:r>
      <w:r w:rsidRPr="00A0232B">
        <w:t xml:space="preserve">% in Q4 over the same period. </w:t>
      </w:r>
      <w:r w:rsidRPr="002647D1">
        <w:t>The stronger growth in median sales for Q1 may partly reflect the construction of the quartiles. Firms are assigned based on their FTE employment in 2020</w:t>
      </w:r>
      <w:r>
        <w:t>–</w:t>
      </w:r>
      <w:r w:rsidRPr="002647D1">
        <w:t>21, so Q1 includes firms that were relatively small at the start of the period and may have had greater scope to grow. The fixed population also excludes later entrants and firms that subsequently exited.</w:t>
      </w:r>
    </w:p>
    <w:bookmarkEnd w:id="30"/>
    <w:p w14:paraId="665BE32A" w14:textId="77777777" w:rsidR="00692657" w:rsidRDefault="00692657" w:rsidP="00011592">
      <w:pPr>
        <w:pStyle w:val="Heading4"/>
      </w:pPr>
      <w:r>
        <w:t>Profits and losses</w:t>
      </w:r>
    </w:p>
    <w:p w14:paraId="6E26A59C" w14:textId="2A0A8CD6" w:rsidR="00692657" w:rsidRDefault="00692657" w:rsidP="00011592">
      <w:r w:rsidRPr="000C2F4B">
        <w:t xml:space="preserve">The PC </w:t>
      </w:r>
      <w:r>
        <w:t>assessed the pre–tax profit of Australian FSS businesses using information submitted through business income tax returns. Profit</w:t>
      </w:r>
      <w:r w:rsidRPr="00DF61B7">
        <w:t xml:space="preserve"> increased over the investigation period by an average of </w:t>
      </w:r>
      <w:r>
        <w:t>14</w:t>
      </w:r>
      <w:r w:rsidRPr="00DF61B7">
        <w:t>.</w:t>
      </w:r>
      <w:r>
        <w:t>3</w:t>
      </w:r>
      <w:r w:rsidRPr="00DF61B7">
        <w:t>%</w:t>
      </w:r>
      <w:r>
        <w:t xml:space="preserve"> per year.</w:t>
      </w:r>
      <w:r>
        <w:rPr>
          <w:rStyle w:val="FootnoteReference"/>
        </w:rPr>
        <w:footnoteReference w:id="18"/>
      </w:r>
      <w:r>
        <w:t xml:space="preserve"> </w:t>
      </w:r>
      <w:r w:rsidRPr="004C5808">
        <w:t xml:space="preserve">Profit followed a similar trend to sales, increasing </w:t>
      </w:r>
      <w:r>
        <w:t xml:space="preserve">70.4% </w:t>
      </w:r>
      <w:r w:rsidRPr="004C5808">
        <w:t>over the period of investigation despite a small decline in 2021–22</w:t>
      </w:r>
      <w:r>
        <w:t xml:space="preserve"> (figure</w:t>
      </w:r>
      <w:r w:rsidR="00541146">
        <w:t> </w:t>
      </w:r>
      <w:r>
        <w:t>4.2)</w:t>
      </w:r>
      <w:r w:rsidRPr="004C5808">
        <w:t xml:space="preserve">. Profit </w:t>
      </w:r>
      <w:r>
        <w:t>declined 5.5%</w:t>
      </w:r>
      <w:r w:rsidRPr="004C5808">
        <w:t xml:space="preserve"> </w:t>
      </w:r>
      <w:r>
        <w:t xml:space="preserve">to </w:t>
      </w:r>
      <w:r w:rsidRPr="004C5808">
        <w:t>$</w:t>
      </w:r>
      <w:r>
        <w:t>265 </w:t>
      </w:r>
      <w:r w:rsidRPr="004C5808">
        <w:t xml:space="preserve">million in 2021–22 before </w:t>
      </w:r>
      <w:r>
        <w:t xml:space="preserve">growing in later years and reaching </w:t>
      </w:r>
      <w:r w:rsidRPr="004C5808">
        <w:t>$</w:t>
      </w:r>
      <w:r>
        <w:t>469</w:t>
      </w:r>
      <w:r w:rsidRPr="004C5808">
        <w:t xml:space="preserve"> million in 2023–24</w:t>
      </w:r>
      <w:r>
        <w:t>.</w:t>
      </w:r>
      <w:r w:rsidRPr="004C5808">
        <w:t xml:space="preserve"> The PC estimates that </w:t>
      </w:r>
      <w:r>
        <w:t xml:space="preserve">industry </w:t>
      </w:r>
      <w:r w:rsidRPr="004C5808">
        <w:t xml:space="preserve">profit </w:t>
      </w:r>
      <w:r>
        <w:t xml:space="preserve">increased a further 1.8% </w:t>
      </w:r>
      <w:r w:rsidRPr="004C5808">
        <w:t>to $</w:t>
      </w:r>
      <w:r>
        <w:t>478 </w:t>
      </w:r>
      <w:r w:rsidRPr="004C5808">
        <w:t>million</w:t>
      </w:r>
      <w:r>
        <w:t xml:space="preserve"> </w:t>
      </w:r>
      <w:r w:rsidRPr="004C5808">
        <w:t>in 2024–25.</w:t>
      </w:r>
    </w:p>
    <w:p w14:paraId="5BAC4C54" w14:textId="2AE6F3A4" w:rsidR="00692657" w:rsidRDefault="00692657" w:rsidP="00011592">
      <w:pPr>
        <w:pStyle w:val="BodyText"/>
      </w:pPr>
      <w:r>
        <w:t xml:space="preserve">In the pre–investigation period and early years of the investigation period, the Australian Government introduced multiple accelerated depreciation incentive schemes which, if utilised, would artificially reduce reported profit. </w:t>
      </w:r>
      <w:r w:rsidRPr="00701E1F">
        <w:t>Rather than adjusting reported profit, the PC also examine</w:t>
      </w:r>
      <w:r>
        <w:t xml:space="preserve">d </w:t>
      </w:r>
      <w:r w:rsidRPr="000C2F4B">
        <w:t>EBITDA</w:t>
      </w:r>
      <w:r>
        <w:t xml:space="preserve"> (</w:t>
      </w:r>
      <w:r w:rsidRPr="000C2F4B">
        <w:t>earnings before interest, tax, depreciation and amortisation</w:t>
      </w:r>
      <w:r>
        <w:t>)</w:t>
      </w:r>
      <w:r w:rsidRPr="000C2F4B">
        <w:t xml:space="preserve"> </w:t>
      </w:r>
      <w:r w:rsidRPr="00FF5804">
        <w:t xml:space="preserve">which </w:t>
      </w:r>
      <w:r w:rsidR="0017265C">
        <w:t xml:space="preserve">is </w:t>
      </w:r>
      <w:r w:rsidRPr="00FF5804">
        <w:t>robust to these incentives</w:t>
      </w:r>
      <w:r>
        <w:t>.</w:t>
      </w:r>
      <w:r>
        <w:rPr>
          <w:rStyle w:val="FootnoteReference"/>
        </w:rPr>
        <w:footnoteReference w:id="19"/>
      </w:r>
      <w:r>
        <w:t xml:space="preserve"> EBITDA</w:t>
      </w:r>
      <w:r w:rsidRPr="00DF61B7">
        <w:t xml:space="preserve"> increased over the investigation period by an average</w:t>
      </w:r>
      <w:r>
        <w:t xml:space="preserve"> 11.6</w:t>
      </w:r>
      <w:r w:rsidRPr="00DF61B7">
        <w:t>% per year</w:t>
      </w:r>
      <w:r>
        <w:t>.</w:t>
      </w:r>
      <w:r>
        <w:rPr>
          <w:rStyle w:val="FootnoteReference"/>
        </w:rPr>
        <w:footnoteReference w:id="20"/>
      </w:r>
      <w:r>
        <w:t xml:space="preserve"> </w:t>
      </w:r>
      <w:r w:rsidRPr="004C5808">
        <w:t>EBITDA shows a similar overall pattern</w:t>
      </w:r>
      <w:r>
        <w:t xml:space="preserve"> to profit</w:t>
      </w:r>
      <w:r w:rsidRPr="004C5808">
        <w:t>, although the decline in 2021</w:t>
      </w:r>
      <w:r>
        <w:t>–</w:t>
      </w:r>
      <w:r w:rsidRPr="004C5808">
        <w:t>22 is sharper.</w:t>
      </w:r>
    </w:p>
    <w:p w14:paraId="7BF919B0" w14:textId="5BA1EA65" w:rsidR="00692657" w:rsidRPr="004D03F5" w:rsidRDefault="00692657" w:rsidP="00011592">
      <w:pPr>
        <w:pStyle w:val="BodyText"/>
        <w:rPr>
          <w:spacing w:val="-4"/>
        </w:rPr>
      </w:pPr>
      <w:r w:rsidRPr="004D03F5">
        <w:rPr>
          <w:spacing w:val="-4"/>
        </w:rPr>
        <w:t>Median EBITDA increased across all firm–size quartiles between 2020–21 and 2023–24 (figure</w:t>
      </w:r>
      <w:r w:rsidR="00541146" w:rsidRPr="004D03F5">
        <w:rPr>
          <w:spacing w:val="-4"/>
        </w:rPr>
        <w:t> </w:t>
      </w:r>
      <w:r w:rsidRPr="004D03F5">
        <w:rPr>
          <w:spacing w:val="-4"/>
        </w:rPr>
        <w:t xml:space="preserve">4.2), although </w:t>
      </w:r>
      <w:r w:rsidRPr="004D03F5">
        <w:t>the path of growth varied. All quartiles recorded a decline in 2021–22, followed by a broad recovery in 2022–23</w:t>
      </w:r>
      <w:r w:rsidRPr="004D03F5">
        <w:rPr>
          <w:spacing w:val="-4"/>
        </w:rPr>
        <w:t>. Q4 experienced the largest initial decline and the strongest subsequent rebound, before EBITDA declined slightly in 2023–24. By contrast, Q1 recorded more sustained growth over the final two years and had the largest overall increase. Q2 and Q3 also recovered steadily after their 2021–22 declines.</w:t>
      </w:r>
      <w:r w:rsidRPr="004D03F5">
        <w:rPr>
          <w:rStyle w:val="FootnoteReference"/>
          <w:spacing w:val="-4"/>
        </w:rPr>
        <w:footnoteReference w:id="21"/>
      </w:r>
    </w:p>
    <w:p w14:paraId="1E5B79B6" w14:textId="77777777" w:rsidR="00692657" w:rsidRDefault="00692657" w:rsidP="00011592">
      <w:pPr>
        <w:pStyle w:val="BodyText"/>
      </w:pPr>
      <w:r w:rsidRPr="000F6406">
        <w:t>By 2023</w:t>
      </w:r>
      <w:r>
        <w:t>–</w:t>
      </w:r>
      <w:r w:rsidRPr="000F6406">
        <w:t>24, median EBITDA was around 1</w:t>
      </w:r>
      <w:r>
        <w:t>37</w:t>
      </w:r>
      <w:r w:rsidRPr="000F6406">
        <w:t>% above its 2020</w:t>
      </w:r>
      <w:r>
        <w:t>–</w:t>
      </w:r>
      <w:r w:rsidRPr="000F6406">
        <w:t>21 level in Q1, 5</w:t>
      </w:r>
      <w:r>
        <w:t>3</w:t>
      </w:r>
      <w:r w:rsidRPr="000F6406">
        <w:t xml:space="preserve">% higher in Q2, </w:t>
      </w:r>
      <w:r>
        <w:t>25</w:t>
      </w:r>
      <w:r w:rsidRPr="000F6406">
        <w:t>% higher in Q3 and 5</w:t>
      </w:r>
      <w:r>
        <w:t>5</w:t>
      </w:r>
      <w:r w:rsidRPr="000F6406">
        <w:t>% higher in Q4. Overall, the results show a common pattern of weaker profitability in 2021</w:t>
      </w:r>
      <w:r>
        <w:t>–</w:t>
      </w:r>
      <w:r w:rsidRPr="000F6406">
        <w:t>22 followed by recovery, but no consistent relationship between firm size and the extent of EBITDA growth.</w:t>
      </w:r>
    </w:p>
    <w:p w14:paraId="36590FDD" w14:textId="0F2DD4EE" w:rsidR="00692657" w:rsidRDefault="00692657" w:rsidP="00011592">
      <w:pPr>
        <w:pStyle w:val="FigureTableHeading"/>
      </w:pPr>
      <w:bookmarkStart w:id="31" w:name="_Ref236335762"/>
      <w:r>
        <w:lastRenderedPageBreak/>
        <w:t xml:space="preserve">Figure </w:t>
      </w:r>
      <w:r w:rsidR="00C56C9B">
        <w:rPr>
          <w:noProof/>
        </w:rPr>
        <w:t>4</w:t>
      </w:r>
      <w:r>
        <w:t>.2</w:t>
      </w:r>
      <w:bookmarkEnd w:id="31"/>
      <w:r>
        <w:rPr>
          <w:noProof/>
        </w:rPr>
        <w:t xml:space="preserve"> </w:t>
      </w:r>
      <w:r w:rsidRPr="00311AD5">
        <w:t>–</w:t>
      </w:r>
      <w:r>
        <w:t xml:space="preserve"> Industry profits and EBITDA have grown strongly in recent years</w:t>
      </w:r>
    </w:p>
    <w:tbl>
      <w:tblPr>
        <w:tblStyle w:val="ProductivityCommissionTable1"/>
        <w:tblW w:w="0" w:type="auto"/>
        <w:tblBorders>
          <w:top w:val="none" w:sz="0" w:space="0" w:color="auto"/>
          <w:bottom w:val="none" w:sz="0" w:space="0" w:color="auto"/>
          <w:insideH w:val="none" w:sz="0" w:space="0" w:color="auto"/>
        </w:tblBorders>
        <w:tblLook w:val="04A0" w:firstRow="1" w:lastRow="0" w:firstColumn="1" w:lastColumn="0" w:noHBand="0" w:noVBand="1"/>
      </w:tblPr>
      <w:tblGrid>
        <w:gridCol w:w="4819"/>
        <w:gridCol w:w="4819"/>
      </w:tblGrid>
      <w:tr w:rsidR="00692657" w14:paraId="5FF3BE98" w14:textId="77777777" w:rsidTr="000115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Pr>
          <w:p w14:paraId="11C25579" w14:textId="77777777" w:rsidR="00692657" w:rsidRPr="0045529C" w:rsidRDefault="00692657" w:rsidP="00011592">
            <w:pPr>
              <w:pStyle w:val="FigureTableSubheading"/>
              <w:rPr>
                <w:b w:val="0"/>
              </w:rPr>
            </w:pPr>
            <w:r>
              <w:rPr>
                <w:b w:val="0"/>
              </w:rPr>
              <w:t xml:space="preserve">a. </w:t>
            </w:r>
            <w:r w:rsidRPr="00F01F71">
              <w:t>Australian FSS industry profits</w:t>
            </w:r>
            <w:r>
              <w:t xml:space="preserve"> and EBITDA</w:t>
            </w:r>
            <w:r w:rsidRPr="00F01F71">
              <w:t xml:space="preserve"> ($m, 2024</w:t>
            </w:r>
            <w:r>
              <w:t>–</w:t>
            </w:r>
            <w:r w:rsidRPr="00F01F71">
              <w:t>25 dollars)</w:t>
            </w:r>
          </w:p>
        </w:tc>
        <w:tc>
          <w:tcPr>
            <w:tcW w:w="4819" w:type="dxa"/>
          </w:tcPr>
          <w:p w14:paraId="6755C1AC" w14:textId="77777777" w:rsidR="00692657" w:rsidRDefault="00692657" w:rsidP="00011592">
            <w:pPr>
              <w:pStyle w:val="FigureTableSubheading"/>
              <w:cnfStyle w:val="100000000000" w:firstRow="1" w:lastRow="0" w:firstColumn="0" w:lastColumn="0" w:oddVBand="0" w:evenVBand="0" w:oddHBand="0" w:evenHBand="0" w:firstRowFirstColumn="0" w:firstRowLastColumn="0" w:lastRowFirstColumn="0" w:lastRowLastColumn="0"/>
            </w:pPr>
            <w:r>
              <w:t>b. Domestic</w:t>
            </w:r>
            <w:r w:rsidRPr="00F01F71">
              <w:t xml:space="preserve"> industry </w:t>
            </w:r>
            <w:r>
              <w:t>median EBITDA</w:t>
            </w:r>
            <w:r w:rsidRPr="00F01F71">
              <w:t xml:space="preserve"> by quartile (</w:t>
            </w:r>
            <w:r w:rsidRPr="00F01F71">
              <w:rPr>
                <w:b w:val="0"/>
                <w:bCs/>
              </w:rPr>
              <w:t>relative to 2020</w:t>
            </w:r>
            <w:r>
              <w:rPr>
                <w:b w:val="0"/>
                <w:bCs/>
              </w:rPr>
              <w:t>–</w:t>
            </w:r>
            <w:r w:rsidRPr="00F01F71">
              <w:rPr>
                <w:b w:val="0"/>
                <w:bCs/>
              </w:rPr>
              <w:t>21, 2024</w:t>
            </w:r>
            <w:r>
              <w:rPr>
                <w:b w:val="0"/>
                <w:bCs/>
              </w:rPr>
              <w:t>–</w:t>
            </w:r>
            <w:r w:rsidRPr="00F01F71">
              <w:rPr>
                <w:b w:val="0"/>
                <w:bCs/>
              </w:rPr>
              <w:t>25 dollars)</w:t>
            </w:r>
          </w:p>
        </w:tc>
      </w:tr>
      <w:tr w:rsidR="009A436C" w14:paraId="07220822" w14:textId="77777777" w:rsidTr="009A43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shd w:val="clear" w:color="auto" w:fill="auto"/>
          </w:tcPr>
          <w:p w14:paraId="59AE4E97" w14:textId="54E8D209" w:rsidR="009A436C" w:rsidRDefault="00C366DE" w:rsidP="002A3B39">
            <w:pPr>
              <w:pStyle w:val="BodyText"/>
              <w:spacing w:before="0" w:after="0"/>
            </w:pPr>
            <w:r w:rsidRPr="00C366DE">
              <w:rPr>
                <w:noProof/>
              </w:rPr>
              <w:drawing>
                <wp:inline distT="0" distB="0" distL="0" distR="0" wp14:anchorId="5FFE66A3" wp14:editId="0BC0E1A7">
                  <wp:extent cx="3122930" cy="3634105"/>
                  <wp:effectExtent l="0" t="0" r="0" b="0"/>
                  <wp:docPr id="1655112665" name="Picture 27" descr="Figure 4.2 - The figure has two panels, a and b. Panel a shows EBITDA and profit increasing over the period of investigation, other than a decline in 2021-22. Panel b shows media EBITDA by quartile, with median EBITDA increasing in each quartile over the period of investigation. Median EBITDA in the first quartile increased more than the other quartil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112665" name="Picture 27" descr="Figure 4.2 - The figure has two panels, a and b. Panel a shows EBITDA and profit increasing over the period of investigation, other than a decline in 2021-22. Panel b shows media EBITDA by quartile, with median EBITDA increasing in each quartile over the period of investigation. Median EBITDA in the first quartile increased more than the other quartiles.&#1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122930" cy="3634105"/>
                          </a:xfrm>
                          <a:prstGeom prst="rect">
                            <a:avLst/>
                          </a:prstGeom>
                          <a:noFill/>
                          <a:ln>
                            <a:noFill/>
                          </a:ln>
                        </pic:spPr>
                      </pic:pic>
                    </a:graphicData>
                  </a:graphic>
                </wp:inline>
              </w:drawing>
            </w:r>
          </w:p>
        </w:tc>
        <w:tc>
          <w:tcPr>
            <w:tcW w:w="4819" w:type="dxa"/>
            <w:shd w:val="clear" w:color="auto" w:fill="auto"/>
          </w:tcPr>
          <w:p w14:paraId="0F09D44B" w14:textId="4FC9210B" w:rsidR="009A436C" w:rsidRDefault="00954B31" w:rsidP="002A3B39">
            <w:pPr>
              <w:pStyle w:val="BodyText"/>
              <w:spacing w:before="0" w:after="0"/>
              <w:cnfStyle w:val="000000100000" w:firstRow="0" w:lastRow="0" w:firstColumn="0" w:lastColumn="0" w:oddVBand="0" w:evenVBand="0" w:oddHBand="1" w:evenHBand="0" w:firstRowFirstColumn="0" w:firstRowLastColumn="0" w:lastRowFirstColumn="0" w:lastRowLastColumn="0"/>
            </w:pPr>
            <w:r w:rsidRPr="00954B31">
              <w:rPr>
                <w:noProof/>
              </w:rPr>
              <w:drawing>
                <wp:inline distT="0" distB="0" distL="0" distR="0" wp14:anchorId="22BD4309" wp14:editId="2F152677">
                  <wp:extent cx="3122930" cy="3611245"/>
                  <wp:effectExtent l="0" t="0" r="0" b="0"/>
                  <wp:docPr id="1077516592" name="Picture 29" descr="Panel b shows media EBITDA by quartile, with median EBITDA increasing in each quartile over the period of investigation. Median EBITDA in the first quartile increased more than the other quart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516592" name="Picture 29" descr="Panel b shows media EBITDA by quartile, with median EBITDA increasing in each quartile over the period of investigation. Median EBITDA in the first quartile increased more than the other quartiles."/>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122930" cy="3611245"/>
                          </a:xfrm>
                          <a:prstGeom prst="rect">
                            <a:avLst/>
                          </a:prstGeom>
                          <a:noFill/>
                          <a:ln>
                            <a:noFill/>
                          </a:ln>
                        </pic:spPr>
                      </pic:pic>
                    </a:graphicData>
                  </a:graphic>
                </wp:inline>
              </w:drawing>
            </w:r>
          </w:p>
        </w:tc>
      </w:tr>
    </w:tbl>
    <w:p w14:paraId="5194822F" w14:textId="447B1EAA" w:rsidR="00692657" w:rsidRDefault="00692657" w:rsidP="00436CC0">
      <w:pPr>
        <w:pStyle w:val="Source"/>
        <w:spacing w:after="360"/>
      </w:pPr>
      <w:r>
        <w:t xml:space="preserve">Source: </w:t>
      </w:r>
      <w:proofErr w:type="gramStart"/>
      <w:r w:rsidR="002D4F80" w:rsidRPr="009D35DC">
        <w:t>PC analysis of ABS data</w:t>
      </w:r>
      <w:r w:rsidR="002D4F80">
        <w:t>,</w:t>
      </w:r>
      <w:proofErr w:type="gramEnd"/>
      <w:r w:rsidR="002D4F80">
        <w:t xml:space="preserve"> deflated using </w:t>
      </w:r>
      <w:r>
        <w:t xml:space="preserve">PPI for industry code 2221. </w:t>
      </w:r>
    </w:p>
    <w:p w14:paraId="495319AB" w14:textId="77777777" w:rsidR="00692657" w:rsidRDefault="00692657" w:rsidP="00011592">
      <w:pPr>
        <w:pStyle w:val="Heading4"/>
      </w:pPr>
      <w:r>
        <w:t>Employment</w:t>
      </w:r>
    </w:p>
    <w:p w14:paraId="140C91BC" w14:textId="1AD35E27" w:rsidR="00692657" w:rsidRDefault="00692657" w:rsidP="00011592">
      <w:pPr>
        <w:pStyle w:val="BodyText"/>
      </w:pPr>
      <w:r w:rsidRPr="00136179">
        <w:t xml:space="preserve">The PC </w:t>
      </w:r>
      <w:r>
        <w:t>assessed employment for the industry using two measures:</w:t>
      </w:r>
      <w:r w:rsidRPr="00136179">
        <w:t xml:space="preserve"> FTE</w:t>
      </w:r>
      <w:r>
        <w:t xml:space="preserve"> </w:t>
      </w:r>
      <w:r w:rsidRPr="00136179">
        <w:t>and headcount</w:t>
      </w:r>
      <w:r>
        <w:t>. These are sourced from PAYG data. One fabricator highlights that the two measures provide differing insights (name withheld, sub.</w:t>
      </w:r>
      <w:r w:rsidR="00541146">
        <w:t> </w:t>
      </w:r>
      <w:r>
        <w:t>44, p.</w:t>
      </w:r>
      <w:r w:rsidR="00541146">
        <w:t> </w:t>
      </w:r>
      <w:r>
        <w:t>3). FTE reflects the number of hours worked, while headcount measures the number of people employed. A decline in FTEs and stable headcount means that no employees have been laid off but hours worked per worker has been reduced.</w:t>
      </w:r>
    </w:p>
    <w:p w14:paraId="413FA041" w14:textId="1423A98B" w:rsidR="00692657" w:rsidRPr="006226E0" w:rsidRDefault="00692657" w:rsidP="00011592">
      <w:pPr>
        <w:rPr>
          <w:spacing w:val="-2"/>
        </w:rPr>
      </w:pPr>
      <w:r w:rsidRPr="006226E0">
        <w:rPr>
          <w:spacing w:val="-2"/>
        </w:rPr>
        <w:t xml:space="preserve">Overall, employment increased over the investigation period and although both measures declined from earlier peaks towards the end of the </w:t>
      </w:r>
      <w:proofErr w:type="gramStart"/>
      <w:r w:rsidRPr="006226E0">
        <w:rPr>
          <w:spacing w:val="-2"/>
        </w:rPr>
        <w:t>period</w:t>
      </w:r>
      <w:proofErr w:type="gramEnd"/>
      <w:r w:rsidRPr="006226E0">
        <w:rPr>
          <w:spacing w:val="-2"/>
        </w:rPr>
        <w:t xml:space="preserve"> they remained above their starting levels (figure</w:t>
      </w:r>
      <w:r w:rsidR="00541146" w:rsidRPr="006226E0">
        <w:rPr>
          <w:spacing w:val="-2"/>
        </w:rPr>
        <w:t> </w:t>
      </w:r>
      <w:r w:rsidRPr="006226E0">
        <w:rPr>
          <w:spacing w:val="-2"/>
        </w:rPr>
        <w:t>4.3). Industry</w:t>
      </w:r>
      <w:r w:rsidRPr="006226E0" w:rsidDel="0090698F">
        <w:rPr>
          <w:spacing w:val="-2"/>
        </w:rPr>
        <w:t xml:space="preserve"> </w:t>
      </w:r>
      <w:r w:rsidRPr="006226E0">
        <w:rPr>
          <w:spacing w:val="-2"/>
        </w:rPr>
        <w:t>FTEs and headcount increased over the investigation period by an average of 3.7% and 2.8% per year, respectively. Between 2020–21 and 2024–25, FTE increased by 15.8% and headcount by 11.6%. Both measures increased strongly over the first three years of the investigation period. In 2023–24, FTE increased a further 1.2% to 17,858, while headcount declined 1.1% to 22,289. In 2024–25, both measures declined, with FTE down 5.1% to 16,941 and headcount down 5.7% to 21,020. The divergence in 2023–24 indicates that average FTE employment per employee increased, before both the number of employees and FTE employment fell in 2024–25.</w:t>
      </w:r>
    </w:p>
    <w:p w14:paraId="40F3B7FA" w14:textId="198D45F0" w:rsidR="00692657" w:rsidRDefault="00692657" w:rsidP="00011592">
      <w:pPr>
        <w:pStyle w:val="FigureTableHeading"/>
      </w:pPr>
      <w:bookmarkStart w:id="32" w:name="_Ref236339741"/>
      <w:bookmarkStart w:id="33" w:name="_Ref233105592"/>
      <w:r>
        <w:lastRenderedPageBreak/>
        <w:t xml:space="preserve">Figure </w:t>
      </w:r>
      <w:r w:rsidR="00C56C9B">
        <w:rPr>
          <w:noProof/>
        </w:rPr>
        <w:t>4</w:t>
      </w:r>
      <w:r>
        <w:t>.</w:t>
      </w:r>
      <w:bookmarkEnd w:id="32"/>
      <w:r>
        <w:t xml:space="preserve">3 </w:t>
      </w:r>
      <w:r w:rsidRPr="00311AD5">
        <w:t>–</w:t>
      </w:r>
      <w:r>
        <w:t xml:space="preserve"> Employment has started to decline recently</w:t>
      </w:r>
    </w:p>
    <w:tbl>
      <w:tblPr>
        <w:tblStyle w:val="ProductivityCommissionTable1"/>
        <w:tblW w:w="0" w:type="auto"/>
        <w:tblBorders>
          <w:top w:val="none" w:sz="0" w:space="0" w:color="auto"/>
          <w:bottom w:val="none" w:sz="0" w:space="0" w:color="auto"/>
          <w:insideH w:val="none" w:sz="0" w:space="0" w:color="auto"/>
        </w:tblBorders>
        <w:tblLook w:val="04A0" w:firstRow="1" w:lastRow="0" w:firstColumn="1" w:lastColumn="0" w:noHBand="0" w:noVBand="1"/>
      </w:tblPr>
      <w:tblGrid>
        <w:gridCol w:w="4829"/>
        <w:gridCol w:w="4809"/>
      </w:tblGrid>
      <w:tr w:rsidR="00692657" w:rsidRPr="00DB1E26" w14:paraId="3DF4A249" w14:textId="77777777" w:rsidTr="000115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Pr>
          <w:p w14:paraId="60E5CDE8" w14:textId="180ED518" w:rsidR="00692657" w:rsidRPr="00DB1E26" w:rsidRDefault="00692657" w:rsidP="00DB1E26">
            <w:pPr>
              <w:pStyle w:val="FigureTableSubheading"/>
            </w:pPr>
            <w:r w:rsidRPr="00DB1E26">
              <w:t>a. Australian FSS industry employment (FTE</w:t>
            </w:r>
            <w:r w:rsidR="000B653F">
              <w:t> </w:t>
            </w:r>
            <w:r w:rsidRPr="00DB1E26">
              <w:t>and headcount)</w:t>
            </w:r>
          </w:p>
        </w:tc>
        <w:tc>
          <w:tcPr>
            <w:tcW w:w="4819" w:type="dxa"/>
          </w:tcPr>
          <w:p w14:paraId="6B19202F" w14:textId="77777777" w:rsidR="00692657" w:rsidRPr="00DB1E26" w:rsidRDefault="00692657" w:rsidP="00DB1E26">
            <w:pPr>
              <w:pStyle w:val="FigureTableSubheading"/>
              <w:cnfStyle w:val="100000000000" w:firstRow="1" w:lastRow="0" w:firstColumn="0" w:lastColumn="0" w:oddVBand="0" w:evenVBand="0" w:oddHBand="0" w:evenHBand="0" w:firstRowFirstColumn="0" w:firstRowLastColumn="0" w:lastRowFirstColumn="0" w:lastRowLastColumn="0"/>
            </w:pPr>
            <w:r w:rsidRPr="00DB1E26">
              <w:t>b. FTE employment sum by quartile of domestic structural steel fabricators</w:t>
            </w:r>
          </w:p>
        </w:tc>
      </w:tr>
      <w:tr w:rsidR="005C1582" w:rsidRPr="00836BBF" w14:paraId="4AC2E273" w14:textId="77777777" w:rsidTr="005C15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shd w:val="clear" w:color="auto" w:fill="auto"/>
          </w:tcPr>
          <w:p w14:paraId="0A061EA5" w14:textId="48E5B168" w:rsidR="005C1582" w:rsidRPr="00836BBF" w:rsidRDefault="00836BBF" w:rsidP="00EE2A63">
            <w:pPr>
              <w:pStyle w:val="BodyText"/>
              <w:spacing w:before="0" w:after="0"/>
            </w:pPr>
            <w:r w:rsidRPr="00836BBF">
              <w:rPr>
                <w:noProof/>
              </w:rPr>
              <w:drawing>
                <wp:inline distT="0" distB="0" distL="0" distR="0" wp14:anchorId="51E876AD" wp14:editId="0B9F603D">
                  <wp:extent cx="2998005" cy="3578849"/>
                  <wp:effectExtent l="0" t="0" r="0" b="0"/>
                  <wp:docPr id="1250000365" name="Picture 15" descr="Figure 4.3 - The figure has two panels, a and b. Panel a shows total industry headcount and FTEs, with both increasing in the first years of the period of investigation. FTE increased in 2023-24, but headcount declined. Both measures declined in 2024-25.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000365" name="Picture 15" descr="Figure 4.3 - The figure has two panels, a and b. Panel a shows total industry headcount and FTEs, with both increasing in the first years of the period of investigation. FTE increased in 2023-24, but headcount declined. Both measures declined in 2024-25. &#10;"/>
                          <pic:cNvPicPr>
                            <a:picLocks noChangeAspect="1" noChangeArrowheads="1"/>
                          </pic:cNvPicPr>
                        </pic:nvPicPr>
                        <pic:blipFill rotWithShape="1">
                          <a:blip r:embed="rId69">
                            <a:extLst>
                              <a:ext uri="{28A0092B-C50C-407E-A947-70E740481C1C}">
                                <a14:useLocalDpi xmlns:a14="http://schemas.microsoft.com/office/drawing/2010/main" val="0"/>
                              </a:ext>
                            </a:extLst>
                          </a:blip>
                          <a:srcRect t="3348" r="3971"/>
                          <a:stretch>
                            <a:fillRect/>
                          </a:stretch>
                        </pic:blipFill>
                        <pic:spPr bwMode="auto">
                          <a:xfrm>
                            <a:off x="0" y="0"/>
                            <a:ext cx="2998922" cy="357994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9" w:type="dxa"/>
            <w:shd w:val="clear" w:color="auto" w:fill="auto"/>
          </w:tcPr>
          <w:p w14:paraId="27D252E5" w14:textId="42C82C00" w:rsidR="005C1582" w:rsidRPr="00836BBF" w:rsidRDefault="00DB1E26" w:rsidP="00EE2A63">
            <w:pPr>
              <w:pStyle w:val="BodyText"/>
              <w:spacing w:before="0" w:after="0"/>
              <w:cnfStyle w:val="000000100000" w:firstRow="0" w:lastRow="0" w:firstColumn="0" w:lastColumn="0" w:oddVBand="0" w:evenVBand="0" w:oddHBand="1" w:evenHBand="0" w:firstRowFirstColumn="0" w:firstRowLastColumn="0" w:lastRowFirstColumn="0" w:lastRowLastColumn="0"/>
            </w:pPr>
            <w:r w:rsidRPr="00DB1E26">
              <w:rPr>
                <w:noProof/>
              </w:rPr>
              <w:drawing>
                <wp:inline distT="0" distB="0" distL="0" distR="0" wp14:anchorId="0F88EB4C" wp14:editId="4B7AC3EC">
                  <wp:extent cx="2913681" cy="3541395"/>
                  <wp:effectExtent l="0" t="0" r="0" b="0"/>
                  <wp:docPr id="685918506" name="Picture 16" descr="Panel b shows an index of the sum of FTEs in each quartile. It increased in the first, second and third quartiles over the period of investigation (though declined for the third quartile in 2024-25). Total FTEs in the fourth quartile was slightly lower in 2024-25 than in 20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918506" name="Picture 16" descr="Panel b shows an index of the sum of FTEs in each quartile. It increased in the first, second and third quartiles over the period of investigation (though declined for the third quartile in 2024-25). Total FTEs in the fourth quartile was slightly lower in 2024-25 than in 2020-21."/>
                          <pic:cNvPicPr>
                            <a:picLocks noChangeAspect="1" noChangeArrowheads="1"/>
                          </pic:cNvPicPr>
                        </pic:nvPicPr>
                        <pic:blipFill rotWithShape="1">
                          <a:blip r:embed="rId70">
                            <a:extLst>
                              <a:ext uri="{28A0092B-C50C-407E-A947-70E740481C1C}">
                                <a14:useLocalDpi xmlns:a14="http://schemas.microsoft.com/office/drawing/2010/main" val="0"/>
                              </a:ext>
                            </a:extLst>
                          </a:blip>
                          <a:srcRect r="8065"/>
                          <a:stretch>
                            <a:fillRect/>
                          </a:stretch>
                        </pic:blipFill>
                        <pic:spPr bwMode="auto">
                          <a:xfrm>
                            <a:off x="0" y="0"/>
                            <a:ext cx="2913681" cy="354139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95CAF9D" w14:textId="329754D5" w:rsidR="00692657" w:rsidRDefault="00692657" w:rsidP="006226E0">
      <w:pPr>
        <w:pStyle w:val="Source"/>
        <w:spacing w:after="360"/>
      </w:pPr>
      <w:r>
        <w:t xml:space="preserve">Source: </w:t>
      </w:r>
      <w:bookmarkEnd w:id="33"/>
      <w:r w:rsidR="00886894" w:rsidRPr="00927960">
        <w:t>PC analysis of ABS data</w:t>
      </w:r>
      <w:r w:rsidR="00886894">
        <w:t>.</w:t>
      </w:r>
    </w:p>
    <w:p w14:paraId="13C9DDB3" w14:textId="0B8448E7" w:rsidR="00692657" w:rsidRDefault="00692657" w:rsidP="00011592">
      <w:pPr>
        <w:pStyle w:val="BodyText"/>
      </w:pPr>
      <w:r w:rsidRPr="004601CC">
        <w:t>When disaggregated by firm size, employment outcomes varied substantially across quartiles (figure</w:t>
      </w:r>
      <w:r w:rsidR="00541146">
        <w:t> </w:t>
      </w:r>
      <w:r w:rsidRPr="004601CC">
        <w:t>4.3). Between 2023</w:t>
      </w:r>
      <w:r>
        <w:t>–</w:t>
      </w:r>
      <w:r w:rsidRPr="004601CC">
        <w:t>24 and 2024</w:t>
      </w:r>
      <w:r>
        <w:t>–</w:t>
      </w:r>
      <w:r w:rsidRPr="004601CC">
        <w:t>25, FTE increased by 7.</w:t>
      </w:r>
      <w:r>
        <w:t>0</w:t>
      </w:r>
      <w:r w:rsidRPr="004601CC">
        <w:t xml:space="preserve">% in Q1 and </w:t>
      </w:r>
      <w:r>
        <w:t>2</w:t>
      </w:r>
      <w:r w:rsidRPr="004601CC">
        <w:t xml:space="preserve">.8% in </w:t>
      </w:r>
      <w:proofErr w:type="gramStart"/>
      <w:r w:rsidRPr="004601CC">
        <w:t>Q2, but</w:t>
      </w:r>
      <w:proofErr w:type="gramEnd"/>
      <w:r w:rsidRPr="004601CC">
        <w:t xml:space="preserve"> declined by </w:t>
      </w:r>
      <w:r>
        <w:t>3</w:t>
      </w:r>
      <w:r w:rsidRPr="004601CC">
        <w:t>.</w:t>
      </w:r>
      <w:r>
        <w:t>8</w:t>
      </w:r>
      <w:r w:rsidRPr="004601CC">
        <w:t>% in Q3 and 9.2% in Q4. The recent decline was therefore concentrated among larger firms, particularly Q4. Relative to 2020</w:t>
      </w:r>
      <w:r>
        <w:t>–</w:t>
      </w:r>
      <w:r w:rsidRPr="004601CC">
        <w:t>21, FTE grew most strongly in Q1, while Q4 ended slightly below its starting level. Because quartiles are fixed using 2020</w:t>
      </w:r>
      <w:r>
        <w:t>–</w:t>
      </w:r>
      <w:r w:rsidRPr="004601CC">
        <w:t>21 employment, some Q1 growth reflects firms that were small at the start of the period and subsequently expanded.</w:t>
      </w:r>
    </w:p>
    <w:p w14:paraId="424AD054" w14:textId="77777777" w:rsidR="00692657" w:rsidRDefault="00692657" w:rsidP="00011592">
      <w:pPr>
        <w:pStyle w:val="Heading4"/>
      </w:pPr>
      <w:r>
        <w:t>Productivity and capacity utilisation</w:t>
      </w:r>
    </w:p>
    <w:p w14:paraId="4B26F81D" w14:textId="08201DEC" w:rsidR="00692657" w:rsidRDefault="00692657" w:rsidP="00011592">
      <w:pPr>
        <w:pStyle w:val="BodyText"/>
      </w:pPr>
      <w:r w:rsidRPr="00D77DF3">
        <w:t xml:space="preserve">The </w:t>
      </w:r>
      <w:r>
        <w:t xml:space="preserve">Agreement on Safeguards identifies productivity as one of the factors that must be evaluated during a safeguard investigation. However, neither the </w:t>
      </w:r>
      <w:r w:rsidR="008E1D0F">
        <w:t>A</w:t>
      </w:r>
      <w:r>
        <w:t xml:space="preserve">greement, legal literature nor WTO case law provide an explicit definition of productivity. Rather than relying on a measure that </w:t>
      </w:r>
      <w:r w:rsidRPr="003D22FA">
        <w:t>focuses</w:t>
      </w:r>
      <w:r>
        <w:t xml:space="preserve"> on a single input (e.g. labour), the </w:t>
      </w:r>
      <w:r w:rsidRPr="00D77DF3">
        <w:t xml:space="preserve">PC </w:t>
      </w:r>
      <w:r w:rsidRPr="009D1630">
        <w:t>considers</w:t>
      </w:r>
      <w:r>
        <w:t xml:space="preserve"> t</w:t>
      </w:r>
      <w:r w:rsidRPr="00D77DF3">
        <w:t xml:space="preserve">otal </w:t>
      </w:r>
      <w:r>
        <w:t>f</w:t>
      </w:r>
      <w:r w:rsidRPr="00D77DF3">
        <w:t xml:space="preserve">actor </w:t>
      </w:r>
      <w:r>
        <w:t>p</w:t>
      </w:r>
      <w:r w:rsidRPr="00D77DF3">
        <w:t>roductivity</w:t>
      </w:r>
      <w:r>
        <w:t xml:space="preserve"> (TFP) </w:t>
      </w:r>
      <w:r w:rsidRPr="00CB014A">
        <w:t>the most appropriate measure</w:t>
      </w:r>
      <w:r>
        <w:t>.</w:t>
      </w:r>
      <w:r w:rsidRPr="00D77DF3">
        <w:t xml:space="preserve"> </w:t>
      </w:r>
    </w:p>
    <w:p w14:paraId="310942F5" w14:textId="5A55F0D3" w:rsidR="00692657" w:rsidRDefault="00692657" w:rsidP="00011592">
      <w:pPr>
        <w:pStyle w:val="BodyText"/>
      </w:pPr>
      <w:r>
        <w:t>TFP</w:t>
      </w:r>
      <w:r w:rsidRPr="00D77DF3">
        <w:t xml:space="preserve"> compares firm output or value added with the labour and capital used to produce it</w:t>
      </w:r>
      <w:r>
        <w:t>.</w:t>
      </w:r>
      <w:r w:rsidRPr="00D77DF3">
        <w:t xml:space="preserve"> In other words, it provides an indication of how efficiently firms are turning inputs into output. </w:t>
      </w:r>
      <w:r>
        <w:t>It</w:t>
      </w:r>
      <w:r w:rsidRPr="003A5FE2">
        <w:t xml:space="preserve"> is estimated </w:t>
      </w:r>
      <w:r>
        <w:t>on the same administrative data used</w:t>
      </w:r>
      <w:r w:rsidRPr="003A5FE2">
        <w:t xml:space="preserve"> </w:t>
      </w:r>
      <w:r>
        <w:t xml:space="preserve">to measure the above injury factors. However, while the </w:t>
      </w:r>
      <w:r w:rsidRPr="007E014D">
        <w:t>formulas</w:t>
      </w:r>
      <w:r>
        <w:t xml:space="preserve"> to </w:t>
      </w:r>
      <w:r>
        <w:lastRenderedPageBreak/>
        <w:t>calculate value added and labour expenses are simple, capital stock is not</w:t>
      </w:r>
      <w:r w:rsidRPr="003A5FE2">
        <w:t xml:space="preserve"> directly observed</w:t>
      </w:r>
      <w:r>
        <w:t>, and therefore TFP</w:t>
      </w:r>
      <w:r w:rsidRPr="003A5FE2">
        <w:t xml:space="preserve"> relies in part on an estimated measure of firms’ capital stock.</w:t>
      </w:r>
      <w:r>
        <w:rPr>
          <w:rStyle w:val="FootnoteReference"/>
        </w:rPr>
        <w:footnoteReference w:id="22"/>
      </w:r>
    </w:p>
    <w:p w14:paraId="4B5A835A" w14:textId="226F69A7" w:rsidR="00692657" w:rsidRPr="00145F68" w:rsidRDefault="00692657" w:rsidP="00011592">
      <w:pPr>
        <w:pStyle w:val="BodyText"/>
        <w:rPr>
          <w:spacing w:val="-4"/>
        </w:rPr>
      </w:pPr>
      <w:r w:rsidRPr="00145F68">
        <w:rPr>
          <w:spacing w:val="-4"/>
        </w:rPr>
        <w:t>Productivity increased substantially over the period for which estimates are available, despite easing from its peak in the most recent year. Productivity increased over the investigation period by an average 9.4% per year from 2020–21 to 2023–24</w:t>
      </w:r>
      <w:r w:rsidR="00C853C0">
        <w:rPr>
          <w:spacing w:val="-4"/>
        </w:rPr>
        <w:t>.</w:t>
      </w:r>
      <w:r w:rsidRPr="00145F68">
        <w:rPr>
          <w:spacing w:val="-4"/>
        </w:rPr>
        <w:t xml:space="preserve"> </w:t>
      </w:r>
      <w:r w:rsidR="00C853C0">
        <w:rPr>
          <w:spacing w:val="-4"/>
        </w:rPr>
        <w:t>T</w:t>
      </w:r>
      <w:r w:rsidRPr="00145F68">
        <w:rPr>
          <w:spacing w:val="-4"/>
        </w:rPr>
        <w:t>he PC provides no estimate for productivity for 2024–25 due to a high degree of uncertainty. Between 2020–21 and 2022–23, productivity increased by 44.6%, before declining by 9.5% in 2023–24 (figure</w:t>
      </w:r>
      <w:r w:rsidR="00541146" w:rsidRPr="00145F68">
        <w:rPr>
          <w:spacing w:val="-4"/>
        </w:rPr>
        <w:t> </w:t>
      </w:r>
      <w:r w:rsidRPr="00145F68">
        <w:rPr>
          <w:spacing w:val="-4"/>
        </w:rPr>
        <w:t>4.4). It therefore remained 30.9% above its level at the start of the period.</w:t>
      </w:r>
    </w:p>
    <w:p w14:paraId="6A6DDF12" w14:textId="77777777" w:rsidR="00692657" w:rsidRDefault="00692657" w:rsidP="00011592">
      <w:pPr>
        <w:pStyle w:val="BodyText"/>
      </w:pPr>
      <w:r>
        <w:t>C</w:t>
      </w:r>
      <w:r w:rsidRPr="000843B3">
        <w:t>apacity utilisation</w:t>
      </w:r>
      <w:r>
        <w:t>, like p</w:t>
      </w:r>
      <w:r w:rsidRPr="000843B3">
        <w:t>roductivity</w:t>
      </w:r>
      <w:r>
        <w:t xml:space="preserve">, does not have an explicit definition in the context of a safeguard investigation. For the purposes of this investigation, the PC defines capacity utilisation as a firm’s productivity (TFP) </w:t>
      </w:r>
      <w:proofErr w:type="gramStart"/>
      <w:r>
        <w:t>in a given year</w:t>
      </w:r>
      <w:proofErr w:type="gramEnd"/>
      <w:r>
        <w:t xml:space="preserve"> relative to the productivity frontier for the industry (defined as the average TFP of the top 10% of the most productive firms). The measure indicates how close a firm is to </w:t>
      </w:r>
      <w:r w:rsidRPr="009B0BC1">
        <w:t>the estimated industry productivity frontier</w:t>
      </w:r>
      <w:r>
        <w:t xml:space="preserve"> and how that changes over the investigation period. </w:t>
      </w:r>
      <w:r w:rsidRPr="000675EA">
        <w:t>This measure is also estimated and depends on assumptions about firms’ capital stock and the productivity frontier. The PC therefore treats it as supporting evidence rather than placing excessive weight on the precise level of the estimate.</w:t>
      </w:r>
    </w:p>
    <w:p w14:paraId="1413AB67" w14:textId="640A0EE1" w:rsidR="00692657" w:rsidRDefault="00692657" w:rsidP="00011592">
      <w:pPr>
        <w:pStyle w:val="BodyText"/>
      </w:pPr>
      <w:r w:rsidRPr="00F27DE2">
        <w:t>Mean capacity utilisation increased over the investigation period by an average of 0.</w:t>
      </w:r>
      <w:r>
        <w:t>8</w:t>
      </w:r>
      <w:r w:rsidRPr="00F27DE2">
        <w:t xml:space="preserve">% per year. Capacity utilisation </w:t>
      </w:r>
      <w:r w:rsidRPr="00264511">
        <w:t xml:space="preserve">declined by </w:t>
      </w:r>
      <w:r>
        <w:t>0.</w:t>
      </w:r>
      <w:r w:rsidRPr="00264511">
        <w:t>4 percentage points in 2021</w:t>
      </w:r>
      <w:r>
        <w:t>–</w:t>
      </w:r>
      <w:r w:rsidRPr="00264511">
        <w:t xml:space="preserve">22, increased by </w:t>
      </w:r>
      <w:r>
        <w:t>2</w:t>
      </w:r>
      <w:r w:rsidRPr="00264511">
        <w:t>.9 percentage points in 2022</w:t>
      </w:r>
      <w:r>
        <w:t>–</w:t>
      </w:r>
      <w:r w:rsidRPr="00264511">
        <w:t>23, then declined by 1.6 percentage points in 2023</w:t>
      </w:r>
      <w:r>
        <w:t>–</w:t>
      </w:r>
      <w:r w:rsidRPr="00264511">
        <w:t xml:space="preserve">24 </w:t>
      </w:r>
      <w:r w:rsidRPr="0070095A">
        <w:t>(figure</w:t>
      </w:r>
      <w:r w:rsidR="00541146">
        <w:t> </w:t>
      </w:r>
      <w:r w:rsidRPr="0070095A">
        <w:t xml:space="preserve">4.4). </w:t>
      </w:r>
      <w:r>
        <w:t xml:space="preserve">The PC provides no estimate for </w:t>
      </w:r>
      <w:r w:rsidRPr="00F27DE2">
        <w:t xml:space="preserve">capacity utilisation </w:t>
      </w:r>
      <w:r>
        <w:t xml:space="preserve">for 2024–25 due to a high degree of uncertainty. </w:t>
      </w:r>
      <w:r w:rsidRPr="0005351D">
        <w:t>By 2023</w:t>
      </w:r>
      <w:r>
        <w:t>–</w:t>
      </w:r>
      <w:r w:rsidRPr="0005351D">
        <w:t xml:space="preserve">24, capacity utilisation was </w:t>
      </w:r>
      <w:r>
        <w:t>0</w:t>
      </w:r>
      <w:r w:rsidRPr="00264511">
        <w:t>.</w:t>
      </w:r>
      <w:r>
        <w:t>9</w:t>
      </w:r>
      <w:r w:rsidRPr="00264511">
        <w:t xml:space="preserve"> percentage point</w:t>
      </w:r>
      <w:r>
        <w:t>s</w:t>
      </w:r>
      <w:r w:rsidRPr="00264511">
        <w:t xml:space="preserve"> above</w:t>
      </w:r>
      <w:r w:rsidRPr="0005351D">
        <w:t xml:space="preserve"> its level at the start of the investigation period</w:t>
      </w:r>
      <w:r w:rsidRPr="00A93641">
        <w:t xml:space="preserve">. These estimated measures are broadly consistent with the more directly observed injury indicators, </w:t>
      </w:r>
      <w:r>
        <w:t xml:space="preserve">such as sales, employment, and profit, </w:t>
      </w:r>
      <w:r w:rsidRPr="00A93641">
        <w:t xml:space="preserve">which also show </w:t>
      </w:r>
      <w:r w:rsidRPr="00151E11">
        <w:t>variation over the period without a</w:t>
      </w:r>
      <w:r>
        <w:t>ny notable</w:t>
      </w:r>
      <w:r w:rsidRPr="00151E11">
        <w:t xml:space="preserve"> overall decline.</w:t>
      </w:r>
      <w:r>
        <w:t xml:space="preserve"> </w:t>
      </w:r>
    </w:p>
    <w:p w14:paraId="51A35D8B" w14:textId="1AF59E31" w:rsidR="00692657" w:rsidRPr="006B0A3E" w:rsidRDefault="00692657" w:rsidP="00011592">
      <w:pPr>
        <w:pStyle w:val="BodyText"/>
      </w:pPr>
      <w:r w:rsidRPr="006B0A3E">
        <w:t>The PC’s approach to calculating TFP and capacity utilisation is detailed in appendix</w:t>
      </w:r>
      <w:r w:rsidR="00541146">
        <w:t> </w:t>
      </w:r>
      <w:r w:rsidRPr="006B0A3E">
        <w:t xml:space="preserve">B. </w:t>
      </w:r>
    </w:p>
    <w:p w14:paraId="03487025" w14:textId="267C329E" w:rsidR="00692657" w:rsidRDefault="00692657" w:rsidP="00011592">
      <w:pPr>
        <w:pStyle w:val="FigureTableHeading"/>
      </w:pPr>
      <w:r>
        <w:lastRenderedPageBreak/>
        <w:t xml:space="preserve">Figure </w:t>
      </w:r>
      <w:r w:rsidR="00C56C9B">
        <w:rPr>
          <w:noProof/>
        </w:rPr>
        <w:t>4</w:t>
      </w:r>
      <w:r>
        <w:t>.4</w:t>
      </w:r>
      <w:r w:rsidRPr="00311AD5">
        <w:t xml:space="preserve"> – </w:t>
      </w:r>
      <w:r>
        <w:t xml:space="preserve">Productivity and capacity utilisation </w:t>
      </w:r>
      <w:r w:rsidRPr="00674738">
        <w:t>increased overall, but eased in 2023–24</w:t>
      </w:r>
    </w:p>
    <w:tbl>
      <w:tblPr>
        <w:tblStyle w:val="ProductivityCommissionTable1"/>
        <w:tblW w:w="0" w:type="auto"/>
        <w:tblBorders>
          <w:top w:val="none" w:sz="0" w:space="0" w:color="auto"/>
          <w:bottom w:val="none" w:sz="0" w:space="0" w:color="auto"/>
          <w:insideH w:val="none" w:sz="0" w:space="0" w:color="auto"/>
        </w:tblBorders>
        <w:tblLook w:val="04A0" w:firstRow="1" w:lastRow="0" w:firstColumn="1" w:lastColumn="0" w:noHBand="0" w:noVBand="1"/>
      </w:tblPr>
      <w:tblGrid>
        <w:gridCol w:w="4725"/>
        <w:gridCol w:w="4913"/>
      </w:tblGrid>
      <w:tr w:rsidR="00692657" w14:paraId="2362AEC6" w14:textId="77777777" w:rsidTr="000115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tcPr>
          <w:p w14:paraId="0D02FC55" w14:textId="15FD1E1E" w:rsidR="00692657" w:rsidRPr="007F6FCB" w:rsidRDefault="00692657" w:rsidP="00011592">
            <w:pPr>
              <w:pStyle w:val="FigureTableSubheading"/>
              <w:rPr>
                <w:b w:val="0"/>
              </w:rPr>
            </w:pPr>
            <w:r>
              <w:t xml:space="preserve">a. </w:t>
            </w:r>
            <w:r w:rsidRPr="00FE0949">
              <w:t xml:space="preserve">Australian FSS industry Total </w:t>
            </w:r>
            <w:r>
              <w:t>Factor</w:t>
            </w:r>
            <w:r w:rsidRPr="00FE0949">
              <w:t xml:space="preserve"> Productivity (</w:t>
            </w:r>
            <w:r w:rsidR="008912F2" w:rsidRPr="00F01F71">
              <w:rPr>
                <w:b w:val="0"/>
                <w:bCs/>
              </w:rPr>
              <w:t>relative to 2020</w:t>
            </w:r>
            <w:r w:rsidR="008912F2">
              <w:rPr>
                <w:b w:val="0"/>
                <w:bCs/>
              </w:rPr>
              <w:t>–</w:t>
            </w:r>
            <w:r w:rsidR="008912F2" w:rsidRPr="00F01F71">
              <w:rPr>
                <w:b w:val="0"/>
                <w:bCs/>
              </w:rPr>
              <w:t>21</w:t>
            </w:r>
            <w:r w:rsidR="008912F2">
              <w:rPr>
                <w:b w:val="0"/>
                <w:bCs/>
              </w:rPr>
              <w:t>)</w:t>
            </w:r>
          </w:p>
        </w:tc>
        <w:tc>
          <w:tcPr>
            <w:tcW w:w="5033" w:type="dxa"/>
          </w:tcPr>
          <w:p w14:paraId="2B16C3CF" w14:textId="01553B10" w:rsidR="00692657" w:rsidRPr="006226E0" w:rsidRDefault="00692657" w:rsidP="00011592">
            <w:pPr>
              <w:pStyle w:val="FigureTableSubheading"/>
              <w:cnfStyle w:val="100000000000" w:firstRow="1" w:lastRow="0" w:firstColumn="0" w:lastColumn="0" w:oddVBand="0" w:evenVBand="0" w:oddHBand="0" w:evenHBand="0" w:firstRowFirstColumn="0" w:firstRowLastColumn="0" w:lastRowFirstColumn="0" w:lastRowLastColumn="0"/>
              <w:rPr>
                <w:lang w:val="en-US"/>
              </w:rPr>
            </w:pPr>
            <w:r>
              <w:t xml:space="preserve">b. </w:t>
            </w:r>
            <w:r w:rsidRPr="00FE0949">
              <w:t xml:space="preserve">Australian FSS industry </w:t>
            </w:r>
            <w:r>
              <w:rPr>
                <w:lang w:val="en-US"/>
              </w:rPr>
              <w:t>c</w:t>
            </w:r>
            <w:r w:rsidRPr="00FE0949">
              <w:rPr>
                <w:lang w:val="en-US"/>
              </w:rPr>
              <w:t xml:space="preserve">apacity </w:t>
            </w:r>
            <w:proofErr w:type="spellStart"/>
            <w:r>
              <w:rPr>
                <w:lang w:val="en-US"/>
              </w:rPr>
              <w:t>utilisation</w:t>
            </w:r>
            <w:proofErr w:type="spellEnd"/>
          </w:p>
        </w:tc>
      </w:tr>
      <w:tr w:rsidR="009B595A" w14:paraId="557ACC40" w14:textId="77777777" w:rsidTr="007B5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2"/>
            <w:shd w:val="clear" w:color="auto" w:fill="auto"/>
          </w:tcPr>
          <w:p w14:paraId="0548D0B1" w14:textId="1D35AA32" w:rsidR="009B595A" w:rsidRDefault="009B595A" w:rsidP="007B5694">
            <w:pPr>
              <w:pStyle w:val="BodyText"/>
              <w:spacing w:before="0" w:after="100" w:afterAutospacing="1"/>
            </w:pPr>
            <w:r w:rsidRPr="00F233FD">
              <w:rPr>
                <w:noProof/>
              </w:rPr>
              <w:drawing>
                <wp:inline distT="0" distB="0" distL="0" distR="0" wp14:anchorId="2ECF0E51" wp14:editId="585C1071">
                  <wp:extent cx="6078475" cy="3533614"/>
                  <wp:effectExtent l="0" t="0" r="0" b="0"/>
                  <wp:docPr id="1254498022" name="Picture 8" descr="Figure 4.4 - The figure has two panels, a and b. Panel a shows industry total factor productivity, which increased until 2023-23 and then decreased in 2023-24 (the last year for which estimates are available), but was still higher than at the start of the investigation period. Panel b shows industry capacity utilisation, which declined in both 2021-22 and 2023-24 (the last year for which estimates are avaialble), but was still higher than at the start of the investigation perio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498022" name="Picture 8" descr="Figure 4.4 - The figure has two panels, a and b. Panel a shows industry total factor productivity, which increased until 2023-23 and then decreased in 2023-24 (the last year for which estimates are available), but was still higher than at the start of the investigation period. Panel b shows industry capacity utilisation, which declined in both 2021-22 and 2023-24 (the last year for which estimates are avaialble), but was still higher than at the start of the investigation period.&#10;"/>
                          <pic:cNvPicPr>
                            <a:picLocks noChangeAspect="1" noChangeArrowheads="1"/>
                          </pic:cNvPicPr>
                        </pic:nvPicPr>
                        <pic:blipFill rotWithShape="1">
                          <a:blip r:embed="rId71">
                            <a:extLst>
                              <a:ext uri="{28A0092B-C50C-407E-A947-70E740481C1C}">
                                <a14:useLocalDpi xmlns:a14="http://schemas.microsoft.com/office/drawing/2010/main" val="0"/>
                              </a:ext>
                            </a:extLst>
                          </a:blip>
                          <a:srcRect t="2708" b="2292"/>
                          <a:stretch>
                            <a:fillRect/>
                          </a:stretch>
                        </pic:blipFill>
                        <pic:spPr bwMode="auto">
                          <a:xfrm>
                            <a:off x="0" y="0"/>
                            <a:ext cx="6078855" cy="353383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982BD55" w14:textId="63BFCFDE" w:rsidR="00692657" w:rsidRDefault="00692657" w:rsidP="00011592">
      <w:pPr>
        <w:pStyle w:val="Source"/>
      </w:pPr>
      <w:r>
        <w:t xml:space="preserve">Source: </w:t>
      </w:r>
      <w:r w:rsidR="005A0050" w:rsidRPr="00E67C04">
        <w:t>PC analysis of ABS data</w:t>
      </w:r>
      <w:r w:rsidR="005A0050">
        <w:t xml:space="preserve">. Capacity utilisation </w:t>
      </w:r>
      <w:r>
        <w:t>is shown as the mean across firms, rather than the sum or indexed sum used elsewhere, as it is a percentage and cannot meaningfully be summed.</w:t>
      </w:r>
    </w:p>
    <w:p w14:paraId="67A63620" w14:textId="77777777" w:rsidR="00692657" w:rsidRDefault="00692657" w:rsidP="00011592">
      <w:pPr>
        <w:pStyle w:val="Heading4"/>
      </w:pPr>
      <w:r>
        <w:t>Production</w:t>
      </w:r>
    </w:p>
    <w:p w14:paraId="6E775811" w14:textId="77777777" w:rsidR="00692657" w:rsidRDefault="00692657" w:rsidP="00011592">
      <w:pPr>
        <w:pStyle w:val="BodyText"/>
      </w:pPr>
      <w:r>
        <w:t xml:space="preserve">Evaluating changes in domestic production of FSS is a critical component in the assessment of overall injury to the domestic industry. </w:t>
      </w:r>
    </w:p>
    <w:p w14:paraId="737A7A56" w14:textId="77777777" w:rsidR="00692657" w:rsidRDefault="00692657" w:rsidP="00011592">
      <w:pPr>
        <w:pStyle w:val="BodyText"/>
      </w:pPr>
      <w:r>
        <w:t>However, t</w:t>
      </w:r>
      <w:r w:rsidRPr="00350777">
        <w:t xml:space="preserve">here is no centralised </w:t>
      </w:r>
      <w:r>
        <w:t xml:space="preserve">official or widely accepted </w:t>
      </w:r>
      <w:r w:rsidRPr="00350777">
        <w:t>measure of domestic FSS production</w:t>
      </w:r>
      <w:r>
        <w:t xml:space="preserve">. The ASI engaged Oxford Economics Australia to estimate domestic production from calendar year 2022 to 2024, but </w:t>
      </w:r>
      <w:r w:rsidRPr="0042132B">
        <w:t>the</w:t>
      </w:r>
      <w:r>
        <w:t>se estimates have not been published, and nor has the methodology used.</w:t>
      </w:r>
    </w:p>
    <w:p w14:paraId="3CB42051" w14:textId="77777777" w:rsidR="00692657" w:rsidRDefault="00692657" w:rsidP="00011592">
      <w:pPr>
        <w:pStyle w:val="BodyText"/>
      </w:pPr>
      <w:r>
        <w:t xml:space="preserve">To address this gap, the PC has estimated </w:t>
      </w:r>
      <w:r w:rsidRPr="00350777">
        <w:t>production using administrative data and information collected through the inquiry.</w:t>
      </w:r>
      <w:r>
        <w:t xml:space="preserve"> The estimates are based on:</w:t>
      </w:r>
    </w:p>
    <w:p w14:paraId="65488CA1" w14:textId="77777777" w:rsidR="00692657" w:rsidRDefault="00692657" w:rsidP="00011592">
      <w:pPr>
        <w:pStyle w:val="ListBullet"/>
      </w:pPr>
      <w:r>
        <w:t xml:space="preserve">cost </w:t>
      </w:r>
      <w:r w:rsidRPr="00DD66B2">
        <w:t>of</w:t>
      </w:r>
      <w:r>
        <w:t xml:space="preserve"> sales data submitted through business income tax returns</w:t>
      </w:r>
    </w:p>
    <w:p w14:paraId="2B47E816" w14:textId="77777777" w:rsidR="00692657" w:rsidRDefault="00692657" w:rsidP="00011592">
      <w:pPr>
        <w:pStyle w:val="ListBullet"/>
      </w:pPr>
      <w:r>
        <w:t>share of cost of sales spent on raw steel provided by a sample of fabricators</w:t>
      </w:r>
    </w:p>
    <w:p w14:paraId="009F678B" w14:textId="77777777" w:rsidR="00692657" w:rsidRDefault="00692657" w:rsidP="00011592">
      <w:pPr>
        <w:pStyle w:val="ListBullet"/>
      </w:pPr>
      <w:r>
        <w:t>average price per tonne of raw steel provided by industry participants</w:t>
      </w:r>
    </w:p>
    <w:p w14:paraId="7E53E0E9" w14:textId="77777777" w:rsidR="00692657" w:rsidRDefault="00692657" w:rsidP="00011592">
      <w:pPr>
        <w:pStyle w:val="ListBullet"/>
      </w:pPr>
      <w:r>
        <w:t>proportion of steel wastage during fabrication provided by a sample of fabricators.</w:t>
      </w:r>
      <w:r>
        <w:rPr>
          <w:rStyle w:val="FootnoteReference"/>
        </w:rPr>
        <w:footnoteReference w:id="23"/>
      </w:r>
    </w:p>
    <w:p w14:paraId="72E84B4B" w14:textId="77777777" w:rsidR="00692657" w:rsidRDefault="00692657" w:rsidP="00011592">
      <w:pPr>
        <w:pStyle w:val="BodyText"/>
      </w:pPr>
      <w:r w:rsidRPr="00634391">
        <w:t xml:space="preserve">The method starts with observed administrative data and </w:t>
      </w:r>
      <w:proofErr w:type="gramStart"/>
      <w:r w:rsidRPr="00634391">
        <w:t>makes adjustments</w:t>
      </w:r>
      <w:proofErr w:type="gramEnd"/>
      <w:r w:rsidRPr="00634391">
        <w:t xml:space="preserve"> for the share, price and wastage of raw steel to convert expenditure into an estimated volume of FSS production. The PC considers this provides the most robust available estimate of domestic production.</w:t>
      </w:r>
    </w:p>
    <w:p w14:paraId="549D8357" w14:textId="77777777" w:rsidR="00692657" w:rsidRDefault="00692657" w:rsidP="00011592">
      <w:pPr>
        <w:pStyle w:val="BodyText"/>
      </w:pPr>
      <w:r>
        <w:lastRenderedPageBreak/>
        <w:t>Two series for</w:t>
      </w:r>
      <w:r w:rsidRPr="007362DF">
        <w:t xml:space="preserve"> domestic production </w:t>
      </w:r>
      <w:r>
        <w:t>have been estimated.</w:t>
      </w:r>
    </w:p>
    <w:p w14:paraId="39C48DA0" w14:textId="77777777" w:rsidR="00692657" w:rsidRDefault="00692657" w:rsidP="00011592">
      <w:pPr>
        <w:pStyle w:val="ListBullet"/>
      </w:pPr>
      <w:r>
        <w:t>First, domestic production has been estimated based on a conservatively estimated population of domestic firms. This includes firms on the ASI fabricator member list as well as firms identified directly through the course of this inquiry, amounting to 376 businesses at the most (the list includes some businesses known to have ceased operating so the number of firms included in the estimates can vary from year to year).</w:t>
      </w:r>
    </w:p>
    <w:p w14:paraId="447A17FB" w14:textId="028D768E" w:rsidR="00692657" w:rsidRDefault="00692657" w:rsidP="00011592">
      <w:pPr>
        <w:pStyle w:val="ListBullet"/>
      </w:pPr>
      <w:r>
        <w:t xml:space="preserve">Second, domestic production has been estimated using an expanded population that also includes businesses not otherwise identified but which we expect to be FSS producers based on their procurement behaviour. This group includes up to </w:t>
      </w:r>
      <w:r w:rsidR="00500DAD">
        <w:t>514</w:t>
      </w:r>
      <w:r>
        <w:t xml:space="preserve"> businesses. Additional detail on industry identification is included in appendix</w:t>
      </w:r>
      <w:r w:rsidR="00541146">
        <w:t> </w:t>
      </w:r>
      <w:r>
        <w:t>B.</w:t>
      </w:r>
    </w:p>
    <w:p w14:paraId="1AF6BE65" w14:textId="20621F80" w:rsidR="00692657" w:rsidRDefault="00692657" w:rsidP="00011592">
      <w:pPr>
        <w:pStyle w:val="BodyText"/>
      </w:pPr>
      <w:r w:rsidRPr="007362DF">
        <w:t xml:space="preserve">Based on </w:t>
      </w:r>
      <w:r>
        <w:t xml:space="preserve">the conservative, smaller, population, </w:t>
      </w:r>
      <w:r w:rsidRPr="00652599">
        <w:t xml:space="preserve">the PC estimates that domestic production decreased by </w:t>
      </w:r>
      <w:r>
        <w:t>8.4</w:t>
      </w:r>
      <w:r w:rsidRPr="00652599">
        <w:t>% in 2021</w:t>
      </w:r>
      <w:r w:rsidRPr="00361F2A">
        <w:t xml:space="preserve">–22 but grew in subsequent years, reaching </w:t>
      </w:r>
      <w:r>
        <w:t>501</w:t>
      </w:r>
      <w:r w:rsidRPr="00361F2A">
        <w:t>,000 tonnes in 2023</w:t>
      </w:r>
      <w:r>
        <w:t>–</w:t>
      </w:r>
      <w:r w:rsidRPr="00361F2A">
        <w:t>24.</w:t>
      </w:r>
      <w:r>
        <w:t xml:space="preserve"> Based on the expanded population, it is estimated that domestic production decreased by 7.1% in 2021–22 but grew in subsequent years, reaching 747,000 tonnes in 2023–24. The conservative and expanded series move similarly but vary due to differences in the performance of the firms included in each (figure</w:t>
      </w:r>
      <w:r w:rsidR="00541146">
        <w:t> </w:t>
      </w:r>
      <w:r>
        <w:t>4.5).</w:t>
      </w:r>
    </w:p>
    <w:p w14:paraId="06F2E3BD" w14:textId="76C672E4" w:rsidR="00692657" w:rsidRDefault="00692657" w:rsidP="00011592">
      <w:pPr>
        <w:pStyle w:val="BodyText"/>
      </w:pPr>
      <w:r>
        <w:t xml:space="preserve">Estimates for 2024–25 </w:t>
      </w:r>
      <w:proofErr w:type="gramStart"/>
      <w:r>
        <w:t>are</w:t>
      </w:r>
      <w:proofErr w:type="gramEnd"/>
      <w:r>
        <w:t xml:space="preserve"> tentative. Cost of sales data is not available in this year, so the estimates are based on the historical relationship between cost of sales and turnover, which is available for 2024–25. The approach to estimating 2024–25 values </w:t>
      </w:r>
      <w:proofErr w:type="gramStart"/>
      <w:r>
        <w:t>is</w:t>
      </w:r>
      <w:proofErr w:type="gramEnd"/>
      <w:r>
        <w:t xml:space="preserve"> described in more detail in appendix</w:t>
      </w:r>
      <w:r w:rsidR="00541146">
        <w:t> </w:t>
      </w:r>
      <w:r>
        <w:t>B.</w:t>
      </w:r>
    </w:p>
    <w:p w14:paraId="2F17823B" w14:textId="2E45E24F" w:rsidR="00692657" w:rsidRDefault="00692657" w:rsidP="00011592">
      <w:pPr>
        <w:pStyle w:val="FigureTableHeading"/>
      </w:pPr>
      <w:bookmarkStart w:id="34" w:name="_Ref236348397"/>
      <w:r>
        <w:t xml:space="preserve">Figure </w:t>
      </w:r>
      <w:r w:rsidR="00C56C9B">
        <w:rPr>
          <w:noProof/>
        </w:rPr>
        <w:t>4</w:t>
      </w:r>
      <w:r>
        <w:t>.</w:t>
      </w:r>
      <w:bookmarkEnd w:id="34"/>
      <w:r>
        <w:t xml:space="preserve">5 </w:t>
      </w:r>
      <w:r w:rsidRPr="00311AD5">
        <w:t>–</w:t>
      </w:r>
      <w:r>
        <w:t xml:space="preserve"> An initial decline in domestic production was followed by steady growth</w:t>
      </w:r>
    </w:p>
    <w:p w14:paraId="33EBF098" w14:textId="77777777" w:rsidR="00692657" w:rsidRDefault="00692657" w:rsidP="00011592">
      <w:pPr>
        <w:pStyle w:val="FigureTableSubheading"/>
      </w:pPr>
      <w:r>
        <w:t>Australian FSS industry production</w:t>
      </w:r>
    </w:p>
    <w:p w14:paraId="7D79C4EA" w14:textId="463319CB" w:rsidR="00692657" w:rsidRDefault="008A19BF" w:rsidP="00FD0616">
      <w:pPr>
        <w:pStyle w:val="BodyText"/>
      </w:pPr>
      <w:r w:rsidRPr="008A19BF">
        <w:rPr>
          <w:noProof/>
        </w:rPr>
        <w:drawing>
          <wp:inline distT="0" distB="0" distL="0" distR="0" wp14:anchorId="31A33012" wp14:editId="494FC5A0">
            <wp:extent cx="6113780" cy="3324387"/>
            <wp:effectExtent l="0" t="0" r="0" b="0"/>
            <wp:docPr id="1661528851" name="Picture 17" descr="Figure 4.5 - The figure shows estimated annual production of the Australian FSS industry for a conservative population and an expanded population of firms. For both populations, production is estimated to have increased over the period of investigation, though there was a decline in 2021-22.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528851" name="Picture 17" descr="Figure 4.5 - The figure shows estimated annual production of the Australian FSS industry for a conservative population and an expanded population of firms. For both populations, production is estimated to have increased over the period of investigation, though there was a decline in 2021-22. &#10;"/>
                    <pic:cNvPicPr>
                      <a:picLocks noChangeAspect="1" noChangeArrowheads="1"/>
                    </pic:cNvPicPr>
                  </pic:nvPicPr>
                  <pic:blipFill rotWithShape="1">
                    <a:blip r:embed="rId72">
                      <a:extLst>
                        <a:ext uri="{28A0092B-C50C-407E-A947-70E740481C1C}">
                          <a14:useLocalDpi xmlns:a14="http://schemas.microsoft.com/office/drawing/2010/main" val="0"/>
                        </a:ext>
                      </a:extLst>
                    </a:blip>
                    <a:srcRect b="4449"/>
                    <a:stretch>
                      <a:fillRect/>
                    </a:stretch>
                  </pic:blipFill>
                  <pic:spPr bwMode="auto">
                    <a:xfrm>
                      <a:off x="0" y="0"/>
                      <a:ext cx="6113780" cy="3324387"/>
                    </a:xfrm>
                    <a:prstGeom prst="rect">
                      <a:avLst/>
                    </a:prstGeom>
                    <a:noFill/>
                    <a:ln>
                      <a:noFill/>
                    </a:ln>
                    <a:extLst>
                      <a:ext uri="{53640926-AAD7-44D8-BBD7-CCE9431645EC}">
                        <a14:shadowObscured xmlns:a14="http://schemas.microsoft.com/office/drawing/2010/main"/>
                      </a:ext>
                    </a:extLst>
                  </pic:spPr>
                </pic:pic>
              </a:graphicData>
            </a:graphic>
          </wp:inline>
        </w:drawing>
      </w:r>
    </w:p>
    <w:p w14:paraId="43845312" w14:textId="11BB707A" w:rsidR="00692657" w:rsidRDefault="00692657" w:rsidP="00011592">
      <w:pPr>
        <w:pStyle w:val="Source"/>
      </w:pPr>
      <w:r>
        <w:t xml:space="preserve">Source: </w:t>
      </w:r>
      <w:r w:rsidR="00805BCA" w:rsidRPr="00622AE2">
        <w:t>PC analysis of ABS data</w:t>
      </w:r>
      <w:r w:rsidR="00805BCA">
        <w:t xml:space="preserve"> and data from key industry stakeholders.</w:t>
      </w:r>
    </w:p>
    <w:p w14:paraId="4673C25D" w14:textId="77777777" w:rsidR="00692657" w:rsidRDefault="00692657" w:rsidP="00801374">
      <w:pPr>
        <w:pStyle w:val="Heading4"/>
      </w:pPr>
      <w:r w:rsidRPr="00C44D90">
        <w:lastRenderedPageBreak/>
        <w:t>Rate and amount of the increase in imports</w:t>
      </w:r>
    </w:p>
    <w:p w14:paraId="61F4480B" w14:textId="77777777" w:rsidR="00692657" w:rsidRDefault="00692657" w:rsidP="00801374">
      <w:pPr>
        <w:pStyle w:val="BodyText"/>
        <w:keepNext/>
        <w:keepLines/>
      </w:pPr>
      <w:r>
        <w:t xml:space="preserve">The Agreement on Safeguards lists the rate and amount of the increase in imports as one of the factors that must be considered as part of the injury analysis. </w:t>
      </w:r>
    </w:p>
    <w:p w14:paraId="737CBB2A" w14:textId="238F8622" w:rsidR="00692657" w:rsidRPr="00B3563B" w:rsidRDefault="00692657" w:rsidP="00011592">
      <w:pPr>
        <w:pStyle w:val="BodyText"/>
      </w:pPr>
      <w:r>
        <w:t>Absolute imports increased by 2</w:t>
      </w:r>
      <w:r w:rsidR="008A191A">
        <w:t>7.9</w:t>
      </w:r>
      <w:r>
        <w:t>% over the investigation period from 44</w:t>
      </w:r>
      <w:r w:rsidR="00DB75F2">
        <w:t>6</w:t>
      </w:r>
      <w:r>
        <w:t>,</w:t>
      </w:r>
      <w:r w:rsidR="00DB75F2">
        <w:t>6</w:t>
      </w:r>
      <w:r>
        <w:t>00 tonnes in 2020–21 to 571,</w:t>
      </w:r>
      <w:r w:rsidR="00DB75F2">
        <w:t>2</w:t>
      </w:r>
      <w:r>
        <w:t>00 tonnes in 2024–25. Relative imports (imports divided by domestic production), increased from 94</w:t>
      </w:r>
      <w:r w:rsidR="002B66F8">
        <w:t>.1</w:t>
      </w:r>
      <w:r>
        <w:t>% to 105</w:t>
      </w:r>
      <w:r w:rsidR="001C7425">
        <w:t>.3</w:t>
      </w:r>
      <w:r>
        <w:t>% over the investigation period when analysed using the conservative population, or from 6</w:t>
      </w:r>
      <w:r w:rsidR="001C7425">
        <w:t>3.5</w:t>
      </w:r>
      <w:r>
        <w:t>% to 75</w:t>
      </w:r>
      <w:r w:rsidR="004A40A8">
        <w:t>.3</w:t>
      </w:r>
      <w:r>
        <w:t>% based on the expanded population. These estimates are discussed in more detail in chapter</w:t>
      </w:r>
      <w:r w:rsidR="00541146">
        <w:t> </w:t>
      </w:r>
      <w:r>
        <w:t>3</w:t>
      </w:r>
      <w:r w:rsidRPr="00B57508">
        <w:t>.</w:t>
      </w:r>
    </w:p>
    <w:p w14:paraId="13252D0D" w14:textId="77777777" w:rsidR="00692657" w:rsidRDefault="00692657" w:rsidP="00011592">
      <w:pPr>
        <w:pStyle w:val="Heading4"/>
      </w:pPr>
      <w:r>
        <w:t>Share of the domestic market</w:t>
      </w:r>
    </w:p>
    <w:p w14:paraId="143E09B1" w14:textId="77777777" w:rsidR="00692657" w:rsidRPr="00705199" w:rsidRDefault="00692657" w:rsidP="00C8174B">
      <w:pPr>
        <w:pStyle w:val="BodyText"/>
      </w:pPr>
      <w:r w:rsidRPr="00837CA8">
        <w:t>Import market share is a separate measure. It shows the</w:t>
      </w:r>
      <w:r>
        <w:t xml:space="preserve"> share of total FSS </w:t>
      </w:r>
      <w:r w:rsidRPr="00705199">
        <w:t xml:space="preserve">supplied to the domestic market that is accounted for by imports, measured in dollar terms. </w:t>
      </w:r>
    </w:p>
    <w:p w14:paraId="2B068718" w14:textId="754BDA7C" w:rsidR="00692657" w:rsidRPr="00B2582F" w:rsidRDefault="00692657" w:rsidP="00C8174B">
      <w:pPr>
        <w:pStyle w:val="BodyText"/>
        <w:rPr>
          <w:spacing w:val="-2"/>
        </w:rPr>
      </w:pPr>
      <w:r w:rsidRPr="00B2582F">
        <w:rPr>
          <w:spacing w:val="-2"/>
        </w:rPr>
        <w:t>Import market share rose early in the investigation period before declining gradually. It increased from 23.3% to 26.4% in 2021–22, then fell to 23.4% in 2023–24 and an estimated 22.2% in 2024–25 (figure</w:t>
      </w:r>
      <w:r w:rsidR="00541146" w:rsidRPr="00B2582F">
        <w:rPr>
          <w:spacing w:val="-2"/>
        </w:rPr>
        <w:t> </w:t>
      </w:r>
      <w:r w:rsidRPr="00B2582F">
        <w:rPr>
          <w:spacing w:val="-2"/>
        </w:rPr>
        <w:t>4.6). Overall, import market share ended the period slightly below its starting level.</w:t>
      </w:r>
    </w:p>
    <w:p w14:paraId="34797B9C" w14:textId="20528603" w:rsidR="00692657" w:rsidRDefault="00692657" w:rsidP="00011592">
      <w:pPr>
        <w:pStyle w:val="FigureTableHeading"/>
      </w:pPr>
      <w:r>
        <w:t xml:space="preserve">Figure </w:t>
      </w:r>
      <w:r w:rsidR="00C56C9B">
        <w:rPr>
          <w:noProof/>
        </w:rPr>
        <w:t>4</w:t>
      </w:r>
      <w:r>
        <w:t xml:space="preserve">.6 </w:t>
      </w:r>
      <w:r w:rsidRPr="00311AD5">
        <w:t>–</w:t>
      </w:r>
      <w:r>
        <w:t xml:space="preserve"> Import market share in dollar value </w:t>
      </w:r>
      <w:r w:rsidRPr="00E10860">
        <w:t>is similar at the start and end of the investigation period</w:t>
      </w:r>
    </w:p>
    <w:p w14:paraId="3387EBFC" w14:textId="77777777" w:rsidR="00692657" w:rsidRDefault="00692657" w:rsidP="00011592">
      <w:pPr>
        <w:pStyle w:val="FigureTableSubheading"/>
      </w:pPr>
      <w:r>
        <w:t>Market share of imported FSS steel in the Australian market</w:t>
      </w:r>
    </w:p>
    <w:p w14:paraId="0074F400" w14:textId="11E3E6F9" w:rsidR="00692657" w:rsidRPr="00FD0616" w:rsidRDefault="00D4598B" w:rsidP="00D4598B">
      <w:pPr>
        <w:pStyle w:val="BodyText"/>
        <w:spacing w:after="0"/>
      </w:pPr>
      <w:r w:rsidRPr="00D4598B">
        <w:rPr>
          <w:noProof/>
        </w:rPr>
        <w:drawing>
          <wp:inline distT="0" distB="0" distL="0" distR="0" wp14:anchorId="4B4A07F9" wp14:editId="4F641C5C">
            <wp:extent cx="6120130" cy="3365500"/>
            <wp:effectExtent l="0" t="0" r="0" b="0"/>
            <wp:docPr id="2050547412" name="Picture 3" descr="Figure 4.6 - The figure compares import market share based on the conservative and expanded populations. Based on either population, imports' market share increased in 2021-22 but declined in subsequent yea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547412" name="Picture 3" descr="Figure 4.6 - The figure compares import market share based on the conservative and expanded populations. Based on either population, imports' market share increased in 2021-22 but declined in subsequent years.&#10;"/>
                    <pic:cNvPicPr>
                      <a:picLocks noChangeAspect="1" noChangeArrowheads="1"/>
                    </pic:cNvPicPr>
                  </pic:nvPicPr>
                  <pic:blipFill rotWithShape="1">
                    <a:blip r:embed="rId73">
                      <a:extLst>
                        <a:ext uri="{28A0092B-C50C-407E-A947-70E740481C1C}">
                          <a14:useLocalDpi xmlns:a14="http://schemas.microsoft.com/office/drawing/2010/main" val="0"/>
                        </a:ext>
                      </a:extLst>
                    </a:blip>
                    <a:srcRect t="2800" b="4462"/>
                    <a:stretch>
                      <a:fillRect/>
                    </a:stretch>
                  </pic:blipFill>
                  <pic:spPr bwMode="auto">
                    <a:xfrm>
                      <a:off x="0" y="0"/>
                      <a:ext cx="6120130" cy="3365500"/>
                    </a:xfrm>
                    <a:prstGeom prst="rect">
                      <a:avLst/>
                    </a:prstGeom>
                    <a:noFill/>
                    <a:ln>
                      <a:noFill/>
                    </a:ln>
                    <a:extLst>
                      <a:ext uri="{53640926-AAD7-44D8-BBD7-CCE9431645EC}">
                        <a14:shadowObscured xmlns:a14="http://schemas.microsoft.com/office/drawing/2010/main"/>
                      </a:ext>
                    </a:extLst>
                  </pic:spPr>
                </pic:pic>
              </a:graphicData>
            </a:graphic>
          </wp:inline>
        </w:drawing>
      </w:r>
    </w:p>
    <w:p w14:paraId="21C14220" w14:textId="398729CD" w:rsidR="00692657" w:rsidRPr="00D51168" w:rsidRDefault="00692657" w:rsidP="00011592">
      <w:pPr>
        <w:pStyle w:val="Source"/>
      </w:pPr>
      <w:r>
        <w:t xml:space="preserve">Source: </w:t>
      </w:r>
      <w:r w:rsidR="006064C1" w:rsidRPr="00CF5183">
        <w:t>PC analysis of ABS data</w:t>
      </w:r>
      <w:r w:rsidR="006064C1">
        <w:t xml:space="preserve"> and import data.</w:t>
      </w:r>
    </w:p>
    <w:p w14:paraId="0E1279DB" w14:textId="687490EF" w:rsidR="00692657" w:rsidRDefault="00692657" w:rsidP="00011592">
      <w:pPr>
        <w:pStyle w:val="BodyText"/>
      </w:pPr>
      <w:r w:rsidRPr="0004301A">
        <w:t xml:space="preserve">The market share of imports is relatively stable in value terms because the value of domestic FSS firms' sales and the value of imports have grown at similar rates. However, the volume of imports increased by 130% over the last decade, while the estimated volume of domestic production increased by around 50% (so relative imports have increased </w:t>
      </w:r>
      <w:r>
        <w:t>over the long term, figure</w:t>
      </w:r>
      <w:r w:rsidR="00541146">
        <w:t> </w:t>
      </w:r>
      <w:r>
        <w:t>3.</w:t>
      </w:r>
      <w:r w:rsidR="008267AD">
        <w:t>3</w:t>
      </w:r>
      <w:r w:rsidRPr="0004301A">
        <w:t xml:space="preserve">). </w:t>
      </w:r>
      <w:r>
        <w:t>At the same time</w:t>
      </w:r>
      <w:r w:rsidRPr="0004301A">
        <w:t xml:space="preserve">, the imputed </w:t>
      </w:r>
      <w:r w:rsidRPr="0004301A">
        <w:lastRenderedPageBreak/>
        <w:t>price of imported FSS has remained relatively flat in nominal terms, while the imputed price of domestically produced FSS has increased by around 50%.</w:t>
      </w:r>
      <w:r>
        <w:rPr>
          <w:rStyle w:val="FootnoteReference"/>
        </w:rPr>
        <w:footnoteReference w:id="24"/>
      </w:r>
    </w:p>
    <w:p w14:paraId="75D97653" w14:textId="77777777" w:rsidR="00692657" w:rsidRDefault="00692657" w:rsidP="00011592">
      <w:pPr>
        <w:pStyle w:val="Heading4"/>
      </w:pPr>
      <w:r>
        <w:t>Summary</w:t>
      </w:r>
    </w:p>
    <w:p w14:paraId="329D3358" w14:textId="77777777" w:rsidR="00692657" w:rsidRPr="00C85E66" w:rsidRDefault="00692657" w:rsidP="00C85E66">
      <w:pPr>
        <w:pStyle w:val="BodyText"/>
      </w:pPr>
      <w:r w:rsidRPr="00C85E66">
        <w:t xml:space="preserve">Over the investigation period, all indicators of the domestic industry’s condition increased overall, although employment, productivity and capacity utilisation declined from earlier peaks towards the end of the period. These recent declines do not demonstrate a significant overall impairment in the position of the industry. The submissions establish that some firms and market segments are under substantial pressure, and we find some evidence for this. However, the performance of direct measures, across a range of populations, do not suggest this is the case for the </w:t>
      </w:r>
      <w:proofErr w:type="gramStart"/>
      <w:r w:rsidRPr="00C85E66">
        <w:t>industry as a whole</w:t>
      </w:r>
      <w:proofErr w:type="gramEnd"/>
      <w:r w:rsidRPr="00C85E66">
        <w:t>. The PC therefore finds that the domestic industry is not currently suffering serious injury.</w:t>
      </w:r>
    </w:p>
    <w:p w14:paraId="53C78977" w14:textId="0A04E90B" w:rsidR="00692657" w:rsidRDefault="00692657" w:rsidP="00011592">
      <w:pPr>
        <w:pStyle w:val="Heading2"/>
        <w:rPr>
          <w:color w:val="000000" w:themeColor="text1"/>
        </w:rPr>
      </w:pPr>
      <w:bookmarkStart w:id="35" w:name="_Toc238643912"/>
      <w:r>
        <w:rPr>
          <w:color w:val="000000" w:themeColor="text1"/>
        </w:rPr>
        <w:t xml:space="preserve">Is there a threat of serious </w:t>
      </w:r>
      <w:r w:rsidR="006478EB">
        <w:rPr>
          <w:color w:val="000000" w:themeColor="text1"/>
        </w:rPr>
        <w:t>i</w:t>
      </w:r>
      <w:r>
        <w:rPr>
          <w:color w:val="000000" w:themeColor="text1"/>
        </w:rPr>
        <w:t>njury?</w:t>
      </w:r>
      <w:bookmarkEnd w:id="35"/>
    </w:p>
    <w:p w14:paraId="28F1738C" w14:textId="77777777" w:rsidR="00692657" w:rsidRDefault="00692657" w:rsidP="00011592">
      <w:pPr>
        <w:pStyle w:val="BodyText"/>
      </w:pPr>
      <w:r>
        <w:t>A ‘</w:t>
      </w:r>
      <w:r w:rsidRPr="007F4457">
        <w:t>threat of serious injury</w:t>
      </w:r>
      <w:r>
        <w:t xml:space="preserve">’ exists only where serious injury is ‘clearly imminent’ </w:t>
      </w:r>
      <w:r w:rsidRPr="0032578E">
        <w:t>(SA Article 4.1(b))</w:t>
      </w:r>
      <w:r w:rsidRPr="007F4457">
        <w:t xml:space="preserve">. </w:t>
      </w:r>
      <w:r>
        <w:t>This means that the anticipated serious injury ‘must be on the very verge of occurring’, that ‘there must be a high degree of likelihood’ that it will materialise in the very near future (</w:t>
      </w:r>
      <w:r>
        <w:rPr>
          <w:i/>
          <w:iCs/>
        </w:rPr>
        <w:t>US – Lamb</w:t>
      </w:r>
      <w:r>
        <w:t>, para. 125). The standard of injury is the same for both actual and threatened injury (</w:t>
      </w:r>
      <w:r>
        <w:rPr>
          <w:i/>
          <w:iCs/>
        </w:rPr>
        <w:t>US – Lamb</w:t>
      </w:r>
      <w:r w:rsidRPr="001F65FB">
        <w:t>, para. 126</w:t>
      </w:r>
      <w:r>
        <w:rPr>
          <w:i/>
          <w:iCs/>
        </w:rPr>
        <w:t>)</w:t>
      </w:r>
      <w:r>
        <w:t xml:space="preserve">. </w:t>
      </w:r>
    </w:p>
    <w:p w14:paraId="51EA891E" w14:textId="77777777" w:rsidR="00692657" w:rsidRDefault="00692657" w:rsidP="00011592">
      <w:pPr>
        <w:pStyle w:val="BodyText"/>
        <w:rPr>
          <w:color w:val="000000" w:themeColor="text1"/>
        </w:rPr>
      </w:pPr>
      <w:r w:rsidRPr="00DA34AF">
        <w:rPr>
          <w:color w:val="000000" w:themeColor="text1"/>
        </w:rPr>
        <w:t>Recen</w:t>
      </w:r>
      <w:r>
        <w:rPr>
          <w:color w:val="000000" w:themeColor="text1"/>
        </w:rPr>
        <w:t>t evidence on imports and industry performance is particularly relevant but short–term movements should be interpreted in the context of long–term trends (</w:t>
      </w:r>
      <w:r>
        <w:rPr>
          <w:i/>
          <w:iCs/>
          <w:color w:val="000000" w:themeColor="text1"/>
        </w:rPr>
        <w:t>US – Lamb</w:t>
      </w:r>
      <w:r>
        <w:rPr>
          <w:color w:val="000000" w:themeColor="text1"/>
        </w:rPr>
        <w:t>, paras. 136–138).</w:t>
      </w:r>
    </w:p>
    <w:p w14:paraId="2D9B13C6" w14:textId="77777777" w:rsidR="00692657" w:rsidRPr="00C76CDF" w:rsidRDefault="00692657" w:rsidP="00011592">
      <w:pPr>
        <w:pStyle w:val="BodyText"/>
        <w:rPr>
          <w:b/>
          <w:bCs/>
          <w:color w:val="000000" w:themeColor="text1"/>
        </w:rPr>
      </w:pPr>
      <w:r>
        <w:rPr>
          <w:color w:val="000000" w:themeColor="text1"/>
        </w:rPr>
        <w:t xml:space="preserve">The evidentiary standards </w:t>
      </w:r>
      <w:r w:rsidRPr="006647F3">
        <w:rPr>
          <w:color w:val="000000" w:themeColor="text1"/>
        </w:rPr>
        <w:t>for</w:t>
      </w:r>
      <w:r>
        <w:rPr>
          <w:color w:val="000000" w:themeColor="text1"/>
        </w:rPr>
        <w:t xml:space="preserve"> assessing </w:t>
      </w:r>
      <w:r w:rsidRPr="006647F3">
        <w:rPr>
          <w:color w:val="000000" w:themeColor="text1"/>
        </w:rPr>
        <w:t>serious injury also apply to the threat assessment, alongside additional</w:t>
      </w:r>
      <w:r>
        <w:rPr>
          <w:color w:val="000000" w:themeColor="text1"/>
        </w:rPr>
        <w:t xml:space="preserve"> requirements</w:t>
      </w:r>
      <w:r w:rsidDel="00D239F9">
        <w:rPr>
          <w:color w:val="000000" w:themeColor="text1"/>
        </w:rPr>
        <w:t>.</w:t>
      </w:r>
      <w:r>
        <w:t xml:space="preserve"> Analysis of the threat of serious injury must </w:t>
      </w:r>
      <w:r w:rsidRPr="00DA34AF">
        <w:t>be ‘based on facts and not merely on allegation, conjecture or remote possibility’ (SA Article 4.1(b)).</w:t>
      </w:r>
      <w:r>
        <w:t xml:space="preserve"> </w:t>
      </w:r>
    </w:p>
    <w:p w14:paraId="31525E89" w14:textId="77777777" w:rsidR="00692657" w:rsidRDefault="00692657" w:rsidP="00011592">
      <w:pPr>
        <w:pStyle w:val="Heading3"/>
      </w:pPr>
      <w:r>
        <w:t>What does the most recent evidence show?</w:t>
      </w:r>
    </w:p>
    <w:p w14:paraId="40016BCF" w14:textId="77777777" w:rsidR="00692657" w:rsidRDefault="00692657" w:rsidP="00011592">
      <w:pPr>
        <w:pStyle w:val="Heading4"/>
      </w:pPr>
      <w:r>
        <w:t>The most recent data does not show severe deterioration across injury factors</w:t>
      </w:r>
    </w:p>
    <w:p w14:paraId="1191CD54" w14:textId="1868DD24" w:rsidR="00692657" w:rsidRDefault="00692657" w:rsidP="00011592">
      <w:pPr>
        <w:pStyle w:val="BodyText"/>
      </w:pPr>
      <w:r>
        <w:t>Most factors relating to the performance of the industry moved positively in 2023–24 (table</w:t>
      </w:r>
      <w:r w:rsidR="00541146">
        <w:t> </w:t>
      </w:r>
      <w:r>
        <w:t>4.2).</w:t>
      </w:r>
    </w:p>
    <w:p w14:paraId="217EBCED" w14:textId="52FC28D1" w:rsidR="00692657" w:rsidRDefault="00692657" w:rsidP="00011592">
      <w:pPr>
        <w:pStyle w:val="BodyText"/>
      </w:pPr>
      <w:r>
        <w:t xml:space="preserve">In 2024–25, the injury factors for which direct data are available provide a mixed picture of performance. Turnover increased by </w:t>
      </w:r>
      <w:proofErr w:type="gramStart"/>
      <w:r>
        <w:t>2</w:t>
      </w:r>
      <w:r w:rsidR="00C0678D">
        <w:t>.</w:t>
      </w:r>
      <w:r w:rsidR="00011702">
        <w:t>2</w:t>
      </w:r>
      <w:r>
        <w:t>%</w:t>
      </w:r>
      <w:proofErr w:type="gramEnd"/>
      <w:r>
        <w:t xml:space="preserve"> but headcount declined by </w:t>
      </w:r>
      <w:r w:rsidR="00B36FE6">
        <w:t>5.7</w:t>
      </w:r>
      <w:r>
        <w:t>% and FTEs by 5</w:t>
      </w:r>
      <w:r w:rsidR="00796DF8">
        <w:t>.1</w:t>
      </w:r>
      <w:r>
        <w:t xml:space="preserve">% following highs in previous years. Absolute imports increased by </w:t>
      </w:r>
      <w:r w:rsidR="00316D5A">
        <w:t>6.8</w:t>
      </w:r>
      <w:r>
        <w:t xml:space="preserve">%. </w:t>
      </w:r>
    </w:p>
    <w:p w14:paraId="1622866C" w14:textId="77777777" w:rsidR="00692657" w:rsidRDefault="00692657" w:rsidP="00011592">
      <w:pPr>
        <w:pStyle w:val="BodyText"/>
      </w:pPr>
      <w:r>
        <w:t xml:space="preserve">The 2024–25 estimates for other injury factors are imputed from the movement in turnover or employment data, so also provide a mixed picture (for example, estimated 2024–25 growth in </w:t>
      </w:r>
      <w:r w:rsidRPr="005050BF">
        <w:t>sales is estimated based on the close historical relationship between</w:t>
      </w:r>
      <w:r>
        <w:t xml:space="preserve"> turnover and sales).</w:t>
      </w:r>
    </w:p>
    <w:p w14:paraId="458BAB29" w14:textId="77777777" w:rsidR="00692657" w:rsidRDefault="00692657" w:rsidP="00011592">
      <w:pPr>
        <w:pStyle w:val="BodyText"/>
      </w:pPr>
      <w:r>
        <w:t xml:space="preserve">In the final report, we will be able to analyse data on turnover for the first 2 quarters of 2025–26. </w:t>
      </w:r>
    </w:p>
    <w:p w14:paraId="1A321A24" w14:textId="77777777" w:rsidR="00692657" w:rsidRDefault="00692657" w:rsidP="00011592">
      <w:pPr>
        <w:pStyle w:val="FigureTableHeading"/>
      </w:pPr>
      <w:r>
        <w:lastRenderedPageBreak/>
        <w:t>Table 4.2</w:t>
      </w:r>
      <w:r>
        <w:rPr>
          <w:noProof/>
        </w:rPr>
        <w:t xml:space="preserve"> – The evidence does not suggest there is imminent threat of serious injury</w:t>
      </w:r>
    </w:p>
    <w:p w14:paraId="0F218D2E" w14:textId="77777777" w:rsidR="00692657" w:rsidRDefault="00692657" w:rsidP="00011592">
      <w:pPr>
        <w:pStyle w:val="FigureTableSubheading"/>
      </w:pPr>
      <w:r>
        <w:t>Injury factor data for 2023–24 and 2024–25</w:t>
      </w:r>
    </w:p>
    <w:tbl>
      <w:tblPr>
        <w:tblW w:w="0" w:type="auto"/>
        <w:tblBorders>
          <w:bottom w:val="single" w:sz="4" w:space="0" w:color="B3B3B3"/>
        </w:tblBorders>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5103"/>
        <w:gridCol w:w="2267"/>
        <w:gridCol w:w="2268"/>
      </w:tblGrid>
      <w:tr w:rsidR="00692657" w:rsidRPr="00021BA1" w14:paraId="4A33008B" w14:textId="77777777" w:rsidTr="0022675B">
        <w:trPr>
          <w:tblHeader/>
        </w:trPr>
        <w:tc>
          <w:tcPr>
            <w:tcW w:w="5103" w:type="dxa"/>
            <w:tcBorders>
              <w:bottom w:val="single" w:sz="4" w:space="0" w:color="B3B3B3"/>
            </w:tcBorders>
            <w:vAlign w:val="bottom"/>
          </w:tcPr>
          <w:p w14:paraId="1531D6BC" w14:textId="77777777" w:rsidR="00692657" w:rsidRPr="002614C7" w:rsidRDefault="00692657">
            <w:pPr>
              <w:pStyle w:val="BodyText"/>
              <w:spacing w:before="45" w:after="45"/>
              <w:ind w:left="57" w:right="108"/>
              <w:rPr>
                <w:rFonts w:cs="Open Sans"/>
                <w:b/>
                <w:color w:val="1D4374"/>
                <w:sz w:val="18"/>
              </w:rPr>
            </w:pPr>
          </w:p>
        </w:tc>
        <w:tc>
          <w:tcPr>
            <w:tcW w:w="2267" w:type="dxa"/>
            <w:tcBorders>
              <w:bottom w:val="single" w:sz="4" w:space="0" w:color="B3B3B3"/>
            </w:tcBorders>
            <w:vAlign w:val="bottom"/>
          </w:tcPr>
          <w:p w14:paraId="3407A68A" w14:textId="77777777" w:rsidR="00692657" w:rsidRPr="002614C7" w:rsidRDefault="00692657" w:rsidP="008473D8">
            <w:pPr>
              <w:pStyle w:val="BodyText"/>
              <w:spacing w:before="45" w:after="45"/>
              <w:ind w:left="57" w:right="108"/>
              <w:jc w:val="right"/>
              <w:rPr>
                <w:rFonts w:cs="Open Sans"/>
                <w:b/>
                <w:color w:val="1D4374"/>
                <w:sz w:val="18"/>
              </w:rPr>
            </w:pPr>
            <w:r>
              <w:rPr>
                <w:rFonts w:cs="Open Sans"/>
                <w:b/>
                <w:color w:val="1D4374"/>
                <w:sz w:val="18"/>
              </w:rPr>
              <w:t>2023–24</w:t>
            </w:r>
          </w:p>
        </w:tc>
        <w:tc>
          <w:tcPr>
            <w:tcW w:w="2268" w:type="dxa"/>
            <w:tcBorders>
              <w:bottom w:val="single" w:sz="4" w:space="0" w:color="B3B3B3"/>
            </w:tcBorders>
            <w:vAlign w:val="bottom"/>
          </w:tcPr>
          <w:p w14:paraId="248CD779" w14:textId="77777777" w:rsidR="00692657" w:rsidRPr="002614C7" w:rsidRDefault="00692657" w:rsidP="008473D8">
            <w:pPr>
              <w:pStyle w:val="BodyText"/>
              <w:spacing w:before="45" w:after="45"/>
              <w:ind w:left="57" w:right="108"/>
              <w:jc w:val="right"/>
              <w:rPr>
                <w:rFonts w:cs="Open Sans"/>
                <w:b/>
                <w:color w:val="1D4374"/>
                <w:sz w:val="18"/>
              </w:rPr>
            </w:pPr>
            <w:r>
              <w:rPr>
                <w:rFonts w:cs="Open Sans"/>
                <w:b/>
                <w:color w:val="1D4374"/>
                <w:sz w:val="18"/>
              </w:rPr>
              <w:t>2024–25</w:t>
            </w:r>
          </w:p>
        </w:tc>
      </w:tr>
      <w:tr w:rsidR="00692657" w:rsidRPr="00021BA1" w14:paraId="30FD41DA" w14:textId="77777777" w:rsidTr="0022675B">
        <w:tc>
          <w:tcPr>
            <w:tcW w:w="5103" w:type="dxa"/>
            <w:tcBorders>
              <w:top w:val="single" w:sz="4" w:space="0" w:color="B3B3B3"/>
              <w:bottom w:val="nil"/>
            </w:tcBorders>
            <w:shd w:val="clear" w:color="auto" w:fill="E6E6E6"/>
          </w:tcPr>
          <w:p w14:paraId="5E493584" w14:textId="218BC63E" w:rsidR="00692657" w:rsidRPr="002614C7" w:rsidRDefault="00692657" w:rsidP="00ED5E0E">
            <w:pPr>
              <w:pStyle w:val="BodyText"/>
              <w:spacing w:before="45" w:after="45"/>
              <w:ind w:left="57" w:right="108"/>
              <w:rPr>
                <w:rFonts w:cs="Open Sans"/>
                <w:b/>
                <w:color w:val="1D4374"/>
                <w:sz w:val="18"/>
              </w:rPr>
            </w:pPr>
            <w:r>
              <w:rPr>
                <w:rFonts w:cs="Open Sans"/>
                <w:b/>
                <w:color w:val="1D4374"/>
                <w:sz w:val="18"/>
              </w:rPr>
              <w:t>Sales: Sales</w:t>
            </w:r>
          </w:p>
        </w:tc>
        <w:tc>
          <w:tcPr>
            <w:tcW w:w="2267" w:type="dxa"/>
            <w:tcBorders>
              <w:top w:val="single" w:sz="4" w:space="0" w:color="B3B3B3"/>
              <w:bottom w:val="nil"/>
            </w:tcBorders>
            <w:shd w:val="clear" w:color="auto" w:fill="E6E6E6"/>
          </w:tcPr>
          <w:p w14:paraId="711C22A6" w14:textId="48101600" w:rsidR="00692657" w:rsidRPr="002614C7" w:rsidRDefault="00692657" w:rsidP="00ED5E0E">
            <w:pPr>
              <w:pStyle w:val="BodyText"/>
              <w:spacing w:before="45" w:after="45"/>
              <w:ind w:left="57" w:right="108"/>
              <w:jc w:val="right"/>
              <w:rPr>
                <w:rFonts w:cs="Open Sans"/>
                <w:color w:val="000000"/>
                <w:sz w:val="18"/>
              </w:rPr>
            </w:pPr>
            <w:r>
              <w:rPr>
                <w:rFonts w:cs="Open Sans"/>
                <w:color w:val="000000"/>
                <w:sz w:val="18"/>
              </w:rPr>
              <w:t>+</w:t>
            </w:r>
            <w:r w:rsidR="0068073A">
              <w:rPr>
                <w:rFonts w:cs="Open Sans"/>
                <w:color w:val="000000"/>
                <w:sz w:val="18"/>
              </w:rPr>
              <w:t>19.8</w:t>
            </w:r>
            <w:r>
              <w:rPr>
                <w:rFonts w:cs="Open Sans"/>
                <w:color w:val="000000"/>
                <w:sz w:val="18"/>
              </w:rPr>
              <w:t>%</w:t>
            </w:r>
          </w:p>
        </w:tc>
        <w:tc>
          <w:tcPr>
            <w:tcW w:w="2268" w:type="dxa"/>
            <w:tcBorders>
              <w:top w:val="single" w:sz="4" w:space="0" w:color="B3B3B3"/>
              <w:bottom w:val="nil"/>
            </w:tcBorders>
            <w:shd w:val="clear" w:color="auto" w:fill="E6E6E6"/>
          </w:tcPr>
          <w:p w14:paraId="0A3F145F" w14:textId="4F3AFFB6" w:rsidR="00692657" w:rsidRPr="002614C7" w:rsidRDefault="00692657" w:rsidP="00ED5E0E">
            <w:pPr>
              <w:pStyle w:val="BodyText"/>
              <w:spacing w:before="45" w:after="45"/>
              <w:ind w:left="57" w:right="108"/>
              <w:jc w:val="right"/>
              <w:rPr>
                <w:rFonts w:cs="Open Sans"/>
                <w:color w:val="000000"/>
                <w:sz w:val="18"/>
              </w:rPr>
            </w:pPr>
            <w:r>
              <w:rPr>
                <w:rFonts w:cs="Open Sans"/>
                <w:color w:val="000000"/>
                <w:sz w:val="18"/>
              </w:rPr>
              <w:t>+</w:t>
            </w:r>
            <w:r w:rsidR="00403168">
              <w:rPr>
                <w:rFonts w:cs="Open Sans"/>
                <w:color w:val="000000"/>
                <w:sz w:val="18"/>
              </w:rPr>
              <w:t>6.4</w:t>
            </w:r>
            <w:r>
              <w:rPr>
                <w:rFonts w:cs="Open Sans"/>
                <w:color w:val="000000"/>
                <w:sz w:val="18"/>
              </w:rPr>
              <w:t>%*</w:t>
            </w:r>
          </w:p>
        </w:tc>
      </w:tr>
      <w:tr w:rsidR="00ED5E0E" w:rsidRPr="00021BA1" w14:paraId="5CD9E1C3" w14:textId="77777777" w:rsidTr="0022675B">
        <w:tc>
          <w:tcPr>
            <w:tcW w:w="5103" w:type="dxa"/>
            <w:tcBorders>
              <w:top w:val="nil"/>
              <w:bottom w:val="nil"/>
            </w:tcBorders>
            <w:shd w:val="clear" w:color="auto" w:fill="E6E6E6"/>
          </w:tcPr>
          <w:p w14:paraId="7400FAF7" w14:textId="602F378F" w:rsidR="00ED5E0E" w:rsidRDefault="00ED5E0E">
            <w:pPr>
              <w:pStyle w:val="BodyText"/>
              <w:spacing w:before="45" w:after="45"/>
              <w:ind w:left="57" w:right="108"/>
              <w:rPr>
                <w:rFonts w:cs="Open Sans"/>
                <w:b/>
                <w:color w:val="1D4374"/>
                <w:sz w:val="18"/>
              </w:rPr>
            </w:pPr>
            <w:r>
              <w:rPr>
                <w:rFonts w:cs="Open Sans"/>
                <w:b/>
                <w:color w:val="1D4374"/>
                <w:sz w:val="18"/>
              </w:rPr>
              <w:t>Sales: Turnover</w:t>
            </w:r>
          </w:p>
        </w:tc>
        <w:tc>
          <w:tcPr>
            <w:tcW w:w="2267" w:type="dxa"/>
            <w:tcBorders>
              <w:top w:val="nil"/>
              <w:bottom w:val="nil"/>
            </w:tcBorders>
            <w:shd w:val="clear" w:color="auto" w:fill="E6E6E6"/>
          </w:tcPr>
          <w:p w14:paraId="64A8C48C" w14:textId="6135D20C" w:rsidR="00ED5E0E" w:rsidRDefault="00ED5E0E" w:rsidP="008473D8">
            <w:pPr>
              <w:pStyle w:val="BodyText"/>
              <w:spacing w:before="45" w:after="45"/>
              <w:ind w:left="57" w:right="108"/>
              <w:jc w:val="right"/>
              <w:rPr>
                <w:rFonts w:cs="Open Sans"/>
                <w:color w:val="000000"/>
                <w:sz w:val="18"/>
              </w:rPr>
            </w:pPr>
            <w:r>
              <w:rPr>
                <w:rFonts w:cs="Open Sans"/>
                <w:color w:val="000000"/>
                <w:sz w:val="18"/>
              </w:rPr>
              <w:t>+19.3%</w:t>
            </w:r>
          </w:p>
        </w:tc>
        <w:tc>
          <w:tcPr>
            <w:tcW w:w="2268" w:type="dxa"/>
            <w:tcBorders>
              <w:top w:val="nil"/>
              <w:bottom w:val="nil"/>
            </w:tcBorders>
            <w:shd w:val="clear" w:color="auto" w:fill="E6E6E6"/>
          </w:tcPr>
          <w:p w14:paraId="39892193" w14:textId="7A22D61D" w:rsidR="00ED5E0E" w:rsidRDefault="00ED5E0E" w:rsidP="008473D8">
            <w:pPr>
              <w:pStyle w:val="BodyText"/>
              <w:spacing w:before="45" w:after="45"/>
              <w:ind w:left="57" w:right="108"/>
              <w:jc w:val="right"/>
              <w:rPr>
                <w:rFonts w:cs="Open Sans"/>
                <w:color w:val="000000"/>
                <w:sz w:val="18"/>
              </w:rPr>
            </w:pPr>
            <w:r>
              <w:rPr>
                <w:rFonts w:cs="Open Sans"/>
                <w:color w:val="000000"/>
                <w:sz w:val="18"/>
              </w:rPr>
              <w:t>+2.2%</w:t>
            </w:r>
          </w:p>
        </w:tc>
      </w:tr>
      <w:tr w:rsidR="00692657" w:rsidRPr="00021BA1" w14:paraId="7F57EE40" w14:textId="77777777" w:rsidTr="008473D8">
        <w:tc>
          <w:tcPr>
            <w:tcW w:w="5103" w:type="dxa"/>
            <w:tcBorders>
              <w:top w:val="nil"/>
              <w:bottom w:val="nil"/>
            </w:tcBorders>
          </w:tcPr>
          <w:p w14:paraId="7ED40AA7" w14:textId="77777777" w:rsidR="00692657" w:rsidRPr="002614C7" w:rsidRDefault="00692657">
            <w:pPr>
              <w:pStyle w:val="BodyText"/>
              <w:spacing w:before="45" w:after="45"/>
              <w:ind w:left="57" w:right="108"/>
              <w:rPr>
                <w:rFonts w:cs="Open Sans"/>
                <w:b/>
                <w:color w:val="1D4374"/>
                <w:sz w:val="18"/>
              </w:rPr>
            </w:pPr>
            <w:r>
              <w:rPr>
                <w:rFonts w:cs="Open Sans"/>
                <w:b/>
                <w:color w:val="1D4374"/>
                <w:sz w:val="18"/>
              </w:rPr>
              <w:t>Profit: Profit (net)</w:t>
            </w:r>
          </w:p>
        </w:tc>
        <w:tc>
          <w:tcPr>
            <w:tcW w:w="2267" w:type="dxa"/>
            <w:tcBorders>
              <w:top w:val="nil"/>
              <w:bottom w:val="nil"/>
            </w:tcBorders>
          </w:tcPr>
          <w:p w14:paraId="27A9AD4B" w14:textId="43B340CB" w:rsidR="00692657" w:rsidRPr="002614C7" w:rsidRDefault="00692657" w:rsidP="008473D8">
            <w:pPr>
              <w:pStyle w:val="BodyText"/>
              <w:spacing w:before="45" w:after="45"/>
              <w:ind w:left="57" w:right="108"/>
              <w:jc w:val="right"/>
              <w:rPr>
                <w:rFonts w:cs="Open Sans"/>
                <w:color w:val="000000"/>
                <w:sz w:val="18"/>
              </w:rPr>
            </w:pPr>
            <w:r>
              <w:rPr>
                <w:rFonts w:cs="Open Sans"/>
                <w:color w:val="000000"/>
                <w:sz w:val="18"/>
              </w:rPr>
              <w:t>+14</w:t>
            </w:r>
            <w:r w:rsidR="00670EBE">
              <w:rPr>
                <w:rFonts w:cs="Open Sans"/>
                <w:color w:val="000000"/>
                <w:sz w:val="18"/>
              </w:rPr>
              <w:t>.3</w:t>
            </w:r>
            <w:r>
              <w:rPr>
                <w:rFonts w:cs="Open Sans"/>
                <w:color w:val="000000"/>
                <w:sz w:val="18"/>
              </w:rPr>
              <w:t>%</w:t>
            </w:r>
          </w:p>
        </w:tc>
        <w:tc>
          <w:tcPr>
            <w:tcW w:w="2268" w:type="dxa"/>
            <w:tcBorders>
              <w:top w:val="nil"/>
              <w:bottom w:val="nil"/>
            </w:tcBorders>
          </w:tcPr>
          <w:p w14:paraId="3369DD34" w14:textId="27198927" w:rsidR="00692657" w:rsidRPr="002614C7" w:rsidRDefault="00692657" w:rsidP="008473D8">
            <w:pPr>
              <w:pStyle w:val="BodyText"/>
              <w:spacing w:before="45" w:after="45"/>
              <w:ind w:left="57" w:right="108"/>
              <w:jc w:val="right"/>
              <w:rPr>
                <w:rFonts w:cs="Open Sans"/>
                <w:color w:val="000000"/>
                <w:sz w:val="18"/>
              </w:rPr>
            </w:pPr>
            <w:r>
              <w:rPr>
                <w:rFonts w:cs="Open Sans"/>
                <w:color w:val="000000"/>
                <w:sz w:val="18"/>
              </w:rPr>
              <w:t>+</w:t>
            </w:r>
            <w:r w:rsidR="00670EBE">
              <w:rPr>
                <w:rFonts w:cs="Open Sans"/>
                <w:color w:val="000000"/>
                <w:sz w:val="18"/>
              </w:rPr>
              <w:t>1.8</w:t>
            </w:r>
            <w:r>
              <w:rPr>
                <w:rFonts w:cs="Open Sans"/>
                <w:color w:val="000000"/>
                <w:sz w:val="18"/>
              </w:rPr>
              <w:t>%*</w:t>
            </w:r>
          </w:p>
        </w:tc>
      </w:tr>
      <w:tr w:rsidR="00692657" w:rsidRPr="00021BA1" w14:paraId="3152CEB6" w14:textId="77777777" w:rsidTr="008473D8">
        <w:tc>
          <w:tcPr>
            <w:tcW w:w="5103" w:type="dxa"/>
            <w:tcBorders>
              <w:top w:val="nil"/>
              <w:bottom w:val="nil"/>
            </w:tcBorders>
          </w:tcPr>
          <w:p w14:paraId="6B5C0FB3" w14:textId="77777777" w:rsidR="00692657" w:rsidRDefault="00692657">
            <w:pPr>
              <w:pStyle w:val="BodyText"/>
              <w:spacing w:before="45" w:after="45"/>
              <w:ind w:left="57" w:right="108"/>
              <w:rPr>
                <w:rFonts w:cs="Open Sans"/>
                <w:b/>
                <w:color w:val="1D4374"/>
                <w:sz w:val="18"/>
              </w:rPr>
            </w:pPr>
            <w:r>
              <w:rPr>
                <w:rFonts w:cs="Open Sans"/>
                <w:b/>
                <w:color w:val="1D4374"/>
                <w:sz w:val="18"/>
              </w:rPr>
              <w:t>Profit: EBITDA</w:t>
            </w:r>
          </w:p>
        </w:tc>
        <w:tc>
          <w:tcPr>
            <w:tcW w:w="2267" w:type="dxa"/>
            <w:tcBorders>
              <w:top w:val="nil"/>
              <w:bottom w:val="nil"/>
            </w:tcBorders>
          </w:tcPr>
          <w:p w14:paraId="45D32902" w14:textId="207B13DD" w:rsidR="00692657" w:rsidRDefault="00692657" w:rsidP="008473D8">
            <w:pPr>
              <w:pStyle w:val="BodyText"/>
              <w:spacing w:before="45" w:after="45"/>
              <w:ind w:left="57" w:right="108"/>
              <w:jc w:val="right"/>
              <w:rPr>
                <w:rFonts w:cs="Open Sans"/>
                <w:color w:val="000000"/>
                <w:sz w:val="18"/>
              </w:rPr>
            </w:pPr>
            <w:r>
              <w:rPr>
                <w:rFonts w:cs="Open Sans"/>
                <w:color w:val="000000"/>
                <w:sz w:val="18"/>
              </w:rPr>
              <w:t>+</w:t>
            </w:r>
            <w:r w:rsidR="00670EBE">
              <w:rPr>
                <w:rFonts w:cs="Open Sans"/>
                <w:color w:val="000000"/>
                <w:sz w:val="18"/>
              </w:rPr>
              <w:t>11.7</w:t>
            </w:r>
            <w:r>
              <w:rPr>
                <w:rFonts w:cs="Open Sans"/>
                <w:color w:val="000000"/>
                <w:sz w:val="18"/>
              </w:rPr>
              <w:t>%</w:t>
            </w:r>
          </w:p>
        </w:tc>
        <w:tc>
          <w:tcPr>
            <w:tcW w:w="2268" w:type="dxa"/>
            <w:tcBorders>
              <w:top w:val="nil"/>
              <w:bottom w:val="nil"/>
            </w:tcBorders>
          </w:tcPr>
          <w:p w14:paraId="50D9099E" w14:textId="27E9B230" w:rsidR="00692657" w:rsidRDefault="00692657" w:rsidP="008473D8">
            <w:pPr>
              <w:pStyle w:val="BodyText"/>
              <w:spacing w:before="45" w:after="45"/>
              <w:ind w:left="57" w:right="108"/>
              <w:jc w:val="right"/>
              <w:rPr>
                <w:rFonts w:cs="Open Sans"/>
                <w:color w:val="000000"/>
                <w:sz w:val="18"/>
              </w:rPr>
            </w:pPr>
            <w:r>
              <w:rPr>
                <w:rFonts w:cs="Open Sans"/>
                <w:color w:val="000000"/>
                <w:sz w:val="18"/>
              </w:rPr>
              <w:t>+8</w:t>
            </w:r>
            <w:r w:rsidR="00670EBE">
              <w:rPr>
                <w:rFonts w:cs="Open Sans"/>
                <w:color w:val="000000"/>
                <w:sz w:val="18"/>
              </w:rPr>
              <w:t>.2</w:t>
            </w:r>
            <w:r>
              <w:rPr>
                <w:rFonts w:cs="Open Sans"/>
                <w:color w:val="000000"/>
                <w:sz w:val="18"/>
              </w:rPr>
              <w:t>%*</w:t>
            </w:r>
          </w:p>
        </w:tc>
      </w:tr>
      <w:tr w:rsidR="00692657" w:rsidRPr="00021BA1" w14:paraId="06935C27" w14:textId="77777777" w:rsidTr="008473D8">
        <w:tc>
          <w:tcPr>
            <w:tcW w:w="5103" w:type="dxa"/>
            <w:tcBorders>
              <w:bottom w:val="nil"/>
            </w:tcBorders>
            <w:shd w:val="clear" w:color="auto" w:fill="E6E6E6"/>
          </w:tcPr>
          <w:p w14:paraId="7A369828" w14:textId="409340BA" w:rsidR="00692657" w:rsidRPr="002614C7" w:rsidRDefault="00692657" w:rsidP="00ED5E0E">
            <w:pPr>
              <w:pStyle w:val="BodyText"/>
              <w:spacing w:before="45" w:after="45"/>
              <w:ind w:left="57" w:right="108"/>
              <w:rPr>
                <w:rFonts w:cs="Open Sans"/>
                <w:b/>
                <w:color w:val="1D4374"/>
                <w:sz w:val="18"/>
              </w:rPr>
            </w:pPr>
            <w:r>
              <w:rPr>
                <w:rFonts w:cs="Open Sans"/>
                <w:b/>
                <w:color w:val="1D4374"/>
                <w:sz w:val="18"/>
              </w:rPr>
              <w:t>Employment: headcount</w:t>
            </w:r>
          </w:p>
        </w:tc>
        <w:tc>
          <w:tcPr>
            <w:tcW w:w="2267" w:type="dxa"/>
            <w:tcBorders>
              <w:bottom w:val="nil"/>
            </w:tcBorders>
            <w:shd w:val="clear" w:color="auto" w:fill="E6E6E6"/>
          </w:tcPr>
          <w:p w14:paraId="6DF55ABF" w14:textId="576294D9" w:rsidR="00692657" w:rsidRPr="00ED5E0E" w:rsidRDefault="00692657" w:rsidP="00ED5E0E">
            <w:pPr>
              <w:pStyle w:val="BodyText"/>
              <w:spacing w:before="45" w:after="45"/>
              <w:ind w:left="57" w:right="108"/>
              <w:jc w:val="right"/>
              <w:rPr>
                <w:rFonts w:cs="Open Sans"/>
                <w:color w:val="A22D2B"/>
                <w:sz w:val="18"/>
              </w:rPr>
            </w:pPr>
            <w:r w:rsidRPr="008473D8">
              <w:rPr>
                <w:rFonts w:cs="Open Sans"/>
                <w:color w:val="A22D2B"/>
                <w:sz w:val="18"/>
              </w:rPr>
              <w:t>–1</w:t>
            </w:r>
            <w:r w:rsidR="00A275CD" w:rsidRPr="008473D8">
              <w:rPr>
                <w:rFonts w:cs="Open Sans"/>
                <w:color w:val="A22D2B"/>
                <w:sz w:val="18"/>
              </w:rPr>
              <w:t>.1</w:t>
            </w:r>
            <w:r w:rsidRPr="008473D8">
              <w:rPr>
                <w:rFonts w:cs="Open Sans"/>
                <w:color w:val="A22D2B"/>
                <w:sz w:val="18"/>
              </w:rPr>
              <w:t>%</w:t>
            </w:r>
          </w:p>
        </w:tc>
        <w:tc>
          <w:tcPr>
            <w:tcW w:w="2268" w:type="dxa"/>
            <w:tcBorders>
              <w:bottom w:val="nil"/>
            </w:tcBorders>
            <w:shd w:val="clear" w:color="auto" w:fill="E6E6E6"/>
          </w:tcPr>
          <w:p w14:paraId="467EB931" w14:textId="0984A1C1" w:rsidR="00692657" w:rsidRPr="00ED5E0E" w:rsidRDefault="00692657" w:rsidP="00ED5E0E">
            <w:pPr>
              <w:pStyle w:val="BodyText"/>
              <w:spacing w:before="45" w:after="45"/>
              <w:ind w:left="57" w:right="108"/>
              <w:jc w:val="right"/>
              <w:rPr>
                <w:rFonts w:cs="Open Sans"/>
                <w:color w:val="A22D2B"/>
                <w:sz w:val="18"/>
              </w:rPr>
            </w:pPr>
            <w:r w:rsidRPr="008473D8">
              <w:rPr>
                <w:rFonts w:cs="Open Sans"/>
                <w:color w:val="A22D2B"/>
                <w:sz w:val="18"/>
              </w:rPr>
              <w:t>–</w:t>
            </w:r>
            <w:r w:rsidR="008C0838" w:rsidRPr="008473D8">
              <w:rPr>
                <w:rFonts w:cs="Open Sans"/>
                <w:color w:val="A22D2B"/>
                <w:sz w:val="18"/>
              </w:rPr>
              <w:t>5.7</w:t>
            </w:r>
            <w:r w:rsidRPr="008473D8">
              <w:rPr>
                <w:rFonts w:cs="Open Sans"/>
                <w:color w:val="A22D2B"/>
                <w:sz w:val="18"/>
              </w:rPr>
              <w:t>%</w:t>
            </w:r>
          </w:p>
        </w:tc>
      </w:tr>
      <w:tr w:rsidR="00ED5E0E" w:rsidRPr="00021BA1" w14:paraId="13A9D18C" w14:textId="77777777" w:rsidTr="008473D8">
        <w:tc>
          <w:tcPr>
            <w:tcW w:w="5103" w:type="dxa"/>
            <w:tcBorders>
              <w:bottom w:val="nil"/>
            </w:tcBorders>
            <w:shd w:val="clear" w:color="auto" w:fill="E6E6E6"/>
          </w:tcPr>
          <w:p w14:paraId="2C694313" w14:textId="5CB2A757" w:rsidR="00ED5E0E" w:rsidRDefault="00ED5E0E">
            <w:pPr>
              <w:pStyle w:val="BodyText"/>
              <w:spacing w:before="45" w:after="45"/>
              <w:ind w:left="57" w:right="108"/>
              <w:rPr>
                <w:rFonts w:cs="Open Sans"/>
                <w:b/>
                <w:color w:val="1D4374"/>
                <w:sz w:val="18"/>
              </w:rPr>
            </w:pPr>
            <w:r>
              <w:rPr>
                <w:rFonts w:cs="Open Sans"/>
                <w:b/>
                <w:color w:val="1D4374"/>
                <w:sz w:val="18"/>
              </w:rPr>
              <w:t>Employment: FTEs</w:t>
            </w:r>
          </w:p>
        </w:tc>
        <w:tc>
          <w:tcPr>
            <w:tcW w:w="2267" w:type="dxa"/>
            <w:tcBorders>
              <w:bottom w:val="nil"/>
            </w:tcBorders>
            <w:shd w:val="clear" w:color="auto" w:fill="E6E6E6"/>
          </w:tcPr>
          <w:p w14:paraId="5D3EF8F5" w14:textId="5FBD39FB" w:rsidR="00ED5E0E" w:rsidRPr="008473D8" w:rsidRDefault="00F92627" w:rsidP="008473D8">
            <w:pPr>
              <w:pStyle w:val="BodyText"/>
              <w:spacing w:before="45" w:after="45"/>
              <w:ind w:left="57" w:right="108"/>
              <w:jc w:val="right"/>
              <w:rPr>
                <w:rFonts w:cs="Open Sans"/>
                <w:color w:val="A22D2B"/>
                <w:sz w:val="18"/>
              </w:rPr>
            </w:pPr>
            <w:r>
              <w:rPr>
                <w:rFonts w:cs="Open Sans"/>
                <w:color w:val="000000"/>
                <w:sz w:val="18"/>
              </w:rPr>
              <w:t>+</w:t>
            </w:r>
            <w:r w:rsidR="00ED5E0E" w:rsidRPr="00A13B9F">
              <w:rPr>
                <w:rFonts w:cs="Open Sans"/>
                <w:sz w:val="18"/>
              </w:rPr>
              <w:t>1</w:t>
            </w:r>
            <w:r w:rsidR="00ED5E0E">
              <w:rPr>
                <w:rFonts w:cs="Open Sans"/>
                <w:sz w:val="18"/>
              </w:rPr>
              <w:t>.2</w:t>
            </w:r>
            <w:r w:rsidR="00ED5E0E" w:rsidRPr="00A13B9F">
              <w:rPr>
                <w:rFonts w:cs="Open Sans"/>
                <w:sz w:val="18"/>
              </w:rPr>
              <w:t>%</w:t>
            </w:r>
          </w:p>
        </w:tc>
        <w:tc>
          <w:tcPr>
            <w:tcW w:w="2268" w:type="dxa"/>
            <w:tcBorders>
              <w:bottom w:val="nil"/>
            </w:tcBorders>
            <w:shd w:val="clear" w:color="auto" w:fill="E6E6E6"/>
          </w:tcPr>
          <w:p w14:paraId="53E1ACAA" w14:textId="667720B1" w:rsidR="00ED5E0E" w:rsidRPr="008473D8" w:rsidRDefault="00ED5E0E" w:rsidP="008473D8">
            <w:pPr>
              <w:pStyle w:val="BodyText"/>
              <w:spacing w:before="45" w:after="45"/>
              <w:ind w:left="57" w:right="108"/>
              <w:jc w:val="right"/>
              <w:rPr>
                <w:rFonts w:cs="Open Sans"/>
                <w:color w:val="A22D2B"/>
                <w:sz w:val="18"/>
              </w:rPr>
            </w:pPr>
            <w:r w:rsidRPr="008473D8">
              <w:rPr>
                <w:rFonts w:cs="Open Sans"/>
                <w:color w:val="A22D2B"/>
                <w:sz w:val="18"/>
              </w:rPr>
              <w:t>–5.1%</w:t>
            </w:r>
          </w:p>
        </w:tc>
      </w:tr>
      <w:tr w:rsidR="00692657" w:rsidRPr="00021BA1" w14:paraId="6A21A3A0" w14:textId="77777777" w:rsidTr="008473D8">
        <w:tc>
          <w:tcPr>
            <w:tcW w:w="5103" w:type="dxa"/>
            <w:tcBorders>
              <w:top w:val="nil"/>
              <w:bottom w:val="nil"/>
            </w:tcBorders>
          </w:tcPr>
          <w:p w14:paraId="4C314EF2" w14:textId="7D7C6C08" w:rsidR="00692657" w:rsidRPr="002614C7" w:rsidRDefault="00692657" w:rsidP="00C34BFA">
            <w:pPr>
              <w:pStyle w:val="BodyText"/>
              <w:spacing w:before="45" w:after="45"/>
              <w:ind w:left="57" w:right="108"/>
              <w:rPr>
                <w:rFonts w:cs="Open Sans"/>
                <w:b/>
                <w:color w:val="1D4374"/>
                <w:sz w:val="18"/>
              </w:rPr>
            </w:pPr>
            <w:r>
              <w:rPr>
                <w:rFonts w:cs="Open Sans"/>
                <w:b/>
                <w:color w:val="1D4374"/>
                <w:sz w:val="18"/>
              </w:rPr>
              <w:t>Productivity (TFP)</w:t>
            </w:r>
          </w:p>
        </w:tc>
        <w:tc>
          <w:tcPr>
            <w:tcW w:w="2267" w:type="dxa"/>
            <w:tcBorders>
              <w:top w:val="nil"/>
              <w:bottom w:val="nil"/>
            </w:tcBorders>
          </w:tcPr>
          <w:p w14:paraId="33814EEE" w14:textId="164E7C39" w:rsidR="00692657" w:rsidRPr="00C34BFA" w:rsidRDefault="00692657" w:rsidP="00C34BFA">
            <w:pPr>
              <w:pStyle w:val="BodyText"/>
              <w:spacing w:before="45" w:after="45"/>
              <w:ind w:left="57" w:right="108"/>
              <w:jc w:val="right"/>
              <w:rPr>
                <w:color w:val="A22D2B"/>
                <w:sz w:val="18"/>
                <w:szCs w:val="18"/>
              </w:rPr>
            </w:pPr>
            <w:r w:rsidRPr="008473D8">
              <w:rPr>
                <w:color w:val="A22D2B"/>
                <w:sz w:val="18"/>
                <w:szCs w:val="18"/>
              </w:rPr>
              <w:t>–</w:t>
            </w:r>
            <w:r w:rsidR="00432C67" w:rsidRPr="008473D8">
              <w:rPr>
                <w:color w:val="A22D2B"/>
                <w:sz w:val="18"/>
                <w:szCs w:val="18"/>
              </w:rPr>
              <w:t>9.5</w:t>
            </w:r>
            <w:r w:rsidRPr="008473D8">
              <w:rPr>
                <w:color w:val="A22D2B"/>
                <w:sz w:val="18"/>
                <w:szCs w:val="18"/>
              </w:rPr>
              <w:t>%</w:t>
            </w:r>
          </w:p>
        </w:tc>
        <w:tc>
          <w:tcPr>
            <w:tcW w:w="2268" w:type="dxa"/>
            <w:tcBorders>
              <w:top w:val="nil"/>
              <w:bottom w:val="nil"/>
            </w:tcBorders>
          </w:tcPr>
          <w:p w14:paraId="477838A3" w14:textId="469DE7CB" w:rsidR="00692657" w:rsidRPr="002614C7" w:rsidRDefault="00692657" w:rsidP="00C34BFA">
            <w:pPr>
              <w:pStyle w:val="BodyText"/>
              <w:spacing w:before="45" w:after="45"/>
              <w:ind w:left="57" w:right="108"/>
              <w:jc w:val="right"/>
              <w:rPr>
                <w:rFonts w:cs="Open Sans"/>
                <w:color w:val="000000"/>
                <w:sz w:val="18"/>
              </w:rPr>
            </w:pPr>
            <w:r>
              <w:rPr>
                <w:rFonts w:cs="Open Sans"/>
                <w:color w:val="000000"/>
                <w:sz w:val="18"/>
              </w:rPr>
              <w:t>–</w:t>
            </w:r>
          </w:p>
        </w:tc>
      </w:tr>
      <w:tr w:rsidR="00C34BFA" w:rsidRPr="00021BA1" w14:paraId="3935D6D4" w14:textId="77777777" w:rsidTr="008473D8">
        <w:tc>
          <w:tcPr>
            <w:tcW w:w="5103" w:type="dxa"/>
            <w:tcBorders>
              <w:top w:val="nil"/>
              <w:bottom w:val="nil"/>
            </w:tcBorders>
          </w:tcPr>
          <w:p w14:paraId="6CF5DF82" w14:textId="116A9B60" w:rsidR="00C34BFA" w:rsidRDefault="00C34BFA">
            <w:pPr>
              <w:pStyle w:val="BodyText"/>
              <w:spacing w:before="45" w:after="45"/>
              <w:ind w:left="57" w:right="108"/>
              <w:rPr>
                <w:rFonts w:cs="Open Sans"/>
                <w:b/>
                <w:color w:val="1D4374"/>
                <w:sz w:val="18"/>
              </w:rPr>
            </w:pPr>
            <w:r>
              <w:rPr>
                <w:rFonts w:cs="Open Sans"/>
                <w:b/>
                <w:color w:val="1D4374"/>
                <w:sz w:val="18"/>
              </w:rPr>
              <w:t>Capacity utilisation</w:t>
            </w:r>
          </w:p>
        </w:tc>
        <w:tc>
          <w:tcPr>
            <w:tcW w:w="2267" w:type="dxa"/>
            <w:tcBorders>
              <w:top w:val="nil"/>
              <w:bottom w:val="nil"/>
            </w:tcBorders>
          </w:tcPr>
          <w:p w14:paraId="2F8C7BE2" w14:textId="760F89E4" w:rsidR="00C34BFA" w:rsidRPr="008473D8" w:rsidRDefault="00C34BFA" w:rsidP="008473D8">
            <w:pPr>
              <w:pStyle w:val="BodyText"/>
              <w:spacing w:before="45" w:after="45"/>
              <w:ind w:left="57" w:right="108"/>
              <w:jc w:val="right"/>
              <w:rPr>
                <w:color w:val="A22D2B"/>
                <w:sz w:val="18"/>
                <w:szCs w:val="18"/>
              </w:rPr>
            </w:pPr>
            <w:r w:rsidRPr="008473D8">
              <w:rPr>
                <w:color w:val="A22D2B"/>
                <w:sz w:val="18"/>
                <w:szCs w:val="18"/>
              </w:rPr>
              <w:t>–1.6%</w:t>
            </w:r>
          </w:p>
        </w:tc>
        <w:tc>
          <w:tcPr>
            <w:tcW w:w="2268" w:type="dxa"/>
            <w:tcBorders>
              <w:top w:val="nil"/>
              <w:bottom w:val="nil"/>
            </w:tcBorders>
          </w:tcPr>
          <w:p w14:paraId="3B79581B" w14:textId="771F3388" w:rsidR="00C34BFA" w:rsidRDefault="00C34BFA" w:rsidP="008473D8">
            <w:pPr>
              <w:pStyle w:val="BodyText"/>
              <w:spacing w:before="45" w:after="45"/>
              <w:ind w:left="57" w:right="108"/>
              <w:jc w:val="right"/>
              <w:rPr>
                <w:rFonts w:cs="Open Sans"/>
                <w:color w:val="000000"/>
                <w:sz w:val="18"/>
              </w:rPr>
            </w:pPr>
            <w:r>
              <w:rPr>
                <w:rFonts w:cs="Open Sans"/>
                <w:color w:val="000000"/>
                <w:sz w:val="18"/>
              </w:rPr>
              <w:t>–</w:t>
            </w:r>
          </w:p>
        </w:tc>
      </w:tr>
      <w:tr w:rsidR="00692657" w:rsidRPr="00021BA1" w14:paraId="0E5D4AE4" w14:textId="77777777" w:rsidTr="008473D8">
        <w:tc>
          <w:tcPr>
            <w:tcW w:w="5103" w:type="dxa"/>
            <w:shd w:val="clear" w:color="auto" w:fill="E6E6E6"/>
          </w:tcPr>
          <w:p w14:paraId="278F1CE0" w14:textId="77777777" w:rsidR="00692657" w:rsidRPr="002614C7" w:rsidRDefault="00692657">
            <w:pPr>
              <w:pStyle w:val="BodyText"/>
              <w:spacing w:before="45" w:after="45"/>
              <w:ind w:left="57" w:right="108"/>
              <w:rPr>
                <w:rFonts w:cs="Open Sans"/>
                <w:b/>
                <w:color w:val="1D4374"/>
                <w:sz w:val="18"/>
              </w:rPr>
            </w:pPr>
            <w:r>
              <w:rPr>
                <w:rFonts w:cs="Open Sans"/>
                <w:b/>
                <w:color w:val="1D4374"/>
                <w:sz w:val="18"/>
              </w:rPr>
              <w:t>Production</w:t>
            </w:r>
          </w:p>
        </w:tc>
        <w:tc>
          <w:tcPr>
            <w:tcW w:w="2267" w:type="dxa"/>
            <w:shd w:val="clear" w:color="auto" w:fill="E6E6E6"/>
          </w:tcPr>
          <w:p w14:paraId="3853787F" w14:textId="1167AB61" w:rsidR="00692657" w:rsidRPr="002614C7" w:rsidRDefault="00692657" w:rsidP="008473D8">
            <w:pPr>
              <w:pStyle w:val="BodyText"/>
              <w:spacing w:before="45" w:after="45"/>
              <w:ind w:left="57" w:right="108"/>
              <w:jc w:val="right"/>
              <w:rPr>
                <w:rFonts w:cs="Open Sans"/>
                <w:color w:val="000000"/>
                <w:sz w:val="18"/>
              </w:rPr>
            </w:pPr>
            <w:r>
              <w:rPr>
                <w:rFonts w:cs="Open Sans"/>
                <w:color w:val="000000"/>
                <w:sz w:val="18"/>
              </w:rPr>
              <w:t>+</w:t>
            </w:r>
            <w:r w:rsidR="00DC7038">
              <w:rPr>
                <w:rFonts w:cs="Open Sans"/>
                <w:color w:val="000000"/>
                <w:sz w:val="18"/>
              </w:rPr>
              <w:t>3.9</w:t>
            </w:r>
            <w:r>
              <w:rPr>
                <w:rFonts w:cs="Open Sans"/>
                <w:color w:val="000000"/>
                <w:sz w:val="18"/>
              </w:rPr>
              <w:t>%</w:t>
            </w:r>
          </w:p>
        </w:tc>
        <w:tc>
          <w:tcPr>
            <w:tcW w:w="2268" w:type="dxa"/>
            <w:shd w:val="clear" w:color="auto" w:fill="E6E6E6"/>
          </w:tcPr>
          <w:p w14:paraId="75425FAC" w14:textId="681F34D1" w:rsidR="00692657" w:rsidRPr="002614C7" w:rsidRDefault="00692657" w:rsidP="008473D8">
            <w:pPr>
              <w:pStyle w:val="BodyText"/>
              <w:spacing w:before="45" w:after="45"/>
              <w:ind w:left="57" w:right="108"/>
              <w:jc w:val="right"/>
              <w:rPr>
                <w:rFonts w:cs="Open Sans"/>
                <w:color w:val="000000"/>
                <w:sz w:val="18"/>
              </w:rPr>
            </w:pPr>
            <w:r>
              <w:rPr>
                <w:rFonts w:cs="Open Sans"/>
                <w:color w:val="000000"/>
                <w:sz w:val="18"/>
              </w:rPr>
              <w:t>+8</w:t>
            </w:r>
            <w:r w:rsidR="00DC7038">
              <w:rPr>
                <w:rFonts w:cs="Open Sans"/>
                <w:color w:val="000000"/>
                <w:sz w:val="18"/>
              </w:rPr>
              <w:t>.3</w:t>
            </w:r>
            <w:r>
              <w:rPr>
                <w:rFonts w:cs="Open Sans"/>
                <w:color w:val="000000"/>
                <w:sz w:val="18"/>
              </w:rPr>
              <w:t>%*</w:t>
            </w:r>
          </w:p>
        </w:tc>
      </w:tr>
      <w:tr w:rsidR="00692657" w:rsidRPr="00021BA1" w14:paraId="056417EC" w14:textId="77777777" w:rsidTr="008473D8">
        <w:tc>
          <w:tcPr>
            <w:tcW w:w="5103" w:type="dxa"/>
          </w:tcPr>
          <w:p w14:paraId="4B33D62F" w14:textId="3F6ED30D" w:rsidR="00692657" w:rsidRPr="002F2BAF" w:rsidRDefault="00692657" w:rsidP="00C34BFA">
            <w:pPr>
              <w:pStyle w:val="BodyText"/>
              <w:spacing w:before="45" w:after="45"/>
              <w:ind w:left="57" w:right="108"/>
              <w:rPr>
                <w:rFonts w:cs="Open Sans"/>
                <w:b/>
                <w:color w:val="1D4374"/>
                <w:sz w:val="18"/>
                <w:lang w:val="fr-CA"/>
              </w:rPr>
            </w:pPr>
            <w:proofErr w:type="spellStart"/>
            <w:r w:rsidRPr="002F2BAF">
              <w:rPr>
                <w:rFonts w:cs="Open Sans"/>
                <w:b/>
                <w:color w:val="1D4374"/>
                <w:sz w:val="18"/>
                <w:lang w:val="fr-CA"/>
              </w:rPr>
              <w:t>Absolute</w:t>
            </w:r>
            <w:proofErr w:type="spellEnd"/>
            <w:r w:rsidRPr="002F2BAF">
              <w:rPr>
                <w:rFonts w:cs="Open Sans"/>
                <w:b/>
                <w:color w:val="1D4374"/>
                <w:sz w:val="18"/>
                <w:lang w:val="fr-CA"/>
              </w:rPr>
              <w:t xml:space="preserve"> imports (tonnes)</w:t>
            </w:r>
          </w:p>
        </w:tc>
        <w:tc>
          <w:tcPr>
            <w:tcW w:w="2267" w:type="dxa"/>
          </w:tcPr>
          <w:p w14:paraId="5E7D0D7E" w14:textId="7FD9B94A" w:rsidR="00692657" w:rsidRPr="004A2682" w:rsidRDefault="00692657" w:rsidP="002D44C3">
            <w:pPr>
              <w:pStyle w:val="BodyText"/>
              <w:spacing w:before="45" w:after="45"/>
              <w:ind w:left="57" w:right="108"/>
              <w:jc w:val="right"/>
              <w:rPr>
                <w:rFonts w:cs="Open Sans"/>
                <w:color w:val="000000"/>
                <w:sz w:val="18"/>
              </w:rPr>
            </w:pPr>
            <w:r>
              <w:rPr>
                <w:rFonts w:cs="Open Sans"/>
                <w:color w:val="000000"/>
                <w:sz w:val="18"/>
              </w:rPr>
              <w:t>+</w:t>
            </w:r>
            <w:r w:rsidR="00366799">
              <w:rPr>
                <w:rFonts w:cs="Open Sans"/>
                <w:color w:val="000000"/>
                <w:sz w:val="18"/>
              </w:rPr>
              <w:t>4.8</w:t>
            </w:r>
            <w:r>
              <w:rPr>
                <w:rFonts w:cs="Open Sans"/>
                <w:color w:val="000000"/>
                <w:sz w:val="18"/>
              </w:rPr>
              <w:t>%</w:t>
            </w:r>
          </w:p>
        </w:tc>
        <w:tc>
          <w:tcPr>
            <w:tcW w:w="2268" w:type="dxa"/>
          </w:tcPr>
          <w:p w14:paraId="60F07FCF" w14:textId="06505495" w:rsidR="00692657" w:rsidRPr="004A2682" w:rsidRDefault="00692657" w:rsidP="002D44C3">
            <w:pPr>
              <w:pStyle w:val="BodyText"/>
              <w:spacing w:before="45" w:after="45"/>
              <w:ind w:left="57" w:right="108"/>
              <w:jc w:val="right"/>
              <w:rPr>
                <w:rFonts w:cs="Open Sans"/>
                <w:color w:val="000000"/>
                <w:sz w:val="18"/>
              </w:rPr>
            </w:pPr>
            <w:r>
              <w:rPr>
                <w:rFonts w:cs="Open Sans"/>
                <w:color w:val="000000"/>
                <w:sz w:val="18"/>
              </w:rPr>
              <w:t>+</w:t>
            </w:r>
            <w:r w:rsidR="00056EB7">
              <w:rPr>
                <w:rFonts w:cs="Open Sans"/>
                <w:color w:val="000000"/>
                <w:sz w:val="18"/>
              </w:rPr>
              <w:t>6.8</w:t>
            </w:r>
            <w:r>
              <w:rPr>
                <w:rFonts w:cs="Open Sans"/>
                <w:color w:val="000000"/>
                <w:sz w:val="18"/>
              </w:rPr>
              <w:t>%</w:t>
            </w:r>
          </w:p>
        </w:tc>
      </w:tr>
      <w:tr w:rsidR="00C34BFA" w:rsidRPr="00021BA1" w14:paraId="486C6123" w14:textId="77777777" w:rsidTr="008473D8">
        <w:tc>
          <w:tcPr>
            <w:tcW w:w="5103" w:type="dxa"/>
          </w:tcPr>
          <w:p w14:paraId="6FBD4475" w14:textId="7FC906B8" w:rsidR="00C34BFA" w:rsidRPr="002F2BAF" w:rsidRDefault="00C34BFA">
            <w:pPr>
              <w:pStyle w:val="BodyText"/>
              <w:spacing w:before="45" w:after="45"/>
              <w:ind w:left="57" w:right="108"/>
              <w:rPr>
                <w:rFonts w:cs="Open Sans"/>
                <w:b/>
                <w:color w:val="1D4374"/>
                <w:sz w:val="18"/>
                <w:lang w:val="fr-CA"/>
              </w:rPr>
            </w:pPr>
            <w:r w:rsidRPr="002F2BAF">
              <w:rPr>
                <w:rFonts w:cs="Open Sans"/>
                <w:b/>
                <w:color w:val="1D4374"/>
                <w:sz w:val="18"/>
                <w:lang w:val="fr-CA"/>
              </w:rPr>
              <w:t>Relative imports (tonnes)</w:t>
            </w:r>
          </w:p>
        </w:tc>
        <w:tc>
          <w:tcPr>
            <w:tcW w:w="2267" w:type="dxa"/>
          </w:tcPr>
          <w:p w14:paraId="4AF81EF6" w14:textId="526E50F5" w:rsidR="00C34BFA" w:rsidRDefault="00F92627" w:rsidP="008473D8">
            <w:pPr>
              <w:pStyle w:val="BodyText"/>
              <w:spacing w:before="45" w:after="45"/>
              <w:ind w:left="57" w:right="108"/>
              <w:jc w:val="right"/>
              <w:rPr>
                <w:rFonts w:cs="Open Sans"/>
                <w:color w:val="000000"/>
                <w:sz w:val="18"/>
              </w:rPr>
            </w:pPr>
            <w:r>
              <w:rPr>
                <w:rFonts w:cs="Open Sans"/>
                <w:color w:val="000000"/>
                <w:sz w:val="18"/>
              </w:rPr>
              <w:t>+</w:t>
            </w:r>
            <w:r w:rsidR="002D44C3" w:rsidRPr="002624A8">
              <w:rPr>
                <w:rFonts w:cs="Open Sans"/>
                <w:sz w:val="18"/>
              </w:rPr>
              <w:t>0.9 pp</w:t>
            </w:r>
          </w:p>
        </w:tc>
        <w:tc>
          <w:tcPr>
            <w:tcW w:w="2268" w:type="dxa"/>
          </w:tcPr>
          <w:p w14:paraId="2BC890EB" w14:textId="1DF369E7" w:rsidR="00C34BFA" w:rsidRDefault="002D44C3" w:rsidP="008473D8">
            <w:pPr>
              <w:pStyle w:val="BodyText"/>
              <w:spacing w:before="45" w:after="45"/>
              <w:ind w:left="57" w:right="108"/>
              <w:jc w:val="right"/>
              <w:rPr>
                <w:rFonts w:cs="Open Sans"/>
                <w:color w:val="000000"/>
                <w:sz w:val="18"/>
              </w:rPr>
            </w:pPr>
            <w:r w:rsidRPr="008473D8">
              <w:rPr>
                <w:rFonts w:cs="Open Sans"/>
                <w:color w:val="A22D2B"/>
                <w:sz w:val="18"/>
              </w:rPr>
              <w:t>-1.5 pp</w:t>
            </w:r>
            <w:r w:rsidRPr="008473D8">
              <w:rPr>
                <w:rFonts w:cs="Open Sans"/>
                <w:sz w:val="18"/>
              </w:rPr>
              <w:t>*</w:t>
            </w:r>
          </w:p>
        </w:tc>
      </w:tr>
      <w:tr w:rsidR="00692657" w:rsidRPr="00021BA1" w14:paraId="0984867C" w14:textId="77777777" w:rsidTr="008473D8">
        <w:tc>
          <w:tcPr>
            <w:tcW w:w="5103" w:type="dxa"/>
            <w:tcBorders>
              <w:bottom w:val="single" w:sz="4" w:space="0" w:color="B3B3B3"/>
            </w:tcBorders>
            <w:shd w:val="clear" w:color="auto" w:fill="E6E6E6"/>
          </w:tcPr>
          <w:p w14:paraId="6BF6658A" w14:textId="77777777" w:rsidR="00692657" w:rsidRDefault="00692657">
            <w:pPr>
              <w:pStyle w:val="BodyText"/>
              <w:spacing w:before="45" w:after="45"/>
              <w:ind w:left="57" w:right="108"/>
              <w:rPr>
                <w:rFonts w:cs="Open Sans"/>
                <w:b/>
                <w:color w:val="1D4374"/>
                <w:sz w:val="18"/>
                <w:szCs w:val="18"/>
              </w:rPr>
            </w:pPr>
            <w:r w:rsidRPr="0E4332DF">
              <w:rPr>
                <w:rFonts w:cs="Open Sans"/>
                <w:b/>
                <w:color w:val="1D4374"/>
                <w:sz w:val="18"/>
                <w:szCs w:val="18"/>
              </w:rPr>
              <w:t>Imports share of the domestic market (</w:t>
            </w:r>
            <w:r w:rsidRPr="17026047">
              <w:rPr>
                <w:rFonts w:cs="Open Sans"/>
                <w:b/>
                <w:bCs/>
                <w:color w:val="1D4374"/>
                <w:sz w:val="18"/>
                <w:szCs w:val="18"/>
              </w:rPr>
              <w:t xml:space="preserve">dollar </w:t>
            </w:r>
            <w:r w:rsidRPr="17026047">
              <w:rPr>
                <w:rFonts w:cs="Open Sans"/>
                <w:b/>
                <w:color w:val="1D4374"/>
                <w:sz w:val="18"/>
                <w:szCs w:val="18"/>
              </w:rPr>
              <w:t>value</w:t>
            </w:r>
            <w:r w:rsidRPr="0E4332DF">
              <w:rPr>
                <w:rFonts w:cs="Open Sans"/>
                <w:b/>
                <w:color w:val="1D4374"/>
                <w:sz w:val="18"/>
                <w:szCs w:val="18"/>
              </w:rPr>
              <w:t>)</w:t>
            </w:r>
          </w:p>
        </w:tc>
        <w:tc>
          <w:tcPr>
            <w:tcW w:w="2267" w:type="dxa"/>
            <w:tcBorders>
              <w:bottom w:val="single" w:sz="4" w:space="0" w:color="B3B3B3"/>
            </w:tcBorders>
            <w:shd w:val="clear" w:color="auto" w:fill="E6E6E6"/>
          </w:tcPr>
          <w:p w14:paraId="66A250CC" w14:textId="77777777" w:rsidR="00692657" w:rsidRPr="008473D8" w:rsidRDefault="00692657" w:rsidP="008473D8">
            <w:pPr>
              <w:pStyle w:val="BodyText"/>
              <w:spacing w:before="45" w:after="45"/>
              <w:ind w:left="57" w:right="108"/>
              <w:jc w:val="right"/>
              <w:rPr>
                <w:rFonts w:cs="Open Sans"/>
                <w:color w:val="A22D2B"/>
                <w:sz w:val="18"/>
              </w:rPr>
            </w:pPr>
            <w:r w:rsidRPr="008473D8">
              <w:rPr>
                <w:rFonts w:cs="Open Sans"/>
                <w:color w:val="A22D2B"/>
                <w:sz w:val="18"/>
              </w:rPr>
              <w:t>–0.1 pp</w:t>
            </w:r>
          </w:p>
        </w:tc>
        <w:tc>
          <w:tcPr>
            <w:tcW w:w="2268" w:type="dxa"/>
            <w:tcBorders>
              <w:bottom w:val="single" w:sz="4" w:space="0" w:color="B3B3B3"/>
            </w:tcBorders>
            <w:shd w:val="clear" w:color="auto" w:fill="E6E6E6"/>
          </w:tcPr>
          <w:p w14:paraId="7C029113" w14:textId="77777777" w:rsidR="00692657" w:rsidRPr="004A2682" w:rsidRDefault="00692657" w:rsidP="008473D8">
            <w:pPr>
              <w:pStyle w:val="BodyText"/>
              <w:spacing w:before="45" w:after="45"/>
              <w:ind w:left="57" w:right="108"/>
              <w:jc w:val="right"/>
              <w:rPr>
                <w:rFonts w:cs="Open Sans"/>
                <w:color w:val="000000"/>
                <w:sz w:val="18"/>
              </w:rPr>
            </w:pPr>
            <w:r w:rsidRPr="008473D8">
              <w:rPr>
                <w:rFonts w:cs="Open Sans"/>
                <w:color w:val="A22D2B"/>
                <w:sz w:val="18"/>
              </w:rPr>
              <w:t>–</w:t>
            </w:r>
            <w:r w:rsidRPr="008473D8" w:rsidDel="00A45088">
              <w:rPr>
                <w:rFonts w:cs="Open Sans"/>
                <w:color w:val="A22D2B"/>
                <w:sz w:val="18"/>
              </w:rPr>
              <w:t>1</w:t>
            </w:r>
            <w:r w:rsidRPr="008473D8">
              <w:rPr>
                <w:rFonts w:cs="Open Sans"/>
                <w:color w:val="A22D2B"/>
                <w:sz w:val="18"/>
              </w:rPr>
              <w:t>.1 pp</w:t>
            </w:r>
            <w:r w:rsidRPr="00A13B9F">
              <w:rPr>
                <w:rFonts w:cs="Open Sans"/>
                <w:sz w:val="18"/>
              </w:rPr>
              <w:t>*</w:t>
            </w:r>
          </w:p>
        </w:tc>
      </w:tr>
    </w:tbl>
    <w:p w14:paraId="3C27EAD6" w14:textId="34C30F8B" w:rsidR="00692657" w:rsidRDefault="00692657" w:rsidP="00011592">
      <w:pPr>
        <w:pStyle w:val="Note"/>
      </w:pPr>
      <w:r>
        <w:t xml:space="preserve">* </w:t>
      </w:r>
      <w:proofErr w:type="gramStart"/>
      <w:r>
        <w:t>indicates</w:t>
      </w:r>
      <w:proofErr w:type="gramEnd"/>
      <w:r>
        <w:t xml:space="preserve"> the data point is imputed. Appendix B provides further detail on imputation methods.</w:t>
      </w:r>
    </w:p>
    <w:p w14:paraId="6268D886" w14:textId="363C26BF" w:rsidR="00692657" w:rsidRPr="006C698C" w:rsidRDefault="00692657" w:rsidP="006C698C">
      <w:pPr>
        <w:pStyle w:val="Source"/>
      </w:pPr>
      <w:r w:rsidRPr="006C698C">
        <w:t xml:space="preserve">Source: PC analysis </w:t>
      </w:r>
      <w:r w:rsidR="002647A4" w:rsidRPr="006C698C">
        <w:t>of</w:t>
      </w:r>
      <w:r w:rsidRPr="006C698C">
        <w:t xml:space="preserve"> </w:t>
      </w:r>
      <w:r w:rsidR="008A7A44" w:rsidRPr="006C698C">
        <w:t>ABS</w:t>
      </w:r>
      <w:r w:rsidRPr="006C698C">
        <w:t xml:space="preserve"> data and other supplementary sources as described in </w:t>
      </w:r>
      <w:r w:rsidR="006478EB" w:rsidRPr="006C698C">
        <w:t>a</w:t>
      </w:r>
      <w:r w:rsidRPr="006C698C">
        <w:t>ppendix B.</w:t>
      </w:r>
    </w:p>
    <w:p w14:paraId="6B478324" w14:textId="77777777" w:rsidR="00692657" w:rsidRDefault="00692657" w:rsidP="00011592">
      <w:pPr>
        <w:pStyle w:val="Heading3-noTOC"/>
      </w:pPr>
      <w:r>
        <w:t xml:space="preserve">Several factors may influence industry performance in future years but not with enough certainty to change the assessment </w:t>
      </w:r>
    </w:p>
    <w:p w14:paraId="317EDC96" w14:textId="77777777" w:rsidR="00692657" w:rsidRPr="008473D8" w:rsidRDefault="00692657" w:rsidP="00011592">
      <w:pPr>
        <w:pStyle w:val="BodyText"/>
        <w:rPr>
          <w:color w:val="000000" w:themeColor="text1"/>
          <w:spacing w:val="-2"/>
        </w:rPr>
      </w:pPr>
      <w:r w:rsidRPr="008473D8">
        <w:rPr>
          <w:color w:val="000000" w:themeColor="text1"/>
          <w:spacing w:val="-2"/>
        </w:rPr>
        <w:t>The project–based nature of the industry means that the business outcomes observed in the data reflect previous work won. Throughout the course of this inquiry participants have highlighted several factors which may impact industry performance, both contemporaneously to this inquiry and in future periods:</w:t>
      </w:r>
    </w:p>
    <w:p w14:paraId="6AE13E88" w14:textId="214A77A5" w:rsidR="00692657" w:rsidRPr="00705199" w:rsidRDefault="00692657" w:rsidP="00011592">
      <w:pPr>
        <w:pStyle w:val="ListBullet"/>
      </w:pPr>
      <w:r w:rsidRPr="002F2BAF">
        <w:t>Domestic fabricators may be winning work in unsustainable way</w:t>
      </w:r>
      <w:r>
        <w:t>s. The ASI’s application suggests that ‘Where the Australian industry has secured projects, project margins have been materially eroded’ (2026, p.</w:t>
      </w:r>
      <w:r w:rsidR="00541146">
        <w:t> </w:t>
      </w:r>
      <w:r>
        <w:t>3) and t</w:t>
      </w:r>
      <w:r w:rsidRPr="003C1B11">
        <w:t>he Australian Industry Group s</w:t>
      </w:r>
      <w:r>
        <w:t xml:space="preserve">ubmitted that </w:t>
      </w:r>
      <w:r w:rsidRPr="003C1B11">
        <w:t xml:space="preserve">some firms were accepting contracts at low or negative margins to retain </w:t>
      </w:r>
      <w:r w:rsidRPr="00705199">
        <w:t>staff and maintain throughput (sub.</w:t>
      </w:r>
      <w:r w:rsidR="00541146">
        <w:t> </w:t>
      </w:r>
      <w:r w:rsidRPr="00705199">
        <w:t>32, p.</w:t>
      </w:r>
      <w:r w:rsidR="00541146">
        <w:t> </w:t>
      </w:r>
      <w:r w:rsidRPr="00705199">
        <w:t xml:space="preserve">4). </w:t>
      </w:r>
      <w:proofErr w:type="gramStart"/>
      <w:r w:rsidRPr="00705199">
        <w:t>A number of</w:t>
      </w:r>
      <w:proofErr w:type="gramEnd"/>
      <w:r w:rsidRPr="00705199">
        <w:t xml:space="preserve"> fabricators have flagged that while they continue to operate, their business is not sustainable in the face of ongoing import competition.</w:t>
      </w:r>
      <w:r w:rsidRPr="00AA655A">
        <w:rPr>
          <w:rStyle w:val="FootnoteReference"/>
        </w:rPr>
        <w:footnoteReference w:id="25"/>
      </w:r>
      <w:r w:rsidRPr="00705199">
        <w:t xml:space="preserve"> </w:t>
      </w:r>
    </w:p>
    <w:p w14:paraId="5E28D1A7" w14:textId="6E8C52EB" w:rsidR="00692657" w:rsidRPr="00705199" w:rsidRDefault="00692657" w:rsidP="00011592">
      <w:pPr>
        <w:pStyle w:val="ListBullet"/>
      </w:pPr>
      <w:r w:rsidRPr="00705199">
        <w:rPr>
          <w:color w:val="000000" w:themeColor="text1"/>
        </w:rPr>
        <w:t xml:space="preserve">Investment is being held back, impacting future competitiveness. </w:t>
      </w:r>
      <w:r w:rsidRPr="00705199">
        <w:t>Stevens Group (sub.</w:t>
      </w:r>
      <w:r w:rsidR="00541146">
        <w:t> </w:t>
      </w:r>
      <w:r w:rsidRPr="00705199">
        <w:t>5, p.</w:t>
      </w:r>
      <w:r w:rsidR="00541146">
        <w:t> </w:t>
      </w:r>
      <w:r w:rsidRPr="00705199">
        <w:t xml:space="preserve">3) stated that investment was being held back to preserve cash flow, including upgrades to fabrication technology and operational efficiency. </w:t>
      </w:r>
      <w:proofErr w:type="gramStart"/>
      <w:r w:rsidRPr="00705199">
        <w:t>A number of</w:t>
      </w:r>
      <w:proofErr w:type="gramEnd"/>
      <w:r w:rsidRPr="00705199">
        <w:t xml:space="preserve"> other inquiry participants made similar </w:t>
      </w:r>
      <w:r>
        <w:t>comments</w:t>
      </w:r>
      <w:r w:rsidRPr="00705199">
        <w:t>.</w:t>
      </w:r>
      <w:r w:rsidRPr="00705199">
        <w:rPr>
          <w:rStyle w:val="FootnoteReference"/>
        </w:rPr>
        <w:footnoteReference w:id="26"/>
      </w:r>
      <w:r>
        <w:t xml:space="preserve"> </w:t>
      </w:r>
      <w:r w:rsidRPr="004E2503">
        <w:t>Investment recorded</w:t>
      </w:r>
      <w:r>
        <w:t xml:space="preserve"> in </w:t>
      </w:r>
      <w:r w:rsidRPr="004E2503">
        <w:t>the administrative</w:t>
      </w:r>
      <w:r>
        <w:t xml:space="preserve"> data for the </w:t>
      </w:r>
      <w:r w:rsidRPr="004E2503">
        <w:t>population analysed</w:t>
      </w:r>
      <w:r>
        <w:t xml:space="preserve"> above declined by 6.3% </w:t>
      </w:r>
      <w:r w:rsidRPr="004E2503">
        <w:t>in</w:t>
      </w:r>
      <w:r>
        <w:t xml:space="preserve"> </w:t>
      </w:r>
      <w:r w:rsidRPr="004E2503">
        <w:t>202</w:t>
      </w:r>
      <w:r>
        <w:t>4–</w:t>
      </w:r>
      <w:r w:rsidRPr="004E2503">
        <w:t>2</w:t>
      </w:r>
      <w:r>
        <w:t xml:space="preserve">5, after increasing </w:t>
      </w:r>
      <w:r w:rsidRPr="004E2503">
        <w:t xml:space="preserve">by </w:t>
      </w:r>
      <w:r>
        <w:t>an average of 5.8</w:t>
      </w:r>
      <w:r w:rsidR="000E07E6">
        <w:t xml:space="preserve"> percentage points</w:t>
      </w:r>
      <w:r>
        <w:t xml:space="preserve"> per year </w:t>
      </w:r>
      <w:r w:rsidRPr="004E2503">
        <w:t>over</w:t>
      </w:r>
      <w:r>
        <w:t xml:space="preserve"> the first </w:t>
      </w:r>
      <w:r w:rsidR="001A2016">
        <w:t>4</w:t>
      </w:r>
      <w:r w:rsidRPr="004E2503">
        <w:t xml:space="preserve"> years</w:t>
      </w:r>
      <w:r>
        <w:t xml:space="preserve"> of the investigation period.</w:t>
      </w:r>
      <w:r>
        <w:rPr>
          <w:rStyle w:val="FootnoteReference"/>
        </w:rPr>
        <w:footnoteReference w:id="27"/>
      </w:r>
    </w:p>
    <w:p w14:paraId="5EFFE362" w14:textId="77777777" w:rsidR="00692657" w:rsidRPr="00705199" w:rsidRDefault="00692657" w:rsidP="00436F53">
      <w:pPr>
        <w:pStyle w:val="BodyText"/>
        <w:rPr>
          <w:color w:val="000000" w:themeColor="text1"/>
        </w:rPr>
      </w:pPr>
      <w:r>
        <w:lastRenderedPageBreak/>
        <w:t>However, w</w:t>
      </w:r>
      <w:r w:rsidRPr="00705199">
        <w:t>hen considered in the context of the most recent data, the factors set out above do not meet the required evidentiary threshold for an assessment of threat of serious injury.</w:t>
      </w:r>
    </w:p>
    <w:p w14:paraId="19C32023" w14:textId="77777777" w:rsidR="00692657" w:rsidRPr="00705199" w:rsidRDefault="00692657" w:rsidP="00011592">
      <w:pPr>
        <w:pStyle w:val="Heading4"/>
      </w:pPr>
      <w:r w:rsidRPr="00705199">
        <w:t>Demand for FSS including imports</w:t>
      </w:r>
      <w:r>
        <w:t xml:space="preserve"> is</w:t>
      </w:r>
      <w:r w:rsidRPr="00705199">
        <w:t xml:space="preserve"> likely to remain firm</w:t>
      </w:r>
    </w:p>
    <w:p w14:paraId="6DB4AA04" w14:textId="01FED34B" w:rsidR="00692657" w:rsidRPr="00705199" w:rsidRDefault="00692657" w:rsidP="00011592">
      <w:pPr>
        <w:pStyle w:val="BodyText"/>
        <w:rPr>
          <w:color w:val="000000" w:themeColor="text1"/>
        </w:rPr>
      </w:pPr>
      <w:r w:rsidRPr="00705199">
        <w:rPr>
          <w:color w:val="000000" w:themeColor="text1"/>
        </w:rPr>
        <w:t xml:space="preserve">Demand for FSS is expected to remain strong into the future, with Infrastructure Australia forecasting $1.14 trillion of construction expenditure between 2024–25 and 2028–29 </w:t>
      </w:r>
      <w:r w:rsidRPr="009D1F96">
        <w:rPr>
          <w:rFonts w:cs="Open Sans"/>
        </w:rPr>
        <w:t>(Infrastructure Australia 2025, p. 20)</w:t>
      </w:r>
      <w:r w:rsidRPr="00705199">
        <w:rPr>
          <w:color w:val="000000" w:themeColor="text1"/>
        </w:rPr>
        <w:t xml:space="preserve">. </w:t>
      </w:r>
    </w:p>
    <w:p w14:paraId="46EB4A59" w14:textId="08CCC9EF" w:rsidR="00692657" w:rsidRPr="00705199" w:rsidRDefault="00692657" w:rsidP="00011592">
      <w:pPr>
        <w:pStyle w:val="BodyText"/>
        <w:rPr>
          <w:rFonts w:ascii="Open Sans Extrabold" w:eastAsiaTheme="majorEastAsia" w:hAnsi="Open Sans Extrabold" w:cstheme="majorBidi"/>
          <w:iCs/>
          <w:color w:val="1C4373" w:themeColor="background2" w:themeShade="BF"/>
          <w:sz w:val="22"/>
          <w:szCs w:val="33"/>
        </w:rPr>
      </w:pPr>
      <w:r w:rsidRPr="00705199">
        <w:rPr>
          <w:color w:val="000000" w:themeColor="text1"/>
        </w:rPr>
        <w:t>Imports have trended upward since 2016–17 and preliminary data for the first 3 quarters of 2025–26 suggest this has continued beyond the period of investigation (chapter</w:t>
      </w:r>
      <w:r w:rsidR="00541146">
        <w:rPr>
          <w:color w:val="000000" w:themeColor="text1"/>
        </w:rPr>
        <w:t> </w:t>
      </w:r>
      <w:r w:rsidRPr="00705199">
        <w:rPr>
          <w:color w:val="000000" w:themeColor="text1"/>
        </w:rPr>
        <w:t xml:space="preserve">3). </w:t>
      </w:r>
    </w:p>
    <w:p w14:paraId="4B900B94" w14:textId="77777777" w:rsidR="00692657" w:rsidRPr="00BC4F2D" w:rsidRDefault="00692657" w:rsidP="00011592">
      <w:pPr>
        <w:pStyle w:val="BodyText"/>
      </w:pPr>
      <w:r>
        <w:t>Ongoing</w:t>
      </w:r>
      <w:r w:rsidRPr="00705199">
        <w:t xml:space="preserve"> growth in imports does not necessarily indicate the industry </w:t>
      </w:r>
      <w:proofErr w:type="gramStart"/>
      <w:r w:rsidRPr="00705199">
        <w:t>as a whole will</w:t>
      </w:r>
      <w:proofErr w:type="gramEnd"/>
      <w:r w:rsidRPr="00705199">
        <w:t xml:space="preserve"> experience serious injury. Historically, the relationship between import growth and industry performance has not been straightforward</w:t>
      </w:r>
      <w:r w:rsidRPr="00BC4F2D">
        <w:t xml:space="preserve">. </w:t>
      </w:r>
      <w:r>
        <w:t>G</w:t>
      </w:r>
      <w:r w:rsidRPr="00BC4F2D">
        <w:t xml:space="preserve">rowth in imports observed during the investigation period was accompanied by </w:t>
      </w:r>
      <w:r>
        <w:t>improvement in the indicators of most injury factors for most of the investigation period.</w:t>
      </w:r>
    </w:p>
    <w:p w14:paraId="09FCE70C" w14:textId="2E271080" w:rsidR="00692657" w:rsidRPr="006C698C" w:rsidRDefault="00692657" w:rsidP="00011592">
      <w:pPr>
        <w:pStyle w:val="BodyText"/>
        <w:rPr>
          <w:spacing w:val="-2"/>
        </w:rPr>
      </w:pPr>
      <w:r>
        <w:t xml:space="preserve">The </w:t>
      </w:r>
      <w:r w:rsidRPr="006C698C">
        <w:rPr>
          <w:spacing w:val="-2"/>
        </w:rPr>
        <w:t xml:space="preserve">available evidence does not establish that serious injury of the domestic industry is clearly imminent. </w:t>
      </w:r>
    </w:p>
    <w:p w14:paraId="463864B1" w14:textId="77777777" w:rsidR="00692657" w:rsidRPr="00262D6B" w:rsidRDefault="00692657" w:rsidP="00011592">
      <w:pPr>
        <w:pStyle w:val="Heading2"/>
        <w:rPr>
          <w:color w:val="auto"/>
        </w:rPr>
      </w:pPr>
      <w:bookmarkStart w:id="36" w:name="_Toc238643913"/>
      <w:r w:rsidRPr="00377EB6">
        <w:rPr>
          <w:color w:val="auto"/>
        </w:rPr>
        <w:t>Assessment of overall impairment and threat thereof</w:t>
      </w:r>
      <w:bookmarkEnd w:id="36"/>
    </w:p>
    <w:tbl>
      <w:tblPr>
        <w:tblStyle w:val="TableGrid"/>
        <w:tblW w:w="5000" w:type="pct"/>
        <w:tblBorders>
          <w:top w:val="single" w:sz="4" w:space="0" w:color="2B9AC2" w:themeColor="text2"/>
          <w:left w:val="single" w:sz="4" w:space="0" w:color="2B9AC2" w:themeColor="text2"/>
          <w:bottom w:val="single" w:sz="4" w:space="0" w:color="2B9AC2" w:themeColor="text2"/>
          <w:right w:val="single" w:sz="4" w:space="0" w:color="2B9AC2" w:themeColor="text2"/>
          <w:insideH w:val="none" w:sz="0" w:space="0" w:color="auto"/>
          <w:insideV w:val="none" w:sz="0" w:space="0" w:color="auto"/>
        </w:tblBorders>
        <w:tblCellMar>
          <w:bottom w:w="113" w:type="dxa"/>
        </w:tblCellMar>
        <w:tblLook w:val="04A0" w:firstRow="1" w:lastRow="0" w:firstColumn="1" w:lastColumn="0" w:noHBand="0" w:noVBand="1"/>
      </w:tblPr>
      <w:tblGrid>
        <w:gridCol w:w="705"/>
        <w:gridCol w:w="8923"/>
      </w:tblGrid>
      <w:tr w:rsidR="00692657" w14:paraId="5D9D8505" w14:textId="77777777">
        <w:trPr>
          <w:trHeight w:val="765"/>
          <w:tblHeader/>
        </w:trPr>
        <w:tc>
          <w:tcPr>
            <w:tcW w:w="366" w:type="pct"/>
            <w:tcBorders>
              <w:bottom w:val="nil"/>
            </w:tcBorders>
            <w:tcMar>
              <w:bottom w:w="0" w:type="dxa"/>
            </w:tcMar>
            <w:vAlign w:val="center"/>
          </w:tcPr>
          <w:p w14:paraId="7C7BB004" w14:textId="77777777" w:rsidR="00692657" w:rsidRDefault="00692657" w:rsidP="00081C0E">
            <w:pPr>
              <w:pStyle w:val="BodyText"/>
            </w:pPr>
            <w:r w:rsidRPr="00A51374">
              <w:rPr>
                <w:noProof/>
              </w:rPr>
              <w:drawing>
                <wp:inline distT="0" distB="0" distL="0" distR="0" wp14:anchorId="098FBCED" wp14:editId="6A4F770F">
                  <wp:extent cx="288000" cy="288000"/>
                  <wp:effectExtent l="0" t="0" r="0" b="0"/>
                  <wp:docPr id="1286953229" name="Graphic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phic 39">
                            <a:extLst>
                              <a:ext uri="{C183D7F6-B498-43B3-948B-1728B52AA6E4}">
                                <adec:decorative xmlns:adec="http://schemas.microsoft.com/office/drawing/2017/decorative" val="1"/>
                              </a:ext>
                            </a:extLst>
                          </pic:cNvPr>
                          <pic:cNvPicPr/>
                        </pic:nvPicPr>
                        <pic:blipFill>
                          <a:blip r:embed="rId59">
                            <a:extLst>
                              <a:ext uri="{28A0092B-C50C-407E-A947-70E740481C1C}">
                                <a14:useLocalDpi xmlns:a14="http://schemas.microsoft.com/office/drawing/2010/main" val="0"/>
                              </a:ext>
                            </a:extLst>
                          </a:blip>
                          <a:stretch>
                            <a:fillRect/>
                          </a:stretch>
                        </pic:blipFill>
                        <pic:spPr>
                          <a:xfrm>
                            <a:off x="0" y="0"/>
                            <a:ext cx="288000" cy="288000"/>
                          </a:xfrm>
                          <a:prstGeom prst="rect">
                            <a:avLst/>
                          </a:prstGeom>
                        </pic:spPr>
                      </pic:pic>
                    </a:graphicData>
                  </a:graphic>
                </wp:inline>
              </w:drawing>
            </w:r>
          </w:p>
        </w:tc>
        <w:tc>
          <w:tcPr>
            <w:tcW w:w="4634" w:type="pct"/>
            <w:tcBorders>
              <w:bottom w:val="nil"/>
            </w:tcBorders>
            <w:tcMar>
              <w:bottom w:w="0" w:type="dxa"/>
            </w:tcMar>
            <w:vAlign w:val="center"/>
          </w:tcPr>
          <w:p w14:paraId="301C81DD" w14:textId="77777777" w:rsidR="00692657" w:rsidRPr="00A4395A" w:rsidRDefault="00692657" w:rsidP="006C698C">
            <w:pPr>
              <w:pStyle w:val="FindingRecRequesttitle"/>
            </w:pPr>
            <w:r w:rsidRPr="00A4395A">
              <w:t xml:space="preserve">Finding </w:t>
            </w:r>
            <w:r>
              <w:t>4.1</w:t>
            </w:r>
          </w:p>
          <w:p w14:paraId="50AED13A" w14:textId="77777777" w:rsidR="00692657" w:rsidRDefault="00692657" w:rsidP="006C698C">
            <w:pPr>
              <w:pStyle w:val="FindingRecRequesttitle"/>
            </w:pPr>
            <w:r>
              <w:t>T</w:t>
            </w:r>
            <w:r w:rsidRPr="001E2C55">
              <w:t xml:space="preserve">he Australian fabricated structural steel industry </w:t>
            </w:r>
            <w:proofErr w:type="gramStart"/>
            <w:r>
              <w:t xml:space="preserve">as a whole </w:t>
            </w:r>
            <w:r w:rsidRPr="001E2C55">
              <w:t>is</w:t>
            </w:r>
            <w:proofErr w:type="gramEnd"/>
            <w:r w:rsidRPr="001E2C55">
              <w:t xml:space="preserve"> not suffering serious injury and there is not a threat of serious injury</w:t>
            </w:r>
            <w:r w:rsidRPr="001E2C55" w:rsidDel="006D4764">
              <w:t xml:space="preserve"> </w:t>
            </w:r>
          </w:p>
        </w:tc>
      </w:tr>
      <w:tr w:rsidR="00692657" w14:paraId="7DF81AAE" w14:textId="77777777">
        <w:tc>
          <w:tcPr>
            <w:tcW w:w="5000" w:type="pct"/>
            <w:gridSpan w:val="2"/>
            <w:tcBorders>
              <w:top w:val="nil"/>
              <w:bottom w:val="single" w:sz="4" w:space="0" w:color="2B9AC2" w:themeColor="text2"/>
            </w:tcBorders>
          </w:tcPr>
          <w:p w14:paraId="7F0500AE" w14:textId="77777777" w:rsidR="00692657" w:rsidRDefault="00692657">
            <w:pPr>
              <w:pStyle w:val="BodyText"/>
              <w:keepLines/>
            </w:pPr>
            <w:r>
              <w:t>During the investigation period the industry experienced an increase in production, sales, profit and employment. The available evidence does not establish that there is threat of serious injury.</w:t>
            </w:r>
          </w:p>
        </w:tc>
      </w:tr>
    </w:tbl>
    <w:p w14:paraId="5784518E" w14:textId="77777777" w:rsidR="00072C49" w:rsidRDefault="00072C49" w:rsidP="00AB53B3">
      <w:pPr>
        <w:pStyle w:val="BodyText"/>
      </w:pPr>
    </w:p>
    <w:p w14:paraId="6F42253C" w14:textId="77777777" w:rsidR="00AB53B3" w:rsidRDefault="00AB53B3" w:rsidP="00AB53B3">
      <w:pPr>
        <w:pStyle w:val="BodyText"/>
        <w:sectPr w:rsidR="00AB53B3" w:rsidSect="009F03DF">
          <w:headerReference w:type="even" r:id="rId74"/>
          <w:headerReference w:type="default" r:id="rId75"/>
          <w:footerReference w:type="even" r:id="rId76"/>
          <w:footerReference w:type="default" r:id="rId77"/>
          <w:headerReference w:type="first" r:id="rId78"/>
          <w:type w:val="oddPage"/>
          <w:pgSz w:w="11906" w:h="16838" w:code="9"/>
          <w:pgMar w:top="1134" w:right="1134" w:bottom="1134" w:left="1134" w:header="794" w:footer="510" w:gutter="0"/>
          <w:cols w:space="708"/>
          <w:docGrid w:linePitch="360"/>
        </w:sectPr>
      </w:pPr>
    </w:p>
    <w:p w14:paraId="70C13495" w14:textId="77777777" w:rsidR="00762328" w:rsidRDefault="00762328" w:rsidP="00D2053A">
      <w:pPr>
        <w:pStyle w:val="Heading1"/>
      </w:pPr>
      <w:bookmarkStart w:id="37" w:name="_Toc238643914"/>
      <w:r>
        <w:lastRenderedPageBreak/>
        <w:t>Are the conditions for safeguard measures met?</w:t>
      </w:r>
      <w:bookmarkEnd w:id="37"/>
    </w:p>
    <w:tbl>
      <w:tblPr>
        <w:tblStyle w:val="Texttable-Paleblue"/>
        <w:tblW w:w="5000" w:type="pct"/>
        <w:shd w:val="clear" w:color="auto" w:fill="E7F6FD"/>
        <w:tblLook w:val="04A0" w:firstRow="1" w:lastRow="0" w:firstColumn="1" w:lastColumn="0" w:noHBand="0" w:noVBand="1"/>
      </w:tblPr>
      <w:tblGrid>
        <w:gridCol w:w="577"/>
        <w:gridCol w:w="9061"/>
      </w:tblGrid>
      <w:tr w:rsidR="00762328" w:rsidRPr="002F759A" w14:paraId="2C6307DE" w14:textId="77777777" w:rsidTr="00011592">
        <w:tc>
          <w:tcPr>
            <w:tcW w:w="9638" w:type="dxa"/>
            <w:gridSpan w:val="2"/>
            <w:shd w:val="clear" w:color="auto" w:fill="E7F6FD"/>
            <w:tcMar>
              <w:left w:w="170" w:type="dxa"/>
            </w:tcMar>
          </w:tcPr>
          <w:p w14:paraId="3F0B37A8" w14:textId="77777777" w:rsidR="00762328" w:rsidRPr="002F759A" w:rsidRDefault="00762328" w:rsidP="00011592">
            <w:pPr>
              <w:pStyle w:val="Keypoints-heading"/>
            </w:pPr>
            <w:r w:rsidRPr="002F759A">
              <w:t>Key points</w:t>
            </w:r>
          </w:p>
        </w:tc>
      </w:tr>
      <w:tr w:rsidR="00762328" w14:paraId="1D34A6BC" w14:textId="77777777" w:rsidTr="00011592">
        <w:tc>
          <w:tcPr>
            <w:tcW w:w="577" w:type="dxa"/>
            <w:shd w:val="clear" w:color="auto" w:fill="E7F6FD"/>
            <w:tcMar>
              <w:top w:w="0" w:type="dxa"/>
              <w:bottom w:w="0" w:type="dxa"/>
              <w:right w:w="113" w:type="dxa"/>
            </w:tcMar>
          </w:tcPr>
          <w:p w14:paraId="6E318F56" w14:textId="77777777" w:rsidR="00762328" w:rsidRPr="00F31E73" w:rsidRDefault="00762328" w:rsidP="00011592">
            <w:pPr>
              <w:pStyle w:val="KeyPointsicon"/>
              <w:rPr>
                <w:noProof/>
              </w:rPr>
            </w:pPr>
            <w:r w:rsidRPr="00F31E73">
              <w:rPr>
                <w:noProof/>
              </w:rPr>
              <w:drawing>
                <wp:inline distT="0" distB="0" distL="0" distR="0" wp14:anchorId="1D513CE5" wp14:editId="5099CF78">
                  <wp:extent cx="180000" cy="180000"/>
                  <wp:effectExtent l="0" t="0" r="0" b="0"/>
                  <wp:docPr id="150133099" name="Graphic 1501330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a:extLst>
                              <a:ext uri="{C183D7F6-B498-43B3-948B-1728B52AA6E4}">
                                <adec:decorative xmlns:adec="http://schemas.microsoft.com/office/drawing/2017/decorative" val="1"/>
                              </a:ext>
                            </a:extLst>
                          </pic:cNvPr>
                          <pic:cNvPicPr/>
                        </pic:nvPicPr>
                        <pic:blipFill>
                          <a:blip r:embed="rId39">
                            <a:extLst>
                              <a:ext uri="{96DAC541-7B7A-43D3-8B79-37D633B846F1}">
                                <asvg:svgBlip xmlns:asvg="http://schemas.microsoft.com/office/drawing/2016/SVG/main" r:embed="rId40"/>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7E54BF37" w14:textId="77777777" w:rsidR="00762328" w:rsidRDefault="00762328" w:rsidP="00011592">
            <w:pPr>
              <w:pStyle w:val="KeyPoints-Bold"/>
            </w:pPr>
            <w:r>
              <w:t>The conditions for definitive safeguard measures are not met.</w:t>
            </w:r>
          </w:p>
          <w:p w14:paraId="14388D41" w14:textId="3370F8F8" w:rsidR="00762328" w:rsidRPr="00617950" w:rsidRDefault="00762328" w:rsidP="00011592">
            <w:pPr>
              <w:pStyle w:val="KeyPoints-Bullet"/>
              <w:rPr>
                <w:spacing w:val="-2"/>
              </w:rPr>
            </w:pPr>
            <w:r w:rsidRPr="00617950">
              <w:rPr>
                <w:spacing w:val="-2"/>
              </w:rPr>
              <w:t>There are Australian fabricated structural steel producers facing pressure due to competition with imports. However, as chapters</w:t>
            </w:r>
            <w:r w:rsidR="00541146" w:rsidRPr="00617950">
              <w:rPr>
                <w:spacing w:val="-2"/>
              </w:rPr>
              <w:t> </w:t>
            </w:r>
            <w:r w:rsidRPr="00617950">
              <w:rPr>
                <w:spacing w:val="-2"/>
              </w:rPr>
              <w:t xml:space="preserve">3 and 4 detail, the nature of the growth in imports and overall evidence on the </w:t>
            </w:r>
            <w:r w:rsidR="00B56A0A" w:rsidRPr="00617950">
              <w:rPr>
                <w:spacing w:val="-2"/>
              </w:rPr>
              <w:t xml:space="preserve">health of the </w:t>
            </w:r>
            <w:r w:rsidRPr="00617950">
              <w:rPr>
                <w:spacing w:val="-2"/>
              </w:rPr>
              <w:t>domestic industry does not satisfy the conditions needed to justify safeguard measures.</w:t>
            </w:r>
          </w:p>
          <w:p w14:paraId="588FBC38" w14:textId="77777777" w:rsidR="00762328" w:rsidRDefault="00762328" w:rsidP="00011592">
            <w:pPr>
              <w:pStyle w:val="KeyPoints-Bullet"/>
            </w:pPr>
            <w:r>
              <w:t>This is an interim finding and will be settled in the final report.</w:t>
            </w:r>
          </w:p>
        </w:tc>
      </w:tr>
      <w:tr w:rsidR="00762328" w14:paraId="179DF9E0" w14:textId="77777777" w:rsidTr="00011592">
        <w:tc>
          <w:tcPr>
            <w:tcW w:w="577" w:type="dxa"/>
            <w:shd w:val="clear" w:color="auto" w:fill="E7F6FD"/>
            <w:tcMar>
              <w:top w:w="0" w:type="dxa"/>
              <w:bottom w:w="0" w:type="dxa"/>
              <w:right w:w="113" w:type="dxa"/>
            </w:tcMar>
          </w:tcPr>
          <w:p w14:paraId="07ED2D7A" w14:textId="77777777" w:rsidR="00762328" w:rsidRPr="00F31E73" w:rsidRDefault="00762328" w:rsidP="00011592">
            <w:pPr>
              <w:pStyle w:val="KeyPointsicon"/>
              <w:rPr>
                <w:noProof/>
              </w:rPr>
            </w:pPr>
            <w:r w:rsidRPr="00F31E73">
              <w:rPr>
                <w:noProof/>
              </w:rPr>
              <w:drawing>
                <wp:inline distT="0" distB="0" distL="0" distR="0" wp14:anchorId="37B903DD" wp14:editId="4FD603E2">
                  <wp:extent cx="180000" cy="180000"/>
                  <wp:effectExtent l="0" t="0" r="0" b="0"/>
                  <wp:docPr id="738992970" name="Graphic 7389929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a:extLst>
                              <a:ext uri="{C183D7F6-B498-43B3-948B-1728B52AA6E4}">
                                <adec:decorative xmlns:adec="http://schemas.microsoft.com/office/drawing/2017/decorative" val="1"/>
                              </a:ext>
                            </a:extLst>
                          </pic:cNvPr>
                          <pic:cNvPicPr/>
                        </pic:nvPicPr>
                        <pic:blipFill>
                          <a:blip r:embed="rId39">
                            <a:extLst>
                              <a:ext uri="{96DAC541-7B7A-43D3-8B79-37D633B846F1}">
                                <asvg:svgBlip xmlns:asvg="http://schemas.microsoft.com/office/drawing/2016/SVG/main" r:embed="rId40"/>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30F6571F" w14:textId="77777777" w:rsidR="00762328" w:rsidRDefault="00762328" w:rsidP="00011592">
            <w:pPr>
              <w:pStyle w:val="KeyPoints-Bold"/>
            </w:pPr>
            <w:r>
              <w:t>The conditions for provisional safeguard measures are not met.</w:t>
            </w:r>
          </w:p>
          <w:p w14:paraId="757903C5" w14:textId="77777777" w:rsidR="00762328" w:rsidRDefault="00762328" w:rsidP="00011592">
            <w:pPr>
              <w:pStyle w:val="KeyPoints-Bullet"/>
            </w:pPr>
            <w:r>
              <w:t xml:space="preserve">Provisional measures can only be implemented if there is ‘clear evidence that increased imports have caused or are threatening to cause serious injury’ (Agreement on Safeguards, Article 6). </w:t>
            </w:r>
            <w:proofErr w:type="gramStart"/>
            <w:r>
              <w:t>In light of</w:t>
            </w:r>
            <w:proofErr w:type="gramEnd"/>
            <w:r>
              <w:t xml:space="preserve"> the evidence on imports and injury, there is not ‘clear evidence’ that increased imports have caused or are threatening to cause serious injury.</w:t>
            </w:r>
          </w:p>
          <w:p w14:paraId="3E928FA8" w14:textId="77777777" w:rsidR="00762328" w:rsidRDefault="00762328" w:rsidP="00011592">
            <w:pPr>
              <w:pStyle w:val="KeyPoints-Bullet"/>
            </w:pPr>
            <w:r>
              <w:t>This concludes the Productivity Commission investigation regarding provisional measures – the final report will focus solely on definitive measures.</w:t>
            </w:r>
          </w:p>
        </w:tc>
      </w:tr>
      <w:tr w:rsidR="00762328" w14:paraId="0B3606C3" w14:textId="77777777" w:rsidTr="00011592">
        <w:tc>
          <w:tcPr>
            <w:tcW w:w="577" w:type="dxa"/>
            <w:shd w:val="clear" w:color="auto" w:fill="E7F6FD"/>
            <w:tcMar>
              <w:top w:w="0" w:type="dxa"/>
              <w:bottom w:w="0" w:type="dxa"/>
              <w:right w:w="113" w:type="dxa"/>
            </w:tcMar>
          </w:tcPr>
          <w:p w14:paraId="2287B1B0" w14:textId="77777777" w:rsidR="00762328" w:rsidRPr="00F31E73" w:rsidRDefault="00762328" w:rsidP="00011592">
            <w:pPr>
              <w:pStyle w:val="KeyPointsicon"/>
              <w:rPr>
                <w:noProof/>
              </w:rPr>
            </w:pPr>
            <w:r w:rsidRPr="00F31E73">
              <w:rPr>
                <w:noProof/>
              </w:rPr>
              <w:drawing>
                <wp:inline distT="0" distB="0" distL="0" distR="0" wp14:anchorId="605FE3B2" wp14:editId="59AF0166">
                  <wp:extent cx="180000" cy="180000"/>
                  <wp:effectExtent l="0" t="0" r="0" b="0"/>
                  <wp:docPr id="301938302" name="Graphic 3019383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a:extLst>
                              <a:ext uri="{C183D7F6-B498-43B3-948B-1728B52AA6E4}">
                                <adec:decorative xmlns:adec="http://schemas.microsoft.com/office/drawing/2017/decorative" val="1"/>
                              </a:ext>
                            </a:extLst>
                          </pic:cNvPr>
                          <pic:cNvPicPr/>
                        </pic:nvPicPr>
                        <pic:blipFill>
                          <a:blip r:embed="rId39">
                            <a:extLst>
                              <a:ext uri="{96DAC541-7B7A-43D3-8B79-37D633B846F1}">
                                <asvg:svgBlip xmlns:asvg="http://schemas.microsoft.com/office/drawing/2016/SVG/main" r:embed="rId40"/>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4AB85FF7" w14:textId="77777777" w:rsidR="00762328" w:rsidRDefault="00762328" w:rsidP="00011592">
            <w:pPr>
              <w:pStyle w:val="KeyPoints-Bold"/>
            </w:pPr>
            <w:r>
              <w:t>Import competition is a structural feature of the Australian FSS market.</w:t>
            </w:r>
          </w:p>
          <w:p w14:paraId="1E4654F5" w14:textId="77777777" w:rsidR="00762328" w:rsidRDefault="00762328" w:rsidP="00762328">
            <w:pPr>
              <w:pStyle w:val="KeyPoints-Bullet"/>
              <w:numPr>
                <w:ilvl w:val="0"/>
                <w:numId w:val="1"/>
              </w:numPr>
            </w:pPr>
            <w:r>
              <w:t>Import competition has been a feature for a long period of time. Submissions have highlighted some of the ways that domestic fabricators have responded to import competition.</w:t>
            </w:r>
          </w:p>
        </w:tc>
      </w:tr>
    </w:tbl>
    <w:p w14:paraId="32AE0C74" w14:textId="29D50346" w:rsidR="00762328" w:rsidRDefault="00762328" w:rsidP="00011592">
      <w:pPr>
        <w:pStyle w:val="NoSpacing"/>
      </w:pPr>
    </w:p>
    <w:p w14:paraId="5A209F06" w14:textId="77777777" w:rsidR="00762328" w:rsidRDefault="00762328" w:rsidP="00011592">
      <w:pPr>
        <w:pStyle w:val="Heading2"/>
      </w:pPr>
      <w:bookmarkStart w:id="38" w:name="_Toc238643915"/>
      <w:r>
        <w:t>The conditions for safeguard measures are not met</w:t>
      </w:r>
      <w:bookmarkEnd w:id="38"/>
    </w:p>
    <w:p w14:paraId="30817DB3" w14:textId="77777777" w:rsidR="00762328" w:rsidRDefault="00762328" w:rsidP="00011592">
      <w:pPr>
        <w:pStyle w:val="Heading3"/>
      </w:pPr>
      <w:r>
        <w:t>Definitive measures</w:t>
      </w:r>
    </w:p>
    <w:p w14:paraId="72C011AB" w14:textId="53AF7444" w:rsidR="00762328" w:rsidRDefault="00762328" w:rsidP="00011592">
      <w:pPr>
        <w:pStyle w:val="BodyText"/>
      </w:pPr>
      <w:r>
        <w:t>Imports of fabricated structural steel (FSS) have increased but the evidence does not demonstrate the extraordinary circumstances required for the imposition of safeguard measures. There has not been a recent, sudden, sharp and significant increase in either absolute or relative imports (chapter</w:t>
      </w:r>
      <w:r w:rsidR="00541146">
        <w:t> </w:t>
      </w:r>
      <w:r>
        <w:t xml:space="preserve">3). Moreover, while there are domestic fabricators experiencing pressure, the industry </w:t>
      </w:r>
      <w:proofErr w:type="gramStart"/>
      <w:r>
        <w:t>as a whole is</w:t>
      </w:r>
      <w:proofErr w:type="gramEnd"/>
      <w:r>
        <w:t xml:space="preserve"> not experiencing serious injury and the evidentiary requirements for demonstrating threat of serious injury are not met (chapter</w:t>
      </w:r>
      <w:r w:rsidR="00541146">
        <w:t> </w:t>
      </w:r>
      <w:r>
        <w:t>4).</w:t>
      </w:r>
    </w:p>
    <w:p w14:paraId="4D72BE90" w14:textId="2FED986A" w:rsidR="00762328" w:rsidRDefault="00762328" w:rsidP="00011592">
      <w:pPr>
        <w:pStyle w:val="BodyText"/>
      </w:pPr>
      <w:r>
        <w:t xml:space="preserve">Based on this evidence, the </w:t>
      </w:r>
      <w:r w:rsidR="00CA3191">
        <w:t>Productivity Commission</w:t>
      </w:r>
      <w:r>
        <w:t xml:space="preserve">’s interim finding is that the necessary conditions for imposing definitive safeguard measures are not met. </w:t>
      </w:r>
    </w:p>
    <w:p w14:paraId="46057474" w14:textId="4C900981" w:rsidR="00762328" w:rsidRDefault="00762328" w:rsidP="00011592">
      <w:pPr>
        <w:pStyle w:val="BodyText"/>
      </w:pPr>
      <w:r>
        <w:lastRenderedPageBreak/>
        <w:t>The PC welcomes submissions and further engagement on this and any other relevant evidence, particularly verifiable, quantitative evidence that bears on these conclusions. To prepare the final report we will draw on this evidence</w:t>
      </w:r>
      <w:r w:rsidR="00F254A8">
        <w:t xml:space="preserve"> and</w:t>
      </w:r>
      <w:r>
        <w:t xml:space="preserve"> our own ongoing data analysis (including peer review from independent analysts cleared to examine the datasets used).</w:t>
      </w:r>
    </w:p>
    <w:p w14:paraId="5A514D52" w14:textId="77777777" w:rsidR="00762328" w:rsidRDefault="00762328" w:rsidP="00011592">
      <w:pPr>
        <w:pStyle w:val="BodyText"/>
      </w:pPr>
      <w:r>
        <w:t xml:space="preserve">Because neither the growth in imports nor the evidence on injury satisfies the conditions needed to justify safeguard measures, the PC has not assessed the causal link between imports and injury. This would be required under Article 4.2 of the Agreement on Safeguards. </w:t>
      </w:r>
    </w:p>
    <w:p w14:paraId="7C10320E" w14:textId="61421D88" w:rsidR="00762328" w:rsidRDefault="00762328" w:rsidP="00011592">
      <w:pPr>
        <w:pStyle w:val="BodyText"/>
      </w:pPr>
      <w:r>
        <w:t>If the PC did need to assess the causal link between imports and injury, we would do this using statistical techniques designed to isolate the impact of imports from other confounding factors. One such technique is two</w:t>
      </w:r>
      <w:r w:rsidR="00541146">
        <w:noBreakHyphen/>
      </w:r>
      <w:r>
        <w:t>stage least squares regression (often referred to as instrumental variable analysis). Relevant instruments include total fabricated steel exports to countries other than Australia or a weighted index of appreciation in the currencies of these countries.</w:t>
      </w:r>
    </w:p>
    <w:p w14:paraId="145D392D" w14:textId="77777777" w:rsidR="00762328" w:rsidRDefault="00762328" w:rsidP="00011592">
      <w:pPr>
        <w:pStyle w:val="Heading3"/>
      </w:pPr>
      <w:r>
        <w:t>Provisional measures</w:t>
      </w:r>
    </w:p>
    <w:p w14:paraId="57673103" w14:textId="77777777" w:rsidR="00762328" w:rsidRDefault="00762328" w:rsidP="00011592">
      <w:pPr>
        <w:pStyle w:val="BodyText"/>
      </w:pPr>
      <w:r>
        <w:t>The PC was asked to address whether provisional measures can be introduced. The Agreement on Safeguards provides for the use of provisional safeguards:</w:t>
      </w:r>
    </w:p>
    <w:p w14:paraId="2CD02CBD" w14:textId="77777777" w:rsidR="00762328" w:rsidRDefault="00762328" w:rsidP="00011592">
      <w:pPr>
        <w:pStyle w:val="Quote"/>
      </w:pPr>
      <w:r w:rsidRPr="000D1844">
        <w:t xml:space="preserve">In critical circumstances where delay would cause damage which it would be difficult to repair, a </w:t>
      </w:r>
      <w:proofErr w:type="gramStart"/>
      <w:r w:rsidRPr="000D1844">
        <w:t>Member</w:t>
      </w:r>
      <w:proofErr w:type="gramEnd"/>
      <w:r w:rsidRPr="000D1844">
        <w:t xml:space="preserve"> may take a provisional safeguard measure pursuant to a preliminary determination that there is clear evidence that increased imports have caused or are threatening to cause serious injury.</w:t>
      </w:r>
      <w:r>
        <w:t xml:space="preserve"> (Article 6)</w:t>
      </w:r>
    </w:p>
    <w:p w14:paraId="495110AC" w14:textId="118C193B" w:rsidR="00762328" w:rsidRDefault="00762328" w:rsidP="00011592">
      <w:pPr>
        <w:pStyle w:val="BodyText"/>
      </w:pPr>
      <w:r>
        <w:t xml:space="preserve">The Australian Steel Institute application seeks the introduction of a provisional safeguard measure </w:t>
      </w:r>
      <w:r w:rsidR="00762450" w:rsidRPr="00762450">
        <w:rPr>
          <w:rFonts w:ascii="Arial" w:hAnsi="Arial" w:cs="Arial"/>
        </w:rPr>
        <w:t>(ASI 2026, p. 3)</w:t>
      </w:r>
      <w:r>
        <w:t>. So does their submission, which states that ‘Once lost, domestic capacity will not easily be recovered’ (sub.</w:t>
      </w:r>
      <w:r w:rsidR="00541146">
        <w:t> </w:t>
      </w:r>
      <w:r>
        <w:t>30, p.</w:t>
      </w:r>
      <w:r w:rsidR="00541146">
        <w:t> </w:t>
      </w:r>
      <w:r>
        <w:t xml:space="preserve">4). </w:t>
      </w:r>
      <w:proofErr w:type="gramStart"/>
      <w:r>
        <w:t>A number of</w:t>
      </w:r>
      <w:proofErr w:type="gramEnd"/>
      <w:r>
        <w:t xml:space="preserve"> other inquiry participants have made similar claims and advocated for the use of a provisional measure to improve the prospects of Australia’s FSS industry in the near term.</w:t>
      </w:r>
      <w:r>
        <w:rPr>
          <w:rStyle w:val="FootnoteReference"/>
        </w:rPr>
        <w:footnoteReference w:id="28"/>
      </w:r>
    </w:p>
    <w:p w14:paraId="45F9714C" w14:textId="77777777" w:rsidR="00762328" w:rsidRPr="00E76D23" w:rsidRDefault="00762328" w:rsidP="00011592">
      <w:pPr>
        <w:pStyle w:val="BodyText"/>
      </w:pPr>
      <w:r w:rsidRPr="00E76D23">
        <w:t xml:space="preserve">The ‘clear evidence’ requirement sets a higher evidentiary threshold for imposing provisional safeguard measures than applies to definitive measures. The evidence does not </w:t>
      </w:r>
      <w:r>
        <w:t>show</w:t>
      </w:r>
      <w:r w:rsidRPr="00E76D23">
        <w:t xml:space="preserve"> that the required increase in imports or serious injury is occurring</w:t>
      </w:r>
      <w:r>
        <w:t xml:space="preserve">. </w:t>
      </w:r>
    </w:p>
    <w:p w14:paraId="0D7C5025" w14:textId="3EBB68B3" w:rsidR="00762328" w:rsidRDefault="00762328">
      <w:pPr>
        <w:pStyle w:val="NoSpacing"/>
      </w:pPr>
    </w:p>
    <w:tbl>
      <w:tblPr>
        <w:tblStyle w:val="TableGrid"/>
        <w:tblW w:w="5000" w:type="pct"/>
        <w:tblBorders>
          <w:top w:val="single" w:sz="4" w:space="0" w:color="2B9AC2" w:themeColor="text2"/>
          <w:left w:val="single" w:sz="4" w:space="0" w:color="2B9AC2" w:themeColor="text2"/>
          <w:bottom w:val="single" w:sz="4" w:space="0" w:color="2B9AC2" w:themeColor="text2"/>
          <w:right w:val="single" w:sz="4" w:space="0" w:color="2B9AC2" w:themeColor="text2"/>
          <w:insideH w:val="none" w:sz="0" w:space="0" w:color="auto"/>
          <w:insideV w:val="none" w:sz="0" w:space="0" w:color="auto"/>
        </w:tblBorders>
        <w:tblCellMar>
          <w:bottom w:w="113" w:type="dxa"/>
        </w:tblCellMar>
        <w:tblLook w:val="04A0" w:firstRow="1" w:lastRow="0" w:firstColumn="1" w:lastColumn="0" w:noHBand="0" w:noVBand="1"/>
      </w:tblPr>
      <w:tblGrid>
        <w:gridCol w:w="705"/>
        <w:gridCol w:w="8923"/>
      </w:tblGrid>
      <w:tr w:rsidR="00762328" w14:paraId="6C642B7F" w14:textId="77777777" w:rsidTr="00011592">
        <w:trPr>
          <w:trHeight w:val="765"/>
          <w:tblHeader/>
        </w:trPr>
        <w:tc>
          <w:tcPr>
            <w:tcW w:w="366" w:type="pct"/>
            <w:tcBorders>
              <w:top w:val="single" w:sz="4" w:space="0" w:color="2B9AC2" w:themeColor="text2"/>
              <w:bottom w:val="nil"/>
            </w:tcBorders>
            <w:tcMar>
              <w:bottom w:w="0" w:type="dxa"/>
            </w:tcMar>
            <w:vAlign w:val="center"/>
          </w:tcPr>
          <w:p w14:paraId="751B659E" w14:textId="77777777" w:rsidR="00762328" w:rsidRDefault="00762328">
            <w:pPr>
              <w:pStyle w:val="NoSpacing"/>
              <w:keepNext/>
              <w:keepLines/>
              <w:jc w:val="right"/>
            </w:pPr>
            <w:r w:rsidRPr="00A51374">
              <w:rPr>
                <w:noProof/>
              </w:rPr>
              <w:drawing>
                <wp:inline distT="0" distB="0" distL="0" distR="0" wp14:anchorId="29D588D0" wp14:editId="7FEE5678">
                  <wp:extent cx="288000" cy="288000"/>
                  <wp:effectExtent l="0" t="0" r="0" b="0"/>
                  <wp:docPr id="700297119" name="Graphic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phic 39">
                            <a:extLst>
                              <a:ext uri="{C183D7F6-B498-43B3-948B-1728B52AA6E4}">
                                <adec:decorative xmlns:adec="http://schemas.microsoft.com/office/drawing/2017/decorative" val="1"/>
                              </a:ext>
                            </a:extLst>
                          </pic:cNvPr>
                          <pic:cNvPicPr/>
                        </pic:nvPicPr>
                        <pic:blipFill>
                          <a:blip r:embed="rId59">
                            <a:extLst>
                              <a:ext uri="{28A0092B-C50C-407E-A947-70E740481C1C}">
                                <a14:useLocalDpi xmlns:a14="http://schemas.microsoft.com/office/drawing/2010/main" val="0"/>
                              </a:ext>
                            </a:extLst>
                          </a:blip>
                          <a:stretch>
                            <a:fillRect/>
                          </a:stretch>
                        </pic:blipFill>
                        <pic:spPr>
                          <a:xfrm>
                            <a:off x="0" y="0"/>
                            <a:ext cx="288000" cy="288000"/>
                          </a:xfrm>
                          <a:prstGeom prst="rect">
                            <a:avLst/>
                          </a:prstGeom>
                        </pic:spPr>
                      </pic:pic>
                    </a:graphicData>
                  </a:graphic>
                </wp:inline>
              </w:drawing>
            </w:r>
          </w:p>
        </w:tc>
        <w:tc>
          <w:tcPr>
            <w:tcW w:w="4634" w:type="pct"/>
            <w:tcBorders>
              <w:top w:val="single" w:sz="4" w:space="0" w:color="2B9AC2" w:themeColor="text2"/>
              <w:bottom w:val="nil"/>
            </w:tcBorders>
            <w:tcMar>
              <w:bottom w:w="0" w:type="dxa"/>
            </w:tcMar>
            <w:vAlign w:val="center"/>
          </w:tcPr>
          <w:p w14:paraId="371657DC" w14:textId="77777777" w:rsidR="00762328" w:rsidRPr="00A4395A" w:rsidRDefault="00762328" w:rsidP="009A25C6">
            <w:pPr>
              <w:pStyle w:val="FindingRecRequesttitle"/>
            </w:pPr>
            <w:r w:rsidRPr="00A4395A">
              <w:t>Finding</w:t>
            </w:r>
            <w:r>
              <w:t xml:space="preserve"> 5.1</w:t>
            </w:r>
          </w:p>
          <w:p w14:paraId="6F355754" w14:textId="77777777" w:rsidR="00762328" w:rsidRDefault="00762328" w:rsidP="009A25C6">
            <w:pPr>
              <w:pStyle w:val="FindingRecRequesttitle"/>
            </w:pPr>
            <w:r>
              <w:t>The conditions for definitive safeguard measures are not met</w:t>
            </w:r>
          </w:p>
        </w:tc>
      </w:tr>
      <w:tr w:rsidR="00762328" w14:paraId="58A8197E" w14:textId="77777777">
        <w:tc>
          <w:tcPr>
            <w:tcW w:w="5000" w:type="pct"/>
            <w:gridSpan w:val="2"/>
            <w:tcBorders>
              <w:top w:val="nil"/>
              <w:bottom w:val="single" w:sz="4" w:space="0" w:color="2B9AC2" w:themeColor="text2"/>
            </w:tcBorders>
          </w:tcPr>
          <w:p w14:paraId="59E59C40" w14:textId="77777777" w:rsidR="00762328" w:rsidRDefault="00762328" w:rsidP="00011592">
            <w:pPr>
              <w:pStyle w:val="BodyText"/>
              <w:keepLines/>
            </w:pPr>
            <w:r>
              <w:t xml:space="preserve">There has been an increase in fabricated structural steel </w:t>
            </w:r>
            <w:proofErr w:type="gramStart"/>
            <w:r>
              <w:t>imports</w:t>
            </w:r>
            <w:proofErr w:type="gramEnd"/>
            <w:r>
              <w:t xml:space="preserve"> but it does not meet the standards required for safeguard measures, and the evidence indicates that the industry </w:t>
            </w:r>
            <w:proofErr w:type="gramStart"/>
            <w:r>
              <w:t>as a whole is</w:t>
            </w:r>
            <w:proofErr w:type="gramEnd"/>
            <w:r>
              <w:t xml:space="preserve"> not experiencing serious injury. Nor does the evidence indicate that there is a threat of serious injury.</w:t>
            </w:r>
          </w:p>
        </w:tc>
      </w:tr>
    </w:tbl>
    <w:p w14:paraId="3D7FEDC4" w14:textId="77777777" w:rsidR="00762328" w:rsidRDefault="00762328" w:rsidP="00053BFD">
      <w:pPr>
        <w:pStyle w:val="NoSpacing"/>
      </w:pPr>
    </w:p>
    <w:tbl>
      <w:tblPr>
        <w:tblStyle w:val="TableGrid"/>
        <w:tblW w:w="5000" w:type="pct"/>
        <w:tblBorders>
          <w:top w:val="single" w:sz="4" w:space="0" w:color="2B9AC2" w:themeColor="text2"/>
          <w:left w:val="single" w:sz="4" w:space="0" w:color="2B9AC2" w:themeColor="text2"/>
          <w:bottom w:val="single" w:sz="4" w:space="0" w:color="2B9AC2" w:themeColor="text2"/>
          <w:right w:val="single" w:sz="4" w:space="0" w:color="2B9AC2" w:themeColor="text2"/>
          <w:insideH w:val="none" w:sz="0" w:space="0" w:color="auto"/>
          <w:insideV w:val="none" w:sz="0" w:space="0" w:color="auto"/>
        </w:tblBorders>
        <w:tblCellMar>
          <w:bottom w:w="113" w:type="dxa"/>
        </w:tblCellMar>
        <w:tblLook w:val="04A0" w:firstRow="1" w:lastRow="0" w:firstColumn="1" w:lastColumn="0" w:noHBand="0" w:noVBand="1"/>
      </w:tblPr>
      <w:tblGrid>
        <w:gridCol w:w="705"/>
        <w:gridCol w:w="8923"/>
      </w:tblGrid>
      <w:tr w:rsidR="00762328" w14:paraId="5CE74176" w14:textId="77777777">
        <w:trPr>
          <w:trHeight w:val="765"/>
          <w:tblHeader/>
        </w:trPr>
        <w:tc>
          <w:tcPr>
            <w:tcW w:w="366" w:type="pct"/>
            <w:tcBorders>
              <w:top w:val="single" w:sz="4" w:space="0" w:color="2B9AC2" w:themeColor="text2"/>
              <w:bottom w:val="nil"/>
            </w:tcBorders>
            <w:tcMar>
              <w:bottom w:w="0" w:type="dxa"/>
            </w:tcMar>
            <w:vAlign w:val="center"/>
          </w:tcPr>
          <w:p w14:paraId="6FD13BC9" w14:textId="77777777" w:rsidR="00762328" w:rsidRDefault="00762328">
            <w:pPr>
              <w:pStyle w:val="NoSpacing"/>
              <w:keepNext/>
              <w:keepLines/>
              <w:jc w:val="right"/>
            </w:pPr>
            <w:r w:rsidRPr="00A51374">
              <w:rPr>
                <w:noProof/>
              </w:rPr>
              <w:lastRenderedPageBreak/>
              <w:drawing>
                <wp:inline distT="0" distB="0" distL="0" distR="0" wp14:anchorId="757841A9" wp14:editId="217BEB34">
                  <wp:extent cx="288000" cy="288000"/>
                  <wp:effectExtent l="0" t="0" r="0" b="0"/>
                  <wp:docPr id="1832678435" name="Graphic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phic 39">
                            <a:extLst>
                              <a:ext uri="{C183D7F6-B498-43B3-948B-1728B52AA6E4}">
                                <adec:decorative xmlns:adec="http://schemas.microsoft.com/office/drawing/2017/decorative" val="1"/>
                              </a:ext>
                            </a:extLst>
                          </pic:cNvPr>
                          <pic:cNvPicPr/>
                        </pic:nvPicPr>
                        <pic:blipFill>
                          <a:blip r:embed="rId59">
                            <a:extLst>
                              <a:ext uri="{28A0092B-C50C-407E-A947-70E740481C1C}">
                                <a14:useLocalDpi xmlns:a14="http://schemas.microsoft.com/office/drawing/2010/main" val="0"/>
                              </a:ext>
                            </a:extLst>
                          </a:blip>
                          <a:stretch>
                            <a:fillRect/>
                          </a:stretch>
                        </pic:blipFill>
                        <pic:spPr>
                          <a:xfrm>
                            <a:off x="0" y="0"/>
                            <a:ext cx="288000" cy="288000"/>
                          </a:xfrm>
                          <a:prstGeom prst="rect">
                            <a:avLst/>
                          </a:prstGeom>
                        </pic:spPr>
                      </pic:pic>
                    </a:graphicData>
                  </a:graphic>
                </wp:inline>
              </w:drawing>
            </w:r>
          </w:p>
        </w:tc>
        <w:tc>
          <w:tcPr>
            <w:tcW w:w="4634" w:type="pct"/>
            <w:tcBorders>
              <w:top w:val="single" w:sz="4" w:space="0" w:color="2B9AC2" w:themeColor="text2"/>
              <w:bottom w:val="nil"/>
            </w:tcBorders>
            <w:tcMar>
              <w:bottom w:w="0" w:type="dxa"/>
            </w:tcMar>
            <w:vAlign w:val="center"/>
          </w:tcPr>
          <w:p w14:paraId="48EF8814" w14:textId="77777777" w:rsidR="00762328" w:rsidRPr="00A4395A" w:rsidRDefault="00762328" w:rsidP="00053BFD">
            <w:pPr>
              <w:pStyle w:val="FindingRecRequesttitle"/>
            </w:pPr>
            <w:r w:rsidRPr="00A4395A">
              <w:t>Finding</w:t>
            </w:r>
            <w:r>
              <w:t xml:space="preserve"> 5.2</w:t>
            </w:r>
          </w:p>
          <w:p w14:paraId="28443D0F" w14:textId="77777777" w:rsidR="00762328" w:rsidRDefault="00762328" w:rsidP="00053BFD">
            <w:pPr>
              <w:pStyle w:val="FindingRecRequesttitle"/>
            </w:pPr>
            <w:r>
              <w:t>The conditions for provisional measures are not met</w:t>
            </w:r>
          </w:p>
        </w:tc>
      </w:tr>
      <w:tr w:rsidR="00762328" w14:paraId="4931E4D1" w14:textId="77777777">
        <w:tc>
          <w:tcPr>
            <w:tcW w:w="5000" w:type="pct"/>
            <w:gridSpan w:val="2"/>
            <w:tcBorders>
              <w:top w:val="nil"/>
              <w:bottom w:val="single" w:sz="4" w:space="0" w:color="2B9AC2" w:themeColor="text2"/>
            </w:tcBorders>
          </w:tcPr>
          <w:p w14:paraId="2EC743FB" w14:textId="77777777" w:rsidR="00762328" w:rsidRDefault="00762328">
            <w:pPr>
              <w:pStyle w:val="BodyText"/>
              <w:keepLines/>
            </w:pPr>
            <w:r>
              <w:t>There is not ‘clear evidence that increased imports have caused or are threatening to cause serious injury’, which is required for provisional safeguard measures to be justified (Article 6).</w:t>
            </w:r>
          </w:p>
          <w:p w14:paraId="2D87AE2E" w14:textId="77777777" w:rsidR="00762328" w:rsidRDefault="00762328">
            <w:pPr>
              <w:pStyle w:val="BodyText"/>
              <w:keepLines/>
            </w:pPr>
            <w:r>
              <w:t>The matter of provisional measures will not be revisited in the final report.</w:t>
            </w:r>
          </w:p>
        </w:tc>
      </w:tr>
      <w:tr w:rsidR="00762328" w14:paraId="7009CB8A" w14:textId="77777777">
        <w:tc>
          <w:tcPr>
            <w:tcW w:w="5000" w:type="pct"/>
            <w:gridSpan w:val="2"/>
            <w:tcBorders>
              <w:top w:val="single" w:sz="4" w:space="0" w:color="2B9AC2" w:themeColor="text2"/>
              <w:left w:val="nil"/>
              <w:bottom w:val="nil"/>
              <w:right w:val="nil"/>
            </w:tcBorders>
            <w:tcMar>
              <w:bottom w:w="0" w:type="dxa"/>
            </w:tcMar>
          </w:tcPr>
          <w:p w14:paraId="1A23F20E" w14:textId="77777777" w:rsidR="00762328" w:rsidRDefault="00762328">
            <w:pPr>
              <w:pStyle w:val="NoSpacing"/>
              <w:spacing w:line="200" w:lineRule="atLeast"/>
            </w:pPr>
          </w:p>
        </w:tc>
      </w:tr>
    </w:tbl>
    <w:p w14:paraId="42D25FC6" w14:textId="031D3804" w:rsidR="00762328" w:rsidRDefault="00762328" w:rsidP="00011592">
      <w:pPr>
        <w:pStyle w:val="Heading2"/>
      </w:pPr>
      <w:bookmarkStart w:id="39" w:name="_Toc238643916"/>
      <w:r>
        <w:t>FSS imports are a long</w:t>
      </w:r>
      <w:r w:rsidR="00541146">
        <w:noBreakHyphen/>
      </w:r>
      <w:r>
        <w:t>term feature of the Australian market</w:t>
      </w:r>
      <w:bookmarkEnd w:id="39"/>
      <w:r>
        <w:t xml:space="preserve"> </w:t>
      </w:r>
    </w:p>
    <w:p w14:paraId="1BB10579" w14:textId="46B95914" w:rsidR="00762328" w:rsidRPr="00617950" w:rsidRDefault="00762328" w:rsidP="00011592">
      <w:pPr>
        <w:pStyle w:val="BodyText"/>
        <w:rPr>
          <w:spacing w:val="-2"/>
        </w:rPr>
      </w:pPr>
      <w:r w:rsidRPr="00617950">
        <w:rPr>
          <w:spacing w:val="-2"/>
        </w:rPr>
        <w:t xml:space="preserve">Imports of FSS have grown considerably over time and concerns about the viability of the domestic FSS industry are longstanding. A </w:t>
      </w:r>
      <w:r w:rsidRPr="00617950">
        <w:t xml:space="preserve">decade ago, a Senate inquiry into the future of Australia’s steel industry heard evidence about rising import competition (Senate Economics References Committee 2017, pp. 15–16). </w:t>
      </w:r>
      <w:proofErr w:type="gramStart"/>
      <w:r w:rsidRPr="00617950">
        <w:t>A number of</w:t>
      </w:r>
      <w:proofErr w:type="gramEnd"/>
      <w:r w:rsidRPr="00617950">
        <w:t xml:space="preserve"> fabricators submitted that they had recently reduced their workforce ‘mainly due to the lack of domestic demand for steel products and the large increase in cheap imported steel products mainly from Asia’ (ASI 2016, p. 49, for example). In a submission to the current inquiry, EDCON Steel reported that losing import</w:t>
      </w:r>
      <w:r w:rsidRPr="00617950">
        <w:noBreakHyphen/>
        <w:t>exposed projects in 2011 and</w:t>
      </w:r>
      <w:r w:rsidRPr="00617950">
        <w:rPr>
          <w:spacing w:val="-2"/>
        </w:rPr>
        <w:t xml:space="preserve"> 2014 led them to withdraw from tenders where they expected there to be import competition (sub.</w:t>
      </w:r>
      <w:r w:rsidR="00541146" w:rsidRPr="00617950">
        <w:rPr>
          <w:spacing w:val="-2"/>
        </w:rPr>
        <w:t> </w:t>
      </w:r>
      <w:r w:rsidRPr="00617950">
        <w:rPr>
          <w:spacing w:val="-2"/>
        </w:rPr>
        <w:t>22, p.</w:t>
      </w:r>
      <w:r w:rsidR="00541146" w:rsidRPr="00617950">
        <w:rPr>
          <w:spacing w:val="-2"/>
        </w:rPr>
        <w:t> </w:t>
      </w:r>
      <w:r w:rsidRPr="00617950">
        <w:rPr>
          <w:spacing w:val="-2"/>
        </w:rPr>
        <w:t>4). Participants offered a range of views on when import competition intensified but often indicated it started long before this inquiry’s period of investigation (chapter</w:t>
      </w:r>
      <w:r w:rsidR="00541146" w:rsidRPr="00617950">
        <w:rPr>
          <w:spacing w:val="-2"/>
        </w:rPr>
        <w:t> </w:t>
      </w:r>
      <w:r w:rsidRPr="00617950">
        <w:rPr>
          <w:spacing w:val="-2"/>
        </w:rPr>
        <w:t>2, figure</w:t>
      </w:r>
      <w:r w:rsidR="00541146" w:rsidRPr="00617950">
        <w:rPr>
          <w:spacing w:val="-2"/>
        </w:rPr>
        <w:t> </w:t>
      </w:r>
      <w:r w:rsidRPr="00617950">
        <w:rPr>
          <w:spacing w:val="-2"/>
        </w:rPr>
        <w:t>2.1). Instant Steel Solutions, which imports FSS, submitted that ‘Imports are now a core component of supply rather than a temporary disruption’ (sub.</w:t>
      </w:r>
      <w:r w:rsidR="00541146" w:rsidRPr="00617950">
        <w:rPr>
          <w:spacing w:val="-2"/>
        </w:rPr>
        <w:t> </w:t>
      </w:r>
      <w:r w:rsidRPr="00617950">
        <w:rPr>
          <w:spacing w:val="-2"/>
        </w:rPr>
        <w:t>46, p.</w:t>
      </w:r>
      <w:r w:rsidR="00541146" w:rsidRPr="00617950">
        <w:rPr>
          <w:spacing w:val="-2"/>
        </w:rPr>
        <w:t> </w:t>
      </w:r>
      <w:r w:rsidRPr="00617950">
        <w:rPr>
          <w:spacing w:val="-2"/>
        </w:rPr>
        <w:t xml:space="preserve">3). </w:t>
      </w:r>
    </w:p>
    <w:p w14:paraId="712BC4ED" w14:textId="0A858B2C" w:rsidR="00762328" w:rsidRDefault="00762328" w:rsidP="00011592">
      <w:pPr>
        <w:pStyle w:val="BodyText"/>
      </w:pPr>
      <w:r w:rsidRPr="00DF58AC">
        <w:t>Import competition has changed the mix of work undertaken by some domestic fabricators</w:t>
      </w:r>
      <w:r>
        <w:t xml:space="preserve"> (ASI, post</w:t>
      </w:r>
      <w:r w:rsidR="00541146">
        <w:noBreakHyphen/>
      </w:r>
      <w:r>
        <w:t>hearing submission, p.</w:t>
      </w:r>
      <w:r w:rsidR="00541146">
        <w:t> </w:t>
      </w:r>
      <w:r>
        <w:t>17)</w:t>
      </w:r>
      <w:r w:rsidRPr="00DF58AC">
        <w:t>. Participants consistently identified portal frames, warehouses and other relatively standardised work as highly exposed to imports.</w:t>
      </w:r>
      <w:r>
        <w:rPr>
          <w:rStyle w:val="FootnoteReference"/>
        </w:rPr>
        <w:footnoteReference w:id="29"/>
      </w:r>
      <w:r w:rsidRPr="00DF58AC">
        <w:t xml:space="preserve"> </w:t>
      </w:r>
      <w:proofErr w:type="spellStart"/>
      <w:r w:rsidRPr="00DF58AC">
        <w:t>idec</w:t>
      </w:r>
      <w:proofErr w:type="spellEnd"/>
      <w:r w:rsidRPr="00DF58AC">
        <w:t xml:space="preserve"> Solutions said its project portfolio had shifted towards more complex, bespoke and risky work</w:t>
      </w:r>
      <w:r>
        <w:t xml:space="preserve">: </w:t>
      </w:r>
      <w:r w:rsidRPr="00DF58AC">
        <w:t>‘gone are the days of fabricating and erecting portal frame warehouses around Australia profitably’ (sub.</w:t>
      </w:r>
      <w:r w:rsidR="00541146">
        <w:t> </w:t>
      </w:r>
      <w:r w:rsidRPr="00DF58AC">
        <w:t>21, p.</w:t>
      </w:r>
      <w:r w:rsidR="00541146">
        <w:t> </w:t>
      </w:r>
      <w:r w:rsidRPr="00DF58AC">
        <w:t xml:space="preserve">1). </w:t>
      </w:r>
      <w:r>
        <w:t>Similarly, t</w:t>
      </w:r>
      <w:r w:rsidRPr="005D4259">
        <w:t xml:space="preserve">he Australian Industry Group </w:t>
      </w:r>
      <w:r>
        <w:t xml:space="preserve">submitted that </w:t>
      </w:r>
      <w:r w:rsidRPr="005D4259">
        <w:t>warehouses and distribution centres a</w:t>
      </w:r>
      <w:r w:rsidR="00FA27B5">
        <w:t>re</w:t>
      </w:r>
      <w:r w:rsidRPr="005D4259">
        <w:t xml:space="preserve"> particularly exposed to bulk offshore procurement, while specialised one</w:t>
      </w:r>
      <w:r w:rsidR="00541146">
        <w:noBreakHyphen/>
      </w:r>
      <w:r w:rsidRPr="005D4259">
        <w:t xml:space="preserve">off projects </w:t>
      </w:r>
      <w:r>
        <w:t>‘</w:t>
      </w:r>
      <w:r w:rsidRPr="005D4259">
        <w:t>depend on the precision and responsiveness of local fabricators</w:t>
      </w:r>
      <w:r>
        <w:t>’</w:t>
      </w:r>
      <w:r w:rsidRPr="005D4259">
        <w:t xml:space="preserve"> (sub.</w:t>
      </w:r>
      <w:r w:rsidR="00541146">
        <w:t> </w:t>
      </w:r>
      <w:r w:rsidRPr="005D4259">
        <w:t>32, p.</w:t>
      </w:r>
      <w:r w:rsidR="00541146">
        <w:t> </w:t>
      </w:r>
      <w:r w:rsidRPr="005D4259">
        <w:t>4)</w:t>
      </w:r>
      <w:r>
        <w:t xml:space="preserve">. </w:t>
      </w:r>
    </w:p>
    <w:p w14:paraId="372EAD5C" w14:textId="50E9EFE2" w:rsidR="00762328" w:rsidRPr="00F42E08" w:rsidRDefault="00762328" w:rsidP="00011592">
      <w:pPr>
        <w:pStyle w:val="BodyText"/>
        <w:keepNext/>
        <w:keepLines/>
        <w:widowControl w:val="0"/>
      </w:pPr>
      <w:r>
        <w:t>S</w:t>
      </w:r>
      <w:r w:rsidRPr="00F42E08">
        <w:t xml:space="preserve">ome firms have also diversified beyond fabrication. CSF Industries reported that </w:t>
      </w:r>
      <w:r>
        <w:t>in the last 3</w:t>
      </w:r>
      <w:r w:rsidR="00541146">
        <w:noBreakHyphen/>
      </w:r>
      <w:r>
        <w:t>5 years</w:t>
      </w:r>
      <w:r w:rsidRPr="00F42E08">
        <w:t xml:space="preserve"> structural steel </w:t>
      </w:r>
      <w:r>
        <w:t>fabrication</w:t>
      </w:r>
      <w:r w:rsidRPr="00F42E08">
        <w:t xml:space="preserve"> ha</w:t>
      </w:r>
      <w:r>
        <w:t>s</w:t>
      </w:r>
      <w:r w:rsidRPr="00F42E08">
        <w:t xml:space="preserve"> fallen from 95% to 70% of its revenue, while design</w:t>
      </w:r>
      <w:r>
        <w:t xml:space="preserve"> </w:t>
      </w:r>
      <w:r w:rsidRPr="00F42E08">
        <w:t>and</w:t>
      </w:r>
      <w:r>
        <w:t xml:space="preserve"> </w:t>
      </w:r>
      <w:r w:rsidRPr="00F42E08">
        <w:t xml:space="preserve">construction services </w:t>
      </w:r>
      <w:proofErr w:type="gramStart"/>
      <w:r w:rsidRPr="00F42E08">
        <w:t>ha</w:t>
      </w:r>
      <w:r>
        <w:t>s</w:t>
      </w:r>
      <w:proofErr w:type="gramEnd"/>
      <w:r w:rsidRPr="00F42E08">
        <w:t xml:space="preserve"> grown from zero to 22% (sub.</w:t>
      </w:r>
      <w:r w:rsidR="00541146">
        <w:t> </w:t>
      </w:r>
      <w:r w:rsidRPr="00F42E08">
        <w:t>17, p.</w:t>
      </w:r>
      <w:r w:rsidR="00541146">
        <w:t> </w:t>
      </w:r>
      <w:r w:rsidRPr="00F42E08">
        <w:t xml:space="preserve">3). </w:t>
      </w:r>
      <w:r>
        <w:t>Roam Engineering submitted that:</w:t>
      </w:r>
    </w:p>
    <w:p w14:paraId="14BD869B" w14:textId="264B5CD9" w:rsidR="00762328" w:rsidRDefault="00762328" w:rsidP="00011592">
      <w:pPr>
        <w:pStyle w:val="Quote"/>
        <w:keepLines/>
      </w:pPr>
      <w:r w:rsidRPr="005561EF">
        <w:t>On supply</w:t>
      </w:r>
      <w:r w:rsidR="00541146">
        <w:noBreakHyphen/>
      </w:r>
      <w:r w:rsidRPr="005561EF">
        <w:t>only scopes, we lose almost every head</w:t>
      </w:r>
      <w:r w:rsidR="00541146">
        <w:noBreakHyphen/>
      </w:r>
      <w:r w:rsidRPr="005561EF">
        <w:t>to</w:t>
      </w:r>
      <w:r w:rsidR="00541146">
        <w:noBreakHyphen/>
      </w:r>
      <w:r w:rsidRPr="005561EF">
        <w:t xml:space="preserve">head contest against an imported option on price. We continue to win work, but mainly in segments where imports cannot effectively </w:t>
      </w:r>
      <w:proofErr w:type="gramStart"/>
      <w:r w:rsidRPr="005561EF">
        <w:t>compete:</w:t>
      </w:r>
      <w:proofErr w:type="gramEnd"/>
      <w:r w:rsidRPr="005561EF">
        <w:t xml:space="preserve"> turnkey projects that bundle construction scope, customers whose evaluation explicitly values local manufacture, engineering consultancy, and smaller</w:t>
      </w:r>
      <w:r w:rsidR="00541146">
        <w:noBreakHyphen/>
      </w:r>
      <w:r w:rsidRPr="005561EF">
        <w:t>scale work for which importing is uneconomic. We have, in effect, been pushed out of the pure</w:t>
      </w:r>
      <w:r>
        <w:noBreakHyphen/>
      </w:r>
      <w:r w:rsidRPr="005561EF">
        <w:t>supply market for our primary products</w:t>
      </w:r>
      <w:r>
        <w:t>. (sub.</w:t>
      </w:r>
      <w:r w:rsidR="00541146">
        <w:t> </w:t>
      </w:r>
      <w:r>
        <w:t>47, p.</w:t>
      </w:r>
      <w:r w:rsidR="00541146">
        <w:t> </w:t>
      </w:r>
      <w:r>
        <w:t>1)</w:t>
      </w:r>
    </w:p>
    <w:p w14:paraId="45E1962A" w14:textId="37354964" w:rsidR="00762328" w:rsidRDefault="00762328" w:rsidP="00011592">
      <w:pPr>
        <w:pStyle w:val="BodyText"/>
      </w:pPr>
      <w:r w:rsidRPr="007A2180">
        <w:lastRenderedPageBreak/>
        <w:t>Changes in the work undertaken by domestic firms help reconcile some participants’ experiences with the industry</w:t>
      </w:r>
      <w:r w:rsidR="00541146">
        <w:noBreakHyphen/>
      </w:r>
      <w:r w:rsidRPr="007A2180">
        <w:t>wide data. Roam Engineering submitted that many fabricators had ‘kept revenue steady by changing what they do, shifting into segments where imports cannot compete effectively, or by picking up one</w:t>
      </w:r>
      <w:r w:rsidR="00541146">
        <w:noBreakHyphen/>
      </w:r>
      <w:r w:rsidRPr="007A2180">
        <w:t>off project work’ (sub.</w:t>
      </w:r>
      <w:r w:rsidR="00541146">
        <w:t> </w:t>
      </w:r>
      <w:r w:rsidRPr="007A2180">
        <w:t>47, p.</w:t>
      </w:r>
      <w:r w:rsidR="00541146">
        <w:t> </w:t>
      </w:r>
      <w:r w:rsidRPr="007A2180">
        <w:t xml:space="preserve">2). </w:t>
      </w:r>
      <w:r>
        <w:t>NEACH submitted that its revenue had grown over the past 3</w:t>
      </w:r>
      <w:r w:rsidR="00541146">
        <w:noBreakHyphen/>
      </w:r>
      <w:r>
        <w:t xml:space="preserve">5 </w:t>
      </w:r>
      <w:proofErr w:type="gramStart"/>
      <w:r>
        <w:t>years, but</w:t>
      </w:r>
      <w:proofErr w:type="gramEnd"/>
      <w:r>
        <w:t xml:space="preserve"> is now concentrated ‘in higher</w:t>
      </w:r>
      <w:r w:rsidR="00541146">
        <w:noBreakHyphen/>
      </w:r>
      <w:r>
        <w:t>end infrastructure work where limited local content provisions provide some protection’ (sub.</w:t>
      </w:r>
      <w:r w:rsidR="00541146">
        <w:t> </w:t>
      </w:r>
      <w:r>
        <w:t>15, p.</w:t>
      </w:r>
      <w:r w:rsidR="00541146">
        <w:t> </w:t>
      </w:r>
      <w:r>
        <w:t xml:space="preserve">6). </w:t>
      </w:r>
      <w:r w:rsidRPr="007A1B3D">
        <w:t xml:space="preserve">These examples suggest that adjustment by some firms may help explain why pressure from imports in particular market segments </w:t>
      </w:r>
      <w:proofErr w:type="gramStart"/>
      <w:r w:rsidRPr="007A1B3D">
        <w:t>is</w:t>
      </w:r>
      <w:proofErr w:type="gramEnd"/>
      <w:r w:rsidRPr="007A1B3D">
        <w:t xml:space="preserve"> not reflected in declining activity or financial performance across the </w:t>
      </w:r>
      <w:proofErr w:type="gramStart"/>
      <w:r w:rsidRPr="007A1B3D">
        <w:t>industry as a whole</w:t>
      </w:r>
      <w:proofErr w:type="gramEnd"/>
      <w:r w:rsidRPr="007A1B3D">
        <w:t>.</w:t>
      </w:r>
    </w:p>
    <w:p w14:paraId="7A4AA963" w14:textId="26D0396D" w:rsidR="00762328" w:rsidRPr="004F4943" w:rsidRDefault="004F4943" w:rsidP="004F4943">
      <w:pPr>
        <w:pStyle w:val="BodyText"/>
      </w:pPr>
      <w:r>
        <w:t xml:space="preserve"> </w:t>
      </w:r>
    </w:p>
    <w:p w14:paraId="5F4D1B12" w14:textId="77777777" w:rsidR="006B33DD" w:rsidRPr="004F4943" w:rsidRDefault="006B33DD" w:rsidP="004F4943">
      <w:pPr>
        <w:pStyle w:val="BodyText"/>
        <w:sectPr w:rsidR="006B33DD" w:rsidRPr="004F4943" w:rsidSect="009F03DF">
          <w:type w:val="oddPage"/>
          <w:pgSz w:w="11906" w:h="16838" w:code="9"/>
          <w:pgMar w:top="1134" w:right="1134" w:bottom="1134" w:left="1134" w:header="794" w:footer="510" w:gutter="0"/>
          <w:cols w:space="708"/>
          <w:docGrid w:linePitch="360"/>
        </w:sectPr>
      </w:pPr>
    </w:p>
    <w:p w14:paraId="203F9048" w14:textId="77777777" w:rsidR="006B26A5" w:rsidRDefault="006B26A5" w:rsidP="008D3B62">
      <w:pPr>
        <w:pStyle w:val="Heading1"/>
      </w:pPr>
      <w:bookmarkStart w:id="40" w:name="_Toc238643917"/>
      <w:r>
        <w:lastRenderedPageBreak/>
        <w:t>Public interest assessment and measure design</w:t>
      </w:r>
      <w:r w:rsidRPr="00854CB5">
        <w:t xml:space="preserve"> </w:t>
      </w:r>
      <w:r>
        <w:t>considerations</w:t>
      </w:r>
      <w:bookmarkEnd w:id="40"/>
      <w:r>
        <w:t xml:space="preserve"> </w:t>
      </w:r>
    </w:p>
    <w:tbl>
      <w:tblPr>
        <w:tblStyle w:val="Texttable-Paleblue"/>
        <w:tblW w:w="5000" w:type="pct"/>
        <w:shd w:val="clear" w:color="auto" w:fill="E7F6FD"/>
        <w:tblLook w:val="04A0" w:firstRow="1" w:lastRow="0" w:firstColumn="1" w:lastColumn="0" w:noHBand="0" w:noVBand="1"/>
      </w:tblPr>
      <w:tblGrid>
        <w:gridCol w:w="577"/>
        <w:gridCol w:w="9061"/>
      </w:tblGrid>
      <w:tr w:rsidR="006B26A5" w:rsidRPr="002F759A" w14:paraId="200E9F08" w14:textId="77777777">
        <w:tc>
          <w:tcPr>
            <w:tcW w:w="9638" w:type="dxa"/>
            <w:gridSpan w:val="2"/>
            <w:shd w:val="clear" w:color="auto" w:fill="E7F6FD"/>
            <w:tcMar>
              <w:left w:w="170" w:type="dxa"/>
            </w:tcMar>
          </w:tcPr>
          <w:p w14:paraId="418ED859" w14:textId="77777777" w:rsidR="006B26A5" w:rsidRPr="002F759A" w:rsidRDefault="006B26A5">
            <w:pPr>
              <w:pStyle w:val="Keypoints-heading"/>
            </w:pPr>
            <w:r w:rsidRPr="002F759A">
              <w:t>Key points</w:t>
            </w:r>
          </w:p>
        </w:tc>
      </w:tr>
      <w:tr w:rsidR="006B26A5" w14:paraId="35E07D0B" w14:textId="77777777">
        <w:tc>
          <w:tcPr>
            <w:tcW w:w="577" w:type="dxa"/>
            <w:shd w:val="clear" w:color="auto" w:fill="E7F6FD"/>
            <w:tcMar>
              <w:top w:w="0" w:type="dxa"/>
              <w:bottom w:w="0" w:type="dxa"/>
              <w:right w:w="113" w:type="dxa"/>
            </w:tcMar>
          </w:tcPr>
          <w:p w14:paraId="6BF7C16E" w14:textId="77777777" w:rsidR="006B26A5" w:rsidRPr="00A51374" w:rsidRDefault="006B26A5" w:rsidP="00011592">
            <w:pPr>
              <w:pStyle w:val="KeyPointsicon"/>
              <w:rPr>
                <w:noProof/>
              </w:rPr>
            </w:pPr>
            <w:r w:rsidRPr="00A51374">
              <w:rPr>
                <w:noProof/>
              </w:rPr>
              <w:drawing>
                <wp:inline distT="0" distB="0" distL="0" distR="0" wp14:anchorId="42A061FC" wp14:editId="1DDBE388">
                  <wp:extent cx="180000" cy="180000"/>
                  <wp:effectExtent l="0" t="0" r="0" b="0"/>
                  <wp:docPr id="106476222" name="Graphic 1064762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a:extLst>
                              <a:ext uri="{C183D7F6-B498-43B3-948B-1728B52AA6E4}">
                                <adec:decorative xmlns:adec="http://schemas.microsoft.com/office/drawing/2017/decorative" val="1"/>
                              </a:ext>
                            </a:extLst>
                          </pic:cNvPr>
                          <pic:cNvPicPr/>
                        </pic:nvPicPr>
                        <pic:blipFill>
                          <a:blip r:embed="rId39">
                            <a:extLst>
                              <a:ext uri="{96DAC541-7B7A-43D3-8B79-37D633B846F1}">
                                <asvg:svgBlip xmlns:asvg="http://schemas.microsoft.com/office/drawing/2016/SVG/main" r:embed="rId40"/>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1AC49CC3" w14:textId="7425068A" w:rsidR="006B26A5" w:rsidRDefault="006B26A5" w:rsidP="00011592">
            <w:pPr>
              <w:pStyle w:val="KeyPoints-Bold"/>
              <w:rPr>
                <w:lang w:eastAsia="en-AU"/>
              </w:rPr>
            </w:pPr>
            <w:r>
              <w:t>As we have found that the conditions for introducing a safeguard measure are not met, we have not assessed whether</w:t>
            </w:r>
            <w:r w:rsidRPr="008634A9">
              <w:t xml:space="preserve"> a measure is in the public interest</w:t>
            </w:r>
            <w:r>
              <w:t>.</w:t>
            </w:r>
            <w:r>
              <w:rPr>
                <w:lang w:eastAsia="en-AU"/>
              </w:rPr>
              <w:t xml:space="preserve"> However, given </w:t>
            </w:r>
            <w:r>
              <w:t>this</w:t>
            </w:r>
            <w:r>
              <w:rPr>
                <w:lang w:eastAsia="en-AU"/>
              </w:rPr>
              <w:t xml:space="preserve"> is an interim report, we have included a high</w:t>
            </w:r>
            <w:r w:rsidR="00541146">
              <w:rPr>
                <w:lang w:eastAsia="en-AU"/>
              </w:rPr>
              <w:noBreakHyphen/>
            </w:r>
            <w:r>
              <w:rPr>
                <w:lang w:eastAsia="en-AU"/>
              </w:rPr>
              <w:t xml:space="preserve">level discussion of relevant issues. </w:t>
            </w:r>
          </w:p>
          <w:p w14:paraId="03BEABCD" w14:textId="5C770CA2" w:rsidR="006B26A5" w:rsidRPr="00C51363" w:rsidRDefault="006B26A5" w:rsidP="00C51363">
            <w:pPr>
              <w:pStyle w:val="KeyPoints-Bullet"/>
            </w:pPr>
            <w:r w:rsidRPr="00C51363">
              <w:t xml:space="preserve">The matters in this chapter will be relevant to future safeguard investigations, which, should a proposed bill pass parliament, would be done by the Australian Trade Remedies Commission (the proposed </w:t>
            </w:r>
            <w:r w:rsidR="00FE6005" w:rsidRPr="00C51363">
              <w:t>new</w:t>
            </w:r>
            <w:r w:rsidRPr="00C51363">
              <w:t xml:space="preserve"> name for the Anti</w:t>
            </w:r>
            <w:r w:rsidR="00541146" w:rsidRPr="00C51363">
              <w:noBreakHyphen/>
            </w:r>
            <w:r w:rsidRPr="00C51363">
              <w:t>Dumping Commission (ADC)).</w:t>
            </w:r>
          </w:p>
          <w:p w14:paraId="44D18B79" w14:textId="77777777" w:rsidR="006B26A5" w:rsidRPr="00FF3970" w:rsidRDefault="006B26A5" w:rsidP="00C51363">
            <w:pPr>
              <w:pStyle w:val="KeyPoints-Bullet"/>
            </w:pPr>
            <w:r w:rsidRPr="00C51363">
              <w:t>The bill sets out relevant public interest issues for consideration. We have unpacked these with referen</w:t>
            </w:r>
            <w:r w:rsidRPr="002C77B8">
              <w:t>ce to issues that have emerged in this inquiry</w:t>
            </w:r>
            <w:r>
              <w:t>.</w:t>
            </w:r>
          </w:p>
        </w:tc>
      </w:tr>
      <w:tr w:rsidR="006B26A5" w14:paraId="5927324D" w14:textId="77777777">
        <w:tc>
          <w:tcPr>
            <w:tcW w:w="577" w:type="dxa"/>
            <w:shd w:val="clear" w:color="auto" w:fill="E7F6FD"/>
            <w:tcMar>
              <w:top w:w="0" w:type="dxa"/>
              <w:bottom w:w="0" w:type="dxa"/>
              <w:right w:w="113" w:type="dxa"/>
            </w:tcMar>
          </w:tcPr>
          <w:p w14:paraId="0029F1E8" w14:textId="77777777" w:rsidR="006B26A5" w:rsidRPr="00A51374" w:rsidRDefault="006B26A5" w:rsidP="00011592">
            <w:pPr>
              <w:pStyle w:val="KeyPointsicon"/>
              <w:rPr>
                <w:noProof/>
              </w:rPr>
            </w:pPr>
            <w:r w:rsidRPr="00A51374">
              <w:rPr>
                <w:noProof/>
              </w:rPr>
              <w:drawing>
                <wp:inline distT="0" distB="0" distL="0" distR="0" wp14:anchorId="17B489DD" wp14:editId="04199245">
                  <wp:extent cx="180000" cy="180000"/>
                  <wp:effectExtent l="0" t="0" r="0" b="0"/>
                  <wp:docPr id="1436826686" name="Graphic 14368266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a:extLst>
                              <a:ext uri="{C183D7F6-B498-43B3-948B-1728B52AA6E4}">
                                <adec:decorative xmlns:adec="http://schemas.microsoft.com/office/drawing/2017/decorative" val="1"/>
                              </a:ext>
                            </a:extLst>
                          </pic:cNvPr>
                          <pic:cNvPicPr/>
                        </pic:nvPicPr>
                        <pic:blipFill>
                          <a:blip r:embed="rId39">
                            <a:extLst>
                              <a:ext uri="{96DAC541-7B7A-43D3-8B79-37D633B846F1}">
                                <asvg:svgBlip xmlns:asvg="http://schemas.microsoft.com/office/drawing/2016/SVG/main" r:embed="rId40"/>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6431FBC4" w14:textId="77777777" w:rsidR="006B26A5" w:rsidRDefault="006B26A5" w:rsidP="00011592">
            <w:pPr>
              <w:pStyle w:val="KeyPoints-Bold"/>
            </w:pPr>
            <w:r>
              <w:t>The purpose of safeguard measures is to prevent or remedy injury and facilitate adjustment in the protected industry – the extent to which a measure would create these benefits must be assessed.</w:t>
            </w:r>
          </w:p>
          <w:p w14:paraId="6C9467AB" w14:textId="77777777" w:rsidR="006B26A5" w:rsidRDefault="006B26A5" w:rsidP="00C51363">
            <w:pPr>
              <w:pStyle w:val="KeyPoints-Bullet"/>
            </w:pPr>
            <w:r w:rsidRPr="000B07A8">
              <w:t>Safeguard measures are most likely to deliver lasting benefits where they provide an otherwise viable industry with temporary relief from a disruption, or time to undertake adjustment</w:t>
            </w:r>
            <w:r>
              <w:t>.</w:t>
            </w:r>
          </w:p>
          <w:p w14:paraId="1459EEB4" w14:textId="5208D7EF" w:rsidR="006B26A5" w:rsidRDefault="006B26A5" w:rsidP="00C51363">
            <w:pPr>
              <w:pStyle w:val="KeyPoints-Bullet"/>
            </w:pPr>
            <w:r w:rsidRPr="008A666C">
              <w:t>The case for temporary protection may be stronger where, without it, an industry faces a near</w:t>
            </w:r>
            <w:r w:rsidR="00541146">
              <w:noBreakHyphen/>
            </w:r>
            <w:r w:rsidRPr="008A666C">
              <w:t>term risk of losing capabilities that would be difficult or costly to re</w:t>
            </w:r>
            <w:r w:rsidR="00541146">
              <w:noBreakHyphen/>
            </w:r>
            <w:r w:rsidRPr="008A666C">
              <w:t>establish if conditions later improve.</w:t>
            </w:r>
          </w:p>
        </w:tc>
      </w:tr>
      <w:tr w:rsidR="006B26A5" w14:paraId="187C65F5" w14:textId="77777777">
        <w:tc>
          <w:tcPr>
            <w:tcW w:w="577" w:type="dxa"/>
            <w:shd w:val="clear" w:color="auto" w:fill="E7F6FD"/>
            <w:tcMar>
              <w:top w:w="0" w:type="dxa"/>
              <w:bottom w:w="0" w:type="dxa"/>
              <w:right w:w="113" w:type="dxa"/>
            </w:tcMar>
          </w:tcPr>
          <w:p w14:paraId="4FC195AE" w14:textId="77777777" w:rsidR="006B26A5" w:rsidRPr="00F31E73" w:rsidRDefault="006B26A5" w:rsidP="00011592">
            <w:pPr>
              <w:pStyle w:val="KeyPointsicon"/>
              <w:rPr>
                <w:noProof/>
              </w:rPr>
            </w:pPr>
            <w:r w:rsidRPr="00F31E73">
              <w:rPr>
                <w:noProof/>
              </w:rPr>
              <w:drawing>
                <wp:inline distT="0" distB="0" distL="0" distR="0" wp14:anchorId="640D1045" wp14:editId="6436118A">
                  <wp:extent cx="180000" cy="180000"/>
                  <wp:effectExtent l="0" t="0" r="0" b="0"/>
                  <wp:docPr id="1959858420" name="Graphic 19598584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a:extLst>
                              <a:ext uri="{C183D7F6-B498-43B3-948B-1728B52AA6E4}">
                                <adec:decorative xmlns:adec="http://schemas.microsoft.com/office/drawing/2017/decorative" val="1"/>
                              </a:ext>
                            </a:extLst>
                          </pic:cNvPr>
                          <pic:cNvPicPr/>
                        </pic:nvPicPr>
                        <pic:blipFill>
                          <a:blip r:embed="rId39">
                            <a:extLst>
                              <a:ext uri="{96DAC541-7B7A-43D3-8B79-37D633B846F1}">
                                <asvg:svgBlip xmlns:asvg="http://schemas.microsoft.com/office/drawing/2016/SVG/main" r:embed="rId40"/>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509808A8" w14:textId="77777777" w:rsidR="006B26A5" w:rsidRDefault="006B26A5" w:rsidP="00011592">
            <w:pPr>
              <w:pStyle w:val="KeyPoints-Bold"/>
            </w:pPr>
            <w:r>
              <w:t xml:space="preserve">Assessing the </w:t>
            </w:r>
            <w:r w:rsidRPr="000E73D4">
              <w:t xml:space="preserve">economic significance </w:t>
            </w:r>
            <w:r>
              <w:t>of the protected industry to the wider economy could include</w:t>
            </w:r>
            <w:r w:rsidRPr="000E73D4">
              <w:t xml:space="preserve"> considerations relating to </w:t>
            </w:r>
            <w:r>
              <w:t>national resilience or the achievement of net zero goals.</w:t>
            </w:r>
          </w:p>
          <w:p w14:paraId="7390E3B4" w14:textId="77777777" w:rsidR="006B26A5" w:rsidRPr="002E27D2" w:rsidRDefault="006B26A5" w:rsidP="00C51363">
            <w:pPr>
              <w:pStyle w:val="KeyPoints-Bullet"/>
            </w:pPr>
            <w:r>
              <w:t xml:space="preserve">These matters should be assessed rigorously using established frameworks, such as the National Interest Framework established under the </w:t>
            </w:r>
            <w:r w:rsidRPr="007B7B24">
              <w:rPr>
                <w:i/>
                <w:iCs/>
              </w:rPr>
              <w:t>Future Made in Australia Act</w:t>
            </w:r>
            <w:r w:rsidDel="0032213E">
              <w:rPr>
                <w:i/>
              </w:rPr>
              <w:t xml:space="preserve"> </w:t>
            </w:r>
            <w:r>
              <w:rPr>
                <w:i/>
                <w:iCs/>
              </w:rPr>
              <w:t xml:space="preserve">2024 </w:t>
            </w:r>
            <w:r>
              <w:t>(</w:t>
            </w:r>
            <w:proofErr w:type="spellStart"/>
            <w:r>
              <w:t>Cth</w:t>
            </w:r>
            <w:proofErr w:type="spellEnd"/>
            <w:r>
              <w:t>).</w:t>
            </w:r>
          </w:p>
        </w:tc>
      </w:tr>
      <w:tr w:rsidR="006B26A5" w14:paraId="0FCC1BAC" w14:textId="77777777">
        <w:tc>
          <w:tcPr>
            <w:tcW w:w="577" w:type="dxa"/>
            <w:shd w:val="clear" w:color="auto" w:fill="E7F6FD"/>
            <w:tcMar>
              <w:top w:w="0" w:type="dxa"/>
              <w:bottom w:w="0" w:type="dxa"/>
              <w:right w:w="113" w:type="dxa"/>
            </w:tcMar>
          </w:tcPr>
          <w:p w14:paraId="77601B54" w14:textId="77777777" w:rsidR="006B26A5" w:rsidRPr="00A51374" w:rsidRDefault="006B26A5" w:rsidP="00011592">
            <w:pPr>
              <w:pStyle w:val="KeyPointsicon"/>
            </w:pPr>
            <w:r w:rsidRPr="00F31E73">
              <w:rPr>
                <w:noProof/>
              </w:rPr>
              <w:drawing>
                <wp:inline distT="0" distB="0" distL="0" distR="0" wp14:anchorId="094BB93F" wp14:editId="390E5EC2">
                  <wp:extent cx="180000" cy="180000"/>
                  <wp:effectExtent l="0" t="0" r="0" b="0"/>
                  <wp:docPr id="756688216" name="Graphic 7566882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a:extLst>
                              <a:ext uri="{C183D7F6-B498-43B3-948B-1728B52AA6E4}">
                                <adec:decorative xmlns:adec="http://schemas.microsoft.com/office/drawing/2017/decorative" val="1"/>
                              </a:ext>
                            </a:extLst>
                          </pic:cNvPr>
                          <pic:cNvPicPr/>
                        </pic:nvPicPr>
                        <pic:blipFill>
                          <a:blip r:embed="rId39">
                            <a:extLst>
                              <a:ext uri="{96DAC541-7B7A-43D3-8B79-37D633B846F1}">
                                <asvg:svgBlip xmlns:asvg="http://schemas.microsoft.com/office/drawing/2016/SVG/main" r:embed="rId40"/>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3D054F9D" w14:textId="77777777" w:rsidR="006B26A5" w:rsidRPr="00D7247A" w:rsidRDefault="006B26A5" w:rsidP="00011592">
            <w:pPr>
              <w:pStyle w:val="KeyPoints-Bold"/>
            </w:pPr>
            <w:r w:rsidRPr="00BB0378">
              <w:t>A public interest assessment should consider all material benefits and costs of a safeguard measure across the economy, including effects outside the protected industry. This includes economic modelling of the effect of imposing higher prices (than would otherwise be the case) on downstream industries and consumers, and distortions to resource allocation in the economy.</w:t>
            </w:r>
          </w:p>
        </w:tc>
      </w:tr>
      <w:tr w:rsidR="006B26A5" w14:paraId="4D513410" w14:textId="77777777">
        <w:tc>
          <w:tcPr>
            <w:tcW w:w="577" w:type="dxa"/>
            <w:shd w:val="clear" w:color="auto" w:fill="E7F6FD"/>
            <w:tcMar>
              <w:top w:w="0" w:type="dxa"/>
              <w:bottom w:w="0" w:type="dxa"/>
              <w:right w:w="113" w:type="dxa"/>
            </w:tcMar>
          </w:tcPr>
          <w:p w14:paraId="244E3C99" w14:textId="77777777" w:rsidR="006B26A5" w:rsidRPr="00A51374" w:rsidRDefault="006B26A5" w:rsidP="00011592">
            <w:pPr>
              <w:pStyle w:val="KeyPointsicon"/>
            </w:pPr>
            <w:r w:rsidRPr="00F31E73">
              <w:rPr>
                <w:noProof/>
              </w:rPr>
              <w:drawing>
                <wp:inline distT="0" distB="0" distL="0" distR="0" wp14:anchorId="77560D24" wp14:editId="3B432806">
                  <wp:extent cx="180000" cy="180000"/>
                  <wp:effectExtent l="0" t="0" r="0" b="0"/>
                  <wp:docPr id="4"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39">
                            <a:extLst>
                              <a:ext uri="{96DAC541-7B7A-43D3-8B79-37D633B846F1}">
                                <asvg:svgBlip xmlns:asvg="http://schemas.microsoft.com/office/drawing/2016/SVG/main" r:embed="rId40"/>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68778C60" w14:textId="77777777" w:rsidR="006B26A5" w:rsidRPr="00D7247A" w:rsidRDefault="006B26A5" w:rsidP="00011592">
            <w:pPr>
              <w:pStyle w:val="KeyPoints-Bold"/>
              <w:rPr>
                <w:color w:val="A22D2B"/>
              </w:rPr>
            </w:pPr>
            <w:r w:rsidRPr="002E27D2">
              <w:t>Governments should compare a safeguard measure with other policies that could address the identified problem more directly</w:t>
            </w:r>
            <w:r>
              <w:t>, more effectively,</w:t>
            </w:r>
            <w:r w:rsidRPr="002E27D2">
              <w:t xml:space="preserve"> or at lower cost</w:t>
            </w:r>
            <w:r>
              <w:t>.</w:t>
            </w:r>
          </w:p>
        </w:tc>
      </w:tr>
      <w:tr w:rsidR="006B26A5" w14:paraId="6E2E2EC8" w14:textId="77777777">
        <w:tc>
          <w:tcPr>
            <w:tcW w:w="577" w:type="dxa"/>
            <w:shd w:val="clear" w:color="auto" w:fill="E7F6FD"/>
            <w:tcMar>
              <w:top w:w="0" w:type="dxa"/>
              <w:bottom w:w="0" w:type="dxa"/>
              <w:right w:w="113" w:type="dxa"/>
            </w:tcMar>
          </w:tcPr>
          <w:p w14:paraId="3F4726F3" w14:textId="77777777" w:rsidR="006B26A5" w:rsidRPr="00F31E73" w:rsidRDefault="006B26A5" w:rsidP="00011592">
            <w:pPr>
              <w:pStyle w:val="KeyPointsicon"/>
              <w:rPr>
                <w:noProof/>
              </w:rPr>
            </w:pPr>
            <w:r w:rsidRPr="00F31E73">
              <w:rPr>
                <w:noProof/>
              </w:rPr>
              <w:drawing>
                <wp:inline distT="0" distB="0" distL="0" distR="0" wp14:anchorId="1A633118" wp14:editId="6A5F210F">
                  <wp:extent cx="180000" cy="180000"/>
                  <wp:effectExtent l="0" t="0" r="0" b="0"/>
                  <wp:docPr id="1379259163" name="Graphic 13792591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39">
                            <a:extLst>
                              <a:ext uri="{96DAC541-7B7A-43D3-8B79-37D633B846F1}">
                                <asvg:svgBlip xmlns:asvg="http://schemas.microsoft.com/office/drawing/2016/SVG/main" r:embed="rId40"/>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27AE09A7" w14:textId="77777777" w:rsidR="006B26A5" w:rsidRDefault="006B26A5" w:rsidP="00011592">
            <w:pPr>
              <w:pStyle w:val="KeyPoints-Bold"/>
            </w:pPr>
            <w:r w:rsidDel="004D6246">
              <w:t>Safeguard measure design needs to consider the distribution of benefits and costs and minimise unanticipated impacts.</w:t>
            </w:r>
          </w:p>
          <w:p w14:paraId="5AB5092F" w14:textId="77777777" w:rsidR="006B26A5" w:rsidRPr="002E27D2" w:rsidRDefault="006B26A5" w:rsidP="00C51363">
            <w:pPr>
              <w:pStyle w:val="KeyPoints-Bullet"/>
            </w:pPr>
            <w:r w:rsidRPr="00B11BA9">
              <w:t>If a safeguard measure will be used, quotas should be avoided due to their hidden costs</w:t>
            </w:r>
            <w:r>
              <w:t>.</w:t>
            </w:r>
          </w:p>
        </w:tc>
      </w:tr>
    </w:tbl>
    <w:p w14:paraId="447C1A92" w14:textId="64C8D293" w:rsidR="006B26A5" w:rsidRDefault="006B26A5" w:rsidP="00011592">
      <w:pPr>
        <w:pStyle w:val="NoSpacing"/>
        <w:rPr>
          <w:lang w:eastAsia="en-AU"/>
        </w:rPr>
      </w:pPr>
      <w:r w:rsidRPr="0011742E">
        <w:rPr>
          <w:lang w:eastAsia="en-AU"/>
        </w:rPr>
        <w:lastRenderedPageBreak/>
        <w:t xml:space="preserve">Because the </w:t>
      </w:r>
      <w:r>
        <w:rPr>
          <w:lang w:eastAsia="en-AU"/>
        </w:rPr>
        <w:t xml:space="preserve">Productivity Commission </w:t>
      </w:r>
      <w:r w:rsidRPr="0011742E">
        <w:rPr>
          <w:lang w:eastAsia="en-AU"/>
        </w:rPr>
        <w:t xml:space="preserve">has </w:t>
      </w:r>
      <w:r>
        <w:rPr>
          <w:lang w:eastAsia="en-AU"/>
        </w:rPr>
        <w:t xml:space="preserve">not </w:t>
      </w:r>
      <w:r w:rsidRPr="0011742E">
        <w:rPr>
          <w:lang w:eastAsia="en-AU"/>
        </w:rPr>
        <w:t xml:space="preserve">found that </w:t>
      </w:r>
      <w:r>
        <w:rPr>
          <w:lang w:eastAsia="en-AU"/>
        </w:rPr>
        <w:t xml:space="preserve">the conditions for introducing a </w:t>
      </w:r>
      <w:r w:rsidRPr="0011742E">
        <w:rPr>
          <w:lang w:eastAsia="en-AU"/>
        </w:rPr>
        <w:t xml:space="preserve">safeguard measure </w:t>
      </w:r>
      <w:r>
        <w:rPr>
          <w:lang w:eastAsia="en-AU"/>
        </w:rPr>
        <w:t>are met in this inquiry, we</w:t>
      </w:r>
      <w:r w:rsidRPr="0011742E">
        <w:rPr>
          <w:lang w:eastAsia="en-AU"/>
        </w:rPr>
        <w:t xml:space="preserve"> ha</w:t>
      </w:r>
      <w:r>
        <w:rPr>
          <w:lang w:eastAsia="en-AU"/>
        </w:rPr>
        <w:t>ve</w:t>
      </w:r>
      <w:r w:rsidRPr="0011742E">
        <w:rPr>
          <w:lang w:eastAsia="en-AU"/>
        </w:rPr>
        <w:t xml:space="preserve"> not </w:t>
      </w:r>
      <w:r>
        <w:rPr>
          <w:lang w:eastAsia="en-AU"/>
        </w:rPr>
        <w:t xml:space="preserve">undertaken </w:t>
      </w:r>
      <w:r w:rsidRPr="0011742E">
        <w:rPr>
          <w:lang w:eastAsia="en-AU"/>
        </w:rPr>
        <w:t xml:space="preserve">a public interest assessment. </w:t>
      </w:r>
      <w:r>
        <w:rPr>
          <w:lang w:eastAsia="en-AU"/>
        </w:rPr>
        <w:t>However, given this is an interim report, we have included a high</w:t>
      </w:r>
      <w:r w:rsidR="00541146">
        <w:rPr>
          <w:lang w:eastAsia="en-AU"/>
        </w:rPr>
        <w:noBreakHyphen/>
      </w:r>
      <w:r>
        <w:rPr>
          <w:lang w:eastAsia="en-AU"/>
        </w:rPr>
        <w:t>level discussion of relevant considerations. For similar reasons, this chapter addresses safeguard measure design.</w:t>
      </w:r>
    </w:p>
    <w:p w14:paraId="68141A4B" w14:textId="77777777" w:rsidR="006B26A5" w:rsidRDefault="006B26A5" w:rsidP="00011592">
      <w:pPr>
        <w:pStyle w:val="BodyText"/>
      </w:pPr>
      <w:r>
        <w:rPr>
          <w:lang w:eastAsia="en-AU"/>
        </w:rPr>
        <w:t xml:space="preserve">The matters covered in this chapter will be relevant to future </w:t>
      </w:r>
      <w:r>
        <w:t>safeguard investigations, which, should a proposed bill pass parliament, would be done by the Australian Trade Remedies Commission.</w:t>
      </w:r>
    </w:p>
    <w:p w14:paraId="6641A57B" w14:textId="77777777" w:rsidR="006B26A5" w:rsidRPr="004A6DF9" w:rsidRDefault="006B26A5" w:rsidP="00011592">
      <w:pPr>
        <w:pStyle w:val="Heading2"/>
      </w:pPr>
      <w:bookmarkStart w:id="41" w:name="_Toc238643918"/>
      <w:r>
        <w:t>Public interest assessment</w:t>
      </w:r>
      <w:bookmarkEnd w:id="41"/>
    </w:p>
    <w:p w14:paraId="7F7651A5" w14:textId="77777777" w:rsidR="006B26A5" w:rsidRDefault="006B26A5" w:rsidP="00011592">
      <w:pPr>
        <w:pStyle w:val="BodyText"/>
      </w:pPr>
      <w:r>
        <w:t>In the case of safeguards, consideration of public interest only occurs once an investigation by the competent authority has determined that the stringent tests around an imports surge and domestic industry injury have been met.</w:t>
      </w:r>
    </w:p>
    <w:p w14:paraId="792731B5" w14:textId="44873118" w:rsidR="006B26A5" w:rsidRDefault="006B26A5" w:rsidP="00011592">
      <w:pPr>
        <w:pStyle w:val="BodyText"/>
      </w:pPr>
      <w:r>
        <w:t xml:space="preserve">Economic analysis generally indicates that trade protection imposes costs once effects across the economy are accounted for, including effects on downstream industries and consumers </w:t>
      </w:r>
      <w:r w:rsidRPr="004B2C3D">
        <w:rPr>
          <w:rFonts w:cs="Open Sans"/>
        </w:rPr>
        <w:t>(for example: Dixon et al. 2007; Grossman et al. 2024; PC 2000)</w:t>
      </w:r>
      <w:r>
        <w:t>. This is likely to hold for safeguard measures and is relevant for considerations of public interest.</w:t>
      </w:r>
    </w:p>
    <w:p w14:paraId="6FAAD5E0" w14:textId="77777777" w:rsidR="006B26A5" w:rsidRDefault="006B26A5" w:rsidP="00011592">
      <w:pPr>
        <w:pStyle w:val="BodyText"/>
      </w:pPr>
      <w:r w:rsidRPr="00A16E03">
        <w:t xml:space="preserve">There may be benefits associated with reducing exposure to supply disruptions in an essential </w:t>
      </w:r>
      <w:proofErr w:type="gramStart"/>
      <w:r w:rsidRPr="00A16E03">
        <w:t>industry, or</w:t>
      </w:r>
      <w:proofErr w:type="gramEnd"/>
      <w:r w:rsidRPr="00A16E03">
        <w:t xml:space="preserve"> preserving skills and capital equipment that create a likely comparative advantage in future industries.</w:t>
      </w:r>
      <w:r>
        <w:t xml:space="preserve"> It is critical to carefully weigh any benefits against the cost to consumers and others and consider whether alternative policy responses would achieve desired outcomes at lower cost.</w:t>
      </w:r>
    </w:p>
    <w:p w14:paraId="07DBEC96" w14:textId="6D3876C5" w:rsidR="006B26A5" w:rsidRDefault="006B26A5" w:rsidP="00011592">
      <w:pPr>
        <w:pStyle w:val="BodyText"/>
      </w:pPr>
      <w:r>
        <w:t xml:space="preserve">These matters are reflected in the bill that would, if passed, transfer responsibility for safeguards to the </w:t>
      </w:r>
      <w:r w:rsidR="00BD1C8C">
        <w:t>Australian Trade Remedies Com</w:t>
      </w:r>
      <w:r w:rsidR="008361ED">
        <w:t>mission</w:t>
      </w:r>
      <w:r>
        <w:t>. If the Minister asks the Commissioner to make a recommendation</w:t>
      </w:r>
      <w:r w:rsidRPr="00646101">
        <w:t xml:space="preserve"> </w:t>
      </w:r>
      <w:r>
        <w:t xml:space="preserve">on whether safeguard measures should be introduced, under the bill they would have to ‘have regard to whether the recommendation is in the public interest’ (Customs Amendment (Safeguard Inquiries) Bill 2026, </w:t>
      </w:r>
      <w:r w:rsidR="002A112A">
        <w:t>para</w:t>
      </w:r>
      <w:r>
        <w:t xml:space="preserve"> 269ZHGC(5)(b)). This would include consideration of:</w:t>
      </w:r>
    </w:p>
    <w:p w14:paraId="1B0FF3DC" w14:textId="77777777" w:rsidR="006B26A5" w:rsidRPr="00607337" w:rsidRDefault="006B26A5" w:rsidP="00607337">
      <w:pPr>
        <w:pStyle w:val="QuoteBullet"/>
      </w:pPr>
      <w:r w:rsidRPr="00DF154D">
        <w:t xml:space="preserve">the </w:t>
      </w:r>
      <w:r w:rsidRPr="00607337">
        <w:t>benefits to the like Australian industry for the goods to which the matter relates in removing that serious injury</w:t>
      </w:r>
    </w:p>
    <w:p w14:paraId="4E0B0FB2" w14:textId="77777777" w:rsidR="006B26A5" w:rsidRPr="00607337" w:rsidRDefault="006B26A5" w:rsidP="00607337">
      <w:pPr>
        <w:pStyle w:val="QuoteBullet"/>
      </w:pPr>
      <w:r w:rsidRPr="00607337">
        <w:t>the economic significance of industries in Australia affected by the importation of goods to which the matter relates</w:t>
      </w:r>
    </w:p>
    <w:p w14:paraId="1965F22A" w14:textId="5CFB65CD" w:rsidR="006B26A5" w:rsidRDefault="006B26A5" w:rsidP="00607337">
      <w:pPr>
        <w:pStyle w:val="QuoteBullet"/>
      </w:pPr>
      <w:r w:rsidRPr="00607337">
        <w:t>the likely impact of the recommendation on the Australian economy, downstream industries</w:t>
      </w:r>
      <w:r w:rsidRPr="00DF154D">
        <w:t>, and consumers</w:t>
      </w:r>
      <w:r>
        <w:t xml:space="preserve"> (subclause 269</w:t>
      </w:r>
      <w:proofErr w:type="gramStart"/>
      <w:r>
        <w:t>ZHGD(</w:t>
      </w:r>
      <w:proofErr w:type="gramEnd"/>
      <w:r>
        <w:t>8))</w:t>
      </w:r>
      <w:r w:rsidR="00890519">
        <w:t>.</w:t>
      </w:r>
    </w:p>
    <w:p w14:paraId="7707E835" w14:textId="77777777" w:rsidR="006B26A5" w:rsidRPr="003E11DE" w:rsidRDefault="006B26A5" w:rsidP="00011592">
      <w:pPr>
        <w:pStyle w:val="BodyText"/>
      </w:pPr>
      <w:r w:rsidRPr="003E11DE">
        <w:t>These matters are discussed below, as well as the generally applicable point that government interventions should include consideration of multiple options.</w:t>
      </w:r>
    </w:p>
    <w:p w14:paraId="056426E1" w14:textId="77777777" w:rsidR="006B26A5" w:rsidRDefault="006B26A5" w:rsidP="00011592">
      <w:pPr>
        <w:pStyle w:val="Heading3"/>
      </w:pPr>
      <w:r>
        <w:t>Benefits to the protected industry</w:t>
      </w:r>
    </w:p>
    <w:p w14:paraId="6E342F52" w14:textId="77777777" w:rsidR="006B26A5" w:rsidRDefault="006B26A5" w:rsidP="00011592">
      <w:pPr>
        <w:pStyle w:val="Heading4"/>
      </w:pPr>
      <w:r>
        <w:t>Safeguards are temporary and focused on adjustment</w:t>
      </w:r>
    </w:p>
    <w:p w14:paraId="630855B9" w14:textId="77BDE590" w:rsidR="006B26A5" w:rsidRDefault="006B26A5" w:rsidP="00011592">
      <w:pPr>
        <w:pStyle w:val="BodyText"/>
      </w:pPr>
      <w:r>
        <w:t>If the conditions for safeguards are met, they can only be introduced ‘to the extent necessary to prevent or remedy serious injury and to facilitate adjustment’ (Agreement on Safeguards (SA), Article</w:t>
      </w:r>
      <w:r w:rsidR="00F423B4">
        <w:t> </w:t>
      </w:r>
      <w:r>
        <w:t>5.1). The extent to which the measure can produce these benefits needs to be considered in any public interest assessment.</w:t>
      </w:r>
    </w:p>
    <w:p w14:paraId="51CD7AA4" w14:textId="77777777" w:rsidR="006B26A5" w:rsidRDefault="006B26A5" w:rsidP="00011592">
      <w:pPr>
        <w:pStyle w:val="BodyText"/>
      </w:pPr>
      <w:r w:rsidRPr="006000E0">
        <w:t xml:space="preserve">Safeguard measures are temporary and must be </w:t>
      </w:r>
      <w:r>
        <w:t>relaxed</w:t>
      </w:r>
      <w:r w:rsidRPr="006000E0">
        <w:t xml:space="preserve"> over time</w:t>
      </w:r>
      <w:r>
        <w:t xml:space="preserve"> (SA Article 7)</w:t>
      </w:r>
      <w:r w:rsidRPr="006000E0">
        <w:t xml:space="preserve">. </w:t>
      </w:r>
      <w:r>
        <w:t xml:space="preserve">Governments can initially impose measures for </w:t>
      </w:r>
      <w:r w:rsidRPr="006000E0">
        <w:t xml:space="preserve">no more than </w:t>
      </w:r>
      <w:r>
        <w:t>4</w:t>
      </w:r>
      <w:r w:rsidRPr="006000E0">
        <w:t xml:space="preserve"> years</w:t>
      </w:r>
      <w:r>
        <w:t xml:space="preserve"> and must progressively liberalise any measure that </w:t>
      </w:r>
      <w:r>
        <w:lastRenderedPageBreak/>
        <w:t>operates for more than 1 year (for example, by increasing a quota or reducing a tariff rate).</w:t>
      </w:r>
      <w:r w:rsidRPr="006000E0">
        <w:t xml:space="preserve"> </w:t>
      </w:r>
      <w:r>
        <w:t xml:space="preserve">They can </w:t>
      </w:r>
      <w:r w:rsidRPr="006000E0">
        <w:t>be extended</w:t>
      </w:r>
      <w:r>
        <w:t xml:space="preserve"> to last up to 8 years in total </w:t>
      </w:r>
      <w:r w:rsidRPr="006000E0">
        <w:t xml:space="preserve">if a review finds that the measure remains necessary to prevent or remedy serious injury and there is evidence the domestic industry is adjusting. </w:t>
      </w:r>
    </w:p>
    <w:p w14:paraId="52E6B6A6" w14:textId="67E0D8F1" w:rsidR="006B26A5" w:rsidRPr="00C67598" w:rsidRDefault="006B26A5" w:rsidP="00011592">
      <w:pPr>
        <w:pStyle w:val="BodyText"/>
        <w:rPr>
          <w:spacing w:val="-2"/>
        </w:rPr>
      </w:pPr>
      <w:r w:rsidRPr="00C67598">
        <w:rPr>
          <w:spacing w:val="-2"/>
        </w:rPr>
        <w:t xml:space="preserve">Adjustment is a fundamental aspect of the </w:t>
      </w:r>
      <w:proofErr w:type="gramStart"/>
      <w:r w:rsidRPr="00C67598">
        <w:rPr>
          <w:spacing w:val="-2"/>
        </w:rPr>
        <w:t>safeguards</w:t>
      </w:r>
      <w:proofErr w:type="gramEnd"/>
      <w:r w:rsidRPr="00C67598">
        <w:rPr>
          <w:spacing w:val="-2"/>
        </w:rPr>
        <w:t xml:space="preserve"> regime. The preamble to </w:t>
      </w:r>
      <w:r w:rsidR="00C67598" w:rsidRPr="00C67598">
        <w:rPr>
          <w:spacing w:val="-2"/>
        </w:rPr>
        <w:t xml:space="preserve">the Agreement on Safeguards </w:t>
      </w:r>
      <w:r w:rsidRPr="00C67598">
        <w:rPr>
          <w:spacing w:val="-2"/>
        </w:rPr>
        <w:t xml:space="preserve">recognises ‘the importance of structural adjustment’ and Article 5 provides that safeguard measures can only be applied ‘to the extent necessary to prevent or remedy serious injury and to facilitate adjustment’. The </w:t>
      </w:r>
      <w:r w:rsidR="00C67598" w:rsidRPr="00C67598">
        <w:rPr>
          <w:spacing w:val="-2"/>
        </w:rPr>
        <w:t xml:space="preserve">Agreement on Safeguards </w:t>
      </w:r>
      <w:r w:rsidRPr="00C67598">
        <w:rPr>
          <w:spacing w:val="-2"/>
        </w:rPr>
        <w:t xml:space="preserve">therefore contemplates that the domestic industry will use the period of temporary and progressively diminishing protection to adapt to import competition. </w:t>
      </w:r>
    </w:p>
    <w:p w14:paraId="77F9ECAC" w14:textId="77777777" w:rsidR="006B26A5" w:rsidRDefault="006B26A5" w:rsidP="00011592">
      <w:pPr>
        <w:pStyle w:val="BodyText"/>
      </w:pPr>
      <w:r w:rsidRPr="000B07A8">
        <w:t>Safeguard measures are most likely to deliver lasting benefits where they provide an otherwise viable industry with temporary relief from a disruption, or time to undertake adjustment that improves its capacity to compete once the measure is removed. The relevant consideration is not whether protection can sustain an industry while it remains in place, but whether the industry is likely to remain viable after it ends.</w:t>
      </w:r>
    </w:p>
    <w:p w14:paraId="49F971AD" w14:textId="19977875" w:rsidR="006B26A5" w:rsidRPr="00E87A7E" w:rsidRDefault="006B26A5" w:rsidP="00011592">
      <w:pPr>
        <w:pStyle w:val="BodyText"/>
      </w:pPr>
      <w:r w:rsidRPr="008A666C">
        <w:t>The case for temporary protection may be stronger where, without it, an industry faces a near</w:t>
      </w:r>
      <w:r w:rsidR="00541146">
        <w:noBreakHyphen/>
      </w:r>
      <w:r w:rsidRPr="008A666C">
        <w:t xml:space="preserve">term risk of losing </w:t>
      </w:r>
      <w:r w:rsidRPr="00E87A7E">
        <w:t>capabilities that would be difficult or costly to re</w:t>
      </w:r>
      <w:r w:rsidR="00541146">
        <w:noBreakHyphen/>
      </w:r>
      <w:r w:rsidRPr="00E87A7E">
        <w:t>establish if conditions later improve. In such cases, the public interest assessment should consider whether the safeguard would materially reduce the risk of that loss and whether preserving the capability would generate an enduring benefit.</w:t>
      </w:r>
    </w:p>
    <w:p w14:paraId="018AE8F8" w14:textId="1EE25774" w:rsidR="006B26A5" w:rsidRPr="00E87A7E" w:rsidRDefault="006B26A5" w:rsidP="00011592">
      <w:pPr>
        <w:pStyle w:val="BodyText"/>
      </w:pPr>
      <w:r w:rsidRPr="00E87A7E">
        <w:t xml:space="preserve">In this inquiry, some participants said a safeguard measure would help the </w:t>
      </w:r>
      <w:r>
        <w:t>fabricated structural steel (</w:t>
      </w:r>
      <w:r w:rsidRPr="00E87A7E">
        <w:t>FSS</w:t>
      </w:r>
      <w:r>
        <w:t>)</w:t>
      </w:r>
      <w:r w:rsidRPr="00E87A7E">
        <w:t xml:space="preserve"> industry withstand short</w:t>
      </w:r>
      <w:r w:rsidR="00541146">
        <w:noBreakHyphen/>
      </w:r>
      <w:r w:rsidRPr="00E87A7E">
        <w:t xml:space="preserve">term pressures (CASA Engineering, </w:t>
      </w:r>
      <w:r>
        <w:t>transcript</w:t>
      </w:r>
      <w:r w:rsidRPr="00E87A7E">
        <w:t>, 13 May, p.</w:t>
      </w:r>
      <w:r>
        <w:t> </w:t>
      </w:r>
      <w:r w:rsidRPr="00E87A7E">
        <w:t>29; name withheld, sub.</w:t>
      </w:r>
      <w:r>
        <w:t> </w:t>
      </w:r>
      <w:r w:rsidRPr="00E87A7E">
        <w:t>7, p.</w:t>
      </w:r>
      <w:r>
        <w:t> </w:t>
      </w:r>
      <w:r w:rsidRPr="00E87A7E">
        <w:t>8).</w:t>
      </w:r>
      <w:r w:rsidRPr="002B6F31">
        <w:t xml:space="preserve"> The </w:t>
      </w:r>
      <w:r>
        <w:t>Australian Steel Institute (</w:t>
      </w:r>
      <w:r w:rsidRPr="002B6F31">
        <w:t>ASI</w:t>
      </w:r>
      <w:r>
        <w:t>)</w:t>
      </w:r>
      <w:r w:rsidRPr="002B6F31">
        <w:t xml:space="preserve"> noted, ‘Multiple fabricators in their submissions alluded to how they could / or have planned to improve their business</w:t>
      </w:r>
      <w:r>
        <w:t>es</w:t>
      </w:r>
      <w:r w:rsidRPr="002B6F31">
        <w:t xml:space="preserve"> to be more productive if they had the breathing space’ (post</w:t>
      </w:r>
      <w:r w:rsidR="00541146">
        <w:noBreakHyphen/>
      </w:r>
      <w:r w:rsidRPr="002B6F31">
        <w:t>hearings submission, p.</w:t>
      </w:r>
      <w:r>
        <w:t> </w:t>
      </w:r>
      <w:r w:rsidRPr="002B6F31">
        <w:t>23).</w:t>
      </w:r>
      <w:r w:rsidRPr="002B6F31">
        <w:rPr>
          <w:rStyle w:val="FootnoteReference"/>
        </w:rPr>
        <w:footnoteReference w:id="30"/>
      </w:r>
    </w:p>
    <w:p w14:paraId="491833E1" w14:textId="09C114D5" w:rsidR="006B26A5" w:rsidRDefault="006B26A5" w:rsidP="00011592">
      <w:pPr>
        <w:pStyle w:val="BodyText"/>
      </w:pPr>
      <w:r w:rsidRPr="00E87A7E">
        <w:t>However, inquiry participants mostly characterised import competition as an enduring feature of the market</w:t>
      </w:r>
      <w:r w:rsidRPr="002B6F31">
        <w:t xml:space="preserve"> and</w:t>
      </w:r>
      <w:r w:rsidRPr="00E87A7E">
        <w:t xml:space="preserve"> </w:t>
      </w:r>
      <w:r>
        <w:t xml:space="preserve">a </w:t>
      </w:r>
      <w:r w:rsidRPr="00E87A7E">
        <w:t xml:space="preserve">number of </w:t>
      </w:r>
      <w:r w:rsidRPr="002B6F31">
        <w:t>inquiry participants expressed doubt about whether a temporary safeguard measure would improve fabricators’ prospects in the long run.</w:t>
      </w:r>
      <w:r w:rsidRPr="002B6F31">
        <w:rPr>
          <w:rStyle w:val="FootnoteReference"/>
        </w:rPr>
        <w:footnoteReference w:id="31"/>
      </w:r>
      <w:r w:rsidRPr="002B6F31">
        <w:t xml:space="preserve"> It is not clear how effective the safeguard measure would be in improving the long</w:t>
      </w:r>
      <w:r w:rsidR="00541146">
        <w:noBreakHyphen/>
      </w:r>
      <w:r w:rsidRPr="002B6F31">
        <w:t>term competitiveness of the industry.</w:t>
      </w:r>
    </w:p>
    <w:p w14:paraId="408B2B03" w14:textId="77777777" w:rsidR="006B26A5" w:rsidRDefault="006B26A5" w:rsidP="00011592">
      <w:pPr>
        <w:pStyle w:val="Heading3"/>
      </w:pPr>
      <w:r>
        <w:t>Economic significance of industries affected by imports</w:t>
      </w:r>
    </w:p>
    <w:p w14:paraId="35FDE317" w14:textId="5E325BA3" w:rsidR="006B26A5" w:rsidRDefault="006B26A5" w:rsidP="00011592">
      <w:pPr>
        <w:pStyle w:val="BodyText"/>
      </w:pPr>
      <w:r>
        <w:t>‘Economic significance’ is not defined in the bill that would transfer the safeguard investigation function or related materials but can be interpreted to have a more expansive meaning than employment, value added or other measures of economic contribution or size. The bill separately provides that a public interest test must consider ‘</w:t>
      </w:r>
      <w:r w:rsidRPr="00DF154D">
        <w:t>the likely impact of the recommendation on the Australian economy, downstream industries, and consumers</w:t>
      </w:r>
      <w:r>
        <w:t>’ (</w:t>
      </w:r>
      <w:r w:rsidR="003358C8">
        <w:t xml:space="preserve">subs </w:t>
      </w:r>
      <w:r>
        <w:t>269</w:t>
      </w:r>
      <w:proofErr w:type="gramStart"/>
      <w:r>
        <w:t>ZHGD(</w:t>
      </w:r>
      <w:proofErr w:type="gramEnd"/>
      <w:r>
        <w:t>8)).</w:t>
      </w:r>
    </w:p>
    <w:p w14:paraId="67FDAA64" w14:textId="70AE4C2F" w:rsidR="006B26A5" w:rsidRPr="000E73D4" w:rsidRDefault="006B26A5" w:rsidP="00011592">
      <w:pPr>
        <w:pStyle w:val="BodyText"/>
      </w:pPr>
      <w:r>
        <w:t>’E</w:t>
      </w:r>
      <w:r w:rsidRPr="000E73D4">
        <w:t>conomic significance</w:t>
      </w:r>
      <w:r>
        <w:t>’</w:t>
      </w:r>
      <w:r w:rsidRPr="000E73D4">
        <w:t xml:space="preserve"> could include considerations relating to critical infrastructure, </w:t>
      </w:r>
      <w:r>
        <w:t>economic resilience or the net zero transformation</w:t>
      </w:r>
      <w:r w:rsidRPr="000E73D4">
        <w:t xml:space="preserve">. Recent government initiatives, including the National Interest Framework established under the </w:t>
      </w:r>
      <w:r w:rsidRPr="000E73D4">
        <w:rPr>
          <w:i/>
          <w:iCs/>
        </w:rPr>
        <w:t>Future Made in Australia Act 2024</w:t>
      </w:r>
      <w:r w:rsidRPr="000E73D4">
        <w:t xml:space="preserve"> (</w:t>
      </w:r>
      <w:proofErr w:type="spellStart"/>
      <w:r w:rsidRPr="000E73D4">
        <w:t>Cth</w:t>
      </w:r>
      <w:proofErr w:type="spellEnd"/>
      <w:r w:rsidRPr="000E73D4">
        <w:t xml:space="preserve">), reflect the view that some industries may generate benefits that extend beyond those captured by conventional measures of </w:t>
      </w:r>
      <w:r w:rsidRPr="000E73D4">
        <w:lastRenderedPageBreak/>
        <w:t>economic activity.</w:t>
      </w:r>
      <w:r>
        <w:t xml:space="preserve"> </w:t>
      </w:r>
      <w:r w:rsidRPr="00361314">
        <w:t xml:space="preserve">The PC’s </w:t>
      </w:r>
      <w:r w:rsidRPr="00361314">
        <w:rPr>
          <w:i/>
          <w:iCs/>
        </w:rPr>
        <w:t>Guardrails for modern industry policy</w:t>
      </w:r>
      <w:r w:rsidRPr="00601E78">
        <w:t xml:space="preserve"> </w:t>
      </w:r>
      <w:r w:rsidRPr="00361314">
        <w:rPr>
          <w:rFonts w:cs="Open Sans"/>
        </w:rPr>
        <w:t>(2025)</w:t>
      </w:r>
      <w:r w:rsidRPr="00601E78">
        <w:t xml:space="preserve"> also sets out </w:t>
      </w:r>
      <w:r>
        <w:t>guidance</w:t>
      </w:r>
      <w:r w:rsidRPr="00601E78">
        <w:t xml:space="preserve"> to help policy makers determine whether an industry does or does</w:t>
      </w:r>
      <w:r>
        <w:t xml:space="preserve"> not</w:t>
      </w:r>
      <w:r w:rsidRPr="00601E78">
        <w:t xml:space="preserve"> warrant support in pursuit of these broader objectives</w:t>
      </w:r>
      <w:r>
        <w:t>.</w:t>
      </w:r>
    </w:p>
    <w:p w14:paraId="097EB1A5" w14:textId="77777777" w:rsidR="006B26A5" w:rsidRDefault="006B26A5" w:rsidP="00011592">
      <w:pPr>
        <w:pStyle w:val="Heading4"/>
      </w:pPr>
      <w:r>
        <w:t xml:space="preserve">Sovereign capability claims require </w:t>
      </w:r>
      <w:proofErr w:type="gramStart"/>
      <w:r>
        <w:t>careful scrutiny</w:t>
      </w:r>
      <w:proofErr w:type="gramEnd"/>
    </w:p>
    <w:p w14:paraId="5C71CF52" w14:textId="77777777" w:rsidR="006B26A5" w:rsidRDefault="006B26A5" w:rsidP="00011592">
      <w:pPr>
        <w:pStyle w:val="BodyText"/>
      </w:pPr>
      <w:r w:rsidRPr="0049521B">
        <w:t>Introducing a safeguard measure could potentially generate benefits by helping</w:t>
      </w:r>
      <w:r>
        <w:t xml:space="preserve"> to</w:t>
      </w:r>
      <w:r w:rsidRPr="0049521B">
        <w:t xml:space="preserve"> maintain domestic capability </w:t>
      </w:r>
      <w:r>
        <w:t>and</w:t>
      </w:r>
      <w:r w:rsidRPr="0049521B">
        <w:t xml:space="preserve"> reducing exposure to supply disruptions. Whether those benefits would arise, and their significance, would need to be carefully assessed.</w:t>
      </w:r>
    </w:p>
    <w:p w14:paraId="152B6877" w14:textId="05858AD3" w:rsidR="006B26A5" w:rsidRPr="00F423B4" w:rsidRDefault="006B26A5" w:rsidP="00011592">
      <w:pPr>
        <w:pStyle w:val="BodyText"/>
        <w:rPr>
          <w:spacing w:val="-4"/>
        </w:rPr>
      </w:pPr>
      <w:r w:rsidRPr="00F423B4">
        <w:rPr>
          <w:spacing w:val="-4"/>
        </w:rPr>
        <w:t xml:space="preserve">A public interest assessment would need to identify the supply disruption that is of concern, the likelihood of it occurring, its duration and the consequences for the Australian community. The assessment should consider whether supply is genuinely essential, whether alternative products or suppliers would remain available and whether businesses can adequately manage the risk themselves through diversification, inventories, contractual arrangements or other forms of adaptation </w:t>
      </w:r>
      <w:r w:rsidRPr="00F423B4">
        <w:rPr>
          <w:rFonts w:cs="Open Sans"/>
          <w:spacing w:val="-4"/>
        </w:rPr>
        <w:t>(PC 2025, pp. 9–27)</w:t>
      </w:r>
      <w:r w:rsidRPr="00F423B4">
        <w:rPr>
          <w:spacing w:val="-4"/>
        </w:rPr>
        <w:t>.</w:t>
      </w:r>
    </w:p>
    <w:p w14:paraId="3D535162" w14:textId="77777777" w:rsidR="006B26A5" w:rsidRDefault="006B26A5" w:rsidP="00011592">
      <w:pPr>
        <w:pStyle w:val="BodyText"/>
      </w:pPr>
      <w:r>
        <w:t xml:space="preserve">In the context of a safeguard investigation, it would be necessary to assess how temporary protection </w:t>
      </w:r>
      <w:r w:rsidRPr="008F3C50">
        <w:t>would preserve the relevant domestic capability and reduce the identified supply risk. This may not always be straightforward</w:t>
      </w:r>
      <w:r w:rsidRPr="00925963">
        <w:t xml:space="preserve"> as</w:t>
      </w:r>
      <w:r w:rsidRPr="008F3C50">
        <w:t xml:space="preserve"> sovereign capability and resilience often relate to maintaining capabilities over the long term. Any capability supported by a safeguard measure may therefore remain at risk once the measure ends.</w:t>
      </w:r>
    </w:p>
    <w:p w14:paraId="4065E043" w14:textId="77777777" w:rsidR="006B26A5" w:rsidRDefault="006B26A5" w:rsidP="00011592">
      <w:pPr>
        <w:pStyle w:val="BodyText"/>
      </w:pPr>
      <w:r>
        <w:t xml:space="preserve">In this inquiry, several </w:t>
      </w:r>
      <w:r w:rsidRPr="007C7DD0">
        <w:t xml:space="preserve">inquiry participants argued that </w:t>
      </w:r>
      <w:r>
        <w:t xml:space="preserve">Australia’s </w:t>
      </w:r>
      <w:r w:rsidRPr="007C7DD0">
        <w:t>domestic FSS capacity reduce</w:t>
      </w:r>
      <w:r>
        <w:t>s</w:t>
      </w:r>
      <w:r w:rsidRPr="007C7DD0">
        <w:t xml:space="preserve"> Australia’s exposure to </w:t>
      </w:r>
      <w:r>
        <w:t xml:space="preserve">global </w:t>
      </w:r>
      <w:r w:rsidRPr="007C7DD0">
        <w:t>supply</w:t>
      </w:r>
      <w:r>
        <w:t xml:space="preserve"> chain</w:t>
      </w:r>
      <w:r w:rsidRPr="007C7DD0">
        <w:t xml:space="preserve"> disruptions.</w:t>
      </w:r>
      <w:r>
        <w:rPr>
          <w:rStyle w:val="FootnoteReference"/>
        </w:rPr>
        <w:footnoteReference w:id="32"/>
      </w:r>
      <w:r>
        <w:t xml:space="preserve"> The potential benefit of avoiding any such exposure would need to be assessed taking into account the number and distribution of FSS suppliers globally (and therefore the risk of disruption) together with the capacity for Australian domestic fabricators to increase production to meet any shortfall, and the cost to the Australian economy if FSS supply were disrupted.</w:t>
      </w:r>
      <w:r>
        <w:rPr>
          <w:rStyle w:val="FootnoteReference"/>
        </w:rPr>
        <w:footnoteReference w:id="33"/>
      </w:r>
      <w:r>
        <w:t xml:space="preserve"> Some inquiry participants highlighted how the domestic FSS industry is a source of demand for upstream steel producers; similar questions apply to upstream steel.</w:t>
      </w:r>
      <w:r>
        <w:rPr>
          <w:rStyle w:val="FootnoteReference"/>
        </w:rPr>
        <w:footnoteReference w:id="34"/>
      </w:r>
    </w:p>
    <w:p w14:paraId="1F594501" w14:textId="6C5C89D4" w:rsidR="006B26A5" w:rsidRDefault="006B26A5" w:rsidP="00011592">
      <w:pPr>
        <w:pStyle w:val="Heading3"/>
      </w:pPr>
      <w:r>
        <w:t>Economy</w:t>
      </w:r>
      <w:r w:rsidR="00541146">
        <w:noBreakHyphen/>
      </w:r>
      <w:r>
        <w:t xml:space="preserve">wide impacts </w:t>
      </w:r>
    </w:p>
    <w:p w14:paraId="3EB908F6" w14:textId="77777777" w:rsidR="006B26A5" w:rsidRDefault="006B26A5" w:rsidP="00011592">
      <w:pPr>
        <w:pStyle w:val="Heading4"/>
      </w:pPr>
      <w:r>
        <w:t>Protection benefits some but increases costs for others</w:t>
      </w:r>
    </w:p>
    <w:p w14:paraId="5B9997C9" w14:textId="77777777" w:rsidR="006B26A5" w:rsidRDefault="006B26A5" w:rsidP="00011592">
      <w:pPr>
        <w:pStyle w:val="BodyText"/>
        <w:spacing w:line="280" w:lineRule="exact"/>
      </w:pPr>
      <w:r w:rsidRPr="0039609E">
        <w:t>A</w:t>
      </w:r>
      <w:r>
        <w:t xml:space="preserve">n effective </w:t>
      </w:r>
      <w:r w:rsidRPr="0039609E">
        <w:t>safeguard measure benefits the protected industry by increasing demand for domestically produced goods</w:t>
      </w:r>
      <w:r>
        <w:t xml:space="preserve"> and increasing the price of those goods relative to what they otherwise would be</w:t>
      </w:r>
      <w:r w:rsidRPr="0039609E">
        <w:t>. Some benefits may also flow to the industry’s workers and suppliers.</w:t>
      </w:r>
      <w:r>
        <w:t xml:space="preserve"> </w:t>
      </w:r>
      <w:r w:rsidRPr="0039609E">
        <w:t xml:space="preserve">But the higher prices </w:t>
      </w:r>
      <w:r>
        <w:t>of the protected goods are an additional cost to</w:t>
      </w:r>
      <w:r w:rsidRPr="0039609E">
        <w:t xml:space="preserve"> businesses and consumers that use </w:t>
      </w:r>
      <w:r>
        <w:t xml:space="preserve">those </w:t>
      </w:r>
      <w:r w:rsidRPr="0039609E">
        <w:t>goods</w:t>
      </w:r>
      <w:r>
        <w:t>, relative to what the market would supply</w:t>
      </w:r>
      <w:r w:rsidRPr="0039609E">
        <w:t>.</w:t>
      </w:r>
      <w:r>
        <w:t xml:space="preserve"> </w:t>
      </w:r>
      <w:r w:rsidRPr="0039609E">
        <w:t xml:space="preserve">Those users may reduce </w:t>
      </w:r>
      <w:r>
        <w:t>their use of the protected goods, including through substituting to alternatives where possible.</w:t>
      </w:r>
    </w:p>
    <w:p w14:paraId="2E60F2BB" w14:textId="71EF53C2" w:rsidR="006B26A5" w:rsidRDefault="006B26A5" w:rsidP="00011592">
      <w:pPr>
        <w:pStyle w:val="BodyText"/>
        <w:spacing w:line="280" w:lineRule="exact"/>
      </w:pPr>
      <w:r>
        <w:t>Evidence heard through this inquiry</w:t>
      </w:r>
      <w:r w:rsidRPr="0039609E">
        <w:t xml:space="preserve"> illustrates th</w:t>
      </w:r>
      <w:r>
        <w:t>e potential flow</w:t>
      </w:r>
      <w:r w:rsidR="00541146">
        <w:noBreakHyphen/>
      </w:r>
      <w:r>
        <w:t>on effects of a safeguard measure.</w:t>
      </w:r>
      <w:r w:rsidRPr="0039609E">
        <w:t xml:space="preserve"> A </w:t>
      </w:r>
      <w:r>
        <w:t xml:space="preserve">tariff, quota or tariff rate quota on imported FSS </w:t>
      </w:r>
      <w:r w:rsidRPr="0039609E">
        <w:t xml:space="preserve">would support demand for domestically fabricated steel and benefit Australian </w:t>
      </w:r>
      <w:r w:rsidR="00510E27">
        <w:t>steel</w:t>
      </w:r>
      <w:r w:rsidRPr="0039609E">
        <w:t xml:space="preserve"> fabricators, workers and suppliers. But it would also raise costs for </w:t>
      </w:r>
      <w:r w:rsidRPr="0039609E">
        <w:lastRenderedPageBreak/>
        <w:t>construction, infrastructure, manufacturing and other activities that use FSS.</w:t>
      </w:r>
      <w:r>
        <w:t xml:space="preserve"> As Master Builders Australia submitted:</w:t>
      </w:r>
    </w:p>
    <w:p w14:paraId="584CBB4F" w14:textId="77777777" w:rsidR="006B26A5" w:rsidRDefault="006B26A5" w:rsidP="00011592">
      <w:pPr>
        <w:pStyle w:val="Quote"/>
      </w:pPr>
      <w:r w:rsidRPr="00D22C78">
        <w:t>In mining, engineering and civil construction, structural steel use is intensive and few viable substitutes exist. Increases in structural steel costs in these sectors would raise output prices, potentially reduce project viability, compress project scale, or extend construction timeframes as participants manage exposure to the steel price cycle.</w:t>
      </w:r>
    </w:p>
    <w:p w14:paraId="12BABB91" w14:textId="6BB47B28" w:rsidR="006B26A5" w:rsidRDefault="006B26A5" w:rsidP="00011592">
      <w:pPr>
        <w:pStyle w:val="Quote"/>
      </w:pPr>
      <w:r w:rsidRPr="00D22C78">
        <w:t>Higher steel costs would similarly affect parts of the residential and commercial building market, with high rise and high</w:t>
      </w:r>
      <w:r w:rsidR="00541146">
        <w:noBreakHyphen/>
      </w:r>
      <w:r w:rsidRPr="00D22C78">
        <w:t>density projects most vulnerable given the intensity of structural steel use in those building types.</w:t>
      </w:r>
    </w:p>
    <w:p w14:paraId="20BA5270" w14:textId="3BFB1382" w:rsidR="006B26A5" w:rsidRDefault="006B26A5" w:rsidP="00011592">
      <w:pPr>
        <w:pStyle w:val="Quote"/>
      </w:pPr>
      <w:r w:rsidRPr="00D22C78">
        <w:t xml:space="preserve">Smaller projects, including detached houses, have greater scope to substitute timber for steel in some applications. However, increased demand for timber </w:t>
      </w:r>
      <w:proofErr w:type="gramStart"/>
      <w:r w:rsidRPr="00D22C78">
        <w:t>as a result of</w:t>
      </w:r>
      <w:proofErr w:type="gramEnd"/>
      <w:r w:rsidRPr="00D22C78">
        <w:t xml:space="preserve"> such substitution would likely push timber prices higher, with flow</w:t>
      </w:r>
      <w:r w:rsidR="00541146">
        <w:noBreakHyphen/>
      </w:r>
      <w:r w:rsidRPr="00D22C78">
        <w:t xml:space="preserve">on costs for all users of timber products across the economy. </w:t>
      </w:r>
      <w:r>
        <w:t>(sub. 49, p. 7)</w:t>
      </w:r>
    </w:p>
    <w:p w14:paraId="26F96556" w14:textId="56DCA0D0" w:rsidR="006B26A5" w:rsidRDefault="006B26A5">
      <w:pPr>
        <w:pStyle w:val="BodyText"/>
        <w:rPr>
          <w:kern w:val="2"/>
          <w:lang w:eastAsia="en-AU"/>
          <w14:ligatures w14:val="standardContextual"/>
        </w:rPr>
      </w:pPr>
      <w:r w:rsidRPr="00AF4DB1">
        <w:t>Where possible, public interest assessments of safeguard measures should include computable general equilibrium modelling that captures these economy</w:t>
      </w:r>
      <w:r w:rsidR="00541146">
        <w:noBreakHyphen/>
      </w:r>
      <w:r w:rsidRPr="00AF4DB1">
        <w:t>wide effects.</w:t>
      </w:r>
    </w:p>
    <w:p w14:paraId="48B15521" w14:textId="0C016ECF" w:rsidR="006B26A5" w:rsidRDefault="006B26A5" w:rsidP="00011592">
      <w:pPr>
        <w:pStyle w:val="BodyText"/>
      </w:pPr>
      <w:r>
        <w:t xml:space="preserve">The ASI’s application indicates it has modelled the effects of introducing a safeguard measure that keeps imports no higher than their 2025 level </w:t>
      </w:r>
      <w:r w:rsidR="00762450" w:rsidRPr="00762450">
        <w:rPr>
          <w:rFonts w:cs="Open Sans"/>
        </w:rPr>
        <w:t>(ASI 2026, pp. 47–48)</w:t>
      </w:r>
      <w:r>
        <w:t>. The application notes that under the modelled scenario output and employment increase in the FSS industry, and that overall employment in the Australian economy ‘would also remain high’. The modelling results have not been published, but the PC notes that economy</w:t>
      </w:r>
      <w:r w:rsidR="00541146">
        <w:noBreakHyphen/>
      </w:r>
      <w:r>
        <w:t xml:space="preserve">wide modelling generally finds that import protection imposes net costs </w:t>
      </w:r>
      <w:r w:rsidRPr="004B2C3D">
        <w:rPr>
          <w:rFonts w:cs="Open Sans"/>
        </w:rPr>
        <w:t>(for example: Dixon et al. 2007; Grossman et al. 2024; PC 2000)</w:t>
      </w:r>
      <w:r>
        <w:t>.</w:t>
      </w:r>
    </w:p>
    <w:p w14:paraId="561BB85E" w14:textId="77777777" w:rsidR="006B26A5" w:rsidRDefault="006B26A5" w:rsidP="00011592">
      <w:pPr>
        <w:pStyle w:val="Heading4"/>
      </w:pPr>
      <w:r>
        <w:t>Australian exporters could lose market access</w:t>
      </w:r>
    </w:p>
    <w:p w14:paraId="007CBEC7" w14:textId="77777777" w:rsidR="006B26A5" w:rsidRDefault="006B26A5" w:rsidP="00011592">
      <w:pPr>
        <w:pStyle w:val="BodyText"/>
      </w:pPr>
      <w:r>
        <w:t xml:space="preserve">In addition to these more direct domestic economic costs, an assessment of the full economic impact should take account of potential trade responses. </w:t>
      </w:r>
    </w:p>
    <w:p w14:paraId="4CAF767D" w14:textId="0651085A" w:rsidR="006B26A5" w:rsidRPr="00CC2AAC" w:rsidRDefault="006B26A5" w:rsidP="00011592">
      <w:pPr>
        <w:pStyle w:val="BodyText"/>
        <w:rPr>
          <w:spacing w:val="-4"/>
        </w:rPr>
      </w:pPr>
      <w:r w:rsidRPr="00CC2AAC">
        <w:rPr>
          <w:spacing w:val="-4"/>
        </w:rPr>
        <w:t xml:space="preserve">Introducing safeguard measures could lead to Australian exporters losing market access through the rebalancing arrangements provided for in the </w:t>
      </w:r>
      <w:r w:rsidR="00124F03" w:rsidRPr="00CC2AAC">
        <w:rPr>
          <w:spacing w:val="-4"/>
        </w:rPr>
        <w:t>Agreement on Safeguards</w:t>
      </w:r>
      <w:r w:rsidRPr="00CC2AAC">
        <w:rPr>
          <w:spacing w:val="-4"/>
        </w:rPr>
        <w:t>. A country proposing a safeguard measure must seek to maintain substantially equivalent trade concessions with affected exporting countries; if countries cannot agree on how to do this, affected exporting countries can suspend substantially equivalent concessions or other obligations under GATT 1994 (SA Article 8). This could involve tariffs or other restrictions on Australian exports. Affected exporting countries cannot suspend concessions during the first 3 years of a safeguard measure based on an absolute increase in imports.</w:t>
      </w:r>
    </w:p>
    <w:p w14:paraId="02617AF9" w14:textId="62A61223" w:rsidR="006B26A5" w:rsidRDefault="006B26A5" w:rsidP="00011592">
      <w:pPr>
        <w:pStyle w:val="BodyText"/>
      </w:pPr>
      <w:r w:rsidRPr="00CD342A">
        <w:t xml:space="preserve">A safeguard measure </w:t>
      </w:r>
      <w:r>
        <w:t xml:space="preserve">could </w:t>
      </w:r>
      <w:r w:rsidRPr="00CD342A">
        <w:t xml:space="preserve">also affect Australia’s trading relationships in ways that extend beyond the formal suspension of concessions permitted under the </w:t>
      </w:r>
      <w:r w:rsidR="001E0585">
        <w:t>Agreement on Safeguards</w:t>
      </w:r>
      <w:r w:rsidRPr="00CD342A">
        <w:t>.</w:t>
      </w:r>
      <w:r>
        <w:t xml:space="preserve"> </w:t>
      </w:r>
    </w:p>
    <w:p w14:paraId="70B74E10" w14:textId="77777777" w:rsidR="006B26A5" w:rsidRPr="00980E62" w:rsidRDefault="006B26A5" w:rsidP="00011592">
      <w:pPr>
        <w:pStyle w:val="BodyText"/>
      </w:pPr>
      <w:r w:rsidRPr="00683FA6">
        <w:t xml:space="preserve">A public interest assessment should consider the likelihood, timing and possible scale of any suspension of concessions in response to the measure. </w:t>
      </w:r>
      <w:r w:rsidRPr="00CD342A">
        <w:t>The assessment should estimate the resulting costs to Australian exporters, including from lower export volumes and prices or the need to redirect exports to other markets. Where precise estimates are not possible, plausible scenarios could illustrate the potential range of costs.</w:t>
      </w:r>
    </w:p>
    <w:p w14:paraId="433AB114" w14:textId="77777777" w:rsidR="006B26A5" w:rsidRDefault="006B26A5" w:rsidP="00011592">
      <w:pPr>
        <w:pStyle w:val="Heading3-noTOC"/>
      </w:pPr>
      <w:r>
        <w:t>Safeguards should always be compared with alternative policy options</w:t>
      </w:r>
    </w:p>
    <w:p w14:paraId="3DA82103" w14:textId="11205F66" w:rsidR="006B26A5" w:rsidRDefault="006B26A5" w:rsidP="00011592">
      <w:pPr>
        <w:pStyle w:val="BodyText"/>
      </w:pPr>
      <w:r>
        <w:t xml:space="preserve">Introducing a safeguard measure is one of multiple options a government could take if </w:t>
      </w:r>
      <w:r w:rsidRPr="006D101D">
        <w:t>an</w:t>
      </w:r>
      <w:r w:rsidRPr="005627CD">
        <w:t xml:space="preserve"> industry is experiencing injury due to import </w:t>
      </w:r>
      <w:r w:rsidRPr="006D101D">
        <w:t>competition.</w:t>
      </w:r>
      <w:r>
        <w:t xml:space="preserve"> Consistent with the </w:t>
      </w:r>
      <w:r>
        <w:rPr>
          <w:i/>
          <w:iCs/>
        </w:rPr>
        <w:t xml:space="preserve">Australian Government Impact </w:t>
      </w:r>
      <w:r>
        <w:rPr>
          <w:i/>
          <w:iCs/>
        </w:rPr>
        <w:lastRenderedPageBreak/>
        <w:t>Analysis Framework</w:t>
      </w:r>
      <w:r w:rsidRPr="00474715">
        <w:t>,</w:t>
      </w:r>
      <w:r>
        <w:rPr>
          <w:i/>
          <w:iCs/>
        </w:rPr>
        <w:t xml:space="preserve"> </w:t>
      </w:r>
      <w:r>
        <w:t xml:space="preserve">the assessment should include comparison with a ‘status quo’ option that shows what would happen if market adjustment continued without further intervention </w:t>
      </w:r>
      <w:r w:rsidRPr="00A25686">
        <w:rPr>
          <w:rFonts w:cs="Open Sans"/>
        </w:rPr>
        <w:t>(DPMC 2026, p. 14)</w:t>
      </w:r>
      <w:r>
        <w:t xml:space="preserve">. The assessment should also include any other relevant policy options that would address the identified problem or achieve the government’s objectives more effectively or at lower cost. </w:t>
      </w:r>
      <w:r w:rsidRPr="006D101D">
        <w:t>Whether</w:t>
      </w:r>
      <w:r w:rsidRPr="005627CD" w:rsidDel="00CA3653">
        <w:t xml:space="preserve"> </w:t>
      </w:r>
      <w:r w:rsidRPr="005627CD">
        <w:t>safeguards should be used depends on the nature of the problem government is seeking to address</w:t>
      </w:r>
      <w:r>
        <w:t xml:space="preserve"> and </w:t>
      </w:r>
      <w:r w:rsidRPr="005627CD">
        <w:t>the role temporary protection could play in addressing that problem</w:t>
      </w:r>
      <w:r>
        <w:t>.</w:t>
      </w:r>
    </w:p>
    <w:p w14:paraId="76073446" w14:textId="5DB68A7A" w:rsidR="006B26A5" w:rsidRDefault="006B26A5" w:rsidP="00011592">
      <w:pPr>
        <w:pStyle w:val="BodyText"/>
      </w:pPr>
      <w:r>
        <w:t xml:space="preserve">Clearly identifying the </w:t>
      </w:r>
      <w:proofErr w:type="gramStart"/>
      <w:r>
        <w:t>issue</w:t>
      </w:r>
      <w:proofErr w:type="gramEnd"/>
      <w:r>
        <w:t xml:space="preserve"> the government wants to address, and its objectives in </w:t>
      </w:r>
      <w:proofErr w:type="gramStart"/>
      <w:r>
        <w:t>taking action</w:t>
      </w:r>
      <w:proofErr w:type="gramEnd"/>
      <w:r>
        <w:t xml:space="preserve">, will help determine which policy options should be compared to a safeguard measure or the status quo. Border measures such as safeguard measures are necessarily blunt, and </w:t>
      </w:r>
      <w:r w:rsidR="00C85BD5">
        <w:t xml:space="preserve">can </w:t>
      </w:r>
      <w:r>
        <w:t>have wide impacts and risks, so should only be considered where they address the identified issue more efficiently than more targeted approaches.</w:t>
      </w:r>
    </w:p>
    <w:p w14:paraId="0D6D4683" w14:textId="4DF4455B" w:rsidR="006B26A5" w:rsidRDefault="006B26A5" w:rsidP="00011592">
      <w:pPr>
        <w:pStyle w:val="BodyText"/>
      </w:pPr>
      <w:r>
        <w:t>Identified issues might include unemployment scarring of workers in businesses that cannot compete with imports, flow</w:t>
      </w:r>
      <w:r w:rsidR="00541146">
        <w:noBreakHyphen/>
      </w:r>
      <w:r>
        <w:t>on effects where the domestic industry is geographically concentrated, or the loss of specialised skills or production capacity that would be costly to rebuild and is expected to remain economically or strategically important.</w:t>
      </w:r>
    </w:p>
    <w:p w14:paraId="3436C46A" w14:textId="30182751" w:rsidR="006B26A5" w:rsidRDefault="006B26A5" w:rsidP="00011592">
      <w:pPr>
        <w:pStyle w:val="BodyText"/>
        <w:rPr>
          <w:noProof/>
        </w:rPr>
      </w:pPr>
      <w:r w:rsidRPr="00B31018">
        <w:t>If</w:t>
      </w:r>
      <w:r w:rsidRPr="00E537C2">
        <w:t xml:space="preserve"> the concern is </w:t>
      </w:r>
      <w:r>
        <w:t>unemployment scarring, government should consider policies targeting employment and retraining.</w:t>
      </w:r>
      <w:r w:rsidRPr="00E537C2">
        <w:t xml:space="preserve"> If the concern is </w:t>
      </w:r>
      <w:r>
        <w:t>flow</w:t>
      </w:r>
      <w:r w:rsidR="00541146">
        <w:noBreakHyphen/>
      </w:r>
      <w:r>
        <w:t>on effects in specific locations, government should consider place</w:t>
      </w:r>
      <w:r w:rsidR="00541146">
        <w:noBreakHyphen/>
      </w:r>
      <w:r>
        <w:t>based assistance supporting affected workers and businesses. If</w:t>
      </w:r>
      <w:r w:rsidRPr="00E537C2">
        <w:t xml:space="preserve"> the concern is the loss of specialised skills or production capacity</w:t>
      </w:r>
      <w:r>
        <w:t xml:space="preserve"> to achieve critical national interest objectives</w:t>
      </w:r>
      <w:r w:rsidRPr="00E537C2">
        <w:t xml:space="preserve">, </w:t>
      </w:r>
      <w:r>
        <w:t xml:space="preserve">government should consider </w:t>
      </w:r>
      <w:r w:rsidRPr="00E537C2">
        <w:t>policies directed specifically at retaining them.</w:t>
      </w:r>
      <w:r>
        <w:t xml:space="preserve"> Targeted policies can better avoid raising prices for consumers throughout the economy.</w:t>
      </w:r>
      <w:r w:rsidRPr="002B0089">
        <w:rPr>
          <w:noProof/>
        </w:rPr>
        <w:t xml:space="preserve"> </w:t>
      </w:r>
    </w:p>
    <w:p w14:paraId="3419F285" w14:textId="77777777" w:rsidR="006B26A5" w:rsidRPr="00CC2AAC" w:rsidRDefault="006B26A5" w:rsidP="00011592">
      <w:pPr>
        <w:pStyle w:val="BodyText"/>
        <w:rPr>
          <w:spacing w:val="-2"/>
        </w:rPr>
      </w:pPr>
      <w:r w:rsidRPr="00CC2AAC">
        <w:rPr>
          <w:spacing w:val="-2"/>
        </w:rPr>
        <w:t>Governments should always consider whether policy, regulatory or administrative barriers are unnecessarily increasing costs or constraining adjustment in the affected industry. Reducing such barriers is a ‘no regrets’ way to improve the performance of the domestic industry regardless of whether a safeguard measure is introduced and avoids imposing additional costs on downstream users.</w:t>
      </w:r>
    </w:p>
    <w:p w14:paraId="6279B440" w14:textId="06E5218C" w:rsidR="006B26A5" w:rsidRPr="000051DD" w:rsidRDefault="006B26A5" w:rsidP="00011592">
      <w:pPr>
        <w:pStyle w:val="BodyText"/>
      </w:pPr>
      <w:r>
        <w:t>In this inquiry, c</w:t>
      </w:r>
      <w:r w:rsidRPr="000051DD">
        <w:t>oncerns raised</w:t>
      </w:r>
      <w:r>
        <w:t xml:space="preserve"> </w:t>
      </w:r>
      <w:r w:rsidRPr="000051DD">
        <w:t xml:space="preserve">about the quality and compliance of imported </w:t>
      </w:r>
      <w:r>
        <w:t>FSS</w:t>
      </w:r>
      <w:r w:rsidRPr="000051DD">
        <w:t xml:space="preserve"> illustrate how </w:t>
      </w:r>
      <w:r>
        <w:t xml:space="preserve">problem identification affects what </w:t>
      </w:r>
      <w:r w:rsidRPr="000051DD">
        <w:t>policy options should be considered. Some participants raised concerns about the documentation, traceability or conformity of imported products</w:t>
      </w:r>
      <w:r w:rsidR="00FE319E">
        <w:t>,</w:t>
      </w:r>
      <w:r>
        <w:rPr>
          <w:rStyle w:val="FootnoteReference"/>
        </w:rPr>
        <w:footnoteReference w:id="35"/>
      </w:r>
      <w:r>
        <w:t xml:space="preserve"> while others indicated that overseas producers </w:t>
      </w:r>
      <w:proofErr w:type="gramStart"/>
      <w:r>
        <w:t>can</w:t>
      </w:r>
      <w:proofErr w:type="gramEnd"/>
      <w:r>
        <w:t xml:space="preserve"> meet Australian requirements</w:t>
      </w:r>
      <w:r w:rsidR="00FE319E">
        <w:t>.</w:t>
      </w:r>
      <w:r>
        <w:rPr>
          <w:rStyle w:val="FootnoteReference"/>
        </w:rPr>
        <w:footnoteReference w:id="36"/>
      </w:r>
    </w:p>
    <w:p w14:paraId="7204F694" w14:textId="3E6BEF37" w:rsidR="006B26A5" w:rsidRDefault="006B26A5" w:rsidP="00011592">
      <w:pPr>
        <w:pStyle w:val="BodyText"/>
      </w:pPr>
      <w:r>
        <w:t>The PC has not investigated these competing claims, but critical concerns about safety and consumer protection, if verified, should be</w:t>
      </w:r>
      <w:r w:rsidRPr="00AA7120">
        <w:t xml:space="preserve"> addressed directly. A safeguard measure would raise the price of compliant and non</w:t>
      </w:r>
      <w:r w:rsidR="00541146">
        <w:noBreakHyphen/>
      </w:r>
      <w:r w:rsidRPr="00AA7120">
        <w:t xml:space="preserve">compliant imports alike. It would not test product quality, verify conformity or strengthen enforcement. </w:t>
      </w:r>
      <w:r>
        <w:t>Enforcing objective standards</w:t>
      </w:r>
      <w:r w:rsidRPr="005A6218">
        <w:t>, conformity assessment, procurement requirements,</w:t>
      </w:r>
      <w:r>
        <w:t xml:space="preserve"> and</w:t>
      </w:r>
      <w:r w:rsidRPr="005A6218">
        <w:t xml:space="preserve"> monitoring and enforcement would address the problem more directly.</w:t>
      </w:r>
      <w:r>
        <w:t xml:space="preserve"> Some inquiry participants have suggested these sorts of measures be introduced.</w:t>
      </w:r>
      <w:r>
        <w:rPr>
          <w:rStyle w:val="FootnoteReference"/>
        </w:rPr>
        <w:footnoteReference w:id="37"/>
      </w:r>
    </w:p>
    <w:p w14:paraId="43748B38" w14:textId="77777777" w:rsidR="006B26A5" w:rsidRDefault="006B26A5" w:rsidP="00515238">
      <w:pPr>
        <w:pStyle w:val="Heading2"/>
      </w:pPr>
      <w:bookmarkStart w:id="42" w:name="_Toc238643919"/>
      <w:r>
        <w:lastRenderedPageBreak/>
        <w:t xml:space="preserve">Measure </w:t>
      </w:r>
      <w:r w:rsidRPr="00515238">
        <w:t>design</w:t>
      </w:r>
      <w:bookmarkEnd w:id="42"/>
    </w:p>
    <w:p w14:paraId="690DBC22" w14:textId="1ACD536D" w:rsidR="006B26A5" w:rsidRPr="00515238" w:rsidRDefault="006B26A5" w:rsidP="00515238">
      <w:pPr>
        <w:pStyle w:val="BodyText"/>
      </w:pPr>
      <w:r w:rsidRPr="00515238">
        <w:t>If the conditions for safeguard measures are met and the government chooses to introduce a measure, it will need to determine both the type of measure (tariff, quota, tariff rate quota) and the level at which it is set. Safeguard measures can only be applied ‘to the extent necessary to prevent or remedy serious injury and to facilitate adjustment’ (SA Article 5.1). This means the measure must be calibrated to the injury observed. If a quota is used it cannot be lower than the average of imports in the last 3 years (SA</w:t>
      </w:r>
      <w:r w:rsidR="00CC2AAC" w:rsidRPr="00515238">
        <w:t> </w:t>
      </w:r>
      <w:r w:rsidRPr="00515238">
        <w:t>Article 5.1). Within these constraints, governments have discretion over what measure to use.</w:t>
      </w:r>
    </w:p>
    <w:p w14:paraId="4EF7478E" w14:textId="77777777" w:rsidR="006B26A5" w:rsidRDefault="006B26A5" w:rsidP="00011592">
      <w:pPr>
        <w:pStyle w:val="Heading3"/>
      </w:pPr>
      <w:r>
        <w:t>Any safeguard measure will increase costs for domestic buyers</w:t>
      </w:r>
    </w:p>
    <w:p w14:paraId="7F80FF4E" w14:textId="77777777" w:rsidR="006B26A5" w:rsidRPr="005D4068" w:rsidRDefault="006B26A5" w:rsidP="00011592">
      <w:pPr>
        <w:pStyle w:val="BodyText"/>
        <w:keepLines/>
      </w:pPr>
      <w:r>
        <w:t>The purpose of a safeguard measure is to reduce imports and increase demand for domestically produced goods, which would typically be expected to increase costs for domestic buyers. And u</w:t>
      </w:r>
      <w:r w:rsidRPr="005D4068">
        <w:t>nder standard competitive assumptions, tariffs and quotas that reduce imports by the same amount can have equivalent effects on domestic prices, production and consumption</w:t>
      </w:r>
      <w:r>
        <w:t xml:space="preserve"> (figure 6.1).</w:t>
      </w:r>
    </w:p>
    <w:p w14:paraId="12CF42AF" w14:textId="2F1EEBA6" w:rsidR="006B26A5" w:rsidRDefault="006B26A5" w:rsidP="00011592">
      <w:pPr>
        <w:pStyle w:val="BodyText"/>
        <w:keepLines/>
      </w:pPr>
      <w:r>
        <w:t>A tariff rate quota can have similar effects, even where the in</w:t>
      </w:r>
      <w:r w:rsidR="00541146">
        <w:noBreakHyphen/>
      </w:r>
      <w:r>
        <w:t>quota tariff is zero. The outcome depends on whether the quota is fully used and whether it is worthwhile importing at the tariff</w:t>
      </w:r>
      <w:r w:rsidR="00541146">
        <w:noBreakHyphen/>
      </w:r>
      <w:r>
        <w:t>inclusive price.</w:t>
      </w:r>
    </w:p>
    <w:p w14:paraId="343DE40E" w14:textId="77777777" w:rsidR="006B26A5" w:rsidRDefault="006B26A5" w:rsidP="00011592">
      <w:pPr>
        <w:pStyle w:val="BodyText"/>
        <w:keepLines/>
      </w:pPr>
      <w:r>
        <w:t>If the tariff rate quota applies to a final good (a good sold directly to consumers):</w:t>
      </w:r>
    </w:p>
    <w:p w14:paraId="4562B491" w14:textId="6B9FCEF9" w:rsidR="006B26A5" w:rsidRPr="004D23A3" w:rsidRDefault="006B26A5" w:rsidP="004D23A3">
      <w:pPr>
        <w:pStyle w:val="ListBullet"/>
      </w:pPr>
      <w:r>
        <w:t>Where the quota is fully used but above</w:t>
      </w:r>
      <w:r w:rsidR="00541146">
        <w:noBreakHyphen/>
      </w:r>
      <w:r>
        <w:t xml:space="preserve">quota importing is not commercially viable (because the tariff </w:t>
      </w:r>
      <w:r w:rsidRPr="004D23A3">
        <w:t>is prohibitively high), the domestic market price would be expected to increase to somewhere between the landed tariff</w:t>
      </w:r>
      <w:r w:rsidR="00541146" w:rsidRPr="004D23A3">
        <w:noBreakHyphen/>
      </w:r>
      <w:r w:rsidRPr="004D23A3">
        <w:t>free price and the tariff</w:t>
      </w:r>
      <w:r w:rsidR="00541146" w:rsidRPr="004D23A3">
        <w:noBreakHyphen/>
      </w:r>
      <w:r w:rsidRPr="004D23A3">
        <w:t>inclusive price. The higher price would reduce domestic consumption and increase domestic production until the difference between domestic demand and domestic supply equals the quota.</w:t>
      </w:r>
    </w:p>
    <w:p w14:paraId="76B60374" w14:textId="0C10AA8C" w:rsidR="006B26A5" w:rsidRPr="00CC2AAC" w:rsidRDefault="006B26A5" w:rsidP="004D23A3">
      <w:pPr>
        <w:pStyle w:val="ListBullet"/>
        <w:rPr>
          <w:spacing w:val="-2"/>
        </w:rPr>
      </w:pPr>
      <w:r w:rsidRPr="004D23A3">
        <w:t>Where demand is strong enough that above</w:t>
      </w:r>
      <w:r w:rsidR="00541146" w:rsidRPr="004D23A3">
        <w:noBreakHyphen/>
      </w:r>
      <w:r w:rsidRPr="004D23A3">
        <w:t>quota imports occur, the tariff</w:t>
      </w:r>
      <w:r w:rsidR="00541146" w:rsidRPr="004D23A3">
        <w:noBreakHyphen/>
      </w:r>
      <w:r w:rsidRPr="004D23A3">
        <w:t>inclusive price sets the marginal cost of imported supply. Subject to product substitutability, competition and other market conditions, the domestic</w:t>
      </w:r>
      <w:r w:rsidRPr="00CC2AAC">
        <w:rPr>
          <w:spacing w:val="-2"/>
        </w:rPr>
        <w:t xml:space="preserve"> market price would be expected to move toward the tariff</w:t>
      </w:r>
      <w:r w:rsidR="00541146" w:rsidRPr="00CC2AAC">
        <w:rPr>
          <w:spacing w:val="-2"/>
        </w:rPr>
        <w:noBreakHyphen/>
      </w:r>
      <w:r w:rsidRPr="00CC2AAC">
        <w:rPr>
          <w:spacing w:val="-2"/>
        </w:rPr>
        <w:t>inclusive price of imports. In</w:t>
      </w:r>
      <w:r w:rsidR="00541146" w:rsidRPr="00CC2AAC">
        <w:rPr>
          <w:spacing w:val="-2"/>
        </w:rPr>
        <w:noBreakHyphen/>
      </w:r>
      <w:r w:rsidRPr="00CC2AAC">
        <w:rPr>
          <w:spacing w:val="-2"/>
        </w:rPr>
        <w:t xml:space="preserve">quota imports would continue to face no </w:t>
      </w:r>
      <w:proofErr w:type="gramStart"/>
      <w:r w:rsidRPr="00CC2AAC">
        <w:rPr>
          <w:spacing w:val="-2"/>
        </w:rPr>
        <w:t>tariff</w:t>
      </w:r>
      <w:proofErr w:type="gramEnd"/>
      <w:r w:rsidRPr="00CC2AAC">
        <w:rPr>
          <w:spacing w:val="-2"/>
        </w:rPr>
        <w:t xml:space="preserve"> but they could be sold at the prevailing domestic market price, generating quota rents for whoever holds the scarce quota allocation.</w:t>
      </w:r>
    </w:p>
    <w:p w14:paraId="3FAF5EBE" w14:textId="4D64A0A7" w:rsidR="006B26A5" w:rsidRDefault="006B26A5" w:rsidP="00011592">
      <w:pPr>
        <w:pStyle w:val="BodyText"/>
      </w:pPr>
      <w:r w:rsidRPr="00F80158">
        <w:t xml:space="preserve">Similar principles apply for intermediate goods like </w:t>
      </w:r>
      <w:r>
        <w:t>FSS</w:t>
      </w:r>
      <w:r w:rsidRPr="00F80158">
        <w:t>. Where above</w:t>
      </w:r>
      <w:r w:rsidR="00541146">
        <w:noBreakHyphen/>
      </w:r>
      <w:r w:rsidRPr="00F80158">
        <w:t>quota imports occur, the tariff</w:t>
      </w:r>
      <w:r w:rsidR="00541146">
        <w:noBreakHyphen/>
      </w:r>
      <w:r w:rsidRPr="00F80158">
        <w:t>inclusive price can influence the price of within</w:t>
      </w:r>
      <w:r w:rsidR="00541146">
        <w:noBreakHyphen/>
      </w:r>
      <w:r w:rsidRPr="00F80158">
        <w:t xml:space="preserve">quota imports and the final goods produced using them. </w:t>
      </w:r>
      <w:r>
        <w:t>T</w:t>
      </w:r>
      <w:r w:rsidRPr="00F80158">
        <w:t xml:space="preserve">his effect may be weaker where quota access is allocated to </w:t>
      </w:r>
      <w:proofErr w:type="gramStart"/>
      <w:r w:rsidRPr="00F80158">
        <w:t>particular users</w:t>
      </w:r>
      <w:proofErr w:type="gramEnd"/>
      <w:r w:rsidRPr="00F80158">
        <w:t xml:space="preserve"> and cannot be transferred</w:t>
      </w:r>
      <w:r>
        <w:t xml:space="preserve">, </w:t>
      </w:r>
      <w:r w:rsidRPr="0001781E">
        <w:t>but</w:t>
      </w:r>
      <w:r>
        <w:t xml:space="preserve"> distortions would be larger</w:t>
      </w:r>
      <w:r w:rsidRPr="00F80158">
        <w:t>.</w:t>
      </w:r>
    </w:p>
    <w:p w14:paraId="45D2848D" w14:textId="77777777" w:rsidR="006B26A5" w:rsidRDefault="006B26A5" w:rsidP="00011592">
      <w:pPr>
        <w:pStyle w:val="FigureTableHeading"/>
      </w:pPr>
      <w:bookmarkStart w:id="43" w:name="_Toc30502221"/>
      <w:r>
        <w:lastRenderedPageBreak/>
        <w:t>Figure 6.1 – Tariffs and quotas can have equivalent effects</w:t>
      </w:r>
    </w:p>
    <w:p w14:paraId="3833F3C8" w14:textId="082DE244" w:rsidR="006B26A5" w:rsidRDefault="00A2070D" w:rsidP="008D3B62">
      <w:pPr>
        <w:pStyle w:val="BodyText"/>
      </w:pPr>
      <w:r w:rsidRPr="00A2070D">
        <w:rPr>
          <w:noProof/>
        </w:rPr>
        <w:drawing>
          <wp:inline distT="0" distB="0" distL="0" distR="0" wp14:anchorId="0020FAF1" wp14:editId="499C8AE4">
            <wp:extent cx="6120130" cy="8131810"/>
            <wp:effectExtent l="0" t="0" r="0" b="2540"/>
            <wp:docPr id="2145049146" name="Picture 31" descr="Figure 6.1 - This figure contains three panels titled 'Free trade', 'Tariff in place' and 'Quota in place – at the same level of imports as occurred under the tariff'. Each chart has price on the vertical axis and quantity on the horizontal axis, with an upward-sloping domestic supply curve and a downward-sloping domestic demand curve. In the free-trade panel, a horizontal world supply curve sets the market price, with imports filling the gap between domestic production and domestic consumption. In the tariff panel, a higher horizontal line labelled 'World supply curve with a tariff' sits above the original world supply curve - the tariff leads to higher prices in the domestic market and less consumption. In the quota panel, imports are capped at the same level as under the tariff, effectively shifting the domestic demand curve left - the quota leads to higher prices int he domestic market and less consump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049146" name="Picture 31" descr="Figure 6.1 - This figure contains three panels titled 'Free trade', 'Tariff in place' and 'Quota in place – at the same level of imports as occurred under the tariff'. Each chart has price on the vertical axis and quantity on the horizontal axis, with an upward-sloping domestic supply curve and a downward-sloping domestic demand curve. In the free-trade panel, a horizontal world supply curve sets the market price, with imports filling the gap between domestic production and domestic consumption. In the tariff panel, a higher horizontal line labelled 'World supply curve with a tariff' sits above the original world supply curve - the tariff leads to higher prices in the domestic market and less consumption. In the quota panel, imports are capped at the same level as under the tariff, effectively shifting the domestic demand curve left - the quota leads to higher prices int he domestic market and less consumption.&#1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120130" cy="8131810"/>
                    </a:xfrm>
                    <a:prstGeom prst="rect">
                      <a:avLst/>
                    </a:prstGeom>
                    <a:noFill/>
                    <a:ln>
                      <a:noFill/>
                    </a:ln>
                  </pic:spPr>
                </pic:pic>
              </a:graphicData>
            </a:graphic>
          </wp:inline>
        </w:drawing>
      </w:r>
    </w:p>
    <w:bookmarkEnd w:id="43"/>
    <w:p w14:paraId="3C1C2256" w14:textId="5D33BEF2" w:rsidR="006B26A5" w:rsidRDefault="006B26A5" w:rsidP="00011592">
      <w:pPr>
        <w:pStyle w:val="Heading3"/>
      </w:pPr>
      <w:r>
        <w:lastRenderedPageBreak/>
        <w:t>Quotas are the least</w:t>
      </w:r>
      <w:r w:rsidR="00541146">
        <w:noBreakHyphen/>
      </w:r>
      <w:r>
        <w:t>preferred measure</w:t>
      </w:r>
    </w:p>
    <w:p w14:paraId="1E5E1F8D" w14:textId="77777777" w:rsidR="006B26A5" w:rsidRDefault="006B26A5" w:rsidP="00011592">
      <w:r>
        <w:rPr>
          <w:rFonts w:ascii="Segoe UI" w:hAnsi="Segoe UI" w:cs="Segoe UI"/>
          <w:sz w:val="21"/>
          <w:szCs w:val="21"/>
        </w:rPr>
        <w:t>There are important design decisions to be made to minimise the cost of any border measures. The PC has concerns about the possible return of quotas or tariff rate quotas to the policy toolkit, because of their propensity to foster lobbying and an uneven playing field between competitors.</w:t>
      </w:r>
    </w:p>
    <w:p w14:paraId="1BED23B0" w14:textId="77777777" w:rsidR="006B26A5" w:rsidRDefault="006B26A5" w:rsidP="00011592">
      <w:r>
        <w:t>T</w:t>
      </w:r>
      <w:r w:rsidRPr="00CF5205">
        <w:t>ariff</w:t>
      </w:r>
      <w:r>
        <w:t>s g</w:t>
      </w:r>
      <w:r w:rsidRPr="00CF5205">
        <w:t>enerally impose lower costs on the economy than quota</w:t>
      </w:r>
      <w:r>
        <w:t>s</w:t>
      </w:r>
      <w:r w:rsidRPr="00CF5205">
        <w:t xml:space="preserve"> providing comparable protection. </w:t>
      </w:r>
      <w:r>
        <w:t>Tariffs are also more transparent and less costly to implement than quotas or tariff rate quotas.</w:t>
      </w:r>
    </w:p>
    <w:p w14:paraId="737EEB01" w14:textId="23144CDF" w:rsidR="006B26A5" w:rsidRPr="00EE4108" w:rsidRDefault="006B26A5" w:rsidP="00011592">
      <w:r w:rsidRPr="00DA35BF">
        <w:t xml:space="preserve">Tariffs </w:t>
      </w:r>
      <w:r>
        <w:t xml:space="preserve">fix the cost of protecting the relevant industry, while </w:t>
      </w:r>
      <w:r w:rsidRPr="00DA35BF">
        <w:t>quota</w:t>
      </w:r>
      <w:r>
        <w:t>s</w:t>
      </w:r>
      <w:r w:rsidRPr="00DA35BF">
        <w:t xml:space="preserve"> can become</w:t>
      </w:r>
      <w:r>
        <w:t xml:space="preserve"> more damaging </w:t>
      </w:r>
      <w:r w:rsidRPr="00DA35BF">
        <w:t>as market conditions change. A tariff fixes the tariff rate and allows import volumes to respond</w:t>
      </w:r>
      <w:r>
        <w:t xml:space="preserve">; a </w:t>
      </w:r>
      <w:r w:rsidRPr="00DA35BF">
        <w:t xml:space="preserve">quota constrains import volumes </w:t>
      </w:r>
      <w:r>
        <w:t xml:space="preserve">but its </w:t>
      </w:r>
      <w:r w:rsidRPr="00DA35BF">
        <w:t>tariff</w:t>
      </w:r>
      <w:r w:rsidR="00541146">
        <w:noBreakHyphen/>
      </w:r>
      <w:r w:rsidRPr="00DA35BF">
        <w:t xml:space="preserve">equivalent rate </w:t>
      </w:r>
      <w:r>
        <w:t xml:space="preserve">changes as market conditions change. </w:t>
      </w:r>
      <w:r w:rsidRPr="00DA35BF">
        <w:t xml:space="preserve">If demand rises or domestic supply contracts, for example, domestic prices can rise and consumption can fall without any change to the quota. </w:t>
      </w:r>
      <w:r w:rsidRPr="00EE4108">
        <w:t xml:space="preserve">As the </w:t>
      </w:r>
      <w:r>
        <w:t>PC</w:t>
      </w:r>
      <w:r w:rsidRPr="00EE4108">
        <w:t xml:space="preserve"> observed in its </w:t>
      </w:r>
      <w:proofErr w:type="gramStart"/>
      <w:r>
        <w:t>safeguards</w:t>
      </w:r>
      <w:proofErr w:type="gramEnd"/>
      <w:r>
        <w:t xml:space="preserve"> inquiry into frozen pigmeat,</w:t>
      </w:r>
      <w:r w:rsidRPr="00EE4108">
        <w:t xml:space="preserve"> a fixed quota can provide increasing protection as domestic demand grows, while a tariff allows some of the additional demand to ‘spill over to imports automatically’</w:t>
      </w:r>
      <w:r>
        <w:t xml:space="preserve"> </w:t>
      </w:r>
      <w:r w:rsidRPr="00EE4108">
        <w:rPr>
          <w:rFonts w:cs="Open Sans"/>
        </w:rPr>
        <w:t>(1998, p. 59)</w:t>
      </w:r>
      <w:r>
        <w:t xml:space="preserve">. </w:t>
      </w:r>
      <w:r w:rsidRPr="00DA35BF">
        <w:t xml:space="preserve">A tariff rate quota can operate in the same way </w:t>
      </w:r>
      <w:r>
        <w:t xml:space="preserve">in the range </w:t>
      </w:r>
      <w:r w:rsidRPr="00DA35BF">
        <w:t>where its above</w:t>
      </w:r>
      <w:r w:rsidR="00541146">
        <w:noBreakHyphen/>
      </w:r>
      <w:r w:rsidRPr="00DA35BF">
        <w:t>quota tariff deters further imports.</w:t>
      </w:r>
      <w:r w:rsidRPr="00EE4108">
        <w:t xml:space="preserve"> </w:t>
      </w:r>
    </w:p>
    <w:p w14:paraId="670A7DEC" w14:textId="2B6771ED" w:rsidR="006B26A5" w:rsidRDefault="006B26A5" w:rsidP="00011592">
      <w:r w:rsidRPr="00266EAE">
        <w:t xml:space="preserve">The different ways tariffs and quotas operate also make tariffs more transparent. </w:t>
      </w:r>
      <w:r>
        <w:t>The tariff rate is stated directly, whereas the tariff</w:t>
      </w:r>
      <w:r w:rsidR="00541146">
        <w:noBreakHyphen/>
      </w:r>
      <w:r>
        <w:t>equivalent rate of a quota must be estimated and depends on market conditions that will change over time. Tariff rate quotas bring additional complexity: their effects depend on whether the quota binds, whether above</w:t>
      </w:r>
      <w:r w:rsidR="00541146">
        <w:noBreakHyphen/>
      </w:r>
      <w:r>
        <w:t xml:space="preserve">quota imports are commercially worthwhile, and how domestic demand and supply respond to price changes. </w:t>
      </w:r>
    </w:p>
    <w:p w14:paraId="188DAA9E" w14:textId="77777777" w:rsidR="006B26A5" w:rsidRDefault="006B26A5" w:rsidP="00011592">
      <w:r w:rsidRPr="00F96390">
        <w:t>Quotas and tariff rate quotas are generally more costly to implement</w:t>
      </w:r>
      <w:r>
        <w:t xml:space="preserve"> than tariffs</w:t>
      </w:r>
      <w:r w:rsidRPr="00F96390">
        <w:t>. Government must design and administer access to the quota, monitor imports against it and enforce the arrangements, while importers must comply with the associated requirements.</w:t>
      </w:r>
      <w:r>
        <w:t xml:space="preserve"> </w:t>
      </w:r>
      <w:r w:rsidRPr="00F96390">
        <w:t>A tariff can generally be administered through the existing customs system.</w:t>
      </w:r>
    </w:p>
    <w:p w14:paraId="0DD727BF" w14:textId="5578EFCC" w:rsidR="006B26A5" w:rsidRPr="00E81579" w:rsidRDefault="006B26A5" w:rsidP="00011592">
      <w:pPr>
        <w:pStyle w:val="BodyText"/>
        <w:rPr>
          <w:spacing w:val="-2"/>
        </w:rPr>
      </w:pPr>
      <w:r w:rsidRPr="00E81579">
        <w:rPr>
          <w:spacing w:val="-2"/>
        </w:rPr>
        <w:t xml:space="preserve">In addition, quotas or tariff rate quotas can create an incentive to expend resources in rent seeking. If quota units are scarce, they will have a value, known as a rent. If government or bureaucrats have discretion over how those valuable quota units are allocated, it can be expected that potential quota holders will spend time and resources lobbying, making their case to get access to the quota units. For example, a change in the administration of the Cheese and Curd Quota Scheme led one quota holder, Del Re Nominees Pty Ltd, to seek judicial review after receiving a lower quota allocation than it believed it was entitled to </w:t>
      </w:r>
      <w:r w:rsidR="00637173" w:rsidRPr="00E81579">
        <w:rPr>
          <w:rFonts w:cs="Open Sans"/>
          <w:spacing w:val="-2"/>
        </w:rPr>
        <w:t>(Australian Border Force 2025a, p. 1)</w:t>
      </w:r>
      <w:r w:rsidRPr="00E81579">
        <w:rPr>
          <w:spacing w:val="-2"/>
        </w:rPr>
        <w:t>. Such expenditures are a potential social cost of quota systems: resources are devoted to ensuring access to the quota rights, rather than to productive activity.</w:t>
      </w:r>
    </w:p>
    <w:p w14:paraId="121C94A5" w14:textId="77777777" w:rsidR="006B26A5" w:rsidRDefault="006B26A5" w:rsidP="00011592">
      <w:pPr>
        <w:pStyle w:val="Heading3"/>
      </w:pPr>
      <w:r>
        <w:t xml:space="preserve">Safeguard measure design needs to consider the distribution of benefits and costs and minimise unanticipated impacts </w:t>
      </w:r>
    </w:p>
    <w:p w14:paraId="6D7F31A4" w14:textId="72A07EF7" w:rsidR="006B26A5" w:rsidRPr="00930875" w:rsidRDefault="006B26A5" w:rsidP="00011592">
      <w:r w:rsidRPr="00930875">
        <w:t xml:space="preserve">The timing of a safeguard measure can affect who bears its costs. </w:t>
      </w:r>
      <w:r>
        <w:t xml:space="preserve">In the case of the FSS industry, for example, </w:t>
      </w:r>
      <w:r w:rsidRPr="00930875">
        <w:t>projects are often designed, tendered and contracted months or years before delivery. A safeguard measure that applies to imports required to fulfil pre</w:t>
      </w:r>
      <w:r w:rsidR="00541146">
        <w:noBreakHyphen/>
      </w:r>
      <w:r w:rsidRPr="00930875">
        <w:t>existing commercial commitments could therefore impose unexpected costs on importers, builders or project owners.</w:t>
      </w:r>
    </w:p>
    <w:p w14:paraId="43A04728" w14:textId="4BD80210" w:rsidR="006B26A5" w:rsidRDefault="006B26A5" w:rsidP="00011592">
      <w:r>
        <w:t>When introducing a safeguard measure – or any border measure – governments should aim to ensure that i</w:t>
      </w:r>
      <w:r w:rsidRPr="00E02B18">
        <w:t xml:space="preserve">mplementation arrangements take account of </w:t>
      </w:r>
      <w:r>
        <w:t>pre</w:t>
      </w:r>
      <w:r w:rsidR="00541146">
        <w:noBreakHyphen/>
      </w:r>
      <w:r>
        <w:t xml:space="preserve">existing </w:t>
      </w:r>
      <w:r w:rsidRPr="00E02B18">
        <w:t>commercial</w:t>
      </w:r>
      <w:r>
        <w:t xml:space="preserve"> commitments</w:t>
      </w:r>
      <w:r w:rsidRPr="00E02B18">
        <w:t xml:space="preserve">. </w:t>
      </w:r>
      <w:r>
        <w:t>This could include ensuring a sufficient lag between announcement and commencement of the measure, some type of phase</w:t>
      </w:r>
      <w:r w:rsidR="00541146">
        <w:noBreakHyphen/>
      </w:r>
      <w:r>
        <w:t xml:space="preserve">in period, or even special treatment for goods already in transit or contracted for </w:t>
      </w:r>
      <w:r>
        <w:lastRenderedPageBreak/>
        <w:t>delivery. Each of these options brings increasing levels of administrative complexity. The approach taken should be informed by consultation with industry.</w:t>
      </w:r>
    </w:p>
    <w:p w14:paraId="76D696A1" w14:textId="26483AD5" w:rsidR="006B26A5" w:rsidRDefault="006B26A5" w:rsidP="00011592">
      <w:pPr>
        <w:pStyle w:val="BodyText"/>
      </w:pPr>
      <w:r>
        <w:t>Implementing a quota or tariff rate quota requires deciding how access to the limited import volume will be rationed</w:t>
      </w:r>
      <w:r w:rsidRPr="002F6D65">
        <w:t xml:space="preserve">. </w:t>
      </w:r>
      <w:r>
        <w:t xml:space="preserve">It could be based on </w:t>
      </w:r>
      <w:r w:rsidRPr="002F6D65">
        <w:t>importers’ historical shares, on a first</w:t>
      </w:r>
      <w:r w:rsidR="00541146">
        <w:noBreakHyphen/>
      </w:r>
      <w:r w:rsidRPr="002F6D65">
        <w:t>come, first</w:t>
      </w:r>
      <w:r w:rsidR="00541146">
        <w:noBreakHyphen/>
      </w:r>
      <w:r w:rsidRPr="002F6D65">
        <w:t>served basis, through an auction or by administrative decision.</w:t>
      </w:r>
    </w:p>
    <w:p w14:paraId="215D9B2C" w14:textId="1BD1B783" w:rsidR="006B26A5" w:rsidRDefault="006B26A5" w:rsidP="00011592">
      <w:pPr>
        <w:pStyle w:val="BodyText"/>
      </w:pPr>
      <w:r>
        <w:t xml:space="preserve">Different approaches </w:t>
      </w:r>
      <w:r w:rsidRPr="002F6D65">
        <w:t>distribute the benefits and costs of quota access differently.</w:t>
      </w:r>
      <w:r>
        <w:t xml:space="preserve"> </w:t>
      </w:r>
      <w:r w:rsidRPr="00E02B18">
        <w:t>Allocating access according to historical shares would favour incumbent importers and might make it harder for new importers to enter the market. A first</w:t>
      </w:r>
      <w:r w:rsidR="00541146">
        <w:noBreakHyphen/>
      </w:r>
      <w:r w:rsidRPr="00E02B18">
        <w:t>come, first</w:t>
      </w:r>
      <w:r w:rsidR="00541146">
        <w:noBreakHyphen/>
      </w:r>
      <w:r w:rsidRPr="00E02B18">
        <w:t>served system could encourage importers to bring forward orders because they risk missing out once the quota is exhausted. An auction would direct the quota rents to the government, but importers would have to pay for access. Administrative allocation would require the government to set criteria, assess applications and resolve disputes.</w:t>
      </w:r>
      <w:r>
        <w:t xml:space="preserve"> </w:t>
      </w:r>
      <w:r w:rsidRPr="00243C90">
        <w:t xml:space="preserve">The allocation method can therefore affect competition, import timing, </w:t>
      </w:r>
      <w:r>
        <w:t xml:space="preserve">who receives any quota rents and </w:t>
      </w:r>
      <w:r w:rsidRPr="00243C90">
        <w:t>administrative costs.</w:t>
      </w:r>
    </w:p>
    <w:p w14:paraId="1F16A40E" w14:textId="77777777" w:rsidR="006B26A5" w:rsidRPr="0029636B" w:rsidRDefault="006B26A5" w:rsidP="00011592">
      <w:pPr>
        <w:pStyle w:val="BodyText"/>
      </w:pPr>
    </w:p>
    <w:p w14:paraId="292C0814" w14:textId="77777777" w:rsidR="00DF47E9" w:rsidRDefault="00DF47E9" w:rsidP="005B5676">
      <w:pPr>
        <w:pStyle w:val="BodyText"/>
        <w:sectPr w:rsidR="00DF47E9" w:rsidSect="006B26A5">
          <w:headerReference w:type="even" r:id="rId80"/>
          <w:headerReference w:type="default" r:id="rId81"/>
          <w:footerReference w:type="even" r:id="rId82"/>
          <w:footerReference w:type="default" r:id="rId83"/>
          <w:headerReference w:type="first" r:id="rId84"/>
          <w:type w:val="oddPage"/>
          <w:pgSz w:w="11906" w:h="16838" w:code="9"/>
          <w:pgMar w:top="1134" w:right="1134" w:bottom="1134" w:left="1134" w:header="794" w:footer="510" w:gutter="0"/>
          <w:cols w:space="708"/>
          <w:docGrid w:linePitch="360"/>
        </w:sectPr>
      </w:pPr>
    </w:p>
    <w:p w14:paraId="01D9CA60" w14:textId="53622209" w:rsidR="00DF47E9" w:rsidRDefault="00DF47E9" w:rsidP="00011592">
      <w:pPr>
        <w:pStyle w:val="Heading-Appendix"/>
      </w:pPr>
      <w:bookmarkStart w:id="44" w:name="_Toc238643920"/>
      <w:r>
        <w:lastRenderedPageBreak/>
        <w:t>Public engagement</w:t>
      </w:r>
      <w:bookmarkEnd w:id="44"/>
    </w:p>
    <w:p w14:paraId="1B356BC4" w14:textId="1049F8E4" w:rsidR="00DF47E9" w:rsidRPr="00F94006" w:rsidRDefault="00DF47E9" w:rsidP="00011592">
      <w:pPr>
        <w:pStyle w:val="BodyText"/>
      </w:pPr>
      <w:r w:rsidRPr="00F94006">
        <w:t xml:space="preserve">This appendix provides information about the consultation process for this inquiry. It lists the organisations and individuals who contributed through consultations, submissions and public hearings. </w:t>
      </w:r>
    </w:p>
    <w:p w14:paraId="6B73FC18" w14:textId="2B860A6B" w:rsidR="00DF47E9" w:rsidRPr="00F94006" w:rsidRDefault="00DF47E9" w:rsidP="00011592">
      <w:pPr>
        <w:pStyle w:val="ListBullet"/>
      </w:pPr>
      <w:r>
        <w:t>T</w:t>
      </w:r>
      <w:r w:rsidRPr="00F94006">
        <w:t>he P</w:t>
      </w:r>
      <w:r>
        <w:t xml:space="preserve">roductivity Commission </w:t>
      </w:r>
      <w:r w:rsidRPr="00F94006">
        <w:t xml:space="preserve">received 62 </w:t>
      </w:r>
      <w:r>
        <w:t xml:space="preserve">public </w:t>
      </w:r>
      <w:r w:rsidRPr="00F94006">
        <w:t xml:space="preserve">submissions (table A.1). The submissions are available </w:t>
      </w:r>
      <w:r>
        <w:t>a</w:t>
      </w:r>
      <w:r w:rsidR="00CC2AAC">
        <w:t xml:space="preserve">t </w:t>
      </w:r>
      <w:r w:rsidR="00CC2AAC" w:rsidRPr="001867A7">
        <w:t>www.pc.gov.au/inquiries</w:t>
      </w:r>
      <w:r w:rsidR="00CC2AAC" w:rsidRPr="001867A7">
        <w:noBreakHyphen/>
        <w:t>and</w:t>
      </w:r>
      <w:r w:rsidR="00CC2AAC" w:rsidRPr="001867A7">
        <w:noBreakHyphen/>
        <w:t>research/steel</w:t>
      </w:r>
      <w:r w:rsidR="00CC2AAC" w:rsidRPr="001867A7">
        <w:noBreakHyphen/>
        <w:t>safeguards/submissions</w:t>
      </w:r>
      <w:r>
        <w:t>. We also received 45</w:t>
      </w:r>
      <w:r w:rsidR="00CC2AAC">
        <w:t> </w:t>
      </w:r>
      <w:r>
        <w:t>confidential submissions or submission attachments.</w:t>
      </w:r>
    </w:p>
    <w:p w14:paraId="5B9B16E8" w14:textId="6BEF83EA" w:rsidR="00DF47E9" w:rsidRDefault="00DF47E9" w:rsidP="00011592">
      <w:pPr>
        <w:pStyle w:val="ListBullet"/>
      </w:pPr>
      <w:r w:rsidRPr="00F94006">
        <w:t xml:space="preserve">The </w:t>
      </w:r>
      <w:r>
        <w:t>PC</w:t>
      </w:r>
      <w:r w:rsidRPr="00F94006">
        <w:t xml:space="preserve"> </w:t>
      </w:r>
      <w:r>
        <w:t xml:space="preserve">has met with individual domestic FSS producers, steel distributors, steel producers, construction firms and peak bodies representing these market segments (table A.2). We have also met with Australian and foreign government organisations, as well as the China Chamber of Commerce of Metals, Minerals and Chemicals Importers and Exporters. </w:t>
      </w:r>
      <w:r w:rsidRPr="00E15135">
        <w:t>Staff from the PC toured a steel distribution facility and several steel fabrication workshops in south</w:t>
      </w:r>
      <w:r w:rsidR="00541146">
        <w:noBreakHyphen/>
      </w:r>
      <w:r w:rsidRPr="00E15135">
        <w:t>east Melbourne to gain a deeper understanding of the FSS industry.</w:t>
      </w:r>
    </w:p>
    <w:p w14:paraId="67CABB97" w14:textId="257FA240" w:rsidR="00DF47E9" w:rsidRPr="00F94006" w:rsidRDefault="00DF47E9" w:rsidP="00011592">
      <w:pPr>
        <w:pStyle w:val="ListBullet"/>
      </w:pPr>
      <w:r>
        <w:t>Public hearings were held from 13 to 15 May</w:t>
      </w:r>
      <w:r w:rsidR="009F100E">
        <w:t xml:space="preserve"> 2026</w:t>
      </w:r>
      <w:r w:rsidR="00CC2AAC">
        <w:t>:</w:t>
      </w:r>
      <w:r>
        <w:t xml:space="preserve"> 15 witnesses appeared (table A.3)</w:t>
      </w:r>
      <w:r w:rsidR="0035469E">
        <w:t>;</w:t>
      </w:r>
      <w:r>
        <w:t xml:space="preserve"> 8 post</w:t>
      </w:r>
      <w:r w:rsidR="00541146">
        <w:noBreakHyphen/>
      </w:r>
      <w:r>
        <w:t>hearing submissions were provided (table A.4).</w:t>
      </w:r>
    </w:p>
    <w:p w14:paraId="678B6C9D" w14:textId="77777777" w:rsidR="00DF47E9" w:rsidRDefault="00DF47E9">
      <w:pPr>
        <w:spacing w:before="0" w:after="160" w:line="259" w:lineRule="auto"/>
      </w:pPr>
      <w:r>
        <w:br w:type="page"/>
      </w:r>
    </w:p>
    <w:p w14:paraId="6AD2BE4A" w14:textId="3DF6FFF8" w:rsidR="00DF47E9" w:rsidRPr="00154D4E" w:rsidRDefault="00DF47E9" w:rsidP="002B0541">
      <w:pPr>
        <w:pStyle w:val="FigureTableHeading"/>
      </w:pPr>
      <w:r w:rsidRPr="00154D4E">
        <w:lastRenderedPageBreak/>
        <w:t xml:space="preserve">Table </w:t>
      </w:r>
      <w:r w:rsidR="00C56C9B">
        <w:rPr>
          <w:noProof/>
        </w:rPr>
        <w:t>A</w:t>
      </w:r>
      <w:r w:rsidRPr="00154D4E">
        <w:t>.</w:t>
      </w:r>
      <w:r w:rsidR="00C56C9B">
        <w:rPr>
          <w:noProof/>
        </w:rPr>
        <w:t>1</w:t>
      </w:r>
      <w:r w:rsidRPr="00154D4E">
        <w:t xml:space="preserve"> – Public submissions </w:t>
      </w:r>
    </w:p>
    <w:tbl>
      <w:tblPr>
        <w:tblW w:w="9639" w:type="dxa"/>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7513"/>
        <w:gridCol w:w="2126"/>
      </w:tblGrid>
      <w:tr w:rsidR="00DF47E9" w:rsidRPr="002B0541" w14:paraId="2B9BB825" w14:textId="77777777" w:rsidTr="002B0541">
        <w:trPr>
          <w:trHeight w:val="20"/>
          <w:tblHeader/>
        </w:trPr>
        <w:tc>
          <w:tcPr>
            <w:tcW w:w="7513" w:type="dxa"/>
            <w:tcBorders>
              <w:bottom w:val="single" w:sz="4" w:space="0" w:color="B3B3B3"/>
            </w:tcBorders>
            <w:shd w:val="clear" w:color="000000" w:fill="auto"/>
            <w:vAlign w:val="bottom"/>
          </w:tcPr>
          <w:p w14:paraId="3CCF93FC" w14:textId="77777777" w:rsidR="00DF47E9" w:rsidRPr="002B0541" w:rsidRDefault="00DF47E9" w:rsidP="002B0541">
            <w:pPr>
              <w:spacing w:before="45" w:after="45"/>
              <w:ind w:left="57" w:right="108"/>
              <w:rPr>
                <w:rFonts w:cs="Open Sans"/>
                <w:b/>
                <w:color w:val="1D4374"/>
                <w:sz w:val="18"/>
              </w:rPr>
            </w:pPr>
            <w:r w:rsidRPr="002B0541">
              <w:rPr>
                <w:rFonts w:cs="Open Sans"/>
                <w:b/>
                <w:color w:val="1D4374"/>
                <w:sz w:val="18"/>
              </w:rPr>
              <w:t>Participants</w:t>
            </w:r>
          </w:p>
        </w:tc>
        <w:tc>
          <w:tcPr>
            <w:tcW w:w="2126" w:type="dxa"/>
            <w:tcBorders>
              <w:bottom w:val="single" w:sz="4" w:space="0" w:color="B3B3B3"/>
            </w:tcBorders>
            <w:shd w:val="clear" w:color="000000" w:fill="auto"/>
            <w:vAlign w:val="bottom"/>
          </w:tcPr>
          <w:p w14:paraId="026D066A" w14:textId="77777777" w:rsidR="00DF47E9" w:rsidRPr="002B0541" w:rsidRDefault="00DF47E9" w:rsidP="002B0541">
            <w:pPr>
              <w:pStyle w:val="TableHeading"/>
              <w:spacing w:before="45" w:after="45"/>
              <w:jc w:val="right"/>
              <w:rPr>
                <w:rFonts w:cs="Open Sans"/>
                <w:color w:val="1D4374"/>
              </w:rPr>
            </w:pPr>
            <w:r w:rsidRPr="002B0541">
              <w:rPr>
                <w:rFonts w:cs="Open Sans"/>
                <w:color w:val="1D4374"/>
              </w:rPr>
              <w:t>Submission number</w:t>
            </w:r>
          </w:p>
        </w:tc>
      </w:tr>
      <w:tr w:rsidR="00DF47E9" w:rsidRPr="002B0541" w14:paraId="3461E7C8" w14:textId="77777777" w:rsidTr="002B0541">
        <w:trPr>
          <w:trHeight w:val="20"/>
        </w:trPr>
        <w:tc>
          <w:tcPr>
            <w:tcW w:w="7513" w:type="dxa"/>
            <w:tcBorders>
              <w:top w:val="single" w:sz="4" w:space="0" w:color="B3B3B3"/>
              <w:bottom w:val="nil"/>
            </w:tcBorders>
            <w:shd w:val="clear" w:color="000000" w:fill="E6E6E6"/>
          </w:tcPr>
          <w:p w14:paraId="0FF440A8" w14:textId="26E09F3F" w:rsidR="00DF47E9" w:rsidRPr="002B0541" w:rsidRDefault="00DF47E9" w:rsidP="002B0541">
            <w:pPr>
              <w:pStyle w:val="BodyText"/>
              <w:spacing w:before="45" w:after="45"/>
              <w:ind w:left="57" w:right="108"/>
              <w:rPr>
                <w:rFonts w:cs="Open Sans"/>
                <w:bCs/>
                <w:sz w:val="18"/>
              </w:rPr>
            </w:pPr>
            <w:r w:rsidRPr="002B0541">
              <w:rPr>
                <w:rFonts w:cs="Open Sans"/>
                <w:bCs/>
                <w:sz w:val="18"/>
              </w:rPr>
              <w:t>Acute Fabrication Pty Ltd</w:t>
            </w:r>
          </w:p>
        </w:tc>
        <w:tc>
          <w:tcPr>
            <w:tcW w:w="2126" w:type="dxa"/>
            <w:tcBorders>
              <w:top w:val="single" w:sz="4" w:space="0" w:color="B3B3B3"/>
              <w:bottom w:val="nil"/>
            </w:tcBorders>
            <w:shd w:val="clear" w:color="000000" w:fill="E6E6E6"/>
          </w:tcPr>
          <w:p w14:paraId="28613603" w14:textId="77777777" w:rsidR="00DF47E9" w:rsidRPr="002B0541" w:rsidRDefault="00DF47E9" w:rsidP="002B0541">
            <w:pPr>
              <w:pStyle w:val="BodyText"/>
              <w:spacing w:before="45" w:after="45"/>
              <w:ind w:left="57" w:right="108"/>
              <w:jc w:val="right"/>
              <w:rPr>
                <w:rFonts w:cs="Open Sans"/>
                <w:color w:val="000000"/>
                <w:sz w:val="18"/>
              </w:rPr>
            </w:pPr>
            <w:r w:rsidRPr="002B0541">
              <w:rPr>
                <w:rFonts w:cs="Open Sans"/>
                <w:color w:val="000000"/>
                <w:sz w:val="18"/>
              </w:rPr>
              <w:t>41</w:t>
            </w:r>
          </w:p>
        </w:tc>
      </w:tr>
      <w:tr w:rsidR="00DF47E9" w:rsidRPr="002B0541" w14:paraId="1B4599BC" w14:textId="77777777" w:rsidTr="002B0541">
        <w:trPr>
          <w:trHeight w:val="20"/>
        </w:trPr>
        <w:tc>
          <w:tcPr>
            <w:tcW w:w="7513" w:type="dxa"/>
            <w:tcBorders>
              <w:top w:val="nil"/>
              <w:bottom w:val="nil"/>
            </w:tcBorders>
            <w:shd w:val="clear" w:color="000000" w:fill="auto"/>
          </w:tcPr>
          <w:p w14:paraId="2B05C391" w14:textId="1249F60D" w:rsidR="00DF47E9" w:rsidRPr="002B0541" w:rsidRDefault="00DF47E9" w:rsidP="002B0541">
            <w:pPr>
              <w:pStyle w:val="BodyText"/>
              <w:spacing w:before="45" w:after="45"/>
              <w:ind w:left="57" w:right="108"/>
              <w:rPr>
                <w:rFonts w:cs="Open Sans"/>
                <w:bCs/>
                <w:sz w:val="18"/>
              </w:rPr>
            </w:pPr>
            <w:r w:rsidRPr="002B0541">
              <w:rPr>
                <w:rFonts w:cs="Open Sans"/>
                <w:bCs/>
                <w:sz w:val="18"/>
              </w:rPr>
              <w:t>AMARCON</w:t>
            </w:r>
          </w:p>
        </w:tc>
        <w:tc>
          <w:tcPr>
            <w:tcW w:w="2126" w:type="dxa"/>
            <w:tcBorders>
              <w:top w:val="nil"/>
              <w:bottom w:val="nil"/>
            </w:tcBorders>
            <w:shd w:val="clear" w:color="000000" w:fill="auto"/>
          </w:tcPr>
          <w:p w14:paraId="172C5856" w14:textId="77777777" w:rsidR="00DF47E9" w:rsidRPr="002B0541" w:rsidRDefault="00DF47E9" w:rsidP="002B0541">
            <w:pPr>
              <w:pStyle w:val="BodyText"/>
              <w:spacing w:before="45" w:after="45"/>
              <w:ind w:left="57" w:right="108"/>
              <w:jc w:val="right"/>
              <w:rPr>
                <w:rFonts w:cs="Open Sans"/>
                <w:color w:val="000000"/>
                <w:sz w:val="18"/>
              </w:rPr>
            </w:pPr>
            <w:r w:rsidRPr="002B0541">
              <w:rPr>
                <w:rFonts w:cs="Open Sans"/>
                <w:color w:val="000000"/>
                <w:sz w:val="18"/>
              </w:rPr>
              <w:t>16</w:t>
            </w:r>
          </w:p>
        </w:tc>
      </w:tr>
      <w:tr w:rsidR="00DF47E9" w:rsidRPr="002B0541" w14:paraId="5C82D300" w14:textId="77777777" w:rsidTr="002B0541">
        <w:trPr>
          <w:trHeight w:val="20"/>
        </w:trPr>
        <w:tc>
          <w:tcPr>
            <w:tcW w:w="7513" w:type="dxa"/>
            <w:tcBorders>
              <w:bottom w:val="nil"/>
            </w:tcBorders>
            <w:shd w:val="clear" w:color="000000" w:fill="E6E6E6"/>
          </w:tcPr>
          <w:p w14:paraId="58278781" w14:textId="3A71131C" w:rsidR="00DF47E9" w:rsidRPr="002B0541" w:rsidRDefault="00DF47E9" w:rsidP="002B0541">
            <w:pPr>
              <w:pStyle w:val="BodyText"/>
              <w:spacing w:before="45" w:after="45"/>
              <w:ind w:left="57" w:right="108"/>
              <w:rPr>
                <w:rFonts w:cs="Open Sans"/>
                <w:bCs/>
                <w:sz w:val="18"/>
              </w:rPr>
            </w:pPr>
            <w:r w:rsidRPr="002B0541">
              <w:rPr>
                <w:rFonts w:cs="Open Sans"/>
                <w:bCs/>
                <w:sz w:val="18"/>
              </w:rPr>
              <w:t xml:space="preserve">Australian Manufacturing Workers Union </w:t>
            </w:r>
          </w:p>
        </w:tc>
        <w:tc>
          <w:tcPr>
            <w:tcW w:w="2126" w:type="dxa"/>
            <w:tcBorders>
              <w:bottom w:val="nil"/>
            </w:tcBorders>
            <w:shd w:val="clear" w:color="000000" w:fill="E6E6E6"/>
          </w:tcPr>
          <w:p w14:paraId="7F864144" w14:textId="77777777" w:rsidR="00DF47E9" w:rsidRPr="002B0541" w:rsidRDefault="00DF47E9" w:rsidP="002B0541">
            <w:pPr>
              <w:pStyle w:val="BodyText"/>
              <w:spacing w:before="45" w:after="45"/>
              <w:ind w:left="57" w:right="108"/>
              <w:jc w:val="right"/>
              <w:rPr>
                <w:rFonts w:cs="Open Sans"/>
                <w:color w:val="000000"/>
                <w:sz w:val="18"/>
              </w:rPr>
            </w:pPr>
            <w:r w:rsidRPr="002B0541">
              <w:rPr>
                <w:rFonts w:cs="Open Sans"/>
                <w:color w:val="000000"/>
                <w:sz w:val="18"/>
              </w:rPr>
              <w:t>51</w:t>
            </w:r>
          </w:p>
        </w:tc>
      </w:tr>
      <w:tr w:rsidR="00DF47E9" w:rsidRPr="002B0541" w14:paraId="3A5C38D0" w14:textId="77777777" w:rsidTr="002B0541">
        <w:trPr>
          <w:trHeight w:val="20"/>
        </w:trPr>
        <w:tc>
          <w:tcPr>
            <w:tcW w:w="7513" w:type="dxa"/>
            <w:tcBorders>
              <w:top w:val="nil"/>
              <w:bottom w:val="nil"/>
            </w:tcBorders>
            <w:shd w:val="clear" w:color="000000" w:fill="auto"/>
          </w:tcPr>
          <w:p w14:paraId="21E5863C" w14:textId="18D3827B" w:rsidR="00DF47E9" w:rsidRPr="002B0541" w:rsidRDefault="00DF47E9" w:rsidP="002B0541">
            <w:pPr>
              <w:pStyle w:val="BodyText"/>
              <w:spacing w:before="45" w:after="45"/>
              <w:ind w:left="57" w:right="108"/>
              <w:rPr>
                <w:rFonts w:cs="Open Sans"/>
                <w:bCs/>
                <w:sz w:val="18"/>
              </w:rPr>
            </w:pPr>
            <w:r w:rsidRPr="002B0541">
              <w:rPr>
                <w:rFonts w:cs="Open Sans"/>
                <w:bCs/>
                <w:sz w:val="18"/>
              </w:rPr>
              <w:t>Australian Industry Group</w:t>
            </w:r>
          </w:p>
        </w:tc>
        <w:tc>
          <w:tcPr>
            <w:tcW w:w="2126" w:type="dxa"/>
            <w:tcBorders>
              <w:top w:val="nil"/>
              <w:bottom w:val="nil"/>
            </w:tcBorders>
            <w:shd w:val="clear" w:color="000000" w:fill="auto"/>
          </w:tcPr>
          <w:p w14:paraId="7D5B8076" w14:textId="77777777" w:rsidR="00DF47E9" w:rsidRPr="002B0541" w:rsidRDefault="00DF47E9" w:rsidP="002B0541">
            <w:pPr>
              <w:pStyle w:val="BodyText"/>
              <w:spacing w:before="45" w:after="45"/>
              <w:ind w:left="57" w:right="108"/>
              <w:jc w:val="right"/>
              <w:rPr>
                <w:rFonts w:cs="Open Sans"/>
                <w:color w:val="000000"/>
                <w:sz w:val="18"/>
              </w:rPr>
            </w:pPr>
            <w:r w:rsidRPr="002B0541">
              <w:rPr>
                <w:rFonts w:cs="Open Sans"/>
                <w:color w:val="000000"/>
                <w:sz w:val="18"/>
              </w:rPr>
              <w:t>32</w:t>
            </w:r>
          </w:p>
        </w:tc>
      </w:tr>
      <w:tr w:rsidR="00DF47E9" w:rsidRPr="002B0541" w14:paraId="3D9D5B34" w14:textId="77777777" w:rsidTr="002B0541">
        <w:trPr>
          <w:trHeight w:val="20"/>
        </w:trPr>
        <w:tc>
          <w:tcPr>
            <w:tcW w:w="7513" w:type="dxa"/>
            <w:tcBorders>
              <w:bottom w:val="nil"/>
            </w:tcBorders>
            <w:shd w:val="clear" w:color="000000" w:fill="E6E6E6"/>
          </w:tcPr>
          <w:p w14:paraId="7EFC4678" w14:textId="1B86AE25" w:rsidR="00DF47E9" w:rsidRPr="002B0541" w:rsidRDefault="00DF47E9" w:rsidP="002B0541">
            <w:pPr>
              <w:pStyle w:val="BodyText"/>
              <w:spacing w:before="45" w:after="45"/>
              <w:ind w:left="57" w:right="108"/>
              <w:rPr>
                <w:rFonts w:cs="Open Sans"/>
                <w:bCs/>
                <w:sz w:val="18"/>
              </w:rPr>
            </w:pPr>
            <w:r w:rsidRPr="002B0541">
              <w:rPr>
                <w:rFonts w:cs="Open Sans"/>
                <w:bCs/>
                <w:sz w:val="18"/>
              </w:rPr>
              <w:t>Australian Steel</w:t>
            </w:r>
          </w:p>
        </w:tc>
        <w:tc>
          <w:tcPr>
            <w:tcW w:w="2126" w:type="dxa"/>
            <w:tcBorders>
              <w:bottom w:val="nil"/>
            </w:tcBorders>
            <w:shd w:val="clear" w:color="000000" w:fill="E6E6E6"/>
          </w:tcPr>
          <w:p w14:paraId="2F2871AA" w14:textId="77777777" w:rsidR="00DF47E9" w:rsidRPr="002B0541" w:rsidRDefault="00DF47E9" w:rsidP="002B0541">
            <w:pPr>
              <w:pStyle w:val="BodyText"/>
              <w:spacing w:before="45" w:after="45"/>
              <w:ind w:left="57" w:right="108"/>
              <w:jc w:val="right"/>
              <w:rPr>
                <w:rFonts w:cs="Open Sans"/>
                <w:color w:val="000000"/>
                <w:sz w:val="18"/>
              </w:rPr>
            </w:pPr>
            <w:r w:rsidRPr="002B0541">
              <w:rPr>
                <w:rFonts w:cs="Open Sans"/>
                <w:color w:val="000000"/>
                <w:sz w:val="18"/>
              </w:rPr>
              <w:t>1</w:t>
            </w:r>
          </w:p>
        </w:tc>
      </w:tr>
      <w:tr w:rsidR="00DF47E9" w:rsidRPr="002B0541" w14:paraId="5A5C17FD" w14:textId="77777777" w:rsidTr="002B0541">
        <w:trPr>
          <w:trHeight w:val="20"/>
        </w:trPr>
        <w:tc>
          <w:tcPr>
            <w:tcW w:w="7513" w:type="dxa"/>
            <w:tcBorders>
              <w:top w:val="nil"/>
              <w:bottom w:val="nil"/>
            </w:tcBorders>
            <w:shd w:val="clear" w:color="000000" w:fill="auto"/>
          </w:tcPr>
          <w:p w14:paraId="58C0A890" w14:textId="050E956A" w:rsidR="00DF47E9" w:rsidRPr="002B0541" w:rsidRDefault="00DF47E9" w:rsidP="002B0541">
            <w:pPr>
              <w:pStyle w:val="BodyText"/>
              <w:spacing w:before="45" w:after="45"/>
              <w:ind w:left="57" w:right="108"/>
              <w:rPr>
                <w:rFonts w:cs="Open Sans"/>
                <w:bCs/>
                <w:sz w:val="18"/>
              </w:rPr>
            </w:pPr>
            <w:r w:rsidRPr="002B0541">
              <w:rPr>
                <w:rFonts w:cs="Open Sans"/>
                <w:bCs/>
                <w:sz w:val="18"/>
              </w:rPr>
              <w:t>Australian Steel Institute (ASI)</w:t>
            </w:r>
          </w:p>
        </w:tc>
        <w:tc>
          <w:tcPr>
            <w:tcW w:w="2126" w:type="dxa"/>
            <w:tcBorders>
              <w:top w:val="nil"/>
              <w:bottom w:val="nil"/>
            </w:tcBorders>
            <w:shd w:val="clear" w:color="000000" w:fill="auto"/>
          </w:tcPr>
          <w:p w14:paraId="720F91DF" w14:textId="77777777" w:rsidR="00DF47E9" w:rsidRPr="002B0541" w:rsidRDefault="00DF47E9" w:rsidP="002B0541">
            <w:pPr>
              <w:pStyle w:val="BodyText"/>
              <w:spacing w:before="45" w:after="45"/>
              <w:ind w:left="57" w:right="108"/>
              <w:jc w:val="right"/>
              <w:rPr>
                <w:rFonts w:cs="Open Sans"/>
                <w:color w:val="000000"/>
                <w:sz w:val="18"/>
              </w:rPr>
            </w:pPr>
            <w:r w:rsidRPr="002B0541">
              <w:rPr>
                <w:rFonts w:cs="Open Sans"/>
                <w:color w:val="000000"/>
                <w:sz w:val="18"/>
              </w:rPr>
              <w:t>30</w:t>
            </w:r>
          </w:p>
        </w:tc>
      </w:tr>
      <w:tr w:rsidR="00DF47E9" w:rsidRPr="002B0541" w14:paraId="0C54BC12" w14:textId="77777777" w:rsidTr="002B0541">
        <w:trPr>
          <w:trHeight w:val="20"/>
        </w:trPr>
        <w:tc>
          <w:tcPr>
            <w:tcW w:w="7513" w:type="dxa"/>
            <w:tcBorders>
              <w:bottom w:val="nil"/>
            </w:tcBorders>
            <w:shd w:val="clear" w:color="000000" w:fill="E6E6E6"/>
          </w:tcPr>
          <w:p w14:paraId="1A11280B" w14:textId="676E1453" w:rsidR="00DF47E9" w:rsidRPr="002B0541" w:rsidRDefault="00DF47E9" w:rsidP="002B0541">
            <w:pPr>
              <w:pStyle w:val="BodyText"/>
              <w:spacing w:before="45" w:after="45"/>
              <w:ind w:left="57" w:right="108"/>
              <w:rPr>
                <w:rFonts w:cs="Open Sans"/>
                <w:bCs/>
                <w:sz w:val="18"/>
              </w:rPr>
            </w:pPr>
            <w:r w:rsidRPr="002B0541">
              <w:rPr>
                <w:rFonts w:cs="Open Sans"/>
                <w:bCs/>
                <w:sz w:val="18"/>
              </w:rPr>
              <w:t>Australian Workers Union</w:t>
            </w:r>
          </w:p>
        </w:tc>
        <w:tc>
          <w:tcPr>
            <w:tcW w:w="2126" w:type="dxa"/>
            <w:tcBorders>
              <w:bottom w:val="nil"/>
            </w:tcBorders>
            <w:shd w:val="clear" w:color="000000" w:fill="E6E6E6"/>
          </w:tcPr>
          <w:p w14:paraId="1F39ED63" w14:textId="77777777" w:rsidR="00DF47E9" w:rsidRPr="002B0541" w:rsidRDefault="00DF47E9" w:rsidP="002B0541">
            <w:pPr>
              <w:pStyle w:val="BodyText"/>
              <w:spacing w:before="45" w:after="45"/>
              <w:ind w:left="57" w:right="108"/>
              <w:jc w:val="right"/>
              <w:rPr>
                <w:rFonts w:cs="Open Sans"/>
                <w:color w:val="000000"/>
                <w:sz w:val="18"/>
              </w:rPr>
            </w:pPr>
            <w:r w:rsidRPr="002B0541">
              <w:rPr>
                <w:rFonts w:cs="Open Sans"/>
                <w:color w:val="000000"/>
                <w:sz w:val="18"/>
              </w:rPr>
              <w:t>53</w:t>
            </w:r>
          </w:p>
        </w:tc>
      </w:tr>
      <w:tr w:rsidR="00DF47E9" w:rsidRPr="002B0541" w14:paraId="49D2D527" w14:textId="77777777" w:rsidTr="002B0541">
        <w:trPr>
          <w:trHeight w:val="20"/>
        </w:trPr>
        <w:tc>
          <w:tcPr>
            <w:tcW w:w="7513" w:type="dxa"/>
            <w:tcBorders>
              <w:top w:val="nil"/>
              <w:bottom w:val="nil"/>
            </w:tcBorders>
            <w:shd w:val="clear" w:color="000000" w:fill="auto"/>
          </w:tcPr>
          <w:p w14:paraId="29BFAE7F" w14:textId="27CB0DF6" w:rsidR="00DF47E9" w:rsidRPr="002B0541" w:rsidRDefault="00DF47E9" w:rsidP="002B0541">
            <w:pPr>
              <w:pStyle w:val="BodyText"/>
              <w:spacing w:before="45" w:after="45"/>
              <w:ind w:left="57" w:right="108"/>
              <w:rPr>
                <w:rFonts w:cs="Open Sans"/>
                <w:bCs/>
                <w:sz w:val="18"/>
              </w:rPr>
            </w:pPr>
            <w:proofErr w:type="spellStart"/>
            <w:r w:rsidRPr="002B0541">
              <w:rPr>
                <w:rFonts w:cs="Open Sans"/>
                <w:bCs/>
                <w:sz w:val="18"/>
              </w:rPr>
              <w:t>Austruss</w:t>
            </w:r>
            <w:proofErr w:type="spellEnd"/>
          </w:p>
        </w:tc>
        <w:tc>
          <w:tcPr>
            <w:tcW w:w="2126" w:type="dxa"/>
            <w:tcBorders>
              <w:top w:val="nil"/>
              <w:bottom w:val="nil"/>
            </w:tcBorders>
            <w:shd w:val="clear" w:color="000000" w:fill="auto"/>
          </w:tcPr>
          <w:p w14:paraId="3995FB34" w14:textId="77777777" w:rsidR="00DF47E9" w:rsidRPr="002B0541" w:rsidRDefault="00DF47E9" w:rsidP="002B0541">
            <w:pPr>
              <w:pStyle w:val="BodyText"/>
              <w:spacing w:before="45" w:after="45"/>
              <w:ind w:left="57" w:right="108"/>
              <w:jc w:val="right"/>
              <w:rPr>
                <w:rFonts w:cs="Open Sans"/>
                <w:color w:val="000000"/>
                <w:sz w:val="18"/>
              </w:rPr>
            </w:pPr>
            <w:r w:rsidRPr="002B0541">
              <w:rPr>
                <w:rFonts w:cs="Open Sans"/>
                <w:color w:val="000000"/>
                <w:sz w:val="18"/>
              </w:rPr>
              <w:t>37</w:t>
            </w:r>
          </w:p>
        </w:tc>
      </w:tr>
      <w:tr w:rsidR="00DF47E9" w:rsidRPr="002B0541" w14:paraId="02806A1C" w14:textId="77777777" w:rsidTr="002B0541">
        <w:trPr>
          <w:trHeight w:val="20"/>
        </w:trPr>
        <w:tc>
          <w:tcPr>
            <w:tcW w:w="7513" w:type="dxa"/>
            <w:tcBorders>
              <w:bottom w:val="nil"/>
            </w:tcBorders>
            <w:shd w:val="clear" w:color="000000" w:fill="E6E6E6"/>
          </w:tcPr>
          <w:p w14:paraId="38481C26" w14:textId="52793446" w:rsidR="00DF47E9" w:rsidRPr="002B0541" w:rsidRDefault="00DF47E9" w:rsidP="002B0541">
            <w:pPr>
              <w:pStyle w:val="BodyText"/>
              <w:spacing w:before="45" w:after="45"/>
              <w:ind w:left="57" w:right="108"/>
              <w:rPr>
                <w:rFonts w:cs="Open Sans"/>
                <w:bCs/>
                <w:sz w:val="18"/>
              </w:rPr>
            </w:pPr>
            <w:r w:rsidRPr="002B0541">
              <w:rPr>
                <w:rFonts w:cs="Open Sans"/>
                <w:bCs/>
                <w:sz w:val="18"/>
              </w:rPr>
              <w:t>Beenleigh Steel Fabrications</w:t>
            </w:r>
          </w:p>
        </w:tc>
        <w:tc>
          <w:tcPr>
            <w:tcW w:w="2126" w:type="dxa"/>
            <w:tcBorders>
              <w:bottom w:val="nil"/>
            </w:tcBorders>
            <w:shd w:val="clear" w:color="000000" w:fill="E6E6E6"/>
          </w:tcPr>
          <w:p w14:paraId="416CB59F" w14:textId="77777777" w:rsidR="00DF47E9" w:rsidRPr="002B0541" w:rsidRDefault="00DF47E9" w:rsidP="002B0541">
            <w:pPr>
              <w:pStyle w:val="BodyText"/>
              <w:spacing w:before="45" w:after="45"/>
              <w:ind w:left="57" w:right="108"/>
              <w:jc w:val="right"/>
              <w:rPr>
                <w:rFonts w:cs="Open Sans"/>
                <w:color w:val="000000"/>
                <w:sz w:val="18"/>
              </w:rPr>
            </w:pPr>
            <w:r w:rsidRPr="002B0541">
              <w:rPr>
                <w:rFonts w:cs="Open Sans"/>
                <w:color w:val="000000"/>
                <w:sz w:val="18"/>
              </w:rPr>
              <w:t>29</w:t>
            </w:r>
          </w:p>
        </w:tc>
      </w:tr>
      <w:tr w:rsidR="00DF47E9" w:rsidRPr="002B0541" w14:paraId="5422FF72" w14:textId="77777777" w:rsidTr="002B0541">
        <w:trPr>
          <w:trHeight w:val="20"/>
        </w:trPr>
        <w:tc>
          <w:tcPr>
            <w:tcW w:w="7513" w:type="dxa"/>
            <w:tcBorders>
              <w:top w:val="nil"/>
              <w:bottom w:val="nil"/>
            </w:tcBorders>
            <w:shd w:val="clear" w:color="000000" w:fill="auto"/>
          </w:tcPr>
          <w:p w14:paraId="13736361" w14:textId="5FF198A1" w:rsidR="00DF47E9" w:rsidRPr="002B0541" w:rsidRDefault="00DF47E9" w:rsidP="002B0541">
            <w:pPr>
              <w:pStyle w:val="BodyText"/>
              <w:spacing w:before="45" w:after="45"/>
              <w:ind w:left="57" w:right="108"/>
              <w:rPr>
                <w:rFonts w:cs="Open Sans"/>
                <w:bCs/>
                <w:sz w:val="18"/>
              </w:rPr>
            </w:pPr>
            <w:r w:rsidRPr="002B0541">
              <w:rPr>
                <w:rFonts w:cs="Open Sans"/>
                <w:bCs/>
                <w:sz w:val="18"/>
              </w:rPr>
              <w:t>BlueScope Steel</w:t>
            </w:r>
          </w:p>
        </w:tc>
        <w:tc>
          <w:tcPr>
            <w:tcW w:w="2126" w:type="dxa"/>
            <w:tcBorders>
              <w:top w:val="nil"/>
              <w:bottom w:val="nil"/>
            </w:tcBorders>
            <w:shd w:val="clear" w:color="000000" w:fill="auto"/>
          </w:tcPr>
          <w:p w14:paraId="4CB8445A" w14:textId="77777777" w:rsidR="00DF47E9" w:rsidRPr="002B0541" w:rsidRDefault="00DF47E9" w:rsidP="002B0541">
            <w:pPr>
              <w:pStyle w:val="BodyText"/>
              <w:spacing w:before="45" w:after="45"/>
              <w:ind w:left="57" w:right="108"/>
              <w:jc w:val="right"/>
              <w:rPr>
                <w:rFonts w:cs="Open Sans"/>
                <w:color w:val="000000"/>
                <w:sz w:val="18"/>
              </w:rPr>
            </w:pPr>
            <w:r w:rsidRPr="002B0541">
              <w:rPr>
                <w:rFonts w:cs="Open Sans"/>
                <w:color w:val="000000"/>
                <w:sz w:val="18"/>
              </w:rPr>
              <w:t>48</w:t>
            </w:r>
          </w:p>
        </w:tc>
      </w:tr>
      <w:tr w:rsidR="00DF47E9" w:rsidRPr="002B0541" w14:paraId="0DE41A45" w14:textId="77777777" w:rsidTr="002B0541">
        <w:trPr>
          <w:trHeight w:val="20"/>
        </w:trPr>
        <w:tc>
          <w:tcPr>
            <w:tcW w:w="7513" w:type="dxa"/>
            <w:tcBorders>
              <w:bottom w:val="nil"/>
            </w:tcBorders>
            <w:shd w:val="clear" w:color="000000" w:fill="E6E6E6"/>
          </w:tcPr>
          <w:p w14:paraId="5DAE8E95" w14:textId="20470759" w:rsidR="00DF47E9" w:rsidRPr="002B0541" w:rsidRDefault="00DF47E9" w:rsidP="002B0541">
            <w:pPr>
              <w:pStyle w:val="BodyText"/>
              <w:spacing w:before="45" w:after="45"/>
              <w:ind w:left="57" w:right="108"/>
              <w:rPr>
                <w:rFonts w:cs="Open Sans"/>
                <w:bCs/>
                <w:sz w:val="18"/>
              </w:rPr>
            </w:pPr>
            <w:proofErr w:type="spellStart"/>
            <w:r w:rsidRPr="002B0541">
              <w:rPr>
                <w:rFonts w:cs="Open Sans"/>
                <w:bCs/>
                <w:sz w:val="18"/>
              </w:rPr>
              <w:t>Brezac</w:t>
            </w:r>
            <w:proofErr w:type="spellEnd"/>
            <w:r w:rsidRPr="002B0541">
              <w:rPr>
                <w:rFonts w:cs="Open Sans"/>
                <w:bCs/>
                <w:sz w:val="18"/>
              </w:rPr>
              <w:t xml:space="preserve"> Constructions</w:t>
            </w:r>
          </w:p>
        </w:tc>
        <w:tc>
          <w:tcPr>
            <w:tcW w:w="2126" w:type="dxa"/>
            <w:tcBorders>
              <w:bottom w:val="nil"/>
            </w:tcBorders>
            <w:shd w:val="clear" w:color="000000" w:fill="E6E6E6"/>
          </w:tcPr>
          <w:p w14:paraId="0CA0BFA0" w14:textId="77777777" w:rsidR="00DF47E9" w:rsidRPr="002B0541" w:rsidRDefault="00DF47E9" w:rsidP="002B0541">
            <w:pPr>
              <w:pStyle w:val="BodyText"/>
              <w:spacing w:before="45" w:after="45"/>
              <w:ind w:left="57" w:right="108"/>
              <w:jc w:val="right"/>
              <w:rPr>
                <w:rFonts w:cs="Open Sans"/>
                <w:color w:val="000000"/>
                <w:sz w:val="18"/>
              </w:rPr>
            </w:pPr>
            <w:r w:rsidRPr="002B0541">
              <w:rPr>
                <w:rFonts w:cs="Open Sans"/>
                <w:color w:val="000000"/>
                <w:sz w:val="18"/>
              </w:rPr>
              <w:t>38</w:t>
            </w:r>
          </w:p>
        </w:tc>
      </w:tr>
      <w:tr w:rsidR="00DF47E9" w:rsidRPr="002B0541" w14:paraId="58FC48C4" w14:textId="77777777" w:rsidTr="002B0541">
        <w:trPr>
          <w:trHeight w:val="20"/>
        </w:trPr>
        <w:tc>
          <w:tcPr>
            <w:tcW w:w="7513" w:type="dxa"/>
            <w:tcBorders>
              <w:top w:val="nil"/>
              <w:bottom w:val="nil"/>
            </w:tcBorders>
            <w:shd w:val="clear" w:color="000000" w:fill="auto"/>
          </w:tcPr>
          <w:p w14:paraId="02D084F0" w14:textId="6B5E79AF" w:rsidR="00DF47E9" w:rsidRPr="002B0541" w:rsidRDefault="00DF47E9" w:rsidP="002B0541">
            <w:pPr>
              <w:pStyle w:val="BodyText"/>
              <w:spacing w:before="45" w:after="45"/>
              <w:ind w:left="57" w:right="108"/>
              <w:rPr>
                <w:rFonts w:cs="Open Sans"/>
                <w:bCs/>
                <w:sz w:val="18"/>
              </w:rPr>
            </w:pPr>
            <w:r w:rsidRPr="002B0541">
              <w:rPr>
                <w:rFonts w:cs="Open Sans"/>
                <w:bCs/>
                <w:sz w:val="18"/>
              </w:rPr>
              <w:t>Buttler Engineering</w:t>
            </w:r>
          </w:p>
        </w:tc>
        <w:tc>
          <w:tcPr>
            <w:tcW w:w="2126" w:type="dxa"/>
            <w:tcBorders>
              <w:top w:val="nil"/>
              <w:bottom w:val="nil"/>
            </w:tcBorders>
            <w:shd w:val="clear" w:color="000000" w:fill="auto"/>
          </w:tcPr>
          <w:p w14:paraId="1488A3B0" w14:textId="77777777" w:rsidR="00DF47E9" w:rsidRPr="002B0541" w:rsidRDefault="00DF47E9" w:rsidP="002B0541">
            <w:pPr>
              <w:pStyle w:val="BodyText"/>
              <w:spacing w:before="45" w:after="45"/>
              <w:ind w:left="57" w:right="108"/>
              <w:jc w:val="right"/>
              <w:rPr>
                <w:rFonts w:cs="Open Sans"/>
                <w:color w:val="000000"/>
                <w:sz w:val="18"/>
              </w:rPr>
            </w:pPr>
            <w:r w:rsidRPr="002B0541">
              <w:rPr>
                <w:rFonts w:cs="Open Sans"/>
                <w:color w:val="000000"/>
                <w:sz w:val="18"/>
              </w:rPr>
              <w:t>19</w:t>
            </w:r>
          </w:p>
        </w:tc>
      </w:tr>
      <w:tr w:rsidR="00DF47E9" w:rsidRPr="002B0541" w14:paraId="707D97A4" w14:textId="77777777" w:rsidTr="002B0541">
        <w:trPr>
          <w:trHeight w:val="20"/>
        </w:trPr>
        <w:tc>
          <w:tcPr>
            <w:tcW w:w="7513" w:type="dxa"/>
            <w:tcBorders>
              <w:bottom w:val="nil"/>
            </w:tcBorders>
            <w:shd w:val="clear" w:color="000000" w:fill="E6E6E6"/>
          </w:tcPr>
          <w:p w14:paraId="61807007" w14:textId="59C4BB9E" w:rsidR="00DF47E9" w:rsidRPr="002B0541" w:rsidRDefault="00DF47E9" w:rsidP="002B0541">
            <w:pPr>
              <w:pStyle w:val="BodyText"/>
              <w:spacing w:before="45" w:after="45"/>
              <w:ind w:left="57" w:right="108"/>
              <w:rPr>
                <w:rFonts w:cs="Open Sans"/>
                <w:bCs/>
                <w:sz w:val="18"/>
              </w:rPr>
            </w:pPr>
            <w:proofErr w:type="spellStart"/>
            <w:r w:rsidRPr="002B0541">
              <w:rPr>
                <w:rFonts w:cs="Open Sans"/>
                <w:bCs/>
                <w:sz w:val="18"/>
              </w:rPr>
              <w:t>Caneland</w:t>
            </w:r>
            <w:proofErr w:type="spellEnd"/>
            <w:r w:rsidRPr="002B0541">
              <w:rPr>
                <w:rFonts w:cs="Open Sans"/>
                <w:bCs/>
                <w:sz w:val="18"/>
              </w:rPr>
              <w:t xml:space="preserve"> Engineering Pty Ltd</w:t>
            </w:r>
          </w:p>
        </w:tc>
        <w:tc>
          <w:tcPr>
            <w:tcW w:w="2126" w:type="dxa"/>
            <w:tcBorders>
              <w:bottom w:val="nil"/>
            </w:tcBorders>
            <w:shd w:val="clear" w:color="000000" w:fill="E6E6E6"/>
          </w:tcPr>
          <w:p w14:paraId="17569ACE" w14:textId="77777777" w:rsidR="00DF47E9" w:rsidRPr="002B0541" w:rsidRDefault="00DF47E9" w:rsidP="002B0541">
            <w:pPr>
              <w:pStyle w:val="BodyText"/>
              <w:spacing w:before="45" w:after="45"/>
              <w:ind w:left="57" w:right="108"/>
              <w:jc w:val="right"/>
              <w:rPr>
                <w:rFonts w:cs="Open Sans"/>
                <w:color w:val="000000"/>
                <w:sz w:val="18"/>
              </w:rPr>
            </w:pPr>
            <w:r w:rsidRPr="002B0541">
              <w:rPr>
                <w:rFonts w:cs="Open Sans"/>
                <w:color w:val="000000"/>
                <w:sz w:val="18"/>
              </w:rPr>
              <w:t>8</w:t>
            </w:r>
          </w:p>
        </w:tc>
      </w:tr>
      <w:tr w:rsidR="00DF47E9" w:rsidRPr="002B0541" w14:paraId="38D8257A" w14:textId="77777777" w:rsidTr="002B0541">
        <w:trPr>
          <w:trHeight w:val="20"/>
        </w:trPr>
        <w:tc>
          <w:tcPr>
            <w:tcW w:w="7513" w:type="dxa"/>
            <w:tcBorders>
              <w:top w:val="nil"/>
              <w:bottom w:val="nil"/>
            </w:tcBorders>
            <w:shd w:val="clear" w:color="000000" w:fill="auto"/>
          </w:tcPr>
          <w:p w14:paraId="1D2F615F" w14:textId="032FBF26" w:rsidR="00DF47E9" w:rsidRPr="002B0541" w:rsidRDefault="00DF47E9" w:rsidP="002B0541">
            <w:pPr>
              <w:pStyle w:val="BodyText"/>
              <w:spacing w:before="45" w:after="45"/>
              <w:ind w:left="57" w:right="108"/>
              <w:rPr>
                <w:rFonts w:cs="Open Sans"/>
                <w:bCs/>
                <w:sz w:val="18"/>
              </w:rPr>
            </w:pPr>
            <w:r w:rsidRPr="002B0541">
              <w:rPr>
                <w:rFonts w:cs="Open Sans"/>
                <w:bCs/>
                <w:sz w:val="18"/>
              </w:rPr>
              <w:t>CASA Engineering</w:t>
            </w:r>
          </w:p>
        </w:tc>
        <w:tc>
          <w:tcPr>
            <w:tcW w:w="2126" w:type="dxa"/>
            <w:tcBorders>
              <w:top w:val="nil"/>
              <w:bottom w:val="nil"/>
            </w:tcBorders>
            <w:shd w:val="clear" w:color="000000" w:fill="auto"/>
          </w:tcPr>
          <w:p w14:paraId="3DB7377A" w14:textId="77777777" w:rsidR="00DF47E9" w:rsidRPr="002B0541" w:rsidRDefault="00DF47E9" w:rsidP="002B0541">
            <w:pPr>
              <w:pStyle w:val="BodyText"/>
              <w:spacing w:before="45" w:after="45"/>
              <w:ind w:left="57" w:right="108"/>
              <w:jc w:val="right"/>
              <w:rPr>
                <w:rFonts w:cs="Open Sans"/>
                <w:color w:val="000000"/>
                <w:sz w:val="18"/>
              </w:rPr>
            </w:pPr>
            <w:r w:rsidRPr="002B0541">
              <w:rPr>
                <w:rFonts w:cs="Open Sans"/>
                <w:color w:val="000000"/>
                <w:sz w:val="18"/>
              </w:rPr>
              <w:t>14</w:t>
            </w:r>
          </w:p>
        </w:tc>
      </w:tr>
      <w:tr w:rsidR="00DF47E9" w:rsidRPr="002B0541" w14:paraId="2C0F9BE9" w14:textId="77777777" w:rsidTr="002B0541">
        <w:trPr>
          <w:trHeight w:val="20"/>
        </w:trPr>
        <w:tc>
          <w:tcPr>
            <w:tcW w:w="7513" w:type="dxa"/>
            <w:tcBorders>
              <w:bottom w:val="nil"/>
            </w:tcBorders>
            <w:shd w:val="clear" w:color="000000" w:fill="E6E6E6"/>
          </w:tcPr>
          <w:p w14:paraId="57229136" w14:textId="054175A4" w:rsidR="00DF47E9" w:rsidRPr="002B0541" w:rsidRDefault="00DF47E9" w:rsidP="002B0541">
            <w:pPr>
              <w:pStyle w:val="BodyText"/>
              <w:spacing w:before="45" w:after="45"/>
              <w:ind w:left="57" w:right="108"/>
              <w:rPr>
                <w:rFonts w:cs="Open Sans"/>
                <w:bCs/>
                <w:sz w:val="18"/>
              </w:rPr>
            </w:pPr>
            <w:r w:rsidRPr="002B0541">
              <w:rPr>
                <w:rFonts w:cs="Open Sans"/>
                <w:bCs/>
                <w:sz w:val="18"/>
              </w:rPr>
              <w:t>China Chamber of Commerce of Metals, Minerals and Chemicals Importers and</w:t>
            </w:r>
            <w:r w:rsidRPr="002B0541">
              <w:rPr>
                <w:rFonts w:cs="Open Sans"/>
                <w:bCs/>
                <w:sz w:val="18"/>
              </w:rPr>
              <w:br/>
              <w:t>Exporters (CCCMC)</w:t>
            </w:r>
          </w:p>
        </w:tc>
        <w:tc>
          <w:tcPr>
            <w:tcW w:w="2126" w:type="dxa"/>
            <w:tcBorders>
              <w:bottom w:val="nil"/>
            </w:tcBorders>
            <w:shd w:val="clear" w:color="000000" w:fill="E6E6E6"/>
          </w:tcPr>
          <w:p w14:paraId="6429A0ED" w14:textId="77777777" w:rsidR="00DF47E9" w:rsidRPr="002B0541" w:rsidRDefault="00DF47E9" w:rsidP="002B0541">
            <w:pPr>
              <w:pStyle w:val="BodyText"/>
              <w:spacing w:before="45" w:after="45"/>
              <w:ind w:left="57" w:right="108"/>
              <w:jc w:val="right"/>
              <w:rPr>
                <w:rFonts w:cs="Open Sans"/>
                <w:color w:val="000000"/>
                <w:sz w:val="18"/>
              </w:rPr>
            </w:pPr>
            <w:r w:rsidRPr="002B0541">
              <w:rPr>
                <w:rFonts w:cs="Open Sans"/>
                <w:color w:val="000000"/>
                <w:sz w:val="18"/>
              </w:rPr>
              <w:t>55</w:t>
            </w:r>
          </w:p>
        </w:tc>
      </w:tr>
      <w:tr w:rsidR="00DF47E9" w:rsidRPr="002B0541" w14:paraId="00EB8279" w14:textId="77777777" w:rsidTr="002B0541">
        <w:trPr>
          <w:trHeight w:val="20"/>
        </w:trPr>
        <w:tc>
          <w:tcPr>
            <w:tcW w:w="7513" w:type="dxa"/>
            <w:tcBorders>
              <w:top w:val="nil"/>
              <w:bottom w:val="nil"/>
            </w:tcBorders>
            <w:shd w:val="clear" w:color="000000" w:fill="auto"/>
          </w:tcPr>
          <w:p w14:paraId="6DDCFE20" w14:textId="3B4AB699" w:rsidR="00DF47E9" w:rsidRPr="002B0541" w:rsidRDefault="00DF47E9" w:rsidP="002B0541">
            <w:pPr>
              <w:pStyle w:val="BodyText"/>
              <w:spacing w:before="45" w:after="45"/>
              <w:ind w:left="57" w:right="108"/>
              <w:rPr>
                <w:rFonts w:cs="Open Sans"/>
                <w:bCs/>
                <w:sz w:val="18"/>
              </w:rPr>
            </w:pPr>
            <w:r w:rsidRPr="002B0541">
              <w:rPr>
                <w:rFonts w:cs="Open Sans"/>
                <w:bCs/>
                <w:sz w:val="18"/>
              </w:rPr>
              <w:t>CS Traders</w:t>
            </w:r>
          </w:p>
        </w:tc>
        <w:tc>
          <w:tcPr>
            <w:tcW w:w="2126" w:type="dxa"/>
            <w:tcBorders>
              <w:top w:val="nil"/>
              <w:bottom w:val="nil"/>
            </w:tcBorders>
            <w:shd w:val="clear" w:color="000000" w:fill="auto"/>
          </w:tcPr>
          <w:p w14:paraId="520E1293" w14:textId="77777777" w:rsidR="00DF47E9" w:rsidRPr="002B0541" w:rsidRDefault="00DF47E9" w:rsidP="002B0541">
            <w:pPr>
              <w:pStyle w:val="BodyText"/>
              <w:spacing w:before="45" w:after="45"/>
              <w:ind w:left="57" w:right="108"/>
              <w:jc w:val="right"/>
              <w:rPr>
                <w:rFonts w:cs="Open Sans"/>
                <w:color w:val="000000"/>
                <w:sz w:val="18"/>
              </w:rPr>
            </w:pPr>
            <w:r w:rsidRPr="002B0541">
              <w:rPr>
                <w:rFonts w:cs="Open Sans"/>
                <w:color w:val="000000"/>
                <w:sz w:val="18"/>
              </w:rPr>
              <w:t>23</w:t>
            </w:r>
          </w:p>
        </w:tc>
      </w:tr>
      <w:tr w:rsidR="00DF47E9" w:rsidRPr="002B0541" w14:paraId="1111EE23" w14:textId="77777777" w:rsidTr="002B0541">
        <w:trPr>
          <w:trHeight w:val="20"/>
        </w:trPr>
        <w:tc>
          <w:tcPr>
            <w:tcW w:w="7513" w:type="dxa"/>
            <w:tcBorders>
              <w:bottom w:val="nil"/>
            </w:tcBorders>
            <w:shd w:val="clear" w:color="000000" w:fill="E6E6E6"/>
          </w:tcPr>
          <w:p w14:paraId="65F9131A" w14:textId="3C4BD0E4" w:rsidR="00DF47E9" w:rsidRPr="002B0541" w:rsidRDefault="00DF47E9" w:rsidP="002B0541">
            <w:pPr>
              <w:pStyle w:val="BodyText"/>
              <w:spacing w:before="45" w:after="45"/>
              <w:ind w:left="57" w:right="108"/>
              <w:rPr>
                <w:rFonts w:cs="Open Sans"/>
                <w:bCs/>
                <w:sz w:val="18"/>
              </w:rPr>
            </w:pPr>
            <w:r w:rsidRPr="002B0541">
              <w:rPr>
                <w:rFonts w:cs="Open Sans"/>
                <w:bCs/>
                <w:sz w:val="18"/>
              </w:rPr>
              <w:t>CSF Industries Pty Ltd</w:t>
            </w:r>
          </w:p>
        </w:tc>
        <w:tc>
          <w:tcPr>
            <w:tcW w:w="2126" w:type="dxa"/>
            <w:tcBorders>
              <w:bottom w:val="nil"/>
            </w:tcBorders>
            <w:shd w:val="clear" w:color="000000" w:fill="E6E6E6"/>
          </w:tcPr>
          <w:p w14:paraId="1F5EC0AA" w14:textId="77777777" w:rsidR="00DF47E9" w:rsidRPr="002B0541" w:rsidRDefault="00DF47E9" w:rsidP="002B0541">
            <w:pPr>
              <w:pStyle w:val="BodyText"/>
              <w:spacing w:before="45" w:after="45"/>
              <w:ind w:left="57" w:right="108"/>
              <w:jc w:val="right"/>
              <w:rPr>
                <w:rFonts w:cs="Open Sans"/>
                <w:color w:val="000000"/>
                <w:sz w:val="18"/>
              </w:rPr>
            </w:pPr>
            <w:r w:rsidRPr="002B0541">
              <w:rPr>
                <w:rFonts w:cs="Open Sans"/>
                <w:color w:val="000000"/>
                <w:sz w:val="18"/>
              </w:rPr>
              <w:t>17</w:t>
            </w:r>
          </w:p>
        </w:tc>
      </w:tr>
      <w:tr w:rsidR="00DF47E9" w:rsidRPr="002B0541" w14:paraId="2CE58048" w14:textId="77777777" w:rsidTr="002B0541">
        <w:trPr>
          <w:trHeight w:val="20"/>
        </w:trPr>
        <w:tc>
          <w:tcPr>
            <w:tcW w:w="7513" w:type="dxa"/>
            <w:tcBorders>
              <w:top w:val="nil"/>
              <w:bottom w:val="nil"/>
            </w:tcBorders>
            <w:shd w:val="clear" w:color="000000" w:fill="auto"/>
          </w:tcPr>
          <w:p w14:paraId="77E966EA" w14:textId="43999557" w:rsidR="00DF47E9" w:rsidRPr="002B0541" w:rsidRDefault="00DF47E9" w:rsidP="002B0541">
            <w:pPr>
              <w:pStyle w:val="BodyText"/>
              <w:spacing w:before="45" w:after="45"/>
              <w:ind w:left="57" w:right="108"/>
              <w:rPr>
                <w:rFonts w:cs="Open Sans"/>
                <w:bCs/>
                <w:sz w:val="18"/>
              </w:rPr>
            </w:pPr>
            <w:r w:rsidRPr="002B0541">
              <w:rPr>
                <w:rFonts w:cs="Open Sans"/>
                <w:bCs/>
                <w:sz w:val="18"/>
              </w:rPr>
              <w:t>Department of Foreign Trade, Thailand</w:t>
            </w:r>
          </w:p>
        </w:tc>
        <w:tc>
          <w:tcPr>
            <w:tcW w:w="2126" w:type="dxa"/>
            <w:tcBorders>
              <w:top w:val="nil"/>
              <w:bottom w:val="nil"/>
            </w:tcBorders>
            <w:shd w:val="clear" w:color="000000" w:fill="auto"/>
          </w:tcPr>
          <w:p w14:paraId="501E13AC" w14:textId="77777777" w:rsidR="00DF47E9" w:rsidRPr="002B0541" w:rsidRDefault="00DF47E9" w:rsidP="002B0541">
            <w:pPr>
              <w:pStyle w:val="BodyText"/>
              <w:spacing w:before="45" w:after="45"/>
              <w:ind w:left="57" w:right="108"/>
              <w:jc w:val="right"/>
              <w:rPr>
                <w:rFonts w:cs="Open Sans"/>
                <w:color w:val="000000"/>
                <w:sz w:val="18"/>
              </w:rPr>
            </w:pPr>
            <w:r w:rsidRPr="002B0541">
              <w:rPr>
                <w:rFonts w:cs="Open Sans"/>
                <w:color w:val="000000"/>
                <w:sz w:val="18"/>
              </w:rPr>
              <w:t>35</w:t>
            </w:r>
          </w:p>
        </w:tc>
      </w:tr>
      <w:tr w:rsidR="00DF47E9" w:rsidRPr="002B0541" w14:paraId="3FC5453D" w14:textId="77777777" w:rsidTr="002B0541">
        <w:trPr>
          <w:trHeight w:val="20"/>
        </w:trPr>
        <w:tc>
          <w:tcPr>
            <w:tcW w:w="7513" w:type="dxa"/>
            <w:tcBorders>
              <w:bottom w:val="nil"/>
            </w:tcBorders>
            <w:shd w:val="clear" w:color="000000" w:fill="E6E6E6"/>
          </w:tcPr>
          <w:p w14:paraId="7B7718FA" w14:textId="760314A0" w:rsidR="00DF47E9" w:rsidRPr="002B0541" w:rsidRDefault="00DF47E9" w:rsidP="002B0541">
            <w:pPr>
              <w:pStyle w:val="BodyText"/>
              <w:spacing w:before="45" w:after="45"/>
              <w:ind w:left="57" w:right="108"/>
              <w:rPr>
                <w:rFonts w:cs="Open Sans"/>
                <w:bCs/>
                <w:sz w:val="18"/>
              </w:rPr>
            </w:pPr>
            <w:r w:rsidRPr="002B0541">
              <w:rPr>
                <w:rFonts w:cs="Open Sans"/>
                <w:bCs/>
                <w:sz w:val="18"/>
              </w:rPr>
              <w:t>Dr Sophie Scamps MP</w:t>
            </w:r>
          </w:p>
        </w:tc>
        <w:tc>
          <w:tcPr>
            <w:tcW w:w="2126" w:type="dxa"/>
            <w:tcBorders>
              <w:bottom w:val="nil"/>
            </w:tcBorders>
            <w:shd w:val="clear" w:color="000000" w:fill="E6E6E6"/>
          </w:tcPr>
          <w:p w14:paraId="23063252" w14:textId="77777777" w:rsidR="00DF47E9" w:rsidRPr="002B0541" w:rsidRDefault="00DF47E9" w:rsidP="002B0541">
            <w:pPr>
              <w:pStyle w:val="BodyText"/>
              <w:spacing w:before="45" w:after="45"/>
              <w:ind w:left="57" w:right="108"/>
              <w:jc w:val="right"/>
              <w:rPr>
                <w:rFonts w:cs="Open Sans"/>
                <w:color w:val="000000"/>
                <w:sz w:val="18"/>
              </w:rPr>
            </w:pPr>
            <w:r w:rsidRPr="002B0541">
              <w:rPr>
                <w:rFonts w:cs="Open Sans"/>
                <w:color w:val="000000"/>
                <w:sz w:val="18"/>
              </w:rPr>
              <w:t>56</w:t>
            </w:r>
          </w:p>
        </w:tc>
      </w:tr>
      <w:tr w:rsidR="00DF47E9" w:rsidRPr="002B0541" w14:paraId="4FFD7109" w14:textId="77777777" w:rsidTr="002B0541">
        <w:trPr>
          <w:trHeight w:val="20"/>
        </w:trPr>
        <w:tc>
          <w:tcPr>
            <w:tcW w:w="7513" w:type="dxa"/>
            <w:tcBorders>
              <w:top w:val="nil"/>
              <w:bottom w:val="nil"/>
            </w:tcBorders>
            <w:shd w:val="clear" w:color="000000" w:fill="auto"/>
          </w:tcPr>
          <w:p w14:paraId="0DFDF9A6" w14:textId="6F3B3F26" w:rsidR="00DF47E9" w:rsidRPr="002B0541" w:rsidRDefault="00DF47E9" w:rsidP="002B0541">
            <w:pPr>
              <w:pStyle w:val="BodyText"/>
              <w:spacing w:before="45" w:after="45"/>
              <w:ind w:left="57" w:right="108"/>
              <w:rPr>
                <w:rFonts w:cs="Open Sans"/>
                <w:bCs/>
                <w:sz w:val="18"/>
              </w:rPr>
            </w:pPr>
            <w:r w:rsidRPr="002B0541">
              <w:rPr>
                <w:rFonts w:cs="Open Sans"/>
                <w:bCs/>
                <w:sz w:val="18"/>
              </w:rPr>
              <w:t>EDCON Steel</w:t>
            </w:r>
          </w:p>
        </w:tc>
        <w:tc>
          <w:tcPr>
            <w:tcW w:w="2126" w:type="dxa"/>
            <w:tcBorders>
              <w:top w:val="nil"/>
              <w:bottom w:val="nil"/>
            </w:tcBorders>
            <w:shd w:val="clear" w:color="000000" w:fill="auto"/>
          </w:tcPr>
          <w:p w14:paraId="635F0987" w14:textId="77777777" w:rsidR="00DF47E9" w:rsidRPr="002B0541" w:rsidRDefault="00DF47E9" w:rsidP="002B0541">
            <w:pPr>
              <w:pStyle w:val="BodyText"/>
              <w:spacing w:before="45" w:after="45"/>
              <w:ind w:left="57" w:right="108"/>
              <w:jc w:val="right"/>
              <w:rPr>
                <w:rFonts w:cs="Open Sans"/>
                <w:color w:val="000000"/>
                <w:sz w:val="18"/>
              </w:rPr>
            </w:pPr>
            <w:r w:rsidRPr="002B0541">
              <w:rPr>
                <w:rFonts w:cs="Open Sans"/>
                <w:color w:val="000000"/>
                <w:sz w:val="18"/>
              </w:rPr>
              <w:t>22</w:t>
            </w:r>
          </w:p>
        </w:tc>
      </w:tr>
      <w:tr w:rsidR="00DF47E9" w:rsidRPr="002B0541" w14:paraId="7CBB5BAA" w14:textId="77777777" w:rsidTr="002B0541">
        <w:trPr>
          <w:trHeight w:val="20"/>
        </w:trPr>
        <w:tc>
          <w:tcPr>
            <w:tcW w:w="7513" w:type="dxa"/>
            <w:tcBorders>
              <w:bottom w:val="nil"/>
            </w:tcBorders>
            <w:shd w:val="clear" w:color="000000" w:fill="E6E6E6"/>
          </w:tcPr>
          <w:p w14:paraId="48E63CD0" w14:textId="4EF28CEA" w:rsidR="00DF47E9" w:rsidRPr="002B0541" w:rsidRDefault="00DF47E9" w:rsidP="002B0541">
            <w:pPr>
              <w:pStyle w:val="BodyText"/>
              <w:spacing w:before="45" w:after="45"/>
              <w:ind w:left="57" w:right="108"/>
              <w:rPr>
                <w:rFonts w:cs="Open Sans"/>
                <w:bCs/>
                <w:sz w:val="18"/>
              </w:rPr>
            </w:pPr>
            <w:r w:rsidRPr="002B0541">
              <w:rPr>
                <w:rFonts w:cs="Open Sans"/>
                <w:bCs/>
                <w:sz w:val="18"/>
              </w:rPr>
              <w:t>European Commission</w:t>
            </w:r>
          </w:p>
        </w:tc>
        <w:tc>
          <w:tcPr>
            <w:tcW w:w="2126" w:type="dxa"/>
            <w:tcBorders>
              <w:bottom w:val="nil"/>
            </w:tcBorders>
            <w:shd w:val="clear" w:color="000000" w:fill="E6E6E6"/>
          </w:tcPr>
          <w:p w14:paraId="43B7C989" w14:textId="77777777" w:rsidR="00DF47E9" w:rsidRPr="002B0541" w:rsidRDefault="00DF47E9" w:rsidP="002B0541">
            <w:pPr>
              <w:pStyle w:val="BodyText"/>
              <w:spacing w:before="45" w:after="45"/>
              <w:ind w:left="57" w:right="108"/>
              <w:jc w:val="right"/>
              <w:rPr>
                <w:rFonts w:cs="Open Sans"/>
                <w:color w:val="000000"/>
                <w:sz w:val="18"/>
              </w:rPr>
            </w:pPr>
            <w:r w:rsidRPr="002B0541">
              <w:rPr>
                <w:rFonts w:cs="Open Sans"/>
                <w:color w:val="000000"/>
                <w:sz w:val="18"/>
              </w:rPr>
              <w:t>12</w:t>
            </w:r>
          </w:p>
        </w:tc>
      </w:tr>
      <w:tr w:rsidR="00DF47E9" w:rsidRPr="002B0541" w14:paraId="2F0E5F0B" w14:textId="77777777" w:rsidTr="002B0541">
        <w:trPr>
          <w:trHeight w:val="20"/>
        </w:trPr>
        <w:tc>
          <w:tcPr>
            <w:tcW w:w="7513" w:type="dxa"/>
            <w:tcBorders>
              <w:top w:val="nil"/>
              <w:bottom w:val="nil"/>
            </w:tcBorders>
            <w:shd w:val="clear" w:color="000000" w:fill="auto"/>
          </w:tcPr>
          <w:p w14:paraId="3AB8933A" w14:textId="4A14CD71" w:rsidR="00DF47E9" w:rsidRPr="002B0541" w:rsidRDefault="00DF47E9" w:rsidP="002B0541">
            <w:pPr>
              <w:pStyle w:val="BodyText"/>
              <w:spacing w:before="45" w:after="45"/>
              <w:ind w:left="57" w:right="108"/>
              <w:rPr>
                <w:rFonts w:cs="Open Sans"/>
                <w:bCs/>
                <w:sz w:val="18"/>
              </w:rPr>
            </w:pPr>
            <w:r w:rsidRPr="002B0541">
              <w:rPr>
                <w:rFonts w:cs="Open Sans"/>
                <w:bCs/>
                <w:sz w:val="18"/>
              </w:rPr>
              <w:t>First Line Engineering</w:t>
            </w:r>
          </w:p>
        </w:tc>
        <w:tc>
          <w:tcPr>
            <w:tcW w:w="2126" w:type="dxa"/>
            <w:tcBorders>
              <w:top w:val="nil"/>
              <w:bottom w:val="nil"/>
            </w:tcBorders>
            <w:shd w:val="clear" w:color="000000" w:fill="auto"/>
          </w:tcPr>
          <w:p w14:paraId="55F4E552" w14:textId="77777777" w:rsidR="00DF47E9" w:rsidRPr="002B0541" w:rsidRDefault="00DF47E9" w:rsidP="002B0541">
            <w:pPr>
              <w:pStyle w:val="BodyText"/>
              <w:spacing w:before="45" w:after="45"/>
              <w:ind w:left="57" w:right="108"/>
              <w:jc w:val="right"/>
              <w:rPr>
                <w:rFonts w:cs="Open Sans"/>
                <w:color w:val="000000"/>
                <w:sz w:val="18"/>
              </w:rPr>
            </w:pPr>
            <w:r w:rsidRPr="002B0541">
              <w:rPr>
                <w:rFonts w:cs="Open Sans"/>
                <w:color w:val="000000"/>
                <w:sz w:val="18"/>
              </w:rPr>
              <w:t>34</w:t>
            </w:r>
          </w:p>
        </w:tc>
      </w:tr>
      <w:tr w:rsidR="00DF47E9" w:rsidRPr="002B0541" w14:paraId="7D3DB1EC" w14:textId="77777777" w:rsidTr="002B0541">
        <w:trPr>
          <w:trHeight w:val="20"/>
        </w:trPr>
        <w:tc>
          <w:tcPr>
            <w:tcW w:w="7513" w:type="dxa"/>
            <w:tcBorders>
              <w:bottom w:val="nil"/>
            </w:tcBorders>
            <w:shd w:val="clear" w:color="000000" w:fill="E6E6E6"/>
          </w:tcPr>
          <w:p w14:paraId="29BADE0D" w14:textId="1B1A3920" w:rsidR="00DF47E9" w:rsidRPr="002B0541" w:rsidRDefault="00DF47E9" w:rsidP="002B0541">
            <w:pPr>
              <w:pStyle w:val="BodyText"/>
              <w:spacing w:before="45" w:after="45"/>
              <w:ind w:left="57" w:right="108"/>
              <w:rPr>
                <w:rFonts w:cs="Open Sans"/>
                <w:bCs/>
                <w:sz w:val="18"/>
              </w:rPr>
            </w:pPr>
            <w:proofErr w:type="spellStart"/>
            <w:r w:rsidRPr="002B0541">
              <w:rPr>
                <w:rFonts w:cs="Open Sans"/>
                <w:bCs/>
                <w:sz w:val="18"/>
              </w:rPr>
              <w:t>Galintel</w:t>
            </w:r>
            <w:proofErr w:type="spellEnd"/>
            <w:r w:rsidRPr="002B0541">
              <w:rPr>
                <w:rFonts w:cs="Open Sans"/>
                <w:bCs/>
                <w:sz w:val="18"/>
              </w:rPr>
              <w:t xml:space="preserve"> Pty Ltd </w:t>
            </w:r>
          </w:p>
        </w:tc>
        <w:tc>
          <w:tcPr>
            <w:tcW w:w="2126" w:type="dxa"/>
            <w:tcBorders>
              <w:bottom w:val="nil"/>
            </w:tcBorders>
            <w:shd w:val="clear" w:color="000000" w:fill="E6E6E6"/>
          </w:tcPr>
          <w:p w14:paraId="00E57171" w14:textId="77777777" w:rsidR="00DF47E9" w:rsidRPr="002B0541" w:rsidRDefault="00DF47E9" w:rsidP="002B0541">
            <w:pPr>
              <w:pStyle w:val="BodyText"/>
              <w:spacing w:before="45" w:after="45"/>
              <w:ind w:left="57" w:right="108"/>
              <w:jc w:val="right"/>
              <w:rPr>
                <w:rFonts w:cs="Open Sans"/>
                <w:color w:val="000000"/>
                <w:sz w:val="18"/>
              </w:rPr>
            </w:pPr>
            <w:r w:rsidRPr="002B0541">
              <w:rPr>
                <w:rFonts w:cs="Open Sans"/>
                <w:color w:val="000000"/>
                <w:sz w:val="18"/>
              </w:rPr>
              <w:t>33</w:t>
            </w:r>
          </w:p>
        </w:tc>
      </w:tr>
      <w:tr w:rsidR="00DF47E9" w:rsidRPr="002B0541" w14:paraId="650CD3CF" w14:textId="77777777" w:rsidTr="002B0541">
        <w:trPr>
          <w:trHeight w:val="20"/>
        </w:trPr>
        <w:tc>
          <w:tcPr>
            <w:tcW w:w="7513" w:type="dxa"/>
            <w:tcBorders>
              <w:top w:val="nil"/>
              <w:bottom w:val="nil"/>
            </w:tcBorders>
            <w:shd w:val="clear" w:color="000000" w:fill="auto"/>
          </w:tcPr>
          <w:p w14:paraId="42DF9B94" w14:textId="580E48A1" w:rsidR="00DF47E9" w:rsidRPr="002B0541" w:rsidRDefault="00DF47E9" w:rsidP="002B0541">
            <w:pPr>
              <w:pStyle w:val="BodyText"/>
              <w:spacing w:before="45" w:after="45"/>
              <w:ind w:left="57" w:right="108"/>
              <w:rPr>
                <w:rFonts w:cs="Open Sans"/>
                <w:bCs/>
                <w:sz w:val="18"/>
              </w:rPr>
            </w:pPr>
            <w:r w:rsidRPr="002B0541">
              <w:rPr>
                <w:rFonts w:cs="Open Sans"/>
                <w:bCs/>
                <w:sz w:val="18"/>
              </w:rPr>
              <w:t>Gonzalez Steel Pty Ltd</w:t>
            </w:r>
          </w:p>
        </w:tc>
        <w:tc>
          <w:tcPr>
            <w:tcW w:w="2126" w:type="dxa"/>
            <w:tcBorders>
              <w:top w:val="nil"/>
              <w:bottom w:val="nil"/>
            </w:tcBorders>
            <w:shd w:val="clear" w:color="000000" w:fill="auto"/>
          </w:tcPr>
          <w:p w14:paraId="176050EA" w14:textId="77777777" w:rsidR="00DF47E9" w:rsidRPr="002B0541" w:rsidRDefault="00DF47E9" w:rsidP="002B0541">
            <w:pPr>
              <w:pStyle w:val="BodyText"/>
              <w:spacing w:before="45" w:after="45"/>
              <w:ind w:left="57" w:right="108"/>
              <w:jc w:val="right"/>
              <w:rPr>
                <w:rFonts w:cs="Open Sans"/>
                <w:color w:val="000000"/>
                <w:sz w:val="18"/>
              </w:rPr>
            </w:pPr>
            <w:r w:rsidRPr="002B0541">
              <w:rPr>
                <w:rFonts w:cs="Open Sans"/>
                <w:color w:val="000000"/>
                <w:sz w:val="18"/>
              </w:rPr>
              <w:t>43</w:t>
            </w:r>
          </w:p>
        </w:tc>
      </w:tr>
      <w:tr w:rsidR="00DF47E9" w:rsidRPr="002B0541" w14:paraId="29F37033" w14:textId="77777777" w:rsidTr="002B0541">
        <w:trPr>
          <w:trHeight w:val="20"/>
        </w:trPr>
        <w:tc>
          <w:tcPr>
            <w:tcW w:w="7513" w:type="dxa"/>
            <w:tcBorders>
              <w:bottom w:val="nil"/>
            </w:tcBorders>
            <w:shd w:val="clear" w:color="000000" w:fill="E6E6E6"/>
          </w:tcPr>
          <w:p w14:paraId="38268BE2" w14:textId="370537AF" w:rsidR="00DF47E9" w:rsidRPr="002B0541" w:rsidRDefault="00DF47E9" w:rsidP="002B0541">
            <w:pPr>
              <w:pStyle w:val="BodyText"/>
              <w:spacing w:before="45" w:after="45"/>
              <w:ind w:left="57" w:right="108"/>
              <w:rPr>
                <w:rFonts w:cs="Open Sans"/>
                <w:bCs/>
                <w:sz w:val="18"/>
              </w:rPr>
            </w:pPr>
            <w:r w:rsidRPr="002B0541">
              <w:rPr>
                <w:rFonts w:cs="Open Sans"/>
                <w:bCs/>
                <w:sz w:val="18"/>
              </w:rPr>
              <w:t>HF Hand Constructors</w:t>
            </w:r>
          </w:p>
        </w:tc>
        <w:tc>
          <w:tcPr>
            <w:tcW w:w="2126" w:type="dxa"/>
            <w:tcBorders>
              <w:bottom w:val="nil"/>
            </w:tcBorders>
            <w:shd w:val="clear" w:color="000000" w:fill="E6E6E6"/>
          </w:tcPr>
          <w:p w14:paraId="39D13538" w14:textId="77777777" w:rsidR="00DF47E9" w:rsidRPr="002B0541" w:rsidRDefault="00DF47E9" w:rsidP="002B0541">
            <w:pPr>
              <w:pStyle w:val="BodyText"/>
              <w:spacing w:before="45" w:after="45"/>
              <w:ind w:left="57" w:right="108"/>
              <w:jc w:val="right"/>
              <w:rPr>
                <w:rFonts w:cs="Open Sans"/>
                <w:color w:val="000000"/>
                <w:sz w:val="18"/>
              </w:rPr>
            </w:pPr>
            <w:r w:rsidRPr="002B0541">
              <w:rPr>
                <w:rFonts w:cs="Open Sans"/>
                <w:color w:val="000000"/>
                <w:sz w:val="18"/>
              </w:rPr>
              <w:t>25</w:t>
            </w:r>
          </w:p>
        </w:tc>
      </w:tr>
      <w:tr w:rsidR="00DF47E9" w:rsidRPr="002B0541" w14:paraId="5769C70A" w14:textId="77777777" w:rsidTr="002B0541">
        <w:trPr>
          <w:trHeight w:val="20"/>
        </w:trPr>
        <w:tc>
          <w:tcPr>
            <w:tcW w:w="7513" w:type="dxa"/>
            <w:tcBorders>
              <w:top w:val="nil"/>
              <w:bottom w:val="nil"/>
            </w:tcBorders>
            <w:shd w:val="clear" w:color="000000" w:fill="auto"/>
          </w:tcPr>
          <w:p w14:paraId="7B24199C" w14:textId="5E35FD54" w:rsidR="00DF47E9" w:rsidRPr="002B0541" w:rsidRDefault="00DF47E9" w:rsidP="002B0541">
            <w:pPr>
              <w:pStyle w:val="BodyText"/>
              <w:spacing w:before="45" w:after="45"/>
              <w:ind w:left="57" w:right="108"/>
              <w:rPr>
                <w:rFonts w:cs="Open Sans"/>
                <w:bCs/>
                <w:sz w:val="18"/>
              </w:rPr>
            </w:pPr>
            <w:r w:rsidRPr="002B0541">
              <w:rPr>
                <w:rFonts w:cs="Open Sans"/>
                <w:bCs/>
                <w:sz w:val="18"/>
              </w:rPr>
              <w:t>HVAC Australia</w:t>
            </w:r>
            <w:r w:rsidRPr="002B0541" w:rsidDel="00E60158">
              <w:rPr>
                <w:rFonts w:cs="Open Sans"/>
                <w:bCs/>
                <w:sz w:val="18"/>
              </w:rPr>
              <w:t xml:space="preserve"> </w:t>
            </w:r>
          </w:p>
        </w:tc>
        <w:tc>
          <w:tcPr>
            <w:tcW w:w="2126" w:type="dxa"/>
            <w:tcBorders>
              <w:top w:val="nil"/>
              <w:bottom w:val="nil"/>
            </w:tcBorders>
            <w:shd w:val="clear" w:color="000000" w:fill="auto"/>
          </w:tcPr>
          <w:p w14:paraId="32F761A5" w14:textId="77777777" w:rsidR="00DF47E9" w:rsidRPr="002B0541" w:rsidRDefault="00DF47E9" w:rsidP="002B0541">
            <w:pPr>
              <w:pStyle w:val="BodyText"/>
              <w:spacing w:before="45" w:after="45"/>
              <w:ind w:left="57" w:right="108"/>
              <w:jc w:val="right"/>
              <w:rPr>
                <w:rFonts w:cs="Open Sans"/>
                <w:color w:val="000000"/>
                <w:sz w:val="18"/>
              </w:rPr>
            </w:pPr>
            <w:r w:rsidRPr="002B0541">
              <w:rPr>
                <w:rFonts w:cs="Open Sans"/>
                <w:color w:val="000000"/>
                <w:sz w:val="18"/>
              </w:rPr>
              <w:t>13</w:t>
            </w:r>
          </w:p>
        </w:tc>
      </w:tr>
      <w:tr w:rsidR="00DF47E9" w:rsidRPr="002B0541" w14:paraId="7E71D525" w14:textId="77777777" w:rsidTr="002B0541">
        <w:trPr>
          <w:trHeight w:val="20"/>
        </w:trPr>
        <w:tc>
          <w:tcPr>
            <w:tcW w:w="7513" w:type="dxa"/>
            <w:tcBorders>
              <w:bottom w:val="nil"/>
            </w:tcBorders>
            <w:shd w:val="clear" w:color="000000" w:fill="E6E6E6"/>
          </w:tcPr>
          <w:p w14:paraId="1005AB25" w14:textId="584467AA" w:rsidR="00DF47E9" w:rsidRPr="002B0541" w:rsidRDefault="00DF47E9" w:rsidP="002B0541">
            <w:pPr>
              <w:pStyle w:val="BodyText"/>
              <w:spacing w:before="45" w:after="45"/>
              <w:ind w:left="57" w:right="108"/>
              <w:rPr>
                <w:rFonts w:cs="Open Sans"/>
                <w:bCs/>
                <w:sz w:val="18"/>
              </w:rPr>
            </w:pPr>
            <w:proofErr w:type="spellStart"/>
            <w:r w:rsidRPr="002B0541">
              <w:rPr>
                <w:rFonts w:cs="Open Sans"/>
                <w:bCs/>
                <w:sz w:val="18"/>
              </w:rPr>
              <w:t>idec</w:t>
            </w:r>
            <w:proofErr w:type="spellEnd"/>
            <w:r w:rsidRPr="002B0541">
              <w:rPr>
                <w:rFonts w:cs="Open Sans"/>
                <w:bCs/>
                <w:sz w:val="18"/>
              </w:rPr>
              <w:t xml:space="preserve"> Solutions</w:t>
            </w:r>
          </w:p>
        </w:tc>
        <w:tc>
          <w:tcPr>
            <w:tcW w:w="2126" w:type="dxa"/>
            <w:tcBorders>
              <w:bottom w:val="nil"/>
            </w:tcBorders>
            <w:shd w:val="clear" w:color="000000" w:fill="E6E6E6"/>
          </w:tcPr>
          <w:p w14:paraId="44835C1E" w14:textId="77777777" w:rsidR="00DF47E9" w:rsidRPr="002B0541" w:rsidRDefault="00DF47E9" w:rsidP="002B0541">
            <w:pPr>
              <w:pStyle w:val="BodyText"/>
              <w:spacing w:before="45" w:after="45"/>
              <w:ind w:left="57" w:right="108"/>
              <w:jc w:val="right"/>
              <w:rPr>
                <w:rFonts w:cs="Open Sans"/>
                <w:color w:val="000000"/>
                <w:sz w:val="18"/>
              </w:rPr>
            </w:pPr>
            <w:r w:rsidRPr="002B0541">
              <w:rPr>
                <w:rFonts w:cs="Open Sans"/>
                <w:color w:val="000000"/>
                <w:sz w:val="18"/>
              </w:rPr>
              <w:t>21</w:t>
            </w:r>
          </w:p>
        </w:tc>
      </w:tr>
      <w:tr w:rsidR="00DF47E9" w:rsidRPr="002B0541" w14:paraId="062C37A6" w14:textId="77777777" w:rsidTr="002B0541">
        <w:trPr>
          <w:trHeight w:val="20"/>
        </w:trPr>
        <w:tc>
          <w:tcPr>
            <w:tcW w:w="7513" w:type="dxa"/>
            <w:tcBorders>
              <w:top w:val="nil"/>
              <w:bottom w:val="nil"/>
            </w:tcBorders>
            <w:shd w:val="clear" w:color="000000" w:fill="auto"/>
          </w:tcPr>
          <w:p w14:paraId="700ADC02" w14:textId="5349D107" w:rsidR="00DF47E9" w:rsidRPr="002B0541" w:rsidRDefault="00DF47E9" w:rsidP="002B0541">
            <w:pPr>
              <w:pStyle w:val="BodyText"/>
              <w:spacing w:before="45" w:after="45"/>
              <w:ind w:left="57" w:right="108"/>
              <w:rPr>
                <w:rFonts w:cs="Open Sans"/>
                <w:bCs/>
                <w:sz w:val="18"/>
              </w:rPr>
            </w:pPr>
            <w:proofErr w:type="spellStart"/>
            <w:r w:rsidRPr="002B0541">
              <w:rPr>
                <w:rFonts w:cs="Open Sans"/>
                <w:bCs/>
                <w:sz w:val="18"/>
              </w:rPr>
              <w:t>InfraBuild</w:t>
            </w:r>
            <w:proofErr w:type="spellEnd"/>
            <w:r w:rsidRPr="002B0541">
              <w:rPr>
                <w:rFonts w:cs="Open Sans"/>
                <w:bCs/>
                <w:sz w:val="18"/>
              </w:rPr>
              <w:t xml:space="preserve"> </w:t>
            </w:r>
          </w:p>
        </w:tc>
        <w:tc>
          <w:tcPr>
            <w:tcW w:w="2126" w:type="dxa"/>
            <w:tcBorders>
              <w:top w:val="nil"/>
              <w:bottom w:val="nil"/>
            </w:tcBorders>
            <w:shd w:val="clear" w:color="000000" w:fill="auto"/>
          </w:tcPr>
          <w:p w14:paraId="6BA72465" w14:textId="77777777" w:rsidR="00DF47E9" w:rsidRPr="002B0541" w:rsidRDefault="00DF47E9" w:rsidP="002B0541">
            <w:pPr>
              <w:pStyle w:val="BodyText"/>
              <w:spacing w:before="45" w:after="45"/>
              <w:ind w:left="57" w:right="108"/>
              <w:jc w:val="right"/>
              <w:rPr>
                <w:rFonts w:cs="Open Sans"/>
                <w:color w:val="000000"/>
                <w:sz w:val="18"/>
              </w:rPr>
            </w:pPr>
            <w:r w:rsidRPr="002B0541">
              <w:rPr>
                <w:rFonts w:cs="Open Sans"/>
                <w:color w:val="000000"/>
                <w:sz w:val="18"/>
              </w:rPr>
              <w:t>40, 62</w:t>
            </w:r>
          </w:p>
        </w:tc>
      </w:tr>
      <w:tr w:rsidR="00DF47E9" w:rsidRPr="002B0541" w14:paraId="09EDC1FF" w14:textId="77777777" w:rsidTr="002B0541">
        <w:trPr>
          <w:trHeight w:val="20"/>
        </w:trPr>
        <w:tc>
          <w:tcPr>
            <w:tcW w:w="7513" w:type="dxa"/>
            <w:tcBorders>
              <w:bottom w:val="nil"/>
            </w:tcBorders>
            <w:shd w:val="clear" w:color="000000" w:fill="E6E6E6"/>
          </w:tcPr>
          <w:p w14:paraId="695F7FA5" w14:textId="51E4E570" w:rsidR="00DF47E9" w:rsidRPr="002B0541" w:rsidRDefault="00DF47E9" w:rsidP="0035469E">
            <w:pPr>
              <w:pStyle w:val="BodyText"/>
              <w:spacing w:before="45" w:after="45"/>
              <w:ind w:left="57" w:right="108"/>
              <w:rPr>
                <w:rFonts w:cs="Open Sans"/>
                <w:bCs/>
                <w:sz w:val="18"/>
              </w:rPr>
            </w:pPr>
            <w:r w:rsidRPr="002B0541">
              <w:rPr>
                <w:rFonts w:cs="Open Sans"/>
                <w:bCs/>
                <w:sz w:val="18"/>
              </w:rPr>
              <w:t>Instant Steel Solutions Pty Ltd</w:t>
            </w:r>
          </w:p>
        </w:tc>
        <w:tc>
          <w:tcPr>
            <w:tcW w:w="2126" w:type="dxa"/>
            <w:tcBorders>
              <w:bottom w:val="nil"/>
            </w:tcBorders>
            <w:shd w:val="clear" w:color="000000" w:fill="E6E6E6"/>
          </w:tcPr>
          <w:p w14:paraId="0FB0BA75" w14:textId="77777777" w:rsidR="00DF47E9" w:rsidRPr="002B0541" w:rsidRDefault="00DF47E9" w:rsidP="002B0541">
            <w:pPr>
              <w:pStyle w:val="BodyText"/>
              <w:spacing w:before="45" w:after="45"/>
              <w:ind w:left="57" w:right="108"/>
              <w:jc w:val="right"/>
              <w:rPr>
                <w:rFonts w:cs="Open Sans"/>
                <w:color w:val="000000"/>
                <w:sz w:val="18"/>
              </w:rPr>
            </w:pPr>
            <w:r w:rsidRPr="002B0541">
              <w:rPr>
                <w:rFonts w:cs="Open Sans"/>
                <w:color w:val="000000"/>
                <w:sz w:val="18"/>
              </w:rPr>
              <w:t>46</w:t>
            </w:r>
          </w:p>
        </w:tc>
      </w:tr>
      <w:tr w:rsidR="00DF47E9" w:rsidRPr="002B0541" w14:paraId="4AED3910" w14:textId="77777777" w:rsidTr="002B0541">
        <w:trPr>
          <w:trHeight w:val="20"/>
        </w:trPr>
        <w:tc>
          <w:tcPr>
            <w:tcW w:w="7513" w:type="dxa"/>
            <w:tcBorders>
              <w:top w:val="nil"/>
              <w:bottom w:val="nil"/>
            </w:tcBorders>
            <w:shd w:val="clear" w:color="000000" w:fill="auto"/>
          </w:tcPr>
          <w:p w14:paraId="0137FC8D" w14:textId="48BDEFF1" w:rsidR="00DF47E9" w:rsidRPr="002B0541" w:rsidRDefault="00DF47E9" w:rsidP="002B0541">
            <w:pPr>
              <w:pStyle w:val="BodyText"/>
              <w:spacing w:before="45" w:after="45"/>
              <w:ind w:left="57" w:right="108"/>
              <w:rPr>
                <w:rFonts w:cs="Open Sans"/>
                <w:bCs/>
                <w:sz w:val="18"/>
              </w:rPr>
            </w:pPr>
            <w:r w:rsidRPr="002B0541">
              <w:rPr>
                <w:rFonts w:cs="Open Sans"/>
                <w:bCs/>
                <w:sz w:val="18"/>
              </w:rPr>
              <w:t>Kyst Engineering</w:t>
            </w:r>
          </w:p>
        </w:tc>
        <w:tc>
          <w:tcPr>
            <w:tcW w:w="2126" w:type="dxa"/>
            <w:tcBorders>
              <w:top w:val="nil"/>
              <w:bottom w:val="nil"/>
            </w:tcBorders>
            <w:shd w:val="clear" w:color="000000" w:fill="auto"/>
          </w:tcPr>
          <w:p w14:paraId="5BE06771" w14:textId="77777777" w:rsidR="00DF47E9" w:rsidRPr="002B0541" w:rsidRDefault="00DF47E9" w:rsidP="002B0541">
            <w:pPr>
              <w:pStyle w:val="BodyText"/>
              <w:spacing w:before="45" w:after="45"/>
              <w:ind w:left="57" w:right="108"/>
              <w:jc w:val="right"/>
              <w:rPr>
                <w:rFonts w:cs="Open Sans"/>
                <w:color w:val="000000"/>
                <w:sz w:val="18"/>
              </w:rPr>
            </w:pPr>
            <w:r w:rsidRPr="002B0541">
              <w:rPr>
                <w:rFonts w:cs="Open Sans"/>
                <w:color w:val="000000"/>
                <w:sz w:val="18"/>
              </w:rPr>
              <w:t>18</w:t>
            </w:r>
          </w:p>
        </w:tc>
      </w:tr>
      <w:tr w:rsidR="00DF47E9" w:rsidRPr="002B0541" w14:paraId="5DEC4650" w14:textId="77777777" w:rsidTr="002B0541">
        <w:trPr>
          <w:trHeight w:val="20"/>
        </w:trPr>
        <w:tc>
          <w:tcPr>
            <w:tcW w:w="7513" w:type="dxa"/>
            <w:tcBorders>
              <w:bottom w:val="nil"/>
            </w:tcBorders>
            <w:shd w:val="clear" w:color="000000" w:fill="E6E6E6"/>
          </w:tcPr>
          <w:p w14:paraId="09B2E60B" w14:textId="03D97353" w:rsidR="00DF47E9" w:rsidRPr="002B0541" w:rsidRDefault="00DF47E9" w:rsidP="002B0541">
            <w:pPr>
              <w:pStyle w:val="BodyText"/>
              <w:spacing w:before="45" w:after="45"/>
              <w:ind w:left="57" w:right="108"/>
              <w:rPr>
                <w:rFonts w:cs="Open Sans"/>
                <w:bCs/>
                <w:sz w:val="18"/>
              </w:rPr>
            </w:pPr>
            <w:r w:rsidRPr="002B0541">
              <w:rPr>
                <w:rFonts w:cs="Open Sans"/>
                <w:bCs/>
                <w:sz w:val="18"/>
              </w:rPr>
              <w:t>Master Builders Australia</w:t>
            </w:r>
          </w:p>
        </w:tc>
        <w:tc>
          <w:tcPr>
            <w:tcW w:w="2126" w:type="dxa"/>
            <w:tcBorders>
              <w:bottom w:val="nil"/>
            </w:tcBorders>
            <w:shd w:val="clear" w:color="000000" w:fill="E6E6E6"/>
          </w:tcPr>
          <w:p w14:paraId="2F2FF58F" w14:textId="77777777" w:rsidR="00DF47E9" w:rsidRPr="002B0541" w:rsidRDefault="00DF47E9" w:rsidP="002B0541">
            <w:pPr>
              <w:pStyle w:val="BodyText"/>
              <w:spacing w:before="45" w:after="45"/>
              <w:ind w:left="57" w:right="108"/>
              <w:jc w:val="right"/>
              <w:rPr>
                <w:rFonts w:cs="Open Sans"/>
                <w:color w:val="000000"/>
                <w:sz w:val="18"/>
              </w:rPr>
            </w:pPr>
            <w:r w:rsidRPr="002B0541">
              <w:rPr>
                <w:rFonts w:cs="Open Sans"/>
                <w:color w:val="000000"/>
                <w:sz w:val="18"/>
              </w:rPr>
              <w:t>49</w:t>
            </w:r>
          </w:p>
        </w:tc>
      </w:tr>
      <w:tr w:rsidR="00DF47E9" w:rsidRPr="002B0541" w14:paraId="4E5020DB" w14:textId="77777777" w:rsidTr="002B0541">
        <w:trPr>
          <w:trHeight w:val="20"/>
        </w:trPr>
        <w:tc>
          <w:tcPr>
            <w:tcW w:w="7513" w:type="dxa"/>
            <w:tcBorders>
              <w:top w:val="nil"/>
              <w:bottom w:val="nil"/>
            </w:tcBorders>
            <w:shd w:val="clear" w:color="000000" w:fill="auto"/>
          </w:tcPr>
          <w:p w14:paraId="4C526352" w14:textId="2915B726" w:rsidR="00DF47E9" w:rsidRPr="002B0541" w:rsidRDefault="00DF47E9" w:rsidP="002B0541">
            <w:pPr>
              <w:pStyle w:val="BodyText"/>
              <w:spacing w:before="45" w:after="45"/>
              <w:ind w:left="57" w:right="108"/>
              <w:rPr>
                <w:rFonts w:cs="Open Sans"/>
                <w:bCs/>
                <w:sz w:val="18"/>
              </w:rPr>
            </w:pPr>
            <w:r w:rsidRPr="002B0541">
              <w:rPr>
                <w:rFonts w:cs="Open Sans"/>
                <w:bCs/>
                <w:sz w:val="18"/>
              </w:rPr>
              <w:t xml:space="preserve">Ministry of Commerce of the People’s Republic of China </w:t>
            </w:r>
          </w:p>
        </w:tc>
        <w:tc>
          <w:tcPr>
            <w:tcW w:w="2126" w:type="dxa"/>
            <w:tcBorders>
              <w:top w:val="nil"/>
              <w:bottom w:val="nil"/>
            </w:tcBorders>
            <w:shd w:val="clear" w:color="000000" w:fill="auto"/>
          </w:tcPr>
          <w:p w14:paraId="0FB92F16" w14:textId="77777777" w:rsidR="00DF47E9" w:rsidRPr="002B0541" w:rsidRDefault="00DF47E9" w:rsidP="002B0541">
            <w:pPr>
              <w:pStyle w:val="BodyText"/>
              <w:spacing w:before="45" w:after="45"/>
              <w:ind w:left="57" w:right="108"/>
              <w:jc w:val="right"/>
              <w:rPr>
                <w:rFonts w:cs="Open Sans"/>
                <w:color w:val="000000"/>
                <w:sz w:val="18"/>
              </w:rPr>
            </w:pPr>
            <w:r w:rsidRPr="002B0541">
              <w:rPr>
                <w:rFonts w:cs="Open Sans"/>
                <w:color w:val="000000"/>
                <w:sz w:val="18"/>
              </w:rPr>
              <w:t>50</w:t>
            </w:r>
          </w:p>
        </w:tc>
      </w:tr>
      <w:tr w:rsidR="00DF47E9" w:rsidRPr="002B0541" w14:paraId="3E4F7EF3" w14:textId="77777777" w:rsidTr="002B0541">
        <w:trPr>
          <w:trHeight w:val="20"/>
        </w:trPr>
        <w:tc>
          <w:tcPr>
            <w:tcW w:w="7513" w:type="dxa"/>
            <w:tcBorders>
              <w:bottom w:val="nil"/>
            </w:tcBorders>
            <w:shd w:val="clear" w:color="000000" w:fill="E6E6E6"/>
          </w:tcPr>
          <w:p w14:paraId="73093E6F" w14:textId="37A193E7" w:rsidR="00DF47E9" w:rsidRPr="002B0541" w:rsidRDefault="00DF47E9" w:rsidP="002B0541">
            <w:pPr>
              <w:pStyle w:val="BodyText"/>
              <w:spacing w:before="45" w:after="45"/>
              <w:ind w:left="57" w:right="108"/>
              <w:rPr>
                <w:rFonts w:cs="Open Sans"/>
                <w:bCs/>
                <w:sz w:val="18"/>
              </w:rPr>
            </w:pPr>
            <w:r w:rsidRPr="002B0541">
              <w:rPr>
                <w:rFonts w:cs="Open Sans"/>
                <w:bCs/>
                <w:sz w:val="18"/>
              </w:rPr>
              <w:t>Ministry of Investment, Trade and Industry – Government of Malaysia</w:t>
            </w:r>
          </w:p>
        </w:tc>
        <w:tc>
          <w:tcPr>
            <w:tcW w:w="2126" w:type="dxa"/>
            <w:tcBorders>
              <w:bottom w:val="nil"/>
            </w:tcBorders>
            <w:shd w:val="clear" w:color="000000" w:fill="E6E6E6"/>
          </w:tcPr>
          <w:p w14:paraId="44AD101A" w14:textId="77777777" w:rsidR="00DF47E9" w:rsidRPr="002B0541" w:rsidRDefault="00DF47E9" w:rsidP="002B0541">
            <w:pPr>
              <w:pStyle w:val="BodyText"/>
              <w:spacing w:before="45" w:after="45"/>
              <w:ind w:left="57" w:right="108"/>
              <w:jc w:val="right"/>
              <w:rPr>
                <w:rFonts w:cs="Open Sans"/>
                <w:color w:val="000000"/>
                <w:sz w:val="18"/>
              </w:rPr>
            </w:pPr>
            <w:r w:rsidRPr="002B0541">
              <w:rPr>
                <w:rFonts w:cs="Open Sans"/>
                <w:color w:val="000000"/>
                <w:sz w:val="18"/>
              </w:rPr>
              <w:t>61</w:t>
            </w:r>
          </w:p>
        </w:tc>
      </w:tr>
      <w:tr w:rsidR="00DF47E9" w:rsidRPr="002B0541" w14:paraId="6BDAC3D2" w14:textId="77777777" w:rsidTr="002B0541">
        <w:trPr>
          <w:trHeight w:val="20"/>
        </w:trPr>
        <w:tc>
          <w:tcPr>
            <w:tcW w:w="7513" w:type="dxa"/>
            <w:tcBorders>
              <w:top w:val="nil"/>
              <w:bottom w:val="nil"/>
            </w:tcBorders>
            <w:shd w:val="clear" w:color="000000" w:fill="auto"/>
          </w:tcPr>
          <w:p w14:paraId="0AC61163" w14:textId="72672422" w:rsidR="00DF47E9" w:rsidRPr="002B0541" w:rsidRDefault="00DF47E9" w:rsidP="002B0541">
            <w:pPr>
              <w:pStyle w:val="BodyText"/>
              <w:spacing w:before="45" w:after="45"/>
              <w:ind w:left="57" w:right="108"/>
              <w:rPr>
                <w:rFonts w:cs="Open Sans"/>
                <w:bCs/>
                <w:sz w:val="18"/>
              </w:rPr>
            </w:pPr>
            <w:r w:rsidRPr="002B0541">
              <w:rPr>
                <w:rFonts w:cs="Open Sans"/>
                <w:bCs/>
                <w:sz w:val="18"/>
              </w:rPr>
              <w:lastRenderedPageBreak/>
              <w:t>Ministry of Trade of the Republic of Indonesia</w:t>
            </w:r>
          </w:p>
        </w:tc>
        <w:tc>
          <w:tcPr>
            <w:tcW w:w="2126" w:type="dxa"/>
            <w:tcBorders>
              <w:top w:val="nil"/>
              <w:bottom w:val="nil"/>
            </w:tcBorders>
            <w:shd w:val="clear" w:color="000000" w:fill="auto"/>
          </w:tcPr>
          <w:p w14:paraId="6B95C606" w14:textId="77777777" w:rsidR="00DF47E9" w:rsidRPr="002B0541" w:rsidRDefault="00DF47E9" w:rsidP="002B0541">
            <w:pPr>
              <w:pStyle w:val="BodyText"/>
              <w:spacing w:before="45" w:after="45"/>
              <w:ind w:left="57" w:right="108"/>
              <w:jc w:val="right"/>
              <w:rPr>
                <w:rFonts w:cs="Open Sans"/>
                <w:color w:val="000000"/>
                <w:sz w:val="18"/>
              </w:rPr>
            </w:pPr>
            <w:r w:rsidRPr="002B0541">
              <w:rPr>
                <w:rFonts w:cs="Open Sans"/>
                <w:color w:val="000000"/>
                <w:sz w:val="18"/>
              </w:rPr>
              <w:t>11</w:t>
            </w:r>
          </w:p>
        </w:tc>
      </w:tr>
      <w:tr w:rsidR="00DF47E9" w:rsidRPr="002B0541" w14:paraId="0FD4685C" w14:textId="77777777" w:rsidTr="002B0541">
        <w:trPr>
          <w:trHeight w:val="20"/>
        </w:trPr>
        <w:tc>
          <w:tcPr>
            <w:tcW w:w="7513" w:type="dxa"/>
            <w:tcBorders>
              <w:bottom w:val="nil"/>
            </w:tcBorders>
            <w:shd w:val="clear" w:color="000000" w:fill="E6E6E6"/>
          </w:tcPr>
          <w:p w14:paraId="42974201" w14:textId="7D8E277C" w:rsidR="00DF47E9" w:rsidRPr="002B0541" w:rsidRDefault="00DF47E9" w:rsidP="002B0541">
            <w:pPr>
              <w:pStyle w:val="BodyText"/>
              <w:spacing w:before="45" w:after="45"/>
              <w:ind w:left="57" w:right="108"/>
              <w:rPr>
                <w:rFonts w:cs="Open Sans"/>
                <w:bCs/>
                <w:sz w:val="18"/>
              </w:rPr>
            </w:pPr>
            <w:r w:rsidRPr="002B0541">
              <w:rPr>
                <w:rFonts w:cs="Open Sans"/>
                <w:bCs/>
                <w:sz w:val="18"/>
              </w:rPr>
              <w:t xml:space="preserve">Moulis Legal on behalf of </w:t>
            </w:r>
            <w:proofErr w:type="spellStart"/>
            <w:r w:rsidRPr="002B0541">
              <w:rPr>
                <w:rFonts w:cs="Open Sans"/>
                <w:bCs/>
                <w:sz w:val="18"/>
              </w:rPr>
              <w:t>Peikko</w:t>
            </w:r>
            <w:proofErr w:type="spellEnd"/>
            <w:r w:rsidRPr="002B0541">
              <w:rPr>
                <w:rFonts w:cs="Open Sans"/>
                <w:bCs/>
                <w:sz w:val="18"/>
              </w:rPr>
              <w:t xml:space="preserve"> Australia</w:t>
            </w:r>
          </w:p>
        </w:tc>
        <w:tc>
          <w:tcPr>
            <w:tcW w:w="2126" w:type="dxa"/>
            <w:tcBorders>
              <w:bottom w:val="nil"/>
            </w:tcBorders>
            <w:shd w:val="clear" w:color="000000" w:fill="E6E6E6"/>
          </w:tcPr>
          <w:p w14:paraId="3FCBFDCD" w14:textId="77777777" w:rsidR="00DF47E9" w:rsidRPr="002B0541" w:rsidRDefault="00DF47E9" w:rsidP="002B0541">
            <w:pPr>
              <w:pStyle w:val="BodyText"/>
              <w:spacing w:before="45" w:after="45"/>
              <w:ind w:left="57" w:right="108"/>
              <w:jc w:val="right"/>
              <w:rPr>
                <w:rFonts w:cs="Open Sans"/>
                <w:color w:val="000000"/>
                <w:sz w:val="18"/>
              </w:rPr>
            </w:pPr>
            <w:r w:rsidRPr="002B0541">
              <w:rPr>
                <w:rFonts w:cs="Open Sans"/>
                <w:color w:val="000000"/>
                <w:sz w:val="18"/>
              </w:rPr>
              <w:t>54</w:t>
            </w:r>
          </w:p>
        </w:tc>
      </w:tr>
      <w:tr w:rsidR="00DF47E9" w:rsidRPr="002B0541" w14:paraId="462EE0DD" w14:textId="77777777" w:rsidTr="002B0541">
        <w:trPr>
          <w:trHeight w:val="20"/>
        </w:trPr>
        <w:tc>
          <w:tcPr>
            <w:tcW w:w="7513" w:type="dxa"/>
            <w:tcBorders>
              <w:top w:val="nil"/>
              <w:bottom w:val="nil"/>
            </w:tcBorders>
            <w:shd w:val="clear" w:color="000000" w:fill="auto"/>
          </w:tcPr>
          <w:p w14:paraId="62B43E74" w14:textId="59AF76CE" w:rsidR="00DF47E9" w:rsidRPr="002B0541" w:rsidRDefault="00DF47E9" w:rsidP="002B0541">
            <w:pPr>
              <w:pStyle w:val="BodyText"/>
              <w:spacing w:before="45" w:after="45"/>
              <w:ind w:left="57" w:right="108"/>
              <w:rPr>
                <w:rFonts w:cs="Open Sans"/>
                <w:bCs/>
                <w:sz w:val="18"/>
              </w:rPr>
            </w:pPr>
            <w:r w:rsidRPr="002B0541">
              <w:rPr>
                <w:rFonts w:cs="Open Sans"/>
                <w:bCs/>
                <w:sz w:val="18"/>
              </w:rPr>
              <w:t>Name withheld</w:t>
            </w:r>
          </w:p>
        </w:tc>
        <w:tc>
          <w:tcPr>
            <w:tcW w:w="2126" w:type="dxa"/>
            <w:tcBorders>
              <w:top w:val="nil"/>
              <w:bottom w:val="nil"/>
            </w:tcBorders>
            <w:shd w:val="clear" w:color="000000" w:fill="auto"/>
          </w:tcPr>
          <w:p w14:paraId="37CCC859" w14:textId="77777777" w:rsidR="00DF47E9" w:rsidRPr="002B0541" w:rsidRDefault="00DF47E9" w:rsidP="002B0541">
            <w:pPr>
              <w:pStyle w:val="BodyText"/>
              <w:spacing w:before="45" w:after="45"/>
              <w:ind w:left="57" w:right="108"/>
              <w:jc w:val="right"/>
              <w:rPr>
                <w:rFonts w:cs="Open Sans"/>
                <w:color w:val="000000"/>
                <w:sz w:val="18"/>
              </w:rPr>
            </w:pPr>
            <w:r w:rsidRPr="002B0541">
              <w:rPr>
                <w:rFonts w:cs="Open Sans"/>
                <w:color w:val="000000"/>
                <w:sz w:val="18"/>
              </w:rPr>
              <w:t>7</w:t>
            </w:r>
          </w:p>
        </w:tc>
      </w:tr>
      <w:tr w:rsidR="00DF47E9" w:rsidRPr="002B0541" w14:paraId="08D22BFC" w14:textId="77777777" w:rsidTr="002B0541">
        <w:trPr>
          <w:trHeight w:val="20"/>
        </w:trPr>
        <w:tc>
          <w:tcPr>
            <w:tcW w:w="7513" w:type="dxa"/>
            <w:tcBorders>
              <w:bottom w:val="nil"/>
            </w:tcBorders>
            <w:shd w:val="clear" w:color="000000" w:fill="E6E6E6"/>
          </w:tcPr>
          <w:p w14:paraId="0F7552A8" w14:textId="2EB2125A" w:rsidR="00DF47E9" w:rsidRPr="002B0541" w:rsidRDefault="00DF47E9" w:rsidP="002B0541">
            <w:pPr>
              <w:pStyle w:val="BodyText"/>
              <w:spacing w:before="45" w:after="45"/>
              <w:ind w:left="57" w:right="108"/>
              <w:rPr>
                <w:rFonts w:cs="Open Sans"/>
                <w:bCs/>
                <w:sz w:val="18"/>
              </w:rPr>
            </w:pPr>
            <w:r w:rsidRPr="002B0541">
              <w:rPr>
                <w:rFonts w:cs="Open Sans"/>
                <w:bCs/>
                <w:sz w:val="18"/>
              </w:rPr>
              <w:t>Name withheld</w:t>
            </w:r>
          </w:p>
        </w:tc>
        <w:tc>
          <w:tcPr>
            <w:tcW w:w="2126" w:type="dxa"/>
            <w:tcBorders>
              <w:bottom w:val="nil"/>
            </w:tcBorders>
            <w:shd w:val="clear" w:color="000000" w:fill="E6E6E6"/>
          </w:tcPr>
          <w:p w14:paraId="22F0BEBD" w14:textId="77777777" w:rsidR="00DF47E9" w:rsidRPr="002B0541" w:rsidRDefault="00DF47E9" w:rsidP="002B0541">
            <w:pPr>
              <w:pStyle w:val="BodyText"/>
              <w:spacing w:before="45" w:after="45"/>
              <w:ind w:left="57" w:right="108"/>
              <w:jc w:val="right"/>
              <w:rPr>
                <w:rFonts w:cs="Open Sans"/>
                <w:color w:val="000000"/>
                <w:sz w:val="18"/>
              </w:rPr>
            </w:pPr>
            <w:r w:rsidRPr="002B0541">
              <w:rPr>
                <w:rFonts w:cs="Open Sans"/>
                <w:color w:val="000000"/>
                <w:sz w:val="18"/>
              </w:rPr>
              <w:t>9</w:t>
            </w:r>
          </w:p>
        </w:tc>
      </w:tr>
      <w:tr w:rsidR="00DF47E9" w:rsidRPr="002B0541" w14:paraId="3A4CF676" w14:textId="77777777" w:rsidTr="002B0541">
        <w:trPr>
          <w:trHeight w:val="20"/>
        </w:trPr>
        <w:tc>
          <w:tcPr>
            <w:tcW w:w="7513" w:type="dxa"/>
            <w:tcBorders>
              <w:top w:val="nil"/>
              <w:bottom w:val="nil"/>
            </w:tcBorders>
            <w:shd w:val="clear" w:color="000000" w:fill="auto"/>
          </w:tcPr>
          <w:p w14:paraId="01EE156D" w14:textId="55A51A5A" w:rsidR="00DF47E9" w:rsidRPr="002B0541" w:rsidRDefault="00DF47E9" w:rsidP="002B0541">
            <w:pPr>
              <w:pStyle w:val="BodyText"/>
              <w:spacing w:before="45" w:after="45"/>
              <w:ind w:left="57" w:right="108"/>
              <w:rPr>
                <w:rFonts w:cs="Open Sans"/>
                <w:bCs/>
                <w:sz w:val="18"/>
              </w:rPr>
            </w:pPr>
            <w:r w:rsidRPr="002B0541">
              <w:rPr>
                <w:rFonts w:cs="Open Sans"/>
                <w:bCs/>
                <w:sz w:val="18"/>
              </w:rPr>
              <w:t>Name withheld</w:t>
            </w:r>
          </w:p>
        </w:tc>
        <w:tc>
          <w:tcPr>
            <w:tcW w:w="2126" w:type="dxa"/>
            <w:tcBorders>
              <w:top w:val="nil"/>
              <w:bottom w:val="nil"/>
            </w:tcBorders>
            <w:shd w:val="clear" w:color="000000" w:fill="auto"/>
          </w:tcPr>
          <w:p w14:paraId="25B8B6E3" w14:textId="77777777" w:rsidR="00DF47E9" w:rsidRPr="002B0541" w:rsidRDefault="00DF47E9" w:rsidP="002B0541">
            <w:pPr>
              <w:pStyle w:val="BodyText"/>
              <w:spacing w:before="45" w:after="45"/>
              <w:ind w:left="57" w:right="108"/>
              <w:jc w:val="right"/>
              <w:rPr>
                <w:rFonts w:cs="Open Sans"/>
                <w:color w:val="000000"/>
                <w:sz w:val="18"/>
              </w:rPr>
            </w:pPr>
            <w:r w:rsidRPr="002B0541">
              <w:rPr>
                <w:rFonts w:cs="Open Sans"/>
                <w:color w:val="000000"/>
                <w:sz w:val="18"/>
              </w:rPr>
              <w:t>28</w:t>
            </w:r>
          </w:p>
        </w:tc>
      </w:tr>
      <w:tr w:rsidR="00DF47E9" w:rsidRPr="002B0541" w14:paraId="7845A5BD" w14:textId="77777777" w:rsidTr="002B0541">
        <w:trPr>
          <w:trHeight w:val="20"/>
        </w:trPr>
        <w:tc>
          <w:tcPr>
            <w:tcW w:w="7513" w:type="dxa"/>
            <w:tcBorders>
              <w:bottom w:val="nil"/>
            </w:tcBorders>
            <w:shd w:val="clear" w:color="000000" w:fill="E6E6E6"/>
          </w:tcPr>
          <w:p w14:paraId="3597EF19" w14:textId="179C19D4" w:rsidR="00DF47E9" w:rsidRPr="002B0541" w:rsidRDefault="00DF47E9" w:rsidP="002B0541">
            <w:pPr>
              <w:pStyle w:val="BodyText"/>
              <w:spacing w:before="45" w:after="45"/>
              <w:ind w:left="57" w:right="108"/>
              <w:rPr>
                <w:rFonts w:cs="Open Sans"/>
                <w:bCs/>
                <w:sz w:val="18"/>
              </w:rPr>
            </w:pPr>
            <w:r w:rsidRPr="002B0541">
              <w:rPr>
                <w:rFonts w:cs="Open Sans"/>
                <w:bCs/>
                <w:sz w:val="18"/>
              </w:rPr>
              <w:t>Name withheld</w:t>
            </w:r>
          </w:p>
        </w:tc>
        <w:tc>
          <w:tcPr>
            <w:tcW w:w="2126" w:type="dxa"/>
            <w:tcBorders>
              <w:bottom w:val="nil"/>
            </w:tcBorders>
            <w:shd w:val="clear" w:color="000000" w:fill="E6E6E6"/>
          </w:tcPr>
          <w:p w14:paraId="20BC70F2" w14:textId="77777777" w:rsidR="00DF47E9" w:rsidRPr="002B0541" w:rsidRDefault="00DF47E9" w:rsidP="002B0541">
            <w:pPr>
              <w:pStyle w:val="BodyText"/>
              <w:spacing w:before="45" w:after="45"/>
              <w:ind w:left="57" w:right="108"/>
              <w:jc w:val="right"/>
              <w:rPr>
                <w:rFonts w:cs="Open Sans"/>
                <w:color w:val="000000"/>
                <w:sz w:val="18"/>
              </w:rPr>
            </w:pPr>
            <w:r w:rsidRPr="002B0541">
              <w:rPr>
                <w:rFonts w:cs="Open Sans"/>
                <w:color w:val="000000"/>
                <w:sz w:val="18"/>
              </w:rPr>
              <w:t>31</w:t>
            </w:r>
          </w:p>
        </w:tc>
      </w:tr>
      <w:tr w:rsidR="00DF47E9" w:rsidRPr="002B0541" w14:paraId="792CBC17" w14:textId="77777777" w:rsidTr="002B0541">
        <w:trPr>
          <w:trHeight w:val="20"/>
        </w:trPr>
        <w:tc>
          <w:tcPr>
            <w:tcW w:w="7513" w:type="dxa"/>
            <w:tcBorders>
              <w:top w:val="nil"/>
              <w:bottom w:val="nil"/>
            </w:tcBorders>
            <w:shd w:val="clear" w:color="000000" w:fill="auto"/>
          </w:tcPr>
          <w:p w14:paraId="22F43BD9" w14:textId="22E272F7" w:rsidR="00DF47E9" w:rsidRPr="002B0541" w:rsidRDefault="00DF47E9" w:rsidP="002B0541">
            <w:pPr>
              <w:pStyle w:val="BodyText"/>
              <w:spacing w:before="45" w:after="45"/>
              <w:ind w:left="57" w:right="108"/>
              <w:rPr>
                <w:rFonts w:cs="Open Sans"/>
                <w:bCs/>
                <w:sz w:val="18"/>
              </w:rPr>
            </w:pPr>
            <w:r w:rsidRPr="002B0541">
              <w:rPr>
                <w:rFonts w:cs="Open Sans"/>
                <w:bCs/>
                <w:sz w:val="18"/>
              </w:rPr>
              <w:t>Name withheld</w:t>
            </w:r>
          </w:p>
        </w:tc>
        <w:tc>
          <w:tcPr>
            <w:tcW w:w="2126" w:type="dxa"/>
            <w:tcBorders>
              <w:top w:val="nil"/>
              <w:bottom w:val="nil"/>
            </w:tcBorders>
            <w:shd w:val="clear" w:color="000000" w:fill="auto"/>
          </w:tcPr>
          <w:p w14:paraId="0EA8B4CC" w14:textId="77777777" w:rsidR="00DF47E9" w:rsidRPr="002B0541" w:rsidRDefault="00DF47E9" w:rsidP="002B0541">
            <w:pPr>
              <w:pStyle w:val="BodyText"/>
              <w:spacing w:before="45" w:after="45"/>
              <w:ind w:left="57" w:right="108"/>
              <w:jc w:val="right"/>
              <w:rPr>
                <w:rFonts w:cs="Open Sans"/>
                <w:color w:val="000000"/>
                <w:sz w:val="18"/>
              </w:rPr>
            </w:pPr>
            <w:r w:rsidRPr="002B0541">
              <w:rPr>
                <w:rFonts w:cs="Open Sans"/>
                <w:color w:val="000000"/>
                <w:sz w:val="18"/>
              </w:rPr>
              <w:t>39</w:t>
            </w:r>
          </w:p>
        </w:tc>
      </w:tr>
      <w:tr w:rsidR="00DF47E9" w:rsidRPr="002B0541" w14:paraId="15CFFD7D" w14:textId="77777777" w:rsidTr="002B0541">
        <w:trPr>
          <w:trHeight w:val="20"/>
        </w:trPr>
        <w:tc>
          <w:tcPr>
            <w:tcW w:w="7513" w:type="dxa"/>
            <w:tcBorders>
              <w:bottom w:val="nil"/>
            </w:tcBorders>
            <w:shd w:val="clear" w:color="000000" w:fill="E6E6E6"/>
          </w:tcPr>
          <w:p w14:paraId="4438B138" w14:textId="437EFB57" w:rsidR="00DF47E9" w:rsidRPr="002B0541" w:rsidRDefault="00DF47E9" w:rsidP="002B0541">
            <w:pPr>
              <w:pStyle w:val="BodyText"/>
              <w:spacing w:before="45" w:after="45"/>
              <w:ind w:left="57" w:right="108"/>
              <w:rPr>
                <w:rFonts w:cs="Open Sans"/>
                <w:bCs/>
                <w:sz w:val="18"/>
              </w:rPr>
            </w:pPr>
            <w:r w:rsidRPr="002B0541">
              <w:rPr>
                <w:rFonts w:cs="Open Sans"/>
                <w:bCs/>
                <w:sz w:val="18"/>
              </w:rPr>
              <w:t>Name withheld</w:t>
            </w:r>
          </w:p>
        </w:tc>
        <w:tc>
          <w:tcPr>
            <w:tcW w:w="2126" w:type="dxa"/>
            <w:tcBorders>
              <w:bottom w:val="nil"/>
            </w:tcBorders>
            <w:shd w:val="clear" w:color="000000" w:fill="E6E6E6"/>
          </w:tcPr>
          <w:p w14:paraId="4DF39CB7" w14:textId="77777777" w:rsidR="00DF47E9" w:rsidRPr="002B0541" w:rsidRDefault="00DF47E9" w:rsidP="002B0541">
            <w:pPr>
              <w:pStyle w:val="BodyText"/>
              <w:spacing w:before="45" w:after="45"/>
              <w:ind w:left="57" w:right="108"/>
              <w:jc w:val="right"/>
              <w:rPr>
                <w:rFonts w:cs="Open Sans"/>
                <w:color w:val="000000"/>
                <w:sz w:val="18"/>
              </w:rPr>
            </w:pPr>
            <w:r w:rsidRPr="002B0541">
              <w:rPr>
                <w:rFonts w:cs="Open Sans"/>
                <w:color w:val="000000"/>
                <w:sz w:val="18"/>
              </w:rPr>
              <w:t>44</w:t>
            </w:r>
          </w:p>
        </w:tc>
      </w:tr>
      <w:tr w:rsidR="00DF47E9" w:rsidRPr="002B0541" w14:paraId="358DB56A" w14:textId="77777777" w:rsidTr="002B0541">
        <w:trPr>
          <w:trHeight w:val="20"/>
        </w:trPr>
        <w:tc>
          <w:tcPr>
            <w:tcW w:w="7513" w:type="dxa"/>
            <w:tcBorders>
              <w:top w:val="nil"/>
              <w:bottom w:val="nil"/>
            </w:tcBorders>
            <w:shd w:val="clear" w:color="000000" w:fill="auto"/>
          </w:tcPr>
          <w:p w14:paraId="673C5230" w14:textId="23A4B56B" w:rsidR="00DF47E9" w:rsidRPr="002B0541" w:rsidRDefault="00DF47E9" w:rsidP="002B0541">
            <w:pPr>
              <w:pStyle w:val="BodyText"/>
              <w:spacing w:before="45" w:after="45"/>
              <w:ind w:left="57" w:right="108"/>
              <w:rPr>
                <w:rFonts w:cs="Open Sans"/>
                <w:bCs/>
                <w:sz w:val="18"/>
              </w:rPr>
            </w:pPr>
            <w:r w:rsidRPr="002B0541" w:rsidDel="00E60158">
              <w:rPr>
                <w:rFonts w:cs="Open Sans"/>
                <w:bCs/>
                <w:sz w:val="18"/>
              </w:rPr>
              <w:t xml:space="preserve">Name </w:t>
            </w:r>
            <w:r w:rsidRPr="002B0541">
              <w:rPr>
                <w:rFonts w:cs="Open Sans"/>
                <w:bCs/>
                <w:sz w:val="18"/>
              </w:rPr>
              <w:t>withheld</w:t>
            </w:r>
          </w:p>
        </w:tc>
        <w:tc>
          <w:tcPr>
            <w:tcW w:w="2126" w:type="dxa"/>
            <w:tcBorders>
              <w:top w:val="nil"/>
              <w:bottom w:val="nil"/>
            </w:tcBorders>
            <w:shd w:val="clear" w:color="000000" w:fill="auto"/>
          </w:tcPr>
          <w:p w14:paraId="1029FAF8" w14:textId="77777777" w:rsidR="00DF47E9" w:rsidRPr="002B0541" w:rsidRDefault="00DF47E9" w:rsidP="002B0541">
            <w:pPr>
              <w:pStyle w:val="BodyText"/>
              <w:spacing w:before="45" w:after="45"/>
              <w:ind w:left="57" w:right="108"/>
              <w:jc w:val="right"/>
              <w:rPr>
                <w:rFonts w:cs="Open Sans"/>
                <w:color w:val="000000"/>
                <w:sz w:val="18"/>
              </w:rPr>
            </w:pPr>
            <w:r w:rsidRPr="002B0541">
              <w:rPr>
                <w:rFonts w:cs="Open Sans"/>
                <w:color w:val="000000"/>
                <w:sz w:val="18"/>
              </w:rPr>
              <w:t>58</w:t>
            </w:r>
          </w:p>
        </w:tc>
      </w:tr>
      <w:tr w:rsidR="00DF47E9" w:rsidRPr="002B0541" w14:paraId="21B22945" w14:textId="77777777" w:rsidTr="002B0541">
        <w:trPr>
          <w:trHeight w:val="20"/>
        </w:trPr>
        <w:tc>
          <w:tcPr>
            <w:tcW w:w="7513" w:type="dxa"/>
            <w:tcBorders>
              <w:bottom w:val="nil"/>
            </w:tcBorders>
            <w:shd w:val="clear" w:color="000000" w:fill="E6E6E6"/>
          </w:tcPr>
          <w:p w14:paraId="18757BA0" w14:textId="08971B2E" w:rsidR="00DF47E9" w:rsidRPr="002B0541" w:rsidRDefault="00DF47E9" w:rsidP="002B0541">
            <w:pPr>
              <w:pStyle w:val="BodyText"/>
              <w:spacing w:before="45" w:after="45"/>
              <w:ind w:left="57" w:right="108"/>
              <w:rPr>
                <w:rFonts w:cs="Open Sans"/>
                <w:bCs/>
                <w:sz w:val="18"/>
              </w:rPr>
            </w:pPr>
            <w:r w:rsidRPr="002B0541" w:rsidDel="00E60158">
              <w:rPr>
                <w:rFonts w:cs="Open Sans"/>
                <w:bCs/>
                <w:sz w:val="18"/>
              </w:rPr>
              <w:t xml:space="preserve">Name </w:t>
            </w:r>
            <w:r w:rsidRPr="002B0541">
              <w:rPr>
                <w:rFonts w:cs="Open Sans"/>
                <w:bCs/>
                <w:sz w:val="18"/>
              </w:rPr>
              <w:t>withheld</w:t>
            </w:r>
          </w:p>
        </w:tc>
        <w:tc>
          <w:tcPr>
            <w:tcW w:w="2126" w:type="dxa"/>
            <w:tcBorders>
              <w:bottom w:val="nil"/>
            </w:tcBorders>
            <w:shd w:val="clear" w:color="000000" w:fill="E6E6E6"/>
          </w:tcPr>
          <w:p w14:paraId="6E1473FA" w14:textId="77777777" w:rsidR="00DF47E9" w:rsidRPr="002B0541" w:rsidRDefault="00DF47E9" w:rsidP="002B0541">
            <w:pPr>
              <w:pStyle w:val="BodyText"/>
              <w:spacing w:before="45" w:after="45"/>
              <w:ind w:left="57" w:right="108"/>
              <w:jc w:val="right"/>
              <w:rPr>
                <w:rFonts w:cs="Open Sans"/>
                <w:color w:val="000000"/>
                <w:sz w:val="18"/>
              </w:rPr>
            </w:pPr>
            <w:r w:rsidRPr="002B0541">
              <w:rPr>
                <w:rFonts w:cs="Open Sans"/>
                <w:color w:val="000000"/>
                <w:sz w:val="18"/>
              </w:rPr>
              <w:t>59</w:t>
            </w:r>
          </w:p>
        </w:tc>
      </w:tr>
      <w:tr w:rsidR="00DF47E9" w:rsidRPr="002B0541" w14:paraId="71092D54" w14:textId="77777777" w:rsidTr="002B0541">
        <w:trPr>
          <w:trHeight w:val="20"/>
        </w:trPr>
        <w:tc>
          <w:tcPr>
            <w:tcW w:w="7513" w:type="dxa"/>
            <w:tcBorders>
              <w:top w:val="nil"/>
              <w:bottom w:val="nil"/>
            </w:tcBorders>
            <w:shd w:val="clear" w:color="000000" w:fill="auto"/>
          </w:tcPr>
          <w:p w14:paraId="4AE601D3" w14:textId="71F52A28" w:rsidR="00DF47E9" w:rsidRPr="002B0541" w:rsidDel="00E60158" w:rsidRDefault="00DF47E9" w:rsidP="002B0541">
            <w:pPr>
              <w:pStyle w:val="BodyText"/>
              <w:spacing w:before="45" w:after="45"/>
              <w:ind w:left="57" w:right="108"/>
              <w:rPr>
                <w:rFonts w:cs="Open Sans"/>
                <w:bCs/>
                <w:sz w:val="18"/>
              </w:rPr>
            </w:pPr>
            <w:r w:rsidRPr="002B0541">
              <w:rPr>
                <w:rFonts w:cs="Open Sans"/>
                <w:bCs/>
                <w:sz w:val="18"/>
              </w:rPr>
              <w:t>Name withheld</w:t>
            </w:r>
          </w:p>
        </w:tc>
        <w:tc>
          <w:tcPr>
            <w:tcW w:w="2126" w:type="dxa"/>
            <w:tcBorders>
              <w:top w:val="nil"/>
              <w:bottom w:val="nil"/>
            </w:tcBorders>
            <w:shd w:val="clear" w:color="000000" w:fill="auto"/>
          </w:tcPr>
          <w:p w14:paraId="74E0D99C" w14:textId="77777777" w:rsidR="00DF47E9" w:rsidRPr="002B0541" w:rsidDel="00E60158" w:rsidRDefault="00DF47E9" w:rsidP="002B0541">
            <w:pPr>
              <w:pStyle w:val="BodyText"/>
              <w:spacing w:before="45" w:after="45"/>
              <w:ind w:left="57" w:right="108"/>
              <w:jc w:val="right"/>
              <w:rPr>
                <w:rFonts w:cs="Open Sans"/>
                <w:color w:val="000000"/>
                <w:sz w:val="18"/>
              </w:rPr>
            </w:pPr>
            <w:r w:rsidRPr="002B0541">
              <w:rPr>
                <w:rFonts w:cs="Open Sans"/>
                <w:color w:val="000000"/>
                <w:sz w:val="18"/>
              </w:rPr>
              <w:t>60</w:t>
            </w:r>
          </w:p>
        </w:tc>
      </w:tr>
      <w:tr w:rsidR="00DF47E9" w:rsidRPr="002B0541" w14:paraId="1B5FDBA0" w14:textId="77777777" w:rsidTr="002B0541">
        <w:trPr>
          <w:trHeight w:val="20"/>
        </w:trPr>
        <w:tc>
          <w:tcPr>
            <w:tcW w:w="7513" w:type="dxa"/>
            <w:tcBorders>
              <w:bottom w:val="nil"/>
            </w:tcBorders>
            <w:shd w:val="clear" w:color="000000" w:fill="E6E6E6"/>
          </w:tcPr>
          <w:p w14:paraId="081CF2DE" w14:textId="489C1B66" w:rsidR="00DF47E9" w:rsidRPr="002B0541" w:rsidDel="00E60158" w:rsidRDefault="00DF47E9" w:rsidP="002B0541">
            <w:pPr>
              <w:pStyle w:val="BodyText"/>
              <w:spacing w:before="45" w:after="45"/>
              <w:ind w:left="57" w:right="108"/>
              <w:rPr>
                <w:rFonts w:cs="Open Sans"/>
                <w:bCs/>
                <w:sz w:val="18"/>
              </w:rPr>
            </w:pPr>
            <w:r w:rsidRPr="002B0541">
              <w:rPr>
                <w:rFonts w:cs="Open Sans"/>
                <w:bCs/>
                <w:sz w:val="18"/>
              </w:rPr>
              <w:t xml:space="preserve">NEACH </w:t>
            </w:r>
          </w:p>
        </w:tc>
        <w:tc>
          <w:tcPr>
            <w:tcW w:w="2126" w:type="dxa"/>
            <w:tcBorders>
              <w:bottom w:val="nil"/>
            </w:tcBorders>
            <w:shd w:val="clear" w:color="000000" w:fill="E6E6E6"/>
          </w:tcPr>
          <w:p w14:paraId="599DF228" w14:textId="77777777" w:rsidR="00DF47E9" w:rsidRPr="002B0541" w:rsidDel="00E60158" w:rsidRDefault="00DF47E9" w:rsidP="002B0541">
            <w:pPr>
              <w:pStyle w:val="BodyText"/>
              <w:spacing w:before="45" w:after="45"/>
              <w:ind w:left="57" w:right="108"/>
              <w:jc w:val="right"/>
              <w:rPr>
                <w:rFonts w:cs="Open Sans"/>
                <w:color w:val="000000"/>
                <w:sz w:val="18"/>
              </w:rPr>
            </w:pPr>
            <w:r w:rsidRPr="002B0541">
              <w:rPr>
                <w:rFonts w:cs="Open Sans"/>
                <w:color w:val="000000"/>
                <w:sz w:val="18"/>
              </w:rPr>
              <w:t>15</w:t>
            </w:r>
          </w:p>
        </w:tc>
      </w:tr>
      <w:tr w:rsidR="00DF47E9" w:rsidRPr="002B0541" w14:paraId="2EA8D3CA" w14:textId="77777777" w:rsidTr="002B0541">
        <w:trPr>
          <w:trHeight w:val="20"/>
        </w:trPr>
        <w:tc>
          <w:tcPr>
            <w:tcW w:w="7513" w:type="dxa"/>
            <w:tcBorders>
              <w:top w:val="nil"/>
              <w:bottom w:val="nil"/>
            </w:tcBorders>
            <w:shd w:val="clear" w:color="000000" w:fill="auto"/>
          </w:tcPr>
          <w:p w14:paraId="47793C9A" w14:textId="39242E78" w:rsidR="00DF47E9" w:rsidRPr="002B0541" w:rsidRDefault="00DF47E9" w:rsidP="002B0541">
            <w:pPr>
              <w:pStyle w:val="BodyText"/>
              <w:spacing w:before="45" w:after="45"/>
              <w:ind w:left="57" w:right="108"/>
              <w:rPr>
                <w:rFonts w:cs="Open Sans"/>
                <w:bCs/>
                <w:sz w:val="18"/>
              </w:rPr>
            </w:pPr>
            <w:r w:rsidRPr="002B0541">
              <w:rPr>
                <w:rFonts w:cs="Open Sans"/>
                <w:bCs/>
                <w:sz w:val="18"/>
              </w:rPr>
              <w:t xml:space="preserve">OneSteel Manufacturing </w:t>
            </w:r>
          </w:p>
        </w:tc>
        <w:tc>
          <w:tcPr>
            <w:tcW w:w="2126" w:type="dxa"/>
            <w:tcBorders>
              <w:top w:val="nil"/>
              <w:bottom w:val="nil"/>
            </w:tcBorders>
            <w:shd w:val="clear" w:color="000000" w:fill="auto"/>
          </w:tcPr>
          <w:p w14:paraId="1116B19F" w14:textId="77777777" w:rsidR="00DF47E9" w:rsidRPr="002B0541" w:rsidRDefault="00DF47E9" w:rsidP="002B0541">
            <w:pPr>
              <w:pStyle w:val="BodyText"/>
              <w:spacing w:before="45" w:after="45"/>
              <w:ind w:left="57" w:right="108"/>
              <w:jc w:val="right"/>
              <w:rPr>
                <w:rFonts w:cs="Open Sans"/>
                <w:color w:val="000000"/>
                <w:sz w:val="18"/>
              </w:rPr>
            </w:pPr>
            <w:r w:rsidRPr="002B0541">
              <w:rPr>
                <w:rFonts w:cs="Open Sans"/>
                <w:color w:val="000000"/>
                <w:sz w:val="18"/>
              </w:rPr>
              <w:t>45</w:t>
            </w:r>
          </w:p>
        </w:tc>
      </w:tr>
      <w:tr w:rsidR="00DF47E9" w:rsidRPr="002B0541" w14:paraId="5BC62793" w14:textId="77777777" w:rsidTr="009F100E">
        <w:trPr>
          <w:trHeight w:val="20"/>
        </w:trPr>
        <w:tc>
          <w:tcPr>
            <w:tcW w:w="7513" w:type="dxa"/>
            <w:tcBorders>
              <w:bottom w:val="nil"/>
            </w:tcBorders>
            <w:shd w:val="clear" w:color="000000" w:fill="E6E6E6"/>
          </w:tcPr>
          <w:p w14:paraId="1DD1BA9C" w14:textId="7D2CE0C4" w:rsidR="00DF47E9" w:rsidRPr="002B0541" w:rsidRDefault="00DF47E9" w:rsidP="002B0541">
            <w:pPr>
              <w:pStyle w:val="BodyText"/>
              <w:spacing w:before="45" w:after="45"/>
              <w:ind w:left="57" w:right="108"/>
              <w:rPr>
                <w:rFonts w:cs="Open Sans"/>
                <w:bCs/>
                <w:sz w:val="18"/>
              </w:rPr>
            </w:pPr>
            <w:r w:rsidRPr="002B0541">
              <w:rPr>
                <w:rFonts w:cs="Open Sans"/>
                <w:bCs/>
                <w:sz w:val="18"/>
              </w:rPr>
              <w:t>Prince Engineering</w:t>
            </w:r>
          </w:p>
        </w:tc>
        <w:tc>
          <w:tcPr>
            <w:tcW w:w="2126" w:type="dxa"/>
            <w:tcBorders>
              <w:bottom w:val="nil"/>
            </w:tcBorders>
            <w:shd w:val="clear" w:color="000000" w:fill="E6E6E6"/>
          </w:tcPr>
          <w:p w14:paraId="11F0BE6D" w14:textId="77777777" w:rsidR="00DF47E9" w:rsidRPr="002B0541" w:rsidRDefault="00DF47E9" w:rsidP="002B0541">
            <w:pPr>
              <w:pStyle w:val="BodyText"/>
              <w:spacing w:before="45" w:after="45"/>
              <w:ind w:left="57" w:right="108"/>
              <w:jc w:val="right"/>
              <w:rPr>
                <w:rFonts w:cs="Open Sans"/>
                <w:color w:val="000000"/>
                <w:sz w:val="18"/>
              </w:rPr>
            </w:pPr>
            <w:r w:rsidRPr="002B0541">
              <w:rPr>
                <w:rFonts w:cs="Open Sans"/>
                <w:color w:val="000000"/>
                <w:sz w:val="18"/>
              </w:rPr>
              <w:t>3</w:t>
            </w:r>
          </w:p>
        </w:tc>
      </w:tr>
      <w:tr w:rsidR="00DF47E9" w:rsidRPr="002B0541" w14:paraId="63F5D146" w14:textId="77777777" w:rsidTr="009F100E">
        <w:trPr>
          <w:trHeight w:val="20"/>
        </w:trPr>
        <w:tc>
          <w:tcPr>
            <w:tcW w:w="7513" w:type="dxa"/>
            <w:tcBorders>
              <w:top w:val="nil"/>
              <w:bottom w:val="nil"/>
            </w:tcBorders>
            <w:shd w:val="clear" w:color="000000" w:fill="auto"/>
          </w:tcPr>
          <w:p w14:paraId="5BE91349" w14:textId="56F91D03" w:rsidR="00DF47E9" w:rsidRPr="002B0541" w:rsidRDefault="00DF47E9" w:rsidP="002B0541">
            <w:pPr>
              <w:pStyle w:val="BodyText"/>
              <w:spacing w:before="45" w:after="45"/>
              <w:ind w:left="57" w:right="108"/>
              <w:rPr>
                <w:rFonts w:cs="Open Sans"/>
                <w:bCs/>
                <w:sz w:val="18"/>
              </w:rPr>
            </w:pPr>
            <w:r w:rsidRPr="002B0541">
              <w:rPr>
                <w:rFonts w:cs="Open Sans"/>
                <w:bCs/>
                <w:sz w:val="18"/>
              </w:rPr>
              <w:t>Range Steel Fabrications</w:t>
            </w:r>
            <w:r w:rsidRPr="002B0541" w:rsidDel="00F33BBB">
              <w:rPr>
                <w:rFonts w:cs="Open Sans"/>
                <w:bCs/>
                <w:sz w:val="18"/>
              </w:rPr>
              <w:t xml:space="preserve"> </w:t>
            </w:r>
          </w:p>
        </w:tc>
        <w:tc>
          <w:tcPr>
            <w:tcW w:w="2126" w:type="dxa"/>
            <w:tcBorders>
              <w:top w:val="nil"/>
              <w:bottom w:val="nil"/>
            </w:tcBorders>
            <w:shd w:val="clear" w:color="000000" w:fill="auto"/>
          </w:tcPr>
          <w:p w14:paraId="1795AC0B" w14:textId="77777777" w:rsidR="00DF47E9" w:rsidRPr="002B0541" w:rsidRDefault="00DF47E9" w:rsidP="002B0541">
            <w:pPr>
              <w:pStyle w:val="BodyText"/>
              <w:spacing w:before="45" w:after="45"/>
              <w:ind w:left="57" w:right="108"/>
              <w:jc w:val="right"/>
              <w:rPr>
                <w:rFonts w:cs="Open Sans"/>
                <w:color w:val="000000"/>
                <w:sz w:val="18"/>
              </w:rPr>
            </w:pPr>
            <w:r w:rsidRPr="002B0541">
              <w:rPr>
                <w:rFonts w:cs="Open Sans"/>
                <w:color w:val="000000"/>
                <w:sz w:val="18"/>
              </w:rPr>
              <w:t>57</w:t>
            </w:r>
          </w:p>
        </w:tc>
      </w:tr>
      <w:tr w:rsidR="00DF47E9" w:rsidRPr="002B0541" w14:paraId="3ECA639C" w14:textId="77777777" w:rsidTr="009F100E">
        <w:trPr>
          <w:trHeight w:val="20"/>
        </w:trPr>
        <w:tc>
          <w:tcPr>
            <w:tcW w:w="7513" w:type="dxa"/>
            <w:tcBorders>
              <w:bottom w:val="nil"/>
            </w:tcBorders>
            <w:shd w:val="clear" w:color="000000" w:fill="E6E6E6"/>
          </w:tcPr>
          <w:p w14:paraId="686A5BDE" w14:textId="51B66B20" w:rsidR="00DF47E9" w:rsidRPr="002B0541" w:rsidRDefault="00DF47E9" w:rsidP="002B0541">
            <w:pPr>
              <w:pStyle w:val="BodyText"/>
              <w:spacing w:before="45" w:after="45"/>
              <w:ind w:left="57" w:right="108"/>
              <w:rPr>
                <w:rFonts w:cs="Open Sans"/>
                <w:bCs/>
                <w:sz w:val="18"/>
              </w:rPr>
            </w:pPr>
            <w:r w:rsidRPr="002B0541">
              <w:rPr>
                <w:rFonts w:cs="Open Sans"/>
                <w:bCs/>
                <w:sz w:val="18"/>
              </w:rPr>
              <w:t xml:space="preserve">Republic of Türkiye – Ministry of Trade </w:t>
            </w:r>
          </w:p>
        </w:tc>
        <w:tc>
          <w:tcPr>
            <w:tcW w:w="2126" w:type="dxa"/>
            <w:tcBorders>
              <w:bottom w:val="nil"/>
            </w:tcBorders>
            <w:shd w:val="clear" w:color="000000" w:fill="E6E6E6"/>
          </w:tcPr>
          <w:p w14:paraId="53535400" w14:textId="77777777" w:rsidR="00DF47E9" w:rsidRPr="002B0541" w:rsidRDefault="00DF47E9" w:rsidP="002B0541">
            <w:pPr>
              <w:pStyle w:val="BodyText"/>
              <w:spacing w:before="45" w:after="45"/>
              <w:ind w:left="57" w:right="108"/>
              <w:jc w:val="right"/>
              <w:rPr>
                <w:rFonts w:cs="Open Sans"/>
                <w:color w:val="000000"/>
                <w:sz w:val="18"/>
              </w:rPr>
            </w:pPr>
            <w:r w:rsidRPr="002B0541">
              <w:rPr>
                <w:rFonts w:cs="Open Sans"/>
                <w:color w:val="000000"/>
                <w:sz w:val="18"/>
              </w:rPr>
              <w:t>2</w:t>
            </w:r>
          </w:p>
        </w:tc>
      </w:tr>
      <w:tr w:rsidR="00DF47E9" w:rsidRPr="002B0541" w14:paraId="139A2891" w14:textId="77777777" w:rsidTr="009F100E">
        <w:trPr>
          <w:trHeight w:val="20"/>
        </w:trPr>
        <w:tc>
          <w:tcPr>
            <w:tcW w:w="7513" w:type="dxa"/>
            <w:tcBorders>
              <w:top w:val="nil"/>
              <w:bottom w:val="nil"/>
            </w:tcBorders>
            <w:shd w:val="clear" w:color="000000" w:fill="auto"/>
          </w:tcPr>
          <w:p w14:paraId="755C28D1" w14:textId="25035D92" w:rsidR="00DF47E9" w:rsidRPr="002B0541" w:rsidRDefault="00DF47E9" w:rsidP="002B0541">
            <w:pPr>
              <w:pStyle w:val="BodyText"/>
              <w:spacing w:before="45" w:after="45"/>
              <w:ind w:left="57" w:right="108"/>
              <w:rPr>
                <w:rFonts w:cs="Open Sans"/>
                <w:bCs/>
                <w:sz w:val="18"/>
              </w:rPr>
            </w:pPr>
            <w:r w:rsidRPr="002B0541">
              <w:rPr>
                <w:rFonts w:cs="Open Sans"/>
                <w:bCs/>
                <w:sz w:val="18"/>
              </w:rPr>
              <w:t>Roam Engineering</w:t>
            </w:r>
          </w:p>
        </w:tc>
        <w:tc>
          <w:tcPr>
            <w:tcW w:w="2126" w:type="dxa"/>
            <w:tcBorders>
              <w:top w:val="nil"/>
              <w:bottom w:val="nil"/>
            </w:tcBorders>
            <w:shd w:val="clear" w:color="000000" w:fill="auto"/>
          </w:tcPr>
          <w:p w14:paraId="6B96CF43" w14:textId="77777777" w:rsidR="00DF47E9" w:rsidRPr="002B0541" w:rsidRDefault="00DF47E9" w:rsidP="002B0541">
            <w:pPr>
              <w:pStyle w:val="BodyText"/>
              <w:spacing w:before="45" w:after="45"/>
              <w:ind w:left="57" w:right="108"/>
              <w:jc w:val="right"/>
              <w:rPr>
                <w:rFonts w:cs="Open Sans"/>
                <w:color w:val="000000"/>
                <w:sz w:val="18"/>
              </w:rPr>
            </w:pPr>
            <w:r w:rsidRPr="002B0541">
              <w:rPr>
                <w:rFonts w:cs="Open Sans"/>
                <w:color w:val="000000"/>
                <w:sz w:val="18"/>
              </w:rPr>
              <w:t>47</w:t>
            </w:r>
          </w:p>
        </w:tc>
      </w:tr>
      <w:tr w:rsidR="00DF47E9" w:rsidRPr="002B0541" w14:paraId="48A4B86E" w14:textId="77777777" w:rsidTr="009F100E">
        <w:trPr>
          <w:trHeight w:val="20"/>
        </w:trPr>
        <w:tc>
          <w:tcPr>
            <w:tcW w:w="7513" w:type="dxa"/>
            <w:tcBorders>
              <w:bottom w:val="nil"/>
            </w:tcBorders>
            <w:shd w:val="clear" w:color="000000" w:fill="E6E6E6"/>
          </w:tcPr>
          <w:p w14:paraId="1C12F375" w14:textId="6E604691" w:rsidR="00DF47E9" w:rsidRPr="002B0541" w:rsidRDefault="00DF47E9" w:rsidP="002B0541">
            <w:pPr>
              <w:pStyle w:val="BodyText"/>
              <w:spacing w:before="45" w:after="45"/>
              <w:ind w:left="57" w:right="108"/>
              <w:rPr>
                <w:rFonts w:cs="Open Sans"/>
                <w:bCs/>
                <w:sz w:val="18"/>
              </w:rPr>
            </w:pPr>
            <w:r w:rsidRPr="002B0541">
              <w:rPr>
                <w:rFonts w:cs="Open Sans"/>
                <w:bCs/>
                <w:sz w:val="18"/>
              </w:rPr>
              <w:t>Rowville Engineering</w:t>
            </w:r>
          </w:p>
        </w:tc>
        <w:tc>
          <w:tcPr>
            <w:tcW w:w="2126" w:type="dxa"/>
            <w:tcBorders>
              <w:bottom w:val="nil"/>
            </w:tcBorders>
            <w:shd w:val="clear" w:color="000000" w:fill="E6E6E6"/>
          </w:tcPr>
          <w:p w14:paraId="1E128C7F" w14:textId="77777777" w:rsidR="00DF47E9" w:rsidRPr="002B0541" w:rsidRDefault="00DF47E9" w:rsidP="002B0541">
            <w:pPr>
              <w:pStyle w:val="BodyText"/>
              <w:spacing w:before="45" w:after="45"/>
              <w:ind w:left="57" w:right="108"/>
              <w:jc w:val="right"/>
              <w:rPr>
                <w:rFonts w:cs="Open Sans"/>
                <w:color w:val="000000"/>
                <w:sz w:val="18"/>
              </w:rPr>
            </w:pPr>
            <w:r w:rsidRPr="002B0541">
              <w:rPr>
                <w:rFonts w:cs="Open Sans"/>
                <w:color w:val="000000"/>
                <w:sz w:val="18"/>
              </w:rPr>
              <w:t>4</w:t>
            </w:r>
          </w:p>
        </w:tc>
      </w:tr>
      <w:tr w:rsidR="00DF47E9" w:rsidRPr="002B0541" w14:paraId="4ECF128D" w14:textId="77777777" w:rsidTr="009F100E">
        <w:trPr>
          <w:trHeight w:val="20"/>
        </w:trPr>
        <w:tc>
          <w:tcPr>
            <w:tcW w:w="7513" w:type="dxa"/>
            <w:tcBorders>
              <w:top w:val="nil"/>
              <w:bottom w:val="nil"/>
            </w:tcBorders>
            <w:shd w:val="clear" w:color="000000" w:fill="auto"/>
          </w:tcPr>
          <w:p w14:paraId="72443B0F" w14:textId="060AA270" w:rsidR="00DF47E9" w:rsidRPr="002B0541" w:rsidRDefault="00DF47E9" w:rsidP="002B0541">
            <w:pPr>
              <w:pStyle w:val="BodyText"/>
              <w:spacing w:before="45" w:after="45"/>
              <w:ind w:left="57" w:right="108"/>
              <w:rPr>
                <w:rFonts w:cs="Open Sans"/>
                <w:bCs/>
                <w:sz w:val="18"/>
              </w:rPr>
            </w:pPr>
            <w:proofErr w:type="spellStart"/>
            <w:r w:rsidRPr="002B0541">
              <w:rPr>
                <w:rFonts w:cs="Open Sans"/>
                <w:bCs/>
                <w:sz w:val="18"/>
              </w:rPr>
              <w:t>Sencova</w:t>
            </w:r>
            <w:proofErr w:type="spellEnd"/>
            <w:r w:rsidRPr="002B0541">
              <w:rPr>
                <w:rFonts w:cs="Open Sans"/>
                <w:bCs/>
                <w:sz w:val="18"/>
              </w:rPr>
              <w:t xml:space="preserve"> Steel Fabrication</w:t>
            </w:r>
          </w:p>
        </w:tc>
        <w:tc>
          <w:tcPr>
            <w:tcW w:w="2126" w:type="dxa"/>
            <w:tcBorders>
              <w:top w:val="nil"/>
              <w:bottom w:val="nil"/>
            </w:tcBorders>
            <w:shd w:val="clear" w:color="000000" w:fill="auto"/>
          </w:tcPr>
          <w:p w14:paraId="3E9AAC41" w14:textId="77777777" w:rsidR="00DF47E9" w:rsidRPr="002B0541" w:rsidRDefault="00DF47E9" w:rsidP="002B0541">
            <w:pPr>
              <w:pStyle w:val="BodyText"/>
              <w:spacing w:before="45" w:after="45"/>
              <w:ind w:left="57" w:right="108"/>
              <w:jc w:val="right"/>
              <w:rPr>
                <w:rFonts w:cs="Open Sans"/>
                <w:color w:val="000000"/>
                <w:sz w:val="18"/>
              </w:rPr>
            </w:pPr>
            <w:r w:rsidRPr="002B0541">
              <w:rPr>
                <w:rFonts w:cs="Open Sans"/>
                <w:color w:val="000000"/>
                <w:sz w:val="18"/>
              </w:rPr>
              <w:t>26</w:t>
            </w:r>
          </w:p>
        </w:tc>
      </w:tr>
      <w:tr w:rsidR="00DF47E9" w:rsidRPr="002B0541" w14:paraId="78737A81" w14:textId="77777777" w:rsidTr="009F100E">
        <w:trPr>
          <w:trHeight w:val="20"/>
        </w:trPr>
        <w:tc>
          <w:tcPr>
            <w:tcW w:w="7513" w:type="dxa"/>
            <w:tcBorders>
              <w:bottom w:val="nil"/>
            </w:tcBorders>
            <w:shd w:val="clear" w:color="000000" w:fill="E6E6E6"/>
          </w:tcPr>
          <w:p w14:paraId="79079C5C" w14:textId="3C686D69" w:rsidR="00DF47E9" w:rsidRPr="002B0541" w:rsidRDefault="00DF47E9" w:rsidP="002B0541">
            <w:pPr>
              <w:pStyle w:val="BodyText"/>
              <w:spacing w:before="45" w:after="45"/>
              <w:ind w:left="57" w:right="108"/>
              <w:rPr>
                <w:rFonts w:cs="Open Sans"/>
                <w:bCs/>
                <w:sz w:val="18"/>
              </w:rPr>
            </w:pPr>
            <w:proofErr w:type="gramStart"/>
            <w:r w:rsidRPr="002B0541">
              <w:rPr>
                <w:rFonts w:cs="Open Sans"/>
                <w:bCs/>
                <w:sz w:val="18"/>
              </w:rPr>
              <w:t>South East</w:t>
            </w:r>
            <w:proofErr w:type="gramEnd"/>
            <w:r w:rsidRPr="002B0541">
              <w:rPr>
                <w:rFonts w:cs="Open Sans"/>
                <w:bCs/>
                <w:sz w:val="18"/>
              </w:rPr>
              <w:t xml:space="preserve"> Melbourne Manufacturers Alliance (SEMMA)</w:t>
            </w:r>
          </w:p>
        </w:tc>
        <w:tc>
          <w:tcPr>
            <w:tcW w:w="2126" w:type="dxa"/>
            <w:tcBorders>
              <w:bottom w:val="nil"/>
            </w:tcBorders>
            <w:shd w:val="clear" w:color="000000" w:fill="E6E6E6"/>
          </w:tcPr>
          <w:p w14:paraId="34068044" w14:textId="77777777" w:rsidR="00DF47E9" w:rsidRPr="002B0541" w:rsidRDefault="00DF47E9" w:rsidP="002B0541">
            <w:pPr>
              <w:pStyle w:val="BodyText"/>
              <w:spacing w:before="45" w:after="45"/>
              <w:ind w:left="57" w:right="108"/>
              <w:jc w:val="right"/>
              <w:rPr>
                <w:rFonts w:cs="Open Sans"/>
                <w:color w:val="000000"/>
                <w:sz w:val="18"/>
              </w:rPr>
            </w:pPr>
            <w:r w:rsidRPr="002B0541">
              <w:rPr>
                <w:rFonts w:cs="Open Sans"/>
                <w:color w:val="000000"/>
                <w:sz w:val="18"/>
              </w:rPr>
              <w:t>6</w:t>
            </w:r>
          </w:p>
        </w:tc>
      </w:tr>
      <w:tr w:rsidR="00DF47E9" w:rsidRPr="002B0541" w14:paraId="67717CEC" w14:textId="77777777" w:rsidTr="009F100E">
        <w:trPr>
          <w:trHeight w:val="20"/>
        </w:trPr>
        <w:tc>
          <w:tcPr>
            <w:tcW w:w="7513" w:type="dxa"/>
            <w:tcBorders>
              <w:top w:val="nil"/>
              <w:bottom w:val="nil"/>
            </w:tcBorders>
            <w:shd w:val="clear" w:color="000000" w:fill="auto"/>
          </w:tcPr>
          <w:p w14:paraId="012FA3D9" w14:textId="38F1FE47" w:rsidR="00DF47E9" w:rsidRPr="002B0541" w:rsidRDefault="00DF47E9" w:rsidP="002B0541">
            <w:pPr>
              <w:pStyle w:val="BodyText"/>
              <w:spacing w:before="45" w:after="45"/>
              <w:ind w:left="57" w:right="108"/>
              <w:rPr>
                <w:rFonts w:cs="Open Sans"/>
                <w:bCs/>
                <w:sz w:val="18"/>
              </w:rPr>
            </w:pPr>
            <w:r w:rsidRPr="002B0541">
              <w:rPr>
                <w:rFonts w:cs="Open Sans"/>
                <w:bCs/>
                <w:sz w:val="18"/>
              </w:rPr>
              <w:t>Steel Builder Australia</w:t>
            </w:r>
          </w:p>
        </w:tc>
        <w:tc>
          <w:tcPr>
            <w:tcW w:w="2126" w:type="dxa"/>
            <w:tcBorders>
              <w:top w:val="nil"/>
              <w:bottom w:val="nil"/>
            </w:tcBorders>
            <w:shd w:val="clear" w:color="000000" w:fill="auto"/>
          </w:tcPr>
          <w:p w14:paraId="1BAD6E69" w14:textId="77777777" w:rsidR="00DF47E9" w:rsidRPr="002B0541" w:rsidRDefault="00DF47E9" w:rsidP="002B0541">
            <w:pPr>
              <w:pStyle w:val="BodyText"/>
              <w:spacing w:before="45" w:after="45"/>
              <w:ind w:left="57" w:right="108"/>
              <w:jc w:val="right"/>
              <w:rPr>
                <w:rFonts w:cs="Open Sans"/>
                <w:color w:val="000000"/>
                <w:sz w:val="18"/>
              </w:rPr>
            </w:pPr>
            <w:r w:rsidRPr="002B0541">
              <w:rPr>
                <w:rFonts w:cs="Open Sans"/>
                <w:color w:val="000000"/>
                <w:sz w:val="18"/>
              </w:rPr>
              <w:t>42</w:t>
            </w:r>
          </w:p>
        </w:tc>
      </w:tr>
      <w:tr w:rsidR="00DF47E9" w:rsidRPr="002B0541" w14:paraId="49C4CCEB" w14:textId="77777777" w:rsidTr="009F100E">
        <w:trPr>
          <w:trHeight w:val="20"/>
        </w:trPr>
        <w:tc>
          <w:tcPr>
            <w:tcW w:w="7513" w:type="dxa"/>
            <w:tcBorders>
              <w:bottom w:val="nil"/>
            </w:tcBorders>
            <w:shd w:val="clear" w:color="000000" w:fill="E6E6E6"/>
          </w:tcPr>
          <w:p w14:paraId="07D259B8" w14:textId="0E0D9073" w:rsidR="00DF47E9" w:rsidRPr="002B0541" w:rsidRDefault="00DF47E9" w:rsidP="002B0541">
            <w:pPr>
              <w:pStyle w:val="BodyText"/>
              <w:spacing w:before="45" w:after="45"/>
              <w:ind w:left="57" w:right="108"/>
              <w:rPr>
                <w:rFonts w:cs="Open Sans"/>
                <w:bCs/>
                <w:sz w:val="18"/>
              </w:rPr>
            </w:pPr>
            <w:r w:rsidRPr="002B0541">
              <w:rPr>
                <w:rFonts w:cs="Open Sans"/>
                <w:bCs/>
                <w:sz w:val="18"/>
              </w:rPr>
              <w:t>Stevens Group</w:t>
            </w:r>
          </w:p>
        </w:tc>
        <w:tc>
          <w:tcPr>
            <w:tcW w:w="2126" w:type="dxa"/>
            <w:tcBorders>
              <w:bottom w:val="nil"/>
            </w:tcBorders>
            <w:shd w:val="clear" w:color="000000" w:fill="E6E6E6"/>
          </w:tcPr>
          <w:p w14:paraId="2BC899E6" w14:textId="77777777" w:rsidR="00DF47E9" w:rsidRPr="002B0541" w:rsidRDefault="00DF47E9" w:rsidP="002B0541">
            <w:pPr>
              <w:pStyle w:val="BodyText"/>
              <w:spacing w:before="45" w:after="45"/>
              <w:ind w:left="57" w:right="108"/>
              <w:jc w:val="right"/>
              <w:rPr>
                <w:rFonts w:cs="Open Sans"/>
                <w:color w:val="000000"/>
                <w:sz w:val="18"/>
              </w:rPr>
            </w:pPr>
            <w:r w:rsidRPr="002B0541">
              <w:rPr>
                <w:rFonts w:cs="Open Sans"/>
                <w:color w:val="000000"/>
                <w:sz w:val="18"/>
              </w:rPr>
              <w:t>5</w:t>
            </w:r>
          </w:p>
        </w:tc>
      </w:tr>
      <w:tr w:rsidR="00DF47E9" w:rsidRPr="002B0541" w14:paraId="5AE91EA2" w14:textId="77777777" w:rsidTr="009F100E">
        <w:trPr>
          <w:trHeight w:val="20"/>
        </w:trPr>
        <w:tc>
          <w:tcPr>
            <w:tcW w:w="7513" w:type="dxa"/>
            <w:tcBorders>
              <w:top w:val="nil"/>
              <w:bottom w:val="nil"/>
            </w:tcBorders>
            <w:shd w:val="clear" w:color="000000" w:fill="auto"/>
          </w:tcPr>
          <w:p w14:paraId="1DF62E56" w14:textId="2F11F4E0" w:rsidR="00DF47E9" w:rsidRPr="002B0541" w:rsidRDefault="00DF47E9" w:rsidP="002B0541">
            <w:pPr>
              <w:pStyle w:val="BodyText"/>
              <w:spacing w:before="45" w:after="45"/>
              <w:ind w:left="57" w:right="108"/>
              <w:rPr>
                <w:rFonts w:cs="Open Sans"/>
                <w:bCs/>
                <w:sz w:val="18"/>
              </w:rPr>
            </w:pPr>
            <w:proofErr w:type="spellStart"/>
            <w:r w:rsidRPr="002B0541">
              <w:rPr>
                <w:rFonts w:cs="Open Sans"/>
                <w:bCs/>
                <w:sz w:val="18"/>
              </w:rPr>
              <w:t>Technoweld</w:t>
            </w:r>
            <w:proofErr w:type="spellEnd"/>
            <w:r w:rsidRPr="002B0541">
              <w:rPr>
                <w:rFonts w:cs="Open Sans"/>
                <w:bCs/>
                <w:sz w:val="18"/>
              </w:rPr>
              <w:t xml:space="preserve"> Pty Ltd</w:t>
            </w:r>
          </w:p>
        </w:tc>
        <w:tc>
          <w:tcPr>
            <w:tcW w:w="2126" w:type="dxa"/>
            <w:tcBorders>
              <w:top w:val="nil"/>
              <w:bottom w:val="nil"/>
            </w:tcBorders>
            <w:shd w:val="clear" w:color="000000" w:fill="auto"/>
          </w:tcPr>
          <w:p w14:paraId="085C605A" w14:textId="77777777" w:rsidR="00DF47E9" w:rsidRPr="002B0541" w:rsidRDefault="00DF47E9" w:rsidP="002B0541">
            <w:pPr>
              <w:pStyle w:val="BodyText"/>
              <w:spacing w:before="45" w:after="45"/>
              <w:ind w:left="57" w:right="108"/>
              <w:jc w:val="right"/>
              <w:rPr>
                <w:rFonts w:cs="Open Sans"/>
                <w:color w:val="000000"/>
                <w:sz w:val="18"/>
              </w:rPr>
            </w:pPr>
            <w:r w:rsidRPr="002B0541">
              <w:rPr>
                <w:rFonts w:cs="Open Sans"/>
                <w:color w:val="000000"/>
                <w:sz w:val="18"/>
              </w:rPr>
              <w:t>10</w:t>
            </w:r>
          </w:p>
        </w:tc>
      </w:tr>
      <w:tr w:rsidR="00DF47E9" w:rsidRPr="002B0541" w14:paraId="12296399" w14:textId="77777777" w:rsidTr="009F100E">
        <w:trPr>
          <w:trHeight w:val="20"/>
        </w:trPr>
        <w:tc>
          <w:tcPr>
            <w:tcW w:w="7513" w:type="dxa"/>
            <w:tcBorders>
              <w:bottom w:val="nil"/>
            </w:tcBorders>
            <w:shd w:val="clear" w:color="000000" w:fill="E6E6E6"/>
          </w:tcPr>
          <w:p w14:paraId="3C4900B2" w14:textId="44C4FBB2" w:rsidR="00DF47E9" w:rsidRPr="002B0541" w:rsidRDefault="00DF47E9" w:rsidP="002B0541">
            <w:pPr>
              <w:pStyle w:val="BodyText"/>
              <w:spacing w:before="45" w:after="45"/>
              <w:ind w:left="57" w:right="108"/>
              <w:rPr>
                <w:rFonts w:cs="Open Sans"/>
                <w:bCs/>
                <w:sz w:val="18"/>
              </w:rPr>
            </w:pPr>
            <w:r w:rsidRPr="002B0541">
              <w:rPr>
                <w:rFonts w:cs="Open Sans"/>
                <w:bCs/>
                <w:sz w:val="18"/>
              </w:rPr>
              <w:t>United Steel Pty Ltd</w:t>
            </w:r>
          </w:p>
        </w:tc>
        <w:tc>
          <w:tcPr>
            <w:tcW w:w="2126" w:type="dxa"/>
            <w:tcBorders>
              <w:bottom w:val="nil"/>
            </w:tcBorders>
            <w:shd w:val="clear" w:color="000000" w:fill="E6E6E6"/>
          </w:tcPr>
          <w:p w14:paraId="57AC9051" w14:textId="77777777" w:rsidR="00DF47E9" w:rsidRPr="002B0541" w:rsidRDefault="00DF47E9" w:rsidP="002B0541">
            <w:pPr>
              <w:pStyle w:val="BodyText"/>
              <w:spacing w:before="45" w:after="45"/>
              <w:ind w:left="57" w:right="108"/>
              <w:jc w:val="right"/>
              <w:rPr>
                <w:rFonts w:cs="Open Sans"/>
                <w:color w:val="000000"/>
                <w:sz w:val="18"/>
              </w:rPr>
            </w:pPr>
            <w:r w:rsidRPr="002B0541">
              <w:rPr>
                <w:rFonts w:cs="Open Sans"/>
                <w:color w:val="000000"/>
                <w:sz w:val="18"/>
              </w:rPr>
              <w:t>52</w:t>
            </w:r>
          </w:p>
        </w:tc>
      </w:tr>
      <w:tr w:rsidR="00DF47E9" w:rsidRPr="002B0541" w14:paraId="2B3A3A5B" w14:textId="77777777" w:rsidTr="009F100E">
        <w:trPr>
          <w:trHeight w:val="20"/>
        </w:trPr>
        <w:tc>
          <w:tcPr>
            <w:tcW w:w="7513" w:type="dxa"/>
            <w:tcBorders>
              <w:top w:val="nil"/>
              <w:bottom w:val="nil"/>
            </w:tcBorders>
            <w:shd w:val="clear" w:color="000000" w:fill="auto"/>
          </w:tcPr>
          <w:p w14:paraId="58DE94D6" w14:textId="56777FF0" w:rsidR="00DF47E9" w:rsidRPr="002B0541" w:rsidRDefault="00DF47E9" w:rsidP="002B0541">
            <w:pPr>
              <w:pStyle w:val="BodyText"/>
              <w:spacing w:before="45" w:after="45"/>
              <w:ind w:left="57" w:right="108"/>
              <w:rPr>
                <w:rFonts w:cs="Open Sans"/>
                <w:bCs/>
                <w:sz w:val="18"/>
              </w:rPr>
            </w:pPr>
            <w:r w:rsidRPr="002B0541">
              <w:rPr>
                <w:rFonts w:cs="Open Sans"/>
                <w:bCs/>
                <w:sz w:val="18"/>
              </w:rPr>
              <w:t>Watkins Steel</w:t>
            </w:r>
          </w:p>
        </w:tc>
        <w:tc>
          <w:tcPr>
            <w:tcW w:w="2126" w:type="dxa"/>
            <w:tcBorders>
              <w:top w:val="nil"/>
              <w:bottom w:val="nil"/>
            </w:tcBorders>
            <w:shd w:val="clear" w:color="000000" w:fill="auto"/>
          </w:tcPr>
          <w:p w14:paraId="6E00AEAE" w14:textId="77777777" w:rsidR="00DF47E9" w:rsidRPr="002B0541" w:rsidRDefault="00DF47E9" w:rsidP="002B0541">
            <w:pPr>
              <w:pStyle w:val="BodyText"/>
              <w:spacing w:before="45" w:after="45"/>
              <w:ind w:left="57" w:right="108"/>
              <w:jc w:val="right"/>
              <w:rPr>
                <w:rFonts w:cs="Open Sans"/>
                <w:color w:val="000000"/>
                <w:sz w:val="18"/>
              </w:rPr>
            </w:pPr>
            <w:r w:rsidRPr="002B0541">
              <w:rPr>
                <w:rFonts w:cs="Open Sans"/>
                <w:color w:val="000000"/>
                <w:sz w:val="18"/>
              </w:rPr>
              <w:t>20</w:t>
            </w:r>
          </w:p>
        </w:tc>
      </w:tr>
      <w:tr w:rsidR="00DF47E9" w:rsidRPr="002B0541" w14:paraId="77AB55D8" w14:textId="77777777" w:rsidTr="009F100E">
        <w:trPr>
          <w:trHeight w:val="20"/>
        </w:trPr>
        <w:tc>
          <w:tcPr>
            <w:tcW w:w="7513" w:type="dxa"/>
            <w:tcBorders>
              <w:bottom w:val="nil"/>
            </w:tcBorders>
            <w:shd w:val="clear" w:color="000000" w:fill="E6E6E6"/>
          </w:tcPr>
          <w:p w14:paraId="73DD7352" w14:textId="5F6D516F" w:rsidR="00DF47E9" w:rsidRPr="002B0541" w:rsidRDefault="00DF47E9" w:rsidP="002B0541">
            <w:pPr>
              <w:pStyle w:val="BodyText"/>
              <w:spacing w:before="45" w:after="45"/>
              <w:ind w:left="57" w:right="108"/>
              <w:rPr>
                <w:rFonts w:cs="Open Sans"/>
                <w:bCs/>
                <w:sz w:val="18"/>
              </w:rPr>
            </w:pPr>
            <w:r w:rsidRPr="002B0541">
              <w:rPr>
                <w:rFonts w:cs="Open Sans"/>
                <w:bCs/>
                <w:sz w:val="18"/>
              </w:rPr>
              <w:t>Weld Australia</w:t>
            </w:r>
          </w:p>
        </w:tc>
        <w:tc>
          <w:tcPr>
            <w:tcW w:w="2126" w:type="dxa"/>
            <w:tcBorders>
              <w:bottom w:val="nil"/>
            </w:tcBorders>
            <w:shd w:val="clear" w:color="000000" w:fill="E6E6E6"/>
          </w:tcPr>
          <w:p w14:paraId="119E0ED2" w14:textId="77777777" w:rsidR="00DF47E9" w:rsidRPr="002B0541" w:rsidRDefault="00DF47E9" w:rsidP="002B0541">
            <w:pPr>
              <w:pStyle w:val="BodyText"/>
              <w:spacing w:before="45" w:after="45"/>
              <w:ind w:left="57" w:right="108"/>
              <w:jc w:val="right"/>
              <w:rPr>
                <w:rFonts w:cs="Open Sans"/>
                <w:color w:val="000000"/>
                <w:sz w:val="18"/>
              </w:rPr>
            </w:pPr>
            <w:r w:rsidRPr="002B0541">
              <w:rPr>
                <w:rFonts w:cs="Open Sans"/>
                <w:color w:val="000000"/>
                <w:sz w:val="18"/>
              </w:rPr>
              <w:t>24</w:t>
            </w:r>
          </w:p>
        </w:tc>
      </w:tr>
      <w:tr w:rsidR="00DF47E9" w:rsidRPr="002B0541" w14:paraId="505C5A83" w14:textId="77777777" w:rsidTr="009F100E">
        <w:trPr>
          <w:trHeight w:val="20"/>
        </w:trPr>
        <w:tc>
          <w:tcPr>
            <w:tcW w:w="7513" w:type="dxa"/>
            <w:tcBorders>
              <w:top w:val="nil"/>
              <w:bottom w:val="nil"/>
            </w:tcBorders>
            <w:shd w:val="clear" w:color="000000" w:fill="auto"/>
          </w:tcPr>
          <w:p w14:paraId="03092B38" w14:textId="4E14680D" w:rsidR="00DF47E9" w:rsidRPr="002B0541" w:rsidRDefault="00DF47E9" w:rsidP="002B0541">
            <w:pPr>
              <w:pStyle w:val="BodyText"/>
              <w:spacing w:before="45" w:after="45"/>
              <w:ind w:left="57" w:right="108"/>
              <w:rPr>
                <w:rFonts w:cs="Open Sans"/>
                <w:bCs/>
                <w:sz w:val="18"/>
              </w:rPr>
            </w:pPr>
            <w:proofErr w:type="spellStart"/>
            <w:r w:rsidRPr="002B0541">
              <w:rPr>
                <w:rFonts w:cs="Open Sans"/>
                <w:bCs/>
                <w:sz w:val="18"/>
              </w:rPr>
              <w:t>Weldlok</w:t>
            </w:r>
            <w:proofErr w:type="spellEnd"/>
            <w:r w:rsidRPr="002B0541">
              <w:rPr>
                <w:rFonts w:cs="Open Sans"/>
                <w:bCs/>
                <w:sz w:val="18"/>
              </w:rPr>
              <w:t xml:space="preserve"> Industries</w:t>
            </w:r>
          </w:p>
        </w:tc>
        <w:tc>
          <w:tcPr>
            <w:tcW w:w="2126" w:type="dxa"/>
            <w:tcBorders>
              <w:top w:val="nil"/>
              <w:bottom w:val="nil"/>
            </w:tcBorders>
            <w:shd w:val="clear" w:color="000000" w:fill="auto"/>
          </w:tcPr>
          <w:p w14:paraId="11CBBE9D" w14:textId="77777777" w:rsidR="00DF47E9" w:rsidRPr="002B0541" w:rsidRDefault="00DF47E9" w:rsidP="002B0541">
            <w:pPr>
              <w:pStyle w:val="BodyText"/>
              <w:spacing w:before="45" w:after="45"/>
              <w:ind w:left="57" w:right="108"/>
              <w:jc w:val="right"/>
              <w:rPr>
                <w:rFonts w:cs="Open Sans"/>
                <w:color w:val="000000"/>
                <w:sz w:val="18"/>
              </w:rPr>
            </w:pPr>
            <w:r w:rsidRPr="002B0541">
              <w:rPr>
                <w:rFonts w:cs="Open Sans"/>
                <w:color w:val="000000"/>
                <w:sz w:val="18"/>
              </w:rPr>
              <w:t>36</w:t>
            </w:r>
          </w:p>
        </w:tc>
      </w:tr>
      <w:tr w:rsidR="00DF47E9" w:rsidRPr="002B0541" w14:paraId="013B88F5" w14:textId="77777777" w:rsidTr="009F100E">
        <w:trPr>
          <w:trHeight w:val="20"/>
        </w:trPr>
        <w:tc>
          <w:tcPr>
            <w:tcW w:w="7513" w:type="dxa"/>
            <w:tcBorders>
              <w:bottom w:val="single" w:sz="4" w:space="0" w:color="B3B3B3"/>
            </w:tcBorders>
            <w:shd w:val="clear" w:color="000000" w:fill="E6E6E6"/>
          </w:tcPr>
          <w:p w14:paraId="02093D65" w14:textId="526F9419" w:rsidR="00DF47E9" w:rsidRPr="002B0541" w:rsidRDefault="00DF47E9" w:rsidP="002B0541">
            <w:pPr>
              <w:pStyle w:val="BodyText"/>
              <w:spacing w:before="45" w:after="45"/>
              <w:ind w:left="57" w:right="108"/>
              <w:rPr>
                <w:rFonts w:cs="Open Sans"/>
                <w:bCs/>
                <w:sz w:val="18"/>
              </w:rPr>
            </w:pPr>
            <w:proofErr w:type="spellStart"/>
            <w:r w:rsidRPr="002B0541">
              <w:rPr>
                <w:rFonts w:cs="Open Sans"/>
                <w:bCs/>
                <w:sz w:val="18"/>
              </w:rPr>
              <w:t>Westys</w:t>
            </w:r>
            <w:proofErr w:type="spellEnd"/>
            <w:r w:rsidRPr="002B0541">
              <w:rPr>
                <w:rFonts w:cs="Open Sans"/>
                <w:bCs/>
                <w:sz w:val="18"/>
              </w:rPr>
              <w:t xml:space="preserve"> Steel Fabrication</w:t>
            </w:r>
          </w:p>
        </w:tc>
        <w:tc>
          <w:tcPr>
            <w:tcW w:w="2126" w:type="dxa"/>
            <w:tcBorders>
              <w:bottom w:val="single" w:sz="4" w:space="0" w:color="B3B3B3"/>
            </w:tcBorders>
            <w:shd w:val="clear" w:color="000000" w:fill="E6E6E6"/>
          </w:tcPr>
          <w:p w14:paraId="3784EB16" w14:textId="77777777" w:rsidR="00DF47E9" w:rsidRPr="002B0541" w:rsidRDefault="00DF47E9" w:rsidP="002B0541">
            <w:pPr>
              <w:pStyle w:val="BodyText"/>
              <w:spacing w:before="45" w:after="45"/>
              <w:ind w:left="57" w:right="108"/>
              <w:jc w:val="right"/>
              <w:rPr>
                <w:rFonts w:cs="Open Sans"/>
                <w:color w:val="000000"/>
                <w:sz w:val="18"/>
              </w:rPr>
            </w:pPr>
            <w:r w:rsidRPr="002B0541">
              <w:rPr>
                <w:rFonts w:cs="Open Sans"/>
                <w:color w:val="000000"/>
                <w:sz w:val="18"/>
              </w:rPr>
              <w:t>27</w:t>
            </w:r>
          </w:p>
        </w:tc>
      </w:tr>
    </w:tbl>
    <w:p w14:paraId="6401E0F0" w14:textId="77777777" w:rsidR="00DF47E9" w:rsidRDefault="00DF47E9">
      <w:pPr>
        <w:spacing w:before="0" w:after="160" w:line="259" w:lineRule="auto"/>
      </w:pPr>
    </w:p>
    <w:p w14:paraId="60C86F79" w14:textId="7401BBDD" w:rsidR="00C74CB9" w:rsidRDefault="00C74CB9" w:rsidP="008D3B62">
      <w:pPr>
        <w:pStyle w:val="FigureTableHeading"/>
        <w:keepLines/>
      </w:pPr>
      <w:r w:rsidRPr="00C74CB9">
        <w:lastRenderedPageBreak/>
        <w:t>Table A.2 – Consultations</w:t>
      </w:r>
    </w:p>
    <w:tbl>
      <w:tblPr>
        <w:tblW w:w="9639" w:type="dxa"/>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9639"/>
      </w:tblGrid>
      <w:tr w:rsidR="003B311F" w:rsidRPr="003B311F" w14:paraId="21EC84EB" w14:textId="77777777" w:rsidTr="00AD0D40">
        <w:trPr>
          <w:trHeight w:val="227"/>
          <w:tblHeader/>
        </w:trPr>
        <w:tc>
          <w:tcPr>
            <w:tcW w:w="9639" w:type="dxa"/>
            <w:tcBorders>
              <w:bottom w:val="single" w:sz="4" w:space="0" w:color="B3B3B3"/>
            </w:tcBorders>
            <w:shd w:val="clear" w:color="000000" w:fill="auto"/>
            <w:vAlign w:val="bottom"/>
          </w:tcPr>
          <w:p w14:paraId="7DB8499A" w14:textId="261D5FD0" w:rsidR="003B311F" w:rsidRPr="003B311F" w:rsidRDefault="003B311F" w:rsidP="008D3B62">
            <w:pPr>
              <w:pStyle w:val="BodyText"/>
              <w:keepNext/>
              <w:keepLines/>
              <w:spacing w:before="45" w:after="45"/>
              <w:ind w:left="57" w:right="108"/>
              <w:rPr>
                <w:rFonts w:cs="Open Sans"/>
                <w:b/>
                <w:color w:val="1D4374"/>
                <w:sz w:val="18"/>
              </w:rPr>
            </w:pPr>
            <w:r w:rsidRPr="003B311F">
              <w:rPr>
                <w:rFonts w:cs="Open Sans"/>
                <w:b/>
                <w:color w:val="1D4374"/>
                <w:sz w:val="18"/>
              </w:rPr>
              <w:t>Participants</w:t>
            </w:r>
          </w:p>
        </w:tc>
      </w:tr>
      <w:tr w:rsidR="00DF47E9" w:rsidRPr="003B311F" w14:paraId="58C30B1A" w14:textId="77777777" w:rsidTr="003B311F">
        <w:tc>
          <w:tcPr>
            <w:tcW w:w="9639" w:type="dxa"/>
            <w:tcBorders>
              <w:top w:val="single" w:sz="4" w:space="0" w:color="B3B3B3"/>
              <w:bottom w:val="nil"/>
            </w:tcBorders>
            <w:shd w:val="clear" w:color="000000" w:fill="E6E6E6"/>
          </w:tcPr>
          <w:p w14:paraId="09B3FB79" w14:textId="15F2C219" w:rsidR="00DF47E9" w:rsidRPr="003B311F" w:rsidRDefault="00DF47E9" w:rsidP="008D3B62">
            <w:pPr>
              <w:pStyle w:val="BodyText"/>
              <w:keepNext/>
              <w:keepLines/>
              <w:spacing w:before="45" w:after="45"/>
              <w:ind w:left="57" w:right="108"/>
              <w:rPr>
                <w:rFonts w:cs="Open Sans"/>
                <w:bCs/>
                <w:sz w:val="18"/>
              </w:rPr>
            </w:pPr>
            <w:r w:rsidRPr="003B311F">
              <w:rPr>
                <w:rFonts w:cs="Open Sans"/>
                <w:bCs/>
                <w:sz w:val="18"/>
              </w:rPr>
              <w:t>Anti</w:t>
            </w:r>
            <w:r w:rsidR="00541146" w:rsidRPr="003B311F">
              <w:rPr>
                <w:rFonts w:cs="Open Sans"/>
                <w:bCs/>
                <w:sz w:val="18"/>
              </w:rPr>
              <w:noBreakHyphen/>
            </w:r>
            <w:r w:rsidRPr="003B311F">
              <w:rPr>
                <w:rFonts w:cs="Open Sans"/>
                <w:bCs/>
                <w:sz w:val="18"/>
              </w:rPr>
              <w:t>Dumping Commission (ADC)</w:t>
            </w:r>
          </w:p>
        </w:tc>
      </w:tr>
      <w:tr w:rsidR="00DF47E9" w:rsidRPr="003B311F" w14:paraId="5184CB4B" w14:textId="77777777" w:rsidTr="003B311F">
        <w:tc>
          <w:tcPr>
            <w:tcW w:w="9639" w:type="dxa"/>
            <w:tcBorders>
              <w:top w:val="nil"/>
              <w:bottom w:val="nil"/>
            </w:tcBorders>
            <w:shd w:val="clear" w:color="000000" w:fill="auto"/>
          </w:tcPr>
          <w:p w14:paraId="4D8DBC7C" w14:textId="31EB9AF8" w:rsidR="00DF47E9" w:rsidRPr="003B311F" w:rsidRDefault="00DF47E9" w:rsidP="008D3B62">
            <w:pPr>
              <w:keepNext/>
              <w:keepLines/>
              <w:spacing w:before="45" w:after="45"/>
              <w:ind w:left="57" w:right="108"/>
              <w:rPr>
                <w:rFonts w:cs="Open Sans"/>
                <w:bCs/>
                <w:sz w:val="18"/>
              </w:rPr>
            </w:pPr>
            <w:r w:rsidRPr="003B311F">
              <w:rPr>
                <w:rFonts w:cs="Open Sans"/>
                <w:bCs/>
                <w:sz w:val="18"/>
              </w:rPr>
              <w:t>Australia Border Force (ABF)</w:t>
            </w:r>
          </w:p>
        </w:tc>
      </w:tr>
      <w:tr w:rsidR="00DF47E9" w:rsidRPr="003B311F" w14:paraId="099E762A" w14:textId="77777777" w:rsidTr="003B311F">
        <w:tc>
          <w:tcPr>
            <w:tcW w:w="9639" w:type="dxa"/>
            <w:tcBorders>
              <w:bottom w:val="nil"/>
            </w:tcBorders>
            <w:shd w:val="clear" w:color="000000" w:fill="E6E6E6"/>
          </w:tcPr>
          <w:p w14:paraId="6E77EBD0" w14:textId="66D88C99" w:rsidR="00DF47E9" w:rsidRPr="003B311F" w:rsidRDefault="00DF47E9" w:rsidP="008D3B62">
            <w:pPr>
              <w:keepNext/>
              <w:keepLines/>
              <w:spacing w:before="45" w:after="45"/>
              <w:ind w:left="57" w:right="108"/>
              <w:rPr>
                <w:rFonts w:cs="Open Sans"/>
                <w:bCs/>
                <w:sz w:val="18"/>
              </w:rPr>
            </w:pPr>
            <w:r w:rsidRPr="003B311F">
              <w:rPr>
                <w:rFonts w:cs="Open Sans"/>
                <w:bCs/>
                <w:sz w:val="18"/>
              </w:rPr>
              <w:t>Australian Building Codes Board</w:t>
            </w:r>
          </w:p>
        </w:tc>
      </w:tr>
      <w:tr w:rsidR="00DF47E9" w:rsidRPr="003B311F" w14:paraId="565A74D5" w14:textId="77777777" w:rsidTr="003B311F">
        <w:tc>
          <w:tcPr>
            <w:tcW w:w="9639" w:type="dxa"/>
            <w:tcBorders>
              <w:top w:val="nil"/>
              <w:bottom w:val="nil"/>
            </w:tcBorders>
            <w:shd w:val="clear" w:color="000000" w:fill="auto"/>
          </w:tcPr>
          <w:p w14:paraId="1F27D671" w14:textId="4A374A3A" w:rsidR="00DF47E9" w:rsidRPr="003B311F" w:rsidRDefault="00DF47E9" w:rsidP="008D3B62">
            <w:pPr>
              <w:keepNext/>
              <w:keepLines/>
              <w:spacing w:before="45" w:after="45"/>
              <w:ind w:left="57" w:right="108"/>
              <w:rPr>
                <w:rFonts w:cs="Open Sans"/>
                <w:bCs/>
                <w:sz w:val="18"/>
              </w:rPr>
            </w:pPr>
            <w:r w:rsidRPr="003B311F">
              <w:rPr>
                <w:rFonts w:cs="Open Sans"/>
                <w:bCs/>
                <w:sz w:val="18"/>
              </w:rPr>
              <w:t>Australian Bureau of Statistics (ABS)</w:t>
            </w:r>
          </w:p>
        </w:tc>
      </w:tr>
      <w:tr w:rsidR="00DF47E9" w:rsidRPr="003B311F" w14:paraId="40511A3D" w14:textId="77777777" w:rsidTr="003B311F">
        <w:tc>
          <w:tcPr>
            <w:tcW w:w="9639" w:type="dxa"/>
            <w:tcBorders>
              <w:bottom w:val="nil"/>
            </w:tcBorders>
            <w:shd w:val="clear" w:color="000000" w:fill="E6E6E6"/>
          </w:tcPr>
          <w:p w14:paraId="6740E9AA" w14:textId="6144D0D4" w:rsidR="00DF47E9" w:rsidRPr="003B311F" w:rsidRDefault="00DF47E9" w:rsidP="003B311F">
            <w:pPr>
              <w:spacing w:before="45" w:after="45"/>
              <w:ind w:left="57" w:right="108"/>
              <w:rPr>
                <w:rFonts w:cs="Open Sans"/>
                <w:bCs/>
                <w:sz w:val="18"/>
              </w:rPr>
            </w:pPr>
            <w:r w:rsidRPr="003B311F">
              <w:rPr>
                <w:rFonts w:cs="Open Sans"/>
                <w:bCs/>
                <w:sz w:val="18"/>
              </w:rPr>
              <w:t>Australian Constructors Association</w:t>
            </w:r>
          </w:p>
        </w:tc>
      </w:tr>
      <w:tr w:rsidR="00DF47E9" w:rsidRPr="003B311F" w14:paraId="7D976AE8" w14:textId="77777777" w:rsidTr="003B311F">
        <w:tc>
          <w:tcPr>
            <w:tcW w:w="9639" w:type="dxa"/>
            <w:tcBorders>
              <w:top w:val="nil"/>
              <w:bottom w:val="nil"/>
            </w:tcBorders>
            <w:shd w:val="clear" w:color="000000" w:fill="auto"/>
          </w:tcPr>
          <w:p w14:paraId="02687D31" w14:textId="338BC62F" w:rsidR="00DF47E9" w:rsidRPr="003B311F" w:rsidRDefault="00DF47E9" w:rsidP="003B311F">
            <w:pPr>
              <w:spacing w:before="45" w:after="45"/>
              <w:ind w:left="57" w:right="108"/>
              <w:rPr>
                <w:rFonts w:cs="Open Sans"/>
                <w:bCs/>
                <w:sz w:val="18"/>
              </w:rPr>
            </w:pPr>
            <w:r w:rsidRPr="003B311F">
              <w:rPr>
                <w:rFonts w:cs="Open Sans"/>
                <w:bCs/>
                <w:sz w:val="18"/>
              </w:rPr>
              <w:t>Australian Government Department of Foreign Affairs and Trade (DFAT)</w:t>
            </w:r>
          </w:p>
        </w:tc>
      </w:tr>
      <w:tr w:rsidR="00DF47E9" w:rsidRPr="003B311F" w14:paraId="54BA8627" w14:textId="77777777" w:rsidTr="003B311F">
        <w:tc>
          <w:tcPr>
            <w:tcW w:w="9639" w:type="dxa"/>
            <w:tcBorders>
              <w:bottom w:val="nil"/>
            </w:tcBorders>
            <w:shd w:val="clear" w:color="000000" w:fill="E6E6E6"/>
          </w:tcPr>
          <w:p w14:paraId="05CE41AF" w14:textId="33F916EA" w:rsidR="00DF47E9" w:rsidRPr="003B311F" w:rsidRDefault="00DF47E9" w:rsidP="003B311F">
            <w:pPr>
              <w:spacing w:before="45" w:after="45"/>
              <w:ind w:left="57" w:right="108"/>
              <w:rPr>
                <w:rFonts w:cs="Open Sans"/>
                <w:bCs/>
                <w:sz w:val="18"/>
              </w:rPr>
            </w:pPr>
            <w:r w:rsidRPr="003B311F">
              <w:rPr>
                <w:rFonts w:cs="Open Sans"/>
                <w:bCs/>
                <w:sz w:val="18"/>
              </w:rPr>
              <w:t xml:space="preserve">Australian Government Department of Industry, Science and Resources </w:t>
            </w:r>
          </w:p>
        </w:tc>
      </w:tr>
      <w:tr w:rsidR="00DF47E9" w:rsidRPr="003B311F" w14:paraId="6E9C07C4" w14:textId="77777777" w:rsidTr="003B311F">
        <w:tc>
          <w:tcPr>
            <w:tcW w:w="9639" w:type="dxa"/>
            <w:tcBorders>
              <w:top w:val="nil"/>
              <w:bottom w:val="nil"/>
            </w:tcBorders>
            <w:shd w:val="clear" w:color="000000" w:fill="auto"/>
          </w:tcPr>
          <w:p w14:paraId="12B96D1F" w14:textId="13A1A99D" w:rsidR="00DF47E9" w:rsidRPr="003B311F" w:rsidRDefault="00DF47E9" w:rsidP="003B311F">
            <w:pPr>
              <w:spacing w:before="45" w:after="45"/>
              <w:ind w:left="57" w:right="108"/>
              <w:rPr>
                <w:rFonts w:cs="Open Sans"/>
                <w:bCs/>
                <w:sz w:val="18"/>
              </w:rPr>
            </w:pPr>
            <w:r w:rsidRPr="003B311F">
              <w:rPr>
                <w:rFonts w:cs="Open Sans"/>
                <w:bCs/>
                <w:sz w:val="18"/>
              </w:rPr>
              <w:t>Australian Government Department of the Treasury</w:t>
            </w:r>
          </w:p>
        </w:tc>
      </w:tr>
      <w:tr w:rsidR="00DF47E9" w:rsidRPr="003B311F" w14:paraId="019E7F21" w14:textId="77777777" w:rsidTr="003B311F">
        <w:tc>
          <w:tcPr>
            <w:tcW w:w="9639" w:type="dxa"/>
            <w:tcBorders>
              <w:bottom w:val="nil"/>
            </w:tcBorders>
            <w:shd w:val="clear" w:color="000000" w:fill="E6E6E6"/>
          </w:tcPr>
          <w:p w14:paraId="72E2CB4F" w14:textId="31F22A32" w:rsidR="00DF47E9" w:rsidRPr="003B311F" w:rsidRDefault="00DF47E9" w:rsidP="003B311F">
            <w:pPr>
              <w:spacing w:before="45" w:after="45"/>
              <w:ind w:left="57" w:right="108"/>
              <w:rPr>
                <w:rFonts w:cs="Open Sans"/>
                <w:bCs/>
                <w:sz w:val="18"/>
              </w:rPr>
            </w:pPr>
            <w:r w:rsidRPr="003B311F">
              <w:rPr>
                <w:rFonts w:cs="Open Sans"/>
                <w:bCs/>
                <w:sz w:val="18"/>
              </w:rPr>
              <w:t>Australian Industry Group</w:t>
            </w:r>
          </w:p>
        </w:tc>
      </w:tr>
      <w:tr w:rsidR="00DF47E9" w:rsidRPr="003B311F" w14:paraId="16C1EB5C" w14:textId="77777777" w:rsidTr="003B311F">
        <w:tc>
          <w:tcPr>
            <w:tcW w:w="9639" w:type="dxa"/>
            <w:tcBorders>
              <w:top w:val="nil"/>
              <w:bottom w:val="nil"/>
            </w:tcBorders>
            <w:shd w:val="clear" w:color="000000" w:fill="auto"/>
          </w:tcPr>
          <w:p w14:paraId="387FB7FB" w14:textId="4FE684B5" w:rsidR="00DF47E9" w:rsidRPr="003B311F" w:rsidRDefault="00DF47E9" w:rsidP="003B311F">
            <w:pPr>
              <w:spacing w:before="45" w:after="45"/>
              <w:ind w:left="57" w:right="108"/>
              <w:rPr>
                <w:rFonts w:cs="Open Sans"/>
                <w:bCs/>
                <w:sz w:val="18"/>
              </w:rPr>
            </w:pPr>
            <w:r w:rsidRPr="003B311F">
              <w:rPr>
                <w:rFonts w:cs="Open Sans"/>
                <w:bCs/>
                <w:sz w:val="18"/>
              </w:rPr>
              <w:t>Australian Steel Association</w:t>
            </w:r>
          </w:p>
        </w:tc>
      </w:tr>
      <w:tr w:rsidR="00DF47E9" w:rsidRPr="003B311F" w14:paraId="3F80FD87" w14:textId="77777777" w:rsidTr="003B311F">
        <w:tc>
          <w:tcPr>
            <w:tcW w:w="9639" w:type="dxa"/>
            <w:tcBorders>
              <w:bottom w:val="nil"/>
            </w:tcBorders>
            <w:shd w:val="clear" w:color="000000" w:fill="E6E6E6"/>
          </w:tcPr>
          <w:p w14:paraId="286ED8D4" w14:textId="4BD09007" w:rsidR="00DF47E9" w:rsidRPr="003B311F" w:rsidRDefault="00DF47E9" w:rsidP="003B311F">
            <w:pPr>
              <w:spacing w:before="45" w:after="45"/>
              <w:ind w:left="57" w:right="108"/>
              <w:rPr>
                <w:rFonts w:cs="Open Sans"/>
                <w:bCs/>
                <w:sz w:val="18"/>
              </w:rPr>
            </w:pPr>
            <w:r w:rsidRPr="003B311F">
              <w:rPr>
                <w:rFonts w:cs="Open Sans"/>
                <w:bCs/>
                <w:sz w:val="18"/>
              </w:rPr>
              <w:t>Australian Steel Institute (ASI)</w:t>
            </w:r>
          </w:p>
        </w:tc>
      </w:tr>
      <w:tr w:rsidR="00DF47E9" w:rsidRPr="003B311F" w14:paraId="3B7C5EC8" w14:textId="77777777" w:rsidTr="003B311F">
        <w:tc>
          <w:tcPr>
            <w:tcW w:w="9639" w:type="dxa"/>
            <w:tcBorders>
              <w:top w:val="nil"/>
              <w:bottom w:val="nil"/>
            </w:tcBorders>
            <w:shd w:val="clear" w:color="000000" w:fill="auto"/>
          </w:tcPr>
          <w:p w14:paraId="528B0CF1" w14:textId="3631C47E" w:rsidR="00DF47E9" w:rsidRPr="003B311F" w:rsidRDefault="00DF47E9" w:rsidP="003B311F">
            <w:pPr>
              <w:spacing w:before="45" w:after="45"/>
              <w:ind w:left="57" w:right="108"/>
              <w:rPr>
                <w:rFonts w:cs="Open Sans"/>
                <w:bCs/>
                <w:sz w:val="18"/>
              </w:rPr>
            </w:pPr>
            <w:r w:rsidRPr="003B311F">
              <w:rPr>
                <w:rFonts w:cs="Open Sans"/>
                <w:bCs/>
                <w:sz w:val="18"/>
              </w:rPr>
              <w:t>Belmore Engineering</w:t>
            </w:r>
          </w:p>
        </w:tc>
      </w:tr>
      <w:tr w:rsidR="00DF47E9" w:rsidRPr="003B311F" w14:paraId="796DB9C4" w14:textId="77777777" w:rsidTr="003B311F">
        <w:tc>
          <w:tcPr>
            <w:tcW w:w="9639" w:type="dxa"/>
            <w:tcBorders>
              <w:bottom w:val="nil"/>
            </w:tcBorders>
            <w:shd w:val="clear" w:color="000000" w:fill="E6E6E6"/>
          </w:tcPr>
          <w:p w14:paraId="2D4CE158" w14:textId="2EEDEAC6" w:rsidR="00DF47E9" w:rsidRPr="003B311F" w:rsidRDefault="00DF47E9" w:rsidP="003B311F">
            <w:pPr>
              <w:spacing w:before="45" w:after="45"/>
              <w:ind w:left="57" w:right="108"/>
              <w:rPr>
                <w:rFonts w:cs="Open Sans"/>
                <w:bCs/>
                <w:sz w:val="18"/>
              </w:rPr>
            </w:pPr>
            <w:r w:rsidRPr="003B311F">
              <w:rPr>
                <w:rFonts w:cs="Open Sans"/>
                <w:bCs/>
                <w:sz w:val="18"/>
              </w:rPr>
              <w:t>BlueScope Steel</w:t>
            </w:r>
          </w:p>
        </w:tc>
      </w:tr>
      <w:tr w:rsidR="00DF47E9" w:rsidRPr="003B311F" w14:paraId="24617F6E" w14:textId="77777777" w:rsidTr="003B311F">
        <w:tc>
          <w:tcPr>
            <w:tcW w:w="9639" w:type="dxa"/>
            <w:tcBorders>
              <w:top w:val="nil"/>
              <w:bottom w:val="nil"/>
            </w:tcBorders>
            <w:shd w:val="clear" w:color="000000" w:fill="auto"/>
          </w:tcPr>
          <w:p w14:paraId="017C9B61" w14:textId="1EDD0408" w:rsidR="00DF47E9" w:rsidRPr="003B311F" w:rsidRDefault="00DF47E9" w:rsidP="003B311F">
            <w:pPr>
              <w:spacing w:before="45" w:after="45"/>
              <w:ind w:left="57" w:right="108"/>
              <w:rPr>
                <w:rFonts w:cs="Open Sans"/>
                <w:bCs/>
                <w:sz w:val="18"/>
              </w:rPr>
            </w:pPr>
            <w:r w:rsidRPr="003B311F">
              <w:rPr>
                <w:rFonts w:cs="Open Sans"/>
                <w:bCs/>
                <w:sz w:val="18"/>
              </w:rPr>
              <w:t>Brown Steel</w:t>
            </w:r>
          </w:p>
        </w:tc>
      </w:tr>
      <w:tr w:rsidR="00DF47E9" w:rsidRPr="003B311F" w14:paraId="15FE8FFE" w14:textId="77777777" w:rsidTr="003B311F">
        <w:tc>
          <w:tcPr>
            <w:tcW w:w="9639" w:type="dxa"/>
            <w:tcBorders>
              <w:bottom w:val="nil"/>
            </w:tcBorders>
            <w:shd w:val="clear" w:color="000000" w:fill="E6E6E6"/>
          </w:tcPr>
          <w:p w14:paraId="4B62525D" w14:textId="7ACC1E3F" w:rsidR="00DF47E9" w:rsidRPr="003B311F" w:rsidRDefault="00DF47E9" w:rsidP="003B311F">
            <w:pPr>
              <w:spacing w:before="45" w:after="45"/>
              <w:ind w:left="57" w:right="108"/>
              <w:rPr>
                <w:rFonts w:cs="Open Sans"/>
                <w:bCs/>
                <w:sz w:val="18"/>
              </w:rPr>
            </w:pPr>
            <w:r w:rsidRPr="003B311F">
              <w:rPr>
                <w:rFonts w:cs="Open Sans"/>
                <w:bCs/>
                <w:sz w:val="18"/>
              </w:rPr>
              <w:t>Capral Aluminium</w:t>
            </w:r>
          </w:p>
        </w:tc>
      </w:tr>
      <w:tr w:rsidR="00DF47E9" w:rsidRPr="003B311F" w14:paraId="6DBDF5BC" w14:textId="77777777" w:rsidTr="003B311F">
        <w:tc>
          <w:tcPr>
            <w:tcW w:w="9639" w:type="dxa"/>
            <w:tcBorders>
              <w:top w:val="nil"/>
              <w:bottom w:val="nil"/>
            </w:tcBorders>
            <w:shd w:val="clear" w:color="000000" w:fill="auto"/>
          </w:tcPr>
          <w:p w14:paraId="61E6C91B" w14:textId="360593CE" w:rsidR="00DF47E9" w:rsidRPr="003B311F" w:rsidRDefault="00DF47E9" w:rsidP="003B311F">
            <w:pPr>
              <w:spacing w:before="45" w:after="45"/>
              <w:ind w:left="57" w:right="108"/>
              <w:rPr>
                <w:rFonts w:cs="Open Sans"/>
                <w:bCs/>
                <w:sz w:val="18"/>
              </w:rPr>
            </w:pPr>
            <w:r w:rsidRPr="003B311F">
              <w:rPr>
                <w:rFonts w:cs="Open Sans"/>
                <w:bCs/>
                <w:sz w:val="18"/>
              </w:rPr>
              <w:t>China Chamber of Commerce of Metals, Minerals and Chemicals Importers and Exporters (CCCMC)</w:t>
            </w:r>
          </w:p>
        </w:tc>
      </w:tr>
      <w:tr w:rsidR="00DF47E9" w:rsidRPr="003B311F" w14:paraId="46BD8F2D" w14:textId="77777777" w:rsidTr="003B311F">
        <w:tc>
          <w:tcPr>
            <w:tcW w:w="9639" w:type="dxa"/>
            <w:tcBorders>
              <w:bottom w:val="nil"/>
            </w:tcBorders>
            <w:shd w:val="clear" w:color="000000" w:fill="E6E6E6"/>
          </w:tcPr>
          <w:p w14:paraId="2B8920D6" w14:textId="736E2FDF" w:rsidR="00DF47E9" w:rsidRPr="003B311F" w:rsidRDefault="00DF47E9" w:rsidP="003B311F">
            <w:pPr>
              <w:spacing w:before="45" w:after="45"/>
              <w:ind w:left="57" w:right="108"/>
              <w:rPr>
                <w:rFonts w:cs="Open Sans"/>
                <w:bCs/>
                <w:sz w:val="18"/>
              </w:rPr>
            </w:pPr>
            <w:r w:rsidRPr="003B311F">
              <w:rPr>
                <w:rFonts w:cs="Open Sans"/>
                <w:bCs/>
                <w:sz w:val="18"/>
              </w:rPr>
              <w:t>Continental Steel</w:t>
            </w:r>
          </w:p>
        </w:tc>
      </w:tr>
      <w:tr w:rsidR="00DF47E9" w:rsidRPr="003B311F" w14:paraId="0B13009E" w14:textId="77777777" w:rsidTr="003B311F">
        <w:tc>
          <w:tcPr>
            <w:tcW w:w="9639" w:type="dxa"/>
            <w:tcBorders>
              <w:top w:val="nil"/>
              <w:bottom w:val="nil"/>
            </w:tcBorders>
            <w:shd w:val="clear" w:color="000000" w:fill="auto"/>
          </w:tcPr>
          <w:p w14:paraId="712A9E97" w14:textId="4751011A" w:rsidR="00DF47E9" w:rsidRPr="003B311F" w:rsidRDefault="00DF47E9" w:rsidP="003B311F">
            <w:pPr>
              <w:spacing w:before="45" w:after="45"/>
              <w:ind w:left="57" w:right="108"/>
              <w:rPr>
                <w:rFonts w:cs="Open Sans"/>
                <w:bCs/>
                <w:sz w:val="18"/>
              </w:rPr>
            </w:pPr>
            <w:r w:rsidRPr="003B311F">
              <w:rPr>
                <w:rFonts w:cs="Open Sans"/>
                <w:bCs/>
                <w:sz w:val="18"/>
              </w:rPr>
              <w:t>Embassy of the People’s Republic of China</w:t>
            </w:r>
          </w:p>
        </w:tc>
      </w:tr>
      <w:tr w:rsidR="00DF47E9" w:rsidRPr="003B311F" w14:paraId="178777ED" w14:textId="77777777" w:rsidTr="003B311F">
        <w:tc>
          <w:tcPr>
            <w:tcW w:w="9639" w:type="dxa"/>
            <w:tcBorders>
              <w:bottom w:val="nil"/>
            </w:tcBorders>
            <w:shd w:val="clear" w:color="000000" w:fill="E6E6E6"/>
          </w:tcPr>
          <w:p w14:paraId="730B6751" w14:textId="672AE5AB" w:rsidR="00DF47E9" w:rsidRPr="003B311F" w:rsidRDefault="00DF47E9" w:rsidP="003B311F">
            <w:pPr>
              <w:spacing w:before="45" w:after="45"/>
              <w:ind w:left="57" w:right="108"/>
              <w:rPr>
                <w:rFonts w:cs="Open Sans"/>
                <w:bCs/>
                <w:sz w:val="18"/>
              </w:rPr>
            </w:pPr>
            <w:r w:rsidRPr="003B311F">
              <w:rPr>
                <w:rFonts w:cs="Open Sans"/>
                <w:bCs/>
                <w:sz w:val="18"/>
              </w:rPr>
              <w:t xml:space="preserve">Embassy of the Republic of Indonesia </w:t>
            </w:r>
          </w:p>
        </w:tc>
      </w:tr>
      <w:tr w:rsidR="00DF47E9" w:rsidRPr="003B311F" w14:paraId="6D581169" w14:textId="77777777" w:rsidTr="003B311F">
        <w:tc>
          <w:tcPr>
            <w:tcW w:w="9639" w:type="dxa"/>
            <w:tcBorders>
              <w:top w:val="nil"/>
              <w:bottom w:val="nil"/>
            </w:tcBorders>
            <w:shd w:val="clear" w:color="000000" w:fill="auto"/>
          </w:tcPr>
          <w:p w14:paraId="43108F59" w14:textId="65E8233F" w:rsidR="00DF47E9" w:rsidRPr="003B311F" w:rsidRDefault="00DF47E9" w:rsidP="003B311F">
            <w:pPr>
              <w:spacing w:before="45" w:after="45"/>
              <w:ind w:left="57" w:right="108"/>
              <w:rPr>
                <w:rFonts w:cs="Open Sans"/>
                <w:bCs/>
                <w:sz w:val="18"/>
              </w:rPr>
            </w:pPr>
            <w:r w:rsidRPr="003B311F">
              <w:rPr>
                <w:rFonts w:cs="Open Sans"/>
                <w:bCs/>
                <w:sz w:val="18"/>
              </w:rPr>
              <w:t>Embassy of the United States of America</w:t>
            </w:r>
          </w:p>
        </w:tc>
      </w:tr>
      <w:tr w:rsidR="00DF47E9" w:rsidRPr="003B311F" w14:paraId="44A39E69" w14:textId="77777777" w:rsidTr="003B311F">
        <w:tc>
          <w:tcPr>
            <w:tcW w:w="9639" w:type="dxa"/>
            <w:tcBorders>
              <w:bottom w:val="nil"/>
            </w:tcBorders>
            <w:shd w:val="clear" w:color="000000" w:fill="E6E6E6"/>
          </w:tcPr>
          <w:p w14:paraId="66A0DF4E" w14:textId="7DFF36EC" w:rsidR="00DF47E9" w:rsidRPr="003B311F" w:rsidRDefault="00DF47E9" w:rsidP="003B311F">
            <w:pPr>
              <w:spacing w:before="45" w:after="45"/>
              <w:ind w:left="57" w:right="108"/>
              <w:rPr>
                <w:rFonts w:cs="Open Sans"/>
                <w:bCs/>
                <w:sz w:val="18"/>
              </w:rPr>
            </w:pPr>
            <w:r w:rsidRPr="003B311F">
              <w:rPr>
                <w:rFonts w:cs="Open Sans"/>
                <w:bCs/>
                <w:sz w:val="18"/>
              </w:rPr>
              <w:t>Galvanizers Association of Australia</w:t>
            </w:r>
          </w:p>
        </w:tc>
      </w:tr>
      <w:tr w:rsidR="00DF47E9" w:rsidRPr="003B311F" w14:paraId="424EC10F" w14:textId="77777777" w:rsidTr="003B311F">
        <w:tc>
          <w:tcPr>
            <w:tcW w:w="9639" w:type="dxa"/>
            <w:tcBorders>
              <w:top w:val="nil"/>
              <w:bottom w:val="nil"/>
            </w:tcBorders>
            <w:shd w:val="clear" w:color="000000" w:fill="auto"/>
          </w:tcPr>
          <w:p w14:paraId="5400EB46" w14:textId="2BE1B4F6" w:rsidR="00DF47E9" w:rsidRPr="003B311F" w:rsidRDefault="00DF47E9" w:rsidP="003B311F">
            <w:pPr>
              <w:spacing w:before="45" w:after="45"/>
              <w:ind w:left="57" w:right="108"/>
              <w:rPr>
                <w:rFonts w:cs="Open Sans"/>
                <w:bCs/>
                <w:sz w:val="18"/>
              </w:rPr>
            </w:pPr>
            <w:proofErr w:type="spellStart"/>
            <w:r w:rsidRPr="003B311F">
              <w:rPr>
                <w:rFonts w:cs="Open Sans"/>
                <w:bCs/>
                <w:sz w:val="18"/>
              </w:rPr>
              <w:t>InfraBuild</w:t>
            </w:r>
            <w:proofErr w:type="spellEnd"/>
          </w:p>
        </w:tc>
      </w:tr>
      <w:tr w:rsidR="00DF47E9" w:rsidRPr="003B311F" w14:paraId="60492A4E" w14:textId="77777777" w:rsidTr="003B311F">
        <w:tc>
          <w:tcPr>
            <w:tcW w:w="9639" w:type="dxa"/>
            <w:tcBorders>
              <w:bottom w:val="nil"/>
            </w:tcBorders>
            <w:shd w:val="clear" w:color="000000" w:fill="E6E6E6"/>
          </w:tcPr>
          <w:p w14:paraId="6251341D" w14:textId="58D0D0A3" w:rsidR="00DF47E9" w:rsidRPr="003B311F" w:rsidRDefault="00DF47E9" w:rsidP="003B311F">
            <w:pPr>
              <w:spacing w:before="45" w:after="45"/>
              <w:ind w:left="57" w:right="108"/>
              <w:rPr>
                <w:rFonts w:cs="Open Sans"/>
                <w:bCs/>
                <w:sz w:val="18"/>
              </w:rPr>
            </w:pPr>
            <w:r w:rsidRPr="003B311F">
              <w:rPr>
                <w:rFonts w:cs="Open Sans"/>
                <w:bCs/>
                <w:sz w:val="18"/>
              </w:rPr>
              <w:t>Infrastructure Australia (IA)</w:t>
            </w:r>
          </w:p>
        </w:tc>
      </w:tr>
      <w:tr w:rsidR="00DF47E9" w:rsidRPr="003B311F" w14:paraId="0B86052B" w14:textId="77777777" w:rsidTr="003B311F">
        <w:tc>
          <w:tcPr>
            <w:tcW w:w="9639" w:type="dxa"/>
            <w:tcBorders>
              <w:top w:val="nil"/>
              <w:bottom w:val="nil"/>
            </w:tcBorders>
            <w:shd w:val="clear" w:color="000000" w:fill="auto"/>
          </w:tcPr>
          <w:p w14:paraId="71E8D025" w14:textId="59A725A6" w:rsidR="00DF47E9" w:rsidRPr="003B311F" w:rsidRDefault="00DF47E9" w:rsidP="003B311F">
            <w:pPr>
              <w:spacing w:before="45" w:after="45"/>
              <w:ind w:left="57" w:right="108"/>
              <w:rPr>
                <w:rFonts w:cs="Open Sans"/>
                <w:bCs/>
                <w:sz w:val="18"/>
              </w:rPr>
            </w:pPr>
            <w:r w:rsidRPr="003B311F">
              <w:rPr>
                <w:rFonts w:cs="Open Sans"/>
                <w:bCs/>
                <w:sz w:val="18"/>
              </w:rPr>
              <w:t>Jeff Doran</w:t>
            </w:r>
          </w:p>
        </w:tc>
      </w:tr>
      <w:tr w:rsidR="00DF47E9" w:rsidRPr="003B311F" w14:paraId="0322DB1A" w14:textId="77777777" w:rsidTr="003B311F">
        <w:tc>
          <w:tcPr>
            <w:tcW w:w="9639" w:type="dxa"/>
            <w:tcBorders>
              <w:bottom w:val="nil"/>
            </w:tcBorders>
            <w:shd w:val="clear" w:color="000000" w:fill="E6E6E6"/>
          </w:tcPr>
          <w:p w14:paraId="2F81017D" w14:textId="098BBE60" w:rsidR="00DF47E9" w:rsidRPr="003B311F" w:rsidRDefault="00DF47E9" w:rsidP="003B311F">
            <w:pPr>
              <w:spacing w:before="45" w:after="45"/>
              <w:ind w:left="57" w:right="108"/>
              <w:rPr>
                <w:rFonts w:cs="Open Sans"/>
                <w:bCs/>
                <w:sz w:val="18"/>
              </w:rPr>
            </w:pPr>
            <w:r w:rsidRPr="003B311F">
              <w:rPr>
                <w:rFonts w:cs="Open Sans"/>
                <w:bCs/>
                <w:sz w:val="18"/>
              </w:rPr>
              <w:t>John Holland Group</w:t>
            </w:r>
          </w:p>
        </w:tc>
      </w:tr>
      <w:tr w:rsidR="00DF47E9" w:rsidRPr="003B311F" w14:paraId="7BE030E8" w14:textId="77777777" w:rsidTr="003B311F">
        <w:tc>
          <w:tcPr>
            <w:tcW w:w="9639" w:type="dxa"/>
            <w:tcBorders>
              <w:top w:val="nil"/>
              <w:bottom w:val="nil"/>
            </w:tcBorders>
            <w:shd w:val="clear" w:color="000000" w:fill="auto"/>
          </w:tcPr>
          <w:p w14:paraId="6B3C1AE2" w14:textId="3EAF23CF" w:rsidR="00DF47E9" w:rsidRPr="003B311F" w:rsidRDefault="00DF47E9" w:rsidP="003B311F">
            <w:pPr>
              <w:spacing w:before="45" w:after="45"/>
              <w:ind w:left="57" w:right="108"/>
              <w:rPr>
                <w:rFonts w:cs="Open Sans"/>
                <w:bCs/>
                <w:sz w:val="18"/>
              </w:rPr>
            </w:pPr>
            <w:r w:rsidRPr="003B311F">
              <w:rPr>
                <w:rFonts w:cs="Open Sans"/>
                <w:bCs/>
                <w:sz w:val="18"/>
              </w:rPr>
              <w:t>Department of Jobs, Skills, Industry and Regions (Victoria)</w:t>
            </w:r>
          </w:p>
        </w:tc>
      </w:tr>
      <w:tr w:rsidR="00DF47E9" w:rsidRPr="003B311F" w14:paraId="2AA5382C" w14:textId="77777777" w:rsidTr="003B311F">
        <w:tc>
          <w:tcPr>
            <w:tcW w:w="9639" w:type="dxa"/>
            <w:tcBorders>
              <w:bottom w:val="nil"/>
            </w:tcBorders>
            <w:shd w:val="clear" w:color="000000" w:fill="E6E6E6"/>
          </w:tcPr>
          <w:p w14:paraId="62C13F45" w14:textId="45685001" w:rsidR="00DF47E9" w:rsidRPr="003B311F" w:rsidRDefault="00DF47E9" w:rsidP="003B311F">
            <w:pPr>
              <w:spacing w:before="45" w:after="45"/>
              <w:ind w:left="57" w:right="108"/>
              <w:rPr>
                <w:rFonts w:cs="Open Sans"/>
                <w:bCs/>
                <w:sz w:val="18"/>
              </w:rPr>
            </w:pPr>
            <w:r w:rsidRPr="003B311F">
              <w:rPr>
                <w:rFonts w:cs="Open Sans"/>
                <w:bCs/>
                <w:sz w:val="18"/>
              </w:rPr>
              <w:t>Mario and Sons</w:t>
            </w:r>
          </w:p>
        </w:tc>
      </w:tr>
      <w:tr w:rsidR="00DF47E9" w:rsidRPr="003B311F" w14:paraId="105BA91D" w14:textId="77777777" w:rsidTr="003B311F">
        <w:tc>
          <w:tcPr>
            <w:tcW w:w="9639" w:type="dxa"/>
            <w:tcBorders>
              <w:top w:val="nil"/>
              <w:bottom w:val="nil"/>
            </w:tcBorders>
            <w:shd w:val="clear" w:color="000000" w:fill="auto"/>
          </w:tcPr>
          <w:p w14:paraId="1F68BE5D" w14:textId="74F7416D" w:rsidR="00DF47E9" w:rsidRPr="003B311F" w:rsidRDefault="00DF47E9" w:rsidP="003B311F">
            <w:pPr>
              <w:spacing w:before="45" w:after="45"/>
              <w:ind w:left="57" w:right="108"/>
              <w:rPr>
                <w:rFonts w:cs="Open Sans"/>
                <w:bCs/>
                <w:sz w:val="18"/>
              </w:rPr>
            </w:pPr>
            <w:r w:rsidRPr="003B311F">
              <w:rPr>
                <w:rFonts w:cs="Open Sans"/>
                <w:bCs/>
                <w:sz w:val="18"/>
              </w:rPr>
              <w:t>Master Builders Australia</w:t>
            </w:r>
          </w:p>
        </w:tc>
      </w:tr>
      <w:tr w:rsidR="00DF47E9" w:rsidRPr="003B311F" w14:paraId="153315B3" w14:textId="77777777" w:rsidTr="003B311F">
        <w:tc>
          <w:tcPr>
            <w:tcW w:w="9639" w:type="dxa"/>
            <w:tcBorders>
              <w:bottom w:val="nil"/>
            </w:tcBorders>
            <w:shd w:val="clear" w:color="000000" w:fill="E6E6E6"/>
          </w:tcPr>
          <w:p w14:paraId="27738146" w14:textId="39D76D6A" w:rsidR="00DF47E9" w:rsidRPr="003B311F" w:rsidRDefault="00DF47E9" w:rsidP="003B311F">
            <w:pPr>
              <w:spacing w:before="45" w:after="45"/>
              <w:ind w:left="57" w:right="108"/>
              <w:rPr>
                <w:rFonts w:cs="Open Sans"/>
                <w:bCs/>
                <w:sz w:val="18"/>
              </w:rPr>
            </w:pPr>
            <w:r w:rsidRPr="003B311F">
              <w:rPr>
                <w:rFonts w:cs="Open Sans"/>
                <w:bCs/>
                <w:sz w:val="18"/>
              </w:rPr>
              <w:t>Multiplex</w:t>
            </w:r>
          </w:p>
        </w:tc>
      </w:tr>
      <w:tr w:rsidR="00DF47E9" w:rsidRPr="003B311F" w14:paraId="60E1C4A8" w14:textId="77777777" w:rsidTr="003B311F">
        <w:tc>
          <w:tcPr>
            <w:tcW w:w="9639" w:type="dxa"/>
            <w:tcBorders>
              <w:top w:val="nil"/>
              <w:bottom w:val="nil"/>
            </w:tcBorders>
            <w:shd w:val="clear" w:color="000000" w:fill="auto"/>
          </w:tcPr>
          <w:p w14:paraId="63D44180" w14:textId="55A48C29" w:rsidR="00DF47E9" w:rsidRPr="003B311F" w:rsidRDefault="00DF47E9" w:rsidP="003B311F">
            <w:pPr>
              <w:spacing w:before="45" w:after="45"/>
              <w:ind w:left="57" w:right="108"/>
              <w:rPr>
                <w:rFonts w:cs="Open Sans"/>
                <w:bCs/>
                <w:sz w:val="18"/>
              </w:rPr>
            </w:pPr>
            <w:r w:rsidRPr="003B311F">
              <w:rPr>
                <w:rFonts w:cs="Open Sans"/>
                <w:bCs/>
                <w:sz w:val="18"/>
              </w:rPr>
              <w:t>Organisation for Economic Co</w:t>
            </w:r>
            <w:r w:rsidR="00541146" w:rsidRPr="003B311F">
              <w:rPr>
                <w:rFonts w:cs="Open Sans"/>
                <w:bCs/>
                <w:sz w:val="18"/>
              </w:rPr>
              <w:noBreakHyphen/>
            </w:r>
            <w:r w:rsidRPr="003B311F">
              <w:rPr>
                <w:rFonts w:cs="Open Sans"/>
                <w:bCs/>
                <w:sz w:val="18"/>
              </w:rPr>
              <w:t>operation and Development (OECD)</w:t>
            </w:r>
          </w:p>
        </w:tc>
      </w:tr>
      <w:tr w:rsidR="00DF47E9" w:rsidRPr="003B311F" w14:paraId="2A479E4E" w14:textId="77777777" w:rsidTr="003B311F">
        <w:tc>
          <w:tcPr>
            <w:tcW w:w="9639" w:type="dxa"/>
            <w:tcBorders>
              <w:bottom w:val="nil"/>
            </w:tcBorders>
            <w:shd w:val="clear" w:color="000000" w:fill="E6E6E6"/>
          </w:tcPr>
          <w:p w14:paraId="72C92970" w14:textId="4C890845" w:rsidR="00DF47E9" w:rsidRPr="003B311F" w:rsidRDefault="00DF47E9" w:rsidP="003B311F">
            <w:pPr>
              <w:spacing w:before="45" w:after="45"/>
              <w:ind w:left="57" w:right="108"/>
              <w:rPr>
                <w:rFonts w:cs="Open Sans"/>
                <w:bCs/>
                <w:sz w:val="18"/>
              </w:rPr>
            </w:pPr>
            <w:r w:rsidRPr="003B311F">
              <w:rPr>
                <w:rFonts w:cs="Open Sans"/>
                <w:bCs/>
                <w:sz w:val="18"/>
              </w:rPr>
              <w:t>Oxford Economics Australia</w:t>
            </w:r>
          </w:p>
        </w:tc>
      </w:tr>
      <w:tr w:rsidR="00DF47E9" w:rsidRPr="003B311F" w14:paraId="0B663F81" w14:textId="77777777" w:rsidTr="003B311F">
        <w:trPr>
          <w:tblHeader/>
        </w:trPr>
        <w:tc>
          <w:tcPr>
            <w:tcW w:w="9639" w:type="dxa"/>
            <w:tcBorders>
              <w:top w:val="nil"/>
              <w:bottom w:val="nil"/>
            </w:tcBorders>
            <w:shd w:val="clear" w:color="000000" w:fill="auto"/>
          </w:tcPr>
          <w:p w14:paraId="1890F07A" w14:textId="1F78F21D" w:rsidR="00DF47E9" w:rsidRPr="003B311F" w:rsidRDefault="00DF47E9" w:rsidP="003B311F">
            <w:pPr>
              <w:spacing w:before="45" w:after="45"/>
              <w:ind w:left="57" w:right="108"/>
              <w:rPr>
                <w:rFonts w:cs="Open Sans"/>
                <w:bCs/>
                <w:sz w:val="18"/>
              </w:rPr>
            </w:pPr>
            <w:proofErr w:type="spellStart"/>
            <w:r w:rsidRPr="003B311F">
              <w:rPr>
                <w:rFonts w:cs="Open Sans"/>
                <w:bCs/>
                <w:sz w:val="18"/>
              </w:rPr>
              <w:t>PacifiCO</w:t>
            </w:r>
            <w:proofErr w:type="spellEnd"/>
            <w:r w:rsidRPr="003B311F">
              <w:rPr>
                <w:rFonts w:cs="Open Sans"/>
                <w:bCs/>
                <w:sz w:val="18"/>
              </w:rPr>
              <w:t xml:space="preserve"> Structural Steel </w:t>
            </w:r>
          </w:p>
        </w:tc>
      </w:tr>
      <w:tr w:rsidR="00DF47E9" w:rsidRPr="003B311F" w14:paraId="2AED554B" w14:textId="77777777" w:rsidTr="003B311F">
        <w:tc>
          <w:tcPr>
            <w:tcW w:w="9639" w:type="dxa"/>
            <w:tcBorders>
              <w:bottom w:val="nil"/>
            </w:tcBorders>
            <w:shd w:val="clear" w:color="000000" w:fill="E6E6E6"/>
          </w:tcPr>
          <w:p w14:paraId="6C9F00C4" w14:textId="1121AB01" w:rsidR="00DF47E9" w:rsidRPr="003B311F" w:rsidRDefault="00DF47E9" w:rsidP="003B311F">
            <w:pPr>
              <w:spacing w:before="45" w:after="45"/>
              <w:ind w:left="57" w:right="108"/>
              <w:rPr>
                <w:rFonts w:cs="Open Sans"/>
                <w:bCs/>
                <w:sz w:val="18"/>
              </w:rPr>
            </w:pPr>
            <w:r w:rsidRPr="003B311F">
              <w:rPr>
                <w:rFonts w:cs="Open Sans"/>
                <w:bCs/>
                <w:sz w:val="18"/>
              </w:rPr>
              <w:t>Page Steel</w:t>
            </w:r>
          </w:p>
        </w:tc>
      </w:tr>
      <w:tr w:rsidR="00DF47E9" w:rsidRPr="003B311F" w14:paraId="591A664A" w14:textId="77777777" w:rsidTr="003B311F">
        <w:trPr>
          <w:tblHeader/>
        </w:trPr>
        <w:tc>
          <w:tcPr>
            <w:tcW w:w="9639" w:type="dxa"/>
            <w:tcBorders>
              <w:top w:val="nil"/>
              <w:bottom w:val="nil"/>
            </w:tcBorders>
            <w:shd w:val="clear" w:color="000000" w:fill="auto"/>
          </w:tcPr>
          <w:p w14:paraId="6DEDDBE9" w14:textId="1F68E243" w:rsidR="00DF47E9" w:rsidRPr="003B311F" w:rsidRDefault="00DF47E9" w:rsidP="003B311F">
            <w:pPr>
              <w:spacing w:before="45" w:after="45"/>
              <w:ind w:left="57" w:right="108"/>
              <w:rPr>
                <w:rFonts w:cs="Open Sans"/>
                <w:bCs/>
                <w:sz w:val="18"/>
              </w:rPr>
            </w:pPr>
            <w:r w:rsidRPr="003B311F">
              <w:rPr>
                <w:rFonts w:cs="Open Sans"/>
                <w:bCs/>
                <w:sz w:val="18"/>
              </w:rPr>
              <w:t>Southern Steel Group</w:t>
            </w:r>
          </w:p>
        </w:tc>
      </w:tr>
      <w:tr w:rsidR="00DF47E9" w:rsidRPr="003B311F" w14:paraId="0FB63789" w14:textId="77777777" w:rsidTr="003B311F">
        <w:trPr>
          <w:tblHeader/>
        </w:trPr>
        <w:tc>
          <w:tcPr>
            <w:tcW w:w="9639" w:type="dxa"/>
            <w:tcBorders>
              <w:bottom w:val="nil"/>
            </w:tcBorders>
            <w:shd w:val="clear" w:color="000000" w:fill="E6E6E6"/>
          </w:tcPr>
          <w:p w14:paraId="64D30D68" w14:textId="661767A3" w:rsidR="00DF47E9" w:rsidRPr="003B311F" w:rsidRDefault="00DF47E9" w:rsidP="003B311F">
            <w:pPr>
              <w:spacing w:before="45" w:after="45"/>
              <w:ind w:left="57" w:right="108"/>
              <w:rPr>
                <w:rFonts w:cs="Open Sans"/>
                <w:bCs/>
                <w:sz w:val="18"/>
              </w:rPr>
            </w:pPr>
            <w:r w:rsidRPr="003B311F">
              <w:rPr>
                <w:rFonts w:cs="Open Sans"/>
                <w:bCs/>
                <w:sz w:val="18"/>
              </w:rPr>
              <w:lastRenderedPageBreak/>
              <w:t>Standards Australia</w:t>
            </w:r>
          </w:p>
        </w:tc>
      </w:tr>
      <w:tr w:rsidR="00DF47E9" w:rsidRPr="003B311F" w14:paraId="4A3524F5" w14:textId="77777777" w:rsidTr="003B311F">
        <w:trPr>
          <w:tblHeader/>
        </w:trPr>
        <w:tc>
          <w:tcPr>
            <w:tcW w:w="9639" w:type="dxa"/>
            <w:tcBorders>
              <w:top w:val="nil"/>
              <w:bottom w:val="nil"/>
            </w:tcBorders>
            <w:shd w:val="clear" w:color="000000" w:fill="auto"/>
          </w:tcPr>
          <w:p w14:paraId="5C7D33B2" w14:textId="6370B45E" w:rsidR="00DF47E9" w:rsidRPr="003B311F" w:rsidRDefault="00DF47E9" w:rsidP="003B311F">
            <w:pPr>
              <w:spacing w:before="45" w:after="45"/>
              <w:ind w:left="57" w:right="108"/>
              <w:rPr>
                <w:rFonts w:cs="Open Sans"/>
                <w:bCs/>
                <w:sz w:val="18"/>
              </w:rPr>
            </w:pPr>
            <w:r w:rsidRPr="003B311F">
              <w:rPr>
                <w:rFonts w:cs="Open Sans"/>
                <w:bCs/>
                <w:sz w:val="18"/>
              </w:rPr>
              <w:t>Structural Challenge</w:t>
            </w:r>
          </w:p>
        </w:tc>
      </w:tr>
      <w:tr w:rsidR="00DF47E9" w:rsidRPr="003B311F" w14:paraId="30CADBF0" w14:textId="77777777" w:rsidTr="003B311F">
        <w:trPr>
          <w:tblHeader/>
        </w:trPr>
        <w:tc>
          <w:tcPr>
            <w:tcW w:w="9639" w:type="dxa"/>
            <w:tcBorders>
              <w:bottom w:val="nil"/>
            </w:tcBorders>
            <w:shd w:val="clear" w:color="000000" w:fill="E6E6E6"/>
          </w:tcPr>
          <w:p w14:paraId="73D7970E" w14:textId="52FB686B" w:rsidR="00DF47E9" w:rsidRPr="003B311F" w:rsidRDefault="00DF47E9" w:rsidP="003B311F">
            <w:pPr>
              <w:spacing w:before="45" w:after="45"/>
              <w:ind w:left="57" w:right="108"/>
              <w:rPr>
                <w:rFonts w:cs="Open Sans"/>
                <w:bCs/>
                <w:sz w:val="18"/>
              </w:rPr>
            </w:pPr>
            <w:r w:rsidRPr="003B311F">
              <w:rPr>
                <w:rFonts w:cs="Open Sans"/>
                <w:bCs/>
                <w:sz w:val="18"/>
              </w:rPr>
              <w:t>United Steel Pty Ltd</w:t>
            </w:r>
          </w:p>
        </w:tc>
      </w:tr>
      <w:tr w:rsidR="00DF47E9" w:rsidRPr="003B311F" w14:paraId="31604E41" w14:textId="77777777" w:rsidTr="003B311F">
        <w:trPr>
          <w:tblHeader/>
        </w:trPr>
        <w:tc>
          <w:tcPr>
            <w:tcW w:w="9639" w:type="dxa"/>
            <w:tcBorders>
              <w:top w:val="nil"/>
            </w:tcBorders>
            <w:shd w:val="clear" w:color="000000" w:fill="auto"/>
          </w:tcPr>
          <w:p w14:paraId="716456BC" w14:textId="3E7EE213" w:rsidR="00DF47E9" w:rsidRPr="003B311F" w:rsidRDefault="00DF47E9" w:rsidP="003B311F">
            <w:pPr>
              <w:spacing w:before="45" w:after="45" w:line="240" w:lineRule="atLeast"/>
              <w:ind w:left="57" w:right="108"/>
              <w:rPr>
                <w:rFonts w:cs="Open Sans"/>
                <w:bCs/>
                <w:sz w:val="18"/>
              </w:rPr>
            </w:pPr>
            <w:r w:rsidRPr="003B311F">
              <w:rPr>
                <w:rFonts w:cs="Open Sans"/>
                <w:bCs/>
                <w:sz w:val="18"/>
              </w:rPr>
              <w:t>Vulcan Steel</w:t>
            </w:r>
          </w:p>
        </w:tc>
      </w:tr>
    </w:tbl>
    <w:p w14:paraId="58FC7A55" w14:textId="77777777" w:rsidR="00DF47E9" w:rsidRPr="00BC0980" w:rsidRDefault="00DF47E9" w:rsidP="00C74CB9">
      <w:pPr>
        <w:pStyle w:val="FigureTableHeading"/>
      </w:pPr>
      <w:r w:rsidRPr="00BC0980">
        <w:t>Table A.3 – Public hearings</w:t>
      </w:r>
    </w:p>
    <w:tbl>
      <w:tblPr>
        <w:tblW w:w="9639" w:type="dxa"/>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9639"/>
      </w:tblGrid>
      <w:tr w:rsidR="00DF47E9" w:rsidRPr="00C74CB9" w14:paraId="0EA0377F" w14:textId="77777777" w:rsidTr="00C74CB9">
        <w:trPr>
          <w:tblHeader/>
        </w:trPr>
        <w:tc>
          <w:tcPr>
            <w:tcW w:w="9639" w:type="dxa"/>
            <w:tcBorders>
              <w:bottom w:val="single" w:sz="4" w:space="0" w:color="B3B3B3"/>
            </w:tcBorders>
            <w:shd w:val="clear" w:color="000000" w:fill="auto"/>
            <w:vAlign w:val="bottom"/>
          </w:tcPr>
          <w:p w14:paraId="68EE0770" w14:textId="77777777" w:rsidR="00DF47E9" w:rsidRPr="00C74CB9" w:rsidRDefault="00DF47E9" w:rsidP="00C74CB9">
            <w:pPr>
              <w:pStyle w:val="TableHeading"/>
              <w:spacing w:before="45" w:after="45"/>
              <w:rPr>
                <w:rStyle w:val="ColourBlue"/>
                <w:rFonts w:cs="Open Sans"/>
                <w:color w:val="1D4374"/>
              </w:rPr>
            </w:pPr>
            <w:r w:rsidRPr="00C74CB9">
              <w:rPr>
                <w:rStyle w:val="ColourBlue"/>
                <w:rFonts w:cs="Open Sans"/>
                <w:color w:val="1D4374"/>
              </w:rPr>
              <w:t>Participants</w:t>
            </w:r>
          </w:p>
        </w:tc>
      </w:tr>
      <w:tr w:rsidR="00DF47E9" w:rsidRPr="00C74CB9" w14:paraId="7882FA53" w14:textId="77777777" w:rsidTr="00C74CB9">
        <w:tc>
          <w:tcPr>
            <w:tcW w:w="9639" w:type="dxa"/>
            <w:tcBorders>
              <w:top w:val="single" w:sz="4" w:space="0" w:color="B3B3B3"/>
              <w:bottom w:val="nil"/>
            </w:tcBorders>
            <w:shd w:val="clear" w:color="000000" w:fill="E6E6E6"/>
          </w:tcPr>
          <w:p w14:paraId="337DB484" w14:textId="2A569758" w:rsidR="00DF47E9" w:rsidRPr="00C74CB9" w:rsidRDefault="00DF47E9" w:rsidP="00C74CB9">
            <w:pPr>
              <w:spacing w:before="45" w:after="45"/>
              <w:ind w:left="57" w:right="108"/>
              <w:rPr>
                <w:rFonts w:cs="Open Sans"/>
                <w:bCs/>
                <w:sz w:val="18"/>
              </w:rPr>
            </w:pPr>
            <w:r w:rsidRPr="00C74CB9">
              <w:rPr>
                <w:rFonts w:cs="Open Sans"/>
                <w:bCs/>
                <w:sz w:val="18"/>
              </w:rPr>
              <w:t xml:space="preserve">Australian Steel Institute </w:t>
            </w:r>
          </w:p>
        </w:tc>
      </w:tr>
      <w:tr w:rsidR="00DF47E9" w:rsidRPr="00C74CB9" w14:paraId="115AAF11" w14:textId="77777777" w:rsidTr="00C74CB9">
        <w:tc>
          <w:tcPr>
            <w:tcW w:w="9639" w:type="dxa"/>
            <w:tcBorders>
              <w:top w:val="nil"/>
              <w:bottom w:val="nil"/>
            </w:tcBorders>
            <w:shd w:val="clear" w:color="000000" w:fill="auto"/>
          </w:tcPr>
          <w:p w14:paraId="53CA4234" w14:textId="557F7633" w:rsidR="00DF47E9" w:rsidRPr="00C74CB9" w:rsidRDefault="00DF47E9" w:rsidP="00C74CB9">
            <w:pPr>
              <w:spacing w:before="45" w:after="45"/>
              <w:ind w:left="57" w:right="108"/>
              <w:rPr>
                <w:rFonts w:cs="Open Sans"/>
                <w:bCs/>
                <w:sz w:val="18"/>
              </w:rPr>
            </w:pPr>
            <w:r w:rsidRPr="00C74CB9">
              <w:rPr>
                <w:rFonts w:cs="Open Sans"/>
                <w:bCs/>
                <w:sz w:val="18"/>
              </w:rPr>
              <w:t xml:space="preserve">CASA Engineering </w:t>
            </w:r>
          </w:p>
        </w:tc>
      </w:tr>
      <w:tr w:rsidR="00DF47E9" w:rsidRPr="00C74CB9" w14:paraId="59A668DD" w14:textId="77777777" w:rsidTr="00C74CB9">
        <w:tc>
          <w:tcPr>
            <w:tcW w:w="9639" w:type="dxa"/>
            <w:tcBorders>
              <w:bottom w:val="nil"/>
            </w:tcBorders>
            <w:shd w:val="clear" w:color="000000" w:fill="E6E6E6"/>
          </w:tcPr>
          <w:p w14:paraId="5EFAE169" w14:textId="15E661D7" w:rsidR="00DF47E9" w:rsidRPr="00C74CB9" w:rsidRDefault="00DF47E9" w:rsidP="00C74CB9">
            <w:pPr>
              <w:spacing w:before="45" w:after="45"/>
              <w:ind w:left="57" w:right="108"/>
              <w:rPr>
                <w:rFonts w:cs="Open Sans"/>
                <w:bCs/>
                <w:sz w:val="18"/>
              </w:rPr>
            </w:pPr>
            <w:r w:rsidRPr="00C74CB9">
              <w:rPr>
                <w:rFonts w:cs="Open Sans"/>
                <w:bCs/>
                <w:sz w:val="18"/>
              </w:rPr>
              <w:t>China Chamber of Commerce of Metals, Minerals, Chemical Importers and Exporters (CCCMC)</w:t>
            </w:r>
          </w:p>
        </w:tc>
      </w:tr>
      <w:tr w:rsidR="00DF47E9" w:rsidRPr="00C74CB9" w14:paraId="230488CF" w14:textId="77777777" w:rsidTr="00C74CB9">
        <w:tc>
          <w:tcPr>
            <w:tcW w:w="9639" w:type="dxa"/>
            <w:tcBorders>
              <w:top w:val="nil"/>
              <w:bottom w:val="nil"/>
            </w:tcBorders>
            <w:shd w:val="clear" w:color="000000" w:fill="auto"/>
          </w:tcPr>
          <w:p w14:paraId="6011B974" w14:textId="42442A61" w:rsidR="00DF47E9" w:rsidRPr="00C74CB9" w:rsidRDefault="00DF47E9" w:rsidP="00C74CB9">
            <w:pPr>
              <w:spacing w:before="45" w:after="45"/>
              <w:ind w:left="57" w:right="108"/>
              <w:rPr>
                <w:rFonts w:cs="Open Sans"/>
                <w:bCs/>
                <w:sz w:val="18"/>
              </w:rPr>
            </w:pPr>
            <w:r w:rsidRPr="00C74CB9">
              <w:rPr>
                <w:rFonts w:cs="Open Sans"/>
                <w:bCs/>
                <w:sz w:val="18"/>
              </w:rPr>
              <w:t>Croft Steel</w:t>
            </w:r>
          </w:p>
        </w:tc>
      </w:tr>
      <w:tr w:rsidR="00DF47E9" w:rsidRPr="00C74CB9" w14:paraId="49771A2E" w14:textId="77777777" w:rsidTr="00C74CB9">
        <w:tc>
          <w:tcPr>
            <w:tcW w:w="9639" w:type="dxa"/>
            <w:tcBorders>
              <w:bottom w:val="nil"/>
            </w:tcBorders>
            <w:shd w:val="clear" w:color="000000" w:fill="E6E6E6"/>
          </w:tcPr>
          <w:p w14:paraId="000135BC" w14:textId="4C1AAAB2" w:rsidR="00DF47E9" w:rsidRPr="00C74CB9" w:rsidRDefault="00DF47E9" w:rsidP="00C74CB9">
            <w:pPr>
              <w:spacing w:before="45" w:after="45"/>
              <w:ind w:left="57" w:right="108"/>
              <w:rPr>
                <w:rFonts w:cs="Open Sans"/>
                <w:bCs/>
                <w:sz w:val="18"/>
              </w:rPr>
            </w:pPr>
            <w:r w:rsidRPr="00C74CB9">
              <w:rPr>
                <w:rFonts w:cs="Open Sans"/>
                <w:bCs/>
                <w:sz w:val="18"/>
              </w:rPr>
              <w:t>Delegation of the European Union to Australia</w:t>
            </w:r>
          </w:p>
        </w:tc>
      </w:tr>
      <w:tr w:rsidR="00DF47E9" w:rsidRPr="00C74CB9" w14:paraId="61151DD1" w14:textId="77777777" w:rsidTr="00C74CB9">
        <w:tc>
          <w:tcPr>
            <w:tcW w:w="9639" w:type="dxa"/>
            <w:tcBorders>
              <w:top w:val="nil"/>
              <w:bottom w:val="nil"/>
            </w:tcBorders>
            <w:shd w:val="clear" w:color="000000" w:fill="auto"/>
          </w:tcPr>
          <w:p w14:paraId="793428FB" w14:textId="3613583D" w:rsidR="00DF47E9" w:rsidRPr="00C74CB9" w:rsidRDefault="00DF47E9" w:rsidP="00C74CB9">
            <w:pPr>
              <w:spacing w:before="45" w:after="45"/>
              <w:ind w:left="57" w:right="108"/>
              <w:rPr>
                <w:rFonts w:cs="Open Sans"/>
                <w:bCs/>
                <w:sz w:val="18"/>
              </w:rPr>
            </w:pPr>
            <w:r w:rsidRPr="00C74CB9">
              <w:rPr>
                <w:rFonts w:cs="Open Sans"/>
                <w:bCs/>
                <w:sz w:val="18"/>
              </w:rPr>
              <w:t>Korda Metha</w:t>
            </w:r>
          </w:p>
        </w:tc>
      </w:tr>
      <w:tr w:rsidR="00DF47E9" w:rsidRPr="00C74CB9" w14:paraId="7E23F763" w14:textId="77777777" w:rsidTr="00C74CB9">
        <w:tc>
          <w:tcPr>
            <w:tcW w:w="9639" w:type="dxa"/>
            <w:tcBorders>
              <w:bottom w:val="nil"/>
            </w:tcBorders>
            <w:shd w:val="clear" w:color="000000" w:fill="E6E6E6"/>
          </w:tcPr>
          <w:p w14:paraId="0225C5DA" w14:textId="1F2CF361" w:rsidR="00DF47E9" w:rsidRPr="00C74CB9" w:rsidRDefault="00DF47E9" w:rsidP="00C74CB9">
            <w:pPr>
              <w:spacing w:before="45" w:after="45"/>
              <w:ind w:left="57" w:right="108"/>
              <w:rPr>
                <w:rFonts w:cs="Open Sans"/>
                <w:bCs/>
                <w:sz w:val="18"/>
              </w:rPr>
            </w:pPr>
            <w:r w:rsidRPr="00C74CB9">
              <w:rPr>
                <w:rFonts w:cs="Open Sans"/>
                <w:bCs/>
                <w:sz w:val="18"/>
              </w:rPr>
              <w:t>Master Builders Australia</w:t>
            </w:r>
          </w:p>
        </w:tc>
      </w:tr>
      <w:tr w:rsidR="00DF47E9" w:rsidRPr="00C74CB9" w14:paraId="73A668A9" w14:textId="77777777" w:rsidTr="00C74CB9">
        <w:tc>
          <w:tcPr>
            <w:tcW w:w="9639" w:type="dxa"/>
            <w:tcBorders>
              <w:top w:val="nil"/>
              <w:bottom w:val="nil"/>
            </w:tcBorders>
            <w:shd w:val="clear" w:color="000000" w:fill="auto"/>
          </w:tcPr>
          <w:p w14:paraId="44D67DD7" w14:textId="1A819433" w:rsidR="00DF47E9" w:rsidRPr="00C74CB9" w:rsidRDefault="00DF47E9" w:rsidP="00C74CB9">
            <w:pPr>
              <w:spacing w:before="45" w:after="45"/>
              <w:ind w:left="57" w:right="108"/>
              <w:rPr>
                <w:rFonts w:cs="Open Sans"/>
                <w:bCs/>
                <w:sz w:val="18"/>
              </w:rPr>
            </w:pPr>
            <w:r w:rsidRPr="00C74CB9">
              <w:rPr>
                <w:rFonts w:cs="Open Sans"/>
                <w:bCs/>
                <w:sz w:val="18"/>
              </w:rPr>
              <w:t>Ministry of Trade of the Republic of Indonesia</w:t>
            </w:r>
          </w:p>
        </w:tc>
      </w:tr>
      <w:tr w:rsidR="00DF47E9" w:rsidRPr="00C74CB9" w14:paraId="65C0D1B5" w14:textId="77777777" w:rsidTr="00C74CB9">
        <w:tc>
          <w:tcPr>
            <w:tcW w:w="9639" w:type="dxa"/>
            <w:tcBorders>
              <w:bottom w:val="nil"/>
            </w:tcBorders>
            <w:shd w:val="clear" w:color="000000" w:fill="E6E6E6"/>
          </w:tcPr>
          <w:p w14:paraId="520A0724" w14:textId="781F38B3" w:rsidR="00DF47E9" w:rsidRPr="00C74CB9" w:rsidRDefault="00DF47E9" w:rsidP="00C74CB9">
            <w:pPr>
              <w:spacing w:before="45" w:after="45"/>
              <w:ind w:left="57" w:right="108"/>
              <w:rPr>
                <w:rFonts w:cs="Open Sans"/>
                <w:bCs/>
                <w:sz w:val="18"/>
              </w:rPr>
            </w:pPr>
            <w:r w:rsidRPr="00C74CB9">
              <w:rPr>
                <w:rFonts w:cs="Open Sans"/>
                <w:bCs/>
                <w:sz w:val="18"/>
              </w:rPr>
              <w:t>Ministry of Commerce, People’s Republic of China</w:t>
            </w:r>
          </w:p>
        </w:tc>
      </w:tr>
      <w:tr w:rsidR="00DF47E9" w:rsidRPr="00C74CB9" w14:paraId="19359A04" w14:textId="77777777" w:rsidTr="00C74CB9">
        <w:tc>
          <w:tcPr>
            <w:tcW w:w="9639" w:type="dxa"/>
            <w:tcBorders>
              <w:top w:val="nil"/>
              <w:bottom w:val="nil"/>
            </w:tcBorders>
            <w:shd w:val="clear" w:color="000000" w:fill="auto"/>
          </w:tcPr>
          <w:p w14:paraId="313A0098" w14:textId="60CF1280" w:rsidR="00DF47E9" w:rsidRPr="00C74CB9" w:rsidRDefault="00DF47E9" w:rsidP="00C74CB9">
            <w:pPr>
              <w:spacing w:before="45" w:after="45"/>
              <w:ind w:left="57" w:right="108"/>
              <w:rPr>
                <w:rFonts w:cs="Open Sans"/>
                <w:bCs/>
                <w:sz w:val="18"/>
              </w:rPr>
            </w:pPr>
            <w:r w:rsidRPr="00C74CB9">
              <w:rPr>
                <w:rFonts w:cs="Open Sans"/>
                <w:bCs/>
                <w:sz w:val="18"/>
              </w:rPr>
              <w:t>OneSteel Manufacturing</w:t>
            </w:r>
          </w:p>
        </w:tc>
      </w:tr>
      <w:tr w:rsidR="00DF47E9" w:rsidRPr="00C74CB9" w14:paraId="302E32EE" w14:textId="77777777" w:rsidTr="00C74CB9">
        <w:tc>
          <w:tcPr>
            <w:tcW w:w="9639" w:type="dxa"/>
            <w:tcBorders>
              <w:bottom w:val="nil"/>
            </w:tcBorders>
            <w:shd w:val="clear" w:color="000000" w:fill="E6E6E6"/>
          </w:tcPr>
          <w:p w14:paraId="38625A47" w14:textId="0305B2DD" w:rsidR="00DF47E9" w:rsidRPr="00C74CB9" w:rsidRDefault="00DF47E9" w:rsidP="00C74CB9">
            <w:pPr>
              <w:spacing w:before="45" w:after="45"/>
              <w:ind w:left="57" w:right="108"/>
              <w:rPr>
                <w:rFonts w:cs="Open Sans"/>
                <w:bCs/>
                <w:sz w:val="18"/>
              </w:rPr>
            </w:pPr>
            <w:r w:rsidRPr="00C74CB9">
              <w:rPr>
                <w:rFonts w:cs="Open Sans"/>
                <w:bCs/>
                <w:sz w:val="18"/>
              </w:rPr>
              <w:t xml:space="preserve">Rowville Engineering </w:t>
            </w:r>
          </w:p>
        </w:tc>
      </w:tr>
      <w:tr w:rsidR="00DF47E9" w:rsidRPr="00C74CB9" w14:paraId="6B3AC042" w14:textId="77777777" w:rsidTr="00C74CB9">
        <w:tc>
          <w:tcPr>
            <w:tcW w:w="9639" w:type="dxa"/>
            <w:tcBorders>
              <w:top w:val="nil"/>
              <w:bottom w:val="nil"/>
            </w:tcBorders>
            <w:shd w:val="clear" w:color="000000" w:fill="auto"/>
          </w:tcPr>
          <w:p w14:paraId="7764A5D4" w14:textId="0CAB6D27" w:rsidR="00DF47E9" w:rsidRPr="00C74CB9" w:rsidRDefault="00DF47E9" w:rsidP="00C74CB9">
            <w:pPr>
              <w:spacing w:before="45" w:after="45"/>
              <w:ind w:left="57" w:right="108"/>
              <w:rPr>
                <w:rFonts w:cs="Open Sans"/>
                <w:bCs/>
                <w:sz w:val="18"/>
              </w:rPr>
            </w:pPr>
            <w:r w:rsidRPr="00C74CB9">
              <w:rPr>
                <w:rFonts w:cs="Open Sans"/>
                <w:bCs/>
                <w:sz w:val="18"/>
              </w:rPr>
              <w:t xml:space="preserve">Royal Thai Consulate General </w:t>
            </w:r>
            <w:r w:rsidR="0090267A" w:rsidRPr="00C74CB9">
              <w:rPr>
                <w:rFonts w:cs="Open Sans"/>
                <w:bCs/>
                <w:sz w:val="18"/>
              </w:rPr>
              <w:t>–</w:t>
            </w:r>
            <w:r w:rsidRPr="00C74CB9">
              <w:rPr>
                <w:rFonts w:cs="Open Sans"/>
                <w:bCs/>
                <w:sz w:val="18"/>
              </w:rPr>
              <w:t xml:space="preserve"> Thai Trade Centre </w:t>
            </w:r>
          </w:p>
        </w:tc>
      </w:tr>
      <w:tr w:rsidR="00DF47E9" w:rsidRPr="00C74CB9" w14:paraId="241B4424" w14:textId="77777777" w:rsidTr="00C74CB9">
        <w:tc>
          <w:tcPr>
            <w:tcW w:w="9639" w:type="dxa"/>
            <w:tcBorders>
              <w:bottom w:val="nil"/>
            </w:tcBorders>
            <w:shd w:val="clear" w:color="000000" w:fill="E6E6E6"/>
          </w:tcPr>
          <w:p w14:paraId="47EE82C3" w14:textId="278732BC" w:rsidR="00DF47E9" w:rsidRPr="00C74CB9" w:rsidRDefault="00DF47E9" w:rsidP="00C74CB9">
            <w:pPr>
              <w:spacing w:before="45" w:after="45"/>
              <w:ind w:left="57" w:right="108"/>
              <w:rPr>
                <w:rFonts w:cs="Open Sans"/>
                <w:bCs/>
                <w:sz w:val="18"/>
              </w:rPr>
            </w:pPr>
            <w:proofErr w:type="gramStart"/>
            <w:r w:rsidRPr="00C74CB9">
              <w:rPr>
                <w:rFonts w:cs="Open Sans"/>
                <w:bCs/>
                <w:sz w:val="18"/>
              </w:rPr>
              <w:t>South East</w:t>
            </w:r>
            <w:proofErr w:type="gramEnd"/>
            <w:r w:rsidRPr="00C74CB9">
              <w:rPr>
                <w:rFonts w:cs="Open Sans"/>
                <w:bCs/>
                <w:sz w:val="18"/>
              </w:rPr>
              <w:t xml:space="preserve"> Melbourne Manufacturers Alliance (SEMMA)</w:t>
            </w:r>
          </w:p>
        </w:tc>
      </w:tr>
      <w:tr w:rsidR="00DF47E9" w:rsidRPr="00C74CB9" w14:paraId="57570FF4" w14:textId="77777777" w:rsidTr="00C74CB9">
        <w:tc>
          <w:tcPr>
            <w:tcW w:w="9639" w:type="dxa"/>
            <w:tcBorders>
              <w:top w:val="nil"/>
              <w:bottom w:val="nil"/>
            </w:tcBorders>
            <w:shd w:val="clear" w:color="000000" w:fill="auto"/>
          </w:tcPr>
          <w:p w14:paraId="4511CFA0" w14:textId="08B21E4C" w:rsidR="00DF47E9" w:rsidRPr="00C74CB9" w:rsidRDefault="00DF47E9" w:rsidP="00C74CB9">
            <w:pPr>
              <w:spacing w:before="45" w:after="45"/>
              <w:ind w:left="57" w:right="108"/>
              <w:rPr>
                <w:rFonts w:cs="Open Sans"/>
                <w:bCs/>
                <w:sz w:val="18"/>
              </w:rPr>
            </w:pPr>
            <w:r w:rsidRPr="00C74CB9">
              <w:rPr>
                <w:rFonts w:cs="Open Sans"/>
                <w:bCs/>
                <w:sz w:val="18"/>
              </w:rPr>
              <w:t xml:space="preserve">Steel Builder Australia </w:t>
            </w:r>
          </w:p>
        </w:tc>
      </w:tr>
      <w:tr w:rsidR="00DF47E9" w:rsidRPr="00C74CB9" w14:paraId="5F9802AF" w14:textId="77777777" w:rsidTr="00C74CB9">
        <w:tc>
          <w:tcPr>
            <w:tcW w:w="9639" w:type="dxa"/>
            <w:tcBorders>
              <w:bottom w:val="single" w:sz="4" w:space="0" w:color="B3B3B3"/>
            </w:tcBorders>
            <w:shd w:val="clear" w:color="000000" w:fill="E6E6E6"/>
          </w:tcPr>
          <w:p w14:paraId="420BF3E2" w14:textId="34410331" w:rsidR="00DF47E9" w:rsidRPr="00C74CB9" w:rsidRDefault="00DF47E9" w:rsidP="00C74CB9">
            <w:pPr>
              <w:keepLines/>
              <w:spacing w:before="45" w:after="45"/>
              <w:ind w:left="57" w:right="108"/>
              <w:rPr>
                <w:rFonts w:cs="Open Sans"/>
                <w:bCs/>
                <w:sz w:val="18"/>
              </w:rPr>
            </w:pPr>
            <w:proofErr w:type="spellStart"/>
            <w:r w:rsidRPr="00C74CB9">
              <w:rPr>
                <w:rFonts w:cs="Open Sans"/>
                <w:bCs/>
                <w:sz w:val="18"/>
              </w:rPr>
              <w:t>Technoweld</w:t>
            </w:r>
            <w:proofErr w:type="spellEnd"/>
            <w:r w:rsidRPr="00C74CB9">
              <w:rPr>
                <w:rFonts w:cs="Open Sans"/>
                <w:bCs/>
                <w:sz w:val="18"/>
              </w:rPr>
              <w:t xml:space="preserve"> Pty Ltd </w:t>
            </w:r>
          </w:p>
        </w:tc>
      </w:tr>
    </w:tbl>
    <w:p w14:paraId="0FF353A2" w14:textId="0B41B293" w:rsidR="00DF47E9" w:rsidRPr="00BC0980" w:rsidRDefault="00DF47E9" w:rsidP="00C74CB9">
      <w:pPr>
        <w:pStyle w:val="FigureTableHeading"/>
      </w:pPr>
      <w:r w:rsidRPr="00BC0980">
        <w:t>Table A.4 – Post</w:t>
      </w:r>
      <w:r w:rsidR="00541146">
        <w:noBreakHyphen/>
      </w:r>
      <w:r w:rsidRPr="00BC0980">
        <w:t>hearing submissions</w:t>
      </w:r>
    </w:p>
    <w:tbl>
      <w:tblPr>
        <w:tblW w:w="9639" w:type="dxa"/>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9639"/>
      </w:tblGrid>
      <w:tr w:rsidR="00DF47E9" w:rsidRPr="00EC48ED" w14:paraId="0D0878E8" w14:textId="77777777" w:rsidTr="00EC48ED">
        <w:trPr>
          <w:tblHeader/>
        </w:trPr>
        <w:tc>
          <w:tcPr>
            <w:tcW w:w="9639" w:type="dxa"/>
            <w:tcBorders>
              <w:bottom w:val="single" w:sz="4" w:space="0" w:color="B3B3B3"/>
            </w:tcBorders>
            <w:shd w:val="clear" w:color="000000" w:fill="auto"/>
            <w:vAlign w:val="bottom"/>
          </w:tcPr>
          <w:p w14:paraId="04DC2873" w14:textId="77777777" w:rsidR="00DF47E9" w:rsidRPr="00EC48ED" w:rsidRDefault="00DF47E9" w:rsidP="00EC48ED">
            <w:pPr>
              <w:pStyle w:val="TableHeading"/>
              <w:spacing w:before="45" w:after="45"/>
              <w:rPr>
                <w:rStyle w:val="ColourBlue"/>
                <w:rFonts w:cs="Open Sans"/>
                <w:color w:val="1D4374"/>
              </w:rPr>
            </w:pPr>
            <w:r w:rsidRPr="00EC48ED">
              <w:rPr>
                <w:rStyle w:val="ColourBlue"/>
                <w:rFonts w:cs="Open Sans"/>
                <w:color w:val="1D4374"/>
              </w:rPr>
              <w:t>Participants</w:t>
            </w:r>
          </w:p>
        </w:tc>
      </w:tr>
      <w:tr w:rsidR="00DF47E9" w:rsidRPr="00EC48ED" w14:paraId="0A114582" w14:textId="77777777" w:rsidTr="00EC48ED">
        <w:tc>
          <w:tcPr>
            <w:tcW w:w="9639" w:type="dxa"/>
            <w:tcBorders>
              <w:top w:val="single" w:sz="4" w:space="0" w:color="B3B3B3"/>
              <w:bottom w:val="nil"/>
            </w:tcBorders>
            <w:shd w:val="clear" w:color="000000" w:fill="E6E6E6"/>
          </w:tcPr>
          <w:p w14:paraId="19130771" w14:textId="4A8D0950" w:rsidR="00DF47E9" w:rsidRPr="00EC48ED" w:rsidRDefault="00DF47E9" w:rsidP="00EC48ED">
            <w:pPr>
              <w:spacing w:before="45" w:after="45"/>
              <w:ind w:left="57" w:right="108"/>
              <w:rPr>
                <w:rFonts w:cs="Open Sans"/>
                <w:bCs/>
                <w:sz w:val="18"/>
              </w:rPr>
            </w:pPr>
            <w:r w:rsidRPr="00EC48ED">
              <w:rPr>
                <w:rFonts w:cs="Open Sans"/>
                <w:bCs/>
                <w:sz w:val="18"/>
              </w:rPr>
              <w:t xml:space="preserve">Australian Steel Institute </w:t>
            </w:r>
          </w:p>
        </w:tc>
      </w:tr>
      <w:tr w:rsidR="00DF47E9" w:rsidRPr="00EC48ED" w14:paraId="5EAB53E1" w14:textId="77777777" w:rsidTr="00EC48ED">
        <w:tc>
          <w:tcPr>
            <w:tcW w:w="9639" w:type="dxa"/>
            <w:tcBorders>
              <w:top w:val="nil"/>
              <w:bottom w:val="nil"/>
            </w:tcBorders>
            <w:shd w:val="clear" w:color="000000" w:fill="auto"/>
          </w:tcPr>
          <w:p w14:paraId="53A43C54" w14:textId="4C3AAB34" w:rsidR="00DF47E9" w:rsidRPr="00EC48ED" w:rsidRDefault="00DF47E9" w:rsidP="00EC48ED">
            <w:pPr>
              <w:spacing w:before="45" w:after="45"/>
              <w:ind w:left="57" w:right="108"/>
              <w:rPr>
                <w:rFonts w:cs="Open Sans"/>
                <w:bCs/>
                <w:sz w:val="18"/>
              </w:rPr>
            </w:pPr>
            <w:proofErr w:type="spellStart"/>
            <w:r w:rsidRPr="00EC48ED">
              <w:rPr>
                <w:rFonts w:cs="Open Sans"/>
                <w:bCs/>
                <w:sz w:val="18"/>
              </w:rPr>
              <w:t>Brezac</w:t>
            </w:r>
            <w:proofErr w:type="spellEnd"/>
            <w:r w:rsidRPr="00EC48ED">
              <w:rPr>
                <w:rFonts w:cs="Open Sans"/>
                <w:bCs/>
                <w:sz w:val="18"/>
              </w:rPr>
              <w:t xml:space="preserve"> Constructions </w:t>
            </w:r>
          </w:p>
        </w:tc>
      </w:tr>
      <w:tr w:rsidR="00DF47E9" w:rsidRPr="00EC48ED" w14:paraId="271900FE" w14:textId="77777777" w:rsidTr="00EC48ED">
        <w:tc>
          <w:tcPr>
            <w:tcW w:w="9639" w:type="dxa"/>
            <w:tcBorders>
              <w:bottom w:val="nil"/>
            </w:tcBorders>
            <w:shd w:val="clear" w:color="000000" w:fill="E6E6E6"/>
          </w:tcPr>
          <w:p w14:paraId="6DBDD81F" w14:textId="3D31E303" w:rsidR="00DF47E9" w:rsidRPr="00EC48ED" w:rsidRDefault="00DF47E9" w:rsidP="00EC48ED">
            <w:pPr>
              <w:spacing w:before="45" w:after="45"/>
              <w:ind w:left="57" w:right="108"/>
              <w:rPr>
                <w:rFonts w:cs="Open Sans"/>
                <w:bCs/>
                <w:sz w:val="18"/>
              </w:rPr>
            </w:pPr>
            <w:r w:rsidRPr="00EC48ED">
              <w:rPr>
                <w:rFonts w:cs="Open Sans"/>
                <w:bCs/>
                <w:sz w:val="18"/>
              </w:rPr>
              <w:t xml:space="preserve">CASA Engineering </w:t>
            </w:r>
          </w:p>
        </w:tc>
      </w:tr>
      <w:tr w:rsidR="00DF47E9" w:rsidRPr="00EC48ED" w14:paraId="31943BBA" w14:textId="77777777" w:rsidTr="00EC48ED">
        <w:tc>
          <w:tcPr>
            <w:tcW w:w="9639" w:type="dxa"/>
            <w:tcBorders>
              <w:top w:val="nil"/>
              <w:bottom w:val="nil"/>
            </w:tcBorders>
            <w:shd w:val="clear" w:color="000000" w:fill="auto"/>
          </w:tcPr>
          <w:p w14:paraId="0547E120" w14:textId="648D1E72" w:rsidR="00DF47E9" w:rsidRPr="00EC48ED" w:rsidRDefault="00DF47E9" w:rsidP="00EC48ED">
            <w:pPr>
              <w:spacing w:before="45" w:after="45"/>
              <w:ind w:left="57" w:right="108"/>
              <w:rPr>
                <w:rFonts w:cs="Open Sans"/>
                <w:bCs/>
                <w:sz w:val="18"/>
              </w:rPr>
            </w:pPr>
            <w:r w:rsidRPr="00EC48ED">
              <w:rPr>
                <w:rFonts w:cs="Open Sans"/>
                <w:bCs/>
                <w:sz w:val="18"/>
              </w:rPr>
              <w:t>China Chamber of Commerce of Metals, Minerals and Chemicals Importers and Exporters (CCCMC)</w:t>
            </w:r>
          </w:p>
        </w:tc>
      </w:tr>
      <w:tr w:rsidR="00DF47E9" w:rsidRPr="00EC48ED" w14:paraId="659CDDD5" w14:textId="77777777" w:rsidTr="00EC48ED">
        <w:tc>
          <w:tcPr>
            <w:tcW w:w="9639" w:type="dxa"/>
            <w:tcBorders>
              <w:bottom w:val="nil"/>
            </w:tcBorders>
            <w:shd w:val="clear" w:color="000000" w:fill="E6E6E6"/>
          </w:tcPr>
          <w:p w14:paraId="1EC423C4" w14:textId="3DDDD67F" w:rsidR="00DF47E9" w:rsidRPr="00EC48ED" w:rsidRDefault="00DF47E9" w:rsidP="00EC48ED">
            <w:pPr>
              <w:spacing w:before="45" w:after="45"/>
              <w:ind w:left="57" w:right="108"/>
              <w:rPr>
                <w:rFonts w:cs="Open Sans"/>
                <w:bCs/>
                <w:sz w:val="18"/>
              </w:rPr>
            </w:pPr>
            <w:r w:rsidRPr="00EC48ED">
              <w:rPr>
                <w:rFonts w:cs="Open Sans"/>
                <w:bCs/>
                <w:sz w:val="18"/>
              </w:rPr>
              <w:t>European Commission</w:t>
            </w:r>
          </w:p>
        </w:tc>
      </w:tr>
      <w:tr w:rsidR="00DF47E9" w:rsidRPr="00EC48ED" w14:paraId="1DA3A115" w14:textId="77777777" w:rsidTr="00EC48ED">
        <w:tc>
          <w:tcPr>
            <w:tcW w:w="9639" w:type="dxa"/>
            <w:tcBorders>
              <w:top w:val="nil"/>
              <w:bottom w:val="nil"/>
            </w:tcBorders>
            <w:shd w:val="clear" w:color="000000" w:fill="auto"/>
          </w:tcPr>
          <w:p w14:paraId="4DF72718" w14:textId="1C8BBC66" w:rsidR="00DF47E9" w:rsidRPr="00EC48ED" w:rsidRDefault="00DF47E9" w:rsidP="00EC48ED">
            <w:pPr>
              <w:spacing w:before="45" w:after="45"/>
              <w:ind w:left="57" w:right="108"/>
              <w:rPr>
                <w:rFonts w:cs="Open Sans"/>
                <w:bCs/>
                <w:sz w:val="18"/>
              </w:rPr>
            </w:pPr>
            <w:r w:rsidRPr="00EC48ED">
              <w:rPr>
                <w:rFonts w:cs="Open Sans"/>
                <w:bCs/>
                <w:sz w:val="18"/>
              </w:rPr>
              <w:t>Ministry of Trade of the Republic of Indonesia</w:t>
            </w:r>
          </w:p>
        </w:tc>
      </w:tr>
      <w:tr w:rsidR="00DF47E9" w:rsidRPr="00EC48ED" w14:paraId="7E3C4602" w14:textId="77777777" w:rsidTr="00EC48ED">
        <w:tc>
          <w:tcPr>
            <w:tcW w:w="9639" w:type="dxa"/>
            <w:tcBorders>
              <w:bottom w:val="nil"/>
            </w:tcBorders>
            <w:shd w:val="clear" w:color="000000" w:fill="E6E6E6"/>
          </w:tcPr>
          <w:p w14:paraId="2967628B" w14:textId="70495B4F" w:rsidR="00DF47E9" w:rsidRPr="00EC48ED" w:rsidRDefault="00DF47E9" w:rsidP="00EC48ED">
            <w:pPr>
              <w:spacing w:before="45" w:after="45"/>
              <w:ind w:left="57" w:right="108"/>
              <w:rPr>
                <w:rFonts w:cs="Open Sans"/>
                <w:bCs/>
                <w:sz w:val="18"/>
              </w:rPr>
            </w:pPr>
            <w:r w:rsidRPr="00EC48ED">
              <w:rPr>
                <w:rFonts w:cs="Open Sans"/>
                <w:bCs/>
                <w:sz w:val="18"/>
              </w:rPr>
              <w:t xml:space="preserve">Steel Builder Australia </w:t>
            </w:r>
          </w:p>
        </w:tc>
      </w:tr>
      <w:tr w:rsidR="00DF47E9" w:rsidRPr="00EC48ED" w14:paraId="403403DD" w14:textId="77777777" w:rsidTr="00EC48ED">
        <w:tc>
          <w:tcPr>
            <w:tcW w:w="9639" w:type="dxa"/>
            <w:tcBorders>
              <w:top w:val="nil"/>
            </w:tcBorders>
            <w:shd w:val="clear" w:color="000000" w:fill="auto"/>
          </w:tcPr>
          <w:p w14:paraId="6956C0EC" w14:textId="71B9AB81" w:rsidR="00DF47E9" w:rsidRPr="00EC48ED" w:rsidRDefault="00DF47E9" w:rsidP="00EC48ED">
            <w:pPr>
              <w:spacing w:before="45" w:after="45"/>
              <w:ind w:left="57" w:right="108"/>
              <w:rPr>
                <w:rFonts w:cs="Open Sans"/>
                <w:bCs/>
                <w:sz w:val="18"/>
              </w:rPr>
            </w:pPr>
            <w:proofErr w:type="spellStart"/>
            <w:r w:rsidRPr="00EC48ED">
              <w:rPr>
                <w:rFonts w:cs="Open Sans"/>
                <w:bCs/>
                <w:sz w:val="18"/>
              </w:rPr>
              <w:t>Technoweld</w:t>
            </w:r>
            <w:proofErr w:type="spellEnd"/>
            <w:r w:rsidRPr="00EC48ED">
              <w:rPr>
                <w:rFonts w:cs="Open Sans"/>
                <w:bCs/>
                <w:sz w:val="18"/>
              </w:rPr>
              <w:t xml:space="preserve"> Pty Ltd </w:t>
            </w:r>
          </w:p>
        </w:tc>
      </w:tr>
    </w:tbl>
    <w:p w14:paraId="23B97167" w14:textId="77777777" w:rsidR="00472F03" w:rsidRDefault="00472F03" w:rsidP="00472F03">
      <w:pPr>
        <w:pStyle w:val="BodyText"/>
        <w:sectPr w:rsidR="00472F03" w:rsidSect="003472FA">
          <w:headerReference w:type="default" r:id="rId85"/>
          <w:footerReference w:type="even" r:id="rId86"/>
          <w:footerReference w:type="default" r:id="rId87"/>
          <w:headerReference w:type="first" r:id="rId88"/>
          <w:type w:val="oddPage"/>
          <w:pgSz w:w="11906" w:h="16838" w:code="9"/>
          <w:pgMar w:top="1134" w:right="1134" w:bottom="1134" w:left="1134" w:header="794" w:footer="510" w:gutter="0"/>
          <w:cols w:space="708"/>
          <w:docGrid w:linePitch="360"/>
        </w:sectPr>
      </w:pPr>
    </w:p>
    <w:p w14:paraId="0F0AD4C3" w14:textId="77777777" w:rsidR="00472F03" w:rsidRDefault="00472F03" w:rsidP="00472F03">
      <w:pPr>
        <w:pStyle w:val="BodyText"/>
      </w:pPr>
    </w:p>
    <w:p w14:paraId="5C0C65D8" w14:textId="77777777" w:rsidR="00472F03" w:rsidRPr="00472F03" w:rsidRDefault="00472F03" w:rsidP="00472F03">
      <w:pPr>
        <w:pStyle w:val="BodyText"/>
      </w:pPr>
    </w:p>
    <w:p w14:paraId="35580031" w14:textId="77777777" w:rsidR="00092550" w:rsidRPr="00472F03" w:rsidRDefault="00092550" w:rsidP="00472F03">
      <w:pPr>
        <w:pStyle w:val="BodyText"/>
        <w:sectPr w:rsidR="00092550" w:rsidRPr="00472F03" w:rsidSect="00472F03">
          <w:headerReference w:type="even" r:id="rId89"/>
          <w:pgSz w:w="11906" w:h="16838" w:code="9"/>
          <w:pgMar w:top="1134" w:right="1134" w:bottom="1134" w:left="1134" w:header="794" w:footer="510" w:gutter="0"/>
          <w:cols w:space="708"/>
          <w:docGrid w:linePitch="360"/>
        </w:sectPr>
      </w:pPr>
    </w:p>
    <w:p w14:paraId="62EE0448" w14:textId="77777777" w:rsidR="00BC1539" w:rsidRDefault="00BC1539" w:rsidP="00011592">
      <w:pPr>
        <w:pStyle w:val="Heading-Appendix"/>
      </w:pPr>
      <w:bookmarkStart w:id="45" w:name="_Toc238643921"/>
      <w:r>
        <w:lastRenderedPageBreak/>
        <w:t>Technical appendix</w:t>
      </w:r>
      <w:bookmarkEnd w:id="45"/>
    </w:p>
    <w:p w14:paraId="60272050" w14:textId="77777777" w:rsidR="00BC1539" w:rsidRDefault="00BC1539" w:rsidP="00011592">
      <w:pPr>
        <w:pStyle w:val="BodyText"/>
      </w:pPr>
      <w:r>
        <w:t>This technical appendix covers:</w:t>
      </w:r>
    </w:p>
    <w:p w14:paraId="580F74F4" w14:textId="77777777" w:rsidR="00BC1539" w:rsidRDefault="00BC1539" w:rsidP="005D7E19">
      <w:pPr>
        <w:pStyle w:val="ListBullet"/>
      </w:pPr>
      <w:r>
        <w:t>analysis of imports</w:t>
      </w:r>
    </w:p>
    <w:p w14:paraId="640690F3" w14:textId="77777777" w:rsidR="00BC1539" w:rsidRDefault="00BC1539" w:rsidP="005D7E19">
      <w:pPr>
        <w:pStyle w:val="ListBullet"/>
      </w:pPr>
      <w:r>
        <w:t>sourcing data on the domestic industry</w:t>
      </w:r>
    </w:p>
    <w:p w14:paraId="6AF3B216" w14:textId="77777777" w:rsidR="00BC1539" w:rsidRDefault="00BC1539" w:rsidP="005D7E19">
      <w:pPr>
        <w:pStyle w:val="ListBullet"/>
      </w:pPr>
      <w:r>
        <w:t>estimation of domestic production</w:t>
      </w:r>
    </w:p>
    <w:p w14:paraId="2203E0D8" w14:textId="77777777" w:rsidR="00BC1539" w:rsidRPr="00F82BD9" w:rsidRDefault="00BC1539" w:rsidP="005D7E19">
      <w:pPr>
        <w:pStyle w:val="ListBullet"/>
      </w:pPr>
      <w:r>
        <w:t>analysis of injury.</w:t>
      </w:r>
    </w:p>
    <w:p w14:paraId="09D572D9" w14:textId="77777777" w:rsidR="00BC1539" w:rsidRDefault="00BC1539" w:rsidP="000D5A14">
      <w:pPr>
        <w:pStyle w:val="Heading2-Appendix"/>
      </w:pPr>
      <w:bookmarkStart w:id="46" w:name="_Toc238643922"/>
      <w:r>
        <w:t>Analysis of imports</w:t>
      </w:r>
      <w:bookmarkEnd w:id="46"/>
    </w:p>
    <w:p w14:paraId="5CA3A108" w14:textId="537F43FF" w:rsidR="00BC1539" w:rsidRPr="000D5A14" w:rsidRDefault="00BC1539" w:rsidP="000D5A14">
      <w:pPr>
        <w:pStyle w:val="BodyText"/>
        <w:rPr>
          <w:spacing w:val="-4"/>
        </w:rPr>
      </w:pPr>
      <w:r w:rsidRPr="000D5A14">
        <w:rPr>
          <w:spacing w:val="-4"/>
        </w:rPr>
        <w:t xml:space="preserve">The </w:t>
      </w:r>
      <w:r w:rsidR="00D87C96" w:rsidRPr="000D5A14">
        <w:rPr>
          <w:spacing w:val="-4"/>
        </w:rPr>
        <w:t xml:space="preserve">Productivity Commission </w:t>
      </w:r>
      <w:r w:rsidRPr="000D5A14">
        <w:rPr>
          <w:spacing w:val="-4"/>
        </w:rPr>
        <w:t xml:space="preserve">has analysed imports using the BLADE Merchandise Trade Imports module. This dataset includes data on all import transactions from 2003–04 to 2024–25. The PC also obtained access to preliminary import data from the first three quarters of 2025–26. However, the data will not be final until the December 2026 reference month estimates are published in early 2027 </w:t>
      </w:r>
      <w:r w:rsidRPr="000D5A14">
        <w:rPr>
          <w:rFonts w:cs="Open Sans"/>
          <w:spacing w:val="-4"/>
        </w:rPr>
        <w:t>(ABS 2026)</w:t>
      </w:r>
      <w:r w:rsidRPr="000D5A14">
        <w:rPr>
          <w:spacing w:val="-4"/>
        </w:rPr>
        <w:t>.</w:t>
      </w:r>
      <w:r w:rsidRPr="000D5A14">
        <w:rPr>
          <w:rStyle w:val="FootnoteReference"/>
          <w:spacing w:val="-4"/>
        </w:rPr>
        <w:footnoteReference w:id="38"/>
      </w:r>
    </w:p>
    <w:p w14:paraId="0C65A493" w14:textId="2CAB8DAA" w:rsidR="00BC1539" w:rsidRDefault="00BC1539" w:rsidP="000D5A14">
      <w:pPr>
        <w:pStyle w:val="BodyText"/>
      </w:pPr>
      <w:r>
        <w:t xml:space="preserve">This appendix steps out the method the PC </w:t>
      </w:r>
      <w:r w:rsidR="00F17478">
        <w:t>used</w:t>
      </w:r>
      <w:r>
        <w:t xml:space="preserve"> for</w:t>
      </w:r>
      <w:r w:rsidDel="00AA26EE">
        <w:t xml:space="preserve"> </w:t>
      </w:r>
      <w:r>
        <w:t xml:space="preserve">analysing the imports data, details evidence at more granular levels than is presented in the body of the </w:t>
      </w:r>
      <w:proofErr w:type="gramStart"/>
      <w:r>
        <w:t>report</w:t>
      </w:r>
      <w:r w:rsidR="00F16F97">
        <w:t>,</w:t>
      </w:r>
      <w:r>
        <w:t xml:space="preserve"> and</w:t>
      </w:r>
      <w:proofErr w:type="gramEnd"/>
      <w:r>
        <w:t xml:space="preserve"> compares results with estimates submitted by inquiry participants.</w:t>
      </w:r>
    </w:p>
    <w:p w14:paraId="326747C3" w14:textId="77777777" w:rsidR="00BC1539" w:rsidRDefault="00BC1539" w:rsidP="00011592">
      <w:pPr>
        <w:pStyle w:val="Heading3"/>
      </w:pPr>
      <w:r>
        <w:t>Methodology for estimating imports</w:t>
      </w:r>
    </w:p>
    <w:p w14:paraId="3F38CBB2" w14:textId="2F7279DD" w:rsidR="00BC1539" w:rsidRPr="000D5A14" w:rsidRDefault="00BC1539" w:rsidP="00011592">
      <w:pPr>
        <w:pStyle w:val="BodyText"/>
        <w:rPr>
          <w:spacing w:val="-4"/>
        </w:rPr>
      </w:pPr>
      <w:r w:rsidRPr="000D5A14">
        <w:rPr>
          <w:spacing w:val="-4"/>
        </w:rPr>
        <w:t>In considering imports of in</w:t>
      </w:r>
      <w:r w:rsidR="00541146" w:rsidRPr="000D5A14">
        <w:rPr>
          <w:spacing w:val="-4"/>
        </w:rPr>
        <w:noBreakHyphen/>
      </w:r>
      <w:r w:rsidRPr="000D5A14">
        <w:rPr>
          <w:spacing w:val="-4"/>
        </w:rPr>
        <w:t xml:space="preserve">scope </w:t>
      </w:r>
      <w:r w:rsidR="005D0FE6" w:rsidRPr="000D5A14">
        <w:rPr>
          <w:spacing w:val="-4"/>
        </w:rPr>
        <w:t>fabricated structural steel (</w:t>
      </w:r>
      <w:r w:rsidRPr="000D5A14">
        <w:rPr>
          <w:spacing w:val="-4"/>
        </w:rPr>
        <w:t>FSS</w:t>
      </w:r>
      <w:r w:rsidR="005D0FE6" w:rsidRPr="000D5A14">
        <w:rPr>
          <w:spacing w:val="-4"/>
        </w:rPr>
        <w:t>)</w:t>
      </w:r>
      <w:r w:rsidRPr="000D5A14">
        <w:rPr>
          <w:spacing w:val="-4"/>
        </w:rPr>
        <w:t xml:space="preserve"> </w:t>
      </w:r>
      <w:r w:rsidR="00C01DDC" w:rsidRPr="000D5A14">
        <w:rPr>
          <w:spacing w:val="-4"/>
        </w:rPr>
        <w:t>products</w:t>
      </w:r>
      <w:r w:rsidRPr="000D5A14">
        <w:rPr>
          <w:spacing w:val="-4"/>
        </w:rPr>
        <w:t>, the PC heard from the ABS that import estimates deriving from published ABS data sources were incomplete</w:t>
      </w:r>
      <w:r w:rsidR="00506483" w:rsidRPr="000D5A14">
        <w:rPr>
          <w:spacing w:val="-4"/>
        </w:rPr>
        <w:t>,</w:t>
      </w:r>
      <w:r w:rsidRPr="000D5A14">
        <w:rPr>
          <w:spacing w:val="-4"/>
        </w:rPr>
        <w:t xml:space="preserve"> as some transactions are removed for data confidentiality purposes. Further, evidence provided through submissions highlighted abnormal activity occurring in some years, suggesting there may be value in the PC investigating the underlying imports data (CCCMC, sub.</w:t>
      </w:r>
      <w:r w:rsidR="00541146" w:rsidRPr="000D5A14">
        <w:rPr>
          <w:spacing w:val="-4"/>
        </w:rPr>
        <w:t> </w:t>
      </w:r>
      <w:r w:rsidRPr="000D5A14">
        <w:rPr>
          <w:spacing w:val="-4"/>
        </w:rPr>
        <w:t>55, p</w:t>
      </w:r>
      <w:r w:rsidR="000D6D75" w:rsidRPr="000D5A14">
        <w:rPr>
          <w:spacing w:val="-4"/>
        </w:rPr>
        <w:t>p</w:t>
      </w:r>
      <w:r w:rsidRPr="000D5A14">
        <w:rPr>
          <w:spacing w:val="-4"/>
        </w:rPr>
        <w:t>.</w:t>
      </w:r>
      <w:r w:rsidR="00541146" w:rsidRPr="000D5A14">
        <w:rPr>
          <w:spacing w:val="-4"/>
        </w:rPr>
        <w:t> </w:t>
      </w:r>
      <w:r w:rsidRPr="000D5A14">
        <w:rPr>
          <w:spacing w:val="-4"/>
        </w:rPr>
        <w:t>7</w:t>
      </w:r>
      <w:r w:rsidR="00C537A9" w:rsidRPr="000D5A14">
        <w:rPr>
          <w:spacing w:val="-4"/>
        </w:rPr>
        <w:t>–</w:t>
      </w:r>
      <w:r w:rsidRPr="000D5A14">
        <w:rPr>
          <w:spacing w:val="-4"/>
        </w:rPr>
        <w:t>12; ASI, post</w:t>
      </w:r>
      <w:r w:rsidR="00541146" w:rsidRPr="000D5A14">
        <w:rPr>
          <w:spacing w:val="-4"/>
        </w:rPr>
        <w:noBreakHyphen/>
      </w:r>
      <w:r w:rsidRPr="000D5A14">
        <w:rPr>
          <w:spacing w:val="-4"/>
        </w:rPr>
        <w:t>hearings submission, p.</w:t>
      </w:r>
      <w:r w:rsidR="00541146" w:rsidRPr="000D5A14">
        <w:rPr>
          <w:spacing w:val="-4"/>
        </w:rPr>
        <w:t> </w:t>
      </w:r>
      <w:r w:rsidRPr="000D5A14">
        <w:rPr>
          <w:spacing w:val="-4"/>
        </w:rPr>
        <w:t>8).</w:t>
      </w:r>
    </w:p>
    <w:p w14:paraId="00EB4CED" w14:textId="77777777" w:rsidR="00BC1539" w:rsidRDefault="00BC1539" w:rsidP="00011592">
      <w:pPr>
        <w:pStyle w:val="BodyText"/>
      </w:pPr>
      <w:r>
        <w:t>The PC undertook analysis of imports using the BLADE Merchandise Trade Imports data module. This module includes a wide range of detailed information, including:</w:t>
      </w:r>
    </w:p>
    <w:p w14:paraId="5DF2CABB" w14:textId="7FEF49A3" w:rsidR="00BC1539" w:rsidRDefault="00BC1539" w:rsidP="00011592">
      <w:pPr>
        <w:pStyle w:val="ListBullet"/>
      </w:pPr>
      <w:r>
        <w:t>transaction (a commercial exchange of one category of product), declaration (a collection of transactions), business and port</w:t>
      </w:r>
      <w:r w:rsidR="00541146">
        <w:noBreakHyphen/>
      </w:r>
      <w:r>
        <w:t>level ID</w:t>
      </w:r>
    </w:p>
    <w:p w14:paraId="46584F56" w14:textId="77777777" w:rsidR="00BC1539" w:rsidRPr="00CB5BCC" w:rsidRDefault="00BC1539" w:rsidP="00011592">
      <w:pPr>
        <w:pStyle w:val="ListBullet"/>
      </w:pPr>
      <w:r>
        <w:t>q</w:t>
      </w:r>
      <w:r w:rsidRPr="00CB5BCC">
        <w:t>uantity</w:t>
      </w:r>
      <w:r>
        <w:t xml:space="preserve"> (the ‘heaviness’ of the product excluding packaging) </w:t>
      </w:r>
      <w:r w:rsidRPr="00CB5BCC">
        <w:t xml:space="preserve">and value of transactions and </w:t>
      </w:r>
      <w:r>
        <w:t xml:space="preserve">weight (the ‘heaviness’ of the product including packaging) of </w:t>
      </w:r>
      <w:r w:rsidRPr="00CB5BCC">
        <w:t>declarations</w:t>
      </w:r>
      <w:r w:rsidRPr="007C273A">
        <w:rPr>
          <w:rStyle w:val="FootnoteReference"/>
        </w:rPr>
        <w:footnoteReference w:id="39"/>
      </w:r>
    </w:p>
    <w:p w14:paraId="44E86EA8" w14:textId="77777777" w:rsidR="00BC1539" w:rsidRDefault="00BC1539" w:rsidP="00011592">
      <w:pPr>
        <w:pStyle w:val="ListBullet"/>
      </w:pPr>
      <w:r>
        <w:t>month of transaction and c</w:t>
      </w:r>
      <w:r w:rsidRPr="00CB5BCC">
        <w:t>ountry of origin</w:t>
      </w:r>
      <w:r>
        <w:t>.</w:t>
      </w:r>
    </w:p>
    <w:p w14:paraId="23EA09C3" w14:textId="42FC04EE" w:rsidR="00BC1539" w:rsidRPr="00B9468D" w:rsidRDefault="00BC1539" w:rsidP="00011592">
      <w:pPr>
        <w:pStyle w:val="BodyText"/>
        <w:rPr>
          <w:spacing w:val="-2"/>
        </w:rPr>
      </w:pPr>
      <w:r w:rsidRPr="00B9468D">
        <w:rPr>
          <w:spacing w:val="-2"/>
        </w:rPr>
        <w:lastRenderedPageBreak/>
        <w:t>Each transaction has a 10</w:t>
      </w:r>
      <w:r w:rsidR="00541146" w:rsidRPr="00B9468D">
        <w:rPr>
          <w:spacing w:val="-2"/>
        </w:rPr>
        <w:noBreakHyphen/>
      </w:r>
      <w:r w:rsidRPr="00B9468D">
        <w:rPr>
          <w:spacing w:val="-2"/>
        </w:rPr>
        <w:t xml:space="preserve">digit Harmonized Tariff Item Statistical Code (HTISC) assigned to it, allowing the identification and aggregation of imports transactions relating to the HTISCs in the inquiry’s terms of reference. However, changes to the HTISC classifications in 2015 limited the historical period in which relevant imports data is available </w:t>
      </w:r>
      <w:r w:rsidRPr="00B9468D">
        <w:rPr>
          <w:rFonts w:cs="Open Sans"/>
          <w:spacing w:val="-2"/>
        </w:rPr>
        <w:t>(ABS 2022)</w:t>
      </w:r>
      <w:r w:rsidRPr="00B9468D">
        <w:rPr>
          <w:spacing w:val="-2"/>
        </w:rPr>
        <w:t>. PC analysis suggested that, for understanding import trends in the pre</w:t>
      </w:r>
      <w:r w:rsidR="00541146" w:rsidRPr="00B9468D">
        <w:rPr>
          <w:spacing w:val="-2"/>
        </w:rPr>
        <w:noBreakHyphen/>
      </w:r>
      <w:r w:rsidRPr="00B9468D">
        <w:rPr>
          <w:spacing w:val="-2"/>
        </w:rPr>
        <w:t>investigation (and pre</w:t>
      </w:r>
      <w:r w:rsidR="00541146" w:rsidRPr="00B9468D">
        <w:rPr>
          <w:spacing w:val="-2"/>
        </w:rPr>
        <w:noBreakHyphen/>
      </w:r>
      <w:r w:rsidRPr="00B9468D">
        <w:rPr>
          <w:spacing w:val="-2"/>
        </w:rPr>
        <w:t>COVID) period, data is most reliable from 2016–17 onwards.</w:t>
      </w:r>
      <w:r w:rsidRPr="00B9468D">
        <w:rPr>
          <w:rStyle w:val="FootnoteReference"/>
          <w:spacing w:val="-2"/>
        </w:rPr>
        <w:footnoteReference w:id="40"/>
      </w:r>
    </w:p>
    <w:p w14:paraId="64853270" w14:textId="77777777" w:rsidR="00BC1539" w:rsidRDefault="00BC1539" w:rsidP="00011592">
      <w:pPr>
        <w:pStyle w:val="BodyText"/>
      </w:pPr>
      <w:r>
        <w:t xml:space="preserve">Early testing of the BLADE Merchandise Trade Imports module suggested that, without developing an approach to address these issues, estimated import quantities may be inaccurate. </w:t>
      </w:r>
      <w:proofErr w:type="gramStart"/>
      <w:r>
        <w:t>In particular, two</w:t>
      </w:r>
      <w:proofErr w:type="gramEnd"/>
      <w:r>
        <w:t xml:space="preserve"> concerns were identified:</w:t>
      </w:r>
    </w:p>
    <w:p w14:paraId="64ECE028" w14:textId="017E0C68" w:rsidR="00BC1539" w:rsidRDefault="00BC1539" w:rsidP="00011592">
      <w:pPr>
        <w:pStyle w:val="ListBullet"/>
      </w:pPr>
      <w:r>
        <w:t>there were instances where quantity data was missing – primarily an issue with transactions of HTISC 7308.10.00.01 which was missing quantity data for all transactions</w:t>
      </w:r>
    </w:p>
    <w:p w14:paraId="6E6046D4" w14:textId="77777777" w:rsidR="00BC1539" w:rsidRDefault="00BC1539" w:rsidP="00011592">
      <w:pPr>
        <w:pStyle w:val="ListBullet"/>
      </w:pPr>
      <w:r>
        <w:t>there were instances where quantity and custom value measures of a given transaction appeared unrealistically low or high, indicating a high likelihood of reported quantity errors.</w:t>
      </w:r>
    </w:p>
    <w:p w14:paraId="7E8A2D38" w14:textId="77777777" w:rsidR="00BC1539" w:rsidRDefault="00BC1539" w:rsidP="00011592">
      <w:pPr>
        <w:pStyle w:val="BodyText"/>
      </w:pPr>
      <w:r>
        <w:t>The PC developed a methodology to account for these issues in its analysis of imports.</w:t>
      </w:r>
      <w:r w:rsidRPr="007C273A">
        <w:rPr>
          <w:rStyle w:val="FootnoteReference"/>
        </w:rPr>
        <w:footnoteReference w:id="41"/>
      </w:r>
      <w:r>
        <w:t xml:space="preserve"> The overarching process undertaken is detailed below:</w:t>
      </w:r>
    </w:p>
    <w:p w14:paraId="15F5C771" w14:textId="0FDFFCB0" w:rsidR="00BC1539" w:rsidRDefault="00BC1539" w:rsidP="00F642AD">
      <w:pPr>
        <w:pStyle w:val="ListNumber"/>
        <w:ind w:left="227" w:hanging="227"/>
      </w:pPr>
      <w:r>
        <w:t>Data was extracted on all declarations which included at least one transaction of any FSS HTISC (</w:t>
      </w:r>
      <w:r w:rsidR="00A9309E">
        <w:t xml:space="preserve">that is, </w:t>
      </w:r>
      <w:r>
        <w:t>any HTISC starting with 7308). To prevent double</w:t>
      </w:r>
      <w:r w:rsidR="00541146">
        <w:noBreakHyphen/>
      </w:r>
      <w:r>
        <w:t>counting, data was also filtered to exclude intrastate movements of imported shipments.</w:t>
      </w:r>
    </w:p>
    <w:p w14:paraId="10F0E48A" w14:textId="77777777" w:rsidR="00BC1539" w:rsidRDefault="00BC1539" w:rsidP="00F642AD">
      <w:pPr>
        <w:pStyle w:val="ListNumber"/>
        <w:ind w:left="227" w:hanging="227"/>
      </w:pPr>
      <w:r>
        <w:t>Quantities and weights of 0 were set to NA and the quantity and weight series were converted to tonnes where necessary.</w:t>
      </w:r>
    </w:p>
    <w:p w14:paraId="047C353D" w14:textId="77777777" w:rsidR="00BC1539" w:rsidRDefault="00BC1539" w:rsidP="00F642AD">
      <w:pPr>
        <w:pStyle w:val="ListNumber"/>
        <w:ind w:left="227" w:hanging="227"/>
      </w:pPr>
      <w:r>
        <w:t>Customs value per tonne (quantity) was estimated by HTISC and financial year.</w:t>
      </w:r>
    </w:p>
    <w:p w14:paraId="2C1313FE" w14:textId="3A039545" w:rsidR="00BC1539" w:rsidRDefault="00BC1539" w:rsidP="00F642AD">
      <w:pPr>
        <w:pStyle w:val="ListNumber"/>
        <w:ind w:left="227" w:hanging="227"/>
      </w:pPr>
      <w:r>
        <w:t>Transactions were identified as outliers where their custom value per quantity tonnage varied by more than 3 standard deviations from the mean within a given financial year.</w:t>
      </w:r>
      <w:r w:rsidRPr="007C273A">
        <w:rPr>
          <w:rStyle w:val="FootnoteReference"/>
        </w:rPr>
        <w:footnoteReference w:id="42"/>
      </w:r>
      <w:r>
        <w:t xml:space="preserve"> Only non</w:t>
      </w:r>
      <w:r w:rsidR="00541146">
        <w:noBreakHyphen/>
      </w:r>
      <w:r>
        <w:t>outlier transactions were included in ensuing trimmed mean calculations.</w:t>
      </w:r>
    </w:p>
    <w:p w14:paraId="72F2BEE7" w14:textId="2AB8C92B" w:rsidR="00BC1539" w:rsidRDefault="00BC1539" w:rsidP="00F642AD">
      <w:pPr>
        <w:pStyle w:val="ListNumber"/>
        <w:ind w:left="227" w:hanging="227"/>
      </w:pPr>
      <w:r>
        <w:t>Outlier transactions had their quantity data replaced with the transaction’s customs value multiplied by the trimmed mean ratio between quantity and customs value estimated by HTISC and financial year. In the case of transactions for HTISC 7308.10.00.01, quantity was estimated by multiplying the transaction’s customs value by the trimmed mean ratio of weight to customs value on a financial year basis, then by the mean ratio of quantity to weight across all in</w:t>
      </w:r>
      <w:r w:rsidR="00541146">
        <w:noBreakHyphen/>
      </w:r>
      <w:r>
        <w:t>scope FSS products (to account for packaging).</w:t>
      </w:r>
      <w:r w:rsidRPr="007C273A">
        <w:rPr>
          <w:rStyle w:val="FootnoteReference"/>
        </w:rPr>
        <w:footnoteReference w:id="43"/>
      </w:r>
    </w:p>
    <w:p w14:paraId="659296A2" w14:textId="6AD23583" w:rsidR="00BC1539" w:rsidRDefault="00BC1539" w:rsidP="00F642AD">
      <w:pPr>
        <w:pStyle w:val="ListNumber"/>
        <w:ind w:left="227" w:hanging="227"/>
      </w:pPr>
      <w:r>
        <w:t>For completeness, an attributable weight per transaction was also estimated. Where all transactions within a declaration included an attributable quantity measure, weight was attributed proportionately to this measure; otherwise, weight was estimated by multiplying the quantity measure by the HTISC</w:t>
      </w:r>
      <w:r w:rsidR="00541146">
        <w:noBreakHyphen/>
      </w:r>
      <w:r>
        <w:t>level mean ratio of weight to quantity.</w:t>
      </w:r>
      <w:r w:rsidRPr="007C273A">
        <w:rPr>
          <w:rStyle w:val="FootnoteReference"/>
        </w:rPr>
        <w:footnoteReference w:id="44"/>
      </w:r>
    </w:p>
    <w:p w14:paraId="43A9A24A" w14:textId="77777777" w:rsidR="00BC1539" w:rsidRDefault="00BC1539" w:rsidP="00D7266F">
      <w:pPr>
        <w:pStyle w:val="ListNumber"/>
        <w:ind w:left="227" w:hanging="227"/>
      </w:pPr>
      <w:r>
        <w:lastRenderedPageBreak/>
        <w:t>To meet the requirements of the free trade agreements with New Zealand and Singapore, imports from these countries were excluded from aggregates.</w:t>
      </w:r>
    </w:p>
    <w:p w14:paraId="5DC3B7C3" w14:textId="77777777" w:rsidR="00BC1539" w:rsidRDefault="00BC1539" w:rsidP="00D7266F">
      <w:pPr>
        <w:pStyle w:val="ListNumber"/>
        <w:ind w:left="227" w:hanging="227"/>
      </w:pPr>
      <w:r>
        <w:t>Data</w:t>
      </w:r>
      <w:r w:rsidDel="00C71669">
        <w:t xml:space="preserve"> </w:t>
      </w:r>
      <w:r>
        <w:t>was aggregated and processed for reporting purposes.</w:t>
      </w:r>
      <w:r w:rsidRPr="007C273A">
        <w:rPr>
          <w:rStyle w:val="FootnoteReference"/>
        </w:rPr>
        <w:footnoteReference w:id="45"/>
      </w:r>
    </w:p>
    <w:p w14:paraId="386DAD99" w14:textId="77777777" w:rsidR="00BC1539" w:rsidRPr="00276D10" w:rsidRDefault="00BC1539" w:rsidP="00011592">
      <w:pPr>
        <w:pStyle w:val="BodyText"/>
      </w:pPr>
      <w:r>
        <w:t xml:space="preserve">The PC’s </w:t>
      </w:r>
      <w:r w:rsidRPr="00276D10" w:rsidDel="00DB0336">
        <w:t xml:space="preserve">approach </w:t>
      </w:r>
      <w:r w:rsidRPr="00276D10">
        <w:t>reveal</w:t>
      </w:r>
      <w:r>
        <w:t>s the scale</w:t>
      </w:r>
      <w:r w:rsidRPr="00276D10" w:rsidDel="00DB0336">
        <w:t xml:space="preserve"> </w:t>
      </w:r>
      <w:r>
        <w:t>o</w:t>
      </w:r>
      <w:r w:rsidRPr="00276D10">
        <w:t xml:space="preserve">f </w:t>
      </w:r>
      <w:r>
        <w:t>assessed</w:t>
      </w:r>
      <w:r w:rsidRPr="00276D10">
        <w:t xml:space="preserve"> data quality issues when interpreting imports in terms of the quantity series (figure </w:t>
      </w:r>
      <w:r>
        <w:t>B.1</w:t>
      </w:r>
      <w:r w:rsidRPr="00276D10">
        <w:t>). Where the ‘raw’ series indicates a significant increase in imports over 2021</w:t>
      </w:r>
      <w:r>
        <w:t>–</w:t>
      </w:r>
      <w:r w:rsidRPr="00276D10">
        <w:t>22 and 2022</w:t>
      </w:r>
      <w:r>
        <w:t>–</w:t>
      </w:r>
      <w:r w:rsidRPr="00276D10">
        <w:t>23, the PC’s approach to analysing the imports data largely identifies these instances as being driven by unrealistic custom value to quantity ratios</w:t>
      </w:r>
      <w:r>
        <w:t>, indicating a high likelihood of incorrectly reported quantities. Further, outside these years, PC analysis closely follows the raw series</w:t>
      </w:r>
      <w:r w:rsidRPr="00276D10">
        <w:t xml:space="preserve">. Conversely, the PC’s analysis of weight suggests the raw values track closely with the adjusted values. </w:t>
      </w:r>
    </w:p>
    <w:p w14:paraId="62A9A6CA" w14:textId="77777777" w:rsidR="00BC1539" w:rsidRPr="00146382" w:rsidRDefault="00BC1539" w:rsidP="00011592">
      <w:pPr>
        <w:pStyle w:val="FigureTableHeading"/>
      </w:pPr>
      <w:r>
        <w:t>Figure B.1</w:t>
      </w:r>
      <w:r>
        <w:rPr>
          <w:noProof/>
        </w:rPr>
        <w:t xml:space="preserve"> </w:t>
      </w:r>
      <w:r>
        <w:t>– The PC’s approach removes the impacts of potential misreporting issues</w:t>
      </w:r>
    </w:p>
    <w:p w14:paraId="217075EA" w14:textId="77777777" w:rsidR="00BC1539" w:rsidRDefault="00BC1539" w:rsidP="00011592">
      <w:pPr>
        <w:pStyle w:val="FigureTableSubheading"/>
        <w:keepLines/>
      </w:pPr>
      <w:r>
        <w:t xml:space="preserve">Raw import estimates from </w:t>
      </w:r>
      <w:proofErr w:type="spellStart"/>
      <w:r>
        <w:t>DataLab</w:t>
      </w:r>
      <w:proofErr w:type="spellEnd"/>
      <w:r>
        <w:t xml:space="preserve"> versus the PC’s estimation approach</w:t>
      </w:r>
    </w:p>
    <w:p w14:paraId="72686660" w14:textId="77777777" w:rsidR="00BC1539" w:rsidRDefault="00BC1539" w:rsidP="008D3B62">
      <w:pPr>
        <w:pStyle w:val="BodyText"/>
      </w:pPr>
      <w:r w:rsidRPr="0050309B">
        <w:rPr>
          <w:noProof/>
        </w:rPr>
        <w:drawing>
          <wp:inline distT="0" distB="0" distL="0" distR="0" wp14:anchorId="5F4B37E1" wp14:editId="0426B387">
            <wp:extent cx="5798185" cy="3595370"/>
            <wp:effectExtent l="0" t="0" r="0" b="0"/>
            <wp:docPr id="9595146" name="Picture 5" descr="Figure B.1 - The figure contains two panels: the first compares raw quarterly import quantities with the PC quarterly import quantities. Raw import quantities spike sharply between Q2 2021-22 and Q2 2022-23, while the PC quarterly import quantities increase steadily. The second panel compares raw quarterly import weight with the PC quarterly import weight. The raw weight and PC weight series track each other closely and increase over the perio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5146" name="Picture 5" descr="Figure B.1 - The figure contains two panels: the first compares raw quarterly import quantities with the PC quarterly import quantities. Raw import quantities spike sharply between Q2 2021-22 and Q2 2022-23, while the PC quarterly import quantities increase steadily. The second panel compares raw quarterly import weight with the PC quarterly import weight. The raw weight and PC weight series track each other closely and increase over the period.&#1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798185" cy="3595370"/>
                    </a:xfrm>
                    <a:prstGeom prst="rect">
                      <a:avLst/>
                    </a:prstGeom>
                    <a:noFill/>
                    <a:ln>
                      <a:noFill/>
                    </a:ln>
                  </pic:spPr>
                </pic:pic>
              </a:graphicData>
            </a:graphic>
          </wp:inline>
        </w:drawing>
      </w:r>
    </w:p>
    <w:p w14:paraId="2A2C5EF2" w14:textId="77777777" w:rsidR="00BC1539" w:rsidRDefault="00BC1539" w:rsidP="00011592">
      <w:pPr>
        <w:pStyle w:val="Source"/>
      </w:pPr>
      <w:r w:rsidRPr="00696447">
        <w:t xml:space="preserve">Source: </w:t>
      </w:r>
      <w:r w:rsidRPr="006A034D">
        <w:t>PC analysis of ABS data.</w:t>
      </w:r>
    </w:p>
    <w:p w14:paraId="03433D50" w14:textId="0CFFC5EC" w:rsidR="00BC1539" w:rsidRDefault="00BC1539" w:rsidP="00011592">
      <w:pPr>
        <w:pStyle w:val="BodyText"/>
      </w:pPr>
      <w:r>
        <w:t>Combining import quantity estimates with official import customs value statistics produced by DFAT further supports the likelihood of data entry error in the quantity series. The raw import series suggests the average price per tonne of imported in</w:t>
      </w:r>
      <w:r w:rsidR="00541146">
        <w:noBreakHyphen/>
      </w:r>
      <w:r>
        <w:t xml:space="preserve">scope FSS fell from just over $2,500 to just over $800 from 2018–19 to 2022–23, before rising to over $2,800 in 2024–25 (figure B.2). Alternatively, PC analysis of the time series suggests a smoother time series, generally increasing over time with some price falls in select years, with prices rising over the inflationary 2021–22 and 2022–23 years rather than </w:t>
      </w:r>
      <w:r>
        <w:lastRenderedPageBreak/>
        <w:t>falling as the raw series would suggest. This provides further confidence in the robustness of the cleaning approach employed by the PC.</w:t>
      </w:r>
    </w:p>
    <w:p w14:paraId="4593DFE8" w14:textId="77777777" w:rsidR="00BC1539" w:rsidRPr="00146382" w:rsidRDefault="00BC1539" w:rsidP="00011592">
      <w:pPr>
        <w:pStyle w:val="FigureTableHeading"/>
      </w:pPr>
      <w:r>
        <w:t>Figure B.2</w:t>
      </w:r>
      <w:r>
        <w:rPr>
          <w:noProof/>
        </w:rPr>
        <w:t xml:space="preserve"> </w:t>
      </w:r>
      <w:r>
        <w:t xml:space="preserve">– The PC’s value per quantity estimates </w:t>
      </w:r>
      <w:proofErr w:type="gramStart"/>
      <w:r>
        <w:t>are</w:t>
      </w:r>
      <w:proofErr w:type="gramEnd"/>
      <w:r>
        <w:t xml:space="preserve"> steadier than raw import estimates</w:t>
      </w:r>
    </w:p>
    <w:p w14:paraId="5501A9D0" w14:textId="77777777" w:rsidR="00BC1539" w:rsidRDefault="00BC1539" w:rsidP="00011592">
      <w:pPr>
        <w:pStyle w:val="FigureTableSubheading"/>
        <w:keepLines/>
      </w:pPr>
      <w:r>
        <w:t xml:space="preserve">Raw import estimates from </w:t>
      </w:r>
      <w:proofErr w:type="spellStart"/>
      <w:r>
        <w:t>DataLab</w:t>
      </w:r>
      <w:proofErr w:type="spellEnd"/>
      <w:r>
        <w:t xml:space="preserve"> versus the PC’s estimation approach</w:t>
      </w:r>
      <w:r w:rsidRPr="00BF2EEE">
        <w:t xml:space="preserve"> </w:t>
      </w:r>
    </w:p>
    <w:p w14:paraId="3BDC7BEF" w14:textId="77777777" w:rsidR="00BC1539" w:rsidRDefault="00BC1539" w:rsidP="00011592">
      <w:pPr>
        <w:pStyle w:val="FigureTableSubheading"/>
        <w:keepLines/>
      </w:pPr>
      <w:r w:rsidRPr="00545DB4">
        <w:rPr>
          <w:noProof/>
        </w:rPr>
        <w:drawing>
          <wp:inline distT="0" distB="0" distL="0" distR="0" wp14:anchorId="48B58180" wp14:editId="731AC0BC">
            <wp:extent cx="6120130" cy="3200400"/>
            <wp:effectExtent l="0" t="0" r="0" b="0"/>
            <wp:docPr id="1214088831" name="Picture 6" descr="Figure B.2 - The figure compares the price per tonne of steel imports based on the raw quantity series and the PC quantity series. Starting at around $2,500 per tonne in 2016-17, the raw quantity series trends downwards to reach around $800 per tonne in 2021-22 and 2022-23, before increasing to around $3,00 per tonne in 2024-25. The PC quantity series moves in the range of approximately $2,500 per tonne to $3,000 per tonne over the whole perio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088831" name="Picture 6" descr="Figure B.2 - The figure compares the price per tonne of steel imports based on the raw quantity series and the PC quantity series. Starting at around $2,500 per tonne in 2016-17, the raw quantity series trends downwards to reach around $800 per tonne in 2021-22 and 2022-23, before increasing to around $3,00 per tonne in 2024-25. The PC quantity series moves in the range of approximately $2,500 per tonne to $3,000 per tonne over the whole period.&#10;"/>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120130" cy="3200400"/>
                    </a:xfrm>
                    <a:prstGeom prst="rect">
                      <a:avLst/>
                    </a:prstGeom>
                    <a:noFill/>
                    <a:ln>
                      <a:noFill/>
                    </a:ln>
                  </pic:spPr>
                </pic:pic>
              </a:graphicData>
            </a:graphic>
          </wp:inline>
        </w:drawing>
      </w:r>
    </w:p>
    <w:p w14:paraId="148B64D5" w14:textId="77777777" w:rsidR="00BC1539" w:rsidRDefault="00BC1539" w:rsidP="00011592">
      <w:pPr>
        <w:pStyle w:val="Source"/>
      </w:pPr>
      <w:r w:rsidRPr="00696447">
        <w:t xml:space="preserve">Source: </w:t>
      </w:r>
      <w:r>
        <w:t xml:space="preserve">PC </w:t>
      </w:r>
      <w:r w:rsidRPr="00AB2712">
        <w:t>analysis of ABS and</w:t>
      </w:r>
      <w:r>
        <w:t xml:space="preserve"> DFAT</w:t>
      </w:r>
      <w:r w:rsidRPr="006A034D">
        <w:t xml:space="preserve"> data</w:t>
      </w:r>
      <w:r w:rsidRPr="00696447">
        <w:t>.</w:t>
      </w:r>
    </w:p>
    <w:p w14:paraId="42A7ED29" w14:textId="01D2623B" w:rsidR="00BC1539" w:rsidRDefault="00BC1539" w:rsidP="00011592">
      <w:pPr>
        <w:pStyle w:val="BodyText"/>
      </w:pPr>
      <w:r>
        <w:t xml:space="preserve">The PC believes that the PC’s quantity </w:t>
      </w:r>
      <w:r w:rsidRPr="00276D10">
        <w:t>series</w:t>
      </w:r>
      <w:r>
        <w:t xml:space="preserve"> </w:t>
      </w:r>
      <w:r w:rsidRPr="00276D10">
        <w:t xml:space="preserve">is </w:t>
      </w:r>
      <w:r>
        <w:t>the most reliable series for estimating imports of in</w:t>
      </w:r>
      <w:r w:rsidR="00541146">
        <w:noBreakHyphen/>
      </w:r>
      <w:r>
        <w:t>scope FSS products</w:t>
      </w:r>
      <w:r w:rsidRPr="00276D10">
        <w:t>.</w:t>
      </w:r>
      <w:r>
        <w:t xml:space="preserve"> This reflects that the quantity measure explicitly excludes the weight of packaging; by not excluding packaging, the ‘weight’ variable would be expected to systematically overestimate imports. It is noted that inquiry participants referred to measures inconsistently, with some submissions referring to weight (for example, Steel Builder Australia, sub</w:t>
      </w:r>
      <w:r w:rsidRPr="006A034D">
        <w:t>.</w:t>
      </w:r>
      <w:r w:rsidR="00541146">
        <w:t> </w:t>
      </w:r>
      <w:r w:rsidRPr="006A034D">
        <w:t>42</w:t>
      </w:r>
      <w:r>
        <w:t>) while others referred to quantity (Ministry of Commerce of the People’s Republic of China, sub</w:t>
      </w:r>
      <w:r w:rsidRPr="006A034D">
        <w:t>.</w:t>
      </w:r>
      <w:r w:rsidR="00541146">
        <w:t> </w:t>
      </w:r>
      <w:r w:rsidRPr="006A034D">
        <w:t>50</w:t>
      </w:r>
      <w:r>
        <w:t>; CCCMC, sub</w:t>
      </w:r>
      <w:r w:rsidRPr="006A034D">
        <w:t>.</w:t>
      </w:r>
      <w:r w:rsidR="00541146">
        <w:t> </w:t>
      </w:r>
      <w:r w:rsidRPr="006A034D">
        <w:t>55</w:t>
      </w:r>
      <w:r>
        <w:t>; Thailand Department of Foreign Trade, sub.</w:t>
      </w:r>
      <w:r w:rsidR="00541146">
        <w:t> </w:t>
      </w:r>
      <w:r w:rsidRPr="006A034D">
        <w:t>35</w:t>
      </w:r>
      <w:r>
        <w:t>).</w:t>
      </w:r>
    </w:p>
    <w:p w14:paraId="3F42170F" w14:textId="77777777" w:rsidR="00BC1539" w:rsidRDefault="00BC1539" w:rsidP="00011592">
      <w:pPr>
        <w:pStyle w:val="Heading3"/>
      </w:pPr>
      <w:r>
        <w:t>Further analysis of imports</w:t>
      </w:r>
    </w:p>
    <w:p w14:paraId="657B7A21" w14:textId="2EF6A659" w:rsidR="00BC1539" w:rsidRPr="00435B23" w:rsidRDefault="00BC1539">
      <w:pPr>
        <w:pStyle w:val="BodyText"/>
        <w:rPr>
          <w:szCs w:val="18"/>
        </w:rPr>
      </w:pPr>
      <w:r>
        <w:t xml:space="preserve">The PC also found that HTISC </w:t>
      </w:r>
      <w:r>
        <w:rPr>
          <w:szCs w:val="18"/>
        </w:rPr>
        <w:t>7308.90.00.65 (imports of c</w:t>
      </w:r>
      <w:r w:rsidRPr="006E60C2">
        <w:rPr>
          <w:szCs w:val="18"/>
        </w:rPr>
        <w:t>olumns, pillars, posts and beams, girders, bracing, gantries, brackets, struts, ties and similar structural units</w:t>
      </w:r>
      <w:r>
        <w:rPr>
          <w:szCs w:val="18"/>
        </w:rPr>
        <w:t xml:space="preserve"> which fall into the ‘other’ category) comprises </w:t>
      </w:r>
      <w:proofErr w:type="gramStart"/>
      <w:r>
        <w:rPr>
          <w:szCs w:val="18"/>
        </w:rPr>
        <w:t>the majority of</w:t>
      </w:r>
      <w:proofErr w:type="gramEnd"/>
      <w:r>
        <w:rPr>
          <w:szCs w:val="18"/>
        </w:rPr>
        <w:t xml:space="preserve"> in</w:t>
      </w:r>
      <w:r w:rsidR="00541146">
        <w:rPr>
          <w:szCs w:val="18"/>
        </w:rPr>
        <w:noBreakHyphen/>
      </w:r>
      <w:r>
        <w:rPr>
          <w:szCs w:val="18"/>
        </w:rPr>
        <w:t>scope imports (figure B.</w:t>
      </w:r>
      <w:r w:rsidR="00F52E61">
        <w:rPr>
          <w:szCs w:val="18"/>
        </w:rPr>
        <w:t>3</w:t>
      </w:r>
      <w:r>
        <w:rPr>
          <w:szCs w:val="18"/>
        </w:rPr>
        <w:t xml:space="preserve">). Across the investigation period, this </w:t>
      </w:r>
      <w:r>
        <w:t>HTISC</w:t>
      </w:r>
      <w:r>
        <w:rPr>
          <w:szCs w:val="18"/>
        </w:rPr>
        <w:t xml:space="preserve"> contributed between 72% and 83% of imports in any given year.</w:t>
      </w:r>
    </w:p>
    <w:p w14:paraId="4D094277" w14:textId="77777777" w:rsidR="00BC1539" w:rsidRPr="00146382" w:rsidRDefault="00BC1539" w:rsidP="00011592">
      <w:pPr>
        <w:pStyle w:val="FigureTableHeading"/>
      </w:pPr>
      <w:r>
        <w:lastRenderedPageBreak/>
        <w:t>Figure B.3</w:t>
      </w:r>
      <w:r>
        <w:rPr>
          <w:noProof/>
        </w:rPr>
        <w:t xml:space="preserve"> </w:t>
      </w:r>
      <w:r>
        <w:t>– Absolute imports are dominated by HTISC 7308.90.00.65</w:t>
      </w:r>
    </w:p>
    <w:p w14:paraId="7747C072" w14:textId="43A9F86B" w:rsidR="00BC1539" w:rsidRDefault="00BC1539" w:rsidP="00011592">
      <w:pPr>
        <w:pStyle w:val="FigureTableSubheading"/>
        <w:keepLines/>
      </w:pPr>
      <w:r>
        <w:t>Financial</w:t>
      </w:r>
      <w:r w:rsidR="00541146">
        <w:noBreakHyphen/>
      </w:r>
      <w:r>
        <w:t>yearly imports of in</w:t>
      </w:r>
      <w:r w:rsidR="00541146">
        <w:noBreakHyphen/>
      </w:r>
      <w:r>
        <w:t>scope fabricated structural steel, by HTISC grouping</w:t>
      </w:r>
    </w:p>
    <w:p w14:paraId="16AEC0DD" w14:textId="73638F88" w:rsidR="00BC1539" w:rsidRPr="001E0590" w:rsidRDefault="009E5D1B" w:rsidP="001E0590">
      <w:pPr>
        <w:pStyle w:val="BodyText"/>
      </w:pPr>
      <w:r w:rsidRPr="001E0590">
        <w:rPr>
          <w:noProof/>
        </w:rPr>
        <w:drawing>
          <wp:inline distT="0" distB="0" distL="0" distR="0" wp14:anchorId="346A267C" wp14:editId="21EB6137">
            <wp:extent cx="6120130" cy="2951480"/>
            <wp:effectExtent l="0" t="0" r="0" b="0"/>
            <wp:docPr id="865189196" name="Picture 19" descr="Figure B.3 - The figure is a stacked area chart that shows FSS imports for 7308.90.00.65 and all other import codes in the terms of reference from 2016-17 to 2024-25. The figure shows 7308.90.00.65 dominates the other codes in its contribution to FSS imports in all yea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189196" name="Picture 19" descr="Figure B.3 - The figure is a stacked area chart that shows FSS imports for 7308.90.00.65 and all other import codes in the terms of reference from 2016-17 to 2024-25. The figure shows 7308.90.00.65 dominates the other codes in its contribution to FSS imports in all years.&#10;"/>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120130" cy="2951480"/>
                    </a:xfrm>
                    <a:prstGeom prst="rect">
                      <a:avLst/>
                    </a:prstGeom>
                    <a:noFill/>
                    <a:ln>
                      <a:noFill/>
                    </a:ln>
                  </pic:spPr>
                </pic:pic>
              </a:graphicData>
            </a:graphic>
          </wp:inline>
        </w:drawing>
      </w:r>
    </w:p>
    <w:p w14:paraId="4929A40B" w14:textId="77777777" w:rsidR="00BC1539" w:rsidRDefault="00BC1539" w:rsidP="00011592">
      <w:pPr>
        <w:pStyle w:val="Source"/>
      </w:pPr>
      <w:r w:rsidRPr="00696447">
        <w:t xml:space="preserve">Source: </w:t>
      </w:r>
      <w:r w:rsidRPr="00B42931">
        <w:t>PC analysis of ABS data.</w:t>
      </w:r>
    </w:p>
    <w:p w14:paraId="5D8717F4" w14:textId="77777777" w:rsidR="00BC1539" w:rsidRDefault="00BC1539" w:rsidP="00011592">
      <w:pPr>
        <w:pStyle w:val="Heading3"/>
      </w:pPr>
      <w:r>
        <w:t>Comparison to submissions by inquiry participants</w:t>
      </w:r>
    </w:p>
    <w:p w14:paraId="22AEE34E" w14:textId="59152A17" w:rsidR="00BC1539" w:rsidRDefault="00BC1539" w:rsidP="00011592">
      <w:pPr>
        <w:pStyle w:val="BodyText"/>
      </w:pPr>
      <w:r>
        <w:t xml:space="preserve">In total, 8 inquiry participants provided statistical evidence regarding imports of FSS products into Australia, drawing on a combination of Australian and international data sources. Across the inquiry participants who provided evidence regarding import statistics, 4 submissions came from domestic industry groups </w:t>
      </w:r>
      <w:r w:rsidRPr="009E0880">
        <w:rPr>
          <w:rFonts w:cs="Open Sans"/>
        </w:rPr>
        <w:t>(ASI 2026, p. 19</w:t>
      </w:r>
      <w:r>
        <w:t xml:space="preserve">; BlueScope Steel, </w:t>
      </w:r>
      <w:proofErr w:type="gramStart"/>
      <w:r>
        <w:t>sub 48</w:t>
      </w:r>
      <w:proofErr w:type="gramEnd"/>
      <w:r>
        <w:t>, p.</w:t>
      </w:r>
      <w:r w:rsidR="00541146">
        <w:t> </w:t>
      </w:r>
      <w:r>
        <w:t xml:space="preserve">7; </w:t>
      </w:r>
      <w:proofErr w:type="spellStart"/>
      <w:r>
        <w:t>InfraBuild</w:t>
      </w:r>
      <w:proofErr w:type="spellEnd"/>
      <w:r>
        <w:t>, sub</w:t>
      </w:r>
      <w:r w:rsidRPr="006A034D">
        <w:t>.</w:t>
      </w:r>
      <w:r w:rsidR="00541146">
        <w:t> </w:t>
      </w:r>
      <w:r w:rsidRPr="006A034D">
        <w:t>40</w:t>
      </w:r>
      <w:r>
        <w:t>, p.</w:t>
      </w:r>
      <w:r w:rsidR="00541146">
        <w:t> </w:t>
      </w:r>
      <w:r>
        <w:t>6; Steel Builder Australia, sub</w:t>
      </w:r>
      <w:r w:rsidRPr="006A034D">
        <w:t>.</w:t>
      </w:r>
      <w:r w:rsidR="00541146">
        <w:t> </w:t>
      </w:r>
      <w:r w:rsidRPr="006A034D">
        <w:t>42</w:t>
      </w:r>
      <w:r>
        <w:t>, p.</w:t>
      </w:r>
      <w:r w:rsidR="00541146">
        <w:t> </w:t>
      </w:r>
      <w:r>
        <w:t>1). The other 4 came from international bodies and agencies (Ministry of Commerce of the People’s Republic of China, sub</w:t>
      </w:r>
      <w:r w:rsidRPr="007963AA">
        <w:t>.</w:t>
      </w:r>
      <w:r w:rsidR="00541146">
        <w:t> </w:t>
      </w:r>
      <w:r w:rsidRPr="007963AA">
        <w:t>50</w:t>
      </w:r>
      <w:r>
        <w:t>, p.</w:t>
      </w:r>
      <w:r w:rsidR="00541146">
        <w:t> </w:t>
      </w:r>
      <w:r>
        <w:t>4; CCCMC, sub</w:t>
      </w:r>
      <w:r w:rsidRPr="006A034D">
        <w:t>.</w:t>
      </w:r>
      <w:r w:rsidR="00541146">
        <w:t> </w:t>
      </w:r>
      <w:r w:rsidRPr="006A034D">
        <w:t>55</w:t>
      </w:r>
      <w:r>
        <w:t>, pp 8; Malaysia Ministry of Investment, Trade and Industry, sub</w:t>
      </w:r>
      <w:r w:rsidRPr="006A034D">
        <w:t>.</w:t>
      </w:r>
      <w:r w:rsidR="00541146">
        <w:t> </w:t>
      </w:r>
      <w:r>
        <w:t>61, p.</w:t>
      </w:r>
      <w:r w:rsidR="00541146">
        <w:t> </w:t>
      </w:r>
      <w:r>
        <w:t>5; Thailand Department of Foreign Trade, sub</w:t>
      </w:r>
      <w:r w:rsidRPr="006A034D">
        <w:t>.</w:t>
      </w:r>
      <w:r w:rsidR="00541146">
        <w:t> </w:t>
      </w:r>
      <w:r w:rsidRPr="006A034D">
        <w:t>35</w:t>
      </w:r>
      <w:r>
        <w:t>, p.</w:t>
      </w:r>
      <w:r w:rsidR="00541146">
        <w:t> </w:t>
      </w:r>
      <w:r>
        <w:t>2).</w:t>
      </w:r>
    </w:p>
    <w:p w14:paraId="2A52DDE3" w14:textId="77777777" w:rsidR="00BC1539" w:rsidRDefault="00BC1539" w:rsidP="00011592">
      <w:pPr>
        <w:pStyle w:val="BodyText"/>
      </w:pPr>
      <w:r>
        <w:t>Analysis by the PC differs from that provided by inquiry participants. Variation is driven by 3 factors:</w:t>
      </w:r>
    </w:p>
    <w:p w14:paraId="481709EF" w14:textId="77777777" w:rsidR="00BC1539" w:rsidRDefault="00BC1539" w:rsidP="004E1B21">
      <w:pPr>
        <w:pStyle w:val="ListNumber"/>
        <w:numPr>
          <w:ilvl w:val="0"/>
          <w:numId w:val="14"/>
        </w:numPr>
      </w:pPr>
      <w:r>
        <w:t>Variation in usage of the weight and quantity series</w:t>
      </w:r>
    </w:p>
    <w:p w14:paraId="36E4DFB4" w14:textId="5179A21A" w:rsidR="00BC1539" w:rsidRDefault="00BC1539" w:rsidP="004E1B21">
      <w:pPr>
        <w:pStyle w:val="ListNumber"/>
        <w:numPr>
          <w:ilvl w:val="0"/>
          <w:numId w:val="14"/>
        </w:numPr>
      </w:pPr>
      <w:r>
        <w:t>The implementation of the PC’s methodology for interpreting import data which is only available to organisations with access to transaction</w:t>
      </w:r>
      <w:r w:rsidR="00541146">
        <w:noBreakHyphen/>
      </w:r>
      <w:r>
        <w:t>level import data</w:t>
      </w:r>
    </w:p>
    <w:p w14:paraId="0566D9FB" w14:textId="77777777" w:rsidR="00BC1539" w:rsidRDefault="00BC1539" w:rsidP="004E1B21">
      <w:pPr>
        <w:pStyle w:val="ListNumber"/>
        <w:numPr>
          <w:ilvl w:val="0"/>
          <w:numId w:val="14"/>
        </w:numPr>
      </w:pPr>
      <w:r>
        <w:t>Data provided by the ABS Consulting Service and through other public sources can be incomplete – for example, the ABS Consulting Service removes transactions and declarations in some cases for confidentiality purposes. This has not been a limitation of the PC’s analysis.</w:t>
      </w:r>
    </w:p>
    <w:p w14:paraId="55C520A3" w14:textId="7BBAA5F2" w:rsidR="00BC1539" w:rsidRDefault="00BC1539" w:rsidP="00011592">
      <w:pPr>
        <w:pStyle w:val="BodyText"/>
      </w:pPr>
      <w:r>
        <w:t xml:space="preserve">In general, submissions from the ASI, BlueScope Steel, </w:t>
      </w:r>
      <w:proofErr w:type="spellStart"/>
      <w:r>
        <w:t>InfraBuild</w:t>
      </w:r>
      <w:proofErr w:type="spellEnd"/>
      <w:r>
        <w:t xml:space="preserve"> and Steel Builder Australia found evidence of an increase in imports, all based upon data requested from the ABS Consulting Service. ASI cited an increase from calendar year 2022 to 2024 </w:t>
      </w:r>
      <w:r w:rsidR="00762450" w:rsidRPr="00762450">
        <w:rPr>
          <w:rFonts w:cs="Open Sans"/>
        </w:rPr>
        <w:t>(ASI 2026, p. 19)</w:t>
      </w:r>
      <w:r>
        <w:t xml:space="preserve">. </w:t>
      </w:r>
      <w:proofErr w:type="spellStart"/>
      <w:r>
        <w:t>InfraBuild</w:t>
      </w:r>
      <w:proofErr w:type="spellEnd"/>
      <w:r>
        <w:t xml:space="preserve"> evidence suggested a reduction in imports from calendar year 2021 to 2022, then an increase in imports from 2022 to 2025, as well as generally increasing relative imports (</w:t>
      </w:r>
      <w:proofErr w:type="spellStart"/>
      <w:r>
        <w:t>InfraBuild</w:t>
      </w:r>
      <w:proofErr w:type="spellEnd"/>
      <w:r>
        <w:t>, sub.</w:t>
      </w:r>
      <w:r w:rsidR="00541146">
        <w:t> </w:t>
      </w:r>
      <w:r>
        <w:t xml:space="preserve">40, </w:t>
      </w:r>
      <w:r w:rsidR="00541146">
        <w:t>p</w:t>
      </w:r>
      <w:r>
        <w:t>p.</w:t>
      </w:r>
      <w:r w:rsidR="00541146">
        <w:t> </w:t>
      </w:r>
      <w:r>
        <w:t>3</w:t>
      </w:r>
      <w:r w:rsidR="00541146">
        <w:t>–</w:t>
      </w:r>
      <w:r>
        <w:t>6).</w:t>
      </w:r>
      <w:r w:rsidRPr="007C273A">
        <w:rPr>
          <w:rStyle w:val="FootnoteReference"/>
        </w:rPr>
        <w:footnoteReference w:id="46"/>
      </w:r>
      <w:r>
        <w:t xml:space="preserve"> Steel Builder Australia </w:t>
      </w:r>
      <w:r>
        <w:lastRenderedPageBreak/>
        <w:t>reported an increase from 2016 to 2025, and BlueScope Steel reported a material increase in imports (BlueScope Steel, sub.</w:t>
      </w:r>
      <w:r w:rsidR="00541146">
        <w:t> </w:t>
      </w:r>
      <w:r>
        <w:t>48, p.</w:t>
      </w:r>
      <w:r w:rsidR="00541146">
        <w:t> </w:t>
      </w:r>
      <w:r>
        <w:t>7; Steel Builder Australia, sub</w:t>
      </w:r>
      <w:r w:rsidRPr="006A034D">
        <w:t>.</w:t>
      </w:r>
      <w:r w:rsidR="00541146">
        <w:t> </w:t>
      </w:r>
      <w:r w:rsidRPr="006A034D">
        <w:t>42</w:t>
      </w:r>
      <w:r>
        <w:t>, p.</w:t>
      </w:r>
      <w:r w:rsidR="00541146">
        <w:t> </w:t>
      </w:r>
      <w:r>
        <w:t xml:space="preserve">1). </w:t>
      </w:r>
    </w:p>
    <w:p w14:paraId="0681FEBC" w14:textId="5418C320" w:rsidR="00BC1539" w:rsidRPr="001E0590" w:rsidRDefault="00BC1539" w:rsidP="00011592">
      <w:pPr>
        <w:pStyle w:val="BodyText"/>
        <w:rPr>
          <w:spacing w:val="2"/>
        </w:rPr>
      </w:pPr>
      <w:r w:rsidRPr="001E0590">
        <w:rPr>
          <w:spacing w:val="2"/>
        </w:rPr>
        <w:t>PC analysis supports the general trend reported by the 4 participants that imports have been increasing but does not support their conclusion that there has been a recent sharp increase. However, the ASI, BlueScope Steel, and Steel Builder Australia appear to refer to the weight series rather than the quantity series. As discussed previously, the series</w:t>
      </w:r>
      <w:r w:rsidRPr="001E0590" w:rsidDel="00062591">
        <w:rPr>
          <w:spacing w:val="2"/>
        </w:rPr>
        <w:t xml:space="preserve"> </w:t>
      </w:r>
      <w:r w:rsidRPr="001E0590">
        <w:rPr>
          <w:spacing w:val="2"/>
        </w:rPr>
        <w:t>systematically mismeasures in</w:t>
      </w:r>
      <w:r w:rsidR="00541146" w:rsidRPr="001E0590">
        <w:rPr>
          <w:spacing w:val="2"/>
        </w:rPr>
        <w:noBreakHyphen/>
      </w:r>
      <w:r w:rsidRPr="001E0590">
        <w:rPr>
          <w:spacing w:val="2"/>
        </w:rPr>
        <w:t xml:space="preserve">scope FSS imported – particularly at the level of analysis accessed by these </w:t>
      </w:r>
      <w:proofErr w:type="gramStart"/>
      <w:r w:rsidRPr="001E0590">
        <w:rPr>
          <w:spacing w:val="2"/>
        </w:rPr>
        <w:t>participants, and</w:t>
      </w:r>
      <w:proofErr w:type="gramEnd"/>
      <w:r w:rsidRPr="001E0590">
        <w:rPr>
          <w:spacing w:val="2"/>
        </w:rPr>
        <w:t xml:space="preserve"> excludes some confidential transactions.</w:t>
      </w:r>
    </w:p>
    <w:p w14:paraId="44162CE4" w14:textId="7D0DE939" w:rsidR="00BC1539" w:rsidRDefault="00BC1539" w:rsidP="00011592">
      <w:pPr>
        <w:pStyle w:val="BodyText"/>
      </w:pPr>
      <w:r>
        <w:t>Conversely, submissions from foreign governments suggested there was no significant increase in exports, drawing upon data from the ABS and the Global Trade Atlas (Ministry of Commerce of the People’s Republic of China, sub</w:t>
      </w:r>
      <w:r w:rsidRPr="006A034D">
        <w:t>.</w:t>
      </w:r>
      <w:r w:rsidR="00541146">
        <w:t> </w:t>
      </w:r>
      <w:r w:rsidRPr="006A034D">
        <w:t>50</w:t>
      </w:r>
      <w:r>
        <w:t>, p.</w:t>
      </w:r>
      <w:r w:rsidR="00541146">
        <w:t> </w:t>
      </w:r>
      <w:r>
        <w:t>4; CCCMC, sub</w:t>
      </w:r>
      <w:r w:rsidRPr="006A034D">
        <w:t>.</w:t>
      </w:r>
      <w:r w:rsidR="00541146">
        <w:t> </w:t>
      </w:r>
      <w:r w:rsidRPr="006A034D">
        <w:t>55</w:t>
      </w:r>
      <w:r>
        <w:t>, p.</w:t>
      </w:r>
      <w:r w:rsidR="00541146">
        <w:t> </w:t>
      </w:r>
      <w:r>
        <w:t>8; Malaysia Ministry of Investment, Trade and Industry, sub</w:t>
      </w:r>
      <w:r w:rsidRPr="006A034D">
        <w:t>.</w:t>
      </w:r>
      <w:r w:rsidR="00541146">
        <w:t> </w:t>
      </w:r>
      <w:r>
        <w:t>61, p.</w:t>
      </w:r>
      <w:r w:rsidR="00541146">
        <w:t> </w:t>
      </w:r>
      <w:r>
        <w:t>5; Thailand Department of Foreign Trade, sub</w:t>
      </w:r>
      <w:r w:rsidRPr="006A034D">
        <w:t>.</w:t>
      </w:r>
      <w:r w:rsidR="00541146">
        <w:t> </w:t>
      </w:r>
      <w:r w:rsidRPr="006A034D">
        <w:t>35</w:t>
      </w:r>
      <w:r>
        <w:t>, p.</w:t>
      </w:r>
      <w:r w:rsidR="00541146">
        <w:t> </w:t>
      </w:r>
      <w:r>
        <w:t>2). Each reported a decline from calendar year 2021 to 2025 while also observing a one</w:t>
      </w:r>
      <w:r w:rsidR="00541146">
        <w:noBreakHyphen/>
      </w:r>
      <w:r>
        <w:t>off significant increase in 2022. Data was sourced from both the ABS Consulting Service and the Global Trade Atlas.</w:t>
      </w:r>
    </w:p>
    <w:p w14:paraId="21C50251" w14:textId="2640CD9F" w:rsidR="00BC1539" w:rsidRDefault="00BC1539" w:rsidP="00011592">
      <w:pPr>
        <w:pStyle w:val="BodyText"/>
      </w:pPr>
      <w:r>
        <w:t>These estimates do not align with the PC’s analysis of import trends; where the PC identified an increase in imports over time, these submissions suggested there was instead a decrease. The discrepancy is likely driven by the sources of variation outlined earlier in this section (the usage of the quantity series which requires more careful examination to appropriately apply and the removal of some transactions for confidentiality purposes).</w:t>
      </w:r>
    </w:p>
    <w:p w14:paraId="1DF6AEF3" w14:textId="77777777" w:rsidR="00BC1539" w:rsidRDefault="00BC1539" w:rsidP="00011592">
      <w:pPr>
        <w:pStyle w:val="Heading2-Appendix"/>
      </w:pPr>
      <w:bookmarkStart w:id="47" w:name="_Toc238643923"/>
      <w:r>
        <w:t>Identifying the Australian FSS industry</w:t>
      </w:r>
      <w:bookmarkEnd w:id="47"/>
    </w:p>
    <w:p w14:paraId="1BA26BBC" w14:textId="174494E3" w:rsidR="00BC1539" w:rsidRPr="00000EB7" w:rsidRDefault="00BC1539" w:rsidP="00011592">
      <w:pPr>
        <w:pStyle w:val="BodyText"/>
        <w:rPr>
          <w:spacing w:val="-4"/>
        </w:rPr>
      </w:pPr>
      <w:r w:rsidRPr="00000EB7">
        <w:rPr>
          <w:spacing w:val="-4"/>
        </w:rPr>
        <w:t>To construct a dataset of relevant injury factors for the Australian FSS industry, the PC used administrative data housed within the ABS Business Longitudinal Analysis Data Environment (BLADE). The environment provides anonymised, firm</w:t>
      </w:r>
      <w:r w:rsidR="00541146" w:rsidRPr="00000EB7">
        <w:rPr>
          <w:spacing w:val="-4"/>
        </w:rPr>
        <w:noBreakHyphen/>
      </w:r>
      <w:r w:rsidRPr="00000EB7">
        <w:rPr>
          <w:spacing w:val="-4"/>
        </w:rPr>
        <w:t>level data, which the PC aggregated to form industry</w:t>
      </w:r>
      <w:r w:rsidR="00541146" w:rsidRPr="00000EB7">
        <w:rPr>
          <w:spacing w:val="-4"/>
        </w:rPr>
        <w:noBreakHyphen/>
      </w:r>
      <w:r w:rsidRPr="00000EB7">
        <w:rPr>
          <w:spacing w:val="-4"/>
        </w:rPr>
        <w:t>level estimates.</w:t>
      </w:r>
    </w:p>
    <w:p w14:paraId="410BBB67" w14:textId="77777777" w:rsidR="00BC1539" w:rsidRDefault="00BC1539" w:rsidP="00011592">
      <w:pPr>
        <w:pStyle w:val="BodyText"/>
      </w:pPr>
      <w:r>
        <w:t xml:space="preserve">To do so, the PC provided the ABS with a list of businesses that </w:t>
      </w:r>
      <w:r w:rsidDel="007F0143">
        <w:t xml:space="preserve">we </w:t>
      </w:r>
      <w:r>
        <w:t>believe make up the Australian FSS industry.</w:t>
      </w:r>
      <w:r>
        <w:rPr>
          <w:rStyle w:val="Strong"/>
        </w:rPr>
        <w:t xml:space="preserve"> </w:t>
      </w:r>
      <w:r>
        <w:t>To prepare this list we drew on multiple sources:</w:t>
      </w:r>
    </w:p>
    <w:p w14:paraId="7A21296B" w14:textId="77777777" w:rsidR="00BC1539" w:rsidRDefault="00BC1539" w:rsidP="00011592">
      <w:pPr>
        <w:pStyle w:val="ListBullet"/>
      </w:pPr>
      <w:r>
        <w:t>ASI’s member list: the ASI provided a list of 336 member fabricators.</w:t>
      </w:r>
    </w:p>
    <w:p w14:paraId="653EE741" w14:textId="27D95464" w:rsidR="00BC1539" w:rsidRDefault="00BC1539" w:rsidP="00011592">
      <w:pPr>
        <w:pStyle w:val="ListBullet"/>
      </w:pPr>
      <w:r w:rsidRPr="00362E8D">
        <w:t xml:space="preserve">PC website: the inquiry website encouraged </w:t>
      </w:r>
      <w:r>
        <w:t>non</w:t>
      </w:r>
      <w:r w:rsidR="00541146">
        <w:noBreakHyphen/>
      </w:r>
      <w:r>
        <w:t>ASI</w:t>
      </w:r>
      <w:r w:rsidR="00541146">
        <w:noBreakHyphen/>
      </w:r>
      <w:r>
        <w:t xml:space="preserve">member </w:t>
      </w:r>
      <w:r w:rsidRPr="00362E8D">
        <w:t>fabricators to register their interest</w:t>
      </w:r>
      <w:r w:rsidR="00312C4C">
        <w:t xml:space="preserve">, </w:t>
      </w:r>
      <w:r w:rsidR="00354B92">
        <w:t xml:space="preserve">which </w:t>
      </w:r>
      <w:r w:rsidRPr="00362E8D">
        <w:t>only captured 6 businesses</w:t>
      </w:r>
      <w:r>
        <w:t>.</w:t>
      </w:r>
    </w:p>
    <w:p w14:paraId="393A8C58" w14:textId="77777777" w:rsidR="00BC1539" w:rsidRDefault="00BC1539" w:rsidP="00011592">
      <w:pPr>
        <w:pStyle w:val="ListBullet"/>
      </w:pPr>
      <w:r>
        <w:t>Fabrication businesses who engaged in the inquiry or were otherwise identified during the inquiry, including businesses that closed in recent years.</w:t>
      </w:r>
    </w:p>
    <w:p w14:paraId="1626DCBF" w14:textId="77777777" w:rsidR="00BC1539" w:rsidRDefault="00BC1539" w:rsidP="00011592">
      <w:pPr>
        <w:pStyle w:val="ListBullet"/>
      </w:pPr>
      <w:r>
        <w:t xml:space="preserve">Information from </w:t>
      </w:r>
      <w:proofErr w:type="gramStart"/>
      <w:r>
        <w:t>a number of</w:t>
      </w:r>
      <w:proofErr w:type="gramEnd"/>
      <w:r>
        <w:t xml:space="preserve"> key industry participants on businesses that purchase the major steel inputs used by fabricators.</w:t>
      </w:r>
    </w:p>
    <w:p w14:paraId="6BEF3784" w14:textId="77777777" w:rsidR="00BC1539" w:rsidRDefault="00BC1539" w:rsidP="00011592">
      <w:pPr>
        <w:pStyle w:val="BodyText"/>
      </w:pPr>
      <w:r w:rsidRPr="00927E5C">
        <w:t>The above sources were combined</w:t>
      </w:r>
      <w:r>
        <w:t xml:space="preserve"> </w:t>
      </w:r>
      <w:r w:rsidRPr="00927E5C">
        <w:t xml:space="preserve">to create a master list of unique business names. </w:t>
      </w:r>
      <w:r>
        <w:t>Where ABNs were provided, they were checked for GST status to ensure they are linked to relevant ATO administrative data. If the provided ABN was not registered for GST, the business name was added to the pool of business names without ABNs. For cases where we did not have an ABN, we performed an ABN look up using the Australian Business Register, taking the 5 ABNs with the highest match score. Of the top 5 ABN matches, the most likely ABN was selected by matching on business postcode (if available), state of registration (if available), or highest matching score. Selected matches were checked to ensure they were registered for GST.</w:t>
      </w:r>
    </w:p>
    <w:p w14:paraId="5331C2A1" w14:textId="77777777" w:rsidR="00BC1539" w:rsidRDefault="00BC1539" w:rsidP="00000EB7">
      <w:pPr>
        <w:pStyle w:val="BodyText"/>
        <w:keepNext/>
      </w:pPr>
      <w:r>
        <w:lastRenderedPageBreak/>
        <w:t>Based on the master list of unique businesses and their source, the PC constructed 2 populations of businesses: a conservative population and an expanded population.</w:t>
      </w:r>
    </w:p>
    <w:p w14:paraId="3704881C" w14:textId="77777777" w:rsidR="00BC1539" w:rsidRDefault="00BC1539" w:rsidP="00011592">
      <w:pPr>
        <w:pStyle w:val="ListBullet"/>
      </w:pPr>
      <w:r w:rsidRPr="00DD6BF9">
        <w:rPr>
          <w:b/>
          <w:bCs/>
        </w:rPr>
        <w:t>Co</w:t>
      </w:r>
      <w:r>
        <w:rPr>
          <w:b/>
          <w:bCs/>
        </w:rPr>
        <w:t>nservative</w:t>
      </w:r>
      <w:r w:rsidRPr="00DD6BF9">
        <w:rPr>
          <w:b/>
          <w:bCs/>
        </w:rPr>
        <w:t xml:space="preserve"> population</w:t>
      </w:r>
      <w:r>
        <w:t xml:space="preserve"> – includes ASI fabricator members, businesses identified through the online register and businesses otherwise directly engaged or identified in the inquiry. The conservative population was used for the safeguard assessment and includes 376 businesses.</w:t>
      </w:r>
    </w:p>
    <w:p w14:paraId="43E66A0C" w14:textId="77777777" w:rsidR="00BC1539" w:rsidRDefault="00BC1539" w:rsidP="00011592">
      <w:pPr>
        <w:pStyle w:val="ListBullet"/>
      </w:pPr>
      <w:r>
        <w:rPr>
          <w:b/>
          <w:bCs/>
        </w:rPr>
        <w:t>Expanded</w:t>
      </w:r>
      <w:r w:rsidRPr="00DD6BF9">
        <w:rPr>
          <w:b/>
          <w:bCs/>
        </w:rPr>
        <w:t xml:space="preserve"> population</w:t>
      </w:r>
      <w:r>
        <w:t xml:space="preserve"> – includes the conservative population as well as any business identified as having purchased the major steel inputs used by fabricators</w:t>
      </w:r>
      <w:r w:rsidDel="007031BF">
        <w:t>.</w:t>
      </w:r>
      <w:r>
        <w:t xml:space="preserve"> The expanded population is the PC’s best estimate of the total FSS industry and includes 514 businesses.</w:t>
      </w:r>
    </w:p>
    <w:p w14:paraId="797F19F5" w14:textId="2F7919AA" w:rsidR="00BC1539" w:rsidRDefault="00BC1539" w:rsidP="00011592">
      <w:pPr>
        <w:pStyle w:val="BodyText"/>
      </w:pPr>
      <w:r>
        <w:t xml:space="preserve">ASI estimates their fabricator members represent approximately 70% of industry capacity </w:t>
      </w:r>
      <w:r w:rsidRPr="007C6ECC">
        <w:rPr>
          <w:rFonts w:cs="Open Sans"/>
        </w:rPr>
        <w:t>(ASI 2026, p. 9–10)</w:t>
      </w:r>
      <w:r>
        <w:t>. Assuming uniform distribution of capacity between ASI members and non</w:t>
      </w:r>
      <w:r w:rsidR="00541146">
        <w:noBreakHyphen/>
      </w:r>
      <w:r>
        <w:t>ASI members, we would expect there to be approximately 480 businesses in the industry. It is more likely that industry capacity is more concentrated in ASI members so we would expect there to be slightly more than 480</w:t>
      </w:r>
      <w:r w:rsidR="00775C40">
        <w:t> </w:t>
      </w:r>
      <w:r>
        <w:t>businesses in the industry overall, which aligns with the expanded population of 514 businesses.</w:t>
      </w:r>
    </w:p>
    <w:p w14:paraId="1C13D6C6" w14:textId="48B17F7F" w:rsidR="00BC1539" w:rsidRDefault="00BC1539" w:rsidP="00011592">
      <w:pPr>
        <w:pStyle w:val="BodyText"/>
      </w:pPr>
      <w:r>
        <w:t xml:space="preserve">Not </w:t>
      </w:r>
      <w:proofErr w:type="gramStart"/>
      <w:r>
        <w:t>all of</w:t>
      </w:r>
      <w:proofErr w:type="gramEnd"/>
      <w:r>
        <w:t xml:space="preserve"> the businesses identified existed in </w:t>
      </w:r>
      <w:proofErr w:type="gramStart"/>
      <w:r>
        <w:t>all of</w:t>
      </w:r>
      <w:proofErr w:type="gramEnd"/>
      <w:r>
        <w:t xml:space="preserve"> the years </w:t>
      </w:r>
      <w:proofErr w:type="gramStart"/>
      <w:r>
        <w:t>analysed, or</w:t>
      </w:r>
      <w:proofErr w:type="gramEnd"/>
      <w:r>
        <w:t xml:space="preserve"> provided data in every year. The largest number of businesses identified in any one year was 2024–25 (table B.</w:t>
      </w:r>
      <w:r w:rsidR="00FC5949">
        <w:t>1</w:t>
      </w:r>
      <w:r>
        <w:t xml:space="preserve">). </w:t>
      </w:r>
    </w:p>
    <w:p w14:paraId="20765613" w14:textId="4157F695" w:rsidR="00BC1539" w:rsidRDefault="00BC1539" w:rsidP="00011592">
      <w:pPr>
        <w:pStyle w:val="FigureTableHeading"/>
      </w:pPr>
      <w:bookmarkStart w:id="48" w:name="_Ref236055657"/>
      <w:r>
        <w:t xml:space="preserve">Table </w:t>
      </w:r>
      <w:bookmarkEnd w:id="48"/>
      <w:r>
        <w:t>B.</w:t>
      </w:r>
      <w:r w:rsidR="00FC5949">
        <w:t>1</w:t>
      </w:r>
      <w:r>
        <w:rPr>
          <w:noProof/>
        </w:rPr>
        <w:t xml:space="preserve"> – </w:t>
      </w:r>
      <w:r>
        <w:t>Contributing counts for key variables to the conservative population</w:t>
      </w:r>
    </w:p>
    <w:tbl>
      <w:tblPr>
        <w:tblW w:w="9742" w:type="dxa"/>
        <w:tblBorders>
          <w:bottom w:val="single" w:sz="4" w:space="0" w:color="B3B3B3"/>
        </w:tblBorders>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1070"/>
        <w:gridCol w:w="705"/>
        <w:gridCol w:w="1295"/>
        <w:gridCol w:w="1307"/>
        <w:gridCol w:w="828"/>
        <w:gridCol w:w="795"/>
        <w:gridCol w:w="1128"/>
        <w:gridCol w:w="1307"/>
        <w:gridCol w:w="1307"/>
      </w:tblGrid>
      <w:tr w:rsidR="00BC1539" w:rsidRPr="00D404D8" w14:paraId="10C6181C" w14:textId="77777777">
        <w:trPr>
          <w:trHeight w:val="255"/>
          <w:tblHeader/>
        </w:trPr>
        <w:tc>
          <w:tcPr>
            <w:tcW w:w="1070" w:type="dxa"/>
            <w:tcBorders>
              <w:bottom w:val="single" w:sz="4" w:space="0" w:color="B3B3B3"/>
            </w:tcBorders>
            <w:noWrap/>
            <w:vAlign w:val="bottom"/>
            <w:hideMark/>
          </w:tcPr>
          <w:p w14:paraId="76D0CD39" w14:textId="77777777" w:rsidR="00BC1539" w:rsidRPr="00884BBE" w:rsidRDefault="00BC1539">
            <w:pPr>
              <w:spacing w:before="45" w:after="45" w:line="240" w:lineRule="auto"/>
              <w:ind w:left="57" w:right="108"/>
              <w:rPr>
                <w:rFonts w:eastAsia="Times New Roman" w:cs="Open Sans"/>
                <w:b/>
                <w:color w:val="1D4374"/>
                <w:sz w:val="18"/>
                <w:szCs w:val="24"/>
                <w:lang w:eastAsia="en-AU"/>
              </w:rPr>
            </w:pPr>
          </w:p>
        </w:tc>
        <w:tc>
          <w:tcPr>
            <w:tcW w:w="705" w:type="dxa"/>
            <w:tcBorders>
              <w:bottom w:val="single" w:sz="4" w:space="0" w:color="B3B3B3"/>
            </w:tcBorders>
            <w:noWrap/>
            <w:vAlign w:val="bottom"/>
            <w:hideMark/>
          </w:tcPr>
          <w:p w14:paraId="435DF7FF" w14:textId="77777777" w:rsidR="00BC1539" w:rsidRPr="00884BBE" w:rsidRDefault="00BC1539" w:rsidP="001E0590">
            <w:pPr>
              <w:spacing w:before="45" w:after="45" w:line="240" w:lineRule="auto"/>
              <w:ind w:left="57" w:right="108"/>
              <w:jc w:val="right"/>
              <w:rPr>
                <w:rFonts w:eastAsia="Times New Roman" w:cs="Open Sans"/>
                <w:b/>
                <w:color w:val="1D4374"/>
                <w:sz w:val="18"/>
                <w:lang w:eastAsia="en-AU"/>
              </w:rPr>
            </w:pPr>
            <w:r w:rsidRPr="00884BBE">
              <w:rPr>
                <w:rFonts w:eastAsia="Times New Roman" w:cs="Open Sans"/>
                <w:b/>
                <w:color w:val="1D4374"/>
                <w:sz w:val="18"/>
                <w:lang w:eastAsia="en-AU"/>
              </w:rPr>
              <w:t>FTE</w:t>
            </w:r>
          </w:p>
        </w:tc>
        <w:tc>
          <w:tcPr>
            <w:tcW w:w="1295" w:type="dxa"/>
            <w:tcBorders>
              <w:bottom w:val="single" w:sz="4" w:space="0" w:color="B3B3B3"/>
            </w:tcBorders>
            <w:noWrap/>
            <w:vAlign w:val="bottom"/>
            <w:hideMark/>
          </w:tcPr>
          <w:p w14:paraId="06FFC7E2" w14:textId="77777777" w:rsidR="00BC1539" w:rsidRPr="00884BBE" w:rsidRDefault="00BC1539" w:rsidP="001E0590">
            <w:pPr>
              <w:spacing w:before="45" w:after="45" w:line="240" w:lineRule="auto"/>
              <w:ind w:left="57" w:right="108"/>
              <w:jc w:val="right"/>
              <w:rPr>
                <w:rFonts w:eastAsia="Times New Roman" w:cs="Open Sans"/>
                <w:b/>
                <w:color w:val="1D4374"/>
                <w:sz w:val="18"/>
                <w:lang w:eastAsia="en-AU"/>
              </w:rPr>
            </w:pPr>
            <w:r w:rsidRPr="00884BBE">
              <w:rPr>
                <w:rFonts w:eastAsia="Times New Roman" w:cs="Open Sans"/>
                <w:b/>
                <w:color w:val="1D4374"/>
                <w:sz w:val="18"/>
                <w:lang w:eastAsia="en-AU"/>
              </w:rPr>
              <w:t>Headcount</w:t>
            </w:r>
          </w:p>
        </w:tc>
        <w:tc>
          <w:tcPr>
            <w:tcW w:w="1307" w:type="dxa"/>
            <w:tcBorders>
              <w:bottom w:val="single" w:sz="4" w:space="0" w:color="B3B3B3"/>
            </w:tcBorders>
            <w:noWrap/>
            <w:vAlign w:val="bottom"/>
            <w:hideMark/>
          </w:tcPr>
          <w:p w14:paraId="1DA3DF34" w14:textId="77777777" w:rsidR="00BC1539" w:rsidRPr="00884BBE" w:rsidRDefault="00BC1539" w:rsidP="001E0590">
            <w:pPr>
              <w:spacing w:before="45" w:after="45" w:line="240" w:lineRule="auto"/>
              <w:ind w:left="57" w:right="108"/>
              <w:jc w:val="right"/>
              <w:rPr>
                <w:rFonts w:eastAsia="Times New Roman" w:cs="Open Sans"/>
                <w:b/>
                <w:color w:val="1D4374"/>
                <w:sz w:val="18"/>
                <w:lang w:eastAsia="en-AU"/>
              </w:rPr>
            </w:pPr>
            <w:r w:rsidRPr="00884BBE">
              <w:rPr>
                <w:rFonts w:eastAsia="Times New Roman" w:cs="Open Sans"/>
                <w:b/>
                <w:color w:val="1D4374"/>
                <w:sz w:val="18"/>
                <w:lang w:eastAsia="en-AU"/>
              </w:rPr>
              <w:t>Cost of sales</w:t>
            </w:r>
          </w:p>
        </w:tc>
        <w:tc>
          <w:tcPr>
            <w:tcW w:w="828" w:type="dxa"/>
            <w:tcBorders>
              <w:bottom w:val="single" w:sz="4" w:space="0" w:color="B3B3B3"/>
            </w:tcBorders>
            <w:noWrap/>
            <w:vAlign w:val="bottom"/>
            <w:hideMark/>
          </w:tcPr>
          <w:p w14:paraId="32B686EA" w14:textId="77777777" w:rsidR="00BC1539" w:rsidRPr="00884BBE" w:rsidRDefault="00BC1539" w:rsidP="001E0590">
            <w:pPr>
              <w:spacing w:before="45" w:after="45" w:line="240" w:lineRule="auto"/>
              <w:ind w:left="57" w:right="108"/>
              <w:jc w:val="right"/>
              <w:rPr>
                <w:rFonts w:eastAsia="Times New Roman" w:cs="Open Sans"/>
                <w:b/>
                <w:color w:val="1D4374"/>
                <w:sz w:val="18"/>
                <w:lang w:eastAsia="en-AU"/>
              </w:rPr>
            </w:pPr>
            <w:r w:rsidRPr="00884BBE">
              <w:rPr>
                <w:rFonts w:eastAsia="Times New Roman" w:cs="Open Sans"/>
                <w:b/>
                <w:color w:val="1D4374"/>
                <w:sz w:val="18"/>
                <w:lang w:eastAsia="en-AU"/>
              </w:rPr>
              <w:t>Sales</w:t>
            </w:r>
          </w:p>
        </w:tc>
        <w:tc>
          <w:tcPr>
            <w:tcW w:w="795" w:type="dxa"/>
            <w:tcBorders>
              <w:bottom w:val="single" w:sz="4" w:space="0" w:color="B3B3B3"/>
            </w:tcBorders>
            <w:noWrap/>
            <w:vAlign w:val="bottom"/>
            <w:hideMark/>
          </w:tcPr>
          <w:p w14:paraId="1F627B41" w14:textId="77777777" w:rsidR="00BC1539" w:rsidRPr="00884BBE" w:rsidRDefault="00BC1539" w:rsidP="001E0590">
            <w:pPr>
              <w:spacing w:before="45" w:after="45" w:line="240" w:lineRule="auto"/>
              <w:ind w:left="57" w:right="108"/>
              <w:jc w:val="right"/>
              <w:rPr>
                <w:rFonts w:eastAsia="Times New Roman" w:cs="Open Sans"/>
                <w:b/>
                <w:color w:val="1D4374"/>
                <w:sz w:val="18"/>
                <w:lang w:eastAsia="en-AU"/>
              </w:rPr>
            </w:pPr>
            <w:r w:rsidRPr="00884BBE">
              <w:rPr>
                <w:rFonts w:eastAsia="Times New Roman" w:cs="Open Sans"/>
                <w:b/>
                <w:color w:val="1D4374"/>
                <w:sz w:val="18"/>
                <w:lang w:eastAsia="en-AU"/>
              </w:rPr>
              <w:t>Profit</w:t>
            </w:r>
          </w:p>
        </w:tc>
        <w:tc>
          <w:tcPr>
            <w:tcW w:w="1128" w:type="dxa"/>
            <w:tcBorders>
              <w:bottom w:val="single" w:sz="4" w:space="0" w:color="B3B3B3"/>
            </w:tcBorders>
            <w:noWrap/>
            <w:vAlign w:val="bottom"/>
            <w:hideMark/>
          </w:tcPr>
          <w:p w14:paraId="201F2197" w14:textId="77777777" w:rsidR="00BC1539" w:rsidRPr="00884BBE" w:rsidRDefault="00BC1539" w:rsidP="001E0590">
            <w:pPr>
              <w:spacing w:before="45" w:after="45" w:line="240" w:lineRule="auto"/>
              <w:ind w:left="57" w:right="108"/>
              <w:jc w:val="right"/>
              <w:rPr>
                <w:rFonts w:eastAsia="Times New Roman" w:cs="Open Sans"/>
                <w:b/>
                <w:color w:val="1D4374"/>
                <w:sz w:val="18"/>
                <w:lang w:eastAsia="en-AU"/>
              </w:rPr>
            </w:pPr>
            <w:r w:rsidRPr="00884BBE">
              <w:rPr>
                <w:rFonts w:eastAsia="Times New Roman" w:cs="Open Sans"/>
                <w:b/>
                <w:color w:val="1D4374"/>
                <w:sz w:val="18"/>
                <w:lang w:eastAsia="en-AU"/>
              </w:rPr>
              <w:t>Turnover</w:t>
            </w:r>
          </w:p>
        </w:tc>
        <w:tc>
          <w:tcPr>
            <w:tcW w:w="1307" w:type="dxa"/>
            <w:tcBorders>
              <w:bottom w:val="single" w:sz="4" w:space="0" w:color="B3B3B3"/>
            </w:tcBorders>
            <w:noWrap/>
            <w:vAlign w:val="bottom"/>
            <w:hideMark/>
          </w:tcPr>
          <w:p w14:paraId="65586170" w14:textId="77777777" w:rsidR="00BC1539" w:rsidRPr="00884BBE" w:rsidRDefault="00BC1539" w:rsidP="001E0590">
            <w:pPr>
              <w:spacing w:before="45" w:after="45" w:line="240" w:lineRule="auto"/>
              <w:ind w:left="57" w:right="108"/>
              <w:jc w:val="right"/>
              <w:rPr>
                <w:rFonts w:eastAsia="Times New Roman" w:cs="Open Sans"/>
                <w:b/>
                <w:color w:val="1D4374"/>
                <w:sz w:val="18"/>
                <w:lang w:eastAsia="en-AU"/>
              </w:rPr>
            </w:pPr>
            <w:r w:rsidRPr="00884BBE">
              <w:rPr>
                <w:rFonts w:eastAsia="Times New Roman" w:cs="Open Sans"/>
                <w:b/>
                <w:color w:val="1D4374"/>
                <w:sz w:val="18"/>
                <w:lang w:eastAsia="en-AU"/>
              </w:rPr>
              <w:t>Contributed to any</w:t>
            </w:r>
          </w:p>
        </w:tc>
        <w:tc>
          <w:tcPr>
            <w:tcW w:w="1307" w:type="dxa"/>
            <w:tcBorders>
              <w:bottom w:val="single" w:sz="4" w:space="0" w:color="B3B3B3"/>
            </w:tcBorders>
            <w:noWrap/>
            <w:vAlign w:val="bottom"/>
            <w:hideMark/>
          </w:tcPr>
          <w:p w14:paraId="0A9EFFC0" w14:textId="77777777" w:rsidR="00BC1539" w:rsidRPr="00884BBE" w:rsidRDefault="00BC1539" w:rsidP="001E0590">
            <w:pPr>
              <w:spacing w:before="45" w:after="45" w:line="240" w:lineRule="auto"/>
              <w:ind w:left="57" w:right="108"/>
              <w:jc w:val="right"/>
              <w:rPr>
                <w:rFonts w:eastAsia="Times New Roman" w:cs="Open Sans"/>
                <w:b/>
                <w:color w:val="1D4374"/>
                <w:sz w:val="18"/>
                <w:lang w:eastAsia="en-AU"/>
              </w:rPr>
            </w:pPr>
            <w:r w:rsidRPr="00884BBE">
              <w:rPr>
                <w:rFonts w:eastAsia="Times New Roman" w:cs="Open Sans"/>
                <w:b/>
                <w:color w:val="1D4374"/>
                <w:sz w:val="18"/>
                <w:lang w:eastAsia="en-AU"/>
              </w:rPr>
              <w:t>Total ABNs identified</w:t>
            </w:r>
          </w:p>
        </w:tc>
      </w:tr>
      <w:tr w:rsidR="00BC1539" w:rsidRPr="00D404D8" w14:paraId="1717CD4A" w14:textId="77777777">
        <w:trPr>
          <w:trHeight w:val="255"/>
        </w:trPr>
        <w:tc>
          <w:tcPr>
            <w:tcW w:w="1070" w:type="dxa"/>
            <w:tcBorders>
              <w:top w:val="single" w:sz="4" w:space="0" w:color="B3B3B3"/>
              <w:bottom w:val="nil"/>
            </w:tcBorders>
            <w:shd w:val="clear" w:color="auto" w:fill="E6E6E6"/>
            <w:noWrap/>
            <w:hideMark/>
          </w:tcPr>
          <w:p w14:paraId="1A9795DC" w14:textId="035F39C2" w:rsidR="00BC1539" w:rsidRPr="00884BBE" w:rsidRDefault="00BC1539">
            <w:pPr>
              <w:spacing w:before="45" w:after="45" w:line="240" w:lineRule="auto"/>
              <w:ind w:left="57" w:right="108"/>
              <w:rPr>
                <w:rFonts w:eastAsia="Times New Roman" w:cs="Open Sans"/>
                <w:b/>
                <w:color w:val="1D4374"/>
                <w:sz w:val="18"/>
                <w:lang w:eastAsia="en-AU"/>
              </w:rPr>
            </w:pPr>
            <w:r w:rsidRPr="00884BBE">
              <w:rPr>
                <w:rFonts w:eastAsia="Times New Roman" w:cs="Open Sans"/>
                <w:b/>
                <w:color w:val="1D4374"/>
                <w:sz w:val="18"/>
                <w:lang w:eastAsia="en-AU"/>
              </w:rPr>
              <w:t>2016</w:t>
            </w:r>
            <w:r w:rsidR="0090267A">
              <w:rPr>
                <w:rFonts w:eastAsia="Times New Roman" w:cs="Open Sans"/>
                <w:b/>
                <w:color w:val="1D4374"/>
                <w:sz w:val="18"/>
                <w:lang w:eastAsia="en-AU"/>
              </w:rPr>
              <w:t>–</w:t>
            </w:r>
            <w:r w:rsidRPr="00884BBE">
              <w:rPr>
                <w:rFonts w:eastAsia="Times New Roman" w:cs="Open Sans"/>
                <w:b/>
                <w:color w:val="1D4374"/>
                <w:sz w:val="18"/>
                <w:lang w:eastAsia="en-AU"/>
              </w:rPr>
              <w:t>17</w:t>
            </w:r>
          </w:p>
        </w:tc>
        <w:tc>
          <w:tcPr>
            <w:tcW w:w="705" w:type="dxa"/>
            <w:tcBorders>
              <w:top w:val="single" w:sz="4" w:space="0" w:color="B3B3B3"/>
              <w:bottom w:val="nil"/>
            </w:tcBorders>
            <w:shd w:val="clear" w:color="auto" w:fill="E6E6E6"/>
            <w:noWrap/>
            <w:hideMark/>
          </w:tcPr>
          <w:p w14:paraId="445CC86D" w14:textId="77777777" w:rsidR="00BC1539" w:rsidRPr="00884BBE" w:rsidRDefault="00BC1539" w:rsidP="001E0590">
            <w:pPr>
              <w:pStyle w:val="TableBody"/>
              <w:ind w:right="108"/>
              <w:jc w:val="right"/>
              <w:rPr>
                <w:rFonts w:eastAsia="Times New Roman" w:cs="Open Sans"/>
                <w:color w:val="000000"/>
                <w:lang w:eastAsia="en-AU"/>
              </w:rPr>
            </w:pPr>
            <w:r w:rsidRPr="00B85F0F">
              <w:t>239</w:t>
            </w:r>
          </w:p>
        </w:tc>
        <w:tc>
          <w:tcPr>
            <w:tcW w:w="1295" w:type="dxa"/>
            <w:tcBorders>
              <w:top w:val="single" w:sz="4" w:space="0" w:color="B3B3B3"/>
              <w:bottom w:val="nil"/>
            </w:tcBorders>
            <w:shd w:val="clear" w:color="auto" w:fill="E6E6E6"/>
            <w:noWrap/>
            <w:hideMark/>
          </w:tcPr>
          <w:p w14:paraId="3681DD95" w14:textId="77777777" w:rsidR="00BC1539" w:rsidRPr="00884BBE" w:rsidRDefault="00BC1539" w:rsidP="001E0590">
            <w:pPr>
              <w:pStyle w:val="TableBody"/>
              <w:ind w:right="108"/>
              <w:jc w:val="right"/>
              <w:rPr>
                <w:rFonts w:eastAsia="Times New Roman" w:cs="Open Sans"/>
                <w:color w:val="000000"/>
                <w:lang w:eastAsia="en-AU"/>
              </w:rPr>
            </w:pPr>
            <w:r w:rsidRPr="00B85F0F">
              <w:t>239</w:t>
            </w:r>
          </w:p>
        </w:tc>
        <w:tc>
          <w:tcPr>
            <w:tcW w:w="1307" w:type="dxa"/>
            <w:tcBorders>
              <w:top w:val="single" w:sz="4" w:space="0" w:color="B3B3B3"/>
              <w:bottom w:val="nil"/>
            </w:tcBorders>
            <w:shd w:val="clear" w:color="auto" w:fill="E6E6E6"/>
            <w:noWrap/>
            <w:hideMark/>
          </w:tcPr>
          <w:p w14:paraId="2F1E6AC2" w14:textId="77777777" w:rsidR="00BC1539" w:rsidRPr="00884BBE" w:rsidRDefault="00BC1539" w:rsidP="001E0590">
            <w:pPr>
              <w:pStyle w:val="TableBody"/>
              <w:ind w:right="108"/>
              <w:jc w:val="right"/>
              <w:rPr>
                <w:rFonts w:eastAsia="Times New Roman" w:cs="Open Sans"/>
                <w:color w:val="000000"/>
                <w:lang w:eastAsia="en-AU"/>
              </w:rPr>
            </w:pPr>
            <w:r w:rsidRPr="00B85F0F">
              <w:t>227</w:t>
            </w:r>
          </w:p>
        </w:tc>
        <w:tc>
          <w:tcPr>
            <w:tcW w:w="828" w:type="dxa"/>
            <w:tcBorders>
              <w:top w:val="single" w:sz="4" w:space="0" w:color="B3B3B3"/>
              <w:bottom w:val="nil"/>
            </w:tcBorders>
            <w:shd w:val="clear" w:color="auto" w:fill="E6E6E6"/>
            <w:noWrap/>
            <w:hideMark/>
          </w:tcPr>
          <w:p w14:paraId="3CF24ED9" w14:textId="77777777" w:rsidR="00BC1539" w:rsidRPr="00884BBE" w:rsidRDefault="00BC1539" w:rsidP="001E0590">
            <w:pPr>
              <w:pStyle w:val="TableBody"/>
              <w:ind w:right="108"/>
              <w:jc w:val="right"/>
              <w:rPr>
                <w:rFonts w:eastAsia="Times New Roman" w:cs="Open Sans"/>
                <w:color w:val="000000"/>
                <w:lang w:eastAsia="en-AU"/>
              </w:rPr>
            </w:pPr>
            <w:r w:rsidRPr="00B85F0F">
              <w:t>225</w:t>
            </w:r>
          </w:p>
        </w:tc>
        <w:tc>
          <w:tcPr>
            <w:tcW w:w="795" w:type="dxa"/>
            <w:tcBorders>
              <w:top w:val="single" w:sz="4" w:space="0" w:color="B3B3B3"/>
              <w:bottom w:val="nil"/>
            </w:tcBorders>
            <w:shd w:val="clear" w:color="auto" w:fill="E6E6E6"/>
            <w:noWrap/>
            <w:hideMark/>
          </w:tcPr>
          <w:p w14:paraId="36C7A16A" w14:textId="77777777" w:rsidR="00BC1539" w:rsidRPr="00884BBE" w:rsidRDefault="00BC1539" w:rsidP="001E0590">
            <w:pPr>
              <w:pStyle w:val="TableBody"/>
              <w:ind w:right="108"/>
              <w:jc w:val="right"/>
              <w:rPr>
                <w:rFonts w:eastAsia="Times New Roman" w:cs="Open Sans"/>
                <w:color w:val="000000"/>
                <w:lang w:eastAsia="en-AU"/>
              </w:rPr>
            </w:pPr>
            <w:r w:rsidRPr="00B85F0F">
              <w:t>256</w:t>
            </w:r>
          </w:p>
        </w:tc>
        <w:tc>
          <w:tcPr>
            <w:tcW w:w="1128" w:type="dxa"/>
            <w:tcBorders>
              <w:top w:val="single" w:sz="4" w:space="0" w:color="B3B3B3"/>
              <w:bottom w:val="nil"/>
            </w:tcBorders>
            <w:shd w:val="clear" w:color="auto" w:fill="E6E6E6"/>
            <w:noWrap/>
            <w:hideMark/>
          </w:tcPr>
          <w:p w14:paraId="23883D65" w14:textId="77777777" w:rsidR="00BC1539" w:rsidRPr="00884BBE" w:rsidRDefault="00BC1539" w:rsidP="001E0590">
            <w:pPr>
              <w:pStyle w:val="TableBody"/>
              <w:ind w:right="108"/>
              <w:jc w:val="right"/>
              <w:rPr>
                <w:rFonts w:eastAsia="Times New Roman" w:cs="Open Sans"/>
                <w:color w:val="000000"/>
                <w:lang w:eastAsia="en-AU"/>
              </w:rPr>
            </w:pPr>
            <w:r w:rsidRPr="00B85F0F">
              <w:t>264</w:t>
            </w:r>
          </w:p>
        </w:tc>
        <w:tc>
          <w:tcPr>
            <w:tcW w:w="1307" w:type="dxa"/>
            <w:tcBorders>
              <w:top w:val="single" w:sz="4" w:space="0" w:color="B3B3B3"/>
              <w:bottom w:val="nil"/>
            </w:tcBorders>
            <w:shd w:val="clear" w:color="auto" w:fill="E6E6E6"/>
            <w:noWrap/>
            <w:hideMark/>
          </w:tcPr>
          <w:p w14:paraId="3CA81605" w14:textId="77777777" w:rsidR="00BC1539" w:rsidRPr="00884BBE" w:rsidRDefault="00BC1539" w:rsidP="001E0590">
            <w:pPr>
              <w:pStyle w:val="TableBody"/>
              <w:ind w:right="108"/>
              <w:jc w:val="right"/>
              <w:rPr>
                <w:rFonts w:eastAsia="Times New Roman" w:cs="Open Sans"/>
                <w:color w:val="000000"/>
                <w:lang w:eastAsia="en-AU"/>
              </w:rPr>
            </w:pPr>
            <w:r w:rsidRPr="00B85F0F">
              <w:t>277</w:t>
            </w:r>
          </w:p>
        </w:tc>
        <w:tc>
          <w:tcPr>
            <w:tcW w:w="1307" w:type="dxa"/>
            <w:tcBorders>
              <w:top w:val="single" w:sz="4" w:space="0" w:color="B3B3B3"/>
              <w:bottom w:val="nil"/>
            </w:tcBorders>
            <w:shd w:val="clear" w:color="auto" w:fill="E6E6E6"/>
            <w:noWrap/>
            <w:hideMark/>
          </w:tcPr>
          <w:p w14:paraId="17619EDA" w14:textId="77777777" w:rsidR="00BC1539" w:rsidRPr="00884BBE" w:rsidRDefault="00BC1539" w:rsidP="001E0590">
            <w:pPr>
              <w:pStyle w:val="TableBody"/>
              <w:ind w:right="108"/>
              <w:jc w:val="right"/>
              <w:rPr>
                <w:rFonts w:eastAsia="Times New Roman" w:cs="Open Sans"/>
                <w:color w:val="000000"/>
                <w:lang w:eastAsia="en-AU"/>
              </w:rPr>
            </w:pPr>
            <w:r w:rsidRPr="00B85F0F">
              <w:t>293</w:t>
            </w:r>
          </w:p>
        </w:tc>
      </w:tr>
      <w:tr w:rsidR="00BC1539" w:rsidRPr="00D404D8" w14:paraId="0DCE2092" w14:textId="77777777">
        <w:trPr>
          <w:trHeight w:val="255"/>
        </w:trPr>
        <w:tc>
          <w:tcPr>
            <w:tcW w:w="1070" w:type="dxa"/>
            <w:tcBorders>
              <w:top w:val="nil"/>
              <w:bottom w:val="nil"/>
            </w:tcBorders>
            <w:noWrap/>
            <w:hideMark/>
          </w:tcPr>
          <w:p w14:paraId="072B5D4A" w14:textId="068A5F03" w:rsidR="00BC1539" w:rsidRPr="00884BBE" w:rsidRDefault="00BC1539">
            <w:pPr>
              <w:spacing w:before="45" w:after="45" w:line="240" w:lineRule="auto"/>
              <w:ind w:left="57" w:right="108"/>
              <w:rPr>
                <w:rFonts w:eastAsia="Times New Roman" w:cs="Open Sans"/>
                <w:b/>
                <w:color w:val="1D4374"/>
                <w:sz w:val="18"/>
                <w:lang w:eastAsia="en-AU"/>
              </w:rPr>
            </w:pPr>
            <w:r w:rsidRPr="00884BBE">
              <w:rPr>
                <w:rFonts w:eastAsia="Times New Roman" w:cs="Open Sans"/>
                <w:b/>
                <w:color w:val="1D4374"/>
                <w:sz w:val="18"/>
                <w:lang w:eastAsia="en-AU"/>
              </w:rPr>
              <w:t>2017</w:t>
            </w:r>
            <w:r w:rsidR="0090267A">
              <w:rPr>
                <w:rFonts w:eastAsia="Times New Roman" w:cs="Open Sans"/>
                <w:b/>
                <w:color w:val="1D4374"/>
                <w:sz w:val="18"/>
                <w:lang w:eastAsia="en-AU"/>
              </w:rPr>
              <w:t>–</w:t>
            </w:r>
            <w:r w:rsidRPr="00884BBE">
              <w:rPr>
                <w:rFonts w:eastAsia="Times New Roman" w:cs="Open Sans"/>
                <w:b/>
                <w:color w:val="1D4374"/>
                <w:sz w:val="18"/>
                <w:lang w:eastAsia="en-AU"/>
              </w:rPr>
              <w:t>18</w:t>
            </w:r>
          </w:p>
        </w:tc>
        <w:tc>
          <w:tcPr>
            <w:tcW w:w="705" w:type="dxa"/>
            <w:tcBorders>
              <w:top w:val="nil"/>
              <w:bottom w:val="nil"/>
            </w:tcBorders>
            <w:noWrap/>
            <w:hideMark/>
          </w:tcPr>
          <w:p w14:paraId="25A68559" w14:textId="77777777" w:rsidR="00BC1539" w:rsidRPr="00884BBE" w:rsidRDefault="00BC1539" w:rsidP="001E0590">
            <w:pPr>
              <w:pStyle w:val="TableBody"/>
              <w:ind w:right="108"/>
              <w:jc w:val="right"/>
              <w:rPr>
                <w:rFonts w:eastAsia="Times New Roman" w:cs="Open Sans"/>
                <w:color w:val="000000"/>
                <w:lang w:eastAsia="en-AU"/>
              </w:rPr>
            </w:pPr>
            <w:r w:rsidRPr="00B85F0F">
              <w:t>240</w:t>
            </w:r>
          </w:p>
        </w:tc>
        <w:tc>
          <w:tcPr>
            <w:tcW w:w="1295" w:type="dxa"/>
            <w:tcBorders>
              <w:top w:val="nil"/>
              <w:bottom w:val="nil"/>
            </w:tcBorders>
            <w:noWrap/>
            <w:hideMark/>
          </w:tcPr>
          <w:p w14:paraId="00567A48" w14:textId="77777777" w:rsidR="00BC1539" w:rsidRPr="00884BBE" w:rsidRDefault="00BC1539" w:rsidP="001E0590">
            <w:pPr>
              <w:pStyle w:val="TableBody"/>
              <w:ind w:right="108"/>
              <w:jc w:val="right"/>
              <w:rPr>
                <w:rFonts w:eastAsia="Times New Roman" w:cs="Open Sans"/>
                <w:color w:val="000000"/>
                <w:lang w:eastAsia="en-AU"/>
              </w:rPr>
            </w:pPr>
            <w:r w:rsidRPr="00B85F0F">
              <w:t>240</w:t>
            </w:r>
          </w:p>
        </w:tc>
        <w:tc>
          <w:tcPr>
            <w:tcW w:w="1307" w:type="dxa"/>
            <w:tcBorders>
              <w:top w:val="nil"/>
              <w:bottom w:val="nil"/>
            </w:tcBorders>
            <w:noWrap/>
            <w:hideMark/>
          </w:tcPr>
          <w:p w14:paraId="109DD28F" w14:textId="77777777" w:rsidR="00BC1539" w:rsidRPr="00884BBE" w:rsidRDefault="00BC1539" w:rsidP="001E0590">
            <w:pPr>
              <w:pStyle w:val="TableBody"/>
              <w:ind w:right="108"/>
              <w:jc w:val="right"/>
              <w:rPr>
                <w:rFonts w:eastAsia="Times New Roman" w:cs="Open Sans"/>
                <w:color w:val="000000"/>
                <w:lang w:eastAsia="en-AU"/>
              </w:rPr>
            </w:pPr>
            <w:r w:rsidRPr="00B85F0F">
              <w:t>240</w:t>
            </w:r>
          </w:p>
        </w:tc>
        <w:tc>
          <w:tcPr>
            <w:tcW w:w="828" w:type="dxa"/>
            <w:tcBorders>
              <w:top w:val="nil"/>
              <w:bottom w:val="nil"/>
            </w:tcBorders>
            <w:noWrap/>
            <w:hideMark/>
          </w:tcPr>
          <w:p w14:paraId="11A3667C" w14:textId="77777777" w:rsidR="00BC1539" w:rsidRPr="00884BBE" w:rsidRDefault="00BC1539" w:rsidP="001E0590">
            <w:pPr>
              <w:pStyle w:val="TableBody"/>
              <w:ind w:right="108"/>
              <w:jc w:val="right"/>
              <w:rPr>
                <w:rFonts w:eastAsia="Times New Roman" w:cs="Open Sans"/>
                <w:color w:val="000000"/>
                <w:lang w:eastAsia="en-AU"/>
              </w:rPr>
            </w:pPr>
            <w:r w:rsidRPr="00B85F0F">
              <w:t>235</w:t>
            </w:r>
          </w:p>
        </w:tc>
        <w:tc>
          <w:tcPr>
            <w:tcW w:w="795" w:type="dxa"/>
            <w:tcBorders>
              <w:top w:val="nil"/>
              <w:bottom w:val="nil"/>
            </w:tcBorders>
            <w:noWrap/>
            <w:hideMark/>
          </w:tcPr>
          <w:p w14:paraId="449F5D2C" w14:textId="77777777" w:rsidR="00BC1539" w:rsidRPr="00884BBE" w:rsidRDefault="00BC1539" w:rsidP="001E0590">
            <w:pPr>
              <w:pStyle w:val="TableBody"/>
              <w:ind w:right="108"/>
              <w:jc w:val="right"/>
              <w:rPr>
                <w:rFonts w:eastAsia="Times New Roman" w:cs="Open Sans"/>
                <w:color w:val="000000"/>
                <w:lang w:eastAsia="en-AU"/>
              </w:rPr>
            </w:pPr>
            <w:r w:rsidRPr="00B85F0F">
              <w:t>269</w:t>
            </w:r>
          </w:p>
        </w:tc>
        <w:tc>
          <w:tcPr>
            <w:tcW w:w="1128" w:type="dxa"/>
            <w:tcBorders>
              <w:top w:val="nil"/>
              <w:bottom w:val="nil"/>
            </w:tcBorders>
            <w:noWrap/>
            <w:hideMark/>
          </w:tcPr>
          <w:p w14:paraId="30C640E0" w14:textId="77777777" w:rsidR="00BC1539" w:rsidRPr="00884BBE" w:rsidRDefault="00BC1539" w:rsidP="001E0590">
            <w:pPr>
              <w:pStyle w:val="TableBody"/>
              <w:ind w:right="108"/>
              <w:jc w:val="right"/>
              <w:rPr>
                <w:rFonts w:eastAsia="Times New Roman" w:cs="Open Sans"/>
                <w:color w:val="000000"/>
                <w:lang w:eastAsia="en-AU"/>
              </w:rPr>
            </w:pPr>
            <w:r w:rsidRPr="00B85F0F">
              <w:t>275</w:t>
            </w:r>
          </w:p>
        </w:tc>
        <w:tc>
          <w:tcPr>
            <w:tcW w:w="1307" w:type="dxa"/>
            <w:tcBorders>
              <w:top w:val="nil"/>
              <w:bottom w:val="nil"/>
            </w:tcBorders>
            <w:noWrap/>
            <w:hideMark/>
          </w:tcPr>
          <w:p w14:paraId="40B39FE6" w14:textId="77777777" w:rsidR="00BC1539" w:rsidRPr="00884BBE" w:rsidRDefault="00BC1539" w:rsidP="001E0590">
            <w:pPr>
              <w:pStyle w:val="TableBody"/>
              <w:ind w:right="108"/>
              <w:jc w:val="right"/>
              <w:rPr>
                <w:rFonts w:eastAsia="Times New Roman" w:cs="Open Sans"/>
                <w:color w:val="000000"/>
                <w:lang w:eastAsia="en-AU"/>
              </w:rPr>
            </w:pPr>
            <w:r w:rsidRPr="00B85F0F">
              <w:t>290</w:t>
            </w:r>
          </w:p>
        </w:tc>
        <w:tc>
          <w:tcPr>
            <w:tcW w:w="1307" w:type="dxa"/>
            <w:tcBorders>
              <w:top w:val="nil"/>
              <w:bottom w:val="nil"/>
            </w:tcBorders>
            <w:noWrap/>
            <w:hideMark/>
          </w:tcPr>
          <w:p w14:paraId="460A222E" w14:textId="77777777" w:rsidR="00BC1539" w:rsidRPr="00884BBE" w:rsidRDefault="00BC1539" w:rsidP="001E0590">
            <w:pPr>
              <w:pStyle w:val="TableBody"/>
              <w:ind w:right="108"/>
              <w:jc w:val="right"/>
              <w:rPr>
                <w:rFonts w:eastAsia="Times New Roman" w:cs="Open Sans"/>
                <w:color w:val="000000"/>
                <w:lang w:eastAsia="en-AU"/>
              </w:rPr>
            </w:pPr>
            <w:r w:rsidRPr="00B85F0F">
              <w:t>306</w:t>
            </w:r>
          </w:p>
        </w:tc>
      </w:tr>
      <w:tr w:rsidR="00BC1539" w:rsidRPr="00D404D8" w14:paraId="63BC277A" w14:textId="77777777">
        <w:trPr>
          <w:trHeight w:val="255"/>
        </w:trPr>
        <w:tc>
          <w:tcPr>
            <w:tcW w:w="1070" w:type="dxa"/>
            <w:tcBorders>
              <w:bottom w:val="nil"/>
            </w:tcBorders>
            <w:shd w:val="clear" w:color="auto" w:fill="E6E6E6"/>
            <w:noWrap/>
            <w:hideMark/>
          </w:tcPr>
          <w:p w14:paraId="37C43D0F" w14:textId="1AE7CA5A" w:rsidR="00BC1539" w:rsidRPr="00884BBE" w:rsidRDefault="00BC1539">
            <w:pPr>
              <w:spacing w:before="45" w:after="45" w:line="240" w:lineRule="auto"/>
              <w:ind w:left="57" w:right="108"/>
              <w:rPr>
                <w:rFonts w:eastAsia="Times New Roman" w:cs="Open Sans"/>
                <w:b/>
                <w:color w:val="1D4374"/>
                <w:sz w:val="18"/>
                <w:lang w:eastAsia="en-AU"/>
              </w:rPr>
            </w:pPr>
            <w:r w:rsidRPr="00884BBE">
              <w:rPr>
                <w:rFonts w:eastAsia="Times New Roman" w:cs="Open Sans"/>
                <w:b/>
                <w:color w:val="1D4374"/>
                <w:sz w:val="18"/>
                <w:lang w:eastAsia="en-AU"/>
              </w:rPr>
              <w:t>2018</w:t>
            </w:r>
            <w:r w:rsidR="0090267A">
              <w:rPr>
                <w:rFonts w:eastAsia="Times New Roman" w:cs="Open Sans"/>
                <w:b/>
                <w:color w:val="1D4374"/>
                <w:sz w:val="18"/>
                <w:lang w:eastAsia="en-AU"/>
              </w:rPr>
              <w:t>–</w:t>
            </w:r>
            <w:r w:rsidRPr="00884BBE">
              <w:rPr>
                <w:rFonts w:eastAsia="Times New Roman" w:cs="Open Sans"/>
                <w:b/>
                <w:color w:val="1D4374"/>
                <w:sz w:val="18"/>
                <w:lang w:eastAsia="en-AU"/>
              </w:rPr>
              <w:t>19</w:t>
            </w:r>
          </w:p>
        </w:tc>
        <w:tc>
          <w:tcPr>
            <w:tcW w:w="705" w:type="dxa"/>
            <w:tcBorders>
              <w:bottom w:val="nil"/>
            </w:tcBorders>
            <w:shd w:val="clear" w:color="auto" w:fill="E6E6E6"/>
            <w:noWrap/>
            <w:hideMark/>
          </w:tcPr>
          <w:p w14:paraId="7E672EE1" w14:textId="77777777" w:rsidR="00BC1539" w:rsidRPr="00884BBE" w:rsidRDefault="00BC1539" w:rsidP="001E0590">
            <w:pPr>
              <w:pStyle w:val="TableBody"/>
              <w:ind w:right="108"/>
              <w:jc w:val="right"/>
              <w:rPr>
                <w:rFonts w:eastAsia="Times New Roman" w:cs="Open Sans"/>
                <w:color w:val="000000"/>
                <w:lang w:eastAsia="en-AU"/>
              </w:rPr>
            </w:pPr>
            <w:r w:rsidRPr="00B85F0F">
              <w:t>252</w:t>
            </w:r>
          </w:p>
        </w:tc>
        <w:tc>
          <w:tcPr>
            <w:tcW w:w="1295" w:type="dxa"/>
            <w:tcBorders>
              <w:bottom w:val="nil"/>
            </w:tcBorders>
            <w:shd w:val="clear" w:color="auto" w:fill="E6E6E6"/>
            <w:noWrap/>
            <w:hideMark/>
          </w:tcPr>
          <w:p w14:paraId="577E640D" w14:textId="77777777" w:rsidR="00BC1539" w:rsidRPr="00884BBE" w:rsidRDefault="00BC1539" w:rsidP="001E0590">
            <w:pPr>
              <w:pStyle w:val="TableBody"/>
              <w:ind w:right="108"/>
              <w:jc w:val="right"/>
              <w:rPr>
                <w:rFonts w:eastAsia="Times New Roman" w:cs="Open Sans"/>
                <w:color w:val="000000"/>
                <w:lang w:eastAsia="en-AU"/>
              </w:rPr>
            </w:pPr>
            <w:r w:rsidRPr="00B85F0F">
              <w:t>252</w:t>
            </w:r>
          </w:p>
        </w:tc>
        <w:tc>
          <w:tcPr>
            <w:tcW w:w="1307" w:type="dxa"/>
            <w:tcBorders>
              <w:bottom w:val="nil"/>
            </w:tcBorders>
            <w:shd w:val="clear" w:color="auto" w:fill="E6E6E6"/>
            <w:noWrap/>
            <w:hideMark/>
          </w:tcPr>
          <w:p w14:paraId="26D1195F" w14:textId="77777777" w:rsidR="00BC1539" w:rsidRPr="00884BBE" w:rsidRDefault="00BC1539" w:rsidP="001E0590">
            <w:pPr>
              <w:pStyle w:val="TableBody"/>
              <w:ind w:right="108"/>
              <w:jc w:val="right"/>
              <w:rPr>
                <w:rFonts w:eastAsia="Times New Roman" w:cs="Open Sans"/>
                <w:color w:val="000000"/>
                <w:lang w:eastAsia="en-AU"/>
              </w:rPr>
            </w:pPr>
            <w:r w:rsidRPr="00B85F0F">
              <w:t>243</w:t>
            </w:r>
          </w:p>
        </w:tc>
        <w:tc>
          <w:tcPr>
            <w:tcW w:w="828" w:type="dxa"/>
            <w:tcBorders>
              <w:bottom w:val="nil"/>
            </w:tcBorders>
            <w:shd w:val="clear" w:color="auto" w:fill="E6E6E6"/>
            <w:noWrap/>
            <w:hideMark/>
          </w:tcPr>
          <w:p w14:paraId="3EC71266" w14:textId="77777777" w:rsidR="00BC1539" w:rsidRPr="00884BBE" w:rsidRDefault="00BC1539" w:rsidP="001E0590">
            <w:pPr>
              <w:pStyle w:val="TableBody"/>
              <w:ind w:right="108"/>
              <w:jc w:val="right"/>
              <w:rPr>
                <w:rFonts w:eastAsia="Times New Roman" w:cs="Open Sans"/>
                <w:color w:val="000000"/>
                <w:lang w:eastAsia="en-AU"/>
              </w:rPr>
            </w:pPr>
            <w:r w:rsidRPr="00B85F0F">
              <w:t>234</w:t>
            </w:r>
          </w:p>
        </w:tc>
        <w:tc>
          <w:tcPr>
            <w:tcW w:w="795" w:type="dxa"/>
            <w:tcBorders>
              <w:bottom w:val="nil"/>
            </w:tcBorders>
            <w:shd w:val="clear" w:color="auto" w:fill="E6E6E6"/>
            <w:noWrap/>
            <w:hideMark/>
          </w:tcPr>
          <w:p w14:paraId="7619B86E" w14:textId="77777777" w:rsidR="00BC1539" w:rsidRPr="00884BBE" w:rsidRDefault="00BC1539" w:rsidP="001E0590">
            <w:pPr>
              <w:pStyle w:val="TableBody"/>
              <w:ind w:right="108"/>
              <w:jc w:val="right"/>
              <w:rPr>
                <w:rFonts w:eastAsia="Times New Roman" w:cs="Open Sans"/>
                <w:color w:val="000000"/>
                <w:lang w:eastAsia="en-AU"/>
              </w:rPr>
            </w:pPr>
            <w:r w:rsidRPr="00B85F0F">
              <w:t>273</w:t>
            </w:r>
          </w:p>
        </w:tc>
        <w:tc>
          <w:tcPr>
            <w:tcW w:w="1128" w:type="dxa"/>
            <w:tcBorders>
              <w:bottom w:val="nil"/>
            </w:tcBorders>
            <w:shd w:val="clear" w:color="auto" w:fill="E6E6E6"/>
            <w:noWrap/>
            <w:hideMark/>
          </w:tcPr>
          <w:p w14:paraId="53C54AF2" w14:textId="77777777" w:rsidR="00BC1539" w:rsidRPr="00884BBE" w:rsidRDefault="00BC1539" w:rsidP="001E0590">
            <w:pPr>
              <w:pStyle w:val="TableBody"/>
              <w:ind w:right="108"/>
              <w:jc w:val="right"/>
              <w:rPr>
                <w:rFonts w:eastAsia="Times New Roman" w:cs="Open Sans"/>
                <w:color w:val="000000"/>
                <w:lang w:eastAsia="en-AU"/>
              </w:rPr>
            </w:pPr>
            <w:r w:rsidRPr="00B85F0F">
              <w:t>286</w:t>
            </w:r>
          </w:p>
        </w:tc>
        <w:tc>
          <w:tcPr>
            <w:tcW w:w="1307" w:type="dxa"/>
            <w:tcBorders>
              <w:bottom w:val="nil"/>
            </w:tcBorders>
            <w:shd w:val="clear" w:color="auto" w:fill="E6E6E6"/>
            <w:noWrap/>
            <w:hideMark/>
          </w:tcPr>
          <w:p w14:paraId="52D910D6" w14:textId="77777777" w:rsidR="00BC1539" w:rsidRPr="00884BBE" w:rsidRDefault="00BC1539" w:rsidP="001E0590">
            <w:pPr>
              <w:pStyle w:val="TableBody"/>
              <w:ind w:right="108"/>
              <w:jc w:val="right"/>
              <w:rPr>
                <w:rFonts w:eastAsia="Times New Roman" w:cs="Open Sans"/>
                <w:color w:val="000000"/>
                <w:lang w:eastAsia="en-AU"/>
              </w:rPr>
            </w:pPr>
            <w:r w:rsidRPr="00B85F0F">
              <w:t>301</w:t>
            </w:r>
          </w:p>
        </w:tc>
        <w:tc>
          <w:tcPr>
            <w:tcW w:w="1307" w:type="dxa"/>
            <w:tcBorders>
              <w:bottom w:val="nil"/>
            </w:tcBorders>
            <w:shd w:val="clear" w:color="auto" w:fill="E6E6E6"/>
            <w:noWrap/>
            <w:hideMark/>
          </w:tcPr>
          <w:p w14:paraId="6C67C34C" w14:textId="77777777" w:rsidR="00BC1539" w:rsidRPr="00884BBE" w:rsidRDefault="00BC1539" w:rsidP="001E0590">
            <w:pPr>
              <w:pStyle w:val="TableBody"/>
              <w:ind w:right="108"/>
              <w:jc w:val="right"/>
              <w:rPr>
                <w:rFonts w:eastAsia="Times New Roman" w:cs="Open Sans"/>
                <w:color w:val="000000"/>
                <w:lang w:eastAsia="en-AU"/>
              </w:rPr>
            </w:pPr>
            <w:r w:rsidRPr="00B85F0F">
              <w:t>321</w:t>
            </w:r>
          </w:p>
        </w:tc>
      </w:tr>
      <w:tr w:rsidR="00BC1539" w:rsidRPr="00D404D8" w14:paraId="2E46F30B" w14:textId="77777777">
        <w:trPr>
          <w:trHeight w:val="255"/>
        </w:trPr>
        <w:tc>
          <w:tcPr>
            <w:tcW w:w="1070" w:type="dxa"/>
            <w:tcBorders>
              <w:top w:val="nil"/>
              <w:bottom w:val="nil"/>
            </w:tcBorders>
            <w:noWrap/>
            <w:hideMark/>
          </w:tcPr>
          <w:p w14:paraId="444370AD" w14:textId="09E26E11" w:rsidR="00BC1539" w:rsidRPr="00884BBE" w:rsidRDefault="00BC1539">
            <w:pPr>
              <w:spacing w:before="45" w:after="45" w:line="240" w:lineRule="auto"/>
              <w:ind w:left="57" w:right="108"/>
              <w:rPr>
                <w:rFonts w:eastAsia="Times New Roman" w:cs="Open Sans"/>
                <w:b/>
                <w:color w:val="1D4374"/>
                <w:sz w:val="18"/>
                <w:lang w:eastAsia="en-AU"/>
              </w:rPr>
            </w:pPr>
            <w:r w:rsidRPr="00884BBE">
              <w:rPr>
                <w:rFonts w:eastAsia="Times New Roman" w:cs="Open Sans"/>
                <w:b/>
                <w:color w:val="1D4374"/>
                <w:sz w:val="18"/>
                <w:lang w:eastAsia="en-AU"/>
              </w:rPr>
              <w:t>2019</w:t>
            </w:r>
            <w:r w:rsidR="0090267A">
              <w:rPr>
                <w:rFonts w:eastAsia="Times New Roman" w:cs="Open Sans"/>
                <w:b/>
                <w:color w:val="1D4374"/>
                <w:sz w:val="18"/>
                <w:lang w:eastAsia="en-AU"/>
              </w:rPr>
              <w:t>–</w:t>
            </w:r>
            <w:r w:rsidRPr="00884BBE">
              <w:rPr>
                <w:rFonts w:eastAsia="Times New Roman" w:cs="Open Sans"/>
                <w:b/>
                <w:color w:val="1D4374"/>
                <w:sz w:val="18"/>
                <w:lang w:eastAsia="en-AU"/>
              </w:rPr>
              <w:t>20</w:t>
            </w:r>
          </w:p>
        </w:tc>
        <w:tc>
          <w:tcPr>
            <w:tcW w:w="705" w:type="dxa"/>
            <w:tcBorders>
              <w:top w:val="nil"/>
              <w:bottom w:val="nil"/>
            </w:tcBorders>
            <w:noWrap/>
            <w:hideMark/>
          </w:tcPr>
          <w:p w14:paraId="6A467243" w14:textId="77777777" w:rsidR="00BC1539" w:rsidRPr="00884BBE" w:rsidRDefault="00BC1539" w:rsidP="001E0590">
            <w:pPr>
              <w:pStyle w:val="TableBody"/>
              <w:ind w:right="108"/>
              <w:jc w:val="right"/>
              <w:rPr>
                <w:rFonts w:eastAsia="Times New Roman" w:cs="Open Sans"/>
                <w:color w:val="000000"/>
                <w:lang w:eastAsia="en-AU"/>
              </w:rPr>
            </w:pPr>
            <w:r w:rsidRPr="00B85F0F">
              <w:t>277</w:t>
            </w:r>
          </w:p>
        </w:tc>
        <w:tc>
          <w:tcPr>
            <w:tcW w:w="1295" w:type="dxa"/>
            <w:tcBorders>
              <w:top w:val="nil"/>
              <w:bottom w:val="nil"/>
            </w:tcBorders>
            <w:noWrap/>
            <w:hideMark/>
          </w:tcPr>
          <w:p w14:paraId="2B9A773E" w14:textId="77777777" w:rsidR="00BC1539" w:rsidRPr="00884BBE" w:rsidRDefault="00BC1539" w:rsidP="001E0590">
            <w:pPr>
              <w:pStyle w:val="TableBody"/>
              <w:ind w:right="108"/>
              <w:jc w:val="right"/>
              <w:rPr>
                <w:rFonts w:eastAsia="Times New Roman" w:cs="Open Sans"/>
                <w:color w:val="000000"/>
                <w:lang w:eastAsia="en-AU"/>
              </w:rPr>
            </w:pPr>
            <w:r w:rsidRPr="00B85F0F">
              <w:t>277</w:t>
            </w:r>
          </w:p>
        </w:tc>
        <w:tc>
          <w:tcPr>
            <w:tcW w:w="1307" w:type="dxa"/>
            <w:tcBorders>
              <w:top w:val="nil"/>
              <w:bottom w:val="nil"/>
            </w:tcBorders>
            <w:noWrap/>
            <w:hideMark/>
          </w:tcPr>
          <w:p w14:paraId="5FDD4583" w14:textId="77777777" w:rsidR="00BC1539" w:rsidRPr="00884BBE" w:rsidRDefault="00BC1539" w:rsidP="001E0590">
            <w:pPr>
              <w:pStyle w:val="TableBody"/>
              <w:ind w:right="108"/>
              <w:jc w:val="right"/>
              <w:rPr>
                <w:rFonts w:eastAsia="Times New Roman" w:cs="Open Sans"/>
                <w:color w:val="000000"/>
                <w:lang w:eastAsia="en-AU"/>
              </w:rPr>
            </w:pPr>
            <w:r w:rsidRPr="00B85F0F">
              <w:t>252</w:t>
            </w:r>
          </w:p>
        </w:tc>
        <w:tc>
          <w:tcPr>
            <w:tcW w:w="828" w:type="dxa"/>
            <w:tcBorders>
              <w:top w:val="nil"/>
              <w:bottom w:val="nil"/>
            </w:tcBorders>
            <w:noWrap/>
            <w:hideMark/>
          </w:tcPr>
          <w:p w14:paraId="46C09113" w14:textId="77777777" w:rsidR="00BC1539" w:rsidRPr="00884BBE" w:rsidRDefault="00BC1539" w:rsidP="001E0590">
            <w:pPr>
              <w:pStyle w:val="TableBody"/>
              <w:ind w:right="108"/>
              <w:jc w:val="right"/>
              <w:rPr>
                <w:rFonts w:eastAsia="Times New Roman" w:cs="Open Sans"/>
                <w:color w:val="000000"/>
                <w:lang w:eastAsia="en-AU"/>
              </w:rPr>
            </w:pPr>
            <w:r w:rsidRPr="00B85F0F">
              <w:t>247</w:t>
            </w:r>
          </w:p>
        </w:tc>
        <w:tc>
          <w:tcPr>
            <w:tcW w:w="795" w:type="dxa"/>
            <w:tcBorders>
              <w:top w:val="nil"/>
              <w:bottom w:val="nil"/>
            </w:tcBorders>
            <w:noWrap/>
            <w:hideMark/>
          </w:tcPr>
          <w:p w14:paraId="648A619D" w14:textId="77777777" w:rsidR="00BC1539" w:rsidRPr="00884BBE" w:rsidRDefault="00BC1539" w:rsidP="001E0590">
            <w:pPr>
              <w:pStyle w:val="TableBody"/>
              <w:ind w:right="108"/>
              <w:jc w:val="right"/>
              <w:rPr>
                <w:rFonts w:eastAsia="Times New Roman" w:cs="Open Sans"/>
                <w:color w:val="000000"/>
                <w:lang w:eastAsia="en-AU"/>
              </w:rPr>
            </w:pPr>
            <w:r w:rsidRPr="00B85F0F">
              <w:t>282</w:t>
            </w:r>
          </w:p>
        </w:tc>
        <w:tc>
          <w:tcPr>
            <w:tcW w:w="1128" w:type="dxa"/>
            <w:tcBorders>
              <w:top w:val="nil"/>
              <w:bottom w:val="nil"/>
            </w:tcBorders>
            <w:noWrap/>
            <w:hideMark/>
          </w:tcPr>
          <w:p w14:paraId="2BCFAA77" w14:textId="77777777" w:rsidR="00BC1539" w:rsidRPr="00884BBE" w:rsidRDefault="00BC1539" w:rsidP="001E0590">
            <w:pPr>
              <w:pStyle w:val="TableBody"/>
              <w:ind w:right="108"/>
              <w:jc w:val="right"/>
              <w:rPr>
                <w:rFonts w:eastAsia="Times New Roman" w:cs="Open Sans"/>
                <w:color w:val="000000"/>
                <w:lang w:eastAsia="en-AU"/>
              </w:rPr>
            </w:pPr>
            <w:r w:rsidRPr="00B85F0F">
              <w:t>297</w:t>
            </w:r>
          </w:p>
        </w:tc>
        <w:tc>
          <w:tcPr>
            <w:tcW w:w="1307" w:type="dxa"/>
            <w:tcBorders>
              <w:top w:val="nil"/>
              <w:bottom w:val="nil"/>
            </w:tcBorders>
            <w:noWrap/>
            <w:hideMark/>
          </w:tcPr>
          <w:p w14:paraId="58CB5652" w14:textId="77777777" w:rsidR="00BC1539" w:rsidRPr="00884BBE" w:rsidRDefault="00BC1539" w:rsidP="001E0590">
            <w:pPr>
              <w:pStyle w:val="TableBody"/>
              <w:ind w:right="108"/>
              <w:jc w:val="right"/>
              <w:rPr>
                <w:rFonts w:eastAsia="Times New Roman" w:cs="Open Sans"/>
                <w:color w:val="000000"/>
                <w:lang w:eastAsia="en-AU"/>
              </w:rPr>
            </w:pPr>
            <w:r w:rsidRPr="00B85F0F">
              <w:t>315</w:t>
            </w:r>
          </w:p>
        </w:tc>
        <w:tc>
          <w:tcPr>
            <w:tcW w:w="1307" w:type="dxa"/>
            <w:tcBorders>
              <w:top w:val="nil"/>
              <w:bottom w:val="nil"/>
            </w:tcBorders>
            <w:noWrap/>
            <w:hideMark/>
          </w:tcPr>
          <w:p w14:paraId="0BBB5F62" w14:textId="77777777" w:rsidR="00BC1539" w:rsidRPr="00884BBE" w:rsidRDefault="00BC1539" w:rsidP="001E0590">
            <w:pPr>
              <w:pStyle w:val="TableBody"/>
              <w:ind w:right="108"/>
              <w:jc w:val="right"/>
              <w:rPr>
                <w:rFonts w:eastAsia="Times New Roman" w:cs="Open Sans"/>
                <w:color w:val="000000"/>
                <w:lang w:eastAsia="en-AU"/>
              </w:rPr>
            </w:pPr>
            <w:r w:rsidRPr="00B85F0F">
              <w:t>332</w:t>
            </w:r>
          </w:p>
        </w:tc>
      </w:tr>
      <w:tr w:rsidR="00BC1539" w:rsidRPr="00D404D8" w14:paraId="1EE214A7" w14:textId="77777777">
        <w:trPr>
          <w:trHeight w:val="255"/>
        </w:trPr>
        <w:tc>
          <w:tcPr>
            <w:tcW w:w="1070" w:type="dxa"/>
            <w:tcBorders>
              <w:bottom w:val="nil"/>
            </w:tcBorders>
            <w:shd w:val="clear" w:color="auto" w:fill="E6E6E6"/>
            <w:noWrap/>
            <w:hideMark/>
          </w:tcPr>
          <w:p w14:paraId="72E6A890" w14:textId="7983F834" w:rsidR="00BC1539" w:rsidRPr="00884BBE" w:rsidRDefault="00BC1539">
            <w:pPr>
              <w:spacing w:before="45" w:after="45" w:line="240" w:lineRule="auto"/>
              <w:ind w:left="57" w:right="108"/>
              <w:rPr>
                <w:rFonts w:eastAsia="Times New Roman" w:cs="Open Sans"/>
                <w:b/>
                <w:color w:val="1D4374"/>
                <w:sz w:val="18"/>
                <w:lang w:eastAsia="en-AU"/>
              </w:rPr>
            </w:pPr>
            <w:r w:rsidRPr="00884BBE">
              <w:rPr>
                <w:rFonts w:eastAsia="Times New Roman" w:cs="Open Sans"/>
                <w:b/>
                <w:color w:val="1D4374"/>
                <w:sz w:val="18"/>
                <w:lang w:eastAsia="en-AU"/>
              </w:rPr>
              <w:t>2020</w:t>
            </w:r>
            <w:r w:rsidR="0090267A">
              <w:rPr>
                <w:rFonts w:eastAsia="Times New Roman" w:cs="Open Sans"/>
                <w:b/>
                <w:color w:val="1D4374"/>
                <w:sz w:val="18"/>
                <w:lang w:eastAsia="en-AU"/>
              </w:rPr>
              <w:t>–</w:t>
            </w:r>
            <w:r w:rsidRPr="00884BBE">
              <w:rPr>
                <w:rFonts w:eastAsia="Times New Roman" w:cs="Open Sans"/>
                <w:b/>
                <w:color w:val="1D4374"/>
                <w:sz w:val="18"/>
                <w:lang w:eastAsia="en-AU"/>
              </w:rPr>
              <w:t>21</w:t>
            </w:r>
          </w:p>
        </w:tc>
        <w:tc>
          <w:tcPr>
            <w:tcW w:w="705" w:type="dxa"/>
            <w:tcBorders>
              <w:bottom w:val="nil"/>
            </w:tcBorders>
            <w:shd w:val="clear" w:color="auto" w:fill="E6E6E6"/>
            <w:noWrap/>
            <w:hideMark/>
          </w:tcPr>
          <w:p w14:paraId="15DD85AA" w14:textId="77777777" w:rsidR="00BC1539" w:rsidRPr="00884BBE" w:rsidRDefault="00BC1539" w:rsidP="001E0590">
            <w:pPr>
              <w:pStyle w:val="TableBody"/>
              <w:ind w:right="108"/>
              <w:jc w:val="right"/>
              <w:rPr>
                <w:rFonts w:eastAsia="Times New Roman" w:cs="Open Sans"/>
                <w:color w:val="000000"/>
                <w:lang w:eastAsia="en-AU"/>
              </w:rPr>
            </w:pPr>
            <w:r w:rsidRPr="00B85F0F">
              <w:t>286</w:t>
            </w:r>
          </w:p>
        </w:tc>
        <w:tc>
          <w:tcPr>
            <w:tcW w:w="1295" w:type="dxa"/>
            <w:tcBorders>
              <w:bottom w:val="nil"/>
            </w:tcBorders>
            <w:shd w:val="clear" w:color="auto" w:fill="E6E6E6"/>
            <w:noWrap/>
            <w:hideMark/>
          </w:tcPr>
          <w:p w14:paraId="6E5D8D37" w14:textId="77777777" w:rsidR="00BC1539" w:rsidRPr="00884BBE" w:rsidRDefault="00BC1539" w:rsidP="001E0590">
            <w:pPr>
              <w:pStyle w:val="TableBody"/>
              <w:ind w:right="108"/>
              <w:jc w:val="right"/>
              <w:rPr>
                <w:rFonts w:eastAsia="Times New Roman" w:cs="Open Sans"/>
                <w:color w:val="000000"/>
                <w:lang w:eastAsia="en-AU"/>
              </w:rPr>
            </w:pPr>
            <w:r w:rsidRPr="00B85F0F">
              <w:t>286</w:t>
            </w:r>
          </w:p>
        </w:tc>
        <w:tc>
          <w:tcPr>
            <w:tcW w:w="1307" w:type="dxa"/>
            <w:tcBorders>
              <w:bottom w:val="nil"/>
            </w:tcBorders>
            <w:shd w:val="clear" w:color="auto" w:fill="E6E6E6"/>
            <w:noWrap/>
            <w:hideMark/>
          </w:tcPr>
          <w:p w14:paraId="15FF7B9B" w14:textId="77777777" w:rsidR="00BC1539" w:rsidRPr="00884BBE" w:rsidRDefault="00BC1539" w:rsidP="001E0590">
            <w:pPr>
              <w:pStyle w:val="TableBody"/>
              <w:ind w:right="108"/>
              <w:jc w:val="right"/>
              <w:rPr>
                <w:rFonts w:eastAsia="Times New Roman" w:cs="Open Sans"/>
                <w:color w:val="000000"/>
                <w:lang w:eastAsia="en-AU"/>
              </w:rPr>
            </w:pPr>
            <w:r w:rsidRPr="00B85F0F">
              <w:t>263</w:t>
            </w:r>
          </w:p>
        </w:tc>
        <w:tc>
          <w:tcPr>
            <w:tcW w:w="828" w:type="dxa"/>
            <w:tcBorders>
              <w:bottom w:val="nil"/>
            </w:tcBorders>
            <w:shd w:val="clear" w:color="auto" w:fill="E6E6E6"/>
            <w:noWrap/>
            <w:hideMark/>
          </w:tcPr>
          <w:p w14:paraId="0535B045" w14:textId="77777777" w:rsidR="00BC1539" w:rsidRPr="00884BBE" w:rsidRDefault="00BC1539" w:rsidP="001E0590">
            <w:pPr>
              <w:pStyle w:val="TableBody"/>
              <w:ind w:right="108"/>
              <w:jc w:val="right"/>
              <w:rPr>
                <w:rFonts w:eastAsia="Times New Roman" w:cs="Open Sans"/>
                <w:color w:val="000000"/>
                <w:lang w:eastAsia="en-AU"/>
              </w:rPr>
            </w:pPr>
            <w:r w:rsidRPr="00B85F0F">
              <w:t>252</w:t>
            </w:r>
          </w:p>
        </w:tc>
        <w:tc>
          <w:tcPr>
            <w:tcW w:w="795" w:type="dxa"/>
            <w:tcBorders>
              <w:bottom w:val="nil"/>
            </w:tcBorders>
            <w:shd w:val="clear" w:color="auto" w:fill="E6E6E6"/>
            <w:noWrap/>
            <w:hideMark/>
          </w:tcPr>
          <w:p w14:paraId="77B7FB10" w14:textId="77777777" w:rsidR="00BC1539" w:rsidRPr="00884BBE" w:rsidRDefault="00BC1539" w:rsidP="001E0590">
            <w:pPr>
              <w:pStyle w:val="TableBody"/>
              <w:ind w:right="108"/>
              <w:jc w:val="right"/>
              <w:rPr>
                <w:rFonts w:eastAsia="Times New Roman" w:cs="Open Sans"/>
                <w:color w:val="000000"/>
                <w:lang w:eastAsia="en-AU"/>
              </w:rPr>
            </w:pPr>
            <w:r w:rsidRPr="00B85F0F">
              <w:t>293</w:t>
            </w:r>
          </w:p>
        </w:tc>
        <w:tc>
          <w:tcPr>
            <w:tcW w:w="1128" w:type="dxa"/>
            <w:tcBorders>
              <w:bottom w:val="nil"/>
            </w:tcBorders>
            <w:shd w:val="clear" w:color="auto" w:fill="E6E6E6"/>
            <w:noWrap/>
            <w:hideMark/>
          </w:tcPr>
          <w:p w14:paraId="68279743" w14:textId="77777777" w:rsidR="00BC1539" w:rsidRPr="00884BBE" w:rsidRDefault="00BC1539" w:rsidP="001E0590">
            <w:pPr>
              <w:pStyle w:val="TableBody"/>
              <w:ind w:right="108"/>
              <w:jc w:val="right"/>
              <w:rPr>
                <w:rFonts w:eastAsia="Times New Roman" w:cs="Open Sans"/>
                <w:color w:val="000000"/>
                <w:lang w:eastAsia="en-AU"/>
              </w:rPr>
            </w:pPr>
            <w:r w:rsidRPr="00B85F0F">
              <w:t>303</w:t>
            </w:r>
          </w:p>
        </w:tc>
        <w:tc>
          <w:tcPr>
            <w:tcW w:w="1307" w:type="dxa"/>
            <w:tcBorders>
              <w:bottom w:val="nil"/>
            </w:tcBorders>
            <w:shd w:val="clear" w:color="auto" w:fill="E6E6E6"/>
            <w:noWrap/>
            <w:hideMark/>
          </w:tcPr>
          <w:p w14:paraId="51E2C852" w14:textId="77777777" w:rsidR="00BC1539" w:rsidRPr="00884BBE" w:rsidRDefault="00BC1539" w:rsidP="001E0590">
            <w:pPr>
              <w:pStyle w:val="TableBody"/>
              <w:ind w:right="108"/>
              <w:jc w:val="right"/>
              <w:rPr>
                <w:rFonts w:eastAsia="Times New Roman" w:cs="Open Sans"/>
                <w:color w:val="000000"/>
                <w:lang w:eastAsia="en-AU"/>
              </w:rPr>
            </w:pPr>
            <w:r w:rsidRPr="00B85F0F">
              <w:t>322</w:t>
            </w:r>
          </w:p>
        </w:tc>
        <w:tc>
          <w:tcPr>
            <w:tcW w:w="1307" w:type="dxa"/>
            <w:tcBorders>
              <w:bottom w:val="nil"/>
            </w:tcBorders>
            <w:shd w:val="clear" w:color="auto" w:fill="E6E6E6"/>
            <w:noWrap/>
            <w:hideMark/>
          </w:tcPr>
          <w:p w14:paraId="042BC99C" w14:textId="77777777" w:rsidR="00BC1539" w:rsidRPr="00884BBE" w:rsidRDefault="00BC1539" w:rsidP="001E0590">
            <w:pPr>
              <w:pStyle w:val="TableBody"/>
              <w:ind w:right="108"/>
              <w:jc w:val="right"/>
              <w:rPr>
                <w:rFonts w:eastAsia="Times New Roman" w:cs="Open Sans"/>
                <w:color w:val="000000"/>
                <w:lang w:eastAsia="en-AU"/>
              </w:rPr>
            </w:pPr>
            <w:r w:rsidRPr="00B85F0F">
              <w:t>343</w:t>
            </w:r>
          </w:p>
        </w:tc>
      </w:tr>
      <w:tr w:rsidR="00BC1539" w:rsidRPr="00D404D8" w14:paraId="0DC5D10F" w14:textId="77777777">
        <w:trPr>
          <w:trHeight w:val="255"/>
        </w:trPr>
        <w:tc>
          <w:tcPr>
            <w:tcW w:w="1070" w:type="dxa"/>
            <w:tcBorders>
              <w:top w:val="nil"/>
              <w:bottom w:val="nil"/>
            </w:tcBorders>
            <w:noWrap/>
            <w:hideMark/>
          </w:tcPr>
          <w:p w14:paraId="623F203C" w14:textId="0F5884D2" w:rsidR="00BC1539" w:rsidRPr="00884BBE" w:rsidRDefault="00BC1539">
            <w:pPr>
              <w:spacing w:before="45" w:after="45" w:line="240" w:lineRule="auto"/>
              <w:ind w:left="57" w:right="108"/>
              <w:rPr>
                <w:rFonts w:eastAsia="Times New Roman" w:cs="Open Sans"/>
                <w:b/>
                <w:color w:val="1D4374"/>
                <w:sz w:val="18"/>
                <w:lang w:eastAsia="en-AU"/>
              </w:rPr>
            </w:pPr>
            <w:r w:rsidRPr="00884BBE">
              <w:rPr>
                <w:rFonts w:eastAsia="Times New Roman" w:cs="Open Sans"/>
                <w:b/>
                <w:color w:val="1D4374"/>
                <w:sz w:val="18"/>
                <w:lang w:eastAsia="en-AU"/>
              </w:rPr>
              <w:t>2021</w:t>
            </w:r>
            <w:r w:rsidR="0090267A">
              <w:rPr>
                <w:rFonts w:eastAsia="Times New Roman" w:cs="Open Sans"/>
                <w:b/>
                <w:color w:val="1D4374"/>
                <w:sz w:val="18"/>
                <w:lang w:eastAsia="en-AU"/>
              </w:rPr>
              <w:t>–</w:t>
            </w:r>
            <w:r w:rsidRPr="00884BBE">
              <w:rPr>
                <w:rFonts w:eastAsia="Times New Roman" w:cs="Open Sans"/>
                <w:b/>
                <w:color w:val="1D4374"/>
                <w:sz w:val="18"/>
                <w:lang w:eastAsia="en-AU"/>
              </w:rPr>
              <w:t>22</w:t>
            </w:r>
          </w:p>
        </w:tc>
        <w:tc>
          <w:tcPr>
            <w:tcW w:w="705" w:type="dxa"/>
            <w:tcBorders>
              <w:top w:val="nil"/>
              <w:bottom w:val="nil"/>
            </w:tcBorders>
            <w:noWrap/>
            <w:hideMark/>
          </w:tcPr>
          <w:p w14:paraId="2AC48846" w14:textId="77777777" w:rsidR="00BC1539" w:rsidRPr="00884BBE" w:rsidRDefault="00BC1539" w:rsidP="001E0590">
            <w:pPr>
              <w:pStyle w:val="TableBody"/>
              <w:ind w:right="108"/>
              <w:jc w:val="right"/>
              <w:rPr>
                <w:rFonts w:eastAsia="Times New Roman" w:cs="Open Sans"/>
                <w:color w:val="000000"/>
                <w:lang w:eastAsia="en-AU"/>
              </w:rPr>
            </w:pPr>
            <w:r w:rsidRPr="00B85F0F">
              <w:t>298</w:t>
            </w:r>
          </w:p>
        </w:tc>
        <w:tc>
          <w:tcPr>
            <w:tcW w:w="1295" w:type="dxa"/>
            <w:tcBorders>
              <w:top w:val="nil"/>
              <w:bottom w:val="nil"/>
            </w:tcBorders>
            <w:noWrap/>
            <w:hideMark/>
          </w:tcPr>
          <w:p w14:paraId="50AC9D2D" w14:textId="77777777" w:rsidR="00BC1539" w:rsidRPr="00884BBE" w:rsidRDefault="00BC1539" w:rsidP="001E0590">
            <w:pPr>
              <w:pStyle w:val="TableBody"/>
              <w:ind w:right="108"/>
              <w:jc w:val="right"/>
              <w:rPr>
                <w:rFonts w:eastAsia="Times New Roman" w:cs="Open Sans"/>
                <w:color w:val="000000"/>
                <w:lang w:eastAsia="en-AU"/>
              </w:rPr>
            </w:pPr>
            <w:r w:rsidRPr="00B85F0F">
              <w:t>298</w:t>
            </w:r>
          </w:p>
        </w:tc>
        <w:tc>
          <w:tcPr>
            <w:tcW w:w="1307" w:type="dxa"/>
            <w:tcBorders>
              <w:top w:val="nil"/>
              <w:bottom w:val="nil"/>
            </w:tcBorders>
            <w:noWrap/>
            <w:hideMark/>
          </w:tcPr>
          <w:p w14:paraId="0916A696" w14:textId="77777777" w:rsidR="00BC1539" w:rsidRPr="00884BBE" w:rsidRDefault="00BC1539" w:rsidP="001E0590">
            <w:pPr>
              <w:pStyle w:val="TableBody"/>
              <w:ind w:right="108"/>
              <w:jc w:val="right"/>
              <w:rPr>
                <w:rFonts w:eastAsia="Times New Roman" w:cs="Open Sans"/>
                <w:color w:val="000000"/>
                <w:lang w:eastAsia="en-AU"/>
              </w:rPr>
            </w:pPr>
            <w:r w:rsidRPr="00B85F0F">
              <w:t>267</w:t>
            </w:r>
          </w:p>
        </w:tc>
        <w:tc>
          <w:tcPr>
            <w:tcW w:w="828" w:type="dxa"/>
            <w:tcBorders>
              <w:top w:val="nil"/>
              <w:bottom w:val="nil"/>
            </w:tcBorders>
            <w:noWrap/>
            <w:hideMark/>
          </w:tcPr>
          <w:p w14:paraId="450176CC" w14:textId="77777777" w:rsidR="00BC1539" w:rsidRPr="00884BBE" w:rsidRDefault="00BC1539" w:rsidP="001E0590">
            <w:pPr>
              <w:pStyle w:val="TableBody"/>
              <w:ind w:right="108"/>
              <w:jc w:val="right"/>
              <w:rPr>
                <w:rFonts w:eastAsia="Times New Roman" w:cs="Open Sans"/>
                <w:color w:val="000000"/>
                <w:lang w:eastAsia="en-AU"/>
              </w:rPr>
            </w:pPr>
            <w:r w:rsidRPr="00B85F0F">
              <w:t>246</w:t>
            </w:r>
          </w:p>
        </w:tc>
        <w:tc>
          <w:tcPr>
            <w:tcW w:w="795" w:type="dxa"/>
            <w:tcBorders>
              <w:top w:val="nil"/>
              <w:bottom w:val="nil"/>
            </w:tcBorders>
            <w:noWrap/>
            <w:hideMark/>
          </w:tcPr>
          <w:p w14:paraId="643753B0" w14:textId="77777777" w:rsidR="00BC1539" w:rsidRPr="00884BBE" w:rsidRDefault="00BC1539" w:rsidP="001E0590">
            <w:pPr>
              <w:pStyle w:val="TableBody"/>
              <w:ind w:right="108"/>
              <w:jc w:val="right"/>
              <w:rPr>
                <w:rFonts w:eastAsia="Times New Roman" w:cs="Open Sans"/>
                <w:color w:val="000000"/>
                <w:lang w:eastAsia="en-AU"/>
              </w:rPr>
            </w:pPr>
            <w:r w:rsidRPr="00B85F0F">
              <w:t>291</w:t>
            </w:r>
          </w:p>
        </w:tc>
        <w:tc>
          <w:tcPr>
            <w:tcW w:w="1128" w:type="dxa"/>
            <w:tcBorders>
              <w:top w:val="nil"/>
              <w:bottom w:val="nil"/>
            </w:tcBorders>
            <w:noWrap/>
            <w:hideMark/>
          </w:tcPr>
          <w:p w14:paraId="39927023" w14:textId="77777777" w:rsidR="00BC1539" w:rsidRPr="00884BBE" w:rsidRDefault="00BC1539" w:rsidP="001E0590">
            <w:pPr>
              <w:pStyle w:val="TableBody"/>
              <w:ind w:right="108"/>
              <w:jc w:val="right"/>
              <w:rPr>
                <w:rFonts w:eastAsia="Times New Roman" w:cs="Open Sans"/>
                <w:color w:val="000000"/>
                <w:lang w:eastAsia="en-AU"/>
              </w:rPr>
            </w:pPr>
            <w:r w:rsidRPr="00B85F0F">
              <w:t>314</w:t>
            </w:r>
          </w:p>
        </w:tc>
        <w:tc>
          <w:tcPr>
            <w:tcW w:w="1307" w:type="dxa"/>
            <w:tcBorders>
              <w:top w:val="nil"/>
              <w:bottom w:val="nil"/>
            </w:tcBorders>
            <w:noWrap/>
            <w:hideMark/>
          </w:tcPr>
          <w:p w14:paraId="41E4C974" w14:textId="77777777" w:rsidR="00BC1539" w:rsidRPr="00884BBE" w:rsidRDefault="00BC1539" w:rsidP="001E0590">
            <w:pPr>
              <w:pStyle w:val="TableBody"/>
              <w:ind w:right="108"/>
              <w:jc w:val="right"/>
              <w:rPr>
                <w:rFonts w:eastAsia="Times New Roman" w:cs="Open Sans"/>
                <w:color w:val="000000"/>
                <w:lang w:eastAsia="en-AU"/>
              </w:rPr>
            </w:pPr>
            <w:r w:rsidRPr="00B85F0F">
              <w:t>332</w:t>
            </w:r>
          </w:p>
        </w:tc>
        <w:tc>
          <w:tcPr>
            <w:tcW w:w="1307" w:type="dxa"/>
            <w:tcBorders>
              <w:top w:val="nil"/>
              <w:bottom w:val="nil"/>
            </w:tcBorders>
            <w:noWrap/>
            <w:hideMark/>
          </w:tcPr>
          <w:p w14:paraId="01113FB6" w14:textId="77777777" w:rsidR="00BC1539" w:rsidRPr="00884BBE" w:rsidRDefault="00BC1539" w:rsidP="001E0590">
            <w:pPr>
              <w:pStyle w:val="TableBody"/>
              <w:ind w:right="108"/>
              <w:jc w:val="right"/>
              <w:rPr>
                <w:rFonts w:eastAsia="Times New Roman" w:cs="Open Sans"/>
                <w:color w:val="000000"/>
                <w:lang w:eastAsia="en-AU"/>
              </w:rPr>
            </w:pPr>
            <w:r w:rsidRPr="00B85F0F">
              <w:t>352</w:t>
            </w:r>
          </w:p>
        </w:tc>
      </w:tr>
      <w:tr w:rsidR="00BC1539" w:rsidRPr="00D404D8" w14:paraId="27EE6F9D" w14:textId="77777777">
        <w:trPr>
          <w:trHeight w:val="255"/>
        </w:trPr>
        <w:tc>
          <w:tcPr>
            <w:tcW w:w="1070" w:type="dxa"/>
            <w:tcBorders>
              <w:bottom w:val="nil"/>
            </w:tcBorders>
            <w:shd w:val="clear" w:color="auto" w:fill="E6E6E6"/>
            <w:noWrap/>
            <w:hideMark/>
          </w:tcPr>
          <w:p w14:paraId="78F1D8CE" w14:textId="355B8E18" w:rsidR="00BC1539" w:rsidRPr="00884BBE" w:rsidRDefault="00BC1539">
            <w:pPr>
              <w:spacing w:before="45" w:after="45" w:line="240" w:lineRule="auto"/>
              <w:ind w:left="57" w:right="108"/>
              <w:rPr>
                <w:rFonts w:eastAsia="Times New Roman" w:cs="Open Sans"/>
                <w:b/>
                <w:color w:val="1D4374"/>
                <w:sz w:val="18"/>
                <w:lang w:eastAsia="en-AU"/>
              </w:rPr>
            </w:pPr>
            <w:r w:rsidRPr="00884BBE">
              <w:rPr>
                <w:rFonts w:eastAsia="Times New Roman" w:cs="Open Sans"/>
                <w:b/>
                <w:color w:val="1D4374"/>
                <w:sz w:val="18"/>
                <w:lang w:eastAsia="en-AU"/>
              </w:rPr>
              <w:t>2022</w:t>
            </w:r>
            <w:r w:rsidR="0090267A">
              <w:rPr>
                <w:rFonts w:eastAsia="Times New Roman" w:cs="Open Sans"/>
                <w:b/>
                <w:color w:val="1D4374"/>
                <w:sz w:val="18"/>
                <w:lang w:eastAsia="en-AU"/>
              </w:rPr>
              <w:t>–</w:t>
            </w:r>
            <w:r w:rsidRPr="00884BBE">
              <w:rPr>
                <w:rFonts w:eastAsia="Times New Roman" w:cs="Open Sans"/>
                <w:b/>
                <w:color w:val="1D4374"/>
                <w:sz w:val="18"/>
                <w:lang w:eastAsia="en-AU"/>
              </w:rPr>
              <w:t>23</w:t>
            </w:r>
          </w:p>
        </w:tc>
        <w:tc>
          <w:tcPr>
            <w:tcW w:w="705" w:type="dxa"/>
            <w:tcBorders>
              <w:bottom w:val="nil"/>
            </w:tcBorders>
            <w:shd w:val="clear" w:color="auto" w:fill="E6E6E6"/>
            <w:noWrap/>
            <w:hideMark/>
          </w:tcPr>
          <w:p w14:paraId="7117508E" w14:textId="77777777" w:rsidR="00BC1539" w:rsidRPr="00884BBE" w:rsidRDefault="00BC1539" w:rsidP="001E0590">
            <w:pPr>
              <w:pStyle w:val="TableBody"/>
              <w:ind w:right="108"/>
              <w:jc w:val="right"/>
              <w:rPr>
                <w:rFonts w:eastAsia="Times New Roman" w:cs="Open Sans"/>
                <w:color w:val="000000"/>
                <w:lang w:eastAsia="en-AU"/>
              </w:rPr>
            </w:pPr>
            <w:r w:rsidRPr="00B85F0F">
              <w:t>301</w:t>
            </w:r>
          </w:p>
        </w:tc>
        <w:tc>
          <w:tcPr>
            <w:tcW w:w="1295" w:type="dxa"/>
            <w:tcBorders>
              <w:bottom w:val="nil"/>
            </w:tcBorders>
            <w:shd w:val="clear" w:color="auto" w:fill="E6E6E6"/>
            <w:noWrap/>
            <w:hideMark/>
          </w:tcPr>
          <w:p w14:paraId="267A479B" w14:textId="77777777" w:rsidR="00BC1539" w:rsidRPr="00884BBE" w:rsidRDefault="00BC1539" w:rsidP="001E0590">
            <w:pPr>
              <w:pStyle w:val="TableBody"/>
              <w:ind w:right="108"/>
              <w:jc w:val="right"/>
              <w:rPr>
                <w:rFonts w:eastAsia="Times New Roman" w:cs="Open Sans"/>
                <w:color w:val="000000"/>
                <w:lang w:eastAsia="en-AU"/>
              </w:rPr>
            </w:pPr>
            <w:r w:rsidRPr="00B85F0F">
              <w:t>301</w:t>
            </w:r>
          </w:p>
        </w:tc>
        <w:tc>
          <w:tcPr>
            <w:tcW w:w="1307" w:type="dxa"/>
            <w:tcBorders>
              <w:bottom w:val="nil"/>
            </w:tcBorders>
            <w:shd w:val="clear" w:color="auto" w:fill="E6E6E6"/>
            <w:noWrap/>
            <w:hideMark/>
          </w:tcPr>
          <w:p w14:paraId="3C19CE11" w14:textId="77777777" w:rsidR="00BC1539" w:rsidRPr="00884BBE" w:rsidRDefault="00BC1539" w:rsidP="001E0590">
            <w:pPr>
              <w:pStyle w:val="TableBody"/>
              <w:ind w:right="108"/>
              <w:jc w:val="right"/>
              <w:rPr>
                <w:rFonts w:eastAsia="Times New Roman" w:cs="Open Sans"/>
                <w:color w:val="000000"/>
                <w:lang w:eastAsia="en-AU"/>
              </w:rPr>
            </w:pPr>
            <w:r w:rsidRPr="00B85F0F">
              <w:t>278</w:t>
            </w:r>
          </w:p>
        </w:tc>
        <w:tc>
          <w:tcPr>
            <w:tcW w:w="828" w:type="dxa"/>
            <w:tcBorders>
              <w:bottom w:val="nil"/>
            </w:tcBorders>
            <w:shd w:val="clear" w:color="auto" w:fill="E6E6E6"/>
            <w:noWrap/>
            <w:hideMark/>
          </w:tcPr>
          <w:p w14:paraId="450323F6" w14:textId="77777777" w:rsidR="00BC1539" w:rsidRPr="00884BBE" w:rsidRDefault="00BC1539" w:rsidP="001E0590">
            <w:pPr>
              <w:pStyle w:val="TableBody"/>
              <w:ind w:right="108"/>
              <w:jc w:val="right"/>
              <w:rPr>
                <w:rFonts w:eastAsia="Times New Roman" w:cs="Open Sans"/>
                <w:color w:val="000000"/>
                <w:lang w:eastAsia="en-AU"/>
              </w:rPr>
            </w:pPr>
            <w:r w:rsidRPr="00B85F0F">
              <w:t>264</w:t>
            </w:r>
          </w:p>
        </w:tc>
        <w:tc>
          <w:tcPr>
            <w:tcW w:w="795" w:type="dxa"/>
            <w:tcBorders>
              <w:bottom w:val="nil"/>
            </w:tcBorders>
            <w:shd w:val="clear" w:color="auto" w:fill="E6E6E6"/>
            <w:noWrap/>
            <w:hideMark/>
          </w:tcPr>
          <w:p w14:paraId="248780A4" w14:textId="77777777" w:rsidR="00BC1539" w:rsidRPr="00884BBE" w:rsidRDefault="00BC1539" w:rsidP="001E0590">
            <w:pPr>
              <w:pStyle w:val="TableBody"/>
              <w:ind w:right="108"/>
              <w:jc w:val="right"/>
              <w:rPr>
                <w:rFonts w:eastAsia="Times New Roman" w:cs="Open Sans"/>
                <w:color w:val="000000"/>
                <w:lang w:eastAsia="en-AU"/>
              </w:rPr>
            </w:pPr>
            <w:r w:rsidRPr="00B85F0F">
              <w:t>306</w:t>
            </w:r>
          </w:p>
        </w:tc>
        <w:tc>
          <w:tcPr>
            <w:tcW w:w="1128" w:type="dxa"/>
            <w:tcBorders>
              <w:bottom w:val="nil"/>
            </w:tcBorders>
            <w:shd w:val="clear" w:color="auto" w:fill="E6E6E6"/>
            <w:noWrap/>
            <w:hideMark/>
          </w:tcPr>
          <w:p w14:paraId="7D5ED91C" w14:textId="77777777" w:rsidR="00BC1539" w:rsidRPr="00884BBE" w:rsidRDefault="00BC1539" w:rsidP="001E0590">
            <w:pPr>
              <w:pStyle w:val="TableBody"/>
              <w:ind w:right="108"/>
              <w:jc w:val="right"/>
              <w:rPr>
                <w:rFonts w:eastAsia="Times New Roman" w:cs="Open Sans"/>
                <w:color w:val="000000"/>
                <w:lang w:eastAsia="en-AU"/>
              </w:rPr>
            </w:pPr>
            <w:r w:rsidRPr="00B85F0F">
              <w:t>326</w:t>
            </w:r>
          </w:p>
        </w:tc>
        <w:tc>
          <w:tcPr>
            <w:tcW w:w="1307" w:type="dxa"/>
            <w:tcBorders>
              <w:bottom w:val="nil"/>
            </w:tcBorders>
            <w:shd w:val="clear" w:color="auto" w:fill="E6E6E6"/>
            <w:noWrap/>
            <w:hideMark/>
          </w:tcPr>
          <w:p w14:paraId="3ABBF697" w14:textId="77777777" w:rsidR="00BC1539" w:rsidRPr="00884BBE" w:rsidRDefault="00BC1539" w:rsidP="001E0590">
            <w:pPr>
              <w:pStyle w:val="TableBody"/>
              <w:ind w:right="108"/>
              <w:jc w:val="right"/>
              <w:rPr>
                <w:rFonts w:eastAsia="Times New Roman" w:cs="Open Sans"/>
                <w:color w:val="000000"/>
                <w:lang w:eastAsia="en-AU"/>
              </w:rPr>
            </w:pPr>
            <w:r w:rsidRPr="00B85F0F">
              <w:t>343</w:t>
            </w:r>
          </w:p>
        </w:tc>
        <w:tc>
          <w:tcPr>
            <w:tcW w:w="1307" w:type="dxa"/>
            <w:tcBorders>
              <w:bottom w:val="nil"/>
            </w:tcBorders>
            <w:shd w:val="clear" w:color="auto" w:fill="E6E6E6"/>
            <w:noWrap/>
            <w:hideMark/>
          </w:tcPr>
          <w:p w14:paraId="57EFDC97" w14:textId="77777777" w:rsidR="00BC1539" w:rsidRPr="00884BBE" w:rsidRDefault="00BC1539" w:rsidP="001E0590">
            <w:pPr>
              <w:pStyle w:val="TableBody"/>
              <w:ind w:right="108"/>
              <w:jc w:val="right"/>
              <w:rPr>
                <w:rFonts w:eastAsia="Times New Roman" w:cs="Open Sans"/>
                <w:color w:val="000000"/>
                <w:lang w:eastAsia="en-AU"/>
              </w:rPr>
            </w:pPr>
            <w:r w:rsidRPr="00B85F0F">
              <w:t>360</w:t>
            </w:r>
          </w:p>
        </w:tc>
      </w:tr>
      <w:tr w:rsidR="00BC1539" w:rsidRPr="00D404D8" w14:paraId="2235B5C7" w14:textId="77777777">
        <w:trPr>
          <w:trHeight w:val="255"/>
        </w:trPr>
        <w:tc>
          <w:tcPr>
            <w:tcW w:w="1070" w:type="dxa"/>
            <w:tcBorders>
              <w:top w:val="nil"/>
              <w:bottom w:val="nil"/>
            </w:tcBorders>
            <w:noWrap/>
            <w:hideMark/>
          </w:tcPr>
          <w:p w14:paraId="013C9CF3" w14:textId="68C814B7" w:rsidR="00BC1539" w:rsidRPr="00884BBE" w:rsidRDefault="00BC1539">
            <w:pPr>
              <w:spacing w:before="45" w:after="45" w:line="240" w:lineRule="auto"/>
              <w:ind w:left="57" w:right="108"/>
              <w:rPr>
                <w:rFonts w:eastAsia="Times New Roman" w:cs="Open Sans"/>
                <w:b/>
                <w:color w:val="1D4374"/>
                <w:sz w:val="18"/>
                <w:lang w:eastAsia="en-AU"/>
              </w:rPr>
            </w:pPr>
            <w:r w:rsidRPr="00884BBE">
              <w:rPr>
                <w:rFonts w:eastAsia="Times New Roman" w:cs="Open Sans"/>
                <w:b/>
                <w:color w:val="1D4374"/>
                <w:sz w:val="18"/>
                <w:lang w:eastAsia="en-AU"/>
              </w:rPr>
              <w:t>2023</w:t>
            </w:r>
            <w:r w:rsidR="0090267A">
              <w:rPr>
                <w:rFonts w:eastAsia="Times New Roman" w:cs="Open Sans"/>
                <w:b/>
                <w:color w:val="1D4374"/>
                <w:sz w:val="18"/>
                <w:lang w:eastAsia="en-AU"/>
              </w:rPr>
              <w:t>–</w:t>
            </w:r>
            <w:r w:rsidRPr="00884BBE">
              <w:rPr>
                <w:rFonts w:eastAsia="Times New Roman" w:cs="Open Sans"/>
                <w:b/>
                <w:color w:val="1D4374"/>
                <w:sz w:val="18"/>
                <w:lang w:eastAsia="en-AU"/>
              </w:rPr>
              <w:t>24</w:t>
            </w:r>
          </w:p>
        </w:tc>
        <w:tc>
          <w:tcPr>
            <w:tcW w:w="705" w:type="dxa"/>
            <w:tcBorders>
              <w:top w:val="nil"/>
              <w:bottom w:val="nil"/>
            </w:tcBorders>
            <w:noWrap/>
            <w:hideMark/>
          </w:tcPr>
          <w:p w14:paraId="0D5DD1A0" w14:textId="77777777" w:rsidR="00BC1539" w:rsidRPr="00884BBE" w:rsidRDefault="00BC1539" w:rsidP="001E0590">
            <w:pPr>
              <w:pStyle w:val="TableBody"/>
              <w:ind w:right="108"/>
              <w:jc w:val="right"/>
              <w:rPr>
                <w:rFonts w:eastAsia="Times New Roman" w:cs="Open Sans"/>
                <w:color w:val="000000"/>
                <w:lang w:eastAsia="en-AU"/>
              </w:rPr>
            </w:pPr>
            <w:r w:rsidRPr="00B85F0F">
              <w:t>310</w:t>
            </w:r>
          </w:p>
        </w:tc>
        <w:tc>
          <w:tcPr>
            <w:tcW w:w="1295" w:type="dxa"/>
            <w:tcBorders>
              <w:top w:val="nil"/>
              <w:bottom w:val="nil"/>
            </w:tcBorders>
            <w:noWrap/>
            <w:hideMark/>
          </w:tcPr>
          <w:p w14:paraId="633F9535" w14:textId="77777777" w:rsidR="00BC1539" w:rsidRPr="00884BBE" w:rsidRDefault="00BC1539" w:rsidP="001E0590">
            <w:pPr>
              <w:pStyle w:val="TableBody"/>
              <w:ind w:right="108"/>
              <w:jc w:val="right"/>
              <w:rPr>
                <w:rFonts w:eastAsia="Times New Roman" w:cs="Open Sans"/>
                <w:color w:val="000000"/>
                <w:lang w:eastAsia="en-AU"/>
              </w:rPr>
            </w:pPr>
            <w:r w:rsidRPr="00B85F0F">
              <w:t>310</w:t>
            </w:r>
          </w:p>
        </w:tc>
        <w:tc>
          <w:tcPr>
            <w:tcW w:w="1307" w:type="dxa"/>
            <w:tcBorders>
              <w:top w:val="nil"/>
              <w:bottom w:val="nil"/>
            </w:tcBorders>
            <w:noWrap/>
            <w:hideMark/>
          </w:tcPr>
          <w:p w14:paraId="194BEC6F" w14:textId="77777777" w:rsidR="00BC1539" w:rsidRPr="00884BBE" w:rsidRDefault="00BC1539" w:rsidP="001E0590">
            <w:pPr>
              <w:pStyle w:val="TableBody"/>
              <w:ind w:right="108"/>
              <w:jc w:val="right"/>
              <w:rPr>
                <w:rFonts w:eastAsia="Times New Roman" w:cs="Open Sans"/>
                <w:color w:val="000000"/>
                <w:lang w:eastAsia="en-AU"/>
              </w:rPr>
            </w:pPr>
            <w:r w:rsidRPr="00B85F0F">
              <w:t>279</w:t>
            </w:r>
          </w:p>
        </w:tc>
        <w:tc>
          <w:tcPr>
            <w:tcW w:w="828" w:type="dxa"/>
            <w:tcBorders>
              <w:top w:val="nil"/>
              <w:bottom w:val="nil"/>
            </w:tcBorders>
            <w:noWrap/>
            <w:hideMark/>
          </w:tcPr>
          <w:p w14:paraId="10BA15C6" w14:textId="77777777" w:rsidR="00BC1539" w:rsidRPr="00884BBE" w:rsidRDefault="00BC1539" w:rsidP="001E0590">
            <w:pPr>
              <w:pStyle w:val="TableBody"/>
              <w:ind w:right="108"/>
              <w:jc w:val="right"/>
              <w:rPr>
                <w:rFonts w:eastAsia="Times New Roman" w:cs="Open Sans"/>
                <w:color w:val="000000"/>
                <w:lang w:eastAsia="en-AU"/>
              </w:rPr>
            </w:pPr>
            <w:r w:rsidRPr="00B85F0F">
              <w:t>266</w:t>
            </w:r>
          </w:p>
        </w:tc>
        <w:tc>
          <w:tcPr>
            <w:tcW w:w="795" w:type="dxa"/>
            <w:tcBorders>
              <w:top w:val="nil"/>
              <w:bottom w:val="nil"/>
            </w:tcBorders>
            <w:noWrap/>
            <w:hideMark/>
          </w:tcPr>
          <w:p w14:paraId="4DE2104A" w14:textId="77777777" w:rsidR="00BC1539" w:rsidRPr="00884BBE" w:rsidRDefault="00BC1539" w:rsidP="001E0590">
            <w:pPr>
              <w:pStyle w:val="TableBody"/>
              <w:ind w:right="108"/>
              <w:jc w:val="right"/>
              <w:rPr>
                <w:rFonts w:eastAsia="Times New Roman" w:cs="Open Sans"/>
                <w:color w:val="000000"/>
                <w:lang w:eastAsia="en-AU"/>
              </w:rPr>
            </w:pPr>
            <w:r w:rsidRPr="00B85F0F">
              <w:t>305</w:t>
            </w:r>
          </w:p>
        </w:tc>
        <w:tc>
          <w:tcPr>
            <w:tcW w:w="1128" w:type="dxa"/>
            <w:tcBorders>
              <w:top w:val="nil"/>
              <w:bottom w:val="nil"/>
            </w:tcBorders>
            <w:noWrap/>
            <w:hideMark/>
          </w:tcPr>
          <w:p w14:paraId="7497CC08" w14:textId="77777777" w:rsidR="00BC1539" w:rsidRPr="00884BBE" w:rsidRDefault="00BC1539" w:rsidP="001E0590">
            <w:pPr>
              <w:pStyle w:val="TableBody"/>
              <w:ind w:right="108"/>
              <w:jc w:val="right"/>
              <w:rPr>
                <w:rFonts w:eastAsia="Times New Roman" w:cs="Open Sans"/>
                <w:color w:val="000000"/>
                <w:lang w:eastAsia="en-AU"/>
              </w:rPr>
            </w:pPr>
            <w:r w:rsidRPr="00B85F0F">
              <w:t>324</w:t>
            </w:r>
          </w:p>
        </w:tc>
        <w:tc>
          <w:tcPr>
            <w:tcW w:w="1307" w:type="dxa"/>
            <w:tcBorders>
              <w:top w:val="nil"/>
              <w:bottom w:val="nil"/>
            </w:tcBorders>
            <w:noWrap/>
            <w:hideMark/>
          </w:tcPr>
          <w:p w14:paraId="7E7B5759" w14:textId="77777777" w:rsidR="00BC1539" w:rsidRPr="00884BBE" w:rsidRDefault="00BC1539" w:rsidP="001E0590">
            <w:pPr>
              <w:pStyle w:val="TableBody"/>
              <w:ind w:right="108"/>
              <w:jc w:val="right"/>
              <w:rPr>
                <w:rFonts w:eastAsia="Times New Roman" w:cs="Open Sans"/>
                <w:color w:val="000000"/>
                <w:lang w:eastAsia="en-AU"/>
              </w:rPr>
            </w:pPr>
            <w:r w:rsidRPr="00B85F0F">
              <w:t>343</w:t>
            </w:r>
          </w:p>
        </w:tc>
        <w:tc>
          <w:tcPr>
            <w:tcW w:w="1307" w:type="dxa"/>
            <w:tcBorders>
              <w:top w:val="nil"/>
              <w:bottom w:val="nil"/>
            </w:tcBorders>
            <w:noWrap/>
            <w:hideMark/>
          </w:tcPr>
          <w:p w14:paraId="5CD2E8B1" w14:textId="77777777" w:rsidR="00BC1539" w:rsidRPr="00884BBE" w:rsidRDefault="00BC1539" w:rsidP="001E0590">
            <w:pPr>
              <w:pStyle w:val="TableBody"/>
              <w:ind w:right="108"/>
              <w:jc w:val="right"/>
              <w:rPr>
                <w:rFonts w:eastAsia="Times New Roman" w:cs="Open Sans"/>
                <w:color w:val="000000"/>
                <w:lang w:eastAsia="en-AU"/>
              </w:rPr>
            </w:pPr>
            <w:r w:rsidRPr="00B85F0F">
              <w:t>363</w:t>
            </w:r>
          </w:p>
        </w:tc>
      </w:tr>
      <w:tr w:rsidR="00BC1539" w:rsidRPr="00D404D8" w14:paraId="52878C5A" w14:textId="77777777">
        <w:trPr>
          <w:trHeight w:val="255"/>
        </w:trPr>
        <w:tc>
          <w:tcPr>
            <w:tcW w:w="1070" w:type="dxa"/>
            <w:tcBorders>
              <w:bottom w:val="single" w:sz="4" w:space="0" w:color="B3B3B3"/>
            </w:tcBorders>
            <w:shd w:val="clear" w:color="auto" w:fill="E6E6E6"/>
            <w:noWrap/>
            <w:hideMark/>
          </w:tcPr>
          <w:p w14:paraId="018B6737" w14:textId="60F00F8B" w:rsidR="00BC1539" w:rsidRPr="00884BBE" w:rsidRDefault="00BC1539">
            <w:pPr>
              <w:spacing w:before="45" w:after="45" w:line="240" w:lineRule="auto"/>
              <w:ind w:left="57" w:right="108"/>
              <w:rPr>
                <w:rFonts w:eastAsia="Times New Roman" w:cs="Open Sans"/>
                <w:b/>
                <w:color w:val="1D4374"/>
                <w:sz w:val="18"/>
                <w:lang w:eastAsia="en-AU"/>
              </w:rPr>
            </w:pPr>
            <w:r w:rsidRPr="00884BBE">
              <w:rPr>
                <w:rFonts w:eastAsia="Times New Roman" w:cs="Open Sans"/>
                <w:b/>
                <w:color w:val="1D4374"/>
                <w:sz w:val="18"/>
                <w:lang w:eastAsia="en-AU"/>
              </w:rPr>
              <w:t>2024</w:t>
            </w:r>
            <w:r w:rsidR="0090267A">
              <w:rPr>
                <w:rFonts w:eastAsia="Times New Roman" w:cs="Open Sans"/>
                <w:b/>
                <w:color w:val="1D4374"/>
                <w:sz w:val="18"/>
                <w:lang w:eastAsia="en-AU"/>
              </w:rPr>
              <w:t>–</w:t>
            </w:r>
            <w:r w:rsidRPr="00884BBE">
              <w:rPr>
                <w:rFonts w:eastAsia="Times New Roman" w:cs="Open Sans"/>
                <w:b/>
                <w:color w:val="1D4374"/>
                <w:sz w:val="18"/>
                <w:lang w:eastAsia="en-AU"/>
              </w:rPr>
              <w:t>25</w:t>
            </w:r>
          </w:p>
        </w:tc>
        <w:tc>
          <w:tcPr>
            <w:tcW w:w="705" w:type="dxa"/>
            <w:tcBorders>
              <w:bottom w:val="single" w:sz="4" w:space="0" w:color="B3B3B3"/>
            </w:tcBorders>
            <w:shd w:val="clear" w:color="auto" w:fill="E6E6E6"/>
            <w:noWrap/>
            <w:hideMark/>
          </w:tcPr>
          <w:p w14:paraId="5C036D3D" w14:textId="77777777" w:rsidR="00BC1539" w:rsidRPr="00884BBE" w:rsidRDefault="00BC1539" w:rsidP="001E0590">
            <w:pPr>
              <w:pStyle w:val="TableBody"/>
              <w:ind w:right="108"/>
              <w:jc w:val="right"/>
              <w:rPr>
                <w:rFonts w:eastAsia="Times New Roman" w:cs="Open Sans"/>
                <w:color w:val="000000"/>
                <w:lang w:eastAsia="en-AU"/>
              </w:rPr>
            </w:pPr>
            <w:r w:rsidRPr="00B85F0F">
              <w:t>311</w:t>
            </w:r>
          </w:p>
        </w:tc>
        <w:tc>
          <w:tcPr>
            <w:tcW w:w="1295" w:type="dxa"/>
            <w:tcBorders>
              <w:bottom w:val="single" w:sz="4" w:space="0" w:color="B3B3B3"/>
            </w:tcBorders>
            <w:shd w:val="clear" w:color="auto" w:fill="E6E6E6"/>
            <w:noWrap/>
            <w:hideMark/>
          </w:tcPr>
          <w:p w14:paraId="0A82A936" w14:textId="77777777" w:rsidR="00BC1539" w:rsidRPr="00884BBE" w:rsidRDefault="00BC1539" w:rsidP="001E0590">
            <w:pPr>
              <w:pStyle w:val="TableBody"/>
              <w:ind w:right="108"/>
              <w:jc w:val="right"/>
              <w:rPr>
                <w:rFonts w:eastAsia="Times New Roman" w:cs="Open Sans"/>
                <w:color w:val="000000"/>
                <w:lang w:eastAsia="en-AU"/>
              </w:rPr>
            </w:pPr>
            <w:r w:rsidRPr="00B85F0F">
              <w:t>311</w:t>
            </w:r>
          </w:p>
        </w:tc>
        <w:tc>
          <w:tcPr>
            <w:tcW w:w="1307" w:type="dxa"/>
            <w:tcBorders>
              <w:bottom w:val="single" w:sz="4" w:space="0" w:color="B3B3B3"/>
            </w:tcBorders>
            <w:shd w:val="clear" w:color="auto" w:fill="E6E6E6"/>
            <w:noWrap/>
            <w:hideMark/>
          </w:tcPr>
          <w:p w14:paraId="51A238B5" w14:textId="076F1AD4" w:rsidR="00BC1539" w:rsidRPr="00884BBE" w:rsidRDefault="00541146" w:rsidP="001E0590">
            <w:pPr>
              <w:pStyle w:val="TableBody"/>
              <w:ind w:right="108"/>
              <w:jc w:val="right"/>
              <w:rPr>
                <w:rFonts w:eastAsia="Times New Roman" w:cs="Open Sans"/>
                <w:color w:val="000000"/>
                <w:lang w:eastAsia="en-AU"/>
              </w:rPr>
            </w:pPr>
            <w:r>
              <w:noBreakHyphen/>
            </w:r>
          </w:p>
        </w:tc>
        <w:tc>
          <w:tcPr>
            <w:tcW w:w="828" w:type="dxa"/>
            <w:tcBorders>
              <w:bottom w:val="single" w:sz="4" w:space="0" w:color="B3B3B3"/>
            </w:tcBorders>
            <w:shd w:val="clear" w:color="auto" w:fill="E6E6E6"/>
            <w:noWrap/>
            <w:hideMark/>
          </w:tcPr>
          <w:p w14:paraId="57666B84" w14:textId="58F75940" w:rsidR="00BC1539" w:rsidRPr="00884BBE" w:rsidRDefault="00541146" w:rsidP="001E0590">
            <w:pPr>
              <w:pStyle w:val="TableBody"/>
              <w:ind w:right="108"/>
              <w:jc w:val="right"/>
              <w:rPr>
                <w:rFonts w:eastAsia="Times New Roman" w:cs="Open Sans"/>
                <w:color w:val="000000"/>
                <w:lang w:eastAsia="en-AU"/>
              </w:rPr>
            </w:pPr>
            <w:r>
              <w:noBreakHyphen/>
            </w:r>
          </w:p>
        </w:tc>
        <w:tc>
          <w:tcPr>
            <w:tcW w:w="795" w:type="dxa"/>
            <w:tcBorders>
              <w:bottom w:val="single" w:sz="4" w:space="0" w:color="B3B3B3"/>
            </w:tcBorders>
            <w:shd w:val="clear" w:color="auto" w:fill="E6E6E6"/>
            <w:noWrap/>
            <w:hideMark/>
          </w:tcPr>
          <w:p w14:paraId="0F379926" w14:textId="282E8C44" w:rsidR="00BC1539" w:rsidRPr="00884BBE" w:rsidRDefault="00541146" w:rsidP="001E0590">
            <w:pPr>
              <w:pStyle w:val="TableBody"/>
              <w:ind w:right="108"/>
              <w:jc w:val="right"/>
              <w:rPr>
                <w:rFonts w:eastAsia="Times New Roman" w:cs="Open Sans"/>
                <w:color w:val="000000"/>
                <w:lang w:eastAsia="en-AU"/>
              </w:rPr>
            </w:pPr>
            <w:r>
              <w:noBreakHyphen/>
            </w:r>
          </w:p>
        </w:tc>
        <w:tc>
          <w:tcPr>
            <w:tcW w:w="1128" w:type="dxa"/>
            <w:tcBorders>
              <w:bottom w:val="single" w:sz="4" w:space="0" w:color="B3B3B3"/>
            </w:tcBorders>
            <w:shd w:val="clear" w:color="auto" w:fill="E6E6E6"/>
            <w:noWrap/>
            <w:hideMark/>
          </w:tcPr>
          <w:p w14:paraId="62FAF363" w14:textId="77777777" w:rsidR="00BC1539" w:rsidRPr="00884BBE" w:rsidRDefault="00BC1539" w:rsidP="001E0590">
            <w:pPr>
              <w:pStyle w:val="TableBody"/>
              <w:ind w:right="108"/>
              <w:jc w:val="right"/>
              <w:rPr>
                <w:rFonts w:eastAsia="Times New Roman" w:cs="Open Sans"/>
                <w:color w:val="000000"/>
                <w:lang w:eastAsia="en-AU"/>
              </w:rPr>
            </w:pPr>
            <w:r w:rsidRPr="00B85F0F">
              <w:t>328</w:t>
            </w:r>
          </w:p>
        </w:tc>
        <w:tc>
          <w:tcPr>
            <w:tcW w:w="1307" w:type="dxa"/>
            <w:tcBorders>
              <w:bottom w:val="single" w:sz="4" w:space="0" w:color="B3B3B3"/>
            </w:tcBorders>
            <w:shd w:val="clear" w:color="auto" w:fill="E6E6E6"/>
            <w:noWrap/>
            <w:hideMark/>
          </w:tcPr>
          <w:p w14:paraId="5057F9BA" w14:textId="77777777" w:rsidR="00BC1539" w:rsidRPr="00884BBE" w:rsidRDefault="00BC1539" w:rsidP="001E0590">
            <w:pPr>
              <w:pStyle w:val="TableBody"/>
              <w:ind w:right="108"/>
              <w:jc w:val="right"/>
              <w:rPr>
                <w:rFonts w:eastAsia="Times New Roman" w:cs="Open Sans"/>
                <w:color w:val="000000"/>
                <w:lang w:eastAsia="en-AU"/>
              </w:rPr>
            </w:pPr>
            <w:r w:rsidRPr="00B85F0F">
              <w:t>342</w:t>
            </w:r>
          </w:p>
        </w:tc>
        <w:tc>
          <w:tcPr>
            <w:tcW w:w="1307" w:type="dxa"/>
            <w:tcBorders>
              <w:bottom w:val="single" w:sz="4" w:space="0" w:color="B3B3B3"/>
            </w:tcBorders>
            <w:shd w:val="clear" w:color="auto" w:fill="E6E6E6"/>
            <w:noWrap/>
            <w:hideMark/>
          </w:tcPr>
          <w:p w14:paraId="5A142976" w14:textId="77777777" w:rsidR="00BC1539" w:rsidRPr="00884BBE" w:rsidRDefault="00BC1539" w:rsidP="001E0590">
            <w:pPr>
              <w:pStyle w:val="TableBody"/>
              <w:ind w:right="108"/>
              <w:jc w:val="right"/>
              <w:rPr>
                <w:rFonts w:eastAsia="Times New Roman" w:cs="Open Sans"/>
                <w:color w:val="000000"/>
                <w:lang w:eastAsia="en-AU"/>
              </w:rPr>
            </w:pPr>
            <w:r w:rsidRPr="00B85F0F">
              <w:t>366</w:t>
            </w:r>
          </w:p>
        </w:tc>
      </w:tr>
    </w:tbl>
    <w:p w14:paraId="35203588" w14:textId="77777777" w:rsidR="00BC1539" w:rsidRDefault="00BC1539" w:rsidP="000D5A14">
      <w:pPr>
        <w:pStyle w:val="Source"/>
        <w:spacing w:after="360"/>
      </w:pPr>
      <w:r>
        <w:t>Source: PC analysis of ABS data.</w:t>
      </w:r>
    </w:p>
    <w:p w14:paraId="2FB27E45" w14:textId="77777777" w:rsidR="00BC1539" w:rsidRDefault="00BC1539" w:rsidP="00011592">
      <w:pPr>
        <w:pStyle w:val="Heading3"/>
      </w:pPr>
      <w:r>
        <w:t>Comparison to ABS FSS industry definition</w:t>
      </w:r>
    </w:p>
    <w:p w14:paraId="6DA2EB10" w14:textId="26298FFC" w:rsidR="00BC1539" w:rsidRDefault="00BC1539" w:rsidP="00011592">
      <w:pPr>
        <w:pStyle w:val="BodyText"/>
      </w:pPr>
      <w:r>
        <w:t>The ABS publishes annual performance statistics for Australian industries based on the Australian and New Zealand Standard Industrial Classification (ANZSIC), including for ‘structural steel fabricating’ (class</w:t>
      </w:r>
      <w:r w:rsidR="000C500F">
        <w:t> </w:t>
      </w:r>
      <w:r>
        <w:t>2221). The ATO assigns businesses an ANZSIC class based on the activity description provided when they first register for an ABN. The assignment may not accurately align with the industry of interest for this inquiry due to misclassification or changes in business activities over time.</w:t>
      </w:r>
    </w:p>
    <w:p w14:paraId="1E20C864" w14:textId="2B791560" w:rsidR="00BC1539" w:rsidRDefault="00BC1539" w:rsidP="00011592">
      <w:pPr>
        <w:pStyle w:val="BodyText"/>
      </w:pPr>
      <w:r w:rsidRPr="004D3BD7">
        <w:t xml:space="preserve">The PC believes the industry population </w:t>
      </w:r>
      <w:r>
        <w:t>we have constructed provides</w:t>
      </w:r>
      <w:r w:rsidRPr="004D3BD7">
        <w:t xml:space="preserve"> </w:t>
      </w:r>
      <w:r>
        <w:t>a better foundation for analysing the FSS industry than ABS data on industry class 2221</w:t>
      </w:r>
      <w:r w:rsidRPr="004D3BD7">
        <w:t>. N</w:t>
      </w:r>
      <w:r>
        <w:t>ever</w:t>
      </w:r>
      <w:r w:rsidRPr="004D3BD7">
        <w:t xml:space="preserve">theless, </w:t>
      </w:r>
      <w:r>
        <w:t>as part of sensitivity testing,</w:t>
      </w:r>
      <w:r w:rsidRPr="004D3BD7">
        <w:t xml:space="preserve"> the PC considered performance by the ANZSIC 2221</w:t>
      </w:r>
      <w:r>
        <w:t xml:space="preserve"> </w:t>
      </w:r>
      <w:r w:rsidRPr="004D3BD7">
        <w:t xml:space="preserve">definition to </w:t>
      </w:r>
      <w:r>
        <w:t>test whether injury determination would vary under this industry definition. A</w:t>
      </w:r>
      <w:r w:rsidRPr="004D3BD7">
        <w:t xml:space="preserve">ll measures </w:t>
      </w:r>
      <w:r>
        <w:t>for ANZSIC class 2221 increased in the investigation period compared to</w:t>
      </w:r>
      <w:r w:rsidRPr="004D3BD7">
        <w:t xml:space="preserve"> 2020</w:t>
      </w:r>
      <w:r>
        <w:t>–</w:t>
      </w:r>
      <w:r w:rsidRPr="004D3BD7">
        <w:t>21</w:t>
      </w:r>
      <w:r>
        <w:t xml:space="preserve"> (figure B.</w:t>
      </w:r>
      <w:r w:rsidR="00FD6579">
        <w:t>4</w:t>
      </w:r>
      <w:r>
        <w:t>).</w:t>
      </w:r>
    </w:p>
    <w:p w14:paraId="6AB4564E" w14:textId="2454362B" w:rsidR="00BC1539" w:rsidRDefault="00BC1539" w:rsidP="00011592">
      <w:pPr>
        <w:pStyle w:val="FigureTableHeading"/>
        <w:rPr>
          <w:noProof/>
        </w:rPr>
      </w:pPr>
      <w:bookmarkStart w:id="49" w:name="_Ref237554948"/>
      <w:bookmarkStart w:id="50" w:name="_Ref237554941"/>
      <w:r>
        <w:lastRenderedPageBreak/>
        <w:t xml:space="preserve">Figure </w:t>
      </w:r>
      <w:bookmarkEnd w:id="49"/>
      <w:r>
        <w:t xml:space="preserve">B.4 </w:t>
      </w:r>
      <w:r w:rsidR="0090267A">
        <w:t>–</w:t>
      </w:r>
      <w:r>
        <w:rPr>
          <w:noProof/>
        </w:rPr>
        <w:t xml:space="preserve"> There is not evidence of serious injury for ANZSIC 2221</w:t>
      </w:r>
      <w:bookmarkEnd w:id="50"/>
    </w:p>
    <w:p w14:paraId="235FCE19" w14:textId="64F61364" w:rsidR="00BC1539" w:rsidRDefault="00BC1539" w:rsidP="00011592">
      <w:pPr>
        <w:pStyle w:val="FigureTableSubheading"/>
      </w:pPr>
      <w:r>
        <w:rPr>
          <w:noProof/>
        </w:rPr>
        <w:t xml:space="preserve">ANZSIC 2221 </w:t>
      </w:r>
      <w:r>
        <w:t>industry performance relative to 2020</w:t>
      </w:r>
      <w:r w:rsidR="0090267A">
        <w:t>–</w:t>
      </w:r>
      <w:r>
        <w:t>21</w:t>
      </w:r>
    </w:p>
    <w:p w14:paraId="2D724DCE" w14:textId="1AF78B6B" w:rsidR="00BC1539" w:rsidRDefault="00BC1539" w:rsidP="008E1798">
      <w:pPr>
        <w:pStyle w:val="Source"/>
        <w:spacing w:after="360"/>
      </w:pPr>
      <w:r w:rsidRPr="00897533">
        <w:rPr>
          <w:noProof/>
        </w:rPr>
        <w:drawing>
          <wp:inline distT="0" distB="0" distL="0" distR="0" wp14:anchorId="3E3E0CCA" wp14:editId="10FB57DA">
            <wp:extent cx="6120130" cy="2878455"/>
            <wp:effectExtent l="0" t="0" r="0" b="0"/>
            <wp:docPr id="12996136" name="Picture 8" descr="Figure B.4 - The figure is a clustered column chart showing employment, wages and salaries, sales and service income, and industry value added for ANZSIC 2221 for 2019-20 to 2024-25. Most measures are reasonably stable or increase over the perio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6136" name="Picture 8" descr="Figure B.4 - The figure is a clustered column chart showing employment, wages and salaries, sales and service income, and industry value added for ANZSIC 2221 for 2019-20 to 2024-25. Most measures are reasonably stable or increase over the period.&#10;"/>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120130" cy="2878455"/>
                    </a:xfrm>
                    <a:prstGeom prst="rect">
                      <a:avLst/>
                    </a:prstGeom>
                    <a:noFill/>
                    <a:ln>
                      <a:noFill/>
                    </a:ln>
                  </pic:spPr>
                </pic:pic>
              </a:graphicData>
            </a:graphic>
          </wp:inline>
        </w:drawing>
      </w:r>
      <w:r w:rsidRPr="00696447">
        <w:t xml:space="preserve">Source: </w:t>
      </w:r>
      <w:r w:rsidRPr="006A034D">
        <w:t xml:space="preserve">ABS (2025) </w:t>
      </w:r>
      <w:r>
        <w:t xml:space="preserve">Australian </w:t>
      </w:r>
      <w:r w:rsidRPr="006A034D">
        <w:t>I</w:t>
      </w:r>
      <w:r w:rsidRPr="0001587B">
        <w:t>ndustry</w:t>
      </w:r>
      <w:r w:rsidRPr="006A034D">
        <w:t>.</w:t>
      </w:r>
    </w:p>
    <w:p w14:paraId="151F9E92" w14:textId="77777777" w:rsidR="00BC1539" w:rsidRDefault="00BC1539" w:rsidP="00011592">
      <w:pPr>
        <w:pStyle w:val="Heading3"/>
      </w:pPr>
      <w:r>
        <w:t>Estimating firm entry and exit</w:t>
      </w:r>
    </w:p>
    <w:p w14:paraId="79130C7F" w14:textId="1E767BE0" w:rsidR="00BC1539" w:rsidRPr="00193043" w:rsidRDefault="00BC1539" w:rsidP="00011592">
      <w:pPr>
        <w:pStyle w:val="BodyText"/>
      </w:pPr>
      <w:r>
        <w:t xml:space="preserve">There is no consistent approach in research literature on estimating the entry and exit of firms using administrative data. The PC has drawn on multiple datasets within BLADE to assess firm entry and exit in addition to </w:t>
      </w:r>
      <w:r w:rsidR="00126055">
        <w:t>Business Income Tax (</w:t>
      </w:r>
      <w:r>
        <w:t>BIT</w:t>
      </w:r>
      <w:r w:rsidR="00126055">
        <w:t>)</w:t>
      </w:r>
      <w:r>
        <w:t xml:space="preserve"> and </w:t>
      </w:r>
      <w:r w:rsidR="00126055">
        <w:t>Business Activity Statement (</w:t>
      </w:r>
      <w:r>
        <w:t>BAS</w:t>
      </w:r>
      <w:r w:rsidR="00126055">
        <w:t>)</w:t>
      </w:r>
      <w:r>
        <w:t>:</w:t>
      </w:r>
    </w:p>
    <w:p w14:paraId="6AD34C96" w14:textId="718AE435" w:rsidR="00BC1539" w:rsidRDefault="00BC1539" w:rsidP="00011592">
      <w:pPr>
        <w:pStyle w:val="ListBullet"/>
      </w:pPr>
      <w:r>
        <w:t>Cross</w:t>
      </w:r>
      <w:r w:rsidR="00541146">
        <w:noBreakHyphen/>
      </w:r>
      <w:r>
        <w:t xml:space="preserve">sectional indicative data </w:t>
      </w:r>
      <w:proofErr w:type="gramStart"/>
      <w:r>
        <w:t>items:</w:t>
      </w:r>
      <w:proofErr w:type="gramEnd"/>
      <w:r>
        <w:t xml:space="preserve"> identifies whether an ABN is considered alive or dead according to ABS criteria.</w:t>
      </w:r>
    </w:p>
    <w:p w14:paraId="472DF86C" w14:textId="77777777" w:rsidR="00BC1539" w:rsidRPr="00193043" w:rsidRDefault="00BC1539" w:rsidP="00011592">
      <w:pPr>
        <w:pStyle w:val="ListBullet"/>
      </w:pPr>
      <w:r>
        <w:t>Business birthdate: provides year in which ABNs were created.</w:t>
      </w:r>
    </w:p>
    <w:p w14:paraId="49A030A9" w14:textId="77777777" w:rsidR="00BC1539" w:rsidRPr="00193043" w:rsidRDefault="00BC1539" w:rsidP="00011592">
      <w:pPr>
        <w:pStyle w:val="ListBullet"/>
      </w:pPr>
      <w:r>
        <w:t xml:space="preserve">Australian Securities and Investments Commission (ASIC) insolvency </w:t>
      </w:r>
      <w:proofErr w:type="gramStart"/>
      <w:r>
        <w:t>data:</w:t>
      </w:r>
      <w:proofErr w:type="gramEnd"/>
      <w:r>
        <w:t xml:space="preserve"> identifies businesses that have entered various forms of insolvency.</w:t>
      </w:r>
    </w:p>
    <w:p w14:paraId="21778CAD" w14:textId="77777777" w:rsidR="00BC1539" w:rsidRDefault="00BC1539" w:rsidP="00011592">
      <w:pPr>
        <w:pStyle w:val="Heading4"/>
        <w:rPr>
          <w:rStyle w:val="Strong"/>
        </w:rPr>
      </w:pPr>
      <w:r>
        <w:rPr>
          <w:rStyle w:val="Strong"/>
          <w:rFonts w:ascii="Open Sans Extrabold" w:hAnsi="Open Sans Extrabold"/>
          <w:b w:val="0"/>
        </w:rPr>
        <w:t>Entry</w:t>
      </w:r>
    </w:p>
    <w:p w14:paraId="025C950E" w14:textId="0583AFF4" w:rsidR="00BC1539" w:rsidRPr="000C500F" w:rsidRDefault="00BC1539" w:rsidP="000C500F">
      <w:pPr>
        <w:pStyle w:val="BodyText"/>
      </w:pPr>
      <w:r w:rsidRPr="000C500F">
        <w:t>Firm entry is defined as an ABN in the population whose birthdate occurred within the investigation period (2020–21 to 2024–25) and which subsequently recorded non</w:t>
      </w:r>
      <w:r w:rsidR="00541146" w:rsidRPr="000C500F">
        <w:noBreakHyphen/>
      </w:r>
      <w:r w:rsidRPr="000C500F">
        <w:t>zero FTE, headcount, cost of sales, sales, profit, turnover or wage expense in any future period. The population of ABNs was also checked against the cross</w:t>
      </w:r>
      <w:r w:rsidR="00541146" w:rsidRPr="000C500F">
        <w:noBreakHyphen/>
      </w:r>
      <w:r w:rsidRPr="000C500F">
        <w:t>sectional indicative data items alive status variable. Based on this approach, 40 firms entered the conservative population during the investigation period.</w:t>
      </w:r>
    </w:p>
    <w:p w14:paraId="34CEE326" w14:textId="77777777" w:rsidR="00BC1539" w:rsidRPr="00366279" w:rsidRDefault="00BC1539" w:rsidP="000B389D">
      <w:pPr>
        <w:pStyle w:val="Heading4"/>
        <w:rPr>
          <w:rStyle w:val="Strong"/>
          <w:rFonts w:ascii="Open Sans Extrabold" w:hAnsi="Open Sans Extrabold"/>
          <w:b w:val="0"/>
          <w:bCs w:val="0"/>
        </w:rPr>
      </w:pPr>
      <w:r>
        <w:t>Exit</w:t>
      </w:r>
    </w:p>
    <w:p w14:paraId="7FECF0F6" w14:textId="77777777" w:rsidR="00BC1539" w:rsidRDefault="00BC1539" w:rsidP="000B389D">
      <w:pPr>
        <w:pStyle w:val="BodyText"/>
        <w:keepNext/>
        <w:keepLines/>
      </w:pPr>
      <w:r>
        <w:t xml:space="preserve">Firm exit is defined as occurring in the last period in which an ABN in the population: </w:t>
      </w:r>
    </w:p>
    <w:p w14:paraId="3FE4FB23" w14:textId="72855BE7" w:rsidR="00BC1539" w:rsidRPr="000C500F" w:rsidRDefault="00BC1539" w:rsidP="000B389D">
      <w:pPr>
        <w:pStyle w:val="ListBullet"/>
        <w:keepNext/>
        <w:keepLines/>
      </w:pPr>
      <w:r w:rsidRPr="000C500F">
        <w:t>records non</w:t>
      </w:r>
      <w:r w:rsidR="00541146" w:rsidRPr="000C500F">
        <w:noBreakHyphen/>
      </w:r>
      <w:r w:rsidRPr="000C500F">
        <w:t>zero FTE, headcount, cost of sales, sales, profit, turnover or wage expense</w:t>
      </w:r>
    </w:p>
    <w:p w14:paraId="4E834B99" w14:textId="732DDEA5" w:rsidR="00BC1539" w:rsidRPr="000C500F" w:rsidRDefault="00BC1539" w:rsidP="000C500F">
      <w:pPr>
        <w:pStyle w:val="ListBullet"/>
      </w:pPr>
      <w:r w:rsidRPr="000C500F">
        <w:t>has previously recorded non</w:t>
      </w:r>
      <w:r w:rsidR="00541146" w:rsidRPr="000C500F">
        <w:noBreakHyphen/>
      </w:r>
      <w:r w:rsidRPr="000C500F">
        <w:t>zero FTE, headcount, cost of sales, sales, profit, turnover or wage expense</w:t>
      </w:r>
      <w:r w:rsidR="000C500F">
        <w:t>,</w:t>
      </w:r>
      <w:r w:rsidRPr="000C500F">
        <w:t xml:space="preserve"> and</w:t>
      </w:r>
    </w:p>
    <w:p w14:paraId="1DF81D47" w14:textId="39651794" w:rsidR="00BC1539" w:rsidRPr="000C500F" w:rsidRDefault="00BC1539" w:rsidP="000C500F">
      <w:pPr>
        <w:pStyle w:val="ListBullet"/>
      </w:pPr>
      <w:r w:rsidRPr="000C500F">
        <w:t>does not record non</w:t>
      </w:r>
      <w:r w:rsidR="00541146" w:rsidRPr="000C500F">
        <w:noBreakHyphen/>
      </w:r>
      <w:r w:rsidRPr="000C500F">
        <w:t>zero FTE, headcount, cost of sales, sales, profit, turnover or wage expense in any subsequent period.</w:t>
      </w:r>
    </w:p>
    <w:p w14:paraId="5287E776" w14:textId="48041864" w:rsidR="00BC1539" w:rsidRPr="003308E2" w:rsidRDefault="00BC1539" w:rsidP="00011592">
      <w:pPr>
        <w:pStyle w:val="BodyText"/>
      </w:pPr>
      <w:r>
        <w:lastRenderedPageBreak/>
        <w:t>The population was also checked against the cross</w:t>
      </w:r>
      <w:r w:rsidR="00541146">
        <w:noBreakHyphen/>
      </w:r>
      <w:r>
        <w:t>sectional indicative data items alive status variable. Based on this approach, 20 firms exited the conservative population in the investigation period. A cross</w:t>
      </w:r>
      <w:r w:rsidR="00541146">
        <w:noBreakHyphen/>
      </w:r>
      <w:r>
        <w:t>check of the ASIC insolvency dataset provided no additional firm exits.</w:t>
      </w:r>
    </w:p>
    <w:p w14:paraId="42C77C53" w14:textId="77777777" w:rsidR="00BC1539" w:rsidRDefault="00BC1539" w:rsidP="00011592">
      <w:pPr>
        <w:pStyle w:val="Heading2-Appendix"/>
      </w:pPr>
      <w:bookmarkStart w:id="51" w:name="_Toc238643924"/>
      <w:r>
        <w:t>Estimating domestic production</w:t>
      </w:r>
      <w:bookmarkEnd w:id="51"/>
    </w:p>
    <w:p w14:paraId="79F9498D" w14:textId="77777777" w:rsidR="00BC1539" w:rsidRDefault="00BC1539" w:rsidP="000C500F">
      <w:pPr>
        <w:pStyle w:val="BodyText"/>
      </w:pPr>
      <w:r>
        <w:t>Data on domestic production is needed to calculate relative imports, but this data is not readily available for Australia. The PC has developed its own estimates of domestic production in tonnes based mainly on the PC’s definition of the industry and administrative data</w:t>
      </w:r>
      <w:r w:rsidDel="00C91B32">
        <w:t>.</w:t>
      </w:r>
    </w:p>
    <w:p w14:paraId="6B879869" w14:textId="77777777" w:rsidR="00BC1539" w:rsidRDefault="00BC1539" w:rsidP="00011592">
      <w:pPr>
        <w:pStyle w:val="Heading3"/>
      </w:pPr>
      <w:r>
        <w:t>Methodology for estimating domestic production</w:t>
      </w:r>
    </w:p>
    <w:p w14:paraId="4BEEED74" w14:textId="77777777" w:rsidR="00BC1539" w:rsidRPr="00E467EB" w:rsidRDefault="00BC1539" w:rsidP="000C500F">
      <w:pPr>
        <w:pStyle w:val="BodyText"/>
      </w:pPr>
      <w:r>
        <w:t xml:space="preserve">Four </w:t>
      </w:r>
      <w:r w:rsidRPr="000C500F">
        <w:t>approaches</w:t>
      </w:r>
      <w:r>
        <w:t xml:space="preserve"> were considered for estimating the tonnage of domestic FSS production:</w:t>
      </w:r>
    </w:p>
    <w:p w14:paraId="281857FB" w14:textId="77777777" w:rsidR="00BC1539" w:rsidRDefault="00BC1539" w:rsidP="00011592">
      <w:pPr>
        <w:pStyle w:val="ListBullet"/>
      </w:pPr>
      <w:r>
        <w:t xml:space="preserve">Based on upstream activity: collating distributor data on how much steel was </w:t>
      </w:r>
      <w:r w:rsidDel="00D72A7C">
        <w:t xml:space="preserve">sold </w:t>
      </w:r>
      <w:r>
        <w:t>to fabricators, and adjusting for wastage in the fabrication process</w:t>
      </w:r>
    </w:p>
    <w:p w14:paraId="48F3EDAF" w14:textId="77777777" w:rsidR="00BC1539" w:rsidRDefault="00BC1539" w:rsidP="00011592">
      <w:pPr>
        <w:pStyle w:val="ListBullet"/>
      </w:pPr>
      <w:r>
        <w:t>Based on downstream activity: estimating FSS production based on activity in the galvanising sector</w:t>
      </w:r>
    </w:p>
    <w:p w14:paraId="50F22093" w14:textId="1983286E" w:rsidR="00BC1539" w:rsidRDefault="00BC1539" w:rsidP="00011592">
      <w:pPr>
        <w:pStyle w:val="ListBullet"/>
      </w:pPr>
      <w:r>
        <w:t>Based on demand: extracting public tender data to estimate project</w:t>
      </w:r>
      <w:r w:rsidR="00541146">
        <w:noBreakHyphen/>
      </w:r>
      <w:r>
        <w:t>level demand for FSS products</w:t>
      </w:r>
    </w:p>
    <w:p w14:paraId="73D8849C" w14:textId="77777777" w:rsidR="00BC1539" w:rsidRDefault="00BC1539" w:rsidP="00011592">
      <w:pPr>
        <w:pStyle w:val="ListBullet"/>
      </w:pPr>
      <w:r>
        <w:t xml:space="preserve">Based on administrative data: estimating the share of the cost of sales reported by fabricators attributable to steel inputs and adjusting for price per tonne and steel offcuts. </w:t>
      </w:r>
    </w:p>
    <w:p w14:paraId="54645360" w14:textId="77777777" w:rsidR="00BC1539" w:rsidRDefault="00BC1539" w:rsidP="000C500F">
      <w:pPr>
        <w:pStyle w:val="BodyText"/>
      </w:pPr>
      <w:r>
        <w:t xml:space="preserve">The first approach could not be used because the PC did not receive sufficient data from industry to be confident estimates were representative of the population. The second approach could not be used because data on the tonnes galvanised was provided on a confidential basis. It would not be possible to publish estimates of domestic FSS production without also revealing the confidential data. </w:t>
      </w:r>
      <w:r w:rsidRPr="00004821">
        <w:t xml:space="preserve">The third approach </w:t>
      </w:r>
      <w:r>
        <w:t xml:space="preserve">could not be used because </w:t>
      </w:r>
      <w:r w:rsidRPr="00004821">
        <w:t>tender websites d</w:t>
      </w:r>
      <w:r>
        <w:t>o</w:t>
      </w:r>
      <w:r w:rsidRPr="00004821">
        <w:t xml:space="preserve"> not provide sufficiently detailed data for effective</w:t>
      </w:r>
      <w:r>
        <w:t xml:space="preserve"> website</w:t>
      </w:r>
      <w:r w:rsidRPr="00004821">
        <w:t xml:space="preserve"> scraping.</w:t>
      </w:r>
      <w:r w:rsidRPr="007C273A">
        <w:rPr>
          <w:rStyle w:val="FootnoteReference"/>
        </w:rPr>
        <w:footnoteReference w:id="47"/>
      </w:r>
    </w:p>
    <w:p w14:paraId="27DF69B6" w14:textId="7DDD1F7F" w:rsidR="00BC1539" w:rsidRDefault="00174746" w:rsidP="00011592">
      <w:r>
        <w:t>As a result</w:t>
      </w:r>
      <w:r w:rsidR="00BC1539">
        <w:t>, the PC pursued the fourth option. This approach has 4 major steps (figure B.</w:t>
      </w:r>
      <w:r w:rsidR="00FD6579">
        <w:t>5</w:t>
      </w:r>
      <w:r w:rsidR="00BC1539">
        <w:t>).</w:t>
      </w:r>
      <w:r w:rsidR="00BC1539" w:rsidRPr="00421BBF">
        <w:t xml:space="preserve"> </w:t>
      </w:r>
      <w:r w:rsidR="00BC1539">
        <w:t>In summary, industry</w:t>
      </w:r>
      <w:r w:rsidR="00541146">
        <w:noBreakHyphen/>
      </w:r>
      <w:r w:rsidR="00BC1539">
        <w:t>wide cost of sales (drawn from administrative data) is multiplied by an estimate of the share of cost of sales attributable to input steel. This was divided by the average price per tonne of input steel to calculate an estimate of tonnes used. This figure was then adjusted for the share of input steel lost to wastage. The final number is an estimate of domestic FSS production in tonnes.</w:t>
      </w:r>
    </w:p>
    <w:p w14:paraId="40E72ACE" w14:textId="77777777" w:rsidR="00BC1539" w:rsidRPr="00146382" w:rsidRDefault="00BC1539" w:rsidP="00011592">
      <w:pPr>
        <w:pStyle w:val="FigureTableHeading"/>
      </w:pPr>
      <w:bookmarkStart w:id="52" w:name="_Ref237555391"/>
      <w:r>
        <w:t xml:space="preserve">Figure </w:t>
      </w:r>
      <w:bookmarkEnd w:id="52"/>
      <w:r>
        <w:t>B.5</w:t>
      </w:r>
      <w:r>
        <w:rPr>
          <w:noProof/>
        </w:rPr>
        <w:t xml:space="preserve"> </w:t>
      </w:r>
      <w:r>
        <w:t>– The approach to estimating domestic production of the FSS industry</w:t>
      </w:r>
    </w:p>
    <w:p w14:paraId="7F6209CF" w14:textId="77777777" w:rsidR="00BC1539" w:rsidRDefault="00BC1539" w:rsidP="003D790D">
      <w:pPr>
        <w:spacing w:after="360"/>
      </w:pPr>
      <w:r w:rsidRPr="00863A51">
        <w:rPr>
          <w:noProof/>
        </w:rPr>
        <w:drawing>
          <wp:inline distT="0" distB="0" distL="0" distR="0" wp14:anchorId="7EE4EE4B" wp14:editId="03A36043">
            <wp:extent cx="6120130" cy="897890"/>
            <wp:effectExtent l="0" t="0" r="0" b="0"/>
            <wp:docPr id="721283218" name="Picture 4" descr="Figure B.5 - The figure shows that to calculate domestic production of the fabricated structural steel industry, the PC multiplied cost of sales by share of cost sales spent on input steel, divided by average price per tonne of input steel, multiplied by share of input steel not lost to wastage and offcut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283218" name="Picture 4" descr="Figure B.5 - The figure shows that to calculate domestic production of the fabricated structural steel industry, the PC multiplied cost of sales by share of cost sales spent on input steel, divided by average price per tonne of input steel, multiplied by share of input steel not lost to wastage and offcuts. &#1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6120130" cy="897890"/>
                    </a:xfrm>
                    <a:prstGeom prst="rect">
                      <a:avLst/>
                    </a:prstGeom>
                    <a:noFill/>
                    <a:ln>
                      <a:noFill/>
                    </a:ln>
                  </pic:spPr>
                </pic:pic>
              </a:graphicData>
            </a:graphic>
          </wp:inline>
        </w:drawing>
      </w:r>
    </w:p>
    <w:p w14:paraId="6F1F3665" w14:textId="77777777" w:rsidR="00BC1539" w:rsidRDefault="00BC1539" w:rsidP="003D790D">
      <w:pPr>
        <w:pStyle w:val="BodyText"/>
      </w:pPr>
      <w:r>
        <w:t>Detail on each of the 4 major steps is as follows:</w:t>
      </w:r>
    </w:p>
    <w:p w14:paraId="1B76A59F" w14:textId="0C95501C" w:rsidR="00BC1539" w:rsidRPr="001E0B0F" w:rsidRDefault="00BC1539" w:rsidP="004E1B21">
      <w:pPr>
        <w:pStyle w:val="ListBullet3"/>
        <w:numPr>
          <w:ilvl w:val="0"/>
          <w:numId w:val="4"/>
        </w:numPr>
        <w:rPr>
          <w:spacing w:val="-4"/>
        </w:rPr>
      </w:pPr>
      <w:r w:rsidRPr="001E0B0F">
        <w:rPr>
          <w:b/>
          <w:bCs/>
          <w:spacing w:val="-4"/>
        </w:rPr>
        <w:lastRenderedPageBreak/>
        <w:t>Cost of sales</w:t>
      </w:r>
      <w:r w:rsidRPr="001E0B0F">
        <w:rPr>
          <w:spacing w:val="-4"/>
        </w:rPr>
        <w:t>: Cost of sales was estimated based on the sum of cost of sales including wages as reported in BLADE. Cost of sales was not available for 2024</w:t>
      </w:r>
      <w:r w:rsidR="0090267A" w:rsidRPr="001E0B0F">
        <w:rPr>
          <w:spacing w:val="-4"/>
        </w:rPr>
        <w:t>–</w:t>
      </w:r>
      <w:r w:rsidRPr="001E0B0F">
        <w:rPr>
          <w:spacing w:val="-4"/>
        </w:rPr>
        <w:t>25. To address this gap, turnover for 2024</w:t>
      </w:r>
      <w:r w:rsidR="0090267A" w:rsidRPr="001E0B0F">
        <w:rPr>
          <w:spacing w:val="-4"/>
        </w:rPr>
        <w:t>–</w:t>
      </w:r>
      <w:r w:rsidRPr="001E0B0F">
        <w:rPr>
          <w:spacing w:val="-4"/>
        </w:rPr>
        <w:t>25 was multiplied by the ratio of cost of sales to turnover over the investigation period. This approach, as well as how cost of sale was estimated for the expanded population, is discussed in section B.4.</w:t>
      </w:r>
    </w:p>
    <w:p w14:paraId="31BC9204" w14:textId="5B8DF3C3" w:rsidR="00BC1539" w:rsidRPr="003D790D" w:rsidRDefault="00BC1539" w:rsidP="004E1B21">
      <w:pPr>
        <w:pStyle w:val="ListBullet3"/>
        <w:numPr>
          <w:ilvl w:val="0"/>
          <w:numId w:val="4"/>
        </w:numPr>
        <w:rPr>
          <w:spacing w:val="-4"/>
        </w:rPr>
      </w:pPr>
      <w:r w:rsidRPr="003D790D">
        <w:rPr>
          <w:b/>
          <w:bCs/>
          <w:spacing w:val="-4"/>
        </w:rPr>
        <w:t xml:space="preserve">Share of cost </w:t>
      </w:r>
      <w:r w:rsidR="00436F53" w:rsidRPr="003D790D">
        <w:rPr>
          <w:b/>
          <w:bCs/>
          <w:spacing w:val="-4"/>
        </w:rPr>
        <w:t>of</w:t>
      </w:r>
      <w:r w:rsidRPr="003D790D">
        <w:rPr>
          <w:b/>
          <w:bCs/>
          <w:spacing w:val="-4"/>
        </w:rPr>
        <w:t xml:space="preserve"> sales spent on input steel</w:t>
      </w:r>
      <w:r w:rsidRPr="003D790D">
        <w:rPr>
          <w:spacing w:val="-4"/>
        </w:rPr>
        <w:t>: To estimate the share of cost of sales spent on input steel, the PC obtained detailed cost data from 4 fabricators who are members of the ASI.</w:t>
      </w:r>
      <w:r w:rsidRPr="003D790D">
        <w:rPr>
          <w:rStyle w:val="FootnoteReference"/>
          <w:spacing w:val="-4"/>
        </w:rPr>
        <w:footnoteReference w:id="48"/>
      </w:r>
      <w:r w:rsidRPr="003D790D">
        <w:rPr>
          <w:spacing w:val="-4"/>
        </w:rPr>
        <w:t xml:space="preserve"> Data provided by fabricators included the cost of sales reported each year on their business income tax statements, as well as the total cost of input steel represented within these figures. A weighted average steel share of cost of sales was calculated using the 4 fabricators’ data. This was calculated for the most recent year of data provided by the 4 fabricators (2024</w:t>
      </w:r>
      <w:r w:rsidR="0090267A" w:rsidRPr="003D790D">
        <w:rPr>
          <w:spacing w:val="-4"/>
        </w:rPr>
        <w:t>–</w:t>
      </w:r>
      <w:r w:rsidRPr="003D790D">
        <w:rPr>
          <w:spacing w:val="-4"/>
        </w:rPr>
        <w:t>25). This figure was used as an anchor for calculating previous years’ steel share of cost of sales based on change over time in the non</w:t>
      </w:r>
      <w:r w:rsidR="00541146" w:rsidRPr="003D790D">
        <w:rPr>
          <w:spacing w:val="-4"/>
        </w:rPr>
        <w:noBreakHyphen/>
      </w:r>
      <w:r w:rsidRPr="003D790D">
        <w:rPr>
          <w:spacing w:val="-4"/>
        </w:rPr>
        <w:t>labour share of cost of sales (sourced from BLADE), the price for steel inputs (sourced from key industry participants) and an index of all non</w:t>
      </w:r>
      <w:r w:rsidR="00541146" w:rsidRPr="003D790D">
        <w:rPr>
          <w:spacing w:val="-4"/>
        </w:rPr>
        <w:noBreakHyphen/>
      </w:r>
      <w:r w:rsidRPr="003D790D">
        <w:rPr>
          <w:spacing w:val="-4"/>
        </w:rPr>
        <w:t>labour input costs for ANZSIC class 2221 (‘structural steel fabrication’).</w:t>
      </w:r>
    </w:p>
    <w:p w14:paraId="2A3A6158" w14:textId="77777777" w:rsidR="00BC1539" w:rsidRPr="004176CE" w:rsidRDefault="00BC1539" w:rsidP="004E1B21">
      <w:pPr>
        <w:pStyle w:val="ListBullet3"/>
        <w:numPr>
          <w:ilvl w:val="0"/>
          <w:numId w:val="4"/>
        </w:numPr>
      </w:pPr>
      <w:r w:rsidRPr="004176CE">
        <w:rPr>
          <w:b/>
          <w:bCs/>
        </w:rPr>
        <w:t>Average price per tonne of steel</w:t>
      </w:r>
      <w:r w:rsidRPr="004176CE">
        <w:t>: The PC collected data from several key industry participants on the value and tonnage of steel purchased by fabricators. This data was aggregated to estimate a single price per tonne of input steel for each year.</w:t>
      </w:r>
    </w:p>
    <w:p w14:paraId="1CB54829" w14:textId="1B5072A8" w:rsidR="00BC1539" w:rsidRDefault="00BC1539" w:rsidP="004E1B21">
      <w:pPr>
        <w:pStyle w:val="ListBullet3"/>
        <w:numPr>
          <w:ilvl w:val="0"/>
          <w:numId w:val="4"/>
        </w:numPr>
      </w:pPr>
      <w:r w:rsidRPr="004176CE">
        <w:rPr>
          <w:b/>
          <w:bCs/>
        </w:rPr>
        <w:t>Share of input steel lost to wastage</w:t>
      </w:r>
      <w:r w:rsidRPr="004176CE">
        <w:t>: the PC asked several fabricators and inquiry participants about the percentage of input steel lost to wastage and offcuts. We were</w:t>
      </w:r>
      <w:r>
        <w:t xml:space="preserve"> told the figure is typically in the range of 5</w:t>
      </w:r>
      <w:r w:rsidR="00436F53">
        <w:t>–</w:t>
      </w:r>
      <w:r>
        <w:t>10%. The PC used 7.5% as the central estimate for domestic production.</w:t>
      </w:r>
    </w:p>
    <w:p w14:paraId="719E028A" w14:textId="583523AC" w:rsidR="00BC1539" w:rsidRPr="000B389D" w:rsidRDefault="00BC1539" w:rsidP="00011592">
      <w:pPr>
        <w:pStyle w:val="BodyText"/>
        <w:rPr>
          <w:spacing w:val="-2"/>
        </w:rPr>
      </w:pPr>
      <w:r w:rsidRPr="000B389D">
        <w:rPr>
          <w:spacing w:val="-2"/>
        </w:rPr>
        <w:t>The PC’s estimate of domestic production is anchored by the share of cost of sales spent on input steel provided by the 4 fabricators. If the estimates provided by the 4 fabricators do not reflect the industry average, the level of domestic production might be biased. For example, if the 4 firms focussed on more labour</w:t>
      </w:r>
      <w:r w:rsidR="00541146" w:rsidRPr="000B389D">
        <w:rPr>
          <w:spacing w:val="-2"/>
        </w:rPr>
        <w:noBreakHyphen/>
      </w:r>
      <w:r w:rsidRPr="000B389D">
        <w:rPr>
          <w:spacing w:val="-2"/>
        </w:rPr>
        <w:t>intensive (tier 1) projects than the industry on average, the PC would underestimate domestic production. However, the level to which domestic production is anchored would not change the pattern of production over the investigation period. The sensitivity analysis below illustrates the likely impact.</w:t>
      </w:r>
    </w:p>
    <w:p w14:paraId="55D46A6F" w14:textId="577A833F" w:rsidR="00BC1539" w:rsidRPr="00507829" w:rsidRDefault="00BC1539" w:rsidP="00011592">
      <w:pPr>
        <w:pStyle w:val="BodyText"/>
      </w:pPr>
      <w:r>
        <w:t>Estimates of domestic production based on the conservative and expanded populations are provided in table B.</w:t>
      </w:r>
      <w:r w:rsidR="00A31393">
        <w:t>2</w:t>
      </w:r>
      <w:r>
        <w:t>, along with key inputs to the calculation. Table B.</w:t>
      </w:r>
      <w:r w:rsidR="00A31393">
        <w:t>3</w:t>
      </w:r>
      <w:r>
        <w:t xml:space="preserve"> includes key parameters used to produce these estimates. </w:t>
      </w:r>
    </w:p>
    <w:p w14:paraId="5103F95E" w14:textId="18C9BDA6" w:rsidR="00BC1539" w:rsidRDefault="00BC1539" w:rsidP="00011592">
      <w:pPr>
        <w:pStyle w:val="FigureTableHeading"/>
      </w:pPr>
      <w:bookmarkStart w:id="53" w:name="_Ref237555514"/>
      <w:r>
        <w:t>Table</w:t>
      </w:r>
      <w:bookmarkEnd w:id="53"/>
      <w:r>
        <w:t xml:space="preserve"> B.</w:t>
      </w:r>
      <w:r w:rsidR="00A31393">
        <w:t>2</w:t>
      </w:r>
      <w:r>
        <w:t xml:space="preserve"> – Estimated domestic production of FSS (tonnes)</w:t>
      </w:r>
    </w:p>
    <w:tbl>
      <w:tblPr>
        <w:tblW w:w="5000" w:type="pct"/>
        <w:tblBorders>
          <w:bottom w:val="single" w:sz="4" w:space="0" w:color="B3B3B3"/>
        </w:tblBorders>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1418"/>
        <w:gridCol w:w="913"/>
        <w:gridCol w:w="913"/>
        <w:gridCol w:w="914"/>
        <w:gridCol w:w="914"/>
        <w:gridCol w:w="914"/>
        <w:gridCol w:w="914"/>
        <w:gridCol w:w="914"/>
        <w:gridCol w:w="914"/>
        <w:gridCol w:w="910"/>
      </w:tblGrid>
      <w:tr w:rsidR="00BC1539" w:rsidRPr="001B0481" w14:paraId="71BAFF65" w14:textId="77777777" w:rsidTr="00011592">
        <w:trPr>
          <w:tblHeader/>
        </w:trPr>
        <w:tc>
          <w:tcPr>
            <w:tcW w:w="736" w:type="pct"/>
            <w:tcBorders>
              <w:bottom w:val="single" w:sz="4" w:space="0" w:color="B3B3B3"/>
            </w:tcBorders>
            <w:vAlign w:val="bottom"/>
          </w:tcPr>
          <w:p w14:paraId="20826B35" w14:textId="77777777" w:rsidR="00BC1539" w:rsidRPr="001B0481" w:rsidRDefault="00BC1539" w:rsidP="00011592">
            <w:pPr>
              <w:pStyle w:val="FigureTableHeading"/>
              <w:spacing w:before="45" w:after="45"/>
              <w:ind w:left="57" w:right="108"/>
              <w:rPr>
                <w:rFonts w:ascii="Open Sans" w:hAnsi="Open Sans" w:cs="Open Sans"/>
                <w:b/>
                <w:color w:val="1D4374"/>
                <w:sz w:val="18"/>
              </w:rPr>
            </w:pPr>
          </w:p>
        </w:tc>
        <w:tc>
          <w:tcPr>
            <w:tcW w:w="474" w:type="pct"/>
            <w:tcBorders>
              <w:bottom w:val="single" w:sz="4" w:space="0" w:color="B3B3B3"/>
            </w:tcBorders>
            <w:vAlign w:val="bottom"/>
          </w:tcPr>
          <w:p w14:paraId="4657A4D9" w14:textId="7B7BBA2C" w:rsidR="00BC1539" w:rsidRPr="001B0481" w:rsidRDefault="00BC1539" w:rsidP="00183A35">
            <w:pPr>
              <w:pStyle w:val="FigureTableHeading"/>
              <w:spacing w:before="45" w:after="45"/>
              <w:ind w:left="57" w:right="108"/>
              <w:jc w:val="right"/>
              <w:rPr>
                <w:rFonts w:ascii="Open Sans" w:hAnsi="Open Sans" w:cs="Open Sans"/>
                <w:b/>
                <w:color w:val="1D4374"/>
                <w:sz w:val="18"/>
              </w:rPr>
            </w:pPr>
            <w:r w:rsidRPr="00652B93">
              <w:rPr>
                <w:rFonts w:eastAsia="Times New Roman" w:cs="Open Sans"/>
                <w:b/>
                <w:bCs/>
                <w:color w:val="1D4374"/>
                <w:sz w:val="18"/>
                <w:lang w:eastAsia="en-AU"/>
              </w:rPr>
              <w:t>2016</w:t>
            </w:r>
            <w:r w:rsidR="0090267A">
              <w:rPr>
                <w:rFonts w:eastAsia="Times New Roman" w:cs="Open Sans"/>
                <w:b/>
                <w:bCs/>
                <w:color w:val="1D4374"/>
                <w:sz w:val="18"/>
                <w:lang w:eastAsia="en-AU"/>
              </w:rPr>
              <w:t>–</w:t>
            </w:r>
            <w:r w:rsidRPr="00652B93">
              <w:rPr>
                <w:rFonts w:eastAsia="Times New Roman" w:cs="Open Sans"/>
                <w:b/>
                <w:bCs/>
                <w:color w:val="1D4374"/>
                <w:sz w:val="18"/>
                <w:lang w:eastAsia="en-AU"/>
              </w:rPr>
              <w:t>17</w:t>
            </w:r>
          </w:p>
        </w:tc>
        <w:tc>
          <w:tcPr>
            <w:tcW w:w="474" w:type="pct"/>
            <w:tcBorders>
              <w:bottom w:val="single" w:sz="4" w:space="0" w:color="B3B3B3"/>
            </w:tcBorders>
            <w:vAlign w:val="bottom"/>
          </w:tcPr>
          <w:p w14:paraId="2B5BF572" w14:textId="6D1CDA3F" w:rsidR="00BC1539" w:rsidRPr="001B0481" w:rsidRDefault="00BC1539" w:rsidP="00183A35">
            <w:pPr>
              <w:pStyle w:val="FigureTableHeading"/>
              <w:spacing w:before="45" w:after="45"/>
              <w:ind w:left="57" w:right="108"/>
              <w:jc w:val="right"/>
              <w:rPr>
                <w:rFonts w:ascii="Open Sans" w:hAnsi="Open Sans" w:cs="Open Sans"/>
                <w:b/>
                <w:color w:val="1D4374"/>
                <w:sz w:val="18"/>
              </w:rPr>
            </w:pPr>
            <w:r w:rsidRPr="00652B93">
              <w:rPr>
                <w:rFonts w:eastAsia="Times New Roman" w:cs="Open Sans"/>
                <w:b/>
                <w:bCs/>
                <w:color w:val="1D4374"/>
                <w:sz w:val="18"/>
                <w:lang w:eastAsia="en-AU"/>
              </w:rPr>
              <w:t>2017</w:t>
            </w:r>
            <w:r w:rsidR="0090267A">
              <w:rPr>
                <w:rFonts w:eastAsia="Times New Roman" w:cs="Open Sans"/>
                <w:b/>
                <w:bCs/>
                <w:color w:val="1D4374"/>
                <w:sz w:val="18"/>
                <w:lang w:eastAsia="en-AU"/>
              </w:rPr>
              <w:t>–</w:t>
            </w:r>
            <w:r w:rsidRPr="00652B93">
              <w:rPr>
                <w:rFonts w:eastAsia="Times New Roman" w:cs="Open Sans"/>
                <w:b/>
                <w:bCs/>
                <w:color w:val="1D4374"/>
                <w:sz w:val="18"/>
                <w:lang w:eastAsia="en-AU"/>
              </w:rPr>
              <w:t>18</w:t>
            </w:r>
          </w:p>
        </w:tc>
        <w:tc>
          <w:tcPr>
            <w:tcW w:w="474" w:type="pct"/>
            <w:tcBorders>
              <w:bottom w:val="single" w:sz="4" w:space="0" w:color="B3B3B3"/>
            </w:tcBorders>
            <w:vAlign w:val="bottom"/>
          </w:tcPr>
          <w:p w14:paraId="01E3DD60" w14:textId="7E19F635" w:rsidR="00BC1539" w:rsidRPr="001B0481" w:rsidRDefault="00BC1539" w:rsidP="00183A35">
            <w:pPr>
              <w:pStyle w:val="FigureTableHeading"/>
              <w:spacing w:before="45" w:after="45"/>
              <w:ind w:left="57" w:right="108"/>
              <w:jc w:val="right"/>
              <w:rPr>
                <w:rFonts w:ascii="Open Sans" w:hAnsi="Open Sans" w:cs="Open Sans"/>
                <w:b/>
                <w:color w:val="1D4374"/>
                <w:sz w:val="18"/>
              </w:rPr>
            </w:pPr>
            <w:r w:rsidRPr="00652B93">
              <w:rPr>
                <w:rFonts w:eastAsia="Times New Roman" w:cs="Open Sans"/>
                <w:b/>
                <w:bCs/>
                <w:color w:val="1D4374"/>
                <w:sz w:val="18"/>
                <w:lang w:eastAsia="en-AU"/>
              </w:rPr>
              <w:t>2018</w:t>
            </w:r>
            <w:r w:rsidR="0090267A">
              <w:rPr>
                <w:rFonts w:eastAsia="Times New Roman" w:cs="Open Sans"/>
                <w:b/>
                <w:bCs/>
                <w:color w:val="1D4374"/>
                <w:sz w:val="18"/>
                <w:lang w:eastAsia="en-AU"/>
              </w:rPr>
              <w:t>–</w:t>
            </w:r>
            <w:r w:rsidRPr="00652B93">
              <w:rPr>
                <w:rFonts w:eastAsia="Times New Roman" w:cs="Open Sans"/>
                <w:b/>
                <w:bCs/>
                <w:color w:val="1D4374"/>
                <w:sz w:val="18"/>
                <w:lang w:eastAsia="en-AU"/>
              </w:rPr>
              <w:t>19</w:t>
            </w:r>
          </w:p>
        </w:tc>
        <w:tc>
          <w:tcPr>
            <w:tcW w:w="474" w:type="pct"/>
            <w:tcBorders>
              <w:bottom w:val="single" w:sz="4" w:space="0" w:color="B3B3B3"/>
            </w:tcBorders>
            <w:vAlign w:val="bottom"/>
          </w:tcPr>
          <w:p w14:paraId="1DB05FE1" w14:textId="007E6CAA" w:rsidR="00BC1539" w:rsidRPr="001B0481" w:rsidRDefault="00BC1539" w:rsidP="00183A35">
            <w:pPr>
              <w:pStyle w:val="FigureTableHeading"/>
              <w:spacing w:before="45" w:after="45"/>
              <w:ind w:left="57" w:right="108"/>
              <w:jc w:val="right"/>
              <w:rPr>
                <w:rFonts w:ascii="Open Sans" w:hAnsi="Open Sans" w:cs="Open Sans"/>
                <w:b/>
                <w:color w:val="1D4374"/>
                <w:sz w:val="18"/>
              </w:rPr>
            </w:pPr>
            <w:r w:rsidRPr="00652B93">
              <w:rPr>
                <w:rFonts w:eastAsia="Times New Roman" w:cs="Open Sans"/>
                <w:b/>
                <w:bCs/>
                <w:color w:val="1D4374"/>
                <w:sz w:val="18"/>
                <w:lang w:eastAsia="en-AU"/>
              </w:rPr>
              <w:t>2019</w:t>
            </w:r>
            <w:r w:rsidR="0090267A">
              <w:rPr>
                <w:rFonts w:eastAsia="Times New Roman" w:cs="Open Sans"/>
                <w:b/>
                <w:bCs/>
                <w:color w:val="1D4374"/>
                <w:sz w:val="18"/>
                <w:lang w:eastAsia="en-AU"/>
              </w:rPr>
              <w:t>–</w:t>
            </w:r>
            <w:r w:rsidRPr="00652B93">
              <w:rPr>
                <w:rFonts w:eastAsia="Times New Roman" w:cs="Open Sans"/>
                <w:b/>
                <w:bCs/>
                <w:color w:val="1D4374"/>
                <w:sz w:val="18"/>
                <w:lang w:eastAsia="en-AU"/>
              </w:rPr>
              <w:t>20</w:t>
            </w:r>
          </w:p>
        </w:tc>
        <w:tc>
          <w:tcPr>
            <w:tcW w:w="474" w:type="pct"/>
            <w:tcBorders>
              <w:bottom w:val="single" w:sz="4" w:space="0" w:color="B3B3B3"/>
            </w:tcBorders>
            <w:vAlign w:val="bottom"/>
          </w:tcPr>
          <w:p w14:paraId="125AF078" w14:textId="750EDD8B" w:rsidR="00BC1539" w:rsidRPr="001B0481" w:rsidRDefault="00BC1539" w:rsidP="00183A35">
            <w:pPr>
              <w:pStyle w:val="FigureTableHeading"/>
              <w:spacing w:before="45" w:after="45"/>
              <w:ind w:left="57" w:right="108"/>
              <w:jc w:val="right"/>
              <w:rPr>
                <w:rFonts w:ascii="Open Sans" w:hAnsi="Open Sans" w:cs="Open Sans"/>
                <w:b/>
                <w:color w:val="1D4374"/>
                <w:sz w:val="18"/>
              </w:rPr>
            </w:pPr>
            <w:r w:rsidRPr="00652B93">
              <w:rPr>
                <w:rFonts w:eastAsia="Times New Roman" w:cs="Open Sans"/>
                <w:b/>
                <w:bCs/>
                <w:color w:val="1D4374"/>
                <w:sz w:val="18"/>
                <w:lang w:eastAsia="en-AU"/>
              </w:rPr>
              <w:t>2020</w:t>
            </w:r>
            <w:r w:rsidR="0090267A">
              <w:rPr>
                <w:rFonts w:eastAsia="Times New Roman" w:cs="Open Sans"/>
                <w:b/>
                <w:bCs/>
                <w:color w:val="1D4374"/>
                <w:sz w:val="18"/>
                <w:lang w:eastAsia="en-AU"/>
              </w:rPr>
              <w:t>–</w:t>
            </w:r>
            <w:r w:rsidRPr="00652B93">
              <w:rPr>
                <w:rFonts w:eastAsia="Times New Roman" w:cs="Open Sans"/>
                <w:b/>
                <w:bCs/>
                <w:color w:val="1D4374"/>
                <w:sz w:val="18"/>
                <w:lang w:eastAsia="en-AU"/>
              </w:rPr>
              <w:t>21</w:t>
            </w:r>
          </w:p>
        </w:tc>
        <w:tc>
          <w:tcPr>
            <w:tcW w:w="474" w:type="pct"/>
            <w:tcBorders>
              <w:bottom w:val="single" w:sz="4" w:space="0" w:color="B3B3B3"/>
            </w:tcBorders>
            <w:vAlign w:val="bottom"/>
          </w:tcPr>
          <w:p w14:paraId="45C7D8C7" w14:textId="2F234096" w:rsidR="00BC1539" w:rsidRPr="001B0481" w:rsidRDefault="00BC1539" w:rsidP="00183A35">
            <w:pPr>
              <w:pStyle w:val="FigureTableHeading"/>
              <w:spacing w:before="45" w:after="45"/>
              <w:ind w:left="57" w:right="108"/>
              <w:jc w:val="right"/>
              <w:rPr>
                <w:rFonts w:ascii="Open Sans" w:hAnsi="Open Sans" w:cs="Open Sans"/>
                <w:b/>
                <w:color w:val="1D4374"/>
                <w:sz w:val="18"/>
              </w:rPr>
            </w:pPr>
            <w:r w:rsidRPr="00652B93">
              <w:rPr>
                <w:rFonts w:eastAsia="Times New Roman" w:cs="Open Sans"/>
                <w:b/>
                <w:bCs/>
                <w:color w:val="1D4374"/>
                <w:sz w:val="18"/>
                <w:lang w:eastAsia="en-AU"/>
              </w:rPr>
              <w:t>2021</w:t>
            </w:r>
            <w:r w:rsidR="0090267A">
              <w:rPr>
                <w:rFonts w:eastAsia="Times New Roman" w:cs="Open Sans"/>
                <w:b/>
                <w:bCs/>
                <w:color w:val="1D4374"/>
                <w:sz w:val="18"/>
                <w:lang w:eastAsia="en-AU"/>
              </w:rPr>
              <w:t>–</w:t>
            </w:r>
            <w:r w:rsidRPr="00652B93">
              <w:rPr>
                <w:rFonts w:eastAsia="Times New Roman" w:cs="Open Sans"/>
                <w:b/>
                <w:bCs/>
                <w:color w:val="1D4374"/>
                <w:sz w:val="18"/>
                <w:lang w:eastAsia="en-AU"/>
              </w:rPr>
              <w:t>22</w:t>
            </w:r>
          </w:p>
        </w:tc>
        <w:tc>
          <w:tcPr>
            <w:tcW w:w="474" w:type="pct"/>
            <w:tcBorders>
              <w:bottom w:val="single" w:sz="4" w:space="0" w:color="B3B3B3"/>
            </w:tcBorders>
            <w:vAlign w:val="bottom"/>
          </w:tcPr>
          <w:p w14:paraId="1ED41214" w14:textId="1FCCBD71" w:rsidR="00BC1539" w:rsidRPr="001B0481" w:rsidRDefault="00BC1539" w:rsidP="00183A35">
            <w:pPr>
              <w:pStyle w:val="FigureTableHeading"/>
              <w:spacing w:before="45" w:after="45"/>
              <w:ind w:left="57" w:right="108"/>
              <w:jc w:val="right"/>
              <w:rPr>
                <w:rFonts w:ascii="Open Sans" w:hAnsi="Open Sans" w:cs="Open Sans"/>
                <w:b/>
                <w:color w:val="1D4374"/>
                <w:sz w:val="18"/>
              </w:rPr>
            </w:pPr>
            <w:r w:rsidRPr="00652B93">
              <w:rPr>
                <w:rFonts w:eastAsia="Times New Roman" w:cs="Open Sans"/>
                <w:b/>
                <w:bCs/>
                <w:color w:val="1D4374"/>
                <w:sz w:val="18"/>
                <w:lang w:eastAsia="en-AU"/>
              </w:rPr>
              <w:t>2022</w:t>
            </w:r>
            <w:r w:rsidR="0090267A">
              <w:rPr>
                <w:rFonts w:eastAsia="Times New Roman" w:cs="Open Sans"/>
                <w:b/>
                <w:bCs/>
                <w:color w:val="1D4374"/>
                <w:sz w:val="18"/>
                <w:lang w:eastAsia="en-AU"/>
              </w:rPr>
              <w:t>–</w:t>
            </w:r>
            <w:r w:rsidRPr="00652B93">
              <w:rPr>
                <w:rFonts w:eastAsia="Times New Roman" w:cs="Open Sans"/>
                <w:b/>
                <w:bCs/>
                <w:color w:val="1D4374"/>
                <w:sz w:val="18"/>
                <w:lang w:eastAsia="en-AU"/>
              </w:rPr>
              <w:t>23</w:t>
            </w:r>
          </w:p>
        </w:tc>
        <w:tc>
          <w:tcPr>
            <w:tcW w:w="474" w:type="pct"/>
            <w:tcBorders>
              <w:bottom w:val="single" w:sz="4" w:space="0" w:color="B3B3B3"/>
            </w:tcBorders>
            <w:vAlign w:val="bottom"/>
          </w:tcPr>
          <w:p w14:paraId="48C63D31" w14:textId="796BC472" w:rsidR="00BC1539" w:rsidRPr="001B0481" w:rsidRDefault="00BC1539" w:rsidP="00183A35">
            <w:pPr>
              <w:pStyle w:val="FigureTableHeading"/>
              <w:spacing w:before="45" w:after="45"/>
              <w:ind w:left="57" w:right="108"/>
              <w:jc w:val="right"/>
              <w:rPr>
                <w:rFonts w:ascii="Open Sans" w:hAnsi="Open Sans" w:cs="Open Sans"/>
                <w:b/>
                <w:color w:val="1D4374"/>
                <w:sz w:val="18"/>
              </w:rPr>
            </w:pPr>
            <w:r w:rsidRPr="00652B93">
              <w:rPr>
                <w:rFonts w:eastAsia="Times New Roman" w:cs="Open Sans"/>
                <w:b/>
                <w:bCs/>
                <w:color w:val="1D4374"/>
                <w:sz w:val="18"/>
                <w:lang w:eastAsia="en-AU"/>
              </w:rPr>
              <w:t>2023</w:t>
            </w:r>
            <w:r w:rsidR="0090267A">
              <w:rPr>
                <w:rFonts w:eastAsia="Times New Roman" w:cs="Open Sans"/>
                <w:b/>
                <w:bCs/>
                <w:color w:val="1D4374"/>
                <w:sz w:val="18"/>
                <w:lang w:eastAsia="en-AU"/>
              </w:rPr>
              <w:t>–</w:t>
            </w:r>
            <w:r w:rsidRPr="00652B93">
              <w:rPr>
                <w:rFonts w:eastAsia="Times New Roman" w:cs="Open Sans"/>
                <w:b/>
                <w:bCs/>
                <w:color w:val="1D4374"/>
                <w:sz w:val="18"/>
                <w:lang w:eastAsia="en-AU"/>
              </w:rPr>
              <w:t>24</w:t>
            </w:r>
          </w:p>
        </w:tc>
        <w:tc>
          <w:tcPr>
            <w:tcW w:w="472" w:type="pct"/>
            <w:tcBorders>
              <w:bottom w:val="single" w:sz="4" w:space="0" w:color="B3B3B3"/>
            </w:tcBorders>
            <w:vAlign w:val="bottom"/>
          </w:tcPr>
          <w:p w14:paraId="782655EB" w14:textId="03399BE5" w:rsidR="00BC1539" w:rsidRPr="001B0481" w:rsidRDefault="00BC1539" w:rsidP="00183A35">
            <w:pPr>
              <w:pStyle w:val="FigureTableHeading"/>
              <w:spacing w:before="45" w:after="45"/>
              <w:ind w:left="57" w:right="108"/>
              <w:jc w:val="right"/>
              <w:rPr>
                <w:rFonts w:ascii="Open Sans" w:hAnsi="Open Sans" w:cs="Open Sans"/>
                <w:b/>
                <w:color w:val="1D4374"/>
                <w:sz w:val="18"/>
              </w:rPr>
            </w:pPr>
            <w:r w:rsidRPr="00652B93">
              <w:rPr>
                <w:rFonts w:eastAsia="Times New Roman" w:cs="Open Sans"/>
                <w:b/>
                <w:bCs/>
                <w:color w:val="1D4374"/>
                <w:sz w:val="18"/>
                <w:lang w:eastAsia="en-AU"/>
              </w:rPr>
              <w:t>2024</w:t>
            </w:r>
            <w:r w:rsidR="0090267A">
              <w:rPr>
                <w:rFonts w:eastAsia="Times New Roman" w:cs="Open Sans"/>
                <w:b/>
                <w:bCs/>
                <w:color w:val="1D4374"/>
                <w:sz w:val="18"/>
                <w:lang w:eastAsia="en-AU"/>
              </w:rPr>
              <w:t>–</w:t>
            </w:r>
            <w:r w:rsidRPr="00652B93">
              <w:rPr>
                <w:rFonts w:eastAsia="Times New Roman" w:cs="Open Sans"/>
                <w:b/>
                <w:bCs/>
                <w:color w:val="1D4374"/>
                <w:sz w:val="18"/>
                <w:lang w:eastAsia="en-AU"/>
              </w:rPr>
              <w:t>25</w:t>
            </w:r>
          </w:p>
        </w:tc>
      </w:tr>
      <w:tr w:rsidR="00BC1539" w:rsidRPr="001B0481" w14:paraId="1DEFDE99" w14:textId="77777777" w:rsidTr="00011592">
        <w:tc>
          <w:tcPr>
            <w:tcW w:w="736" w:type="pct"/>
            <w:tcBorders>
              <w:top w:val="single" w:sz="4" w:space="0" w:color="B3B3B3"/>
              <w:bottom w:val="nil"/>
            </w:tcBorders>
            <w:shd w:val="clear" w:color="auto" w:fill="E6E6E6"/>
          </w:tcPr>
          <w:p w14:paraId="2DE4BC9B" w14:textId="77777777" w:rsidR="00BC1539" w:rsidRPr="001B0481" w:rsidRDefault="00BC1539" w:rsidP="00011592">
            <w:pPr>
              <w:pStyle w:val="FigureTableHeading"/>
              <w:spacing w:before="45" w:after="45"/>
              <w:ind w:left="57" w:right="108"/>
              <w:rPr>
                <w:rFonts w:ascii="Open Sans" w:hAnsi="Open Sans" w:cs="Open Sans"/>
                <w:b/>
                <w:color w:val="1D4374"/>
                <w:sz w:val="18"/>
              </w:rPr>
            </w:pPr>
            <w:r>
              <w:rPr>
                <w:rFonts w:ascii="Open Sans" w:hAnsi="Open Sans" w:cs="Open Sans"/>
                <w:b/>
                <w:color w:val="1D4374"/>
                <w:sz w:val="18"/>
              </w:rPr>
              <w:t>Conservative population</w:t>
            </w:r>
          </w:p>
        </w:tc>
        <w:tc>
          <w:tcPr>
            <w:tcW w:w="474" w:type="pct"/>
            <w:tcBorders>
              <w:top w:val="nil"/>
              <w:left w:val="nil"/>
              <w:bottom w:val="nil"/>
              <w:right w:val="nil"/>
            </w:tcBorders>
            <w:shd w:val="clear" w:color="000000" w:fill="E6E6E6"/>
            <w:vAlign w:val="center"/>
          </w:tcPr>
          <w:p w14:paraId="3B2443FA" w14:textId="185C64B4" w:rsidR="00BC1539" w:rsidRPr="00142DD4" w:rsidRDefault="00BC1539" w:rsidP="00183A35">
            <w:pPr>
              <w:spacing w:before="45" w:after="45" w:line="240" w:lineRule="auto"/>
              <w:ind w:left="57" w:right="108"/>
              <w:jc w:val="right"/>
              <w:rPr>
                <w:rFonts w:eastAsia="Times New Roman" w:cs="Open Sans"/>
                <w:color w:val="000000"/>
                <w:sz w:val="18"/>
                <w:szCs w:val="18"/>
                <w:lang w:eastAsia="en-AU"/>
              </w:rPr>
            </w:pPr>
            <w:r>
              <w:rPr>
                <w:rFonts w:cs="Open Sans"/>
                <w:color w:val="000000"/>
                <w:sz w:val="18"/>
                <w:szCs w:val="18"/>
              </w:rPr>
              <w:t>360,000</w:t>
            </w:r>
          </w:p>
        </w:tc>
        <w:tc>
          <w:tcPr>
            <w:tcW w:w="474" w:type="pct"/>
            <w:tcBorders>
              <w:top w:val="nil"/>
              <w:left w:val="nil"/>
              <w:bottom w:val="nil"/>
              <w:right w:val="nil"/>
            </w:tcBorders>
            <w:shd w:val="clear" w:color="000000" w:fill="E6E6E6"/>
            <w:vAlign w:val="center"/>
          </w:tcPr>
          <w:p w14:paraId="7950941A" w14:textId="2B90066A" w:rsidR="00BC1539" w:rsidRPr="00142DD4" w:rsidRDefault="00BC1539" w:rsidP="00183A35">
            <w:pPr>
              <w:spacing w:before="45" w:after="45" w:line="240" w:lineRule="auto"/>
              <w:ind w:left="57" w:right="108"/>
              <w:jc w:val="right"/>
              <w:rPr>
                <w:rFonts w:eastAsia="Times New Roman" w:cs="Open Sans"/>
                <w:color w:val="000000"/>
                <w:sz w:val="18"/>
                <w:szCs w:val="18"/>
                <w:lang w:eastAsia="en-AU"/>
              </w:rPr>
            </w:pPr>
            <w:r>
              <w:rPr>
                <w:rFonts w:cs="Open Sans"/>
                <w:color w:val="000000"/>
                <w:sz w:val="18"/>
                <w:szCs w:val="18"/>
              </w:rPr>
              <w:t>413,000</w:t>
            </w:r>
          </w:p>
        </w:tc>
        <w:tc>
          <w:tcPr>
            <w:tcW w:w="474" w:type="pct"/>
            <w:tcBorders>
              <w:top w:val="nil"/>
              <w:left w:val="nil"/>
              <w:bottom w:val="nil"/>
              <w:right w:val="nil"/>
            </w:tcBorders>
            <w:shd w:val="clear" w:color="000000" w:fill="E6E6E6"/>
            <w:vAlign w:val="center"/>
          </w:tcPr>
          <w:p w14:paraId="234E91D3" w14:textId="4F52CCC0" w:rsidR="00BC1539" w:rsidRPr="00142DD4" w:rsidRDefault="00BC1539" w:rsidP="00183A35">
            <w:pPr>
              <w:spacing w:before="45" w:after="45" w:line="240" w:lineRule="auto"/>
              <w:ind w:left="57" w:right="108"/>
              <w:jc w:val="right"/>
              <w:rPr>
                <w:rFonts w:eastAsia="Times New Roman" w:cs="Open Sans"/>
                <w:color w:val="000000"/>
                <w:sz w:val="18"/>
                <w:szCs w:val="18"/>
                <w:lang w:eastAsia="en-AU"/>
              </w:rPr>
            </w:pPr>
            <w:r>
              <w:rPr>
                <w:rFonts w:cs="Open Sans"/>
                <w:color w:val="000000"/>
                <w:sz w:val="18"/>
                <w:szCs w:val="18"/>
              </w:rPr>
              <w:t>440,000</w:t>
            </w:r>
          </w:p>
        </w:tc>
        <w:tc>
          <w:tcPr>
            <w:tcW w:w="474" w:type="pct"/>
            <w:tcBorders>
              <w:top w:val="nil"/>
              <w:left w:val="nil"/>
              <w:bottom w:val="nil"/>
              <w:right w:val="nil"/>
            </w:tcBorders>
            <w:shd w:val="clear" w:color="000000" w:fill="E6E6E6"/>
            <w:vAlign w:val="center"/>
          </w:tcPr>
          <w:p w14:paraId="183D002E" w14:textId="3685BD17" w:rsidR="00BC1539" w:rsidRPr="00142DD4" w:rsidRDefault="00BC1539" w:rsidP="00183A35">
            <w:pPr>
              <w:spacing w:before="45" w:after="45" w:line="240" w:lineRule="auto"/>
              <w:ind w:left="57" w:right="108"/>
              <w:jc w:val="right"/>
              <w:rPr>
                <w:rFonts w:eastAsia="Times New Roman" w:cs="Open Sans"/>
                <w:color w:val="000000"/>
                <w:sz w:val="18"/>
                <w:szCs w:val="18"/>
                <w:lang w:eastAsia="en-AU"/>
              </w:rPr>
            </w:pPr>
            <w:r>
              <w:rPr>
                <w:rFonts w:cs="Open Sans"/>
                <w:color w:val="000000"/>
                <w:sz w:val="18"/>
                <w:szCs w:val="18"/>
              </w:rPr>
              <w:t>453,000</w:t>
            </w:r>
          </w:p>
        </w:tc>
        <w:tc>
          <w:tcPr>
            <w:tcW w:w="474" w:type="pct"/>
            <w:tcBorders>
              <w:top w:val="nil"/>
              <w:left w:val="nil"/>
              <w:bottom w:val="nil"/>
              <w:right w:val="nil"/>
            </w:tcBorders>
            <w:shd w:val="clear" w:color="000000" w:fill="E6E6E6"/>
            <w:vAlign w:val="center"/>
          </w:tcPr>
          <w:p w14:paraId="773CA4D9" w14:textId="43B3DEF1" w:rsidR="00BC1539" w:rsidRPr="00142DD4" w:rsidRDefault="00BC1539" w:rsidP="00183A35">
            <w:pPr>
              <w:spacing w:before="45" w:after="45" w:line="240" w:lineRule="auto"/>
              <w:ind w:left="57" w:right="108"/>
              <w:jc w:val="right"/>
              <w:rPr>
                <w:rFonts w:eastAsia="Times New Roman" w:cs="Open Sans"/>
                <w:color w:val="000000"/>
                <w:sz w:val="18"/>
                <w:szCs w:val="18"/>
                <w:lang w:eastAsia="en-AU"/>
              </w:rPr>
            </w:pPr>
            <w:r>
              <w:rPr>
                <w:rFonts w:cs="Open Sans"/>
                <w:color w:val="000000"/>
                <w:sz w:val="18"/>
                <w:szCs w:val="18"/>
              </w:rPr>
              <w:t>474,000</w:t>
            </w:r>
          </w:p>
        </w:tc>
        <w:tc>
          <w:tcPr>
            <w:tcW w:w="474" w:type="pct"/>
            <w:tcBorders>
              <w:top w:val="nil"/>
              <w:left w:val="nil"/>
              <w:bottom w:val="nil"/>
              <w:right w:val="nil"/>
            </w:tcBorders>
            <w:shd w:val="clear" w:color="000000" w:fill="E6E6E6"/>
            <w:vAlign w:val="center"/>
          </w:tcPr>
          <w:p w14:paraId="6C8D0540" w14:textId="667C973E" w:rsidR="00BC1539" w:rsidRPr="00142DD4" w:rsidRDefault="00BC1539" w:rsidP="00183A35">
            <w:pPr>
              <w:spacing w:before="45" w:after="45" w:line="240" w:lineRule="auto"/>
              <w:ind w:left="57" w:right="108"/>
              <w:jc w:val="right"/>
              <w:rPr>
                <w:rFonts w:eastAsia="Times New Roman" w:cs="Open Sans"/>
                <w:color w:val="000000"/>
                <w:sz w:val="18"/>
                <w:szCs w:val="18"/>
                <w:lang w:eastAsia="en-AU"/>
              </w:rPr>
            </w:pPr>
            <w:r>
              <w:rPr>
                <w:rFonts w:cs="Open Sans"/>
                <w:color w:val="000000"/>
                <w:sz w:val="18"/>
                <w:szCs w:val="18"/>
              </w:rPr>
              <w:t>435,000</w:t>
            </w:r>
          </w:p>
        </w:tc>
        <w:tc>
          <w:tcPr>
            <w:tcW w:w="474" w:type="pct"/>
            <w:tcBorders>
              <w:top w:val="nil"/>
              <w:left w:val="nil"/>
              <w:bottom w:val="nil"/>
              <w:right w:val="nil"/>
            </w:tcBorders>
            <w:shd w:val="clear" w:color="000000" w:fill="E6E6E6"/>
            <w:vAlign w:val="center"/>
          </w:tcPr>
          <w:p w14:paraId="790F6228" w14:textId="54C3219B" w:rsidR="00BC1539" w:rsidRPr="00142DD4" w:rsidRDefault="00BC1539" w:rsidP="00183A35">
            <w:pPr>
              <w:spacing w:before="45" w:after="45" w:line="240" w:lineRule="auto"/>
              <w:ind w:left="57" w:right="108"/>
              <w:jc w:val="right"/>
              <w:rPr>
                <w:rFonts w:eastAsia="Times New Roman" w:cs="Open Sans"/>
                <w:color w:val="000000"/>
                <w:sz w:val="18"/>
                <w:szCs w:val="18"/>
                <w:lang w:eastAsia="en-AU"/>
              </w:rPr>
            </w:pPr>
            <w:r>
              <w:rPr>
                <w:rFonts w:cs="Open Sans"/>
                <w:color w:val="000000"/>
                <w:sz w:val="18"/>
                <w:szCs w:val="18"/>
              </w:rPr>
              <w:t>482,000</w:t>
            </w:r>
          </w:p>
        </w:tc>
        <w:tc>
          <w:tcPr>
            <w:tcW w:w="474" w:type="pct"/>
            <w:tcBorders>
              <w:top w:val="nil"/>
              <w:left w:val="nil"/>
              <w:bottom w:val="nil"/>
              <w:right w:val="nil"/>
            </w:tcBorders>
            <w:shd w:val="clear" w:color="000000" w:fill="E6E6E6"/>
            <w:vAlign w:val="center"/>
          </w:tcPr>
          <w:p w14:paraId="5E3586C0" w14:textId="5CED095B" w:rsidR="00BC1539" w:rsidRPr="00142DD4" w:rsidRDefault="00BC1539" w:rsidP="00183A35">
            <w:pPr>
              <w:spacing w:before="45" w:after="45" w:line="240" w:lineRule="auto"/>
              <w:ind w:left="57" w:right="108"/>
              <w:jc w:val="right"/>
              <w:rPr>
                <w:rFonts w:eastAsia="Times New Roman" w:cs="Open Sans"/>
                <w:color w:val="000000"/>
                <w:sz w:val="18"/>
                <w:szCs w:val="18"/>
                <w:lang w:eastAsia="en-AU"/>
              </w:rPr>
            </w:pPr>
            <w:r>
              <w:rPr>
                <w:rFonts w:cs="Open Sans"/>
                <w:color w:val="000000"/>
                <w:sz w:val="18"/>
                <w:szCs w:val="18"/>
              </w:rPr>
              <w:t>501,000</w:t>
            </w:r>
          </w:p>
        </w:tc>
        <w:tc>
          <w:tcPr>
            <w:tcW w:w="472" w:type="pct"/>
            <w:tcBorders>
              <w:top w:val="nil"/>
              <w:left w:val="nil"/>
              <w:bottom w:val="nil"/>
              <w:right w:val="nil"/>
            </w:tcBorders>
            <w:shd w:val="clear" w:color="000000" w:fill="E6E6E6"/>
            <w:vAlign w:val="center"/>
          </w:tcPr>
          <w:p w14:paraId="467F5515" w14:textId="0C8CBDEE" w:rsidR="00BC1539" w:rsidRPr="00142DD4" w:rsidRDefault="00BC1539" w:rsidP="00183A35">
            <w:pPr>
              <w:spacing w:before="45" w:after="45" w:line="240" w:lineRule="auto"/>
              <w:ind w:left="57" w:right="108"/>
              <w:jc w:val="right"/>
              <w:rPr>
                <w:rFonts w:eastAsia="Times New Roman" w:cs="Open Sans"/>
                <w:color w:val="000000"/>
                <w:sz w:val="18"/>
                <w:szCs w:val="18"/>
                <w:lang w:eastAsia="en-AU"/>
              </w:rPr>
            </w:pPr>
            <w:r>
              <w:rPr>
                <w:rFonts w:cs="Open Sans"/>
                <w:color w:val="000000"/>
                <w:sz w:val="18"/>
                <w:szCs w:val="18"/>
              </w:rPr>
              <w:t>542,000</w:t>
            </w:r>
          </w:p>
        </w:tc>
      </w:tr>
      <w:tr w:rsidR="00BC1539" w:rsidRPr="001B0481" w14:paraId="3EB71864" w14:textId="77777777" w:rsidTr="00011592">
        <w:tc>
          <w:tcPr>
            <w:tcW w:w="736" w:type="pct"/>
            <w:tcBorders>
              <w:top w:val="nil"/>
            </w:tcBorders>
          </w:tcPr>
          <w:p w14:paraId="163B5080" w14:textId="77777777" w:rsidR="00BC1539" w:rsidRPr="001B0481" w:rsidRDefault="00BC1539" w:rsidP="00011592">
            <w:pPr>
              <w:pStyle w:val="FigureTableHeading"/>
              <w:spacing w:before="45" w:after="45"/>
              <w:ind w:left="57" w:right="108"/>
              <w:rPr>
                <w:rFonts w:ascii="Open Sans" w:hAnsi="Open Sans" w:cs="Open Sans"/>
                <w:b/>
                <w:color w:val="1D4374"/>
                <w:sz w:val="18"/>
              </w:rPr>
            </w:pPr>
            <w:r>
              <w:rPr>
                <w:rFonts w:ascii="Open Sans" w:hAnsi="Open Sans" w:cs="Open Sans"/>
                <w:b/>
                <w:color w:val="1D4374"/>
                <w:sz w:val="18"/>
              </w:rPr>
              <w:t>Expanded population</w:t>
            </w:r>
          </w:p>
        </w:tc>
        <w:tc>
          <w:tcPr>
            <w:tcW w:w="474" w:type="pct"/>
            <w:tcBorders>
              <w:top w:val="nil"/>
              <w:left w:val="nil"/>
              <w:bottom w:val="single" w:sz="4" w:space="0" w:color="BFBFBF"/>
              <w:right w:val="nil"/>
            </w:tcBorders>
            <w:vAlign w:val="center"/>
          </w:tcPr>
          <w:p w14:paraId="7C8C0BD3" w14:textId="0E5F0D16" w:rsidR="00BC1539" w:rsidRPr="00FD0850" w:rsidRDefault="00BC1539" w:rsidP="00183A35">
            <w:pPr>
              <w:spacing w:before="45" w:after="45" w:line="240" w:lineRule="auto"/>
              <w:ind w:left="57" w:right="108"/>
              <w:jc w:val="right"/>
              <w:rPr>
                <w:rFonts w:eastAsia="Times New Roman" w:cs="Open Sans"/>
                <w:color w:val="000000"/>
                <w:sz w:val="18"/>
                <w:szCs w:val="18"/>
                <w:lang w:eastAsia="en-AU"/>
              </w:rPr>
            </w:pPr>
            <w:r>
              <w:rPr>
                <w:rFonts w:cs="Open Sans"/>
                <w:color w:val="000000"/>
                <w:sz w:val="18"/>
                <w:szCs w:val="18"/>
              </w:rPr>
              <w:t>590,000</w:t>
            </w:r>
          </w:p>
        </w:tc>
        <w:tc>
          <w:tcPr>
            <w:tcW w:w="474" w:type="pct"/>
            <w:tcBorders>
              <w:top w:val="nil"/>
              <w:left w:val="nil"/>
              <w:bottom w:val="single" w:sz="4" w:space="0" w:color="BFBFBF"/>
              <w:right w:val="nil"/>
            </w:tcBorders>
            <w:vAlign w:val="center"/>
          </w:tcPr>
          <w:p w14:paraId="23AE88E0" w14:textId="6F85AC41" w:rsidR="00BC1539" w:rsidRPr="00FD0850" w:rsidRDefault="00BC1539" w:rsidP="00183A35">
            <w:pPr>
              <w:spacing w:before="45" w:after="45" w:line="240" w:lineRule="auto"/>
              <w:ind w:left="57" w:right="108"/>
              <w:jc w:val="right"/>
              <w:rPr>
                <w:rFonts w:eastAsia="Times New Roman" w:cs="Open Sans"/>
                <w:color w:val="000000"/>
                <w:sz w:val="18"/>
                <w:szCs w:val="18"/>
                <w:lang w:eastAsia="en-AU"/>
              </w:rPr>
            </w:pPr>
            <w:r>
              <w:rPr>
                <w:rFonts w:cs="Open Sans"/>
                <w:color w:val="000000"/>
                <w:sz w:val="18"/>
                <w:szCs w:val="18"/>
              </w:rPr>
              <w:t>612,000</w:t>
            </w:r>
          </w:p>
        </w:tc>
        <w:tc>
          <w:tcPr>
            <w:tcW w:w="474" w:type="pct"/>
            <w:tcBorders>
              <w:top w:val="nil"/>
              <w:left w:val="nil"/>
              <w:bottom w:val="single" w:sz="4" w:space="0" w:color="BFBFBF"/>
              <w:right w:val="nil"/>
            </w:tcBorders>
            <w:vAlign w:val="center"/>
          </w:tcPr>
          <w:p w14:paraId="79C5D083" w14:textId="762E1A58" w:rsidR="00BC1539" w:rsidRPr="00FD0850" w:rsidRDefault="00BC1539" w:rsidP="00183A35">
            <w:pPr>
              <w:spacing w:before="45" w:after="45" w:line="240" w:lineRule="auto"/>
              <w:ind w:left="57" w:right="108"/>
              <w:jc w:val="right"/>
              <w:rPr>
                <w:rFonts w:eastAsia="Times New Roman" w:cs="Open Sans"/>
                <w:color w:val="000000"/>
                <w:sz w:val="18"/>
                <w:szCs w:val="18"/>
                <w:lang w:eastAsia="en-AU"/>
              </w:rPr>
            </w:pPr>
            <w:r>
              <w:rPr>
                <w:rFonts w:cs="Open Sans"/>
                <w:color w:val="000000"/>
                <w:sz w:val="18"/>
                <w:szCs w:val="18"/>
              </w:rPr>
              <w:t>677,000</w:t>
            </w:r>
          </w:p>
        </w:tc>
        <w:tc>
          <w:tcPr>
            <w:tcW w:w="474" w:type="pct"/>
            <w:tcBorders>
              <w:top w:val="nil"/>
              <w:left w:val="nil"/>
              <w:bottom w:val="single" w:sz="4" w:space="0" w:color="BFBFBF"/>
              <w:right w:val="nil"/>
            </w:tcBorders>
            <w:vAlign w:val="center"/>
          </w:tcPr>
          <w:p w14:paraId="34DD3B4F" w14:textId="61B58EFD" w:rsidR="00BC1539" w:rsidRPr="00FD0850" w:rsidRDefault="00BC1539" w:rsidP="00183A35">
            <w:pPr>
              <w:spacing w:before="45" w:after="45" w:line="240" w:lineRule="auto"/>
              <w:ind w:left="57" w:right="108"/>
              <w:jc w:val="right"/>
              <w:rPr>
                <w:rFonts w:eastAsia="Times New Roman" w:cs="Open Sans"/>
                <w:color w:val="000000"/>
                <w:sz w:val="18"/>
                <w:szCs w:val="18"/>
                <w:lang w:eastAsia="en-AU"/>
              </w:rPr>
            </w:pPr>
            <w:r>
              <w:rPr>
                <w:rFonts w:cs="Open Sans"/>
                <w:color w:val="000000"/>
                <w:sz w:val="18"/>
                <w:szCs w:val="18"/>
              </w:rPr>
              <w:t>683,000</w:t>
            </w:r>
          </w:p>
        </w:tc>
        <w:tc>
          <w:tcPr>
            <w:tcW w:w="474" w:type="pct"/>
            <w:tcBorders>
              <w:top w:val="nil"/>
              <w:left w:val="nil"/>
              <w:bottom w:val="single" w:sz="4" w:space="0" w:color="BFBFBF"/>
              <w:right w:val="nil"/>
            </w:tcBorders>
            <w:vAlign w:val="center"/>
          </w:tcPr>
          <w:p w14:paraId="26391A25" w14:textId="46D133D3" w:rsidR="00BC1539" w:rsidRPr="00FD0850" w:rsidRDefault="00BC1539" w:rsidP="00183A35">
            <w:pPr>
              <w:spacing w:before="45" w:after="45" w:line="240" w:lineRule="auto"/>
              <w:ind w:left="57" w:right="108"/>
              <w:jc w:val="right"/>
              <w:rPr>
                <w:rFonts w:eastAsia="Times New Roman" w:cs="Open Sans"/>
                <w:color w:val="000000"/>
                <w:sz w:val="18"/>
                <w:szCs w:val="18"/>
                <w:lang w:eastAsia="en-AU"/>
              </w:rPr>
            </w:pPr>
            <w:r>
              <w:rPr>
                <w:rFonts w:cs="Open Sans"/>
                <w:color w:val="000000"/>
                <w:sz w:val="18"/>
                <w:szCs w:val="18"/>
              </w:rPr>
              <w:t>703,000</w:t>
            </w:r>
          </w:p>
        </w:tc>
        <w:tc>
          <w:tcPr>
            <w:tcW w:w="474" w:type="pct"/>
            <w:tcBorders>
              <w:top w:val="nil"/>
              <w:left w:val="nil"/>
              <w:bottom w:val="single" w:sz="4" w:space="0" w:color="BFBFBF"/>
              <w:right w:val="nil"/>
            </w:tcBorders>
            <w:vAlign w:val="center"/>
          </w:tcPr>
          <w:p w14:paraId="77ACCC1D" w14:textId="4CED50D4" w:rsidR="00BC1539" w:rsidRPr="00FD0850" w:rsidRDefault="00BC1539" w:rsidP="00183A35">
            <w:pPr>
              <w:spacing w:before="45" w:after="45" w:line="240" w:lineRule="auto"/>
              <w:ind w:left="57" w:right="108"/>
              <w:jc w:val="right"/>
              <w:rPr>
                <w:rFonts w:eastAsia="Times New Roman" w:cs="Open Sans"/>
                <w:color w:val="000000"/>
                <w:sz w:val="18"/>
                <w:szCs w:val="18"/>
                <w:lang w:eastAsia="en-AU"/>
              </w:rPr>
            </w:pPr>
            <w:r>
              <w:rPr>
                <w:rFonts w:cs="Open Sans"/>
                <w:color w:val="000000"/>
                <w:sz w:val="18"/>
                <w:szCs w:val="18"/>
              </w:rPr>
              <w:t>653,000</w:t>
            </w:r>
          </w:p>
        </w:tc>
        <w:tc>
          <w:tcPr>
            <w:tcW w:w="474" w:type="pct"/>
            <w:tcBorders>
              <w:top w:val="nil"/>
              <w:left w:val="nil"/>
              <w:bottom w:val="single" w:sz="4" w:space="0" w:color="BFBFBF"/>
              <w:right w:val="nil"/>
            </w:tcBorders>
            <w:vAlign w:val="center"/>
          </w:tcPr>
          <w:p w14:paraId="3B1F6A19" w14:textId="4742A1D1" w:rsidR="00BC1539" w:rsidRPr="00FD0850" w:rsidRDefault="00BC1539" w:rsidP="00183A35">
            <w:pPr>
              <w:spacing w:before="45" w:after="45" w:line="240" w:lineRule="auto"/>
              <w:ind w:left="57" w:right="108"/>
              <w:jc w:val="right"/>
              <w:rPr>
                <w:rFonts w:eastAsia="Times New Roman" w:cs="Open Sans"/>
                <w:color w:val="000000"/>
                <w:sz w:val="18"/>
                <w:szCs w:val="18"/>
                <w:lang w:eastAsia="en-AU"/>
              </w:rPr>
            </w:pPr>
            <w:r>
              <w:rPr>
                <w:rFonts w:cs="Open Sans"/>
                <w:color w:val="000000"/>
                <w:sz w:val="18"/>
                <w:szCs w:val="18"/>
              </w:rPr>
              <w:t>710,000</w:t>
            </w:r>
          </w:p>
        </w:tc>
        <w:tc>
          <w:tcPr>
            <w:tcW w:w="474" w:type="pct"/>
            <w:tcBorders>
              <w:top w:val="nil"/>
              <w:left w:val="nil"/>
              <w:bottom w:val="single" w:sz="4" w:space="0" w:color="BFBFBF"/>
              <w:right w:val="nil"/>
            </w:tcBorders>
            <w:vAlign w:val="center"/>
          </w:tcPr>
          <w:p w14:paraId="3F361AC6" w14:textId="6246AFBB" w:rsidR="00BC1539" w:rsidRPr="00FD0850" w:rsidRDefault="00BC1539" w:rsidP="00183A35">
            <w:pPr>
              <w:spacing w:before="45" w:after="45" w:line="240" w:lineRule="auto"/>
              <w:ind w:left="57" w:right="108"/>
              <w:jc w:val="right"/>
              <w:rPr>
                <w:rFonts w:eastAsia="Times New Roman" w:cs="Open Sans"/>
                <w:color w:val="000000"/>
                <w:sz w:val="18"/>
                <w:szCs w:val="18"/>
                <w:lang w:eastAsia="en-AU"/>
              </w:rPr>
            </w:pPr>
            <w:r>
              <w:rPr>
                <w:rFonts w:cs="Open Sans"/>
                <w:color w:val="000000"/>
                <w:sz w:val="18"/>
                <w:szCs w:val="18"/>
              </w:rPr>
              <w:t>747,000</w:t>
            </w:r>
          </w:p>
        </w:tc>
        <w:tc>
          <w:tcPr>
            <w:tcW w:w="472" w:type="pct"/>
            <w:tcBorders>
              <w:top w:val="nil"/>
              <w:left w:val="nil"/>
              <w:bottom w:val="single" w:sz="4" w:space="0" w:color="BFBFBF"/>
              <w:right w:val="nil"/>
            </w:tcBorders>
            <w:vAlign w:val="center"/>
          </w:tcPr>
          <w:p w14:paraId="19ADE1AB" w14:textId="77BBA8B1" w:rsidR="00BC1539" w:rsidRPr="00FD0850" w:rsidRDefault="00BC1539" w:rsidP="00183A35">
            <w:pPr>
              <w:spacing w:before="45" w:after="45" w:line="240" w:lineRule="auto"/>
              <w:ind w:left="57" w:right="108"/>
              <w:jc w:val="right"/>
              <w:rPr>
                <w:rFonts w:eastAsia="Times New Roman" w:cs="Open Sans"/>
                <w:color w:val="000000"/>
                <w:sz w:val="18"/>
                <w:szCs w:val="18"/>
                <w:lang w:eastAsia="en-AU"/>
              </w:rPr>
            </w:pPr>
            <w:r>
              <w:rPr>
                <w:rFonts w:cs="Open Sans"/>
                <w:color w:val="000000"/>
                <w:sz w:val="18"/>
                <w:szCs w:val="18"/>
              </w:rPr>
              <w:t>759,000</w:t>
            </w:r>
          </w:p>
        </w:tc>
      </w:tr>
    </w:tbl>
    <w:p w14:paraId="112F81CF" w14:textId="705246A6" w:rsidR="002F3A27" w:rsidRDefault="00BC1539" w:rsidP="009B72F2">
      <w:pPr>
        <w:pStyle w:val="Source"/>
        <w:spacing w:after="360"/>
      </w:pPr>
      <w:r w:rsidRPr="00701ED7">
        <w:t xml:space="preserve">Source: </w:t>
      </w:r>
      <w:r>
        <w:t>PC analysis of data from inquiry participants and the ABS.</w:t>
      </w:r>
    </w:p>
    <w:p w14:paraId="66938EA1" w14:textId="3E39C87A" w:rsidR="00BC1539" w:rsidRDefault="00BC1539" w:rsidP="00011592">
      <w:pPr>
        <w:pStyle w:val="FigureTableHeading"/>
      </w:pPr>
      <w:r>
        <w:lastRenderedPageBreak/>
        <w:t>Table B.</w:t>
      </w:r>
      <w:r w:rsidR="00A31393">
        <w:t>3</w:t>
      </w:r>
      <w:r>
        <w:t xml:space="preserve"> </w:t>
      </w:r>
      <w:r>
        <w:rPr>
          <w:noProof/>
        </w:rPr>
        <w:t xml:space="preserve">– </w:t>
      </w:r>
      <w:r>
        <w:t>Inputs used to calculate domestic production</w:t>
      </w:r>
    </w:p>
    <w:tbl>
      <w:tblPr>
        <w:tblW w:w="5000" w:type="pct"/>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1560"/>
        <w:gridCol w:w="897"/>
        <w:gridCol w:w="899"/>
        <w:gridCol w:w="897"/>
        <w:gridCol w:w="899"/>
        <w:gridCol w:w="896"/>
        <w:gridCol w:w="898"/>
        <w:gridCol w:w="896"/>
        <w:gridCol w:w="898"/>
        <w:gridCol w:w="898"/>
      </w:tblGrid>
      <w:tr w:rsidR="00BC1539" w:rsidRPr="00652B93" w14:paraId="747F2C24" w14:textId="77777777" w:rsidTr="008F0041">
        <w:trPr>
          <w:trHeight w:val="288"/>
          <w:tblHeader/>
        </w:trPr>
        <w:tc>
          <w:tcPr>
            <w:tcW w:w="809" w:type="pct"/>
            <w:tcBorders>
              <w:bottom w:val="single" w:sz="4" w:space="0" w:color="B3B3B3"/>
            </w:tcBorders>
            <w:shd w:val="clear" w:color="000000" w:fill="auto"/>
            <w:noWrap/>
            <w:vAlign w:val="bottom"/>
            <w:hideMark/>
          </w:tcPr>
          <w:p w14:paraId="45D3ABAD" w14:textId="77777777" w:rsidR="00BC1539" w:rsidRPr="00652B93" w:rsidRDefault="00BC1539">
            <w:pPr>
              <w:spacing w:before="45" w:after="45" w:line="240" w:lineRule="auto"/>
              <w:ind w:left="57" w:right="108"/>
              <w:rPr>
                <w:rFonts w:eastAsia="Times New Roman" w:cs="Open Sans"/>
                <w:b/>
                <w:color w:val="1D4374"/>
                <w:sz w:val="18"/>
                <w:szCs w:val="22"/>
                <w:lang w:eastAsia="en-AU"/>
              </w:rPr>
            </w:pPr>
            <w:r w:rsidRPr="00652B93">
              <w:rPr>
                <w:rFonts w:eastAsia="Times New Roman" w:cs="Open Sans"/>
                <w:b/>
                <w:color w:val="1D4374"/>
                <w:sz w:val="18"/>
                <w:szCs w:val="22"/>
                <w:lang w:eastAsia="en-AU"/>
              </w:rPr>
              <w:t> </w:t>
            </w:r>
          </w:p>
        </w:tc>
        <w:tc>
          <w:tcPr>
            <w:tcW w:w="465" w:type="pct"/>
            <w:tcBorders>
              <w:bottom w:val="single" w:sz="4" w:space="0" w:color="B3B3B3"/>
            </w:tcBorders>
            <w:shd w:val="clear" w:color="000000" w:fill="auto"/>
            <w:noWrap/>
            <w:vAlign w:val="bottom"/>
            <w:hideMark/>
          </w:tcPr>
          <w:p w14:paraId="646DE8FB" w14:textId="70B800AD" w:rsidR="00BC1539" w:rsidRPr="00652B93" w:rsidRDefault="00BC1539" w:rsidP="009B72F2">
            <w:pPr>
              <w:spacing w:before="45" w:after="45" w:line="240" w:lineRule="auto"/>
              <w:ind w:left="57" w:right="108"/>
              <w:jc w:val="right"/>
              <w:rPr>
                <w:rFonts w:eastAsia="Times New Roman" w:cs="Open Sans"/>
                <w:b/>
                <w:bCs/>
                <w:color w:val="1D4374"/>
                <w:sz w:val="18"/>
                <w:szCs w:val="18"/>
                <w:lang w:eastAsia="en-AU"/>
              </w:rPr>
            </w:pPr>
            <w:r w:rsidRPr="00652B93">
              <w:rPr>
                <w:rFonts w:eastAsia="Times New Roman" w:cs="Open Sans"/>
                <w:b/>
                <w:bCs/>
                <w:color w:val="1D4374"/>
                <w:sz w:val="18"/>
                <w:szCs w:val="18"/>
                <w:lang w:eastAsia="en-AU"/>
              </w:rPr>
              <w:t>2016</w:t>
            </w:r>
            <w:r w:rsidR="00607CD0">
              <w:rPr>
                <w:rFonts w:eastAsia="Times New Roman" w:cs="Open Sans"/>
                <w:b/>
                <w:bCs/>
                <w:color w:val="1D4374"/>
                <w:sz w:val="18"/>
                <w:lang w:eastAsia="en-AU"/>
              </w:rPr>
              <w:t>–</w:t>
            </w:r>
            <w:r w:rsidRPr="00652B93">
              <w:rPr>
                <w:rFonts w:eastAsia="Times New Roman" w:cs="Open Sans"/>
                <w:b/>
                <w:bCs/>
                <w:color w:val="1D4374"/>
                <w:sz w:val="18"/>
                <w:szCs w:val="18"/>
                <w:lang w:eastAsia="en-AU"/>
              </w:rPr>
              <w:t>17</w:t>
            </w:r>
          </w:p>
        </w:tc>
        <w:tc>
          <w:tcPr>
            <w:tcW w:w="466" w:type="pct"/>
            <w:tcBorders>
              <w:bottom w:val="single" w:sz="4" w:space="0" w:color="B3B3B3"/>
            </w:tcBorders>
            <w:shd w:val="clear" w:color="000000" w:fill="auto"/>
            <w:noWrap/>
            <w:vAlign w:val="bottom"/>
            <w:hideMark/>
          </w:tcPr>
          <w:p w14:paraId="678FDCEB" w14:textId="65CBD1E5" w:rsidR="00BC1539" w:rsidRPr="00652B93" w:rsidRDefault="00BC1539" w:rsidP="009B72F2">
            <w:pPr>
              <w:spacing w:before="45" w:after="45" w:line="240" w:lineRule="auto"/>
              <w:ind w:left="57" w:right="108"/>
              <w:jc w:val="right"/>
              <w:rPr>
                <w:rFonts w:eastAsia="Times New Roman" w:cs="Open Sans"/>
                <w:b/>
                <w:bCs/>
                <w:color w:val="1D4374"/>
                <w:sz w:val="18"/>
                <w:szCs w:val="18"/>
                <w:lang w:eastAsia="en-AU"/>
              </w:rPr>
            </w:pPr>
            <w:r w:rsidRPr="00652B93">
              <w:rPr>
                <w:rFonts w:eastAsia="Times New Roman" w:cs="Open Sans"/>
                <w:b/>
                <w:bCs/>
                <w:color w:val="1D4374"/>
                <w:sz w:val="18"/>
                <w:szCs w:val="18"/>
                <w:lang w:eastAsia="en-AU"/>
              </w:rPr>
              <w:t>2017</w:t>
            </w:r>
            <w:r w:rsidR="00607CD0">
              <w:rPr>
                <w:rFonts w:eastAsia="Times New Roman" w:cs="Open Sans"/>
                <w:b/>
                <w:bCs/>
                <w:color w:val="1D4374"/>
                <w:sz w:val="18"/>
                <w:lang w:eastAsia="en-AU"/>
              </w:rPr>
              <w:t>–</w:t>
            </w:r>
            <w:r w:rsidRPr="00652B93">
              <w:rPr>
                <w:rFonts w:eastAsia="Times New Roman" w:cs="Open Sans"/>
                <w:b/>
                <w:bCs/>
                <w:color w:val="1D4374"/>
                <w:sz w:val="18"/>
                <w:szCs w:val="18"/>
                <w:lang w:eastAsia="en-AU"/>
              </w:rPr>
              <w:t>18</w:t>
            </w:r>
          </w:p>
        </w:tc>
        <w:tc>
          <w:tcPr>
            <w:tcW w:w="465" w:type="pct"/>
            <w:tcBorders>
              <w:bottom w:val="single" w:sz="4" w:space="0" w:color="B3B3B3"/>
            </w:tcBorders>
            <w:shd w:val="clear" w:color="000000" w:fill="auto"/>
            <w:noWrap/>
            <w:vAlign w:val="bottom"/>
            <w:hideMark/>
          </w:tcPr>
          <w:p w14:paraId="151B0741" w14:textId="5FCC45E3" w:rsidR="00BC1539" w:rsidRPr="00652B93" w:rsidRDefault="00BC1539" w:rsidP="009B72F2">
            <w:pPr>
              <w:spacing w:before="45" w:after="45" w:line="240" w:lineRule="auto"/>
              <w:ind w:left="57" w:right="108"/>
              <w:jc w:val="right"/>
              <w:rPr>
                <w:rFonts w:eastAsia="Times New Roman" w:cs="Open Sans"/>
                <w:b/>
                <w:bCs/>
                <w:color w:val="1D4374"/>
                <w:sz w:val="18"/>
                <w:szCs w:val="18"/>
                <w:lang w:eastAsia="en-AU"/>
              </w:rPr>
            </w:pPr>
            <w:r w:rsidRPr="00652B93">
              <w:rPr>
                <w:rFonts w:eastAsia="Times New Roman" w:cs="Open Sans"/>
                <w:b/>
                <w:bCs/>
                <w:color w:val="1D4374"/>
                <w:sz w:val="18"/>
                <w:szCs w:val="18"/>
                <w:lang w:eastAsia="en-AU"/>
              </w:rPr>
              <w:t>2018</w:t>
            </w:r>
            <w:r w:rsidR="00607CD0">
              <w:rPr>
                <w:rFonts w:eastAsia="Times New Roman" w:cs="Open Sans"/>
                <w:b/>
                <w:bCs/>
                <w:color w:val="1D4374"/>
                <w:sz w:val="18"/>
                <w:lang w:eastAsia="en-AU"/>
              </w:rPr>
              <w:t>–</w:t>
            </w:r>
            <w:r w:rsidRPr="00652B93">
              <w:rPr>
                <w:rFonts w:eastAsia="Times New Roman" w:cs="Open Sans"/>
                <w:b/>
                <w:bCs/>
                <w:color w:val="1D4374"/>
                <w:sz w:val="18"/>
                <w:szCs w:val="18"/>
                <w:lang w:eastAsia="en-AU"/>
              </w:rPr>
              <w:t>19</w:t>
            </w:r>
          </w:p>
        </w:tc>
        <w:tc>
          <w:tcPr>
            <w:tcW w:w="466" w:type="pct"/>
            <w:tcBorders>
              <w:bottom w:val="single" w:sz="4" w:space="0" w:color="B3B3B3"/>
            </w:tcBorders>
            <w:shd w:val="clear" w:color="000000" w:fill="auto"/>
            <w:noWrap/>
            <w:vAlign w:val="bottom"/>
            <w:hideMark/>
          </w:tcPr>
          <w:p w14:paraId="48F200F6" w14:textId="03DA6A76" w:rsidR="00BC1539" w:rsidRPr="00652B93" w:rsidRDefault="00BC1539" w:rsidP="009B72F2">
            <w:pPr>
              <w:spacing w:before="45" w:after="45" w:line="240" w:lineRule="auto"/>
              <w:ind w:left="57" w:right="108"/>
              <w:jc w:val="right"/>
              <w:rPr>
                <w:rFonts w:eastAsia="Times New Roman" w:cs="Open Sans"/>
                <w:b/>
                <w:bCs/>
                <w:color w:val="1D4374"/>
                <w:sz w:val="18"/>
                <w:szCs w:val="18"/>
                <w:lang w:eastAsia="en-AU"/>
              </w:rPr>
            </w:pPr>
            <w:r w:rsidRPr="00652B93">
              <w:rPr>
                <w:rFonts w:eastAsia="Times New Roman" w:cs="Open Sans"/>
                <w:b/>
                <w:bCs/>
                <w:color w:val="1D4374"/>
                <w:sz w:val="18"/>
                <w:szCs w:val="18"/>
                <w:lang w:eastAsia="en-AU"/>
              </w:rPr>
              <w:t>2019</w:t>
            </w:r>
            <w:r w:rsidR="00607CD0">
              <w:rPr>
                <w:rFonts w:eastAsia="Times New Roman" w:cs="Open Sans"/>
                <w:b/>
                <w:bCs/>
                <w:color w:val="1D4374"/>
                <w:sz w:val="18"/>
                <w:lang w:eastAsia="en-AU"/>
              </w:rPr>
              <w:t>–</w:t>
            </w:r>
            <w:r w:rsidRPr="00652B93">
              <w:rPr>
                <w:rFonts w:eastAsia="Times New Roman" w:cs="Open Sans"/>
                <w:b/>
                <w:bCs/>
                <w:color w:val="1D4374"/>
                <w:sz w:val="18"/>
                <w:szCs w:val="18"/>
                <w:lang w:eastAsia="en-AU"/>
              </w:rPr>
              <w:t>20</w:t>
            </w:r>
          </w:p>
        </w:tc>
        <w:tc>
          <w:tcPr>
            <w:tcW w:w="465" w:type="pct"/>
            <w:tcBorders>
              <w:bottom w:val="single" w:sz="4" w:space="0" w:color="B3B3B3"/>
            </w:tcBorders>
            <w:shd w:val="clear" w:color="000000" w:fill="auto"/>
            <w:noWrap/>
            <w:vAlign w:val="bottom"/>
            <w:hideMark/>
          </w:tcPr>
          <w:p w14:paraId="071BA7A0" w14:textId="64AD1F7B" w:rsidR="00BC1539" w:rsidRPr="00652B93" w:rsidRDefault="00BC1539" w:rsidP="009B72F2">
            <w:pPr>
              <w:spacing w:before="45" w:after="45" w:line="240" w:lineRule="auto"/>
              <w:ind w:left="57" w:right="108"/>
              <w:jc w:val="right"/>
              <w:rPr>
                <w:rFonts w:eastAsia="Times New Roman" w:cs="Open Sans"/>
                <w:b/>
                <w:bCs/>
                <w:color w:val="1D4374"/>
                <w:sz w:val="18"/>
                <w:szCs w:val="18"/>
                <w:lang w:eastAsia="en-AU"/>
              </w:rPr>
            </w:pPr>
            <w:r w:rsidRPr="00652B93">
              <w:rPr>
                <w:rFonts w:eastAsia="Times New Roman" w:cs="Open Sans"/>
                <w:b/>
                <w:bCs/>
                <w:color w:val="1D4374"/>
                <w:sz w:val="18"/>
                <w:szCs w:val="18"/>
                <w:lang w:eastAsia="en-AU"/>
              </w:rPr>
              <w:t>2020</w:t>
            </w:r>
            <w:r w:rsidR="00607CD0">
              <w:rPr>
                <w:rFonts w:eastAsia="Times New Roman" w:cs="Open Sans"/>
                <w:b/>
                <w:bCs/>
                <w:color w:val="1D4374"/>
                <w:sz w:val="18"/>
                <w:lang w:eastAsia="en-AU"/>
              </w:rPr>
              <w:t>–</w:t>
            </w:r>
            <w:r w:rsidRPr="00652B93">
              <w:rPr>
                <w:rFonts w:eastAsia="Times New Roman" w:cs="Open Sans"/>
                <w:b/>
                <w:bCs/>
                <w:color w:val="1D4374"/>
                <w:sz w:val="18"/>
                <w:szCs w:val="18"/>
                <w:lang w:eastAsia="en-AU"/>
              </w:rPr>
              <w:t>21</w:t>
            </w:r>
          </w:p>
        </w:tc>
        <w:tc>
          <w:tcPr>
            <w:tcW w:w="466" w:type="pct"/>
            <w:tcBorders>
              <w:bottom w:val="single" w:sz="4" w:space="0" w:color="B3B3B3"/>
            </w:tcBorders>
            <w:shd w:val="clear" w:color="000000" w:fill="auto"/>
            <w:noWrap/>
            <w:vAlign w:val="bottom"/>
            <w:hideMark/>
          </w:tcPr>
          <w:p w14:paraId="4AFA58D3" w14:textId="4AEC09F5" w:rsidR="00BC1539" w:rsidRPr="00652B93" w:rsidRDefault="00BC1539" w:rsidP="009B72F2">
            <w:pPr>
              <w:spacing w:before="45" w:after="45" w:line="240" w:lineRule="auto"/>
              <w:ind w:left="57" w:right="108"/>
              <w:jc w:val="right"/>
              <w:rPr>
                <w:rFonts w:eastAsia="Times New Roman" w:cs="Open Sans"/>
                <w:b/>
                <w:bCs/>
                <w:color w:val="1D4374"/>
                <w:sz w:val="18"/>
                <w:szCs w:val="18"/>
                <w:lang w:eastAsia="en-AU"/>
              </w:rPr>
            </w:pPr>
            <w:r w:rsidRPr="00652B93">
              <w:rPr>
                <w:rFonts w:eastAsia="Times New Roman" w:cs="Open Sans"/>
                <w:b/>
                <w:bCs/>
                <w:color w:val="1D4374"/>
                <w:sz w:val="18"/>
                <w:szCs w:val="18"/>
                <w:lang w:eastAsia="en-AU"/>
              </w:rPr>
              <w:t>2021</w:t>
            </w:r>
            <w:r w:rsidR="00607CD0">
              <w:rPr>
                <w:rFonts w:eastAsia="Times New Roman" w:cs="Open Sans"/>
                <w:b/>
                <w:bCs/>
                <w:color w:val="1D4374"/>
                <w:sz w:val="18"/>
                <w:lang w:eastAsia="en-AU"/>
              </w:rPr>
              <w:t>–</w:t>
            </w:r>
            <w:r w:rsidRPr="00652B93">
              <w:rPr>
                <w:rFonts w:eastAsia="Times New Roman" w:cs="Open Sans"/>
                <w:b/>
                <w:bCs/>
                <w:color w:val="1D4374"/>
                <w:sz w:val="18"/>
                <w:szCs w:val="18"/>
                <w:lang w:eastAsia="en-AU"/>
              </w:rPr>
              <w:t>22</w:t>
            </w:r>
          </w:p>
        </w:tc>
        <w:tc>
          <w:tcPr>
            <w:tcW w:w="465" w:type="pct"/>
            <w:tcBorders>
              <w:bottom w:val="single" w:sz="4" w:space="0" w:color="B3B3B3"/>
            </w:tcBorders>
            <w:shd w:val="clear" w:color="000000" w:fill="auto"/>
            <w:noWrap/>
            <w:vAlign w:val="bottom"/>
            <w:hideMark/>
          </w:tcPr>
          <w:p w14:paraId="012E7D3C" w14:textId="5DF64496" w:rsidR="00BC1539" w:rsidRPr="00652B93" w:rsidRDefault="00BC1539" w:rsidP="009B72F2">
            <w:pPr>
              <w:spacing w:before="45" w:after="45" w:line="240" w:lineRule="auto"/>
              <w:ind w:left="57" w:right="108"/>
              <w:jc w:val="right"/>
              <w:rPr>
                <w:rFonts w:eastAsia="Times New Roman" w:cs="Open Sans"/>
                <w:b/>
                <w:bCs/>
                <w:color w:val="1D4374"/>
                <w:sz w:val="18"/>
                <w:szCs w:val="18"/>
                <w:lang w:eastAsia="en-AU"/>
              </w:rPr>
            </w:pPr>
            <w:r w:rsidRPr="00652B93">
              <w:rPr>
                <w:rFonts w:eastAsia="Times New Roman" w:cs="Open Sans"/>
                <w:b/>
                <w:bCs/>
                <w:color w:val="1D4374"/>
                <w:sz w:val="18"/>
                <w:szCs w:val="18"/>
                <w:lang w:eastAsia="en-AU"/>
              </w:rPr>
              <w:t>2022</w:t>
            </w:r>
            <w:r w:rsidR="00607CD0">
              <w:rPr>
                <w:rFonts w:eastAsia="Times New Roman" w:cs="Open Sans"/>
                <w:b/>
                <w:bCs/>
                <w:color w:val="1D4374"/>
                <w:sz w:val="18"/>
                <w:lang w:eastAsia="en-AU"/>
              </w:rPr>
              <w:t>–</w:t>
            </w:r>
            <w:r w:rsidRPr="00652B93">
              <w:rPr>
                <w:rFonts w:eastAsia="Times New Roman" w:cs="Open Sans"/>
                <w:b/>
                <w:bCs/>
                <w:color w:val="1D4374"/>
                <w:sz w:val="18"/>
                <w:szCs w:val="18"/>
                <w:lang w:eastAsia="en-AU"/>
              </w:rPr>
              <w:t>23</w:t>
            </w:r>
          </w:p>
        </w:tc>
        <w:tc>
          <w:tcPr>
            <w:tcW w:w="466" w:type="pct"/>
            <w:tcBorders>
              <w:bottom w:val="single" w:sz="4" w:space="0" w:color="B3B3B3"/>
            </w:tcBorders>
            <w:shd w:val="clear" w:color="000000" w:fill="auto"/>
            <w:noWrap/>
            <w:vAlign w:val="bottom"/>
            <w:hideMark/>
          </w:tcPr>
          <w:p w14:paraId="6F870D75" w14:textId="3C4B1732" w:rsidR="00BC1539" w:rsidRPr="00652B93" w:rsidRDefault="00BC1539" w:rsidP="009B72F2">
            <w:pPr>
              <w:spacing w:before="45" w:after="45" w:line="240" w:lineRule="auto"/>
              <w:ind w:left="57" w:right="108"/>
              <w:jc w:val="right"/>
              <w:rPr>
                <w:rFonts w:eastAsia="Times New Roman" w:cs="Open Sans"/>
                <w:b/>
                <w:bCs/>
                <w:color w:val="1D4374"/>
                <w:sz w:val="18"/>
                <w:szCs w:val="18"/>
                <w:lang w:eastAsia="en-AU"/>
              </w:rPr>
            </w:pPr>
            <w:r w:rsidRPr="00652B93">
              <w:rPr>
                <w:rFonts w:eastAsia="Times New Roman" w:cs="Open Sans"/>
                <w:b/>
                <w:bCs/>
                <w:color w:val="1D4374"/>
                <w:sz w:val="18"/>
                <w:szCs w:val="18"/>
                <w:lang w:eastAsia="en-AU"/>
              </w:rPr>
              <w:t>2023</w:t>
            </w:r>
            <w:r w:rsidR="00607CD0">
              <w:rPr>
                <w:rFonts w:eastAsia="Times New Roman" w:cs="Open Sans"/>
                <w:b/>
                <w:bCs/>
                <w:color w:val="1D4374"/>
                <w:sz w:val="18"/>
                <w:lang w:eastAsia="en-AU"/>
              </w:rPr>
              <w:t>–</w:t>
            </w:r>
            <w:r w:rsidRPr="00652B93">
              <w:rPr>
                <w:rFonts w:eastAsia="Times New Roman" w:cs="Open Sans"/>
                <w:b/>
                <w:bCs/>
                <w:color w:val="1D4374"/>
                <w:sz w:val="18"/>
                <w:szCs w:val="18"/>
                <w:lang w:eastAsia="en-AU"/>
              </w:rPr>
              <w:t>24</w:t>
            </w:r>
          </w:p>
        </w:tc>
        <w:tc>
          <w:tcPr>
            <w:tcW w:w="466" w:type="pct"/>
            <w:tcBorders>
              <w:bottom w:val="single" w:sz="4" w:space="0" w:color="B3B3B3"/>
            </w:tcBorders>
            <w:shd w:val="clear" w:color="000000" w:fill="auto"/>
            <w:noWrap/>
            <w:vAlign w:val="bottom"/>
            <w:hideMark/>
          </w:tcPr>
          <w:p w14:paraId="2B1C3738" w14:textId="24F7D41E" w:rsidR="00BC1539" w:rsidRPr="00652B93" w:rsidRDefault="00BC1539" w:rsidP="009B72F2">
            <w:pPr>
              <w:spacing w:before="45" w:after="45" w:line="240" w:lineRule="auto"/>
              <w:ind w:left="57" w:right="108"/>
              <w:jc w:val="right"/>
              <w:rPr>
                <w:rFonts w:eastAsia="Times New Roman" w:cs="Open Sans"/>
                <w:b/>
                <w:bCs/>
                <w:color w:val="1D4374"/>
                <w:sz w:val="18"/>
                <w:szCs w:val="18"/>
                <w:lang w:eastAsia="en-AU"/>
              </w:rPr>
            </w:pPr>
            <w:r w:rsidRPr="00652B93">
              <w:rPr>
                <w:rFonts w:eastAsia="Times New Roman" w:cs="Open Sans"/>
                <w:b/>
                <w:bCs/>
                <w:color w:val="1D4374"/>
                <w:sz w:val="18"/>
                <w:szCs w:val="18"/>
                <w:lang w:eastAsia="en-AU"/>
              </w:rPr>
              <w:t>2024</w:t>
            </w:r>
            <w:r w:rsidR="00607CD0">
              <w:rPr>
                <w:rFonts w:eastAsia="Times New Roman" w:cs="Open Sans"/>
                <w:b/>
                <w:bCs/>
                <w:color w:val="1D4374"/>
                <w:sz w:val="18"/>
                <w:lang w:eastAsia="en-AU"/>
              </w:rPr>
              <w:t>–</w:t>
            </w:r>
            <w:r w:rsidRPr="00652B93">
              <w:rPr>
                <w:rFonts w:eastAsia="Times New Roman" w:cs="Open Sans"/>
                <w:b/>
                <w:bCs/>
                <w:color w:val="1D4374"/>
                <w:sz w:val="18"/>
                <w:szCs w:val="18"/>
                <w:lang w:eastAsia="en-AU"/>
              </w:rPr>
              <w:t>25</w:t>
            </w:r>
          </w:p>
        </w:tc>
      </w:tr>
      <w:tr w:rsidR="00BC1539" w:rsidRPr="00652B93" w14:paraId="38377F58" w14:textId="77777777" w:rsidTr="008F0041">
        <w:trPr>
          <w:trHeight w:val="264"/>
        </w:trPr>
        <w:tc>
          <w:tcPr>
            <w:tcW w:w="809" w:type="pct"/>
            <w:tcBorders>
              <w:top w:val="single" w:sz="4" w:space="0" w:color="B3B3B3"/>
              <w:bottom w:val="nil"/>
            </w:tcBorders>
            <w:shd w:val="clear" w:color="000000" w:fill="E6E6E6"/>
            <w:noWrap/>
            <w:vAlign w:val="center"/>
            <w:hideMark/>
          </w:tcPr>
          <w:p w14:paraId="4DCD6840" w14:textId="77777777" w:rsidR="00BC1539" w:rsidRPr="00EF6974" w:rsidRDefault="00BC1539">
            <w:pPr>
              <w:spacing w:before="45" w:after="45" w:line="240" w:lineRule="auto"/>
              <w:ind w:left="57" w:right="108"/>
              <w:rPr>
                <w:rFonts w:eastAsia="Times New Roman" w:cs="Open Sans"/>
                <w:b/>
                <w:bCs/>
                <w:color w:val="1D4374"/>
                <w:spacing w:val="-4"/>
                <w:sz w:val="18"/>
                <w:szCs w:val="18"/>
                <w:lang w:eastAsia="en-AU"/>
              </w:rPr>
            </w:pPr>
            <w:r w:rsidRPr="00EF6974">
              <w:rPr>
                <w:rFonts w:eastAsia="Times New Roman" w:cs="Open Sans"/>
                <w:b/>
                <w:bCs/>
                <w:color w:val="1D4374"/>
                <w:spacing w:val="-4"/>
                <w:sz w:val="18"/>
                <w:szCs w:val="18"/>
                <w:lang w:eastAsia="en-AU"/>
              </w:rPr>
              <w:t>Cost of sales, conservative population ($m)</w:t>
            </w:r>
          </w:p>
        </w:tc>
        <w:tc>
          <w:tcPr>
            <w:tcW w:w="465" w:type="pct"/>
            <w:tcBorders>
              <w:top w:val="single" w:sz="4" w:space="0" w:color="B3B3B3"/>
              <w:bottom w:val="nil"/>
            </w:tcBorders>
            <w:shd w:val="clear" w:color="000000" w:fill="E6E6E6"/>
            <w:noWrap/>
            <w:vAlign w:val="center"/>
            <w:hideMark/>
          </w:tcPr>
          <w:p w14:paraId="5C252CCD" w14:textId="77777777" w:rsidR="00BC1539" w:rsidRPr="00CA3035" w:rsidRDefault="00BC1539" w:rsidP="009B72F2">
            <w:pPr>
              <w:spacing w:before="45" w:after="45" w:line="240" w:lineRule="auto"/>
              <w:ind w:left="57" w:right="108"/>
              <w:jc w:val="right"/>
              <w:rPr>
                <w:rFonts w:eastAsia="Times New Roman" w:cs="Open Sans"/>
                <w:color w:val="000000"/>
                <w:sz w:val="18"/>
                <w:szCs w:val="18"/>
                <w:lang w:eastAsia="en-AU"/>
              </w:rPr>
            </w:pPr>
            <w:r>
              <w:rPr>
                <w:rFonts w:eastAsia="Times New Roman" w:cs="Open Sans"/>
                <w:color w:val="000000"/>
                <w:sz w:val="18"/>
                <w:szCs w:val="18"/>
                <w:lang w:eastAsia="en-AU"/>
              </w:rPr>
              <w:t xml:space="preserve"> </w:t>
            </w:r>
            <w:r w:rsidRPr="001B0481">
              <w:rPr>
                <w:rFonts w:eastAsia="Times New Roman" w:cs="Open Sans"/>
                <w:color w:val="000000"/>
                <w:sz w:val="18"/>
                <w:szCs w:val="18"/>
                <w:lang w:eastAsia="en-AU"/>
              </w:rPr>
              <w:t xml:space="preserve">$2,084 </w:t>
            </w:r>
          </w:p>
        </w:tc>
        <w:tc>
          <w:tcPr>
            <w:tcW w:w="466" w:type="pct"/>
            <w:tcBorders>
              <w:top w:val="single" w:sz="4" w:space="0" w:color="B3B3B3"/>
              <w:bottom w:val="nil"/>
            </w:tcBorders>
            <w:shd w:val="clear" w:color="000000" w:fill="E6E6E6"/>
            <w:noWrap/>
            <w:vAlign w:val="center"/>
            <w:hideMark/>
          </w:tcPr>
          <w:p w14:paraId="19348E3D" w14:textId="77777777" w:rsidR="00BC1539" w:rsidRPr="00CA3035" w:rsidRDefault="00BC1539" w:rsidP="009B72F2">
            <w:pPr>
              <w:spacing w:before="45" w:after="45" w:line="240" w:lineRule="auto"/>
              <w:ind w:left="57" w:right="108"/>
              <w:jc w:val="right"/>
              <w:rPr>
                <w:rFonts w:eastAsia="Times New Roman" w:cs="Open Sans"/>
                <w:color w:val="000000"/>
                <w:sz w:val="18"/>
                <w:szCs w:val="18"/>
                <w:lang w:eastAsia="en-AU"/>
              </w:rPr>
            </w:pPr>
            <w:r w:rsidRPr="001B0481">
              <w:rPr>
                <w:rFonts w:eastAsia="Times New Roman" w:cs="Open Sans"/>
                <w:color w:val="000000"/>
                <w:sz w:val="18"/>
                <w:szCs w:val="18"/>
                <w:lang w:eastAsia="en-AU"/>
              </w:rPr>
              <w:t xml:space="preserve"> $2,548 </w:t>
            </w:r>
          </w:p>
        </w:tc>
        <w:tc>
          <w:tcPr>
            <w:tcW w:w="465" w:type="pct"/>
            <w:tcBorders>
              <w:top w:val="single" w:sz="4" w:space="0" w:color="B3B3B3"/>
              <w:bottom w:val="nil"/>
            </w:tcBorders>
            <w:shd w:val="clear" w:color="000000" w:fill="E6E6E6"/>
            <w:noWrap/>
            <w:vAlign w:val="center"/>
            <w:hideMark/>
          </w:tcPr>
          <w:p w14:paraId="104184DE" w14:textId="77777777" w:rsidR="00BC1539" w:rsidRPr="00CA3035" w:rsidRDefault="00BC1539" w:rsidP="009B72F2">
            <w:pPr>
              <w:spacing w:before="45" w:after="45" w:line="240" w:lineRule="auto"/>
              <w:ind w:left="57" w:right="108"/>
              <w:jc w:val="right"/>
              <w:rPr>
                <w:rFonts w:eastAsia="Times New Roman" w:cs="Open Sans"/>
                <w:color w:val="000000"/>
                <w:sz w:val="18"/>
                <w:szCs w:val="18"/>
                <w:lang w:eastAsia="en-AU"/>
              </w:rPr>
            </w:pPr>
            <w:r w:rsidRPr="001B0481">
              <w:rPr>
                <w:rFonts w:eastAsia="Times New Roman" w:cs="Open Sans"/>
                <w:color w:val="000000"/>
                <w:sz w:val="18"/>
                <w:szCs w:val="18"/>
                <w:lang w:eastAsia="en-AU"/>
              </w:rPr>
              <w:t xml:space="preserve"> $2,888 </w:t>
            </w:r>
          </w:p>
        </w:tc>
        <w:tc>
          <w:tcPr>
            <w:tcW w:w="466" w:type="pct"/>
            <w:tcBorders>
              <w:top w:val="single" w:sz="4" w:space="0" w:color="B3B3B3"/>
              <w:bottom w:val="nil"/>
            </w:tcBorders>
            <w:shd w:val="clear" w:color="000000" w:fill="E6E6E6"/>
            <w:noWrap/>
            <w:vAlign w:val="center"/>
            <w:hideMark/>
          </w:tcPr>
          <w:p w14:paraId="3C92EFCC" w14:textId="77777777" w:rsidR="00BC1539" w:rsidRPr="00CA3035" w:rsidRDefault="00BC1539" w:rsidP="009B72F2">
            <w:pPr>
              <w:spacing w:before="45" w:after="45" w:line="240" w:lineRule="auto"/>
              <w:ind w:left="57" w:right="108"/>
              <w:jc w:val="right"/>
              <w:rPr>
                <w:rFonts w:eastAsia="Times New Roman" w:cs="Open Sans"/>
                <w:color w:val="000000"/>
                <w:sz w:val="18"/>
                <w:szCs w:val="18"/>
                <w:lang w:eastAsia="en-AU"/>
              </w:rPr>
            </w:pPr>
            <w:r w:rsidRPr="001B0481">
              <w:rPr>
                <w:rFonts w:eastAsia="Times New Roman" w:cs="Open Sans"/>
                <w:color w:val="000000"/>
                <w:sz w:val="18"/>
                <w:szCs w:val="18"/>
                <w:lang w:eastAsia="en-AU"/>
              </w:rPr>
              <w:t xml:space="preserve"> $2,997 </w:t>
            </w:r>
          </w:p>
        </w:tc>
        <w:tc>
          <w:tcPr>
            <w:tcW w:w="465" w:type="pct"/>
            <w:tcBorders>
              <w:top w:val="single" w:sz="4" w:space="0" w:color="B3B3B3"/>
              <w:bottom w:val="nil"/>
            </w:tcBorders>
            <w:shd w:val="clear" w:color="000000" w:fill="E6E6E6"/>
            <w:noWrap/>
            <w:vAlign w:val="center"/>
            <w:hideMark/>
          </w:tcPr>
          <w:p w14:paraId="6C0632F5" w14:textId="77777777" w:rsidR="00BC1539" w:rsidRPr="00CA3035" w:rsidRDefault="00BC1539" w:rsidP="009B72F2">
            <w:pPr>
              <w:spacing w:before="45" w:after="45" w:line="240" w:lineRule="auto"/>
              <w:ind w:left="57" w:right="108"/>
              <w:jc w:val="right"/>
              <w:rPr>
                <w:rFonts w:eastAsia="Times New Roman" w:cs="Open Sans"/>
                <w:color w:val="000000"/>
                <w:sz w:val="18"/>
                <w:szCs w:val="18"/>
                <w:lang w:eastAsia="en-AU"/>
              </w:rPr>
            </w:pPr>
            <w:r w:rsidRPr="001B0481">
              <w:rPr>
                <w:rFonts w:eastAsia="Times New Roman" w:cs="Open Sans"/>
                <w:color w:val="000000"/>
                <w:sz w:val="18"/>
                <w:szCs w:val="18"/>
                <w:lang w:eastAsia="en-AU"/>
              </w:rPr>
              <w:t xml:space="preserve"> $3,070 </w:t>
            </w:r>
          </w:p>
        </w:tc>
        <w:tc>
          <w:tcPr>
            <w:tcW w:w="466" w:type="pct"/>
            <w:tcBorders>
              <w:top w:val="single" w:sz="4" w:space="0" w:color="B3B3B3"/>
              <w:bottom w:val="nil"/>
            </w:tcBorders>
            <w:shd w:val="clear" w:color="000000" w:fill="E6E6E6"/>
            <w:noWrap/>
            <w:vAlign w:val="center"/>
            <w:hideMark/>
          </w:tcPr>
          <w:p w14:paraId="44DDD6A4" w14:textId="77777777" w:rsidR="00BC1539" w:rsidRPr="00CA3035" w:rsidRDefault="00BC1539" w:rsidP="009B72F2">
            <w:pPr>
              <w:spacing w:before="45" w:after="45" w:line="240" w:lineRule="auto"/>
              <w:ind w:left="57" w:right="108"/>
              <w:jc w:val="right"/>
              <w:rPr>
                <w:rFonts w:eastAsia="Times New Roman" w:cs="Open Sans"/>
                <w:color w:val="000000"/>
                <w:sz w:val="18"/>
                <w:szCs w:val="18"/>
                <w:lang w:eastAsia="en-AU"/>
              </w:rPr>
            </w:pPr>
            <w:r w:rsidRPr="001B0481">
              <w:rPr>
                <w:rFonts w:eastAsia="Times New Roman" w:cs="Open Sans"/>
                <w:color w:val="000000"/>
                <w:sz w:val="18"/>
                <w:szCs w:val="18"/>
                <w:lang w:eastAsia="en-AU"/>
              </w:rPr>
              <w:t xml:space="preserve"> $3,582 </w:t>
            </w:r>
          </w:p>
        </w:tc>
        <w:tc>
          <w:tcPr>
            <w:tcW w:w="465" w:type="pct"/>
            <w:tcBorders>
              <w:top w:val="single" w:sz="4" w:space="0" w:color="B3B3B3"/>
              <w:bottom w:val="nil"/>
            </w:tcBorders>
            <w:shd w:val="clear" w:color="000000" w:fill="E6E6E6"/>
            <w:noWrap/>
            <w:vAlign w:val="center"/>
            <w:hideMark/>
          </w:tcPr>
          <w:p w14:paraId="0D803250" w14:textId="77777777" w:rsidR="00BC1539" w:rsidRPr="00CA3035" w:rsidRDefault="00BC1539" w:rsidP="009B72F2">
            <w:pPr>
              <w:spacing w:before="45" w:after="45" w:line="240" w:lineRule="auto"/>
              <w:ind w:left="57" w:right="108"/>
              <w:jc w:val="right"/>
              <w:rPr>
                <w:rFonts w:eastAsia="Times New Roman" w:cs="Open Sans"/>
                <w:color w:val="000000"/>
                <w:sz w:val="18"/>
                <w:szCs w:val="18"/>
                <w:lang w:eastAsia="en-AU"/>
              </w:rPr>
            </w:pPr>
            <w:r w:rsidRPr="001B0481">
              <w:rPr>
                <w:rFonts w:eastAsia="Times New Roman" w:cs="Open Sans"/>
                <w:color w:val="000000"/>
                <w:sz w:val="18"/>
                <w:szCs w:val="18"/>
                <w:lang w:eastAsia="en-AU"/>
              </w:rPr>
              <w:t xml:space="preserve"> $4,217 </w:t>
            </w:r>
          </w:p>
        </w:tc>
        <w:tc>
          <w:tcPr>
            <w:tcW w:w="466" w:type="pct"/>
            <w:tcBorders>
              <w:top w:val="single" w:sz="4" w:space="0" w:color="B3B3B3"/>
              <w:bottom w:val="nil"/>
            </w:tcBorders>
            <w:shd w:val="clear" w:color="000000" w:fill="E6E6E6"/>
            <w:noWrap/>
            <w:vAlign w:val="center"/>
            <w:hideMark/>
          </w:tcPr>
          <w:p w14:paraId="0A16EDA6" w14:textId="77777777" w:rsidR="00BC1539" w:rsidRPr="00CA3035" w:rsidRDefault="00BC1539" w:rsidP="009B72F2">
            <w:pPr>
              <w:spacing w:before="45" w:after="45" w:line="240" w:lineRule="auto"/>
              <w:ind w:left="57" w:right="108"/>
              <w:jc w:val="right"/>
              <w:rPr>
                <w:rFonts w:eastAsia="Times New Roman" w:cs="Open Sans"/>
                <w:color w:val="000000"/>
                <w:sz w:val="18"/>
                <w:szCs w:val="18"/>
                <w:lang w:eastAsia="en-AU"/>
              </w:rPr>
            </w:pPr>
            <w:r w:rsidRPr="001B0481">
              <w:rPr>
                <w:rFonts w:eastAsia="Times New Roman" w:cs="Open Sans"/>
                <w:color w:val="000000"/>
                <w:sz w:val="18"/>
                <w:szCs w:val="18"/>
                <w:lang w:eastAsia="en-AU"/>
              </w:rPr>
              <w:t xml:space="preserve"> $4,345 </w:t>
            </w:r>
          </w:p>
        </w:tc>
        <w:tc>
          <w:tcPr>
            <w:tcW w:w="466" w:type="pct"/>
            <w:tcBorders>
              <w:top w:val="single" w:sz="4" w:space="0" w:color="B3B3B3"/>
              <w:bottom w:val="nil"/>
            </w:tcBorders>
            <w:shd w:val="clear" w:color="000000" w:fill="E6E6E6"/>
            <w:noWrap/>
            <w:vAlign w:val="center"/>
            <w:hideMark/>
          </w:tcPr>
          <w:p w14:paraId="2CA7B0D4" w14:textId="77777777" w:rsidR="00BC1539" w:rsidRPr="00CA3035" w:rsidRDefault="00BC1539" w:rsidP="009B72F2">
            <w:pPr>
              <w:spacing w:before="45" w:after="45" w:line="240" w:lineRule="auto"/>
              <w:ind w:left="57" w:right="108"/>
              <w:jc w:val="right"/>
              <w:rPr>
                <w:rFonts w:eastAsia="Times New Roman" w:cs="Open Sans"/>
                <w:color w:val="000000"/>
                <w:sz w:val="18"/>
                <w:szCs w:val="18"/>
                <w:lang w:eastAsia="en-AU"/>
              </w:rPr>
            </w:pPr>
            <w:r w:rsidRPr="001B0481">
              <w:rPr>
                <w:rFonts w:eastAsia="Times New Roman" w:cs="Open Sans"/>
                <w:color w:val="000000"/>
                <w:sz w:val="18"/>
                <w:szCs w:val="18"/>
                <w:lang w:eastAsia="en-AU"/>
              </w:rPr>
              <w:t xml:space="preserve"> $4,576 </w:t>
            </w:r>
          </w:p>
        </w:tc>
      </w:tr>
      <w:tr w:rsidR="00BC1539" w:rsidRPr="00652B93" w14:paraId="03BD85C4" w14:textId="77777777" w:rsidTr="008F0041">
        <w:trPr>
          <w:trHeight w:val="264"/>
        </w:trPr>
        <w:tc>
          <w:tcPr>
            <w:tcW w:w="809" w:type="pct"/>
            <w:tcBorders>
              <w:top w:val="nil"/>
              <w:bottom w:val="nil"/>
            </w:tcBorders>
            <w:shd w:val="clear" w:color="000000" w:fill="auto"/>
            <w:noWrap/>
            <w:vAlign w:val="center"/>
            <w:hideMark/>
          </w:tcPr>
          <w:p w14:paraId="441D3400" w14:textId="77777777" w:rsidR="00BC1539" w:rsidRPr="00EF6974" w:rsidRDefault="00BC1539">
            <w:pPr>
              <w:spacing w:before="45" w:after="45" w:line="240" w:lineRule="auto"/>
              <w:ind w:left="57" w:right="108"/>
              <w:rPr>
                <w:rFonts w:eastAsia="Times New Roman" w:cs="Open Sans"/>
                <w:b/>
                <w:bCs/>
                <w:color w:val="1D4374"/>
                <w:spacing w:val="-4"/>
                <w:sz w:val="18"/>
                <w:szCs w:val="18"/>
                <w:lang w:eastAsia="en-AU"/>
              </w:rPr>
            </w:pPr>
            <w:r w:rsidRPr="00EF6974">
              <w:rPr>
                <w:rFonts w:eastAsia="Times New Roman" w:cs="Open Sans"/>
                <w:b/>
                <w:bCs/>
                <w:color w:val="1D4374"/>
                <w:spacing w:val="-4"/>
                <w:sz w:val="18"/>
                <w:szCs w:val="18"/>
                <w:lang w:eastAsia="en-AU"/>
              </w:rPr>
              <w:t>Cost of sales, expanded population ($m)</w:t>
            </w:r>
          </w:p>
        </w:tc>
        <w:tc>
          <w:tcPr>
            <w:tcW w:w="465" w:type="pct"/>
            <w:tcBorders>
              <w:top w:val="nil"/>
              <w:bottom w:val="nil"/>
            </w:tcBorders>
            <w:shd w:val="clear" w:color="000000" w:fill="auto"/>
            <w:noWrap/>
            <w:vAlign w:val="center"/>
            <w:hideMark/>
          </w:tcPr>
          <w:p w14:paraId="2F60C675" w14:textId="77777777" w:rsidR="00BC1539" w:rsidRPr="00652B93" w:rsidRDefault="00BC1539" w:rsidP="009B72F2">
            <w:pPr>
              <w:spacing w:before="45" w:after="45" w:line="240" w:lineRule="auto"/>
              <w:ind w:left="57" w:right="108"/>
              <w:jc w:val="right"/>
              <w:rPr>
                <w:rFonts w:eastAsia="Times New Roman" w:cs="Open Sans"/>
                <w:color w:val="000000"/>
                <w:sz w:val="18"/>
                <w:szCs w:val="18"/>
                <w:lang w:eastAsia="en-AU"/>
              </w:rPr>
            </w:pPr>
            <w:r w:rsidRPr="001B0481">
              <w:rPr>
                <w:rFonts w:eastAsia="Times New Roman" w:cs="Open Sans"/>
                <w:color w:val="000000"/>
                <w:sz w:val="18"/>
                <w:szCs w:val="18"/>
                <w:lang w:eastAsia="en-AU"/>
              </w:rPr>
              <w:t xml:space="preserve"> $3,340 </w:t>
            </w:r>
          </w:p>
        </w:tc>
        <w:tc>
          <w:tcPr>
            <w:tcW w:w="466" w:type="pct"/>
            <w:tcBorders>
              <w:top w:val="nil"/>
              <w:bottom w:val="nil"/>
            </w:tcBorders>
            <w:shd w:val="clear" w:color="000000" w:fill="auto"/>
            <w:noWrap/>
            <w:vAlign w:val="center"/>
            <w:hideMark/>
          </w:tcPr>
          <w:p w14:paraId="2EAA43E8" w14:textId="77777777" w:rsidR="00BC1539" w:rsidRPr="00652B93" w:rsidRDefault="00BC1539" w:rsidP="009B72F2">
            <w:pPr>
              <w:spacing w:before="45" w:after="45" w:line="240" w:lineRule="auto"/>
              <w:ind w:left="57" w:right="108"/>
              <w:jc w:val="right"/>
              <w:rPr>
                <w:rFonts w:eastAsia="Times New Roman" w:cs="Open Sans"/>
                <w:color w:val="000000"/>
                <w:sz w:val="18"/>
                <w:szCs w:val="18"/>
                <w:lang w:eastAsia="en-AU"/>
              </w:rPr>
            </w:pPr>
            <w:r w:rsidRPr="001B0481">
              <w:rPr>
                <w:rFonts w:eastAsia="Times New Roman" w:cs="Open Sans"/>
                <w:color w:val="000000"/>
                <w:sz w:val="18"/>
                <w:szCs w:val="18"/>
                <w:lang w:eastAsia="en-AU"/>
              </w:rPr>
              <w:t xml:space="preserve"> $3,691 </w:t>
            </w:r>
          </w:p>
        </w:tc>
        <w:tc>
          <w:tcPr>
            <w:tcW w:w="465" w:type="pct"/>
            <w:tcBorders>
              <w:top w:val="nil"/>
              <w:bottom w:val="nil"/>
            </w:tcBorders>
            <w:shd w:val="clear" w:color="000000" w:fill="auto"/>
            <w:noWrap/>
            <w:vAlign w:val="center"/>
            <w:hideMark/>
          </w:tcPr>
          <w:p w14:paraId="54FBE71C" w14:textId="77777777" w:rsidR="00BC1539" w:rsidRPr="00652B93" w:rsidRDefault="00BC1539" w:rsidP="009B72F2">
            <w:pPr>
              <w:spacing w:before="45" w:after="45" w:line="240" w:lineRule="auto"/>
              <w:ind w:left="57" w:right="108"/>
              <w:jc w:val="right"/>
              <w:rPr>
                <w:rFonts w:eastAsia="Times New Roman" w:cs="Open Sans"/>
                <w:color w:val="000000"/>
                <w:sz w:val="18"/>
                <w:szCs w:val="18"/>
                <w:lang w:eastAsia="en-AU"/>
              </w:rPr>
            </w:pPr>
            <w:r w:rsidRPr="001B0481">
              <w:rPr>
                <w:rFonts w:eastAsia="Times New Roman" w:cs="Open Sans"/>
                <w:color w:val="000000"/>
                <w:sz w:val="18"/>
                <w:szCs w:val="18"/>
                <w:lang w:eastAsia="en-AU"/>
              </w:rPr>
              <w:t xml:space="preserve"> $4,468 </w:t>
            </w:r>
          </w:p>
        </w:tc>
        <w:tc>
          <w:tcPr>
            <w:tcW w:w="466" w:type="pct"/>
            <w:tcBorders>
              <w:top w:val="nil"/>
              <w:bottom w:val="nil"/>
            </w:tcBorders>
            <w:shd w:val="clear" w:color="000000" w:fill="auto"/>
            <w:noWrap/>
            <w:vAlign w:val="center"/>
            <w:hideMark/>
          </w:tcPr>
          <w:p w14:paraId="5EDDF01E" w14:textId="77777777" w:rsidR="00BC1539" w:rsidRPr="00652B93" w:rsidRDefault="00BC1539" w:rsidP="009B72F2">
            <w:pPr>
              <w:spacing w:before="45" w:after="45" w:line="240" w:lineRule="auto"/>
              <w:ind w:left="57" w:right="108"/>
              <w:jc w:val="right"/>
              <w:rPr>
                <w:rFonts w:eastAsia="Times New Roman" w:cs="Open Sans"/>
                <w:color w:val="000000"/>
                <w:sz w:val="18"/>
                <w:szCs w:val="18"/>
                <w:lang w:eastAsia="en-AU"/>
              </w:rPr>
            </w:pPr>
            <w:r w:rsidRPr="001B0481">
              <w:rPr>
                <w:rFonts w:eastAsia="Times New Roman" w:cs="Open Sans"/>
                <w:color w:val="000000"/>
                <w:sz w:val="18"/>
                <w:szCs w:val="18"/>
                <w:lang w:eastAsia="en-AU"/>
              </w:rPr>
              <w:t xml:space="preserve"> $4,504 </w:t>
            </w:r>
          </w:p>
        </w:tc>
        <w:tc>
          <w:tcPr>
            <w:tcW w:w="465" w:type="pct"/>
            <w:tcBorders>
              <w:top w:val="nil"/>
              <w:bottom w:val="nil"/>
            </w:tcBorders>
            <w:shd w:val="clear" w:color="000000" w:fill="auto"/>
            <w:noWrap/>
            <w:vAlign w:val="center"/>
            <w:hideMark/>
          </w:tcPr>
          <w:p w14:paraId="03518BAA" w14:textId="77777777" w:rsidR="00BC1539" w:rsidRPr="00652B93" w:rsidRDefault="00BC1539" w:rsidP="009B72F2">
            <w:pPr>
              <w:spacing w:before="45" w:after="45" w:line="240" w:lineRule="auto"/>
              <w:ind w:left="57" w:right="108"/>
              <w:jc w:val="right"/>
              <w:rPr>
                <w:rFonts w:eastAsia="Times New Roman" w:cs="Open Sans"/>
                <w:color w:val="000000"/>
                <w:sz w:val="18"/>
                <w:szCs w:val="18"/>
                <w:lang w:eastAsia="en-AU"/>
              </w:rPr>
            </w:pPr>
            <w:r w:rsidRPr="001B0481">
              <w:rPr>
                <w:rFonts w:eastAsia="Times New Roman" w:cs="Open Sans"/>
                <w:color w:val="000000"/>
                <w:sz w:val="18"/>
                <w:szCs w:val="18"/>
                <w:lang w:eastAsia="en-AU"/>
              </w:rPr>
              <w:t xml:space="preserve"> $4,516 </w:t>
            </w:r>
          </w:p>
        </w:tc>
        <w:tc>
          <w:tcPr>
            <w:tcW w:w="466" w:type="pct"/>
            <w:tcBorders>
              <w:top w:val="nil"/>
              <w:bottom w:val="nil"/>
            </w:tcBorders>
            <w:shd w:val="clear" w:color="000000" w:fill="auto"/>
            <w:noWrap/>
            <w:vAlign w:val="center"/>
            <w:hideMark/>
          </w:tcPr>
          <w:p w14:paraId="6A67A749" w14:textId="77777777" w:rsidR="00BC1539" w:rsidRPr="00652B93" w:rsidRDefault="00BC1539" w:rsidP="009B72F2">
            <w:pPr>
              <w:spacing w:before="45" w:after="45" w:line="240" w:lineRule="auto"/>
              <w:ind w:left="57" w:right="108"/>
              <w:jc w:val="right"/>
              <w:rPr>
                <w:rFonts w:eastAsia="Times New Roman" w:cs="Open Sans"/>
                <w:color w:val="000000"/>
                <w:sz w:val="18"/>
                <w:szCs w:val="18"/>
                <w:lang w:eastAsia="en-AU"/>
              </w:rPr>
            </w:pPr>
            <w:r w:rsidRPr="001B0481">
              <w:rPr>
                <w:rFonts w:eastAsia="Times New Roman" w:cs="Open Sans"/>
                <w:color w:val="000000"/>
                <w:sz w:val="18"/>
                <w:szCs w:val="18"/>
                <w:lang w:eastAsia="en-AU"/>
              </w:rPr>
              <w:t xml:space="preserve"> $5,189 </w:t>
            </w:r>
          </w:p>
        </w:tc>
        <w:tc>
          <w:tcPr>
            <w:tcW w:w="465" w:type="pct"/>
            <w:tcBorders>
              <w:top w:val="nil"/>
              <w:bottom w:val="nil"/>
            </w:tcBorders>
            <w:shd w:val="clear" w:color="000000" w:fill="auto"/>
            <w:noWrap/>
            <w:vAlign w:val="center"/>
            <w:hideMark/>
          </w:tcPr>
          <w:p w14:paraId="25899402" w14:textId="77777777" w:rsidR="00BC1539" w:rsidRPr="00652B93" w:rsidRDefault="00BC1539" w:rsidP="009B72F2">
            <w:pPr>
              <w:spacing w:before="45" w:after="45" w:line="240" w:lineRule="auto"/>
              <w:ind w:left="57" w:right="108"/>
              <w:jc w:val="right"/>
              <w:rPr>
                <w:rFonts w:eastAsia="Times New Roman" w:cs="Open Sans"/>
                <w:color w:val="000000"/>
                <w:sz w:val="18"/>
                <w:szCs w:val="18"/>
                <w:lang w:eastAsia="en-AU"/>
              </w:rPr>
            </w:pPr>
            <w:r w:rsidRPr="001B0481">
              <w:rPr>
                <w:rFonts w:eastAsia="Times New Roman" w:cs="Open Sans"/>
                <w:color w:val="000000"/>
                <w:sz w:val="18"/>
                <w:szCs w:val="18"/>
                <w:lang w:eastAsia="en-AU"/>
              </w:rPr>
              <w:t xml:space="preserve"> $6,339 </w:t>
            </w:r>
          </w:p>
        </w:tc>
        <w:tc>
          <w:tcPr>
            <w:tcW w:w="466" w:type="pct"/>
            <w:tcBorders>
              <w:top w:val="nil"/>
              <w:bottom w:val="nil"/>
            </w:tcBorders>
            <w:shd w:val="clear" w:color="000000" w:fill="auto"/>
            <w:noWrap/>
            <w:vAlign w:val="center"/>
            <w:hideMark/>
          </w:tcPr>
          <w:p w14:paraId="29FFDE34" w14:textId="77777777" w:rsidR="00BC1539" w:rsidRPr="00652B93" w:rsidRDefault="00BC1539" w:rsidP="009B72F2">
            <w:pPr>
              <w:spacing w:before="45" w:after="45" w:line="240" w:lineRule="auto"/>
              <w:ind w:left="57" w:right="108"/>
              <w:jc w:val="right"/>
              <w:rPr>
                <w:rFonts w:eastAsia="Times New Roman" w:cs="Open Sans"/>
                <w:color w:val="000000"/>
                <w:sz w:val="18"/>
                <w:szCs w:val="18"/>
                <w:lang w:eastAsia="en-AU"/>
              </w:rPr>
            </w:pPr>
            <w:r w:rsidRPr="001B0481">
              <w:rPr>
                <w:rFonts w:eastAsia="Times New Roman" w:cs="Open Sans"/>
                <w:color w:val="000000"/>
                <w:sz w:val="18"/>
                <w:szCs w:val="18"/>
                <w:lang w:eastAsia="en-AU"/>
              </w:rPr>
              <w:t xml:space="preserve"> $6,680 </w:t>
            </w:r>
          </w:p>
        </w:tc>
        <w:tc>
          <w:tcPr>
            <w:tcW w:w="466" w:type="pct"/>
            <w:tcBorders>
              <w:top w:val="nil"/>
              <w:bottom w:val="nil"/>
            </w:tcBorders>
            <w:shd w:val="clear" w:color="000000" w:fill="auto"/>
            <w:noWrap/>
            <w:vAlign w:val="center"/>
            <w:hideMark/>
          </w:tcPr>
          <w:p w14:paraId="57FC43AF" w14:textId="77777777" w:rsidR="00BC1539" w:rsidRPr="00652B93" w:rsidRDefault="00BC1539" w:rsidP="009B72F2">
            <w:pPr>
              <w:spacing w:before="45" w:after="45" w:line="240" w:lineRule="auto"/>
              <w:ind w:left="57" w:right="108"/>
              <w:jc w:val="right"/>
              <w:rPr>
                <w:rFonts w:eastAsia="Times New Roman" w:cs="Open Sans"/>
                <w:color w:val="000000"/>
                <w:sz w:val="18"/>
                <w:szCs w:val="18"/>
                <w:lang w:eastAsia="en-AU"/>
              </w:rPr>
            </w:pPr>
            <w:r w:rsidRPr="001B0481">
              <w:rPr>
                <w:rFonts w:eastAsia="Times New Roman" w:cs="Open Sans"/>
                <w:color w:val="000000"/>
                <w:sz w:val="18"/>
                <w:szCs w:val="18"/>
                <w:lang w:eastAsia="en-AU"/>
              </w:rPr>
              <w:t xml:space="preserve"> $6,404 </w:t>
            </w:r>
          </w:p>
        </w:tc>
      </w:tr>
      <w:tr w:rsidR="00BC1539" w:rsidRPr="00652B93" w14:paraId="63B6A379" w14:textId="77777777" w:rsidTr="008F0041">
        <w:trPr>
          <w:trHeight w:val="264"/>
        </w:trPr>
        <w:tc>
          <w:tcPr>
            <w:tcW w:w="809" w:type="pct"/>
            <w:tcBorders>
              <w:bottom w:val="nil"/>
            </w:tcBorders>
            <w:shd w:val="clear" w:color="auto" w:fill="E6E6E6"/>
            <w:noWrap/>
            <w:vAlign w:val="center"/>
            <w:hideMark/>
          </w:tcPr>
          <w:p w14:paraId="18C166FA" w14:textId="77777777" w:rsidR="00BC1539" w:rsidRPr="00652B93" w:rsidRDefault="00BC1539">
            <w:pPr>
              <w:spacing w:before="45" w:after="45" w:line="240" w:lineRule="auto"/>
              <w:ind w:left="57" w:right="108"/>
              <w:rPr>
                <w:rFonts w:eastAsia="Times New Roman" w:cs="Open Sans"/>
                <w:b/>
                <w:bCs/>
                <w:color w:val="1D4374"/>
                <w:sz w:val="18"/>
                <w:szCs w:val="18"/>
                <w:lang w:eastAsia="en-AU"/>
              </w:rPr>
            </w:pPr>
            <w:r w:rsidRPr="00652B93">
              <w:rPr>
                <w:rFonts w:eastAsia="Times New Roman" w:cs="Open Sans"/>
                <w:b/>
                <w:bCs/>
                <w:color w:val="1D4374"/>
                <w:sz w:val="18"/>
                <w:szCs w:val="18"/>
                <w:lang w:eastAsia="en-AU"/>
              </w:rPr>
              <w:t xml:space="preserve">Share of cost </w:t>
            </w:r>
            <w:r>
              <w:rPr>
                <w:rFonts w:eastAsia="Times New Roman" w:cs="Open Sans"/>
                <w:b/>
                <w:bCs/>
                <w:color w:val="1D4374"/>
                <w:sz w:val="18"/>
                <w:szCs w:val="18"/>
                <w:lang w:eastAsia="en-AU"/>
              </w:rPr>
              <w:t>sales</w:t>
            </w:r>
            <w:r w:rsidRPr="00652B93" w:rsidDel="002E7A8E">
              <w:rPr>
                <w:rFonts w:eastAsia="Times New Roman" w:cs="Open Sans"/>
                <w:b/>
                <w:bCs/>
                <w:color w:val="1D4374"/>
                <w:sz w:val="18"/>
                <w:szCs w:val="18"/>
                <w:lang w:eastAsia="en-AU"/>
              </w:rPr>
              <w:t xml:space="preserve"> </w:t>
            </w:r>
            <w:r w:rsidRPr="00652B93">
              <w:rPr>
                <w:rFonts w:eastAsia="Times New Roman" w:cs="Open Sans"/>
                <w:b/>
                <w:bCs/>
                <w:color w:val="1D4374"/>
                <w:sz w:val="18"/>
                <w:szCs w:val="18"/>
                <w:lang w:eastAsia="en-AU"/>
              </w:rPr>
              <w:t>spent on input steel</w:t>
            </w:r>
            <w:r>
              <w:rPr>
                <w:rFonts w:eastAsia="Times New Roman" w:cs="Open Sans"/>
                <w:b/>
                <w:bCs/>
                <w:color w:val="1D4374"/>
                <w:sz w:val="18"/>
                <w:szCs w:val="18"/>
                <w:lang w:eastAsia="en-AU"/>
              </w:rPr>
              <w:t>, conservative population</w:t>
            </w:r>
            <w:r w:rsidRPr="00652B93">
              <w:rPr>
                <w:rFonts w:eastAsia="Times New Roman" w:cs="Open Sans"/>
                <w:b/>
                <w:bCs/>
                <w:color w:val="1D4374"/>
                <w:sz w:val="18"/>
                <w:szCs w:val="18"/>
                <w:lang w:eastAsia="en-AU"/>
              </w:rPr>
              <w:t xml:space="preserve"> (%)</w:t>
            </w:r>
          </w:p>
        </w:tc>
        <w:tc>
          <w:tcPr>
            <w:tcW w:w="465" w:type="pct"/>
            <w:tcBorders>
              <w:top w:val="nil"/>
              <w:left w:val="nil"/>
              <w:bottom w:val="nil"/>
              <w:right w:val="nil"/>
            </w:tcBorders>
            <w:shd w:val="clear" w:color="auto" w:fill="E6E6E6"/>
            <w:noWrap/>
            <w:vAlign w:val="center"/>
            <w:hideMark/>
          </w:tcPr>
          <w:p w14:paraId="4E985631" w14:textId="77777777" w:rsidR="00BC1539" w:rsidRPr="00652B93" w:rsidRDefault="00BC1539" w:rsidP="009B72F2">
            <w:pPr>
              <w:spacing w:before="45" w:after="45" w:line="240" w:lineRule="auto"/>
              <w:ind w:left="57" w:right="108"/>
              <w:jc w:val="right"/>
              <w:rPr>
                <w:rFonts w:eastAsia="Times New Roman" w:cs="Open Sans"/>
                <w:color w:val="000000"/>
                <w:sz w:val="18"/>
                <w:szCs w:val="18"/>
                <w:lang w:eastAsia="en-AU"/>
              </w:rPr>
            </w:pPr>
            <w:r w:rsidRPr="00CB5887">
              <w:rPr>
                <w:rFonts w:eastAsia="Times New Roman" w:cs="Open Sans"/>
                <w:color w:val="000000"/>
                <w:sz w:val="18"/>
                <w:szCs w:val="18"/>
                <w:lang w:eastAsia="en-AU"/>
              </w:rPr>
              <w:t>28%</w:t>
            </w:r>
          </w:p>
        </w:tc>
        <w:tc>
          <w:tcPr>
            <w:tcW w:w="466" w:type="pct"/>
            <w:tcBorders>
              <w:top w:val="nil"/>
              <w:left w:val="nil"/>
              <w:bottom w:val="nil"/>
              <w:right w:val="nil"/>
            </w:tcBorders>
            <w:shd w:val="clear" w:color="auto" w:fill="E6E6E6"/>
            <w:noWrap/>
            <w:vAlign w:val="center"/>
            <w:hideMark/>
          </w:tcPr>
          <w:p w14:paraId="452F79AE" w14:textId="77777777" w:rsidR="00BC1539" w:rsidRPr="00652B93" w:rsidRDefault="00BC1539" w:rsidP="009B72F2">
            <w:pPr>
              <w:spacing w:before="45" w:after="45" w:line="240" w:lineRule="auto"/>
              <w:ind w:left="57" w:right="108"/>
              <w:jc w:val="right"/>
              <w:rPr>
                <w:rFonts w:eastAsia="Times New Roman" w:cs="Open Sans"/>
                <w:color w:val="000000"/>
                <w:sz w:val="18"/>
                <w:szCs w:val="18"/>
                <w:lang w:eastAsia="en-AU"/>
              </w:rPr>
            </w:pPr>
            <w:r w:rsidRPr="00CB5887">
              <w:rPr>
                <w:rFonts w:eastAsia="Times New Roman" w:cs="Open Sans"/>
                <w:color w:val="000000"/>
                <w:sz w:val="18"/>
                <w:szCs w:val="18"/>
                <w:lang w:eastAsia="en-AU"/>
              </w:rPr>
              <w:t>27%</w:t>
            </w:r>
          </w:p>
        </w:tc>
        <w:tc>
          <w:tcPr>
            <w:tcW w:w="465" w:type="pct"/>
            <w:tcBorders>
              <w:top w:val="nil"/>
              <w:left w:val="nil"/>
              <w:bottom w:val="nil"/>
              <w:right w:val="nil"/>
            </w:tcBorders>
            <w:shd w:val="clear" w:color="auto" w:fill="E6E6E6"/>
            <w:noWrap/>
            <w:vAlign w:val="center"/>
            <w:hideMark/>
          </w:tcPr>
          <w:p w14:paraId="495BE6EC" w14:textId="77777777" w:rsidR="00BC1539" w:rsidRPr="00652B93" w:rsidRDefault="00BC1539" w:rsidP="009B72F2">
            <w:pPr>
              <w:spacing w:before="45" w:after="45" w:line="240" w:lineRule="auto"/>
              <w:ind w:left="57" w:right="108"/>
              <w:jc w:val="right"/>
              <w:rPr>
                <w:rFonts w:eastAsia="Times New Roman" w:cs="Open Sans"/>
                <w:color w:val="000000"/>
                <w:sz w:val="18"/>
                <w:szCs w:val="18"/>
                <w:lang w:eastAsia="en-AU"/>
              </w:rPr>
            </w:pPr>
            <w:r w:rsidRPr="00CB5887">
              <w:rPr>
                <w:rFonts w:eastAsia="Times New Roman" w:cs="Open Sans"/>
                <w:color w:val="000000"/>
                <w:sz w:val="18"/>
                <w:szCs w:val="18"/>
                <w:lang w:eastAsia="en-AU"/>
              </w:rPr>
              <w:t>27%</w:t>
            </w:r>
          </w:p>
        </w:tc>
        <w:tc>
          <w:tcPr>
            <w:tcW w:w="466" w:type="pct"/>
            <w:tcBorders>
              <w:top w:val="nil"/>
              <w:left w:val="nil"/>
              <w:bottom w:val="nil"/>
              <w:right w:val="nil"/>
            </w:tcBorders>
            <w:shd w:val="clear" w:color="auto" w:fill="E6E6E6"/>
            <w:noWrap/>
            <w:vAlign w:val="center"/>
            <w:hideMark/>
          </w:tcPr>
          <w:p w14:paraId="65B6B5FD" w14:textId="77777777" w:rsidR="00BC1539" w:rsidRPr="00652B93" w:rsidRDefault="00BC1539" w:rsidP="009B72F2">
            <w:pPr>
              <w:spacing w:before="45" w:after="45" w:line="240" w:lineRule="auto"/>
              <w:ind w:left="57" w:right="108"/>
              <w:jc w:val="right"/>
              <w:rPr>
                <w:rFonts w:eastAsia="Times New Roman" w:cs="Open Sans"/>
                <w:color w:val="000000"/>
                <w:sz w:val="18"/>
                <w:szCs w:val="18"/>
                <w:lang w:eastAsia="en-AU"/>
              </w:rPr>
            </w:pPr>
            <w:r w:rsidRPr="00CB5887">
              <w:rPr>
                <w:rFonts w:eastAsia="Times New Roman" w:cs="Open Sans"/>
                <w:color w:val="000000"/>
                <w:sz w:val="18"/>
                <w:szCs w:val="18"/>
                <w:lang w:eastAsia="en-AU"/>
              </w:rPr>
              <w:t>27%</w:t>
            </w:r>
          </w:p>
        </w:tc>
        <w:tc>
          <w:tcPr>
            <w:tcW w:w="465" w:type="pct"/>
            <w:tcBorders>
              <w:top w:val="nil"/>
              <w:left w:val="nil"/>
              <w:bottom w:val="nil"/>
              <w:right w:val="nil"/>
            </w:tcBorders>
            <w:shd w:val="clear" w:color="auto" w:fill="E6E6E6"/>
            <w:noWrap/>
            <w:vAlign w:val="center"/>
            <w:hideMark/>
          </w:tcPr>
          <w:p w14:paraId="2D7084FA" w14:textId="77777777" w:rsidR="00BC1539" w:rsidRPr="00652B93" w:rsidRDefault="00BC1539" w:rsidP="009B72F2">
            <w:pPr>
              <w:spacing w:before="45" w:after="45" w:line="240" w:lineRule="auto"/>
              <w:ind w:left="57" w:right="108"/>
              <w:jc w:val="right"/>
              <w:rPr>
                <w:rFonts w:eastAsia="Times New Roman" w:cs="Open Sans"/>
                <w:color w:val="000000"/>
                <w:sz w:val="18"/>
                <w:szCs w:val="18"/>
                <w:lang w:eastAsia="en-AU"/>
              </w:rPr>
            </w:pPr>
            <w:r w:rsidRPr="00CB5887">
              <w:rPr>
                <w:rFonts w:eastAsia="Times New Roman" w:cs="Open Sans"/>
                <w:color w:val="000000"/>
                <w:sz w:val="18"/>
                <w:szCs w:val="18"/>
                <w:lang w:eastAsia="en-AU"/>
              </w:rPr>
              <w:t>29%</w:t>
            </w:r>
          </w:p>
        </w:tc>
        <w:tc>
          <w:tcPr>
            <w:tcW w:w="466" w:type="pct"/>
            <w:tcBorders>
              <w:top w:val="nil"/>
              <w:left w:val="nil"/>
              <w:bottom w:val="nil"/>
              <w:right w:val="nil"/>
            </w:tcBorders>
            <w:shd w:val="clear" w:color="auto" w:fill="E6E6E6"/>
            <w:noWrap/>
            <w:vAlign w:val="center"/>
            <w:hideMark/>
          </w:tcPr>
          <w:p w14:paraId="50AA2B08" w14:textId="77777777" w:rsidR="00BC1539" w:rsidRPr="00652B93" w:rsidRDefault="00BC1539" w:rsidP="009B72F2">
            <w:pPr>
              <w:spacing w:before="45" w:after="45" w:line="240" w:lineRule="auto"/>
              <w:ind w:left="57" w:right="108"/>
              <w:jc w:val="right"/>
              <w:rPr>
                <w:rFonts w:eastAsia="Times New Roman" w:cs="Open Sans"/>
                <w:color w:val="000000"/>
                <w:sz w:val="18"/>
                <w:szCs w:val="18"/>
                <w:lang w:eastAsia="en-AU"/>
              </w:rPr>
            </w:pPr>
            <w:r w:rsidRPr="00CB5887">
              <w:rPr>
                <w:rFonts w:eastAsia="Times New Roman" w:cs="Open Sans"/>
                <w:color w:val="000000"/>
                <w:sz w:val="18"/>
                <w:szCs w:val="18"/>
                <w:lang w:eastAsia="en-AU"/>
              </w:rPr>
              <w:t>32%</w:t>
            </w:r>
          </w:p>
        </w:tc>
        <w:tc>
          <w:tcPr>
            <w:tcW w:w="465" w:type="pct"/>
            <w:tcBorders>
              <w:top w:val="nil"/>
              <w:left w:val="nil"/>
              <w:bottom w:val="nil"/>
              <w:right w:val="nil"/>
            </w:tcBorders>
            <w:shd w:val="clear" w:color="auto" w:fill="E6E6E6"/>
            <w:noWrap/>
            <w:vAlign w:val="center"/>
            <w:hideMark/>
          </w:tcPr>
          <w:p w14:paraId="2B41C54C" w14:textId="77777777" w:rsidR="00BC1539" w:rsidRPr="00652B93" w:rsidRDefault="00BC1539" w:rsidP="009B72F2">
            <w:pPr>
              <w:spacing w:before="45" w:after="45" w:line="240" w:lineRule="auto"/>
              <w:ind w:left="57" w:right="108"/>
              <w:jc w:val="right"/>
              <w:rPr>
                <w:rFonts w:eastAsia="Times New Roman" w:cs="Open Sans"/>
                <w:color w:val="000000"/>
                <w:sz w:val="18"/>
                <w:szCs w:val="18"/>
                <w:lang w:eastAsia="en-AU"/>
              </w:rPr>
            </w:pPr>
            <w:r w:rsidRPr="00CB5887">
              <w:rPr>
                <w:rFonts w:eastAsia="Times New Roman" w:cs="Open Sans"/>
                <w:color w:val="000000"/>
                <w:sz w:val="18"/>
                <w:szCs w:val="18"/>
                <w:lang w:eastAsia="en-AU"/>
              </w:rPr>
              <w:t>30%</w:t>
            </w:r>
          </w:p>
        </w:tc>
        <w:tc>
          <w:tcPr>
            <w:tcW w:w="466" w:type="pct"/>
            <w:tcBorders>
              <w:top w:val="nil"/>
              <w:left w:val="nil"/>
              <w:bottom w:val="nil"/>
              <w:right w:val="nil"/>
            </w:tcBorders>
            <w:shd w:val="clear" w:color="auto" w:fill="E6E6E6"/>
            <w:noWrap/>
            <w:vAlign w:val="center"/>
            <w:hideMark/>
          </w:tcPr>
          <w:p w14:paraId="153AC3F6" w14:textId="77777777" w:rsidR="00BC1539" w:rsidRPr="00652B93" w:rsidRDefault="00BC1539" w:rsidP="009B72F2">
            <w:pPr>
              <w:spacing w:before="45" w:after="45" w:line="240" w:lineRule="auto"/>
              <w:ind w:left="57" w:right="108"/>
              <w:jc w:val="right"/>
              <w:rPr>
                <w:rFonts w:eastAsia="Times New Roman" w:cs="Open Sans"/>
                <w:color w:val="000000"/>
                <w:sz w:val="18"/>
                <w:szCs w:val="18"/>
                <w:lang w:eastAsia="en-AU"/>
              </w:rPr>
            </w:pPr>
            <w:r w:rsidRPr="00CB5887">
              <w:rPr>
                <w:rFonts w:eastAsia="Times New Roman" w:cs="Open Sans"/>
                <w:color w:val="000000"/>
                <w:sz w:val="18"/>
                <w:szCs w:val="18"/>
                <w:lang w:eastAsia="en-AU"/>
              </w:rPr>
              <w:t>26%</w:t>
            </w:r>
          </w:p>
        </w:tc>
        <w:tc>
          <w:tcPr>
            <w:tcW w:w="466" w:type="pct"/>
            <w:tcBorders>
              <w:top w:val="nil"/>
              <w:left w:val="nil"/>
              <w:bottom w:val="nil"/>
              <w:right w:val="nil"/>
            </w:tcBorders>
            <w:shd w:val="clear" w:color="auto" w:fill="E6E6E6"/>
            <w:noWrap/>
            <w:vAlign w:val="center"/>
            <w:hideMark/>
          </w:tcPr>
          <w:p w14:paraId="0A7C758F" w14:textId="77777777" w:rsidR="00BC1539" w:rsidRPr="00652B93" w:rsidRDefault="00BC1539" w:rsidP="009B72F2">
            <w:pPr>
              <w:spacing w:before="45" w:after="45" w:line="240" w:lineRule="auto"/>
              <w:ind w:left="57" w:right="108"/>
              <w:jc w:val="right"/>
              <w:rPr>
                <w:rFonts w:eastAsia="Times New Roman" w:cs="Open Sans"/>
                <w:color w:val="000000"/>
                <w:sz w:val="18"/>
                <w:szCs w:val="18"/>
                <w:lang w:eastAsia="en-AU"/>
              </w:rPr>
            </w:pPr>
            <w:r w:rsidRPr="00652B93">
              <w:rPr>
                <w:rFonts w:eastAsia="Times New Roman" w:cs="Open Sans"/>
                <w:color w:val="000000"/>
                <w:sz w:val="18"/>
                <w:szCs w:val="18"/>
                <w:lang w:eastAsia="en-AU"/>
              </w:rPr>
              <w:t>25%</w:t>
            </w:r>
          </w:p>
        </w:tc>
      </w:tr>
      <w:tr w:rsidR="00BC1539" w:rsidRPr="00652B93" w14:paraId="170C6C59" w14:textId="77777777" w:rsidTr="008F0041">
        <w:trPr>
          <w:trHeight w:val="264"/>
        </w:trPr>
        <w:tc>
          <w:tcPr>
            <w:tcW w:w="809" w:type="pct"/>
            <w:tcBorders>
              <w:bottom w:val="nil"/>
            </w:tcBorders>
            <w:noWrap/>
            <w:vAlign w:val="center"/>
          </w:tcPr>
          <w:p w14:paraId="70AA3F75" w14:textId="77777777" w:rsidR="00BC1539" w:rsidRPr="00652B93" w:rsidRDefault="00BC1539" w:rsidP="00011592">
            <w:pPr>
              <w:spacing w:before="45" w:after="45" w:line="240" w:lineRule="auto"/>
              <w:ind w:left="57" w:right="108"/>
              <w:rPr>
                <w:rFonts w:eastAsia="Times New Roman" w:cs="Open Sans"/>
                <w:b/>
                <w:bCs/>
                <w:color w:val="1D4374"/>
                <w:sz w:val="18"/>
                <w:szCs w:val="18"/>
                <w:lang w:eastAsia="en-AU"/>
              </w:rPr>
            </w:pPr>
            <w:r w:rsidRPr="00652B93">
              <w:rPr>
                <w:rFonts w:eastAsia="Times New Roman" w:cs="Open Sans"/>
                <w:b/>
                <w:bCs/>
                <w:color w:val="1D4374"/>
                <w:sz w:val="18"/>
                <w:szCs w:val="18"/>
                <w:lang w:eastAsia="en-AU"/>
              </w:rPr>
              <w:t xml:space="preserve">Share of cost </w:t>
            </w:r>
            <w:r>
              <w:rPr>
                <w:rFonts w:eastAsia="Times New Roman" w:cs="Open Sans"/>
                <w:b/>
                <w:bCs/>
                <w:color w:val="1D4374"/>
                <w:sz w:val="18"/>
                <w:szCs w:val="18"/>
                <w:lang w:eastAsia="en-AU"/>
              </w:rPr>
              <w:t>sales</w:t>
            </w:r>
            <w:r w:rsidRPr="00652B93" w:rsidDel="002E7A8E">
              <w:rPr>
                <w:rFonts w:eastAsia="Times New Roman" w:cs="Open Sans"/>
                <w:b/>
                <w:bCs/>
                <w:color w:val="1D4374"/>
                <w:sz w:val="18"/>
                <w:szCs w:val="18"/>
                <w:lang w:eastAsia="en-AU"/>
              </w:rPr>
              <w:t xml:space="preserve"> </w:t>
            </w:r>
            <w:r w:rsidRPr="00652B93">
              <w:rPr>
                <w:rFonts w:eastAsia="Times New Roman" w:cs="Open Sans"/>
                <w:b/>
                <w:bCs/>
                <w:color w:val="1D4374"/>
                <w:sz w:val="18"/>
                <w:szCs w:val="18"/>
                <w:lang w:eastAsia="en-AU"/>
              </w:rPr>
              <w:t>spent on input steel</w:t>
            </w:r>
            <w:r>
              <w:rPr>
                <w:rFonts w:eastAsia="Times New Roman" w:cs="Open Sans"/>
                <w:b/>
                <w:bCs/>
                <w:color w:val="1D4374"/>
                <w:sz w:val="18"/>
                <w:szCs w:val="18"/>
                <w:lang w:eastAsia="en-AU"/>
              </w:rPr>
              <w:t>, expanded population</w:t>
            </w:r>
            <w:r w:rsidRPr="00652B93">
              <w:rPr>
                <w:rFonts w:eastAsia="Times New Roman" w:cs="Open Sans"/>
                <w:b/>
                <w:bCs/>
                <w:color w:val="1D4374"/>
                <w:sz w:val="18"/>
                <w:szCs w:val="18"/>
                <w:lang w:eastAsia="en-AU"/>
              </w:rPr>
              <w:t xml:space="preserve"> (%)</w:t>
            </w:r>
          </w:p>
        </w:tc>
        <w:tc>
          <w:tcPr>
            <w:tcW w:w="465" w:type="pct"/>
            <w:tcBorders>
              <w:top w:val="nil"/>
              <w:left w:val="nil"/>
              <w:bottom w:val="nil"/>
              <w:right w:val="nil"/>
            </w:tcBorders>
            <w:noWrap/>
            <w:vAlign w:val="center"/>
          </w:tcPr>
          <w:p w14:paraId="4E5157ED" w14:textId="77777777" w:rsidR="00BC1539" w:rsidRPr="001B0481" w:rsidRDefault="00BC1539" w:rsidP="009B72F2">
            <w:pPr>
              <w:spacing w:before="45" w:after="45" w:line="240" w:lineRule="auto"/>
              <w:ind w:left="57" w:right="108"/>
              <w:jc w:val="right"/>
              <w:rPr>
                <w:rFonts w:eastAsia="Times New Roman" w:cs="Open Sans"/>
                <w:color w:val="000000"/>
                <w:sz w:val="18"/>
                <w:szCs w:val="18"/>
                <w:lang w:eastAsia="en-AU"/>
              </w:rPr>
            </w:pPr>
            <w:r>
              <w:rPr>
                <w:rFonts w:cs="Open Sans"/>
                <w:color w:val="000000"/>
                <w:sz w:val="18"/>
                <w:szCs w:val="18"/>
              </w:rPr>
              <w:t>29%</w:t>
            </w:r>
          </w:p>
        </w:tc>
        <w:tc>
          <w:tcPr>
            <w:tcW w:w="466" w:type="pct"/>
            <w:tcBorders>
              <w:top w:val="nil"/>
              <w:left w:val="nil"/>
              <w:bottom w:val="nil"/>
              <w:right w:val="nil"/>
            </w:tcBorders>
            <w:noWrap/>
            <w:vAlign w:val="center"/>
          </w:tcPr>
          <w:p w14:paraId="21A6F2A5" w14:textId="77777777" w:rsidR="00BC1539" w:rsidRPr="001B0481" w:rsidRDefault="00BC1539" w:rsidP="009B72F2">
            <w:pPr>
              <w:spacing w:before="45" w:after="45" w:line="240" w:lineRule="auto"/>
              <w:ind w:left="57" w:right="108"/>
              <w:jc w:val="right"/>
              <w:rPr>
                <w:rFonts w:eastAsia="Times New Roman" w:cs="Open Sans"/>
                <w:color w:val="000000"/>
                <w:sz w:val="18"/>
                <w:szCs w:val="18"/>
                <w:lang w:eastAsia="en-AU"/>
              </w:rPr>
            </w:pPr>
            <w:r>
              <w:rPr>
                <w:rFonts w:cs="Open Sans"/>
                <w:color w:val="000000"/>
                <w:sz w:val="18"/>
                <w:szCs w:val="18"/>
              </w:rPr>
              <w:t>28%</w:t>
            </w:r>
          </w:p>
        </w:tc>
        <w:tc>
          <w:tcPr>
            <w:tcW w:w="465" w:type="pct"/>
            <w:tcBorders>
              <w:top w:val="nil"/>
              <w:left w:val="nil"/>
              <w:bottom w:val="nil"/>
              <w:right w:val="nil"/>
            </w:tcBorders>
            <w:noWrap/>
            <w:vAlign w:val="center"/>
          </w:tcPr>
          <w:p w14:paraId="1CB76BBA" w14:textId="77777777" w:rsidR="00BC1539" w:rsidRPr="001B0481" w:rsidRDefault="00BC1539" w:rsidP="009B72F2">
            <w:pPr>
              <w:spacing w:before="45" w:after="45" w:line="240" w:lineRule="auto"/>
              <w:ind w:left="57" w:right="108"/>
              <w:jc w:val="right"/>
              <w:rPr>
                <w:rFonts w:eastAsia="Times New Roman" w:cs="Open Sans"/>
                <w:color w:val="000000"/>
                <w:sz w:val="18"/>
                <w:szCs w:val="18"/>
                <w:lang w:eastAsia="en-AU"/>
              </w:rPr>
            </w:pPr>
            <w:r>
              <w:rPr>
                <w:rFonts w:cs="Open Sans"/>
                <w:color w:val="000000"/>
                <w:sz w:val="18"/>
                <w:szCs w:val="18"/>
              </w:rPr>
              <w:t>27%</w:t>
            </w:r>
          </w:p>
        </w:tc>
        <w:tc>
          <w:tcPr>
            <w:tcW w:w="466" w:type="pct"/>
            <w:tcBorders>
              <w:top w:val="nil"/>
              <w:left w:val="nil"/>
              <w:bottom w:val="nil"/>
              <w:right w:val="nil"/>
            </w:tcBorders>
            <w:noWrap/>
            <w:vAlign w:val="center"/>
          </w:tcPr>
          <w:p w14:paraId="43AC727F" w14:textId="77777777" w:rsidR="00BC1539" w:rsidRPr="001B0481" w:rsidRDefault="00BC1539" w:rsidP="009B72F2">
            <w:pPr>
              <w:spacing w:before="45" w:after="45" w:line="240" w:lineRule="auto"/>
              <w:ind w:left="57" w:right="108"/>
              <w:jc w:val="right"/>
              <w:rPr>
                <w:rFonts w:eastAsia="Times New Roman" w:cs="Open Sans"/>
                <w:color w:val="000000"/>
                <w:sz w:val="18"/>
                <w:szCs w:val="18"/>
                <w:lang w:eastAsia="en-AU"/>
              </w:rPr>
            </w:pPr>
            <w:r>
              <w:rPr>
                <w:rFonts w:cs="Open Sans"/>
                <w:color w:val="000000"/>
                <w:sz w:val="18"/>
                <w:szCs w:val="18"/>
              </w:rPr>
              <w:t>27%</w:t>
            </w:r>
          </w:p>
        </w:tc>
        <w:tc>
          <w:tcPr>
            <w:tcW w:w="465" w:type="pct"/>
            <w:tcBorders>
              <w:top w:val="nil"/>
              <w:left w:val="nil"/>
              <w:bottom w:val="nil"/>
              <w:right w:val="nil"/>
            </w:tcBorders>
            <w:noWrap/>
            <w:vAlign w:val="center"/>
          </w:tcPr>
          <w:p w14:paraId="49B14741" w14:textId="77777777" w:rsidR="00BC1539" w:rsidRPr="001B0481" w:rsidRDefault="00BC1539" w:rsidP="009B72F2">
            <w:pPr>
              <w:spacing w:before="45" w:after="45" w:line="240" w:lineRule="auto"/>
              <w:ind w:left="57" w:right="108"/>
              <w:jc w:val="right"/>
              <w:rPr>
                <w:rFonts w:eastAsia="Times New Roman" w:cs="Open Sans"/>
                <w:color w:val="000000"/>
                <w:sz w:val="18"/>
                <w:szCs w:val="18"/>
                <w:lang w:eastAsia="en-AU"/>
              </w:rPr>
            </w:pPr>
            <w:r>
              <w:rPr>
                <w:rFonts w:cs="Open Sans"/>
                <w:color w:val="000000"/>
                <w:sz w:val="18"/>
                <w:szCs w:val="18"/>
              </w:rPr>
              <w:t>29%</w:t>
            </w:r>
          </w:p>
        </w:tc>
        <w:tc>
          <w:tcPr>
            <w:tcW w:w="466" w:type="pct"/>
            <w:tcBorders>
              <w:top w:val="nil"/>
              <w:left w:val="nil"/>
              <w:bottom w:val="nil"/>
              <w:right w:val="nil"/>
            </w:tcBorders>
            <w:noWrap/>
            <w:vAlign w:val="center"/>
          </w:tcPr>
          <w:p w14:paraId="31076FA4" w14:textId="77777777" w:rsidR="00BC1539" w:rsidRPr="001B0481" w:rsidRDefault="00BC1539" w:rsidP="009B72F2">
            <w:pPr>
              <w:spacing w:before="45" w:after="45" w:line="240" w:lineRule="auto"/>
              <w:ind w:left="57" w:right="108"/>
              <w:jc w:val="right"/>
              <w:rPr>
                <w:rFonts w:eastAsia="Times New Roman" w:cs="Open Sans"/>
                <w:color w:val="000000"/>
                <w:sz w:val="18"/>
                <w:szCs w:val="18"/>
                <w:lang w:eastAsia="en-AU"/>
              </w:rPr>
            </w:pPr>
            <w:r>
              <w:rPr>
                <w:rFonts w:cs="Open Sans"/>
                <w:color w:val="000000"/>
                <w:sz w:val="18"/>
                <w:szCs w:val="18"/>
              </w:rPr>
              <w:t>33%</w:t>
            </w:r>
          </w:p>
        </w:tc>
        <w:tc>
          <w:tcPr>
            <w:tcW w:w="465" w:type="pct"/>
            <w:tcBorders>
              <w:top w:val="nil"/>
              <w:left w:val="nil"/>
              <w:bottom w:val="nil"/>
              <w:right w:val="nil"/>
            </w:tcBorders>
            <w:noWrap/>
            <w:vAlign w:val="center"/>
          </w:tcPr>
          <w:p w14:paraId="0552B70E" w14:textId="77777777" w:rsidR="00BC1539" w:rsidRPr="001B0481" w:rsidRDefault="00BC1539" w:rsidP="009B72F2">
            <w:pPr>
              <w:spacing w:before="45" w:after="45" w:line="240" w:lineRule="auto"/>
              <w:ind w:left="57" w:right="108"/>
              <w:jc w:val="right"/>
              <w:rPr>
                <w:rFonts w:eastAsia="Times New Roman" w:cs="Open Sans"/>
                <w:color w:val="000000"/>
                <w:sz w:val="18"/>
                <w:szCs w:val="18"/>
                <w:lang w:eastAsia="en-AU"/>
              </w:rPr>
            </w:pPr>
            <w:r>
              <w:rPr>
                <w:rFonts w:cs="Open Sans"/>
                <w:color w:val="000000"/>
                <w:sz w:val="18"/>
                <w:szCs w:val="18"/>
              </w:rPr>
              <w:t>30%</w:t>
            </w:r>
          </w:p>
        </w:tc>
        <w:tc>
          <w:tcPr>
            <w:tcW w:w="466" w:type="pct"/>
            <w:tcBorders>
              <w:top w:val="nil"/>
              <w:left w:val="nil"/>
              <w:bottom w:val="nil"/>
              <w:right w:val="nil"/>
            </w:tcBorders>
            <w:noWrap/>
            <w:vAlign w:val="center"/>
          </w:tcPr>
          <w:p w14:paraId="51454AB5" w14:textId="77777777" w:rsidR="00BC1539" w:rsidRPr="00652B93" w:rsidRDefault="00BC1539" w:rsidP="009B72F2">
            <w:pPr>
              <w:spacing w:before="45" w:after="45" w:line="240" w:lineRule="auto"/>
              <w:ind w:left="57" w:right="108"/>
              <w:jc w:val="right"/>
              <w:rPr>
                <w:rFonts w:eastAsia="Times New Roman" w:cs="Open Sans"/>
                <w:color w:val="000000"/>
                <w:sz w:val="18"/>
                <w:szCs w:val="18"/>
                <w:lang w:eastAsia="en-AU"/>
              </w:rPr>
            </w:pPr>
            <w:r>
              <w:rPr>
                <w:rFonts w:cs="Open Sans"/>
                <w:color w:val="000000"/>
                <w:sz w:val="18"/>
                <w:szCs w:val="18"/>
              </w:rPr>
              <w:t>26%</w:t>
            </w:r>
          </w:p>
        </w:tc>
        <w:tc>
          <w:tcPr>
            <w:tcW w:w="466" w:type="pct"/>
            <w:tcBorders>
              <w:top w:val="nil"/>
              <w:left w:val="nil"/>
              <w:bottom w:val="nil"/>
              <w:right w:val="nil"/>
            </w:tcBorders>
            <w:noWrap/>
            <w:vAlign w:val="center"/>
          </w:tcPr>
          <w:p w14:paraId="6A4FEB8D" w14:textId="77777777" w:rsidR="00BC1539" w:rsidRPr="00652B93" w:rsidRDefault="00BC1539" w:rsidP="009B72F2">
            <w:pPr>
              <w:spacing w:before="45" w:after="45" w:line="240" w:lineRule="auto"/>
              <w:ind w:left="57" w:right="108"/>
              <w:jc w:val="right"/>
              <w:rPr>
                <w:rFonts w:eastAsia="Times New Roman" w:cs="Open Sans"/>
                <w:color w:val="000000"/>
                <w:sz w:val="18"/>
                <w:szCs w:val="18"/>
                <w:lang w:eastAsia="en-AU"/>
              </w:rPr>
            </w:pPr>
            <w:r>
              <w:rPr>
                <w:rFonts w:cs="Open Sans"/>
                <w:color w:val="000000"/>
                <w:sz w:val="18"/>
                <w:szCs w:val="18"/>
              </w:rPr>
              <w:t>25%</w:t>
            </w:r>
          </w:p>
        </w:tc>
      </w:tr>
      <w:tr w:rsidR="00BC1539" w:rsidRPr="00211AEB" w14:paraId="7BA08926" w14:textId="77777777" w:rsidTr="008F0041">
        <w:trPr>
          <w:trHeight w:val="264"/>
        </w:trPr>
        <w:tc>
          <w:tcPr>
            <w:tcW w:w="809" w:type="pct"/>
            <w:tcBorders>
              <w:top w:val="nil"/>
              <w:bottom w:val="nil"/>
            </w:tcBorders>
            <w:shd w:val="clear" w:color="auto" w:fill="E6E6E6"/>
            <w:noWrap/>
            <w:vAlign w:val="center"/>
            <w:hideMark/>
          </w:tcPr>
          <w:p w14:paraId="52A549EE" w14:textId="77777777" w:rsidR="00BC1539" w:rsidRPr="00652B93" w:rsidRDefault="00BC1539">
            <w:pPr>
              <w:spacing w:before="45" w:after="45" w:line="240" w:lineRule="auto"/>
              <w:ind w:left="57" w:right="108"/>
              <w:rPr>
                <w:rFonts w:eastAsia="Times New Roman" w:cs="Open Sans"/>
                <w:b/>
                <w:bCs/>
                <w:color w:val="1D4374"/>
                <w:sz w:val="18"/>
                <w:szCs w:val="18"/>
                <w:lang w:eastAsia="en-AU"/>
              </w:rPr>
            </w:pPr>
            <w:r w:rsidRPr="00652B93">
              <w:rPr>
                <w:rFonts w:eastAsia="Times New Roman" w:cs="Open Sans"/>
                <w:b/>
                <w:bCs/>
                <w:color w:val="1D4374"/>
                <w:sz w:val="18"/>
                <w:szCs w:val="18"/>
                <w:lang w:eastAsia="en-AU"/>
              </w:rPr>
              <w:t>Price per tonne of input steel ($/tonne)</w:t>
            </w:r>
          </w:p>
        </w:tc>
        <w:tc>
          <w:tcPr>
            <w:tcW w:w="465" w:type="pct"/>
            <w:tcBorders>
              <w:top w:val="nil"/>
              <w:bottom w:val="nil"/>
            </w:tcBorders>
            <w:shd w:val="clear" w:color="auto" w:fill="E6E6E6"/>
            <w:noWrap/>
            <w:vAlign w:val="center"/>
            <w:hideMark/>
          </w:tcPr>
          <w:p w14:paraId="2A1200C3" w14:textId="77777777" w:rsidR="00BC1539" w:rsidRPr="003308E2" w:rsidRDefault="00BC1539" w:rsidP="009B72F2">
            <w:pPr>
              <w:spacing w:before="45" w:after="45" w:line="240" w:lineRule="auto"/>
              <w:ind w:left="57" w:right="108"/>
              <w:jc w:val="right"/>
              <w:rPr>
                <w:rFonts w:eastAsia="Times New Roman" w:cs="Open Sans"/>
                <w:color w:val="000000"/>
                <w:sz w:val="18"/>
                <w:szCs w:val="18"/>
                <w:lang w:eastAsia="en-AU"/>
              </w:rPr>
            </w:pPr>
            <w:r w:rsidRPr="003308E2">
              <w:rPr>
                <w:rFonts w:eastAsia="Times New Roman" w:cs="Open Sans"/>
                <w:color w:val="000000"/>
                <w:sz w:val="18"/>
                <w:szCs w:val="18"/>
                <w:lang w:eastAsia="en-AU"/>
              </w:rPr>
              <w:t>$1,494</w:t>
            </w:r>
          </w:p>
        </w:tc>
        <w:tc>
          <w:tcPr>
            <w:tcW w:w="466" w:type="pct"/>
            <w:tcBorders>
              <w:top w:val="nil"/>
              <w:bottom w:val="nil"/>
            </w:tcBorders>
            <w:shd w:val="clear" w:color="auto" w:fill="E6E6E6"/>
            <w:noWrap/>
            <w:vAlign w:val="center"/>
            <w:hideMark/>
          </w:tcPr>
          <w:p w14:paraId="0FB3EF64" w14:textId="77777777" w:rsidR="00BC1539" w:rsidRPr="003308E2" w:rsidRDefault="00BC1539" w:rsidP="009B72F2">
            <w:pPr>
              <w:spacing w:before="45" w:after="45" w:line="240" w:lineRule="auto"/>
              <w:ind w:left="57" w:right="108"/>
              <w:jc w:val="right"/>
              <w:rPr>
                <w:rFonts w:eastAsia="Times New Roman" w:cs="Open Sans"/>
                <w:color w:val="000000"/>
                <w:sz w:val="18"/>
                <w:szCs w:val="18"/>
                <w:lang w:eastAsia="en-AU"/>
              </w:rPr>
            </w:pPr>
            <w:r w:rsidRPr="003308E2">
              <w:rPr>
                <w:rFonts w:eastAsia="Times New Roman" w:cs="Open Sans"/>
                <w:color w:val="000000"/>
                <w:sz w:val="18"/>
                <w:szCs w:val="18"/>
                <w:lang w:eastAsia="en-AU"/>
              </w:rPr>
              <w:t>$1,554</w:t>
            </w:r>
          </w:p>
        </w:tc>
        <w:tc>
          <w:tcPr>
            <w:tcW w:w="465" w:type="pct"/>
            <w:tcBorders>
              <w:top w:val="nil"/>
              <w:bottom w:val="nil"/>
            </w:tcBorders>
            <w:shd w:val="clear" w:color="auto" w:fill="E6E6E6"/>
            <w:noWrap/>
            <w:vAlign w:val="center"/>
            <w:hideMark/>
          </w:tcPr>
          <w:p w14:paraId="04F38BCD" w14:textId="77777777" w:rsidR="00BC1539" w:rsidRPr="003308E2" w:rsidRDefault="00BC1539" w:rsidP="009B72F2">
            <w:pPr>
              <w:spacing w:before="45" w:after="45" w:line="240" w:lineRule="auto"/>
              <w:ind w:left="57" w:right="108"/>
              <w:jc w:val="right"/>
              <w:rPr>
                <w:rFonts w:eastAsia="Times New Roman" w:cs="Open Sans"/>
                <w:color w:val="000000"/>
                <w:sz w:val="18"/>
                <w:szCs w:val="18"/>
                <w:lang w:eastAsia="en-AU"/>
              </w:rPr>
            </w:pPr>
            <w:r w:rsidRPr="003308E2">
              <w:rPr>
                <w:rFonts w:eastAsia="Times New Roman" w:cs="Open Sans"/>
                <w:color w:val="000000"/>
                <w:sz w:val="18"/>
                <w:szCs w:val="18"/>
                <w:lang w:eastAsia="en-AU"/>
              </w:rPr>
              <w:t>$1,658</w:t>
            </w:r>
          </w:p>
        </w:tc>
        <w:tc>
          <w:tcPr>
            <w:tcW w:w="466" w:type="pct"/>
            <w:tcBorders>
              <w:top w:val="nil"/>
              <w:bottom w:val="nil"/>
            </w:tcBorders>
            <w:shd w:val="clear" w:color="auto" w:fill="E6E6E6"/>
            <w:noWrap/>
            <w:vAlign w:val="center"/>
            <w:hideMark/>
          </w:tcPr>
          <w:p w14:paraId="0E46DAFE" w14:textId="77777777" w:rsidR="00BC1539" w:rsidRPr="003308E2" w:rsidRDefault="00BC1539" w:rsidP="009B72F2">
            <w:pPr>
              <w:spacing w:before="45" w:after="45" w:line="240" w:lineRule="auto"/>
              <w:ind w:left="57" w:right="108"/>
              <w:jc w:val="right"/>
              <w:rPr>
                <w:rFonts w:eastAsia="Times New Roman" w:cs="Open Sans"/>
                <w:color w:val="000000"/>
                <w:sz w:val="18"/>
                <w:szCs w:val="18"/>
                <w:lang w:eastAsia="en-AU"/>
              </w:rPr>
            </w:pPr>
            <w:r w:rsidRPr="003308E2">
              <w:rPr>
                <w:rFonts w:eastAsia="Times New Roman" w:cs="Open Sans"/>
                <w:color w:val="000000"/>
                <w:sz w:val="18"/>
                <w:szCs w:val="18"/>
                <w:lang w:eastAsia="en-AU"/>
              </w:rPr>
              <w:t>$1,623</w:t>
            </w:r>
          </w:p>
        </w:tc>
        <w:tc>
          <w:tcPr>
            <w:tcW w:w="465" w:type="pct"/>
            <w:tcBorders>
              <w:top w:val="nil"/>
              <w:bottom w:val="nil"/>
            </w:tcBorders>
            <w:shd w:val="clear" w:color="auto" w:fill="E6E6E6"/>
            <w:noWrap/>
            <w:vAlign w:val="center"/>
            <w:hideMark/>
          </w:tcPr>
          <w:p w14:paraId="4F4BF97F" w14:textId="77777777" w:rsidR="00BC1539" w:rsidRPr="003308E2" w:rsidRDefault="00BC1539" w:rsidP="009B72F2">
            <w:pPr>
              <w:spacing w:before="45" w:after="45" w:line="240" w:lineRule="auto"/>
              <w:ind w:left="57" w:right="108"/>
              <w:jc w:val="right"/>
              <w:rPr>
                <w:rFonts w:eastAsia="Times New Roman" w:cs="Open Sans"/>
                <w:color w:val="000000"/>
                <w:sz w:val="18"/>
                <w:szCs w:val="18"/>
                <w:lang w:eastAsia="en-AU"/>
              </w:rPr>
            </w:pPr>
            <w:r w:rsidRPr="003308E2">
              <w:rPr>
                <w:rFonts w:eastAsia="Times New Roman" w:cs="Open Sans"/>
                <w:color w:val="000000"/>
                <w:sz w:val="18"/>
                <w:szCs w:val="18"/>
                <w:lang w:eastAsia="en-AU"/>
              </w:rPr>
              <w:t>$1,734</w:t>
            </w:r>
          </w:p>
        </w:tc>
        <w:tc>
          <w:tcPr>
            <w:tcW w:w="466" w:type="pct"/>
            <w:tcBorders>
              <w:top w:val="nil"/>
              <w:bottom w:val="nil"/>
            </w:tcBorders>
            <w:shd w:val="clear" w:color="auto" w:fill="E6E6E6"/>
            <w:noWrap/>
            <w:vAlign w:val="center"/>
            <w:hideMark/>
          </w:tcPr>
          <w:p w14:paraId="30AF51F5" w14:textId="77777777" w:rsidR="00BC1539" w:rsidRPr="003308E2" w:rsidRDefault="00BC1539" w:rsidP="009B72F2">
            <w:pPr>
              <w:spacing w:before="45" w:after="45" w:line="240" w:lineRule="auto"/>
              <w:ind w:left="57" w:right="108"/>
              <w:jc w:val="right"/>
              <w:rPr>
                <w:rFonts w:eastAsia="Times New Roman" w:cs="Open Sans"/>
                <w:color w:val="000000"/>
                <w:sz w:val="18"/>
                <w:szCs w:val="18"/>
                <w:lang w:eastAsia="en-AU"/>
              </w:rPr>
            </w:pPr>
            <w:r w:rsidRPr="003308E2">
              <w:rPr>
                <w:rFonts w:eastAsia="Times New Roman" w:cs="Open Sans"/>
                <w:color w:val="000000"/>
                <w:sz w:val="18"/>
                <w:szCs w:val="18"/>
                <w:lang w:eastAsia="en-AU"/>
              </w:rPr>
              <w:t>$2,439</w:t>
            </w:r>
          </w:p>
        </w:tc>
        <w:tc>
          <w:tcPr>
            <w:tcW w:w="465" w:type="pct"/>
            <w:tcBorders>
              <w:top w:val="nil"/>
              <w:bottom w:val="nil"/>
            </w:tcBorders>
            <w:shd w:val="clear" w:color="auto" w:fill="E6E6E6"/>
            <w:noWrap/>
            <w:vAlign w:val="center"/>
            <w:hideMark/>
          </w:tcPr>
          <w:p w14:paraId="50E7EF28" w14:textId="77777777" w:rsidR="00BC1539" w:rsidRPr="003308E2" w:rsidRDefault="00BC1539" w:rsidP="009B72F2">
            <w:pPr>
              <w:spacing w:before="45" w:after="45" w:line="240" w:lineRule="auto"/>
              <w:ind w:left="57" w:right="108"/>
              <w:jc w:val="right"/>
              <w:rPr>
                <w:rFonts w:eastAsia="Times New Roman" w:cs="Open Sans"/>
                <w:color w:val="000000"/>
                <w:sz w:val="18"/>
                <w:szCs w:val="18"/>
                <w:lang w:eastAsia="en-AU"/>
              </w:rPr>
            </w:pPr>
            <w:r w:rsidRPr="003308E2">
              <w:rPr>
                <w:rFonts w:eastAsia="Times New Roman" w:cs="Open Sans"/>
                <w:color w:val="000000"/>
                <w:sz w:val="18"/>
                <w:szCs w:val="18"/>
                <w:lang w:eastAsia="en-AU"/>
              </w:rPr>
              <w:t>$2,464</w:t>
            </w:r>
          </w:p>
        </w:tc>
        <w:tc>
          <w:tcPr>
            <w:tcW w:w="466" w:type="pct"/>
            <w:tcBorders>
              <w:top w:val="nil"/>
              <w:bottom w:val="nil"/>
            </w:tcBorders>
            <w:shd w:val="clear" w:color="auto" w:fill="E6E6E6"/>
            <w:noWrap/>
            <w:vAlign w:val="center"/>
            <w:hideMark/>
          </w:tcPr>
          <w:p w14:paraId="6CCEB27C" w14:textId="77777777" w:rsidR="00BC1539" w:rsidRPr="003308E2" w:rsidRDefault="00BC1539" w:rsidP="009B72F2">
            <w:pPr>
              <w:spacing w:before="45" w:after="45" w:line="240" w:lineRule="auto"/>
              <w:ind w:left="57" w:right="108"/>
              <w:jc w:val="right"/>
              <w:rPr>
                <w:rFonts w:eastAsia="Times New Roman" w:cs="Open Sans"/>
                <w:color w:val="000000"/>
                <w:sz w:val="18"/>
                <w:szCs w:val="18"/>
                <w:lang w:eastAsia="en-AU"/>
              </w:rPr>
            </w:pPr>
            <w:r w:rsidRPr="003308E2">
              <w:rPr>
                <w:rFonts w:eastAsia="Times New Roman" w:cs="Open Sans"/>
                <w:color w:val="000000"/>
                <w:sz w:val="18"/>
                <w:szCs w:val="18"/>
                <w:lang w:eastAsia="en-AU"/>
              </w:rPr>
              <w:t>$2,118</w:t>
            </w:r>
          </w:p>
        </w:tc>
        <w:tc>
          <w:tcPr>
            <w:tcW w:w="466" w:type="pct"/>
            <w:tcBorders>
              <w:top w:val="nil"/>
              <w:bottom w:val="nil"/>
            </w:tcBorders>
            <w:shd w:val="clear" w:color="auto" w:fill="E6E6E6"/>
            <w:noWrap/>
            <w:vAlign w:val="center"/>
            <w:hideMark/>
          </w:tcPr>
          <w:p w14:paraId="50A240E6" w14:textId="77777777" w:rsidR="00BC1539" w:rsidRPr="003308E2" w:rsidRDefault="00BC1539" w:rsidP="009B72F2">
            <w:pPr>
              <w:spacing w:before="45" w:after="45" w:line="240" w:lineRule="auto"/>
              <w:ind w:left="57" w:right="108"/>
              <w:jc w:val="right"/>
              <w:rPr>
                <w:rFonts w:eastAsia="Times New Roman" w:cs="Open Sans"/>
                <w:color w:val="000000"/>
                <w:sz w:val="18"/>
                <w:szCs w:val="18"/>
                <w:lang w:eastAsia="en-AU"/>
              </w:rPr>
            </w:pPr>
            <w:r w:rsidRPr="003308E2">
              <w:rPr>
                <w:rFonts w:eastAsia="Times New Roman" w:cs="Open Sans"/>
                <w:color w:val="000000"/>
                <w:sz w:val="18"/>
                <w:szCs w:val="18"/>
                <w:lang w:eastAsia="en-AU"/>
              </w:rPr>
              <w:t>$1,939</w:t>
            </w:r>
          </w:p>
        </w:tc>
      </w:tr>
      <w:tr w:rsidR="00BC1539" w:rsidRPr="00652B93" w14:paraId="2E69950D" w14:textId="77777777" w:rsidTr="008F0041">
        <w:trPr>
          <w:trHeight w:val="264"/>
        </w:trPr>
        <w:tc>
          <w:tcPr>
            <w:tcW w:w="809" w:type="pct"/>
            <w:tcBorders>
              <w:bottom w:val="single" w:sz="4" w:space="0" w:color="B3B3B3"/>
            </w:tcBorders>
            <w:noWrap/>
            <w:vAlign w:val="center"/>
            <w:hideMark/>
          </w:tcPr>
          <w:p w14:paraId="58BA6F97" w14:textId="77777777" w:rsidR="00BC1539" w:rsidRPr="00652B93" w:rsidRDefault="00BC1539">
            <w:pPr>
              <w:spacing w:before="45" w:after="45" w:line="240" w:lineRule="auto"/>
              <w:ind w:left="57" w:right="108"/>
              <w:rPr>
                <w:rFonts w:eastAsia="Times New Roman" w:cs="Open Sans"/>
                <w:b/>
                <w:bCs/>
                <w:color w:val="1D4374"/>
                <w:sz w:val="18"/>
                <w:szCs w:val="18"/>
                <w:lang w:eastAsia="en-AU"/>
              </w:rPr>
            </w:pPr>
            <w:r w:rsidRPr="00652B93">
              <w:rPr>
                <w:rFonts w:eastAsia="Times New Roman" w:cs="Open Sans"/>
                <w:b/>
                <w:bCs/>
                <w:color w:val="1D4374"/>
                <w:sz w:val="18"/>
                <w:szCs w:val="18"/>
                <w:lang w:eastAsia="en-AU"/>
              </w:rPr>
              <w:t>Share of input steel not lost to wastage and offcuts (%)</w:t>
            </w:r>
          </w:p>
        </w:tc>
        <w:tc>
          <w:tcPr>
            <w:tcW w:w="465" w:type="pct"/>
            <w:tcBorders>
              <w:bottom w:val="single" w:sz="4" w:space="0" w:color="B3B3B3"/>
            </w:tcBorders>
            <w:noWrap/>
            <w:vAlign w:val="center"/>
            <w:hideMark/>
          </w:tcPr>
          <w:p w14:paraId="0357C635" w14:textId="77777777" w:rsidR="00BC1539" w:rsidRPr="00652B93" w:rsidRDefault="00BC1539" w:rsidP="009B72F2">
            <w:pPr>
              <w:spacing w:before="45" w:after="45" w:line="240" w:lineRule="auto"/>
              <w:ind w:left="57" w:right="108"/>
              <w:jc w:val="right"/>
              <w:rPr>
                <w:rFonts w:eastAsia="Times New Roman" w:cs="Open Sans"/>
                <w:color w:val="000000"/>
                <w:sz w:val="18"/>
                <w:szCs w:val="18"/>
                <w:lang w:eastAsia="en-AU"/>
              </w:rPr>
            </w:pPr>
            <w:r w:rsidRPr="00652B93">
              <w:rPr>
                <w:rFonts w:eastAsia="Times New Roman" w:cs="Open Sans"/>
                <w:color w:val="000000"/>
                <w:sz w:val="18"/>
                <w:szCs w:val="18"/>
                <w:lang w:eastAsia="en-AU"/>
              </w:rPr>
              <w:t>92.5%</w:t>
            </w:r>
          </w:p>
        </w:tc>
        <w:tc>
          <w:tcPr>
            <w:tcW w:w="466" w:type="pct"/>
            <w:tcBorders>
              <w:bottom w:val="single" w:sz="4" w:space="0" w:color="B3B3B3"/>
            </w:tcBorders>
            <w:noWrap/>
            <w:vAlign w:val="center"/>
            <w:hideMark/>
          </w:tcPr>
          <w:p w14:paraId="595B8444" w14:textId="77777777" w:rsidR="00BC1539" w:rsidRPr="00652B93" w:rsidRDefault="00BC1539" w:rsidP="009B72F2">
            <w:pPr>
              <w:spacing w:before="45" w:after="45" w:line="240" w:lineRule="auto"/>
              <w:ind w:left="57" w:right="108"/>
              <w:jc w:val="right"/>
              <w:rPr>
                <w:rFonts w:eastAsia="Times New Roman" w:cs="Open Sans"/>
                <w:color w:val="000000"/>
                <w:sz w:val="18"/>
                <w:szCs w:val="18"/>
                <w:lang w:eastAsia="en-AU"/>
              </w:rPr>
            </w:pPr>
            <w:r w:rsidRPr="00652B93">
              <w:rPr>
                <w:rFonts w:eastAsia="Times New Roman" w:cs="Open Sans"/>
                <w:color w:val="000000"/>
                <w:sz w:val="18"/>
                <w:szCs w:val="18"/>
                <w:lang w:eastAsia="en-AU"/>
              </w:rPr>
              <w:t>92.5%</w:t>
            </w:r>
          </w:p>
        </w:tc>
        <w:tc>
          <w:tcPr>
            <w:tcW w:w="465" w:type="pct"/>
            <w:tcBorders>
              <w:bottom w:val="single" w:sz="4" w:space="0" w:color="B3B3B3"/>
            </w:tcBorders>
            <w:noWrap/>
            <w:vAlign w:val="center"/>
            <w:hideMark/>
          </w:tcPr>
          <w:p w14:paraId="26EE1A91" w14:textId="77777777" w:rsidR="00BC1539" w:rsidRPr="00652B93" w:rsidRDefault="00BC1539" w:rsidP="009B72F2">
            <w:pPr>
              <w:spacing w:before="45" w:after="45" w:line="240" w:lineRule="auto"/>
              <w:ind w:left="57" w:right="108"/>
              <w:jc w:val="right"/>
              <w:rPr>
                <w:rFonts w:eastAsia="Times New Roman" w:cs="Open Sans"/>
                <w:color w:val="000000"/>
                <w:sz w:val="18"/>
                <w:szCs w:val="18"/>
                <w:lang w:eastAsia="en-AU"/>
              </w:rPr>
            </w:pPr>
            <w:r w:rsidRPr="00652B93">
              <w:rPr>
                <w:rFonts w:eastAsia="Times New Roman" w:cs="Open Sans"/>
                <w:color w:val="000000"/>
                <w:sz w:val="18"/>
                <w:szCs w:val="18"/>
                <w:lang w:eastAsia="en-AU"/>
              </w:rPr>
              <w:t>92.5%</w:t>
            </w:r>
          </w:p>
        </w:tc>
        <w:tc>
          <w:tcPr>
            <w:tcW w:w="466" w:type="pct"/>
            <w:tcBorders>
              <w:bottom w:val="single" w:sz="4" w:space="0" w:color="B3B3B3"/>
            </w:tcBorders>
            <w:noWrap/>
            <w:vAlign w:val="center"/>
            <w:hideMark/>
          </w:tcPr>
          <w:p w14:paraId="177DFBCE" w14:textId="77777777" w:rsidR="00BC1539" w:rsidRPr="00652B93" w:rsidRDefault="00BC1539" w:rsidP="009B72F2">
            <w:pPr>
              <w:spacing w:before="45" w:after="45" w:line="240" w:lineRule="auto"/>
              <w:ind w:left="57" w:right="108"/>
              <w:jc w:val="right"/>
              <w:rPr>
                <w:rFonts w:eastAsia="Times New Roman" w:cs="Open Sans"/>
                <w:color w:val="000000"/>
                <w:sz w:val="18"/>
                <w:szCs w:val="18"/>
                <w:lang w:eastAsia="en-AU"/>
              </w:rPr>
            </w:pPr>
            <w:r w:rsidRPr="00652B93">
              <w:rPr>
                <w:rFonts w:eastAsia="Times New Roman" w:cs="Open Sans"/>
                <w:color w:val="000000"/>
                <w:sz w:val="18"/>
                <w:szCs w:val="18"/>
                <w:lang w:eastAsia="en-AU"/>
              </w:rPr>
              <w:t>92.5%</w:t>
            </w:r>
          </w:p>
        </w:tc>
        <w:tc>
          <w:tcPr>
            <w:tcW w:w="465" w:type="pct"/>
            <w:tcBorders>
              <w:bottom w:val="single" w:sz="4" w:space="0" w:color="B3B3B3"/>
            </w:tcBorders>
            <w:noWrap/>
            <w:vAlign w:val="center"/>
            <w:hideMark/>
          </w:tcPr>
          <w:p w14:paraId="5731BA1E" w14:textId="77777777" w:rsidR="00BC1539" w:rsidRPr="00652B93" w:rsidRDefault="00BC1539" w:rsidP="009B72F2">
            <w:pPr>
              <w:spacing w:before="45" w:after="45" w:line="240" w:lineRule="auto"/>
              <w:ind w:left="57" w:right="108"/>
              <w:jc w:val="right"/>
              <w:rPr>
                <w:rFonts w:eastAsia="Times New Roman" w:cs="Open Sans"/>
                <w:color w:val="000000"/>
                <w:sz w:val="18"/>
                <w:szCs w:val="18"/>
                <w:lang w:eastAsia="en-AU"/>
              </w:rPr>
            </w:pPr>
            <w:r w:rsidRPr="00652B93">
              <w:rPr>
                <w:rFonts w:eastAsia="Times New Roman" w:cs="Open Sans"/>
                <w:color w:val="000000"/>
                <w:sz w:val="18"/>
                <w:szCs w:val="18"/>
                <w:lang w:eastAsia="en-AU"/>
              </w:rPr>
              <w:t>92.5%</w:t>
            </w:r>
          </w:p>
        </w:tc>
        <w:tc>
          <w:tcPr>
            <w:tcW w:w="466" w:type="pct"/>
            <w:tcBorders>
              <w:bottom w:val="single" w:sz="4" w:space="0" w:color="B3B3B3"/>
            </w:tcBorders>
            <w:noWrap/>
            <w:vAlign w:val="center"/>
            <w:hideMark/>
          </w:tcPr>
          <w:p w14:paraId="29BDF827" w14:textId="77777777" w:rsidR="00BC1539" w:rsidRPr="00652B93" w:rsidRDefault="00BC1539" w:rsidP="009B72F2">
            <w:pPr>
              <w:spacing w:before="45" w:after="45" w:line="240" w:lineRule="auto"/>
              <w:ind w:left="57" w:right="108"/>
              <w:jc w:val="right"/>
              <w:rPr>
                <w:rFonts w:eastAsia="Times New Roman" w:cs="Open Sans"/>
                <w:color w:val="000000"/>
                <w:sz w:val="18"/>
                <w:szCs w:val="18"/>
                <w:lang w:eastAsia="en-AU"/>
              </w:rPr>
            </w:pPr>
            <w:r w:rsidRPr="00652B93">
              <w:rPr>
                <w:rFonts w:eastAsia="Times New Roman" w:cs="Open Sans"/>
                <w:color w:val="000000"/>
                <w:sz w:val="18"/>
                <w:szCs w:val="18"/>
                <w:lang w:eastAsia="en-AU"/>
              </w:rPr>
              <w:t>92.5%</w:t>
            </w:r>
          </w:p>
        </w:tc>
        <w:tc>
          <w:tcPr>
            <w:tcW w:w="465" w:type="pct"/>
            <w:tcBorders>
              <w:bottom w:val="single" w:sz="4" w:space="0" w:color="B3B3B3"/>
            </w:tcBorders>
            <w:noWrap/>
            <w:vAlign w:val="center"/>
            <w:hideMark/>
          </w:tcPr>
          <w:p w14:paraId="77E5AF2E" w14:textId="77777777" w:rsidR="00BC1539" w:rsidRPr="00652B93" w:rsidRDefault="00BC1539" w:rsidP="009B72F2">
            <w:pPr>
              <w:spacing w:before="45" w:after="45" w:line="240" w:lineRule="auto"/>
              <w:ind w:left="57" w:right="108"/>
              <w:jc w:val="right"/>
              <w:rPr>
                <w:rFonts w:eastAsia="Times New Roman" w:cs="Open Sans"/>
                <w:color w:val="000000"/>
                <w:sz w:val="18"/>
                <w:szCs w:val="18"/>
                <w:lang w:eastAsia="en-AU"/>
              </w:rPr>
            </w:pPr>
            <w:r w:rsidRPr="00652B93">
              <w:rPr>
                <w:rFonts w:eastAsia="Times New Roman" w:cs="Open Sans"/>
                <w:color w:val="000000"/>
                <w:sz w:val="18"/>
                <w:szCs w:val="18"/>
                <w:lang w:eastAsia="en-AU"/>
              </w:rPr>
              <w:t>92.5%</w:t>
            </w:r>
          </w:p>
        </w:tc>
        <w:tc>
          <w:tcPr>
            <w:tcW w:w="466" w:type="pct"/>
            <w:tcBorders>
              <w:bottom w:val="single" w:sz="4" w:space="0" w:color="B3B3B3"/>
            </w:tcBorders>
            <w:noWrap/>
            <w:vAlign w:val="center"/>
            <w:hideMark/>
          </w:tcPr>
          <w:p w14:paraId="417E6EB3" w14:textId="77777777" w:rsidR="00BC1539" w:rsidRPr="00652B93" w:rsidRDefault="00BC1539" w:rsidP="009B72F2">
            <w:pPr>
              <w:spacing w:before="45" w:after="45" w:line="240" w:lineRule="auto"/>
              <w:ind w:left="57" w:right="108"/>
              <w:jc w:val="right"/>
              <w:rPr>
                <w:rFonts w:eastAsia="Times New Roman" w:cs="Open Sans"/>
                <w:color w:val="000000"/>
                <w:sz w:val="18"/>
                <w:szCs w:val="18"/>
                <w:lang w:eastAsia="en-AU"/>
              </w:rPr>
            </w:pPr>
            <w:r w:rsidRPr="00652B93">
              <w:rPr>
                <w:rFonts w:eastAsia="Times New Roman" w:cs="Open Sans"/>
                <w:color w:val="000000"/>
                <w:sz w:val="18"/>
                <w:szCs w:val="18"/>
                <w:lang w:eastAsia="en-AU"/>
              </w:rPr>
              <w:t>92.5%</w:t>
            </w:r>
          </w:p>
        </w:tc>
        <w:tc>
          <w:tcPr>
            <w:tcW w:w="466" w:type="pct"/>
            <w:tcBorders>
              <w:bottom w:val="single" w:sz="4" w:space="0" w:color="B3B3B3"/>
            </w:tcBorders>
            <w:noWrap/>
            <w:vAlign w:val="center"/>
            <w:hideMark/>
          </w:tcPr>
          <w:p w14:paraId="2A698D97" w14:textId="77777777" w:rsidR="00BC1539" w:rsidRPr="00652B93" w:rsidRDefault="00BC1539" w:rsidP="009B72F2">
            <w:pPr>
              <w:spacing w:before="45" w:after="45" w:line="240" w:lineRule="auto"/>
              <w:ind w:left="57" w:right="108"/>
              <w:jc w:val="right"/>
              <w:rPr>
                <w:rFonts w:eastAsia="Times New Roman" w:cs="Open Sans"/>
                <w:color w:val="000000"/>
                <w:sz w:val="18"/>
                <w:szCs w:val="18"/>
                <w:lang w:eastAsia="en-AU"/>
              </w:rPr>
            </w:pPr>
            <w:r w:rsidRPr="00652B93">
              <w:rPr>
                <w:rFonts w:eastAsia="Times New Roman" w:cs="Open Sans"/>
                <w:color w:val="000000"/>
                <w:sz w:val="18"/>
                <w:szCs w:val="18"/>
                <w:lang w:eastAsia="en-AU"/>
              </w:rPr>
              <w:t>92.5%</w:t>
            </w:r>
          </w:p>
        </w:tc>
      </w:tr>
    </w:tbl>
    <w:p w14:paraId="2387DA3B" w14:textId="77777777" w:rsidR="00BC1539" w:rsidRDefault="00BC1539" w:rsidP="00011592">
      <w:pPr>
        <w:pStyle w:val="Source"/>
      </w:pPr>
      <w:r w:rsidRPr="00701ED7">
        <w:t xml:space="preserve">Source: </w:t>
      </w:r>
      <w:r>
        <w:t>PC analysis of data from inquiry participants and the ABS.</w:t>
      </w:r>
    </w:p>
    <w:p w14:paraId="2DCBE05A" w14:textId="77777777" w:rsidR="00BC1539" w:rsidRDefault="00BC1539" w:rsidP="00011592">
      <w:pPr>
        <w:pStyle w:val="Heading3"/>
      </w:pPr>
      <w:r>
        <w:t>Sensitivity testing for domestic production estimates</w:t>
      </w:r>
    </w:p>
    <w:p w14:paraId="016AAB26" w14:textId="77777777" w:rsidR="00BC1539" w:rsidRDefault="00BC1539" w:rsidP="00011592">
      <w:pPr>
        <w:pStyle w:val="BodyText"/>
      </w:pPr>
      <w:r>
        <w:t>Estimates of domestic production can vary substantially depending on the inputs used. Sensitivity testing was undertaken by varying inputs in the following manners:</w:t>
      </w:r>
    </w:p>
    <w:p w14:paraId="74348B19" w14:textId="7089C1EE" w:rsidR="00BC1539" w:rsidRPr="006B202B" w:rsidRDefault="00BC1539" w:rsidP="004E1B21">
      <w:pPr>
        <w:pStyle w:val="ListAlpha1"/>
        <w:numPr>
          <w:ilvl w:val="0"/>
          <w:numId w:val="16"/>
        </w:numPr>
      </w:pPr>
      <w:r>
        <w:t>the raw sum of complete cost of sales data was utilised rather than imputing missing data</w:t>
      </w:r>
    </w:p>
    <w:p w14:paraId="1EC92410" w14:textId="28040A73" w:rsidR="00BC1539" w:rsidRDefault="00BC1539" w:rsidP="004E1B21">
      <w:pPr>
        <w:pStyle w:val="ListAlpha1"/>
        <w:numPr>
          <w:ilvl w:val="0"/>
          <w:numId w:val="16"/>
        </w:numPr>
      </w:pPr>
      <w:r>
        <w:t>the maximum and minimum average reported share of cost of sales spent on input steel were applied instead of the 2024</w:t>
      </w:r>
      <w:r w:rsidR="0090267A">
        <w:t>–</w:t>
      </w:r>
      <w:r>
        <w:t>25 estimate</w:t>
      </w:r>
    </w:p>
    <w:p w14:paraId="25794112" w14:textId="77777777" w:rsidR="00BC1539" w:rsidRPr="002229F0" w:rsidRDefault="00BC1539" w:rsidP="004E1B21">
      <w:pPr>
        <w:pStyle w:val="ListAlpha1"/>
        <w:numPr>
          <w:ilvl w:val="0"/>
          <w:numId w:val="16"/>
        </w:numPr>
      </w:pPr>
      <w:r>
        <w:t>a</w:t>
      </w:r>
      <w:r w:rsidRPr="002229F0">
        <w:t xml:space="preserve">verage price per tonne </w:t>
      </w:r>
      <w:r>
        <w:t xml:space="preserve">of input steel </w:t>
      </w:r>
      <w:r w:rsidRPr="002229F0">
        <w:t xml:space="preserve">was varied </w:t>
      </w:r>
      <w:r>
        <w:t>by</w:t>
      </w:r>
      <w:r w:rsidRPr="002229F0">
        <w:t xml:space="preserve"> 20%</w:t>
      </w:r>
    </w:p>
    <w:p w14:paraId="37C21F6A" w14:textId="77777777" w:rsidR="00BC1539" w:rsidRDefault="00BC1539" w:rsidP="004E1B21">
      <w:pPr>
        <w:pStyle w:val="ListAlpha1"/>
        <w:numPr>
          <w:ilvl w:val="0"/>
          <w:numId w:val="16"/>
        </w:numPr>
      </w:pPr>
      <w:r>
        <w:t>t</w:t>
      </w:r>
      <w:r w:rsidRPr="006B202B">
        <w:t xml:space="preserve">he wastage </w:t>
      </w:r>
      <w:r>
        <w:t>share of input steel was varied by 2.5 percentage points.</w:t>
      </w:r>
    </w:p>
    <w:p w14:paraId="2D3BF11D" w14:textId="54822280" w:rsidR="00BC1539" w:rsidRDefault="00BC1539" w:rsidP="00011592">
      <w:pPr>
        <w:pStyle w:val="BodyText"/>
      </w:pPr>
      <w:r>
        <w:t>Estimates of domestic production (table B.</w:t>
      </w:r>
      <w:r w:rsidR="00A31393">
        <w:t>4</w:t>
      </w:r>
      <w:r>
        <w:t>) and relative imports (table B.</w:t>
      </w:r>
      <w:r w:rsidR="00A31393">
        <w:t>5</w:t>
      </w:r>
      <w:r>
        <w:t>) can be found below.</w:t>
      </w:r>
    </w:p>
    <w:p w14:paraId="0D992788" w14:textId="61D751AC" w:rsidR="00BC1539" w:rsidRDefault="00BC1539" w:rsidP="00011592">
      <w:pPr>
        <w:pStyle w:val="Caption"/>
      </w:pPr>
      <w:r>
        <w:t>Table B.</w:t>
      </w:r>
      <w:r w:rsidR="006572DD">
        <w:t>4</w:t>
      </w:r>
      <w:r>
        <w:rPr>
          <w:noProof/>
        </w:rPr>
        <w:t xml:space="preserve"> – </w:t>
      </w:r>
      <w:r>
        <w:t>Sensitivity scenarios for domestic production based on conservative population</w:t>
      </w:r>
    </w:p>
    <w:p w14:paraId="478E39E3" w14:textId="77777777" w:rsidR="00BC1539" w:rsidRDefault="00BC1539" w:rsidP="00011592">
      <w:pPr>
        <w:pStyle w:val="FigureTableSubheading"/>
      </w:pPr>
      <w:r>
        <w:t>Tonnes, thousands</w:t>
      </w:r>
    </w:p>
    <w:tbl>
      <w:tblPr>
        <w:tblW w:w="5000" w:type="pct"/>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1699"/>
        <w:gridCol w:w="881"/>
        <w:gridCol w:w="883"/>
        <w:gridCol w:w="883"/>
        <w:gridCol w:w="883"/>
        <w:gridCol w:w="883"/>
        <w:gridCol w:w="883"/>
        <w:gridCol w:w="883"/>
        <w:gridCol w:w="883"/>
        <w:gridCol w:w="877"/>
      </w:tblGrid>
      <w:tr w:rsidR="00BC1539" w:rsidRPr="009B72F2" w14:paraId="73B60B5F" w14:textId="77777777" w:rsidTr="00011592">
        <w:trPr>
          <w:trHeight w:val="276"/>
          <w:tblHeader/>
        </w:trPr>
        <w:tc>
          <w:tcPr>
            <w:tcW w:w="881" w:type="pct"/>
            <w:tcBorders>
              <w:bottom w:val="single" w:sz="4" w:space="0" w:color="B3B3B3"/>
            </w:tcBorders>
            <w:shd w:val="clear" w:color="000000" w:fill="auto"/>
            <w:noWrap/>
            <w:vAlign w:val="bottom"/>
            <w:hideMark/>
          </w:tcPr>
          <w:p w14:paraId="364F9D1F" w14:textId="77777777" w:rsidR="00BC1539" w:rsidRPr="009B72F2" w:rsidRDefault="00BC1539">
            <w:pPr>
              <w:spacing w:before="45" w:after="45" w:line="240" w:lineRule="auto"/>
              <w:ind w:left="57" w:right="108"/>
              <w:rPr>
                <w:rFonts w:eastAsia="Times New Roman" w:cs="Open Sans"/>
                <w:b/>
                <w:color w:val="1D4374"/>
                <w:sz w:val="18"/>
                <w:szCs w:val="18"/>
                <w:lang w:eastAsia="en-AU"/>
              </w:rPr>
            </w:pPr>
          </w:p>
        </w:tc>
        <w:tc>
          <w:tcPr>
            <w:tcW w:w="457" w:type="pct"/>
            <w:tcBorders>
              <w:bottom w:val="single" w:sz="4" w:space="0" w:color="B3B3B3"/>
            </w:tcBorders>
            <w:shd w:val="clear" w:color="000000" w:fill="auto"/>
            <w:noWrap/>
            <w:vAlign w:val="bottom"/>
            <w:hideMark/>
          </w:tcPr>
          <w:p w14:paraId="274B7811" w14:textId="65B64CE2" w:rsidR="00BC1539" w:rsidRPr="009B72F2" w:rsidRDefault="00BC1539" w:rsidP="002F3A27">
            <w:pPr>
              <w:spacing w:before="45" w:after="45" w:line="240" w:lineRule="auto"/>
              <w:ind w:left="57" w:right="108"/>
              <w:jc w:val="right"/>
              <w:rPr>
                <w:rFonts w:eastAsia="Times New Roman" w:cs="Open Sans"/>
                <w:b/>
                <w:bCs/>
                <w:color w:val="1D4374"/>
                <w:sz w:val="18"/>
                <w:szCs w:val="18"/>
                <w:lang w:eastAsia="en-AU"/>
              </w:rPr>
            </w:pPr>
            <w:r w:rsidRPr="009B72F2">
              <w:rPr>
                <w:rFonts w:eastAsia="Times New Roman" w:cs="Open Sans"/>
                <w:b/>
                <w:bCs/>
                <w:color w:val="1D4374"/>
                <w:sz w:val="18"/>
                <w:szCs w:val="18"/>
                <w:lang w:eastAsia="en-AU"/>
              </w:rPr>
              <w:t>2016</w:t>
            </w:r>
            <w:r w:rsidR="0090267A" w:rsidRPr="009B72F2">
              <w:rPr>
                <w:rFonts w:eastAsia="Times New Roman" w:cs="Open Sans"/>
                <w:b/>
                <w:bCs/>
                <w:color w:val="1D4374"/>
                <w:sz w:val="18"/>
                <w:szCs w:val="18"/>
                <w:lang w:eastAsia="en-AU"/>
              </w:rPr>
              <w:t>–</w:t>
            </w:r>
            <w:r w:rsidRPr="009B72F2">
              <w:rPr>
                <w:rFonts w:eastAsia="Times New Roman" w:cs="Open Sans"/>
                <w:b/>
                <w:bCs/>
                <w:color w:val="1D4374"/>
                <w:sz w:val="18"/>
                <w:szCs w:val="18"/>
                <w:lang w:eastAsia="en-AU"/>
              </w:rPr>
              <w:t>17</w:t>
            </w:r>
          </w:p>
        </w:tc>
        <w:tc>
          <w:tcPr>
            <w:tcW w:w="458" w:type="pct"/>
            <w:tcBorders>
              <w:bottom w:val="single" w:sz="4" w:space="0" w:color="B3B3B3"/>
            </w:tcBorders>
            <w:shd w:val="clear" w:color="000000" w:fill="auto"/>
            <w:noWrap/>
            <w:vAlign w:val="bottom"/>
            <w:hideMark/>
          </w:tcPr>
          <w:p w14:paraId="1549FACC" w14:textId="071BFE18" w:rsidR="00BC1539" w:rsidRPr="009B72F2" w:rsidRDefault="00BC1539" w:rsidP="002F3A27">
            <w:pPr>
              <w:spacing w:before="45" w:after="45" w:line="240" w:lineRule="auto"/>
              <w:ind w:left="57" w:right="108"/>
              <w:jc w:val="right"/>
              <w:rPr>
                <w:rFonts w:eastAsia="Times New Roman" w:cs="Open Sans"/>
                <w:b/>
                <w:bCs/>
                <w:color w:val="1D4374"/>
                <w:sz w:val="18"/>
                <w:szCs w:val="18"/>
                <w:lang w:eastAsia="en-AU"/>
              </w:rPr>
            </w:pPr>
            <w:r w:rsidRPr="009B72F2">
              <w:rPr>
                <w:rFonts w:eastAsia="Times New Roman" w:cs="Open Sans"/>
                <w:b/>
                <w:bCs/>
                <w:color w:val="1D4374"/>
                <w:sz w:val="18"/>
                <w:szCs w:val="18"/>
                <w:lang w:eastAsia="en-AU"/>
              </w:rPr>
              <w:t>2017</w:t>
            </w:r>
            <w:r w:rsidR="0090267A" w:rsidRPr="009B72F2">
              <w:rPr>
                <w:rFonts w:eastAsia="Times New Roman" w:cs="Open Sans"/>
                <w:b/>
                <w:bCs/>
                <w:color w:val="1D4374"/>
                <w:sz w:val="18"/>
                <w:szCs w:val="18"/>
                <w:lang w:eastAsia="en-AU"/>
              </w:rPr>
              <w:t>–</w:t>
            </w:r>
            <w:r w:rsidRPr="009B72F2">
              <w:rPr>
                <w:rFonts w:eastAsia="Times New Roman" w:cs="Open Sans"/>
                <w:b/>
                <w:bCs/>
                <w:color w:val="1D4374"/>
                <w:sz w:val="18"/>
                <w:szCs w:val="18"/>
                <w:lang w:eastAsia="en-AU"/>
              </w:rPr>
              <w:t>18</w:t>
            </w:r>
          </w:p>
        </w:tc>
        <w:tc>
          <w:tcPr>
            <w:tcW w:w="458" w:type="pct"/>
            <w:tcBorders>
              <w:bottom w:val="single" w:sz="4" w:space="0" w:color="B3B3B3"/>
            </w:tcBorders>
            <w:shd w:val="clear" w:color="000000" w:fill="auto"/>
            <w:noWrap/>
            <w:vAlign w:val="bottom"/>
            <w:hideMark/>
          </w:tcPr>
          <w:p w14:paraId="522716AF" w14:textId="331E749B" w:rsidR="00BC1539" w:rsidRPr="009B72F2" w:rsidRDefault="00BC1539" w:rsidP="002F3A27">
            <w:pPr>
              <w:spacing w:before="45" w:after="45" w:line="240" w:lineRule="auto"/>
              <w:ind w:left="57" w:right="108"/>
              <w:jc w:val="right"/>
              <w:rPr>
                <w:rFonts w:eastAsia="Times New Roman" w:cs="Open Sans"/>
                <w:b/>
                <w:bCs/>
                <w:color w:val="1D4374"/>
                <w:sz w:val="18"/>
                <w:szCs w:val="18"/>
                <w:lang w:eastAsia="en-AU"/>
              </w:rPr>
            </w:pPr>
            <w:r w:rsidRPr="009B72F2">
              <w:rPr>
                <w:rFonts w:eastAsia="Times New Roman" w:cs="Open Sans"/>
                <w:b/>
                <w:bCs/>
                <w:color w:val="1D4374"/>
                <w:sz w:val="18"/>
                <w:szCs w:val="18"/>
                <w:lang w:eastAsia="en-AU"/>
              </w:rPr>
              <w:t>2018</w:t>
            </w:r>
            <w:r w:rsidR="0090267A" w:rsidRPr="009B72F2">
              <w:rPr>
                <w:rFonts w:eastAsia="Times New Roman" w:cs="Open Sans"/>
                <w:b/>
                <w:bCs/>
                <w:color w:val="1D4374"/>
                <w:sz w:val="18"/>
                <w:szCs w:val="18"/>
                <w:lang w:eastAsia="en-AU"/>
              </w:rPr>
              <w:t>–</w:t>
            </w:r>
            <w:r w:rsidRPr="009B72F2">
              <w:rPr>
                <w:rFonts w:eastAsia="Times New Roman" w:cs="Open Sans"/>
                <w:b/>
                <w:bCs/>
                <w:color w:val="1D4374"/>
                <w:sz w:val="18"/>
                <w:szCs w:val="18"/>
                <w:lang w:eastAsia="en-AU"/>
              </w:rPr>
              <w:t>19</w:t>
            </w:r>
          </w:p>
        </w:tc>
        <w:tc>
          <w:tcPr>
            <w:tcW w:w="458" w:type="pct"/>
            <w:tcBorders>
              <w:bottom w:val="single" w:sz="4" w:space="0" w:color="B3B3B3"/>
            </w:tcBorders>
            <w:shd w:val="clear" w:color="000000" w:fill="auto"/>
            <w:noWrap/>
            <w:vAlign w:val="bottom"/>
            <w:hideMark/>
          </w:tcPr>
          <w:p w14:paraId="409E28B7" w14:textId="0BB7ECD4" w:rsidR="00BC1539" w:rsidRPr="009B72F2" w:rsidRDefault="00BC1539" w:rsidP="002F3A27">
            <w:pPr>
              <w:spacing w:before="45" w:after="45" w:line="240" w:lineRule="auto"/>
              <w:ind w:left="57" w:right="108"/>
              <w:jc w:val="right"/>
              <w:rPr>
                <w:rFonts w:eastAsia="Times New Roman" w:cs="Open Sans"/>
                <w:b/>
                <w:bCs/>
                <w:color w:val="1D4374"/>
                <w:sz w:val="18"/>
                <w:szCs w:val="18"/>
                <w:lang w:eastAsia="en-AU"/>
              </w:rPr>
            </w:pPr>
            <w:r w:rsidRPr="009B72F2">
              <w:rPr>
                <w:rFonts w:eastAsia="Times New Roman" w:cs="Open Sans"/>
                <w:b/>
                <w:bCs/>
                <w:color w:val="1D4374"/>
                <w:sz w:val="18"/>
                <w:szCs w:val="18"/>
                <w:lang w:eastAsia="en-AU"/>
              </w:rPr>
              <w:t>2019</w:t>
            </w:r>
            <w:r w:rsidR="0090267A" w:rsidRPr="009B72F2">
              <w:rPr>
                <w:rFonts w:eastAsia="Times New Roman" w:cs="Open Sans"/>
                <w:b/>
                <w:bCs/>
                <w:color w:val="1D4374"/>
                <w:sz w:val="18"/>
                <w:szCs w:val="18"/>
                <w:lang w:eastAsia="en-AU"/>
              </w:rPr>
              <w:t>–</w:t>
            </w:r>
            <w:r w:rsidRPr="009B72F2">
              <w:rPr>
                <w:rFonts w:eastAsia="Times New Roman" w:cs="Open Sans"/>
                <w:b/>
                <w:bCs/>
                <w:color w:val="1D4374"/>
                <w:sz w:val="18"/>
                <w:szCs w:val="18"/>
                <w:lang w:eastAsia="en-AU"/>
              </w:rPr>
              <w:t>20</w:t>
            </w:r>
          </w:p>
        </w:tc>
        <w:tc>
          <w:tcPr>
            <w:tcW w:w="458" w:type="pct"/>
            <w:tcBorders>
              <w:bottom w:val="single" w:sz="4" w:space="0" w:color="B3B3B3"/>
            </w:tcBorders>
            <w:shd w:val="clear" w:color="000000" w:fill="auto"/>
            <w:noWrap/>
            <w:vAlign w:val="bottom"/>
            <w:hideMark/>
          </w:tcPr>
          <w:p w14:paraId="0E8CD8F6" w14:textId="192AE483" w:rsidR="00BC1539" w:rsidRPr="009B72F2" w:rsidRDefault="00BC1539" w:rsidP="002F3A27">
            <w:pPr>
              <w:spacing w:before="45" w:after="45" w:line="240" w:lineRule="auto"/>
              <w:ind w:left="57" w:right="108"/>
              <w:jc w:val="right"/>
              <w:rPr>
                <w:rFonts w:eastAsia="Times New Roman" w:cs="Open Sans"/>
                <w:b/>
                <w:bCs/>
                <w:color w:val="1D4374"/>
                <w:sz w:val="18"/>
                <w:szCs w:val="18"/>
                <w:lang w:eastAsia="en-AU"/>
              </w:rPr>
            </w:pPr>
            <w:r w:rsidRPr="009B72F2">
              <w:rPr>
                <w:rFonts w:eastAsia="Times New Roman" w:cs="Open Sans"/>
                <w:b/>
                <w:bCs/>
                <w:color w:val="1D4374"/>
                <w:sz w:val="18"/>
                <w:szCs w:val="18"/>
                <w:lang w:eastAsia="en-AU"/>
              </w:rPr>
              <w:t>2020</w:t>
            </w:r>
            <w:r w:rsidR="0090267A" w:rsidRPr="009B72F2">
              <w:rPr>
                <w:rFonts w:eastAsia="Times New Roman" w:cs="Open Sans"/>
                <w:b/>
                <w:bCs/>
                <w:color w:val="1D4374"/>
                <w:sz w:val="18"/>
                <w:szCs w:val="18"/>
                <w:lang w:eastAsia="en-AU"/>
              </w:rPr>
              <w:t>–</w:t>
            </w:r>
            <w:r w:rsidRPr="009B72F2">
              <w:rPr>
                <w:rFonts w:eastAsia="Times New Roman" w:cs="Open Sans"/>
                <w:b/>
                <w:bCs/>
                <w:color w:val="1D4374"/>
                <w:sz w:val="18"/>
                <w:szCs w:val="18"/>
                <w:lang w:eastAsia="en-AU"/>
              </w:rPr>
              <w:t>21</w:t>
            </w:r>
          </w:p>
        </w:tc>
        <w:tc>
          <w:tcPr>
            <w:tcW w:w="458" w:type="pct"/>
            <w:tcBorders>
              <w:bottom w:val="single" w:sz="4" w:space="0" w:color="B3B3B3"/>
            </w:tcBorders>
            <w:shd w:val="clear" w:color="000000" w:fill="auto"/>
            <w:noWrap/>
            <w:vAlign w:val="bottom"/>
            <w:hideMark/>
          </w:tcPr>
          <w:p w14:paraId="4C6C1F19" w14:textId="66D9C3FA" w:rsidR="00BC1539" w:rsidRPr="009B72F2" w:rsidRDefault="00BC1539" w:rsidP="002F3A27">
            <w:pPr>
              <w:spacing w:before="45" w:after="45" w:line="240" w:lineRule="auto"/>
              <w:ind w:left="57" w:right="108"/>
              <w:jc w:val="right"/>
              <w:rPr>
                <w:rFonts w:eastAsia="Times New Roman" w:cs="Open Sans"/>
                <w:b/>
                <w:bCs/>
                <w:color w:val="1D4374"/>
                <w:sz w:val="18"/>
                <w:szCs w:val="18"/>
                <w:lang w:eastAsia="en-AU"/>
              </w:rPr>
            </w:pPr>
            <w:r w:rsidRPr="009B72F2">
              <w:rPr>
                <w:rFonts w:eastAsia="Times New Roman" w:cs="Open Sans"/>
                <w:b/>
                <w:bCs/>
                <w:color w:val="1D4374"/>
                <w:sz w:val="18"/>
                <w:szCs w:val="18"/>
                <w:lang w:eastAsia="en-AU"/>
              </w:rPr>
              <w:t>2021</w:t>
            </w:r>
            <w:r w:rsidR="0090267A" w:rsidRPr="009B72F2">
              <w:rPr>
                <w:rFonts w:eastAsia="Times New Roman" w:cs="Open Sans"/>
                <w:b/>
                <w:bCs/>
                <w:color w:val="1D4374"/>
                <w:sz w:val="18"/>
                <w:szCs w:val="18"/>
                <w:lang w:eastAsia="en-AU"/>
              </w:rPr>
              <w:t>–</w:t>
            </w:r>
            <w:r w:rsidRPr="009B72F2">
              <w:rPr>
                <w:rFonts w:eastAsia="Times New Roman" w:cs="Open Sans"/>
                <w:b/>
                <w:bCs/>
                <w:color w:val="1D4374"/>
                <w:sz w:val="18"/>
                <w:szCs w:val="18"/>
                <w:lang w:eastAsia="en-AU"/>
              </w:rPr>
              <w:t>22</w:t>
            </w:r>
          </w:p>
        </w:tc>
        <w:tc>
          <w:tcPr>
            <w:tcW w:w="458" w:type="pct"/>
            <w:tcBorders>
              <w:bottom w:val="single" w:sz="4" w:space="0" w:color="B3B3B3"/>
            </w:tcBorders>
            <w:shd w:val="clear" w:color="000000" w:fill="auto"/>
            <w:noWrap/>
            <w:vAlign w:val="bottom"/>
            <w:hideMark/>
          </w:tcPr>
          <w:p w14:paraId="6AF1D1BA" w14:textId="5092CC10" w:rsidR="00BC1539" w:rsidRPr="009B72F2" w:rsidRDefault="00BC1539" w:rsidP="002F3A27">
            <w:pPr>
              <w:spacing w:before="45" w:after="45" w:line="240" w:lineRule="auto"/>
              <w:ind w:left="57" w:right="108"/>
              <w:jc w:val="right"/>
              <w:rPr>
                <w:rFonts w:eastAsia="Times New Roman" w:cs="Open Sans"/>
                <w:b/>
                <w:bCs/>
                <w:color w:val="1D4374"/>
                <w:sz w:val="18"/>
                <w:szCs w:val="18"/>
                <w:lang w:eastAsia="en-AU"/>
              </w:rPr>
            </w:pPr>
            <w:r w:rsidRPr="009B72F2">
              <w:rPr>
                <w:rFonts w:eastAsia="Times New Roman" w:cs="Open Sans"/>
                <w:b/>
                <w:bCs/>
                <w:color w:val="1D4374"/>
                <w:sz w:val="18"/>
                <w:szCs w:val="18"/>
                <w:lang w:eastAsia="en-AU"/>
              </w:rPr>
              <w:t>2022</w:t>
            </w:r>
            <w:r w:rsidR="0090267A" w:rsidRPr="009B72F2">
              <w:rPr>
                <w:rFonts w:eastAsia="Times New Roman" w:cs="Open Sans"/>
                <w:b/>
                <w:bCs/>
                <w:color w:val="1D4374"/>
                <w:sz w:val="18"/>
                <w:szCs w:val="18"/>
                <w:lang w:eastAsia="en-AU"/>
              </w:rPr>
              <w:t>–</w:t>
            </w:r>
            <w:r w:rsidRPr="009B72F2">
              <w:rPr>
                <w:rFonts w:eastAsia="Times New Roman" w:cs="Open Sans"/>
                <w:b/>
                <w:bCs/>
                <w:color w:val="1D4374"/>
                <w:sz w:val="18"/>
                <w:szCs w:val="18"/>
                <w:lang w:eastAsia="en-AU"/>
              </w:rPr>
              <w:t>23</w:t>
            </w:r>
          </w:p>
        </w:tc>
        <w:tc>
          <w:tcPr>
            <w:tcW w:w="458" w:type="pct"/>
            <w:tcBorders>
              <w:bottom w:val="single" w:sz="4" w:space="0" w:color="B3B3B3"/>
            </w:tcBorders>
            <w:shd w:val="clear" w:color="000000" w:fill="auto"/>
            <w:noWrap/>
            <w:vAlign w:val="bottom"/>
            <w:hideMark/>
          </w:tcPr>
          <w:p w14:paraId="5A07CFFE" w14:textId="31553E8E" w:rsidR="00BC1539" w:rsidRPr="009B72F2" w:rsidRDefault="00BC1539" w:rsidP="002F3A27">
            <w:pPr>
              <w:spacing w:before="45" w:after="45" w:line="240" w:lineRule="auto"/>
              <w:ind w:left="57" w:right="108"/>
              <w:jc w:val="right"/>
              <w:rPr>
                <w:rFonts w:eastAsia="Times New Roman" w:cs="Open Sans"/>
                <w:b/>
                <w:bCs/>
                <w:color w:val="1D4374"/>
                <w:sz w:val="18"/>
                <w:szCs w:val="18"/>
                <w:lang w:eastAsia="en-AU"/>
              </w:rPr>
            </w:pPr>
            <w:r w:rsidRPr="009B72F2">
              <w:rPr>
                <w:rFonts w:eastAsia="Times New Roman" w:cs="Open Sans"/>
                <w:b/>
                <w:bCs/>
                <w:color w:val="1D4374"/>
                <w:sz w:val="18"/>
                <w:szCs w:val="18"/>
                <w:lang w:eastAsia="en-AU"/>
              </w:rPr>
              <w:t>2023</w:t>
            </w:r>
            <w:r w:rsidR="0090267A" w:rsidRPr="009B72F2">
              <w:rPr>
                <w:rFonts w:eastAsia="Times New Roman" w:cs="Open Sans"/>
                <w:b/>
                <w:bCs/>
                <w:color w:val="1D4374"/>
                <w:sz w:val="18"/>
                <w:szCs w:val="18"/>
                <w:lang w:eastAsia="en-AU"/>
              </w:rPr>
              <w:t>–</w:t>
            </w:r>
            <w:r w:rsidRPr="009B72F2">
              <w:rPr>
                <w:rFonts w:eastAsia="Times New Roman" w:cs="Open Sans"/>
                <w:b/>
                <w:bCs/>
                <w:color w:val="1D4374"/>
                <w:sz w:val="18"/>
                <w:szCs w:val="18"/>
                <w:lang w:eastAsia="en-AU"/>
              </w:rPr>
              <w:t>24</w:t>
            </w:r>
          </w:p>
        </w:tc>
        <w:tc>
          <w:tcPr>
            <w:tcW w:w="455" w:type="pct"/>
            <w:tcBorders>
              <w:bottom w:val="single" w:sz="4" w:space="0" w:color="B3B3B3"/>
            </w:tcBorders>
            <w:shd w:val="clear" w:color="000000" w:fill="auto"/>
            <w:noWrap/>
            <w:vAlign w:val="bottom"/>
            <w:hideMark/>
          </w:tcPr>
          <w:p w14:paraId="78C33430" w14:textId="4179E394" w:rsidR="00BC1539" w:rsidRPr="009B72F2" w:rsidRDefault="00BC1539" w:rsidP="002F3A27">
            <w:pPr>
              <w:spacing w:before="45" w:after="45" w:line="240" w:lineRule="auto"/>
              <w:ind w:left="57" w:right="108"/>
              <w:jc w:val="right"/>
              <w:rPr>
                <w:rFonts w:eastAsia="Times New Roman" w:cs="Open Sans"/>
                <w:b/>
                <w:bCs/>
                <w:color w:val="1D4374"/>
                <w:sz w:val="18"/>
                <w:szCs w:val="18"/>
                <w:lang w:eastAsia="en-AU"/>
              </w:rPr>
            </w:pPr>
            <w:r w:rsidRPr="009B72F2">
              <w:rPr>
                <w:rFonts w:eastAsia="Times New Roman" w:cs="Open Sans"/>
                <w:b/>
                <w:bCs/>
                <w:color w:val="1D4374"/>
                <w:sz w:val="18"/>
                <w:szCs w:val="18"/>
                <w:lang w:eastAsia="en-AU"/>
              </w:rPr>
              <w:t>2024</w:t>
            </w:r>
            <w:r w:rsidR="0090267A" w:rsidRPr="009B72F2">
              <w:rPr>
                <w:rFonts w:eastAsia="Times New Roman" w:cs="Open Sans"/>
                <w:b/>
                <w:bCs/>
                <w:color w:val="1D4374"/>
                <w:sz w:val="18"/>
                <w:szCs w:val="18"/>
                <w:lang w:eastAsia="en-AU"/>
              </w:rPr>
              <w:t>–</w:t>
            </w:r>
            <w:r w:rsidRPr="009B72F2">
              <w:rPr>
                <w:rFonts w:eastAsia="Times New Roman" w:cs="Open Sans"/>
                <w:b/>
                <w:bCs/>
                <w:color w:val="1D4374"/>
                <w:sz w:val="18"/>
                <w:szCs w:val="18"/>
                <w:lang w:eastAsia="en-AU"/>
              </w:rPr>
              <w:t>25</w:t>
            </w:r>
          </w:p>
        </w:tc>
      </w:tr>
      <w:tr w:rsidR="00BC1539" w:rsidRPr="009B72F2" w14:paraId="13450448" w14:textId="77777777">
        <w:trPr>
          <w:trHeight w:val="264"/>
        </w:trPr>
        <w:tc>
          <w:tcPr>
            <w:tcW w:w="881" w:type="pct"/>
            <w:tcBorders>
              <w:top w:val="single" w:sz="4" w:space="0" w:color="B3B3B3"/>
              <w:bottom w:val="nil"/>
            </w:tcBorders>
            <w:shd w:val="clear" w:color="000000" w:fill="E6E6E6"/>
            <w:noWrap/>
            <w:hideMark/>
          </w:tcPr>
          <w:p w14:paraId="29DF381F" w14:textId="77777777" w:rsidR="00BC1539" w:rsidRPr="009B72F2" w:rsidRDefault="00BC1539" w:rsidP="00011592">
            <w:pPr>
              <w:spacing w:before="45" w:after="45" w:line="240" w:lineRule="auto"/>
              <w:ind w:left="57" w:right="108"/>
              <w:rPr>
                <w:rFonts w:eastAsia="Times New Roman" w:cs="Open Sans"/>
                <w:b/>
                <w:color w:val="1D4374"/>
                <w:sz w:val="18"/>
                <w:szCs w:val="18"/>
                <w:lang w:eastAsia="en-AU"/>
              </w:rPr>
            </w:pPr>
            <w:r w:rsidRPr="009B72F2">
              <w:rPr>
                <w:rFonts w:eastAsia="Times New Roman" w:cs="Open Sans"/>
                <w:b/>
                <w:color w:val="1D4374"/>
                <w:sz w:val="18"/>
                <w:szCs w:val="18"/>
                <w:lang w:eastAsia="en-AU"/>
              </w:rPr>
              <w:t>Central estimate</w:t>
            </w:r>
          </w:p>
        </w:tc>
        <w:tc>
          <w:tcPr>
            <w:tcW w:w="457" w:type="pct"/>
            <w:tcBorders>
              <w:top w:val="single" w:sz="4" w:space="0" w:color="B3B3B3"/>
              <w:bottom w:val="nil"/>
            </w:tcBorders>
            <w:shd w:val="clear" w:color="000000" w:fill="E6E6E6"/>
            <w:noWrap/>
          </w:tcPr>
          <w:p w14:paraId="7378B36F"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360</w:t>
            </w:r>
          </w:p>
        </w:tc>
        <w:tc>
          <w:tcPr>
            <w:tcW w:w="458" w:type="pct"/>
            <w:tcBorders>
              <w:top w:val="single" w:sz="4" w:space="0" w:color="B3B3B3"/>
              <w:bottom w:val="nil"/>
            </w:tcBorders>
            <w:shd w:val="clear" w:color="000000" w:fill="E6E6E6"/>
            <w:noWrap/>
          </w:tcPr>
          <w:p w14:paraId="78888FAC"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413</w:t>
            </w:r>
          </w:p>
        </w:tc>
        <w:tc>
          <w:tcPr>
            <w:tcW w:w="458" w:type="pct"/>
            <w:tcBorders>
              <w:top w:val="single" w:sz="4" w:space="0" w:color="B3B3B3"/>
              <w:bottom w:val="nil"/>
            </w:tcBorders>
            <w:shd w:val="clear" w:color="000000" w:fill="E6E6E6"/>
            <w:noWrap/>
          </w:tcPr>
          <w:p w14:paraId="29FCBE7C"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440</w:t>
            </w:r>
          </w:p>
        </w:tc>
        <w:tc>
          <w:tcPr>
            <w:tcW w:w="458" w:type="pct"/>
            <w:tcBorders>
              <w:top w:val="single" w:sz="4" w:space="0" w:color="B3B3B3"/>
              <w:bottom w:val="nil"/>
            </w:tcBorders>
            <w:shd w:val="clear" w:color="000000" w:fill="E6E6E6"/>
            <w:noWrap/>
          </w:tcPr>
          <w:p w14:paraId="60245E68"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453</w:t>
            </w:r>
          </w:p>
        </w:tc>
        <w:tc>
          <w:tcPr>
            <w:tcW w:w="458" w:type="pct"/>
            <w:tcBorders>
              <w:top w:val="single" w:sz="4" w:space="0" w:color="B3B3B3"/>
              <w:bottom w:val="nil"/>
            </w:tcBorders>
            <w:shd w:val="clear" w:color="000000" w:fill="E6E6E6"/>
            <w:noWrap/>
          </w:tcPr>
          <w:p w14:paraId="6E46A0EF"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474</w:t>
            </w:r>
          </w:p>
        </w:tc>
        <w:tc>
          <w:tcPr>
            <w:tcW w:w="458" w:type="pct"/>
            <w:tcBorders>
              <w:top w:val="single" w:sz="4" w:space="0" w:color="B3B3B3"/>
              <w:bottom w:val="nil"/>
            </w:tcBorders>
            <w:shd w:val="clear" w:color="000000" w:fill="E6E6E6"/>
            <w:noWrap/>
          </w:tcPr>
          <w:p w14:paraId="2698D2E8"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435</w:t>
            </w:r>
          </w:p>
        </w:tc>
        <w:tc>
          <w:tcPr>
            <w:tcW w:w="458" w:type="pct"/>
            <w:tcBorders>
              <w:top w:val="single" w:sz="4" w:space="0" w:color="B3B3B3"/>
              <w:bottom w:val="nil"/>
            </w:tcBorders>
            <w:shd w:val="clear" w:color="000000" w:fill="E6E6E6"/>
            <w:noWrap/>
          </w:tcPr>
          <w:p w14:paraId="4FDFDF47"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482</w:t>
            </w:r>
          </w:p>
        </w:tc>
        <w:tc>
          <w:tcPr>
            <w:tcW w:w="458" w:type="pct"/>
            <w:tcBorders>
              <w:top w:val="single" w:sz="4" w:space="0" w:color="B3B3B3"/>
              <w:bottom w:val="nil"/>
            </w:tcBorders>
            <w:shd w:val="clear" w:color="000000" w:fill="E6E6E6"/>
            <w:noWrap/>
          </w:tcPr>
          <w:p w14:paraId="5A858E31"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501</w:t>
            </w:r>
          </w:p>
        </w:tc>
        <w:tc>
          <w:tcPr>
            <w:tcW w:w="455" w:type="pct"/>
            <w:tcBorders>
              <w:top w:val="single" w:sz="4" w:space="0" w:color="B3B3B3"/>
              <w:bottom w:val="nil"/>
            </w:tcBorders>
            <w:shd w:val="clear" w:color="000000" w:fill="E6E6E6"/>
            <w:noWrap/>
          </w:tcPr>
          <w:p w14:paraId="50ACE11D"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542</w:t>
            </w:r>
          </w:p>
        </w:tc>
      </w:tr>
      <w:tr w:rsidR="00BC1539" w:rsidRPr="009B72F2" w14:paraId="5AD67539" w14:textId="77777777">
        <w:trPr>
          <w:trHeight w:val="264"/>
        </w:trPr>
        <w:tc>
          <w:tcPr>
            <w:tcW w:w="881" w:type="pct"/>
            <w:tcBorders>
              <w:top w:val="nil"/>
              <w:bottom w:val="nil"/>
            </w:tcBorders>
            <w:shd w:val="clear" w:color="000000" w:fill="auto"/>
            <w:noWrap/>
          </w:tcPr>
          <w:p w14:paraId="59C20377" w14:textId="77777777" w:rsidR="00BC1539" w:rsidRPr="009B72F2" w:rsidRDefault="00BC1539" w:rsidP="00011592">
            <w:pPr>
              <w:spacing w:before="45" w:after="45" w:line="240" w:lineRule="auto"/>
              <w:ind w:left="57" w:right="108"/>
              <w:rPr>
                <w:rFonts w:eastAsia="Times New Roman" w:cs="Open Sans"/>
                <w:b/>
                <w:color w:val="1D4374"/>
                <w:sz w:val="18"/>
                <w:szCs w:val="18"/>
                <w:lang w:eastAsia="en-AU"/>
              </w:rPr>
            </w:pPr>
            <w:r w:rsidRPr="009B72F2">
              <w:rPr>
                <w:rFonts w:eastAsia="Times New Roman" w:cs="Open Sans"/>
                <w:b/>
                <w:color w:val="1D4374"/>
                <w:sz w:val="18"/>
                <w:szCs w:val="18"/>
                <w:lang w:eastAsia="en-AU"/>
              </w:rPr>
              <w:t>Sum of cost of sales</w:t>
            </w:r>
          </w:p>
        </w:tc>
        <w:tc>
          <w:tcPr>
            <w:tcW w:w="457" w:type="pct"/>
            <w:tcBorders>
              <w:top w:val="nil"/>
              <w:bottom w:val="nil"/>
            </w:tcBorders>
            <w:shd w:val="clear" w:color="000000" w:fill="auto"/>
            <w:noWrap/>
          </w:tcPr>
          <w:p w14:paraId="030BC6BF"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328</w:t>
            </w:r>
          </w:p>
        </w:tc>
        <w:tc>
          <w:tcPr>
            <w:tcW w:w="458" w:type="pct"/>
            <w:tcBorders>
              <w:top w:val="nil"/>
              <w:bottom w:val="nil"/>
            </w:tcBorders>
            <w:shd w:val="clear" w:color="000000" w:fill="auto"/>
            <w:noWrap/>
          </w:tcPr>
          <w:p w14:paraId="75D4510B"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364</w:t>
            </w:r>
          </w:p>
        </w:tc>
        <w:tc>
          <w:tcPr>
            <w:tcW w:w="458" w:type="pct"/>
            <w:tcBorders>
              <w:top w:val="nil"/>
              <w:bottom w:val="nil"/>
            </w:tcBorders>
            <w:shd w:val="clear" w:color="000000" w:fill="auto"/>
            <w:noWrap/>
          </w:tcPr>
          <w:p w14:paraId="6D361406"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390</w:t>
            </w:r>
          </w:p>
        </w:tc>
        <w:tc>
          <w:tcPr>
            <w:tcW w:w="458" w:type="pct"/>
            <w:tcBorders>
              <w:top w:val="nil"/>
              <w:bottom w:val="nil"/>
            </w:tcBorders>
            <w:shd w:val="clear" w:color="000000" w:fill="auto"/>
            <w:noWrap/>
          </w:tcPr>
          <w:p w14:paraId="4EAB12DB"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387</w:t>
            </w:r>
          </w:p>
        </w:tc>
        <w:tc>
          <w:tcPr>
            <w:tcW w:w="458" w:type="pct"/>
            <w:tcBorders>
              <w:top w:val="nil"/>
              <w:bottom w:val="nil"/>
            </w:tcBorders>
            <w:shd w:val="clear" w:color="000000" w:fill="auto"/>
            <w:noWrap/>
          </w:tcPr>
          <w:p w14:paraId="13FF2BF6"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390</w:t>
            </w:r>
          </w:p>
        </w:tc>
        <w:tc>
          <w:tcPr>
            <w:tcW w:w="458" w:type="pct"/>
            <w:tcBorders>
              <w:top w:val="nil"/>
              <w:bottom w:val="nil"/>
            </w:tcBorders>
            <w:shd w:val="clear" w:color="000000" w:fill="auto"/>
            <w:noWrap/>
          </w:tcPr>
          <w:p w14:paraId="3F462C06"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350</w:t>
            </w:r>
          </w:p>
        </w:tc>
        <w:tc>
          <w:tcPr>
            <w:tcW w:w="458" w:type="pct"/>
            <w:tcBorders>
              <w:top w:val="nil"/>
              <w:bottom w:val="nil"/>
            </w:tcBorders>
            <w:shd w:val="clear" w:color="000000" w:fill="auto"/>
            <w:noWrap/>
          </w:tcPr>
          <w:p w14:paraId="0213A9BE"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392</w:t>
            </w:r>
          </w:p>
        </w:tc>
        <w:tc>
          <w:tcPr>
            <w:tcW w:w="458" w:type="pct"/>
            <w:tcBorders>
              <w:top w:val="nil"/>
              <w:bottom w:val="nil"/>
            </w:tcBorders>
            <w:shd w:val="clear" w:color="000000" w:fill="auto"/>
            <w:noWrap/>
          </w:tcPr>
          <w:p w14:paraId="47637D0B"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418</w:t>
            </w:r>
          </w:p>
        </w:tc>
        <w:tc>
          <w:tcPr>
            <w:tcW w:w="455" w:type="pct"/>
            <w:tcBorders>
              <w:top w:val="nil"/>
              <w:bottom w:val="nil"/>
            </w:tcBorders>
            <w:shd w:val="clear" w:color="000000" w:fill="auto"/>
            <w:noWrap/>
          </w:tcPr>
          <w:p w14:paraId="4EC0F07B" w14:textId="5AB426E3" w:rsidR="00BC1539" w:rsidRPr="009B72F2" w:rsidRDefault="00541146"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noBreakHyphen/>
            </w:r>
          </w:p>
        </w:tc>
      </w:tr>
      <w:tr w:rsidR="00BC1539" w:rsidRPr="009B72F2" w14:paraId="7757BC8E" w14:textId="77777777">
        <w:trPr>
          <w:trHeight w:val="264"/>
        </w:trPr>
        <w:tc>
          <w:tcPr>
            <w:tcW w:w="881" w:type="pct"/>
            <w:tcBorders>
              <w:bottom w:val="nil"/>
            </w:tcBorders>
            <w:shd w:val="clear" w:color="000000" w:fill="E6E6E6"/>
            <w:noWrap/>
            <w:hideMark/>
          </w:tcPr>
          <w:p w14:paraId="705C040A" w14:textId="77777777" w:rsidR="00BC1539" w:rsidRPr="009B72F2" w:rsidRDefault="00BC1539" w:rsidP="00011592">
            <w:pPr>
              <w:spacing w:before="45" w:after="45" w:line="240" w:lineRule="auto"/>
              <w:ind w:left="57" w:right="108"/>
              <w:rPr>
                <w:rFonts w:eastAsia="Times New Roman" w:cs="Open Sans"/>
                <w:b/>
                <w:color w:val="1D4374"/>
                <w:sz w:val="18"/>
                <w:szCs w:val="18"/>
                <w:lang w:eastAsia="en-AU"/>
              </w:rPr>
            </w:pPr>
            <w:r w:rsidRPr="009B72F2">
              <w:rPr>
                <w:rFonts w:eastAsia="Times New Roman" w:cs="Open Sans"/>
                <w:b/>
                <w:color w:val="1D4374"/>
                <w:sz w:val="18"/>
                <w:szCs w:val="18"/>
                <w:lang w:eastAsia="en-AU"/>
              </w:rPr>
              <w:t>Share spent on input steel (high, 38%)</w:t>
            </w:r>
          </w:p>
        </w:tc>
        <w:tc>
          <w:tcPr>
            <w:tcW w:w="457" w:type="pct"/>
            <w:tcBorders>
              <w:bottom w:val="nil"/>
            </w:tcBorders>
            <w:shd w:val="clear" w:color="000000" w:fill="E6E6E6"/>
            <w:noWrap/>
          </w:tcPr>
          <w:p w14:paraId="1513E8E6"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449</w:t>
            </w:r>
          </w:p>
        </w:tc>
        <w:tc>
          <w:tcPr>
            <w:tcW w:w="458" w:type="pct"/>
            <w:tcBorders>
              <w:bottom w:val="nil"/>
            </w:tcBorders>
            <w:shd w:val="clear" w:color="000000" w:fill="E6E6E6"/>
            <w:noWrap/>
          </w:tcPr>
          <w:p w14:paraId="37DA7D5F"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516</w:t>
            </w:r>
          </w:p>
        </w:tc>
        <w:tc>
          <w:tcPr>
            <w:tcW w:w="458" w:type="pct"/>
            <w:tcBorders>
              <w:bottom w:val="nil"/>
            </w:tcBorders>
            <w:shd w:val="clear" w:color="000000" w:fill="E6E6E6"/>
            <w:noWrap/>
          </w:tcPr>
          <w:p w14:paraId="540879BB"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549</w:t>
            </w:r>
          </w:p>
        </w:tc>
        <w:tc>
          <w:tcPr>
            <w:tcW w:w="458" w:type="pct"/>
            <w:tcBorders>
              <w:bottom w:val="nil"/>
            </w:tcBorders>
            <w:shd w:val="clear" w:color="000000" w:fill="E6E6E6"/>
            <w:noWrap/>
          </w:tcPr>
          <w:p w14:paraId="6432DB11"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565</w:t>
            </w:r>
          </w:p>
        </w:tc>
        <w:tc>
          <w:tcPr>
            <w:tcW w:w="458" w:type="pct"/>
            <w:tcBorders>
              <w:bottom w:val="nil"/>
            </w:tcBorders>
            <w:shd w:val="clear" w:color="000000" w:fill="E6E6E6"/>
            <w:noWrap/>
          </w:tcPr>
          <w:p w14:paraId="0E0AF6BE"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592</w:t>
            </w:r>
          </w:p>
        </w:tc>
        <w:tc>
          <w:tcPr>
            <w:tcW w:w="458" w:type="pct"/>
            <w:tcBorders>
              <w:bottom w:val="nil"/>
            </w:tcBorders>
            <w:shd w:val="clear" w:color="000000" w:fill="E6E6E6"/>
            <w:noWrap/>
          </w:tcPr>
          <w:p w14:paraId="55A88926"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542</w:t>
            </w:r>
          </w:p>
        </w:tc>
        <w:tc>
          <w:tcPr>
            <w:tcW w:w="458" w:type="pct"/>
            <w:tcBorders>
              <w:bottom w:val="nil"/>
            </w:tcBorders>
            <w:shd w:val="clear" w:color="000000" w:fill="E6E6E6"/>
            <w:noWrap/>
          </w:tcPr>
          <w:p w14:paraId="3DA26480"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602</w:t>
            </w:r>
          </w:p>
        </w:tc>
        <w:tc>
          <w:tcPr>
            <w:tcW w:w="458" w:type="pct"/>
            <w:tcBorders>
              <w:bottom w:val="nil"/>
            </w:tcBorders>
            <w:shd w:val="clear" w:color="000000" w:fill="E6E6E6"/>
            <w:noWrap/>
          </w:tcPr>
          <w:p w14:paraId="19F65958"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625</w:t>
            </w:r>
          </w:p>
        </w:tc>
        <w:tc>
          <w:tcPr>
            <w:tcW w:w="455" w:type="pct"/>
            <w:tcBorders>
              <w:bottom w:val="nil"/>
            </w:tcBorders>
            <w:shd w:val="clear" w:color="000000" w:fill="E6E6E6"/>
            <w:noWrap/>
          </w:tcPr>
          <w:p w14:paraId="1ACE4C74"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677</w:t>
            </w:r>
          </w:p>
        </w:tc>
      </w:tr>
      <w:tr w:rsidR="00BC1539" w:rsidRPr="009B72F2" w14:paraId="113E2208" w14:textId="77777777">
        <w:trPr>
          <w:trHeight w:val="264"/>
        </w:trPr>
        <w:tc>
          <w:tcPr>
            <w:tcW w:w="881" w:type="pct"/>
            <w:tcBorders>
              <w:top w:val="nil"/>
              <w:bottom w:val="nil"/>
            </w:tcBorders>
            <w:shd w:val="clear" w:color="000000" w:fill="auto"/>
            <w:noWrap/>
            <w:hideMark/>
          </w:tcPr>
          <w:p w14:paraId="7BE9792F" w14:textId="77777777" w:rsidR="00BC1539" w:rsidRPr="009B72F2" w:rsidRDefault="00BC1539" w:rsidP="00011592">
            <w:pPr>
              <w:spacing w:before="45" w:after="45" w:line="240" w:lineRule="auto"/>
              <w:ind w:left="57" w:right="108"/>
              <w:rPr>
                <w:rFonts w:eastAsia="Times New Roman" w:cs="Open Sans"/>
                <w:b/>
                <w:color w:val="1D4374"/>
                <w:sz w:val="18"/>
                <w:szCs w:val="18"/>
                <w:lang w:eastAsia="en-AU"/>
              </w:rPr>
            </w:pPr>
            <w:r w:rsidRPr="009B72F2">
              <w:rPr>
                <w:rFonts w:eastAsia="Times New Roman" w:cs="Open Sans"/>
                <w:b/>
                <w:color w:val="1D4374"/>
                <w:sz w:val="18"/>
                <w:szCs w:val="18"/>
                <w:lang w:eastAsia="en-AU"/>
              </w:rPr>
              <w:lastRenderedPageBreak/>
              <w:t>Share spent on input steel (low, 23%)</w:t>
            </w:r>
          </w:p>
        </w:tc>
        <w:tc>
          <w:tcPr>
            <w:tcW w:w="457" w:type="pct"/>
            <w:tcBorders>
              <w:top w:val="nil"/>
              <w:bottom w:val="nil"/>
            </w:tcBorders>
            <w:shd w:val="clear" w:color="000000" w:fill="auto"/>
            <w:noWrap/>
          </w:tcPr>
          <w:p w14:paraId="46DB0BF7"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313</w:t>
            </w:r>
          </w:p>
        </w:tc>
        <w:tc>
          <w:tcPr>
            <w:tcW w:w="458" w:type="pct"/>
            <w:tcBorders>
              <w:top w:val="nil"/>
              <w:bottom w:val="nil"/>
            </w:tcBorders>
            <w:shd w:val="clear" w:color="000000" w:fill="auto"/>
            <w:noWrap/>
          </w:tcPr>
          <w:p w14:paraId="5C66E15D"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359</w:t>
            </w:r>
          </w:p>
        </w:tc>
        <w:tc>
          <w:tcPr>
            <w:tcW w:w="458" w:type="pct"/>
            <w:tcBorders>
              <w:top w:val="nil"/>
              <w:bottom w:val="nil"/>
            </w:tcBorders>
            <w:shd w:val="clear" w:color="000000" w:fill="auto"/>
            <w:noWrap/>
          </w:tcPr>
          <w:p w14:paraId="71E0966E"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382</w:t>
            </w:r>
          </w:p>
        </w:tc>
        <w:tc>
          <w:tcPr>
            <w:tcW w:w="458" w:type="pct"/>
            <w:tcBorders>
              <w:top w:val="nil"/>
              <w:bottom w:val="nil"/>
            </w:tcBorders>
            <w:shd w:val="clear" w:color="000000" w:fill="auto"/>
            <w:noWrap/>
          </w:tcPr>
          <w:p w14:paraId="4FF7FE82"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394</w:t>
            </w:r>
          </w:p>
        </w:tc>
        <w:tc>
          <w:tcPr>
            <w:tcW w:w="458" w:type="pct"/>
            <w:tcBorders>
              <w:top w:val="nil"/>
              <w:bottom w:val="nil"/>
            </w:tcBorders>
            <w:shd w:val="clear" w:color="000000" w:fill="auto"/>
            <w:noWrap/>
          </w:tcPr>
          <w:p w14:paraId="77EBA780"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412</w:t>
            </w:r>
          </w:p>
        </w:tc>
        <w:tc>
          <w:tcPr>
            <w:tcW w:w="458" w:type="pct"/>
            <w:tcBorders>
              <w:top w:val="nil"/>
              <w:bottom w:val="nil"/>
            </w:tcBorders>
            <w:shd w:val="clear" w:color="000000" w:fill="auto"/>
            <w:noWrap/>
          </w:tcPr>
          <w:p w14:paraId="2685D762"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378</w:t>
            </w:r>
          </w:p>
        </w:tc>
        <w:tc>
          <w:tcPr>
            <w:tcW w:w="458" w:type="pct"/>
            <w:tcBorders>
              <w:top w:val="nil"/>
              <w:bottom w:val="nil"/>
            </w:tcBorders>
            <w:shd w:val="clear" w:color="000000" w:fill="auto"/>
            <w:noWrap/>
          </w:tcPr>
          <w:p w14:paraId="77A48412"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419</w:t>
            </w:r>
          </w:p>
        </w:tc>
        <w:tc>
          <w:tcPr>
            <w:tcW w:w="458" w:type="pct"/>
            <w:tcBorders>
              <w:top w:val="nil"/>
              <w:bottom w:val="nil"/>
            </w:tcBorders>
            <w:shd w:val="clear" w:color="000000" w:fill="auto"/>
            <w:noWrap/>
          </w:tcPr>
          <w:p w14:paraId="7D6B8C97"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436</w:t>
            </w:r>
          </w:p>
        </w:tc>
        <w:tc>
          <w:tcPr>
            <w:tcW w:w="455" w:type="pct"/>
            <w:tcBorders>
              <w:top w:val="nil"/>
              <w:bottom w:val="nil"/>
            </w:tcBorders>
            <w:shd w:val="clear" w:color="000000" w:fill="auto"/>
            <w:noWrap/>
          </w:tcPr>
          <w:p w14:paraId="21FD65FB"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472</w:t>
            </w:r>
          </w:p>
        </w:tc>
      </w:tr>
      <w:tr w:rsidR="00BC1539" w:rsidRPr="009B72F2" w14:paraId="693E5531" w14:textId="77777777">
        <w:trPr>
          <w:trHeight w:val="264"/>
        </w:trPr>
        <w:tc>
          <w:tcPr>
            <w:tcW w:w="881" w:type="pct"/>
            <w:tcBorders>
              <w:bottom w:val="nil"/>
            </w:tcBorders>
            <w:shd w:val="clear" w:color="000000" w:fill="E6E6E6"/>
            <w:noWrap/>
            <w:hideMark/>
          </w:tcPr>
          <w:p w14:paraId="17AC4A33" w14:textId="4031B67A" w:rsidR="00BC1539" w:rsidRPr="009B72F2" w:rsidRDefault="00BC1539" w:rsidP="00011592">
            <w:pPr>
              <w:spacing w:before="45" w:after="45" w:line="240" w:lineRule="auto"/>
              <w:ind w:left="57" w:right="108"/>
              <w:rPr>
                <w:rFonts w:eastAsia="Times New Roman" w:cs="Open Sans"/>
                <w:b/>
                <w:color w:val="1D4374"/>
                <w:sz w:val="18"/>
                <w:szCs w:val="18"/>
                <w:lang w:eastAsia="en-AU"/>
              </w:rPr>
            </w:pPr>
            <w:r w:rsidRPr="009B72F2">
              <w:rPr>
                <w:rFonts w:eastAsia="Times New Roman" w:cs="Open Sans"/>
                <w:b/>
                <w:color w:val="1D4374"/>
                <w:sz w:val="18"/>
                <w:szCs w:val="18"/>
                <w:lang w:eastAsia="en-AU"/>
              </w:rPr>
              <w:t xml:space="preserve">Average price (high, </w:t>
            </w:r>
            <w:r w:rsidR="00541146" w:rsidRPr="009B72F2">
              <w:rPr>
                <w:rFonts w:eastAsia="Times New Roman" w:cs="Open Sans"/>
                <w:b/>
                <w:color w:val="1D4374"/>
                <w:sz w:val="18"/>
                <w:szCs w:val="18"/>
                <w:lang w:eastAsia="en-AU"/>
              </w:rPr>
              <w:noBreakHyphen/>
            </w:r>
            <w:r w:rsidRPr="009B72F2">
              <w:rPr>
                <w:rFonts w:eastAsia="Times New Roman" w:cs="Open Sans"/>
                <w:b/>
                <w:color w:val="1D4374"/>
                <w:sz w:val="18"/>
                <w:szCs w:val="18"/>
                <w:lang w:eastAsia="en-AU"/>
              </w:rPr>
              <w:t>20%)</w:t>
            </w:r>
          </w:p>
        </w:tc>
        <w:tc>
          <w:tcPr>
            <w:tcW w:w="457" w:type="pct"/>
            <w:tcBorders>
              <w:bottom w:val="nil"/>
            </w:tcBorders>
            <w:shd w:val="clear" w:color="000000" w:fill="E6E6E6"/>
            <w:noWrap/>
          </w:tcPr>
          <w:p w14:paraId="47A75055"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450</w:t>
            </w:r>
          </w:p>
        </w:tc>
        <w:tc>
          <w:tcPr>
            <w:tcW w:w="458" w:type="pct"/>
            <w:tcBorders>
              <w:bottom w:val="nil"/>
            </w:tcBorders>
            <w:shd w:val="clear" w:color="000000" w:fill="E6E6E6"/>
            <w:noWrap/>
          </w:tcPr>
          <w:p w14:paraId="78C1A37E"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517</w:t>
            </w:r>
          </w:p>
        </w:tc>
        <w:tc>
          <w:tcPr>
            <w:tcW w:w="458" w:type="pct"/>
            <w:tcBorders>
              <w:bottom w:val="nil"/>
            </w:tcBorders>
            <w:shd w:val="clear" w:color="000000" w:fill="E6E6E6"/>
            <w:noWrap/>
          </w:tcPr>
          <w:p w14:paraId="37AA1814"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550</w:t>
            </w:r>
          </w:p>
        </w:tc>
        <w:tc>
          <w:tcPr>
            <w:tcW w:w="458" w:type="pct"/>
            <w:tcBorders>
              <w:bottom w:val="nil"/>
            </w:tcBorders>
            <w:shd w:val="clear" w:color="000000" w:fill="E6E6E6"/>
            <w:noWrap/>
          </w:tcPr>
          <w:p w14:paraId="136A821F"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566</w:t>
            </w:r>
          </w:p>
        </w:tc>
        <w:tc>
          <w:tcPr>
            <w:tcW w:w="458" w:type="pct"/>
            <w:tcBorders>
              <w:bottom w:val="nil"/>
            </w:tcBorders>
            <w:shd w:val="clear" w:color="000000" w:fill="E6E6E6"/>
            <w:noWrap/>
          </w:tcPr>
          <w:p w14:paraId="780EA458"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593</w:t>
            </w:r>
          </w:p>
        </w:tc>
        <w:tc>
          <w:tcPr>
            <w:tcW w:w="458" w:type="pct"/>
            <w:tcBorders>
              <w:bottom w:val="nil"/>
            </w:tcBorders>
            <w:shd w:val="clear" w:color="000000" w:fill="E6E6E6"/>
            <w:noWrap/>
          </w:tcPr>
          <w:p w14:paraId="64C3AFF0"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543</w:t>
            </w:r>
          </w:p>
        </w:tc>
        <w:tc>
          <w:tcPr>
            <w:tcW w:w="458" w:type="pct"/>
            <w:tcBorders>
              <w:bottom w:val="nil"/>
            </w:tcBorders>
            <w:shd w:val="clear" w:color="000000" w:fill="E6E6E6"/>
            <w:noWrap/>
          </w:tcPr>
          <w:p w14:paraId="424180A6"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603</w:t>
            </w:r>
          </w:p>
        </w:tc>
        <w:tc>
          <w:tcPr>
            <w:tcW w:w="458" w:type="pct"/>
            <w:tcBorders>
              <w:bottom w:val="nil"/>
            </w:tcBorders>
            <w:shd w:val="clear" w:color="000000" w:fill="E6E6E6"/>
            <w:noWrap/>
          </w:tcPr>
          <w:p w14:paraId="65F140CF"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626</w:t>
            </w:r>
          </w:p>
        </w:tc>
        <w:tc>
          <w:tcPr>
            <w:tcW w:w="455" w:type="pct"/>
            <w:tcBorders>
              <w:bottom w:val="nil"/>
            </w:tcBorders>
            <w:shd w:val="clear" w:color="000000" w:fill="E6E6E6"/>
            <w:noWrap/>
          </w:tcPr>
          <w:p w14:paraId="7350439A"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678</w:t>
            </w:r>
          </w:p>
        </w:tc>
      </w:tr>
      <w:tr w:rsidR="00BC1539" w:rsidRPr="009B72F2" w14:paraId="19FD21E6" w14:textId="77777777">
        <w:trPr>
          <w:trHeight w:val="264"/>
        </w:trPr>
        <w:tc>
          <w:tcPr>
            <w:tcW w:w="881" w:type="pct"/>
            <w:tcBorders>
              <w:top w:val="nil"/>
              <w:bottom w:val="nil"/>
            </w:tcBorders>
            <w:shd w:val="clear" w:color="000000" w:fill="auto"/>
            <w:noWrap/>
            <w:hideMark/>
          </w:tcPr>
          <w:p w14:paraId="17572886" w14:textId="77777777" w:rsidR="00BC1539" w:rsidRPr="009B72F2" w:rsidRDefault="00BC1539" w:rsidP="00011592">
            <w:pPr>
              <w:spacing w:before="45" w:after="45" w:line="240" w:lineRule="auto"/>
              <w:ind w:left="57" w:right="108"/>
              <w:rPr>
                <w:rFonts w:eastAsia="Times New Roman" w:cs="Open Sans"/>
                <w:b/>
                <w:color w:val="1D4374"/>
                <w:sz w:val="18"/>
                <w:szCs w:val="18"/>
                <w:lang w:eastAsia="en-AU"/>
              </w:rPr>
            </w:pPr>
            <w:r w:rsidRPr="009B72F2">
              <w:rPr>
                <w:rFonts w:eastAsia="Times New Roman" w:cs="Open Sans"/>
                <w:b/>
                <w:color w:val="1D4374"/>
                <w:sz w:val="18"/>
                <w:szCs w:val="18"/>
                <w:lang w:eastAsia="en-AU"/>
              </w:rPr>
              <w:t>Average price (low, +20%)</w:t>
            </w:r>
          </w:p>
        </w:tc>
        <w:tc>
          <w:tcPr>
            <w:tcW w:w="457" w:type="pct"/>
            <w:tcBorders>
              <w:top w:val="nil"/>
              <w:bottom w:val="nil"/>
            </w:tcBorders>
            <w:shd w:val="clear" w:color="000000" w:fill="auto"/>
            <w:noWrap/>
          </w:tcPr>
          <w:p w14:paraId="05BA497E"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300</w:t>
            </w:r>
          </w:p>
        </w:tc>
        <w:tc>
          <w:tcPr>
            <w:tcW w:w="458" w:type="pct"/>
            <w:tcBorders>
              <w:top w:val="nil"/>
              <w:bottom w:val="nil"/>
            </w:tcBorders>
            <w:shd w:val="clear" w:color="000000" w:fill="auto"/>
            <w:noWrap/>
          </w:tcPr>
          <w:p w14:paraId="56A20BB6"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345</w:t>
            </w:r>
          </w:p>
        </w:tc>
        <w:tc>
          <w:tcPr>
            <w:tcW w:w="458" w:type="pct"/>
            <w:tcBorders>
              <w:top w:val="nil"/>
              <w:bottom w:val="nil"/>
            </w:tcBorders>
            <w:shd w:val="clear" w:color="000000" w:fill="auto"/>
            <w:noWrap/>
          </w:tcPr>
          <w:p w14:paraId="21A83403"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367</w:t>
            </w:r>
          </w:p>
        </w:tc>
        <w:tc>
          <w:tcPr>
            <w:tcW w:w="458" w:type="pct"/>
            <w:tcBorders>
              <w:top w:val="nil"/>
              <w:bottom w:val="nil"/>
            </w:tcBorders>
            <w:shd w:val="clear" w:color="000000" w:fill="auto"/>
            <w:noWrap/>
          </w:tcPr>
          <w:p w14:paraId="4CE02A56"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377</w:t>
            </w:r>
          </w:p>
        </w:tc>
        <w:tc>
          <w:tcPr>
            <w:tcW w:w="458" w:type="pct"/>
            <w:tcBorders>
              <w:top w:val="nil"/>
              <w:bottom w:val="nil"/>
            </w:tcBorders>
            <w:shd w:val="clear" w:color="000000" w:fill="auto"/>
            <w:noWrap/>
          </w:tcPr>
          <w:p w14:paraId="4EC4F783"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395</w:t>
            </w:r>
          </w:p>
        </w:tc>
        <w:tc>
          <w:tcPr>
            <w:tcW w:w="458" w:type="pct"/>
            <w:tcBorders>
              <w:top w:val="nil"/>
              <w:bottom w:val="nil"/>
            </w:tcBorders>
            <w:shd w:val="clear" w:color="000000" w:fill="auto"/>
            <w:noWrap/>
          </w:tcPr>
          <w:p w14:paraId="7558475C"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362</w:t>
            </w:r>
          </w:p>
        </w:tc>
        <w:tc>
          <w:tcPr>
            <w:tcW w:w="458" w:type="pct"/>
            <w:tcBorders>
              <w:top w:val="nil"/>
              <w:bottom w:val="nil"/>
            </w:tcBorders>
            <w:shd w:val="clear" w:color="000000" w:fill="auto"/>
            <w:noWrap/>
          </w:tcPr>
          <w:p w14:paraId="56B68E67"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402</w:t>
            </w:r>
          </w:p>
        </w:tc>
        <w:tc>
          <w:tcPr>
            <w:tcW w:w="458" w:type="pct"/>
            <w:tcBorders>
              <w:top w:val="nil"/>
              <w:bottom w:val="nil"/>
            </w:tcBorders>
            <w:shd w:val="clear" w:color="000000" w:fill="auto"/>
            <w:noWrap/>
          </w:tcPr>
          <w:p w14:paraId="3481FA88"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418</w:t>
            </w:r>
          </w:p>
        </w:tc>
        <w:tc>
          <w:tcPr>
            <w:tcW w:w="455" w:type="pct"/>
            <w:tcBorders>
              <w:top w:val="nil"/>
              <w:bottom w:val="nil"/>
            </w:tcBorders>
            <w:shd w:val="clear" w:color="000000" w:fill="auto"/>
            <w:noWrap/>
          </w:tcPr>
          <w:p w14:paraId="79750992"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452</w:t>
            </w:r>
          </w:p>
        </w:tc>
      </w:tr>
      <w:tr w:rsidR="00BC1539" w:rsidRPr="009B72F2" w14:paraId="6906C3D2" w14:textId="77777777" w:rsidTr="00011592">
        <w:trPr>
          <w:trHeight w:val="264"/>
        </w:trPr>
        <w:tc>
          <w:tcPr>
            <w:tcW w:w="881" w:type="pct"/>
            <w:tcBorders>
              <w:bottom w:val="nil"/>
            </w:tcBorders>
            <w:shd w:val="clear" w:color="000000" w:fill="E6E6E6"/>
            <w:noWrap/>
            <w:hideMark/>
          </w:tcPr>
          <w:p w14:paraId="1F0A31C6" w14:textId="77777777" w:rsidR="00BC1539" w:rsidRPr="009B72F2" w:rsidRDefault="00BC1539" w:rsidP="00011592">
            <w:pPr>
              <w:spacing w:before="45" w:after="45" w:line="240" w:lineRule="auto"/>
              <w:ind w:left="57" w:right="108"/>
              <w:rPr>
                <w:rFonts w:eastAsia="Times New Roman" w:cs="Open Sans"/>
                <w:b/>
                <w:color w:val="1D4374"/>
                <w:spacing w:val="-4"/>
                <w:sz w:val="18"/>
                <w:szCs w:val="18"/>
                <w:lang w:eastAsia="en-AU"/>
              </w:rPr>
            </w:pPr>
            <w:r w:rsidRPr="009B72F2">
              <w:rPr>
                <w:rFonts w:eastAsia="Times New Roman" w:cs="Open Sans"/>
                <w:b/>
                <w:color w:val="1D4374"/>
                <w:spacing w:val="-4"/>
                <w:sz w:val="18"/>
                <w:szCs w:val="18"/>
                <w:lang w:eastAsia="en-AU"/>
              </w:rPr>
              <w:t>Offcuts (high, 5%)</w:t>
            </w:r>
          </w:p>
        </w:tc>
        <w:tc>
          <w:tcPr>
            <w:tcW w:w="457" w:type="pct"/>
            <w:tcBorders>
              <w:bottom w:val="nil"/>
            </w:tcBorders>
            <w:shd w:val="clear" w:color="000000" w:fill="E6E6E6"/>
            <w:noWrap/>
          </w:tcPr>
          <w:p w14:paraId="65243BC4"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370</w:t>
            </w:r>
          </w:p>
        </w:tc>
        <w:tc>
          <w:tcPr>
            <w:tcW w:w="458" w:type="pct"/>
            <w:tcBorders>
              <w:bottom w:val="nil"/>
            </w:tcBorders>
            <w:shd w:val="clear" w:color="000000" w:fill="E6E6E6"/>
            <w:noWrap/>
          </w:tcPr>
          <w:p w14:paraId="3A15A8F1"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425</w:t>
            </w:r>
          </w:p>
        </w:tc>
        <w:tc>
          <w:tcPr>
            <w:tcW w:w="458" w:type="pct"/>
            <w:tcBorders>
              <w:bottom w:val="nil"/>
            </w:tcBorders>
            <w:shd w:val="clear" w:color="000000" w:fill="E6E6E6"/>
            <w:noWrap/>
          </w:tcPr>
          <w:p w14:paraId="6BFEFE1D"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452</w:t>
            </w:r>
          </w:p>
        </w:tc>
        <w:tc>
          <w:tcPr>
            <w:tcW w:w="458" w:type="pct"/>
            <w:tcBorders>
              <w:bottom w:val="nil"/>
            </w:tcBorders>
            <w:shd w:val="clear" w:color="000000" w:fill="E6E6E6"/>
            <w:noWrap/>
          </w:tcPr>
          <w:p w14:paraId="30679333"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465</w:t>
            </w:r>
          </w:p>
        </w:tc>
        <w:tc>
          <w:tcPr>
            <w:tcW w:w="458" w:type="pct"/>
            <w:tcBorders>
              <w:bottom w:val="nil"/>
            </w:tcBorders>
            <w:shd w:val="clear" w:color="000000" w:fill="E6E6E6"/>
            <w:noWrap/>
          </w:tcPr>
          <w:p w14:paraId="1086DE54"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487</w:t>
            </w:r>
          </w:p>
        </w:tc>
        <w:tc>
          <w:tcPr>
            <w:tcW w:w="458" w:type="pct"/>
            <w:tcBorders>
              <w:bottom w:val="nil"/>
            </w:tcBorders>
            <w:shd w:val="clear" w:color="000000" w:fill="E6E6E6"/>
            <w:noWrap/>
          </w:tcPr>
          <w:p w14:paraId="210BE4FB"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446</w:t>
            </w:r>
          </w:p>
        </w:tc>
        <w:tc>
          <w:tcPr>
            <w:tcW w:w="458" w:type="pct"/>
            <w:tcBorders>
              <w:bottom w:val="nil"/>
            </w:tcBorders>
            <w:shd w:val="clear" w:color="000000" w:fill="E6E6E6"/>
            <w:noWrap/>
          </w:tcPr>
          <w:p w14:paraId="605C27F4"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495</w:t>
            </w:r>
          </w:p>
        </w:tc>
        <w:tc>
          <w:tcPr>
            <w:tcW w:w="458" w:type="pct"/>
            <w:tcBorders>
              <w:bottom w:val="nil"/>
            </w:tcBorders>
            <w:shd w:val="clear" w:color="000000" w:fill="E6E6E6"/>
            <w:noWrap/>
          </w:tcPr>
          <w:p w14:paraId="4A75B360"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515</w:t>
            </w:r>
          </w:p>
        </w:tc>
        <w:tc>
          <w:tcPr>
            <w:tcW w:w="455" w:type="pct"/>
            <w:tcBorders>
              <w:bottom w:val="nil"/>
            </w:tcBorders>
            <w:shd w:val="clear" w:color="000000" w:fill="E6E6E6"/>
            <w:noWrap/>
          </w:tcPr>
          <w:p w14:paraId="206F4DC2"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557</w:t>
            </w:r>
          </w:p>
        </w:tc>
      </w:tr>
      <w:tr w:rsidR="00BC1539" w:rsidRPr="009B72F2" w14:paraId="7E4A2377" w14:textId="77777777" w:rsidTr="00011592">
        <w:trPr>
          <w:trHeight w:val="264"/>
        </w:trPr>
        <w:tc>
          <w:tcPr>
            <w:tcW w:w="881" w:type="pct"/>
            <w:tcBorders>
              <w:top w:val="nil"/>
              <w:bottom w:val="single" w:sz="4" w:space="0" w:color="BFBFBF"/>
            </w:tcBorders>
            <w:shd w:val="clear" w:color="000000" w:fill="auto"/>
            <w:noWrap/>
            <w:hideMark/>
          </w:tcPr>
          <w:p w14:paraId="43933FE8" w14:textId="77777777" w:rsidR="00BC1539" w:rsidRPr="009B72F2" w:rsidRDefault="00BC1539" w:rsidP="009B72F2">
            <w:pPr>
              <w:spacing w:before="45" w:after="45" w:line="240" w:lineRule="auto"/>
              <w:ind w:left="57" w:right="57"/>
              <w:rPr>
                <w:rFonts w:eastAsia="Times New Roman" w:cs="Open Sans"/>
                <w:b/>
                <w:color w:val="1D4374"/>
                <w:spacing w:val="-4"/>
                <w:sz w:val="18"/>
                <w:szCs w:val="18"/>
                <w:lang w:eastAsia="en-AU"/>
              </w:rPr>
            </w:pPr>
            <w:r w:rsidRPr="009B72F2">
              <w:rPr>
                <w:rFonts w:eastAsia="Times New Roman" w:cs="Open Sans"/>
                <w:b/>
                <w:color w:val="1D4374"/>
                <w:spacing w:val="-4"/>
                <w:sz w:val="18"/>
                <w:szCs w:val="18"/>
                <w:lang w:eastAsia="en-AU"/>
              </w:rPr>
              <w:t>Offcuts (low, 10%)</w:t>
            </w:r>
          </w:p>
        </w:tc>
        <w:tc>
          <w:tcPr>
            <w:tcW w:w="457" w:type="pct"/>
            <w:tcBorders>
              <w:top w:val="nil"/>
              <w:bottom w:val="single" w:sz="4" w:space="0" w:color="BFBFBF"/>
            </w:tcBorders>
            <w:shd w:val="clear" w:color="000000" w:fill="auto"/>
            <w:noWrap/>
          </w:tcPr>
          <w:p w14:paraId="03078159"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350</w:t>
            </w:r>
          </w:p>
        </w:tc>
        <w:tc>
          <w:tcPr>
            <w:tcW w:w="458" w:type="pct"/>
            <w:tcBorders>
              <w:top w:val="nil"/>
              <w:bottom w:val="single" w:sz="4" w:space="0" w:color="BFBFBF"/>
            </w:tcBorders>
            <w:shd w:val="clear" w:color="000000" w:fill="auto"/>
            <w:noWrap/>
          </w:tcPr>
          <w:p w14:paraId="51F9F38B"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402</w:t>
            </w:r>
          </w:p>
        </w:tc>
        <w:tc>
          <w:tcPr>
            <w:tcW w:w="458" w:type="pct"/>
            <w:tcBorders>
              <w:top w:val="nil"/>
              <w:bottom w:val="single" w:sz="4" w:space="0" w:color="BFBFBF"/>
            </w:tcBorders>
            <w:shd w:val="clear" w:color="000000" w:fill="auto"/>
            <w:noWrap/>
          </w:tcPr>
          <w:p w14:paraId="7D010EE2"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428</w:t>
            </w:r>
          </w:p>
        </w:tc>
        <w:tc>
          <w:tcPr>
            <w:tcW w:w="458" w:type="pct"/>
            <w:tcBorders>
              <w:top w:val="nil"/>
              <w:bottom w:val="single" w:sz="4" w:space="0" w:color="BFBFBF"/>
            </w:tcBorders>
            <w:shd w:val="clear" w:color="000000" w:fill="auto"/>
            <w:noWrap/>
          </w:tcPr>
          <w:p w14:paraId="2CA500D2"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441</w:t>
            </w:r>
          </w:p>
        </w:tc>
        <w:tc>
          <w:tcPr>
            <w:tcW w:w="458" w:type="pct"/>
            <w:tcBorders>
              <w:top w:val="nil"/>
              <w:bottom w:val="single" w:sz="4" w:space="0" w:color="BFBFBF"/>
            </w:tcBorders>
            <w:shd w:val="clear" w:color="000000" w:fill="auto"/>
            <w:noWrap/>
          </w:tcPr>
          <w:p w14:paraId="511D308F"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462</w:t>
            </w:r>
          </w:p>
        </w:tc>
        <w:tc>
          <w:tcPr>
            <w:tcW w:w="458" w:type="pct"/>
            <w:tcBorders>
              <w:top w:val="nil"/>
              <w:bottom w:val="single" w:sz="4" w:space="0" w:color="BFBFBF"/>
            </w:tcBorders>
            <w:shd w:val="clear" w:color="000000" w:fill="auto"/>
            <w:noWrap/>
          </w:tcPr>
          <w:p w14:paraId="67DCC799"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423</w:t>
            </w:r>
          </w:p>
        </w:tc>
        <w:tc>
          <w:tcPr>
            <w:tcW w:w="458" w:type="pct"/>
            <w:tcBorders>
              <w:top w:val="nil"/>
              <w:bottom w:val="single" w:sz="4" w:space="0" w:color="BFBFBF"/>
            </w:tcBorders>
            <w:shd w:val="clear" w:color="000000" w:fill="auto"/>
            <w:noWrap/>
          </w:tcPr>
          <w:p w14:paraId="1BE216C5"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469</w:t>
            </w:r>
          </w:p>
        </w:tc>
        <w:tc>
          <w:tcPr>
            <w:tcW w:w="458" w:type="pct"/>
            <w:tcBorders>
              <w:top w:val="nil"/>
              <w:bottom w:val="single" w:sz="4" w:space="0" w:color="BFBFBF"/>
            </w:tcBorders>
            <w:shd w:val="clear" w:color="000000" w:fill="auto"/>
            <w:noWrap/>
          </w:tcPr>
          <w:p w14:paraId="4B904368"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487</w:t>
            </w:r>
          </w:p>
        </w:tc>
        <w:tc>
          <w:tcPr>
            <w:tcW w:w="455" w:type="pct"/>
            <w:tcBorders>
              <w:top w:val="nil"/>
              <w:bottom w:val="single" w:sz="4" w:space="0" w:color="BFBFBF"/>
            </w:tcBorders>
            <w:shd w:val="clear" w:color="000000" w:fill="auto"/>
            <w:noWrap/>
          </w:tcPr>
          <w:p w14:paraId="7876BD53" w14:textId="77777777" w:rsidR="00BC1539" w:rsidRPr="009B72F2" w:rsidRDefault="00BC1539" w:rsidP="002F3A27">
            <w:pPr>
              <w:spacing w:before="45" w:after="45" w:line="240" w:lineRule="auto"/>
              <w:ind w:left="57" w:right="108"/>
              <w:jc w:val="right"/>
              <w:rPr>
                <w:rFonts w:eastAsia="Times New Roman" w:cs="Open Sans"/>
                <w:color w:val="000000"/>
                <w:sz w:val="18"/>
                <w:szCs w:val="18"/>
                <w:lang w:eastAsia="en-AU"/>
              </w:rPr>
            </w:pPr>
            <w:r w:rsidRPr="009B72F2">
              <w:rPr>
                <w:rFonts w:eastAsia="Times New Roman" w:cs="Open Sans"/>
                <w:color w:val="000000"/>
                <w:sz w:val="18"/>
                <w:szCs w:val="18"/>
                <w:lang w:eastAsia="en-AU"/>
              </w:rPr>
              <w:t>528</w:t>
            </w:r>
          </w:p>
        </w:tc>
      </w:tr>
    </w:tbl>
    <w:p w14:paraId="7D3F986B" w14:textId="77777777" w:rsidR="00BC1539" w:rsidRPr="00E41B6B" w:rsidRDefault="00BC1539" w:rsidP="009B72F2">
      <w:pPr>
        <w:pStyle w:val="Source"/>
        <w:spacing w:after="360"/>
      </w:pPr>
      <w:r w:rsidRPr="00701ED7">
        <w:t xml:space="preserve">Source: </w:t>
      </w:r>
      <w:r>
        <w:t>PC analysis of data from inquiry participants and the ABS.</w:t>
      </w:r>
    </w:p>
    <w:p w14:paraId="0BC73B62" w14:textId="0115DCC1" w:rsidR="00BC1539" w:rsidRDefault="00BC1539" w:rsidP="00011592">
      <w:pPr>
        <w:pStyle w:val="Caption"/>
      </w:pPr>
      <w:r>
        <w:t>Table B.</w:t>
      </w:r>
      <w:r w:rsidR="007D7365">
        <w:t>5</w:t>
      </w:r>
      <w:r>
        <w:rPr>
          <w:noProof/>
        </w:rPr>
        <w:t xml:space="preserve"> – </w:t>
      </w:r>
      <w:r>
        <w:t>Sensitivity scenarios for relative imports based on conservative population</w:t>
      </w:r>
    </w:p>
    <w:p w14:paraId="753DD17A" w14:textId="77777777" w:rsidR="00BC1539" w:rsidRDefault="00BC1539" w:rsidP="00011592">
      <w:pPr>
        <w:pStyle w:val="FigureTableSubheading"/>
      </w:pPr>
      <w:r>
        <w:t>Ratio of tonnes imported to tonnes produced</w:t>
      </w:r>
    </w:p>
    <w:tbl>
      <w:tblPr>
        <w:tblW w:w="5000" w:type="pct"/>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2989"/>
        <w:gridCol w:w="1017"/>
        <w:gridCol w:w="1018"/>
        <w:gridCol w:w="1018"/>
        <w:gridCol w:w="1018"/>
        <w:gridCol w:w="1020"/>
        <w:gridCol w:w="1558"/>
      </w:tblGrid>
      <w:tr w:rsidR="00BC1539" w:rsidRPr="00EB0DCD" w14:paraId="7B65F4CC" w14:textId="77777777">
        <w:trPr>
          <w:trHeight w:val="276"/>
          <w:tblHeader/>
        </w:trPr>
        <w:tc>
          <w:tcPr>
            <w:tcW w:w="1551" w:type="pct"/>
            <w:tcBorders>
              <w:bottom w:val="single" w:sz="4" w:space="0" w:color="B3B3B3"/>
            </w:tcBorders>
            <w:shd w:val="clear" w:color="000000" w:fill="auto"/>
            <w:noWrap/>
            <w:vAlign w:val="bottom"/>
            <w:hideMark/>
          </w:tcPr>
          <w:p w14:paraId="5F9A1BF8" w14:textId="77777777" w:rsidR="00BC1539" w:rsidRPr="004F388C" w:rsidRDefault="00BC1539">
            <w:pPr>
              <w:spacing w:before="45" w:after="45" w:line="240" w:lineRule="auto"/>
              <w:ind w:left="57" w:right="108"/>
              <w:rPr>
                <w:rFonts w:eastAsia="Times New Roman" w:cs="Open Sans"/>
                <w:b/>
                <w:color w:val="1D4374"/>
                <w:sz w:val="18"/>
                <w:lang w:eastAsia="en-AU"/>
              </w:rPr>
            </w:pPr>
          </w:p>
        </w:tc>
        <w:tc>
          <w:tcPr>
            <w:tcW w:w="528" w:type="pct"/>
            <w:tcBorders>
              <w:bottom w:val="single" w:sz="4" w:space="0" w:color="B3B3B3"/>
            </w:tcBorders>
            <w:shd w:val="clear" w:color="000000" w:fill="auto"/>
            <w:noWrap/>
            <w:vAlign w:val="bottom"/>
            <w:hideMark/>
          </w:tcPr>
          <w:p w14:paraId="362FF39A" w14:textId="062AA216" w:rsidR="00BC1539" w:rsidRPr="004F388C" w:rsidRDefault="00BC1539" w:rsidP="002F3A27">
            <w:pPr>
              <w:spacing w:before="45" w:after="45" w:line="240" w:lineRule="auto"/>
              <w:ind w:left="57" w:right="108"/>
              <w:jc w:val="right"/>
              <w:rPr>
                <w:rFonts w:eastAsia="Times New Roman" w:cs="Open Sans"/>
                <w:b/>
                <w:bCs/>
                <w:color w:val="1D4374"/>
                <w:sz w:val="18"/>
                <w:szCs w:val="18"/>
                <w:lang w:eastAsia="en-AU"/>
              </w:rPr>
            </w:pPr>
            <w:r w:rsidRPr="004F388C">
              <w:rPr>
                <w:rFonts w:eastAsia="Times New Roman" w:cs="Open Sans"/>
                <w:b/>
                <w:bCs/>
                <w:color w:val="1D4374"/>
                <w:sz w:val="18"/>
                <w:szCs w:val="18"/>
                <w:lang w:eastAsia="en-AU"/>
              </w:rPr>
              <w:t>2020</w:t>
            </w:r>
            <w:r w:rsidR="0090267A">
              <w:rPr>
                <w:rFonts w:eastAsia="Times New Roman" w:cs="Open Sans"/>
                <w:b/>
                <w:bCs/>
                <w:color w:val="1D4374"/>
                <w:sz w:val="18"/>
                <w:szCs w:val="18"/>
                <w:lang w:eastAsia="en-AU"/>
              </w:rPr>
              <w:t>–</w:t>
            </w:r>
            <w:r w:rsidRPr="004F388C">
              <w:rPr>
                <w:rFonts w:eastAsia="Times New Roman" w:cs="Open Sans"/>
                <w:b/>
                <w:bCs/>
                <w:color w:val="1D4374"/>
                <w:sz w:val="18"/>
                <w:szCs w:val="18"/>
                <w:lang w:eastAsia="en-AU"/>
              </w:rPr>
              <w:t>21</w:t>
            </w:r>
          </w:p>
        </w:tc>
        <w:tc>
          <w:tcPr>
            <w:tcW w:w="528" w:type="pct"/>
            <w:tcBorders>
              <w:bottom w:val="single" w:sz="4" w:space="0" w:color="B3B3B3"/>
            </w:tcBorders>
            <w:shd w:val="clear" w:color="000000" w:fill="auto"/>
            <w:noWrap/>
            <w:vAlign w:val="bottom"/>
            <w:hideMark/>
          </w:tcPr>
          <w:p w14:paraId="68A1341C" w14:textId="7074A289" w:rsidR="00BC1539" w:rsidRPr="004F388C" w:rsidRDefault="00BC1539" w:rsidP="002F3A27">
            <w:pPr>
              <w:spacing w:before="45" w:after="45" w:line="240" w:lineRule="auto"/>
              <w:ind w:left="57" w:right="108"/>
              <w:jc w:val="right"/>
              <w:rPr>
                <w:rFonts w:eastAsia="Times New Roman" w:cs="Open Sans"/>
                <w:b/>
                <w:bCs/>
                <w:color w:val="1D4374"/>
                <w:sz w:val="18"/>
                <w:szCs w:val="18"/>
                <w:lang w:eastAsia="en-AU"/>
              </w:rPr>
            </w:pPr>
            <w:r w:rsidRPr="004F388C">
              <w:rPr>
                <w:rFonts w:eastAsia="Times New Roman" w:cs="Open Sans"/>
                <w:b/>
                <w:bCs/>
                <w:color w:val="1D4374"/>
                <w:sz w:val="18"/>
                <w:szCs w:val="18"/>
                <w:lang w:eastAsia="en-AU"/>
              </w:rPr>
              <w:t>2021</w:t>
            </w:r>
            <w:r w:rsidR="0090267A">
              <w:rPr>
                <w:rFonts w:eastAsia="Times New Roman" w:cs="Open Sans"/>
                <w:b/>
                <w:bCs/>
                <w:color w:val="1D4374"/>
                <w:sz w:val="18"/>
                <w:szCs w:val="18"/>
                <w:lang w:eastAsia="en-AU"/>
              </w:rPr>
              <w:t>–</w:t>
            </w:r>
            <w:r w:rsidRPr="004F388C">
              <w:rPr>
                <w:rFonts w:eastAsia="Times New Roman" w:cs="Open Sans"/>
                <w:b/>
                <w:bCs/>
                <w:color w:val="1D4374"/>
                <w:sz w:val="18"/>
                <w:szCs w:val="18"/>
                <w:lang w:eastAsia="en-AU"/>
              </w:rPr>
              <w:t>22</w:t>
            </w:r>
          </w:p>
        </w:tc>
        <w:tc>
          <w:tcPr>
            <w:tcW w:w="528" w:type="pct"/>
            <w:tcBorders>
              <w:bottom w:val="single" w:sz="4" w:space="0" w:color="B3B3B3"/>
            </w:tcBorders>
            <w:shd w:val="clear" w:color="000000" w:fill="auto"/>
            <w:noWrap/>
            <w:vAlign w:val="bottom"/>
            <w:hideMark/>
          </w:tcPr>
          <w:p w14:paraId="0B58F5DC" w14:textId="36CBCEC9" w:rsidR="00BC1539" w:rsidRPr="004F388C" w:rsidRDefault="00BC1539" w:rsidP="002F3A27">
            <w:pPr>
              <w:spacing w:before="45" w:after="45" w:line="240" w:lineRule="auto"/>
              <w:ind w:left="57" w:right="108"/>
              <w:jc w:val="right"/>
              <w:rPr>
                <w:rFonts w:eastAsia="Times New Roman" w:cs="Open Sans"/>
                <w:b/>
                <w:bCs/>
                <w:color w:val="1D4374"/>
                <w:sz w:val="18"/>
                <w:szCs w:val="18"/>
                <w:lang w:eastAsia="en-AU"/>
              </w:rPr>
            </w:pPr>
            <w:r w:rsidRPr="004F388C">
              <w:rPr>
                <w:rFonts w:eastAsia="Times New Roman" w:cs="Open Sans"/>
                <w:b/>
                <w:bCs/>
                <w:color w:val="1D4374"/>
                <w:sz w:val="18"/>
                <w:szCs w:val="18"/>
                <w:lang w:eastAsia="en-AU"/>
              </w:rPr>
              <w:t>2022</w:t>
            </w:r>
            <w:r w:rsidR="0090267A">
              <w:rPr>
                <w:rFonts w:eastAsia="Times New Roman" w:cs="Open Sans"/>
                <w:b/>
                <w:bCs/>
                <w:color w:val="1D4374"/>
                <w:sz w:val="18"/>
                <w:szCs w:val="18"/>
                <w:lang w:eastAsia="en-AU"/>
              </w:rPr>
              <w:t>–</w:t>
            </w:r>
            <w:r w:rsidRPr="004F388C">
              <w:rPr>
                <w:rFonts w:eastAsia="Times New Roman" w:cs="Open Sans"/>
                <w:b/>
                <w:bCs/>
                <w:color w:val="1D4374"/>
                <w:sz w:val="18"/>
                <w:szCs w:val="18"/>
                <w:lang w:eastAsia="en-AU"/>
              </w:rPr>
              <w:t>23</w:t>
            </w:r>
          </w:p>
        </w:tc>
        <w:tc>
          <w:tcPr>
            <w:tcW w:w="528" w:type="pct"/>
            <w:tcBorders>
              <w:bottom w:val="single" w:sz="4" w:space="0" w:color="B3B3B3"/>
            </w:tcBorders>
            <w:shd w:val="clear" w:color="000000" w:fill="auto"/>
            <w:noWrap/>
            <w:vAlign w:val="bottom"/>
            <w:hideMark/>
          </w:tcPr>
          <w:p w14:paraId="6EDCAAAC" w14:textId="3EA7ADCA" w:rsidR="00BC1539" w:rsidRPr="004F388C" w:rsidRDefault="00BC1539" w:rsidP="002F3A27">
            <w:pPr>
              <w:spacing w:before="45" w:after="45" w:line="240" w:lineRule="auto"/>
              <w:ind w:left="57" w:right="108"/>
              <w:jc w:val="right"/>
              <w:rPr>
                <w:rFonts w:eastAsia="Times New Roman" w:cs="Open Sans"/>
                <w:b/>
                <w:bCs/>
                <w:color w:val="1D4374"/>
                <w:sz w:val="18"/>
                <w:szCs w:val="18"/>
                <w:lang w:eastAsia="en-AU"/>
              </w:rPr>
            </w:pPr>
            <w:r w:rsidRPr="004F388C">
              <w:rPr>
                <w:rFonts w:eastAsia="Times New Roman" w:cs="Open Sans"/>
                <w:b/>
                <w:bCs/>
                <w:color w:val="1D4374"/>
                <w:sz w:val="18"/>
                <w:szCs w:val="18"/>
                <w:lang w:eastAsia="en-AU"/>
              </w:rPr>
              <w:t>2023</w:t>
            </w:r>
            <w:r w:rsidR="0090267A">
              <w:rPr>
                <w:rFonts w:eastAsia="Times New Roman" w:cs="Open Sans"/>
                <w:b/>
                <w:bCs/>
                <w:color w:val="1D4374"/>
                <w:sz w:val="18"/>
                <w:szCs w:val="18"/>
                <w:lang w:eastAsia="en-AU"/>
              </w:rPr>
              <w:t>–</w:t>
            </w:r>
            <w:r w:rsidRPr="004F388C">
              <w:rPr>
                <w:rFonts w:eastAsia="Times New Roman" w:cs="Open Sans"/>
                <w:b/>
                <w:bCs/>
                <w:color w:val="1D4374"/>
                <w:sz w:val="18"/>
                <w:szCs w:val="18"/>
                <w:lang w:eastAsia="en-AU"/>
              </w:rPr>
              <w:t>24</w:t>
            </w:r>
          </w:p>
        </w:tc>
        <w:tc>
          <w:tcPr>
            <w:tcW w:w="529" w:type="pct"/>
            <w:tcBorders>
              <w:bottom w:val="single" w:sz="4" w:space="0" w:color="B3B3B3"/>
            </w:tcBorders>
            <w:shd w:val="clear" w:color="000000" w:fill="auto"/>
            <w:noWrap/>
            <w:vAlign w:val="bottom"/>
            <w:hideMark/>
          </w:tcPr>
          <w:p w14:paraId="228C79B4" w14:textId="32ECB3DE" w:rsidR="00BC1539" w:rsidRPr="004F388C" w:rsidRDefault="00BC1539" w:rsidP="002F3A27">
            <w:pPr>
              <w:spacing w:before="45" w:after="45" w:line="240" w:lineRule="auto"/>
              <w:ind w:left="57" w:right="108"/>
              <w:jc w:val="right"/>
              <w:rPr>
                <w:rFonts w:eastAsia="Times New Roman" w:cs="Open Sans"/>
                <w:b/>
                <w:bCs/>
                <w:color w:val="1D4374"/>
                <w:sz w:val="18"/>
                <w:szCs w:val="18"/>
                <w:lang w:eastAsia="en-AU"/>
              </w:rPr>
            </w:pPr>
            <w:r w:rsidRPr="004F388C">
              <w:rPr>
                <w:rFonts w:eastAsia="Times New Roman" w:cs="Open Sans"/>
                <w:b/>
                <w:bCs/>
                <w:color w:val="1D4374"/>
                <w:sz w:val="18"/>
                <w:szCs w:val="18"/>
                <w:lang w:eastAsia="en-AU"/>
              </w:rPr>
              <w:t>2024</w:t>
            </w:r>
            <w:r w:rsidR="0090267A">
              <w:rPr>
                <w:rFonts w:eastAsia="Times New Roman" w:cs="Open Sans"/>
                <w:b/>
                <w:bCs/>
                <w:color w:val="1D4374"/>
                <w:sz w:val="18"/>
                <w:szCs w:val="18"/>
                <w:lang w:eastAsia="en-AU"/>
              </w:rPr>
              <w:t>–</w:t>
            </w:r>
            <w:r w:rsidRPr="004F388C">
              <w:rPr>
                <w:rFonts w:eastAsia="Times New Roman" w:cs="Open Sans"/>
                <w:b/>
                <w:bCs/>
                <w:color w:val="1D4374"/>
                <w:sz w:val="18"/>
                <w:szCs w:val="18"/>
                <w:lang w:eastAsia="en-AU"/>
              </w:rPr>
              <w:t>25</w:t>
            </w:r>
          </w:p>
        </w:tc>
        <w:tc>
          <w:tcPr>
            <w:tcW w:w="808" w:type="pct"/>
            <w:tcBorders>
              <w:bottom w:val="single" w:sz="4" w:space="0" w:color="B3B3B3"/>
            </w:tcBorders>
            <w:shd w:val="clear" w:color="000000" w:fill="auto"/>
            <w:noWrap/>
            <w:vAlign w:val="bottom"/>
          </w:tcPr>
          <w:p w14:paraId="0225B38E" w14:textId="77777777" w:rsidR="00BC1539" w:rsidRPr="004F388C" w:rsidRDefault="00BC1539" w:rsidP="002F3A27">
            <w:pPr>
              <w:spacing w:before="45" w:after="45" w:line="240" w:lineRule="auto"/>
              <w:ind w:left="57" w:right="108"/>
              <w:jc w:val="right"/>
              <w:rPr>
                <w:rFonts w:eastAsia="Times New Roman" w:cs="Open Sans"/>
                <w:b/>
                <w:bCs/>
                <w:color w:val="1D4374"/>
                <w:sz w:val="18"/>
                <w:szCs w:val="18"/>
                <w:lang w:eastAsia="en-AU"/>
              </w:rPr>
            </w:pPr>
            <w:r>
              <w:rPr>
                <w:rFonts w:eastAsia="Times New Roman" w:cs="Open Sans"/>
                <w:b/>
                <w:bCs/>
                <w:color w:val="1D4374"/>
                <w:sz w:val="18"/>
                <w:szCs w:val="18"/>
                <w:lang w:eastAsia="en-AU"/>
              </w:rPr>
              <w:t>Investigation period change</w:t>
            </w:r>
          </w:p>
        </w:tc>
      </w:tr>
      <w:tr w:rsidR="00BC1539" w:rsidRPr="00EB0DCD" w14:paraId="04271DB2" w14:textId="77777777" w:rsidTr="00011592">
        <w:trPr>
          <w:trHeight w:val="264"/>
        </w:trPr>
        <w:tc>
          <w:tcPr>
            <w:tcW w:w="1551" w:type="pct"/>
            <w:tcBorders>
              <w:top w:val="single" w:sz="4" w:space="0" w:color="B3B3B3"/>
              <w:bottom w:val="nil"/>
            </w:tcBorders>
            <w:shd w:val="clear" w:color="000000" w:fill="E6E6E6"/>
            <w:noWrap/>
            <w:hideMark/>
          </w:tcPr>
          <w:p w14:paraId="116D2861" w14:textId="77777777" w:rsidR="00BC1539" w:rsidRPr="004F388C" w:rsidRDefault="00BC1539" w:rsidP="00011592">
            <w:pPr>
              <w:spacing w:before="45" w:after="45" w:line="240" w:lineRule="auto"/>
              <w:ind w:left="57" w:right="108"/>
              <w:rPr>
                <w:rFonts w:eastAsia="Times New Roman" w:cs="Open Sans"/>
                <w:b/>
                <w:color w:val="1D4374"/>
                <w:sz w:val="18"/>
                <w:lang w:eastAsia="en-AU"/>
              </w:rPr>
            </w:pPr>
            <w:r w:rsidRPr="004F388C">
              <w:rPr>
                <w:rFonts w:eastAsia="Times New Roman" w:cs="Open Sans"/>
                <w:b/>
                <w:color w:val="1D4374"/>
                <w:sz w:val="18"/>
                <w:lang w:eastAsia="en-AU"/>
              </w:rPr>
              <w:t>Central estimate</w:t>
            </w:r>
          </w:p>
        </w:tc>
        <w:tc>
          <w:tcPr>
            <w:tcW w:w="528" w:type="pct"/>
            <w:tcBorders>
              <w:top w:val="single" w:sz="4" w:space="0" w:color="B3B3B3"/>
              <w:bottom w:val="nil"/>
            </w:tcBorders>
            <w:shd w:val="clear" w:color="000000" w:fill="E6E6E6"/>
            <w:noWrap/>
            <w:hideMark/>
          </w:tcPr>
          <w:p w14:paraId="23B2DBCB" w14:textId="77777777" w:rsidR="00BC1539" w:rsidRPr="0051173A" w:rsidRDefault="00BC1539" w:rsidP="002F3A27">
            <w:pPr>
              <w:spacing w:before="45" w:after="45" w:line="240" w:lineRule="auto"/>
              <w:ind w:left="57" w:right="108"/>
              <w:jc w:val="right"/>
              <w:rPr>
                <w:rFonts w:eastAsia="Times New Roman" w:cs="Open Sans"/>
                <w:color w:val="000000"/>
                <w:sz w:val="18"/>
                <w:szCs w:val="18"/>
                <w:lang w:eastAsia="en-AU"/>
              </w:rPr>
            </w:pPr>
            <w:r w:rsidRPr="00CB5887">
              <w:rPr>
                <w:rFonts w:eastAsia="Times New Roman" w:cs="Open Sans"/>
                <w:color w:val="000000"/>
                <w:sz w:val="18"/>
                <w:szCs w:val="18"/>
                <w:lang w:eastAsia="en-AU"/>
              </w:rPr>
              <w:t>94.1%</w:t>
            </w:r>
          </w:p>
        </w:tc>
        <w:tc>
          <w:tcPr>
            <w:tcW w:w="528" w:type="pct"/>
            <w:tcBorders>
              <w:top w:val="single" w:sz="4" w:space="0" w:color="B3B3B3"/>
              <w:bottom w:val="nil"/>
            </w:tcBorders>
            <w:shd w:val="clear" w:color="000000" w:fill="E6E6E6"/>
            <w:noWrap/>
            <w:hideMark/>
          </w:tcPr>
          <w:p w14:paraId="1FA6CA52" w14:textId="77777777" w:rsidR="00BC1539" w:rsidRPr="0051173A" w:rsidRDefault="00BC1539" w:rsidP="002F3A27">
            <w:pPr>
              <w:spacing w:before="45" w:after="45" w:line="240" w:lineRule="auto"/>
              <w:ind w:left="57" w:right="108"/>
              <w:jc w:val="right"/>
              <w:rPr>
                <w:rFonts w:eastAsia="Times New Roman" w:cs="Open Sans"/>
                <w:color w:val="000000"/>
                <w:sz w:val="18"/>
                <w:szCs w:val="18"/>
                <w:lang w:eastAsia="en-AU"/>
              </w:rPr>
            </w:pPr>
            <w:r w:rsidRPr="00CB5887">
              <w:rPr>
                <w:rFonts w:eastAsia="Times New Roman" w:cs="Open Sans"/>
                <w:color w:val="000000"/>
                <w:sz w:val="18"/>
                <w:szCs w:val="18"/>
                <w:lang w:eastAsia="en-AU"/>
              </w:rPr>
              <w:t>122.5%</w:t>
            </w:r>
          </w:p>
        </w:tc>
        <w:tc>
          <w:tcPr>
            <w:tcW w:w="528" w:type="pct"/>
            <w:tcBorders>
              <w:top w:val="single" w:sz="4" w:space="0" w:color="B3B3B3"/>
              <w:bottom w:val="nil"/>
            </w:tcBorders>
            <w:shd w:val="clear" w:color="000000" w:fill="E6E6E6"/>
            <w:noWrap/>
            <w:hideMark/>
          </w:tcPr>
          <w:p w14:paraId="5CAC81E1" w14:textId="77777777" w:rsidR="00BC1539" w:rsidRPr="0051173A" w:rsidRDefault="00BC1539" w:rsidP="002F3A27">
            <w:pPr>
              <w:spacing w:before="45" w:after="45" w:line="240" w:lineRule="auto"/>
              <w:ind w:left="57" w:right="108"/>
              <w:jc w:val="right"/>
              <w:rPr>
                <w:rFonts w:eastAsia="Times New Roman" w:cs="Open Sans"/>
                <w:color w:val="000000"/>
                <w:sz w:val="18"/>
                <w:szCs w:val="18"/>
                <w:lang w:eastAsia="en-AU"/>
              </w:rPr>
            </w:pPr>
            <w:r w:rsidRPr="00CB5887">
              <w:rPr>
                <w:rFonts w:eastAsia="Times New Roman" w:cs="Open Sans"/>
                <w:color w:val="000000"/>
                <w:sz w:val="18"/>
                <w:szCs w:val="18"/>
                <w:lang w:eastAsia="en-AU"/>
              </w:rPr>
              <w:t>105.9%</w:t>
            </w:r>
          </w:p>
        </w:tc>
        <w:tc>
          <w:tcPr>
            <w:tcW w:w="528" w:type="pct"/>
            <w:tcBorders>
              <w:top w:val="single" w:sz="4" w:space="0" w:color="B3B3B3"/>
              <w:bottom w:val="nil"/>
            </w:tcBorders>
            <w:shd w:val="clear" w:color="000000" w:fill="E6E6E6"/>
            <w:noWrap/>
            <w:hideMark/>
          </w:tcPr>
          <w:p w14:paraId="60FF89A0" w14:textId="77777777" w:rsidR="00BC1539" w:rsidRPr="0051173A" w:rsidRDefault="00BC1539" w:rsidP="002F3A27">
            <w:pPr>
              <w:spacing w:before="45" w:after="45" w:line="240" w:lineRule="auto"/>
              <w:ind w:left="57" w:right="108"/>
              <w:jc w:val="right"/>
              <w:rPr>
                <w:rFonts w:eastAsia="Times New Roman" w:cs="Open Sans"/>
                <w:color w:val="000000"/>
                <w:sz w:val="18"/>
                <w:szCs w:val="18"/>
                <w:lang w:eastAsia="en-AU"/>
              </w:rPr>
            </w:pPr>
            <w:r w:rsidRPr="00CB5887">
              <w:rPr>
                <w:rFonts w:eastAsia="Times New Roman" w:cs="Open Sans"/>
                <w:color w:val="000000"/>
                <w:sz w:val="18"/>
                <w:szCs w:val="18"/>
                <w:lang w:eastAsia="en-AU"/>
              </w:rPr>
              <w:t>106.8%</w:t>
            </w:r>
          </w:p>
        </w:tc>
        <w:tc>
          <w:tcPr>
            <w:tcW w:w="529" w:type="pct"/>
            <w:tcBorders>
              <w:top w:val="single" w:sz="4" w:space="0" w:color="B3B3B3"/>
              <w:bottom w:val="nil"/>
            </w:tcBorders>
            <w:shd w:val="clear" w:color="000000" w:fill="E6E6E6"/>
            <w:noWrap/>
            <w:hideMark/>
          </w:tcPr>
          <w:p w14:paraId="464FA6C0" w14:textId="77777777" w:rsidR="00BC1539" w:rsidRPr="0051173A" w:rsidRDefault="00BC1539" w:rsidP="002F3A27">
            <w:pPr>
              <w:spacing w:before="45" w:after="45" w:line="240" w:lineRule="auto"/>
              <w:ind w:left="57" w:right="108"/>
              <w:jc w:val="right"/>
              <w:rPr>
                <w:rFonts w:eastAsia="Times New Roman" w:cs="Open Sans"/>
                <w:color w:val="000000"/>
                <w:sz w:val="18"/>
                <w:szCs w:val="18"/>
                <w:lang w:eastAsia="en-AU"/>
              </w:rPr>
            </w:pPr>
            <w:r w:rsidRPr="00CB5887">
              <w:rPr>
                <w:rFonts w:eastAsia="Times New Roman" w:cs="Open Sans"/>
                <w:color w:val="000000"/>
                <w:sz w:val="18"/>
                <w:szCs w:val="18"/>
                <w:lang w:eastAsia="en-AU"/>
              </w:rPr>
              <w:t>105.3%</w:t>
            </w:r>
          </w:p>
        </w:tc>
        <w:tc>
          <w:tcPr>
            <w:tcW w:w="808" w:type="pct"/>
            <w:tcBorders>
              <w:top w:val="single" w:sz="4" w:space="0" w:color="B3B3B3"/>
              <w:bottom w:val="nil"/>
            </w:tcBorders>
            <w:shd w:val="clear" w:color="000000" w:fill="E6E6E6"/>
            <w:noWrap/>
          </w:tcPr>
          <w:p w14:paraId="78BCF59A" w14:textId="77777777" w:rsidR="00BC1539" w:rsidRPr="0051173A" w:rsidRDefault="00BC1539" w:rsidP="002F3A27">
            <w:pPr>
              <w:spacing w:before="45" w:after="45" w:line="240" w:lineRule="auto"/>
              <w:ind w:left="57" w:right="108"/>
              <w:jc w:val="right"/>
              <w:rPr>
                <w:rFonts w:eastAsia="Times New Roman" w:cs="Open Sans"/>
                <w:color w:val="000000"/>
                <w:sz w:val="18"/>
                <w:szCs w:val="18"/>
                <w:lang w:eastAsia="en-AU"/>
              </w:rPr>
            </w:pPr>
            <w:r w:rsidRPr="00CB5887">
              <w:rPr>
                <w:rFonts w:eastAsia="Times New Roman" w:cs="Open Sans"/>
                <w:color w:val="000000"/>
                <w:sz w:val="18"/>
                <w:szCs w:val="18"/>
                <w:lang w:eastAsia="en-AU"/>
              </w:rPr>
              <w:t>11.2%</w:t>
            </w:r>
          </w:p>
        </w:tc>
      </w:tr>
      <w:tr w:rsidR="00BC1539" w:rsidRPr="00EE655C" w14:paraId="0B618D18" w14:textId="77777777" w:rsidTr="00011592">
        <w:trPr>
          <w:trHeight w:val="264"/>
        </w:trPr>
        <w:tc>
          <w:tcPr>
            <w:tcW w:w="1551" w:type="pct"/>
            <w:tcBorders>
              <w:top w:val="nil"/>
              <w:bottom w:val="nil"/>
            </w:tcBorders>
            <w:shd w:val="clear" w:color="000000" w:fill="auto"/>
            <w:noWrap/>
          </w:tcPr>
          <w:p w14:paraId="6BAAD5CE" w14:textId="77777777" w:rsidR="00BC1539" w:rsidRPr="00EE655C" w:rsidRDefault="00BC1539" w:rsidP="00011592">
            <w:pPr>
              <w:spacing w:before="45" w:after="45" w:line="240" w:lineRule="auto"/>
              <w:ind w:left="57" w:right="108"/>
              <w:rPr>
                <w:rFonts w:eastAsia="Times New Roman" w:cs="Open Sans"/>
                <w:b/>
                <w:color w:val="1D4374"/>
                <w:sz w:val="18"/>
                <w:lang w:eastAsia="en-AU"/>
              </w:rPr>
            </w:pPr>
            <w:r w:rsidRPr="00EE655C">
              <w:rPr>
                <w:rFonts w:eastAsia="Times New Roman" w:cs="Open Sans"/>
                <w:b/>
                <w:color w:val="1D4374"/>
                <w:sz w:val="18"/>
                <w:lang w:eastAsia="en-AU"/>
              </w:rPr>
              <w:t>Sum of c</w:t>
            </w:r>
            <w:r>
              <w:rPr>
                <w:rFonts w:eastAsia="Times New Roman" w:cs="Open Sans"/>
                <w:b/>
                <w:color w:val="1D4374"/>
                <w:sz w:val="18"/>
                <w:lang w:eastAsia="en-AU"/>
              </w:rPr>
              <w:t>ost of sales</w:t>
            </w:r>
          </w:p>
        </w:tc>
        <w:tc>
          <w:tcPr>
            <w:tcW w:w="528" w:type="pct"/>
            <w:tcBorders>
              <w:top w:val="nil"/>
              <w:bottom w:val="nil"/>
            </w:tcBorders>
            <w:shd w:val="clear" w:color="000000" w:fill="auto"/>
            <w:noWrap/>
          </w:tcPr>
          <w:p w14:paraId="13D93D1E" w14:textId="77777777" w:rsidR="00BC1539" w:rsidRPr="00CB5887" w:rsidRDefault="00BC1539" w:rsidP="002F3A27">
            <w:pPr>
              <w:spacing w:before="45" w:after="45" w:line="240" w:lineRule="auto"/>
              <w:ind w:left="57" w:right="108"/>
              <w:jc w:val="right"/>
              <w:rPr>
                <w:rFonts w:eastAsia="Times New Roman" w:cs="Open Sans"/>
                <w:color w:val="000000"/>
                <w:sz w:val="18"/>
                <w:szCs w:val="18"/>
                <w:lang w:eastAsia="en-AU"/>
              </w:rPr>
            </w:pPr>
            <w:r w:rsidRPr="00CB5887">
              <w:rPr>
                <w:rFonts w:eastAsia="Times New Roman" w:cs="Open Sans"/>
                <w:color w:val="000000"/>
                <w:sz w:val="18"/>
                <w:szCs w:val="18"/>
                <w:lang w:eastAsia="en-AU"/>
              </w:rPr>
              <w:t>114.4%</w:t>
            </w:r>
          </w:p>
        </w:tc>
        <w:tc>
          <w:tcPr>
            <w:tcW w:w="528" w:type="pct"/>
            <w:tcBorders>
              <w:top w:val="nil"/>
              <w:bottom w:val="nil"/>
            </w:tcBorders>
            <w:shd w:val="clear" w:color="000000" w:fill="auto"/>
            <w:noWrap/>
          </w:tcPr>
          <w:p w14:paraId="100A765A" w14:textId="77777777" w:rsidR="00BC1539" w:rsidRPr="00CB5887" w:rsidRDefault="00BC1539" w:rsidP="002F3A27">
            <w:pPr>
              <w:spacing w:before="45" w:after="45" w:line="240" w:lineRule="auto"/>
              <w:ind w:left="57" w:right="108"/>
              <w:jc w:val="right"/>
              <w:rPr>
                <w:rFonts w:eastAsia="Times New Roman" w:cs="Open Sans"/>
                <w:color w:val="000000"/>
                <w:sz w:val="18"/>
                <w:szCs w:val="18"/>
                <w:lang w:eastAsia="en-AU"/>
              </w:rPr>
            </w:pPr>
            <w:r w:rsidRPr="00CB5887">
              <w:rPr>
                <w:rFonts w:eastAsia="Times New Roman" w:cs="Open Sans"/>
                <w:color w:val="000000"/>
                <w:sz w:val="18"/>
                <w:szCs w:val="18"/>
                <w:lang w:eastAsia="en-AU"/>
              </w:rPr>
              <w:t>152.1%</w:t>
            </w:r>
          </w:p>
        </w:tc>
        <w:tc>
          <w:tcPr>
            <w:tcW w:w="528" w:type="pct"/>
            <w:tcBorders>
              <w:top w:val="nil"/>
              <w:bottom w:val="nil"/>
            </w:tcBorders>
            <w:shd w:val="clear" w:color="000000" w:fill="auto"/>
            <w:noWrap/>
          </w:tcPr>
          <w:p w14:paraId="7C6B14FC" w14:textId="77777777" w:rsidR="00BC1539" w:rsidRPr="00CB5887" w:rsidRDefault="00BC1539" w:rsidP="002F3A27">
            <w:pPr>
              <w:spacing w:before="45" w:after="45" w:line="240" w:lineRule="auto"/>
              <w:ind w:left="57" w:right="108"/>
              <w:jc w:val="right"/>
              <w:rPr>
                <w:rFonts w:eastAsia="Times New Roman" w:cs="Open Sans"/>
                <w:color w:val="000000"/>
                <w:sz w:val="18"/>
                <w:szCs w:val="18"/>
                <w:lang w:eastAsia="en-AU"/>
              </w:rPr>
            </w:pPr>
            <w:r w:rsidRPr="00CB5887">
              <w:rPr>
                <w:rFonts w:eastAsia="Times New Roman" w:cs="Open Sans"/>
                <w:color w:val="000000"/>
                <w:sz w:val="18"/>
                <w:szCs w:val="18"/>
                <w:lang w:eastAsia="en-AU"/>
              </w:rPr>
              <w:t>130.2%</w:t>
            </w:r>
          </w:p>
        </w:tc>
        <w:tc>
          <w:tcPr>
            <w:tcW w:w="528" w:type="pct"/>
            <w:tcBorders>
              <w:top w:val="nil"/>
              <w:bottom w:val="nil"/>
            </w:tcBorders>
            <w:shd w:val="clear" w:color="000000" w:fill="auto"/>
            <w:noWrap/>
          </w:tcPr>
          <w:p w14:paraId="331113E4" w14:textId="77777777" w:rsidR="00BC1539" w:rsidRPr="00CB5887" w:rsidRDefault="00BC1539" w:rsidP="002F3A27">
            <w:pPr>
              <w:spacing w:before="45" w:after="45" w:line="240" w:lineRule="auto"/>
              <w:ind w:left="57" w:right="108"/>
              <w:jc w:val="right"/>
              <w:rPr>
                <w:rFonts w:eastAsia="Times New Roman" w:cs="Open Sans"/>
                <w:color w:val="000000"/>
                <w:sz w:val="18"/>
                <w:szCs w:val="18"/>
                <w:lang w:eastAsia="en-AU"/>
              </w:rPr>
            </w:pPr>
            <w:r w:rsidRPr="00CB5887">
              <w:rPr>
                <w:rFonts w:eastAsia="Times New Roman" w:cs="Open Sans"/>
                <w:color w:val="000000"/>
                <w:sz w:val="18"/>
                <w:szCs w:val="18"/>
                <w:lang w:eastAsia="en-AU"/>
              </w:rPr>
              <w:t>127.8%</w:t>
            </w:r>
          </w:p>
        </w:tc>
        <w:tc>
          <w:tcPr>
            <w:tcW w:w="529" w:type="pct"/>
            <w:tcBorders>
              <w:top w:val="nil"/>
              <w:bottom w:val="nil"/>
            </w:tcBorders>
            <w:shd w:val="clear" w:color="000000" w:fill="auto"/>
            <w:noWrap/>
          </w:tcPr>
          <w:p w14:paraId="3134CD8C" w14:textId="615D15A3" w:rsidR="00BC1539" w:rsidRPr="00CB5887" w:rsidRDefault="00541146" w:rsidP="002F3A27">
            <w:pPr>
              <w:spacing w:before="45" w:after="45" w:line="240" w:lineRule="auto"/>
              <w:ind w:left="57" w:right="108"/>
              <w:jc w:val="right"/>
              <w:rPr>
                <w:rFonts w:eastAsia="Times New Roman" w:cs="Open Sans"/>
                <w:color w:val="000000"/>
                <w:sz w:val="18"/>
                <w:szCs w:val="18"/>
                <w:lang w:eastAsia="en-AU"/>
              </w:rPr>
            </w:pPr>
            <w:r>
              <w:rPr>
                <w:rFonts w:eastAsia="Times New Roman" w:cs="Open Sans"/>
                <w:color w:val="000000"/>
                <w:sz w:val="18"/>
                <w:szCs w:val="18"/>
                <w:lang w:eastAsia="en-AU"/>
              </w:rPr>
              <w:noBreakHyphen/>
            </w:r>
          </w:p>
        </w:tc>
        <w:tc>
          <w:tcPr>
            <w:tcW w:w="808" w:type="pct"/>
            <w:tcBorders>
              <w:top w:val="nil"/>
              <w:bottom w:val="nil"/>
            </w:tcBorders>
            <w:shd w:val="clear" w:color="000000" w:fill="auto"/>
            <w:noWrap/>
          </w:tcPr>
          <w:p w14:paraId="51BE44C8" w14:textId="542ABCBE" w:rsidR="00BC1539" w:rsidRPr="00CB5887" w:rsidRDefault="00541146" w:rsidP="002F3A27">
            <w:pPr>
              <w:spacing w:before="45" w:after="45" w:line="240" w:lineRule="auto"/>
              <w:ind w:left="57" w:right="108"/>
              <w:jc w:val="right"/>
              <w:rPr>
                <w:rFonts w:eastAsia="Times New Roman" w:cs="Open Sans"/>
                <w:color w:val="000000"/>
                <w:sz w:val="18"/>
                <w:szCs w:val="18"/>
                <w:lang w:eastAsia="en-AU"/>
              </w:rPr>
            </w:pPr>
            <w:r>
              <w:rPr>
                <w:rFonts w:eastAsia="Times New Roman" w:cs="Open Sans"/>
                <w:color w:val="000000"/>
                <w:sz w:val="18"/>
                <w:szCs w:val="18"/>
                <w:lang w:eastAsia="en-AU"/>
              </w:rPr>
              <w:noBreakHyphen/>
            </w:r>
          </w:p>
        </w:tc>
      </w:tr>
      <w:tr w:rsidR="00BC1539" w:rsidRPr="00EB0DCD" w14:paraId="661062AE" w14:textId="77777777" w:rsidTr="00011592">
        <w:trPr>
          <w:trHeight w:val="264"/>
        </w:trPr>
        <w:tc>
          <w:tcPr>
            <w:tcW w:w="1551" w:type="pct"/>
            <w:tcBorders>
              <w:bottom w:val="nil"/>
            </w:tcBorders>
            <w:shd w:val="clear" w:color="000000" w:fill="E6E6E6"/>
            <w:noWrap/>
            <w:hideMark/>
          </w:tcPr>
          <w:p w14:paraId="386E7C6E" w14:textId="77777777" w:rsidR="00BC1539" w:rsidRPr="004F388C" w:rsidRDefault="00BC1539" w:rsidP="00011592">
            <w:pPr>
              <w:spacing w:before="45" w:after="45" w:line="240" w:lineRule="auto"/>
              <w:ind w:left="57" w:right="108"/>
              <w:rPr>
                <w:rFonts w:eastAsia="Times New Roman" w:cs="Open Sans"/>
                <w:b/>
                <w:color w:val="1D4374"/>
                <w:sz w:val="18"/>
                <w:lang w:eastAsia="en-AU"/>
              </w:rPr>
            </w:pPr>
            <w:r w:rsidRPr="004F388C">
              <w:rPr>
                <w:rFonts w:eastAsia="Times New Roman" w:cs="Open Sans"/>
                <w:b/>
                <w:color w:val="1D4374"/>
                <w:sz w:val="18"/>
                <w:lang w:eastAsia="en-AU"/>
              </w:rPr>
              <w:t>Share spent on input steel (high</w:t>
            </w:r>
            <w:r>
              <w:rPr>
                <w:rFonts w:eastAsia="Times New Roman" w:cs="Open Sans"/>
                <w:b/>
                <w:color w:val="1D4374"/>
                <w:sz w:val="18"/>
                <w:lang w:eastAsia="en-AU"/>
              </w:rPr>
              <w:t>, 38%</w:t>
            </w:r>
            <w:r w:rsidRPr="004F388C">
              <w:rPr>
                <w:rFonts w:eastAsia="Times New Roman" w:cs="Open Sans"/>
                <w:b/>
                <w:color w:val="1D4374"/>
                <w:sz w:val="18"/>
                <w:lang w:eastAsia="en-AU"/>
              </w:rPr>
              <w:t>)</w:t>
            </w:r>
          </w:p>
        </w:tc>
        <w:tc>
          <w:tcPr>
            <w:tcW w:w="528" w:type="pct"/>
            <w:tcBorders>
              <w:bottom w:val="nil"/>
            </w:tcBorders>
            <w:shd w:val="clear" w:color="000000" w:fill="E6E6E6"/>
            <w:noWrap/>
            <w:hideMark/>
          </w:tcPr>
          <w:p w14:paraId="01A84FF9" w14:textId="77777777" w:rsidR="00BC1539" w:rsidRPr="0051173A" w:rsidRDefault="00BC1539" w:rsidP="002F3A27">
            <w:pPr>
              <w:spacing w:before="45" w:after="45" w:line="240" w:lineRule="auto"/>
              <w:ind w:left="57" w:right="108"/>
              <w:jc w:val="right"/>
              <w:rPr>
                <w:rFonts w:eastAsia="Times New Roman" w:cs="Open Sans"/>
                <w:color w:val="000000"/>
                <w:sz w:val="18"/>
                <w:szCs w:val="18"/>
                <w:lang w:eastAsia="en-AU"/>
              </w:rPr>
            </w:pPr>
            <w:r w:rsidRPr="00CB5887">
              <w:rPr>
                <w:rFonts w:eastAsia="Times New Roman" w:cs="Open Sans"/>
                <w:color w:val="000000"/>
                <w:sz w:val="18"/>
                <w:szCs w:val="18"/>
                <w:lang w:eastAsia="en-AU"/>
              </w:rPr>
              <w:t>75.4%</w:t>
            </w:r>
          </w:p>
        </w:tc>
        <w:tc>
          <w:tcPr>
            <w:tcW w:w="528" w:type="pct"/>
            <w:tcBorders>
              <w:bottom w:val="nil"/>
            </w:tcBorders>
            <w:shd w:val="clear" w:color="000000" w:fill="E6E6E6"/>
            <w:noWrap/>
            <w:hideMark/>
          </w:tcPr>
          <w:p w14:paraId="3110A5ED" w14:textId="77777777" w:rsidR="00BC1539" w:rsidRPr="0051173A" w:rsidRDefault="00BC1539" w:rsidP="002F3A27">
            <w:pPr>
              <w:spacing w:before="45" w:after="45" w:line="240" w:lineRule="auto"/>
              <w:ind w:left="57" w:right="108"/>
              <w:jc w:val="right"/>
              <w:rPr>
                <w:rFonts w:eastAsia="Times New Roman" w:cs="Open Sans"/>
                <w:color w:val="000000"/>
                <w:sz w:val="18"/>
                <w:szCs w:val="18"/>
                <w:lang w:eastAsia="en-AU"/>
              </w:rPr>
            </w:pPr>
            <w:r w:rsidRPr="00CB5887">
              <w:rPr>
                <w:rFonts w:eastAsia="Times New Roman" w:cs="Open Sans"/>
                <w:color w:val="000000"/>
                <w:sz w:val="18"/>
                <w:szCs w:val="18"/>
                <w:lang w:eastAsia="en-AU"/>
              </w:rPr>
              <w:t>98.2%</w:t>
            </w:r>
          </w:p>
        </w:tc>
        <w:tc>
          <w:tcPr>
            <w:tcW w:w="528" w:type="pct"/>
            <w:tcBorders>
              <w:bottom w:val="nil"/>
            </w:tcBorders>
            <w:shd w:val="clear" w:color="000000" w:fill="E6E6E6"/>
            <w:noWrap/>
            <w:hideMark/>
          </w:tcPr>
          <w:p w14:paraId="66BA3DDA" w14:textId="77777777" w:rsidR="00BC1539" w:rsidRPr="0051173A" w:rsidRDefault="00BC1539" w:rsidP="002F3A27">
            <w:pPr>
              <w:spacing w:before="45" w:after="45" w:line="240" w:lineRule="auto"/>
              <w:ind w:left="57" w:right="108"/>
              <w:jc w:val="right"/>
              <w:rPr>
                <w:rFonts w:eastAsia="Times New Roman" w:cs="Open Sans"/>
                <w:color w:val="000000"/>
                <w:sz w:val="18"/>
                <w:szCs w:val="18"/>
                <w:lang w:eastAsia="en-AU"/>
              </w:rPr>
            </w:pPr>
            <w:r w:rsidRPr="00CB5887">
              <w:rPr>
                <w:rFonts w:eastAsia="Times New Roman" w:cs="Open Sans"/>
                <w:color w:val="000000"/>
                <w:sz w:val="18"/>
                <w:szCs w:val="18"/>
                <w:lang w:eastAsia="en-AU"/>
              </w:rPr>
              <w:t>84.8%</w:t>
            </w:r>
          </w:p>
        </w:tc>
        <w:tc>
          <w:tcPr>
            <w:tcW w:w="528" w:type="pct"/>
            <w:tcBorders>
              <w:bottom w:val="nil"/>
            </w:tcBorders>
            <w:shd w:val="clear" w:color="000000" w:fill="E6E6E6"/>
            <w:noWrap/>
            <w:hideMark/>
          </w:tcPr>
          <w:p w14:paraId="11E3C7DA" w14:textId="77777777" w:rsidR="00BC1539" w:rsidRPr="0051173A" w:rsidRDefault="00BC1539" w:rsidP="002F3A27">
            <w:pPr>
              <w:spacing w:before="45" w:after="45" w:line="240" w:lineRule="auto"/>
              <w:ind w:left="57" w:right="108"/>
              <w:jc w:val="right"/>
              <w:rPr>
                <w:rFonts w:eastAsia="Times New Roman" w:cs="Open Sans"/>
                <w:color w:val="000000"/>
                <w:sz w:val="18"/>
                <w:szCs w:val="18"/>
                <w:lang w:eastAsia="en-AU"/>
              </w:rPr>
            </w:pPr>
            <w:r w:rsidRPr="00CB5887">
              <w:rPr>
                <w:rFonts w:eastAsia="Times New Roman" w:cs="Open Sans"/>
                <w:color w:val="000000"/>
                <w:sz w:val="18"/>
                <w:szCs w:val="18"/>
                <w:lang w:eastAsia="en-AU"/>
              </w:rPr>
              <w:t>85.5%</w:t>
            </w:r>
          </w:p>
        </w:tc>
        <w:tc>
          <w:tcPr>
            <w:tcW w:w="529" w:type="pct"/>
            <w:tcBorders>
              <w:bottom w:val="nil"/>
            </w:tcBorders>
            <w:shd w:val="clear" w:color="000000" w:fill="E6E6E6"/>
            <w:noWrap/>
            <w:hideMark/>
          </w:tcPr>
          <w:p w14:paraId="6A76A459" w14:textId="77777777" w:rsidR="00BC1539" w:rsidRPr="0051173A" w:rsidRDefault="00BC1539" w:rsidP="002F3A27">
            <w:pPr>
              <w:spacing w:before="45" w:after="45" w:line="240" w:lineRule="auto"/>
              <w:ind w:left="57" w:right="108"/>
              <w:jc w:val="right"/>
              <w:rPr>
                <w:rFonts w:eastAsia="Times New Roman" w:cs="Open Sans"/>
                <w:color w:val="000000"/>
                <w:sz w:val="18"/>
                <w:szCs w:val="18"/>
                <w:lang w:eastAsia="en-AU"/>
              </w:rPr>
            </w:pPr>
            <w:r w:rsidRPr="00CB5887">
              <w:rPr>
                <w:rFonts w:eastAsia="Times New Roman" w:cs="Open Sans"/>
                <w:color w:val="000000"/>
                <w:sz w:val="18"/>
                <w:szCs w:val="18"/>
                <w:lang w:eastAsia="en-AU"/>
              </w:rPr>
              <w:t>84.4%</w:t>
            </w:r>
          </w:p>
        </w:tc>
        <w:tc>
          <w:tcPr>
            <w:tcW w:w="808" w:type="pct"/>
            <w:tcBorders>
              <w:bottom w:val="nil"/>
            </w:tcBorders>
            <w:shd w:val="clear" w:color="000000" w:fill="E6E6E6"/>
            <w:noWrap/>
          </w:tcPr>
          <w:p w14:paraId="648BE656" w14:textId="77777777" w:rsidR="00BC1539" w:rsidRPr="0051173A" w:rsidRDefault="00BC1539" w:rsidP="002F3A27">
            <w:pPr>
              <w:spacing w:before="45" w:after="45" w:line="240" w:lineRule="auto"/>
              <w:ind w:left="57" w:right="108"/>
              <w:jc w:val="right"/>
              <w:rPr>
                <w:rFonts w:eastAsia="Times New Roman" w:cs="Open Sans"/>
                <w:color w:val="000000"/>
                <w:sz w:val="18"/>
                <w:szCs w:val="18"/>
                <w:lang w:eastAsia="en-AU"/>
              </w:rPr>
            </w:pPr>
            <w:r w:rsidRPr="00CB5887">
              <w:rPr>
                <w:rFonts w:eastAsia="Times New Roman" w:cs="Open Sans"/>
                <w:color w:val="000000"/>
                <w:sz w:val="18"/>
                <w:szCs w:val="18"/>
                <w:lang w:eastAsia="en-AU"/>
              </w:rPr>
              <w:t>9.0%</w:t>
            </w:r>
          </w:p>
        </w:tc>
      </w:tr>
      <w:tr w:rsidR="00BC1539" w:rsidRPr="00EB0DCD" w14:paraId="03D8175B" w14:textId="77777777" w:rsidTr="00011592">
        <w:trPr>
          <w:trHeight w:val="264"/>
        </w:trPr>
        <w:tc>
          <w:tcPr>
            <w:tcW w:w="1551" w:type="pct"/>
            <w:tcBorders>
              <w:top w:val="nil"/>
              <w:bottom w:val="nil"/>
            </w:tcBorders>
            <w:shd w:val="clear" w:color="000000" w:fill="auto"/>
            <w:noWrap/>
            <w:hideMark/>
          </w:tcPr>
          <w:p w14:paraId="1DA6AD91" w14:textId="77777777" w:rsidR="00BC1539" w:rsidRPr="004F388C" w:rsidRDefault="00BC1539" w:rsidP="00011592">
            <w:pPr>
              <w:spacing w:before="45" w:after="45" w:line="240" w:lineRule="auto"/>
              <w:ind w:left="57" w:right="108"/>
              <w:rPr>
                <w:rFonts w:eastAsia="Times New Roman" w:cs="Open Sans"/>
                <w:b/>
                <w:color w:val="1D4374"/>
                <w:sz w:val="18"/>
                <w:lang w:eastAsia="en-AU"/>
              </w:rPr>
            </w:pPr>
            <w:r w:rsidRPr="004F388C">
              <w:rPr>
                <w:rFonts w:eastAsia="Times New Roman" w:cs="Open Sans"/>
                <w:b/>
                <w:color w:val="1D4374"/>
                <w:sz w:val="18"/>
                <w:lang w:eastAsia="en-AU"/>
              </w:rPr>
              <w:t>Share spent on input steel (low</w:t>
            </w:r>
            <w:r>
              <w:rPr>
                <w:rFonts w:eastAsia="Times New Roman" w:cs="Open Sans"/>
                <w:b/>
                <w:color w:val="1D4374"/>
                <w:sz w:val="18"/>
                <w:lang w:eastAsia="en-AU"/>
              </w:rPr>
              <w:t>, 23%</w:t>
            </w:r>
            <w:r w:rsidRPr="004F388C">
              <w:rPr>
                <w:rFonts w:eastAsia="Times New Roman" w:cs="Open Sans"/>
                <w:b/>
                <w:color w:val="1D4374"/>
                <w:sz w:val="18"/>
                <w:lang w:eastAsia="en-AU"/>
              </w:rPr>
              <w:t>)</w:t>
            </w:r>
          </w:p>
        </w:tc>
        <w:tc>
          <w:tcPr>
            <w:tcW w:w="528" w:type="pct"/>
            <w:tcBorders>
              <w:top w:val="nil"/>
              <w:bottom w:val="nil"/>
            </w:tcBorders>
            <w:shd w:val="clear" w:color="000000" w:fill="auto"/>
            <w:noWrap/>
            <w:hideMark/>
          </w:tcPr>
          <w:p w14:paraId="1E5D4CEC" w14:textId="77777777" w:rsidR="00BC1539" w:rsidRPr="0051173A" w:rsidRDefault="00BC1539" w:rsidP="002F3A27">
            <w:pPr>
              <w:spacing w:before="45" w:after="45" w:line="240" w:lineRule="auto"/>
              <w:ind w:left="57" w:right="108"/>
              <w:jc w:val="right"/>
              <w:rPr>
                <w:rFonts w:eastAsia="Times New Roman" w:cs="Open Sans"/>
                <w:color w:val="000000"/>
                <w:sz w:val="18"/>
                <w:szCs w:val="18"/>
                <w:lang w:eastAsia="en-AU"/>
              </w:rPr>
            </w:pPr>
            <w:r w:rsidRPr="00CB5887">
              <w:rPr>
                <w:rFonts w:eastAsia="Times New Roman" w:cs="Open Sans"/>
                <w:color w:val="000000"/>
                <w:sz w:val="18"/>
                <w:szCs w:val="18"/>
                <w:lang w:eastAsia="en-AU"/>
              </w:rPr>
              <w:t>108.3%</w:t>
            </w:r>
          </w:p>
        </w:tc>
        <w:tc>
          <w:tcPr>
            <w:tcW w:w="528" w:type="pct"/>
            <w:tcBorders>
              <w:top w:val="nil"/>
              <w:bottom w:val="nil"/>
            </w:tcBorders>
            <w:shd w:val="clear" w:color="000000" w:fill="auto"/>
            <w:noWrap/>
            <w:hideMark/>
          </w:tcPr>
          <w:p w14:paraId="7C5CCAE1" w14:textId="77777777" w:rsidR="00BC1539" w:rsidRPr="0051173A" w:rsidRDefault="00BC1539" w:rsidP="002F3A27">
            <w:pPr>
              <w:spacing w:before="45" w:after="45" w:line="240" w:lineRule="auto"/>
              <w:ind w:left="57" w:right="108"/>
              <w:jc w:val="right"/>
              <w:rPr>
                <w:rFonts w:eastAsia="Times New Roman" w:cs="Open Sans"/>
                <w:color w:val="000000"/>
                <w:sz w:val="18"/>
                <w:szCs w:val="18"/>
                <w:lang w:eastAsia="en-AU"/>
              </w:rPr>
            </w:pPr>
            <w:r w:rsidRPr="00CB5887">
              <w:rPr>
                <w:rFonts w:eastAsia="Times New Roman" w:cs="Open Sans"/>
                <w:color w:val="000000"/>
                <w:sz w:val="18"/>
                <w:szCs w:val="18"/>
                <w:lang w:eastAsia="en-AU"/>
              </w:rPr>
              <w:t>141.0%</w:t>
            </w:r>
          </w:p>
        </w:tc>
        <w:tc>
          <w:tcPr>
            <w:tcW w:w="528" w:type="pct"/>
            <w:tcBorders>
              <w:top w:val="nil"/>
              <w:bottom w:val="nil"/>
            </w:tcBorders>
            <w:shd w:val="clear" w:color="000000" w:fill="auto"/>
            <w:noWrap/>
            <w:hideMark/>
          </w:tcPr>
          <w:p w14:paraId="0EE00F14" w14:textId="77777777" w:rsidR="00BC1539" w:rsidRPr="0051173A" w:rsidRDefault="00BC1539" w:rsidP="002F3A27">
            <w:pPr>
              <w:spacing w:before="45" w:after="45" w:line="240" w:lineRule="auto"/>
              <w:ind w:left="57" w:right="108"/>
              <w:jc w:val="right"/>
              <w:rPr>
                <w:rFonts w:eastAsia="Times New Roman" w:cs="Open Sans"/>
                <w:color w:val="000000"/>
                <w:sz w:val="18"/>
                <w:szCs w:val="18"/>
                <w:lang w:eastAsia="en-AU"/>
              </w:rPr>
            </w:pPr>
            <w:r w:rsidRPr="00CB5887">
              <w:rPr>
                <w:rFonts w:eastAsia="Times New Roman" w:cs="Open Sans"/>
                <w:color w:val="000000"/>
                <w:sz w:val="18"/>
                <w:szCs w:val="18"/>
                <w:lang w:eastAsia="en-AU"/>
              </w:rPr>
              <w:t>121.8%</w:t>
            </w:r>
          </w:p>
        </w:tc>
        <w:tc>
          <w:tcPr>
            <w:tcW w:w="528" w:type="pct"/>
            <w:tcBorders>
              <w:top w:val="nil"/>
              <w:bottom w:val="nil"/>
            </w:tcBorders>
            <w:shd w:val="clear" w:color="000000" w:fill="auto"/>
            <w:noWrap/>
            <w:hideMark/>
          </w:tcPr>
          <w:p w14:paraId="44AF3720" w14:textId="77777777" w:rsidR="00BC1539" w:rsidRPr="0051173A" w:rsidRDefault="00BC1539" w:rsidP="002F3A27">
            <w:pPr>
              <w:spacing w:before="45" w:after="45" w:line="240" w:lineRule="auto"/>
              <w:ind w:left="57" w:right="108"/>
              <w:jc w:val="right"/>
              <w:rPr>
                <w:rFonts w:eastAsia="Times New Roman" w:cs="Open Sans"/>
                <w:color w:val="000000"/>
                <w:sz w:val="18"/>
                <w:szCs w:val="18"/>
                <w:lang w:eastAsia="en-AU"/>
              </w:rPr>
            </w:pPr>
            <w:r w:rsidRPr="00CB5887">
              <w:rPr>
                <w:rFonts w:eastAsia="Times New Roman" w:cs="Open Sans"/>
                <w:color w:val="000000"/>
                <w:sz w:val="18"/>
                <w:szCs w:val="18"/>
                <w:lang w:eastAsia="en-AU"/>
              </w:rPr>
              <w:t>122.8%</w:t>
            </w:r>
          </w:p>
        </w:tc>
        <w:tc>
          <w:tcPr>
            <w:tcW w:w="529" w:type="pct"/>
            <w:tcBorders>
              <w:top w:val="nil"/>
              <w:bottom w:val="nil"/>
            </w:tcBorders>
            <w:shd w:val="clear" w:color="000000" w:fill="auto"/>
            <w:noWrap/>
            <w:hideMark/>
          </w:tcPr>
          <w:p w14:paraId="10E29DB2" w14:textId="77777777" w:rsidR="00BC1539" w:rsidRPr="0051173A" w:rsidRDefault="00BC1539" w:rsidP="002F3A27">
            <w:pPr>
              <w:spacing w:before="45" w:after="45" w:line="240" w:lineRule="auto"/>
              <w:ind w:left="57" w:right="108"/>
              <w:jc w:val="right"/>
              <w:rPr>
                <w:rFonts w:eastAsia="Times New Roman" w:cs="Open Sans"/>
                <w:color w:val="000000"/>
                <w:sz w:val="18"/>
                <w:szCs w:val="18"/>
                <w:lang w:eastAsia="en-AU"/>
              </w:rPr>
            </w:pPr>
            <w:r w:rsidRPr="00CB5887">
              <w:rPr>
                <w:rFonts w:eastAsia="Times New Roman" w:cs="Open Sans"/>
                <w:color w:val="000000"/>
                <w:sz w:val="18"/>
                <w:szCs w:val="18"/>
                <w:lang w:eastAsia="en-AU"/>
              </w:rPr>
              <w:t>121.1%</w:t>
            </w:r>
          </w:p>
        </w:tc>
        <w:tc>
          <w:tcPr>
            <w:tcW w:w="808" w:type="pct"/>
            <w:tcBorders>
              <w:top w:val="nil"/>
              <w:bottom w:val="nil"/>
            </w:tcBorders>
            <w:shd w:val="clear" w:color="000000" w:fill="auto"/>
            <w:noWrap/>
          </w:tcPr>
          <w:p w14:paraId="60C86BB0" w14:textId="77777777" w:rsidR="00BC1539" w:rsidRPr="0051173A" w:rsidRDefault="00BC1539" w:rsidP="002F3A27">
            <w:pPr>
              <w:spacing w:before="45" w:after="45" w:line="240" w:lineRule="auto"/>
              <w:ind w:left="57" w:right="108"/>
              <w:jc w:val="right"/>
              <w:rPr>
                <w:rFonts w:eastAsia="Times New Roman" w:cs="Open Sans"/>
                <w:color w:val="000000"/>
                <w:sz w:val="18"/>
                <w:szCs w:val="18"/>
                <w:lang w:eastAsia="en-AU"/>
              </w:rPr>
            </w:pPr>
            <w:r w:rsidRPr="00CB5887">
              <w:rPr>
                <w:rFonts w:eastAsia="Times New Roman" w:cs="Open Sans"/>
                <w:color w:val="000000"/>
                <w:sz w:val="18"/>
                <w:szCs w:val="18"/>
                <w:lang w:eastAsia="en-AU"/>
              </w:rPr>
              <w:t>12.9%</w:t>
            </w:r>
          </w:p>
        </w:tc>
      </w:tr>
      <w:tr w:rsidR="00BC1539" w:rsidRPr="00EB0DCD" w14:paraId="1524337F" w14:textId="77777777" w:rsidTr="00011592">
        <w:trPr>
          <w:trHeight w:val="264"/>
        </w:trPr>
        <w:tc>
          <w:tcPr>
            <w:tcW w:w="1551" w:type="pct"/>
            <w:tcBorders>
              <w:bottom w:val="nil"/>
            </w:tcBorders>
            <w:shd w:val="clear" w:color="000000" w:fill="E6E6E6"/>
            <w:noWrap/>
            <w:hideMark/>
          </w:tcPr>
          <w:p w14:paraId="1404BE6D" w14:textId="2CD00E26" w:rsidR="00BC1539" w:rsidRPr="004F388C" w:rsidRDefault="00BC1539" w:rsidP="00011592">
            <w:pPr>
              <w:spacing w:before="45" w:after="45" w:line="240" w:lineRule="auto"/>
              <w:ind w:left="57" w:right="108"/>
              <w:rPr>
                <w:rFonts w:eastAsia="Times New Roman" w:cs="Open Sans"/>
                <w:b/>
                <w:color w:val="1D4374"/>
                <w:sz w:val="18"/>
                <w:lang w:eastAsia="en-AU"/>
              </w:rPr>
            </w:pPr>
            <w:r w:rsidRPr="004F388C">
              <w:rPr>
                <w:rFonts w:eastAsia="Times New Roman" w:cs="Open Sans"/>
                <w:b/>
                <w:color w:val="1D4374"/>
                <w:sz w:val="18"/>
                <w:lang w:eastAsia="en-AU"/>
              </w:rPr>
              <w:t>Average price (</w:t>
            </w:r>
            <w:r>
              <w:rPr>
                <w:rFonts w:eastAsia="Times New Roman" w:cs="Open Sans"/>
                <w:b/>
                <w:color w:val="1D4374"/>
                <w:sz w:val="18"/>
                <w:lang w:eastAsia="en-AU"/>
              </w:rPr>
              <w:t xml:space="preserve">high, </w:t>
            </w:r>
            <w:r w:rsidR="00541146">
              <w:rPr>
                <w:rFonts w:eastAsia="Times New Roman" w:cs="Open Sans"/>
                <w:b/>
                <w:color w:val="1D4374"/>
                <w:sz w:val="18"/>
                <w:lang w:eastAsia="en-AU"/>
              </w:rPr>
              <w:noBreakHyphen/>
            </w:r>
            <w:r w:rsidRPr="004F388C">
              <w:rPr>
                <w:rFonts w:eastAsia="Times New Roman" w:cs="Open Sans"/>
                <w:b/>
                <w:color w:val="1D4374"/>
                <w:sz w:val="18"/>
                <w:lang w:eastAsia="en-AU"/>
              </w:rPr>
              <w:t>20%)</w:t>
            </w:r>
          </w:p>
        </w:tc>
        <w:tc>
          <w:tcPr>
            <w:tcW w:w="528" w:type="pct"/>
            <w:tcBorders>
              <w:bottom w:val="nil"/>
            </w:tcBorders>
            <w:shd w:val="clear" w:color="000000" w:fill="E6E6E6"/>
            <w:noWrap/>
            <w:hideMark/>
          </w:tcPr>
          <w:p w14:paraId="150A1033" w14:textId="77777777" w:rsidR="00BC1539" w:rsidRPr="0051173A" w:rsidRDefault="00BC1539" w:rsidP="002F3A27">
            <w:pPr>
              <w:spacing w:before="45" w:after="45" w:line="240" w:lineRule="auto"/>
              <w:ind w:left="57" w:right="108"/>
              <w:jc w:val="right"/>
              <w:rPr>
                <w:rFonts w:eastAsia="Times New Roman" w:cs="Open Sans"/>
                <w:color w:val="000000"/>
                <w:sz w:val="18"/>
                <w:szCs w:val="18"/>
                <w:lang w:eastAsia="en-AU"/>
              </w:rPr>
            </w:pPr>
            <w:r w:rsidRPr="00CB5887">
              <w:rPr>
                <w:rFonts w:eastAsia="Times New Roman" w:cs="Open Sans"/>
                <w:color w:val="000000"/>
                <w:sz w:val="18"/>
                <w:szCs w:val="18"/>
                <w:lang w:eastAsia="en-AU"/>
              </w:rPr>
              <w:t>75.3%</w:t>
            </w:r>
          </w:p>
        </w:tc>
        <w:tc>
          <w:tcPr>
            <w:tcW w:w="528" w:type="pct"/>
            <w:tcBorders>
              <w:bottom w:val="nil"/>
            </w:tcBorders>
            <w:shd w:val="clear" w:color="000000" w:fill="E6E6E6"/>
            <w:noWrap/>
            <w:hideMark/>
          </w:tcPr>
          <w:p w14:paraId="3E1C3BA2" w14:textId="77777777" w:rsidR="00BC1539" w:rsidRPr="0051173A" w:rsidRDefault="00BC1539" w:rsidP="002F3A27">
            <w:pPr>
              <w:spacing w:before="45" w:after="45" w:line="240" w:lineRule="auto"/>
              <w:ind w:left="57" w:right="108"/>
              <w:jc w:val="right"/>
              <w:rPr>
                <w:rFonts w:eastAsia="Times New Roman" w:cs="Open Sans"/>
                <w:color w:val="000000"/>
                <w:sz w:val="18"/>
                <w:szCs w:val="18"/>
                <w:lang w:eastAsia="en-AU"/>
              </w:rPr>
            </w:pPr>
            <w:r w:rsidRPr="00CB5887">
              <w:rPr>
                <w:rFonts w:eastAsia="Times New Roman" w:cs="Open Sans"/>
                <w:color w:val="000000"/>
                <w:sz w:val="18"/>
                <w:szCs w:val="18"/>
                <w:lang w:eastAsia="en-AU"/>
              </w:rPr>
              <w:t>98.0%</w:t>
            </w:r>
          </w:p>
        </w:tc>
        <w:tc>
          <w:tcPr>
            <w:tcW w:w="528" w:type="pct"/>
            <w:tcBorders>
              <w:bottom w:val="nil"/>
            </w:tcBorders>
            <w:shd w:val="clear" w:color="000000" w:fill="E6E6E6"/>
            <w:noWrap/>
            <w:hideMark/>
          </w:tcPr>
          <w:p w14:paraId="5C289E26" w14:textId="77777777" w:rsidR="00BC1539" w:rsidRPr="0051173A" w:rsidRDefault="00BC1539" w:rsidP="002F3A27">
            <w:pPr>
              <w:spacing w:before="45" w:after="45" w:line="240" w:lineRule="auto"/>
              <w:ind w:left="57" w:right="108"/>
              <w:jc w:val="right"/>
              <w:rPr>
                <w:rFonts w:eastAsia="Times New Roman" w:cs="Open Sans"/>
                <w:color w:val="000000"/>
                <w:sz w:val="18"/>
                <w:szCs w:val="18"/>
                <w:lang w:eastAsia="en-AU"/>
              </w:rPr>
            </w:pPr>
            <w:r w:rsidRPr="00CB5887">
              <w:rPr>
                <w:rFonts w:eastAsia="Times New Roman" w:cs="Open Sans"/>
                <w:color w:val="000000"/>
                <w:sz w:val="18"/>
                <w:szCs w:val="18"/>
                <w:lang w:eastAsia="en-AU"/>
              </w:rPr>
              <w:t>84.7%</w:t>
            </w:r>
          </w:p>
        </w:tc>
        <w:tc>
          <w:tcPr>
            <w:tcW w:w="528" w:type="pct"/>
            <w:tcBorders>
              <w:bottom w:val="nil"/>
            </w:tcBorders>
            <w:shd w:val="clear" w:color="000000" w:fill="E6E6E6"/>
            <w:noWrap/>
            <w:hideMark/>
          </w:tcPr>
          <w:p w14:paraId="1D481204" w14:textId="77777777" w:rsidR="00BC1539" w:rsidRPr="0051173A" w:rsidRDefault="00BC1539" w:rsidP="002F3A27">
            <w:pPr>
              <w:spacing w:before="45" w:after="45" w:line="240" w:lineRule="auto"/>
              <w:ind w:left="57" w:right="108"/>
              <w:jc w:val="right"/>
              <w:rPr>
                <w:rFonts w:eastAsia="Times New Roman" w:cs="Open Sans"/>
                <w:color w:val="000000"/>
                <w:sz w:val="18"/>
                <w:szCs w:val="18"/>
                <w:lang w:eastAsia="en-AU"/>
              </w:rPr>
            </w:pPr>
            <w:r w:rsidRPr="00CB5887">
              <w:rPr>
                <w:rFonts w:eastAsia="Times New Roman" w:cs="Open Sans"/>
                <w:color w:val="000000"/>
                <w:sz w:val="18"/>
                <w:szCs w:val="18"/>
                <w:lang w:eastAsia="en-AU"/>
              </w:rPr>
              <w:t>85.4%</w:t>
            </w:r>
          </w:p>
        </w:tc>
        <w:tc>
          <w:tcPr>
            <w:tcW w:w="529" w:type="pct"/>
            <w:tcBorders>
              <w:bottom w:val="nil"/>
            </w:tcBorders>
            <w:shd w:val="clear" w:color="000000" w:fill="E6E6E6"/>
            <w:noWrap/>
            <w:hideMark/>
          </w:tcPr>
          <w:p w14:paraId="70E7E0BE" w14:textId="77777777" w:rsidR="00BC1539" w:rsidRPr="0051173A" w:rsidRDefault="00BC1539" w:rsidP="002F3A27">
            <w:pPr>
              <w:spacing w:before="45" w:after="45" w:line="240" w:lineRule="auto"/>
              <w:ind w:left="57" w:right="108"/>
              <w:jc w:val="right"/>
              <w:rPr>
                <w:rFonts w:eastAsia="Times New Roman" w:cs="Open Sans"/>
                <w:color w:val="000000"/>
                <w:sz w:val="18"/>
                <w:szCs w:val="18"/>
                <w:lang w:eastAsia="en-AU"/>
              </w:rPr>
            </w:pPr>
            <w:r w:rsidRPr="00CB5887">
              <w:rPr>
                <w:rFonts w:eastAsia="Times New Roman" w:cs="Open Sans"/>
                <w:color w:val="000000"/>
                <w:sz w:val="18"/>
                <w:szCs w:val="18"/>
                <w:lang w:eastAsia="en-AU"/>
              </w:rPr>
              <w:t>84.2%</w:t>
            </w:r>
          </w:p>
        </w:tc>
        <w:tc>
          <w:tcPr>
            <w:tcW w:w="808" w:type="pct"/>
            <w:tcBorders>
              <w:bottom w:val="nil"/>
            </w:tcBorders>
            <w:shd w:val="clear" w:color="000000" w:fill="E6E6E6"/>
            <w:noWrap/>
          </w:tcPr>
          <w:p w14:paraId="0AA5C932" w14:textId="77777777" w:rsidR="00BC1539" w:rsidRPr="0051173A" w:rsidRDefault="00BC1539" w:rsidP="002F3A27">
            <w:pPr>
              <w:spacing w:before="45" w:after="45" w:line="240" w:lineRule="auto"/>
              <w:ind w:left="57" w:right="108"/>
              <w:jc w:val="right"/>
              <w:rPr>
                <w:rFonts w:eastAsia="Times New Roman" w:cs="Open Sans"/>
                <w:color w:val="000000"/>
                <w:sz w:val="18"/>
                <w:szCs w:val="18"/>
                <w:lang w:eastAsia="en-AU"/>
              </w:rPr>
            </w:pPr>
            <w:r w:rsidRPr="00CB5887">
              <w:rPr>
                <w:rFonts w:eastAsia="Times New Roman" w:cs="Open Sans"/>
                <w:color w:val="000000"/>
                <w:sz w:val="18"/>
                <w:szCs w:val="18"/>
                <w:lang w:eastAsia="en-AU"/>
              </w:rPr>
              <w:t>8.9%</w:t>
            </w:r>
          </w:p>
        </w:tc>
      </w:tr>
      <w:tr w:rsidR="00BC1539" w:rsidRPr="00EB0DCD" w14:paraId="23B4ADEE" w14:textId="77777777" w:rsidTr="00011592">
        <w:trPr>
          <w:trHeight w:val="264"/>
        </w:trPr>
        <w:tc>
          <w:tcPr>
            <w:tcW w:w="1551" w:type="pct"/>
            <w:tcBorders>
              <w:top w:val="nil"/>
              <w:bottom w:val="nil"/>
            </w:tcBorders>
            <w:shd w:val="clear" w:color="000000" w:fill="auto"/>
            <w:noWrap/>
            <w:hideMark/>
          </w:tcPr>
          <w:p w14:paraId="28D848AF" w14:textId="77777777" w:rsidR="00BC1539" w:rsidRPr="004F388C" w:rsidRDefault="00BC1539" w:rsidP="00011592">
            <w:pPr>
              <w:spacing w:before="45" w:after="45" w:line="240" w:lineRule="auto"/>
              <w:ind w:left="57" w:right="108"/>
              <w:rPr>
                <w:rFonts w:eastAsia="Times New Roman" w:cs="Open Sans"/>
                <w:b/>
                <w:color w:val="1D4374"/>
                <w:sz w:val="18"/>
                <w:lang w:eastAsia="en-AU"/>
              </w:rPr>
            </w:pPr>
            <w:r w:rsidRPr="004F388C">
              <w:rPr>
                <w:rFonts w:eastAsia="Times New Roman" w:cs="Open Sans"/>
                <w:b/>
                <w:color w:val="1D4374"/>
                <w:sz w:val="18"/>
                <w:lang w:eastAsia="en-AU"/>
              </w:rPr>
              <w:t>Average price (</w:t>
            </w:r>
            <w:r>
              <w:rPr>
                <w:rFonts w:eastAsia="Times New Roman" w:cs="Open Sans"/>
                <w:b/>
                <w:color w:val="1D4374"/>
                <w:sz w:val="18"/>
                <w:lang w:eastAsia="en-AU"/>
              </w:rPr>
              <w:t xml:space="preserve">low, </w:t>
            </w:r>
            <w:r w:rsidRPr="004F388C">
              <w:rPr>
                <w:rFonts w:eastAsia="Times New Roman" w:cs="Open Sans"/>
                <w:b/>
                <w:color w:val="1D4374"/>
                <w:sz w:val="18"/>
                <w:lang w:eastAsia="en-AU"/>
              </w:rPr>
              <w:t>+20%)</w:t>
            </w:r>
          </w:p>
        </w:tc>
        <w:tc>
          <w:tcPr>
            <w:tcW w:w="528" w:type="pct"/>
            <w:tcBorders>
              <w:top w:val="nil"/>
              <w:bottom w:val="nil"/>
            </w:tcBorders>
            <w:shd w:val="clear" w:color="000000" w:fill="auto"/>
            <w:noWrap/>
            <w:hideMark/>
          </w:tcPr>
          <w:p w14:paraId="0C69283C" w14:textId="77777777" w:rsidR="00BC1539" w:rsidRPr="0051173A" w:rsidRDefault="00BC1539" w:rsidP="002F3A27">
            <w:pPr>
              <w:spacing w:before="45" w:after="45" w:line="240" w:lineRule="auto"/>
              <w:ind w:left="57" w:right="108"/>
              <w:jc w:val="right"/>
              <w:rPr>
                <w:rFonts w:eastAsia="Times New Roman" w:cs="Open Sans"/>
                <w:color w:val="000000"/>
                <w:sz w:val="18"/>
                <w:szCs w:val="18"/>
                <w:lang w:eastAsia="en-AU"/>
              </w:rPr>
            </w:pPr>
            <w:r w:rsidRPr="00CB5887">
              <w:rPr>
                <w:rFonts w:eastAsia="Times New Roman" w:cs="Open Sans"/>
                <w:color w:val="000000"/>
                <w:sz w:val="18"/>
                <w:szCs w:val="18"/>
                <w:lang w:eastAsia="en-AU"/>
              </w:rPr>
              <w:t>113.0%</w:t>
            </w:r>
          </w:p>
        </w:tc>
        <w:tc>
          <w:tcPr>
            <w:tcW w:w="528" w:type="pct"/>
            <w:tcBorders>
              <w:top w:val="nil"/>
              <w:bottom w:val="nil"/>
            </w:tcBorders>
            <w:shd w:val="clear" w:color="000000" w:fill="auto"/>
            <w:noWrap/>
            <w:hideMark/>
          </w:tcPr>
          <w:p w14:paraId="3939444A" w14:textId="77777777" w:rsidR="00BC1539" w:rsidRPr="0051173A" w:rsidRDefault="00BC1539" w:rsidP="002F3A27">
            <w:pPr>
              <w:spacing w:before="45" w:after="45" w:line="240" w:lineRule="auto"/>
              <w:ind w:left="57" w:right="108"/>
              <w:jc w:val="right"/>
              <w:rPr>
                <w:rFonts w:eastAsia="Times New Roman" w:cs="Open Sans"/>
                <w:color w:val="000000"/>
                <w:sz w:val="18"/>
                <w:szCs w:val="18"/>
                <w:lang w:eastAsia="en-AU"/>
              </w:rPr>
            </w:pPr>
            <w:r w:rsidRPr="00CB5887">
              <w:rPr>
                <w:rFonts w:eastAsia="Times New Roman" w:cs="Open Sans"/>
                <w:color w:val="000000"/>
                <w:sz w:val="18"/>
                <w:szCs w:val="18"/>
                <w:lang w:eastAsia="en-AU"/>
              </w:rPr>
              <w:t>147.1%</w:t>
            </w:r>
          </w:p>
        </w:tc>
        <w:tc>
          <w:tcPr>
            <w:tcW w:w="528" w:type="pct"/>
            <w:tcBorders>
              <w:top w:val="nil"/>
              <w:bottom w:val="nil"/>
            </w:tcBorders>
            <w:shd w:val="clear" w:color="000000" w:fill="auto"/>
            <w:noWrap/>
            <w:hideMark/>
          </w:tcPr>
          <w:p w14:paraId="64FD9117" w14:textId="77777777" w:rsidR="00BC1539" w:rsidRPr="0051173A" w:rsidRDefault="00BC1539" w:rsidP="002F3A27">
            <w:pPr>
              <w:spacing w:before="45" w:after="45" w:line="240" w:lineRule="auto"/>
              <w:ind w:left="57" w:right="108"/>
              <w:jc w:val="right"/>
              <w:rPr>
                <w:rFonts w:eastAsia="Times New Roman" w:cs="Open Sans"/>
                <w:color w:val="000000"/>
                <w:sz w:val="18"/>
                <w:szCs w:val="18"/>
                <w:lang w:eastAsia="en-AU"/>
              </w:rPr>
            </w:pPr>
            <w:r w:rsidRPr="00CB5887">
              <w:rPr>
                <w:rFonts w:eastAsia="Times New Roman" w:cs="Open Sans"/>
                <w:color w:val="000000"/>
                <w:sz w:val="18"/>
                <w:szCs w:val="18"/>
                <w:lang w:eastAsia="en-AU"/>
              </w:rPr>
              <w:t>127.1%</w:t>
            </w:r>
          </w:p>
        </w:tc>
        <w:tc>
          <w:tcPr>
            <w:tcW w:w="528" w:type="pct"/>
            <w:tcBorders>
              <w:top w:val="nil"/>
              <w:bottom w:val="nil"/>
            </w:tcBorders>
            <w:shd w:val="clear" w:color="000000" w:fill="auto"/>
            <w:noWrap/>
            <w:hideMark/>
          </w:tcPr>
          <w:p w14:paraId="6EB400C2" w14:textId="77777777" w:rsidR="00BC1539" w:rsidRPr="0051173A" w:rsidRDefault="00BC1539" w:rsidP="002F3A27">
            <w:pPr>
              <w:spacing w:before="45" w:after="45" w:line="240" w:lineRule="auto"/>
              <w:ind w:left="57" w:right="108"/>
              <w:jc w:val="right"/>
              <w:rPr>
                <w:rFonts w:eastAsia="Times New Roman" w:cs="Open Sans"/>
                <w:color w:val="000000"/>
                <w:sz w:val="18"/>
                <w:szCs w:val="18"/>
                <w:lang w:eastAsia="en-AU"/>
              </w:rPr>
            </w:pPr>
            <w:r w:rsidRPr="00CB5887">
              <w:rPr>
                <w:rFonts w:eastAsia="Times New Roman" w:cs="Open Sans"/>
                <w:color w:val="000000"/>
                <w:sz w:val="18"/>
                <w:szCs w:val="18"/>
                <w:lang w:eastAsia="en-AU"/>
              </w:rPr>
              <w:t>128.1%</w:t>
            </w:r>
          </w:p>
        </w:tc>
        <w:tc>
          <w:tcPr>
            <w:tcW w:w="529" w:type="pct"/>
            <w:tcBorders>
              <w:top w:val="nil"/>
              <w:bottom w:val="nil"/>
            </w:tcBorders>
            <w:shd w:val="clear" w:color="000000" w:fill="auto"/>
            <w:noWrap/>
            <w:hideMark/>
          </w:tcPr>
          <w:p w14:paraId="0A8E17C7" w14:textId="77777777" w:rsidR="00BC1539" w:rsidRPr="0051173A" w:rsidRDefault="00BC1539" w:rsidP="002F3A27">
            <w:pPr>
              <w:spacing w:before="45" w:after="45" w:line="240" w:lineRule="auto"/>
              <w:ind w:left="57" w:right="108"/>
              <w:jc w:val="right"/>
              <w:rPr>
                <w:rFonts w:eastAsia="Times New Roman" w:cs="Open Sans"/>
                <w:color w:val="000000"/>
                <w:sz w:val="18"/>
                <w:szCs w:val="18"/>
                <w:lang w:eastAsia="en-AU"/>
              </w:rPr>
            </w:pPr>
            <w:r w:rsidRPr="00CB5887">
              <w:rPr>
                <w:rFonts w:eastAsia="Times New Roman" w:cs="Open Sans"/>
                <w:color w:val="000000"/>
                <w:sz w:val="18"/>
                <w:szCs w:val="18"/>
                <w:lang w:eastAsia="en-AU"/>
              </w:rPr>
              <w:t>126.4%</w:t>
            </w:r>
          </w:p>
        </w:tc>
        <w:tc>
          <w:tcPr>
            <w:tcW w:w="808" w:type="pct"/>
            <w:tcBorders>
              <w:top w:val="nil"/>
              <w:bottom w:val="nil"/>
            </w:tcBorders>
            <w:shd w:val="clear" w:color="000000" w:fill="auto"/>
            <w:noWrap/>
          </w:tcPr>
          <w:p w14:paraId="0832E62B" w14:textId="77777777" w:rsidR="00BC1539" w:rsidRPr="0051173A" w:rsidRDefault="00BC1539" w:rsidP="002F3A27">
            <w:pPr>
              <w:spacing w:before="45" w:after="45" w:line="240" w:lineRule="auto"/>
              <w:ind w:left="57" w:right="108"/>
              <w:jc w:val="right"/>
              <w:rPr>
                <w:rFonts w:eastAsia="Times New Roman" w:cs="Open Sans"/>
                <w:color w:val="000000"/>
                <w:sz w:val="18"/>
                <w:szCs w:val="18"/>
                <w:lang w:eastAsia="en-AU"/>
              </w:rPr>
            </w:pPr>
            <w:r w:rsidRPr="00CB5887">
              <w:rPr>
                <w:rFonts w:eastAsia="Times New Roman" w:cs="Open Sans"/>
                <w:color w:val="000000"/>
                <w:sz w:val="18"/>
                <w:szCs w:val="18"/>
                <w:lang w:eastAsia="en-AU"/>
              </w:rPr>
              <w:t>13.4%</w:t>
            </w:r>
          </w:p>
        </w:tc>
      </w:tr>
      <w:tr w:rsidR="00BC1539" w:rsidRPr="00EB0DCD" w14:paraId="01B9F8FE" w14:textId="77777777" w:rsidTr="00011592">
        <w:trPr>
          <w:trHeight w:val="264"/>
        </w:trPr>
        <w:tc>
          <w:tcPr>
            <w:tcW w:w="1551" w:type="pct"/>
            <w:tcBorders>
              <w:bottom w:val="nil"/>
            </w:tcBorders>
            <w:shd w:val="clear" w:color="000000" w:fill="E6E6E6"/>
            <w:noWrap/>
            <w:hideMark/>
          </w:tcPr>
          <w:p w14:paraId="658140AD" w14:textId="77777777" w:rsidR="00BC1539" w:rsidRPr="004F388C" w:rsidRDefault="00BC1539" w:rsidP="00011592">
            <w:pPr>
              <w:spacing w:before="45" w:after="45" w:line="240" w:lineRule="auto"/>
              <w:ind w:left="57" w:right="108"/>
              <w:rPr>
                <w:rFonts w:eastAsia="Times New Roman" w:cs="Open Sans"/>
                <w:b/>
                <w:color w:val="1D4374"/>
                <w:sz w:val="18"/>
                <w:lang w:eastAsia="en-AU"/>
              </w:rPr>
            </w:pPr>
            <w:r w:rsidRPr="004F388C">
              <w:rPr>
                <w:rFonts w:eastAsia="Times New Roman" w:cs="Open Sans"/>
                <w:b/>
                <w:color w:val="1D4374"/>
                <w:sz w:val="18"/>
                <w:lang w:eastAsia="en-AU"/>
              </w:rPr>
              <w:t>Offcuts (high</w:t>
            </w:r>
            <w:r>
              <w:rPr>
                <w:rFonts w:eastAsia="Times New Roman" w:cs="Open Sans"/>
                <w:b/>
                <w:color w:val="1D4374"/>
                <w:sz w:val="18"/>
                <w:lang w:eastAsia="en-AU"/>
              </w:rPr>
              <w:t>, 5%</w:t>
            </w:r>
            <w:r w:rsidRPr="004F388C">
              <w:rPr>
                <w:rFonts w:eastAsia="Times New Roman" w:cs="Open Sans"/>
                <w:b/>
                <w:color w:val="1D4374"/>
                <w:sz w:val="18"/>
                <w:lang w:eastAsia="en-AU"/>
              </w:rPr>
              <w:t>)</w:t>
            </w:r>
          </w:p>
        </w:tc>
        <w:tc>
          <w:tcPr>
            <w:tcW w:w="528" w:type="pct"/>
            <w:tcBorders>
              <w:bottom w:val="nil"/>
            </w:tcBorders>
            <w:shd w:val="clear" w:color="000000" w:fill="E6E6E6"/>
            <w:noWrap/>
            <w:hideMark/>
          </w:tcPr>
          <w:p w14:paraId="2A9B160C" w14:textId="77777777" w:rsidR="00BC1539" w:rsidRPr="0051173A" w:rsidRDefault="00BC1539" w:rsidP="002F3A27">
            <w:pPr>
              <w:spacing w:before="45" w:after="45" w:line="240" w:lineRule="auto"/>
              <w:ind w:left="57" w:right="108"/>
              <w:jc w:val="right"/>
              <w:rPr>
                <w:rFonts w:eastAsia="Times New Roman" w:cs="Open Sans"/>
                <w:color w:val="000000"/>
                <w:sz w:val="18"/>
                <w:szCs w:val="18"/>
                <w:lang w:eastAsia="en-AU"/>
              </w:rPr>
            </w:pPr>
            <w:r w:rsidRPr="00CB5887">
              <w:rPr>
                <w:rFonts w:eastAsia="Times New Roman" w:cs="Open Sans"/>
                <w:color w:val="000000"/>
                <w:sz w:val="18"/>
                <w:szCs w:val="18"/>
                <w:lang w:eastAsia="en-AU"/>
              </w:rPr>
              <w:t>91.7%</w:t>
            </w:r>
          </w:p>
        </w:tc>
        <w:tc>
          <w:tcPr>
            <w:tcW w:w="528" w:type="pct"/>
            <w:tcBorders>
              <w:bottom w:val="nil"/>
            </w:tcBorders>
            <w:shd w:val="clear" w:color="000000" w:fill="E6E6E6"/>
            <w:noWrap/>
            <w:hideMark/>
          </w:tcPr>
          <w:p w14:paraId="1AA9A51A" w14:textId="77777777" w:rsidR="00BC1539" w:rsidRPr="0051173A" w:rsidRDefault="00BC1539" w:rsidP="002F3A27">
            <w:pPr>
              <w:spacing w:before="45" w:after="45" w:line="240" w:lineRule="auto"/>
              <w:ind w:left="57" w:right="108"/>
              <w:jc w:val="right"/>
              <w:rPr>
                <w:rFonts w:eastAsia="Times New Roman" w:cs="Open Sans"/>
                <w:color w:val="000000"/>
                <w:sz w:val="18"/>
                <w:szCs w:val="18"/>
                <w:lang w:eastAsia="en-AU"/>
              </w:rPr>
            </w:pPr>
            <w:r w:rsidRPr="00CB5887">
              <w:rPr>
                <w:rFonts w:eastAsia="Times New Roman" w:cs="Open Sans"/>
                <w:color w:val="000000"/>
                <w:sz w:val="18"/>
                <w:szCs w:val="18"/>
                <w:lang w:eastAsia="en-AU"/>
              </w:rPr>
              <w:t>119.3%</w:t>
            </w:r>
          </w:p>
        </w:tc>
        <w:tc>
          <w:tcPr>
            <w:tcW w:w="528" w:type="pct"/>
            <w:tcBorders>
              <w:bottom w:val="nil"/>
            </w:tcBorders>
            <w:shd w:val="clear" w:color="000000" w:fill="E6E6E6"/>
            <w:noWrap/>
            <w:hideMark/>
          </w:tcPr>
          <w:p w14:paraId="792F88A5" w14:textId="77777777" w:rsidR="00BC1539" w:rsidRPr="0051173A" w:rsidRDefault="00BC1539" w:rsidP="002F3A27">
            <w:pPr>
              <w:spacing w:before="45" w:after="45" w:line="240" w:lineRule="auto"/>
              <w:ind w:left="57" w:right="108"/>
              <w:jc w:val="right"/>
              <w:rPr>
                <w:rFonts w:eastAsia="Times New Roman" w:cs="Open Sans"/>
                <w:color w:val="000000"/>
                <w:sz w:val="18"/>
                <w:szCs w:val="18"/>
                <w:lang w:eastAsia="en-AU"/>
              </w:rPr>
            </w:pPr>
            <w:r w:rsidRPr="00CB5887">
              <w:rPr>
                <w:rFonts w:eastAsia="Times New Roman" w:cs="Open Sans"/>
                <w:color w:val="000000"/>
                <w:sz w:val="18"/>
                <w:szCs w:val="18"/>
                <w:lang w:eastAsia="en-AU"/>
              </w:rPr>
              <w:t>103.1%</w:t>
            </w:r>
          </w:p>
        </w:tc>
        <w:tc>
          <w:tcPr>
            <w:tcW w:w="528" w:type="pct"/>
            <w:tcBorders>
              <w:bottom w:val="nil"/>
            </w:tcBorders>
            <w:shd w:val="clear" w:color="000000" w:fill="E6E6E6"/>
            <w:noWrap/>
            <w:hideMark/>
          </w:tcPr>
          <w:p w14:paraId="2F9A169B" w14:textId="77777777" w:rsidR="00BC1539" w:rsidRPr="0051173A" w:rsidRDefault="00BC1539" w:rsidP="002F3A27">
            <w:pPr>
              <w:spacing w:before="45" w:after="45" w:line="240" w:lineRule="auto"/>
              <w:ind w:left="57" w:right="108"/>
              <w:jc w:val="right"/>
              <w:rPr>
                <w:rFonts w:eastAsia="Times New Roman" w:cs="Open Sans"/>
                <w:color w:val="000000"/>
                <w:sz w:val="18"/>
                <w:szCs w:val="18"/>
                <w:lang w:eastAsia="en-AU"/>
              </w:rPr>
            </w:pPr>
            <w:r w:rsidRPr="00CB5887">
              <w:rPr>
                <w:rFonts w:eastAsia="Times New Roman" w:cs="Open Sans"/>
                <w:color w:val="000000"/>
                <w:sz w:val="18"/>
                <w:szCs w:val="18"/>
                <w:lang w:eastAsia="en-AU"/>
              </w:rPr>
              <w:t>104.0%</w:t>
            </w:r>
          </w:p>
        </w:tc>
        <w:tc>
          <w:tcPr>
            <w:tcW w:w="529" w:type="pct"/>
            <w:tcBorders>
              <w:bottom w:val="nil"/>
            </w:tcBorders>
            <w:shd w:val="clear" w:color="000000" w:fill="E6E6E6"/>
            <w:noWrap/>
            <w:hideMark/>
          </w:tcPr>
          <w:p w14:paraId="45620B1B" w14:textId="77777777" w:rsidR="00BC1539" w:rsidRPr="0051173A" w:rsidRDefault="00BC1539" w:rsidP="002F3A27">
            <w:pPr>
              <w:spacing w:before="45" w:after="45" w:line="240" w:lineRule="auto"/>
              <w:ind w:left="57" w:right="108"/>
              <w:jc w:val="right"/>
              <w:rPr>
                <w:rFonts w:eastAsia="Times New Roman" w:cs="Open Sans"/>
                <w:color w:val="000000"/>
                <w:sz w:val="18"/>
                <w:szCs w:val="18"/>
                <w:lang w:eastAsia="en-AU"/>
              </w:rPr>
            </w:pPr>
            <w:r w:rsidRPr="00CB5887">
              <w:rPr>
                <w:rFonts w:eastAsia="Times New Roman" w:cs="Open Sans"/>
                <w:color w:val="000000"/>
                <w:sz w:val="18"/>
                <w:szCs w:val="18"/>
                <w:lang w:eastAsia="en-AU"/>
              </w:rPr>
              <w:t>102.5%</w:t>
            </w:r>
          </w:p>
        </w:tc>
        <w:tc>
          <w:tcPr>
            <w:tcW w:w="808" w:type="pct"/>
            <w:tcBorders>
              <w:bottom w:val="nil"/>
            </w:tcBorders>
            <w:shd w:val="clear" w:color="000000" w:fill="E6E6E6"/>
            <w:noWrap/>
          </w:tcPr>
          <w:p w14:paraId="5D50D9A2" w14:textId="77777777" w:rsidR="00BC1539" w:rsidRPr="0051173A" w:rsidRDefault="00BC1539" w:rsidP="002F3A27">
            <w:pPr>
              <w:spacing w:before="45" w:after="45" w:line="240" w:lineRule="auto"/>
              <w:ind w:left="57" w:right="108"/>
              <w:jc w:val="right"/>
              <w:rPr>
                <w:rFonts w:eastAsia="Times New Roman" w:cs="Open Sans"/>
                <w:color w:val="000000"/>
                <w:sz w:val="18"/>
                <w:szCs w:val="18"/>
                <w:lang w:eastAsia="en-AU"/>
              </w:rPr>
            </w:pPr>
            <w:r w:rsidRPr="00CB5887">
              <w:rPr>
                <w:rFonts w:eastAsia="Times New Roman" w:cs="Open Sans"/>
                <w:color w:val="000000"/>
                <w:sz w:val="18"/>
                <w:szCs w:val="18"/>
                <w:lang w:eastAsia="en-AU"/>
              </w:rPr>
              <w:t>10.9%</w:t>
            </w:r>
          </w:p>
        </w:tc>
      </w:tr>
      <w:tr w:rsidR="00BC1539" w:rsidRPr="00EB0DCD" w14:paraId="476E5C1F" w14:textId="77777777" w:rsidTr="00011592">
        <w:trPr>
          <w:trHeight w:val="264"/>
        </w:trPr>
        <w:tc>
          <w:tcPr>
            <w:tcW w:w="1551" w:type="pct"/>
            <w:tcBorders>
              <w:top w:val="nil"/>
              <w:bottom w:val="single" w:sz="4" w:space="0" w:color="BFBFBF"/>
            </w:tcBorders>
            <w:shd w:val="clear" w:color="000000" w:fill="auto"/>
            <w:noWrap/>
            <w:hideMark/>
          </w:tcPr>
          <w:p w14:paraId="5691D348" w14:textId="77777777" w:rsidR="00BC1539" w:rsidRPr="004F388C" w:rsidRDefault="00BC1539" w:rsidP="00011592">
            <w:pPr>
              <w:spacing w:before="45" w:after="45" w:line="240" w:lineRule="auto"/>
              <w:ind w:left="57" w:right="108"/>
              <w:rPr>
                <w:rFonts w:eastAsia="Times New Roman" w:cs="Open Sans"/>
                <w:b/>
                <w:color w:val="1D4374"/>
                <w:sz w:val="18"/>
                <w:lang w:eastAsia="en-AU"/>
              </w:rPr>
            </w:pPr>
            <w:r w:rsidRPr="004F388C">
              <w:rPr>
                <w:rFonts w:eastAsia="Times New Roman" w:cs="Open Sans"/>
                <w:b/>
                <w:color w:val="1D4374"/>
                <w:sz w:val="18"/>
                <w:lang w:eastAsia="en-AU"/>
              </w:rPr>
              <w:t>Offcuts (low</w:t>
            </w:r>
            <w:r>
              <w:rPr>
                <w:rFonts w:eastAsia="Times New Roman" w:cs="Open Sans"/>
                <w:b/>
                <w:color w:val="1D4374"/>
                <w:sz w:val="18"/>
                <w:lang w:eastAsia="en-AU"/>
              </w:rPr>
              <w:t>, 10%</w:t>
            </w:r>
            <w:r w:rsidRPr="004F388C">
              <w:rPr>
                <w:rFonts w:eastAsia="Times New Roman" w:cs="Open Sans"/>
                <w:b/>
                <w:color w:val="1D4374"/>
                <w:sz w:val="18"/>
                <w:lang w:eastAsia="en-AU"/>
              </w:rPr>
              <w:t>)</w:t>
            </w:r>
          </w:p>
        </w:tc>
        <w:tc>
          <w:tcPr>
            <w:tcW w:w="528" w:type="pct"/>
            <w:tcBorders>
              <w:top w:val="nil"/>
              <w:bottom w:val="single" w:sz="4" w:space="0" w:color="BFBFBF"/>
            </w:tcBorders>
            <w:shd w:val="clear" w:color="000000" w:fill="auto"/>
            <w:noWrap/>
            <w:hideMark/>
          </w:tcPr>
          <w:p w14:paraId="3363550A" w14:textId="77777777" w:rsidR="00BC1539" w:rsidRPr="0051173A" w:rsidRDefault="00BC1539" w:rsidP="002F3A27">
            <w:pPr>
              <w:spacing w:before="45" w:after="45" w:line="240" w:lineRule="auto"/>
              <w:ind w:left="57" w:right="108"/>
              <w:jc w:val="right"/>
              <w:rPr>
                <w:rFonts w:eastAsia="Times New Roman" w:cs="Open Sans"/>
                <w:color w:val="000000"/>
                <w:sz w:val="18"/>
                <w:szCs w:val="18"/>
                <w:lang w:eastAsia="en-AU"/>
              </w:rPr>
            </w:pPr>
            <w:r w:rsidRPr="00CB5887">
              <w:rPr>
                <w:rFonts w:eastAsia="Times New Roman" w:cs="Open Sans"/>
                <w:color w:val="000000"/>
                <w:sz w:val="18"/>
                <w:szCs w:val="18"/>
                <w:lang w:eastAsia="en-AU"/>
              </w:rPr>
              <w:t>96.7%</w:t>
            </w:r>
          </w:p>
        </w:tc>
        <w:tc>
          <w:tcPr>
            <w:tcW w:w="528" w:type="pct"/>
            <w:tcBorders>
              <w:top w:val="nil"/>
              <w:bottom w:val="single" w:sz="4" w:space="0" w:color="BFBFBF"/>
            </w:tcBorders>
            <w:shd w:val="clear" w:color="000000" w:fill="auto"/>
            <w:noWrap/>
            <w:hideMark/>
          </w:tcPr>
          <w:p w14:paraId="04C22FFC" w14:textId="77777777" w:rsidR="00BC1539" w:rsidRPr="0051173A" w:rsidRDefault="00BC1539" w:rsidP="002F3A27">
            <w:pPr>
              <w:spacing w:before="45" w:after="45" w:line="240" w:lineRule="auto"/>
              <w:ind w:left="57" w:right="108"/>
              <w:jc w:val="right"/>
              <w:rPr>
                <w:rFonts w:eastAsia="Times New Roman" w:cs="Open Sans"/>
                <w:color w:val="000000"/>
                <w:sz w:val="18"/>
                <w:szCs w:val="18"/>
                <w:lang w:eastAsia="en-AU"/>
              </w:rPr>
            </w:pPr>
            <w:r w:rsidRPr="00CB5887">
              <w:rPr>
                <w:rFonts w:eastAsia="Times New Roman" w:cs="Open Sans"/>
                <w:color w:val="000000"/>
                <w:sz w:val="18"/>
                <w:szCs w:val="18"/>
                <w:lang w:eastAsia="en-AU"/>
              </w:rPr>
              <w:t>126.0%</w:t>
            </w:r>
          </w:p>
        </w:tc>
        <w:tc>
          <w:tcPr>
            <w:tcW w:w="528" w:type="pct"/>
            <w:tcBorders>
              <w:top w:val="nil"/>
              <w:bottom w:val="single" w:sz="4" w:space="0" w:color="BFBFBF"/>
            </w:tcBorders>
            <w:shd w:val="clear" w:color="000000" w:fill="auto"/>
            <w:noWrap/>
            <w:hideMark/>
          </w:tcPr>
          <w:p w14:paraId="28B797BC" w14:textId="77777777" w:rsidR="00BC1539" w:rsidRPr="0051173A" w:rsidRDefault="00BC1539" w:rsidP="002F3A27">
            <w:pPr>
              <w:spacing w:before="45" w:after="45" w:line="240" w:lineRule="auto"/>
              <w:ind w:left="57" w:right="108"/>
              <w:jc w:val="right"/>
              <w:rPr>
                <w:rFonts w:eastAsia="Times New Roman" w:cs="Open Sans"/>
                <w:color w:val="000000"/>
                <w:sz w:val="18"/>
                <w:szCs w:val="18"/>
                <w:lang w:eastAsia="en-AU"/>
              </w:rPr>
            </w:pPr>
            <w:r w:rsidRPr="00CB5887">
              <w:rPr>
                <w:rFonts w:eastAsia="Times New Roman" w:cs="Open Sans"/>
                <w:color w:val="000000"/>
                <w:sz w:val="18"/>
                <w:szCs w:val="18"/>
                <w:lang w:eastAsia="en-AU"/>
              </w:rPr>
              <w:t>108.8%</w:t>
            </w:r>
          </w:p>
        </w:tc>
        <w:tc>
          <w:tcPr>
            <w:tcW w:w="528" w:type="pct"/>
            <w:tcBorders>
              <w:top w:val="nil"/>
              <w:bottom w:val="single" w:sz="4" w:space="0" w:color="BFBFBF"/>
            </w:tcBorders>
            <w:shd w:val="clear" w:color="000000" w:fill="auto"/>
            <w:noWrap/>
            <w:hideMark/>
          </w:tcPr>
          <w:p w14:paraId="2644E230" w14:textId="77777777" w:rsidR="00BC1539" w:rsidRPr="0051173A" w:rsidRDefault="00BC1539" w:rsidP="002F3A27">
            <w:pPr>
              <w:spacing w:before="45" w:after="45" w:line="240" w:lineRule="auto"/>
              <w:ind w:left="57" w:right="108"/>
              <w:jc w:val="right"/>
              <w:rPr>
                <w:rFonts w:eastAsia="Times New Roman" w:cs="Open Sans"/>
                <w:color w:val="000000"/>
                <w:sz w:val="18"/>
                <w:szCs w:val="18"/>
                <w:lang w:eastAsia="en-AU"/>
              </w:rPr>
            </w:pPr>
            <w:r w:rsidRPr="00CB5887">
              <w:rPr>
                <w:rFonts w:eastAsia="Times New Roman" w:cs="Open Sans"/>
                <w:color w:val="000000"/>
                <w:sz w:val="18"/>
                <w:szCs w:val="18"/>
                <w:lang w:eastAsia="en-AU"/>
              </w:rPr>
              <w:t>109.7%</w:t>
            </w:r>
          </w:p>
        </w:tc>
        <w:tc>
          <w:tcPr>
            <w:tcW w:w="529" w:type="pct"/>
            <w:tcBorders>
              <w:top w:val="nil"/>
              <w:bottom w:val="single" w:sz="4" w:space="0" w:color="BFBFBF"/>
            </w:tcBorders>
            <w:shd w:val="clear" w:color="000000" w:fill="auto"/>
            <w:noWrap/>
            <w:hideMark/>
          </w:tcPr>
          <w:p w14:paraId="3BA60B94" w14:textId="77777777" w:rsidR="00BC1539" w:rsidRPr="0051173A" w:rsidRDefault="00BC1539" w:rsidP="002F3A27">
            <w:pPr>
              <w:spacing w:before="45" w:after="45" w:line="240" w:lineRule="auto"/>
              <w:ind w:left="57" w:right="108"/>
              <w:jc w:val="right"/>
              <w:rPr>
                <w:rFonts w:eastAsia="Times New Roman" w:cs="Open Sans"/>
                <w:color w:val="000000"/>
                <w:sz w:val="18"/>
                <w:szCs w:val="18"/>
                <w:lang w:eastAsia="en-AU"/>
              </w:rPr>
            </w:pPr>
            <w:r w:rsidRPr="00CB5887">
              <w:rPr>
                <w:rFonts w:eastAsia="Times New Roman" w:cs="Open Sans"/>
                <w:color w:val="000000"/>
                <w:sz w:val="18"/>
                <w:szCs w:val="18"/>
                <w:lang w:eastAsia="en-AU"/>
              </w:rPr>
              <w:t>108.2%</w:t>
            </w:r>
          </w:p>
        </w:tc>
        <w:tc>
          <w:tcPr>
            <w:tcW w:w="808" w:type="pct"/>
            <w:tcBorders>
              <w:top w:val="nil"/>
              <w:bottom w:val="single" w:sz="4" w:space="0" w:color="BFBFBF"/>
            </w:tcBorders>
            <w:shd w:val="clear" w:color="000000" w:fill="auto"/>
            <w:noWrap/>
          </w:tcPr>
          <w:p w14:paraId="6C16F2D2" w14:textId="77777777" w:rsidR="00BC1539" w:rsidRPr="0051173A" w:rsidRDefault="00BC1539" w:rsidP="002F3A27">
            <w:pPr>
              <w:spacing w:before="45" w:after="45" w:line="240" w:lineRule="auto"/>
              <w:ind w:left="57" w:right="108"/>
              <w:jc w:val="right"/>
              <w:rPr>
                <w:rFonts w:eastAsia="Times New Roman" w:cs="Open Sans"/>
                <w:color w:val="000000"/>
                <w:sz w:val="18"/>
                <w:szCs w:val="18"/>
                <w:lang w:eastAsia="en-AU"/>
              </w:rPr>
            </w:pPr>
            <w:r w:rsidRPr="00CB5887">
              <w:rPr>
                <w:rFonts w:eastAsia="Times New Roman" w:cs="Open Sans"/>
                <w:color w:val="000000"/>
                <w:sz w:val="18"/>
                <w:szCs w:val="18"/>
                <w:lang w:eastAsia="en-AU"/>
              </w:rPr>
              <w:t>11.5%</w:t>
            </w:r>
          </w:p>
        </w:tc>
      </w:tr>
    </w:tbl>
    <w:p w14:paraId="6FD0F896" w14:textId="77777777" w:rsidR="00BC1539" w:rsidRDefault="00BC1539" w:rsidP="00011592">
      <w:pPr>
        <w:pStyle w:val="Source"/>
      </w:pPr>
      <w:r w:rsidRPr="00701ED7">
        <w:t xml:space="preserve">Source: </w:t>
      </w:r>
      <w:r>
        <w:t>PC analysis of data from inquiry participants and the ABS.</w:t>
      </w:r>
    </w:p>
    <w:p w14:paraId="3EDD7ED7" w14:textId="77777777" w:rsidR="00BC1539" w:rsidRPr="00AA39AE" w:rsidRDefault="00BC1539" w:rsidP="00AA39AE">
      <w:pPr>
        <w:pStyle w:val="BodyText"/>
      </w:pPr>
      <w:r w:rsidRPr="00AA39AE">
        <w:br w:type="page"/>
      </w:r>
    </w:p>
    <w:p w14:paraId="5257CAC2" w14:textId="77777777" w:rsidR="00BC1539" w:rsidRDefault="00BC1539" w:rsidP="00011592">
      <w:pPr>
        <w:pStyle w:val="Heading2-Appendix"/>
      </w:pPr>
      <w:bookmarkStart w:id="54" w:name="_Toc238643925"/>
      <w:r>
        <w:lastRenderedPageBreak/>
        <w:t>Construction of injury metrics</w:t>
      </w:r>
      <w:bookmarkEnd w:id="54"/>
    </w:p>
    <w:p w14:paraId="0D0A475A" w14:textId="77777777" w:rsidR="00BC1539" w:rsidRDefault="00BC1539" w:rsidP="00011592">
      <w:pPr>
        <w:pStyle w:val="BodyText"/>
        <w:rPr>
          <w:rStyle w:val="Strong"/>
          <w:b w:val="0"/>
        </w:rPr>
      </w:pPr>
      <w:r w:rsidRPr="00C97834">
        <w:rPr>
          <w:rStyle w:val="Strong"/>
          <w:b w:val="0"/>
          <w:bCs w:val="0"/>
        </w:rPr>
        <w:t xml:space="preserve">The </w:t>
      </w:r>
      <w:r>
        <w:rPr>
          <w:rStyle w:val="Strong"/>
          <w:b w:val="0"/>
          <w:bCs w:val="0"/>
        </w:rPr>
        <w:t xml:space="preserve">PC used administrative data collected by the Australian Taxation Office to assess the performance of the domestic FSS industry. The analysis draws on business income tax (BIT), business activity statements (BAS) and Pay </w:t>
      </w:r>
      <w:proofErr w:type="gramStart"/>
      <w:r>
        <w:rPr>
          <w:rStyle w:val="Strong"/>
          <w:b w:val="0"/>
          <w:bCs w:val="0"/>
        </w:rPr>
        <w:t>As</w:t>
      </w:r>
      <w:proofErr w:type="gramEnd"/>
      <w:r>
        <w:rPr>
          <w:rStyle w:val="Strong"/>
          <w:b w:val="0"/>
          <w:bCs w:val="0"/>
        </w:rPr>
        <w:t xml:space="preserve"> You Go (PAYG) data.</w:t>
      </w:r>
    </w:p>
    <w:p w14:paraId="5E5FF720" w14:textId="32A72D42" w:rsidR="00BC1539" w:rsidRPr="00C97834" w:rsidRDefault="00BC1539" w:rsidP="00011592">
      <w:pPr>
        <w:pStyle w:val="BodyText"/>
        <w:rPr>
          <w:rStyle w:val="Strong"/>
          <w:b w:val="0"/>
          <w:bCs w:val="0"/>
        </w:rPr>
      </w:pPr>
      <w:r>
        <w:rPr>
          <w:rStyle w:val="Strong"/>
          <w:b w:val="0"/>
          <w:bCs w:val="0"/>
        </w:rPr>
        <w:t>BIT data is derived from business tax returns and provides the most comprehensive insight on business performance, so the PC has relied on BIT for assessing most injury factors in most years. However, BIT data is only available up until 2023</w:t>
      </w:r>
      <w:r w:rsidR="0090267A">
        <w:rPr>
          <w:rStyle w:val="Strong"/>
          <w:b w:val="0"/>
          <w:bCs w:val="0"/>
        </w:rPr>
        <w:t>–</w:t>
      </w:r>
      <w:r>
        <w:rPr>
          <w:rStyle w:val="Strong"/>
          <w:b w:val="0"/>
          <w:bCs w:val="0"/>
        </w:rPr>
        <w:t>24. The PC has used BAS data to estimate the equivalent injury factors for the final year of the investigation period (2024</w:t>
      </w:r>
      <w:r w:rsidR="0090267A">
        <w:rPr>
          <w:rStyle w:val="Strong"/>
          <w:b w:val="0"/>
          <w:bCs w:val="0"/>
        </w:rPr>
        <w:t>–</w:t>
      </w:r>
      <w:r>
        <w:rPr>
          <w:rStyle w:val="Strong"/>
          <w:b w:val="0"/>
          <w:bCs w:val="0"/>
        </w:rPr>
        <w:t>25). The PC also used PAYG data to assess employment over the periods of interest.</w:t>
      </w:r>
    </w:p>
    <w:p w14:paraId="22985FA4" w14:textId="585B237E" w:rsidR="00BC1539" w:rsidRDefault="00BC1539" w:rsidP="00011592">
      <w:pPr>
        <w:pStyle w:val="BodyText"/>
        <w:rPr>
          <w:rStyle w:val="Strong"/>
          <w:b w:val="0"/>
          <w:bCs w:val="0"/>
        </w:rPr>
      </w:pPr>
      <w:r>
        <w:rPr>
          <w:rStyle w:val="Strong"/>
          <w:b w:val="0"/>
          <w:bCs w:val="0"/>
        </w:rPr>
        <w:t>As shown in table B.</w:t>
      </w:r>
      <w:r w:rsidR="00A31393">
        <w:rPr>
          <w:rStyle w:val="Strong"/>
          <w:b w:val="0"/>
          <w:bCs w:val="0"/>
        </w:rPr>
        <w:t>1</w:t>
      </w:r>
      <w:r>
        <w:rPr>
          <w:rStyle w:val="Strong"/>
          <w:b w:val="0"/>
          <w:bCs w:val="0"/>
        </w:rPr>
        <w:t xml:space="preserve">, </w:t>
      </w:r>
      <w:r w:rsidRPr="009874ED">
        <w:t>not every entity reports all data in every period.</w:t>
      </w:r>
      <w:r w:rsidDel="003616E5">
        <w:rPr>
          <w:rStyle w:val="Strong"/>
          <w:b w:val="0"/>
          <w:bCs w:val="0"/>
        </w:rPr>
        <w:t xml:space="preserve"> </w:t>
      </w:r>
      <w:r>
        <w:rPr>
          <w:rStyle w:val="Strong"/>
          <w:b w:val="0"/>
          <w:bCs w:val="0"/>
        </w:rPr>
        <w:t>For the safeguard assessment based on the conservative population, the inquiry reports the sum of the variable across firms, ignoring any missing data:</w:t>
      </w:r>
    </w:p>
    <w:p w14:paraId="4A99E853" w14:textId="77777777" w:rsidR="00BC1539" w:rsidRDefault="00000000" w:rsidP="00011592">
      <w:pPr>
        <w:pStyle w:val="BodyText"/>
        <w:rPr>
          <w:rStyle w:val="Strong"/>
          <w:b w:val="0"/>
          <w:bCs w:val="0"/>
        </w:rPr>
      </w:pPr>
      <m:oMathPara>
        <m:oMath>
          <m:sSub>
            <m:sSubPr>
              <m:ctrlPr>
                <w:rPr>
                  <w:rStyle w:val="Strong"/>
                  <w:rFonts w:ascii="Cambria Math" w:hAnsi="Cambria Math"/>
                  <w:b w:val="0"/>
                  <w:bCs w:val="0"/>
                  <w:i/>
                </w:rPr>
              </m:ctrlPr>
            </m:sSubPr>
            <m:e>
              <m:r>
                <w:rPr>
                  <w:rStyle w:val="Strong"/>
                  <w:rFonts w:ascii="Cambria Math" w:hAnsi="Cambria Math"/>
                </w:rPr>
                <m:t>Injury measure</m:t>
              </m:r>
            </m:e>
            <m:sub>
              <m:r>
                <w:rPr>
                  <w:rStyle w:val="Strong"/>
                  <w:rFonts w:ascii="Cambria Math" w:hAnsi="Cambria Math"/>
                </w:rPr>
                <m:t>j,  t</m:t>
              </m:r>
            </m:sub>
          </m:sSub>
          <m:r>
            <w:rPr>
              <w:rStyle w:val="Strong"/>
              <w:rFonts w:ascii="Cambria Math" w:hAnsi="Cambria Math"/>
            </w:rPr>
            <m:t>=</m:t>
          </m:r>
          <m:nary>
            <m:naryPr>
              <m:chr m:val="∑"/>
              <m:limLoc m:val="undOvr"/>
              <m:ctrlPr>
                <w:rPr>
                  <w:rStyle w:val="Strong"/>
                  <w:rFonts w:ascii="Cambria Math" w:hAnsi="Cambria Math"/>
                  <w:b w:val="0"/>
                  <w:bCs w:val="0"/>
                  <w:i/>
                </w:rPr>
              </m:ctrlPr>
            </m:naryPr>
            <m:sub>
              <m:r>
                <w:rPr>
                  <w:rStyle w:val="Strong"/>
                  <w:rFonts w:ascii="Cambria Math" w:hAnsi="Cambria Math"/>
                </w:rPr>
                <m:t>i=1</m:t>
              </m:r>
            </m:sub>
            <m:sup>
              <m:r>
                <w:rPr>
                  <w:rStyle w:val="Strong"/>
                  <w:rFonts w:ascii="Cambria Math" w:hAnsi="Cambria Math"/>
                </w:rPr>
                <m:t>N</m:t>
              </m:r>
            </m:sup>
            <m:e>
              <m:sSub>
                <m:sSubPr>
                  <m:ctrlPr>
                    <w:rPr>
                      <w:rStyle w:val="Strong"/>
                      <w:rFonts w:ascii="Cambria Math" w:hAnsi="Cambria Math"/>
                      <w:b w:val="0"/>
                      <w:bCs w:val="0"/>
                      <w:i/>
                    </w:rPr>
                  </m:ctrlPr>
                </m:sSubPr>
                <m:e>
                  <m:r>
                    <w:rPr>
                      <w:rStyle w:val="Strong"/>
                      <w:rFonts w:ascii="Cambria Math" w:hAnsi="Cambria Math"/>
                    </w:rPr>
                    <m:t>y</m:t>
                  </m:r>
                </m:e>
                <m:sub>
                  <m:r>
                    <w:rPr>
                      <w:rStyle w:val="Strong"/>
                      <w:rFonts w:ascii="Cambria Math" w:hAnsi="Cambria Math"/>
                    </w:rPr>
                    <m:t>i,j,t</m:t>
                  </m:r>
                </m:sub>
              </m:sSub>
            </m:e>
          </m:nary>
        </m:oMath>
      </m:oMathPara>
    </w:p>
    <w:p w14:paraId="0D729883" w14:textId="77777777" w:rsidR="00BC1539" w:rsidRDefault="00BC1539" w:rsidP="00011592">
      <w:pPr>
        <w:pStyle w:val="BodyText"/>
        <w:rPr>
          <w:rStyle w:val="Strong"/>
          <w:b w:val="0"/>
          <w:bCs w:val="0"/>
        </w:rPr>
      </w:pPr>
      <w:r>
        <w:rPr>
          <w:rStyle w:val="Strong"/>
          <w:b w:val="0"/>
          <w:bCs w:val="0"/>
        </w:rPr>
        <w:t xml:space="preserve">Where the PC has attempted to provide a best estimate of the FSS industry </w:t>
      </w:r>
      <w:proofErr w:type="gramStart"/>
      <w:r>
        <w:rPr>
          <w:rStyle w:val="Strong"/>
          <w:b w:val="0"/>
          <w:bCs w:val="0"/>
        </w:rPr>
        <w:t>as a whole based</w:t>
      </w:r>
      <w:proofErr w:type="gramEnd"/>
      <w:r>
        <w:rPr>
          <w:rStyle w:val="Strong"/>
          <w:b w:val="0"/>
          <w:bCs w:val="0"/>
        </w:rPr>
        <w:t xml:space="preserve"> on the expanded population, we imputed the trimmed mean (of all reporting firms) for missing values to complete the population estimate for the given year:</w:t>
      </w:r>
    </w:p>
    <w:p w14:paraId="0051A3B3" w14:textId="77777777" w:rsidR="00BC1539" w:rsidRPr="00671651" w:rsidRDefault="00000000" w:rsidP="00011592">
      <w:pPr>
        <w:pStyle w:val="BodyText"/>
        <w:rPr>
          <w:rStyle w:val="Strong"/>
          <w:rFonts w:eastAsiaTheme="minorEastAsia"/>
          <w:b w:val="0"/>
          <w:bCs w:val="0"/>
        </w:rPr>
      </w:pPr>
      <m:oMathPara>
        <m:oMath>
          <m:sSub>
            <m:sSubPr>
              <m:ctrlPr>
                <w:rPr>
                  <w:rStyle w:val="Strong"/>
                  <w:rFonts w:ascii="Cambria Math" w:hAnsi="Cambria Math"/>
                  <w:b w:val="0"/>
                  <w:bCs w:val="0"/>
                  <w:i/>
                </w:rPr>
              </m:ctrlPr>
            </m:sSubPr>
            <m:e>
              <m:r>
                <w:rPr>
                  <w:rStyle w:val="Strong"/>
                  <w:rFonts w:ascii="Cambria Math" w:hAnsi="Cambria Math"/>
                </w:rPr>
                <m:t>Injury measure</m:t>
              </m:r>
            </m:e>
            <m:sub>
              <m:r>
                <w:rPr>
                  <w:rStyle w:val="Strong"/>
                  <w:rFonts w:ascii="Cambria Math" w:hAnsi="Cambria Math"/>
                </w:rPr>
                <m:t>j,  t</m:t>
              </m:r>
            </m:sub>
          </m:sSub>
          <m:r>
            <w:rPr>
              <w:rStyle w:val="Strong"/>
              <w:rFonts w:ascii="Cambria Math" w:hAnsi="Cambria Math"/>
            </w:rPr>
            <m:t>=</m:t>
          </m:r>
          <m:nary>
            <m:naryPr>
              <m:chr m:val="∑"/>
              <m:limLoc m:val="undOvr"/>
              <m:ctrlPr>
                <w:rPr>
                  <w:rStyle w:val="Strong"/>
                  <w:rFonts w:ascii="Cambria Math" w:hAnsi="Cambria Math"/>
                  <w:b w:val="0"/>
                  <w:bCs w:val="0"/>
                  <w:i/>
                </w:rPr>
              </m:ctrlPr>
            </m:naryPr>
            <m:sub>
              <m:r>
                <w:rPr>
                  <w:rStyle w:val="Strong"/>
                  <w:rFonts w:ascii="Cambria Math" w:hAnsi="Cambria Math"/>
                </w:rPr>
                <m:t>i=1</m:t>
              </m:r>
            </m:sub>
            <m:sup>
              <m:r>
                <w:rPr>
                  <w:rStyle w:val="Strong"/>
                  <w:rFonts w:ascii="Cambria Math" w:hAnsi="Cambria Math"/>
                </w:rPr>
                <m:t>N</m:t>
              </m:r>
            </m:sup>
            <m:e>
              <m:r>
                <w:rPr>
                  <w:rStyle w:val="Strong"/>
                  <w:rFonts w:ascii="Cambria Math" w:hAnsi="Cambria Math"/>
                </w:rPr>
                <m:t>[</m:t>
              </m:r>
              <m:sSub>
                <m:sSubPr>
                  <m:ctrlPr>
                    <w:rPr>
                      <w:rStyle w:val="Strong"/>
                      <w:rFonts w:ascii="Cambria Math" w:hAnsi="Cambria Math"/>
                      <w:b w:val="0"/>
                      <w:bCs w:val="0"/>
                      <w:i/>
                    </w:rPr>
                  </m:ctrlPr>
                </m:sSubPr>
                <m:e>
                  <m:r>
                    <w:rPr>
                      <w:rStyle w:val="Strong"/>
                      <w:rFonts w:ascii="Cambria Math" w:hAnsi="Cambria Math"/>
                    </w:rPr>
                    <m:t>R</m:t>
                  </m:r>
                </m:e>
                <m:sub>
                  <m:r>
                    <w:rPr>
                      <w:rStyle w:val="Strong"/>
                      <w:rFonts w:ascii="Cambria Math" w:hAnsi="Cambria Math"/>
                    </w:rPr>
                    <m:t>i,j,t</m:t>
                  </m:r>
                </m:sub>
              </m:sSub>
            </m:e>
          </m:nary>
          <m:sSub>
            <m:sSubPr>
              <m:ctrlPr>
                <w:rPr>
                  <w:rStyle w:val="Strong"/>
                  <w:rFonts w:ascii="Cambria Math" w:hAnsi="Cambria Math"/>
                  <w:b w:val="0"/>
                  <w:bCs w:val="0"/>
                  <w:i/>
                </w:rPr>
              </m:ctrlPr>
            </m:sSubPr>
            <m:e>
              <m:r>
                <w:rPr>
                  <w:rStyle w:val="Strong"/>
                  <w:rFonts w:ascii="Cambria Math" w:hAnsi="Cambria Math"/>
                </w:rPr>
                <m:t>y</m:t>
              </m:r>
            </m:e>
            <m:sub>
              <m:r>
                <w:rPr>
                  <w:rStyle w:val="Strong"/>
                  <w:rFonts w:ascii="Cambria Math" w:hAnsi="Cambria Math"/>
                </w:rPr>
                <m:t>i,j,t</m:t>
              </m:r>
            </m:sub>
          </m:sSub>
          <m:r>
            <w:rPr>
              <w:rStyle w:val="Strong"/>
              <w:rFonts w:ascii="Cambria Math" w:hAnsi="Cambria Math"/>
            </w:rPr>
            <m:t>+(1-</m:t>
          </m:r>
          <m:sSub>
            <m:sSubPr>
              <m:ctrlPr>
                <w:rPr>
                  <w:rStyle w:val="Strong"/>
                  <w:rFonts w:ascii="Cambria Math" w:hAnsi="Cambria Math"/>
                  <w:b w:val="0"/>
                  <w:bCs w:val="0"/>
                  <w:i/>
                </w:rPr>
              </m:ctrlPr>
            </m:sSubPr>
            <m:e>
              <m:r>
                <w:rPr>
                  <w:rStyle w:val="Strong"/>
                  <w:rFonts w:ascii="Cambria Math" w:hAnsi="Cambria Math"/>
                </w:rPr>
                <m:t>R</m:t>
              </m:r>
            </m:e>
            <m:sub>
              <m:r>
                <w:rPr>
                  <w:rStyle w:val="Strong"/>
                  <w:rFonts w:ascii="Cambria Math" w:hAnsi="Cambria Math"/>
                </w:rPr>
                <m:t>i,j,t</m:t>
              </m:r>
            </m:sub>
          </m:sSub>
          <m:r>
            <w:rPr>
              <w:rStyle w:val="Strong"/>
              <w:rFonts w:ascii="Cambria Math" w:hAnsi="Cambria Math"/>
            </w:rPr>
            <m:t>)</m:t>
          </m:r>
          <m:sSub>
            <m:sSubPr>
              <m:ctrlPr>
                <w:rPr>
                  <w:rStyle w:val="Strong"/>
                  <w:rFonts w:ascii="Cambria Math" w:hAnsi="Cambria Math"/>
                  <w:b w:val="0"/>
                  <w:bCs w:val="0"/>
                  <w:i/>
                </w:rPr>
              </m:ctrlPr>
            </m:sSubPr>
            <m:e>
              <m:acc>
                <m:accPr>
                  <m:chr m:val="̅"/>
                  <m:ctrlPr>
                    <w:rPr>
                      <w:rStyle w:val="Strong"/>
                      <w:rFonts w:ascii="Cambria Math" w:hAnsi="Cambria Math"/>
                      <w:b w:val="0"/>
                      <w:bCs w:val="0"/>
                      <w:i/>
                    </w:rPr>
                  </m:ctrlPr>
                </m:accPr>
                <m:e>
                  <m:r>
                    <w:rPr>
                      <w:rStyle w:val="Strong"/>
                      <w:rFonts w:ascii="Cambria Math" w:hAnsi="Cambria Math"/>
                    </w:rPr>
                    <m:t>y</m:t>
                  </m:r>
                </m:e>
              </m:acc>
            </m:e>
            <m:sub>
              <m:r>
                <w:rPr>
                  <w:rStyle w:val="Strong"/>
                  <w:rFonts w:ascii="Cambria Math" w:hAnsi="Cambria Math"/>
                </w:rPr>
                <m:t>trim,j,t</m:t>
              </m:r>
            </m:sub>
          </m:sSub>
          <m:r>
            <w:rPr>
              <w:rStyle w:val="Strong"/>
              <w:rFonts w:ascii="Cambria Math" w:hAnsi="Cambria Math"/>
            </w:rPr>
            <m:t>]</m:t>
          </m:r>
        </m:oMath>
      </m:oMathPara>
    </w:p>
    <w:p w14:paraId="5701AFCA" w14:textId="77777777" w:rsidR="00BC1539" w:rsidRDefault="00BC1539" w:rsidP="00011592">
      <w:pPr>
        <w:pStyle w:val="BodyText"/>
        <w:rPr>
          <w:rStyle w:val="Strong"/>
          <w:rFonts w:eastAsiaTheme="minorEastAsia"/>
          <w:b w:val="0"/>
          <w:bCs w:val="0"/>
        </w:rPr>
      </w:pPr>
      <w:r>
        <w:rPr>
          <w:rStyle w:val="Strong"/>
          <w:rFonts w:eastAsiaTheme="minorEastAsia"/>
          <w:b w:val="0"/>
          <w:bCs w:val="0"/>
        </w:rPr>
        <w:t xml:space="preserve">Where </w:t>
      </w:r>
      <m:oMath>
        <m:sSub>
          <m:sSubPr>
            <m:ctrlPr>
              <w:rPr>
                <w:rStyle w:val="Strong"/>
                <w:rFonts w:ascii="Cambria Math" w:eastAsiaTheme="minorEastAsia" w:hAnsi="Cambria Math"/>
                <w:b w:val="0"/>
                <w:bCs w:val="0"/>
                <w:i/>
              </w:rPr>
            </m:ctrlPr>
          </m:sSubPr>
          <m:e>
            <m:r>
              <w:rPr>
                <w:rStyle w:val="Strong"/>
                <w:rFonts w:ascii="Cambria Math" w:eastAsiaTheme="minorEastAsia" w:hAnsi="Cambria Math"/>
              </w:rPr>
              <m:t>R</m:t>
            </m:r>
          </m:e>
          <m:sub>
            <m:r>
              <w:rPr>
                <w:rStyle w:val="Strong"/>
                <w:rFonts w:ascii="Cambria Math" w:eastAsiaTheme="minorEastAsia" w:hAnsi="Cambria Math"/>
              </w:rPr>
              <m:t>i</m:t>
            </m:r>
          </m:sub>
        </m:sSub>
      </m:oMath>
      <w:r>
        <w:rPr>
          <w:rStyle w:val="Strong"/>
          <w:rFonts w:eastAsiaTheme="minorEastAsia"/>
          <w:b w:val="0"/>
          <w:bCs w:val="0"/>
        </w:rPr>
        <w:t xml:space="preserve"> = 1 or 0 to represent the presence or absence of an observation of injury measure j for firm i in year t. Trimming removed logged observations that were greater than 3 standard deviations from the mean. Using the trimmed mean helps correct for skewness in the population. However, it assumes that the missing data is randomly distributed. </w:t>
      </w:r>
      <w:r>
        <w:rPr>
          <w:rStyle w:val="Strong"/>
          <w:b w:val="0"/>
          <w:bCs w:val="0"/>
        </w:rPr>
        <w:t>The PC does not have a conclusive perspective on whether the missing data is randomly distributed or biased towards firms with specific characteristics.</w:t>
      </w:r>
    </w:p>
    <w:p w14:paraId="76C1C733" w14:textId="77777777" w:rsidR="00BC1539" w:rsidRDefault="00BC1539" w:rsidP="00011592">
      <w:pPr>
        <w:pStyle w:val="BodyText"/>
        <w:rPr>
          <w:rStyle w:val="Strong"/>
          <w:rFonts w:eastAsiaTheme="minorEastAsia"/>
          <w:b w:val="0"/>
          <w:bCs w:val="0"/>
        </w:rPr>
      </w:pPr>
      <w:r>
        <w:rPr>
          <w:rStyle w:val="Strong"/>
          <w:rFonts w:eastAsiaTheme="minorEastAsia"/>
          <w:b w:val="0"/>
          <w:bCs w:val="0"/>
        </w:rPr>
        <w:t>As a further sensitivity check for the assessed population, the PC examined multiple subpopulations. For sales, profit/EBITDA and employment we provide:</w:t>
      </w:r>
    </w:p>
    <w:p w14:paraId="0303F08F" w14:textId="5C4ED88D" w:rsidR="00BC1539" w:rsidRDefault="00BC1539" w:rsidP="004E1B21">
      <w:pPr>
        <w:pStyle w:val="ListBullet"/>
        <w:numPr>
          <w:ilvl w:val="0"/>
          <w:numId w:val="15"/>
        </w:numPr>
        <w:rPr>
          <w:rStyle w:val="Strong"/>
          <w:rFonts w:eastAsiaTheme="minorEastAsia"/>
          <w:b w:val="0"/>
          <w:bCs w:val="0"/>
        </w:rPr>
      </w:pPr>
      <w:r w:rsidRPr="00790433">
        <w:rPr>
          <w:rStyle w:val="Emphasis"/>
        </w:rPr>
        <w:t>cons</w:t>
      </w:r>
      <w:r>
        <w:rPr>
          <w:rStyle w:val="Strong"/>
          <w:rFonts w:eastAsiaTheme="minorEastAsia"/>
          <w:b w:val="0"/>
          <w:bCs w:val="0"/>
        </w:rPr>
        <w:t>: the conservative population</w:t>
      </w:r>
      <w:r w:rsidR="00311E13">
        <w:rPr>
          <w:rStyle w:val="Strong"/>
          <w:rFonts w:eastAsiaTheme="minorEastAsia"/>
          <w:b w:val="0"/>
          <w:bCs w:val="0"/>
        </w:rPr>
        <w:t>.</w:t>
      </w:r>
    </w:p>
    <w:p w14:paraId="49304955" w14:textId="59513952" w:rsidR="00BC1539" w:rsidRDefault="00BC1539" w:rsidP="004E1B21">
      <w:pPr>
        <w:pStyle w:val="ListBullet"/>
        <w:numPr>
          <w:ilvl w:val="0"/>
          <w:numId w:val="15"/>
        </w:numPr>
        <w:rPr>
          <w:rStyle w:val="Strong"/>
          <w:rFonts w:eastAsiaTheme="minorEastAsia"/>
          <w:b w:val="0"/>
          <w:bCs w:val="0"/>
        </w:rPr>
      </w:pPr>
      <w:r w:rsidRPr="00790433">
        <w:rPr>
          <w:rStyle w:val="Emphasis"/>
        </w:rPr>
        <w:t>exp</w:t>
      </w:r>
      <w:r>
        <w:rPr>
          <w:rStyle w:val="Strong"/>
          <w:rFonts w:eastAsiaTheme="minorEastAsia"/>
          <w:b w:val="0"/>
          <w:bCs w:val="0"/>
        </w:rPr>
        <w:t>: the expanded population</w:t>
      </w:r>
      <w:r w:rsidR="00311E13">
        <w:rPr>
          <w:rStyle w:val="Strong"/>
          <w:rFonts w:eastAsiaTheme="minorEastAsia"/>
          <w:b w:val="0"/>
          <w:bCs w:val="0"/>
        </w:rPr>
        <w:t>.</w:t>
      </w:r>
    </w:p>
    <w:p w14:paraId="5C7A223D" w14:textId="77777777" w:rsidR="00BC1539" w:rsidRDefault="00BC1539" w:rsidP="004E1B21">
      <w:pPr>
        <w:pStyle w:val="ListBullet"/>
        <w:numPr>
          <w:ilvl w:val="0"/>
          <w:numId w:val="15"/>
        </w:numPr>
        <w:rPr>
          <w:rStyle w:val="Strong"/>
          <w:rFonts w:eastAsiaTheme="minorEastAsia"/>
          <w:b w:val="0"/>
          <w:bCs w:val="0"/>
        </w:rPr>
      </w:pPr>
      <w:proofErr w:type="spellStart"/>
      <w:r w:rsidRPr="00790433">
        <w:rPr>
          <w:rStyle w:val="Emphasis"/>
        </w:rPr>
        <w:t>const</w:t>
      </w:r>
      <w:r>
        <w:rPr>
          <w:rStyle w:val="Strong"/>
          <w:rFonts w:eastAsiaTheme="minorEastAsia"/>
          <w:b w:val="0"/>
          <w:bCs w:val="0"/>
        </w:rPr>
        <w:t>_employ</w:t>
      </w:r>
      <w:proofErr w:type="spellEnd"/>
      <w:r>
        <w:rPr>
          <w:rStyle w:val="Strong"/>
          <w:rFonts w:eastAsiaTheme="minorEastAsia"/>
          <w:b w:val="0"/>
          <w:bCs w:val="0"/>
        </w:rPr>
        <w:t>: a subset of the conservative population which only includes firms that reported wages expense of at least $60,000 throughout the investigation period.</w:t>
      </w:r>
    </w:p>
    <w:p w14:paraId="54805F44" w14:textId="77777777" w:rsidR="00BC1539" w:rsidRDefault="00BC1539" w:rsidP="004E1B21">
      <w:pPr>
        <w:pStyle w:val="ListBullet"/>
        <w:numPr>
          <w:ilvl w:val="0"/>
          <w:numId w:val="15"/>
        </w:numPr>
        <w:rPr>
          <w:rStyle w:val="Strong"/>
          <w:rFonts w:eastAsiaTheme="minorEastAsia"/>
          <w:b w:val="0"/>
          <w:bCs w:val="0"/>
        </w:rPr>
      </w:pPr>
      <w:proofErr w:type="spellStart"/>
      <w:r>
        <w:rPr>
          <w:rStyle w:val="Emphasis"/>
        </w:rPr>
        <w:t>const_</w:t>
      </w:r>
      <w:proofErr w:type="gramStart"/>
      <w:r>
        <w:rPr>
          <w:rStyle w:val="Emphasis"/>
        </w:rPr>
        <w:t>to</w:t>
      </w:r>
      <w:proofErr w:type="spellEnd"/>
      <w:r>
        <w:rPr>
          <w:rStyle w:val="Emphasis"/>
        </w:rPr>
        <w:t>:</w:t>
      </w:r>
      <w:proofErr w:type="gramEnd"/>
      <w:r>
        <w:rPr>
          <w:rStyle w:val="Emphasis"/>
        </w:rPr>
        <w:t xml:space="preserve"> </w:t>
      </w:r>
      <w:r>
        <w:rPr>
          <w:rStyle w:val="Strong"/>
          <w:rFonts w:eastAsiaTheme="minorEastAsia"/>
          <w:b w:val="0"/>
          <w:bCs w:val="0"/>
        </w:rPr>
        <w:t>a subset of the conservative population which only includes firms that reported turnover throughout the investigation period.</w:t>
      </w:r>
    </w:p>
    <w:p w14:paraId="5BD39D20" w14:textId="11896B82" w:rsidR="00BC1539" w:rsidRDefault="00BC1539" w:rsidP="004E1B21">
      <w:pPr>
        <w:pStyle w:val="ListBullet"/>
        <w:numPr>
          <w:ilvl w:val="0"/>
          <w:numId w:val="15"/>
        </w:numPr>
        <w:rPr>
          <w:rStyle w:val="Strong"/>
          <w:rFonts w:eastAsiaTheme="minorEastAsia"/>
          <w:b w:val="0"/>
          <w:bCs w:val="0"/>
        </w:rPr>
      </w:pPr>
      <w:proofErr w:type="spellStart"/>
      <w:r>
        <w:rPr>
          <w:rStyle w:val="Emphasis"/>
        </w:rPr>
        <w:t>const_all</w:t>
      </w:r>
      <w:proofErr w:type="spellEnd"/>
      <w:r>
        <w:rPr>
          <w:rStyle w:val="Emphasis"/>
        </w:rPr>
        <w:t>:</w:t>
      </w:r>
      <w:r>
        <w:rPr>
          <w:rStyle w:val="Strong"/>
          <w:rFonts w:eastAsiaTheme="minorEastAsia"/>
          <w:b w:val="0"/>
          <w:bCs w:val="0"/>
        </w:rPr>
        <w:t xml:space="preserve"> a subset of the conservative population which only includes firms that reported turnover (BAS), </w:t>
      </w:r>
      <w:r w:rsidR="00DA21C5">
        <w:rPr>
          <w:rStyle w:val="Strong"/>
          <w:rFonts w:eastAsiaTheme="minorEastAsia"/>
          <w:b w:val="0"/>
          <w:bCs w:val="0"/>
        </w:rPr>
        <w:t>FTE</w:t>
      </w:r>
      <w:r>
        <w:rPr>
          <w:rStyle w:val="Strong"/>
          <w:rFonts w:eastAsiaTheme="minorEastAsia"/>
          <w:b w:val="0"/>
          <w:bCs w:val="0"/>
        </w:rPr>
        <w:t xml:space="preserve"> (PAYG) and at least one metric in their </w:t>
      </w:r>
      <w:r w:rsidR="00EC29E8">
        <w:rPr>
          <w:rStyle w:val="Strong"/>
          <w:rFonts w:eastAsiaTheme="minorEastAsia"/>
          <w:b w:val="0"/>
          <w:bCs w:val="0"/>
        </w:rPr>
        <w:t>BIT</w:t>
      </w:r>
      <w:r>
        <w:rPr>
          <w:rStyle w:val="Strong"/>
          <w:rFonts w:eastAsiaTheme="minorEastAsia"/>
          <w:b w:val="0"/>
          <w:bCs w:val="0"/>
        </w:rPr>
        <w:t xml:space="preserve"> return throughout the investigation period.</w:t>
      </w:r>
    </w:p>
    <w:p w14:paraId="603FC444" w14:textId="77777777" w:rsidR="00BC1539" w:rsidRPr="00AA39AE" w:rsidRDefault="00BC1539" w:rsidP="00AA39AE">
      <w:pPr>
        <w:pStyle w:val="BodyText"/>
        <w:rPr>
          <w:spacing w:val="-4"/>
        </w:rPr>
      </w:pPr>
      <w:r w:rsidRPr="00AA39AE">
        <w:rPr>
          <w:spacing w:val="-4"/>
        </w:rPr>
        <w:t>The pattern of change for sales, profit/EBITDA and employment are relatively similar across subpopulations.</w:t>
      </w:r>
    </w:p>
    <w:p w14:paraId="09595746" w14:textId="77777777" w:rsidR="00BC1539" w:rsidRDefault="00BC1539" w:rsidP="002F3A27">
      <w:pPr>
        <w:pStyle w:val="Heading3"/>
        <w:rPr>
          <w:rStyle w:val="Strong"/>
          <w:rFonts w:ascii="Open Sans Extrabold" w:hAnsi="Open Sans Extrabold"/>
          <w:b w:val="0"/>
        </w:rPr>
      </w:pPr>
      <w:r w:rsidRPr="00910FE3">
        <w:rPr>
          <w:rStyle w:val="Strong"/>
          <w:rFonts w:ascii="Open Sans Extrabold" w:hAnsi="Open Sans Extrabold"/>
          <w:b w:val="0"/>
          <w:bCs w:val="0"/>
        </w:rPr>
        <w:lastRenderedPageBreak/>
        <w:t>Sales</w:t>
      </w:r>
    </w:p>
    <w:p w14:paraId="4375C17E" w14:textId="6035B43D" w:rsidR="00BC1539" w:rsidRPr="006B4EBF" w:rsidRDefault="00BC1539" w:rsidP="002F3A27">
      <w:pPr>
        <w:pStyle w:val="BodyText"/>
        <w:keepNext/>
        <w:keepLines/>
      </w:pPr>
      <w:r>
        <w:t>In their annual tax returns, businesses record revenue from providing goods and services under ‘Other sales of goods and services’, with the exact reporting depending on the business type (table B.</w:t>
      </w:r>
      <w:r w:rsidR="00186139">
        <w:t>6</w:t>
      </w:r>
      <w:r>
        <w:t xml:space="preserve">). For the businesses analysed, </w:t>
      </w:r>
      <w:proofErr w:type="gramStart"/>
      <w:r>
        <w:t>the vast majority of</w:t>
      </w:r>
      <w:proofErr w:type="gramEnd"/>
      <w:r>
        <w:t xml:space="preserve"> total income was recorded under ‘Other sales of goods and </w:t>
      </w:r>
      <w:proofErr w:type="gramStart"/>
      <w:r>
        <w:t>services’</w:t>
      </w:r>
      <w:proofErr w:type="gramEnd"/>
      <w:r>
        <w:t>.</w:t>
      </w:r>
    </w:p>
    <w:p w14:paraId="178CC6EF" w14:textId="77777777" w:rsidR="00BC1539" w:rsidRPr="002F3A27" w:rsidRDefault="00BC1539" w:rsidP="00011592">
      <w:pPr>
        <w:pStyle w:val="FigureTableHeading"/>
        <w:rPr>
          <w:spacing w:val="-6"/>
        </w:rPr>
      </w:pPr>
      <w:r w:rsidRPr="002F3A27">
        <w:rPr>
          <w:spacing w:val="-6"/>
        </w:rPr>
        <w:t>Figure B.6 – FSS industry sales for the expanded and conservative populations and subpopulations</w:t>
      </w:r>
    </w:p>
    <w:p w14:paraId="0EB86F3B" w14:textId="367504FE" w:rsidR="00BC1539" w:rsidRPr="003E50EC" w:rsidRDefault="00BC1539" w:rsidP="00011592">
      <w:pPr>
        <w:pStyle w:val="FigureTableSubheading"/>
      </w:pPr>
      <w:r>
        <w:t xml:space="preserve">Total sales, $billion </w:t>
      </w:r>
      <w:proofErr w:type="gramStart"/>
      <w:r>
        <w:t>nominal</w:t>
      </w:r>
      <w:proofErr w:type="gramEnd"/>
      <w:r>
        <w:t>, 2016</w:t>
      </w:r>
      <w:r w:rsidR="0090267A">
        <w:t>–</w:t>
      </w:r>
      <w:r>
        <w:t>17 to 2023</w:t>
      </w:r>
      <w:r w:rsidR="0090267A">
        <w:t>–</w:t>
      </w:r>
      <w:r>
        <w:t>24</w:t>
      </w:r>
    </w:p>
    <w:p w14:paraId="548FEAF2" w14:textId="7F84A1C0" w:rsidR="00BC1539" w:rsidRDefault="006A2E67" w:rsidP="006A2E67">
      <w:pPr>
        <w:pStyle w:val="BodyText"/>
        <w:spacing w:before="0" w:after="0"/>
      </w:pPr>
      <w:r w:rsidRPr="006A2E67">
        <w:rPr>
          <w:noProof/>
        </w:rPr>
        <w:drawing>
          <wp:inline distT="0" distB="0" distL="0" distR="0" wp14:anchorId="0F52A12A" wp14:editId="04F4E7E5">
            <wp:extent cx="6120130" cy="2409987"/>
            <wp:effectExtent l="0" t="0" r="0" b="0"/>
            <wp:docPr id="1201593119" name="Picture 33" descr="Figure B.6 - The figure shows sales for the expanded and conservative populations as well as conservative subpopulations increasing in a similar pattern between 2016-17 and 2023-2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593119" name="Picture 33" descr="Figure B.6 - The figure shows sales for the expanded and conservative populations as well as conservative subpopulations increasing in a similar pattern between 2016-17 and 2023-24.&#10;"/>
                    <pic:cNvPicPr>
                      <a:picLocks noChangeAspect="1" noChangeArrowheads="1"/>
                    </pic:cNvPicPr>
                  </pic:nvPicPr>
                  <pic:blipFill rotWithShape="1">
                    <a:blip r:embed="rId95">
                      <a:extLst>
                        <a:ext uri="{28A0092B-C50C-407E-A947-70E740481C1C}">
                          <a14:useLocalDpi xmlns:a14="http://schemas.microsoft.com/office/drawing/2010/main" val="0"/>
                        </a:ext>
                      </a:extLst>
                    </a:blip>
                    <a:srcRect b="2786"/>
                    <a:stretch>
                      <a:fillRect/>
                    </a:stretch>
                  </pic:blipFill>
                  <pic:spPr bwMode="auto">
                    <a:xfrm>
                      <a:off x="0" y="0"/>
                      <a:ext cx="6120130" cy="2409987"/>
                    </a:xfrm>
                    <a:prstGeom prst="rect">
                      <a:avLst/>
                    </a:prstGeom>
                    <a:noFill/>
                    <a:ln>
                      <a:noFill/>
                    </a:ln>
                    <a:extLst>
                      <a:ext uri="{53640926-AAD7-44D8-BBD7-CCE9431645EC}">
                        <a14:shadowObscured xmlns:a14="http://schemas.microsoft.com/office/drawing/2010/main"/>
                      </a:ext>
                    </a:extLst>
                  </pic:spPr>
                </pic:pic>
              </a:graphicData>
            </a:graphic>
          </wp:inline>
        </w:drawing>
      </w:r>
    </w:p>
    <w:p w14:paraId="30352ED1" w14:textId="77777777" w:rsidR="00BC1539" w:rsidRPr="006B4EBF" w:rsidRDefault="00BC1539" w:rsidP="00011592">
      <w:pPr>
        <w:pStyle w:val="Source"/>
      </w:pPr>
      <w:r>
        <w:t>Source: PC analysis of ABS data.</w:t>
      </w:r>
    </w:p>
    <w:p w14:paraId="0351C6CB" w14:textId="77248DC5" w:rsidR="00BC1539" w:rsidRDefault="00BC1539" w:rsidP="00011592">
      <w:pPr>
        <w:pStyle w:val="Caption"/>
        <w:rPr>
          <w:rStyle w:val="Strong"/>
          <w:b w:val="0"/>
          <w:bCs w:val="0"/>
        </w:rPr>
      </w:pPr>
      <w:bookmarkStart w:id="55" w:name="_Ref236217143"/>
      <w:bookmarkStart w:id="56" w:name="_Ref236217097"/>
      <w:r>
        <w:t xml:space="preserve">Table </w:t>
      </w:r>
      <w:bookmarkEnd w:id="55"/>
      <w:r>
        <w:rPr>
          <w:noProof/>
        </w:rPr>
        <w:t>B.</w:t>
      </w:r>
      <w:r w:rsidR="007D7365">
        <w:rPr>
          <w:noProof/>
        </w:rPr>
        <w:t>6</w:t>
      </w:r>
      <w:r>
        <w:rPr>
          <w:noProof/>
        </w:rPr>
        <w:t xml:space="preserve"> – </w:t>
      </w:r>
      <w:r>
        <w:t>Sales variables used in BIT</w:t>
      </w:r>
      <w:bookmarkEnd w:id="56"/>
    </w:p>
    <w:tbl>
      <w:tblPr>
        <w:tblW w:w="9628" w:type="dxa"/>
        <w:tblBorders>
          <w:bottom w:val="single" w:sz="4" w:space="0" w:color="B3B3B3"/>
        </w:tblBorders>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1129"/>
        <w:gridCol w:w="1546"/>
        <w:gridCol w:w="2223"/>
        <w:gridCol w:w="3904"/>
        <w:gridCol w:w="826"/>
      </w:tblGrid>
      <w:tr w:rsidR="00BC1539" w:rsidRPr="001D3995" w14:paraId="606B597E" w14:textId="77777777" w:rsidTr="001C1AC6">
        <w:trPr>
          <w:trHeight w:val="413"/>
          <w:tblHeader/>
        </w:trPr>
        <w:tc>
          <w:tcPr>
            <w:tcW w:w="1129" w:type="dxa"/>
            <w:tcBorders>
              <w:bottom w:val="single" w:sz="4" w:space="0" w:color="B3B3B3"/>
            </w:tcBorders>
            <w:vAlign w:val="bottom"/>
          </w:tcPr>
          <w:p w14:paraId="73441C6E" w14:textId="77777777" w:rsidR="00BC1539" w:rsidRPr="00C70014" w:rsidRDefault="00BC1539" w:rsidP="00C70014">
            <w:pPr>
              <w:pStyle w:val="TableBodyHeading"/>
              <w:spacing w:before="45" w:after="45"/>
              <w:ind w:right="108"/>
              <w:rPr>
                <w:rFonts w:cs="Open Sans"/>
                <w:color w:val="1D4374"/>
                <w:lang w:eastAsia="en-AU"/>
              </w:rPr>
            </w:pPr>
            <w:r w:rsidRPr="00C70014">
              <w:rPr>
                <w:rFonts w:cs="Open Sans"/>
                <w:color w:val="1D4374"/>
                <w:lang w:eastAsia="en-AU"/>
              </w:rPr>
              <w:t>Injury measure</w:t>
            </w:r>
          </w:p>
        </w:tc>
        <w:tc>
          <w:tcPr>
            <w:tcW w:w="1546" w:type="dxa"/>
            <w:tcBorders>
              <w:bottom w:val="single" w:sz="4" w:space="0" w:color="B3B3B3"/>
            </w:tcBorders>
            <w:noWrap/>
            <w:vAlign w:val="bottom"/>
            <w:hideMark/>
          </w:tcPr>
          <w:p w14:paraId="17039B22" w14:textId="77777777" w:rsidR="00BC1539" w:rsidRPr="00C70014" w:rsidRDefault="00BC1539" w:rsidP="00C70014">
            <w:pPr>
              <w:pStyle w:val="TableBodyHeading"/>
              <w:spacing w:before="45" w:after="45"/>
              <w:ind w:right="108"/>
              <w:rPr>
                <w:rFonts w:cs="Open Sans"/>
                <w:color w:val="1D4374"/>
                <w:lang w:eastAsia="en-AU"/>
              </w:rPr>
            </w:pPr>
            <w:r w:rsidRPr="00C70014">
              <w:rPr>
                <w:rFonts w:cs="Open Sans"/>
                <w:color w:val="1D4374"/>
                <w:lang w:eastAsia="en-AU"/>
              </w:rPr>
              <w:t>Business type</w:t>
            </w:r>
          </w:p>
        </w:tc>
        <w:tc>
          <w:tcPr>
            <w:tcW w:w="2223" w:type="dxa"/>
            <w:tcBorders>
              <w:bottom w:val="single" w:sz="4" w:space="0" w:color="B3B3B3"/>
            </w:tcBorders>
            <w:noWrap/>
            <w:vAlign w:val="bottom"/>
            <w:hideMark/>
          </w:tcPr>
          <w:p w14:paraId="00631271" w14:textId="77777777" w:rsidR="00BC1539" w:rsidRPr="00C70014" w:rsidRDefault="00BC1539" w:rsidP="00C70014">
            <w:pPr>
              <w:pStyle w:val="TableBodyHeading"/>
              <w:spacing w:before="45" w:after="45"/>
              <w:ind w:right="108"/>
              <w:rPr>
                <w:rFonts w:cs="Open Sans"/>
                <w:color w:val="1D4374"/>
                <w:lang w:eastAsia="en-AU"/>
              </w:rPr>
            </w:pPr>
            <w:r w:rsidRPr="00C70014">
              <w:rPr>
                <w:rFonts w:cs="Open Sans"/>
                <w:color w:val="1D4374"/>
                <w:lang w:eastAsia="en-AU"/>
              </w:rPr>
              <w:t>Variables</w:t>
            </w:r>
          </w:p>
        </w:tc>
        <w:tc>
          <w:tcPr>
            <w:tcW w:w="3904" w:type="dxa"/>
            <w:tcBorders>
              <w:bottom w:val="single" w:sz="4" w:space="0" w:color="B3B3B3"/>
            </w:tcBorders>
            <w:noWrap/>
            <w:vAlign w:val="bottom"/>
            <w:hideMark/>
          </w:tcPr>
          <w:p w14:paraId="73C7172B" w14:textId="77777777" w:rsidR="00BC1539" w:rsidRPr="00C70014" w:rsidRDefault="00BC1539" w:rsidP="00C70014">
            <w:pPr>
              <w:pStyle w:val="TableBodyHeading"/>
              <w:spacing w:before="45" w:after="45"/>
              <w:ind w:right="108"/>
              <w:rPr>
                <w:rFonts w:cs="Open Sans"/>
                <w:color w:val="1D4374"/>
                <w:lang w:eastAsia="en-AU"/>
              </w:rPr>
            </w:pPr>
            <w:r w:rsidRPr="00C70014">
              <w:rPr>
                <w:rFonts w:cs="Open Sans"/>
                <w:color w:val="1D4374"/>
                <w:lang w:eastAsia="en-AU"/>
              </w:rPr>
              <w:t xml:space="preserve">Description </w:t>
            </w:r>
          </w:p>
        </w:tc>
        <w:tc>
          <w:tcPr>
            <w:tcW w:w="826" w:type="dxa"/>
            <w:tcBorders>
              <w:bottom w:val="single" w:sz="4" w:space="0" w:color="B3B3B3"/>
            </w:tcBorders>
            <w:vAlign w:val="bottom"/>
          </w:tcPr>
          <w:p w14:paraId="37D0CD93" w14:textId="77777777" w:rsidR="00BC1539" w:rsidRPr="00C70014" w:rsidRDefault="00BC1539" w:rsidP="00C70014">
            <w:pPr>
              <w:pStyle w:val="TableBodyHeading"/>
              <w:spacing w:before="45" w:after="45"/>
              <w:ind w:right="108"/>
              <w:rPr>
                <w:rFonts w:cs="Open Sans"/>
                <w:color w:val="1D4374"/>
                <w:lang w:eastAsia="en-AU"/>
              </w:rPr>
            </w:pPr>
            <w:r w:rsidRPr="00C70014">
              <w:rPr>
                <w:rFonts w:cs="Open Sans"/>
                <w:color w:val="1D4374"/>
                <w:lang w:eastAsia="en-AU"/>
              </w:rPr>
              <w:t>Source</w:t>
            </w:r>
          </w:p>
        </w:tc>
      </w:tr>
      <w:tr w:rsidR="00BC1539" w:rsidRPr="001D3995" w14:paraId="4B07B6C1" w14:textId="77777777" w:rsidTr="001C1AC6">
        <w:trPr>
          <w:trHeight w:val="413"/>
        </w:trPr>
        <w:tc>
          <w:tcPr>
            <w:tcW w:w="1129" w:type="dxa"/>
            <w:vMerge w:val="restart"/>
            <w:tcBorders>
              <w:top w:val="single" w:sz="4" w:space="0" w:color="B3B3B3"/>
              <w:bottom w:val="nil"/>
            </w:tcBorders>
            <w:shd w:val="clear" w:color="auto" w:fill="E6E6E6"/>
          </w:tcPr>
          <w:p w14:paraId="11550F7E" w14:textId="77777777" w:rsidR="00BC1539" w:rsidRPr="00C70014" w:rsidRDefault="00BC1539" w:rsidP="00C70014">
            <w:pPr>
              <w:pStyle w:val="TableBody"/>
              <w:spacing w:before="45" w:after="45"/>
              <w:ind w:right="108"/>
              <w:rPr>
                <w:rFonts w:cs="Open Sans"/>
                <w:b/>
                <w:color w:val="1D4374"/>
                <w:lang w:eastAsia="en-AU"/>
              </w:rPr>
            </w:pPr>
            <w:r w:rsidRPr="00C70014">
              <w:rPr>
                <w:rFonts w:cs="Open Sans"/>
                <w:b/>
                <w:color w:val="1D4374"/>
                <w:lang w:eastAsia="en-AU"/>
              </w:rPr>
              <w:t>Sales</w:t>
            </w:r>
          </w:p>
        </w:tc>
        <w:tc>
          <w:tcPr>
            <w:tcW w:w="1546" w:type="dxa"/>
            <w:tcBorders>
              <w:top w:val="single" w:sz="4" w:space="0" w:color="B3B3B3"/>
              <w:bottom w:val="nil"/>
            </w:tcBorders>
            <w:shd w:val="clear" w:color="auto" w:fill="E6E6E6"/>
            <w:noWrap/>
            <w:hideMark/>
          </w:tcPr>
          <w:p w14:paraId="07400AA7" w14:textId="77777777" w:rsidR="00BC1539" w:rsidRPr="00C70014" w:rsidRDefault="00BC1539" w:rsidP="00C70014">
            <w:pPr>
              <w:pStyle w:val="TableBody"/>
              <w:spacing w:before="45" w:after="45"/>
              <w:ind w:right="108"/>
              <w:rPr>
                <w:rFonts w:cs="Open Sans"/>
                <w:color w:val="000000"/>
                <w:lang w:eastAsia="en-AU"/>
              </w:rPr>
            </w:pPr>
            <w:r w:rsidRPr="00C70014">
              <w:rPr>
                <w:rFonts w:cs="Open Sans"/>
                <w:color w:val="000000"/>
                <w:lang w:eastAsia="en-AU"/>
              </w:rPr>
              <w:t>Company</w:t>
            </w:r>
          </w:p>
        </w:tc>
        <w:tc>
          <w:tcPr>
            <w:tcW w:w="2223" w:type="dxa"/>
            <w:tcBorders>
              <w:top w:val="single" w:sz="4" w:space="0" w:color="B3B3B3"/>
              <w:bottom w:val="nil"/>
            </w:tcBorders>
            <w:shd w:val="clear" w:color="auto" w:fill="E6E6E6"/>
            <w:noWrap/>
            <w:hideMark/>
          </w:tcPr>
          <w:p w14:paraId="3EE54CC9" w14:textId="77777777" w:rsidR="00BC1539" w:rsidRPr="00C70014" w:rsidRDefault="00BC1539" w:rsidP="00C70014">
            <w:pPr>
              <w:pStyle w:val="TableBody"/>
              <w:spacing w:before="45" w:after="45"/>
              <w:ind w:right="108"/>
              <w:rPr>
                <w:rFonts w:cs="Open Sans"/>
                <w:color w:val="000000"/>
                <w:lang w:eastAsia="en-AU"/>
              </w:rPr>
            </w:pPr>
            <w:proofErr w:type="spellStart"/>
            <w:r w:rsidRPr="00C70014">
              <w:rPr>
                <w:rFonts w:cs="Open Sans"/>
                <w:color w:val="000000"/>
                <w:lang w:eastAsia="en-AU"/>
              </w:rPr>
              <w:t>c_sales</w:t>
            </w:r>
            <w:proofErr w:type="spellEnd"/>
          </w:p>
        </w:tc>
        <w:tc>
          <w:tcPr>
            <w:tcW w:w="3904" w:type="dxa"/>
            <w:tcBorders>
              <w:top w:val="single" w:sz="4" w:space="0" w:color="B3B3B3"/>
              <w:bottom w:val="nil"/>
            </w:tcBorders>
            <w:shd w:val="clear" w:color="auto" w:fill="E6E6E6"/>
            <w:noWrap/>
            <w:hideMark/>
          </w:tcPr>
          <w:p w14:paraId="7DBF839F" w14:textId="77777777" w:rsidR="00BC1539" w:rsidRPr="00C70014" w:rsidRDefault="00BC1539" w:rsidP="00C70014">
            <w:pPr>
              <w:pStyle w:val="TableBody"/>
              <w:spacing w:before="45" w:after="45"/>
              <w:ind w:right="108"/>
              <w:rPr>
                <w:rFonts w:cs="Open Sans"/>
                <w:color w:val="000000"/>
                <w:lang w:eastAsia="en-AU"/>
              </w:rPr>
            </w:pPr>
            <w:r w:rsidRPr="00C70014">
              <w:rPr>
                <w:rFonts w:cs="Open Sans"/>
                <w:color w:val="000000"/>
                <w:lang w:eastAsia="en-AU"/>
              </w:rPr>
              <w:t>Other sales of goods and services</w:t>
            </w:r>
          </w:p>
        </w:tc>
        <w:tc>
          <w:tcPr>
            <w:tcW w:w="826" w:type="dxa"/>
            <w:tcBorders>
              <w:top w:val="single" w:sz="4" w:space="0" w:color="B3B3B3"/>
              <w:bottom w:val="nil"/>
            </w:tcBorders>
            <w:shd w:val="clear" w:color="auto" w:fill="E6E6E6"/>
          </w:tcPr>
          <w:p w14:paraId="37296B57" w14:textId="7167553D" w:rsidR="00BC1539" w:rsidRPr="00C70014" w:rsidRDefault="00BC1539" w:rsidP="00C70014">
            <w:pPr>
              <w:pStyle w:val="TableBody"/>
              <w:spacing w:before="45" w:after="45"/>
              <w:ind w:right="108"/>
              <w:rPr>
                <w:rFonts w:cs="Open Sans"/>
                <w:color w:val="000000"/>
                <w:lang w:eastAsia="en-AU"/>
              </w:rPr>
            </w:pPr>
            <w:r w:rsidRPr="001867A7">
              <w:rPr>
                <w:rFonts w:cs="Open Sans"/>
                <w:szCs w:val="22"/>
              </w:rPr>
              <w:t>Link</w:t>
            </w:r>
          </w:p>
        </w:tc>
      </w:tr>
      <w:tr w:rsidR="00BC1539" w:rsidRPr="001D3995" w14:paraId="689D4975" w14:textId="77777777" w:rsidTr="001C1AC6">
        <w:trPr>
          <w:trHeight w:val="413"/>
        </w:trPr>
        <w:tc>
          <w:tcPr>
            <w:tcW w:w="1129" w:type="dxa"/>
            <w:vMerge/>
            <w:tcBorders>
              <w:top w:val="nil"/>
              <w:bottom w:val="nil"/>
            </w:tcBorders>
          </w:tcPr>
          <w:p w14:paraId="01FAF544" w14:textId="77777777" w:rsidR="00BC1539" w:rsidRPr="00C70014" w:rsidRDefault="00BC1539" w:rsidP="00C70014">
            <w:pPr>
              <w:pStyle w:val="TableBody"/>
              <w:spacing w:before="45" w:after="45"/>
              <w:ind w:right="108"/>
              <w:rPr>
                <w:rFonts w:cs="Open Sans"/>
                <w:color w:val="000000"/>
                <w:lang w:eastAsia="en-AU"/>
              </w:rPr>
            </w:pPr>
          </w:p>
        </w:tc>
        <w:tc>
          <w:tcPr>
            <w:tcW w:w="1546" w:type="dxa"/>
            <w:tcBorders>
              <w:top w:val="nil"/>
              <w:bottom w:val="nil"/>
            </w:tcBorders>
            <w:noWrap/>
            <w:hideMark/>
          </w:tcPr>
          <w:p w14:paraId="139FDB71" w14:textId="77777777" w:rsidR="00BC1539" w:rsidRPr="00C70014" w:rsidRDefault="00BC1539" w:rsidP="00C70014">
            <w:pPr>
              <w:pStyle w:val="TableBody"/>
              <w:spacing w:before="45" w:after="45"/>
              <w:ind w:right="108"/>
              <w:rPr>
                <w:rFonts w:cs="Open Sans"/>
                <w:color w:val="000000"/>
                <w:lang w:eastAsia="en-AU"/>
              </w:rPr>
            </w:pPr>
            <w:r w:rsidRPr="00C70014">
              <w:rPr>
                <w:rFonts w:cs="Open Sans"/>
                <w:color w:val="000000"/>
                <w:lang w:eastAsia="en-AU"/>
              </w:rPr>
              <w:t xml:space="preserve">Individual </w:t>
            </w:r>
          </w:p>
        </w:tc>
        <w:tc>
          <w:tcPr>
            <w:tcW w:w="2223" w:type="dxa"/>
            <w:tcBorders>
              <w:top w:val="nil"/>
              <w:bottom w:val="nil"/>
            </w:tcBorders>
            <w:noWrap/>
            <w:hideMark/>
          </w:tcPr>
          <w:p w14:paraId="76B23832" w14:textId="77777777" w:rsidR="00BC1539" w:rsidRPr="00C70014" w:rsidRDefault="00BC1539" w:rsidP="00C70014">
            <w:pPr>
              <w:pStyle w:val="TableBody"/>
              <w:spacing w:before="45" w:after="45"/>
              <w:ind w:right="108"/>
              <w:rPr>
                <w:rFonts w:cs="Open Sans"/>
                <w:color w:val="000000"/>
                <w:lang w:eastAsia="en-AU"/>
              </w:rPr>
            </w:pPr>
            <w:proofErr w:type="spellStart"/>
            <w:r w:rsidRPr="00C70014">
              <w:rPr>
                <w:rFonts w:cs="Open Sans"/>
                <w:color w:val="000000"/>
                <w:lang w:eastAsia="en-AU"/>
              </w:rPr>
              <w:t>i_othbicpp</w:t>
            </w:r>
            <w:proofErr w:type="spellEnd"/>
            <w:r w:rsidRPr="00C70014">
              <w:rPr>
                <w:rFonts w:cs="Open Sans"/>
                <w:color w:val="000000"/>
                <w:lang w:eastAsia="en-AU"/>
              </w:rPr>
              <w:t xml:space="preserve"> + </w:t>
            </w:r>
            <w:proofErr w:type="spellStart"/>
            <w:r w:rsidRPr="00C70014">
              <w:rPr>
                <w:rFonts w:cs="Open Sans"/>
                <w:color w:val="000000"/>
                <w:lang w:eastAsia="en-AU"/>
              </w:rPr>
              <w:t>i_othbinpp</w:t>
            </w:r>
            <w:proofErr w:type="spellEnd"/>
          </w:p>
        </w:tc>
        <w:tc>
          <w:tcPr>
            <w:tcW w:w="3904" w:type="dxa"/>
            <w:vMerge w:val="restart"/>
            <w:tcBorders>
              <w:top w:val="nil"/>
              <w:bottom w:val="nil"/>
            </w:tcBorders>
            <w:hideMark/>
          </w:tcPr>
          <w:p w14:paraId="2E22C536" w14:textId="77777777" w:rsidR="00BC1539" w:rsidRPr="00C70014" w:rsidRDefault="00BC1539" w:rsidP="00C70014">
            <w:pPr>
              <w:pStyle w:val="TableBody"/>
              <w:spacing w:before="45" w:after="45"/>
              <w:ind w:right="108"/>
              <w:rPr>
                <w:rFonts w:cs="Open Sans"/>
                <w:color w:val="000000"/>
                <w:lang w:eastAsia="en-AU"/>
              </w:rPr>
            </w:pPr>
            <w:r w:rsidRPr="00C70014">
              <w:rPr>
                <w:rFonts w:cs="Open Sans"/>
                <w:color w:val="000000"/>
                <w:lang w:eastAsia="en-AU"/>
              </w:rPr>
              <w:t>*_</w:t>
            </w:r>
            <w:proofErr w:type="spellStart"/>
            <w:r w:rsidRPr="00C70014">
              <w:rPr>
                <w:rFonts w:cs="Open Sans"/>
                <w:color w:val="000000"/>
                <w:lang w:eastAsia="en-AU"/>
              </w:rPr>
              <w:t>othbicpp</w:t>
            </w:r>
            <w:proofErr w:type="spellEnd"/>
            <w:r w:rsidRPr="00C70014">
              <w:rPr>
                <w:rFonts w:cs="Open Sans"/>
                <w:color w:val="000000"/>
                <w:lang w:eastAsia="en-AU"/>
              </w:rPr>
              <w:t>: Other business income – PP (Primary Production)</w:t>
            </w:r>
            <w:r w:rsidRPr="00C70014">
              <w:rPr>
                <w:rFonts w:cs="Open Sans"/>
                <w:color w:val="000000"/>
              </w:rPr>
              <w:br/>
            </w:r>
            <w:r w:rsidRPr="00C70014">
              <w:rPr>
                <w:rFonts w:cs="Open Sans"/>
                <w:color w:val="000000"/>
                <w:lang w:eastAsia="en-AU"/>
              </w:rPr>
              <w:t>*_</w:t>
            </w:r>
            <w:proofErr w:type="spellStart"/>
            <w:r w:rsidRPr="00C70014">
              <w:rPr>
                <w:rFonts w:cs="Open Sans"/>
                <w:color w:val="000000"/>
                <w:lang w:eastAsia="en-AU"/>
              </w:rPr>
              <w:t>othbinpp</w:t>
            </w:r>
            <w:proofErr w:type="spellEnd"/>
            <w:r w:rsidRPr="00C70014">
              <w:rPr>
                <w:rFonts w:cs="Open Sans"/>
                <w:color w:val="000000"/>
                <w:lang w:eastAsia="en-AU"/>
              </w:rPr>
              <w:t>: Other business income – NPP (</w:t>
            </w:r>
            <w:proofErr w:type="gramStart"/>
            <w:r w:rsidRPr="00C70014">
              <w:rPr>
                <w:rFonts w:cs="Open Sans"/>
                <w:color w:val="000000"/>
                <w:lang w:eastAsia="en-AU"/>
              </w:rPr>
              <w:t>Non Primary</w:t>
            </w:r>
            <w:proofErr w:type="gramEnd"/>
            <w:r w:rsidRPr="00C70014">
              <w:rPr>
                <w:rFonts w:cs="Open Sans"/>
                <w:color w:val="000000"/>
                <w:lang w:eastAsia="en-AU"/>
              </w:rPr>
              <w:t xml:space="preserve"> Production)</w:t>
            </w:r>
          </w:p>
        </w:tc>
        <w:tc>
          <w:tcPr>
            <w:tcW w:w="826" w:type="dxa"/>
            <w:tcBorders>
              <w:top w:val="nil"/>
              <w:bottom w:val="nil"/>
            </w:tcBorders>
          </w:tcPr>
          <w:p w14:paraId="06F46397" w14:textId="495CC387" w:rsidR="00BC1539" w:rsidRPr="00C70014" w:rsidRDefault="00BC1539" w:rsidP="00C70014">
            <w:pPr>
              <w:pStyle w:val="TableBody"/>
              <w:spacing w:before="45" w:after="45"/>
              <w:ind w:right="108"/>
              <w:rPr>
                <w:rFonts w:cs="Open Sans"/>
                <w:color w:val="000000"/>
                <w:lang w:eastAsia="en-AU"/>
              </w:rPr>
            </w:pPr>
            <w:r w:rsidRPr="001867A7">
              <w:rPr>
                <w:rFonts w:cs="Open Sans"/>
                <w:szCs w:val="22"/>
              </w:rPr>
              <w:t>Link</w:t>
            </w:r>
          </w:p>
        </w:tc>
      </w:tr>
      <w:tr w:rsidR="00BC1539" w:rsidRPr="001D3995" w14:paraId="0A86AFB0" w14:textId="77777777" w:rsidTr="001C1AC6">
        <w:trPr>
          <w:trHeight w:val="413"/>
        </w:trPr>
        <w:tc>
          <w:tcPr>
            <w:tcW w:w="1129" w:type="dxa"/>
            <w:vMerge/>
            <w:tcBorders>
              <w:bottom w:val="nil"/>
            </w:tcBorders>
            <w:shd w:val="clear" w:color="auto" w:fill="E6E6E6"/>
          </w:tcPr>
          <w:p w14:paraId="7517F0C8" w14:textId="77777777" w:rsidR="00BC1539" w:rsidRPr="00C70014" w:rsidRDefault="00BC1539" w:rsidP="00C70014">
            <w:pPr>
              <w:pStyle w:val="TableBody"/>
              <w:spacing w:before="45" w:after="45"/>
              <w:ind w:right="108"/>
              <w:rPr>
                <w:rFonts w:cs="Open Sans"/>
                <w:color w:val="000000"/>
                <w:lang w:eastAsia="en-AU"/>
              </w:rPr>
            </w:pPr>
          </w:p>
        </w:tc>
        <w:tc>
          <w:tcPr>
            <w:tcW w:w="1546" w:type="dxa"/>
            <w:tcBorders>
              <w:bottom w:val="nil"/>
            </w:tcBorders>
            <w:shd w:val="clear" w:color="auto" w:fill="E6E6E6"/>
            <w:noWrap/>
            <w:hideMark/>
          </w:tcPr>
          <w:p w14:paraId="327D1C59" w14:textId="77777777" w:rsidR="00BC1539" w:rsidRPr="00C70014" w:rsidRDefault="00BC1539" w:rsidP="00C70014">
            <w:pPr>
              <w:pStyle w:val="TableBody"/>
              <w:spacing w:before="45" w:after="45"/>
              <w:ind w:right="108"/>
              <w:rPr>
                <w:rFonts w:cs="Open Sans"/>
                <w:color w:val="000000"/>
                <w:lang w:eastAsia="en-AU"/>
              </w:rPr>
            </w:pPr>
            <w:r w:rsidRPr="00C70014">
              <w:rPr>
                <w:rFonts w:cs="Open Sans"/>
                <w:color w:val="000000"/>
                <w:lang w:eastAsia="en-AU"/>
              </w:rPr>
              <w:t>Partnership</w:t>
            </w:r>
          </w:p>
        </w:tc>
        <w:tc>
          <w:tcPr>
            <w:tcW w:w="2223" w:type="dxa"/>
            <w:tcBorders>
              <w:bottom w:val="nil"/>
            </w:tcBorders>
            <w:shd w:val="clear" w:color="auto" w:fill="E6E6E6"/>
            <w:noWrap/>
            <w:hideMark/>
          </w:tcPr>
          <w:p w14:paraId="04B54732" w14:textId="77777777" w:rsidR="00BC1539" w:rsidRPr="00C70014" w:rsidRDefault="00BC1539" w:rsidP="00C70014">
            <w:pPr>
              <w:pStyle w:val="TableBody"/>
              <w:spacing w:before="45" w:after="45"/>
              <w:ind w:right="108"/>
              <w:rPr>
                <w:rFonts w:cs="Open Sans"/>
                <w:color w:val="000000"/>
                <w:lang w:eastAsia="en-AU"/>
              </w:rPr>
            </w:pPr>
            <w:proofErr w:type="spellStart"/>
            <w:r w:rsidRPr="00C70014">
              <w:rPr>
                <w:rFonts w:cs="Open Sans"/>
                <w:color w:val="000000"/>
                <w:lang w:eastAsia="en-AU"/>
              </w:rPr>
              <w:t>p_othbicpp</w:t>
            </w:r>
            <w:proofErr w:type="spellEnd"/>
            <w:r w:rsidRPr="00C70014">
              <w:rPr>
                <w:rFonts w:cs="Open Sans"/>
                <w:color w:val="000000"/>
                <w:lang w:eastAsia="en-AU"/>
              </w:rPr>
              <w:t xml:space="preserve"> + </w:t>
            </w:r>
            <w:proofErr w:type="spellStart"/>
            <w:r w:rsidRPr="00C70014">
              <w:rPr>
                <w:rFonts w:cs="Open Sans"/>
                <w:color w:val="000000"/>
                <w:lang w:eastAsia="en-AU"/>
              </w:rPr>
              <w:t>p_othbinpp</w:t>
            </w:r>
            <w:proofErr w:type="spellEnd"/>
          </w:p>
        </w:tc>
        <w:tc>
          <w:tcPr>
            <w:tcW w:w="3904" w:type="dxa"/>
            <w:vMerge/>
            <w:tcBorders>
              <w:bottom w:val="nil"/>
            </w:tcBorders>
            <w:shd w:val="clear" w:color="auto" w:fill="E6E6E6"/>
            <w:hideMark/>
          </w:tcPr>
          <w:p w14:paraId="3978F9DE" w14:textId="77777777" w:rsidR="00BC1539" w:rsidRPr="00C70014" w:rsidRDefault="00BC1539" w:rsidP="00C70014">
            <w:pPr>
              <w:pStyle w:val="TableBody"/>
              <w:spacing w:before="45" w:after="45"/>
              <w:ind w:right="108"/>
              <w:rPr>
                <w:rFonts w:cs="Open Sans"/>
                <w:color w:val="000000"/>
                <w:lang w:eastAsia="en-AU"/>
              </w:rPr>
            </w:pPr>
          </w:p>
        </w:tc>
        <w:tc>
          <w:tcPr>
            <w:tcW w:w="826" w:type="dxa"/>
            <w:tcBorders>
              <w:bottom w:val="nil"/>
            </w:tcBorders>
            <w:shd w:val="clear" w:color="auto" w:fill="E6E6E6"/>
          </w:tcPr>
          <w:p w14:paraId="71169608" w14:textId="0C8ECE6E" w:rsidR="00BC1539" w:rsidRPr="00C70014" w:rsidRDefault="00BC1539" w:rsidP="00C70014">
            <w:pPr>
              <w:pStyle w:val="TableBody"/>
              <w:spacing w:before="45" w:after="45"/>
              <w:ind w:right="108"/>
              <w:rPr>
                <w:rFonts w:cs="Open Sans"/>
                <w:color w:val="000000"/>
                <w:lang w:eastAsia="en-AU"/>
              </w:rPr>
            </w:pPr>
            <w:r w:rsidRPr="001867A7">
              <w:rPr>
                <w:rFonts w:cs="Open Sans"/>
                <w:szCs w:val="22"/>
              </w:rPr>
              <w:t>Link</w:t>
            </w:r>
          </w:p>
        </w:tc>
      </w:tr>
      <w:tr w:rsidR="00BC1539" w:rsidRPr="001D3995" w14:paraId="5A7B7173" w14:textId="77777777" w:rsidTr="001C1AC6">
        <w:trPr>
          <w:trHeight w:val="413"/>
        </w:trPr>
        <w:tc>
          <w:tcPr>
            <w:tcW w:w="1129" w:type="dxa"/>
            <w:vMerge/>
            <w:tcBorders>
              <w:top w:val="nil"/>
            </w:tcBorders>
          </w:tcPr>
          <w:p w14:paraId="6C0EB34C" w14:textId="77777777" w:rsidR="00BC1539" w:rsidRPr="00C70014" w:rsidRDefault="00BC1539" w:rsidP="00C70014">
            <w:pPr>
              <w:pStyle w:val="TableBody"/>
              <w:spacing w:before="45" w:after="45"/>
              <w:ind w:right="108"/>
              <w:rPr>
                <w:rFonts w:cs="Open Sans"/>
                <w:color w:val="000000"/>
                <w:lang w:eastAsia="en-AU"/>
              </w:rPr>
            </w:pPr>
          </w:p>
        </w:tc>
        <w:tc>
          <w:tcPr>
            <w:tcW w:w="1546" w:type="dxa"/>
            <w:tcBorders>
              <w:top w:val="nil"/>
            </w:tcBorders>
            <w:noWrap/>
            <w:hideMark/>
          </w:tcPr>
          <w:p w14:paraId="0B016BF0" w14:textId="77777777" w:rsidR="00BC1539" w:rsidRPr="00C70014" w:rsidRDefault="00BC1539" w:rsidP="00C70014">
            <w:pPr>
              <w:pStyle w:val="TableBody"/>
              <w:spacing w:before="45" w:after="45"/>
              <w:ind w:right="108"/>
              <w:rPr>
                <w:rFonts w:cs="Open Sans"/>
                <w:color w:val="000000"/>
                <w:lang w:eastAsia="en-AU"/>
              </w:rPr>
            </w:pPr>
            <w:r w:rsidRPr="00C70014">
              <w:rPr>
                <w:rFonts w:cs="Open Sans"/>
                <w:color w:val="000000"/>
                <w:lang w:eastAsia="en-AU"/>
              </w:rPr>
              <w:t>Trust</w:t>
            </w:r>
          </w:p>
        </w:tc>
        <w:tc>
          <w:tcPr>
            <w:tcW w:w="2223" w:type="dxa"/>
            <w:tcBorders>
              <w:top w:val="nil"/>
            </w:tcBorders>
            <w:noWrap/>
            <w:hideMark/>
          </w:tcPr>
          <w:p w14:paraId="50969D72" w14:textId="77777777" w:rsidR="00BC1539" w:rsidRPr="00C70014" w:rsidRDefault="00BC1539" w:rsidP="00C70014">
            <w:pPr>
              <w:pStyle w:val="TableBody"/>
              <w:spacing w:before="45" w:after="45"/>
              <w:ind w:right="108"/>
              <w:rPr>
                <w:rFonts w:cs="Open Sans"/>
                <w:color w:val="000000"/>
                <w:lang w:eastAsia="en-AU"/>
              </w:rPr>
            </w:pPr>
            <w:proofErr w:type="spellStart"/>
            <w:r w:rsidRPr="00C70014">
              <w:rPr>
                <w:rFonts w:cs="Open Sans"/>
                <w:color w:val="000000"/>
                <w:lang w:eastAsia="en-AU"/>
              </w:rPr>
              <w:t>t_othbicpp</w:t>
            </w:r>
            <w:proofErr w:type="spellEnd"/>
            <w:r w:rsidRPr="00C70014">
              <w:rPr>
                <w:rFonts w:cs="Open Sans"/>
                <w:color w:val="000000"/>
                <w:lang w:eastAsia="en-AU"/>
              </w:rPr>
              <w:t xml:space="preserve"> + </w:t>
            </w:r>
            <w:proofErr w:type="spellStart"/>
            <w:r w:rsidRPr="00C70014">
              <w:rPr>
                <w:rFonts w:cs="Open Sans"/>
                <w:color w:val="000000"/>
                <w:lang w:eastAsia="en-AU"/>
              </w:rPr>
              <w:t>t_othbinpp</w:t>
            </w:r>
            <w:proofErr w:type="spellEnd"/>
          </w:p>
        </w:tc>
        <w:tc>
          <w:tcPr>
            <w:tcW w:w="3904" w:type="dxa"/>
            <w:vMerge/>
            <w:tcBorders>
              <w:top w:val="nil"/>
            </w:tcBorders>
            <w:hideMark/>
          </w:tcPr>
          <w:p w14:paraId="3D22EE4A" w14:textId="77777777" w:rsidR="00BC1539" w:rsidRPr="00C70014" w:rsidRDefault="00BC1539" w:rsidP="00C70014">
            <w:pPr>
              <w:pStyle w:val="TableBody"/>
              <w:spacing w:before="45" w:after="45"/>
              <w:ind w:right="108"/>
              <w:rPr>
                <w:rFonts w:cs="Open Sans"/>
                <w:color w:val="000000"/>
                <w:lang w:eastAsia="en-AU"/>
              </w:rPr>
            </w:pPr>
          </w:p>
        </w:tc>
        <w:tc>
          <w:tcPr>
            <w:tcW w:w="826" w:type="dxa"/>
            <w:tcBorders>
              <w:top w:val="nil"/>
            </w:tcBorders>
          </w:tcPr>
          <w:p w14:paraId="001C587D" w14:textId="52A3AE07" w:rsidR="00BC1539" w:rsidRPr="00C70014" w:rsidRDefault="00BC1539" w:rsidP="00C70014">
            <w:pPr>
              <w:pStyle w:val="TableBody"/>
              <w:spacing w:before="45" w:after="45"/>
              <w:ind w:right="108"/>
              <w:rPr>
                <w:rFonts w:cs="Open Sans"/>
                <w:color w:val="000000"/>
                <w:lang w:eastAsia="en-AU"/>
              </w:rPr>
            </w:pPr>
            <w:r w:rsidRPr="001867A7">
              <w:rPr>
                <w:rFonts w:cs="Open Sans"/>
                <w:szCs w:val="22"/>
              </w:rPr>
              <w:t>Link</w:t>
            </w:r>
          </w:p>
        </w:tc>
      </w:tr>
    </w:tbl>
    <w:p w14:paraId="4CBC31E7" w14:textId="77777777" w:rsidR="00BC1539" w:rsidRDefault="00BC1539" w:rsidP="00381875">
      <w:pPr>
        <w:pStyle w:val="Heading3"/>
        <w:spacing w:before="480"/>
        <w:rPr>
          <w:rStyle w:val="Strong"/>
          <w:rFonts w:ascii="Open Sans Extrabold" w:hAnsi="Open Sans Extrabold"/>
          <w:b w:val="0"/>
          <w:bCs w:val="0"/>
        </w:rPr>
      </w:pPr>
      <w:r w:rsidRPr="00910FE3">
        <w:rPr>
          <w:rStyle w:val="Strong"/>
          <w:rFonts w:ascii="Open Sans Extrabold" w:hAnsi="Open Sans Extrabold"/>
          <w:b w:val="0"/>
          <w:bCs w:val="0"/>
        </w:rPr>
        <w:lastRenderedPageBreak/>
        <w:t>Profit</w:t>
      </w:r>
      <w:r>
        <w:rPr>
          <w:rStyle w:val="Strong"/>
          <w:b w:val="0"/>
          <w:bCs w:val="0"/>
        </w:rPr>
        <w:t>/</w:t>
      </w:r>
      <w:r w:rsidRPr="00910FE3">
        <w:rPr>
          <w:rStyle w:val="Strong"/>
          <w:rFonts w:ascii="Open Sans Extrabold" w:hAnsi="Open Sans Extrabold"/>
          <w:b w:val="0"/>
          <w:bCs w:val="0"/>
        </w:rPr>
        <w:t>loss</w:t>
      </w:r>
      <w:r>
        <w:rPr>
          <w:rStyle w:val="Strong"/>
          <w:rFonts w:ascii="Open Sans Extrabold" w:hAnsi="Open Sans Extrabold"/>
          <w:b w:val="0"/>
          <w:bCs w:val="0"/>
        </w:rPr>
        <w:t xml:space="preserve"> and EBITDA</w:t>
      </w:r>
    </w:p>
    <w:p w14:paraId="6AD34D12" w14:textId="4A485B96" w:rsidR="00BC1539" w:rsidRPr="00237BBE" w:rsidRDefault="00BC1539" w:rsidP="00381875">
      <w:pPr>
        <w:pStyle w:val="BodyText"/>
        <w:keepNext/>
        <w:keepLines/>
      </w:pPr>
      <w:r>
        <w:t>Total profit or loss represents the pre</w:t>
      </w:r>
      <w:r w:rsidR="00541146">
        <w:noBreakHyphen/>
      </w:r>
      <w:r>
        <w:t xml:space="preserve">tax profit or loss of a business and is calculated as total income </w:t>
      </w:r>
      <w:proofErr w:type="gramStart"/>
      <w:r>
        <w:t>less</w:t>
      </w:r>
      <w:proofErr w:type="gramEnd"/>
      <w:r>
        <w:t xml:space="preserve"> total expenses. This measure of profit or loss is commonly referred to as accounting profit and differs from taxable income, which includes deductions, capital gains/losses, tax losses carried forward from previous years and other adjustments.</w:t>
      </w:r>
    </w:p>
    <w:p w14:paraId="4740A9CB" w14:textId="77777777" w:rsidR="00BC1539" w:rsidRPr="00A76B08" w:rsidRDefault="00BC1539" w:rsidP="00011592">
      <w:pPr>
        <w:pStyle w:val="FigureTableHeading"/>
        <w:rPr>
          <w:spacing w:val="-6"/>
        </w:rPr>
      </w:pPr>
      <w:r w:rsidRPr="00A76B08">
        <w:rPr>
          <w:spacing w:val="-6"/>
        </w:rPr>
        <w:t>Figure B.7 – FSS industry profit for the expanded and conservative populations and subpopulations</w:t>
      </w:r>
    </w:p>
    <w:p w14:paraId="16BEAD23" w14:textId="02D072FB" w:rsidR="00BC1539" w:rsidRPr="00F92159" w:rsidRDefault="00BC1539" w:rsidP="00011592">
      <w:pPr>
        <w:pStyle w:val="FigureTableSubheading"/>
      </w:pPr>
      <w:r>
        <w:t xml:space="preserve">Profit, $million </w:t>
      </w:r>
      <w:proofErr w:type="gramStart"/>
      <w:r>
        <w:t>nominal</w:t>
      </w:r>
      <w:proofErr w:type="gramEnd"/>
      <w:r>
        <w:t>, 2016</w:t>
      </w:r>
      <w:r w:rsidR="0090267A">
        <w:t>–</w:t>
      </w:r>
      <w:r>
        <w:t>17 to 2023</w:t>
      </w:r>
      <w:r w:rsidR="0090267A">
        <w:t>–</w:t>
      </w:r>
      <w:r>
        <w:t>24</w:t>
      </w:r>
    </w:p>
    <w:p w14:paraId="2C04C9C5" w14:textId="396CB737" w:rsidR="00BC1539" w:rsidRPr="00AA39AE" w:rsidRDefault="0004790C" w:rsidP="00AA39AE">
      <w:pPr>
        <w:pStyle w:val="BodyText"/>
      </w:pPr>
      <w:r w:rsidRPr="0004790C">
        <w:rPr>
          <w:noProof/>
        </w:rPr>
        <w:drawing>
          <wp:inline distT="0" distB="0" distL="0" distR="0" wp14:anchorId="1FAF7005" wp14:editId="00E852F6">
            <wp:extent cx="6120130" cy="2487478"/>
            <wp:effectExtent l="0" t="0" r="0" b="0"/>
            <wp:docPr id="1554480110" name="Picture 34" descr="Figure B.7 - The figure shows profit for the expanded and conservative populations as well as conservative subpopulations increasing in a similar pattern between 2016-17 and 2023-2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480110" name="Picture 34" descr="Figure B.7 - The figure shows profit for the expanded and conservative populations as well as conservative subpopulations increasing in a similar pattern between 2016-17 and 2023-24.&#10;"/>
                    <pic:cNvPicPr>
                      <a:picLocks noChangeAspect="1" noChangeArrowheads="1"/>
                    </pic:cNvPicPr>
                  </pic:nvPicPr>
                  <pic:blipFill rotWithShape="1">
                    <a:blip r:embed="rId96">
                      <a:extLst>
                        <a:ext uri="{28A0092B-C50C-407E-A947-70E740481C1C}">
                          <a14:useLocalDpi xmlns:a14="http://schemas.microsoft.com/office/drawing/2010/main" val="0"/>
                        </a:ext>
                      </a:extLst>
                    </a:blip>
                    <a:srcRect b="3301"/>
                    <a:stretch>
                      <a:fillRect/>
                    </a:stretch>
                  </pic:blipFill>
                  <pic:spPr bwMode="auto">
                    <a:xfrm>
                      <a:off x="0" y="0"/>
                      <a:ext cx="6120130" cy="2487478"/>
                    </a:xfrm>
                    <a:prstGeom prst="rect">
                      <a:avLst/>
                    </a:prstGeom>
                    <a:noFill/>
                    <a:ln>
                      <a:noFill/>
                    </a:ln>
                    <a:extLst>
                      <a:ext uri="{53640926-AAD7-44D8-BBD7-CCE9431645EC}">
                        <a14:shadowObscured xmlns:a14="http://schemas.microsoft.com/office/drawing/2010/main"/>
                      </a:ext>
                    </a:extLst>
                  </pic:spPr>
                </pic:pic>
              </a:graphicData>
            </a:graphic>
          </wp:inline>
        </w:drawing>
      </w:r>
    </w:p>
    <w:p w14:paraId="4EBD4AEE" w14:textId="77777777" w:rsidR="00BC1539" w:rsidRPr="00237BBE" w:rsidRDefault="00BC1539" w:rsidP="00011592">
      <w:pPr>
        <w:pStyle w:val="Source"/>
      </w:pPr>
      <w:r>
        <w:t>Source: PC analysis of ABS data.</w:t>
      </w:r>
    </w:p>
    <w:p w14:paraId="4EF0676C" w14:textId="02C90DF5" w:rsidR="00BC1539" w:rsidRPr="000C595D" w:rsidRDefault="00BC1539" w:rsidP="00011592">
      <w:pPr>
        <w:pStyle w:val="Caption"/>
        <w:rPr>
          <w:rFonts w:ascii="Open Sans" w:hAnsi="Open Sans"/>
        </w:rPr>
      </w:pPr>
      <w:bookmarkStart w:id="57" w:name="_Ref236220424"/>
      <w:r>
        <w:t xml:space="preserve">Table </w:t>
      </w:r>
      <w:bookmarkEnd w:id="57"/>
      <w:r>
        <w:rPr>
          <w:noProof/>
        </w:rPr>
        <w:t>B.</w:t>
      </w:r>
      <w:r w:rsidR="007D7365">
        <w:rPr>
          <w:noProof/>
        </w:rPr>
        <w:t>7</w:t>
      </w:r>
      <w:r>
        <w:rPr>
          <w:noProof/>
        </w:rPr>
        <w:t xml:space="preserve"> – </w:t>
      </w:r>
      <w:r>
        <w:t>Profit variables used in BIT</w:t>
      </w:r>
    </w:p>
    <w:tbl>
      <w:tblPr>
        <w:tblW w:w="9628" w:type="dxa"/>
        <w:tblBorders>
          <w:bottom w:val="single" w:sz="4" w:space="0" w:color="B3B3B3"/>
        </w:tblBorders>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1225"/>
        <w:gridCol w:w="1478"/>
        <w:gridCol w:w="2488"/>
        <w:gridCol w:w="3554"/>
        <w:gridCol w:w="883"/>
      </w:tblGrid>
      <w:tr w:rsidR="00BC1539" w:rsidRPr="001D3995" w14:paraId="6CA3D814" w14:textId="77777777" w:rsidTr="001C1AC6">
        <w:trPr>
          <w:trHeight w:val="537"/>
          <w:tblHeader/>
        </w:trPr>
        <w:tc>
          <w:tcPr>
            <w:tcW w:w="1225" w:type="dxa"/>
            <w:tcBorders>
              <w:bottom w:val="single" w:sz="4" w:space="0" w:color="B3B3B3"/>
            </w:tcBorders>
            <w:vAlign w:val="bottom"/>
          </w:tcPr>
          <w:p w14:paraId="77BC87B4" w14:textId="77777777" w:rsidR="00BC1539" w:rsidRPr="00C70014" w:rsidRDefault="00BC1539" w:rsidP="00C70014">
            <w:pPr>
              <w:pStyle w:val="TableBodyHeading"/>
              <w:spacing w:before="45" w:after="45"/>
              <w:ind w:right="108"/>
              <w:rPr>
                <w:rFonts w:cs="Open Sans"/>
                <w:color w:val="1D4374"/>
              </w:rPr>
            </w:pPr>
            <w:r w:rsidRPr="00C70014">
              <w:rPr>
                <w:rFonts w:cs="Open Sans"/>
                <w:color w:val="1D4374"/>
              </w:rPr>
              <w:t>Injury measure</w:t>
            </w:r>
          </w:p>
        </w:tc>
        <w:tc>
          <w:tcPr>
            <w:tcW w:w="1478" w:type="dxa"/>
            <w:tcBorders>
              <w:bottom w:val="single" w:sz="4" w:space="0" w:color="B3B3B3"/>
            </w:tcBorders>
            <w:noWrap/>
            <w:vAlign w:val="bottom"/>
            <w:hideMark/>
          </w:tcPr>
          <w:p w14:paraId="16AEECB2" w14:textId="77777777" w:rsidR="00BC1539" w:rsidRPr="00C70014" w:rsidRDefault="00BC1539" w:rsidP="00C70014">
            <w:pPr>
              <w:pStyle w:val="TableBodyHeading"/>
              <w:spacing w:before="45" w:after="45"/>
              <w:ind w:right="108"/>
              <w:rPr>
                <w:rFonts w:cs="Open Sans"/>
                <w:color w:val="1D4374"/>
              </w:rPr>
            </w:pPr>
            <w:r w:rsidRPr="00C70014">
              <w:rPr>
                <w:rFonts w:cs="Open Sans"/>
                <w:color w:val="1D4374"/>
              </w:rPr>
              <w:t>Business type</w:t>
            </w:r>
          </w:p>
        </w:tc>
        <w:tc>
          <w:tcPr>
            <w:tcW w:w="2488" w:type="dxa"/>
            <w:tcBorders>
              <w:bottom w:val="single" w:sz="4" w:space="0" w:color="B3B3B3"/>
            </w:tcBorders>
            <w:noWrap/>
            <w:vAlign w:val="bottom"/>
            <w:hideMark/>
          </w:tcPr>
          <w:p w14:paraId="4FBB1625" w14:textId="77777777" w:rsidR="00BC1539" w:rsidRPr="00C70014" w:rsidRDefault="00BC1539" w:rsidP="00C70014">
            <w:pPr>
              <w:pStyle w:val="TableBodyHeading"/>
              <w:spacing w:before="45" w:after="45"/>
              <w:ind w:right="108"/>
              <w:rPr>
                <w:rFonts w:cs="Open Sans"/>
                <w:color w:val="1D4374"/>
              </w:rPr>
            </w:pPr>
            <w:r w:rsidRPr="00C70014">
              <w:rPr>
                <w:rFonts w:cs="Open Sans"/>
                <w:color w:val="1D4374"/>
              </w:rPr>
              <w:t>Variables</w:t>
            </w:r>
          </w:p>
        </w:tc>
        <w:tc>
          <w:tcPr>
            <w:tcW w:w="3554" w:type="dxa"/>
            <w:tcBorders>
              <w:bottom w:val="single" w:sz="4" w:space="0" w:color="B3B3B3"/>
            </w:tcBorders>
            <w:noWrap/>
            <w:vAlign w:val="bottom"/>
            <w:hideMark/>
          </w:tcPr>
          <w:p w14:paraId="574D6D18" w14:textId="52E92CF2" w:rsidR="00BC1539" w:rsidRPr="00C70014" w:rsidRDefault="00BC1539" w:rsidP="00C70014">
            <w:pPr>
              <w:pStyle w:val="TableBodyHeading"/>
              <w:spacing w:before="45" w:after="45"/>
              <w:ind w:right="108"/>
              <w:rPr>
                <w:rFonts w:cs="Open Sans"/>
                <w:color w:val="1D4374"/>
              </w:rPr>
            </w:pPr>
            <w:r w:rsidRPr="00C70014">
              <w:rPr>
                <w:rFonts w:cs="Open Sans"/>
                <w:color w:val="1D4374"/>
              </w:rPr>
              <w:t>Description</w:t>
            </w:r>
          </w:p>
        </w:tc>
        <w:tc>
          <w:tcPr>
            <w:tcW w:w="883" w:type="dxa"/>
            <w:tcBorders>
              <w:bottom w:val="single" w:sz="4" w:space="0" w:color="B3B3B3"/>
            </w:tcBorders>
            <w:vAlign w:val="bottom"/>
          </w:tcPr>
          <w:p w14:paraId="505F21E3" w14:textId="77777777" w:rsidR="00BC1539" w:rsidRPr="00C70014" w:rsidRDefault="00BC1539" w:rsidP="00C70014">
            <w:pPr>
              <w:pStyle w:val="TableBodyHeading"/>
              <w:spacing w:before="45" w:after="45"/>
              <w:ind w:right="108"/>
              <w:rPr>
                <w:rFonts w:cs="Open Sans"/>
                <w:color w:val="1D4374"/>
              </w:rPr>
            </w:pPr>
            <w:r w:rsidRPr="00C70014">
              <w:rPr>
                <w:rFonts w:cs="Open Sans"/>
                <w:color w:val="1D4374"/>
              </w:rPr>
              <w:t>Source</w:t>
            </w:r>
          </w:p>
        </w:tc>
      </w:tr>
      <w:tr w:rsidR="00BC1539" w:rsidRPr="001D3995" w14:paraId="5BAD6397" w14:textId="77777777" w:rsidTr="001C1AC6">
        <w:trPr>
          <w:trHeight w:val="537"/>
        </w:trPr>
        <w:tc>
          <w:tcPr>
            <w:tcW w:w="1225" w:type="dxa"/>
            <w:vMerge w:val="restart"/>
            <w:tcBorders>
              <w:top w:val="single" w:sz="4" w:space="0" w:color="B3B3B3"/>
              <w:bottom w:val="nil"/>
            </w:tcBorders>
            <w:shd w:val="clear" w:color="auto" w:fill="E6E6E6"/>
          </w:tcPr>
          <w:p w14:paraId="64A57691" w14:textId="77777777" w:rsidR="00BC1539" w:rsidRPr="00C70014" w:rsidRDefault="00BC1539" w:rsidP="00C70014">
            <w:pPr>
              <w:pStyle w:val="TableBody"/>
              <w:spacing w:before="45" w:after="45"/>
              <w:ind w:right="108"/>
              <w:rPr>
                <w:rFonts w:cs="Open Sans"/>
                <w:b/>
                <w:color w:val="1D4374"/>
                <w:lang w:eastAsia="en-AU"/>
              </w:rPr>
            </w:pPr>
            <w:r w:rsidRPr="00C70014">
              <w:rPr>
                <w:rFonts w:cs="Open Sans"/>
                <w:b/>
                <w:color w:val="1D4374"/>
                <w:lang w:eastAsia="en-AU"/>
              </w:rPr>
              <w:t>Profit/loss</w:t>
            </w:r>
          </w:p>
        </w:tc>
        <w:tc>
          <w:tcPr>
            <w:tcW w:w="1478" w:type="dxa"/>
            <w:tcBorders>
              <w:top w:val="single" w:sz="4" w:space="0" w:color="B3B3B3"/>
              <w:bottom w:val="nil"/>
            </w:tcBorders>
            <w:shd w:val="clear" w:color="auto" w:fill="E6E6E6"/>
            <w:noWrap/>
            <w:hideMark/>
          </w:tcPr>
          <w:p w14:paraId="3AC289E5" w14:textId="77777777" w:rsidR="00BC1539" w:rsidRPr="00C70014" w:rsidRDefault="00BC1539" w:rsidP="00C70014">
            <w:pPr>
              <w:pStyle w:val="TableBody"/>
              <w:spacing w:before="45" w:after="45"/>
              <w:ind w:right="108"/>
              <w:rPr>
                <w:rFonts w:cs="Open Sans"/>
                <w:color w:val="000000"/>
                <w:lang w:eastAsia="en-AU"/>
              </w:rPr>
            </w:pPr>
            <w:r w:rsidRPr="00C70014">
              <w:rPr>
                <w:rFonts w:cs="Open Sans"/>
                <w:color w:val="000000"/>
                <w:lang w:eastAsia="en-AU"/>
              </w:rPr>
              <w:t>Company</w:t>
            </w:r>
          </w:p>
        </w:tc>
        <w:tc>
          <w:tcPr>
            <w:tcW w:w="2488" w:type="dxa"/>
            <w:tcBorders>
              <w:top w:val="single" w:sz="4" w:space="0" w:color="B3B3B3"/>
              <w:bottom w:val="nil"/>
            </w:tcBorders>
            <w:shd w:val="clear" w:color="auto" w:fill="E6E6E6"/>
            <w:noWrap/>
            <w:hideMark/>
          </w:tcPr>
          <w:p w14:paraId="5430DB46" w14:textId="77777777" w:rsidR="00BC1539" w:rsidRPr="00C70014" w:rsidRDefault="00BC1539" w:rsidP="00C70014">
            <w:pPr>
              <w:pStyle w:val="TableBody"/>
              <w:spacing w:before="45" w:after="45"/>
              <w:ind w:right="108"/>
              <w:rPr>
                <w:rFonts w:cs="Open Sans"/>
                <w:color w:val="000000"/>
                <w:lang w:eastAsia="en-AU"/>
              </w:rPr>
            </w:pPr>
            <w:proofErr w:type="spellStart"/>
            <w:r w:rsidRPr="00C70014">
              <w:rPr>
                <w:rFonts w:cs="Open Sans"/>
                <w:color w:val="000000"/>
              </w:rPr>
              <w:t>c_toprolos</w:t>
            </w:r>
            <w:proofErr w:type="spellEnd"/>
          </w:p>
        </w:tc>
        <w:tc>
          <w:tcPr>
            <w:tcW w:w="3554" w:type="dxa"/>
            <w:tcBorders>
              <w:top w:val="single" w:sz="4" w:space="0" w:color="B3B3B3"/>
              <w:bottom w:val="nil"/>
            </w:tcBorders>
            <w:shd w:val="clear" w:color="auto" w:fill="E6E6E6"/>
            <w:noWrap/>
            <w:hideMark/>
          </w:tcPr>
          <w:p w14:paraId="7158F866" w14:textId="77777777" w:rsidR="00BC1539" w:rsidRPr="00C70014" w:rsidRDefault="00BC1539" w:rsidP="00C70014">
            <w:pPr>
              <w:pStyle w:val="TableBody"/>
              <w:spacing w:before="45" w:after="45"/>
              <w:ind w:right="108"/>
              <w:rPr>
                <w:rFonts w:cs="Open Sans"/>
                <w:color w:val="000000"/>
                <w:lang w:eastAsia="en-AU"/>
              </w:rPr>
            </w:pPr>
            <w:r w:rsidRPr="00C70014">
              <w:rPr>
                <w:rFonts w:cs="Open Sans"/>
                <w:color w:val="000000"/>
              </w:rPr>
              <w:t>Direct BIT total profit or loss.</w:t>
            </w:r>
          </w:p>
        </w:tc>
        <w:tc>
          <w:tcPr>
            <w:tcW w:w="883" w:type="dxa"/>
            <w:tcBorders>
              <w:top w:val="single" w:sz="4" w:space="0" w:color="B3B3B3"/>
              <w:bottom w:val="nil"/>
            </w:tcBorders>
            <w:shd w:val="clear" w:color="auto" w:fill="E6E6E6"/>
          </w:tcPr>
          <w:p w14:paraId="7D3E5770" w14:textId="0C3A0B68" w:rsidR="00BC1539" w:rsidRPr="00C70014" w:rsidRDefault="00BC1539" w:rsidP="00C70014">
            <w:pPr>
              <w:pStyle w:val="TableBody"/>
              <w:spacing w:before="45" w:after="45"/>
              <w:ind w:right="108"/>
              <w:rPr>
                <w:rFonts w:cs="Open Sans"/>
                <w:color w:val="000000"/>
              </w:rPr>
            </w:pPr>
            <w:r w:rsidRPr="001867A7">
              <w:rPr>
                <w:rFonts w:cs="Open Sans"/>
                <w:szCs w:val="22"/>
              </w:rPr>
              <w:t>Link</w:t>
            </w:r>
          </w:p>
        </w:tc>
      </w:tr>
      <w:tr w:rsidR="00BC1539" w:rsidRPr="001D3995" w14:paraId="72724BDF" w14:textId="77777777" w:rsidTr="001C1AC6">
        <w:trPr>
          <w:trHeight w:val="537"/>
        </w:trPr>
        <w:tc>
          <w:tcPr>
            <w:tcW w:w="1225" w:type="dxa"/>
            <w:vMerge/>
            <w:tcBorders>
              <w:top w:val="nil"/>
              <w:bottom w:val="nil"/>
            </w:tcBorders>
          </w:tcPr>
          <w:p w14:paraId="25D27418" w14:textId="77777777" w:rsidR="00BC1539" w:rsidRPr="00C70014" w:rsidRDefault="00BC1539" w:rsidP="00C70014">
            <w:pPr>
              <w:pStyle w:val="TableBody"/>
              <w:spacing w:before="45" w:after="45"/>
              <w:ind w:right="108"/>
              <w:rPr>
                <w:rFonts w:cs="Open Sans"/>
                <w:color w:val="000000"/>
                <w:lang w:eastAsia="en-AU"/>
              </w:rPr>
            </w:pPr>
          </w:p>
        </w:tc>
        <w:tc>
          <w:tcPr>
            <w:tcW w:w="1478" w:type="dxa"/>
            <w:tcBorders>
              <w:top w:val="nil"/>
              <w:bottom w:val="nil"/>
            </w:tcBorders>
            <w:noWrap/>
            <w:hideMark/>
          </w:tcPr>
          <w:p w14:paraId="15BC8733" w14:textId="77777777" w:rsidR="00BC1539" w:rsidRPr="00C70014" w:rsidRDefault="00BC1539" w:rsidP="00C70014">
            <w:pPr>
              <w:pStyle w:val="TableBody"/>
              <w:spacing w:before="45" w:after="45"/>
              <w:ind w:right="108"/>
              <w:rPr>
                <w:rFonts w:cs="Open Sans"/>
                <w:color w:val="000000"/>
                <w:lang w:eastAsia="en-AU"/>
              </w:rPr>
            </w:pPr>
            <w:r w:rsidRPr="00C70014">
              <w:rPr>
                <w:rFonts w:cs="Open Sans"/>
                <w:color w:val="000000"/>
                <w:lang w:eastAsia="en-AU"/>
              </w:rPr>
              <w:t xml:space="preserve">Individual </w:t>
            </w:r>
          </w:p>
        </w:tc>
        <w:tc>
          <w:tcPr>
            <w:tcW w:w="2488" w:type="dxa"/>
            <w:tcBorders>
              <w:top w:val="nil"/>
              <w:bottom w:val="nil"/>
            </w:tcBorders>
            <w:noWrap/>
            <w:hideMark/>
          </w:tcPr>
          <w:p w14:paraId="7C9B7821" w14:textId="77777777" w:rsidR="00BC1539" w:rsidRPr="00C70014" w:rsidRDefault="00BC1539" w:rsidP="00C70014">
            <w:pPr>
              <w:pStyle w:val="TableBody"/>
              <w:spacing w:before="45" w:after="45"/>
              <w:ind w:right="108"/>
              <w:rPr>
                <w:rFonts w:cs="Open Sans"/>
                <w:color w:val="000000"/>
                <w:lang w:eastAsia="en-AU"/>
              </w:rPr>
            </w:pPr>
            <w:proofErr w:type="spellStart"/>
            <w:r w:rsidRPr="00C70014">
              <w:rPr>
                <w:rFonts w:cs="Open Sans"/>
                <w:color w:val="000000"/>
              </w:rPr>
              <w:t>i_netpp</w:t>
            </w:r>
            <w:proofErr w:type="spellEnd"/>
            <w:r w:rsidRPr="00C70014">
              <w:rPr>
                <w:rFonts w:cs="Open Sans"/>
                <w:color w:val="000000"/>
              </w:rPr>
              <w:t xml:space="preserve"> + </w:t>
            </w:r>
            <w:proofErr w:type="spellStart"/>
            <w:r w:rsidRPr="00C70014">
              <w:rPr>
                <w:rFonts w:cs="Open Sans"/>
                <w:color w:val="000000"/>
              </w:rPr>
              <w:t>i_netnpp</w:t>
            </w:r>
            <w:proofErr w:type="spellEnd"/>
          </w:p>
        </w:tc>
        <w:tc>
          <w:tcPr>
            <w:tcW w:w="3554" w:type="dxa"/>
            <w:tcBorders>
              <w:top w:val="nil"/>
              <w:bottom w:val="nil"/>
            </w:tcBorders>
          </w:tcPr>
          <w:p w14:paraId="735C8A90" w14:textId="77777777" w:rsidR="00BC1539" w:rsidRPr="00C70014" w:rsidRDefault="00BC1539" w:rsidP="00C70014">
            <w:pPr>
              <w:pStyle w:val="TableBody"/>
              <w:spacing w:before="45" w:after="45"/>
              <w:ind w:right="108"/>
              <w:rPr>
                <w:rFonts w:cs="Open Sans"/>
                <w:color w:val="000000"/>
                <w:lang w:eastAsia="en-AU"/>
              </w:rPr>
            </w:pPr>
            <w:r w:rsidRPr="00C70014">
              <w:rPr>
                <w:rFonts w:cs="Open Sans"/>
                <w:color w:val="000000"/>
              </w:rPr>
              <w:t>Direct BIT net income/loss from business across PP and NPP.</w:t>
            </w:r>
          </w:p>
        </w:tc>
        <w:tc>
          <w:tcPr>
            <w:tcW w:w="883" w:type="dxa"/>
            <w:tcBorders>
              <w:top w:val="nil"/>
              <w:bottom w:val="nil"/>
            </w:tcBorders>
          </w:tcPr>
          <w:p w14:paraId="403CAAD4" w14:textId="00FD316E" w:rsidR="00BC1539" w:rsidRPr="00C70014" w:rsidRDefault="00BC1539" w:rsidP="00C70014">
            <w:pPr>
              <w:pStyle w:val="TableBody"/>
              <w:spacing w:before="45" w:after="45"/>
              <w:ind w:right="108"/>
              <w:rPr>
                <w:rFonts w:cs="Open Sans"/>
                <w:color w:val="000000"/>
              </w:rPr>
            </w:pPr>
            <w:r w:rsidRPr="001867A7">
              <w:rPr>
                <w:rFonts w:cs="Open Sans"/>
                <w:szCs w:val="22"/>
              </w:rPr>
              <w:t>Link</w:t>
            </w:r>
          </w:p>
        </w:tc>
      </w:tr>
      <w:tr w:rsidR="00BC1539" w:rsidRPr="001D3995" w14:paraId="0C09D0FF" w14:textId="77777777" w:rsidTr="001C1AC6">
        <w:trPr>
          <w:trHeight w:val="537"/>
        </w:trPr>
        <w:tc>
          <w:tcPr>
            <w:tcW w:w="1225" w:type="dxa"/>
            <w:vMerge/>
            <w:tcBorders>
              <w:bottom w:val="nil"/>
            </w:tcBorders>
            <w:shd w:val="clear" w:color="auto" w:fill="E6E6E6"/>
          </w:tcPr>
          <w:p w14:paraId="25D5A772" w14:textId="77777777" w:rsidR="00BC1539" w:rsidRPr="00C70014" w:rsidRDefault="00BC1539" w:rsidP="00C70014">
            <w:pPr>
              <w:pStyle w:val="TableBody"/>
              <w:spacing w:before="45" w:after="45"/>
              <w:ind w:right="108"/>
              <w:rPr>
                <w:rFonts w:cs="Open Sans"/>
                <w:color w:val="000000"/>
                <w:lang w:eastAsia="en-AU"/>
              </w:rPr>
            </w:pPr>
          </w:p>
        </w:tc>
        <w:tc>
          <w:tcPr>
            <w:tcW w:w="1478" w:type="dxa"/>
            <w:tcBorders>
              <w:bottom w:val="nil"/>
            </w:tcBorders>
            <w:shd w:val="clear" w:color="auto" w:fill="E6E6E6"/>
            <w:noWrap/>
            <w:hideMark/>
          </w:tcPr>
          <w:p w14:paraId="10857697" w14:textId="77777777" w:rsidR="00BC1539" w:rsidRPr="00C70014" w:rsidRDefault="00BC1539" w:rsidP="00C70014">
            <w:pPr>
              <w:pStyle w:val="TableBody"/>
              <w:spacing w:before="45" w:after="45"/>
              <w:ind w:right="108"/>
              <w:rPr>
                <w:rFonts w:cs="Open Sans"/>
                <w:color w:val="000000"/>
                <w:lang w:eastAsia="en-AU"/>
              </w:rPr>
            </w:pPr>
            <w:r w:rsidRPr="00C70014">
              <w:rPr>
                <w:rFonts w:cs="Open Sans"/>
                <w:color w:val="000000"/>
                <w:lang w:eastAsia="en-AU"/>
              </w:rPr>
              <w:t>Partnership</w:t>
            </w:r>
          </w:p>
        </w:tc>
        <w:tc>
          <w:tcPr>
            <w:tcW w:w="2488" w:type="dxa"/>
            <w:tcBorders>
              <w:bottom w:val="nil"/>
            </w:tcBorders>
            <w:shd w:val="clear" w:color="auto" w:fill="E6E6E6"/>
            <w:noWrap/>
            <w:hideMark/>
          </w:tcPr>
          <w:p w14:paraId="6B233ED8" w14:textId="77777777" w:rsidR="00BC1539" w:rsidRPr="00C70014" w:rsidRDefault="00BC1539" w:rsidP="00C70014">
            <w:pPr>
              <w:pStyle w:val="TableBody"/>
              <w:spacing w:before="45" w:after="45"/>
              <w:ind w:right="108"/>
              <w:rPr>
                <w:rFonts w:cs="Open Sans"/>
                <w:color w:val="000000"/>
                <w:lang w:eastAsia="en-AU"/>
              </w:rPr>
            </w:pPr>
            <w:proofErr w:type="spellStart"/>
            <w:r w:rsidRPr="00C70014">
              <w:rPr>
                <w:rFonts w:cs="Open Sans"/>
                <w:color w:val="000000"/>
              </w:rPr>
              <w:t>p_netilbus</w:t>
            </w:r>
            <w:proofErr w:type="spellEnd"/>
          </w:p>
        </w:tc>
        <w:tc>
          <w:tcPr>
            <w:tcW w:w="3554" w:type="dxa"/>
            <w:tcBorders>
              <w:bottom w:val="nil"/>
            </w:tcBorders>
            <w:shd w:val="clear" w:color="auto" w:fill="E6E6E6"/>
            <w:hideMark/>
          </w:tcPr>
          <w:p w14:paraId="422EC2F4" w14:textId="77777777" w:rsidR="00BC1539" w:rsidRPr="00C70014" w:rsidRDefault="00BC1539" w:rsidP="00C70014">
            <w:pPr>
              <w:pStyle w:val="TableBody"/>
              <w:spacing w:before="45" w:after="45"/>
              <w:ind w:right="108"/>
              <w:rPr>
                <w:rFonts w:cs="Open Sans"/>
                <w:color w:val="000000"/>
                <w:lang w:eastAsia="en-AU"/>
              </w:rPr>
            </w:pPr>
            <w:r w:rsidRPr="00C70014">
              <w:rPr>
                <w:rFonts w:cs="Open Sans"/>
                <w:color w:val="000000"/>
              </w:rPr>
              <w:t>Direct BIT net income or loss from business.</w:t>
            </w:r>
          </w:p>
        </w:tc>
        <w:tc>
          <w:tcPr>
            <w:tcW w:w="883" w:type="dxa"/>
            <w:tcBorders>
              <w:bottom w:val="nil"/>
            </w:tcBorders>
            <w:shd w:val="clear" w:color="auto" w:fill="E6E6E6"/>
          </w:tcPr>
          <w:p w14:paraId="16F9E66E" w14:textId="3C55DC38" w:rsidR="00BC1539" w:rsidRPr="00C70014" w:rsidRDefault="00BC1539" w:rsidP="00C70014">
            <w:pPr>
              <w:pStyle w:val="TableBody"/>
              <w:spacing w:before="45" w:after="45"/>
              <w:ind w:right="108"/>
              <w:rPr>
                <w:rFonts w:cs="Open Sans"/>
                <w:color w:val="000000"/>
              </w:rPr>
            </w:pPr>
            <w:r w:rsidRPr="001867A7">
              <w:rPr>
                <w:rFonts w:cs="Open Sans"/>
                <w:szCs w:val="22"/>
              </w:rPr>
              <w:t>Link</w:t>
            </w:r>
          </w:p>
        </w:tc>
      </w:tr>
      <w:tr w:rsidR="00BC1539" w:rsidRPr="001D3995" w14:paraId="5EEB5AA9" w14:textId="77777777" w:rsidTr="001C1AC6">
        <w:trPr>
          <w:trHeight w:val="537"/>
        </w:trPr>
        <w:tc>
          <w:tcPr>
            <w:tcW w:w="1225" w:type="dxa"/>
            <w:vMerge/>
            <w:tcBorders>
              <w:top w:val="nil"/>
            </w:tcBorders>
          </w:tcPr>
          <w:p w14:paraId="6FA3819A" w14:textId="77777777" w:rsidR="00BC1539" w:rsidRPr="00C70014" w:rsidRDefault="00BC1539" w:rsidP="00C70014">
            <w:pPr>
              <w:pStyle w:val="TableBody"/>
              <w:spacing w:before="45" w:after="45"/>
              <w:ind w:right="108"/>
              <w:rPr>
                <w:rFonts w:cs="Open Sans"/>
                <w:color w:val="000000"/>
                <w:lang w:eastAsia="en-AU"/>
              </w:rPr>
            </w:pPr>
          </w:p>
        </w:tc>
        <w:tc>
          <w:tcPr>
            <w:tcW w:w="1478" w:type="dxa"/>
            <w:tcBorders>
              <w:top w:val="nil"/>
            </w:tcBorders>
            <w:noWrap/>
            <w:hideMark/>
          </w:tcPr>
          <w:p w14:paraId="6EAFEF46" w14:textId="77777777" w:rsidR="00BC1539" w:rsidRPr="00C70014" w:rsidRDefault="00BC1539" w:rsidP="00C70014">
            <w:pPr>
              <w:pStyle w:val="TableBody"/>
              <w:spacing w:before="45" w:after="45"/>
              <w:ind w:right="108"/>
              <w:rPr>
                <w:rFonts w:cs="Open Sans"/>
                <w:color w:val="000000"/>
                <w:lang w:eastAsia="en-AU"/>
              </w:rPr>
            </w:pPr>
            <w:r w:rsidRPr="00C70014">
              <w:rPr>
                <w:rFonts w:cs="Open Sans"/>
                <w:color w:val="000000"/>
                <w:lang w:eastAsia="en-AU"/>
              </w:rPr>
              <w:t>Trust</w:t>
            </w:r>
          </w:p>
        </w:tc>
        <w:tc>
          <w:tcPr>
            <w:tcW w:w="2488" w:type="dxa"/>
            <w:tcBorders>
              <w:top w:val="nil"/>
            </w:tcBorders>
            <w:noWrap/>
            <w:hideMark/>
          </w:tcPr>
          <w:p w14:paraId="6E7B33DB" w14:textId="77777777" w:rsidR="00BC1539" w:rsidRPr="00C70014" w:rsidRDefault="00BC1539" w:rsidP="00C70014">
            <w:pPr>
              <w:pStyle w:val="TableBody"/>
              <w:spacing w:before="45" w:after="45"/>
              <w:ind w:right="108"/>
              <w:rPr>
                <w:rFonts w:cs="Open Sans"/>
                <w:color w:val="000000"/>
                <w:lang w:eastAsia="en-AU"/>
              </w:rPr>
            </w:pPr>
            <w:proofErr w:type="spellStart"/>
            <w:r w:rsidRPr="00C70014">
              <w:rPr>
                <w:rFonts w:cs="Open Sans"/>
                <w:color w:val="000000"/>
              </w:rPr>
              <w:t>t_netilbus</w:t>
            </w:r>
            <w:proofErr w:type="spellEnd"/>
          </w:p>
        </w:tc>
        <w:tc>
          <w:tcPr>
            <w:tcW w:w="3554" w:type="dxa"/>
            <w:tcBorders>
              <w:top w:val="nil"/>
            </w:tcBorders>
            <w:hideMark/>
          </w:tcPr>
          <w:p w14:paraId="07815A43" w14:textId="77777777" w:rsidR="00BC1539" w:rsidRPr="00C70014" w:rsidRDefault="00BC1539" w:rsidP="00C70014">
            <w:pPr>
              <w:pStyle w:val="TableBody"/>
              <w:spacing w:before="45" w:after="45"/>
              <w:ind w:right="108"/>
              <w:rPr>
                <w:rFonts w:cs="Open Sans"/>
                <w:color w:val="000000"/>
                <w:lang w:eastAsia="en-AU"/>
              </w:rPr>
            </w:pPr>
            <w:r w:rsidRPr="00C70014">
              <w:rPr>
                <w:rFonts w:cs="Open Sans"/>
                <w:color w:val="000000"/>
              </w:rPr>
              <w:t>Direct BIT net income or loss from business.</w:t>
            </w:r>
          </w:p>
        </w:tc>
        <w:tc>
          <w:tcPr>
            <w:tcW w:w="883" w:type="dxa"/>
            <w:tcBorders>
              <w:top w:val="nil"/>
            </w:tcBorders>
          </w:tcPr>
          <w:p w14:paraId="08708001" w14:textId="338831C1" w:rsidR="00BC1539" w:rsidRPr="00C70014" w:rsidRDefault="00BC1539" w:rsidP="00C70014">
            <w:pPr>
              <w:pStyle w:val="TableBody"/>
              <w:spacing w:before="45" w:after="45"/>
              <w:ind w:right="108"/>
              <w:rPr>
                <w:rFonts w:cs="Open Sans"/>
                <w:color w:val="000000"/>
              </w:rPr>
            </w:pPr>
            <w:r w:rsidRPr="001867A7">
              <w:rPr>
                <w:rFonts w:cs="Open Sans"/>
                <w:szCs w:val="22"/>
              </w:rPr>
              <w:t>Link</w:t>
            </w:r>
          </w:p>
        </w:tc>
      </w:tr>
    </w:tbl>
    <w:p w14:paraId="0601FD5C" w14:textId="07AAD00E" w:rsidR="00BC1539" w:rsidRPr="00AA39AE" w:rsidRDefault="00BC1539" w:rsidP="00696719">
      <w:pPr>
        <w:pStyle w:val="BodyText"/>
        <w:spacing w:before="360"/>
        <w:rPr>
          <w:spacing w:val="-4"/>
        </w:rPr>
      </w:pPr>
      <w:r w:rsidRPr="00AA39AE">
        <w:rPr>
          <w:spacing w:val="-4"/>
        </w:rPr>
        <w:t>Measures of accounting profit can be negatively biased by accelerated depreciation measures, and a range of such measures were available during the period analysed (including instant asset write</w:t>
      </w:r>
      <w:r w:rsidR="00541146" w:rsidRPr="00AA39AE">
        <w:rPr>
          <w:spacing w:val="-4"/>
        </w:rPr>
        <w:noBreakHyphen/>
      </w:r>
      <w:r w:rsidRPr="00AA39AE">
        <w:rPr>
          <w:spacing w:val="-4"/>
        </w:rPr>
        <w:t>offs and temporary full expensing). To investigate whether the accounting profit data was providing a misleading picture of industry profits, the PC also examined EBITDA (earnings before interest, taxes, depreciation and amortisation). EBITDA is calculated by adding back interest and depreciation expenses to the measure of pre</w:t>
      </w:r>
      <w:r w:rsidR="00541146" w:rsidRPr="00AA39AE">
        <w:rPr>
          <w:spacing w:val="-4"/>
        </w:rPr>
        <w:noBreakHyphen/>
      </w:r>
      <w:r w:rsidRPr="00AA39AE">
        <w:rPr>
          <w:spacing w:val="-4"/>
        </w:rPr>
        <w:t>tax profit (</w:t>
      </w:r>
      <w:r w:rsidR="001D3995" w:rsidRPr="00AA39AE">
        <w:rPr>
          <w:spacing w:val="-4"/>
        </w:rPr>
        <w:t>table B.8</w:t>
      </w:r>
      <w:r w:rsidRPr="00AA39AE">
        <w:rPr>
          <w:spacing w:val="-4"/>
        </w:rPr>
        <w:t xml:space="preserve">). EBITDA has increased in a similar pattern to accounting profits. </w:t>
      </w:r>
    </w:p>
    <w:p w14:paraId="15615E7C" w14:textId="77777777" w:rsidR="00BC1539" w:rsidRDefault="00BC1539" w:rsidP="00011592">
      <w:pPr>
        <w:pStyle w:val="FigureTableHeading"/>
      </w:pPr>
      <w:r>
        <w:lastRenderedPageBreak/>
        <w:t xml:space="preserve">Figure B.8 – </w:t>
      </w:r>
      <w:r w:rsidRPr="001E7D1C">
        <w:t>FSS</w:t>
      </w:r>
      <w:r>
        <w:t xml:space="preserve"> industry EBITDA for the expanded and conservative populations and subpopulations</w:t>
      </w:r>
    </w:p>
    <w:p w14:paraId="53726707" w14:textId="107A1A53" w:rsidR="00BC1539" w:rsidRDefault="00BC1539" w:rsidP="00011592">
      <w:pPr>
        <w:pStyle w:val="FigureTableSubheading"/>
      </w:pPr>
      <w:r>
        <w:t xml:space="preserve">EBITDA, $million </w:t>
      </w:r>
      <w:proofErr w:type="gramStart"/>
      <w:r>
        <w:t>nominal</w:t>
      </w:r>
      <w:proofErr w:type="gramEnd"/>
      <w:r>
        <w:t>, 2016</w:t>
      </w:r>
      <w:r w:rsidR="0090267A">
        <w:t>–</w:t>
      </w:r>
      <w:r>
        <w:t>17 to 2023</w:t>
      </w:r>
      <w:r w:rsidR="0090267A">
        <w:t>–</w:t>
      </w:r>
      <w:r>
        <w:t>24</w:t>
      </w:r>
    </w:p>
    <w:p w14:paraId="66E76948" w14:textId="34171CD8" w:rsidR="00BC1539" w:rsidRDefault="00E01A71" w:rsidP="00EC65F7">
      <w:pPr>
        <w:pStyle w:val="BodyText"/>
        <w:spacing w:before="0" w:after="0"/>
        <w:jc w:val="center"/>
      </w:pPr>
      <w:r w:rsidRPr="00E01A71">
        <w:rPr>
          <w:noProof/>
        </w:rPr>
        <w:drawing>
          <wp:inline distT="0" distB="0" distL="0" distR="0" wp14:anchorId="3D09D337" wp14:editId="0A6E63FB">
            <wp:extent cx="6090920" cy="2573009"/>
            <wp:effectExtent l="0" t="0" r="0" b="0"/>
            <wp:docPr id="333379054" name="Picture 36" descr="Figure B.8 - The figure shows EBITDA for the expanded and conservative populations as well as conservative subpopulations increasing in a similar pattern between 2016-17 and 2023-2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379054" name="Picture 36" descr="Figure B.8 - The figure shows EBITDA for the expanded and conservative populations as well as conservative subpopulations increasing in a similar pattern between 2016-17 and 2023-24.&#10;"/>
                    <pic:cNvPicPr>
                      <a:picLocks noChangeAspect="1" noChangeArrowheads="1"/>
                    </pic:cNvPicPr>
                  </pic:nvPicPr>
                  <pic:blipFill rotWithShape="1">
                    <a:blip r:embed="rId97">
                      <a:extLst>
                        <a:ext uri="{28A0092B-C50C-407E-A947-70E740481C1C}">
                          <a14:useLocalDpi xmlns:a14="http://schemas.microsoft.com/office/drawing/2010/main" val="0"/>
                        </a:ext>
                      </a:extLst>
                    </a:blip>
                    <a:srcRect t="1484"/>
                    <a:stretch>
                      <a:fillRect/>
                    </a:stretch>
                  </pic:blipFill>
                  <pic:spPr bwMode="auto">
                    <a:xfrm>
                      <a:off x="0" y="0"/>
                      <a:ext cx="6090920" cy="2573009"/>
                    </a:xfrm>
                    <a:prstGeom prst="rect">
                      <a:avLst/>
                    </a:prstGeom>
                    <a:noFill/>
                    <a:ln>
                      <a:noFill/>
                    </a:ln>
                    <a:extLst>
                      <a:ext uri="{53640926-AAD7-44D8-BBD7-CCE9431645EC}">
                        <a14:shadowObscured xmlns:a14="http://schemas.microsoft.com/office/drawing/2010/main"/>
                      </a:ext>
                    </a:extLst>
                  </pic:spPr>
                </pic:pic>
              </a:graphicData>
            </a:graphic>
          </wp:inline>
        </w:drawing>
      </w:r>
    </w:p>
    <w:p w14:paraId="56BEE504" w14:textId="77777777" w:rsidR="00BC1539" w:rsidRPr="006B4EBF" w:rsidRDefault="00BC1539" w:rsidP="00011592">
      <w:pPr>
        <w:pStyle w:val="Source"/>
      </w:pPr>
      <w:r>
        <w:t>Source: PC analysis of ABS data.</w:t>
      </w:r>
    </w:p>
    <w:p w14:paraId="7464BFF0" w14:textId="1DD6B026" w:rsidR="00BC1539" w:rsidRDefault="00BC1539" w:rsidP="00011592">
      <w:pPr>
        <w:pStyle w:val="Caption"/>
        <w:rPr>
          <w:kern w:val="2"/>
          <w:szCs w:val="20"/>
          <w:lang w:eastAsia="en-AU"/>
          <w14:ligatures w14:val="standardContextual"/>
        </w:rPr>
      </w:pPr>
      <w:bookmarkStart w:id="58" w:name="_Ref236220375"/>
      <w:r>
        <w:t xml:space="preserve">Table </w:t>
      </w:r>
      <w:bookmarkEnd w:id="58"/>
      <w:r>
        <w:rPr>
          <w:noProof/>
        </w:rPr>
        <w:t>B.</w:t>
      </w:r>
      <w:r w:rsidR="007D7365">
        <w:rPr>
          <w:noProof/>
        </w:rPr>
        <w:t>8</w:t>
      </w:r>
      <w:r>
        <w:rPr>
          <w:noProof/>
        </w:rPr>
        <w:t xml:space="preserve"> – </w:t>
      </w:r>
      <w:r>
        <w:t>EBITDA components and their BIT fields by entity form</w:t>
      </w:r>
    </w:p>
    <w:tbl>
      <w:tblPr>
        <w:tblW w:w="5000" w:type="pct"/>
        <w:tblBorders>
          <w:bottom w:val="single" w:sz="4" w:space="0" w:color="B3B3B3"/>
        </w:tblBorders>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3085"/>
        <w:gridCol w:w="1639"/>
        <w:gridCol w:w="1638"/>
        <w:gridCol w:w="1638"/>
        <w:gridCol w:w="1638"/>
      </w:tblGrid>
      <w:tr w:rsidR="00BC1539" w:rsidRPr="001D3995" w14:paraId="5DA7B3CD" w14:textId="77777777" w:rsidTr="00C70014">
        <w:trPr>
          <w:tblHeader/>
        </w:trPr>
        <w:tc>
          <w:tcPr>
            <w:tcW w:w="1600" w:type="pct"/>
            <w:tcBorders>
              <w:bottom w:val="single" w:sz="4" w:space="0" w:color="B3B3B3"/>
            </w:tcBorders>
            <w:vAlign w:val="bottom"/>
            <w:hideMark/>
          </w:tcPr>
          <w:p w14:paraId="58245332" w14:textId="77777777" w:rsidR="00BC1539" w:rsidRPr="00C70014" w:rsidRDefault="00BC1539" w:rsidP="00C70014">
            <w:pPr>
              <w:pStyle w:val="TableBodyHeading"/>
              <w:spacing w:before="45" w:after="45"/>
              <w:ind w:right="108"/>
              <w:rPr>
                <w:rFonts w:cs="Open Sans"/>
                <w:color w:val="1D4374"/>
              </w:rPr>
            </w:pPr>
            <w:r w:rsidRPr="00C70014">
              <w:rPr>
                <w:rFonts w:cs="Open Sans"/>
                <w:color w:val="1D4374"/>
              </w:rPr>
              <w:t>Input variable</w:t>
            </w:r>
          </w:p>
        </w:tc>
        <w:tc>
          <w:tcPr>
            <w:tcW w:w="850" w:type="pct"/>
            <w:tcBorders>
              <w:bottom w:val="single" w:sz="4" w:space="0" w:color="B3B3B3"/>
            </w:tcBorders>
            <w:vAlign w:val="bottom"/>
            <w:hideMark/>
          </w:tcPr>
          <w:p w14:paraId="04988C7E" w14:textId="77777777" w:rsidR="00BC1539" w:rsidRPr="00C70014" w:rsidRDefault="00BC1539" w:rsidP="00C70014">
            <w:pPr>
              <w:pStyle w:val="TableBodyHeading"/>
              <w:spacing w:before="45" w:after="45"/>
              <w:ind w:right="108"/>
              <w:rPr>
                <w:rFonts w:cs="Open Sans"/>
                <w:color w:val="1D4374"/>
              </w:rPr>
            </w:pPr>
            <w:r w:rsidRPr="00C70014">
              <w:rPr>
                <w:rFonts w:cs="Open Sans"/>
                <w:color w:val="1D4374"/>
              </w:rPr>
              <w:t>Company</w:t>
            </w:r>
          </w:p>
        </w:tc>
        <w:tc>
          <w:tcPr>
            <w:tcW w:w="850" w:type="pct"/>
            <w:tcBorders>
              <w:bottom w:val="single" w:sz="4" w:space="0" w:color="B3B3B3"/>
            </w:tcBorders>
            <w:vAlign w:val="bottom"/>
            <w:hideMark/>
          </w:tcPr>
          <w:p w14:paraId="6B5283C1" w14:textId="77777777" w:rsidR="00BC1539" w:rsidRPr="00C70014" w:rsidRDefault="00BC1539" w:rsidP="00C70014">
            <w:pPr>
              <w:pStyle w:val="TableBodyHeading"/>
              <w:spacing w:before="45" w:after="45"/>
              <w:ind w:right="108"/>
              <w:rPr>
                <w:rFonts w:cs="Open Sans"/>
                <w:color w:val="1D4374"/>
              </w:rPr>
            </w:pPr>
            <w:r w:rsidRPr="00C70014">
              <w:rPr>
                <w:rFonts w:cs="Open Sans"/>
                <w:color w:val="1D4374"/>
              </w:rPr>
              <w:t>Individual</w:t>
            </w:r>
          </w:p>
        </w:tc>
        <w:tc>
          <w:tcPr>
            <w:tcW w:w="850" w:type="pct"/>
            <w:tcBorders>
              <w:bottom w:val="single" w:sz="4" w:space="0" w:color="B3B3B3"/>
            </w:tcBorders>
            <w:vAlign w:val="bottom"/>
            <w:hideMark/>
          </w:tcPr>
          <w:p w14:paraId="579575FA" w14:textId="77777777" w:rsidR="00BC1539" w:rsidRPr="00C70014" w:rsidRDefault="00BC1539" w:rsidP="00C70014">
            <w:pPr>
              <w:pStyle w:val="TableBodyHeading"/>
              <w:spacing w:before="45" w:after="45"/>
              <w:ind w:right="108"/>
              <w:rPr>
                <w:rFonts w:cs="Open Sans"/>
                <w:color w:val="1D4374"/>
              </w:rPr>
            </w:pPr>
            <w:r w:rsidRPr="00C70014">
              <w:rPr>
                <w:rFonts w:cs="Open Sans"/>
                <w:color w:val="1D4374"/>
              </w:rPr>
              <w:t>Partnership</w:t>
            </w:r>
          </w:p>
        </w:tc>
        <w:tc>
          <w:tcPr>
            <w:tcW w:w="850" w:type="pct"/>
            <w:tcBorders>
              <w:bottom w:val="single" w:sz="4" w:space="0" w:color="B3B3B3"/>
            </w:tcBorders>
            <w:vAlign w:val="bottom"/>
            <w:hideMark/>
          </w:tcPr>
          <w:p w14:paraId="1BDBE332" w14:textId="77777777" w:rsidR="00BC1539" w:rsidRPr="00C70014" w:rsidRDefault="00BC1539" w:rsidP="00C70014">
            <w:pPr>
              <w:pStyle w:val="TableBodyHeading"/>
              <w:spacing w:before="45" w:after="45"/>
              <w:ind w:right="108"/>
              <w:rPr>
                <w:rFonts w:cs="Open Sans"/>
                <w:color w:val="1D4374"/>
              </w:rPr>
            </w:pPr>
            <w:r w:rsidRPr="00C70014">
              <w:rPr>
                <w:rFonts w:cs="Open Sans"/>
                <w:color w:val="1D4374"/>
              </w:rPr>
              <w:t>Trust</w:t>
            </w:r>
          </w:p>
        </w:tc>
      </w:tr>
      <w:tr w:rsidR="00BC1539" w:rsidRPr="001D3995" w14:paraId="7A7F9746" w14:textId="77777777" w:rsidTr="00C70014">
        <w:tc>
          <w:tcPr>
            <w:tcW w:w="3080" w:type="dxa"/>
            <w:tcBorders>
              <w:top w:val="single" w:sz="4" w:space="0" w:color="B3B3B3"/>
              <w:bottom w:val="nil"/>
            </w:tcBorders>
            <w:shd w:val="clear" w:color="auto" w:fill="E6E6E6"/>
            <w:hideMark/>
          </w:tcPr>
          <w:p w14:paraId="05A9B9FC" w14:textId="77777777" w:rsidR="00BC1539" w:rsidRPr="00C70014" w:rsidRDefault="00BC1539" w:rsidP="00C70014">
            <w:pPr>
              <w:pStyle w:val="TableBody"/>
              <w:spacing w:before="45" w:after="45"/>
              <w:ind w:right="108"/>
              <w:rPr>
                <w:rFonts w:cs="Open Sans"/>
                <w:b/>
                <w:color w:val="1D4374"/>
              </w:rPr>
            </w:pPr>
            <w:r w:rsidRPr="00C70014">
              <w:rPr>
                <w:rFonts w:cs="Open Sans"/>
                <w:b/>
                <w:color w:val="1D4374"/>
              </w:rPr>
              <w:t>Overseas interest expenses</w:t>
            </w:r>
          </w:p>
        </w:tc>
        <w:tc>
          <w:tcPr>
            <w:tcW w:w="1637" w:type="dxa"/>
            <w:tcBorders>
              <w:top w:val="single" w:sz="4" w:space="0" w:color="B3B3B3"/>
              <w:bottom w:val="nil"/>
            </w:tcBorders>
            <w:shd w:val="clear" w:color="auto" w:fill="E6E6E6"/>
            <w:hideMark/>
          </w:tcPr>
          <w:p w14:paraId="5B50AB59" w14:textId="77777777" w:rsidR="00BC1539" w:rsidRPr="00C70014" w:rsidRDefault="00BC1539" w:rsidP="00C70014">
            <w:pPr>
              <w:pStyle w:val="TableBody"/>
              <w:spacing w:before="45" w:after="45"/>
              <w:ind w:right="108"/>
              <w:rPr>
                <w:rFonts w:cs="Open Sans"/>
                <w:color w:val="000000"/>
              </w:rPr>
            </w:pPr>
            <w:proofErr w:type="spellStart"/>
            <w:r w:rsidRPr="00C70014">
              <w:rPr>
                <w:rFonts w:cs="Open Sans"/>
                <w:color w:val="000000"/>
              </w:rPr>
              <w:t>c_intexpos</w:t>
            </w:r>
            <w:proofErr w:type="spellEnd"/>
          </w:p>
        </w:tc>
        <w:tc>
          <w:tcPr>
            <w:tcW w:w="1637" w:type="dxa"/>
            <w:tcBorders>
              <w:top w:val="single" w:sz="4" w:space="0" w:color="B3B3B3"/>
              <w:bottom w:val="nil"/>
            </w:tcBorders>
            <w:shd w:val="clear" w:color="auto" w:fill="E6E6E6"/>
            <w:hideMark/>
          </w:tcPr>
          <w:p w14:paraId="40CA5504" w14:textId="77777777" w:rsidR="00BC1539" w:rsidRPr="00C70014" w:rsidRDefault="00BC1539" w:rsidP="00C70014">
            <w:pPr>
              <w:pStyle w:val="TableBody"/>
              <w:spacing w:before="45" w:after="45"/>
              <w:ind w:right="108"/>
              <w:rPr>
                <w:rFonts w:cs="Open Sans"/>
                <w:color w:val="000000"/>
              </w:rPr>
            </w:pPr>
            <w:proofErr w:type="spellStart"/>
            <w:r w:rsidRPr="00C70014">
              <w:rPr>
                <w:rFonts w:cs="Open Sans"/>
                <w:color w:val="000000"/>
              </w:rPr>
              <w:t>i_intexpos</w:t>
            </w:r>
            <w:proofErr w:type="spellEnd"/>
          </w:p>
        </w:tc>
        <w:tc>
          <w:tcPr>
            <w:tcW w:w="1637" w:type="dxa"/>
            <w:tcBorders>
              <w:top w:val="single" w:sz="4" w:space="0" w:color="B3B3B3"/>
              <w:bottom w:val="nil"/>
            </w:tcBorders>
            <w:shd w:val="clear" w:color="auto" w:fill="E6E6E6"/>
            <w:hideMark/>
          </w:tcPr>
          <w:p w14:paraId="2D2C5292" w14:textId="77777777" w:rsidR="00BC1539" w:rsidRPr="00C70014" w:rsidRDefault="00BC1539" w:rsidP="00C70014">
            <w:pPr>
              <w:pStyle w:val="TableBody"/>
              <w:spacing w:before="45" w:after="45"/>
              <w:ind w:right="108"/>
              <w:rPr>
                <w:rFonts w:cs="Open Sans"/>
                <w:color w:val="000000"/>
              </w:rPr>
            </w:pPr>
            <w:r w:rsidRPr="00C70014">
              <w:rPr>
                <w:rFonts w:cs="Open Sans"/>
                <w:color w:val="000000"/>
              </w:rPr>
              <w:t>-</w:t>
            </w:r>
          </w:p>
        </w:tc>
        <w:tc>
          <w:tcPr>
            <w:tcW w:w="1637" w:type="dxa"/>
            <w:tcBorders>
              <w:top w:val="single" w:sz="4" w:space="0" w:color="B3B3B3"/>
              <w:bottom w:val="nil"/>
            </w:tcBorders>
            <w:shd w:val="clear" w:color="auto" w:fill="E6E6E6"/>
            <w:hideMark/>
          </w:tcPr>
          <w:p w14:paraId="186875E5" w14:textId="77777777" w:rsidR="00BC1539" w:rsidRPr="00C70014" w:rsidRDefault="00BC1539" w:rsidP="00C70014">
            <w:pPr>
              <w:pStyle w:val="TableBody"/>
              <w:spacing w:before="45" w:after="45"/>
              <w:ind w:right="108"/>
              <w:rPr>
                <w:rFonts w:cs="Open Sans"/>
                <w:color w:val="000000"/>
              </w:rPr>
            </w:pPr>
            <w:r w:rsidRPr="00C70014">
              <w:rPr>
                <w:rFonts w:cs="Open Sans"/>
                <w:color w:val="000000"/>
              </w:rPr>
              <w:t>-</w:t>
            </w:r>
          </w:p>
        </w:tc>
      </w:tr>
      <w:tr w:rsidR="00BC1539" w:rsidRPr="001D3995" w14:paraId="7766419C" w14:textId="77777777" w:rsidTr="00C70014">
        <w:tc>
          <w:tcPr>
            <w:tcW w:w="3080" w:type="dxa"/>
            <w:tcBorders>
              <w:top w:val="nil"/>
              <w:bottom w:val="nil"/>
            </w:tcBorders>
            <w:hideMark/>
          </w:tcPr>
          <w:p w14:paraId="0BDB4468" w14:textId="77777777" w:rsidR="00BC1539" w:rsidRPr="00C70014" w:rsidRDefault="00BC1539" w:rsidP="00C70014">
            <w:pPr>
              <w:pStyle w:val="TableBody"/>
              <w:spacing w:before="45" w:after="45"/>
              <w:ind w:right="108"/>
              <w:rPr>
                <w:rFonts w:cs="Open Sans"/>
                <w:b/>
                <w:color w:val="1D4374"/>
              </w:rPr>
            </w:pPr>
            <w:r w:rsidRPr="00C70014">
              <w:rPr>
                <w:rFonts w:cs="Open Sans"/>
                <w:b/>
                <w:color w:val="1D4374"/>
              </w:rPr>
              <w:t>Domestic interest expenses</w:t>
            </w:r>
          </w:p>
        </w:tc>
        <w:tc>
          <w:tcPr>
            <w:tcW w:w="1637" w:type="dxa"/>
            <w:tcBorders>
              <w:top w:val="nil"/>
              <w:bottom w:val="nil"/>
            </w:tcBorders>
            <w:hideMark/>
          </w:tcPr>
          <w:p w14:paraId="75DBF383" w14:textId="77777777" w:rsidR="00BC1539" w:rsidRPr="00C70014" w:rsidRDefault="00BC1539" w:rsidP="00C70014">
            <w:pPr>
              <w:pStyle w:val="TableBody"/>
              <w:spacing w:before="45" w:after="45"/>
              <w:ind w:right="108"/>
              <w:rPr>
                <w:rFonts w:cs="Open Sans"/>
                <w:color w:val="000000"/>
              </w:rPr>
            </w:pPr>
            <w:proofErr w:type="spellStart"/>
            <w:r w:rsidRPr="00C70014">
              <w:rPr>
                <w:rFonts w:cs="Open Sans"/>
                <w:color w:val="000000"/>
              </w:rPr>
              <w:t>c_intexpau</w:t>
            </w:r>
            <w:proofErr w:type="spellEnd"/>
          </w:p>
        </w:tc>
        <w:tc>
          <w:tcPr>
            <w:tcW w:w="1637" w:type="dxa"/>
            <w:tcBorders>
              <w:top w:val="nil"/>
              <w:bottom w:val="nil"/>
            </w:tcBorders>
            <w:hideMark/>
          </w:tcPr>
          <w:p w14:paraId="1219EF77" w14:textId="77777777" w:rsidR="00BC1539" w:rsidRPr="00C70014" w:rsidRDefault="00BC1539" w:rsidP="00C70014">
            <w:pPr>
              <w:pStyle w:val="TableBody"/>
              <w:spacing w:before="45" w:after="45"/>
              <w:ind w:right="108"/>
              <w:rPr>
                <w:rFonts w:cs="Open Sans"/>
                <w:color w:val="000000"/>
              </w:rPr>
            </w:pPr>
            <w:proofErr w:type="spellStart"/>
            <w:r w:rsidRPr="00C70014">
              <w:rPr>
                <w:rFonts w:cs="Open Sans"/>
                <w:color w:val="000000"/>
              </w:rPr>
              <w:t>i_intexpau</w:t>
            </w:r>
            <w:proofErr w:type="spellEnd"/>
          </w:p>
        </w:tc>
        <w:tc>
          <w:tcPr>
            <w:tcW w:w="1637" w:type="dxa"/>
            <w:tcBorders>
              <w:top w:val="nil"/>
              <w:bottom w:val="nil"/>
            </w:tcBorders>
            <w:hideMark/>
          </w:tcPr>
          <w:p w14:paraId="080459E9" w14:textId="77777777" w:rsidR="00BC1539" w:rsidRPr="00C70014" w:rsidRDefault="00BC1539" w:rsidP="00C70014">
            <w:pPr>
              <w:pStyle w:val="TableBody"/>
              <w:spacing w:before="45" w:after="45"/>
              <w:ind w:right="108"/>
              <w:rPr>
                <w:rFonts w:cs="Open Sans"/>
                <w:color w:val="000000"/>
              </w:rPr>
            </w:pPr>
            <w:r w:rsidRPr="00C70014">
              <w:rPr>
                <w:rFonts w:cs="Open Sans"/>
                <w:color w:val="000000"/>
              </w:rPr>
              <w:t>-</w:t>
            </w:r>
          </w:p>
        </w:tc>
        <w:tc>
          <w:tcPr>
            <w:tcW w:w="1637" w:type="dxa"/>
            <w:tcBorders>
              <w:top w:val="nil"/>
              <w:bottom w:val="nil"/>
            </w:tcBorders>
            <w:hideMark/>
          </w:tcPr>
          <w:p w14:paraId="29FA0388" w14:textId="77777777" w:rsidR="00BC1539" w:rsidRPr="00C70014" w:rsidRDefault="00BC1539" w:rsidP="00C70014">
            <w:pPr>
              <w:pStyle w:val="TableBody"/>
              <w:spacing w:before="45" w:after="45"/>
              <w:ind w:right="108"/>
              <w:rPr>
                <w:rFonts w:cs="Open Sans"/>
                <w:color w:val="000000"/>
              </w:rPr>
            </w:pPr>
            <w:r w:rsidRPr="00C70014">
              <w:rPr>
                <w:rFonts w:cs="Open Sans"/>
                <w:color w:val="000000"/>
              </w:rPr>
              <w:t>-</w:t>
            </w:r>
          </w:p>
        </w:tc>
      </w:tr>
      <w:tr w:rsidR="00BC1539" w:rsidRPr="001D3995" w14:paraId="2A637DFB" w14:textId="77777777" w:rsidTr="00C70014">
        <w:tc>
          <w:tcPr>
            <w:tcW w:w="3080" w:type="dxa"/>
            <w:tcBorders>
              <w:bottom w:val="nil"/>
            </w:tcBorders>
            <w:shd w:val="clear" w:color="auto" w:fill="E6E6E6"/>
          </w:tcPr>
          <w:p w14:paraId="28EFE945" w14:textId="77777777" w:rsidR="00BC1539" w:rsidRPr="00C70014" w:rsidRDefault="00BC1539" w:rsidP="00C70014">
            <w:pPr>
              <w:pStyle w:val="TableBody"/>
              <w:spacing w:before="45" w:after="45"/>
              <w:ind w:right="108"/>
              <w:rPr>
                <w:rFonts w:cs="Open Sans"/>
                <w:b/>
                <w:color w:val="1D4374"/>
              </w:rPr>
            </w:pPr>
            <w:r w:rsidRPr="00C70014">
              <w:rPr>
                <w:rFonts w:cs="Open Sans"/>
                <w:b/>
                <w:color w:val="1D4374"/>
              </w:rPr>
              <w:t>Total interest expenses</w:t>
            </w:r>
          </w:p>
        </w:tc>
        <w:tc>
          <w:tcPr>
            <w:tcW w:w="1637" w:type="dxa"/>
            <w:tcBorders>
              <w:bottom w:val="nil"/>
            </w:tcBorders>
            <w:shd w:val="clear" w:color="auto" w:fill="E6E6E6"/>
          </w:tcPr>
          <w:p w14:paraId="16D4CF9D" w14:textId="77777777" w:rsidR="00BC1539" w:rsidRPr="00C70014" w:rsidRDefault="00BC1539" w:rsidP="00C70014">
            <w:pPr>
              <w:pStyle w:val="TableBody"/>
              <w:spacing w:before="45" w:after="45"/>
              <w:ind w:right="108"/>
              <w:rPr>
                <w:rFonts w:cs="Open Sans"/>
                <w:color w:val="000000"/>
              </w:rPr>
            </w:pPr>
            <w:r w:rsidRPr="00C70014">
              <w:rPr>
                <w:rFonts w:cs="Open Sans"/>
                <w:color w:val="000000"/>
              </w:rPr>
              <w:t>-</w:t>
            </w:r>
          </w:p>
        </w:tc>
        <w:tc>
          <w:tcPr>
            <w:tcW w:w="1637" w:type="dxa"/>
            <w:tcBorders>
              <w:bottom w:val="nil"/>
            </w:tcBorders>
            <w:shd w:val="clear" w:color="auto" w:fill="E6E6E6"/>
          </w:tcPr>
          <w:p w14:paraId="7D2D81D0" w14:textId="77777777" w:rsidR="00BC1539" w:rsidRPr="00C70014" w:rsidRDefault="00BC1539" w:rsidP="00C70014">
            <w:pPr>
              <w:pStyle w:val="TableBody"/>
              <w:spacing w:before="45" w:after="45"/>
              <w:ind w:right="108"/>
              <w:rPr>
                <w:rFonts w:cs="Open Sans"/>
                <w:color w:val="000000"/>
              </w:rPr>
            </w:pPr>
            <w:r w:rsidRPr="00C70014">
              <w:rPr>
                <w:rFonts w:cs="Open Sans"/>
                <w:color w:val="000000"/>
              </w:rPr>
              <w:t>-</w:t>
            </w:r>
          </w:p>
        </w:tc>
        <w:tc>
          <w:tcPr>
            <w:tcW w:w="1637" w:type="dxa"/>
            <w:tcBorders>
              <w:bottom w:val="nil"/>
            </w:tcBorders>
            <w:shd w:val="clear" w:color="auto" w:fill="E6E6E6"/>
          </w:tcPr>
          <w:p w14:paraId="55DA0937" w14:textId="77777777" w:rsidR="00BC1539" w:rsidRPr="00C70014" w:rsidRDefault="00BC1539" w:rsidP="00C70014">
            <w:pPr>
              <w:pStyle w:val="TableBody"/>
              <w:spacing w:before="45" w:after="45"/>
              <w:ind w:right="108"/>
              <w:rPr>
                <w:rFonts w:cs="Open Sans"/>
                <w:color w:val="000000"/>
              </w:rPr>
            </w:pPr>
            <w:proofErr w:type="spellStart"/>
            <w:r w:rsidRPr="00C70014">
              <w:rPr>
                <w:rFonts w:cs="Open Sans"/>
                <w:color w:val="000000"/>
              </w:rPr>
              <w:t>p_intextot</w:t>
            </w:r>
            <w:proofErr w:type="spellEnd"/>
          </w:p>
        </w:tc>
        <w:tc>
          <w:tcPr>
            <w:tcW w:w="1637" w:type="dxa"/>
            <w:tcBorders>
              <w:bottom w:val="nil"/>
            </w:tcBorders>
            <w:shd w:val="clear" w:color="auto" w:fill="E6E6E6"/>
          </w:tcPr>
          <w:p w14:paraId="28A0582D" w14:textId="77777777" w:rsidR="00BC1539" w:rsidRPr="00C70014" w:rsidRDefault="00BC1539" w:rsidP="00C70014">
            <w:pPr>
              <w:pStyle w:val="TableBody"/>
              <w:spacing w:before="45" w:after="45"/>
              <w:ind w:right="108"/>
              <w:rPr>
                <w:rFonts w:cs="Open Sans"/>
                <w:color w:val="000000"/>
              </w:rPr>
            </w:pPr>
            <w:proofErr w:type="spellStart"/>
            <w:r w:rsidRPr="00C70014">
              <w:rPr>
                <w:rFonts w:cs="Open Sans"/>
                <w:color w:val="000000"/>
              </w:rPr>
              <w:t>p_intextot</w:t>
            </w:r>
            <w:proofErr w:type="spellEnd"/>
          </w:p>
        </w:tc>
      </w:tr>
      <w:tr w:rsidR="00BC1539" w:rsidRPr="001D3995" w14:paraId="7737214A" w14:textId="77777777" w:rsidTr="00C70014">
        <w:tc>
          <w:tcPr>
            <w:tcW w:w="3080" w:type="dxa"/>
            <w:tcBorders>
              <w:top w:val="nil"/>
            </w:tcBorders>
            <w:hideMark/>
          </w:tcPr>
          <w:p w14:paraId="45E4D289" w14:textId="77777777" w:rsidR="00BC1539" w:rsidRPr="00C70014" w:rsidRDefault="00BC1539" w:rsidP="00C70014">
            <w:pPr>
              <w:pStyle w:val="TableBody"/>
              <w:spacing w:before="45" w:after="45"/>
              <w:ind w:right="108"/>
              <w:rPr>
                <w:rFonts w:cs="Open Sans"/>
                <w:b/>
                <w:color w:val="1D4374"/>
              </w:rPr>
            </w:pPr>
            <w:r w:rsidRPr="00C70014">
              <w:rPr>
                <w:rFonts w:cs="Open Sans"/>
                <w:b/>
                <w:color w:val="1D4374"/>
              </w:rPr>
              <w:t>Depreciation expenses</w:t>
            </w:r>
          </w:p>
        </w:tc>
        <w:tc>
          <w:tcPr>
            <w:tcW w:w="1637" w:type="dxa"/>
            <w:tcBorders>
              <w:top w:val="nil"/>
            </w:tcBorders>
            <w:hideMark/>
          </w:tcPr>
          <w:p w14:paraId="766DAF21" w14:textId="77777777" w:rsidR="00BC1539" w:rsidRPr="00C70014" w:rsidRDefault="00BC1539" w:rsidP="00C70014">
            <w:pPr>
              <w:pStyle w:val="TableBody"/>
              <w:spacing w:before="45" w:after="45"/>
              <w:ind w:right="108"/>
              <w:rPr>
                <w:rFonts w:cs="Open Sans"/>
                <w:color w:val="000000"/>
              </w:rPr>
            </w:pPr>
            <w:proofErr w:type="spellStart"/>
            <w:r w:rsidRPr="00C70014">
              <w:rPr>
                <w:rFonts w:cs="Open Sans"/>
                <w:color w:val="000000"/>
              </w:rPr>
              <w:t>c_deprexps</w:t>
            </w:r>
            <w:proofErr w:type="spellEnd"/>
          </w:p>
        </w:tc>
        <w:tc>
          <w:tcPr>
            <w:tcW w:w="1637" w:type="dxa"/>
            <w:tcBorders>
              <w:top w:val="nil"/>
            </w:tcBorders>
            <w:hideMark/>
          </w:tcPr>
          <w:p w14:paraId="68E46B43" w14:textId="77777777" w:rsidR="00BC1539" w:rsidRPr="00C70014" w:rsidRDefault="00BC1539" w:rsidP="00C70014">
            <w:pPr>
              <w:pStyle w:val="TableBody"/>
              <w:spacing w:before="45" w:after="45"/>
              <w:ind w:right="108"/>
              <w:rPr>
                <w:rFonts w:cs="Open Sans"/>
                <w:color w:val="000000"/>
              </w:rPr>
            </w:pPr>
            <w:proofErr w:type="spellStart"/>
            <w:r w:rsidRPr="00C70014">
              <w:rPr>
                <w:rFonts w:cs="Open Sans"/>
                <w:color w:val="000000"/>
              </w:rPr>
              <w:t>i</w:t>
            </w:r>
            <w:proofErr w:type="spellEnd"/>
            <w:r w:rsidRPr="00C70014">
              <w:rPr>
                <w:rFonts w:cs="Open Sans"/>
                <w:color w:val="000000"/>
              </w:rPr>
              <w:t xml:space="preserve">_ </w:t>
            </w:r>
            <w:proofErr w:type="spellStart"/>
            <w:r w:rsidRPr="00C70014">
              <w:rPr>
                <w:rFonts w:cs="Open Sans"/>
                <w:color w:val="000000"/>
              </w:rPr>
              <w:t>deprexps</w:t>
            </w:r>
            <w:proofErr w:type="spellEnd"/>
          </w:p>
        </w:tc>
        <w:tc>
          <w:tcPr>
            <w:tcW w:w="1637" w:type="dxa"/>
            <w:tcBorders>
              <w:top w:val="nil"/>
            </w:tcBorders>
            <w:hideMark/>
          </w:tcPr>
          <w:p w14:paraId="1DF3E74C" w14:textId="77777777" w:rsidR="00BC1539" w:rsidRPr="00C70014" w:rsidRDefault="00BC1539" w:rsidP="00C70014">
            <w:pPr>
              <w:pStyle w:val="TableBody"/>
              <w:spacing w:before="45" w:after="45"/>
              <w:ind w:right="108"/>
              <w:rPr>
                <w:rFonts w:cs="Open Sans"/>
                <w:color w:val="000000"/>
              </w:rPr>
            </w:pPr>
            <w:r w:rsidRPr="00C70014">
              <w:rPr>
                <w:rFonts w:cs="Open Sans"/>
                <w:color w:val="000000"/>
              </w:rPr>
              <w:t xml:space="preserve">p_ </w:t>
            </w:r>
            <w:proofErr w:type="spellStart"/>
            <w:r w:rsidRPr="00C70014">
              <w:rPr>
                <w:rFonts w:cs="Open Sans"/>
                <w:color w:val="000000"/>
              </w:rPr>
              <w:t>deprexps</w:t>
            </w:r>
            <w:proofErr w:type="spellEnd"/>
          </w:p>
        </w:tc>
        <w:tc>
          <w:tcPr>
            <w:tcW w:w="1637" w:type="dxa"/>
            <w:tcBorders>
              <w:top w:val="nil"/>
            </w:tcBorders>
            <w:hideMark/>
          </w:tcPr>
          <w:p w14:paraId="30FD0F0D" w14:textId="77777777" w:rsidR="00BC1539" w:rsidRPr="00C70014" w:rsidRDefault="00BC1539" w:rsidP="00C70014">
            <w:pPr>
              <w:pStyle w:val="TableBody"/>
              <w:spacing w:before="45" w:after="45"/>
              <w:ind w:right="108"/>
              <w:rPr>
                <w:rFonts w:cs="Open Sans"/>
                <w:color w:val="000000"/>
              </w:rPr>
            </w:pPr>
            <w:r w:rsidRPr="00C70014">
              <w:rPr>
                <w:rFonts w:cs="Open Sans"/>
                <w:color w:val="000000"/>
              </w:rPr>
              <w:t xml:space="preserve">t_ </w:t>
            </w:r>
            <w:proofErr w:type="spellStart"/>
            <w:r w:rsidRPr="00C70014">
              <w:rPr>
                <w:rFonts w:cs="Open Sans"/>
                <w:color w:val="000000"/>
              </w:rPr>
              <w:t>deprexps</w:t>
            </w:r>
            <w:proofErr w:type="spellEnd"/>
          </w:p>
        </w:tc>
      </w:tr>
    </w:tbl>
    <w:p w14:paraId="1904FD3C" w14:textId="2F44AE5A" w:rsidR="00BC1539" w:rsidRDefault="00BC1539" w:rsidP="003A65CB">
      <w:pPr>
        <w:pStyle w:val="Note"/>
        <w:spacing w:after="360"/>
        <w:rPr>
          <w:rStyle w:val="Strong"/>
        </w:rPr>
      </w:pPr>
      <w:r>
        <w:rPr>
          <w:rStyle w:val="Strong"/>
        </w:rPr>
        <w:t>‘</w:t>
      </w:r>
      <w:proofErr w:type="gramStart"/>
      <w:r>
        <w:t>-‘ means</w:t>
      </w:r>
      <w:proofErr w:type="gramEnd"/>
      <w:r>
        <w:t xml:space="preserve"> the form has no analogue for that input</w:t>
      </w:r>
      <w:r w:rsidR="00022CB1">
        <w:t>.</w:t>
      </w:r>
    </w:p>
    <w:p w14:paraId="6F73A941" w14:textId="77777777" w:rsidR="00BC1539" w:rsidRPr="003940DD" w:rsidRDefault="00BC1539" w:rsidP="003940DD">
      <w:pPr>
        <w:pStyle w:val="Heading3"/>
        <w:spacing w:before="480"/>
        <w:rPr>
          <w:rStyle w:val="Strong"/>
          <w:rFonts w:ascii="Open Sans Extrabold" w:hAnsi="Open Sans Extrabold"/>
          <w:b w:val="0"/>
          <w:bCs w:val="0"/>
        </w:rPr>
      </w:pPr>
      <w:r w:rsidRPr="003940DD">
        <w:rPr>
          <w:rStyle w:val="Strong"/>
          <w:rFonts w:ascii="Open Sans Extrabold" w:hAnsi="Open Sans Extrabold"/>
          <w:b w:val="0"/>
          <w:bCs w:val="0"/>
        </w:rPr>
        <w:lastRenderedPageBreak/>
        <w:t>Employment</w:t>
      </w:r>
    </w:p>
    <w:p w14:paraId="4331273D" w14:textId="14FC85EC" w:rsidR="00BC1539" w:rsidRPr="006C07EB" w:rsidRDefault="00BC1539" w:rsidP="003A65CB">
      <w:pPr>
        <w:pStyle w:val="BodyText"/>
        <w:keepNext/>
        <w:keepLines/>
        <w:rPr>
          <w:rStyle w:val="Strong"/>
          <w:b w:val="0"/>
          <w:spacing w:val="2"/>
        </w:rPr>
      </w:pPr>
      <w:r w:rsidRPr="006C07EB">
        <w:rPr>
          <w:rStyle w:val="Strong"/>
          <w:b w:val="0"/>
          <w:bCs w:val="0"/>
          <w:spacing w:val="2"/>
        </w:rPr>
        <w:t>Headcount for each firm is provided to the ATO through PAYG statements. The ABS uses PAYG wage expenses and the average annual full</w:t>
      </w:r>
      <w:r w:rsidR="00541146" w:rsidRPr="006C07EB">
        <w:rPr>
          <w:rStyle w:val="Strong"/>
          <w:b w:val="0"/>
          <w:bCs w:val="0"/>
          <w:spacing w:val="2"/>
        </w:rPr>
        <w:noBreakHyphen/>
      </w:r>
      <w:r w:rsidRPr="006C07EB">
        <w:rPr>
          <w:rStyle w:val="Strong"/>
          <w:b w:val="0"/>
          <w:bCs w:val="0"/>
          <w:spacing w:val="2"/>
        </w:rPr>
        <w:t>time earnings for each industry and year to derive full</w:t>
      </w:r>
      <w:r w:rsidR="00541146" w:rsidRPr="006C07EB">
        <w:rPr>
          <w:rStyle w:val="Strong"/>
          <w:b w:val="0"/>
          <w:bCs w:val="0"/>
          <w:spacing w:val="2"/>
        </w:rPr>
        <w:noBreakHyphen/>
      </w:r>
      <w:r w:rsidRPr="006C07EB">
        <w:rPr>
          <w:rStyle w:val="Strong"/>
          <w:b w:val="0"/>
          <w:bCs w:val="0"/>
          <w:spacing w:val="2"/>
        </w:rPr>
        <w:t>time equivalents (FTE). The PC has reported both measures in its assessment of employment</w:t>
      </w:r>
      <w:r w:rsidR="00D75F65" w:rsidRPr="006C07EB">
        <w:rPr>
          <w:rStyle w:val="Strong"/>
          <w:b w:val="0"/>
          <w:bCs w:val="0"/>
          <w:spacing w:val="2"/>
        </w:rPr>
        <w:t xml:space="preserve"> (figures B.</w:t>
      </w:r>
      <w:r w:rsidR="000F759C">
        <w:rPr>
          <w:rStyle w:val="Strong"/>
          <w:b w:val="0"/>
          <w:bCs w:val="0"/>
          <w:spacing w:val="2"/>
        </w:rPr>
        <w:t>9</w:t>
      </w:r>
      <w:r w:rsidR="00D75F65" w:rsidRPr="006C07EB">
        <w:rPr>
          <w:rStyle w:val="Strong"/>
          <w:b w:val="0"/>
          <w:bCs w:val="0"/>
          <w:spacing w:val="2"/>
        </w:rPr>
        <w:t xml:space="preserve"> and B.10)</w:t>
      </w:r>
      <w:r w:rsidRPr="006C07EB">
        <w:rPr>
          <w:rStyle w:val="Strong"/>
          <w:b w:val="0"/>
          <w:bCs w:val="0"/>
          <w:spacing w:val="2"/>
        </w:rPr>
        <w:t>.</w:t>
      </w:r>
    </w:p>
    <w:p w14:paraId="4FBB161E" w14:textId="77777777" w:rsidR="00BC1539" w:rsidRDefault="00BC1539" w:rsidP="00011592">
      <w:pPr>
        <w:pStyle w:val="FigureTableHeading"/>
      </w:pPr>
      <w:r>
        <w:t xml:space="preserve">Figure B.9 – </w:t>
      </w:r>
      <w:r w:rsidRPr="001E7D1C">
        <w:t>FSS</w:t>
      </w:r>
      <w:r>
        <w:t xml:space="preserve"> industry FTE for the expanded and conservative populations and subpopulations</w:t>
      </w:r>
    </w:p>
    <w:p w14:paraId="574C5743" w14:textId="30BE3767" w:rsidR="00BC1539" w:rsidRDefault="00BC1539" w:rsidP="00011592">
      <w:pPr>
        <w:pStyle w:val="FigureTableSubheading"/>
        <w:rPr>
          <w:rStyle w:val="Strong"/>
          <w:b w:val="0"/>
          <w:bCs w:val="0"/>
        </w:rPr>
      </w:pPr>
      <w:r>
        <w:t>FTE, thousands, 2016</w:t>
      </w:r>
      <w:r w:rsidR="0090267A">
        <w:t>–</w:t>
      </w:r>
      <w:r>
        <w:t>17 to 2024</w:t>
      </w:r>
      <w:r w:rsidR="0090267A">
        <w:t>–</w:t>
      </w:r>
      <w:r>
        <w:t>25</w:t>
      </w:r>
    </w:p>
    <w:p w14:paraId="26BC816E" w14:textId="7FFE7A94" w:rsidR="00BC1539" w:rsidRPr="005A0C04" w:rsidRDefault="005E2402" w:rsidP="005A0C04">
      <w:pPr>
        <w:pStyle w:val="BodyText"/>
        <w:spacing w:before="0" w:after="0"/>
        <w:rPr>
          <w:rStyle w:val="Strong"/>
          <w:b w:val="0"/>
          <w:bCs w:val="0"/>
        </w:rPr>
      </w:pPr>
      <w:r w:rsidRPr="005A0C04">
        <w:rPr>
          <w:rStyle w:val="Strong"/>
          <w:b w:val="0"/>
          <w:bCs w:val="0"/>
          <w:noProof/>
        </w:rPr>
        <w:drawing>
          <wp:inline distT="0" distB="0" distL="0" distR="0" wp14:anchorId="649AE279" wp14:editId="2FACA0A3">
            <wp:extent cx="6120130" cy="2580468"/>
            <wp:effectExtent l="0" t="0" r="0" b="0"/>
            <wp:docPr id="888201955" name="Picture 38" descr="Figure B.9 - The figure shows FTE employment for the expanded and conservative populations as well as conservative subpopulations changing in a similar pattern between 2016-17 and 2023-2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201955" name="Picture 38" descr="Figure B.9 - The figure shows FTE employment for the expanded and conservative populations as well as conservative subpopulations changing in a similar pattern between 2016-17 and 2023-24.&#10;"/>
                    <pic:cNvPicPr>
                      <a:picLocks noChangeAspect="1" noChangeArrowheads="1"/>
                    </pic:cNvPicPr>
                  </pic:nvPicPr>
                  <pic:blipFill rotWithShape="1">
                    <a:blip r:embed="rId98">
                      <a:extLst>
                        <a:ext uri="{28A0092B-C50C-407E-A947-70E740481C1C}">
                          <a14:useLocalDpi xmlns:a14="http://schemas.microsoft.com/office/drawing/2010/main" val="0"/>
                        </a:ext>
                      </a:extLst>
                    </a:blip>
                    <a:srcRect b="2898"/>
                    <a:stretch>
                      <a:fillRect/>
                    </a:stretch>
                  </pic:blipFill>
                  <pic:spPr bwMode="auto">
                    <a:xfrm>
                      <a:off x="0" y="0"/>
                      <a:ext cx="6120130" cy="2580468"/>
                    </a:xfrm>
                    <a:prstGeom prst="rect">
                      <a:avLst/>
                    </a:prstGeom>
                    <a:noFill/>
                    <a:ln>
                      <a:noFill/>
                    </a:ln>
                    <a:extLst>
                      <a:ext uri="{53640926-AAD7-44D8-BBD7-CCE9431645EC}">
                        <a14:shadowObscured xmlns:a14="http://schemas.microsoft.com/office/drawing/2010/main"/>
                      </a:ext>
                    </a:extLst>
                  </pic:spPr>
                </pic:pic>
              </a:graphicData>
            </a:graphic>
          </wp:inline>
        </w:drawing>
      </w:r>
    </w:p>
    <w:p w14:paraId="28BE1581" w14:textId="77777777" w:rsidR="00BC1539" w:rsidRPr="00335755" w:rsidRDefault="00BC1539" w:rsidP="003940DD">
      <w:pPr>
        <w:pStyle w:val="Source"/>
        <w:spacing w:after="360"/>
        <w:rPr>
          <w:rStyle w:val="Strong"/>
          <w:b w:val="0"/>
          <w:bCs w:val="0"/>
        </w:rPr>
      </w:pPr>
      <w:r>
        <w:t>Source: PC analysis of ABS data.</w:t>
      </w:r>
    </w:p>
    <w:p w14:paraId="1F4BC6B7" w14:textId="77777777" w:rsidR="00BC1539" w:rsidRDefault="00BC1539" w:rsidP="00011592">
      <w:pPr>
        <w:pStyle w:val="FigureTableHeading"/>
      </w:pPr>
      <w:r>
        <w:t xml:space="preserve">Figure B.10 – </w:t>
      </w:r>
      <w:r w:rsidRPr="001E7D1C">
        <w:t>FSS</w:t>
      </w:r>
      <w:r>
        <w:t xml:space="preserve"> industry headcount for the expanded and conservative populations and subpopulations</w:t>
      </w:r>
    </w:p>
    <w:p w14:paraId="39130D95" w14:textId="0C999276" w:rsidR="00BC1539" w:rsidRDefault="00BC1539" w:rsidP="00011592">
      <w:pPr>
        <w:pStyle w:val="FigureTableSubheading"/>
        <w:rPr>
          <w:rStyle w:val="Strong"/>
          <w:b w:val="0"/>
          <w:bCs w:val="0"/>
        </w:rPr>
      </w:pPr>
      <w:r>
        <w:t>Headcount, thousands, 2016</w:t>
      </w:r>
      <w:r w:rsidR="0090267A">
        <w:t>–</w:t>
      </w:r>
      <w:r>
        <w:t>17 to 2024</w:t>
      </w:r>
      <w:r w:rsidR="0090267A">
        <w:t>–</w:t>
      </w:r>
      <w:r>
        <w:t>25</w:t>
      </w:r>
    </w:p>
    <w:p w14:paraId="2AFCE253" w14:textId="1D295308" w:rsidR="00BC1539" w:rsidRPr="005A0C04" w:rsidRDefault="00CC1062" w:rsidP="00CC1062">
      <w:pPr>
        <w:pStyle w:val="BodyText"/>
        <w:spacing w:before="0" w:after="0"/>
      </w:pPr>
      <w:r w:rsidRPr="00CC1062">
        <w:rPr>
          <w:noProof/>
        </w:rPr>
        <w:drawing>
          <wp:inline distT="0" distB="0" distL="0" distR="0" wp14:anchorId="4EF4F49C" wp14:editId="4BBB4B2A">
            <wp:extent cx="6120130" cy="2673457"/>
            <wp:effectExtent l="0" t="0" r="0" b="0"/>
            <wp:docPr id="647196335" name="Picture 40" descr="Figure B.10 - The figure shows headcount employment for the expanded and conservative populations as well as conservative subpopulations changing in a similar pattern between 2016-17 and 2023-2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196335" name="Picture 40" descr="Figure B.10 - The figure shows headcount employment for the expanded and conservative populations as well as conservative subpopulations changing in a similar pattern between 2016-17 and 2023-24.&#10;"/>
                    <pic:cNvPicPr>
                      <a:picLocks noChangeAspect="1" noChangeArrowheads="1"/>
                    </pic:cNvPicPr>
                  </pic:nvPicPr>
                  <pic:blipFill rotWithShape="1">
                    <a:blip r:embed="rId99">
                      <a:extLst>
                        <a:ext uri="{28A0092B-C50C-407E-A947-70E740481C1C}">
                          <a14:useLocalDpi xmlns:a14="http://schemas.microsoft.com/office/drawing/2010/main" val="0"/>
                        </a:ext>
                      </a:extLst>
                    </a:blip>
                    <a:srcRect b="2519"/>
                    <a:stretch>
                      <a:fillRect/>
                    </a:stretch>
                  </pic:blipFill>
                  <pic:spPr bwMode="auto">
                    <a:xfrm>
                      <a:off x="0" y="0"/>
                      <a:ext cx="6120130" cy="2673457"/>
                    </a:xfrm>
                    <a:prstGeom prst="rect">
                      <a:avLst/>
                    </a:prstGeom>
                    <a:noFill/>
                    <a:ln>
                      <a:noFill/>
                    </a:ln>
                    <a:extLst>
                      <a:ext uri="{53640926-AAD7-44D8-BBD7-CCE9431645EC}">
                        <a14:shadowObscured xmlns:a14="http://schemas.microsoft.com/office/drawing/2010/main"/>
                      </a:ext>
                    </a:extLst>
                  </pic:spPr>
                </pic:pic>
              </a:graphicData>
            </a:graphic>
          </wp:inline>
        </w:drawing>
      </w:r>
    </w:p>
    <w:p w14:paraId="428351C9" w14:textId="77777777" w:rsidR="00BC1539" w:rsidRPr="00335755" w:rsidRDefault="00BC1539" w:rsidP="00011592">
      <w:pPr>
        <w:pStyle w:val="Source"/>
      </w:pPr>
      <w:r>
        <w:t>Source: PC analysis of ABS data.</w:t>
      </w:r>
    </w:p>
    <w:p w14:paraId="737C11DF" w14:textId="77777777" w:rsidR="00BC1539" w:rsidRPr="003940DD" w:rsidRDefault="00BC1539" w:rsidP="003940DD">
      <w:pPr>
        <w:pStyle w:val="Heading3"/>
        <w:spacing w:before="480"/>
        <w:rPr>
          <w:rStyle w:val="Strong"/>
          <w:rFonts w:ascii="Open Sans Extrabold" w:hAnsi="Open Sans Extrabold"/>
          <w:b w:val="0"/>
          <w:bCs w:val="0"/>
        </w:rPr>
      </w:pPr>
      <w:r w:rsidRPr="003940DD">
        <w:rPr>
          <w:rStyle w:val="Strong"/>
          <w:rFonts w:ascii="Open Sans Extrabold" w:hAnsi="Open Sans Extrabold"/>
          <w:b w:val="0"/>
          <w:bCs w:val="0"/>
        </w:rPr>
        <w:lastRenderedPageBreak/>
        <w:t>Share of the domestic market</w:t>
      </w:r>
    </w:p>
    <w:p w14:paraId="79C67E49" w14:textId="77777777" w:rsidR="00BC1539" w:rsidRDefault="00BC1539" w:rsidP="00011592">
      <w:pPr>
        <w:pStyle w:val="BodyText"/>
        <w:rPr>
          <w:rStyle w:val="Strong"/>
          <w:b w:val="0"/>
          <w:bCs w:val="0"/>
        </w:rPr>
      </w:pPr>
      <w:r>
        <w:rPr>
          <w:rStyle w:val="Strong"/>
          <w:b w:val="0"/>
          <w:bCs w:val="0"/>
        </w:rPr>
        <w:t>Imports’ share of the domestic market is calculated as follows:</w:t>
      </w:r>
    </w:p>
    <w:p w14:paraId="4EE7B479" w14:textId="77777777" w:rsidR="00BC1539" w:rsidRPr="00860913" w:rsidRDefault="00000000" w:rsidP="00011592">
      <w:pPr>
        <w:pStyle w:val="BodyText"/>
        <w:rPr>
          <w:rStyle w:val="Strong"/>
          <w:rFonts w:eastAsiaTheme="minorEastAsia"/>
          <w:b w:val="0"/>
          <w:bCs w:val="0"/>
        </w:rPr>
      </w:pPr>
      <m:oMathPara>
        <m:oMath>
          <m:sSub>
            <m:sSubPr>
              <m:ctrlPr>
                <w:rPr>
                  <w:rStyle w:val="Strong"/>
                  <w:rFonts w:ascii="Cambria Math" w:hAnsi="Cambria Math"/>
                  <w:b w:val="0"/>
                  <w:bCs w:val="0"/>
                  <w:i/>
                </w:rPr>
              </m:ctrlPr>
            </m:sSubPr>
            <m:e>
              <m:r>
                <w:rPr>
                  <w:rStyle w:val="Strong"/>
                  <w:rFonts w:ascii="Cambria Math" w:hAnsi="Cambria Math"/>
                </w:rPr>
                <m:t>market share</m:t>
              </m:r>
            </m:e>
            <m:sub>
              <m:r>
                <w:rPr>
                  <w:rStyle w:val="Strong"/>
                  <w:rFonts w:ascii="Cambria Math" w:hAnsi="Cambria Math"/>
                </w:rPr>
                <m:t>t</m:t>
              </m:r>
            </m:sub>
          </m:sSub>
          <m:r>
            <w:rPr>
              <w:rStyle w:val="Strong"/>
              <w:rFonts w:ascii="Cambria Math" w:hAnsi="Cambria Math"/>
            </w:rPr>
            <m:t xml:space="preserve">= </m:t>
          </m:r>
          <m:f>
            <m:fPr>
              <m:ctrlPr>
                <w:rPr>
                  <w:rStyle w:val="Strong"/>
                  <w:rFonts w:ascii="Cambria Math" w:hAnsi="Cambria Math"/>
                  <w:b w:val="0"/>
                  <w:bCs w:val="0"/>
                  <w:i/>
                </w:rPr>
              </m:ctrlPr>
            </m:fPr>
            <m:num>
              <m:sSub>
                <m:sSubPr>
                  <m:ctrlPr>
                    <w:rPr>
                      <w:rStyle w:val="Strong"/>
                      <w:rFonts w:ascii="Cambria Math" w:hAnsi="Cambria Math"/>
                      <w:b w:val="0"/>
                      <w:bCs w:val="0"/>
                      <w:i/>
                    </w:rPr>
                  </m:ctrlPr>
                </m:sSubPr>
                <m:e>
                  <m:r>
                    <w:rPr>
                      <w:rStyle w:val="Strong"/>
                      <w:rFonts w:ascii="Cambria Math" w:hAnsi="Cambria Math"/>
                    </w:rPr>
                    <m:t>value of FSS imports</m:t>
                  </m:r>
                </m:e>
                <m:sub>
                  <m:r>
                    <w:rPr>
                      <w:rStyle w:val="Strong"/>
                      <w:rFonts w:ascii="Cambria Math" w:hAnsi="Cambria Math"/>
                    </w:rPr>
                    <m:t>t</m:t>
                  </m:r>
                </m:sub>
              </m:sSub>
            </m:num>
            <m:den>
              <m:sSub>
                <m:sSubPr>
                  <m:ctrlPr>
                    <w:rPr>
                      <w:rStyle w:val="Strong"/>
                      <w:rFonts w:ascii="Cambria Math" w:hAnsi="Cambria Math"/>
                      <w:b w:val="0"/>
                      <w:bCs w:val="0"/>
                      <w:i/>
                    </w:rPr>
                  </m:ctrlPr>
                </m:sSubPr>
                <m:e>
                  <m:r>
                    <w:rPr>
                      <w:rStyle w:val="Strong"/>
                      <w:rFonts w:ascii="Cambria Math" w:hAnsi="Cambria Math"/>
                    </w:rPr>
                    <m:t>value of FSS imports</m:t>
                  </m:r>
                </m:e>
                <m:sub>
                  <m:r>
                    <w:rPr>
                      <w:rStyle w:val="Strong"/>
                      <w:rFonts w:ascii="Cambria Math" w:hAnsi="Cambria Math"/>
                    </w:rPr>
                    <m:t>t</m:t>
                  </m:r>
                </m:sub>
              </m:sSub>
              <m:r>
                <w:rPr>
                  <w:rStyle w:val="Strong"/>
                  <w:rFonts w:ascii="Cambria Math" w:hAnsi="Cambria Math"/>
                </w:rPr>
                <m:t>+</m:t>
              </m:r>
              <m:sSub>
                <m:sSubPr>
                  <m:ctrlPr>
                    <w:rPr>
                      <w:rStyle w:val="Strong"/>
                      <w:rFonts w:ascii="Cambria Math" w:hAnsi="Cambria Math"/>
                      <w:b w:val="0"/>
                      <w:bCs w:val="0"/>
                      <w:i/>
                    </w:rPr>
                  </m:ctrlPr>
                </m:sSubPr>
                <m:e>
                  <m:r>
                    <w:rPr>
                      <w:rStyle w:val="Strong"/>
                      <w:rFonts w:ascii="Cambria Math" w:hAnsi="Cambria Math"/>
                    </w:rPr>
                    <m:t>domestic FSS sales</m:t>
                  </m:r>
                </m:e>
                <m:sub>
                  <m:r>
                    <w:rPr>
                      <w:rStyle w:val="Strong"/>
                      <w:rFonts w:ascii="Cambria Math" w:hAnsi="Cambria Math"/>
                    </w:rPr>
                    <m:t>t</m:t>
                  </m:r>
                </m:sub>
              </m:sSub>
              <m:r>
                <w:rPr>
                  <w:rStyle w:val="Strong"/>
                  <w:rFonts w:ascii="Cambria Math" w:hAnsi="Cambria Math"/>
                </w:rPr>
                <m:t>-</m:t>
              </m:r>
              <m:sSub>
                <m:sSubPr>
                  <m:ctrlPr>
                    <w:rPr>
                      <w:rStyle w:val="Strong"/>
                      <w:rFonts w:ascii="Cambria Math" w:hAnsi="Cambria Math"/>
                      <w:b w:val="0"/>
                      <w:bCs w:val="0"/>
                      <w:i/>
                    </w:rPr>
                  </m:ctrlPr>
                </m:sSubPr>
                <m:e>
                  <m:r>
                    <w:rPr>
                      <w:rStyle w:val="Strong"/>
                      <w:rFonts w:ascii="Cambria Math" w:hAnsi="Cambria Math"/>
                    </w:rPr>
                    <m:t>value of FSS exports</m:t>
                  </m:r>
                </m:e>
                <m:sub>
                  <m:r>
                    <w:rPr>
                      <w:rStyle w:val="Strong"/>
                      <w:rFonts w:ascii="Cambria Math" w:hAnsi="Cambria Math"/>
                    </w:rPr>
                    <m:t>t</m:t>
                  </m:r>
                </m:sub>
              </m:sSub>
            </m:den>
          </m:f>
        </m:oMath>
      </m:oMathPara>
    </w:p>
    <w:p w14:paraId="2A036CD6" w14:textId="3F46BA64" w:rsidR="00BC1539" w:rsidRDefault="00BC1539" w:rsidP="00011592">
      <w:pPr>
        <w:pStyle w:val="BodyText"/>
        <w:rPr>
          <w:rStyle w:val="Strong"/>
          <w:b w:val="0"/>
          <w:bCs w:val="0"/>
        </w:rPr>
      </w:pPr>
      <w:r>
        <w:rPr>
          <w:rStyle w:val="Strong"/>
          <w:b w:val="0"/>
          <w:bCs w:val="0"/>
        </w:rPr>
        <w:t>The value of imports and domestic sales are taken from estimates previously described. The v</w:t>
      </w:r>
      <w:r w:rsidRPr="004D3985">
        <w:rPr>
          <w:rStyle w:val="Strong"/>
          <w:b w:val="0"/>
          <w:bCs w:val="0"/>
        </w:rPr>
        <w:t xml:space="preserve">alue of </w:t>
      </w:r>
      <w:r>
        <w:rPr>
          <w:rStyle w:val="Strong"/>
          <w:b w:val="0"/>
          <w:bCs w:val="0"/>
        </w:rPr>
        <w:t>FSS exports is calculated based on the Australian Harmonised Export Commodity Classification</w:t>
      </w:r>
      <w:r w:rsidDel="00455D89">
        <w:rPr>
          <w:rStyle w:val="Strong"/>
          <w:b w:val="0"/>
          <w:bCs w:val="0"/>
        </w:rPr>
        <w:t xml:space="preserve"> </w:t>
      </w:r>
      <w:r>
        <w:rPr>
          <w:rStyle w:val="Strong"/>
          <w:b w:val="0"/>
          <w:bCs w:val="0"/>
        </w:rPr>
        <w:t>codes most closely aligned to the HTISC codes in our terms of reference. These include:</w:t>
      </w:r>
    </w:p>
    <w:p w14:paraId="60731047" w14:textId="3AA7C580" w:rsidR="00BC1539" w:rsidRDefault="00BC1539" w:rsidP="00011592">
      <w:pPr>
        <w:pStyle w:val="ListBullet"/>
        <w:rPr>
          <w:lang w:eastAsia="en-AU"/>
        </w:rPr>
      </w:pPr>
      <w:r w:rsidRPr="00867AF0">
        <w:t>73081020</w:t>
      </w:r>
      <w:r>
        <w:t>:</w:t>
      </w:r>
      <w:r w:rsidRPr="00867AF0">
        <w:t xml:space="preserve"> Bridges and bridge</w:t>
      </w:r>
      <w:r w:rsidR="00541146">
        <w:noBreakHyphen/>
      </w:r>
      <w:r w:rsidRPr="00867AF0">
        <w:t>sections, of iron or steel</w:t>
      </w:r>
    </w:p>
    <w:p w14:paraId="39445906" w14:textId="5DEF1B13" w:rsidR="00BC1539" w:rsidRDefault="00BC1539" w:rsidP="00011592">
      <w:pPr>
        <w:pStyle w:val="ListBullet"/>
        <w:rPr>
          <w:rStyle w:val="Strong"/>
          <w:b w:val="0"/>
          <w:bCs w:val="0"/>
        </w:rPr>
      </w:pPr>
      <w:r w:rsidRPr="009E2264">
        <w:t>7308.90.00</w:t>
      </w:r>
      <w:r>
        <w:t xml:space="preserve">: </w:t>
      </w:r>
      <w:r w:rsidRPr="009E2264">
        <w:t>Structures and parts thereof, of iron or steel (excl. doors, windows and their frames and thresholds for doors and equipment for scaffolding etc)</w:t>
      </w:r>
      <w:r w:rsidR="00D13C2F">
        <w:t>.</w:t>
      </w:r>
    </w:p>
    <w:p w14:paraId="0E17FDDF" w14:textId="77777777" w:rsidR="00BC1539" w:rsidRDefault="00BC1539" w:rsidP="00011592">
      <w:pPr>
        <w:pStyle w:val="BodyText"/>
      </w:pPr>
      <w:r>
        <w:t>Imports’ share of the domestic market is calculated differently to relative imports. Each series can be used to understand the role of imports in the Australian FSS market. Imports’ share of the domestic market, calculated using the above equation, can never go above 100%, and is based on values. Relative imports are calculated by dividing imports by domestic production, which exceeds 100% if imports are greater than domestic production. In addition, for the purposes of addressing the condition of whether the conditions for safeguards are met, the PC has relied on an estimate of relative imports based on tonnes imported or produced domestically. Relative imports can be calculated using dollar values. Compared with relative imports based on tonnes, relative imports based on values are much lower and exhibit no upward trend over the last decade (figure B.11).</w:t>
      </w:r>
    </w:p>
    <w:p w14:paraId="4972FA73" w14:textId="77777777" w:rsidR="00BC1539" w:rsidRPr="00146382" w:rsidRDefault="00BC1539">
      <w:pPr>
        <w:pStyle w:val="FigureTableHeading"/>
      </w:pPr>
      <w:r>
        <w:t>Figure B.11 – Relative imports based on dollar values and tonnes</w:t>
      </w:r>
    </w:p>
    <w:p w14:paraId="5AFEEE95" w14:textId="7D5D7D23" w:rsidR="00BC1539" w:rsidRDefault="0096511E" w:rsidP="0096511E">
      <w:pPr>
        <w:pStyle w:val="BodyText"/>
        <w:spacing w:before="0" w:after="0"/>
      </w:pPr>
      <w:r w:rsidRPr="0096511E">
        <w:rPr>
          <w:noProof/>
        </w:rPr>
        <w:drawing>
          <wp:inline distT="0" distB="0" distL="0" distR="0" wp14:anchorId="5B96F81A" wp14:editId="1570EB0F">
            <wp:extent cx="6120000" cy="2996842"/>
            <wp:effectExtent l="0" t="0" r="0" b="0"/>
            <wp:docPr id="1048285759" name="Picture 25" descr="Figure B.11 - The figure compares relative imports based on tonnes and dollar values. Relative imports based on dollar values was relatively stable over the period, declining from 30% to 28% over the period of investigation (though it increased in 2021-22). Relative imports based on tonnes increased gradually over the period of investigation, starting at 94% in 2020-21 and reaching 105% in 2024-25 (there was also a peak at 123% in 2021-22, followed by a decline in 2022-2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285759" name="Picture 25" descr="Figure B.11 - The figure compares relative imports based on tonnes and dollar values. Relative imports based on dollar values was relatively stable over the period, declining from 30% to 28% over the period of investigation (though it increased in 2021-22). Relative imports based on tonnes increased gradually over the period of investigation, starting at 94% in 2020-21 and reaching 105% in 2024-25 (there was also a peak at 123% in 2021-22, followed by a decline in 2022-23).&#10;"/>
                    <pic:cNvPicPr>
                      <a:picLocks noChangeAspect="1" noChangeArrowheads="1"/>
                    </pic:cNvPicPr>
                  </pic:nvPicPr>
                  <pic:blipFill rotWithShape="1">
                    <a:blip r:embed="rId100">
                      <a:extLst>
                        <a:ext uri="{28A0092B-C50C-407E-A947-70E740481C1C}">
                          <a14:useLocalDpi xmlns:a14="http://schemas.microsoft.com/office/drawing/2010/main" val="0"/>
                        </a:ext>
                      </a:extLst>
                    </a:blip>
                    <a:srcRect l="2406"/>
                    <a:stretch>
                      <a:fillRect/>
                    </a:stretch>
                  </pic:blipFill>
                  <pic:spPr bwMode="auto">
                    <a:xfrm>
                      <a:off x="0" y="0"/>
                      <a:ext cx="6120000" cy="2996842"/>
                    </a:xfrm>
                    <a:prstGeom prst="rect">
                      <a:avLst/>
                    </a:prstGeom>
                    <a:noFill/>
                    <a:ln>
                      <a:noFill/>
                    </a:ln>
                    <a:extLst>
                      <a:ext uri="{53640926-AAD7-44D8-BBD7-CCE9431645EC}">
                        <a14:shadowObscured xmlns:a14="http://schemas.microsoft.com/office/drawing/2010/main"/>
                      </a:ext>
                    </a:extLst>
                  </pic:spPr>
                </pic:pic>
              </a:graphicData>
            </a:graphic>
          </wp:inline>
        </w:drawing>
      </w:r>
    </w:p>
    <w:p w14:paraId="0113BE0C" w14:textId="77777777" w:rsidR="00BC1539" w:rsidRDefault="00BC1539" w:rsidP="00011592">
      <w:pPr>
        <w:pStyle w:val="Source"/>
      </w:pPr>
      <w:r w:rsidRPr="00696447">
        <w:t xml:space="preserve">Source: </w:t>
      </w:r>
      <w:r>
        <w:t>PC analysis of ABS data.</w:t>
      </w:r>
    </w:p>
    <w:p w14:paraId="6D6E85C2" w14:textId="77777777" w:rsidR="00BC1539" w:rsidRDefault="00BC1539" w:rsidP="0096511E">
      <w:pPr>
        <w:pStyle w:val="Heading3"/>
        <w:rPr>
          <w:kern w:val="2"/>
          <w:szCs w:val="26"/>
          <w:lang w:eastAsia="en-AU"/>
          <w14:ligatures w14:val="standardContextual"/>
        </w:rPr>
      </w:pPr>
      <w:r>
        <w:lastRenderedPageBreak/>
        <w:t>Investment and capital stock</w:t>
      </w:r>
    </w:p>
    <w:p w14:paraId="440E548B" w14:textId="77777777" w:rsidR="00BC1539" w:rsidRDefault="00BC1539" w:rsidP="0096511E">
      <w:pPr>
        <w:pStyle w:val="BodyText"/>
        <w:keepNext/>
        <w:keepLines/>
      </w:pPr>
      <w:r>
        <w:t xml:space="preserve">Investment and capital stock are not injury </w:t>
      </w:r>
      <w:proofErr w:type="gramStart"/>
      <w:r>
        <w:t>factors in their own right</w:t>
      </w:r>
      <w:proofErr w:type="gramEnd"/>
      <w:r>
        <w:t>. However, a measure of capital stock is required to estimate total factor productivity and capacity utilisation.</w:t>
      </w:r>
    </w:p>
    <w:p w14:paraId="74CE419E" w14:textId="17AD4A2C" w:rsidR="00BC1539" w:rsidRDefault="00BC1539" w:rsidP="00011592">
      <w:pPr>
        <w:pStyle w:val="BodyText"/>
      </w:pPr>
      <w:r>
        <w:t>The PC estimates capital stock in two stages. First, we combine information from BAS and BIT returns to estimate annual investment for each firm. Second, we use the Perpetual Inventory Method (PIM) to accumulate that investment into an estimate of the capital stock remaining in use.</w:t>
      </w:r>
    </w:p>
    <w:p w14:paraId="27B84489" w14:textId="77777777" w:rsidR="00BC1539" w:rsidRDefault="00BC1539" w:rsidP="00011592">
      <w:pPr>
        <w:pStyle w:val="Heading4"/>
      </w:pPr>
      <w:r w:rsidRPr="00B01CB0">
        <w:t>Investment</w:t>
      </w:r>
    </w:p>
    <w:p w14:paraId="6329F23E" w14:textId="77777777" w:rsidR="00BC1539" w:rsidRPr="00B01CB0" w:rsidRDefault="00BC1539" w:rsidP="00011592">
      <w:pPr>
        <w:pStyle w:val="Heading5"/>
      </w:pPr>
      <w:r w:rsidRPr="00B01CB0">
        <w:t>Why investment must be estimated</w:t>
      </w:r>
    </w:p>
    <w:p w14:paraId="5B3F1062" w14:textId="77777777" w:rsidR="00BC1539" w:rsidRPr="00BB69A2" w:rsidRDefault="00BC1539" w:rsidP="00011592">
      <w:pPr>
        <w:pStyle w:val="BodyText"/>
      </w:pPr>
      <w:r w:rsidRPr="00BB69A2">
        <w:t>Administrative data do not contain a single investment measure that is reported consistently by all firms. The available information varies according to business size, tax status and reporting process:</w:t>
      </w:r>
    </w:p>
    <w:p w14:paraId="1D6473F8" w14:textId="362B4B47" w:rsidR="00BC1539" w:rsidRPr="00BB69A2" w:rsidRDefault="00BC1539" w:rsidP="00022CB1">
      <w:pPr>
        <w:pStyle w:val="ListBullet"/>
      </w:pPr>
      <w:r w:rsidRPr="00BB69A2">
        <w:t xml:space="preserve">BAS </w:t>
      </w:r>
      <w:proofErr w:type="gramStart"/>
      <w:r w:rsidRPr="00BB69A2">
        <w:t>provide</w:t>
      </w:r>
      <w:proofErr w:type="gramEnd"/>
      <w:r w:rsidRPr="00BB69A2">
        <w:t xml:space="preserve"> a measure of capital acquisitions for businesses with turnover above $10 million</w:t>
      </w:r>
      <w:r w:rsidR="00541146">
        <w:t>.</w:t>
      </w:r>
      <w:r w:rsidRPr="00BB69A2">
        <w:t xml:space="preserve"> </w:t>
      </w:r>
    </w:p>
    <w:p w14:paraId="31C1A7F1" w14:textId="0F9952D9" w:rsidR="00BC1539" w:rsidRPr="00BB69A2" w:rsidRDefault="00BC1539" w:rsidP="00022CB1">
      <w:pPr>
        <w:pStyle w:val="ListBullet"/>
      </w:pPr>
      <w:r w:rsidRPr="00BB69A2">
        <w:t>BIT returns record expenditure on tangible and intangible depreciating assets for firms using ordinary Division 40 depreciation</w:t>
      </w:r>
      <w:r w:rsidR="00541146">
        <w:t>.</w:t>
      </w:r>
      <w:r w:rsidRPr="00BB69A2">
        <w:t xml:space="preserve"> </w:t>
      </w:r>
    </w:p>
    <w:p w14:paraId="6D54A0E4" w14:textId="77777777" w:rsidR="00BC1539" w:rsidRPr="00BB69A2" w:rsidRDefault="00BC1539" w:rsidP="00022CB1">
      <w:pPr>
        <w:pStyle w:val="ListBullet"/>
      </w:pPr>
      <w:r>
        <w:t>s</w:t>
      </w:r>
      <w:r w:rsidRPr="00BB69A2">
        <w:t xml:space="preserve">mall business entities using simplified depreciation report relevant expenditure through different BIT fields, which are not currently incorporated into the PC’s investment measure. </w:t>
      </w:r>
    </w:p>
    <w:p w14:paraId="62AD2A96" w14:textId="35B28BD5" w:rsidR="00BC1539" w:rsidRPr="00BB69A2" w:rsidRDefault="00BC1539" w:rsidP="00011592">
      <w:pPr>
        <w:pStyle w:val="BodyText"/>
      </w:pPr>
      <w:r w:rsidRPr="00BB69A2">
        <w:t>All firms report depreciation expenses, but these cannot be used directly to infer investment. Accelerated depreciation incentives introduced during the assessment period changed the timing of deductions without necessarily reflecting changes in the acquisition or economic depreciation of assets.</w:t>
      </w:r>
      <w:r>
        <w:t xml:space="preserve"> </w:t>
      </w:r>
      <w:proofErr w:type="gramStart"/>
      <w:r>
        <w:t>As a consequence</w:t>
      </w:r>
      <w:proofErr w:type="gramEnd"/>
      <w:r>
        <w:t>, using depreciation would likely over</w:t>
      </w:r>
      <w:r w:rsidR="00541146">
        <w:noBreakHyphen/>
      </w:r>
      <w:r>
        <w:t>estimate investment.</w:t>
      </w:r>
      <w:r w:rsidRPr="00BB69A2">
        <w:t xml:space="preserve"> Reported non</w:t>
      </w:r>
      <w:r w:rsidR="00541146">
        <w:noBreakHyphen/>
      </w:r>
      <w:r w:rsidRPr="00BB69A2">
        <w:t>current assets are also imperfect because they reflect accounting values rather than the economic value of capital still in use.</w:t>
      </w:r>
    </w:p>
    <w:p w14:paraId="28479BBA" w14:textId="77777777" w:rsidR="00BC1539" w:rsidRDefault="00BC1539" w:rsidP="00011592">
      <w:pPr>
        <w:pStyle w:val="BodyText"/>
      </w:pPr>
      <w:r w:rsidRPr="00BB69A2">
        <w:t>The PC therefore combines the available BAS and BIT information using an established hierarchy. This provides a more consistent estimate than relying on any one administrative field.</w:t>
      </w:r>
    </w:p>
    <w:p w14:paraId="5E2E033D" w14:textId="77777777" w:rsidR="00BC1539" w:rsidRDefault="00BC1539" w:rsidP="00011592">
      <w:pPr>
        <w:pStyle w:val="Heading5"/>
      </w:pPr>
      <w:r w:rsidRPr="00992623">
        <w:t>Constructing the investment series</w:t>
      </w:r>
    </w:p>
    <w:p w14:paraId="263F1EBE" w14:textId="77777777" w:rsidR="00BC1539" w:rsidRPr="003A6415" w:rsidRDefault="00BC1539" w:rsidP="00011592">
      <w:pPr>
        <w:pStyle w:val="BodyText"/>
      </w:pPr>
      <w:r w:rsidRPr="003A6415">
        <w:t>For each firm and year, the PC estimates nominal investment as follows:</w:t>
      </w:r>
    </w:p>
    <w:p w14:paraId="5E8B21DC" w14:textId="6D6D0555" w:rsidR="00BC1539" w:rsidRPr="003A6415" w:rsidRDefault="00BC1539" w:rsidP="0096511E">
      <w:pPr>
        <w:pStyle w:val="ListBullet"/>
      </w:pPr>
      <w:r w:rsidRPr="003A6415">
        <w:t>A non</w:t>
      </w:r>
      <w:r w:rsidR="00541146">
        <w:noBreakHyphen/>
      </w:r>
      <w:r w:rsidRPr="003A6415">
        <w:t xml:space="preserve">zero BAS capital acquisitions amount is used where available. </w:t>
      </w:r>
    </w:p>
    <w:p w14:paraId="1A9ECFAA" w14:textId="5BC21997" w:rsidR="00BC1539" w:rsidRPr="003A6415" w:rsidRDefault="00BC1539" w:rsidP="0096511E">
      <w:pPr>
        <w:pStyle w:val="ListBullet"/>
      </w:pPr>
      <w:r w:rsidRPr="003A6415">
        <w:t>Otherwise, the PC uses a BIT</w:t>
      </w:r>
      <w:r w:rsidR="00541146">
        <w:noBreakHyphen/>
      </w:r>
      <w:r w:rsidRPr="003A6415">
        <w:t xml:space="preserve">based proxy, calculated as the sum of tangible and intangible depreciating assets first deducted under item 9. </w:t>
      </w:r>
    </w:p>
    <w:p w14:paraId="59915EF5" w14:textId="77777777" w:rsidR="00BC1539" w:rsidRDefault="00BC1539" w:rsidP="0096511E">
      <w:pPr>
        <w:pStyle w:val="ListBullet"/>
      </w:pPr>
      <w:r w:rsidRPr="003A6415">
        <w:t>Where neither source provides an investment estimate, the BAS observation is retained as either zero or missing.</w:t>
      </w:r>
      <w:r>
        <w:t xml:space="preserve"> </w:t>
      </w:r>
    </w:p>
    <w:p w14:paraId="38F4D1AB" w14:textId="77777777" w:rsidR="00BC1539" w:rsidRPr="00BE178F" w:rsidRDefault="00BC1539" w:rsidP="00011592">
      <w:pPr>
        <w:pStyle w:val="BodyText"/>
      </w:pPr>
      <w:r>
        <w:t xml:space="preserve">The resulting nominal investment measure is called </w:t>
      </w:r>
      <w:proofErr w:type="spellStart"/>
      <w:r w:rsidRPr="003E7C84">
        <w:t>capex_inferred</w:t>
      </w:r>
      <w:proofErr w:type="spellEnd"/>
      <w:r>
        <w:t>. It is converted into real investment using:</w:t>
      </w:r>
    </w:p>
    <w:p w14:paraId="231C5FD8" w14:textId="77777777" w:rsidR="00BC1539" w:rsidRPr="00943CAF" w:rsidRDefault="00BC1539" w:rsidP="00011592">
      <w:pPr>
        <w:pStyle w:val="BodyText"/>
        <w:rPr>
          <w:rFonts w:eastAsiaTheme="minorEastAsia"/>
        </w:rPr>
      </w:pPr>
      <m:oMathPara>
        <m:oMath>
          <m:r>
            <w:rPr>
              <w:rFonts w:ascii="Cambria Math" w:hAnsi="Cambria Math"/>
            </w:rPr>
            <m:t>in</m:t>
          </m:r>
          <m:sSub>
            <m:sSubPr>
              <m:ctrlPr>
                <w:rPr>
                  <w:rFonts w:ascii="Cambria Math" w:hAnsi="Cambria Math"/>
                </w:rPr>
              </m:ctrlPr>
            </m:sSubPr>
            <m:e>
              <m:r>
                <w:rPr>
                  <w:rFonts w:ascii="Cambria Math" w:hAnsi="Cambria Math"/>
                </w:rPr>
                <m:t>v</m:t>
              </m:r>
            </m:e>
            <m:sub>
              <m:r>
                <w:rPr>
                  <w:rFonts w:ascii="Cambria Math" w:hAnsi="Cambria Math"/>
                </w:rPr>
                <m:t>t</m:t>
              </m:r>
            </m:sub>
          </m:sSub>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I</m:t>
                  </m:r>
                </m:e>
                <m:sub>
                  <m:r>
                    <w:rPr>
                      <w:rFonts w:ascii="Cambria Math" w:hAnsi="Cambria Math"/>
                    </w:rPr>
                    <m:t>t</m:t>
                  </m:r>
                </m:sub>
                <m:sup>
                  <m:r>
                    <w:rPr>
                      <w:rFonts w:ascii="Cambria Math" w:hAnsi="Cambria Math"/>
                    </w:rPr>
                    <m:t>N</m:t>
                  </m:r>
                </m:sup>
              </m:sSubSup>
            </m:num>
            <m:den>
              <m:sSub>
                <m:sSubPr>
                  <m:ctrlPr>
                    <w:rPr>
                      <w:rFonts w:ascii="Cambria Math" w:hAnsi="Cambria Math"/>
                    </w:rPr>
                  </m:ctrlPr>
                </m:sSubPr>
                <m:e>
                  <m:r>
                    <w:rPr>
                      <w:rFonts w:ascii="Cambria Math" w:hAnsi="Cambria Math"/>
                    </w:rPr>
                    <m:t>P</m:t>
                  </m:r>
                </m:e>
                <m:sub>
                  <m:r>
                    <w:rPr>
                      <w:rFonts w:ascii="Cambria Math" w:hAnsi="Cambria Math"/>
                    </w:rPr>
                    <m:t>t</m:t>
                  </m:r>
                </m:sub>
              </m:sSub>
            </m:den>
          </m:f>
        </m:oMath>
      </m:oMathPara>
    </w:p>
    <w:p w14:paraId="1295A954" w14:textId="6D962F5C" w:rsidR="00BC1539" w:rsidRPr="00B01CB0" w:rsidRDefault="00BC1539" w:rsidP="00011592">
      <w:pPr>
        <w:pStyle w:val="BodyText"/>
      </w:pPr>
      <w:r w:rsidRPr="004B34CF">
        <w:rPr>
          <w:rFonts w:eastAsiaTheme="minorEastAsia"/>
        </w:rPr>
        <w:t xml:space="preserve">where </w:t>
      </w:r>
      <m:oMath>
        <m:r>
          <w:rPr>
            <w:rFonts w:ascii="Cambria Math" w:eastAsiaTheme="minorEastAsia" w:hAnsi="Cambria Math"/>
          </w:rPr>
          <m:t>in</m:t>
        </m:r>
        <m:sSub>
          <m:sSubPr>
            <m:ctrlPr>
              <w:rPr>
                <w:rFonts w:ascii="Cambria Math" w:eastAsiaTheme="minorEastAsia" w:hAnsi="Cambria Math"/>
              </w:rPr>
            </m:ctrlPr>
          </m:sSubPr>
          <m:e>
            <m:r>
              <w:rPr>
                <w:rFonts w:ascii="Cambria Math" w:eastAsiaTheme="minorEastAsia" w:hAnsi="Cambria Math"/>
              </w:rPr>
              <m:t>v</m:t>
            </m:r>
          </m:e>
          <m:sub>
            <m:r>
              <w:rPr>
                <w:rFonts w:ascii="Cambria Math" w:eastAsiaTheme="minorEastAsia" w:hAnsi="Cambria Math"/>
              </w:rPr>
              <m:t>t</m:t>
            </m:r>
          </m:sub>
        </m:sSub>
      </m:oMath>
      <w:r>
        <w:rPr>
          <w:rFonts w:eastAsiaTheme="minorEastAsia"/>
        </w:rPr>
        <w:t xml:space="preserve"> </w:t>
      </w:r>
      <w:r w:rsidRPr="004B34CF">
        <w:rPr>
          <w:rFonts w:eastAsiaTheme="minorEastAsia"/>
        </w:rPr>
        <w:t xml:space="preserve">is real investment in year t, </w:t>
      </w:r>
      <m:oMath>
        <m:sSubSup>
          <m:sSubSupPr>
            <m:ctrlPr>
              <w:rPr>
                <w:rFonts w:ascii="Cambria Math" w:eastAsiaTheme="minorEastAsia" w:hAnsi="Cambria Math"/>
              </w:rPr>
            </m:ctrlPr>
          </m:sSubSupPr>
          <m:e>
            <m:r>
              <w:rPr>
                <w:rFonts w:ascii="Cambria Math" w:eastAsiaTheme="minorEastAsia" w:hAnsi="Cambria Math"/>
              </w:rPr>
              <m:t>I</m:t>
            </m:r>
          </m:e>
          <m:sub>
            <m:r>
              <w:rPr>
                <w:rFonts w:ascii="Cambria Math" w:eastAsiaTheme="minorEastAsia" w:hAnsi="Cambria Math"/>
              </w:rPr>
              <m:t>t</m:t>
            </m:r>
          </m:sub>
          <m:sup>
            <m:r>
              <w:rPr>
                <w:rFonts w:ascii="Cambria Math" w:eastAsiaTheme="minorEastAsia" w:hAnsi="Cambria Math"/>
              </w:rPr>
              <m:t>N</m:t>
            </m:r>
          </m:sup>
        </m:sSubSup>
      </m:oMath>
      <w:r w:rsidRPr="004B34CF">
        <w:rPr>
          <w:rFonts w:eastAsiaTheme="minorEastAsia"/>
        </w:rPr>
        <w:t xml:space="preserve"> is nominal investment (capex_inferred), and </w:t>
      </w:r>
      <m:oMath>
        <m:sSub>
          <m:sSubPr>
            <m:ctrlPr>
              <w:rPr>
                <w:rFonts w:ascii="Cambria Math" w:eastAsiaTheme="minorEastAsia" w:hAnsi="Cambria Math"/>
              </w:rPr>
            </m:ctrlPr>
          </m:sSubPr>
          <m:e>
            <m:r>
              <w:rPr>
                <w:rFonts w:ascii="Cambria Math" w:eastAsiaTheme="minorEastAsia" w:hAnsi="Cambria Math"/>
              </w:rPr>
              <m:t>P</m:t>
            </m:r>
          </m:e>
          <m:sub>
            <m:r>
              <w:rPr>
                <w:rFonts w:ascii="Cambria Math" w:eastAsiaTheme="minorEastAsia" w:hAnsi="Cambria Math"/>
              </w:rPr>
              <m:t>t</m:t>
            </m:r>
          </m:sub>
        </m:sSub>
      </m:oMath>
      <w:r>
        <w:rPr>
          <w:rFonts w:eastAsiaTheme="minorEastAsia"/>
        </w:rPr>
        <w:t xml:space="preserve"> </w:t>
      </w:r>
      <w:r w:rsidRPr="004B34CF">
        <w:rPr>
          <w:rFonts w:eastAsiaTheme="minorEastAsia"/>
        </w:rPr>
        <w:t>is the manufacturing investment price deflator (</w:t>
      </w:r>
      <w:proofErr w:type="spellStart"/>
      <w:r w:rsidRPr="004B34CF">
        <w:rPr>
          <w:rFonts w:eastAsiaTheme="minorEastAsia"/>
        </w:rPr>
        <w:t>Capital_def</w:t>
      </w:r>
      <w:proofErr w:type="spellEnd"/>
      <w:r w:rsidRPr="004B34CF">
        <w:rPr>
          <w:rFonts w:eastAsiaTheme="minorEastAsia"/>
        </w:rPr>
        <w:t>). Real investment and capital stock are expressed in constant 2024</w:t>
      </w:r>
      <w:r w:rsidR="0090267A">
        <w:rPr>
          <w:rFonts w:eastAsiaTheme="minorEastAsia"/>
        </w:rPr>
        <w:t>–</w:t>
      </w:r>
      <w:r w:rsidRPr="004B34CF">
        <w:rPr>
          <w:rFonts w:eastAsiaTheme="minorEastAsia"/>
        </w:rPr>
        <w:t>25 prices.</w:t>
      </w:r>
    </w:p>
    <w:p w14:paraId="6F9584D3" w14:textId="3FB99C07" w:rsidR="00F96D31" w:rsidRPr="000B4720" w:rsidRDefault="000B4720" w:rsidP="000B4720">
      <w:pPr>
        <w:spacing w:before="0" w:after="160" w:line="259" w:lineRule="auto"/>
        <w:rPr>
          <w:b/>
          <w:bCs/>
        </w:rPr>
      </w:pPr>
      <w:r>
        <w:t>Table B.9, below, sets out the full range of administrative variables the PC has used to construct the investment series.</w:t>
      </w:r>
      <w:r w:rsidR="00F96D31" w:rsidRPr="000B4720">
        <w:rPr>
          <w:b/>
          <w:bCs/>
        </w:rPr>
        <w:br w:type="page"/>
      </w:r>
    </w:p>
    <w:p w14:paraId="128DB66A" w14:textId="408E0409" w:rsidR="00BC1539" w:rsidRPr="00ED39DB" w:rsidRDefault="00BC1539" w:rsidP="00022CB1">
      <w:pPr>
        <w:pStyle w:val="FigureTableHeading"/>
      </w:pPr>
      <w:r w:rsidRPr="00ED39DB">
        <w:lastRenderedPageBreak/>
        <w:t xml:space="preserve">Table </w:t>
      </w:r>
      <w:r>
        <w:t>B.</w:t>
      </w:r>
      <w:r w:rsidR="007D7365">
        <w:t>9</w:t>
      </w:r>
      <w:r>
        <w:t xml:space="preserve"> –</w:t>
      </w:r>
      <w:r w:rsidRPr="00ED39DB">
        <w:t xml:space="preserve"> Administrative variables used to construct the investment series</w:t>
      </w:r>
    </w:p>
    <w:tbl>
      <w:tblPr>
        <w:tblStyle w:val="ProductivityCommissionTable2-Dark"/>
        <w:tblW w:w="9639" w:type="dxa"/>
        <w:tblBorders>
          <w:insideH w:val="none" w:sz="0" w:space="0" w:color="auto"/>
        </w:tblBorders>
        <w:shd w:val="clear" w:color="000000" w:fill="auto"/>
        <w:tblLayout w:type="fixed"/>
        <w:tblCellMar>
          <w:top w:w="0" w:type="dxa"/>
          <w:left w:w="0" w:type="dxa"/>
          <w:bottom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2268"/>
        <w:gridCol w:w="2268"/>
        <w:gridCol w:w="5103"/>
      </w:tblGrid>
      <w:tr w:rsidR="00BC1539" w:rsidRPr="00207503" w14:paraId="065BA799" w14:textId="77777777" w:rsidTr="0096511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68" w:type="dxa"/>
            <w:tcBorders>
              <w:bottom w:val="single" w:sz="4" w:space="0" w:color="B3B3B3"/>
            </w:tcBorders>
            <w:shd w:val="clear" w:color="000000" w:fill="auto"/>
            <w:vAlign w:val="bottom"/>
          </w:tcPr>
          <w:p w14:paraId="619BAB24" w14:textId="77777777" w:rsidR="00BC1539" w:rsidRPr="00207503" w:rsidRDefault="00BC1539" w:rsidP="00207503">
            <w:pPr>
              <w:pStyle w:val="BodyText"/>
              <w:spacing w:before="45" w:after="45"/>
              <w:ind w:left="57" w:right="108"/>
              <w:rPr>
                <w:rFonts w:cs="Open Sans"/>
                <w:color w:val="1D4374"/>
                <w:sz w:val="18"/>
              </w:rPr>
            </w:pPr>
            <w:r w:rsidRPr="00207503">
              <w:rPr>
                <w:rFonts w:cs="Open Sans"/>
                <w:color w:val="1D4374"/>
                <w:sz w:val="18"/>
              </w:rPr>
              <w:t>Concept</w:t>
            </w:r>
          </w:p>
        </w:tc>
        <w:tc>
          <w:tcPr>
            <w:tcW w:w="2267" w:type="dxa"/>
            <w:tcBorders>
              <w:bottom w:val="single" w:sz="4" w:space="0" w:color="B3B3B3"/>
            </w:tcBorders>
            <w:shd w:val="clear" w:color="000000" w:fill="auto"/>
            <w:vAlign w:val="bottom"/>
          </w:tcPr>
          <w:p w14:paraId="2C016B7B" w14:textId="77777777" w:rsidR="00BC1539" w:rsidRPr="00207503" w:rsidRDefault="00BC1539" w:rsidP="00207503">
            <w:pPr>
              <w:pStyle w:val="BodyText"/>
              <w:spacing w:before="45" w:after="45"/>
              <w:ind w:left="57" w:right="108"/>
              <w:cnfStyle w:val="100000000000" w:firstRow="1" w:lastRow="0" w:firstColumn="0" w:lastColumn="0" w:oddVBand="0" w:evenVBand="0" w:oddHBand="0" w:evenHBand="0" w:firstRowFirstColumn="0" w:firstRowLastColumn="0" w:lastRowFirstColumn="0" w:lastRowLastColumn="0"/>
              <w:rPr>
                <w:rFonts w:cs="Open Sans"/>
                <w:color w:val="1D4374"/>
                <w:sz w:val="18"/>
              </w:rPr>
            </w:pPr>
            <w:r w:rsidRPr="00207503">
              <w:rPr>
                <w:rFonts w:cs="Open Sans"/>
                <w:color w:val="1D4374"/>
                <w:sz w:val="18"/>
              </w:rPr>
              <w:t>Variable</w:t>
            </w:r>
          </w:p>
        </w:tc>
        <w:tc>
          <w:tcPr>
            <w:tcW w:w="5104" w:type="dxa"/>
            <w:tcBorders>
              <w:bottom w:val="single" w:sz="4" w:space="0" w:color="B3B3B3"/>
            </w:tcBorders>
            <w:shd w:val="clear" w:color="000000" w:fill="auto"/>
            <w:vAlign w:val="bottom"/>
          </w:tcPr>
          <w:p w14:paraId="4D851AA2" w14:textId="77777777" w:rsidR="00BC1539" w:rsidRPr="00207503" w:rsidRDefault="00BC1539" w:rsidP="00207503">
            <w:pPr>
              <w:pStyle w:val="BodyText"/>
              <w:spacing w:before="45" w:after="45"/>
              <w:ind w:left="57" w:right="108"/>
              <w:cnfStyle w:val="100000000000" w:firstRow="1" w:lastRow="0" w:firstColumn="0" w:lastColumn="0" w:oddVBand="0" w:evenVBand="0" w:oddHBand="0" w:evenHBand="0" w:firstRowFirstColumn="0" w:firstRowLastColumn="0" w:lastRowFirstColumn="0" w:lastRowLastColumn="0"/>
              <w:rPr>
                <w:rFonts w:cs="Open Sans"/>
                <w:color w:val="1D4374"/>
                <w:sz w:val="18"/>
              </w:rPr>
            </w:pPr>
            <w:r w:rsidRPr="00207503">
              <w:rPr>
                <w:rFonts w:cs="Open Sans"/>
                <w:color w:val="1D4374"/>
                <w:sz w:val="18"/>
              </w:rPr>
              <w:t>Description and use</w:t>
            </w:r>
          </w:p>
        </w:tc>
      </w:tr>
      <w:tr w:rsidR="00BC1539" w:rsidRPr="00207503" w14:paraId="29070027" w14:textId="77777777" w:rsidTr="00965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7" w:type="dxa"/>
            <w:tcBorders>
              <w:bottom w:val="nil"/>
            </w:tcBorders>
            <w:shd w:val="clear" w:color="000000" w:fill="E6E6E6"/>
          </w:tcPr>
          <w:p w14:paraId="05395DE5" w14:textId="77777777" w:rsidR="00BC1539" w:rsidRPr="00207503" w:rsidRDefault="00BC1539" w:rsidP="00207503">
            <w:pPr>
              <w:pStyle w:val="BodyText"/>
              <w:spacing w:before="45" w:after="45"/>
              <w:ind w:left="57" w:right="108"/>
              <w:rPr>
                <w:rFonts w:cs="Open Sans"/>
                <w:color w:val="1D4374"/>
                <w:sz w:val="18"/>
              </w:rPr>
            </w:pPr>
            <w:r w:rsidRPr="00207503">
              <w:rPr>
                <w:rFonts w:cs="Open Sans"/>
                <w:color w:val="1D4374"/>
                <w:sz w:val="18"/>
              </w:rPr>
              <w:t>BAS capital acquisitions</w:t>
            </w:r>
          </w:p>
        </w:tc>
        <w:tc>
          <w:tcPr>
            <w:tcW w:w="2268" w:type="dxa"/>
            <w:tcBorders>
              <w:bottom w:val="nil"/>
            </w:tcBorders>
            <w:shd w:val="clear" w:color="000000" w:fill="E6E6E6"/>
          </w:tcPr>
          <w:p w14:paraId="04D3CE58" w14:textId="77777777" w:rsidR="00BC1539" w:rsidRPr="00207503" w:rsidRDefault="00BC1539" w:rsidP="00207503">
            <w:pPr>
              <w:pStyle w:val="BodyText"/>
              <w:spacing w:before="45" w:after="45"/>
              <w:ind w:left="57" w:right="108"/>
              <w:cnfStyle w:val="000000100000" w:firstRow="0" w:lastRow="0" w:firstColumn="0" w:lastColumn="0" w:oddVBand="0" w:evenVBand="0" w:oddHBand="1" w:evenHBand="0" w:firstRowFirstColumn="0" w:firstRowLastColumn="0" w:lastRowFirstColumn="0" w:lastRowLastColumn="0"/>
              <w:rPr>
                <w:rFonts w:cs="Open Sans"/>
                <w:color w:val="000000"/>
                <w:sz w:val="18"/>
              </w:rPr>
            </w:pPr>
            <w:proofErr w:type="spellStart"/>
            <w:r w:rsidRPr="00207503">
              <w:rPr>
                <w:rFonts w:cs="Open Sans"/>
                <w:color w:val="000000"/>
                <w:sz w:val="18"/>
              </w:rPr>
              <w:t>capex_bas</w:t>
            </w:r>
            <w:proofErr w:type="spellEnd"/>
          </w:p>
        </w:tc>
        <w:tc>
          <w:tcPr>
            <w:tcW w:w="5104" w:type="dxa"/>
            <w:tcBorders>
              <w:bottom w:val="nil"/>
            </w:tcBorders>
            <w:shd w:val="clear" w:color="000000" w:fill="E6E6E6"/>
          </w:tcPr>
          <w:p w14:paraId="4C9FC9A1" w14:textId="3D0F1A1D" w:rsidR="00BC1539" w:rsidRPr="00207503" w:rsidRDefault="00BC1539" w:rsidP="00207503">
            <w:pPr>
              <w:pStyle w:val="BodyText"/>
              <w:spacing w:before="45" w:after="45"/>
              <w:ind w:left="57" w:right="108"/>
              <w:cnfStyle w:val="000000100000" w:firstRow="0" w:lastRow="0" w:firstColumn="0" w:lastColumn="0" w:oddVBand="0" w:evenVBand="0" w:oddHBand="1" w:evenHBand="0" w:firstRowFirstColumn="0" w:firstRowLastColumn="0" w:lastRowFirstColumn="0" w:lastRowLastColumn="0"/>
              <w:rPr>
                <w:rFonts w:cs="Open Sans"/>
                <w:color w:val="000000"/>
                <w:sz w:val="18"/>
              </w:rPr>
            </w:pPr>
            <w:r w:rsidRPr="00207503">
              <w:rPr>
                <w:rFonts w:cs="Open Sans"/>
                <w:color w:val="000000"/>
                <w:sz w:val="18"/>
              </w:rPr>
              <w:t>Capital acquisitions reported at BAS item G10. Used as the preferred nominal investment measure where the reported amount is non</w:t>
            </w:r>
            <w:r w:rsidR="00541146" w:rsidRPr="00207503">
              <w:rPr>
                <w:rFonts w:cs="Open Sans"/>
                <w:color w:val="000000"/>
                <w:sz w:val="18"/>
              </w:rPr>
              <w:noBreakHyphen/>
            </w:r>
            <w:r w:rsidRPr="00207503">
              <w:rPr>
                <w:rFonts w:cs="Open Sans"/>
                <w:color w:val="000000"/>
                <w:sz w:val="18"/>
              </w:rPr>
              <w:t>zero.</w:t>
            </w:r>
          </w:p>
        </w:tc>
      </w:tr>
      <w:tr w:rsidR="00BC1539" w:rsidRPr="00207503" w14:paraId="2D2ECF56" w14:textId="77777777" w:rsidTr="0096511E">
        <w:tc>
          <w:tcPr>
            <w:cnfStyle w:val="001000000000" w:firstRow="0" w:lastRow="0" w:firstColumn="1" w:lastColumn="0" w:oddVBand="0" w:evenVBand="0" w:oddHBand="0" w:evenHBand="0" w:firstRowFirstColumn="0" w:firstRowLastColumn="0" w:lastRowFirstColumn="0" w:lastRowLastColumn="0"/>
            <w:tcW w:w="2267" w:type="dxa"/>
            <w:tcBorders>
              <w:top w:val="nil"/>
              <w:bottom w:val="nil"/>
            </w:tcBorders>
            <w:shd w:val="clear" w:color="000000" w:fill="auto"/>
          </w:tcPr>
          <w:p w14:paraId="0C9DA9C5" w14:textId="77777777" w:rsidR="00BC1539" w:rsidRPr="00207503" w:rsidRDefault="00BC1539" w:rsidP="00207503">
            <w:pPr>
              <w:pStyle w:val="BodyText"/>
              <w:spacing w:before="45" w:after="45"/>
              <w:ind w:left="57" w:right="108"/>
              <w:rPr>
                <w:rFonts w:cs="Open Sans"/>
                <w:color w:val="1D4374"/>
                <w:sz w:val="18"/>
              </w:rPr>
            </w:pPr>
            <w:r w:rsidRPr="00207503">
              <w:rPr>
                <w:rFonts w:cs="Open Sans"/>
                <w:color w:val="1D4374"/>
                <w:sz w:val="18"/>
              </w:rPr>
              <w:t>BIT investment proxy</w:t>
            </w:r>
          </w:p>
        </w:tc>
        <w:tc>
          <w:tcPr>
            <w:tcW w:w="2268" w:type="dxa"/>
            <w:tcBorders>
              <w:top w:val="nil"/>
              <w:bottom w:val="nil"/>
            </w:tcBorders>
            <w:shd w:val="clear" w:color="000000" w:fill="auto"/>
          </w:tcPr>
          <w:p w14:paraId="178696A1" w14:textId="77777777" w:rsidR="00BC1539" w:rsidRPr="00207503" w:rsidRDefault="00BC1539" w:rsidP="00207503">
            <w:pPr>
              <w:pStyle w:val="BodyText"/>
              <w:spacing w:before="45" w:after="45"/>
              <w:ind w:left="57" w:right="108"/>
              <w:cnfStyle w:val="000000000000" w:firstRow="0" w:lastRow="0" w:firstColumn="0" w:lastColumn="0" w:oddVBand="0" w:evenVBand="0" w:oddHBand="0" w:evenHBand="0" w:firstRowFirstColumn="0" w:firstRowLastColumn="0" w:lastRowFirstColumn="0" w:lastRowLastColumn="0"/>
              <w:rPr>
                <w:rFonts w:cs="Open Sans"/>
                <w:color w:val="000000"/>
                <w:sz w:val="18"/>
              </w:rPr>
            </w:pPr>
            <w:proofErr w:type="spellStart"/>
            <w:r w:rsidRPr="00207503">
              <w:rPr>
                <w:rFonts w:cs="Open Sans"/>
                <w:color w:val="000000"/>
                <w:sz w:val="18"/>
              </w:rPr>
              <w:t>capex_proxies</w:t>
            </w:r>
            <w:proofErr w:type="spellEnd"/>
          </w:p>
        </w:tc>
        <w:tc>
          <w:tcPr>
            <w:tcW w:w="5104" w:type="dxa"/>
            <w:tcBorders>
              <w:top w:val="nil"/>
              <w:bottom w:val="nil"/>
            </w:tcBorders>
            <w:shd w:val="clear" w:color="000000" w:fill="auto"/>
          </w:tcPr>
          <w:p w14:paraId="214D4A79" w14:textId="574B1AB9" w:rsidR="00BC1539" w:rsidRPr="00207503" w:rsidRDefault="00BC1539" w:rsidP="00207503">
            <w:pPr>
              <w:pStyle w:val="BodyText"/>
              <w:spacing w:before="45" w:after="45"/>
              <w:ind w:left="57" w:right="108"/>
              <w:cnfStyle w:val="000000000000" w:firstRow="0" w:lastRow="0" w:firstColumn="0" w:lastColumn="0" w:oddVBand="0" w:evenVBand="0" w:oddHBand="0" w:evenHBand="0" w:firstRowFirstColumn="0" w:firstRowLastColumn="0" w:lastRowFirstColumn="0" w:lastRowLastColumn="0"/>
              <w:rPr>
                <w:rFonts w:cs="Open Sans"/>
                <w:color w:val="000000"/>
                <w:sz w:val="18"/>
              </w:rPr>
            </w:pPr>
            <w:r w:rsidRPr="00207503">
              <w:rPr>
                <w:rFonts w:cs="Open Sans"/>
                <w:color w:val="000000"/>
                <w:sz w:val="18"/>
              </w:rPr>
              <w:t>Sum of tangible and intangible depreciating assets first deducted under BIT item 9 (see below). Used when a non</w:t>
            </w:r>
            <w:r w:rsidR="00541146" w:rsidRPr="00207503">
              <w:rPr>
                <w:rFonts w:cs="Open Sans"/>
                <w:color w:val="000000"/>
                <w:sz w:val="18"/>
              </w:rPr>
              <w:noBreakHyphen/>
            </w:r>
            <w:r w:rsidRPr="00207503">
              <w:rPr>
                <w:rFonts w:cs="Open Sans"/>
                <w:color w:val="000000"/>
                <w:sz w:val="18"/>
              </w:rPr>
              <w:t>zero BAS capital acquisitions amount is unavailable.</w:t>
            </w:r>
          </w:p>
        </w:tc>
      </w:tr>
      <w:tr w:rsidR="00BC1539" w:rsidRPr="00207503" w14:paraId="1F121808" w14:textId="77777777" w:rsidTr="00965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7" w:type="dxa"/>
            <w:tcBorders>
              <w:bottom w:val="nil"/>
            </w:tcBorders>
            <w:shd w:val="clear" w:color="000000" w:fill="E6E6E6"/>
          </w:tcPr>
          <w:p w14:paraId="77D4E5BD" w14:textId="77777777" w:rsidR="00BC1539" w:rsidRPr="00207503" w:rsidRDefault="00BC1539" w:rsidP="00207503">
            <w:pPr>
              <w:pStyle w:val="BodyText"/>
              <w:spacing w:before="45" w:after="45"/>
              <w:ind w:left="57" w:right="108"/>
              <w:rPr>
                <w:rFonts w:cs="Open Sans"/>
                <w:color w:val="1D4374"/>
                <w:sz w:val="18"/>
              </w:rPr>
            </w:pPr>
            <w:r w:rsidRPr="00207503">
              <w:rPr>
                <w:rFonts w:cs="Open Sans"/>
                <w:color w:val="1D4374"/>
                <w:sz w:val="18"/>
              </w:rPr>
              <w:t>Tangible investment component</w:t>
            </w:r>
          </w:p>
        </w:tc>
        <w:tc>
          <w:tcPr>
            <w:tcW w:w="2268" w:type="dxa"/>
            <w:tcBorders>
              <w:bottom w:val="nil"/>
            </w:tcBorders>
            <w:shd w:val="clear" w:color="000000" w:fill="E6E6E6"/>
          </w:tcPr>
          <w:p w14:paraId="3D7E7926" w14:textId="77777777" w:rsidR="00BC1539" w:rsidRPr="00207503" w:rsidRDefault="00BC1539" w:rsidP="00207503">
            <w:pPr>
              <w:pStyle w:val="BodyText"/>
              <w:spacing w:before="45" w:after="45"/>
              <w:ind w:left="57" w:right="108"/>
              <w:cnfStyle w:val="000000100000" w:firstRow="0" w:lastRow="0" w:firstColumn="0" w:lastColumn="0" w:oddVBand="0" w:evenVBand="0" w:oddHBand="1" w:evenHBand="0" w:firstRowFirstColumn="0" w:firstRowLastColumn="0" w:lastRowFirstColumn="0" w:lastRowLastColumn="0"/>
              <w:rPr>
                <w:rFonts w:cs="Open Sans"/>
                <w:color w:val="000000"/>
                <w:sz w:val="18"/>
              </w:rPr>
            </w:pPr>
            <w:proofErr w:type="spellStart"/>
            <w:r w:rsidRPr="00207503">
              <w:rPr>
                <w:rFonts w:cs="Open Sans"/>
                <w:color w:val="000000"/>
                <w:sz w:val="18"/>
              </w:rPr>
              <w:t>other_dep_assets</w:t>
            </w:r>
            <w:proofErr w:type="spellEnd"/>
            <w:r w:rsidRPr="00207503">
              <w:rPr>
                <w:rFonts w:cs="Open Sans"/>
                <w:color w:val="000000"/>
                <w:sz w:val="18"/>
              </w:rPr>
              <w:t xml:space="preserve"> (</w:t>
            </w:r>
            <w:proofErr w:type="spellStart"/>
            <w:r w:rsidRPr="00207503">
              <w:rPr>
                <w:rFonts w:cs="Open Sans"/>
                <w:color w:val="000000"/>
                <w:sz w:val="18"/>
              </w:rPr>
              <w:t>c_othdepas</w:t>
            </w:r>
            <w:proofErr w:type="spellEnd"/>
            <w:r w:rsidRPr="00207503">
              <w:rPr>
                <w:rFonts w:cs="Open Sans"/>
                <w:color w:val="000000"/>
                <w:sz w:val="18"/>
              </w:rPr>
              <w:t>)</w:t>
            </w:r>
          </w:p>
        </w:tc>
        <w:tc>
          <w:tcPr>
            <w:tcW w:w="5104" w:type="dxa"/>
            <w:tcBorders>
              <w:bottom w:val="nil"/>
            </w:tcBorders>
            <w:shd w:val="clear" w:color="000000" w:fill="E6E6E6"/>
          </w:tcPr>
          <w:p w14:paraId="37FA7974" w14:textId="77777777" w:rsidR="00BC1539" w:rsidRPr="00207503" w:rsidRDefault="00BC1539" w:rsidP="00207503">
            <w:pPr>
              <w:pStyle w:val="BodyText"/>
              <w:spacing w:before="45" w:after="45"/>
              <w:ind w:left="57" w:right="108"/>
              <w:cnfStyle w:val="000000100000" w:firstRow="0" w:lastRow="0" w:firstColumn="0" w:lastColumn="0" w:oddVBand="0" w:evenVBand="0" w:oddHBand="1" w:evenHBand="0" w:firstRowFirstColumn="0" w:firstRowLastColumn="0" w:lastRowFirstColumn="0" w:lastRowLastColumn="0"/>
              <w:rPr>
                <w:rFonts w:cs="Open Sans"/>
                <w:color w:val="000000"/>
                <w:sz w:val="18"/>
              </w:rPr>
            </w:pPr>
            <w:r w:rsidRPr="00207503">
              <w:rPr>
                <w:rFonts w:cs="Open Sans"/>
                <w:color w:val="000000"/>
                <w:sz w:val="18"/>
              </w:rPr>
              <w:t>Tangible depreciating assets first deducted under item 9 by firms using ordinary Division 40 depreciation.</w:t>
            </w:r>
          </w:p>
        </w:tc>
      </w:tr>
      <w:tr w:rsidR="00BC1539" w:rsidRPr="00207503" w14:paraId="558B22BD" w14:textId="77777777" w:rsidTr="0096511E">
        <w:tc>
          <w:tcPr>
            <w:cnfStyle w:val="001000000000" w:firstRow="0" w:lastRow="0" w:firstColumn="1" w:lastColumn="0" w:oddVBand="0" w:evenVBand="0" w:oddHBand="0" w:evenHBand="0" w:firstRowFirstColumn="0" w:firstRowLastColumn="0" w:lastRowFirstColumn="0" w:lastRowLastColumn="0"/>
            <w:tcW w:w="2267" w:type="dxa"/>
            <w:tcBorders>
              <w:top w:val="nil"/>
              <w:bottom w:val="nil"/>
            </w:tcBorders>
            <w:shd w:val="clear" w:color="000000" w:fill="auto"/>
          </w:tcPr>
          <w:p w14:paraId="1430A9ED" w14:textId="77777777" w:rsidR="00BC1539" w:rsidRPr="00207503" w:rsidRDefault="00BC1539" w:rsidP="00207503">
            <w:pPr>
              <w:pStyle w:val="BodyText"/>
              <w:spacing w:before="45" w:after="45"/>
              <w:ind w:left="57" w:right="108"/>
              <w:rPr>
                <w:rFonts w:cs="Open Sans"/>
                <w:color w:val="1D4374"/>
                <w:sz w:val="18"/>
              </w:rPr>
            </w:pPr>
            <w:r w:rsidRPr="00207503">
              <w:rPr>
                <w:rFonts w:cs="Open Sans"/>
                <w:color w:val="1D4374"/>
                <w:sz w:val="18"/>
              </w:rPr>
              <w:t>Intangible investment component</w:t>
            </w:r>
          </w:p>
        </w:tc>
        <w:tc>
          <w:tcPr>
            <w:tcW w:w="2268" w:type="dxa"/>
            <w:tcBorders>
              <w:top w:val="nil"/>
              <w:bottom w:val="nil"/>
            </w:tcBorders>
            <w:shd w:val="clear" w:color="000000" w:fill="auto"/>
          </w:tcPr>
          <w:p w14:paraId="29F3935C" w14:textId="77777777" w:rsidR="00BC1539" w:rsidRPr="00207503" w:rsidRDefault="00BC1539" w:rsidP="00207503">
            <w:pPr>
              <w:pStyle w:val="BodyText"/>
              <w:spacing w:before="45" w:after="45"/>
              <w:ind w:left="57" w:right="108"/>
              <w:cnfStyle w:val="000000000000" w:firstRow="0" w:lastRow="0" w:firstColumn="0" w:lastColumn="0" w:oddVBand="0" w:evenVBand="0" w:oddHBand="0" w:evenHBand="0" w:firstRowFirstColumn="0" w:firstRowLastColumn="0" w:lastRowFirstColumn="0" w:lastRowLastColumn="0"/>
              <w:rPr>
                <w:rFonts w:cs="Open Sans"/>
                <w:color w:val="000000"/>
                <w:sz w:val="18"/>
                <w:lang w:val="fr-CA"/>
              </w:rPr>
            </w:pPr>
            <w:proofErr w:type="spellStart"/>
            <w:proofErr w:type="gramStart"/>
            <w:r w:rsidRPr="00207503">
              <w:rPr>
                <w:rFonts w:cs="Open Sans"/>
                <w:color w:val="000000"/>
                <w:sz w:val="18"/>
                <w:lang w:val="fr-CA"/>
              </w:rPr>
              <w:t>intangible</w:t>
            </w:r>
            <w:proofErr w:type="gramEnd"/>
            <w:r w:rsidRPr="00207503">
              <w:rPr>
                <w:rFonts w:cs="Open Sans"/>
                <w:color w:val="000000"/>
                <w:sz w:val="18"/>
                <w:lang w:val="fr-CA"/>
              </w:rPr>
              <w:t>_dep_assets</w:t>
            </w:r>
            <w:proofErr w:type="spellEnd"/>
            <w:r w:rsidRPr="00207503">
              <w:rPr>
                <w:rFonts w:cs="Open Sans"/>
                <w:color w:val="000000"/>
                <w:sz w:val="18"/>
                <w:lang w:val="fr-CA"/>
              </w:rPr>
              <w:t xml:space="preserve"> (</w:t>
            </w:r>
            <w:proofErr w:type="spellStart"/>
            <w:r w:rsidRPr="00207503">
              <w:rPr>
                <w:rFonts w:cs="Open Sans"/>
                <w:color w:val="000000"/>
                <w:sz w:val="18"/>
                <w:lang w:val="fr-CA"/>
              </w:rPr>
              <w:t>c_intdepas</w:t>
            </w:r>
            <w:proofErr w:type="spellEnd"/>
            <w:r w:rsidRPr="00207503">
              <w:rPr>
                <w:rFonts w:cs="Open Sans"/>
                <w:color w:val="000000"/>
                <w:sz w:val="18"/>
                <w:lang w:val="fr-CA"/>
              </w:rPr>
              <w:t>)</w:t>
            </w:r>
          </w:p>
        </w:tc>
        <w:tc>
          <w:tcPr>
            <w:tcW w:w="5104" w:type="dxa"/>
            <w:tcBorders>
              <w:top w:val="nil"/>
              <w:bottom w:val="nil"/>
            </w:tcBorders>
            <w:shd w:val="clear" w:color="000000" w:fill="auto"/>
          </w:tcPr>
          <w:p w14:paraId="0068F4FC" w14:textId="77777777" w:rsidR="00BC1539" w:rsidRPr="00207503" w:rsidRDefault="00BC1539" w:rsidP="00207503">
            <w:pPr>
              <w:pStyle w:val="BodyText"/>
              <w:spacing w:before="45" w:after="45"/>
              <w:ind w:left="57" w:right="108"/>
              <w:cnfStyle w:val="000000000000" w:firstRow="0" w:lastRow="0" w:firstColumn="0" w:lastColumn="0" w:oddVBand="0" w:evenVBand="0" w:oddHBand="0" w:evenHBand="0" w:firstRowFirstColumn="0" w:firstRowLastColumn="0" w:lastRowFirstColumn="0" w:lastRowLastColumn="0"/>
              <w:rPr>
                <w:rFonts w:cs="Open Sans"/>
                <w:color w:val="000000"/>
                <w:sz w:val="18"/>
              </w:rPr>
            </w:pPr>
            <w:r w:rsidRPr="00207503">
              <w:rPr>
                <w:rFonts w:cs="Open Sans"/>
                <w:color w:val="000000"/>
                <w:sz w:val="18"/>
              </w:rPr>
              <w:t>Intangible depreciating assets first deducted under item 9 by firms using ordinary Division 40 depreciation.</w:t>
            </w:r>
          </w:p>
        </w:tc>
      </w:tr>
      <w:tr w:rsidR="00BC1539" w:rsidRPr="00207503" w14:paraId="420ADA9C" w14:textId="77777777" w:rsidTr="00965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7" w:type="dxa"/>
            <w:tcBorders>
              <w:bottom w:val="nil"/>
            </w:tcBorders>
            <w:shd w:val="clear" w:color="000000" w:fill="E6E6E6"/>
          </w:tcPr>
          <w:p w14:paraId="55C09988" w14:textId="77777777" w:rsidR="00BC1539" w:rsidRPr="00207503" w:rsidRDefault="00BC1539" w:rsidP="00207503">
            <w:pPr>
              <w:pStyle w:val="BodyText"/>
              <w:spacing w:before="45" w:after="45"/>
              <w:ind w:left="57" w:right="108"/>
              <w:rPr>
                <w:rFonts w:cs="Open Sans"/>
                <w:color w:val="1D4374"/>
                <w:sz w:val="18"/>
              </w:rPr>
            </w:pPr>
            <w:r w:rsidRPr="00207503">
              <w:rPr>
                <w:rFonts w:cs="Open Sans"/>
                <w:color w:val="1D4374"/>
                <w:sz w:val="18"/>
              </w:rPr>
              <w:t>Preferred nominal investment</w:t>
            </w:r>
          </w:p>
        </w:tc>
        <w:tc>
          <w:tcPr>
            <w:tcW w:w="2268" w:type="dxa"/>
            <w:tcBorders>
              <w:bottom w:val="nil"/>
            </w:tcBorders>
            <w:shd w:val="clear" w:color="000000" w:fill="E6E6E6"/>
          </w:tcPr>
          <w:p w14:paraId="58CEDBB5" w14:textId="77777777" w:rsidR="00BC1539" w:rsidRPr="00207503" w:rsidRDefault="00BC1539" w:rsidP="00207503">
            <w:pPr>
              <w:pStyle w:val="BodyText"/>
              <w:spacing w:before="45" w:after="45"/>
              <w:ind w:left="57" w:right="108"/>
              <w:cnfStyle w:val="000000100000" w:firstRow="0" w:lastRow="0" w:firstColumn="0" w:lastColumn="0" w:oddVBand="0" w:evenVBand="0" w:oddHBand="1" w:evenHBand="0" w:firstRowFirstColumn="0" w:firstRowLastColumn="0" w:lastRowFirstColumn="0" w:lastRowLastColumn="0"/>
              <w:rPr>
                <w:rFonts w:cs="Open Sans"/>
                <w:color w:val="000000"/>
                <w:sz w:val="18"/>
              </w:rPr>
            </w:pPr>
            <w:proofErr w:type="spellStart"/>
            <w:r w:rsidRPr="00207503">
              <w:rPr>
                <w:rFonts w:cs="Open Sans"/>
                <w:color w:val="000000"/>
                <w:sz w:val="18"/>
              </w:rPr>
              <w:t>capex_inferred</w:t>
            </w:r>
            <w:proofErr w:type="spellEnd"/>
          </w:p>
        </w:tc>
        <w:tc>
          <w:tcPr>
            <w:tcW w:w="5104" w:type="dxa"/>
            <w:tcBorders>
              <w:bottom w:val="nil"/>
            </w:tcBorders>
            <w:shd w:val="clear" w:color="000000" w:fill="E6E6E6"/>
          </w:tcPr>
          <w:p w14:paraId="12CF9EC6" w14:textId="77777777" w:rsidR="00BC1539" w:rsidRPr="00207503" w:rsidRDefault="00BC1539" w:rsidP="00207503">
            <w:pPr>
              <w:pStyle w:val="BodyText"/>
              <w:spacing w:before="45" w:after="45"/>
              <w:ind w:left="57" w:right="108"/>
              <w:cnfStyle w:val="000000100000" w:firstRow="0" w:lastRow="0" w:firstColumn="0" w:lastColumn="0" w:oddVBand="0" w:evenVBand="0" w:oddHBand="1" w:evenHBand="0" w:firstRowFirstColumn="0" w:firstRowLastColumn="0" w:lastRowFirstColumn="0" w:lastRowLastColumn="0"/>
              <w:rPr>
                <w:rFonts w:cs="Open Sans"/>
                <w:color w:val="000000"/>
                <w:sz w:val="18"/>
              </w:rPr>
            </w:pPr>
            <w:r w:rsidRPr="00207503">
              <w:rPr>
                <w:rFonts w:cs="Open Sans"/>
                <w:color w:val="000000"/>
                <w:sz w:val="18"/>
              </w:rPr>
              <w:t xml:space="preserve">Combines </w:t>
            </w:r>
            <w:proofErr w:type="spellStart"/>
            <w:r w:rsidRPr="00207503">
              <w:rPr>
                <w:rFonts w:cs="Open Sans"/>
                <w:color w:val="000000"/>
                <w:sz w:val="18"/>
              </w:rPr>
              <w:t>capex_bas</w:t>
            </w:r>
            <w:proofErr w:type="spellEnd"/>
            <w:r w:rsidRPr="00207503">
              <w:rPr>
                <w:rFonts w:cs="Open Sans"/>
                <w:color w:val="000000"/>
                <w:sz w:val="18"/>
              </w:rPr>
              <w:t xml:space="preserve"> and </w:t>
            </w:r>
            <w:proofErr w:type="spellStart"/>
            <w:r w:rsidRPr="00207503">
              <w:rPr>
                <w:rFonts w:cs="Open Sans"/>
                <w:color w:val="000000"/>
                <w:sz w:val="18"/>
              </w:rPr>
              <w:t>capex_proxies</w:t>
            </w:r>
            <w:proofErr w:type="spellEnd"/>
            <w:r w:rsidRPr="00207503">
              <w:rPr>
                <w:rFonts w:cs="Open Sans"/>
                <w:color w:val="000000"/>
                <w:sz w:val="18"/>
              </w:rPr>
              <w:t xml:space="preserve"> according to the hierarchy above.</w:t>
            </w:r>
          </w:p>
        </w:tc>
      </w:tr>
      <w:tr w:rsidR="00BC1539" w:rsidRPr="00207503" w14:paraId="555A6607" w14:textId="77777777" w:rsidTr="0096511E">
        <w:tc>
          <w:tcPr>
            <w:cnfStyle w:val="001000000000" w:firstRow="0" w:lastRow="0" w:firstColumn="1" w:lastColumn="0" w:oddVBand="0" w:evenVBand="0" w:oddHBand="0" w:evenHBand="0" w:firstRowFirstColumn="0" w:firstRowLastColumn="0" w:lastRowFirstColumn="0" w:lastRowLastColumn="0"/>
            <w:tcW w:w="2267" w:type="dxa"/>
            <w:tcBorders>
              <w:top w:val="nil"/>
              <w:bottom w:val="nil"/>
            </w:tcBorders>
            <w:shd w:val="clear" w:color="000000" w:fill="auto"/>
          </w:tcPr>
          <w:p w14:paraId="357173DB" w14:textId="77777777" w:rsidR="00BC1539" w:rsidRPr="00207503" w:rsidRDefault="00BC1539" w:rsidP="00207503">
            <w:pPr>
              <w:pStyle w:val="BodyText"/>
              <w:spacing w:before="45" w:after="45"/>
              <w:ind w:left="57" w:right="108"/>
              <w:rPr>
                <w:rFonts w:cs="Open Sans"/>
                <w:color w:val="1D4374"/>
                <w:sz w:val="18"/>
              </w:rPr>
            </w:pPr>
            <w:r w:rsidRPr="00207503">
              <w:rPr>
                <w:rFonts w:cs="Open Sans"/>
                <w:color w:val="1D4374"/>
                <w:sz w:val="18"/>
              </w:rPr>
              <w:t>Investment price deflator</w:t>
            </w:r>
          </w:p>
        </w:tc>
        <w:tc>
          <w:tcPr>
            <w:tcW w:w="2268" w:type="dxa"/>
            <w:tcBorders>
              <w:top w:val="nil"/>
              <w:bottom w:val="nil"/>
            </w:tcBorders>
            <w:shd w:val="clear" w:color="000000" w:fill="auto"/>
          </w:tcPr>
          <w:p w14:paraId="5C766296" w14:textId="77777777" w:rsidR="00BC1539" w:rsidRPr="00207503" w:rsidRDefault="00BC1539" w:rsidP="00207503">
            <w:pPr>
              <w:pStyle w:val="BodyText"/>
              <w:spacing w:before="45" w:after="45"/>
              <w:ind w:left="57" w:right="108"/>
              <w:cnfStyle w:val="000000000000" w:firstRow="0" w:lastRow="0" w:firstColumn="0" w:lastColumn="0" w:oddVBand="0" w:evenVBand="0" w:oddHBand="0" w:evenHBand="0" w:firstRowFirstColumn="0" w:firstRowLastColumn="0" w:lastRowFirstColumn="0" w:lastRowLastColumn="0"/>
              <w:rPr>
                <w:rFonts w:cs="Open Sans"/>
                <w:color w:val="000000"/>
                <w:sz w:val="18"/>
              </w:rPr>
            </w:pPr>
            <w:proofErr w:type="spellStart"/>
            <w:r w:rsidRPr="00207503">
              <w:rPr>
                <w:rFonts w:cs="Open Sans"/>
                <w:color w:val="000000"/>
                <w:sz w:val="18"/>
              </w:rPr>
              <w:t>Capital_def</w:t>
            </w:r>
            <w:proofErr w:type="spellEnd"/>
          </w:p>
        </w:tc>
        <w:tc>
          <w:tcPr>
            <w:tcW w:w="5104" w:type="dxa"/>
            <w:tcBorders>
              <w:top w:val="nil"/>
              <w:bottom w:val="nil"/>
            </w:tcBorders>
            <w:shd w:val="clear" w:color="000000" w:fill="auto"/>
          </w:tcPr>
          <w:p w14:paraId="44B10004" w14:textId="77777777" w:rsidR="00BC1539" w:rsidRPr="00207503" w:rsidRDefault="00BC1539" w:rsidP="00207503">
            <w:pPr>
              <w:pStyle w:val="BodyText"/>
              <w:spacing w:before="45" w:after="45"/>
              <w:ind w:left="57" w:right="108"/>
              <w:cnfStyle w:val="000000000000" w:firstRow="0" w:lastRow="0" w:firstColumn="0" w:lastColumn="0" w:oddVBand="0" w:evenVBand="0" w:oddHBand="0" w:evenHBand="0" w:firstRowFirstColumn="0" w:firstRowLastColumn="0" w:lastRowFirstColumn="0" w:lastRowLastColumn="0"/>
              <w:rPr>
                <w:rFonts w:cs="Open Sans"/>
                <w:color w:val="000000"/>
                <w:sz w:val="18"/>
              </w:rPr>
            </w:pPr>
            <w:r w:rsidRPr="00207503">
              <w:rPr>
                <w:rFonts w:cs="Open Sans"/>
                <w:color w:val="000000"/>
                <w:sz w:val="18"/>
              </w:rPr>
              <w:t>Manufacturing GFCF implicit price deflator, derived from ABS cat. 5204.0.</w:t>
            </w:r>
          </w:p>
        </w:tc>
      </w:tr>
      <w:tr w:rsidR="00BC1539" w:rsidRPr="00207503" w14:paraId="353AB39E" w14:textId="77777777" w:rsidTr="00965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7" w:type="dxa"/>
            <w:tcBorders>
              <w:bottom w:val="single" w:sz="4" w:space="0" w:color="B3B3B3"/>
            </w:tcBorders>
            <w:shd w:val="clear" w:color="000000" w:fill="E6E6E6"/>
          </w:tcPr>
          <w:p w14:paraId="08090CD0" w14:textId="77777777" w:rsidR="00BC1539" w:rsidRPr="00207503" w:rsidRDefault="00BC1539" w:rsidP="00207503">
            <w:pPr>
              <w:pStyle w:val="BodyText"/>
              <w:spacing w:before="45" w:after="45"/>
              <w:ind w:left="57" w:right="108"/>
              <w:rPr>
                <w:rFonts w:cs="Open Sans"/>
                <w:color w:val="1D4374"/>
                <w:sz w:val="18"/>
              </w:rPr>
            </w:pPr>
            <w:r w:rsidRPr="00207503">
              <w:rPr>
                <w:rFonts w:cs="Open Sans"/>
                <w:color w:val="1D4374"/>
                <w:sz w:val="18"/>
              </w:rPr>
              <w:t>Real investment</w:t>
            </w:r>
          </w:p>
        </w:tc>
        <w:tc>
          <w:tcPr>
            <w:tcW w:w="2268" w:type="dxa"/>
            <w:tcBorders>
              <w:bottom w:val="single" w:sz="4" w:space="0" w:color="B3B3B3"/>
            </w:tcBorders>
            <w:shd w:val="clear" w:color="000000" w:fill="E6E6E6"/>
          </w:tcPr>
          <w:p w14:paraId="5E3D3B1D" w14:textId="77777777" w:rsidR="00BC1539" w:rsidRPr="00207503" w:rsidRDefault="00BC1539" w:rsidP="00207503">
            <w:pPr>
              <w:pStyle w:val="BodyText"/>
              <w:spacing w:before="45" w:after="45"/>
              <w:ind w:left="57" w:right="108"/>
              <w:cnfStyle w:val="000000100000" w:firstRow="0" w:lastRow="0" w:firstColumn="0" w:lastColumn="0" w:oddVBand="0" w:evenVBand="0" w:oddHBand="1" w:evenHBand="0" w:firstRowFirstColumn="0" w:firstRowLastColumn="0" w:lastRowFirstColumn="0" w:lastRowLastColumn="0"/>
              <w:rPr>
                <w:rFonts w:cs="Open Sans"/>
                <w:color w:val="000000"/>
                <w:sz w:val="18"/>
              </w:rPr>
            </w:pPr>
            <w:proofErr w:type="spellStart"/>
            <w:r w:rsidRPr="00207503">
              <w:rPr>
                <w:rFonts w:cs="Open Sans"/>
                <w:color w:val="000000"/>
                <w:sz w:val="18"/>
              </w:rPr>
              <w:t>inv_t</w:t>
            </w:r>
            <w:proofErr w:type="spellEnd"/>
          </w:p>
        </w:tc>
        <w:tc>
          <w:tcPr>
            <w:tcW w:w="5104" w:type="dxa"/>
            <w:tcBorders>
              <w:bottom w:val="single" w:sz="4" w:space="0" w:color="B3B3B3"/>
            </w:tcBorders>
            <w:shd w:val="clear" w:color="000000" w:fill="E6E6E6"/>
          </w:tcPr>
          <w:p w14:paraId="6E11A02C" w14:textId="77777777" w:rsidR="00BC1539" w:rsidRPr="00207503" w:rsidRDefault="00BC1539" w:rsidP="00207503">
            <w:pPr>
              <w:pStyle w:val="BodyText"/>
              <w:spacing w:before="45" w:after="45"/>
              <w:ind w:left="57" w:right="108"/>
              <w:cnfStyle w:val="000000100000" w:firstRow="0" w:lastRow="0" w:firstColumn="0" w:lastColumn="0" w:oddVBand="0" w:evenVBand="0" w:oddHBand="1" w:evenHBand="0" w:firstRowFirstColumn="0" w:firstRowLastColumn="0" w:lastRowFirstColumn="0" w:lastRowLastColumn="0"/>
              <w:rPr>
                <w:rFonts w:cs="Open Sans"/>
                <w:color w:val="000000"/>
                <w:sz w:val="18"/>
              </w:rPr>
            </w:pPr>
            <w:proofErr w:type="spellStart"/>
            <w:r w:rsidRPr="00207503">
              <w:rPr>
                <w:rFonts w:cs="Open Sans"/>
                <w:color w:val="000000"/>
                <w:sz w:val="18"/>
              </w:rPr>
              <w:t>capex_inferred</w:t>
            </w:r>
            <w:proofErr w:type="spellEnd"/>
            <w:r w:rsidRPr="00207503">
              <w:rPr>
                <w:rFonts w:cs="Open Sans"/>
                <w:color w:val="000000"/>
                <w:sz w:val="18"/>
              </w:rPr>
              <w:t xml:space="preserve"> divided by </w:t>
            </w:r>
            <w:proofErr w:type="spellStart"/>
            <w:r w:rsidRPr="00207503">
              <w:rPr>
                <w:rFonts w:cs="Open Sans"/>
                <w:color w:val="000000"/>
                <w:sz w:val="18"/>
              </w:rPr>
              <w:t>Capital_def</w:t>
            </w:r>
            <w:proofErr w:type="spellEnd"/>
            <w:r w:rsidRPr="00207503">
              <w:rPr>
                <w:rFonts w:cs="Open Sans"/>
                <w:color w:val="000000"/>
                <w:sz w:val="18"/>
              </w:rPr>
              <w:t>. This is the investment flow used in the PIM.</w:t>
            </w:r>
          </w:p>
        </w:tc>
      </w:tr>
    </w:tbl>
    <w:p w14:paraId="28098326" w14:textId="77777777" w:rsidR="00BC1539" w:rsidRDefault="00BC1539" w:rsidP="00011592">
      <w:pPr>
        <w:pStyle w:val="BodyText"/>
      </w:pPr>
    </w:p>
    <w:p w14:paraId="0FF91EFA" w14:textId="77777777" w:rsidR="00BC1539" w:rsidRDefault="00BC1539" w:rsidP="00011592">
      <w:pPr>
        <w:pStyle w:val="Heading5"/>
      </w:pPr>
      <w:r w:rsidRPr="00144C6E">
        <w:t>Investment under simplified depreciation</w:t>
      </w:r>
    </w:p>
    <w:p w14:paraId="63260BF3" w14:textId="77777777" w:rsidR="00BC1539" w:rsidRDefault="00BC1539" w:rsidP="00011592">
      <w:pPr>
        <w:pStyle w:val="BodyText"/>
      </w:pPr>
      <w:r>
        <w:t xml:space="preserve">The BIT proxy captures only item 9 expenditure reported by firms using ordinary Division 40 depreciation. Small business entities using simplified depreciation instead report relevant expenditure through item 10. These item 10 amounts are not currently included in </w:t>
      </w:r>
      <w:proofErr w:type="spellStart"/>
      <w:r>
        <w:t>capex_proxies</w:t>
      </w:r>
      <w:proofErr w:type="spellEnd"/>
      <w:r>
        <w:t>.</w:t>
      </w:r>
    </w:p>
    <w:p w14:paraId="45A54CC8" w14:textId="77777777" w:rsidR="00BC1539" w:rsidRDefault="00BC1539" w:rsidP="00011592">
      <w:pPr>
        <w:pStyle w:val="BodyText"/>
      </w:pPr>
      <w:r>
        <w:t>As eligibility for simplified depreciation expanded from 2016–17, an increasing share of investment was able to be reported outside the fields used by the PC.</w:t>
      </w:r>
      <w:r w:rsidRPr="00054FC0">
        <w:rPr>
          <w:rStyle w:val="FootnoteReference"/>
        </w:rPr>
        <w:t xml:space="preserve"> </w:t>
      </w:r>
      <w:r>
        <w:rPr>
          <w:rStyle w:val="FootnoteReference"/>
        </w:rPr>
        <w:footnoteReference w:id="49"/>
      </w:r>
      <w:r>
        <w:t xml:space="preserve"> Investment is therefore likely to be understated for affected small business entities, with the potential understatement increasing from 2016–17. The relevant item 10 fields become available in BLADE from 2018–19 for individuals, partnerships and trusts, and from 2019–20 for </w:t>
      </w:r>
      <w:proofErr w:type="gramStart"/>
      <w:r>
        <w:t>companies, but</w:t>
      </w:r>
      <w:proofErr w:type="gramEnd"/>
      <w:r>
        <w:t xml:space="preserve"> have not yet been incorporated into the estimates.</w:t>
      </w:r>
    </w:p>
    <w:p w14:paraId="717F76E2" w14:textId="77777777" w:rsidR="00BC1539" w:rsidRDefault="00BC1539" w:rsidP="00011592">
      <w:pPr>
        <w:pStyle w:val="Heading4"/>
      </w:pPr>
      <w:r>
        <w:t>C</w:t>
      </w:r>
      <w:r w:rsidRPr="00D565AD">
        <w:t xml:space="preserve">apital </w:t>
      </w:r>
      <w:r>
        <w:t>S</w:t>
      </w:r>
      <w:r w:rsidRPr="00D565AD">
        <w:t>tock</w:t>
      </w:r>
    </w:p>
    <w:p w14:paraId="4200C153" w14:textId="77777777" w:rsidR="00BC1539" w:rsidRDefault="00BC1539" w:rsidP="00011592">
      <w:pPr>
        <w:pStyle w:val="Heading5"/>
      </w:pPr>
      <w:r w:rsidRPr="00271EDC">
        <w:t>How the PIM works</w:t>
      </w:r>
    </w:p>
    <w:p w14:paraId="3205657E" w14:textId="750A1831" w:rsidR="00BC1539" w:rsidRPr="00385857" w:rsidRDefault="00BC1539" w:rsidP="00011592">
      <w:pPr>
        <w:pStyle w:val="BodyText"/>
      </w:pPr>
      <w:r w:rsidRPr="00502C52">
        <w:t>The perpetual inventory method (PIM) is a standard method for estimating the stock of fixed assets by tracking investment and depreciation over time</w:t>
      </w:r>
      <w:r>
        <w:t xml:space="preserve"> </w:t>
      </w:r>
      <w:r w:rsidRPr="00733DEE">
        <w:rPr>
          <w:rFonts w:cs="Open Sans"/>
        </w:rPr>
        <w:t>(OECD 2009, p. 88)</w:t>
      </w:r>
      <w:r w:rsidRPr="00502C52">
        <w:t>.</w:t>
      </w:r>
      <w:r>
        <w:t xml:space="preserve"> </w:t>
      </w:r>
      <w:r w:rsidRPr="00385857">
        <w:t>The PIM treats capital stock as the accumulated value of past investment that remains in use. Each year, some existing capital is assumed to wear out or become obsolete through depreciation, while new investment adds to the stock.</w:t>
      </w:r>
    </w:p>
    <w:p w14:paraId="14137289" w14:textId="77777777" w:rsidR="00BC1539" w:rsidRPr="00385857" w:rsidRDefault="00BC1539" w:rsidP="0093275B">
      <w:pPr>
        <w:pStyle w:val="BodyText"/>
        <w:keepNext/>
      </w:pPr>
      <w:r w:rsidRPr="00385857">
        <w:lastRenderedPageBreak/>
        <w:t>For each firm, capital stock is updated using:</w:t>
      </w:r>
    </w:p>
    <w:p w14:paraId="491DAA7D" w14:textId="77777777" w:rsidR="00BC1539" w:rsidRPr="006D7027" w:rsidRDefault="00000000" w:rsidP="00011592">
      <w:pPr>
        <w:pStyle w:val="BodyText"/>
        <w:rPr>
          <w:rFonts w:eastAsiaTheme="minorEastAsia"/>
        </w:rPr>
      </w:pPr>
      <m:oMathPara>
        <m:oMath>
          <m:sSub>
            <m:sSubPr>
              <m:ctrlPr>
                <w:rPr>
                  <w:rFonts w:ascii="Cambria Math" w:hAnsi="Cambria Math"/>
                </w:rPr>
              </m:ctrlPr>
            </m:sSubPr>
            <m:e>
              <m:r>
                <w:rPr>
                  <w:rFonts w:ascii="Cambria Math" w:hAnsi="Cambria Math"/>
                </w:rPr>
                <m:t>k</m:t>
              </m:r>
            </m:e>
            <m:sub>
              <m:r>
                <w:rPr>
                  <w:rFonts w:ascii="Cambria Math" w:hAnsi="Cambria Math"/>
                </w:rPr>
                <m:t>t</m:t>
              </m:r>
            </m:sub>
          </m:sSub>
          <m:r>
            <w:rPr>
              <w:rFonts w:ascii="Cambria Math" w:hAnsi="Cambria Math"/>
            </w:rPr>
            <m:t>=</m:t>
          </m:r>
          <m:sSup>
            <m:sSupPr>
              <m:ctrlPr>
                <w:rPr>
                  <w:rFonts w:ascii="Cambria Math" w:hAnsi="Cambria Math"/>
                </w:rPr>
              </m:ctrlPr>
            </m:sSupPr>
            <m:e>
              <m:d>
                <m:dPr>
                  <m:ctrlPr>
                    <w:rPr>
                      <w:rFonts w:ascii="Cambria Math" w:hAnsi="Cambria Math"/>
                    </w:rPr>
                  </m:ctrlPr>
                </m:dPr>
                <m:e>
                  <m:r>
                    <w:rPr>
                      <w:rFonts w:ascii="Cambria Math" w:hAnsi="Cambria Math"/>
                    </w:rPr>
                    <m:t>1-</m:t>
                  </m:r>
                  <m:sSub>
                    <m:sSubPr>
                      <m:ctrlPr>
                        <w:rPr>
                          <w:rFonts w:ascii="Cambria Math" w:hAnsi="Cambria Math"/>
                        </w:rPr>
                      </m:ctrlPr>
                    </m:sSubPr>
                    <m:e>
                      <m:r>
                        <w:rPr>
                          <w:rFonts w:ascii="Cambria Math" w:hAnsi="Cambria Math"/>
                        </w:rPr>
                        <m:t>δ</m:t>
                      </m:r>
                    </m:e>
                    <m:sub>
                      <m:r>
                        <w:rPr>
                          <w:rFonts w:ascii="Cambria Math" w:hAnsi="Cambria Math"/>
                        </w:rPr>
                        <m:t>t</m:t>
                      </m:r>
                    </m:sub>
                  </m:sSub>
                </m:e>
              </m:d>
            </m:e>
            <m:sup>
              <m:sSub>
                <m:sSubPr>
                  <m:ctrlPr>
                    <w:rPr>
                      <w:rFonts w:ascii="Cambria Math" w:hAnsi="Cambria Math"/>
                    </w:rPr>
                  </m:ctrlPr>
                </m:sSubPr>
                <m:e>
                  <m:r>
                    <w:rPr>
                      <w:rFonts w:ascii="Cambria Math" w:hAnsi="Cambria Math"/>
                    </w:rPr>
                    <m:t>g</m:t>
                  </m:r>
                </m:e>
                <m:sub>
                  <m:r>
                    <w:rPr>
                      <w:rFonts w:ascii="Cambria Math" w:hAnsi="Cambria Math"/>
                    </w:rPr>
                    <m:t>t</m:t>
                  </m:r>
                </m:sub>
              </m:sSub>
            </m:sup>
          </m:sSup>
          <m:sSub>
            <m:sSubPr>
              <m:ctrlPr>
                <w:rPr>
                  <w:rFonts w:ascii="Cambria Math" w:hAnsi="Cambria Math"/>
                </w:rPr>
              </m:ctrlPr>
            </m:sSubPr>
            <m:e>
              <m:r>
                <w:rPr>
                  <w:rFonts w:ascii="Cambria Math" w:hAnsi="Cambria Math"/>
                </w:rPr>
                <m:t>k</m:t>
              </m:r>
            </m:e>
            <m:sub>
              <m:r>
                <w:rPr>
                  <w:rFonts w:ascii="Cambria Math" w:hAnsi="Cambria Math"/>
                </w:rPr>
                <m:t>t-</m:t>
              </m:r>
              <m:sSub>
                <m:sSubPr>
                  <m:ctrlPr>
                    <w:rPr>
                      <w:rFonts w:ascii="Cambria Math" w:hAnsi="Cambria Math"/>
                    </w:rPr>
                  </m:ctrlPr>
                </m:sSubPr>
                <m:e>
                  <m:r>
                    <w:rPr>
                      <w:rFonts w:ascii="Cambria Math" w:hAnsi="Cambria Math"/>
                    </w:rPr>
                    <m:t>g</m:t>
                  </m:r>
                </m:e>
                <m:sub>
                  <m:r>
                    <w:rPr>
                      <w:rFonts w:ascii="Cambria Math" w:hAnsi="Cambria Math"/>
                    </w:rPr>
                    <m:t>t</m:t>
                  </m:r>
                </m:sub>
              </m:sSub>
            </m:sub>
          </m:sSub>
          <m:r>
            <w:rPr>
              <w:rFonts w:ascii="Cambria Math" w:hAnsi="Cambria Math"/>
            </w:rPr>
            <m:t>+in</m:t>
          </m:r>
          <m:sSub>
            <m:sSubPr>
              <m:ctrlPr>
                <w:rPr>
                  <w:rFonts w:ascii="Cambria Math" w:hAnsi="Cambria Math"/>
                </w:rPr>
              </m:ctrlPr>
            </m:sSubPr>
            <m:e>
              <m:r>
                <w:rPr>
                  <w:rFonts w:ascii="Cambria Math" w:hAnsi="Cambria Math"/>
                </w:rPr>
                <m:t>v</m:t>
              </m:r>
            </m:e>
            <m:sub>
              <m:r>
                <w:rPr>
                  <w:rFonts w:ascii="Cambria Math" w:hAnsi="Cambria Math"/>
                </w:rPr>
                <m:t>t</m:t>
              </m:r>
            </m:sub>
          </m:sSub>
        </m:oMath>
      </m:oMathPara>
    </w:p>
    <w:p w14:paraId="12226A82" w14:textId="77777777" w:rsidR="00BC1539" w:rsidRDefault="00BC1539" w:rsidP="00011592">
      <w:pPr>
        <w:pStyle w:val="BodyText"/>
      </w:pPr>
      <w:r w:rsidRPr="009739EF">
        <w:t xml:space="preserve">where </w:t>
      </w:r>
      <m:oMath>
        <m:sSub>
          <m:sSubPr>
            <m:ctrlPr>
              <w:rPr>
                <w:rFonts w:ascii="Cambria Math" w:hAnsi="Cambria Math"/>
              </w:rPr>
            </m:ctrlPr>
          </m:sSubPr>
          <m:e>
            <m:r>
              <w:rPr>
                <w:rFonts w:ascii="Cambria Math" w:hAnsi="Cambria Math"/>
              </w:rPr>
              <m:t>k</m:t>
            </m:r>
          </m:e>
          <m:sub>
            <m:r>
              <w:rPr>
                <w:rFonts w:ascii="Cambria Math" w:hAnsi="Cambria Math"/>
              </w:rPr>
              <m:t>t</m:t>
            </m:r>
          </m:sub>
        </m:sSub>
      </m:oMath>
      <w:r w:rsidRPr="009739EF">
        <w:t xml:space="preserve"> is real capital stock in year t, </w:t>
      </w:r>
      <m:oMath>
        <m:sSub>
          <m:sSubPr>
            <m:ctrlPr>
              <w:rPr>
                <w:rFonts w:ascii="Cambria Math" w:hAnsi="Cambria Math"/>
              </w:rPr>
            </m:ctrlPr>
          </m:sSubPr>
          <m:e>
            <m:r>
              <w:rPr>
                <w:rFonts w:ascii="Cambria Math" w:hAnsi="Cambria Math"/>
              </w:rPr>
              <m:t>δ</m:t>
            </m:r>
          </m:e>
          <m:sub>
            <m:r>
              <w:rPr>
                <w:rFonts w:ascii="Cambria Math" w:hAnsi="Cambria Math"/>
              </w:rPr>
              <m:t>t</m:t>
            </m:r>
          </m:sub>
        </m:sSub>
      </m:oMath>
      <w:r w:rsidRPr="009739EF">
        <w:t xml:space="preserve"> is the economic depreciation rate,</w:t>
      </w:r>
      <w:r>
        <w:t xml:space="preserve"> </w:t>
      </w:r>
      <m:oMath>
        <m:sSub>
          <m:sSubPr>
            <m:ctrlPr>
              <w:rPr>
                <w:rFonts w:ascii="Cambria Math" w:hAnsi="Cambria Math"/>
              </w:rPr>
            </m:ctrlPr>
          </m:sSubPr>
          <m:e>
            <m:r>
              <w:rPr>
                <w:rFonts w:ascii="Cambria Math" w:hAnsi="Cambria Math"/>
              </w:rPr>
              <m:t>g</m:t>
            </m:r>
          </m:e>
          <m:sub>
            <m:r>
              <w:rPr>
                <w:rFonts w:ascii="Cambria Math" w:hAnsi="Cambria Math"/>
              </w:rPr>
              <m:t>t</m:t>
            </m:r>
          </m:sub>
        </m:sSub>
      </m:oMath>
      <w:r w:rsidRPr="0061052E">
        <w:t xml:space="preserve"> is the number of consecutive years with no observed investment</w:t>
      </w:r>
      <w:r>
        <w:t>,</w:t>
      </w:r>
      <w:r w:rsidRPr="009739EF">
        <w:t xml:space="preserve"> and </w:t>
      </w:r>
      <m:oMath>
        <m:r>
          <w:rPr>
            <w:rFonts w:ascii="Cambria Math" w:hAnsi="Cambria Math"/>
          </w:rPr>
          <m:t>in</m:t>
        </m:r>
        <m:sSub>
          <m:sSubPr>
            <m:ctrlPr>
              <w:rPr>
                <w:rFonts w:ascii="Cambria Math" w:hAnsi="Cambria Math"/>
              </w:rPr>
            </m:ctrlPr>
          </m:sSubPr>
          <m:e>
            <m:r>
              <w:rPr>
                <w:rFonts w:ascii="Cambria Math" w:hAnsi="Cambria Math"/>
              </w:rPr>
              <m:t>v</m:t>
            </m:r>
          </m:e>
          <m:sub>
            <m:r>
              <w:rPr>
                <w:rFonts w:ascii="Cambria Math" w:hAnsi="Cambria Math"/>
              </w:rPr>
              <m:t>t</m:t>
            </m:r>
          </m:sub>
        </m:sSub>
      </m:oMath>
      <w:r w:rsidRPr="009739EF">
        <w:t xml:space="preserve"> is real investment during the year.</w:t>
      </w:r>
      <w:r>
        <w:t xml:space="preserve"> </w:t>
      </w:r>
    </w:p>
    <w:p w14:paraId="4D5CC2AF" w14:textId="77777777" w:rsidR="00BC1539" w:rsidRDefault="00BC1539" w:rsidP="00011592">
      <w:pPr>
        <w:pStyle w:val="BodyText"/>
      </w:pPr>
      <w:r>
        <w:t>Put simply, capital stock in any given year is whatever capital remains in use from previous years plus new investment.</w:t>
      </w:r>
    </w:p>
    <w:p w14:paraId="7AA59C05" w14:textId="3B359223" w:rsidR="00BC1539" w:rsidRDefault="00BC1539" w:rsidP="00011592">
      <w:pPr>
        <w:pStyle w:val="BodyText"/>
      </w:pPr>
      <w:r w:rsidRPr="00DC0D4A">
        <w:rPr>
          <w:rFonts w:eastAsiaTheme="minorEastAsia"/>
        </w:rPr>
        <w:t>The PC uses a manufacturing</w:t>
      </w:r>
      <w:r w:rsidR="00541146">
        <w:rPr>
          <w:rFonts w:eastAsiaTheme="minorEastAsia"/>
        </w:rPr>
        <w:noBreakHyphen/>
      </w:r>
      <w:r w:rsidRPr="00DC0D4A">
        <w:rPr>
          <w:rFonts w:eastAsiaTheme="minorEastAsia"/>
        </w:rPr>
        <w:t>wide economic depreciation rate rather than firm</w:t>
      </w:r>
      <w:r w:rsidR="00541146">
        <w:rPr>
          <w:rFonts w:eastAsiaTheme="minorEastAsia"/>
        </w:rPr>
        <w:noBreakHyphen/>
      </w:r>
      <w:r w:rsidRPr="00DC0D4A">
        <w:rPr>
          <w:rFonts w:eastAsiaTheme="minorEastAsia"/>
        </w:rPr>
        <w:t>reported depreciation expenses</w:t>
      </w:r>
      <w:r>
        <w:rPr>
          <w:rFonts w:eastAsiaTheme="minorEastAsia"/>
        </w:rPr>
        <w:t xml:space="preserve"> and asset disposals</w:t>
      </w:r>
      <w:r>
        <w:t xml:space="preserve">. This is a departure from </w:t>
      </w:r>
      <w:r>
        <w:rPr>
          <w:rFonts w:eastAsiaTheme="minorEastAsia"/>
        </w:rPr>
        <w:t>as</w:t>
      </w:r>
      <w:r>
        <w:t xml:space="preserve"> </w:t>
      </w:r>
      <w:proofErr w:type="spellStart"/>
      <w:r w:rsidRPr="0031083A">
        <w:rPr>
          <w:rFonts w:eastAsiaTheme="minorEastAsia"/>
        </w:rPr>
        <w:t>Hambur</w:t>
      </w:r>
      <w:proofErr w:type="spellEnd"/>
      <w:r w:rsidRPr="0031083A">
        <w:rPr>
          <w:rFonts w:eastAsiaTheme="minorEastAsia"/>
        </w:rPr>
        <w:t xml:space="preserve"> and Andrews </w:t>
      </w:r>
      <w:r w:rsidRPr="002D47C5">
        <w:rPr>
          <w:rFonts w:cs="Open Sans"/>
        </w:rPr>
        <w:t>(2023</w:t>
      </w:r>
      <w:r w:rsidR="00F0023F">
        <w:rPr>
          <w:rFonts w:cs="Open Sans"/>
        </w:rPr>
        <w:t>a</w:t>
      </w:r>
      <w:r w:rsidRPr="002D47C5">
        <w:rPr>
          <w:rFonts w:cs="Open Sans"/>
        </w:rPr>
        <w:t>)</w:t>
      </w:r>
      <w:r>
        <w:t>, which uses:</w:t>
      </w:r>
    </w:p>
    <w:p w14:paraId="3E5F73F6" w14:textId="77777777" w:rsidR="00BC1539" w:rsidRPr="000F574B" w:rsidRDefault="00000000" w:rsidP="00011592">
      <w:pPr>
        <w:pStyle w:val="BodyText"/>
        <w:rPr>
          <w:rFonts w:eastAsiaTheme="minorEastAsia"/>
          <w:iCs/>
        </w:rPr>
      </w:pPr>
      <m:oMathPara>
        <m:oMath>
          <m:sSub>
            <m:sSubPr>
              <m:ctrlPr>
                <w:rPr>
                  <w:rFonts w:ascii="Cambria Math" w:hAnsi="Cambria Math"/>
                </w:rPr>
              </m:ctrlPr>
            </m:sSubPr>
            <m:e>
              <m:r>
                <w:rPr>
                  <w:rFonts w:ascii="Cambria Math" w:hAnsi="Cambria Math"/>
                </w:rPr>
                <m:t>k</m:t>
              </m:r>
            </m:e>
            <m:sub>
              <m:r>
                <w:rPr>
                  <w:rFonts w:ascii="Cambria Math" w:hAnsi="Cambria Math"/>
                </w:rPr>
                <m:t>t</m:t>
              </m:r>
            </m:sub>
          </m:sSub>
          <m: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t-1</m:t>
              </m:r>
            </m:sub>
          </m:sSub>
          <m:r>
            <w:rPr>
              <w:rFonts w:ascii="Cambria Math" w:hAnsi="Cambria Math"/>
            </w:rPr>
            <m:t>+in</m:t>
          </m:r>
          <m:sSub>
            <m:sSubPr>
              <m:ctrlPr>
                <w:rPr>
                  <w:rFonts w:ascii="Cambria Math" w:hAnsi="Cambria Math"/>
                </w:rPr>
              </m:ctrlPr>
            </m:sSubPr>
            <m:e>
              <m:r>
                <w:rPr>
                  <w:rFonts w:ascii="Cambria Math" w:hAnsi="Cambria Math"/>
                </w:rPr>
                <m:t>v</m:t>
              </m:r>
            </m:e>
            <m:sub>
              <m:r>
                <w:rPr>
                  <w:rFonts w:ascii="Cambria Math" w:hAnsi="Cambria Math"/>
                </w:rPr>
                <m:t>t</m:t>
              </m:r>
            </m:sub>
          </m:sSub>
          <m:r>
            <w:rPr>
              <w:rFonts w:ascii="Cambria Math" w:hAnsi="Cambria Math"/>
            </w:rPr>
            <m:t xml:space="preserve"> </m:t>
          </m:r>
          <m:r>
            <m:rPr>
              <m:sty m:val="p"/>
            </m:rPr>
            <w:rPr>
              <w:rFonts w:ascii="Cambria Math" w:hAnsi="Cambria Math"/>
            </w:rPr>
            <m:t xml:space="preserve">- asset disposals- </m:t>
          </m:r>
          <m:r>
            <m:rPr>
              <m:sty m:val="p"/>
            </m:rPr>
            <w:rPr>
              <w:rFonts w:ascii="Cambria Math" w:eastAsiaTheme="minorEastAsia" w:hAnsi="Cambria Math"/>
            </w:rPr>
            <m:t>depreciation</m:t>
          </m:r>
        </m:oMath>
      </m:oMathPara>
    </w:p>
    <w:p w14:paraId="6634E384" w14:textId="77777777" w:rsidR="00557036" w:rsidRDefault="00BC1539" w:rsidP="00011592">
      <w:pPr>
        <w:pStyle w:val="BodyText"/>
      </w:pPr>
      <w:r>
        <w:rPr>
          <w:rFonts w:eastAsiaTheme="minorEastAsia"/>
        </w:rPr>
        <w:t>The PC departs from this to</w:t>
      </w:r>
      <w:r w:rsidRPr="00DC0D4A">
        <w:rPr>
          <w:rFonts w:eastAsiaTheme="minorEastAsia"/>
        </w:rPr>
        <w:t xml:space="preserve"> avoid distortions caused by</w:t>
      </w:r>
      <w:r>
        <w:t xml:space="preserve"> the small business tax changes </w:t>
      </w:r>
      <w:r w:rsidRPr="000F0E4E">
        <w:t>and accelerated depreciation incentives</w:t>
      </w:r>
      <w:r>
        <w:t xml:space="preserve"> discussed above. Some of </w:t>
      </w:r>
      <w:r w:rsidR="00C01F0A">
        <w:t xml:space="preserve">the </w:t>
      </w:r>
      <w:r>
        <w:t>other changes discussed below around missing data were also made to be more reliable for small business and at the firm level.</w:t>
      </w:r>
      <w:r w:rsidR="007F0ED1">
        <w:t xml:space="preserve"> </w:t>
      </w:r>
    </w:p>
    <w:p w14:paraId="6EF07FDA" w14:textId="5FC0324F" w:rsidR="00BC1539" w:rsidRPr="00893939" w:rsidRDefault="0023735B" w:rsidP="00011592">
      <w:pPr>
        <w:pStyle w:val="BodyText"/>
      </w:pPr>
      <w:r>
        <w:t>Table B.10, below, sets out the full range of variables the PC has used to estimate capital stock.</w:t>
      </w:r>
    </w:p>
    <w:p w14:paraId="1B65C615" w14:textId="577E81E3" w:rsidR="00BC1539" w:rsidRPr="00DC0D4A" w:rsidRDefault="00BC1539" w:rsidP="00207503">
      <w:pPr>
        <w:pStyle w:val="FigureTableHeading"/>
      </w:pPr>
      <w:r w:rsidRPr="00DC0D4A">
        <w:t xml:space="preserve">Table </w:t>
      </w:r>
      <w:r>
        <w:t>B.1</w:t>
      </w:r>
      <w:r w:rsidR="007D7365">
        <w:t>0</w:t>
      </w:r>
      <w:r>
        <w:t xml:space="preserve"> –</w:t>
      </w:r>
      <w:r w:rsidRPr="00DC0D4A">
        <w:t xml:space="preserve"> Variables and parameters used to estimate capital stock</w:t>
      </w:r>
    </w:p>
    <w:tbl>
      <w:tblPr>
        <w:tblStyle w:val="ProductivityCommissionTable2-Dark"/>
        <w:tblW w:w="0" w:type="auto"/>
        <w:tblBorders>
          <w:insideH w:val="none" w:sz="0" w:space="0" w:color="auto"/>
        </w:tblBorders>
        <w:shd w:val="clear" w:color="000000" w:fill="auto"/>
        <w:tblLayout w:type="fixed"/>
        <w:tblCellMar>
          <w:top w:w="0" w:type="dxa"/>
          <w:left w:w="0" w:type="dxa"/>
          <w:bottom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2552"/>
        <w:gridCol w:w="1984"/>
        <w:gridCol w:w="5102"/>
      </w:tblGrid>
      <w:tr w:rsidR="00BC1539" w:rsidRPr="00207503" w14:paraId="247F7804" w14:textId="77777777" w:rsidTr="00A613E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52" w:type="dxa"/>
            <w:tcBorders>
              <w:bottom w:val="single" w:sz="4" w:space="0" w:color="B3B3B3"/>
            </w:tcBorders>
            <w:shd w:val="clear" w:color="000000" w:fill="auto"/>
            <w:vAlign w:val="bottom"/>
          </w:tcPr>
          <w:p w14:paraId="2A6CDF15" w14:textId="77777777" w:rsidR="00BC1539" w:rsidRPr="00207503" w:rsidRDefault="00BC1539" w:rsidP="00207503">
            <w:pPr>
              <w:pStyle w:val="BodyText"/>
              <w:spacing w:before="45" w:after="45"/>
              <w:ind w:left="57" w:right="108"/>
              <w:rPr>
                <w:rFonts w:cs="Open Sans"/>
                <w:color w:val="1D4374"/>
                <w:sz w:val="18"/>
              </w:rPr>
            </w:pPr>
            <w:r w:rsidRPr="00207503">
              <w:rPr>
                <w:rFonts w:cs="Open Sans"/>
                <w:color w:val="1D4374"/>
                <w:sz w:val="18"/>
              </w:rPr>
              <w:t>Concept</w:t>
            </w:r>
          </w:p>
        </w:tc>
        <w:tc>
          <w:tcPr>
            <w:tcW w:w="1984" w:type="dxa"/>
            <w:tcBorders>
              <w:bottom w:val="single" w:sz="4" w:space="0" w:color="B3B3B3"/>
            </w:tcBorders>
            <w:shd w:val="clear" w:color="000000" w:fill="auto"/>
            <w:vAlign w:val="bottom"/>
          </w:tcPr>
          <w:p w14:paraId="2DB6FF19" w14:textId="77777777" w:rsidR="00BC1539" w:rsidRPr="00207503" w:rsidRDefault="00BC1539" w:rsidP="00207503">
            <w:pPr>
              <w:pStyle w:val="BodyText"/>
              <w:spacing w:before="45" w:after="45"/>
              <w:ind w:left="57" w:right="108"/>
              <w:cnfStyle w:val="100000000000" w:firstRow="1" w:lastRow="0" w:firstColumn="0" w:lastColumn="0" w:oddVBand="0" w:evenVBand="0" w:oddHBand="0" w:evenHBand="0" w:firstRowFirstColumn="0" w:firstRowLastColumn="0" w:lastRowFirstColumn="0" w:lastRowLastColumn="0"/>
              <w:rPr>
                <w:rFonts w:cs="Open Sans"/>
                <w:color w:val="1D4374"/>
                <w:sz w:val="18"/>
              </w:rPr>
            </w:pPr>
            <w:r w:rsidRPr="00207503">
              <w:rPr>
                <w:rFonts w:cs="Open Sans"/>
                <w:color w:val="1D4374"/>
                <w:sz w:val="18"/>
              </w:rPr>
              <w:t>Variable</w:t>
            </w:r>
          </w:p>
        </w:tc>
        <w:tc>
          <w:tcPr>
            <w:tcW w:w="5102" w:type="dxa"/>
            <w:tcBorders>
              <w:bottom w:val="single" w:sz="4" w:space="0" w:color="B3B3B3"/>
            </w:tcBorders>
            <w:shd w:val="clear" w:color="000000" w:fill="auto"/>
            <w:vAlign w:val="bottom"/>
          </w:tcPr>
          <w:p w14:paraId="60652D15" w14:textId="77777777" w:rsidR="00BC1539" w:rsidRPr="00207503" w:rsidRDefault="00BC1539" w:rsidP="00207503">
            <w:pPr>
              <w:pStyle w:val="BodyText"/>
              <w:spacing w:before="45" w:after="45"/>
              <w:ind w:left="57" w:right="108"/>
              <w:cnfStyle w:val="100000000000" w:firstRow="1" w:lastRow="0" w:firstColumn="0" w:lastColumn="0" w:oddVBand="0" w:evenVBand="0" w:oddHBand="0" w:evenHBand="0" w:firstRowFirstColumn="0" w:firstRowLastColumn="0" w:lastRowFirstColumn="0" w:lastRowLastColumn="0"/>
              <w:rPr>
                <w:rFonts w:cs="Open Sans"/>
                <w:color w:val="1D4374"/>
                <w:sz w:val="18"/>
              </w:rPr>
            </w:pPr>
            <w:r w:rsidRPr="00207503">
              <w:rPr>
                <w:rFonts w:cs="Open Sans"/>
                <w:color w:val="1D4374"/>
                <w:sz w:val="18"/>
              </w:rPr>
              <w:t>Description and use</w:t>
            </w:r>
          </w:p>
        </w:tc>
      </w:tr>
      <w:tr w:rsidR="00BC1539" w:rsidRPr="00207503" w14:paraId="1A65FF04" w14:textId="77777777" w:rsidTr="00A613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B3B3B3"/>
              <w:bottom w:val="nil"/>
            </w:tcBorders>
            <w:shd w:val="clear" w:color="000000" w:fill="E6E6E6"/>
          </w:tcPr>
          <w:p w14:paraId="492BEED2" w14:textId="77777777" w:rsidR="00BC1539" w:rsidRPr="00207503" w:rsidRDefault="00BC1539" w:rsidP="00207503">
            <w:pPr>
              <w:pStyle w:val="BodyText"/>
              <w:spacing w:before="45" w:after="45"/>
              <w:ind w:left="57" w:right="108"/>
              <w:rPr>
                <w:rFonts w:cs="Open Sans"/>
                <w:color w:val="1D4374"/>
                <w:sz w:val="18"/>
              </w:rPr>
            </w:pPr>
            <w:r w:rsidRPr="00207503">
              <w:rPr>
                <w:rFonts w:cs="Open Sans"/>
                <w:color w:val="1D4374"/>
                <w:sz w:val="18"/>
              </w:rPr>
              <w:t>BAS capital acquisitions</w:t>
            </w:r>
          </w:p>
        </w:tc>
        <w:tc>
          <w:tcPr>
            <w:tcW w:w="1984" w:type="dxa"/>
            <w:tcBorders>
              <w:top w:val="single" w:sz="4" w:space="0" w:color="B3B3B3"/>
              <w:bottom w:val="nil"/>
            </w:tcBorders>
            <w:shd w:val="clear" w:color="000000" w:fill="E6E6E6"/>
          </w:tcPr>
          <w:p w14:paraId="3575BF10" w14:textId="77777777" w:rsidR="00BC1539" w:rsidRPr="00207503" w:rsidRDefault="00BC1539" w:rsidP="00207503">
            <w:pPr>
              <w:pStyle w:val="BodyText"/>
              <w:spacing w:before="45" w:after="45"/>
              <w:ind w:left="57" w:right="108"/>
              <w:cnfStyle w:val="000000100000" w:firstRow="0" w:lastRow="0" w:firstColumn="0" w:lastColumn="0" w:oddVBand="0" w:evenVBand="0" w:oddHBand="1" w:evenHBand="0" w:firstRowFirstColumn="0" w:firstRowLastColumn="0" w:lastRowFirstColumn="0" w:lastRowLastColumn="0"/>
              <w:rPr>
                <w:rFonts w:cs="Open Sans"/>
                <w:color w:val="000000"/>
                <w:sz w:val="18"/>
              </w:rPr>
            </w:pPr>
            <w:proofErr w:type="spellStart"/>
            <w:r w:rsidRPr="00207503">
              <w:rPr>
                <w:rFonts w:cs="Open Sans"/>
                <w:color w:val="000000"/>
                <w:sz w:val="18"/>
              </w:rPr>
              <w:t>capex_bas</w:t>
            </w:r>
            <w:proofErr w:type="spellEnd"/>
          </w:p>
        </w:tc>
        <w:tc>
          <w:tcPr>
            <w:tcW w:w="5102" w:type="dxa"/>
            <w:tcBorders>
              <w:top w:val="single" w:sz="4" w:space="0" w:color="B3B3B3"/>
              <w:bottom w:val="nil"/>
            </w:tcBorders>
            <w:shd w:val="clear" w:color="000000" w:fill="E6E6E6"/>
          </w:tcPr>
          <w:p w14:paraId="012F9B50" w14:textId="2DCD1041" w:rsidR="00BC1539" w:rsidRPr="00207503" w:rsidRDefault="00BC1539" w:rsidP="00207503">
            <w:pPr>
              <w:pStyle w:val="BodyText"/>
              <w:spacing w:before="45" w:after="45"/>
              <w:ind w:left="57" w:right="108"/>
              <w:cnfStyle w:val="000000100000" w:firstRow="0" w:lastRow="0" w:firstColumn="0" w:lastColumn="0" w:oddVBand="0" w:evenVBand="0" w:oddHBand="1" w:evenHBand="0" w:firstRowFirstColumn="0" w:firstRowLastColumn="0" w:lastRowFirstColumn="0" w:lastRowLastColumn="0"/>
              <w:rPr>
                <w:rFonts w:cs="Open Sans"/>
                <w:color w:val="000000"/>
                <w:sz w:val="18"/>
              </w:rPr>
            </w:pPr>
            <w:r w:rsidRPr="00207503">
              <w:rPr>
                <w:rFonts w:cs="Open Sans"/>
                <w:color w:val="000000"/>
                <w:sz w:val="18"/>
              </w:rPr>
              <w:t>Capital acquisitions reported at BAS item G10. Used as the preferred nominal investment measure where the reported amount is non</w:t>
            </w:r>
            <w:r w:rsidR="00541146" w:rsidRPr="00207503">
              <w:rPr>
                <w:rFonts w:cs="Open Sans"/>
                <w:color w:val="000000"/>
                <w:sz w:val="18"/>
              </w:rPr>
              <w:noBreakHyphen/>
            </w:r>
            <w:r w:rsidRPr="00207503">
              <w:rPr>
                <w:rFonts w:cs="Open Sans"/>
                <w:color w:val="000000"/>
                <w:sz w:val="18"/>
              </w:rPr>
              <w:t>zero.</w:t>
            </w:r>
          </w:p>
        </w:tc>
      </w:tr>
      <w:tr w:rsidR="00BC1539" w:rsidRPr="00207503" w14:paraId="4E7B9F0F" w14:textId="77777777" w:rsidTr="00A613E7">
        <w:tc>
          <w:tcPr>
            <w:cnfStyle w:val="001000000000" w:firstRow="0" w:lastRow="0" w:firstColumn="1" w:lastColumn="0" w:oddVBand="0" w:evenVBand="0" w:oddHBand="0" w:evenHBand="0" w:firstRowFirstColumn="0" w:firstRowLastColumn="0" w:lastRowFirstColumn="0" w:lastRowLastColumn="0"/>
            <w:tcW w:w="2552" w:type="dxa"/>
            <w:tcBorders>
              <w:top w:val="nil"/>
              <w:bottom w:val="nil"/>
            </w:tcBorders>
            <w:shd w:val="clear" w:color="000000" w:fill="auto"/>
          </w:tcPr>
          <w:p w14:paraId="55F503B6" w14:textId="77777777" w:rsidR="00BC1539" w:rsidRPr="00207503" w:rsidRDefault="00BC1539" w:rsidP="00207503">
            <w:pPr>
              <w:pStyle w:val="BodyText"/>
              <w:spacing w:before="45" w:after="45"/>
              <w:ind w:left="57" w:right="108"/>
              <w:rPr>
                <w:rFonts w:cs="Open Sans"/>
                <w:color w:val="1D4374"/>
                <w:sz w:val="18"/>
              </w:rPr>
            </w:pPr>
            <w:r w:rsidRPr="00207503">
              <w:rPr>
                <w:rFonts w:cs="Open Sans"/>
                <w:color w:val="1D4374"/>
                <w:sz w:val="18"/>
              </w:rPr>
              <w:t>Real capital stock</w:t>
            </w:r>
          </w:p>
        </w:tc>
        <w:tc>
          <w:tcPr>
            <w:tcW w:w="1984" w:type="dxa"/>
            <w:tcBorders>
              <w:top w:val="nil"/>
              <w:bottom w:val="nil"/>
            </w:tcBorders>
            <w:shd w:val="clear" w:color="000000" w:fill="auto"/>
          </w:tcPr>
          <w:p w14:paraId="339C387E" w14:textId="0BEE1709" w:rsidR="00BC1539" w:rsidRPr="00207503" w:rsidRDefault="00000000" w:rsidP="00207503">
            <w:pPr>
              <w:pStyle w:val="BodyText"/>
              <w:spacing w:before="45" w:after="45"/>
              <w:ind w:left="57" w:right="108"/>
              <w:cnfStyle w:val="000000000000" w:firstRow="0" w:lastRow="0" w:firstColumn="0" w:lastColumn="0" w:oddVBand="0" w:evenVBand="0" w:oddHBand="0" w:evenHBand="0" w:firstRowFirstColumn="0" w:firstRowLastColumn="0" w:lastRowFirstColumn="0" w:lastRowLastColumn="0"/>
              <w:rPr>
                <w:rFonts w:cs="Open Sans"/>
                <w:color w:val="000000"/>
                <w:sz w:val="18"/>
              </w:rPr>
            </w:pPr>
            <m:oMathPara>
              <m:oMathParaPr>
                <m:jc m:val="left"/>
              </m:oMathParaPr>
              <m:oMath>
                <m:sSub>
                  <m:sSubPr>
                    <m:ctrlPr>
                      <w:rPr>
                        <w:rFonts w:ascii="Cambria Math" w:hAnsi="Cambria Math" w:cs="Open Sans"/>
                        <w:color w:val="000000"/>
                        <w:sz w:val="18"/>
                      </w:rPr>
                    </m:ctrlPr>
                  </m:sSubPr>
                  <m:e>
                    <m:r>
                      <w:rPr>
                        <w:rFonts w:ascii="Cambria Math" w:hAnsi="Cambria Math" w:cs="Open Sans"/>
                        <w:color w:val="000000"/>
                        <w:sz w:val="18"/>
                      </w:rPr>
                      <m:t>k</m:t>
                    </m:r>
                  </m:e>
                  <m:sub>
                    <m:r>
                      <w:rPr>
                        <w:rFonts w:ascii="Cambria Math" w:hAnsi="Cambria Math" w:cs="Open Sans"/>
                        <w:color w:val="000000"/>
                        <w:sz w:val="18"/>
                      </w:rPr>
                      <m:t>t</m:t>
                    </m:r>
                  </m:sub>
                </m:sSub>
              </m:oMath>
            </m:oMathPara>
          </w:p>
        </w:tc>
        <w:tc>
          <w:tcPr>
            <w:tcW w:w="5102" w:type="dxa"/>
            <w:tcBorders>
              <w:top w:val="nil"/>
              <w:bottom w:val="nil"/>
            </w:tcBorders>
            <w:shd w:val="clear" w:color="000000" w:fill="auto"/>
          </w:tcPr>
          <w:p w14:paraId="0B3013FE" w14:textId="77777777" w:rsidR="00BC1539" w:rsidRPr="00207503" w:rsidRDefault="00BC1539" w:rsidP="00207503">
            <w:pPr>
              <w:pStyle w:val="BodyText"/>
              <w:spacing w:before="45" w:after="45"/>
              <w:ind w:left="57" w:right="108"/>
              <w:cnfStyle w:val="000000000000" w:firstRow="0" w:lastRow="0" w:firstColumn="0" w:lastColumn="0" w:oddVBand="0" w:evenVBand="0" w:oddHBand="0" w:evenHBand="0" w:firstRowFirstColumn="0" w:firstRowLastColumn="0" w:lastRowFirstColumn="0" w:lastRowLastColumn="0"/>
              <w:rPr>
                <w:rFonts w:cs="Open Sans"/>
                <w:color w:val="000000"/>
                <w:sz w:val="18"/>
              </w:rPr>
            </w:pPr>
            <w:r w:rsidRPr="00207503">
              <w:rPr>
                <w:rFonts w:cs="Open Sans"/>
                <w:color w:val="000000"/>
                <w:sz w:val="18"/>
              </w:rPr>
              <w:t>Estimated value of the firm's capital stock remaining in use in year t.</w:t>
            </w:r>
          </w:p>
        </w:tc>
      </w:tr>
      <w:tr w:rsidR="00BC1539" w:rsidRPr="00207503" w14:paraId="22FD97C2" w14:textId="77777777" w:rsidTr="00A613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bottom w:val="nil"/>
            </w:tcBorders>
            <w:shd w:val="clear" w:color="000000" w:fill="E6E6E6"/>
          </w:tcPr>
          <w:p w14:paraId="7791ED98" w14:textId="77777777" w:rsidR="00BC1539" w:rsidRPr="00207503" w:rsidRDefault="00BC1539" w:rsidP="00207503">
            <w:pPr>
              <w:pStyle w:val="BodyText"/>
              <w:spacing w:before="45" w:after="45"/>
              <w:ind w:left="57" w:right="108"/>
              <w:rPr>
                <w:rFonts w:cs="Open Sans"/>
                <w:color w:val="1D4374"/>
                <w:sz w:val="18"/>
              </w:rPr>
            </w:pPr>
            <w:r w:rsidRPr="00207503">
              <w:rPr>
                <w:rFonts w:cs="Open Sans"/>
                <w:color w:val="1D4374"/>
                <w:sz w:val="18"/>
              </w:rPr>
              <w:t>Real investment</w:t>
            </w:r>
          </w:p>
        </w:tc>
        <w:tc>
          <w:tcPr>
            <w:tcW w:w="1984" w:type="dxa"/>
            <w:tcBorders>
              <w:bottom w:val="nil"/>
            </w:tcBorders>
            <w:shd w:val="clear" w:color="000000" w:fill="E6E6E6"/>
          </w:tcPr>
          <w:p w14:paraId="3454D6AE" w14:textId="72F9BCEB" w:rsidR="00BC1539" w:rsidRPr="00207503" w:rsidRDefault="00207503" w:rsidP="00207503">
            <w:pPr>
              <w:pStyle w:val="BodyText"/>
              <w:spacing w:before="45" w:after="45"/>
              <w:ind w:left="57" w:right="108"/>
              <w:cnfStyle w:val="000000100000" w:firstRow="0" w:lastRow="0" w:firstColumn="0" w:lastColumn="0" w:oddVBand="0" w:evenVBand="0" w:oddHBand="1" w:evenHBand="0" w:firstRowFirstColumn="0" w:firstRowLastColumn="0" w:lastRowFirstColumn="0" w:lastRowLastColumn="0"/>
              <w:rPr>
                <w:rFonts w:cs="Open Sans"/>
                <w:color w:val="000000"/>
                <w:sz w:val="18"/>
              </w:rPr>
            </w:pPr>
            <m:oMathPara>
              <m:oMathParaPr>
                <m:jc m:val="left"/>
              </m:oMathParaPr>
              <m:oMath>
                <m:r>
                  <w:rPr>
                    <w:rFonts w:ascii="Cambria Math" w:hAnsi="Cambria Math" w:cs="Open Sans"/>
                    <w:color w:val="000000"/>
                    <w:sz w:val="18"/>
                  </w:rPr>
                  <m:t>in</m:t>
                </m:r>
                <m:sSub>
                  <m:sSubPr>
                    <m:ctrlPr>
                      <w:rPr>
                        <w:rFonts w:ascii="Cambria Math" w:hAnsi="Cambria Math" w:cs="Open Sans"/>
                        <w:color w:val="000000"/>
                        <w:sz w:val="18"/>
                      </w:rPr>
                    </m:ctrlPr>
                  </m:sSubPr>
                  <m:e>
                    <m:r>
                      <w:rPr>
                        <w:rFonts w:ascii="Cambria Math" w:hAnsi="Cambria Math" w:cs="Open Sans"/>
                        <w:color w:val="000000"/>
                        <w:sz w:val="18"/>
                      </w:rPr>
                      <m:t>v</m:t>
                    </m:r>
                  </m:e>
                  <m:sub>
                    <m:r>
                      <w:rPr>
                        <w:rFonts w:ascii="Cambria Math" w:hAnsi="Cambria Math" w:cs="Open Sans"/>
                        <w:color w:val="000000"/>
                        <w:sz w:val="18"/>
                      </w:rPr>
                      <m:t>t</m:t>
                    </m:r>
                  </m:sub>
                </m:sSub>
              </m:oMath>
            </m:oMathPara>
          </w:p>
        </w:tc>
        <w:tc>
          <w:tcPr>
            <w:tcW w:w="5102" w:type="dxa"/>
            <w:tcBorders>
              <w:bottom w:val="nil"/>
            </w:tcBorders>
            <w:shd w:val="clear" w:color="000000" w:fill="E6E6E6"/>
          </w:tcPr>
          <w:p w14:paraId="35BCB1CB" w14:textId="77777777" w:rsidR="00BC1539" w:rsidRPr="00207503" w:rsidRDefault="00BC1539" w:rsidP="00207503">
            <w:pPr>
              <w:pStyle w:val="BodyText"/>
              <w:spacing w:before="45" w:after="45"/>
              <w:ind w:left="57" w:right="108"/>
              <w:cnfStyle w:val="000000100000" w:firstRow="0" w:lastRow="0" w:firstColumn="0" w:lastColumn="0" w:oddVBand="0" w:evenVBand="0" w:oddHBand="1" w:evenHBand="0" w:firstRowFirstColumn="0" w:firstRowLastColumn="0" w:lastRowFirstColumn="0" w:lastRowLastColumn="0"/>
              <w:rPr>
                <w:rFonts w:cs="Open Sans"/>
                <w:color w:val="000000"/>
                <w:sz w:val="18"/>
              </w:rPr>
            </w:pPr>
            <w:r w:rsidRPr="00207503">
              <w:rPr>
                <w:rFonts w:cs="Open Sans"/>
                <w:color w:val="000000"/>
                <w:sz w:val="18"/>
              </w:rPr>
              <w:t>Real investment added to the capital stock in year t.</w:t>
            </w:r>
          </w:p>
        </w:tc>
      </w:tr>
      <w:tr w:rsidR="00BC1539" w:rsidRPr="00207503" w14:paraId="2E73215D" w14:textId="77777777" w:rsidTr="00A613E7">
        <w:tc>
          <w:tcPr>
            <w:cnfStyle w:val="001000000000" w:firstRow="0" w:lastRow="0" w:firstColumn="1" w:lastColumn="0" w:oddVBand="0" w:evenVBand="0" w:oddHBand="0" w:evenHBand="0" w:firstRowFirstColumn="0" w:firstRowLastColumn="0" w:lastRowFirstColumn="0" w:lastRowLastColumn="0"/>
            <w:tcW w:w="2552" w:type="dxa"/>
            <w:tcBorders>
              <w:top w:val="nil"/>
              <w:bottom w:val="nil"/>
            </w:tcBorders>
            <w:shd w:val="clear" w:color="000000" w:fill="auto"/>
          </w:tcPr>
          <w:p w14:paraId="75B3AD3D" w14:textId="77777777" w:rsidR="00BC1539" w:rsidRPr="00207503" w:rsidRDefault="00BC1539" w:rsidP="00207503">
            <w:pPr>
              <w:pStyle w:val="BodyText"/>
              <w:spacing w:before="45" w:after="45"/>
              <w:ind w:left="57" w:right="108"/>
              <w:rPr>
                <w:rFonts w:cs="Open Sans"/>
                <w:color w:val="1D4374"/>
                <w:sz w:val="18"/>
              </w:rPr>
            </w:pPr>
            <w:r w:rsidRPr="00207503">
              <w:rPr>
                <w:rFonts w:cs="Open Sans"/>
                <w:color w:val="1D4374"/>
                <w:sz w:val="18"/>
              </w:rPr>
              <w:t>Economic depreciation rate</w:t>
            </w:r>
          </w:p>
        </w:tc>
        <w:tc>
          <w:tcPr>
            <w:tcW w:w="1984" w:type="dxa"/>
            <w:tcBorders>
              <w:top w:val="nil"/>
              <w:bottom w:val="nil"/>
            </w:tcBorders>
            <w:shd w:val="clear" w:color="000000" w:fill="auto"/>
          </w:tcPr>
          <w:p w14:paraId="0909ED1B" w14:textId="139FB828" w:rsidR="00BC1539" w:rsidRPr="00207503" w:rsidRDefault="00BC1539" w:rsidP="00207503">
            <w:pPr>
              <w:pStyle w:val="BodyText"/>
              <w:spacing w:before="45" w:after="45"/>
              <w:ind w:left="57" w:right="108"/>
              <w:cnfStyle w:val="000000000000" w:firstRow="0" w:lastRow="0" w:firstColumn="0" w:lastColumn="0" w:oddVBand="0" w:evenVBand="0" w:oddHBand="0" w:evenHBand="0" w:firstRowFirstColumn="0" w:firstRowLastColumn="0" w:lastRowFirstColumn="0" w:lastRowLastColumn="0"/>
              <w:rPr>
                <w:rFonts w:cs="Open Sans"/>
                <w:color w:val="000000"/>
                <w:sz w:val="18"/>
              </w:rPr>
            </w:pPr>
            <w:r w:rsidRPr="00207503">
              <w:rPr>
                <w:rFonts w:cs="Open Sans"/>
                <w:color w:val="000000"/>
                <w:sz w:val="18"/>
              </w:rPr>
              <w:t>delta (</w:t>
            </w:r>
            <m:oMath>
              <m:sSub>
                <m:sSubPr>
                  <m:ctrlPr>
                    <w:rPr>
                      <w:rFonts w:ascii="Cambria Math" w:hAnsi="Cambria Math" w:cs="Open Sans"/>
                      <w:color w:val="000000"/>
                      <w:sz w:val="18"/>
                    </w:rPr>
                  </m:ctrlPr>
                </m:sSubPr>
                <m:e>
                  <m:r>
                    <w:rPr>
                      <w:rFonts w:ascii="Cambria Math" w:hAnsi="Cambria Math" w:cs="Open Sans"/>
                      <w:color w:val="000000"/>
                      <w:sz w:val="18"/>
                    </w:rPr>
                    <m:t>δ</m:t>
                  </m:r>
                </m:e>
                <m:sub>
                  <m:r>
                    <w:rPr>
                      <w:rFonts w:ascii="Cambria Math" w:hAnsi="Cambria Math" w:cs="Open Sans"/>
                      <w:color w:val="000000"/>
                      <w:sz w:val="18"/>
                    </w:rPr>
                    <m:t>t</m:t>
                  </m:r>
                </m:sub>
              </m:sSub>
            </m:oMath>
            <w:r w:rsidRPr="00207503">
              <w:rPr>
                <w:rFonts w:cs="Open Sans"/>
                <w:color w:val="000000"/>
                <w:sz w:val="18"/>
              </w:rPr>
              <w:t>)</w:t>
            </w:r>
          </w:p>
        </w:tc>
        <w:tc>
          <w:tcPr>
            <w:tcW w:w="5102" w:type="dxa"/>
            <w:tcBorders>
              <w:top w:val="nil"/>
              <w:bottom w:val="nil"/>
            </w:tcBorders>
            <w:shd w:val="clear" w:color="000000" w:fill="auto"/>
          </w:tcPr>
          <w:p w14:paraId="5CD9E6AB" w14:textId="77777777" w:rsidR="00BC1539" w:rsidRPr="00207503" w:rsidRDefault="00BC1539" w:rsidP="00207503">
            <w:pPr>
              <w:pStyle w:val="BodyText"/>
              <w:spacing w:before="45" w:after="45"/>
              <w:ind w:left="57" w:right="108"/>
              <w:cnfStyle w:val="000000000000" w:firstRow="0" w:lastRow="0" w:firstColumn="0" w:lastColumn="0" w:oddVBand="0" w:evenVBand="0" w:oddHBand="0" w:evenHBand="0" w:firstRowFirstColumn="0" w:firstRowLastColumn="0" w:lastRowFirstColumn="0" w:lastRowLastColumn="0"/>
              <w:rPr>
                <w:rFonts w:cs="Open Sans"/>
                <w:color w:val="000000"/>
                <w:sz w:val="18"/>
              </w:rPr>
            </w:pPr>
            <w:r w:rsidRPr="00207503">
              <w:rPr>
                <w:rFonts w:cs="Open Sans"/>
                <w:color w:val="000000"/>
                <w:sz w:val="18"/>
              </w:rPr>
              <w:t>Manufacturing depreciation rate derived from ABS cat. 5204.0 using consumption of fixed capital and average net capital stock.</w:t>
            </w:r>
          </w:p>
        </w:tc>
      </w:tr>
      <w:tr w:rsidR="00BC1539" w:rsidRPr="00207503" w14:paraId="252EFAA0" w14:textId="77777777" w:rsidTr="00A613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bottom w:val="nil"/>
            </w:tcBorders>
            <w:shd w:val="clear" w:color="000000" w:fill="E6E6E6"/>
          </w:tcPr>
          <w:p w14:paraId="11D3AE33" w14:textId="11FC5545" w:rsidR="00BC1539" w:rsidRPr="00207503" w:rsidRDefault="00BC1539" w:rsidP="00207503">
            <w:pPr>
              <w:pStyle w:val="BodyText"/>
              <w:spacing w:before="45" w:after="45"/>
              <w:ind w:left="57" w:right="108"/>
              <w:rPr>
                <w:rFonts w:cs="Open Sans"/>
                <w:color w:val="1D4374"/>
                <w:sz w:val="18"/>
              </w:rPr>
            </w:pPr>
            <w:r w:rsidRPr="00207503">
              <w:rPr>
                <w:rFonts w:cs="Open Sans"/>
                <w:color w:val="1D4374"/>
                <w:sz w:val="18"/>
              </w:rPr>
              <w:t>Non</w:t>
            </w:r>
            <w:r w:rsidR="00541146" w:rsidRPr="00207503">
              <w:rPr>
                <w:rFonts w:cs="Open Sans"/>
                <w:color w:val="1D4374"/>
                <w:sz w:val="18"/>
              </w:rPr>
              <w:noBreakHyphen/>
            </w:r>
            <w:r w:rsidRPr="00207503">
              <w:rPr>
                <w:rFonts w:cs="Open Sans"/>
                <w:color w:val="1D4374"/>
                <w:sz w:val="18"/>
              </w:rPr>
              <w:t>current assets</w:t>
            </w:r>
          </w:p>
        </w:tc>
        <w:tc>
          <w:tcPr>
            <w:tcW w:w="1984" w:type="dxa"/>
            <w:tcBorders>
              <w:bottom w:val="nil"/>
            </w:tcBorders>
            <w:shd w:val="clear" w:color="000000" w:fill="E6E6E6"/>
          </w:tcPr>
          <w:p w14:paraId="00CEA3F6" w14:textId="77777777" w:rsidR="00BC1539" w:rsidRPr="00207503" w:rsidRDefault="00BC1539" w:rsidP="00207503">
            <w:pPr>
              <w:pStyle w:val="BodyText"/>
              <w:spacing w:before="45" w:after="45"/>
              <w:ind w:left="57" w:right="108"/>
              <w:cnfStyle w:val="000000100000" w:firstRow="0" w:lastRow="0" w:firstColumn="0" w:lastColumn="0" w:oddVBand="0" w:evenVBand="0" w:oddHBand="1" w:evenHBand="0" w:firstRowFirstColumn="0" w:firstRowLastColumn="0" w:lastRowFirstColumn="0" w:lastRowLastColumn="0"/>
              <w:rPr>
                <w:rFonts w:cs="Open Sans"/>
                <w:color w:val="000000"/>
                <w:sz w:val="18"/>
                <w:lang w:val="fr-CA"/>
              </w:rPr>
            </w:pPr>
            <w:proofErr w:type="spellStart"/>
            <w:proofErr w:type="gramStart"/>
            <w:r w:rsidRPr="00207503">
              <w:rPr>
                <w:rFonts w:cs="Open Sans"/>
                <w:color w:val="000000"/>
                <w:sz w:val="18"/>
                <w:lang w:val="fr-CA"/>
              </w:rPr>
              <w:t>non</w:t>
            </w:r>
            <w:proofErr w:type="gramEnd"/>
            <w:r w:rsidRPr="00207503">
              <w:rPr>
                <w:rFonts w:cs="Open Sans"/>
                <w:color w:val="000000"/>
                <w:sz w:val="18"/>
                <w:lang w:val="fr-CA"/>
              </w:rPr>
              <w:t>_current_assets</w:t>
            </w:r>
            <w:proofErr w:type="spellEnd"/>
            <w:r w:rsidRPr="00207503">
              <w:rPr>
                <w:rFonts w:cs="Open Sans"/>
                <w:color w:val="000000"/>
                <w:sz w:val="18"/>
                <w:lang w:val="fr-CA"/>
              </w:rPr>
              <w:t xml:space="preserve"> (</w:t>
            </w:r>
            <w:proofErr w:type="spellStart"/>
            <w:r w:rsidRPr="00207503">
              <w:rPr>
                <w:rFonts w:cs="Open Sans"/>
                <w:color w:val="000000"/>
                <w:sz w:val="18"/>
                <w:lang w:val="fr-CA"/>
              </w:rPr>
              <w:t>NCA_t</w:t>
            </w:r>
            <w:proofErr w:type="spellEnd"/>
            <w:r w:rsidRPr="00207503">
              <w:rPr>
                <w:rFonts w:cs="Open Sans"/>
                <w:color w:val="000000"/>
                <w:sz w:val="18"/>
                <w:lang w:val="fr-CA"/>
              </w:rPr>
              <w:t>)</w:t>
            </w:r>
          </w:p>
        </w:tc>
        <w:tc>
          <w:tcPr>
            <w:tcW w:w="5102" w:type="dxa"/>
            <w:tcBorders>
              <w:bottom w:val="nil"/>
            </w:tcBorders>
            <w:shd w:val="clear" w:color="000000" w:fill="E6E6E6"/>
          </w:tcPr>
          <w:p w14:paraId="1274C825" w14:textId="3D3C8F18" w:rsidR="00BC1539" w:rsidRPr="00207503" w:rsidRDefault="00BC1539" w:rsidP="00207503">
            <w:pPr>
              <w:pStyle w:val="BodyText"/>
              <w:spacing w:before="45" w:after="45"/>
              <w:ind w:left="57" w:right="108"/>
              <w:cnfStyle w:val="000000100000" w:firstRow="0" w:lastRow="0" w:firstColumn="0" w:lastColumn="0" w:oddVBand="0" w:evenVBand="0" w:oddHBand="1" w:evenHBand="0" w:firstRowFirstColumn="0" w:firstRowLastColumn="0" w:lastRowFirstColumn="0" w:lastRowLastColumn="0"/>
              <w:rPr>
                <w:rFonts w:cs="Open Sans"/>
                <w:color w:val="000000"/>
                <w:sz w:val="18"/>
              </w:rPr>
            </w:pPr>
            <w:r w:rsidRPr="00207503">
              <w:rPr>
                <w:rFonts w:cs="Open Sans"/>
                <w:color w:val="000000"/>
                <w:sz w:val="18"/>
              </w:rPr>
              <w:t>BIT balance</w:t>
            </w:r>
            <w:r w:rsidR="00541146" w:rsidRPr="00207503">
              <w:rPr>
                <w:rFonts w:cs="Open Sans"/>
                <w:color w:val="000000"/>
                <w:sz w:val="18"/>
              </w:rPr>
              <w:noBreakHyphen/>
            </w:r>
            <w:r w:rsidRPr="00207503">
              <w:rPr>
                <w:rFonts w:cs="Open Sans"/>
                <w:color w:val="000000"/>
                <w:sz w:val="18"/>
              </w:rPr>
              <w:t xml:space="preserve">sheet measure calculated as total assets </w:t>
            </w:r>
            <w:proofErr w:type="gramStart"/>
            <w:r w:rsidRPr="00207503">
              <w:rPr>
                <w:rFonts w:cs="Open Sans"/>
                <w:color w:val="000000"/>
                <w:sz w:val="18"/>
              </w:rPr>
              <w:t>less</w:t>
            </w:r>
            <w:proofErr w:type="gramEnd"/>
            <w:r w:rsidRPr="00207503">
              <w:rPr>
                <w:rFonts w:cs="Open Sans"/>
                <w:color w:val="000000"/>
                <w:sz w:val="18"/>
              </w:rPr>
              <w:t xml:space="preserve"> current assets. Used to anchor the capital stock estimate where appropriate.</w:t>
            </w:r>
          </w:p>
        </w:tc>
      </w:tr>
      <w:tr w:rsidR="00BC1539" w:rsidRPr="00207503" w14:paraId="3EE6BAC3" w14:textId="77777777" w:rsidTr="00A613E7">
        <w:tc>
          <w:tcPr>
            <w:cnfStyle w:val="001000000000" w:firstRow="0" w:lastRow="0" w:firstColumn="1" w:lastColumn="0" w:oddVBand="0" w:evenVBand="0" w:oddHBand="0" w:evenHBand="0" w:firstRowFirstColumn="0" w:firstRowLastColumn="0" w:lastRowFirstColumn="0" w:lastRowLastColumn="0"/>
            <w:tcW w:w="2552" w:type="dxa"/>
            <w:tcBorders>
              <w:top w:val="nil"/>
              <w:bottom w:val="nil"/>
            </w:tcBorders>
            <w:shd w:val="clear" w:color="000000" w:fill="auto"/>
          </w:tcPr>
          <w:p w14:paraId="1651A089" w14:textId="77777777" w:rsidR="00BC1539" w:rsidRPr="00207503" w:rsidRDefault="00BC1539" w:rsidP="00207503">
            <w:pPr>
              <w:pStyle w:val="BodyText"/>
              <w:spacing w:before="45" w:after="45"/>
              <w:ind w:left="57" w:right="108"/>
              <w:rPr>
                <w:rFonts w:cs="Open Sans"/>
                <w:color w:val="1D4374"/>
                <w:sz w:val="18"/>
              </w:rPr>
            </w:pPr>
            <w:r w:rsidRPr="00207503">
              <w:rPr>
                <w:rFonts w:cs="Open Sans"/>
                <w:color w:val="1D4374"/>
                <w:sz w:val="18"/>
              </w:rPr>
              <w:t>Consecutive missing years</w:t>
            </w:r>
          </w:p>
        </w:tc>
        <w:tc>
          <w:tcPr>
            <w:tcW w:w="1984" w:type="dxa"/>
            <w:tcBorders>
              <w:top w:val="nil"/>
              <w:bottom w:val="nil"/>
            </w:tcBorders>
            <w:shd w:val="clear" w:color="000000" w:fill="auto"/>
          </w:tcPr>
          <w:p w14:paraId="54885FC7" w14:textId="56671124" w:rsidR="00BC1539" w:rsidRPr="00207503" w:rsidRDefault="00000000" w:rsidP="00207503">
            <w:pPr>
              <w:pStyle w:val="BodyText"/>
              <w:spacing w:before="45" w:after="45"/>
              <w:ind w:left="57" w:right="108"/>
              <w:cnfStyle w:val="000000000000" w:firstRow="0" w:lastRow="0" w:firstColumn="0" w:lastColumn="0" w:oddVBand="0" w:evenVBand="0" w:oddHBand="0" w:evenHBand="0" w:firstRowFirstColumn="0" w:firstRowLastColumn="0" w:lastRowFirstColumn="0" w:lastRowLastColumn="0"/>
              <w:rPr>
                <w:rFonts w:cs="Open Sans"/>
                <w:color w:val="000000"/>
                <w:sz w:val="18"/>
              </w:rPr>
            </w:pPr>
            <m:oMathPara>
              <m:oMathParaPr>
                <m:jc m:val="left"/>
              </m:oMathParaPr>
              <m:oMath>
                <m:sSub>
                  <m:sSubPr>
                    <m:ctrlPr>
                      <w:rPr>
                        <w:rFonts w:ascii="Cambria Math" w:hAnsi="Cambria Math" w:cs="Open Sans"/>
                        <w:color w:val="000000"/>
                        <w:sz w:val="18"/>
                      </w:rPr>
                    </m:ctrlPr>
                  </m:sSubPr>
                  <m:e>
                    <m:r>
                      <w:rPr>
                        <w:rFonts w:ascii="Cambria Math" w:hAnsi="Cambria Math" w:cs="Open Sans"/>
                        <w:color w:val="000000"/>
                        <w:sz w:val="18"/>
                      </w:rPr>
                      <m:t>g</m:t>
                    </m:r>
                  </m:e>
                  <m:sub>
                    <m:r>
                      <w:rPr>
                        <w:rFonts w:ascii="Cambria Math" w:hAnsi="Cambria Math" w:cs="Open Sans"/>
                        <w:color w:val="000000"/>
                        <w:sz w:val="18"/>
                      </w:rPr>
                      <m:t>t</m:t>
                    </m:r>
                  </m:sub>
                </m:sSub>
              </m:oMath>
            </m:oMathPara>
          </w:p>
        </w:tc>
        <w:tc>
          <w:tcPr>
            <w:tcW w:w="5102" w:type="dxa"/>
            <w:tcBorders>
              <w:top w:val="nil"/>
              <w:bottom w:val="nil"/>
            </w:tcBorders>
            <w:shd w:val="clear" w:color="000000" w:fill="auto"/>
          </w:tcPr>
          <w:p w14:paraId="0ECF39BD" w14:textId="77777777" w:rsidR="00BC1539" w:rsidRPr="00207503" w:rsidRDefault="00BC1539" w:rsidP="00207503">
            <w:pPr>
              <w:pStyle w:val="BodyText"/>
              <w:spacing w:before="45" w:after="45"/>
              <w:ind w:left="57" w:right="108"/>
              <w:cnfStyle w:val="000000000000" w:firstRow="0" w:lastRow="0" w:firstColumn="0" w:lastColumn="0" w:oddVBand="0" w:evenVBand="0" w:oddHBand="0" w:evenHBand="0" w:firstRowFirstColumn="0" w:firstRowLastColumn="0" w:lastRowFirstColumn="0" w:lastRowLastColumn="0"/>
              <w:rPr>
                <w:rFonts w:cs="Open Sans"/>
                <w:color w:val="000000"/>
                <w:sz w:val="18"/>
              </w:rPr>
            </w:pPr>
            <w:r w:rsidRPr="00207503">
              <w:rPr>
                <w:rFonts w:cs="Open Sans"/>
                <w:color w:val="000000"/>
                <w:sz w:val="18"/>
              </w:rPr>
              <w:t>Number of consecutive years for which investment is unobserved.</w:t>
            </w:r>
          </w:p>
        </w:tc>
      </w:tr>
      <w:tr w:rsidR="00BC1539" w:rsidRPr="00207503" w14:paraId="6CB9F66D" w14:textId="77777777" w:rsidTr="00A613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bottom w:val="nil"/>
            </w:tcBorders>
            <w:shd w:val="clear" w:color="000000" w:fill="E6E6E6"/>
          </w:tcPr>
          <w:p w14:paraId="3497A009" w14:textId="6CC51E2F" w:rsidR="00BC1539" w:rsidRPr="00207503" w:rsidRDefault="00BC1539" w:rsidP="00207503">
            <w:pPr>
              <w:pStyle w:val="BodyText"/>
              <w:spacing w:before="45" w:after="45"/>
              <w:ind w:left="57" w:right="108"/>
              <w:rPr>
                <w:rFonts w:cs="Open Sans"/>
                <w:color w:val="1D4374"/>
                <w:sz w:val="18"/>
              </w:rPr>
            </w:pPr>
            <w:r w:rsidRPr="00207503">
              <w:rPr>
                <w:rFonts w:cs="Open Sans"/>
                <w:color w:val="1D4374"/>
                <w:sz w:val="18"/>
              </w:rPr>
              <w:t>Gap before re</w:t>
            </w:r>
            <w:r w:rsidR="00541146" w:rsidRPr="00207503">
              <w:rPr>
                <w:rFonts w:cs="Open Sans"/>
                <w:color w:val="1D4374"/>
                <w:sz w:val="18"/>
              </w:rPr>
              <w:noBreakHyphen/>
            </w:r>
            <w:r w:rsidRPr="00207503">
              <w:rPr>
                <w:rFonts w:cs="Open Sans"/>
                <w:color w:val="1D4374"/>
                <w:sz w:val="18"/>
              </w:rPr>
              <w:t>anchoring</w:t>
            </w:r>
          </w:p>
        </w:tc>
        <w:tc>
          <w:tcPr>
            <w:tcW w:w="1984" w:type="dxa"/>
            <w:tcBorders>
              <w:bottom w:val="nil"/>
            </w:tcBorders>
            <w:shd w:val="clear" w:color="000000" w:fill="E6E6E6"/>
          </w:tcPr>
          <w:p w14:paraId="37E340E7" w14:textId="77777777" w:rsidR="00BC1539" w:rsidRPr="00207503" w:rsidRDefault="00BC1539" w:rsidP="00207503">
            <w:pPr>
              <w:pStyle w:val="BodyText"/>
              <w:spacing w:before="45" w:after="45"/>
              <w:ind w:left="57" w:right="108"/>
              <w:cnfStyle w:val="000000100000" w:firstRow="0" w:lastRow="0" w:firstColumn="0" w:lastColumn="0" w:oddVBand="0" w:evenVBand="0" w:oddHBand="1" w:evenHBand="0" w:firstRowFirstColumn="0" w:firstRowLastColumn="0" w:lastRowFirstColumn="0" w:lastRowLastColumn="0"/>
              <w:rPr>
                <w:rFonts w:cs="Open Sans"/>
                <w:color w:val="000000"/>
                <w:sz w:val="18"/>
              </w:rPr>
            </w:pPr>
            <w:proofErr w:type="spellStart"/>
            <w:r w:rsidRPr="00207503">
              <w:rPr>
                <w:rFonts w:cs="Open Sans"/>
                <w:color w:val="000000"/>
                <w:sz w:val="18"/>
              </w:rPr>
              <w:t>pim_gap_restart</w:t>
            </w:r>
            <w:proofErr w:type="spellEnd"/>
          </w:p>
        </w:tc>
        <w:tc>
          <w:tcPr>
            <w:tcW w:w="5102" w:type="dxa"/>
            <w:tcBorders>
              <w:bottom w:val="nil"/>
            </w:tcBorders>
            <w:shd w:val="clear" w:color="000000" w:fill="E6E6E6"/>
          </w:tcPr>
          <w:p w14:paraId="243DAA46" w14:textId="71A3F88A" w:rsidR="00BC1539" w:rsidRPr="00207503" w:rsidRDefault="00BC1539" w:rsidP="00207503">
            <w:pPr>
              <w:pStyle w:val="BodyText"/>
              <w:spacing w:before="45" w:after="45"/>
              <w:ind w:left="57" w:right="108"/>
              <w:cnfStyle w:val="000000100000" w:firstRow="0" w:lastRow="0" w:firstColumn="0" w:lastColumn="0" w:oddVBand="0" w:evenVBand="0" w:oddHBand="1" w:evenHBand="0" w:firstRowFirstColumn="0" w:firstRowLastColumn="0" w:lastRowFirstColumn="0" w:lastRowLastColumn="0"/>
              <w:rPr>
                <w:rFonts w:cs="Open Sans"/>
                <w:color w:val="000000"/>
                <w:sz w:val="18"/>
              </w:rPr>
            </w:pPr>
            <w:r w:rsidRPr="00207503">
              <w:rPr>
                <w:rFonts w:cs="Open Sans"/>
                <w:color w:val="000000"/>
                <w:sz w:val="18"/>
              </w:rPr>
              <w:t>Number of consecutive missing investment observations after which the estimate may be re</w:t>
            </w:r>
            <w:r w:rsidR="00541146" w:rsidRPr="00207503">
              <w:rPr>
                <w:rFonts w:cs="Open Sans"/>
                <w:color w:val="000000"/>
                <w:sz w:val="18"/>
              </w:rPr>
              <w:noBreakHyphen/>
            </w:r>
            <w:r w:rsidRPr="00207503">
              <w:rPr>
                <w:rFonts w:cs="Open Sans"/>
                <w:color w:val="000000"/>
                <w:sz w:val="18"/>
              </w:rPr>
              <w:t>anchored to reported non</w:t>
            </w:r>
            <w:r w:rsidR="00541146" w:rsidRPr="00207503">
              <w:rPr>
                <w:rFonts w:cs="Open Sans"/>
                <w:color w:val="000000"/>
                <w:sz w:val="18"/>
              </w:rPr>
              <w:noBreakHyphen/>
            </w:r>
            <w:r w:rsidRPr="00207503">
              <w:rPr>
                <w:rFonts w:cs="Open Sans"/>
                <w:color w:val="000000"/>
                <w:sz w:val="18"/>
              </w:rPr>
              <w:t>current assets. The default is three years.</w:t>
            </w:r>
          </w:p>
        </w:tc>
      </w:tr>
      <w:tr w:rsidR="00BC1539" w:rsidRPr="00207503" w14:paraId="6BACEA56" w14:textId="77777777" w:rsidTr="00A613E7">
        <w:tc>
          <w:tcPr>
            <w:cnfStyle w:val="001000000000" w:firstRow="0" w:lastRow="0" w:firstColumn="1" w:lastColumn="0" w:oddVBand="0" w:evenVBand="0" w:oddHBand="0" w:evenHBand="0" w:firstRowFirstColumn="0" w:firstRowLastColumn="0" w:lastRowFirstColumn="0" w:lastRowLastColumn="0"/>
            <w:tcW w:w="2552" w:type="dxa"/>
            <w:tcBorders>
              <w:top w:val="nil"/>
            </w:tcBorders>
            <w:shd w:val="clear" w:color="000000" w:fill="auto"/>
          </w:tcPr>
          <w:p w14:paraId="352F99E0" w14:textId="196769E1" w:rsidR="00BC1539" w:rsidRPr="00207503" w:rsidRDefault="00BC1539" w:rsidP="00207503">
            <w:pPr>
              <w:pStyle w:val="BodyText"/>
              <w:spacing w:before="45" w:after="45"/>
              <w:ind w:left="57" w:right="108"/>
              <w:rPr>
                <w:rFonts w:cs="Open Sans"/>
                <w:color w:val="1D4374"/>
                <w:sz w:val="18"/>
              </w:rPr>
            </w:pPr>
            <w:r w:rsidRPr="00207503">
              <w:rPr>
                <w:rFonts w:cs="Open Sans"/>
                <w:color w:val="1D4374"/>
                <w:sz w:val="18"/>
              </w:rPr>
              <w:t>Start of warm</w:t>
            </w:r>
            <w:r w:rsidR="00541146" w:rsidRPr="00207503">
              <w:rPr>
                <w:rFonts w:cs="Open Sans"/>
                <w:color w:val="1D4374"/>
                <w:sz w:val="18"/>
              </w:rPr>
              <w:noBreakHyphen/>
            </w:r>
            <w:r w:rsidRPr="00207503">
              <w:rPr>
                <w:rFonts w:cs="Open Sans"/>
                <w:color w:val="1D4374"/>
                <w:sz w:val="18"/>
              </w:rPr>
              <w:t>up period</w:t>
            </w:r>
          </w:p>
        </w:tc>
        <w:tc>
          <w:tcPr>
            <w:tcW w:w="1984" w:type="dxa"/>
            <w:tcBorders>
              <w:top w:val="nil"/>
            </w:tcBorders>
            <w:shd w:val="clear" w:color="000000" w:fill="auto"/>
          </w:tcPr>
          <w:p w14:paraId="7E2EFDF6" w14:textId="77777777" w:rsidR="00BC1539" w:rsidRPr="00207503" w:rsidRDefault="00BC1539" w:rsidP="00207503">
            <w:pPr>
              <w:pStyle w:val="BodyText"/>
              <w:spacing w:before="45" w:after="45"/>
              <w:ind w:left="57" w:right="108"/>
              <w:cnfStyle w:val="000000000000" w:firstRow="0" w:lastRow="0" w:firstColumn="0" w:lastColumn="0" w:oddVBand="0" w:evenVBand="0" w:oddHBand="0" w:evenHBand="0" w:firstRowFirstColumn="0" w:firstRowLastColumn="0" w:lastRowFirstColumn="0" w:lastRowLastColumn="0"/>
              <w:rPr>
                <w:rFonts w:cs="Open Sans"/>
                <w:color w:val="000000"/>
                <w:sz w:val="18"/>
              </w:rPr>
            </w:pPr>
            <w:proofErr w:type="spellStart"/>
            <w:r w:rsidRPr="00207503">
              <w:rPr>
                <w:rFonts w:cs="Open Sans"/>
                <w:color w:val="000000"/>
                <w:sz w:val="18"/>
              </w:rPr>
              <w:t>pim_tsid_start</w:t>
            </w:r>
            <w:proofErr w:type="spellEnd"/>
          </w:p>
        </w:tc>
        <w:tc>
          <w:tcPr>
            <w:tcW w:w="5102" w:type="dxa"/>
            <w:tcBorders>
              <w:top w:val="nil"/>
            </w:tcBorders>
            <w:shd w:val="clear" w:color="000000" w:fill="auto"/>
          </w:tcPr>
          <w:p w14:paraId="6BD1D388" w14:textId="3CAABF29" w:rsidR="00BC1539" w:rsidRPr="00207503" w:rsidRDefault="00BC1539" w:rsidP="00207503">
            <w:pPr>
              <w:pStyle w:val="BodyText"/>
              <w:spacing w:before="45" w:after="45"/>
              <w:ind w:left="57" w:right="108"/>
              <w:cnfStyle w:val="000000000000" w:firstRow="0" w:lastRow="0" w:firstColumn="0" w:lastColumn="0" w:oddVBand="0" w:evenVBand="0" w:oddHBand="0" w:evenHBand="0" w:firstRowFirstColumn="0" w:firstRowLastColumn="0" w:lastRowFirstColumn="0" w:lastRowLastColumn="0"/>
              <w:rPr>
                <w:rFonts w:cs="Open Sans"/>
                <w:color w:val="000000"/>
                <w:sz w:val="18"/>
              </w:rPr>
            </w:pPr>
            <w:r w:rsidRPr="00207503">
              <w:rPr>
                <w:rFonts w:cs="Open Sans"/>
                <w:color w:val="000000"/>
                <w:sz w:val="18"/>
              </w:rPr>
              <w:t>First year used to build the capital stock history. Set to 2001</w:t>
            </w:r>
            <w:r w:rsidR="0090267A" w:rsidRPr="00207503">
              <w:rPr>
                <w:rFonts w:cs="Open Sans"/>
                <w:color w:val="000000"/>
                <w:sz w:val="18"/>
              </w:rPr>
              <w:t>–</w:t>
            </w:r>
            <w:r w:rsidRPr="00207503">
              <w:rPr>
                <w:rFonts w:cs="Open Sans"/>
                <w:color w:val="000000"/>
                <w:sz w:val="18"/>
              </w:rPr>
              <w:t>02, the first year available in BLADE.</w:t>
            </w:r>
          </w:p>
        </w:tc>
      </w:tr>
    </w:tbl>
    <w:p w14:paraId="63A6CEAA" w14:textId="77777777" w:rsidR="00BC1539" w:rsidRDefault="00BC1539" w:rsidP="00011592">
      <w:pPr>
        <w:pStyle w:val="Heading5"/>
      </w:pPr>
      <w:r w:rsidRPr="00E82C43">
        <w:t>Starting the capital stock estimate</w:t>
      </w:r>
    </w:p>
    <w:p w14:paraId="11533F7B" w14:textId="77777777" w:rsidR="00BC1539" w:rsidRDefault="00BC1539" w:rsidP="00011592">
      <w:pPr>
        <w:pStyle w:val="BodyText"/>
      </w:pPr>
      <w:r>
        <w:t>Capital stock in any year reflects investment undertaken in previous years. Starting the PIM at the beginning of the investigation period would therefore omit older capital that remains in use and understate the opening capital stock.</w:t>
      </w:r>
    </w:p>
    <w:p w14:paraId="41B6FE7E" w14:textId="0A61BDEF" w:rsidR="00BC1539" w:rsidRDefault="00BC1539" w:rsidP="00011592">
      <w:pPr>
        <w:pStyle w:val="BodyText"/>
      </w:pPr>
      <w:r>
        <w:lastRenderedPageBreak/>
        <w:t>To reduce this initial</w:t>
      </w:r>
      <w:r w:rsidR="00541146">
        <w:noBreakHyphen/>
      </w:r>
      <w:r>
        <w:t>condition problem, the PC starts each firm's capital stock series in 2001</w:t>
      </w:r>
      <w:r w:rsidR="0090267A">
        <w:t>–</w:t>
      </w:r>
      <w:r>
        <w:t>02, the first year available in BLADE. This allows earlier investment to accumulate before the investigation period begins. The warm</w:t>
      </w:r>
      <w:r w:rsidR="00541146">
        <w:noBreakHyphen/>
      </w:r>
      <w:r>
        <w:t xml:space="preserve">up years are then excluded from the </w:t>
      </w:r>
      <w:proofErr w:type="gramStart"/>
      <w:r>
        <w:t>final results</w:t>
      </w:r>
      <w:proofErr w:type="gramEnd"/>
      <w:r>
        <w:t>.</w:t>
      </w:r>
    </w:p>
    <w:p w14:paraId="244DF314" w14:textId="33657EE9" w:rsidR="00BC1539" w:rsidRPr="00207503" w:rsidRDefault="00BC1539" w:rsidP="00011592">
      <w:pPr>
        <w:pStyle w:val="BodyText"/>
        <w:rPr>
          <w:spacing w:val="-2"/>
        </w:rPr>
      </w:pPr>
      <w:r w:rsidRPr="00207503">
        <w:rPr>
          <w:spacing w:val="-2"/>
        </w:rPr>
        <w:t>Reported non</w:t>
      </w:r>
      <w:r w:rsidR="00541146" w:rsidRPr="00207503">
        <w:rPr>
          <w:spacing w:val="-2"/>
        </w:rPr>
        <w:noBreakHyphen/>
      </w:r>
      <w:r w:rsidRPr="00207503">
        <w:rPr>
          <w:spacing w:val="-2"/>
        </w:rPr>
        <w:t>current assets provide an additional anchor. The first time a firm reports non</w:t>
      </w:r>
      <w:r w:rsidR="00541146" w:rsidRPr="00207503">
        <w:rPr>
          <w:spacing w:val="-2"/>
        </w:rPr>
        <w:noBreakHyphen/>
      </w:r>
      <w:r w:rsidRPr="00207503">
        <w:rPr>
          <w:spacing w:val="-2"/>
        </w:rPr>
        <w:t>current assets, the PC raises the running PIM estimate to that value if the reported amount is higher. This adjustment is made at most once for each firm and only increases the estimate, because accounting depreciation may reduce book values more quickly than the economic depreciation rate used in the PIM.</w:t>
      </w:r>
    </w:p>
    <w:p w14:paraId="5D730ECB" w14:textId="77777777" w:rsidR="00BC1539" w:rsidRDefault="00BC1539" w:rsidP="00011592">
      <w:pPr>
        <w:pStyle w:val="Heading5"/>
      </w:pPr>
      <w:r w:rsidRPr="00E82C43">
        <w:t>Treatment of missing and zero investment</w:t>
      </w:r>
    </w:p>
    <w:p w14:paraId="220B7B5B" w14:textId="77777777" w:rsidR="00BC1539" w:rsidRPr="00D80B4A" w:rsidRDefault="00BC1539" w:rsidP="00011592">
      <w:pPr>
        <w:pStyle w:val="BodyText"/>
      </w:pPr>
      <w:r w:rsidRPr="00D80B4A">
        <w:t>The method distinguishes between a reported zero and a missing investment observation.</w:t>
      </w:r>
    </w:p>
    <w:p w14:paraId="2D882455" w14:textId="77777777" w:rsidR="00BC1539" w:rsidRPr="00D80B4A" w:rsidRDefault="00BC1539" w:rsidP="00011592">
      <w:pPr>
        <w:pStyle w:val="BodyText"/>
      </w:pPr>
      <w:r w:rsidRPr="00D80B4A">
        <w:t>A reported zero is treated as genuine zero investment. Existing capital continues to depreciate, but no new investment is added:</w:t>
      </w:r>
    </w:p>
    <w:p w14:paraId="5AE6954A" w14:textId="77777777" w:rsidR="00BC1539" w:rsidRPr="00D80B4A" w:rsidRDefault="00000000" w:rsidP="00011592">
      <w:pPr>
        <w:pStyle w:val="BodyText"/>
      </w:pPr>
      <m:oMathPara>
        <m:oMath>
          <m:sSub>
            <m:sSubPr>
              <m:ctrlPr>
                <w:rPr>
                  <w:rFonts w:ascii="Cambria Math" w:hAnsi="Cambria Math"/>
                </w:rPr>
              </m:ctrlPr>
            </m:sSubPr>
            <m:e>
              <m:r>
                <w:rPr>
                  <w:rFonts w:ascii="Cambria Math" w:hAnsi="Cambria Math"/>
                </w:rPr>
                <m:t>k</m:t>
              </m:r>
            </m:e>
            <m:sub>
              <m:r>
                <w:rPr>
                  <w:rFonts w:ascii="Cambria Math" w:hAnsi="Cambria Math"/>
                </w:rPr>
                <m:t>t</m:t>
              </m:r>
            </m:sub>
          </m:sSub>
          <m:r>
            <w:rPr>
              <w:rFonts w:ascii="Cambria Math" w:hAnsi="Cambria Math"/>
            </w:rPr>
            <m:t>=</m:t>
          </m:r>
          <m:d>
            <m:dPr>
              <m:ctrlPr>
                <w:rPr>
                  <w:rFonts w:ascii="Cambria Math" w:hAnsi="Cambria Math"/>
                </w:rPr>
              </m:ctrlPr>
            </m:dPr>
            <m:e>
              <m:r>
                <w:rPr>
                  <w:rFonts w:ascii="Cambria Math" w:hAnsi="Cambria Math"/>
                </w:rPr>
                <m:t>1-</m:t>
              </m:r>
              <m:sSub>
                <m:sSubPr>
                  <m:ctrlPr>
                    <w:rPr>
                      <w:rFonts w:ascii="Cambria Math" w:hAnsi="Cambria Math"/>
                    </w:rPr>
                  </m:ctrlPr>
                </m:sSubPr>
                <m:e>
                  <m:r>
                    <w:rPr>
                      <w:rFonts w:ascii="Cambria Math" w:hAnsi="Cambria Math"/>
                    </w:rPr>
                    <m:t>δ</m:t>
                  </m:r>
                </m:e>
                <m:sub>
                  <m:r>
                    <w:rPr>
                      <w:rFonts w:ascii="Cambria Math" w:hAnsi="Cambria Math"/>
                    </w:rPr>
                    <m:t>t</m:t>
                  </m:r>
                </m:sub>
              </m:sSub>
            </m:e>
          </m:d>
          <m:sSub>
            <m:sSubPr>
              <m:ctrlPr>
                <w:rPr>
                  <w:rFonts w:ascii="Cambria Math" w:hAnsi="Cambria Math"/>
                </w:rPr>
              </m:ctrlPr>
            </m:sSubPr>
            <m:e>
              <m:r>
                <w:rPr>
                  <w:rFonts w:ascii="Cambria Math" w:hAnsi="Cambria Math"/>
                </w:rPr>
                <m:t>k</m:t>
              </m:r>
            </m:e>
            <m:sub>
              <m:r>
                <w:rPr>
                  <w:rFonts w:ascii="Cambria Math" w:hAnsi="Cambria Math"/>
                </w:rPr>
                <m:t>t-1</m:t>
              </m:r>
            </m:sub>
          </m:sSub>
        </m:oMath>
      </m:oMathPara>
    </w:p>
    <w:p w14:paraId="5AFA0B80" w14:textId="77777777" w:rsidR="00BC1539" w:rsidRPr="003A611F" w:rsidRDefault="00BC1539" w:rsidP="00011592">
      <w:pPr>
        <w:pStyle w:val="BodyText"/>
        <w:rPr>
          <w:spacing w:val="-4"/>
        </w:rPr>
      </w:pPr>
      <w:r w:rsidRPr="003A611F">
        <w:rPr>
          <w:spacing w:val="-4"/>
        </w:rPr>
        <w:t>A missing investment observation means that investment is unobserved, not that the firm's capital stock has disappeared. The existing stock therefore continues to depreciate while no observed investment is added. After several consecutive missing observations, the accumulated depreciation can be expressed as:</w:t>
      </w:r>
    </w:p>
    <w:p w14:paraId="4598229D" w14:textId="77777777" w:rsidR="00BC1539" w:rsidRDefault="00000000" w:rsidP="00011592">
      <w:pPr>
        <w:pStyle w:val="BodyText"/>
      </w:pPr>
      <m:oMathPara>
        <m:oMath>
          <m:sSub>
            <m:sSubPr>
              <m:ctrlPr>
                <w:rPr>
                  <w:rFonts w:ascii="Cambria Math" w:hAnsi="Cambria Math"/>
                </w:rPr>
              </m:ctrlPr>
            </m:sSubPr>
            <m:e>
              <m:r>
                <w:rPr>
                  <w:rFonts w:ascii="Cambria Math" w:hAnsi="Cambria Math"/>
                </w:rPr>
                <m:t>k</m:t>
              </m:r>
            </m:e>
            <m:sub>
              <m:r>
                <w:rPr>
                  <w:rFonts w:ascii="Cambria Math" w:hAnsi="Cambria Math"/>
                </w:rPr>
                <m:t>t</m:t>
              </m:r>
            </m:sub>
          </m:sSub>
          <m:r>
            <w:rPr>
              <w:rFonts w:ascii="Cambria Math" w:hAnsi="Cambria Math"/>
            </w:rPr>
            <m:t>=</m:t>
          </m:r>
          <m:sSup>
            <m:sSupPr>
              <m:ctrlPr>
                <w:rPr>
                  <w:rFonts w:ascii="Cambria Math" w:hAnsi="Cambria Math"/>
                </w:rPr>
              </m:ctrlPr>
            </m:sSupPr>
            <m:e>
              <m:d>
                <m:dPr>
                  <m:ctrlPr>
                    <w:rPr>
                      <w:rFonts w:ascii="Cambria Math" w:hAnsi="Cambria Math"/>
                    </w:rPr>
                  </m:ctrlPr>
                </m:dPr>
                <m:e>
                  <m:r>
                    <w:rPr>
                      <w:rFonts w:ascii="Cambria Math" w:hAnsi="Cambria Math"/>
                    </w:rPr>
                    <m:t>1-δ</m:t>
                  </m:r>
                </m:e>
              </m:d>
            </m:e>
            <m:sup>
              <m:sSub>
                <m:sSubPr>
                  <m:ctrlPr>
                    <w:rPr>
                      <w:rFonts w:ascii="Cambria Math" w:hAnsi="Cambria Math"/>
                    </w:rPr>
                  </m:ctrlPr>
                </m:sSubPr>
                <m:e>
                  <m:r>
                    <w:rPr>
                      <w:rFonts w:ascii="Cambria Math" w:hAnsi="Cambria Math"/>
                    </w:rPr>
                    <m:t>g</m:t>
                  </m:r>
                </m:e>
                <m:sub>
                  <m:r>
                    <w:rPr>
                      <w:rFonts w:ascii="Cambria Math" w:hAnsi="Cambria Math"/>
                    </w:rPr>
                    <m:t>t</m:t>
                  </m:r>
                </m:sub>
              </m:sSub>
            </m:sup>
          </m:sSup>
          <m:sSub>
            <m:sSubPr>
              <m:ctrlPr>
                <w:rPr>
                  <w:rFonts w:ascii="Cambria Math" w:hAnsi="Cambria Math"/>
                </w:rPr>
              </m:ctrlPr>
            </m:sSubPr>
            <m:e>
              <m:r>
                <w:rPr>
                  <w:rFonts w:ascii="Cambria Math" w:hAnsi="Cambria Math"/>
                </w:rPr>
                <m:t>k</m:t>
              </m:r>
            </m:e>
            <m:sub>
              <m:r>
                <w:rPr>
                  <w:rFonts w:ascii="Cambria Math" w:hAnsi="Cambria Math"/>
                </w:rPr>
                <m:t>t-</m:t>
              </m:r>
              <m:sSub>
                <m:sSubPr>
                  <m:ctrlPr>
                    <w:rPr>
                      <w:rFonts w:ascii="Cambria Math" w:hAnsi="Cambria Math"/>
                    </w:rPr>
                  </m:ctrlPr>
                </m:sSubPr>
                <m:e>
                  <m:r>
                    <w:rPr>
                      <w:rFonts w:ascii="Cambria Math" w:hAnsi="Cambria Math"/>
                    </w:rPr>
                    <m:t>g</m:t>
                  </m:r>
                </m:e>
                <m:sub>
                  <m:r>
                    <w:rPr>
                      <w:rFonts w:ascii="Cambria Math" w:hAnsi="Cambria Math"/>
                    </w:rPr>
                    <m:t>t</m:t>
                  </m:r>
                </m:sub>
              </m:sSub>
            </m:sub>
          </m:sSub>
        </m:oMath>
      </m:oMathPara>
    </w:p>
    <w:p w14:paraId="7874B733" w14:textId="77777777" w:rsidR="00BC1539" w:rsidRDefault="00BC1539" w:rsidP="00011592">
      <w:pPr>
        <w:pStyle w:val="BodyText"/>
        <w:rPr>
          <w:rFonts w:eastAsiaTheme="minorEastAsia"/>
        </w:rPr>
      </w:pPr>
      <w:r w:rsidRPr="00815584">
        <w:rPr>
          <w:rFonts w:eastAsiaTheme="minorEastAsia"/>
        </w:rPr>
        <w:t xml:space="preserve">where </w:t>
      </w:r>
      <m:oMath>
        <m:sSub>
          <m:sSubPr>
            <m:ctrlPr>
              <w:rPr>
                <w:rFonts w:ascii="Cambria Math" w:eastAsiaTheme="minorEastAsia" w:hAnsi="Cambria Math"/>
              </w:rPr>
            </m:ctrlPr>
          </m:sSubPr>
          <m:e>
            <m:r>
              <w:rPr>
                <w:rFonts w:ascii="Cambria Math" w:eastAsiaTheme="minorEastAsia" w:hAnsi="Cambria Math"/>
              </w:rPr>
              <m:t>g</m:t>
            </m:r>
          </m:e>
          <m:sub>
            <m:r>
              <w:rPr>
                <w:rFonts w:ascii="Cambria Math" w:eastAsiaTheme="minorEastAsia" w:hAnsi="Cambria Math"/>
              </w:rPr>
              <m:t>t</m:t>
            </m:r>
          </m:sub>
        </m:sSub>
      </m:oMath>
      <w:r w:rsidRPr="00815584">
        <w:rPr>
          <w:rFonts w:eastAsiaTheme="minorEastAsia"/>
        </w:rPr>
        <w:t xml:space="preserve"> is the number of consecutive years with no observed investment.</w:t>
      </w:r>
    </w:p>
    <w:p w14:paraId="30A51B63" w14:textId="0C921980" w:rsidR="00BC1539" w:rsidRDefault="00BC1539" w:rsidP="00011592">
      <w:pPr>
        <w:pStyle w:val="BodyText"/>
        <w:rPr>
          <w:rFonts w:eastAsiaTheme="minorEastAsia"/>
        </w:rPr>
      </w:pPr>
      <w:r w:rsidRPr="00815584">
        <w:rPr>
          <w:rFonts w:eastAsiaTheme="minorEastAsia"/>
        </w:rPr>
        <w:t>After three consecutive years of missing investment data, the PC re</w:t>
      </w:r>
      <w:r w:rsidR="00541146">
        <w:rPr>
          <w:rFonts w:eastAsiaTheme="minorEastAsia"/>
        </w:rPr>
        <w:noBreakHyphen/>
      </w:r>
      <w:r w:rsidRPr="00815584">
        <w:rPr>
          <w:rFonts w:eastAsiaTheme="minorEastAsia"/>
        </w:rPr>
        <w:t>anchors the estimate to reported non</w:t>
      </w:r>
      <w:r w:rsidR="00541146">
        <w:rPr>
          <w:rFonts w:eastAsiaTheme="minorEastAsia"/>
        </w:rPr>
        <w:noBreakHyphen/>
      </w:r>
      <w:r w:rsidRPr="00815584">
        <w:rPr>
          <w:rFonts w:eastAsiaTheme="minorEastAsia"/>
        </w:rPr>
        <w:t>current assets where those data are available. If non</w:t>
      </w:r>
      <w:r w:rsidR="00541146">
        <w:rPr>
          <w:rFonts w:eastAsiaTheme="minorEastAsia"/>
        </w:rPr>
        <w:noBreakHyphen/>
      </w:r>
      <w:r w:rsidRPr="00815584">
        <w:rPr>
          <w:rFonts w:eastAsiaTheme="minorEastAsia"/>
        </w:rPr>
        <w:t>current assets are unavailable, the capital stock series continues from the existing PIM estimate.</w:t>
      </w:r>
    </w:p>
    <w:p w14:paraId="4918622E" w14:textId="77777777" w:rsidR="00BC1539" w:rsidRPr="00665B2A" w:rsidRDefault="00BC1539" w:rsidP="00011592">
      <w:pPr>
        <w:pStyle w:val="BodyText"/>
        <w:rPr>
          <w:rFonts w:eastAsiaTheme="minorEastAsia"/>
        </w:rPr>
      </w:pPr>
      <w:r w:rsidRPr="00815584">
        <w:rPr>
          <w:rFonts w:eastAsiaTheme="minorEastAsia"/>
        </w:rPr>
        <w:t>This treatment avoids interpreting gaps in administrative reporting as either zero investment or the disappearance of a firm's existing capital stock.</w:t>
      </w:r>
    </w:p>
    <w:p w14:paraId="477B67E9" w14:textId="77777777" w:rsidR="00BC1539" w:rsidRDefault="00BC1539" w:rsidP="00011592">
      <w:pPr>
        <w:pStyle w:val="Heading5"/>
      </w:pPr>
      <w:r w:rsidRPr="00E82C43">
        <w:t>Remaining limitations</w:t>
      </w:r>
    </w:p>
    <w:p w14:paraId="644E3061" w14:textId="7D43DE4F" w:rsidR="00BC1539" w:rsidRDefault="00BC1539" w:rsidP="00011592">
      <w:pPr>
        <w:pStyle w:val="BodyText"/>
      </w:pPr>
      <w:r>
        <w:t>The estimates remain subject to several limitations. Investment is likely to be understated for small business entities because expenditure reported under item 10 of the simplified depreciation schedule is not yet captured. Non</w:t>
      </w:r>
      <w:r w:rsidR="00541146">
        <w:noBreakHyphen/>
      </w:r>
      <w:r>
        <w:t>current assets are unavailable for sole traders because they do not provide a BIT balance sheet, making their capital stock estimates more dependent on observed investment flows and initial conditions.</w:t>
      </w:r>
      <w:r w:rsidRPr="007D57DD">
        <w:rPr>
          <w:rStyle w:val="FootnoteReference"/>
        </w:rPr>
        <w:t xml:space="preserve"> </w:t>
      </w:r>
      <w:r>
        <w:rPr>
          <w:rStyle w:val="FootnoteReference"/>
        </w:rPr>
        <w:footnoteReference w:id="50"/>
      </w:r>
      <w:r>
        <w:t xml:space="preserve"> A common manufacturing deflator and depreciation rate are also applied across firms, although the composition and useful lives of their assets may differ. Finally, investment flows do not capture capital acquired through mergers and acquisitions.</w:t>
      </w:r>
    </w:p>
    <w:p w14:paraId="26A2F82B" w14:textId="579A9261" w:rsidR="00BC1539" w:rsidRPr="005B63BE" w:rsidRDefault="00BC1539" w:rsidP="00011592">
      <w:pPr>
        <w:pStyle w:val="BodyText"/>
      </w:pPr>
      <w:r>
        <w:t>Despite these limitations, the approach combines the available administrative information with an established method for accumulating investment into capital stock. It also explicitly accounts for missing observations and avoids relying on firm</w:t>
      </w:r>
      <w:r w:rsidR="00541146">
        <w:noBreakHyphen/>
      </w:r>
      <w:r>
        <w:t>reported depreciation expenses that may be distorted by tax treatment.</w:t>
      </w:r>
    </w:p>
    <w:p w14:paraId="551757EC" w14:textId="77777777" w:rsidR="00BC1539" w:rsidRDefault="00BC1539" w:rsidP="00011592">
      <w:pPr>
        <w:pStyle w:val="Heading3"/>
        <w:rPr>
          <w:kern w:val="2"/>
          <w:szCs w:val="26"/>
          <w:lang w:eastAsia="en-AU"/>
          <w14:ligatures w14:val="standardContextual"/>
        </w:rPr>
      </w:pPr>
      <w:r>
        <w:lastRenderedPageBreak/>
        <w:t>Productivity</w:t>
      </w:r>
    </w:p>
    <w:p w14:paraId="7B94CB74" w14:textId="77777777" w:rsidR="00BC1539" w:rsidRPr="00207503" w:rsidRDefault="00BC1539" w:rsidP="00011592">
      <w:pPr>
        <w:pStyle w:val="BodyText"/>
        <w:rPr>
          <w:spacing w:val="-2"/>
          <w:kern w:val="2"/>
          <w:lang w:eastAsia="en-AU"/>
          <w14:ligatures w14:val="standardContextual"/>
        </w:rPr>
      </w:pPr>
      <w:r w:rsidRPr="00207503">
        <w:rPr>
          <w:spacing w:val="-2"/>
        </w:rPr>
        <w:t>Two productivity measures are produced: labour productivity, which relates output to labour alone, and total factor productivity (TFP), which relates output to combined labour and capital input. Both use value added as the output measure. This section defines value added, the labour and capital inputs, and the user cost of capital that converts the capital stock into a service flow comparable to the wage bill.</w:t>
      </w:r>
    </w:p>
    <w:p w14:paraId="164E0F5D" w14:textId="77777777" w:rsidR="00BC1539" w:rsidRDefault="00BC1539" w:rsidP="00011592">
      <w:pPr>
        <w:pStyle w:val="Heading4"/>
        <w:rPr>
          <w:kern w:val="2"/>
          <w:lang w:eastAsia="en-AU"/>
          <w14:ligatures w14:val="standardContextual"/>
        </w:rPr>
      </w:pPr>
      <w:r>
        <w:t>Value added</w:t>
      </w:r>
    </w:p>
    <w:p w14:paraId="4BB01DC1" w14:textId="64F2F917" w:rsidR="00BC1539" w:rsidRDefault="00BC1539" w:rsidP="00011592">
      <w:pPr>
        <w:pStyle w:val="BodyText"/>
        <w:rPr>
          <w:kern w:val="2"/>
          <w:lang w:eastAsia="en-AU"/>
          <w14:ligatures w14:val="standardContextual"/>
        </w:rPr>
      </w:pPr>
      <w:r>
        <w:t xml:space="preserve">Value added </w:t>
      </w:r>
      <w:r w:rsidR="00EC29E8">
        <w:t xml:space="preserve">(VA) </w:t>
      </w:r>
      <w:r>
        <w:t>is gross output less intermediate consumption. It is built from the BIT profit</w:t>
      </w:r>
      <w:r w:rsidR="00541146">
        <w:noBreakHyphen/>
      </w:r>
      <w:r>
        <w:t>and</w:t>
      </w:r>
      <w:r w:rsidR="00541146">
        <w:noBreakHyphen/>
      </w:r>
      <w:r>
        <w:t>loss statement as:</w:t>
      </w:r>
    </w:p>
    <w:p w14:paraId="3E724D14" w14:textId="77777777" w:rsidR="00BC1539" w:rsidRDefault="00BC1539" w:rsidP="00011592">
      <w:pPr>
        <w:pStyle w:val="Quote"/>
        <w:jc w:val="center"/>
        <w:rPr>
          <w:kern w:val="2"/>
          <w:lang w:eastAsia="en-AU"/>
          <w14:ligatures w14:val="standardContextual"/>
        </w:rPr>
      </w:pPr>
      <w:r>
        <w:t xml:space="preserve">VA = revenue − </w:t>
      </w:r>
      <w:proofErr w:type="spellStart"/>
      <w:r>
        <w:t>total_expenses</w:t>
      </w:r>
      <w:proofErr w:type="spellEnd"/>
      <w:r>
        <w:t xml:space="preserve"> + </w:t>
      </w:r>
      <w:proofErr w:type="spellStart"/>
      <w:r>
        <w:t>labour_expenses</w:t>
      </w:r>
      <w:proofErr w:type="spellEnd"/>
      <w:r>
        <w:t xml:space="preserve"> + </w:t>
      </w:r>
      <w:proofErr w:type="spellStart"/>
      <w:r>
        <w:t>capital_expenses</w:t>
      </w:r>
      <w:proofErr w:type="spellEnd"/>
      <w:r>
        <w:t xml:space="preserve"> + </w:t>
      </w:r>
      <w:proofErr w:type="spellStart"/>
      <w:r>
        <w:t>other_non_intermediate</w:t>
      </w:r>
      <w:proofErr w:type="spellEnd"/>
    </w:p>
    <w:p w14:paraId="4203DB8C" w14:textId="1449EBFD" w:rsidR="00BC1539" w:rsidRDefault="00BC1539" w:rsidP="00011592">
      <w:pPr>
        <w:pStyle w:val="BodyText"/>
        <w:rPr>
          <w:kern w:val="2"/>
          <w:lang w:eastAsia="en-AU"/>
          <w14:ligatures w14:val="standardContextual"/>
        </w:rPr>
      </w:pPr>
      <w:r>
        <w:t>Total expenses are first subtracted from revenue; the primary</w:t>
      </w:r>
      <w:r w:rsidR="00541146">
        <w:noBreakHyphen/>
      </w:r>
      <w:r>
        <w:t>factor and other non</w:t>
      </w:r>
      <w:r w:rsidR="00541146">
        <w:noBreakHyphen/>
      </w:r>
      <w:r>
        <w:t xml:space="preserve">intermediate components of those expenses are then added back, so that only intermediate inputs are netted out </w:t>
      </w:r>
      <w:r w:rsidRPr="00A72927">
        <w:rPr>
          <w:rFonts w:cs="Open Sans"/>
        </w:rPr>
        <w:t>(</w:t>
      </w:r>
      <w:proofErr w:type="spellStart"/>
      <w:r w:rsidRPr="00A72927">
        <w:rPr>
          <w:rFonts w:cs="Open Sans"/>
        </w:rPr>
        <w:t>Hambur</w:t>
      </w:r>
      <w:proofErr w:type="spellEnd"/>
      <w:r w:rsidRPr="00A72927">
        <w:rPr>
          <w:rFonts w:cs="Open Sans"/>
        </w:rPr>
        <w:t xml:space="preserve"> and Andrews 2023</w:t>
      </w:r>
      <w:r w:rsidR="00F0023F">
        <w:rPr>
          <w:rFonts w:cs="Open Sans"/>
        </w:rPr>
        <w:t>b</w:t>
      </w:r>
      <w:r w:rsidRPr="00A72927">
        <w:rPr>
          <w:rFonts w:cs="Open Sans"/>
        </w:rPr>
        <w:t>, p. 25)</w:t>
      </w:r>
      <w:r>
        <w:t>. Each component is itself a sum of the underlying BIT fields in table</w:t>
      </w:r>
      <w:r w:rsidR="00A613E7">
        <w:t> </w:t>
      </w:r>
      <w:r>
        <w:t>B.1</w:t>
      </w:r>
      <w:r w:rsidR="000C3625">
        <w:t>1</w:t>
      </w:r>
      <w:r>
        <w:t>. The fields are mutually exclusive across the 4 BIT entity forms (company, individual, partnership, trust), so the sums combine correctly across forms. Missing fields are treated as zero; a firm</w:t>
      </w:r>
      <w:r w:rsidR="00541146">
        <w:noBreakHyphen/>
      </w:r>
      <w:r>
        <w:t xml:space="preserve">year with </w:t>
      </w:r>
      <w:proofErr w:type="gramStart"/>
      <w:r>
        <w:t>no</w:t>
      </w:r>
      <w:proofErr w:type="gramEnd"/>
      <w:r>
        <w:t xml:space="preserve"> non</w:t>
      </w:r>
      <w:r w:rsidR="00541146">
        <w:noBreakHyphen/>
      </w:r>
      <w:r>
        <w:t>missing component is left missing rather than set to zero.</w:t>
      </w:r>
    </w:p>
    <w:p w14:paraId="0CBF914D" w14:textId="632566F6" w:rsidR="00BC1539" w:rsidRDefault="00BC1539" w:rsidP="00011592">
      <w:pPr>
        <w:pStyle w:val="FigureTableHeading"/>
        <w:rPr>
          <w:kern w:val="2"/>
          <w:szCs w:val="20"/>
          <w:lang w:eastAsia="en-AU"/>
          <w14:ligatures w14:val="standardContextual"/>
        </w:rPr>
      </w:pPr>
      <w:r>
        <w:t>Table B.1</w:t>
      </w:r>
      <w:r w:rsidR="000C3625">
        <w:t>1</w:t>
      </w:r>
      <w:r>
        <w:t xml:space="preserve"> – Value</w:t>
      </w:r>
      <w:r w:rsidR="00541146">
        <w:noBreakHyphen/>
      </w:r>
      <w:r>
        <w:t>added components and their BIT fields by entity form</w:t>
      </w:r>
    </w:p>
    <w:tbl>
      <w:tblPr>
        <w:tblW w:w="5000" w:type="pct"/>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3687"/>
        <w:gridCol w:w="1274"/>
        <w:gridCol w:w="1559"/>
        <w:gridCol w:w="1559"/>
        <w:gridCol w:w="1559"/>
      </w:tblGrid>
      <w:tr w:rsidR="00BC1539" w:rsidRPr="00B21F97" w14:paraId="79D4CA14" w14:textId="77777777" w:rsidTr="00CD19C8">
        <w:trPr>
          <w:tblHeader/>
        </w:trPr>
        <w:tc>
          <w:tcPr>
            <w:tcW w:w="1912" w:type="pct"/>
            <w:tcBorders>
              <w:bottom w:val="single" w:sz="4" w:space="0" w:color="B3B3B3"/>
            </w:tcBorders>
            <w:shd w:val="clear" w:color="000000" w:fill="auto"/>
            <w:vAlign w:val="bottom"/>
            <w:hideMark/>
          </w:tcPr>
          <w:p w14:paraId="2C35E7AD" w14:textId="77777777" w:rsidR="00BC1539" w:rsidRPr="00B21F97" w:rsidRDefault="00BC1539" w:rsidP="00B21F97">
            <w:pPr>
              <w:pStyle w:val="TableHeading"/>
              <w:spacing w:before="45" w:after="45"/>
              <w:rPr>
                <w:rFonts w:cs="Open Sans"/>
                <w:color w:val="1D4374"/>
                <w:kern w:val="2"/>
                <w:szCs w:val="18"/>
                <w:lang w:eastAsia="en-AU"/>
                <w14:ligatures w14:val="standardContextual"/>
              </w:rPr>
            </w:pPr>
            <w:r w:rsidRPr="00B21F97">
              <w:rPr>
                <w:rFonts w:cs="Open Sans"/>
                <w:color w:val="1D4374"/>
              </w:rPr>
              <w:t>Input variable</w:t>
            </w:r>
          </w:p>
        </w:tc>
        <w:tc>
          <w:tcPr>
            <w:tcW w:w="661" w:type="pct"/>
            <w:tcBorders>
              <w:bottom w:val="single" w:sz="4" w:space="0" w:color="B3B3B3"/>
            </w:tcBorders>
            <w:shd w:val="clear" w:color="000000" w:fill="auto"/>
            <w:vAlign w:val="bottom"/>
            <w:hideMark/>
          </w:tcPr>
          <w:p w14:paraId="2B05B43C" w14:textId="77777777" w:rsidR="00BC1539" w:rsidRPr="00B21F97" w:rsidRDefault="00BC1539" w:rsidP="00B21F97">
            <w:pPr>
              <w:pStyle w:val="TableHeading"/>
              <w:spacing w:before="45" w:after="45"/>
              <w:rPr>
                <w:rFonts w:cs="Open Sans"/>
                <w:color w:val="1D4374"/>
              </w:rPr>
            </w:pPr>
            <w:r w:rsidRPr="00B21F97">
              <w:rPr>
                <w:rFonts w:cs="Open Sans"/>
                <w:color w:val="1D4374"/>
              </w:rPr>
              <w:t>Company</w:t>
            </w:r>
          </w:p>
        </w:tc>
        <w:tc>
          <w:tcPr>
            <w:tcW w:w="809" w:type="pct"/>
            <w:tcBorders>
              <w:bottom w:val="single" w:sz="4" w:space="0" w:color="B3B3B3"/>
            </w:tcBorders>
            <w:shd w:val="clear" w:color="000000" w:fill="auto"/>
            <w:vAlign w:val="bottom"/>
            <w:hideMark/>
          </w:tcPr>
          <w:p w14:paraId="14E03A37" w14:textId="77777777" w:rsidR="00BC1539" w:rsidRPr="00B21F97" w:rsidRDefault="00BC1539" w:rsidP="00B21F97">
            <w:pPr>
              <w:pStyle w:val="TableHeading"/>
              <w:spacing w:before="45" w:after="45"/>
              <w:rPr>
                <w:rFonts w:cs="Open Sans"/>
                <w:color w:val="1D4374"/>
              </w:rPr>
            </w:pPr>
            <w:r w:rsidRPr="00B21F97">
              <w:rPr>
                <w:rFonts w:cs="Open Sans"/>
                <w:color w:val="1D4374"/>
              </w:rPr>
              <w:t>Individual</w:t>
            </w:r>
          </w:p>
        </w:tc>
        <w:tc>
          <w:tcPr>
            <w:tcW w:w="809" w:type="pct"/>
            <w:tcBorders>
              <w:bottom w:val="single" w:sz="4" w:space="0" w:color="B3B3B3"/>
            </w:tcBorders>
            <w:shd w:val="clear" w:color="000000" w:fill="auto"/>
            <w:vAlign w:val="bottom"/>
            <w:hideMark/>
          </w:tcPr>
          <w:p w14:paraId="79261057" w14:textId="77777777" w:rsidR="00BC1539" w:rsidRPr="00B21F97" w:rsidRDefault="00BC1539" w:rsidP="00B21F97">
            <w:pPr>
              <w:pStyle w:val="TableHeading"/>
              <w:spacing w:before="45" w:after="45"/>
              <w:rPr>
                <w:rFonts w:cs="Open Sans"/>
                <w:color w:val="1D4374"/>
              </w:rPr>
            </w:pPr>
            <w:r w:rsidRPr="00B21F97">
              <w:rPr>
                <w:rFonts w:cs="Open Sans"/>
                <w:color w:val="1D4374"/>
              </w:rPr>
              <w:t>Partnership</w:t>
            </w:r>
          </w:p>
        </w:tc>
        <w:tc>
          <w:tcPr>
            <w:tcW w:w="809" w:type="pct"/>
            <w:tcBorders>
              <w:bottom w:val="single" w:sz="4" w:space="0" w:color="B3B3B3"/>
            </w:tcBorders>
            <w:shd w:val="clear" w:color="000000" w:fill="auto"/>
            <w:vAlign w:val="bottom"/>
            <w:hideMark/>
          </w:tcPr>
          <w:p w14:paraId="444DDAEF" w14:textId="77777777" w:rsidR="00BC1539" w:rsidRPr="00B21F97" w:rsidRDefault="00BC1539" w:rsidP="00B21F97">
            <w:pPr>
              <w:pStyle w:val="TableHeading"/>
              <w:spacing w:before="45" w:after="45"/>
              <w:rPr>
                <w:rFonts w:cs="Open Sans"/>
                <w:color w:val="1D4374"/>
              </w:rPr>
            </w:pPr>
            <w:r w:rsidRPr="00B21F97">
              <w:rPr>
                <w:rFonts w:cs="Open Sans"/>
                <w:color w:val="1D4374"/>
              </w:rPr>
              <w:t>Trust</w:t>
            </w:r>
          </w:p>
        </w:tc>
      </w:tr>
      <w:tr w:rsidR="00BC1539" w:rsidRPr="00B21F97" w14:paraId="75AC8D7B" w14:textId="77777777" w:rsidTr="00CD19C8">
        <w:tc>
          <w:tcPr>
            <w:tcW w:w="1912" w:type="pct"/>
            <w:tcBorders>
              <w:top w:val="single" w:sz="4" w:space="0" w:color="B3B3B3"/>
              <w:bottom w:val="nil"/>
            </w:tcBorders>
            <w:shd w:val="clear" w:color="000000" w:fill="E6E6E6"/>
            <w:hideMark/>
          </w:tcPr>
          <w:p w14:paraId="73595780" w14:textId="77777777" w:rsidR="00BC1539" w:rsidRPr="00B21F97" w:rsidRDefault="00BC1539" w:rsidP="00B21F97">
            <w:pPr>
              <w:pStyle w:val="TableBodyHeading"/>
              <w:spacing w:before="45" w:after="45"/>
              <w:ind w:right="108"/>
              <w:rPr>
                <w:rFonts w:cs="Open Sans"/>
                <w:color w:val="1D4374"/>
              </w:rPr>
            </w:pPr>
            <w:r w:rsidRPr="00B21F97">
              <w:rPr>
                <w:rFonts w:cs="Open Sans"/>
                <w:color w:val="1D4374"/>
              </w:rPr>
              <w:t xml:space="preserve">revenue: </w:t>
            </w:r>
            <w:proofErr w:type="spellStart"/>
            <w:r w:rsidRPr="00B21F97">
              <w:rPr>
                <w:rFonts w:cs="Open Sans"/>
                <w:color w:val="1D4374"/>
              </w:rPr>
              <w:t>total_income</w:t>
            </w:r>
            <w:proofErr w:type="spellEnd"/>
          </w:p>
        </w:tc>
        <w:tc>
          <w:tcPr>
            <w:tcW w:w="661" w:type="pct"/>
            <w:tcBorders>
              <w:top w:val="single" w:sz="4" w:space="0" w:color="B3B3B3"/>
              <w:bottom w:val="nil"/>
            </w:tcBorders>
            <w:shd w:val="clear" w:color="000000" w:fill="E6E6E6"/>
            <w:hideMark/>
          </w:tcPr>
          <w:p w14:paraId="457EBB9E" w14:textId="77777777" w:rsidR="00BC1539" w:rsidRPr="00B21F97" w:rsidRDefault="00BC1539" w:rsidP="00B21F97">
            <w:pPr>
              <w:pStyle w:val="TableBody"/>
              <w:spacing w:before="45" w:after="45"/>
              <w:ind w:right="108"/>
              <w:rPr>
                <w:rFonts w:cs="Open Sans"/>
                <w:color w:val="000000"/>
              </w:rPr>
            </w:pPr>
            <w:proofErr w:type="spellStart"/>
            <w:r w:rsidRPr="00B21F97">
              <w:rPr>
                <w:rFonts w:cs="Open Sans"/>
                <w:color w:val="000000"/>
              </w:rPr>
              <w:t>c_totlinc</w:t>
            </w:r>
            <w:proofErr w:type="spellEnd"/>
          </w:p>
        </w:tc>
        <w:tc>
          <w:tcPr>
            <w:tcW w:w="809" w:type="pct"/>
            <w:tcBorders>
              <w:top w:val="single" w:sz="4" w:space="0" w:color="B3B3B3"/>
              <w:bottom w:val="nil"/>
            </w:tcBorders>
            <w:shd w:val="clear" w:color="000000" w:fill="E6E6E6"/>
            <w:hideMark/>
          </w:tcPr>
          <w:p w14:paraId="29F06874" w14:textId="77777777" w:rsidR="00BC1539" w:rsidRPr="00B21F97" w:rsidRDefault="00BC1539" w:rsidP="00B21F97">
            <w:pPr>
              <w:pStyle w:val="TableBody"/>
              <w:spacing w:before="45" w:after="45"/>
              <w:ind w:right="108"/>
              <w:rPr>
                <w:rFonts w:cs="Open Sans"/>
                <w:color w:val="000000"/>
              </w:rPr>
            </w:pPr>
            <w:r w:rsidRPr="00B21F97">
              <w:rPr>
                <w:rFonts w:cs="Open Sans"/>
                <w:color w:val="000000"/>
              </w:rPr>
              <w:t>-</w:t>
            </w:r>
          </w:p>
        </w:tc>
        <w:tc>
          <w:tcPr>
            <w:tcW w:w="809" w:type="pct"/>
            <w:tcBorders>
              <w:top w:val="single" w:sz="4" w:space="0" w:color="B3B3B3"/>
              <w:bottom w:val="nil"/>
            </w:tcBorders>
            <w:shd w:val="clear" w:color="000000" w:fill="E6E6E6"/>
            <w:hideMark/>
          </w:tcPr>
          <w:p w14:paraId="06E3EBA2" w14:textId="77777777" w:rsidR="00BC1539" w:rsidRPr="00B21F97" w:rsidRDefault="00BC1539" w:rsidP="00B21F97">
            <w:pPr>
              <w:pStyle w:val="TableBody"/>
              <w:spacing w:before="45" w:after="45"/>
              <w:ind w:right="108"/>
              <w:rPr>
                <w:rFonts w:cs="Open Sans"/>
                <w:color w:val="000000"/>
              </w:rPr>
            </w:pPr>
            <w:r w:rsidRPr="00B21F97">
              <w:rPr>
                <w:rFonts w:cs="Open Sans"/>
                <w:color w:val="000000"/>
              </w:rPr>
              <w:t>-</w:t>
            </w:r>
          </w:p>
        </w:tc>
        <w:tc>
          <w:tcPr>
            <w:tcW w:w="809" w:type="pct"/>
            <w:tcBorders>
              <w:top w:val="single" w:sz="4" w:space="0" w:color="B3B3B3"/>
              <w:bottom w:val="nil"/>
            </w:tcBorders>
            <w:shd w:val="clear" w:color="000000" w:fill="E6E6E6"/>
            <w:hideMark/>
          </w:tcPr>
          <w:p w14:paraId="70D34FE2" w14:textId="77777777" w:rsidR="00BC1539" w:rsidRPr="00B21F97" w:rsidRDefault="00BC1539" w:rsidP="00B21F97">
            <w:pPr>
              <w:pStyle w:val="TableBody"/>
              <w:spacing w:before="45" w:after="45"/>
              <w:ind w:right="108"/>
              <w:rPr>
                <w:rFonts w:cs="Open Sans"/>
                <w:color w:val="000000"/>
              </w:rPr>
            </w:pPr>
            <w:r w:rsidRPr="00B21F97">
              <w:rPr>
                <w:rFonts w:cs="Open Sans"/>
                <w:color w:val="000000"/>
              </w:rPr>
              <w:t>-</w:t>
            </w:r>
          </w:p>
        </w:tc>
      </w:tr>
      <w:tr w:rsidR="00BC1539" w:rsidRPr="00B21F97" w14:paraId="0A0D7890" w14:textId="77777777" w:rsidTr="00CD19C8">
        <w:tc>
          <w:tcPr>
            <w:tcW w:w="1912" w:type="pct"/>
            <w:tcBorders>
              <w:top w:val="nil"/>
              <w:bottom w:val="nil"/>
            </w:tcBorders>
            <w:shd w:val="clear" w:color="000000" w:fill="auto"/>
            <w:hideMark/>
          </w:tcPr>
          <w:p w14:paraId="77BC959A" w14:textId="77777777" w:rsidR="00BC1539" w:rsidRPr="00B21F97" w:rsidRDefault="00BC1539" w:rsidP="00B21F97">
            <w:pPr>
              <w:pStyle w:val="TableBodyHeading"/>
              <w:spacing w:before="45" w:after="45"/>
              <w:ind w:right="108"/>
              <w:rPr>
                <w:rFonts w:cs="Open Sans"/>
                <w:color w:val="1D4374"/>
              </w:rPr>
            </w:pPr>
            <w:r w:rsidRPr="00B21F97">
              <w:rPr>
                <w:rFonts w:cs="Open Sans"/>
                <w:color w:val="1D4374"/>
              </w:rPr>
              <w:t xml:space="preserve">revenue: </w:t>
            </w:r>
            <w:proofErr w:type="spellStart"/>
            <w:r w:rsidRPr="00B21F97">
              <w:rPr>
                <w:rFonts w:cs="Open Sans"/>
                <w:color w:val="1D4374"/>
              </w:rPr>
              <w:t>total_business_income</w:t>
            </w:r>
            <w:proofErr w:type="spellEnd"/>
          </w:p>
        </w:tc>
        <w:tc>
          <w:tcPr>
            <w:tcW w:w="661" w:type="pct"/>
            <w:tcBorders>
              <w:top w:val="nil"/>
              <w:bottom w:val="nil"/>
            </w:tcBorders>
            <w:shd w:val="clear" w:color="000000" w:fill="auto"/>
            <w:hideMark/>
          </w:tcPr>
          <w:p w14:paraId="18C420C5" w14:textId="77777777" w:rsidR="00BC1539" w:rsidRPr="00B21F97" w:rsidRDefault="00BC1539" w:rsidP="00B21F97">
            <w:pPr>
              <w:pStyle w:val="TableBody"/>
              <w:spacing w:before="45" w:after="45"/>
              <w:ind w:right="108"/>
              <w:rPr>
                <w:rFonts w:cs="Open Sans"/>
                <w:color w:val="000000"/>
              </w:rPr>
            </w:pPr>
            <w:r w:rsidRPr="00B21F97">
              <w:rPr>
                <w:rFonts w:cs="Open Sans"/>
                <w:color w:val="000000"/>
              </w:rPr>
              <w:t>-</w:t>
            </w:r>
          </w:p>
        </w:tc>
        <w:tc>
          <w:tcPr>
            <w:tcW w:w="809" w:type="pct"/>
            <w:tcBorders>
              <w:top w:val="nil"/>
              <w:bottom w:val="nil"/>
            </w:tcBorders>
            <w:shd w:val="clear" w:color="000000" w:fill="auto"/>
            <w:hideMark/>
          </w:tcPr>
          <w:p w14:paraId="3729E7BB" w14:textId="77777777" w:rsidR="00BC1539" w:rsidRPr="00B21F97" w:rsidRDefault="00BC1539" w:rsidP="00B21F97">
            <w:pPr>
              <w:pStyle w:val="TableBody"/>
              <w:spacing w:before="45" w:after="45"/>
              <w:ind w:right="108"/>
              <w:rPr>
                <w:rFonts w:cs="Open Sans"/>
                <w:color w:val="000000"/>
              </w:rPr>
            </w:pPr>
            <w:proofErr w:type="spellStart"/>
            <w:r w:rsidRPr="00B21F97">
              <w:rPr>
                <w:rFonts w:cs="Open Sans"/>
                <w:color w:val="000000"/>
              </w:rPr>
              <w:t>i_totbusin</w:t>
            </w:r>
            <w:proofErr w:type="spellEnd"/>
          </w:p>
        </w:tc>
        <w:tc>
          <w:tcPr>
            <w:tcW w:w="809" w:type="pct"/>
            <w:tcBorders>
              <w:top w:val="nil"/>
              <w:bottom w:val="nil"/>
            </w:tcBorders>
            <w:shd w:val="clear" w:color="000000" w:fill="auto"/>
            <w:hideMark/>
          </w:tcPr>
          <w:p w14:paraId="5DABB352" w14:textId="77777777" w:rsidR="00BC1539" w:rsidRPr="00B21F97" w:rsidRDefault="00BC1539" w:rsidP="00B21F97">
            <w:pPr>
              <w:pStyle w:val="TableBody"/>
              <w:spacing w:before="45" w:after="45"/>
              <w:ind w:right="108"/>
              <w:rPr>
                <w:rFonts w:cs="Open Sans"/>
                <w:color w:val="000000"/>
              </w:rPr>
            </w:pPr>
            <w:r w:rsidRPr="00B21F97">
              <w:rPr>
                <w:rFonts w:cs="Open Sans"/>
                <w:color w:val="000000"/>
              </w:rPr>
              <w:t>-</w:t>
            </w:r>
          </w:p>
        </w:tc>
        <w:tc>
          <w:tcPr>
            <w:tcW w:w="809" w:type="pct"/>
            <w:tcBorders>
              <w:top w:val="nil"/>
              <w:bottom w:val="nil"/>
            </w:tcBorders>
            <w:shd w:val="clear" w:color="000000" w:fill="auto"/>
            <w:hideMark/>
          </w:tcPr>
          <w:p w14:paraId="1F0B2815" w14:textId="77777777" w:rsidR="00BC1539" w:rsidRPr="00B21F97" w:rsidRDefault="00BC1539" w:rsidP="00B21F97">
            <w:pPr>
              <w:pStyle w:val="TableBody"/>
              <w:spacing w:before="45" w:after="45"/>
              <w:ind w:right="108"/>
              <w:rPr>
                <w:rFonts w:cs="Open Sans"/>
                <w:color w:val="000000"/>
              </w:rPr>
            </w:pPr>
            <w:r w:rsidRPr="00B21F97">
              <w:rPr>
                <w:rFonts w:cs="Open Sans"/>
                <w:color w:val="000000"/>
              </w:rPr>
              <w:t>-</w:t>
            </w:r>
          </w:p>
        </w:tc>
      </w:tr>
      <w:tr w:rsidR="00BC1539" w:rsidRPr="00B21F97" w14:paraId="796D6439" w14:textId="77777777" w:rsidTr="00CD19C8">
        <w:tc>
          <w:tcPr>
            <w:tcW w:w="1912" w:type="pct"/>
            <w:tcBorders>
              <w:bottom w:val="nil"/>
            </w:tcBorders>
            <w:shd w:val="clear" w:color="000000" w:fill="E6E6E6"/>
            <w:hideMark/>
          </w:tcPr>
          <w:p w14:paraId="41D6D200" w14:textId="77777777" w:rsidR="00BC1539" w:rsidRPr="00B21F97" w:rsidRDefault="00BC1539" w:rsidP="00CD19C8">
            <w:pPr>
              <w:pStyle w:val="TableBodyHeading"/>
              <w:spacing w:before="45" w:after="45"/>
              <w:ind w:right="-113"/>
              <w:rPr>
                <w:rFonts w:cs="Open Sans"/>
                <w:color w:val="1D4374"/>
              </w:rPr>
            </w:pPr>
            <w:r w:rsidRPr="00B21F97">
              <w:rPr>
                <w:rFonts w:cs="Open Sans"/>
                <w:color w:val="1D4374"/>
              </w:rPr>
              <w:t xml:space="preserve">revenue: </w:t>
            </w:r>
            <w:proofErr w:type="spellStart"/>
            <w:r w:rsidRPr="00B21F97">
              <w:rPr>
                <w:rFonts w:cs="Open Sans"/>
                <w:color w:val="1D4374"/>
              </w:rPr>
              <w:t>total_business_income_pp</w:t>
            </w:r>
            <w:proofErr w:type="spellEnd"/>
          </w:p>
        </w:tc>
        <w:tc>
          <w:tcPr>
            <w:tcW w:w="661" w:type="pct"/>
            <w:tcBorders>
              <w:bottom w:val="nil"/>
            </w:tcBorders>
            <w:shd w:val="clear" w:color="000000" w:fill="E6E6E6"/>
            <w:hideMark/>
          </w:tcPr>
          <w:p w14:paraId="694331D9" w14:textId="77777777" w:rsidR="00BC1539" w:rsidRPr="00B21F97" w:rsidRDefault="00BC1539" w:rsidP="00B21F97">
            <w:pPr>
              <w:pStyle w:val="TableBody"/>
              <w:spacing w:before="45" w:after="45"/>
              <w:ind w:right="108"/>
              <w:rPr>
                <w:rFonts w:cs="Open Sans"/>
                <w:color w:val="000000"/>
              </w:rPr>
            </w:pPr>
            <w:r w:rsidRPr="00B21F97">
              <w:rPr>
                <w:rFonts w:cs="Open Sans"/>
                <w:color w:val="000000"/>
              </w:rPr>
              <w:t>-</w:t>
            </w:r>
          </w:p>
        </w:tc>
        <w:tc>
          <w:tcPr>
            <w:tcW w:w="809" w:type="pct"/>
            <w:tcBorders>
              <w:bottom w:val="nil"/>
            </w:tcBorders>
            <w:shd w:val="clear" w:color="000000" w:fill="E6E6E6"/>
            <w:hideMark/>
          </w:tcPr>
          <w:p w14:paraId="51DC4898" w14:textId="77777777" w:rsidR="00BC1539" w:rsidRPr="00B21F97" w:rsidRDefault="00BC1539" w:rsidP="00B21F97">
            <w:pPr>
              <w:pStyle w:val="TableBody"/>
              <w:spacing w:before="45" w:after="45"/>
              <w:ind w:right="108"/>
              <w:rPr>
                <w:rFonts w:cs="Open Sans"/>
                <w:color w:val="000000"/>
              </w:rPr>
            </w:pPr>
            <w:r w:rsidRPr="00B21F97">
              <w:rPr>
                <w:rFonts w:cs="Open Sans"/>
                <w:color w:val="000000"/>
              </w:rPr>
              <w:t>-</w:t>
            </w:r>
          </w:p>
        </w:tc>
        <w:tc>
          <w:tcPr>
            <w:tcW w:w="809" w:type="pct"/>
            <w:tcBorders>
              <w:bottom w:val="nil"/>
            </w:tcBorders>
            <w:shd w:val="clear" w:color="000000" w:fill="E6E6E6"/>
            <w:hideMark/>
          </w:tcPr>
          <w:p w14:paraId="0AD9C53D" w14:textId="77777777" w:rsidR="00BC1539" w:rsidRPr="00B21F97" w:rsidRDefault="00BC1539" w:rsidP="00B21F97">
            <w:pPr>
              <w:pStyle w:val="TableBody"/>
              <w:spacing w:before="45" w:after="45"/>
              <w:ind w:right="108"/>
              <w:rPr>
                <w:rFonts w:cs="Open Sans"/>
                <w:color w:val="000000"/>
              </w:rPr>
            </w:pPr>
            <w:proofErr w:type="spellStart"/>
            <w:r w:rsidRPr="00B21F97">
              <w:rPr>
                <w:rFonts w:cs="Open Sans"/>
                <w:color w:val="000000"/>
              </w:rPr>
              <w:t>p_totbuspp</w:t>
            </w:r>
            <w:proofErr w:type="spellEnd"/>
          </w:p>
        </w:tc>
        <w:tc>
          <w:tcPr>
            <w:tcW w:w="809" w:type="pct"/>
            <w:tcBorders>
              <w:bottom w:val="nil"/>
            </w:tcBorders>
            <w:shd w:val="clear" w:color="000000" w:fill="E6E6E6"/>
            <w:hideMark/>
          </w:tcPr>
          <w:p w14:paraId="5F707CB7" w14:textId="77777777" w:rsidR="00BC1539" w:rsidRPr="00B21F97" w:rsidRDefault="00BC1539" w:rsidP="00B21F97">
            <w:pPr>
              <w:pStyle w:val="TableBody"/>
              <w:spacing w:before="45" w:after="45"/>
              <w:ind w:right="108"/>
              <w:rPr>
                <w:rFonts w:cs="Open Sans"/>
                <w:color w:val="000000"/>
              </w:rPr>
            </w:pPr>
            <w:proofErr w:type="spellStart"/>
            <w:r w:rsidRPr="00B21F97">
              <w:rPr>
                <w:rFonts w:cs="Open Sans"/>
                <w:color w:val="000000"/>
              </w:rPr>
              <w:t>t_totbuspp</w:t>
            </w:r>
            <w:proofErr w:type="spellEnd"/>
          </w:p>
        </w:tc>
      </w:tr>
      <w:tr w:rsidR="00BC1539" w:rsidRPr="00B21F97" w14:paraId="69493EBD" w14:textId="77777777" w:rsidTr="00CD19C8">
        <w:tc>
          <w:tcPr>
            <w:tcW w:w="1912" w:type="pct"/>
            <w:tcBorders>
              <w:top w:val="nil"/>
              <w:bottom w:val="nil"/>
            </w:tcBorders>
            <w:shd w:val="clear" w:color="000000" w:fill="auto"/>
            <w:hideMark/>
          </w:tcPr>
          <w:p w14:paraId="74AAE68D" w14:textId="77777777" w:rsidR="00BC1539" w:rsidRPr="00B21F97" w:rsidRDefault="00BC1539" w:rsidP="00B21F97">
            <w:pPr>
              <w:pStyle w:val="TableBodyHeading"/>
              <w:spacing w:before="45" w:after="45"/>
              <w:ind w:right="108"/>
              <w:rPr>
                <w:rFonts w:cs="Open Sans"/>
                <w:color w:val="1D4374"/>
              </w:rPr>
            </w:pPr>
            <w:r w:rsidRPr="00B21F97">
              <w:rPr>
                <w:rFonts w:cs="Open Sans"/>
                <w:color w:val="1D4374"/>
              </w:rPr>
              <w:t xml:space="preserve">revenue: </w:t>
            </w:r>
            <w:proofErr w:type="spellStart"/>
            <w:r w:rsidRPr="00B21F97">
              <w:rPr>
                <w:rFonts w:cs="Open Sans"/>
                <w:color w:val="1D4374"/>
              </w:rPr>
              <w:t>total_business_income_npp</w:t>
            </w:r>
            <w:proofErr w:type="spellEnd"/>
          </w:p>
        </w:tc>
        <w:tc>
          <w:tcPr>
            <w:tcW w:w="661" w:type="pct"/>
            <w:tcBorders>
              <w:top w:val="nil"/>
              <w:bottom w:val="nil"/>
            </w:tcBorders>
            <w:shd w:val="clear" w:color="000000" w:fill="auto"/>
            <w:hideMark/>
          </w:tcPr>
          <w:p w14:paraId="5B5B9533" w14:textId="77777777" w:rsidR="00BC1539" w:rsidRPr="00B21F97" w:rsidRDefault="00BC1539" w:rsidP="00B21F97">
            <w:pPr>
              <w:pStyle w:val="TableBody"/>
              <w:spacing w:before="45" w:after="45"/>
              <w:ind w:right="108"/>
              <w:rPr>
                <w:rFonts w:cs="Open Sans"/>
                <w:color w:val="000000"/>
              </w:rPr>
            </w:pPr>
            <w:r w:rsidRPr="00B21F97">
              <w:rPr>
                <w:rFonts w:cs="Open Sans"/>
                <w:color w:val="000000"/>
              </w:rPr>
              <w:t>-</w:t>
            </w:r>
          </w:p>
        </w:tc>
        <w:tc>
          <w:tcPr>
            <w:tcW w:w="809" w:type="pct"/>
            <w:tcBorders>
              <w:top w:val="nil"/>
              <w:bottom w:val="nil"/>
            </w:tcBorders>
            <w:shd w:val="clear" w:color="000000" w:fill="auto"/>
            <w:hideMark/>
          </w:tcPr>
          <w:p w14:paraId="6377A79B" w14:textId="77777777" w:rsidR="00BC1539" w:rsidRPr="00B21F97" w:rsidRDefault="00BC1539" w:rsidP="00B21F97">
            <w:pPr>
              <w:pStyle w:val="TableBody"/>
              <w:spacing w:before="45" w:after="45"/>
              <w:ind w:right="108"/>
              <w:rPr>
                <w:rFonts w:cs="Open Sans"/>
                <w:color w:val="000000"/>
              </w:rPr>
            </w:pPr>
            <w:r w:rsidRPr="00B21F97">
              <w:rPr>
                <w:rFonts w:cs="Open Sans"/>
                <w:color w:val="000000"/>
              </w:rPr>
              <w:t>-</w:t>
            </w:r>
          </w:p>
        </w:tc>
        <w:tc>
          <w:tcPr>
            <w:tcW w:w="809" w:type="pct"/>
            <w:tcBorders>
              <w:top w:val="nil"/>
              <w:bottom w:val="nil"/>
            </w:tcBorders>
            <w:shd w:val="clear" w:color="000000" w:fill="auto"/>
            <w:hideMark/>
          </w:tcPr>
          <w:p w14:paraId="0065DC99" w14:textId="77777777" w:rsidR="00BC1539" w:rsidRPr="00B21F97" w:rsidRDefault="00BC1539" w:rsidP="00B21F97">
            <w:pPr>
              <w:pStyle w:val="TableBody"/>
              <w:spacing w:before="45" w:after="45"/>
              <w:ind w:right="108"/>
              <w:rPr>
                <w:rFonts w:cs="Open Sans"/>
                <w:color w:val="000000"/>
              </w:rPr>
            </w:pPr>
            <w:proofErr w:type="spellStart"/>
            <w:r w:rsidRPr="00B21F97">
              <w:rPr>
                <w:rFonts w:cs="Open Sans"/>
                <w:color w:val="000000"/>
              </w:rPr>
              <w:t>p_totbusnp</w:t>
            </w:r>
            <w:proofErr w:type="spellEnd"/>
          </w:p>
        </w:tc>
        <w:tc>
          <w:tcPr>
            <w:tcW w:w="809" w:type="pct"/>
            <w:tcBorders>
              <w:top w:val="nil"/>
              <w:bottom w:val="nil"/>
            </w:tcBorders>
            <w:shd w:val="clear" w:color="000000" w:fill="auto"/>
            <w:hideMark/>
          </w:tcPr>
          <w:p w14:paraId="5ECC93A6" w14:textId="77777777" w:rsidR="00BC1539" w:rsidRPr="00B21F97" w:rsidRDefault="00BC1539" w:rsidP="00B21F97">
            <w:pPr>
              <w:pStyle w:val="TableBody"/>
              <w:spacing w:before="45" w:after="45"/>
              <w:ind w:right="108"/>
              <w:rPr>
                <w:rFonts w:cs="Open Sans"/>
                <w:color w:val="000000"/>
              </w:rPr>
            </w:pPr>
            <w:proofErr w:type="spellStart"/>
            <w:r w:rsidRPr="00B21F97">
              <w:rPr>
                <w:rFonts w:cs="Open Sans"/>
                <w:color w:val="000000"/>
              </w:rPr>
              <w:t>t_totbusnp</w:t>
            </w:r>
            <w:proofErr w:type="spellEnd"/>
          </w:p>
        </w:tc>
      </w:tr>
      <w:tr w:rsidR="00BC1539" w:rsidRPr="00B21F97" w14:paraId="48D4FFE8" w14:textId="77777777" w:rsidTr="00CD19C8">
        <w:tc>
          <w:tcPr>
            <w:tcW w:w="1912" w:type="pct"/>
            <w:tcBorders>
              <w:bottom w:val="nil"/>
            </w:tcBorders>
            <w:shd w:val="clear" w:color="000000" w:fill="E6E6E6"/>
            <w:hideMark/>
          </w:tcPr>
          <w:p w14:paraId="39F8D56B" w14:textId="77777777" w:rsidR="00BC1539" w:rsidRPr="00B21F97" w:rsidRDefault="00BC1539" w:rsidP="00B21F97">
            <w:pPr>
              <w:pStyle w:val="TableBodyHeading"/>
              <w:spacing w:before="45" w:after="45"/>
              <w:ind w:right="108"/>
              <w:rPr>
                <w:rFonts w:cs="Open Sans"/>
                <w:color w:val="1D4374"/>
              </w:rPr>
            </w:pPr>
            <w:proofErr w:type="spellStart"/>
            <w:r w:rsidRPr="00B21F97">
              <w:rPr>
                <w:rFonts w:cs="Open Sans"/>
                <w:color w:val="1D4374"/>
              </w:rPr>
              <w:t>total_expenses</w:t>
            </w:r>
            <w:proofErr w:type="spellEnd"/>
          </w:p>
        </w:tc>
        <w:tc>
          <w:tcPr>
            <w:tcW w:w="661" w:type="pct"/>
            <w:tcBorders>
              <w:bottom w:val="nil"/>
            </w:tcBorders>
            <w:shd w:val="clear" w:color="000000" w:fill="E6E6E6"/>
            <w:hideMark/>
          </w:tcPr>
          <w:p w14:paraId="1A202DE9" w14:textId="77777777" w:rsidR="00BC1539" w:rsidRPr="00B21F97" w:rsidRDefault="00BC1539" w:rsidP="00B21F97">
            <w:pPr>
              <w:pStyle w:val="TableBody"/>
              <w:spacing w:before="45" w:after="45"/>
              <w:ind w:right="108"/>
              <w:rPr>
                <w:rFonts w:cs="Open Sans"/>
                <w:color w:val="000000"/>
              </w:rPr>
            </w:pPr>
            <w:proofErr w:type="spellStart"/>
            <w:r w:rsidRPr="00B21F97">
              <w:rPr>
                <w:rFonts w:cs="Open Sans"/>
                <w:color w:val="000000"/>
              </w:rPr>
              <w:t>c_totlexps</w:t>
            </w:r>
            <w:proofErr w:type="spellEnd"/>
          </w:p>
        </w:tc>
        <w:tc>
          <w:tcPr>
            <w:tcW w:w="809" w:type="pct"/>
            <w:tcBorders>
              <w:bottom w:val="nil"/>
            </w:tcBorders>
            <w:shd w:val="clear" w:color="000000" w:fill="E6E6E6"/>
            <w:hideMark/>
          </w:tcPr>
          <w:p w14:paraId="5F8DF46C" w14:textId="77777777" w:rsidR="00BC1539" w:rsidRPr="00B21F97" w:rsidRDefault="00BC1539" w:rsidP="00B21F97">
            <w:pPr>
              <w:pStyle w:val="TableBody"/>
              <w:spacing w:before="45" w:after="45"/>
              <w:ind w:right="108"/>
              <w:rPr>
                <w:rFonts w:cs="Open Sans"/>
                <w:color w:val="000000"/>
              </w:rPr>
            </w:pPr>
            <w:proofErr w:type="spellStart"/>
            <w:r w:rsidRPr="00B21F97">
              <w:rPr>
                <w:rFonts w:cs="Open Sans"/>
                <w:color w:val="000000"/>
              </w:rPr>
              <w:t>i_totlexps</w:t>
            </w:r>
            <w:proofErr w:type="spellEnd"/>
          </w:p>
        </w:tc>
        <w:tc>
          <w:tcPr>
            <w:tcW w:w="809" w:type="pct"/>
            <w:tcBorders>
              <w:bottom w:val="nil"/>
            </w:tcBorders>
            <w:shd w:val="clear" w:color="000000" w:fill="E6E6E6"/>
            <w:hideMark/>
          </w:tcPr>
          <w:p w14:paraId="63E6B696" w14:textId="77777777" w:rsidR="00BC1539" w:rsidRPr="00B21F97" w:rsidRDefault="00BC1539" w:rsidP="00B21F97">
            <w:pPr>
              <w:pStyle w:val="TableBody"/>
              <w:spacing w:before="45" w:after="45"/>
              <w:ind w:right="108"/>
              <w:rPr>
                <w:rFonts w:cs="Open Sans"/>
                <w:color w:val="000000"/>
              </w:rPr>
            </w:pPr>
            <w:proofErr w:type="spellStart"/>
            <w:r w:rsidRPr="00B21F97">
              <w:rPr>
                <w:rFonts w:cs="Open Sans"/>
                <w:color w:val="000000"/>
              </w:rPr>
              <w:t>p_totlexps</w:t>
            </w:r>
            <w:proofErr w:type="spellEnd"/>
          </w:p>
        </w:tc>
        <w:tc>
          <w:tcPr>
            <w:tcW w:w="809" w:type="pct"/>
            <w:tcBorders>
              <w:bottom w:val="nil"/>
            </w:tcBorders>
            <w:shd w:val="clear" w:color="000000" w:fill="E6E6E6"/>
            <w:hideMark/>
          </w:tcPr>
          <w:p w14:paraId="24F79327" w14:textId="77777777" w:rsidR="00BC1539" w:rsidRPr="00B21F97" w:rsidRDefault="00BC1539" w:rsidP="00B21F97">
            <w:pPr>
              <w:pStyle w:val="TableBody"/>
              <w:spacing w:before="45" w:after="45"/>
              <w:ind w:right="108"/>
              <w:rPr>
                <w:rFonts w:cs="Open Sans"/>
                <w:color w:val="000000"/>
              </w:rPr>
            </w:pPr>
            <w:proofErr w:type="spellStart"/>
            <w:r w:rsidRPr="00B21F97">
              <w:rPr>
                <w:rFonts w:cs="Open Sans"/>
                <w:color w:val="000000"/>
              </w:rPr>
              <w:t>t_totlexps</w:t>
            </w:r>
            <w:proofErr w:type="spellEnd"/>
          </w:p>
        </w:tc>
      </w:tr>
      <w:tr w:rsidR="00B21F97" w:rsidRPr="00B21F97" w14:paraId="62FF1C65" w14:textId="77777777" w:rsidTr="00CD19C8">
        <w:tc>
          <w:tcPr>
            <w:tcW w:w="1912" w:type="pct"/>
            <w:tcBorders>
              <w:top w:val="nil"/>
              <w:bottom w:val="nil"/>
            </w:tcBorders>
            <w:shd w:val="clear" w:color="000000" w:fill="auto"/>
          </w:tcPr>
          <w:p w14:paraId="04818776" w14:textId="77777777" w:rsidR="00B21F97" w:rsidRPr="00B21F97" w:rsidRDefault="00B21F97" w:rsidP="00B21F97">
            <w:pPr>
              <w:pStyle w:val="TableBodyHeading"/>
              <w:spacing w:before="45" w:after="45"/>
              <w:ind w:right="108"/>
              <w:rPr>
                <w:rFonts w:cs="Open Sans"/>
                <w:color w:val="1D4374"/>
              </w:rPr>
            </w:pPr>
          </w:p>
        </w:tc>
        <w:tc>
          <w:tcPr>
            <w:tcW w:w="661" w:type="pct"/>
            <w:tcBorders>
              <w:top w:val="nil"/>
              <w:bottom w:val="nil"/>
            </w:tcBorders>
            <w:shd w:val="clear" w:color="000000" w:fill="auto"/>
          </w:tcPr>
          <w:p w14:paraId="78366F5D" w14:textId="77777777" w:rsidR="00B21F97" w:rsidRPr="00B21F97" w:rsidRDefault="00B21F97" w:rsidP="00B21F97">
            <w:pPr>
              <w:pStyle w:val="TableBody"/>
              <w:spacing w:before="45" w:after="45"/>
              <w:ind w:right="108"/>
              <w:rPr>
                <w:rFonts w:cs="Open Sans"/>
                <w:color w:val="000000"/>
              </w:rPr>
            </w:pPr>
          </w:p>
        </w:tc>
        <w:tc>
          <w:tcPr>
            <w:tcW w:w="809" w:type="pct"/>
            <w:tcBorders>
              <w:top w:val="nil"/>
              <w:bottom w:val="nil"/>
            </w:tcBorders>
            <w:shd w:val="clear" w:color="000000" w:fill="auto"/>
          </w:tcPr>
          <w:p w14:paraId="5B5B3726" w14:textId="77777777" w:rsidR="00B21F97" w:rsidRPr="00B21F97" w:rsidRDefault="00B21F97" w:rsidP="00B21F97">
            <w:pPr>
              <w:pStyle w:val="TableBody"/>
              <w:spacing w:before="45" w:after="45"/>
              <w:ind w:right="108"/>
              <w:rPr>
                <w:rFonts w:cs="Open Sans"/>
                <w:color w:val="000000"/>
              </w:rPr>
            </w:pPr>
          </w:p>
        </w:tc>
        <w:tc>
          <w:tcPr>
            <w:tcW w:w="809" w:type="pct"/>
            <w:tcBorders>
              <w:top w:val="nil"/>
              <w:bottom w:val="nil"/>
            </w:tcBorders>
            <w:shd w:val="clear" w:color="000000" w:fill="auto"/>
          </w:tcPr>
          <w:p w14:paraId="555F8A17" w14:textId="77777777" w:rsidR="00B21F97" w:rsidRPr="00B21F97" w:rsidRDefault="00B21F97" w:rsidP="00B21F97">
            <w:pPr>
              <w:pStyle w:val="TableBody"/>
              <w:spacing w:before="45" w:after="45"/>
              <w:ind w:right="108"/>
              <w:rPr>
                <w:rFonts w:cs="Open Sans"/>
                <w:color w:val="000000"/>
              </w:rPr>
            </w:pPr>
          </w:p>
        </w:tc>
        <w:tc>
          <w:tcPr>
            <w:tcW w:w="809" w:type="pct"/>
            <w:tcBorders>
              <w:top w:val="nil"/>
              <w:bottom w:val="nil"/>
            </w:tcBorders>
            <w:shd w:val="clear" w:color="000000" w:fill="auto"/>
          </w:tcPr>
          <w:p w14:paraId="4D4173AA" w14:textId="77777777" w:rsidR="00B21F97" w:rsidRPr="00B21F97" w:rsidRDefault="00B21F97" w:rsidP="00B21F97">
            <w:pPr>
              <w:pStyle w:val="TableBody"/>
              <w:spacing w:before="45" w:after="45"/>
              <w:ind w:right="108"/>
              <w:rPr>
                <w:rFonts w:cs="Open Sans"/>
                <w:color w:val="000000"/>
              </w:rPr>
            </w:pPr>
          </w:p>
        </w:tc>
      </w:tr>
      <w:tr w:rsidR="00BC1539" w:rsidRPr="00B21F97" w14:paraId="2FA26F34" w14:textId="77777777" w:rsidTr="00CD19C8">
        <w:tc>
          <w:tcPr>
            <w:tcW w:w="1912" w:type="pct"/>
            <w:tcBorders>
              <w:bottom w:val="nil"/>
            </w:tcBorders>
            <w:shd w:val="clear" w:color="000000" w:fill="E6E6E6"/>
            <w:hideMark/>
          </w:tcPr>
          <w:p w14:paraId="3CF51813" w14:textId="77777777" w:rsidR="00BC1539" w:rsidRPr="00B21F97" w:rsidRDefault="00BC1539" w:rsidP="00B21F97">
            <w:pPr>
              <w:pStyle w:val="TableBodyHeading"/>
              <w:spacing w:before="45" w:after="45"/>
              <w:ind w:right="108"/>
              <w:rPr>
                <w:rFonts w:cs="Open Sans"/>
                <w:color w:val="1D4374"/>
                <w:kern w:val="2"/>
                <w:szCs w:val="18"/>
                <w:lang w:eastAsia="en-AU"/>
                <w14:ligatures w14:val="standardContextual"/>
              </w:rPr>
            </w:pPr>
            <w:proofErr w:type="spellStart"/>
            <w:r w:rsidRPr="00B21F97">
              <w:rPr>
                <w:rFonts w:cs="Open Sans"/>
                <w:color w:val="1D4374"/>
              </w:rPr>
              <w:t>labour_expenses</w:t>
            </w:r>
            <w:proofErr w:type="spellEnd"/>
            <w:r w:rsidRPr="00B21F97">
              <w:rPr>
                <w:rFonts w:cs="Open Sans"/>
                <w:color w:val="1D4374"/>
              </w:rPr>
              <w:t>: wages</w:t>
            </w:r>
          </w:p>
        </w:tc>
        <w:tc>
          <w:tcPr>
            <w:tcW w:w="661" w:type="pct"/>
            <w:tcBorders>
              <w:bottom w:val="nil"/>
            </w:tcBorders>
            <w:shd w:val="clear" w:color="000000" w:fill="E6E6E6"/>
            <w:hideMark/>
          </w:tcPr>
          <w:p w14:paraId="21A954B7" w14:textId="77777777" w:rsidR="00BC1539" w:rsidRPr="00B21F97" w:rsidRDefault="00BC1539" w:rsidP="00B21F97">
            <w:pPr>
              <w:pStyle w:val="TableBody"/>
              <w:spacing w:before="45" w:after="45"/>
              <w:ind w:right="108"/>
              <w:rPr>
                <w:rFonts w:cs="Open Sans"/>
                <w:color w:val="000000"/>
              </w:rPr>
            </w:pPr>
            <w:proofErr w:type="spellStart"/>
            <w:r w:rsidRPr="00B21F97">
              <w:rPr>
                <w:rFonts w:cs="Open Sans"/>
                <w:color w:val="000000"/>
              </w:rPr>
              <w:t>c_totlwage</w:t>
            </w:r>
            <w:proofErr w:type="spellEnd"/>
          </w:p>
        </w:tc>
        <w:tc>
          <w:tcPr>
            <w:tcW w:w="809" w:type="pct"/>
            <w:tcBorders>
              <w:bottom w:val="nil"/>
            </w:tcBorders>
            <w:shd w:val="clear" w:color="000000" w:fill="E6E6E6"/>
            <w:hideMark/>
          </w:tcPr>
          <w:p w14:paraId="7823B2B7" w14:textId="77777777" w:rsidR="00BC1539" w:rsidRPr="00B21F97" w:rsidRDefault="00BC1539" w:rsidP="00B21F97">
            <w:pPr>
              <w:pStyle w:val="TableBody"/>
              <w:spacing w:before="45" w:after="45"/>
              <w:ind w:right="108"/>
              <w:rPr>
                <w:rFonts w:cs="Open Sans"/>
                <w:color w:val="000000"/>
              </w:rPr>
            </w:pPr>
            <w:proofErr w:type="spellStart"/>
            <w:r w:rsidRPr="00B21F97">
              <w:rPr>
                <w:rFonts w:cs="Open Sans"/>
                <w:color w:val="000000"/>
              </w:rPr>
              <w:t>i_totlwage</w:t>
            </w:r>
            <w:proofErr w:type="spellEnd"/>
          </w:p>
        </w:tc>
        <w:tc>
          <w:tcPr>
            <w:tcW w:w="809" w:type="pct"/>
            <w:tcBorders>
              <w:bottom w:val="nil"/>
            </w:tcBorders>
            <w:shd w:val="clear" w:color="000000" w:fill="E6E6E6"/>
            <w:hideMark/>
          </w:tcPr>
          <w:p w14:paraId="0C8C0634" w14:textId="77777777" w:rsidR="00BC1539" w:rsidRPr="00B21F97" w:rsidRDefault="00BC1539" w:rsidP="00B21F97">
            <w:pPr>
              <w:pStyle w:val="TableBody"/>
              <w:spacing w:before="45" w:after="45"/>
              <w:ind w:right="108"/>
              <w:rPr>
                <w:rFonts w:cs="Open Sans"/>
                <w:color w:val="000000"/>
              </w:rPr>
            </w:pPr>
            <w:proofErr w:type="spellStart"/>
            <w:r w:rsidRPr="00B21F97">
              <w:rPr>
                <w:rFonts w:cs="Open Sans"/>
                <w:color w:val="000000"/>
              </w:rPr>
              <w:t>p_totlwage</w:t>
            </w:r>
            <w:proofErr w:type="spellEnd"/>
          </w:p>
        </w:tc>
        <w:tc>
          <w:tcPr>
            <w:tcW w:w="809" w:type="pct"/>
            <w:tcBorders>
              <w:bottom w:val="nil"/>
            </w:tcBorders>
            <w:shd w:val="clear" w:color="000000" w:fill="E6E6E6"/>
            <w:hideMark/>
          </w:tcPr>
          <w:p w14:paraId="72D6A5C5" w14:textId="77777777" w:rsidR="00BC1539" w:rsidRPr="00B21F97" w:rsidRDefault="00BC1539" w:rsidP="00B21F97">
            <w:pPr>
              <w:pStyle w:val="TableBody"/>
              <w:spacing w:before="45" w:after="45"/>
              <w:ind w:right="108"/>
              <w:rPr>
                <w:rFonts w:cs="Open Sans"/>
                <w:color w:val="000000"/>
              </w:rPr>
            </w:pPr>
            <w:proofErr w:type="spellStart"/>
            <w:r w:rsidRPr="00B21F97">
              <w:rPr>
                <w:rFonts w:cs="Open Sans"/>
                <w:color w:val="000000"/>
              </w:rPr>
              <w:t>t_totlwage</w:t>
            </w:r>
            <w:proofErr w:type="spellEnd"/>
          </w:p>
        </w:tc>
      </w:tr>
      <w:tr w:rsidR="00BC1539" w:rsidRPr="00B21F97" w14:paraId="052667C7" w14:textId="77777777" w:rsidTr="00CD19C8">
        <w:tc>
          <w:tcPr>
            <w:tcW w:w="1912" w:type="pct"/>
            <w:tcBorders>
              <w:top w:val="nil"/>
              <w:bottom w:val="nil"/>
            </w:tcBorders>
            <w:shd w:val="clear" w:color="000000" w:fill="auto"/>
            <w:hideMark/>
          </w:tcPr>
          <w:p w14:paraId="0590E274" w14:textId="77777777" w:rsidR="00BC1539" w:rsidRPr="00B21F97" w:rsidRDefault="00BC1539" w:rsidP="00B21F97">
            <w:pPr>
              <w:pStyle w:val="TableBodyHeading"/>
              <w:spacing w:before="45" w:after="45"/>
              <w:ind w:right="108"/>
              <w:rPr>
                <w:rFonts w:cs="Open Sans"/>
                <w:color w:val="1D4374"/>
              </w:rPr>
            </w:pPr>
            <w:proofErr w:type="spellStart"/>
            <w:r w:rsidRPr="00B21F97">
              <w:rPr>
                <w:rFonts w:cs="Open Sans"/>
                <w:color w:val="1D4374"/>
              </w:rPr>
              <w:t>labour_expenses</w:t>
            </w:r>
            <w:proofErr w:type="spellEnd"/>
            <w:r w:rsidRPr="00B21F97">
              <w:rPr>
                <w:rFonts w:cs="Open Sans"/>
                <w:color w:val="1D4374"/>
              </w:rPr>
              <w:t xml:space="preserve">: </w:t>
            </w:r>
            <w:proofErr w:type="spellStart"/>
            <w:r w:rsidRPr="00B21F97">
              <w:rPr>
                <w:rFonts w:cs="Open Sans"/>
                <w:color w:val="1D4374"/>
              </w:rPr>
              <w:t>external_labour_hire</w:t>
            </w:r>
            <w:proofErr w:type="spellEnd"/>
          </w:p>
        </w:tc>
        <w:tc>
          <w:tcPr>
            <w:tcW w:w="661" w:type="pct"/>
            <w:tcBorders>
              <w:top w:val="nil"/>
              <w:bottom w:val="nil"/>
            </w:tcBorders>
            <w:shd w:val="clear" w:color="000000" w:fill="auto"/>
            <w:hideMark/>
          </w:tcPr>
          <w:p w14:paraId="224C3756" w14:textId="77777777" w:rsidR="00BC1539" w:rsidRPr="00B21F97" w:rsidRDefault="00BC1539" w:rsidP="00B21F97">
            <w:pPr>
              <w:pStyle w:val="TableBody"/>
              <w:spacing w:before="45" w:after="45"/>
              <w:ind w:right="108"/>
              <w:rPr>
                <w:rFonts w:cs="Open Sans"/>
                <w:color w:val="000000"/>
              </w:rPr>
            </w:pPr>
            <w:proofErr w:type="spellStart"/>
            <w:r w:rsidRPr="00B21F97">
              <w:rPr>
                <w:rFonts w:cs="Open Sans"/>
                <w:color w:val="000000"/>
              </w:rPr>
              <w:t>c_extnlabr</w:t>
            </w:r>
            <w:proofErr w:type="spellEnd"/>
          </w:p>
        </w:tc>
        <w:tc>
          <w:tcPr>
            <w:tcW w:w="809" w:type="pct"/>
            <w:tcBorders>
              <w:top w:val="nil"/>
              <w:bottom w:val="nil"/>
            </w:tcBorders>
            <w:shd w:val="clear" w:color="000000" w:fill="auto"/>
            <w:hideMark/>
          </w:tcPr>
          <w:p w14:paraId="60F3A4BF" w14:textId="77777777" w:rsidR="00BC1539" w:rsidRPr="00B21F97" w:rsidRDefault="00BC1539" w:rsidP="00B21F97">
            <w:pPr>
              <w:pStyle w:val="TableBody"/>
              <w:spacing w:before="45" w:after="45"/>
              <w:ind w:right="108"/>
              <w:rPr>
                <w:rFonts w:cs="Open Sans"/>
                <w:color w:val="000000"/>
              </w:rPr>
            </w:pPr>
            <w:proofErr w:type="spellStart"/>
            <w:r w:rsidRPr="00B21F97">
              <w:rPr>
                <w:rFonts w:cs="Open Sans"/>
                <w:color w:val="000000"/>
              </w:rPr>
              <w:t>i_extnlabr</w:t>
            </w:r>
            <w:proofErr w:type="spellEnd"/>
          </w:p>
        </w:tc>
        <w:tc>
          <w:tcPr>
            <w:tcW w:w="809" w:type="pct"/>
            <w:tcBorders>
              <w:top w:val="nil"/>
              <w:bottom w:val="nil"/>
            </w:tcBorders>
            <w:shd w:val="clear" w:color="000000" w:fill="auto"/>
            <w:hideMark/>
          </w:tcPr>
          <w:p w14:paraId="7E0430AA" w14:textId="77777777" w:rsidR="00BC1539" w:rsidRPr="00B21F97" w:rsidRDefault="00BC1539" w:rsidP="00B21F97">
            <w:pPr>
              <w:pStyle w:val="TableBody"/>
              <w:spacing w:before="45" w:after="45"/>
              <w:ind w:right="108"/>
              <w:rPr>
                <w:rFonts w:cs="Open Sans"/>
                <w:color w:val="000000"/>
              </w:rPr>
            </w:pPr>
            <w:proofErr w:type="spellStart"/>
            <w:r w:rsidRPr="00B21F97">
              <w:rPr>
                <w:rFonts w:cs="Open Sans"/>
                <w:color w:val="000000"/>
              </w:rPr>
              <w:t>p_extnlabr</w:t>
            </w:r>
            <w:proofErr w:type="spellEnd"/>
          </w:p>
        </w:tc>
        <w:tc>
          <w:tcPr>
            <w:tcW w:w="809" w:type="pct"/>
            <w:tcBorders>
              <w:top w:val="nil"/>
              <w:bottom w:val="nil"/>
            </w:tcBorders>
            <w:shd w:val="clear" w:color="000000" w:fill="auto"/>
            <w:hideMark/>
          </w:tcPr>
          <w:p w14:paraId="01CBDE93" w14:textId="77777777" w:rsidR="00BC1539" w:rsidRPr="00B21F97" w:rsidRDefault="00BC1539" w:rsidP="00B21F97">
            <w:pPr>
              <w:pStyle w:val="TableBody"/>
              <w:spacing w:before="45" w:after="45"/>
              <w:ind w:right="108"/>
              <w:rPr>
                <w:rFonts w:cs="Open Sans"/>
                <w:color w:val="000000"/>
              </w:rPr>
            </w:pPr>
            <w:proofErr w:type="spellStart"/>
            <w:r w:rsidRPr="00B21F97">
              <w:rPr>
                <w:rFonts w:cs="Open Sans"/>
                <w:color w:val="000000"/>
              </w:rPr>
              <w:t>t_extnlabr</w:t>
            </w:r>
            <w:proofErr w:type="spellEnd"/>
          </w:p>
        </w:tc>
      </w:tr>
      <w:tr w:rsidR="00BC1539" w:rsidRPr="00B21F97" w14:paraId="1A1B11DB" w14:textId="77777777" w:rsidTr="00CD19C8">
        <w:tc>
          <w:tcPr>
            <w:tcW w:w="1912" w:type="pct"/>
            <w:tcBorders>
              <w:bottom w:val="nil"/>
            </w:tcBorders>
            <w:shd w:val="clear" w:color="000000" w:fill="E6E6E6"/>
            <w:hideMark/>
          </w:tcPr>
          <w:p w14:paraId="2D67DD84" w14:textId="77777777" w:rsidR="00BC1539" w:rsidRPr="00B21F97" w:rsidRDefault="00BC1539" w:rsidP="00B21F97">
            <w:pPr>
              <w:pStyle w:val="TableBodyHeading"/>
              <w:spacing w:before="45" w:after="45"/>
              <w:ind w:right="108"/>
              <w:rPr>
                <w:rFonts w:cs="Open Sans"/>
                <w:color w:val="1D4374"/>
              </w:rPr>
            </w:pPr>
            <w:proofErr w:type="spellStart"/>
            <w:r w:rsidRPr="00B21F97">
              <w:rPr>
                <w:rFonts w:cs="Open Sans"/>
                <w:color w:val="1D4374"/>
              </w:rPr>
              <w:t>labour_expenses</w:t>
            </w:r>
            <w:proofErr w:type="spellEnd"/>
            <w:r w:rsidRPr="00B21F97">
              <w:rPr>
                <w:rFonts w:cs="Open Sans"/>
                <w:color w:val="1D4374"/>
              </w:rPr>
              <w:t>: superannuation</w:t>
            </w:r>
          </w:p>
        </w:tc>
        <w:tc>
          <w:tcPr>
            <w:tcW w:w="661" w:type="pct"/>
            <w:tcBorders>
              <w:bottom w:val="nil"/>
            </w:tcBorders>
            <w:shd w:val="clear" w:color="000000" w:fill="E6E6E6"/>
            <w:hideMark/>
          </w:tcPr>
          <w:p w14:paraId="04A9DF79" w14:textId="77777777" w:rsidR="00BC1539" w:rsidRPr="00B21F97" w:rsidRDefault="00BC1539" w:rsidP="00B21F97">
            <w:pPr>
              <w:pStyle w:val="TableBody"/>
              <w:spacing w:before="45" w:after="45"/>
              <w:ind w:right="108"/>
              <w:rPr>
                <w:rFonts w:cs="Open Sans"/>
                <w:color w:val="000000"/>
              </w:rPr>
            </w:pPr>
            <w:proofErr w:type="spellStart"/>
            <w:r w:rsidRPr="00B21F97">
              <w:rPr>
                <w:rFonts w:cs="Open Sans"/>
                <w:color w:val="000000"/>
              </w:rPr>
              <w:t>c_superann</w:t>
            </w:r>
            <w:proofErr w:type="spellEnd"/>
          </w:p>
        </w:tc>
        <w:tc>
          <w:tcPr>
            <w:tcW w:w="809" w:type="pct"/>
            <w:tcBorders>
              <w:bottom w:val="nil"/>
            </w:tcBorders>
            <w:shd w:val="clear" w:color="000000" w:fill="E6E6E6"/>
            <w:hideMark/>
          </w:tcPr>
          <w:p w14:paraId="03EED6FA" w14:textId="77777777" w:rsidR="00BC1539" w:rsidRPr="00B21F97" w:rsidRDefault="00BC1539" w:rsidP="00B21F97">
            <w:pPr>
              <w:pStyle w:val="TableBody"/>
              <w:spacing w:before="45" w:after="45"/>
              <w:ind w:right="108"/>
              <w:rPr>
                <w:rFonts w:cs="Open Sans"/>
                <w:color w:val="000000"/>
              </w:rPr>
            </w:pPr>
            <w:proofErr w:type="spellStart"/>
            <w:r w:rsidRPr="00B21F97">
              <w:rPr>
                <w:rFonts w:cs="Open Sans"/>
                <w:color w:val="000000"/>
              </w:rPr>
              <w:t>i_superann</w:t>
            </w:r>
            <w:proofErr w:type="spellEnd"/>
          </w:p>
        </w:tc>
        <w:tc>
          <w:tcPr>
            <w:tcW w:w="809" w:type="pct"/>
            <w:tcBorders>
              <w:bottom w:val="nil"/>
            </w:tcBorders>
            <w:shd w:val="clear" w:color="000000" w:fill="E6E6E6"/>
            <w:hideMark/>
          </w:tcPr>
          <w:p w14:paraId="7CB9DE84" w14:textId="77777777" w:rsidR="00BC1539" w:rsidRPr="00B21F97" w:rsidRDefault="00BC1539" w:rsidP="00B21F97">
            <w:pPr>
              <w:pStyle w:val="TableBody"/>
              <w:spacing w:before="45" w:after="45"/>
              <w:ind w:right="108"/>
              <w:rPr>
                <w:rFonts w:cs="Open Sans"/>
                <w:color w:val="000000"/>
              </w:rPr>
            </w:pPr>
            <w:proofErr w:type="spellStart"/>
            <w:r w:rsidRPr="00B21F97">
              <w:rPr>
                <w:rFonts w:cs="Open Sans"/>
                <w:color w:val="000000"/>
              </w:rPr>
              <w:t>p_superann</w:t>
            </w:r>
            <w:proofErr w:type="spellEnd"/>
          </w:p>
        </w:tc>
        <w:tc>
          <w:tcPr>
            <w:tcW w:w="809" w:type="pct"/>
            <w:tcBorders>
              <w:bottom w:val="nil"/>
            </w:tcBorders>
            <w:shd w:val="clear" w:color="000000" w:fill="E6E6E6"/>
            <w:hideMark/>
          </w:tcPr>
          <w:p w14:paraId="019A5E2A" w14:textId="77777777" w:rsidR="00BC1539" w:rsidRPr="00B21F97" w:rsidRDefault="00BC1539" w:rsidP="00B21F97">
            <w:pPr>
              <w:pStyle w:val="TableBody"/>
              <w:spacing w:before="45" w:after="45"/>
              <w:ind w:right="108"/>
              <w:rPr>
                <w:rFonts w:cs="Open Sans"/>
                <w:color w:val="000000"/>
              </w:rPr>
            </w:pPr>
            <w:proofErr w:type="spellStart"/>
            <w:r w:rsidRPr="00B21F97">
              <w:rPr>
                <w:rFonts w:cs="Open Sans"/>
                <w:color w:val="000000"/>
              </w:rPr>
              <w:t>t_superann</w:t>
            </w:r>
            <w:proofErr w:type="spellEnd"/>
          </w:p>
        </w:tc>
      </w:tr>
      <w:tr w:rsidR="00BC1539" w:rsidRPr="00B21F97" w14:paraId="45DF25E1" w14:textId="77777777" w:rsidTr="00CD19C8">
        <w:tc>
          <w:tcPr>
            <w:tcW w:w="1912" w:type="pct"/>
            <w:tcBorders>
              <w:top w:val="nil"/>
              <w:bottom w:val="nil"/>
            </w:tcBorders>
            <w:shd w:val="clear" w:color="000000" w:fill="auto"/>
            <w:hideMark/>
          </w:tcPr>
          <w:p w14:paraId="1B88B290" w14:textId="77777777" w:rsidR="00BC1539" w:rsidRPr="00B21F97" w:rsidRDefault="00BC1539" w:rsidP="00B21F97">
            <w:pPr>
              <w:pStyle w:val="TableBodyHeading"/>
              <w:spacing w:before="45" w:after="45"/>
              <w:ind w:right="108"/>
              <w:rPr>
                <w:rFonts w:cs="Open Sans"/>
                <w:color w:val="1D4374"/>
              </w:rPr>
            </w:pPr>
            <w:proofErr w:type="spellStart"/>
            <w:r w:rsidRPr="00B21F97">
              <w:rPr>
                <w:rFonts w:cs="Open Sans"/>
                <w:color w:val="1D4374"/>
              </w:rPr>
              <w:t>capital_expenses</w:t>
            </w:r>
            <w:proofErr w:type="spellEnd"/>
            <w:r w:rsidRPr="00B21F97">
              <w:rPr>
                <w:rFonts w:cs="Open Sans"/>
                <w:color w:val="1D4374"/>
              </w:rPr>
              <w:t>: rent</w:t>
            </w:r>
          </w:p>
        </w:tc>
        <w:tc>
          <w:tcPr>
            <w:tcW w:w="661" w:type="pct"/>
            <w:tcBorders>
              <w:top w:val="nil"/>
              <w:bottom w:val="nil"/>
            </w:tcBorders>
            <w:shd w:val="clear" w:color="000000" w:fill="auto"/>
            <w:hideMark/>
          </w:tcPr>
          <w:p w14:paraId="6636FF89" w14:textId="77777777" w:rsidR="00BC1539" w:rsidRPr="00B21F97" w:rsidRDefault="00BC1539" w:rsidP="00B21F97">
            <w:pPr>
              <w:pStyle w:val="TableBody"/>
              <w:spacing w:before="45" w:after="45"/>
              <w:ind w:right="108"/>
              <w:rPr>
                <w:rFonts w:cs="Open Sans"/>
                <w:color w:val="000000"/>
              </w:rPr>
            </w:pPr>
            <w:proofErr w:type="spellStart"/>
            <w:r w:rsidRPr="00B21F97">
              <w:rPr>
                <w:rFonts w:cs="Open Sans"/>
                <w:color w:val="000000"/>
              </w:rPr>
              <w:t>c_rentexps</w:t>
            </w:r>
            <w:proofErr w:type="spellEnd"/>
          </w:p>
        </w:tc>
        <w:tc>
          <w:tcPr>
            <w:tcW w:w="809" w:type="pct"/>
            <w:tcBorders>
              <w:top w:val="nil"/>
              <w:bottom w:val="nil"/>
            </w:tcBorders>
            <w:shd w:val="clear" w:color="000000" w:fill="auto"/>
            <w:hideMark/>
          </w:tcPr>
          <w:p w14:paraId="66F61C52" w14:textId="77777777" w:rsidR="00BC1539" w:rsidRPr="00B21F97" w:rsidRDefault="00BC1539" w:rsidP="00B21F97">
            <w:pPr>
              <w:pStyle w:val="TableBody"/>
              <w:spacing w:before="45" w:after="45"/>
              <w:ind w:right="108"/>
              <w:rPr>
                <w:rFonts w:cs="Open Sans"/>
                <w:color w:val="000000"/>
              </w:rPr>
            </w:pPr>
            <w:proofErr w:type="spellStart"/>
            <w:r w:rsidRPr="00B21F97">
              <w:rPr>
                <w:rFonts w:cs="Open Sans"/>
                <w:color w:val="000000"/>
              </w:rPr>
              <w:t>i_rentexps</w:t>
            </w:r>
            <w:proofErr w:type="spellEnd"/>
          </w:p>
        </w:tc>
        <w:tc>
          <w:tcPr>
            <w:tcW w:w="809" w:type="pct"/>
            <w:tcBorders>
              <w:top w:val="nil"/>
              <w:bottom w:val="nil"/>
            </w:tcBorders>
            <w:shd w:val="clear" w:color="000000" w:fill="auto"/>
            <w:hideMark/>
          </w:tcPr>
          <w:p w14:paraId="0AA96D61" w14:textId="77777777" w:rsidR="00BC1539" w:rsidRPr="00B21F97" w:rsidRDefault="00BC1539" w:rsidP="00B21F97">
            <w:pPr>
              <w:pStyle w:val="TableBody"/>
              <w:spacing w:before="45" w:after="45"/>
              <w:ind w:right="108"/>
              <w:rPr>
                <w:rFonts w:cs="Open Sans"/>
                <w:color w:val="000000"/>
              </w:rPr>
            </w:pPr>
            <w:proofErr w:type="spellStart"/>
            <w:r w:rsidRPr="00B21F97">
              <w:rPr>
                <w:rFonts w:cs="Open Sans"/>
                <w:color w:val="000000"/>
              </w:rPr>
              <w:t>p_rentexps</w:t>
            </w:r>
            <w:proofErr w:type="spellEnd"/>
          </w:p>
        </w:tc>
        <w:tc>
          <w:tcPr>
            <w:tcW w:w="809" w:type="pct"/>
            <w:tcBorders>
              <w:top w:val="nil"/>
              <w:bottom w:val="nil"/>
            </w:tcBorders>
            <w:shd w:val="clear" w:color="000000" w:fill="auto"/>
            <w:hideMark/>
          </w:tcPr>
          <w:p w14:paraId="20D5D1D2" w14:textId="77777777" w:rsidR="00BC1539" w:rsidRPr="00B21F97" w:rsidRDefault="00BC1539" w:rsidP="00B21F97">
            <w:pPr>
              <w:pStyle w:val="TableBody"/>
              <w:spacing w:before="45" w:after="45"/>
              <w:ind w:right="108"/>
              <w:rPr>
                <w:rFonts w:cs="Open Sans"/>
                <w:color w:val="000000"/>
              </w:rPr>
            </w:pPr>
            <w:proofErr w:type="spellStart"/>
            <w:r w:rsidRPr="00B21F97">
              <w:rPr>
                <w:rFonts w:cs="Open Sans"/>
                <w:color w:val="000000"/>
              </w:rPr>
              <w:t>t_rentexps</w:t>
            </w:r>
            <w:proofErr w:type="spellEnd"/>
          </w:p>
        </w:tc>
      </w:tr>
      <w:tr w:rsidR="00BC1539" w:rsidRPr="00B21F97" w14:paraId="73BF0E6A" w14:textId="77777777" w:rsidTr="00CD19C8">
        <w:tc>
          <w:tcPr>
            <w:tcW w:w="1912" w:type="pct"/>
            <w:tcBorders>
              <w:bottom w:val="nil"/>
            </w:tcBorders>
            <w:shd w:val="clear" w:color="000000" w:fill="E6E6E6"/>
            <w:hideMark/>
          </w:tcPr>
          <w:p w14:paraId="1CBCF23F" w14:textId="77777777" w:rsidR="00BC1539" w:rsidRPr="00B21F97" w:rsidRDefault="00BC1539" w:rsidP="00B21F97">
            <w:pPr>
              <w:pStyle w:val="TableBodyHeading"/>
              <w:spacing w:before="45" w:after="45"/>
              <w:ind w:right="108"/>
              <w:rPr>
                <w:rFonts w:cs="Open Sans"/>
                <w:color w:val="1D4374"/>
              </w:rPr>
            </w:pPr>
            <w:proofErr w:type="spellStart"/>
            <w:r w:rsidRPr="00B21F97">
              <w:rPr>
                <w:rFonts w:cs="Open Sans"/>
                <w:color w:val="1D4374"/>
              </w:rPr>
              <w:t>capital_expenses</w:t>
            </w:r>
            <w:proofErr w:type="spellEnd"/>
            <w:r w:rsidRPr="00B21F97">
              <w:rPr>
                <w:rFonts w:cs="Open Sans"/>
                <w:color w:val="1D4374"/>
              </w:rPr>
              <w:t xml:space="preserve">: </w:t>
            </w:r>
            <w:proofErr w:type="spellStart"/>
            <w:r w:rsidRPr="00B21F97">
              <w:rPr>
                <w:rFonts w:cs="Open Sans"/>
                <w:color w:val="1D4374"/>
              </w:rPr>
              <w:t>lease_au</w:t>
            </w:r>
            <w:proofErr w:type="spellEnd"/>
          </w:p>
        </w:tc>
        <w:tc>
          <w:tcPr>
            <w:tcW w:w="661" w:type="pct"/>
            <w:tcBorders>
              <w:bottom w:val="nil"/>
            </w:tcBorders>
            <w:shd w:val="clear" w:color="000000" w:fill="E6E6E6"/>
            <w:hideMark/>
          </w:tcPr>
          <w:p w14:paraId="17A615A2" w14:textId="77777777" w:rsidR="00BC1539" w:rsidRPr="00B21F97" w:rsidRDefault="00BC1539" w:rsidP="00B21F97">
            <w:pPr>
              <w:pStyle w:val="TableBody"/>
              <w:spacing w:before="45" w:after="45"/>
              <w:ind w:right="108"/>
              <w:rPr>
                <w:rFonts w:cs="Open Sans"/>
                <w:color w:val="000000"/>
              </w:rPr>
            </w:pPr>
            <w:proofErr w:type="spellStart"/>
            <w:r w:rsidRPr="00B21F97">
              <w:rPr>
                <w:rFonts w:cs="Open Sans"/>
                <w:color w:val="000000"/>
              </w:rPr>
              <w:t>c_leaexpau</w:t>
            </w:r>
            <w:proofErr w:type="spellEnd"/>
          </w:p>
        </w:tc>
        <w:tc>
          <w:tcPr>
            <w:tcW w:w="809" w:type="pct"/>
            <w:tcBorders>
              <w:bottom w:val="nil"/>
            </w:tcBorders>
            <w:shd w:val="clear" w:color="000000" w:fill="E6E6E6"/>
            <w:hideMark/>
          </w:tcPr>
          <w:p w14:paraId="5998AAE9" w14:textId="77777777" w:rsidR="00BC1539" w:rsidRPr="00B21F97" w:rsidRDefault="00BC1539" w:rsidP="00B21F97">
            <w:pPr>
              <w:pStyle w:val="TableBody"/>
              <w:spacing w:before="45" w:after="45"/>
              <w:ind w:right="108"/>
              <w:rPr>
                <w:rFonts w:cs="Open Sans"/>
                <w:color w:val="000000"/>
              </w:rPr>
            </w:pPr>
            <w:r w:rsidRPr="00B21F97">
              <w:rPr>
                <w:rFonts w:cs="Open Sans"/>
                <w:color w:val="000000"/>
              </w:rPr>
              <w:t>-</w:t>
            </w:r>
          </w:p>
        </w:tc>
        <w:tc>
          <w:tcPr>
            <w:tcW w:w="809" w:type="pct"/>
            <w:tcBorders>
              <w:bottom w:val="nil"/>
            </w:tcBorders>
            <w:shd w:val="clear" w:color="000000" w:fill="E6E6E6"/>
            <w:hideMark/>
          </w:tcPr>
          <w:p w14:paraId="50E19C49" w14:textId="77777777" w:rsidR="00BC1539" w:rsidRPr="00B21F97" w:rsidRDefault="00BC1539" w:rsidP="00B21F97">
            <w:pPr>
              <w:pStyle w:val="TableBody"/>
              <w:spacing w:before="45" w:after="45"/>
              <w:ind w:right="108"/>
              <w:rPr>
                <w:rFonts w:cs="Open Sans"/>
                <w:color w:val="000000"/>
              </w:rPr>
            </w:pPr>
            <w:r w:rsidRPr="00B21F97">
              <w:rPr>
                <w:rFonts w:cs="Open Sans"/>
                <w:color w:val="000000"/>
              </w:rPr>
              <w:t>-</w:t>
            </w:r>
          </w:p>
        </w:tc>
        <w:tc>
          <w:tcPr>
            <w:tcW w:w="809" w:type="pct"/>
            <w:tcBorders>
              <w:bottom w:val="nil"/>
            </w:tcBorders>
            <w:shd w:val="clear" w:color="000000" w:fill="E6E6E6"/>
            <w:hideMark/>
          </w:tcPr>
          <w:p w14:paraId="7A358F15" w14:textId="77777777" w:rsidR="00BC1539" w:rsidRPr="00B21F97" w:rsidRDefault="00BC1539" w:rsidP="00B21F97">
            <w:pPr>
              <w:pStyle w:val="TableBody"/>
              <w:spacing w:before="45" w:after="45"/>
              <w:ind w:right="108"/>
              <w:rPr>
                <w:rFonts w:cs="Open Sans"/>
                <w:color w:val="000000"/>
              </w:rPr>
            </w:pPr>
            <w:r w:rsidRPr="00B21F97">
              <w:rPr>
                <w:rFonts w:cs="Open Sans"/>
                <w:color w:val="000000"/>
              </w:rPr>
              <w:t>-</w:t>
            </w:r>
          </w:p>
        </w:tc>
      </w:tr>
      <w:tr w:rsidR="00B21F97" w:rsidRPr="00B21F97" w14:paraId="7B1E3134" w14:textId="77777777" w:rsidTr="00CD19C8">
        <w:tc>
          <w:tcPr>
            <w:tcW w:w="1912" w:type="pct"/>
            <w:tcBorders>
              <w:top w:val="nil"/>
              <w:bottom w:val="nil"/>
            </w:tcBorders>
            <w:shd w:val="clear" w:color="000000" w:fill="auto"/>
          </w:tcPr>
          <w:p w14:paraId="72765EE7" w14:textId="77777777" w:rsidR="00B21F97" w:rsidRPr="00B21F97" w:rsidRDefault="00B21F97" w:rsidP="00B21F97">
            <w:pPr>
              <w:pStyle w:val="TableBodyHeading"/>
              <w:spacing w:before="45" w:after="45"/>
              <w:ind w:right="108"/>
              <w:rPr>
                <w:rFonts w:cs="Open Sans"/>
                <w:color w:val="1D4374"/>
              </w:rPr>
            </w:pPr>
          </w:p>
        </w:tc>
        <w:tc>
          <w:tcPr>
            <w:tcW w:w="661" w:type="pct"/>
            <w:tcBorders>
              <w:top w:val="nil"/>
              <w:bottom w:val="nil"/>
            </w:tcBorders>
            <w:shd w:val="clear" w:color="000000" w:fill="auto"/>
          </w:tcPr>
          <w:p w14:paraId="4223CB3D" w14:textId="77777777" w:rsidR="00B21F97" w:rsidRPr="00B21F97" w:rsidRDefault="00B21F97" w:rsidP="00B21F97">
            <w:pPr>
              <w:pStyle w:val="TableBody"/>
              <w:spacing w:before="45" w:after="45"/>
              <w:ind w:right="108"/>
              <w:rPr>
                <w:rFonts w:cs="Open Sans"/>
                <w:color w:val="000000"/>
              </w:rPr>
            </w:pPr>
          </w:p>
        </w:tc>
        <w:tc>
          <w:tcPr>
            <w:tcW w:w="809" w:type="pct"/>
            <w:tcBorders>
              <w:top w:val="nil"/>
              <w:bottom w:val="nil"/>
            </w:tcBorders>
            <w:shd w:val="clear" w:color="000000" w:fill="auto"/>
          </w:tcPr>
          <w:p w14:paraId="7238BECB" w14:textId="77777777" w:rsidR="00B21F97" w:rsidRPr="00B21F97" w:rsidRDefault="00B21F97" w:rsidP="00B21F97">
            <w:pPr>
              <w:pStyle w:val="TableBody"/>
              <w:spacing w:before="45" w:after="45"/>
              <w:ind w:right="108"/>
              <w:rPr>
                <w:rFonts w:cs="Open Sans"/>
                <w:color w:val="000000"/>
              </w:rPr>
            </w:pPr>
          </w:p>
        </w:tc>
        <w:tc>
          <w:tcPr>
            <w:tcW w:w="809" w:type="pct"/>
            <w:tcBorders>
              <w:top w:val="nil"/>
              <w:bottom w:val="nil"/>
            </w:tcBorders>
            <w:shd w:val="clear" w:color="000000" w:fill="auto"/>
          </w:tcPr>
          <w:p w14:paraId="05FC7792" w14:textId="77777777" w:rsidR="00B21F97" w:rsidRPr="00B21F97" w:rsidRDefault="00B21F97" w:rsidP="00B21F97">
            <w:pPr>
              <w:pStyle w:val="TableBody"/>
              <w:spacing w:before="45" w:after="45"/>
              <w:ind w:right="108"/>
              <w:rPr>
                <w:rFonts w:cs="Open Sans"/>
                <w:color w:val="000000"/>
              </w:rPr>
            </w:pPr>
          </w:p>
        </w:tc>
        <w:tc>
          <w:tcPr>
            <w:tcW w:w="809" w:type="pct"/>
            <w:tcBorders>
              <w:top w:val="nil"/>
              <w:bottom w:val="nil"/>
            </w:tcBorders>
            <w:shd w:val="clear" w:color="000000" w:fill="auto"/>
          </w:tcPr>
          <w:p w14:paraId="4183DF66" w14:textId="77777777" w:rsidR="00B21F97" w:rsidRPr="00B21F97" w:rsidRDefault="00B21F97" w:rsidP="00B21F97">
            <w:pPr>
              <w:pStyle w:val="TableBody"/>
              <w:spacing w:before="45" w:after="45"/>
              <w:ind w:right="108"/>
              <w:rPr>
                <w:rFonts w:cs="Open Sans"/>
                <w:color w:val="000000"/>
              </w:rPr>
            </w:pPr>
          </w:p>
        </w:tc>
      </w:tr>
      <w:tr w:rsidR="00BC1539" w:rsidRPr="00B21F97" w14:paraId="5FAA5079" w14:textId="77777777" w:rsidTr="00CD19C8">
        <w:tc>
          <w:tcPr>
            <w:tcW w:w="1912" w:type="pct"/>
            <w:tcBorders>
              <w:bottom w:val="nil"/>
            </w:tcBorders>
            <w:shd w:val="clear" w:color="000000" w:fill="E6E6E6"/>
            <w:hideMark/>
          </w:tcPr>
          <w:p w14:paraId="1BE3CE63" w14:textId="77777777" w:rsidR="00BC1539" w:rsidRPr="00B21F97" w:rsidRDefault="00BC1539" w:rsidP="00B21F97">
            <w:pPr>
              <w:pStyle w:val="TableBodyHeading"/>
              <w:spacing w:before="45" w:after="45"/>
              <w:ind w:right="108"/>
              <w:rPr>
                <w:rFonts w:cs="Open Sans"/>
                <w:color w:val="1D4374"/>
                <w:kern w:val="2"/>
                <w:szCs w:val="18"/>
                <w:lang w:eastAsia="en-AU"/>
                <w14:ligatures w14:val="standardContextual"/>
              </w:rPr>
            </w:pPr>
            <w:proofErr w:type="spellStart"/>
            <w:r w:rsidRPr="00B21F97">
              <w:rPr>
                <w:rFonts w:cs="Open Sans"/>
                <w:color w:val="1D4374"/>
              </w:rPr>
              <w:t>capital_expenses</w:t>
            </w:r>
            <w:proofErr w:type="spellEnd"/>
            <w:r w:rsidRPr="00B21F97">
              <w:rPr>
                <w:rFonts w:cs="Open Sans"/>
                <w:color w:val="1D4374"/>
              </w:rPr>
              <w:t xml:space="preserve">: </w:t>
            </w:r>
            <w:proofErr w:type="spellStart"/>
            <w:r w:rsidRPr="00B21F97">
              <w:rPr>
                <w:rFonts w:cs="Open Sans"/>
                <w:color w:val="1D4374"/>
              </w:rPr>
              <w:t>lease_os</w:t>
            </w:r>
            <w:proofErr w:type="spellEnd"/>
          </w:p>
        </w:tc>
        <w:tc>
          <w:tcPr>
            <w:tcW w:w="661" w:type="pct"/>
            <w:tcBorders>
              <w:bottom w:val="nil"/>
            </w:tcBorders>
            <w:shd w:val="clear" w:color="000000" w:fill="E6E6E6"/>
            <w:hideMark/>
          </w:tcPr>
          <w:p w14:paraId="0D717373" w14:textId="77777777" w:rsidR="00BC1539" w:rsidRPr="00B21F97" w:rsidRDefault="00BC1539" w:rsidP="00B21F97">
            <w:pPr>
              <w:pStyle w:val="TableBody"/>
              <w:spacing w:before="45" w:after="45"/>
              <w:ind w:right="108"/>
              <w:rPr>
                <w:rFonts w:cs="Open Sans"/>
                <w:color w:val="000000"/>
              </w:rPr>
            </w:pPr>
            <w:proofErr w:type="spellStart"/>
            <w:r w:rsidRPr="00B21F97">
              <w:rPr>
                <w:rFonts w:cs="Open Sans"/>
                <w:color w:val="000000"/>
              </w:rPr>
              <w:t>c_leaexpos</w:t>
            </w:r>
            <w:proofErr w:type="spellEnd"/>
          </w:p>
        </w:tc>
        <w:tc>
          <w:tcPr>
            <w:tcW w:w="809" w:type="pct"/>
            <w:tcBorders>
              <w:bottom w:val="nil"/>
            </w:tcBorders>
            <w:shd w:val="clear" w:color="000000" w:fill="E6E6E6"/>
            <w:hideMark/>
          </w:tcPr>
          <w:p w14:paraId="5466C131" w14:textId="77777777" w:rsidR="00BC1539" w:rsidRPr="00B21F97" w:rsidRDefault="00BC1539" w:rsidP="00B21F97">
            <w:pPr>
              <w:pStyle w:val="TableBody"/>
              <w:spacing w:before="45" w:after="45"/>
              <w:ind w:right="108"/>
              <w:rPr>
                <w:rFonts w:cs="Open Sans"/>
                <w:color w:val="000000"/>
              </w:rPr>
            </w:pPr>
            <w:r w:rsidRPr="00B21F97">
              <w:rPr>
                <w:rFonts w:cs="Open Sans"/>
                <w:color w:val="000000"/>
              </w:rPr>
              <w:t>-</w:t>
            </w:r>
          </w:p>
        </w:tc>
        <w:tc>
          <w:tcPr>
            <w:tcW w:w="809" w:type="pct"/>
            <w:tcBorders>
              <w:bottom w:val="nil"/>
            </w:tcBorders>
            <w:shd w:val="clear" w:color="000000" w:fill="E6E6E6"/>
            <w:hideMark/>
          </w:tcPr>
          <w:p w14:paraId="050E5A68" w14:textId="77777777" w:rsidR="00BC1539" w:rsidRPr="00B21F97" w:rsidRDefault="00BC1539" w:rsidP="00B21F97">
            <w:pPr>
              <w:pStyle w:val="TableBody"/>
              <w:spacing w:before="45" w:after="45"/>
              <w:ind w:right="108"/>
              <w:rPr>
                <w:rFonts w:cs="Open Sans"/>
                <w:color w:val="000000"/>
              </w:rPr>
            </w:pPr>
            <w:r w:rsidRPr="00B21F97">
              <w:rPr>
                <w:rFonts w:cs="Open Sans"/>
                <w:color w:val="000000"/>
              </w:rPr>
              <w:t>-</w:t>
            </w:r>
          </w:p>
        </w:tc>
        <w:tc>
          <w:tcPr>
            <w:tcW w:w="809" w:type="pct"/>
            <w:tcBorders>
              <w:bottom w:val="nil"/>
            </w:tcBorders>
            <w:shd w:val="clear" w:color="000000" w:fill="E6E6E6"/>
            <w:hideMark/>
          </w:tcPr>
          <w:p w14:paraId="12AF06F3" w14:textId="77777777" w:rsidR="00BC1539" w:rsidRPr="00B21F97" w:rsidRDefault="00BC1539" w:rsidP="00B21F97">
            <w:pPr>
              <w:pStyle w:val="TableBody"/>
              <w:spacing w:before="45" w:after="45"/>
              <w:ind w:right="108"/>
              <w:rPr>
                <w:rFonts w:cs="Open Sans"/>
                <w:color w:val="000000"/>
              </w:rPr>
            </w:pPr>
            <w:r w:rsidRPr="00B21F97">
              <w:rPr>
                <w:rFonts w:cs="Open Sans"/>
                <w:color w:val="000000"/>
              </w:rPr>
              <w:t>-</w:t>
            </w:r>
          </w:p>
        </w:tc>
      </w:tr>
      <w:tr w:rsidR="00BC1539" w:rsidRPr="00B21F97" w14:paraId="526187D3" w14:textId="77777777" w:rsidTr="00CD19C8">
        <w:tc>
          <w:tcPr>
            <w:tcW w:w="1912" w:type="pct"/>
            <w:tcBorders>
              <w:top w:val="nil"/>
              <w:bottom w:val="nil"/>
            </w:tcBorders>
            <w:shd w:val="clear" w:color="000000" w:fill="auto"/>
            <w:hideMark/>
          </w:tcPr>
          <w:p w14:paraId="23DE14A4" w14:textId="77777777" w:rsidR="00BC1539" w:rsidRPr="00B21F97" w:rsidRDefault="00BC1539" w:rsidP="00B21F97">
            <w:pPr>
              <w:pStyle w:val="TableBodyHeading"/>
              <w:spacing w:before="45" w:after="45"/>
              <w:ind w:right="108"/>
              <w:rPr>
                <w:rFonts w:cs="Open Sans"/>
                <w:color w:val="1D4374"/>
              </w:rPr>
            </w:pPr>
            <w:proofErr w:type="spellStart"/>
            <w:r w:rsidRPr="00B21F97">
              <w:rPr>
                <w:rFonts w:cs="Open Sans"/>
                <w:color w:val="1D4374"/>
              </w:rPr>
              <w:t>capital_expenses</w:t>
            </w:r>
            <w:proofErr w:type="spellEnd"/>
            <w:r w:rsidRPr="00B21F97">
              <w:rPr>
                <w:rFonts w:cs="Open Sans"/>
                <w:color w:val="1D4374"/>
              </w:rPr>
              <w:t>: lease</w:t>
            </w:r>
          </w:p>
        </w:tc>
        <w:tc>
          <w:tcPr>
            <w:tcW w:w="661" w:type="pct"/>
            <w:tcBorders>
              <w:top w:val="nil"/>
              <w:bottom w:val="nil"/>
            </w:tcBorders>
            <w:shd w:val="clear" w:color="000000" w:fill="auto"/>
            <w:hideMark/>
          </w:tcPr>
          <w:p w14:paraId="19CA9386" w14:textId="77777777" w:rsidR="00BC1539" w:rsidRPr="00B21F97" w:rsidRDefault="00BC1539" w:rsidP="00B21F97">
            <w:pPr>
              <w:pStyle w:val="TableBody"/>
              <w:spacing w:before="45" w:after="45"/>
              <w:ind w:right="108"/>
              <w:rPr>
                <w:rFonts w:cs="Open Sans"/>
                <w:color w:val="000000"/>
              </w:rPr>
            </w:pPr>
            <w:r w:rsidRPr="00B21F97">
              <w:rPr>
                <w:rFonts w:cs="Open Sans"/>
                <w:color w:val="000000"/>
              </w:rPr>
              <w:t>-</w:t>
            </w:r>
          </w:p>
        </w:tc>
        <w:tc>
          <w:tcPr>
            <w:tcW w:w="809" w:type="pct"/>
            <w:tcBorders>
              <w:top w:val="nil"/>
              <w:bottom w:val="nil"/>
            </w:tcBorders>
            <w:shd w:val="clear" w:color="000000" w:fill="auto"/>
            <w:hideMark/>
          </w:tcPr>
          <w:p w14:paraId="0B8A3B26" w14:textId="77777777" w:rsidR="00BC1539" w:rsidRPr="00B21F97" w:rsidRDefault="00BC1539" w:rsidP="00B21F97">
            <w:pPr>
              <w:pStyle w:val="TableBody"/>
              <w:spacing w:before="45" w:after="45"/>
              <w:ind w:right="108"/>
              <w:rPr>
                <w:rFonts w:cs="Open Sans"/>
                <w:color w:val="000000"/>
              </w:rPr>
            </w:pPr>
            <w:proofErr w:type="spellStart"/>
            <w:r w:rsidRPr="00B21F97">
              <w:rPr>
                <w:rFonts w:cs="Open Sans"/>
                <w:color w:val="000000"/>
              </w:rPr>
              <w:t>i_leaextot</w:t>
            </w:r>
            <w:proofErr w:type="spellEnd"/>
          </w:p>
        </w:tc>
        <w:tc>
          <w:tcPr>
            <w:tcW w:w="809" w:type="pct"/>
            <w:tcBorders>
              <w:top w:val="nil"/>
              <w:bottom w:val="nil"/>
            </w:tcBorders>
            <w:shd w:val="clear" w:color="000000" w:fill="auto"/>
            <w:hideMark/>
          </w:tcPr>
          <w:p w14:paraId="510BCE83" w14:textId="77777777" w:rsidR="00BC1539" w:rsidRPr="00B21F97" w:rsidRDefault="00BC1539" w:rsidP="00B21F97">
            <w:pPr>
              <w:pStyle w:val="TableBody"/>
              <w:spacing w:before="45" w:after="45"/>
              <w:ind w:right="108"/>
              <w:rPr>
                <w:rFonts w:cs="Open Sans"/>
                <w:color w:val="000000"/>
              </w:rPr>
            </w:pPr>
            <w:proofErr w:type="spellStart"/>
            <w:r w:rsidRPr="00B21F97">
              <w:rPr>
                <w:rFonts w:cs="Open Sans"/>
                <w:color w:val="000000"/>
              </w:rPr>
              <w:t>p_leaextot</w:t>
            </w:r>
            <w:proofErr w:type="spellEnd"/>
          </w:p>
        </w:tc>
        <w:tc>
          <w:tcPr>
            <w:tcW w:w="809" w:type="pct"/>
            <w:tcBorders>
              <w:top w:val="nil"/>
              <w:bottom w:val="nil"/>
            </w:tcBorders>
            <w:shd w:val="clear" w:color="000000" w:fill="auto"/>
            <w:hideMark/>
          </w:tcPr>
          <w:p w14:paraId="4CFE49C9" w14:textId="77777777" w:rsidR="00BC1539" w:rsidRPr="00B21F97" w:rsidRDefault="00BC1539" w:rsidP="00B21F97">
            <w:pPr>
              <w:pStyle w:val="TableBody"/>
              <w:spacing w:before="45" w:after="45"/>
              <w:ind w:right="108"/>
              <w:rPr>
                <w:rFonts w:cs="Open Sans"/>
                <w:color w:val="000000"/>
              </w:rPr>
            </w:pPr>
            <w:proofErr w:type="spellStart"/>
            <w:r w:rsidRPr="00B21F97">
              <w:rPr>
                <w:rFonts w:cs="Open Sans"/>
                <w:color w:val="000000"/>
              </w:rPr>
              <w:t>t_leaextot</w:t>
            </w:r>
            <w:proofErr w:type="spellEnd"/>
          </w:p>
        </w:tc>
      </w:tr>
      <w:tr w:rsidR="00BC1539" w:rsidRPr="00B21F97" w14:paraId="511FE3B5" w14:textId="77777777" w:rsidTr="00CD19C8">
        <w:tc>
          <w:tcPr>
            <w:tcW w:w="1912" w:type="pct"/>
            <w:tcBorders>
              <w:bottom w:val="nil"/>
            </w:tcBorders>
            <w:shd w:val="clear" w:color="000000" w:fill="E6E6E6"/>
            <w:hideMark/>
          </w:tcPr>
          <w:p w14:paraId="02A48166" w14:textId="77777777" w:rsidR="00BC1539" w:rsidRPr="00B21F97" w:rsidRDefault="00BC1539" w:rsidP="00B21F97">
            <w:pPr>
              <w:pStyle w:val="TableBodyHeading"/>
              <w:spacing w:before="45" w:after="45"/>
              <w:ind w:right="108"/>
              <w:rPr>
                <w:rFonts w:cs="Open Sans"/>
                <w:color w:val="1D4374"/>
              </w:rPr>
            </w:pPr>
            <w:proofErr w:type="spellStart"/>
            <w:r w:rsidRPr="00B21F97">
              <w:rPr>
                <w:rFonts w:cs="Open Sans"/>
                <w:color w:val="1D4374"/>
              </w:rPr>
              <w:t>capital_expenses</w:t>
            </w:r>
            <w:proofErr w:type="spellEnd"/>
            <w:r w:rsidRPr="00B21F97">
              <w:rPr>
                <w:rFonts w:cs="Open Sans"/>
                <w:color w:val="1D4374"/>
              </w:rPr>
              <w:t>: depreciation</w:t>
            </w:r>
          </w:p>
        </w:tc>
        <w:tc>
          <w:tcPr>
            <w:tcW w:w="661" w:type="pct"/>
            <w:tcBorders>
              <w:bottom w:val="nil"/>
            </w:tcBorders>
            <w:shd w:val="clear" w:color="000000" w:fill="E6E6E6"/>
            <w:hideMark/>
          </w:tcPr>
          <w:p w14:paraId="7C04CE10" w14:textId="77777777" w:rsidR="00BC1539" w:rsidRPr="00B21F97" w:rsidRDefault="00BC1539" w:rsidP="00B21F97">
            <w:pPr>
              <w:pStyle w:val="TableBody"/>
              <w:spacing w:before="45" w:after="45"/>
              <w:ind w:right="108"/>
              <w:rPr>
                <w:rFonts w:cs="Open Sans"/>
                <w:color w:val="000000"/>
              </w:rPr>
            </w:pPr>
            <w:proofErr w:type="spellStart"/>
            <w:r w:rsidRPr="00B21F97">
              <w:rPr>
                <w:rFonts w:cs="Open Sans"/>
                <w:color w:val="000000"/>
              </w:rPr>
              <w:t>c_deprexps</w:t>
            </w:r>
            <w:proofErr w:type="spellEnd"/>
          </w:p>
        </w:tc>
        <w:tc>
          <w:tcPr>
            <w:tcW w:w="809" w:type="pct"/>
            <w:tcBorders>
              <w:bottom w:val="nil"/>
            </w:tcBorders>
            <w:shd w:val="clear" w:color="000000" w:fill="E6E6E6"/>
            <w:hideMark/>
          </w:tcPr>
          <w:p w14:paraId="5F623BDE" w14:textId="77777777" w:rsidR="00BC1539" w:rsidRPr="00B21F97" w:rsidRDefault="00BC1539" w:rsidP="00B21F97">
            <w:pPr>
              <w:pStyle w:val="TableBody"/>
              <w:spacing w:before="45" w:after="45"/>
              <w:ind w:right="108"/>
              <w:rPr>
                <w:rFonts w:cs="Open Sans"/>
                <w:color w:val="000000"/>
              </w:rPr>
            </w:pPr>
            <w:proofErr w:type="spellStart"/>
            <w:r w:rsidRPr="00B21F97">
              <w:rPr>
                <w:rFonts w:cs="Open Sans"/>
                <w:color w:val="000000"/>
              </w:rPr>
              <w:t>i_deprexps</w:t>
            </w:r>
            <w:proofErr w:type="spellEnd"/>
          </w:p>
        </w:tc>
        <w:tc>
          <w:tcPr>
            <w:tcW w:w="809" w:type="pct"/>
            <w:tcBorders>
              <w:bottom w:val="nil"/>
            </w:tcBorders>
            <w:shd w:val="clear" w:color="000000" w:fill="E6E6E6"/>
            <w:hideMark/>
          </w:tcPr>
          <w:p w14:paraId="569F8E63" w14:textId="77777777" w:rsidR="00BC1539" w:rsidRPr="00B21F97" w:rsidRDefault="00BC1539" w:rsidP="00B21F97">
            <w:pPr>
              <w:pStyle w:val="TableBody"/>
              <w:spacing w:before="45" w:after="45"/>
              <w:ind w:right="108"/>
              <w:rPr>
                <w:rFonts w:cs="Open Sans"/>
                <w:color w:val="000000"/>
              </w:rPr>
            </w:pPr>
            <w:proofErr w:type="spellStart"/>
            <w:r w:rsidRPr="00B21F97">
              <w:rPr>
                <w:rFonts w:cs="Open Sans"/>
                <w:color w:val="000000"/>
              </w:rPr>
              <w:t>p_deprexps</w:t>
            </w:r>
            <w:proofErr w:type="spellEnd"/>
          </w:p>
        </w:tc>
        <w:tc>
          <w:tcPr>
            <w:tcW w:w="809" w:type="pct"/>
            <w:tcBorders>
              <w:bottom w:val="nil"/>
            </w:tcBorders>
            <w:shd w:val="clear" w:color="000000" w:fill="E6E6E6"/>
            <w:hideMark/>
          </w:tcPr>
          <w:p w14:paraId="42264488" w14:textId="77777777" w:rsidR="00BC1539" w:rsidRPr="00B21F97" w:rsidRDefault="00BC1539" w:rsidP="00B21F97">
            <w:pPr>
              <w:pStyle w:val="TableBody"/>
              <w:spacing w:before="45" w:after="45"/>
              <w:ind w:right="108"/>
              <w:rPr>
                <w:rFonts w:cs="Open Sans"/>
                <w:color w:val="000000"/>
              </w:rPr>
            </w:pPr>
            <w:proofErr w:type="spellStart"/>
            <w:r w:rsidRPr="00B21F97">
              <w:rPr>
                <w:rFonts w:cs="Open Sans"/>
                <w:color w:val="000000"/>
              </w:rPr>
              <w:t>t_deprexps</w:t>
            </w:r>
            <w:proofErr w:type="spellEnd"/>
          </w:p>
        </w:tc>
      </w:tr>
      <w:tr w:rsidR="00BC1539" w:rsidRPr="00B21F97" w14:paraId="01BB88D0" w14:textId="77777777" w:rsidTr="00CD19C8">
        <w:tc>
          <w:tcPr>
            <w:tcW w:w="1912" w:type="pct"/>
            <w:tcBorders>
              <w:top w:val="nil"/>
              <w:bottom w:val="nil"/>
            </w:tcBorders>
            <w:shd w:val="clear" w:color="000000" w:fill="auto"/>
            <w:hideMark/>
          </w:tcPr>
          <w:p w14:paraId="4F6F6979" w14:textId="77777777" w:rsidR="00BC1539" w:rsidRPr="00B21F97" w:rsidRDefault="00BC1539" w:rsidP="00B21F97">
            <w:pPr>
              <w:pStyle w:val="TableBodyHeading"/>
              <w:spacing w:before="45" w:after="45"/>
              <w:ind w:right="108"/>
              <w:rPr>
                <w:rFonts w:cs="Open Sans"/>
                <w:color w:val="1D4374"/>
              </w:rPr>
            </w:pPr>
            <w:proofErr w:type="spellStart"/>
            <w:r w:rsidRPr="00B21F97">
              <w:rPr>
                <w:rFonts w:cs="Open Sans"/>
                <w:color w:val="1D4374"/>
              </w:rPr>
              <w:t>capital_expenses</w:t>
            </w:r>
            <w:proofErr w:type="spellEnd"/>
            <w:r w:rsidRPr="00B21F97">
              <w:rPr>
                <w:rFonts w:cs="Open Sans"/>
                <w:color w:val="1D4374"/>
              </w:rPr>
              <w:t xml:space="preserve">: </w:t>
            </w:r>
            <w:proofErr w:type="spellStart"/>
            <w:r w:rsidRPr="00B21F97">
              <w:rPr>
                <w:rFonts w:cs="Open Sans"/>
                <w:color w:val="1D4374"/>
              </w:rPr>
              <w:t>interest_au</w:t>
            </w:r>
            <w:proofErr w:type="spellEnd"/>
          </w:p>
        </w:tc>
        <w:tc>
          <w:tcPr>
            <w:tcW w:w="661" w:type="pct"/>
            <w:tcBorders>
              <w:top w:val="nil"/>
              <w:bottom w:val="nil"/>
            </w:tcBorders>
            <w:shd w:val="clear" w:color="000000" w:fill="auto"/>
            <w:hideMark/>
          </w:tcPr>
          <w:p w14:paraId="002E352E" w14:textId="77777777" w:rsidR="00BC1539" w:rsidRPr="00B21F97" w:rsidRDefault="00BC1539" w:rsidP="00B21F97">
            <w:pPr>
              <w:pStyle w:val="TableBody"/>
              <w:spacing w:before="45" w:after="45"/>
              <w:ind w:right="108"/>
              <w:rPr>
                <w:rFonts w:cs="Open Sans"/>
                <w:color w:val="000000"/>
              </w:rPr>
            </w:pPr>
            <w:proofErr w:type="spellStart"/>
            <w:r w:rsidRPr="00B21F97">
              <w:rPr>
                <w:rFonts w:cs="Open Sans"/>
                <w:color w:val="000000"/>
              </w:rPr>
              <w:t>c_intexpau</w:t>
            </w:r>
            <w:proofErr w:type="spellEnd"/>
          </w:p>
        </w:tc>
        <w:tc>
          <w:tcPr>
            <w:tcW w:w="809" w:type="pct"/>
            <w:tcBorders>
              <w:top w:val="nil"/>
              <w:bottom w:val="nil"/>
            </w:tcBorders>
            <w:shd w:val="clear" w:color="000000" w:fill="auto"/>
            <w:hideMark/>
          </w:tcPr>
          <w:p w14:paraId="07BAE09C" w14:textId="77777777" w:rsidR="00BC1539" w:rsidRPr="00B21F97" w:rsidRDefault="00BC1539" w:rsidP="00B21F97">
            <w:pPr>
              <w:pStyle w:val="TableBody"/>
              <w:spacing w:before="45" w:after="45"/>
              <w:ind w:right="108"/>
              <w:rPr>
                <w:rFonts w:cs="Open Sans"/>
                <w:color w:val="000000"/>
              </w:rPr>
            </w:pPr>
            <w:proofErr w:type="spellStart"/>
            <w:r w:rsidRPr="00B21F97">
              <w:rPr>
                <w:rFonts w:cs="Open Sans"/>
                <w:color w:val="000000"/>
              </w:rPr>
              <w:t>i_intexpau</w:t>
            </w:r>
            <w:proofErr w:type="spellEnd"/>
          </w:p>
        </w:tc>
        <w:tc>
          <w:tcPr>
            <w:tcW w:w="809" w:type="pct"/>
            <w:tcBorders>
              <w:top w:val="nil"/>
              <w:bottom w:val="nil"/>
            </w:tcBorders>
            <w:shd w:val="clear" w:color="000000" w:fill="auto"/>
            <w:hideMark/>
          </w:tcPr>
          <w:p w14:paraId="27476B4F" w14:textId="77777777" w:rsidR="00BC1539" w:rsidRPr="00B21F97" w:rsidRDefault="00BC1539" w:rsidP="00B21F97">
            <w:pPr>
              <w:pStyle w:val="TableBody"/>
              <w:spacing w:before="45" w:after="45"/>
              <w:ind w:right="108"/>
              <w:rPr>
                <w:rFonts w:cs="Open Sans"/>
                <w:color w:val="000000"/>
              </w:rPr>
            </w:pPr>
            <w:r w:rsidRPr="00B21F97">
              <w:rPr>
                <w:rFonts w:cs="Open Sans"/>
                <w:color w:val="000000"/>
              </w:rPr>
              <w:t>-</w:t>
            </w:r>
          </w:p>
        </w:tc>
        <w:tc>
          <w:tcPr>
            <w:tcW w:w="809" w:type="pct"/>
            <w:tcBorders>
              <w:top w:val="nil"/>
              <w:bottom w:val="nil"/>
            </w:tcBorders>
            <w:shd w:val="clear" w:color="000000" w:fill="auto"/>
            <w:hideMark/>
          </w:tcPr>
          <w:p w14:paraId="79EC851C" w14:textId="77777777" w:rsidR="00BC1539" w:rsidRPr="00B21F97" w:rsidRDefault="00BC1539" w:rsidP="00B21F97">
            <w:pPr>
              <w:pStyle w:val="TableBody"/>
              <w:spacing w:before="45" w:after="45"/>
              <w:ind w:right="108"/>
              <w:rPr>
                <w:rFonts w:cs="Open Sans"/>
                <w:color w:val="000000"/>
              </w:rPr>
            </w:pPr>
            <w:r w:rsidRPr="00B21F97">
              <w:rPr>
                <w:rFonts w:cs="Open Sans"/>
                <w:color w:val="000000"/>
              </w:rPr>
              <w:t>-</w:t>
            </w:r>
          </w:p>
        </w:tc>
      </w:tr>
      <w:tr w:rsidR="00BC1539" w:rsidRPr="00B21F97" w14:paraId="66D89785" w14:textId="77777777" w:rsidTr="00CD19C8">
        <w:tc>
          <w:tcPr>
            <w:tcW w:w="1912" w:type="pct"/>
            <w:tcBorders>
              <w:bottom w:val="nil"/>
            </w:tcBorders>
            <w:shd w:val="clear" w:color="000000" w:fill="E6E6E6"/>
            <w:hideMark/>
          </w:tcPr>
          <w:p w14:paraId="127C3236" w14:textId="77777777" w:rsidR="00BC1539" w:rsidRPr="00B21F97" w:rsidRDefault="00BC1539" w:rsidP="00B21F97">
            <w:pPr>
              <w:pStyle w:val="TableBodyHeading"/>
              <w:spacing w:before="45" w:after="45"/>
              <w:ind w:right="108"/>
              <w:rPr>
                <w:rFonts w:cs="Open Sans"/>
                <w:color w:val="1D4374"/>
              </w:rPr>
            </w:pPr>
            <w:proofErr w:type="spellStart"/>
            <w:r w:rsidRPr="00B21F97">
              <w:rPr>
                <w:rFonts w:cs="Open Sans"/>
                <w:color w:val="1D4374"/>
              </w:rPr>
              <w:t>capital_expenses</w:t>
            </w:r>
            <w:proofErr w:type="spellEnd"/>
            <w:r w:rsidRPr="00B21F97">
              <w:rPr>
                <w:rFonts w:cs="Open Sans"/>
                <w:color w:val="1D4374"/>
              </w:rPr>
              <w:t xml:space="preserve">: </w:t>
            </w:r>
            <w:proofErr w:type="spellStart"/>
            <w:r w:rsidRPr="00B21F97">
              <w:rPr>
                <w:rFonts w:cs="Open Sans"/>
                <w:color w:val="1D4374"/>
              </w:rPr>
              <w:t>interest_os</w:t>
            </w:r>
            <w:proofErr w:type="spellEnd"/>
          </w:p>
        </w:tc>
        <w:tc>
          <w:tcPr>
            <w:tcW w:w="661" w:type="pct"/>
            <w:tcBorders>
              <w:bottom w:val="nil"/>
            </w:tcBorders>
            <w:shd w:val="clear" w:color="000000" w:fill="E6E6E6"/>
            <w:hideMark/>
          </w:tcPr>
          <w:p w14:paraId="419F0043" w14:textId="77777777" w:rsidR="00BC1539" w:rsidRPr="00B21F97" w:rsidRDefault="00BC1539" w:rsidP="00B21F97">
            <w:pPr>
              <w:pStyle w:val="TableBody"/>
              <w:spacing w:before="45" w:after="45"/>
              <w:ind w:right="108"/>
              <w:rPr>
                <w:rFonts w:cs="Open Sans"/>
                <w:color w:val="000000"/>
              </w:rPr>
            </w:pPr>
            <w:proofErr w:type="spellStart"/>
            <w:r w:rsidRPr="00B21F97">
              <w:rPr>
                <w:rFonts w:cs="Open Sans"/>
                <w:color w:val="000000"/>
              </w:rPr>
              <w:t>c_intexpos</w:t>
            </w:r>
            <w:proofErr w:type="spellEnd"/>
          </w:p>
        </w:tc>
        <w:tc>
          <w:tcPr>
            <w:tcW w:w="809" w:type="pct"/>
            <w:tcBorders>
              <w:bottom w:val="nil"/>
            </w:tcBorders>
            <w:shd w:val="clear" w:color="000000" w:fill="E6E6E6"/>
            <w:hideMark/>
          </w:tcPr>
          <w:p w14:paraId="0BD9CF21" w14:textId="77777777" w:rsidR="00BC1539" w:rsidRPr="00B21F97" w:rsidRDefault="00BC1539" w:rsidP="00B21F97">
            <w:pPr>
              <w:pStyle w:val="TableBody"/>
              <w:spacing w:before="45" w:after="45"/>
              <w:ind w:right="108"/>
              <w:rPr>
                <w:rFonts w:cs="Open Sans"/>
                <w:color w:val="000000"/>
              </w:rPr>
            </w:pPr>
            <w:proofErr w:type="spellStart"/>
            <w:r w:rsidRPr="00B21F97">
              <w:rPr>
                <w:rFonts w:cs="Open Sans"/>
                <w:color w:val="000000"/>
              </w:rPr>
              <w:t>i_intexpos</w:t>
            </w:r>
            <w:proofErr w:type="spellEnd"/>
          </w:p>
        </w:tc>
        <w:tc>
          <w:tcPr>
            <w:tcW w:w="809" w:type="pct"/>
            <w:tcBorders>
              <w:bottom w:val="nil"/>
            </w:tcBorders>
            <w:shd w:val="clear" w:color="000000" w:fill="E6E6E6"/>
            <w:hideMark/>
          </w:tcPr>
          <w:p w14:paraId="3DEBCEB9" w14:textId="77777777" w:rsidR="00BC1539" w:rsidRPr="00B21F97" w:rsidRDefault="00BC1539" w:rsidP="00B21F97">
            <w:pPr>
              <w:pStyle w:val="TableBody"/>
              <w:spacing w:before="45" w:after="45"/>
              <w:ind w:right="108"/>
              <w:rPr>
                <w:rFonts w:cs="Open Sans"/>
                <w:color w:val="000000"/>
              </w:rPr>
            </w:pPr>
            <w:r w:rsidRPr="00B21F97">
              <w:rPr>
                <w:rFonts w:cs="Open Sans"/>
                <w:color w:val="000000"/>
              </w:rPr>
              <w:t>-</w:t>
            </w:r>
          </w:p>
        </w:tc>
        <w:tc>
          <w:tcPr>
            <w:tcW w:w="809" w:type="pct"/>
            <w:tcBorders>
              <w:bottom w:val="nil"/>
            </w:tcBorders>
            <w:shd w:val="clear" w:color="000000" w:fill="E6E6E6"/>
            <w:hideMark/>
          </w:tcPr>
          <w:p w14:paraId="1A666FB8" w14:textId="77777777" w:rsidR="00BC1539" w:rsidRPr="00B21F97" w:rsidRDefault="00BC1539" w:rsidP="00B21F97">
            <w:pPr>
              <w:pStyle w:val="TableBody"/>
              <w:spacing w:before="45" w:after="45"/>
              <w:ind w:right="108"/>
              <w:rPr>
                <w:rFonts w:cs="Open Sans"/>
                <w:color w:val="000000"/>
              </w:rPr>
            </w:pPr>
            <w:r w:rsidRPr="00B21F97">
              <w:rPr>
                <w:rFonts w:cs="Open Sans"/>
                <w:color w:val="000000"/>
              </w:rPr>
              <w:t>-</w:t>
            </w:r>
          </w:p>
        </w:tc>
      </w:tr>
      <w:tr w:rsidR="00B21F97" w:rsidRPr="00B21F97" w14:paraId="402B363A" w14:textId="77777777" w:rsidTr="00CD19C8">
        <w:tc>
          <w:tcPr>
            <w:tcW w:w="1912" w:type="pct"/>
            <w:tcBorders>
              <w:top w:val="nil"/>
              <w:bottom w:val="nil"/>
            </w:tcBorders>
            <w:shd w:val="clear" w:color="000000" w:fill="auto"/>
          </w:tcPr>
          <w:p w14:paraId="0B2E0922" w14:textId="77777777" w:rsidR="00B21F97" w:rsidRPr="00B21F97" w:rsidRDefault="00B21F97" w:rsidP="00B21F97">
            <w:pPr>
              <w:pStyle w:val="TableBodyHeading"/>
              <w:spacing w:before="45" w:after="45"/>
              <w:ind w:right="108"/>
              <w:rPr>
                <w:rFonts w:cs="Open Sans"/>
                <w:color w:val="1D4374"/>
              </w:rPr>
            </w:pPr>
          </w:p>
        </w:tc>
        <w:tc>
          <w:tcPr>
            <w:tcW w:w="661" w:type="pct"/>
            <w:tcBorders>
              <w:top w:val="nil"/>
              <w:bottom w:val="nil"/>
            </w:tcBorders>
            <w:shd w:val="clear" w:color="000000" w:fill="auto"/>
          </w:tcPr>
          <w:p w14:paraId="00211A6C" w14:textId="77777777" w:rsidR="00B21F97" w:rsidRPr="00B21F97" w:rsidRDefault="00B21F97" w:rsidP="00B21F97">
            <w:pPr>
              <w:pStyle w:val="TableBody"/>
              <w:spacing w:before="45" w:after="45"/>
              <w:ind w:right="108"/>
              <w:rPr>
                <w:rFonts w:cs="Open Sans"/>
                <w:color w:val="000000"/>
              </w:rPr>
            </w:pPr>
          </w:p>
        </w:tc>
        <w:tc>
          <w:tcPr>
            <w:tcW w:w="809" w:type="pct"/>
            <w:tcBorders>
              <w:top w:val="nil"/>
              <w:bottom w:val="nil"/>
            </w:tcBorders>
            <w:shd w:val="clear" w:color="000000" w:fill="auto"/>
          </w:tcPr>
          <w:p w14:paraId="10FF5623" w14:textId="77777777" w:rsidR="00B21F97" w:rsidRPr="00B21F97" w:rsidRDefault="00B21F97" w:rsidP="00B21F97">
            <w:pPr>
              <w:pStyle w:val="TableBody"/>
              <w:spacing w:before="45" w:after="45"/>
              <w:ind w:right="108"/>
              <w:rPr>
                <w:rFonts w:cs="Open Sans"/>
                <w:color w:val="000000"/>
              </w:rPr>
            </w:pPr>
          </w:p>
        </w:tc>
        <w:tc>
          <w:tcPr>
            <w:tcW w:w="809" w:type="pct"/>
            <w:tcBorders>
              <w:top w:val="nil"/>
              <w:bottom w:val="nil"/>
            </w:tcBorders>
            <w:shd w:val="clear" w:color="000000" w:fill="auto"/>
          </w:tcPr>
          <w:p w14:paraId="2E983956" w14:textId="77777777" w:rsidR="00B21F97" w:rsidRPr="00B21F97" w:rsidRDefault="00B21F97" w:rsidP="00B21F97">
            <w:pPr>
              <w:pStyle w:val="TableBody"/>
              <w:spacing w:before="45" w:after="45"/>
              <w:ind w:right="108"/>
              <w:rPr>
                <w:rFonts w:cs="Open Sans"/>
                <w:color w:val="000000"/>
              </w:rPr>
            </w:pPr>
          </w:p>
        </w:tc>
        <w:tc>
          <w:tcPr>
            <w:tcW w:w="809" w:type="pct"/>
            <w:tcBorders>
              <w:top w:val="nil"/>
              <w:bottom w:val="nil"/>
            </w:tcBorders>
            <w:shd w:val="clear" w:color="000000" w:fill="auto"/>
          </w:tcPr>
          <w:p w14:paraId="20DC5811" w14:textId="77777777" w:rsidR="00B21F97" w:rsidRPr="00B21F97" w:rsidRDefault="00B21F97" w:rsidP="00B21F97">
            <w:pPr>
              <w:pStyle w:val="TableBody"/>
              <w:spacing w:before="45" w:after="45"/>
              <w:ind w:right="108"/>
              <w:rPr>
                <w:rFonts w:cs="Open Sans"/>
                <w:color w:val="000000"/>
              </w:rPr>
            </w:pPr>
          </w:p>
        </w:tc>
      </w:tr>
      <w:tr w:rsidR="00BC1539" w:rsidRPr="00B21F97" w14:paraId="50D342DE" w14:textId="77777777" w:rsidTr="00CD19C8">
        <w:tc>
          <w:tcPr>
            <w:tcW w:w="1912" w:type="pct"/>
            <w:tcBorders>
              <w:bottom w:val="nil"/>
            </w:tcBorders>
            <w:shd w:val="clear" w:color="000000" w:fill="E6E6E6"/>
            <w:hideMark/>
          </w:tcPr>
          <w:p w14:paraId="26AA8AE2" w14:textId="77777777" w:rsidR="00BC1539" w:rsidRPr="00B21F97" w:rsidRDefault="00BC1539" w:rsidP="00923AFF">
            <w:pPr>
              <w:pStyle w:val="TableBodyHeading"/>
              <w:keepNext/>
              <w:spacing w:before="45" w:after="45"/>
              <w:ind w:right="108"/>
              <w:rPr>
                <w:rFonts w:cs="Open Sans"/>
                <w:color w:val="1D4374"/>
                <w:kern w:val="2"/>
                <w:szCs w:val="18"/>
                <w:lang w:eastAsia="en-AU"/>
                <w14:ligatures w14:val="standardContextual"/>
              </w:rPr>
            </w:pPr>
            <w:proofErr w:type="spellStart"/>
            <w:r w:rsidRPr="00B21F97">
              <w:rPr>
                <w:rFonts w:cs="Open Sans"/>
                <w:color w:val="1D4374"/>
              </w:rPr>
              <w:lastRenderedPageBreak/>
              <w:t>capital_expenses</w:t>
            </w:r>
            <w:proofErr w:type="spellEnd"/>
            <w:r w:rsidRPr="00B21F97">
              <w:rPr>
                <w:rFonts w:cs="Open Sans"/>
                <w:color w:val="1D4374"/>
              </w:rPr>
              <w:t>: interest</w:t>
            </w:r>
          </w:p>
        </w:tc>
        <w:tc>
          <w:tcPr>
            <w:tcW w:w="661" w:type="pct"/>
            <w:tcBorders>
              <w:bottom w:val="nil"/>
            </w:tcBorders>
            <w:shd w:val="clear" w:color="000000" w:fill="E6E6E6"/>
            <w:hideMark/>
          </w:tcPr>
          <w:p w14:paraId="779EC555" w14:textId="77777777" w:rsidR="00BC1539" w:rsidRPr="00B21F97" w:rsidRDefault="00BC1539" w:rsidP="00923AFF">
            <w:pPr>
              <w:pStyle w:val="TableBody"/>
              <w:keepNext/>
              <w:spacing w:before="45" w:after="45"/>
              <w:ind w:right="108"/>
              <w:rPr>
                <w:rFonts w:cs="Open Sans"/>
                <w:color w:val="000000"/>
              </w:rPr>
            </w:pPr>
            <w:r w:rsidRPr="00B21F97">
              <w:rPr>
                <w:rFonts w:cs="Open Sans"/>
                <w:color w:val="000000"/>
              </w:rPr>
              <w:t>-</w:t>
            </w:r>
          </w:p>
        </w:tc>
        <w:tc>
          <w:tcPr>
            <w:tcW w:w="809" w:type="pct"/>
            <w:tcBorders>
              <w:bottom w:val="nil"/>
            </w:tcBorders>
            <w:shd w:val="clear" w:color="000000" w:fill="E6E6E6"/>
            <w:hideMark/>
          </w:tcPr>
          <w:p w14:paraId="210547CA" w14:textId="77777777" w:rsidR="00BC1539" w:rsidRPr="00B21F97" w:rsidRDefault="00BC1539" w:rsidP="00923AFF">
            <w:pPr>
              <w:pStyle w:val="TableBody"/>
              <w:keepNext/>
              <w:spacing w:before="45" w:after="45"/>
              <w:ind w:right="108"/>
              <w:rPr>
                <w:rFonts w:cs="Open Sans"/>
                <w:color w:val="000000"/>
              </w:rPr>
            </w:pPr>
            <w:r w:rsidRPr="00B21F97">
              <w:rPr>
                <w:rFonts w:cs="Open Sans"/>
                <w:color w:val="000000"/>
              </w:rPr>
              <w:t>-</w:t>
            </w:r>
          </w:p>
        </w:tc>
        <w:tc>
          <w:tcPr>
            <w:tcW w:w="809" w:type="pct"/>
            <w:tcBorders>
              <w:bottom w:val="nil"/>
            </w:tcBorders>
            <w:shd w:val="clear" w:color="000000" w:fill="E6E6E6"/>
            <w:hideMark/>
          </w:tcPr>
          <w:p w14:paraId="629FD83D" w14:textId="77777777" w:rsidR="00BC1539" w:rsidRPr="00B21F97" w:rsidRDefault="00BC1539" w:rsidP="00923AFF">
            <w:pPr>
              <w:pStyle w:val="TableBody"/>
              <w:keepNext/>
              <w:spacing w:before="45" w:after="45"/>
              <w:ind w:right="108"/>
              <w:rPr>
                <w:rFonts w:cs="Open Sans"/>
                <w:color w:val="000000"/>
              </w:rPr>
            </w:pPr>
            <w:proofErr w:type="spellStart"/>
            <w:r w:rsidRPr="00B21F97">
              <w:rPr>
                <w:rFonts w:cs="Open Sans"/>
                <w:color w:val="000000"/>
              </w:rPr>
              <w:t>p_intextot</w:t>
            </w:r>
            <w:proofErr w:type="spellEnd"/>
          </w:p>
        </w:tc>
        <w:tc>
          <w:tcPr>
            <w:tcW w:w="809" w:type="pct"/>
            <w:tcBorders>
              <w:bottom w:val="nil"/>
            </w:tcBorders>
            <w:shd w:val="clear" w:color="000000" w:fill="E6E6E6"/>
            <w:hideMark/>
          </w:tcPr>
          <w:p w14:paraId="29377D6B" w14:textId="77777777" w:rsidR="00BC1539" w:rsidRPr="00B21F97" w:rsidRDefault="00BC1539" w:rsidP="00923AFF">
            <w:pPr>
              <w:pStyle w:val="TableBody"/>
              <w:keepNext/>
              <w:spacing w:before="45" w:after="45"/>
              <w:ind w:right="108"/>
              <w:rPr>
                <w:rFonts w:cs="Open Sans"/>
                <w:color w:val="000000"/>
              </w:rPr>
            </w:pPr>
            <w:proofErr w:type="spellStart"/>
            <w:r w:rsidRPr="00B21F97">
              <w:rPr>
                <w:rFonts w:cs="Open Sans"/>
                <w:color w:val="000000"/>
              </w:rPr>
              <w:t>t_intextot</w:t>
            </w:r>
            <w:proofErr w:type="spellEnd"/>
          </w:p>
        </w:tc>
      </w:tr>
      <w:tr w:rsidR="00BC1539" w:rsidRPr="00B21F97" w14:paraId="61AE8714" w14:textId="77777777" w:rsidTr="00CD19C8">
        <w:tc>
          <w:tcPr>
            <w:tcW w:w="1912" w:type="pct"/>
            <w:tcBorders>
              <w:top w:val="nil"/>
              <w:bottom w:val="nil"/>
            </w:tcBorders>
            <w:shd w:val="clear" w:color="000000" w:fill="auto"/>
            <w:hideMark/>
          </w:tcPr>
          <w:p w14:paraId="53B9260C" w14:textId="77777777" w:rsidR="00BC1539" w:rsidRPr="00B21F97" w:rsidRDefault="00BC1539" w:rsidP="00B21F97">
            <w:pPr>
              <w:pStyle w:val="TableBodyHeading"/>
              <w:spacing w:before="45" w:after="45"/>
              <w:ind w:right="108"/>
              <w:rPr>
                <w:rFonts w:cs="Open Sans"/>
                <w:color w:val="1D4374"/>
              </w:rPr>
            </w:pPr>
            <w:proofErr w:type="spellStart"/>
            <w:r w:rsidRPr="00B21F97">
              <w:rPr>
                <w:rFonts w:cs="Open Sans"/>
                <w:color w:val="1D4374"/>
              </w:rPr>
              <w:t>other_non_intermediate</w:t>
            </w:r>
            <w:proofErr w:type="spellEnd"/>
            <w:r w:rsidRPr="00B21F97">
              <w:rPr>
                <w:rFonts w:cs="Open Sans"/>
                <w:color w:val="1D4374"/>
              </w:rPr>
              <w:t xml:space="preserve">: </w:t>
            </w:r>
            <w:proofErr w:type="spellStart"/>
            <w:r w:rsidRPr="00B21F97">
              <w:rPr>
                <w:rFonts w:cs="Open Sans"/>
                <w:color w:val="1D4374"/>
              </w:rPr>
              <w:t>royalties_au</w:t>
            </w:r>
            <w:proofErr w:type="spellEnd"/>
          </w:p>
        </w:tc>
        <w:tc>
          <w:tcPr>
            <w:tcW w:w="661" w:type="pct"/>
            <w:tcBorders>
              <w:top w:val="nil"/>
              <w:bottom w:val="nil"/>
            </w:tcBorders>
            <w:shd w:val="clear" w:color="000000" w:fill="auto"/>
            <w:hideMark/>
          </w:tcPr>
          <w:p w14:paraId="00F58DAE" w14:textId="77777777" w:rsidR="00BC1539" w:rsidRPr="00B21F97" w:rsidRDefault="00BC1539" w:rsidP="00B21F97">
            <w:pPr>
              <w:pStyle w:val="TableBody"/>
              <w:spacing w:before="45" w:after="45"/>
              <w:ind w:right="108"/>
              <w:rPr>
                <w:rFonts w:cs="Open Sans"/>
                <w:color w:val="000000"/>
              </w:rPr>
            </w:pPr>
            <w:proofErr w:type="spellStart"/>
            <w:r w:rsidRPr="00B21F97">
              <w:rPr>
                <w:rFonts w:cs="Open Sans"/>
                <w:color w:val="000000"/>
              </w:rPr>
              <w:t>c_royexpau</w:t>
            </w:r>
            <w:proofErr w:type="spellEnd"/>
          </w:p>
        </w:tc>
        <w:tc>
          <w:tcPr>
            <w:tcW w:w="809" w:type="pct"/>
            <w:tcBorders>
              <w:top w:val="nil"/>
              <w:bottom w:val="nil"/>
            </w:tcBorders>
            <w:shd w:val="clear" w:color="000000" w:fill="auto"/>
            <w:hideMark/>
          </w:tcPr>
          <w:p w14:paraId="6748EE3A" w14:textId="77777777" w:rsidR="00BC1539" w:rsidRPr="00B21F97" w:rsidRDefault="00BC1539" w:rsidP="00B21F97">
            <w:pPr>
              <w:pStyle w:val="TableBody"/>
              <w:spacing w:before="45" w:after="45"/>
              <w:ind w:right="108"/>
              <w:rPr>
                <w:rFonts w:cs="Open Sans"/>
                <w:color w:val="000000"/>
              </w:rPr>
            </w:pPr>
            <w:r w:rsidRPr="00B21F97">
              <w:rPr>
                <w:rFonts w:cs="Open Sans"/>
                <w:color w:val="000000"/>
              </w:rPr>
              <w:t>-</w:t>
            </w:r>
          </w:p>
        </w:tc>
        <w:tc>
          <w:tcPr>
            <w:tcW w:w="809" w:type="pct"/>
            <w:tcBorders>
              <w:top w:val="nil"/>
              <w:bottom w:val="nil"/>
            </w:tcBorders>
            <w:shd w:val="clear" w:color="000000" w:fill="auto"/>
            <w:hideMark/>
          </w:tcPr>
          <w:p w14:paraId="73E812BE" w14:textId="77777777" w:rsidR="00BC1539" w:rsidRPr="00B21F97" w:rsidRDefault="00BC1539" w:rsidP="00B21F97">
            <w:pPr>
              <w:pStyle w:val="TableBody"/>
              <w:spacing w:before="45" w:after="45"/>
              <w:ind w:right="108"/>
              <w:rPr>
                <w:rFonts w:cs="Open Sans"/>
                <w:color w:val="000000"/>
              </w:rPr>
            </w:pPr>
            <w:r w:rsidRPr="00B21F97">
              <w:rPr>
                <w:rFonts w:cs="Open Sans"/>
                <w:color w:val="000000"/>
              </w:rPr>
              <w:t>-</w:t>
            </w:r>
          </w:p>
        </w:tc>
        <w:tc>
          <w:tcPr>
            <w:tcW w:w="809" w:type="pct"/>
            <w:tcBorders>
              <w:top w:val="nil"/>
              <w:bottom w:val="nil"/>
            </w:tcBorders>
            <w:shd w:val="clear" w:color="000000" w:fill="auto"/>
            <w:hideMark/>
          </w:tcPr>
          <w:p w14:paraId="2923E901" w14:textId="77777777" w:rsidR="00BC1539" w:rsidRPr="00B21F97" w:rsidRDefault="00BC1539" w:rsidP="00B21F97">
            <w:pPr>
              <w:pStyle w:val="TableBody"/>
              <w:spacing w:before="45" w:after="45"/>
              <w:ind w:right="108"/>
              <w:rPr>
                <w:rFonts w:cs="Open Sans"/>
                <w:color w:val="000000"/>
              </w:rPr>
            </w:pPr>
            <w:r w:rsidRPr="00B21F97">
              <w:rPr>
                <w:rFonts w:cs="Open Sans"/>
                <w:color w:val="000000"/>
              </w:rPr>
              <w:t>-</w:t>
            </w:r>
          </w:p>
        </w:tc>
      </w:tr>
      <w:tr w:rsidR="00BC1539" w:rsidRPr="00B21F97" w14:paraId="1CD5FC70" w14:textId="77777777" w:rsidTr="00CD19C8">
        <w:tc>
          <w:tcPr>
            <w:tcW w:w="1912" w:type="pct"/>
            <w:tcBorders>
              <w:bottom w:val="nil"/>
            </w:tcBorders>
            <w:shd w:val="clear" w:color="000000" w:fill="E6E6E6"/>
            <w:hideMark/>
          </w:tcPr>
          <w:p w14:paraId="7F81018C" w14:textId="77777777" w:rsidR="00BC1539" w:rsidRPr="00B21F97" w:rsidRDefault="00BC1539" w:rsidP="00B21F97">
            <w:pPr>
              <w:pStyle w:val="TableBodyHeading"/>
              <w:spacing w:before="45" w:after="45"/>
              <w:ind w:right="108"/>
              <w:rPr>
                <w:rFonts w:cs="Open Sans"/>
                <w:color w:val="1D4374"/>
              </w:rPr>
            </w:pPr>
            <w:proofErr w:type="spellStart"/>
            <w:r w:rsidRPr="00B21F97">
              <w:rPr>
                <w:rFonts w:cs="Open Sans"/>
                <w:color w:val="1D4374"/>
              </w:rPr>
              <w:t>other_non_intermediate</w:t>
            </w:r>
            <w:proofErr w:type="spellEnd"/>
            <w:r w:rsidRPr="00B21F97">
              <w:rPr>
                <w:rFonts w:cs="Open Sans"/>
                <w:color w:val="1D4374"/>
              </w:rPr>
              <w:t xml:space="preserve">: </w:t>
            </w:r>
            <w:proofErr w:type="spellStart"/>
            <w:r w:rsidRPr="00B21F97">
              <w:rPr>
                <w:rFonts w:cs="Open Sans"/>
                <w:color w:val="1D4374"/>
              </w:rPr>
              <w:t>royalties_os</w:t>
            </w:r>
            <w:proofErr w:type="spellEnd"/>
          </w:p>
        </w:tc>
        <w:tc>
          <w:tcPr>
            <w:tcW w:w="661" w:type="pct"/>
            <w:tcBorders>
              <w:bottom w:val="nil"/>
            </w:tcBorders>
            <w:shd w:val="clear" w:color="000000" w:fill="E6E6E6"/>
            <w:hideMark/>
          </w:tcPr>
          <w:p w14:paraId="13255EA9" w14:textId="77777777" w:rsidR="00BC1539" w:rsidRPr="00B21F97" w:rsidRDefault="00BC1539" w:rsidP="00B21F97">
            <w:pPr>
              <w:pStyle w:val="TableBody"/>
              <w:spacing w:before="45" w:after="45"/>
              <w:ind w:right="108"/>
              <w:rPr>
                <w:rFonts w:cs="Open Sans"/>
                <w:color w:val="000000"/>
              </w:rPr>
            </w:pPr>
            <w:proofErr w:type="spellStart"/>
            <w:r w:rsidRPr="00B21F97">
              <w:rPr>
                <w:rFonts w:cs="Open Sans"/>
                <w:color w:val="000000"/>
              </w:rPr>
              <w:t>c_royexpos</w:t>
            </w:r>
            <w:proofErr w:type="spellEnd"/>
          </w:p>
        </w:tc>
        <w:tc>
          <w:tcPr>
            <w:tcW w:w="809" w:type="pct"/>
            <w:tcBorders>
              <w:bottom w:val="nil"/>
            </w:tcBorders>
            <w:shd w:val="clear" w:color="000000" w:fill="E6E6E6"/>
            <w:hideMark/>
          </w:tcPr>
          <w:p w14:paraId="1BAD242E" w14:textId="77777777" w:rsidR="00BC1539" w:rsidRPr="00B21F97" w:rsidRDefault="00BC1539" w:rsidP="00B21F97">
            <w:pPr>
              <w:pStyle w:val="TableBody"/>
              <w:spacing w:before="45" w:after="45"/>
              <w:ind w:right="108"/>
              <w:rPr>
                <w:rFonts w:cs="Open Sans"/>
                <w:color w:val="000000"/>
              </w:rPr>
            </w:pPr>
            <w:r w:rsidRPr="00B21F97">
              <w:rPr>
                <w:rFonts w:cs="Open Sans"/>
                <w:color w:val="000000"/>
              </w:rPr>
              <w:t>-</w:t>
            </w:r>
          </w:p>
        </w:tc>
        <w:tc>
          <w:tcPr>
            <w:tcW w:w="809" w:type="pct"/>
            <w:tcBorders>
              <w:bottom w:val="nil"/>
            </w:tcBorders>
            <w:shd w:val="clear" w:color="000000" w:fill="E6E6E6"/>
            <w:hideMark/>
          </w:tcPr>
          <w:p w14:paraId="5C51C7AF" w14:textId="77777777" w:rsidR="00BC1539" w:rsidRPr="00B21F97" w:rsidRDefault="00BC1539" w:rsidP="00B21F97">
            <w:pPr>
              <w:pStyle w:val="TableBody"/>
              <w:spacing w:before="45" w:after="45"/>
              <w:ind w:right="108"/>
              <w:rPr>
                <w:rFonts w:cs="Open Sans"/>
                <w:color w:val="000000"/>
              </w:rPr>
            </w:pPr>
            <w:r w:rsidRPr="00B21F97">
              <w:rPr>
                <w:rFonts w:cs="Open Sans"/>
                <w:color w:val="000000"/>
              </w:rPr>
              <w:t>-</w:t>
            </w:r>
          </w:p>
        </w:tc>
        <w:tc>
          <w:tcPr>
            <w:tcW w:w="809" w:type="pct"/>
            <w:tcBorders>
              <w:bottom w:val="nil"/>
            </w:tcBorders>
            <w:shd w:val="clear" w:color="000000" w:fill="E6E6E6"/>
            <w:hideMark/>
          </w:tcPr>
          <w:p w14:paraId="48666FA6" w14:textId="77777777" w:rsidR="00BC1539" w:rsidRPr="00B21F97" w:rsidRDefault="00BC1539" w:rsidP="00B21F97">
            <w:pPr>
              <w:pStyle w:val="TableBody"/>
              <w:spacing w:before="45" w:after="45"/>
              <w:ind w:right="108"/>
              <w:rPr>
                <w:rFonts w:cs="Open Sans"/>
                <w:color w:val="000000"/>
              </w:rPr>
            </w:pPr>
            <w:r w:rsidRPr="00B21F97">
              <w:rPr>
                <w:rFonts w:cs="Open Sans"/>
                <w:color w:val="000000"/>
              </w:rPr>
              <w:t>-</w:t>
            </w:r>
          </w:p>
        </w:tc>
      </w:tr>
      <w:tr w:rsidR="00BC1539" w:rsidRPr="00B21F97" w14:paraId="6ED4684E" w14:textId="77777777" w:rsidTr="00CD19C8">
        <w:tc>
          <w:tcPr>
            <w:tcW w:w="1912" w:type="pct"/>
            <w:tcBorders>
              <w:top w:val="nil"/>
              <w:bottom w:val="nil"/>
            </w:tcBorders>
            <w:shd w:val="clear" w:color="000000" w:fill="auto"/>
            <w:hideMark/>
          </w:tcPr>
          <w:p w14:paraId="584212F4" w14:textId="77777777" w:rsidR="00BC1539" w:rsidRPr="00B21F97" w:rsidRDefault="00BC1539" w:rsidP="00B21F97">
            <w:pPr>
              <w:pStyle w:val="TableBodyHeading"/>
              <w:spacing w:before="45" w:after="45"/>
              <w:ind w:right="108"/>
              <w:rPr>
                <w:rFonts w:cs="Open Sans"/>
                <w:color w:val="1D4374"/>
              </w:rPr>
            </w:pPr>
            <w:proofErr w:type="spellStart"/>
            <w:r w:rsidRPr="00B21F97">
              <w:rPr>
                <w:rFonts w:cs="Open Sans"/>
                <w:color w:val="1D4374"/>
              </w:rPr>
              <w:t>other_non_intermediate</w:t>
            </w:r>
            <w:proofErr w:type="spellEnd"/>
            <w:r w:rsidRPr="00B21F97">
              <w:rPr>
                <w:rFonts w:cs="Open Sans"/>
                <w:color w:val="1D4374"/>
              </w:rPr>
              <w:t>: royalties</w:t>
            </w:r>
          </w:p>
        </w:tc>
        <w:tc>
          <w:tcPr>
            <w:tcW w:w="661" w:type="pct"/>
            <w:tcBorders>
              <w:top w:val="nil"/>
              <w:bottom w:val="nil"/>
            </w:tcBorders>
            <w:shd w:val="clear" w:color="000000" w:fill="auto"/>
            <w:hideMark/>
          </w:tcPr>
          <w:p w14:paraId="79DDF24E" w14:textId="77777777" w:rsidR="00BC1539" w:rsidRPr="00B21F97" w:rsidRDefault="00BC1539" w:rsidP="00B21F97">
            <w:pPr>
              <w:pStyle w:val="TableBody"/>
              <w:spacing w:before="45" w:after="45"/>
              <w:ind w:right="108"/>
              <w:rPr>
                <w:rFonts w:cs="Open Sans"/>
                <w:color w:val="000000"/>
              </w:rPr>
            </w:pPr>
            <w:r w:rsidRPr="00B21F97">
              <w:rPr>
                <w:rFonts w:cs="Open Sans"/>
                <w:color w:val="000000"/>
              </w:rPr>
              <w:t>-</w:t>
            </w:r>
          </w:p>
        </w:tc>
        <w:tc>
          <w:tcPr>
            <w:tcW w:w="809" w:type="pct"/>
            <w:tcBorders>
              <w:top w:val="nil"/>
              <w:bottom w:val="nil"/>
            </w:tcBorders>
            <w:shd w:val="clear" w:color="000000" w:fill="auto"/>
            <w:hideMark/>
          </w:tcPr>
          <w:p w14:paraId="52A5881B" w14:textId="77777777" w:rsidR="00BC1539" w:rsidRPr="00B21F97" w:rsidRDefault="00BC1539" w:rsidP="00B21F97">
            <w:pPr>
              <w:pStyle w:val="TableBody"/>
              <w:spacing w:before="45" w:after="45"/>
              <w:ind w:right="108"/>
              <w:rPr>
                <w:rFonts w:cs="Open Sans"/>
                <w:color w:val="000000"/>
              </w:rPr>
            </w:pPr>
            <w:r w:rsidRPr="00B21F97">
              <w:rPr>
                <w:rFonts w:cs="Open Sans"/>
                <w:color w:val="000000"/>
              </w:rPr>
              <w:t>-</w:t>
            </w:r>
          </w:p>
        </w:tc>
        <w:tc>
          <w:tcPr>
            <w:tcW w:w="809" w:type="pct"/>
            <w:tcBorders>
              <w:top w:val="nil"/>
              <w:bottom w:val="nil"/>
            </w:tcBorders>
            <w:shd w:val="clear" w:color="000000" w:fill="auto"/>
            <w:hideMark/>
          </w:tcPr>
          <w:p w14:paraId="336351B2" w14:textId="77777777" w:rsidR="00BC1539" w:rsidRPr="00B21F97" w:rsidRDefault="00BC1539" w:rsidP="00B21F97">
            <w:pPr>
              <w:pStyle w:val="TableBody"/>
              <w:spacing w:before="45" w:after="45"/>
              <w:ind w:right="108"/>
              <w:rPr>
                <w:rFonts w:cs="Open Sans"/>
                <w:color w:val="000000"/>
              </w:rPr>
            </w:pPr>
            <w:proofErr w:type="spellStart"/>
            <w:r w:rsidRPr="00B21F97">
              <w:rPr>
                <w:rFonts w:cs="Open Sans"/>
                <w:color w:val="000000"/>
              </w:rPr>
              <w:t>p_royextot</w:t>
            </w:r>
            <w:proofErr w:type="spellEnd"/>
          </w:p>
        </w:tc>
        <w:tc>
          <w:tcPr>
            <w:tcW w:w="809" w:type="pct"/>
            <w:tcBorders>
              <w:top w:val="nil"/>
              <w:bottom w:val="nil"/>
            </w:tcBorders>
            <w:shd w:val="clear" w:color="000000" w:fill="auto"/>
            <w:hideMark/>
          </w:tcPr>
          <w:p w14:paraId="0441E3FF" w14:textId="77777777" w:rsidR="00BC1539" w:rsidRPr="00B21F97" w:rsidRDefault="00BC1539" w:rsidP="00B21F97">
            <w:pPr>
              <w:pStyle w:val="TableBody"/>
              <w:spacing w:before="45" w:after="45"/>
              <w:ind w:right="108"/>
              <w:rPr>
                <w:rFonts w:cs="Open Sans"/>
                <w:color w:val="000000"/>
              </w:rPr>
            </w:pPr>
            <w:proofErr w:type="spellStart"/>
            <w:r w:rsidRPr="00B21F97">
              <w:rPr>
                <w:rFonts w:cs="Open Sans"/>
                <w:color w:val="000000"/>
              </w:rPr>
              <w:t>t_royextot</w:t>
            </w:r>
            <w:proofErr w:type="spellEnd"/>
          </w:p>
        </w:tc>
      </w:tr>
      <w:tr w:rsidR="00BC1539" w:rsidRPr="00B21F97" w14:paraId="5292D1A5" w14:textId="77777777" w:rsidTr="00CD19C8">
        <w:tc>
          <w:tcPr>
            <w:tcW w:w="1912" w:type="pct"/>
            <w:tcBorders>
              <w:bottom w:val="single" w:sz="4" w:space="0" w:color="B3B3B3"/>
            </w:tcBorders>
            <w:shd w:val="clear" w:color="000000" w:fill="E6E6E6"/>
            <w:hideMark/>
          </w:tcPr>
          <w:p w14:paraId="65B25ACA" w14:textId="77777777" w:rsidR="00BC1539" w:rsidRPr="00B21F97" w:rsidRDefault="00BC1539" w:rsidP="00B21F97">
            <w:pPr>
              <w:pStyle w:val="TableBodyHeading"/>
              <w:spacing w:before="45" w:after="45"/>
              <w:ind w:right="108"/>
              <w:rPr>
                <w:rFonts w:cs="Open Sans"/>
                <w:color w:val="1D4374"/>
              </w:rPr>
            </w:pPr>
            <w:proofErr w:type="spellStart"/>
            <w:r w:rsidRPr="00B21F97">
              <w:rPr>
                <w:rFonts w:cs="Open Sans"/>
                <w:color w:val="1D4374"/>
              </w:rPr>
              <w:t>other_non_intermediate</w:t>
            </w:r>
            <w:proofErr w:type="spellEnd"/>
            <w:r w:rsidRPr="00B21F97">
              <w:rPr>
                <w:rFonts w:cs="Open Sans"/>
                <w:color w:val="1D4374"/>
              </w:rPr>
              <w:t xml:space="preserve">: </w:t>
            </w:r>
            <w:proofErr w:type="spellStart"/>
            <w:r w:rsidRPr="00B21F97">
              <w:rPr>
                <w:rFonts w:cs="Open Sans"/>
                <w:color w:val="1D4374"/>
              </w:rPr>
              <w:t>bad_debts</w:t>
            </w:r>
            <w:proofErr w:type="spellEnd"/>
          </w:p>
        </w:tc>
        <w:tc>
          <w:tcPr>
            <w:tcW w:w="661" w:type="pct"/>
            <w:tcBorders>
              <w:bottom w:val="single" w:sz="4" w:space="0" w:color="B3B3B3"/>
            </w:tcBorders>
            <w:shd w:val="clear" w:color="000000" w:fill="E6E6E6"/>
            <w:hideMark/>
          </w:tcPr>
          <w:p w14:paraId="0651EB4D" w14:textId="77777777" w:rsidR="00BC1539" w:rsidRPr="00B21F97" w:rsidRDefault="00BC1539" w:rsidP="00B21F97">
            <w:pPr>
              <w:pStyle w:val="TableBody"/>
              <w:spacing w:before="45" w:after="45"/>
              <w:ind w:right="108"/>
              <w:rPr>
                <w:rFonts w:cs="Open Sans"/>
                <w:color w:val="000000"/>
              </w:rPr>
            </w:pPr>
            <w:proofErr w:type="spellStart"/>
            <w:r w:rsidRPr="00B21F97">
              <w:rPr>
                <w:rFonts w:cs="Open Sans"/>
                <w:color w:val="000000"/>
              </w:rPr>
              <w:t>c_baddebts</w:t>
            </w:r>
            <w:proofErr w:type="spellEnd"/>
          </w:p>
        </w:tc>
        <w:tc>
          <w:tcPr>
            <w:tcW w:w="809" w:type="pct"/>
            <w:tcBorders>
              <w:bottom w:val="single" w:sz="4" w:space="0" w:color="B3B3B3"/>
            </w:tcBorders>
            <w:shd w:val="clear" w:color="000000" w:fill="E6E6E6"/>
            <w:hideMark/>
          </w:tcPr>
          <w:p w14:paraId="0FBC9C60" w14:textId="77777777" w:rsidR="00BC1539" w:rsidRPr="00B21F97" w:rsidRDefault="00BC1539" w:rsidP="00B21F97">
            <w:pPr>
              <w:pStyle w:val="TableBody"/>
              <w:spacing w:before="45" w:after="45"/>
              <w:ind w:right="108"/>
              <w:rPr>
                <w:rFonts w:cs="Open Sans"/>
                <w:color w:val="000000"/>
              </w:rPr>
            </w:pPr>
            <w:proofErr w:type="spellStart"/>
            <w:r w:rsidRPr="00B21F97">
              <w:rPr>
                <w:rFonts w:cs="Open Sans"/>
                <w:color w:val="000000"/>
              </w:rPr>
              <w:t>i_baddebts</w:t>
            </w:r>
            <w:proofErr w:type="spellEnd"/>
          </w:p>
        </w:tc>
        <w:tc>
          <w:tcPr>
            <w:tcW w:w="809" w:type="pct"/>
            <w:tcBorders>
              <w:bottom w:val="single" w:sz="4" w:space="0" w:color="B3B3B3"/>
            </w:tcBorders>
            <w:shd w:val="clear" w:color="000000" w:fill="E6E6E6"/>
            <w:hideMark/>
          </w:tcPr>
          <w:p w14:paraId="51C7D994" w14:textId="77777777" w:rsidR="00BC1539" w:rsidRPr="00B21F97" w:rsidRDefault="00BC1539" w:rsidP="00B21F97">
            <w:pPr>
              <w:pStyle w:val="TableBody"/>
              <w:spacing w:before="45" w:after="45"/>
              <w:ind w:right="108"/>
              <w:rPr>
                <w:rFonts w:cs="Open Sans"/>
                <w:color w:val="000000"/>
              </w:rPr>
            </w:pPr>
            <w:proofErr w:type="spellStart"/>
            <w:r w:rsidRPr="00B21F97">
              <w:rPr>
                <w:rFonts w:cs="Open Sans"/>
                <w:color w:val="000000"/>
              </w:rPr>
              <w:t>p_baddebts</w:t>
            </w:r>
            <w:proofErr w:type="spellEnd"/>
          </w:p>
        </w:tc>
        <w:tc>
          <w:tcPr>
            <w:tcW w:w="809" w:type="pct"/>
            <w:tcBorders>
              <w:bottom w:val="single" w:sz="4" w:space="0" w:color="B3B3B3"/>
            </w:tcBorders>
            <w:shd w:val="clear" w:color="000000" w:fill="E6E6E6"/>
            <w:hideMark/>
          </w:tcPr>
          <w:p w14:paraId="7AF2E046" w14:textId="77777777" w:rsidR="00BC1539" w:rsidRPr="00B21F97" w:rsidRDefault="00BC1539" w:rsidP="00B21F97">
            <w:pPr>
              <w:pStyle w:val="TableBody"/>
              <w:spacing w:before="45" w:after="45"/>
              <w:ind w:right="108"/>
              <w:rPr>
                <w:rFonts w:cs="Open Sans"/>
                <w:color w:val="000000"/>
              </w:rPr>
            </w:pPr>
            <w:proofErr w:type="spellStart"/>
            <w:r w:rsidRPr="00B21F97">
              <w:rPr>
                <w:rFonts w:cs="Open Sans"/>
                <w:color w:val="000000"/>
              </w:rPr>
              <w:t>t_baddebts</w:t>
            </w:r>
            <w:proofErr w:type="spellEnd"/>
          </w:p>
        </w:tc>
      </w:tr>
    </w:tbl>
    <w:p w14:paraId="6581764A" w14:textId="4BCECE08" w:rsidR="00BC1539" w:rsidRDefault="00BC1539" w:rsidP="00011592">
      <w:pPr>
        <w:pStyle w:val="Note"/>
        <w:rPr>
          <w:lang w:eastAsia="en-AU"/>
        </w:rPr>
      </w:pPr>
      <w:r>
        <w:t>‘</w:t>
      </w:r>
      <w:proofErr w:type="gramStart"/>
      <w:r>
        <w:t>-‘ means</w:t>
      </w:r>
      <w:proofErr w:type="gramEnd"/>
      <w:r>
        <w:t xml:space="preserve"> the form has no analogue for that input.</w:t>
      </w:r>
    </w:p>
    <w:p w14:paraId="32A3DC6F" w14:textId="77777777" w:rsidR="00BC1539" w:rsidRDefault="00BC1539" w:rsidP="00011592">
      <w:pPr>
        <w:pStyle w:val="Heading4"/>
      </w:pPr>
      <w:r>
        <w:t xml:space="preserve">Labour (L) and Capital inputs (K) </w:t>
      </w:r>
    </w:p>
    <w:p w14:paraId="534C6936" w14:textId="78DC88EA" w:rsidR="00BC1539" w:rsidRDefault="00BC1539" w:rsidP="00011592">
      <w:pPr>
        <w:pStyle w:val="BodyText"/>
        <w:rPr>
          <w:kern w:val="2"/>
          <w:lang w:eastAsia="en-AU"/>
          <w14:ligatures w14:val="standardContextual"/>
        </w:rPr>
      </w:pPr>
      <w:r>
        <w:t>For labour expenses, BAS wages are used where reported and non</w:t>
      </w:r>
      <w:r w:rsidR="00541146">
        <w:noBreakHyphen/>
      </w:r>
      <w:r>
        <w:t xml:space="preserve">zero. Where BAS wages are zero or missing, BIT </w:t>
      </w:r>
      <w:proofErr w:type="spellStart"/>
      <w:r>
        <w:t>labour_expenses</w:t>
      </w:r>
      <w:proofErr w:type="spellEnd"/>
      <w:r>
        <w:t xml:space="preserve"> (the </w:t>
      </w:r>
      <w:proofErr w:type="spellStart"/>
      <w:r>
        <w:t>labour_expenses</w:t>
      </w:r>
      <w:proofErr w:type="spellEnd"/>
      <w:r>
        <w:t xml:space="preserve"> component of table B.</w:t>
      </w:r>
      <w:r w:rsidR="00042E38">
        <w:t>11</w:t>
      </w:r>
      <w:r>
        <w:t>) is substituted. Where neither is available the value is missing. A genuine zero from BAS with no BIT record is retained as zero (non</w:t>
      </w:r>
      <w:r w:rsidR="00541146">
        <w:noBreakHyphen/>
      </w:r>
      <w:r>
        <w:t>employment). For capital expenses, the PIM capital stock defined in the Investment and Capital Stock section above is used.</w:t>
      </w:r>
    </w:p>
    <w:p w14:paraId="356D231F" w14:textId="77777777" w:rsidR="00BC1539" w:rsidRDefault="00BC1539" w:rsidP="00011592">
      <w:pPr>
        <w:pStyle w:val="Heading4"/>
        <w:rPr>
          <w:kern w:val="2"/>
          <w:lang w:eastAsia="en-AU"/>
          <w14:ligatures w14:val="standardContextual"/>
        </w:rPr>
      </w:pPr>
      <w:r>
        <w:t>User cost of capital (UC)</w:t>
      </w:r>
    </w:p>
    <w:p w14:paraId="36E92252" w14:textId="307B5F3B" w:rsidR="00BC1539" w:rsidRDefault="00BC1539" w:rsidP="00011592">
      <w:pPr>
        <w:pStyle w:val="BodyText"/>
      </w:pPr>
      <w:r>
        <w:t xml:space="preserve">Capital does not enter the TFP denominator as a stock; it is weighted by the annual user cost of capital, which converts the capital stock into an annual flow of capital services measured in the same units as the wage bill. UC follows a slightly modified form of </w:t>
      </w:r>
      <w:r w:rsidRPr="000E30AF">
        <w:t>Fox</w:t>
      </w:r>
      <w:r>
        <w:t>’s</w:t>
      </w:r>
      <w:r w:rsidRPr="000E30AF">
        <w:t xml:space="preserve"> </w:t>
      </w:r>
      <w:r>
        <w:t>formulation (</w:t>
      </w:r>
      <w:r w:rsidRPr="000E30AF">
        <w:t>2021</w:t>
      </w:r>
      <w:r>
        <w:t>, p.</w:t>
      </w:r>
      <w:r w:rsidR="00541146">
        <w:t> </w:t>
      </w:r>
      <w:r>
        <w:t>14</w:t>
      </w:r>
      <w:r w:rsidRPr="000E30AF">
        <w:t>)</w:t>
      </w:r>
      <w:r w:rsidRPr="0001587B">
        <w:t>:</w:t>
      </w:r>
    </w:p>
    <w:p w14:paraId="28D67743" w14:textId="77777777" w:rsidR="00BC1539" w:rsidRDefault="00000000" w:rsidP="00011592">
      <w:pPr>
        <w:pStyle w:val="BodyText"/>
        <w:rPr>
          <w:kern w:val="2"/>
          <w:lang w:eastAsia="en-AU"/>
          <w14:ligatures w14:val="standardContextual"/>
        </w:rPr>
      </w:pPr>
      <m:oMathPara>
        <m:oMath>
          <m:sSub>
            <m:sSubPr>
              <m:ctrlPr>
                <w:rPr>
                  <w:rFonts w:ascii="Cambria Math" w:hAnsi="Cambria Math"/>
                  <w:i/>
                  <w:kern w:val="2"/>
                  <w:lang w:eastAsia="en-AU"/>
                  <w14:ligatures w14:val="standardContextual"/>
                </w:rPr>
              </m:ctrlPr>
            </m:sSubPr>
            <m:e>
              <m:r>
                <w:rPr>
                  <w:rFonts w:ascii="Cambria Math" w:hAnsi="Cambria Math"/>
                  <w:kern w:val="2"/>
                  <w:lang w:eastAsia="en-AU"/>
                  <w14:ligatures w14:val="standardContextual"/>
                </w:rPr>
                <m:t>UC</m:t>
              </m:r>
            </m:e>
            <m:sub>
              <m:r>
                <w:rPr>
                  <w:rFonts w:ascii="Cambria Math" w:hAnsi="Cambria Math"/>
                  <w:kern w:val="2"/>
                  <w:lang w:eastAsia="en-AU"/>
                  <w14:ligatures w14:val="standardContextual"/>
                </w:rPr>
                <m:t>t</m:t>
              </m:r>
            </m:sub>
          </m:sSub>
          <m:r>
            <w:rPr>
              <w:rFonts w:ascii="Cambria Math" w:hAnsi="Cambria Math"/>
              <w:kern w:val="2"/>
              <w:lang w:eastAsia="en-AU"/>
              <w14:ligatures w14:val="standardContextual"/>
            </w:rPr>
            <m:t>=</m:t>
          </m:r>
          <m:sSub>
            <m:sSubPr>
              <m:ctrlPr>
                <w:rPr>
                  <w:rFonts w:ascii="Cambria Math" w:hAnsi="Cambria Math"/>
                  <w:i/>
                  <w:kern w:val="2"/>
                  <w:lang w:eastAsia="en-AU"/>
                  <w14:ligatures w14:val="standardContextual"/>
                </w:rPr>
              </m:ctrlPr>
            </m:sSubPr>
            <m:e>
              <m:r>
                <w:rPr>
                  <w:rFonts w:ascii="Cambria Math" w:hAnsi="Cambria Math"/>
                  <w:kern w:val="2"/>
                  <w:lang w:eastAsia="en-AU"/>
                  <w14:ligatures w14:val="standardContextual"/>
                </w:rPr>
                <m:t>Capital_def</m:t>
              </m:r>
            </m:e>
            <m:sub>
              <m:r>
                <w:rPr>
                  <w:rFonts w:ascii="Cambria Math" w:hAnsi="Cambria Math"/>
                  <w:kern w:val="2"/>
                  <w:lang w:eastAsia="en-AU"/>
                  <w14:ligatures w14:val="standardContextual"/>
                </w:rPr>
                <m:t>t</m:t>
              </m:r>
            </m:sub>
          </m:sSub>
          <m:r>
            <w:rPr>
              <w:rFonts w:ascii="Cambria Math" w:hAnsi="Cambria Math"/>
              <w:kern w:val="2"/>
              <w:lang w:eastAsia="en-AU"/>
              <w14:ligatures w14:val="standardContextual"/>
            </w:rPr>
            <m:t>×(</m:t>
          </m:r>
          <m:sSub>
            <m:sSubPr>
              <m:ctrlPr>
                <w:rPr>
                  <w:rFonts w:ascii="Cambria Math" w:hAnsi="Cambria Math"/>
                  <w:i/>
                  <w:kern w:val="2"/>
                  <w:lang w:eastAsia="en-AU"/>
                  <w14:ligatures w14:val="standardContextual"/>
                </w:rPr>
              </m:ctrlPr>
            </m:sSubPr>
            <m:e>
              <m:r>
                <w:rPr>
                  <w:rFonts w:ascii="Cambria Math" w:hAnsi="Cambria Math"/>
                  <w:kern w:val="2"/>
                  <w:lang w:eastAsia="en-AU"/>
                  <w14:ligatures w14:val="standardContextual"/>
                </w:rPr>
                <m:t>i</m:t>
              </m:r>
            </m:e>
            <m:sub>
              <m:r>
                <w:rPr>
                  <w:rFonts w:ascii="Cambria Math" w:hAnsi="Cambria Math"/>
                  <w:kern w:val="2"/>
                  <w:lang w:eastAsia="en-AU"/>
                  <w14:ligatures w14:val="standardContextual"/>
                </w:rPr>
                <m:t>t</m:t>
              </m:r>
            </m:sub>
          </m:sSub>
          <m:r>
            <w:rPr>
              <w:rFonts w:ascii="Cambria Math" w:hAnsi="Cambria Math"/>
              <w:kern w:val="2"/>
              <w:lang w:eastAsia="en-AU"/>
              <w14:ligatures w14:val="standardContextual"/>
            </w:rPr>
            <m:t>-</m:t>
          </m:r>
          <m:sSub>
            <m:sSubPr>
              <m:ctrlPr>
                <w:rPr>
                  <w:rFonts w:ascii="Cambria Math" w:hAnsi="Cambria Math"/>
                  <w:i/>
                  <w:kern w:val="2"/>
                  <w:lang w:eastAsia="en-AU"/>
                  <w14:ligatures w14:val="standardContextual"/>
                </w:rPr>
              </m:ctrlPr>
            </m:sSubPr>
            <m:e>
              <m:r>
                <w:rPr>
                  <w:rFonts w:ascii="Cambria Math" w:hAnsi="Cambria Math"/>
                  <w:kern w:val="2"/>
                  <w:lang w:eastAsia="en-AU"/>
                  <w14:ligatures w14:val="standardContextual"/>
                </w:rPr>
                <m:t>pi</m:t>
              </m:r>
            </m:e>
            <m:sub>
              <m:r>
                <w:rPr>
                  <w:rFonts w:ascii="Cambria Math" w:hAnsi="Cambria Math"/>
                  <w:kern w:val="2"/>
                  <w:lang w:eastAsia="en-AU"/>
                  <w14:ligatures w14:val="standardContextual"/>
                </w:rPr>
                <m:t>t</m:t>
              </m:r>
            </m:sub>
          </m:sSub>
          <m:r>
            <w:rPr>
              <w:rFonts w:ascii="Cambria Math" w:hAnsi="Cambria Math"/>
              <w:kern w:val="2"/>
              <w:lang w:eastAsia="en-AU"/>
              <w14:ligatures w14:val="standardContextual"/>
            </w:rPr>
            <m:t>+</m:t>
          </m:r>
          <m:sSub>
            <m:sSubPr>
              <m:ctrlPr>
                <w:rPr>
                  <w:rFonts w:ascii="Cambria Math" w:hAnsi="Cambria Math"/>
                  <w:i/>
                  <w:kern w:val="2"/>
                  <w:lang w:eastAsia="en-AU"/>
                  <w14:ligatures w14:val="standardContextual"/>
                </w:rPr>
              </m:ctrlPr>
            </m:sSubPr>
            <m:e>
              <m:r>
                <w:rPr>
                  <w:rFonts w:ascii="Cambria Math" w:hAnsi="Cambria Math"/>
                  <w:kern w:val="2"/>
                  <w:lang w:eastAsia="en-AU"/>
                  <w14:ligatures w14:val="standardContextual"/>
                </w:rPr>
                <m:t>delta</m:t>
              </m:r>
            </m:e>
            <m:sub>
              <m:r>
                <w:rPr>
                  <w:rFonts w:ascii="Cambria Math" w:hAnsi="Cambria Math"/>
                  <w:kern w:val="2"/>
                  <w:lang w:eastAsia="en-AU"/>
                  <w14:ligatures w14:val="standardContextual"/>
                </w:rPr>
                <m:t>t</m:t>
              </m:r>
            </m:sub>
          </m:sSub>
          <m:r>
            <w:rPr>
              <w:rFonts w:ascii="Cambria Math" w:hAnsi="Cambria Math"/>
              <w:kern w:val="2"/>
              <w:lang w:eastAsia="en-AU"/>
              <w14:ligatures w14:val="standardContextual"/>
            </w:rPr>
            <m:t>)</m:t>
          </m:r>
        </m:oMath>
      </m:oMathPara>
    </w:p>
    <w:p w14:paraId="46AA0627" w14:textId="5498B98B" w:rsidR="00BC1539" w:rsidRDefault="00BC1539" w:rsidP="00011592">
      <w:pPr>
        <w:pStyle w:val="BodyText"/>
        <w:rPr>
          <w:kern w:val="2"/>
          <w:lang w:eastAsia="en-AU"/>
          <w14:ligatures w14:val="standardContextual"/>
        </w:rPr>
      </w:pPr>
      <w:r>
        <w:t xml:space="preserve">where </w:t>
      </w:r>
      <w:proofErr w:type="spellStart"/>
      <w:r>
        <w:t>Capital_def</w:t>
      </w:r>
      <w:proofErr w:type="spellEnd"/>
      <w:r>
        <w:t xml:space="preserve"> is the capital goods price deflator, i</w:t>
      </w:r>
      <w:r>
        <w:rPr>
          <w:vertAlign w:val="subscript"/>
        </w:rPr>
        <w:t>t</w:t>
      </w:r>
      <w:r>
        <w:t xml:space="preserve"> is the nominal interest rate, pi</w:t>
      </w:r>
      <w:r>
        <w:rPr>
          <w:vertAlign w:val="subscript"/>
        </w:rPr>
        <w:t>t</w:t>
      </w:r>
      <w:r>
        <w:t xml:space="preserve"> is general price inflation, and </w:t>
      </w:r>
      <w:r w:rsidR="00924882">
        <w:t>delta</w:t>
      </w:r>
      <w:r>
        <w:t xml:space="preserve"> is the depreciation rate</w:t>
      </w:r>
      <w:r w:rsidR="00AB6937">
        <w:t xml:space="preserve"> (table </w:t>
      </w:r>
      <w:r w:rsidR="00955E18">
        <w:t>B.12)</w:t>
      </w:r>
      <w:r>
        <w:t>. UC is a manufacturing</w:t>
      </w:r>
      <w:r w:rsidR="00541146">
        <w:noBreakHyphen/>
      </w:r>
      <w:r>
        <w:t xml:space="preserve">sector benchmark that is common to all firms </w:t>
      </w:r>
      <w:proofErr w:type="gramStart"/>
      <w:r>
        <w:t>in a given year</w:t>
      </w:r>
      <w:proofErr w:type="gramEnd"/>
      <w:r>
        <w:t>.</w:t>
      </w:r>
    </w:p>
    <w:p w14:paraId="03BAE495" w14:textId="321F2ADE" w:rsidR="00BC1539" w:rsidRDefault="00BC1539" w:rsidP="00011592">
      <w:pPr>
        <w:pStyle w:val="FigureTableHeading"/>
        <w:rPr>
          <w:kern w:val="2"/>
          <w:szCs w:val="20"/>
          <w:lang w:eastAsia="en-AU"/>
          <w14:ligatures w14:val="standardContextual"/>
        </w:rPr>
      </w:pPr>
      <w:r>
        <w:t>Table B.</w:t>
      </w:r>
      <w:r w:rsidR="00220F8E">
        <w:t>12</w:t>
      </w:r>
      <w:r>
        <w:t xml:space="preserve"> – User cost of capital inputs</w:t>
      </w:r>
    </w:p>
    <w:tbl>
      <w:tblPr>
        <w:tblW w:w="5000" w:type="pct"/>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1928"/>
        <w:gridCol w:w="3373"/>
        <w:gridCol w:w="4337"/>
      </w:tblGrid>
      <w:tr w:rsidR="00BC1539" w:rsidRPr="0087128E" w14:paraId="21994FD7" w14:textId="77777777" w:rsidTr="0087128E">
        <w:trPr>
          <w:tblHeader/>
        </w:trPr>
        <w:tc>
          <w:tcPr>
            <w:tcW w:w="1000" w:type="pct"/>
            <w:tcBorders>
              <w:bottom w:val="single" w:sz="4" w:space="0" w:color="B3B3B3"/>
            </w:tcBorders>
            <w:shd w:val="clear" w:color="000000" w:fill="auto"/>
            <w:vAlign w:val="bottom"/>
            <w:hideMark/>
          </w:tcPr>
          <w:p w14:paraId="33DFD683" w14:textId="77777777" w:rsidR="00BC1539" w:rsidRPr="0087128E" w:rsidRDefault="00BC1539" w:rsidP="0087128E">
            <w:pPr>
              <w:pStyle w:val="TableHeading"/>
              <w:spacing w:before="45" w:after="45"/>
              <w:rPr>
                <w:rFonts w:cs="Open Sans"/>
                <w:color w:val="1D4374"/>
                <w:kern w:val="2"/>
                <w:szCs w:val="18"/>
                <w:lang w:eastAsia="en-AU"/>
                <w14:ligatures w14:val="standardContextual"/>
              </w:rPr>
            </w:pPr>
            <w:r w:rsidRPr="0087128E">
              <w:rPr>
                <w:rFonts w:cs="Open Sans"/>
                <w:color w:val="1D4374"/>
              </w:rPr>
              <w:t>Input</w:t>
            </w:r>
          </w:p>
        </w:tc>
        <w:tc>
          <w:tcPr>
            <w:tcW w:w="1750" w:type="pct"/>
            <w:tcBorders>
              <w:bottom w:val="single" w:sz="4" w:space="0" w:color="B3B3B3"/>
            </w:tcBorders>
            <w:shd w:val="clear" w:color="000000" w:fill="auto"/>
            <w:vAlign w:val="bottom"/>
            <w:hideMark/>
          </w:tcPr>
          <w:p w14:paraId="2D3523C7" w14:textId="77777777" w:rsidR="00BC1539" w:rsidRPr="0087128E" w:rsidRDefault="00BC1539" w:rsidP="0087128E">
            <w:pPr>
              <w:pStyle w:val="TableHeading"/>
              <w:spacing w:before="45" w:after="45"/>
              <w:rPr>
                <w:rFonts w:cs="Open Sans"/>
                <w:color w:val="1D4374"/>
              </w:rPr>
            </w:pPr>
            <w:r w:rsidRPr="0087128E">
              <w:rPr>
                <w:rFonts w:cs="Open Sans"/>
                <w:color w:val="1D4374"/>
              </w:rPr>
              <w:t>Source</w:t>
            </w:r>
          </w:p>
        </w:tc>
        <w:tc>
          <w:tcPr>
            <w:tcW w:w="2250" w:type="pct"/>
            <w:tcBorders>
              <w:bottom w:val="single" w:sz="4" w:space="0" w:color="B3B3B3"/>
            </w:tcBorders>
            <w:shd w:val="clear" w:color="000000" w:fill="auto"/>
            <w:vAlign w:val="bottom"/>
            <w:hideMark/>
          </w:tcPr>
          <w:p w14:paraId="6AAA4801" w14:textId="77777777" w:rsidR="00BC1539" w:rsidRPr="0087128E" w:rsidRDefault="00BC1539" w:rsidP="0087128E">
            <w:pPr>
              <w:pStyle w:val="TableHeading"/>
              <w:spacing w:before="45" w:after="45"/>
              <w:rPr>
                <w:rFonts w:cs="Open Sans"/>
                <w:color w:val="1D4374"/>
              </w:rPr>
            </w:pPr>
            <w:r w:rsidRPr="0087128E">
              <w:rPr>
                <w:rFonts w:cs="Open Sans"/>
                <w:color w:val="1D4374"/>
              </w:rPr>
              <w:t>Construction</w:t>
            </w:r>
          </w:p>
        </w:tc>
      </w:tr>
      <w:tr w:rsidR="00BC1539" w:rsidRPr="0087128E" w14:paraId="60681759" w14:textId="77777777" w:rsidTr="0087128E">
        <w:tc>
          <w:tcPr>
            <w:tcW w:w="1928" w:type="dxa"/>
            <w:tcBorders>
              <w:top w:val="single" w:sz="4" w:space="0" w:color="B3B3B3"/>
              <w:bottom w:val="nil"/>
            </w:tcBorders>
            <w:shd w:val="clear" w:color="000000" w:fill="E6E6E6"/>
            <w:hideMark/>
          </w:tcPr>
          <w:p w14:paraId="1198C027" w14:textId="77777777" w:rsidR="00BC1539" w:rsidRPr="0087128E" w:rsidRDefault="00BC1539" w:rsidP="0087128E">
            <w:pPr>
              <w:pStyle w:val="TableBodyHeading"/>
              <w:spacing w:before="45" w:after="45"/>
              <w:ind w:right="108"/>
              <w:rPr>
                <w:rFonts w:cs="Open Sans"/>
                <w:color w:val="1D4374"/>
              </w:rPr>
            </w:pPr>
            <w:r w:rsidRPr="0087128E">
              <w:rPr>
                <w:rFonts w:cs="Open Sans"/>
                <w:color w:val="1D4374"/>
              </w:rPr>
              <w:t>i</w:t>
            </w:r>
            <w:r w:rsidRPr="0087128E">
              <w:rPr>
                <w:rFonts w:cs="Open Sans"/>
                <w:color w:val="1D4374"/>
                <w:vertAlign w:val="subscript"/>
              </w:rPr>
              <w:t>t</w:t>
            </w:r>
          </w:p>
        </w:tc>
        <w:tc>
          <w:tcPr>
            <w:tcW w:w="3373" w:type="dxa"/>
            <w:tcBorders>
              <w:top w:val="single" w:sz="4" w:space="0" w:color="B3B3B3"/>
              <w:bottom w:val="nil"/>
            </w:tcBorders>
            <w:shd w:val="clear" w:color="000000" w:fill="E6E6E6"/>
            <w:hideMark/>
          </w:tcPr>
          <w:p w14:paraId="2C1051DD" w14:textId="77777777" w:rsidR="00BC1539" w:rsidRPr="0087128E" w:rsidRDefault="00BC1539" w:rsidP="0087128E">
            <w:pPr>
              <w:pStyle w:val="TableBody"/>
              <w:spacing w:before="45" w:after="45"/>
              <w:ind w:right="108"/>
              <w:rPr>
                <w:rFonts w:cs="Open Sans"/>
                <w:color w:val="000000"/>
              </w:rPr>
            </w:pPr>
            <w:r w:rsidRPr="0087128E">
              <w:rPr>
                <w:rFonts w:cs="Open Sans"/>
                <w:color w:val="000000"/>
              </w:rPr>
              <w:t>RBA, F1 Cash Rate</w:t>
            </w:r>
          </w:p>
        </w:tc>
        <w:tc>
          <w:tcPr>
            <w:tcW w:w="4337" w:type="dxa"/>
            <w:tcBorders>
              <w:top w:val="single" w:sz="4" w:space="0" w:color="B3B3B3"/>
              <w:bottom w:val="nil"/>
            </w:tcBorders>
            <w:shd w:val="clear" w:color="000000" w:fill="E6E6E6"/>
            <w:hideMark/>
          </w:tcPr>
          <w:p w14:paraId="09215FE2" w14:textId="77777777" w:rsidR="00BC1539" w:rsidRPr="0087128E" w:rsidRDefault="00BC1539" w:rsidP="0087128E">
            <w:pPr>
              <w:pStyle w:val="TableBody"/>
              <w:spacing w:before="45" w:after="45"/>
              <w:ind w:right="108"/>
              <w:rPr>
                <w:rFonts w:cs="Open Sans"/>
                <w:color w:val="000000"/>
              </w:rPr>
            </w:pPr>
            <w:r w:rsidRPr="0087128E">
              <w:rPr>
                <w:rFonts w:cs="Open Sans"/>
                <w:color w:val="000000"/>
              </w:rPr>
              <w:t>Monthly cash rate target, averaged over the financial year. Stored as a decimal.</w:t>
            </w:r>
          </w:p>
        </w:tc>
      </w:tr>
      <w:tr w:rsidR="00BC1539" w:rsidRPr="0087128E" w14:paraId="6753C82D" w14:textId="77777777" w:rsidTr="0087128E">
        <w:tc>
          <w:tcPr>
            <w:tcW w:w="1928" w:type="dxa"/>
            <w:tcBorders>
              <w:top w:val="nil"/>
              <w:bottom w:val="nil"/>
            </w:tcBorders>
            <w:shd w:val="clear" w:color="000000" w:fill="auto"/>
            <w:hideMark/>
          </w:tcPr>
          <w:p w14:paraId="14549EA8" w14:textId="77777777" w:rsidR="00BC1539" w:rsidRPr="0087128E" w:rsidRDefault="00BC1539" w:rsidP="0087128E">
            <w:pPr>
              <w:pStyle w:val="TableBodyHeading"/>
              <w:spacing w:before="45" w:after="45"/>
              <w:ind w:right="108"/>
              <w:rPr>
                <w:rFonts w:cs="Open Sans"/>
                <w:color w:val="1D4374"/>
              </w:rPr>
            </w:pPr>
            <w:r w:rsidRPr="0087128E">
              <w:rPr>
                <w:rFonts w:cs="Open Sans"/>
                <w:color w:val="1D4374"/>
              </w:rPr>
              <w:t>pi</w:t>
            </w:r>
            <w:r w:rsidRPr="0087128E">
              <w:rPr>
                <w:rFonts w:cs="Open Sans"/>
                <w:color w:val="1D4374"/>
                <w:vertAlign w:val="subscript"/>
              </w:rPr>
              <w:t>t</w:t>
            </w:r>
          </w:p>
        </w:tc>
        <w:tc>
          <w:tcPr>
            <w:tcW w:w="3373" w:type="dxa"/>
            <w:tcBorders>
              <w:top w:val="nil"/>
              <w:bottom w:val="nil"/>
            </w:tcBorders>
            <w:shd w:val="clear" w:color="000000" w:fill="auto"/>
            <w:hideMark/>
          </w:tcPr>
          <w:p w14:paraId="0D574709" w14:textId="281ACD23" w:rsidR="00BC1539" w:rsidRPr="0087128E" w:rsidRDefault="00BC1539" w:rsidP="0087128E">
            <w:pPr>
              <w:pStyle w:val="TableBody"/>
              <w:spacing w:before="45" w:after="45"/>
              <w:ind w:right="108"/>
              <w:rPr>
                <w:rFonts w:cs="Open Sans"/>
                <w:color w:val="000000"/>
              </w:rPr>
            </w:pPr>
            <w:r w:rsidRPr="0087128E">
              <w:rPr>
                <w:rFonts w:cs="Open Sans"/>
                <w:color w:val="000000"/>
              </w:rPr>
              <w:t>ABS, CPI All Groups Quarterly (Table</w:t>
            </w:r>
            <w:r w:rsidR="00541146" w:rsidRPr="0087128E">
              <w:rPr>
                <w:rFonts w:cs="Open Sans"/>
                <w:color w:val="000000"/>
              </w:rPr>
              <w:t> </w:t>
            </w:r>
            <w:r w:rsidRPr="0087128E">
              <w:rPr>
                <w:rFonts w:cs="Open Sans"/>
                <w:color w:val="000000"/>
              </w:rPr>
              <w:t>17)</w:t>
            </w:r>
          </w:p>
        </w:tc>
        <w:tc>
          <w:tcPr>
            <w:tcW w:w="4337" w:type="dxa"/>
            <w:tcBorders>
              <w:top w:val="nil"/>
              <w:bottom w:val="nil"/>
            </w:tcBorders>
            <w:shd w:val="clear" w:color="000000" w:fill="auto"/>
            <w:hideMark/>
          </w:tcPr>
          <w:p w14:paraId="684CD9FE" w14:textId="49B7637B" w:rsidR="00BC1539" w:rsidRPr="0087128E" w:rsidRDefault="00BC1539" w:rsidP="0087128E">
            <w:pPr>
              <w:pStyle w:val="TableBody"/>
              <w:spacing w:before="45" w:after="45"/>
              <w:ind w:right="108"/>
              <w:rPr>
                <w:rFonts w:cs="Open Sans"/>
                <w:color w:val="000000"/>
              </w:rPr>
            </w:pPr>
            <w:r w:rsidRPr="0087128E">
              <w:rPr>
                <w:rFonts w:cs="Open Sans"/>
                <w:color w:val="000000"/>
              </w:rPr>
              <w:t>FY</w:t>
            </w:r>
            <w:r w:rsidR="00541146" w:rsidRPr="0087128E">
              <w:rPr>
                <w:rFonts w:cs="Open Sans"/>
                <w:color w:val="000000"/>
              </w:rPr>
              <w:noBreakHyphen/>
            </w:r>
            <w:r w:rsidRPr="0087128E">
              <w:rPr>
                <w:rFonts w:cs="Open Sans"/>
                <w:color w:val="000000"/>
              </w:rPr>
              <w:t>on</w:t>
            </w:r>
            <w:r w:rsidR="00541146" w:rsidRPr="0087128E">
              <w:rPr>
                <w:rFonts w:cs="Open Sans"/>
                <w:color w:val="000000"/>
              </w:rPr>
              <w:noBreakHyphen/>
            </w:r>
            <w:r w:rsidRPr="0087128E">
              <w:rPr>
                <w:rFonts w:cs="Open Sans"/>
                <w:color w:val="000000"/>
              </w:rPr>
              <w:t>FY change in the average all</w:t>
            </w:r>
            <w:r w:rsidR="00541146" w:rsidRPr="0087128E">
              <w:rPr>
                <w:rFonts w:cs="Open Sans"/>
                <w:color w:val="000000"/>
              </w:rPr>
              <w:noBreakHyphen/>
            </w:r>
            <w:r w:rsidRPr="0087128E">
              <w:rPr>
                <w:rFonts w:cs="Open Sans"/>
                <w:color w:val="000000"/>
              </w:rPr>
              <w:t>groups CPI index over the four quarters. Stored as a decimal.</w:t>
            </w:r>
          </w:p>
        </w:tc>
      </w:tr>
      <w:tr w:rsidR="00BC1539" w:rsidRPr="0087128E" w14:paraId="79BDCC05" w14:textId="77777777" w:rsidTr="0087128E">
        <w:tc>
          <w:tcPr>
            <w:tcW w:w="1928" w:type="dxa"/>
            <w:tcBorders>
              <w:bottom w:val="nil"/>
            </w:tcBorders>
            <w:shd w:val="clear" w:color="000000" w:fill="E6E6E6"/>
            <w:hideMark/>
          </w:tcPr>
          <w:p w14:paraId="14335D90" w14:textId="77777777" w:rsidR="00BC1539" w:rsidRPr="0087128E" w:rsidRDefault="00BC1539" w:rsidP="0087128E">
            <w:pPr>
              <w:pStyle w:val="TableBodyHeading"/>
              <w:spacing w:before="45" w:after="45"/>
              <w:ind w:right="108"/>
              <w:rPr>
                <w:rFonts w:cs="Open Sans"/>
                <w:color w:val="1D4374"/>
              </w:rPr>
            </w:pPr>
            <w:proofErr w:type="spellStart"/>
            <w:r w:rsidRPr="0087128E">
              <w:rPr>
                <w:rFonts w:cs="Open Sans"/>
                <w:color w:val="1D4374"/>
              </w:rPr>
              <w:t>Capital_def</w:t>
            </w:r>
            <w:proofErr w:type="spellEnd"/>
          </w:p>
        </w:tc>
        <w:tc>
          <w:tcPr>
            <w:tcW w:w="3373" w:type="dxa"/>
            <w:tcBorders>
              <w:bottom w:val="nil"/>
            </w:tcBorders>
            <w:shd w:val="clear" w:color="000000" w:fill="E6E6E6"/>
            <w:hideMark/>
          </w:tcPr>
          <w:p w14:paraId="1199106B" w14:textId="77777777" w:rsidR="00BC1539" w:rsidRPr="0087128E" w:rsidRDefault="00BC1539" w:rsidP="0087128E">
            <w:pPr>
              <w:pStyle w:val="TableBody"/>
              <w:spacing w:before="45" w:after="45"/>
              <w:ind w:right="108"/>
              <w:rPr>
                <w:rFonts w:cs="Open Sans"/>
                <w:color w:val="000000"/>
              </w:rPr>
            </w:pPr>
            <w:r w:rsidRPr="0087128E">
              <w:rPr>
                <w:rFonts w:cs="Open Sans"/>
                <w:color w:val="000000"/>
              </w:rPr>
              <w:t>ABS, GFCF by Industry and Asset (5204064)</w:t>
            </w:r>
          </w:p>
        </w:tc>
        <w:tc>
          <w:tcPr>
            <w:tcW w:w="4337" w:type="dxa"/>
            <w:tcBorders>
              <w:bottom w:val="nil"/>
            </w:tcBorders>
            <w:shd w:val="clear" w:color="000000" w:fill="E6E6E6"/>
            <w:hideMark/>
          </w:tcPr>
          <w:p w14:paraId="381787B4" w14:textId="33C42267" w:rsidR="00BC1539" w:rsidRPr="0087128E" w:rsidRDefault="00BC1539" w:rsidP="0087128E">
            <w:pPr>
              <w:pStyle w:val="TableBody"/>
              <w:spacing w:before="45" w:after="45"/>
              <w:ind w:right="108"/>
              <w:rPr>
                <w:rFonts w:cs="Open Sans"/>
                <w:color w:val="000000"/>
              </w:rPr>
            </w:pPr>
            <w:r w:rsidRPr="0087128E">
              <w:rPr>
                <w:rFonts w:cs="Open Sans"/>
                <w:color w:val="000000"/>
              </w:rPr>
              <w:t>Division C current</w:t>
            </w:r>
            <w:r w:rsidR="00541146" w:rsidRPr="0087128E">
              <w:rPr>
                <w:rFonts w:cs="Open Sans"/>
                <w:color w:val="000000"/>
              </w:rPr>
              <w:noBreakHyphen/>
            </w:r>
            <w:r w:rsidRPr="0087128E">
              <w:rPr>
                <w:rFonts w:cs="Open Sans"/>
                <w:color w:val="000000"/>
              </w:rPr>
              <w:t>price GFCF divided by chain</w:t>
            </w:r>
            <w:r w:rsidR="00541146" w:rsidRPr="0087128E">
              <w:rPr>
                <w:rFonts w:cs="Open Sans"/>
                <w:color w:val="000000"/>
              </w:rPr>
              <w:noBreakHyphen/>
            </w:r>
            <w:r w:rsidRPr="0087128E">
              <w:rPr>
                <w:rFonts w:cs="Open Sans"/>
                <w:color w:val="000000"/>
              </w:rPr>
              <w:t>volume GFCF.</w:t>
            </w:r>
          </w:p>
        </w:tc>
      </w:tr>
      <w:tr w:rsidR="00BC1539" w:rsidRPr="0087128E" w14:paraId="793A808D" w14:textId="77777777" w:rsidTr="0087128E">
        <w:tc>
          <w:tcPr>
            <w:tcW w:w="1928" w:type="dxa"/>
            <w:tcBorders>
              <w:top w:val="nil"/>
            </w:tcBorders>
            <w:shd w:val="clear" w:color="000000" w:fill="auto"/>
            <w:hideMark/>
          </w:tcPr>
          <w:p w14:paraId="0148CE89" w14:textId="1C9DFC4B" w:rsidR="00BC1539" w:rsidRPr="0087128E" w:rsidRDefault="006C6F82" w:rsidP="0087128E">
            <w:pPr>
              <w:pStyle w:val="TableBodyHeading"/>
              <w:spacing w:before="45" w:after="45"/>
              <w:ind w:right="108"/>
              <w:rPr>
                <w:rFonts w:cs="Open Sans"/>
                <w:color w:val="1D4374"/>
              </w:rPr>
            </w:pPr>
            <w:r w:rsidRPr="0087128E">
              <w:rPr>
                <w:rFonts w:cs="Open Sans"/>
                <w:color w:val="1D4374"/>
              </w:rPr>
              <w:t>delta</w:t>
            </w:r>
          </w:p>
        </w:tc>
        <w:tc>
          <w:tcPr>
            <w:tcW w:w="3373" w:type="dxa"/>
            <w:tcBorders>
              <w:top w:val="nil"/>
            </w:tcBorders>
            <w:shd w:val="clear" w:color="000000" w:fill="auto"/>
            <w:hideMark/>
          </w:tcPr>
          <w:p w14:paraId="612814D7" w14:textId="77777777" w:rsidR="00BC1539" w:rsidRPr="0087128E" w:rsidRDefault="00BC1539" w:rsidP="0087128E">
            <w:pPr>
              <w:pStyle w:val="TableBody"/>
              <w:spacing w:before="45" w:after="45"/>
              <w:ind w:right="108"/>
              <w:rPr>
                <w:rFonts w:cs="Open Sans"/>
                <w:color w:val="000000"/>
              </w:rPr>
            </w:pPr>
            <w:r w:rsidRPr="0087128E">
              <w:rPr>
                <w:rFonts w:cs="Open Sans"/>
                <w:color w:val="000000"/>
              </w:rPr>
              <w:t>ABS, Net Capital Stock by Industry (5204063) and Consumption of Fixed Capital by Industry and Asset (5204065)</w:t>
            </w:r>
          </w:p>
        </w:tc>
        <w:tc>
          <w:tcPr>
            <w:tcW w:w="4337" w:type="dxa"/>
            <w:tcBorders>
              <w:top w:val="nil"/>
            </w:tcBorders>
            <w:shd w:val="clear" w:color="000000" w:fill="auto"/>
            <w:hideMark/>
          </w:tcPr>
          <w:p w14:paraId="59B4695A" w14:textId="67DD9A96" w:rsidR="00BC1539" w:rsidRPr="0087128E" w:rsidRDefault="00BC1539" w:rsidP="0087128E">
            <w:pPr>
              <w:pStyle w:val="TableBody"/>
              <w:spacing w:before="45" w:after="45"/>
              <w:ind w:right="108"/>
              <w:rPr>
                <w:rFonts w:cs="Open Sans"/>
                <w:color w:val="000000"/>
              </w:rPr>
            </w:pPr>
            <w:r w:rsidRPr="0087128E">
              <w:rPr>
                <w:rFonts w:cs="Open Sans"/>
                <w:color w:val="000000"/>
              </w:rPr>
              <w:t>Division C consumption of fixed capital (chain volume) divided by the average of current</w:t>
            </w:r>
            <w:r w:rsidR="00541146" w:rsidRPr="0087128E">
              <w:rPr>
                <w:rFonts w:cs="Open Sans"/>
                <w:color w:val="000000"/>
              </w:rPr>
              <w:noBreakHyphen/>
            </w:r>
            <w:r w:rsidRPr="0087128E">
              <w:rPr>
                <w:rFonts w:cs="Open Sans"/>
                <w:color w:val="000000"/>
              </w:rPr>
              <w:t xml:space="preserve"> and prior</w:t>
            </w:r>
            <w:r w:rsidR="00541146" w:rsidRPr="0087128E">
              <w:rPr>
                <w:rFonts w:cs="Open Sans"/>
                <w:color w:val="000000"/>
              </w:rPr>
              <w:noBreakHyphen/>
            </w:r>
            <w:r w:rsidRPr="0087128E">
              <w:rPr>
                <w:rFonts w:cs="Open Sans"/>
                <w:color w:val="000000"/>
              </w:rPr>
              <w:t>year net capital stock (chain volume).</w:t>
            </w:r>
          </w:p>
        </w:tc>
      </w:tr>
    </w:tbl>
    <w:p w14:paraId="54629FC7" w14:textId="77777777" w:rsidR="00BC1539" w:rsidRDefault="00BC1539" w:rsidP="00923AFF">
      <w:pPr>
        <w:pStyle w:val="Heading4"/>
        <w:rPr>
          <w:kern w:val="2"/>
          <w:lang w:eastAsia="en-AU"/>
          <w14:ligatures w14:val="standardContextual"/>
        </w:rPr>
      </w:pPr>
      <w:r>
        <w:lastRenderedPageBreak/>
        <w:t>Total Factor Productivity (TFP) and labour productivity</w:t>
      </w:r>
    </w:p>
    <w:p w14:paraId="66986730" w14:textId="40D3DBD5" w:rsidR="00BC1539" w:rsidRDefault="00B322DE" w:rsidP="00923AFF">
      <w:pPr>
        <w:pStyle w:val="BodyText"/>
        <w:keepNext/>
        <w:keepLines/>
      </w:pPr>
      <w:r>
        <w:t>TFP</w:t>
      </w:r>
      <w:r w:rsidR="00BC1539">
        <w:t xml:space="preserve"> is value added per unit of combined labour and capital input:</w:t>
      </w:r>
    </w:p>
    <w:p w14:paraId="7FBB8ABA" w14:textId="77777777" w:rsidR="00BC1539" w:rsidRDefault="00000000" w:rsidP="00923AFF">
      <w:pPr>
        <w:pStyle w:val="BodyText"/>
        <w:keepNext/>
        <w:keepLines/>
        <w:rPr>
          <w:kern w:val="2"/>
          <w:lang w:eastAsia="en-AU"/>
          <w14:ligatures w14:val="standardContextual"/>
        </w:rPr>
      </w:pPr>
      <m:oMathPara>
        <m:oMath>
          <m:sSub>
            <m:sSubPr>
              <m:ctrlPr>
                <w:rPr>
                  <w:rFonts w:ascii="Cambria Math" w:hAnsi="Cambria Math"/>
                  <w:i/>
                  <w:kern w:val="2"/>
                  <w:lang w:eastAsia="en-AU"/>
                  <w14:ligatures w14:val="standardContextual"/>
                </w:rPr>
              </m:ctrlPr>
            </m:sSubPr>
            <m:e>
              <m:r>
                <w:rPr>
                  <w:rFonts w:ascii="Cambria Math" w:hAnsi="Cambria Math"/>
                  <w:kern w:val="2"/>
                  <w:lang w:eastAsia="en-AU"/>
                  <w14:ligatures w14:val="standardContextual"/>
                </w:rPr>
                <m:t>TFP</m:t>
              </m:r>
            </m:e>
            <m:sub>
              <m:r>
                <w:rPr>
                  <w:rFonts w:ascii="Cambria Math" w:hAnsi="Cambria Math"/>
                  <w:kern w:val="2"/>
                  <w:lang w:eastAsia="en-AU"/>
                  <w14:ligatures w14:val="standardContextual"/>
                </w:rPr>
                <m:t>i</m:t>
              </m:r>
            </m:sub>
          </m:sSub>
          <m:r>
            <w:rPr>
              <w:rFonts w:ascii="Cambria Math" w:hAnsi="Cambria Math"/>
              <w:kern w:val="2"/>
              <w:lang w:eastAsia="en-AU"/>
              <w14:ligatures w14:val="standardContextual"/>
            </w:rPr>
            <m:t xml:space="preserve">= </m:t>
          </m:r>
          <m:f>
            <m:fPr>
              <m:ctrlPr>
                <w:rPr>
                  <w:rFonts w:ascii="Cambria Math" w:hAnsi="Cambria Math"/>
                  <w:i/>
                  <w:kern w:val="2"/>
                  <w:lang w:eastAsia="en-AU"/>
                  <w14:ligatures w14:val="standardContextual"/>
                </w:rPr>
              </m:ctrlPr>
            </m:fPr>
            <m:num>
              <m:sSub>
                <m:sSubPr>
                  <m:ctrlPr>
                    <w:rPr>
                      <w:rFonts w:ascii="Cambria Math" w:hAnsi="Cambria Math"/>
                      <w:i/>
                      <w:kern w:val="2"/>
                      <w:lang w:eastAsia="en-AU"/>
                      <w14:ligatures w14:val="standardContextual"/>
                    </w:rPr>
                  </m:ctrlPr>
                </m:sSubPr>
                <m:e>
                  <m:r>
                    <w:rPr>
                      <w:rFonts w:ascii="Cambria Math" w:hAnsi="Cambria Math"/>
                      <w:kern w:val="2"/>
                      <w:lang w:eastAsia="en-AU"/>
                      <w14:ligatures w14:val="standardContextual"/>
                    </w:rPr>
                    <m:t>VA</m:t>
                  </m:r>
                </m:e>
                <m:sub>
                  <m:r>
                    <w:rPr>
                      <w:rFonts w:ascii="Cambria Math" w:hAnsi="Cambria Math"/>
                      <w:kern w:val="2"/>
                      <w:lang w:eastAsia="en-AU"/>
                      <w14:ligatures w14:val="standardContextual"/>
                    </w:rPr>
                    <m:t>i</m:t>
                  </m:r>
                </m:sub>
              </m:sSub>
            </m:num>
            <m:den>
              <m:r>
                <w:rPr>
                  <w:rFonts w:ascii="Cambria Math" w:hAnsi="Cambria Math"/>
                  <w:kern w:val="2"/>
                  <w:lang w:eastAsia="en-AU"/>
                  <w14:ligatures w14:val="standardContextual"/>
                </w:rPr>
                <m:t>(</m:t>
              </m:r>
              <m:sSub>
                <m:sSubPr>
                  <m:ctrlPr>
                    <w:rPr>
                      <w:rFonts w:ascii="Cambria Math" w:hAnsi="Cambria Math"/>
                      <w:i/>
                      <w:kern w:val="2"/>
                      <w:lang w:eastAsia="en-AU"/>
                      <w14:ligatures w14:val="standardContextual"/>
                    </w:rPr>
                  </m:ctrlPr>
                </m:sSubPr>
                <m:e>
                  <m:r>
                    <w:rPr>
                      <w:rFonts w:ascii="Cambria Math" w:hAnsi="Cambria Math"/>
                      <w:kern w:val="2"/>
                      <w:lang w:eastAsia="en-AU"/>
                      <w14:ligatures w14:val="standardContextual"/>
                    </w:rPr>
                    <m:t>L</m:t>
                  </m:r>
                </m:e>
                <m:sub>
                  <m:r>
                    <w:rPr>
                      <w:rFonts w:ascii="Cambria Math" w:hAnsi="Cambria Math"/>
                      <w:kern w:val="2"/>
                      <w:lang w:eastAsia="en-AU"/>
                      <w14:ligatures w14:val="standardContextual"/>
                    </w:rPr>
                    <m:t>i</m:t>
                  </m:r>
                </m:sub>
              </m:sSub>
              <m:r>
                <w:rPr>
                  <w:rFonts w:ascii="Cambria Math" w:hAnsi="Cambria Math"/>
                  <w:kern w:val="2"/>
                  <w:lang w:eastAsia="en-AU"/>
                  <w14:ligatures w14:val="standardContextual"/>
                </w:rPr>
                <m:t>+</m:t>
              </m:r>
              <m:sSub>
                <m:sSubPr>
                  <m:ctrlPr>
                    <w:rPr>
                      <w:rFonts w:ascii="Cambria Math" w:hAnsi="Cambria Math"/>
                      <w:i/>
                      <w:kern w:val="2"/>
                      <w:lang w:eastAsia="en-AU"/>
                      <w14:ligatures w14:val="standardContextual"/>
                    </w:rPr>
                  </m:ctrlPr>
                </m:sSubPr>
                <m:e>
                  <m:r>
                    <w:rPr>
                      <w:rFonts w:ascii="Cambria Math" w:hAnsi="Cambria Math"/>
                      <w:kern w:val="2"/>
                      <w:lang w:eastAsia="en-AU"/>
                      <w14:ligatures w14:val="standardContextual"/>
                    </w:rPr>
                    <m:t>UC</m:t>
                  </m:r>
                </m:e>
                <m:sub>
                  <m:r>
                    <w:rPr>
                      <w:rFonts w:ascii="Cambria Math" w:hAnsi="Cambria Math"/>
                      <w:kern w:val="2"/>
                      <w:lang w:eastAsia="en-AU"/>
                      <w14:ligatures w14:val="standardContextual"/>
                    </w:rPr>
                    <m:t>t</m:t>
                  </m:r>
                </m:sub>
              </m:sSub>
              <m:r>
                <w:rPr>
                  <w:rFonts w:ascii="Cambria Math" w:hAnsi="Cambria Math"/>
                  <w:kern w:val="2"/>
                  <w:lang w:eastAsia="en-AU"/>
                  <w14:ligatures w14:val="standardContextual"/>
                </w:rPr>
                <m:t>×</m:t>
              </m:r>
              <m:sSub>
                <m:sSubPr>
                  <m:ctrlPr>
                    <w:rPr>
                      <w:rFonts w:ascii="Cambria Math" w:hAnsi="Cambria Math"/>
                      <w:i/>
                      <w:kern w:val="2"/>
                      <w:lang w:eastAsia="en-AU"/>
                      <w14:ligatures w14:val="standardContextual"/>
                    </w:rPr>
                  </m:ctrlPr>
                </m:sSubPr>
                <m:e>
                  <m:r>
                    <w:rPr>
                      <w:rFonts w:ascii="Cambria Math" w:hAnsi="Cambria Math"/>
                      <w:kern w:val="2"/>
                      <w:lang w:eastAsia="en-AU"/>
                      <w14:ligatures w14:val="standardContextual"/>
                    </w:rPr>
                    <m:t>K</m:t>
                  </m:r>
                </m:e>
                <m:sub>
                  <m:r>
                    <w:rPr>
                      <w:rFonts w:ascii="Cambria Math" w:hAnsi="Cambria Math"/>
                      <w:kern w:val="2"/>
                      <w:lang w:eastAsia="en-AU"/>
                      <w14:ligatures w14:val="standardContextual"/>
                    </w:rPr>
                    <m:t>i</m:t>
                  </m:r>
                </m:sub>
              </m:sSub>
              <m:r>
                <w:rPr>
                  <w:rFonts w:ascii="Cambria Math" w:hAnsi="Cambria Math"/>
                  <w:kern w:val="2"/>
                  <w:lang w:eastAsia="en-AU"/>
                  <w14:ligatures w14:val="standardContextual"/>
                </w:rPr>
                <m:t>)</m:t>
              </m:r>
            </m:den>
          </m:f>
        </m:oMath>
      </m:oMathPara>
    </w:p>
    <w:p w14:paraId="58C61028" w14:textId="68AC54A7" w:rsidR="00BC1539" w:rsidRDefault="00BC1539" w:rsidP="00011592">
      <w:pPr>
        <w:pStyle w:val="BodyText"/>
        <w:rPr>
          <w:kern w:val="2"/>
          <w:lang w:eastAsia="en-AU"/>
          <w14:ligatures w14:val="standardContextual"/>
        </w:rPr>
      </w:pPr>
      <w:r>
        <w:t>Firm</w:t>
      </w:r>
      <w:r w:rsidR="00541146">
        <w:noBreakHyphen/>
      </w:r>
      <w:r>
        <w:t>years with a zero denominator are set to missing.</w:t>
      </w:r>
    </w:p>
    <w:p w14:paraId="4166C1D9" w14:textId="2D12F813" w:rsidR="00BC1539" w:rsidRDefault="00BC1539" w:rsidP="00011592">
      <w:pPr>
        <w:pStyle w:val="BodyText"/>
      </w:pPr>
      <w:r>
        <w:t xml:space="preserve">Labour productivity is </w:t>
      </w:r>
      <w:r w:rsidRPr="00C20524">
        <w:t xml:space="preserve">measured as </w:t>
      </w:r>
      <w:r>
        <w:t xml:space="preserve">value added per </w:t>
      </w:r>
      <w:r w:rsidRPr="00C20524">
        <w:t>full</w:t>
      </w:r>
      <w:r w:rsidR="00541146">
        <w:noBreakHyphen/>
      </w:r>
      <w:r w:rsidRPr="00C20524">
        <w:t>time equivalent (FTE) worker</w:t>
      </w:r>
      <w:r>
        <w:t>:</w:t>
      </w:r>
    </w:p>
    <w:p w14:paraId="1E276A37" w14:textId="77777777" w:rsidR="00BC1539" w:rsidRDefault="00000000" w:rsidP="00011592">
      <w:pPr>
        <w:pStyle w:val="BodyText"/>
        <w:rPr>
          <w:kern w:val="2"/>
          <w:lang w:eastAsia="en-AU"/>
          <w14:ligatures w14:val="standardContextual"/>
        </w:rPr>
      </w:pPr>
      <m:oMathPara>
        <m:oMath>
          <m:sSub>
            <m:sSubPr>
              <m:ctrlPr>
                <w:rPr>
                  <w:rFonts w:ascii="Cambria Math" w:hAnsi="Cambria Math"/>
                  <w:i/>
                  <w:kern w:val="2"/>
                  <w:lang w:eastAsia="en-AU"/>
                  <w14:ligatures w14:val="standardContextual"/>
                </w:rPr>
              </m:ctrlPr>
            </m:sSubPr>
            <m:e>
              <m:r>
                <w:rPr>
                  <w:rFonts w:ascii="Cambria Math" w:hAnsi="Cambria Math"/>
                  <w:kern w:val="2"/>
                  <w:lang w:eastAsia="en-AU"/>
                  <w14:ligatures w14:val="standardContextual"/>
                </w:rPr>
                <m:t>labour_prod</m:t>
              </m:r>
            </m:e>
            <m:sub>
              <m:r>
                <w:rPr>
                  <w:rFonts w:ascii="Cambria Math" w:hAnsi="Cambria Math"/>
                  <w:kern w:val="2"/>
                  <w:lang w:eastAsia="en-AU"/>
                  <w14:ligatures w14:val="standardContextual"/>
                </w:rPr>
                <m:t>i</m:t>
              </m:r>
            </m:sub>
          </m:sSub>
          <m:r>
            <w:rPr>
              <w:rFonts w:ascii="Cambria Math" w:hAnsi="Cambria Math"/>
              <w:kern w:val="2"/>
              <w:lang w:eastAsia="en-AU"/>
              <w14:ligatures w14:val="standardContextual"/>
            </w:rPr>
            <m:t xml:space="preserve">= </m:t>
          </m:r>
          <m:f>
            <m:fPr>
              <m:ctrlPr>
                <w:rPr>
                  <w:rFonts w:ascii="Cambria Math" w:hAnsi="Cambria Math"/>
                  <w:i/>
                  <w:kern w:val="2"/>
                  <w:lang w:eastAsia="en-AU"/>
                  <w14:ligatures w14:val="standardContextual"/>
                </w:rPr>
              </m:ctrlPr>
            </m:fPr>
            <m:num>
              <m:sSub>
                <m:sSubPr>
                  <m:ctrlPr>
                    <w:rPr>
                      <w:rFonts w:ascii="Cambria Math" w:hAnsi="Cambria Math"/>
                      <w:i/>
                      <w:kern w:val="2"/>
                      <w:lang w:eastAsia="en-AU"/>
                      <w14:ligatures w14:val="standardContextual"/>
                    </w:rPr>
                  </m:ctrlPr>
                </m:sSubPr>
                <m:e>
                  <m:r>
                    <w:rPr>
                      <w:rFonts w:ascii="Cambria Math" w:hAnsi="Cambria Math"/>
                      <w:kern w:val="2"/>
                      <w:lang w:eastAsia="en-AU"/>
                      <w14:ligatures w14:val="standardContextual"/>
                    </w:rPr>
                    <m:t>VA</m:t>
                  </m:r>
                </m:e>
                <m:sub>
                  <m:r>
                    <w:rPr>
                      <w:rFonts w:ascii="Cambria Math" w:hAnsi="Cambria Math"/>
                      <w:kern w:val="2"/>
                      <w:lang w:eastAsia="en-AU"/>
                      <w14:ligatures w14:val="standardContextual"/>
                    </w:rPr>
                    <m:t>i</m:t>
                  </m:r>
                </m:sub>
              </m:sSub>
            </m:num>
            <m:den>
              <m:sSub>
                <m:sSubPr>
                  <m:ctrlPr>
                    <w:rPr>
                      <w:rFonts w:ascii="Cambria Math" w:hAnsi="Cambria Math"/>
                      <w:i/>
                      <w:kern w:val="2"/>
                      <w:lang w:eastAsia="en-AU"/>
                      <w14:ligatures w14:val="standardContextual"/>
                    </w:rPr>
                  </m:ctrlPr>
                </m:sSubPr>
                <m:e>
                  <m:r>
                    <w:rPr>
                      <w:rFonts w:ascii="Cambria Math" w:hAnsi="Cambria Math"/>
                      <w:kern w:val="2"/>
                      <w:lang w:eastAsia="en-AU"/>
                      <w14:ligatures w14:val="standardContextual"/>
                    </w:rPr>
                    <m:t>FTE</m:t>
                  </m:r>
                </m:e>
                <m:sub>
                  <m:r>
                    <w:rPr>
                      <w:rFonts w:ascii="Cambria Math" w:hAnsi="Cambria Math"/>
                      <w:kern w:val="2"/>
                      <w:lang w:eastAsia="en-AU"/>
                      <w14:ligatures w14:val="standardContextual"/>
                    </w:rPr>
                    <m:t>i</m:t>
                  </m:r>
                </m:sub>
              </m:sSub>
            </m:den>
          </m:f>
        </m:oMath>
      </m:oMathPara>
    </w:p>
    <w:p w14:paraId="69228549" w14:textId="40199DB3" w:rsidR="00BC1539" w:rsidRPr="00114B35" w:rsidRDefault="00BC1539" w:rsidP="00011592">
      <w:pPr>
        <w:pStyle w:val="BodyText"/>
        <w:rPr>
          <w:lang w:eastAsia="en-AU"/>
        </w:rPr>
      </w:pPr>
      <w:r w:rsidRPr="00114B35">
        <w:rPr>
          <w:lang w:eastAsia="en-AU"/>
        </w:rPr>
        <w:t>where (</w:t>
      </w:r>
      <m:oMath>
        <m:r>
          <w:rPr>
            <w:rFonts w:ascii="Cambria Math" w:hAnsi="Cambria Math"/>
          </w:rPr>
          <m:t>V</m:t>
        </m:r>
        <m:sSub>
          <m:sSubPr>
            <m:ctrlPr>
              <w:rPr>
                <w:rFonts w:ascii="Cambria Math" w:hAnsi="Cambria Math"/>
              </w:rPr>
            </m:ctrlPr>
          </m:sSubPr>
          <m:e>
            <m:r>
              <w:rPr>
                <w:rFonts w:ascii="Cambria Math" w:hAnsi="Cambria Math"/>
              </w:rPr>
              <m:t>A</m:t>
            </m:r>
          </m:e>
          <m:sub>
            <m:r>
              <w:rPr>
                <w:rFonts w:ascii="Cambria Math" w:hAnsi="Cambria Math"/>
              </w:rPr>
              <m:t>i</m:t>
            </m:r>
          </m:sub>
        </m:sSub>
      </m:oMath>
      <w:r w:rsidRPr="00114B35">
        <w:rPr>
          <w:lang w:eastAsia="en-AU"/>
        </w:rPr>
        <w:t>) is value added and (</w:t>
      </w:r>
      <m:oMath>
        <m:r>
          <w:rPr>
            <w:rFonts w:ascii="Cambria Math" w:hAnsi="Cambria Math"/>
          </w:rPr>
          <m:t>FT</m:t>
        </m:r>
        <m:sSub>
          <m:sSubPr>
            <m:ctrlPr>
              <w:rPr>
                <w:rFonts w:ascii="Cambria Math" w:hAnsi="Cambria Math"/>
              </w:rPr>
            </m:ctrlPr>
          </m:sSubPr>
          <m:e>
            <m:r>
              <w:rPr>
                <w:rFonts w:ascii="Cambria Math" w:hAnsi="Cambria Math"/>
              </w:rPr>
              <m:t>E</m:t>
            </m:r>
          </m:e>
          <m:sub>
            <m:r>
              <w:rPr>
                <w:rFonts w:ascii="Cambria Math" w:hAnsi="Cambria Math"/>
              </w:rPr>
              <m:t>i</m:t>
            </m:r>
          </m:sub>
        </m:sSub>
      </m:oMath>
      <w:r w:rsidRPr="00114B35">
        <w:rPr>
          <w:lang w:eastAsia="en-AU"/>
        </w:rPr>
        <w:t>) is full</w:t>
      </w:r>
      <w:r w:rsidR="00541146">
        <w:rPr>
          <w:lang w:eastAsia="en-AU"/>
        </w:rPr>
        <w:noBreakHyphen/>
      </w:r>
      <w:r w:rsidRPr="00114B35">
        <w:rPr>
          <w:lang w:eastAsia="en-AU"/>
        </w:rPr>
        <w:t>time equivalent employment reported in PAYG data. The ABS derives FTE employment from employee headcounts using information on hours worked from the Labour Force Survey.</w:t>
      </w:r>
    </w:p>
    <w:p w14:paraId="6C604265" w14:textId="77777777" w:rsidR="00BC1539" w:rsidRPr="00CB5887" w:rsidRDefault="00BC1539" w:rsidP="00011592">
      <w:pPr>
        <w:pStyle w:val="Heading4"/>
        <w:rPr>
          <w:kern w:val="2"/>
          <w:lang w:eastAsia="en-AU"/>
          <w14:ligatures w14:val="standardContextual"/>
        </w:rPr>
      </w:pPr>
      <w:r w:rsidRPr="00CB5887">
        <w:t>Sample restrictions</w:t>
      </w:r>
    </w:p>
    <w:p w14:paraId="43E006B7" w14:textId="703BA471" w:rsidR="00BC1539" w:rsidRDefault="00BC1539" w:rsidP="00011592">
      <w:pPr>
        <w:pStyle w:val="BodyText"/>
      </w:pPr>
      <w:r w:rsidRPr="00F76A3E">
        <w:t>Firm</w:t>
      </w:r>
      <w:r w:rsidR="00541146">
        <w:noBreakHyphen/>
      </w:r>
      <w:r w:rsidRPr="00F76A3E">
        <w:t xml:space="preserve">years with labour input below </w:t>
      </w:r>
      <w:proofErr w:type="spellStart"/>
      <w:r w:rsidRPr="00F76A3E">
        <w:t>min_labour_expenses_tfp</w:t>
      </w:r>
      <w:proofErr w:type="spellEnd"/>
      <w:r w:rsidRPr="00F76A3E">
        <w:t xml:space="preserve"> ($60,000) are excluded from both measures by setting the relevant input to missing. We also tested a minimum capital threshold, </w:t>
      </w:r>
      <w:proofErr w:type="spellStart"/>
      <w:r w:rsidRPr="00F76A3E">
        <w:t>min_capital_stock_tfp</w:t>
      </w:r>
      <w:proofErr w:type="spellEnd"/>
      <w:r w:rsidRPr="00F76A3E">
        <w:t>, but it had no effect and was not applied to avoid adding unnecessary assumptions. These floors prevent near</w:t>
      </w:r>
      <w:r w:rsidR="00541146">
        <w:noBreakHyphen/>
      </w:r>
      <w:r w:rsidRPr="00F76A3E">
        <w:t>zero denominators from generating extreme productivity ratios; they are not intended to represent economically meaningful size thresholds.</w:t>
      </w:r>
    </w:p>
    <w:p w14:paraId="046E7539" w14:textId="77777777" w:rsidR="00BC1539" w:rsidRDefault="00BC1539" w:rsidP="00011592">
      <w:pPr>
        <w:pStyle w:val="Heading3"/>
        <w:rPr>
          <w:kern w:val="2"/>
          <w:szCs w:val="26"/>
          <w:lang w:eastAsia="en-AU"/>
          <w14:ligatures w14:val="standardContextual"/>
        </w:rPr>
      </w:pPr>
      <w:r>
        <w:t>Capacity utilisation</w:t>
      </w:r>
    </w:p>
    <w:p w14:paraId="1C93BDE9" w14:textId="2191B301" w:rsidR="00BC1539" w:rsidRDefault="00BC1539" w:rsidP="00011592">
      <w:pPr>
        <w:pStyle w:val="BodyText"/>
        <w:rPr>
          <w:kern w:val="2"/>
          <w:lang w:eastAsia="en-AU"/>
          <w14:ligatures w14:val="standardContextual"/>
        </w:rPr>
      </w:pPr>
      <w:r>
        <w:t>Capacity utilisation measures each firm’s productivity relative to a fixed best</w:t>
      </w:r>
      <w:r w:rsidR="00541146">
        <w:noBreakHyphen/>
      </w:r>
      <w:r>
        <w:t xml:space="preserve">practice frontier. It is constructed in </w:t>
      </w:r>
      <w:r w:rsidR="00EE7397">
        <w:t>3</w:t>
      </w:r>
      <w:r>
        <w:t xml:space="preserve"> steps.</w:t>
      </w:r>
    </w:p>
    <w:p w14:paraId="6AE961F1" w14:textId="1D002FA6" w:rsidR="00BC1539" w:rsidRDefault="00BC1539" w:rsidP="004E1B21">
      <w:pPr>
        <w:pStyle w:val="BodyText"/>
        <w:numPr>
          <w:ilvl w:val="6"/>
          <w:numId w:val="7"/>
        </w:numPr>
        <w:ind w:left="284" w:hanging="284"/>
        <w:rPr>
          <w:kern w:val="2"/>
          <w:lang w:eastAsia="en-AU"/>
          <w14:ligatures w14:val="standardContextual"/>
        </w:rPr>
      </w:pPr>
      <w:r>
        <w:rPr>
          <w:b/>
          <w:bCs/>
        </w:rPr>
        <w:t>Reference sample.</w:t>
      </w:r>
      <w:r>
        <w:t xml:space="preserve"> Within a reference group of firms, only firm</w:t>
      </w:r>
      <w:r w:rsidR="00541146">
        <w:noBreakHyphen/>
      </w:r>
      <w:r>
        <w:t>years with a positive, finite TFP are retained. TFP is then trimmed within each fiscal year, removing observations more than 3 standard deviations from that year’s mean log</w:t>
      </w:r>
      <w:r w:rsidR="00541146">
        <w:noBreakHyphen/>
      </w:r>
      <w:r>
        <w:t>TFP.</w:t>
      </w:r>
    </w:p>
    <w:p w14:paraId="165F53A3" w14:textId="412FFFB2" w:rsidR="00BC1539" w:rsidRDefault="00BC1539" w:rsidP="004E1B21">
      <w:pPr>
        <w:pStyle w:val="BodyText"/>
        <w:numPr>
          <w:ilvl w:val="6"/>
          <w:numId w:val="7"/>
        </w:numPr>
        <w:ind w:left="284" w:hanging="284"/>
      </w:pPr>
      <w:r>
        <w:rPr>
          <w:b/>
          <w:bCs/>
        </w:rPr>
        <w:t>Frontier.</w:t>
      </w:r>
      <w:r>
        <w:t xml:space="preserve"> For each fiscal year, the frontier is the mean TFP of the top </w:t>
      </w:r>
      <w:r w:rsidR="009B00CD">
        <w:t>10</w:t>
      </w:r>
      <w:r>
        <w:t>% of firms in the reference group. These annual frontiers are averaged over all years to give a single, time</w:t>
      </w:r>
      <w:r>
        <w:noBreakHyphen/>
        <w:t xml:space="preserve">invariant frontier </w:t>
      </w:r>
      <w:r w:rsidRPr="00EE7397">
        <w:rPr>
          <w:b/>
          <w:bCs/>
        </w:rPr>
        <w:t>level</w:t>
      </w:r>
      <w:r>
        <w:t>. Holding the frontier fixed over time ensures that movements in utilisation reflect firms moving toward or away from best practice, rather than a frontier that is redefined each year:</w:t>
      </w:r>
    </w:p>
    <w:p w14:paraId="62185C12" w14:textId="77777777" w:rsidR="00BC1539" w:rsidRDefault="00000000" w:rsidP="00011592">
      <w:pPr>
        <w:pStyle w:val="BodyText"/>
        <w:rPr>
          <w:kern w:val="2"/>
          <w:lang w:eastAsia="en-AU"/>
          <w14:ligatures w14:val="standardContextual"/>
        </w:rPr>
      </w:pPr>
      <m:oMathPara>
        <m:oMath>
          <m:sSub>
            <m:sSubPr>
              <m:ctrlPr>
                <w:rPr>
                  <w:rFonts w:ascii="Cambria Math" w:hAnsi="Cambria Math"/>
                </w:rPr>
              </m:ctrlPr>
            </m:sSubPr>
            <m:e>
              <m:r>
                <w:rPr>
                  <w:rFonts w:ascii="Cambria Math" w:hAnsi="Cambria Math"/>
                </w:rPr>
                <m:t>F</m:t>
              </m:r>
            </m:e>
            <m:sub>
              <m:r>
                <w:rPr>
                  <w:rFonts w:ascii="Cambria Math" w:hAnsi="Cambria Math"/>
                </w:rPr>
                <m:t>g</m:t>
              </m:r>
            </m:sub>
          </m:sSub>
          <m:r>
            <m:rPr>
              <m:sty m:val="p"/>
            </m:rPr>
            <w:rPr>
              <w:rFonts w:ascii="Cambria Math" w:hAnsi="Cambria Math"/>
            </w:rPr>
            <m:t>=</m:t>
          </m:r>
          <m:sSub>
            <m:sSubPr>
              <m:ctrlPr>
                <w:rPr>
                  <w:rFonts w:ascii="Cambria Math" w:hAnsi="Cambria Math"/>
                </w:rPr>
              </m:ctrlPr>
            </m:sSubPr>
            <m:e>
              <m:r>
                <w:rPr>
                  <w:rFonts w:ascii="Cambria Math" w:hAnsi="Cambria Math"/>
                </w:rPr>
                <m:t>mean</m:t>
              </m:r>
            </m:e>
            <m:sub>
              <m:r>
                <w:rPr>
                  <w:rFonts w:ascii="Cambria Math" w:hAnsi="Cambria Math"/>
                </w:rPr>
                <m:t>t</m:t>
              </m:r>
            </m:sub>
          </m:sSub>
          <m:r>
            <m:rPr>
              <m:sty m:val="p"/>
            </m:rPr>
            <w:rPr>
              <w:rFonts w:ascii="Cambria Math" w:hAnsi="Cambria Math"/>
            </w:rPr>
            <m:t>(</m:t>
          </m:r>
          <m:r>
            <w:rPr>
              <w:rFonts w:ascii="Cambria Math" w:hAnsi="Cambria Math"/>
            </w:rPr>
            <m:t>mean</m:t>
          </m:r>
          <m:d>
            <m:dPr>
              <m:begChr m:val="{"/>
              <m:endChr m:val="}"/>
              <m:ctrlPr>
                <w:rPr>
                  <w:rFonts w:ascii="Cambria Math" w:hAnsi="Cambria Math"/>
                </w:rPr>
              </m:ctrlPr>
            </m:dPr>
            <m:e>
              <m:sSub>
                <m:sSubPr>
                  <m:ctrlPr>
                    <w:rPr>
                      <w:rFonts w:ascii="Cambria Math" w:hAnsi="Cambria Math"/>
                    </w:rPr>
                  </m:ctrlPr>
                </m:sSubPr>
                <m:e>
                  <m:r>
                    <w:rPr>
                      <w:rFonts w:ascii="Cambria Math" w:hAnsi="Cambria Math"/>
                    </w:rPr>
                    <m:t>TFP</m:t>
                  </m:r>
                </m:e>
                <m:sub>
                  <m:r>
                    <w:rPr>
                      <w:rFonts w:ascii="Cambria Math" w:hAnsi="Cambria Math"/>
                    </w:rPr>
                    <m:t>i</m:t>
                  </m:r>
                </m:sub>
              </m:sSub>
              <m:r>
                <m:rPr>
                  <m:sty m:val="p"/>
                </m:rPr>
                <w:rPr>
                  <w:rFonts w:ascii="Cambria Math" w:hAnsi="Cambria Math"/>
                </w:rPr>
                <m:t>:</m:t>
              </m:r>
              <m:r>
                <w:rPr>
                  <w:rFonts w:ascii="Cambria Math" w:hAnsi="Cambria Math"/>
                </w:rPr>
                <m:t>i</m:t>
              </m:r>
              <m:r>
                <m:rPr>
                  <m:sty m:val="p"/>
                </m:rPr>
                <w:rPr>
                  <w:rFonts w:ascii="Cambria Math" w:hAnsi="Cambria Math"/>
                </w:rPr>
                <m:t xml:space="preserve"> </m:t>
              </m:r>
              <m:r>
                <w:rPr>
                  <w:rFonts w:ascii="Cambria Math" w:hAnsi="Cambria Math"/>
                </w:rPr>
                <m:t>in</m:t>
              </m:r>
              <m:r>
                <m:rPr>
                  <m:sty m:val="p"/>
                </m:rPr>
                <w:rPr>
                  <w:rFonts w:ascii="Cambria Math" w:hAnsi="Cambria Math"/>
                </w:rPr>
                <m:t xml:space="preserve"> </m:t>
              </m:r>
              <m:r>
                <w:rPr>
                  <w:rFonts w:ascii="Cambria Math" w:hAnsi="Cambria Math"/>
                </w:rPr>
                <m:t>top</m:t>
              </m:r>
              <m:r>
                <m:rPr>
                  <m:sty m:val="p"/>
                </m:rPr>
                <w:rPr>
                  <w:rFonts w:ascii="Cambria Math" w:hAnsi="Cambria Math"/>
                </w:rPr>
                <m:t xml:space="preserve"> 5% </m:t>
              </m:r>
              <m:r>
                <w:rPr>
                  <w:rFonts w:ascii="Cambria Math" w:hAnsi="Cambria Math"/>
                </w:rPr>
                <m:t>of</m:t>
              </m:r>
              <m:r>
                <m:rPr>
                  <m:sty m:val="p"/>
                </m:rPr>
                <w:rPr>
                  <w:rFonts w:ascii="Cambria Math" w:hAnsi="Cambria Math"/>
                </w:rPr>
                <m:t xml:space="preserve"> </m:t>
              </m:r>
              <m:r>
                <w:rPr>
                  <w:rFonts w:ascii="Cambria Math" w:hAnsi="Cambria Math"/>
                </w:rPr>
                <m:t>group</m:t>
              </m:r>
              <m:r>
                <m:rPr>
                  <m:sty m:val="p"/>
                </m:rPr>
                <w:rPr>
                  <w:rFonts w:ascii="Cambria Math" w:hAnsi="Cambria Math"/>
                </w:rPr>
                <m:t xml:space="preserve"> </m:t>
              </m:r>
              <m:r>
                <w:rPr>
                  <w:rFonts w:ascii="Cambria Math" w:hAnsi="Cambria Math"/>
                </w:rPr>
                <m:t>g</m:t>
              </m:r>
              <m:r>
                <m:rPr>
                  <m:sty m:val="p"/>
                </m:rPr>
                <w:rPr>
                  <w:rFonts w:ascii="Cambria Math" w:hAnsi="Cambria Math"/>
                </w:rPr>
                <m:t xml:space="preserve">  </m:t>
              </m:r>
              <m:r>
                <w:rPr>
                  <w:rFonts w:ascii="Cambria Math" w:hAnsi="Cambria Math"/>
                </w:rPr>
                <m:t>in</m:t>
              </m:r>
              <m:r>
                <m:rPr>
                  <m:sty m:val="p"/>
                </m:rPr>
                <w:rPr>
                  <w:rFonts w:ascii="Cambria Math" w:hAnsi="Cambria Math"/>
                </w:rPr>
                <m:t xml:space="preserve"> </m:t>
              </m:r>
              <m:r>
                <w:rPr>
                  <w:rFonts w:ascii="Cambria Math" w:hAnsi="Cambria Math"/>
                </w:rPr>
                <m:t>year</m:t>
              </m:r>
              <m:r>
                <m:rPr>
                  <m:sty m:val="p"/>
                </m:rPr>
                <w:rPr>
                  <w:rFonts w:ascii="Cambria Math" w:hAnsi="Cambria Math"/>
                </w:rPr>
                <m:t xml:space="preserve"> </m:t>
              </m:r>
              <m:r>
                <w:rPr>
                  <w:rFonts w:ascii="Cambria Math" w:hAnsi="Cambria Math"/>
                </w:rPr>
                <m:t>t</m:t>
              </m:r>
            </m:e>
          </m:d>
          <m:r>
            <m:rPr>
              <m:sty m:val="p"/>
            </m:rPr>
            <w:rPr>
              <w:rFonts w:ascii="Cambria Math" w:hAnsi="Cambria Math"/>
            </w:rPr>
            <m:t>)</m:t>
          </m:r>
        </m:oMath>
      </m:oMathPara>
    </w:p>
    <w:p w14:paraId="5B90FFCB" w14:textId="7F4E2A8E" w:rsidR="00BC1539" w:rsidRPr="00577BBF" w:rsidRDefault="00BC1539" w:rsidP="004E1B21">
      <w:pPr>
        <w:pStyle w:val="BodyText"/>
        <w:numPr>
          <w:ilvl w:val="6"/>
          <w:numId w:val="7"/>
        </w:numPr>
        <w:ind w:left="284" w:hanging="284"/>
        <w:rPr>
          <w:kern w:val="2"/>
          <w:lang w:eastAsia="en-AU"/>
          <w14:ligatures w14:val="standardContextual"/>
        </w:rPr>
      </w:pPr>
      <w:r>
        <w:rPr>
          <w:b/>
          <w:bCs/>
        </w:rPr>
        <w:t>Utilisation.</w:t>
      </w:r>
      <w:r>
        <w:t xml:space="preserve"> Each firm</w:t>
      </w:r>
      <w:r w:rsidR="00541146">
        <w:noBreakHyphen/>
      </w:r>
      <w:r>
        <w:t>year is scored against the frontier and bounded to the unit interval:</w:t>
      </w:r>
    </w:p>
    <w:p w14:paraId="64B2061B" w14:textId="77777777" w:rsidR="00BC1539" w:rsidRPr="00BD7BA8" w:rsidRDefault="00000000" w:rsidP="00011592">
      <w:pPr>
        <w:pStyle w:val="BodyText"/>
        <w:rPr>
          <w:kern w:val="2"/>
          <w:lang w:val="fr-CA" w:eastAsia="en-AU"/>
          <w14:ligatures w14:val="standardContextual"/>
        </w:rPr>
      </w:pPr>
      <m:oMathPara>
        <m:oMath>
          <m:sSub>
            <m:sSubPr>
              <m:ctrlPr>
                <w:rPr>
                  <w:rFonts w:ascii="Cambria Math" w:hAnsi="Cambria Math"/>
                  <w:lang w:eastAsia="en-AU"/>
                </w:rPr>
              </m:ctrlPr>
            </m:sSubPr>
            <m:e>
              <m:r>
                <w:rPr>
                  <w:rFonts w:ascii="Cambria Math" w:hAnsi="Cambria Math"/>
                  <w:lang w:eastAsia="en-AU"/>
                </w:rPr>
                <m:t>utilisation</m:t>
              </m:r>
            </m:e>
            <m:sub>
              <m:r>
                <w:rPr>
                  <w:rFonts w:ascii="Cambria Math" w:hAnsi="Cambria Math"/>
                  <w:lang w:eastAsia="en-AU"/>
                </w:rPr>
                <m:t>i</m:t>
              </m:r>
              <m:r>
                <m:rPr>
                  <m:sty m:val="p"/>
                </m:rPr>
                <w:rPr>
                  <w:rFonts w:ascii="Cambria Math" w:hAnsi="Cambria Math"/>
                  <w:lang w:eastAsia="en-AU"/>
                </w:rPr>
                <m:t>,</m:t>
              </m:r>
              <m:r>
                <w:rPr>
                  <w:rFonts w:ascii="Cambria Math" w:hAnsi="Cambria Math"/>
                  <w:lang w:eastAsia="en-AU"/>
                </w:rPr>
                <m:t>t</m:t>
              </m:r>
            </m:sub>
          </m:sSub>
          <m:r>
            <m:rPr>
              <m:sty m:val="p"/>
            </m:rPr>
            <w:rPr>
              <w:rFonts w:ascii="Cambria Math" w:hAnsi="Cambria Math"/>
              <w:lang w:eastAsia="en-AU"/>
            </w:rPr>
            <m:t>=min⁡(</m:t>
          </m:r>
          <m:func>
            <m:funcPr>
              <m:ctrlPr>
                <w:rPr>
                  <w:rFonts w:ascii="Cambria Math" w:hAnsi="Cambria Math"/>
                  <w:lang w:eastAsia="en-AU"/>
                </w:rPr>
              </m:ctrlPr>
            </m:funcPr>
            <m:fName>
              <m:r>
                <m:rPr>
                  <m:sty m:val="p"/>
                </m:rPr>
                <w:rPr>
                  <w:rFonts w:ascii="Cambria Math" w:hAnsi="Cambria Math"/>
                  <w:lang w:eastAsia="en-AU"/>
                </w:rPr>
                <m:t>max</m:t>
              </m:r>
            </m:fName>
            <m:e>
              <m:d>
                <m:dPr>
                  <m:ctrlPr>
                    <w:rPr>
                      <w:rFonts w:ascii="Cambria Math" w:hAnsi="Cambria Math"/>
                      <w:lang w:eastAsia="en-AU"/>
                    </w:rPr>
                  </m:ctrlPr>
                </m:dPr>
                <m:e>
                  <m:f>
                    <m:fPr>
                      <m:ctrlPr>
                        <w:rPr>
                          <w:rFonts w:ascii="Cambria Math" w:hAnsi="Cambria Math"/>
                          <w:lang w:eastAsia="en-AU"/>
                        </w:rPr>
                      </m:ctrlPr>
                    </m:fPr>
                    <m:num>
                      <m:sSub>
                        <m:sSubPr>
                          <m:ctrlPr>
                            <w:rPr>
                              <w:rFonts w:ascii="Cambria Math" w:hAnsi="Cambria Math"/>
                              <w:lang w:eastAsia="en-AU"/>
                            </w:rPr>
                          </m:ctrlPr>
                        </m:sSubPr>
                        <m:e>
                          <m:r>
                            <w:rPr>
                              <w:rFonts w:ascii="Cambria Math" w:hAnsi="Cambria Math"/>
                              <w:lang w:eastAsia="en-AU"/>
                            </w:rPr>
                            <m:t>TFP</m:t>
                          </m:r>
                        </m:e>
                        <m:sub>
                          <m:r>
                            <w:rPr>
                              <w:rFonts w:ascii="Cambria Math" w:hAnsi="Cambria Math"/>
                              <w:lang w:eastAsia="en-AU"/>
                            </w:rPr>
                            <m:t>i</m:t>
                          </m:r>
                          <m:r>
                            <m:rPr>
                              <m:sty m:val="p"/>
                            </m:rPr>
                            <w:rPr>
                              <w:rFonts w:ascii="Cambria Math" w:hAnsi="Cambria Math"/>
                              <w:lang w:eastAsia="en-AU"/>
                            </w:rPr>
                            <m:t>,</m:t>
                          </m:r>
                          <m:r>
                            <w:rPr>
                              <w:rFonts w:ascii="Cambria Math" w:hAnsi="Cambria Math"/>
                              <w:lang w:eastAsia="en-AU"/>
                            </w:rPr>
                            <m:t>t</m:t>
                          </m:r>
                        </m:sub>
                      </m:sSub>
                    </m:num>
                    <m:den>
                      <m:sSub>
                        <m:sSubPr>
                          <m:ctrlPr>
                            <w:rPr>
                              <w:rFonts w:ascii="Cambria Math" w:hAnsi="Cambria Math"/>
                              <w:lang w:eastAsia="en-AU"/>
                            </w:rPr>
                          </m:ctrlPr>
                        </m:sSubPr>
                        <m:e>
                          <m:r>
                            <w:rPr>
                              <w:rFonts w:ascii="Cambria Math" w:hAnsi="Cambria Math"/>
                              <w:lang w:eastAsia="en-AU"/>
                            </w:rPr>
                            <m:t>F</m:t>
                          </m:r>
                        </m:e>
                        <m:sub>
                          <m:r>
                            <w:rPr>
                              <w:rFonts w:ascii="Cambria Math" w:hAnsi="Cambria Math"/>
                              <w:lang w:eastAsia="en-AU"/>
                            </w:rPr>
                            <m:t>g</m:t>
                          </m:r>
                        </m:sub>
                      </m:sSub>
                    </m:den>
                  </m:f>
                  <m:r>
                    <m:rPr>
                      <m:sty m:val="p"/>
                    </m:rPr>
                    <w:rPr>
                      <w:rFonts w:ascii="Cambria Math" w:hAnsi="Cambria Math"/>
                      <w:lang w:eastAsia="en-AU"/>
                    </w:rPr>
                    <m:t>,0</m:t>
                  </m:r>
                </m:e>
              </m:d>
            </m:e>
          </m:func>
          <m:r>
            <m:rPr>
              <m:sty m:val="p"/>
            </m:rPr>
            <w:rPr>
              <w:rFonts w:ascii="Cambria Math" w:hAnsi="Cambria Math"/>
              <w:lang w:eastAsia="en-AU"/>
            </w:rPr>
            <m:t>,1)</m:t>
          </m:r>
        </m:oMath>
      </m:oMathPara>
    </w:p>
    <w:p w14:paraId="1CA12136" w14:textId="77777777" w:rsidR="00BC1539" w:rsidRDefault="00BC1539" w:rsidP="00011592">
      <w:pPr>
        <w:pStyle w:val="BodyText"/>
        <w:rPr>
          <w:kern w:val="2"/>
          <w:lang w:eastAsia="en-AU"/>
          <w14:ligatures w14:val="standardContextual"/>
        </w:rPr>
      </w:pPr>
      <w:r>
        <w:t>A value of 1 indicates the firm is operating at or above frontier productivity; values near 0 indicate performance far below best practice.</w:t>
      </w:r>
    </w:p>
    <w:p w14:paraId="6C83E191" w14:textId="77777777" w:rsidR="00BC1539" w:rsidRDefault="00BC1539" w:rsidP="00011592">
      <w:pPr>
        <w:pStyle w:val="BodyText"/>
      </w:pPr>
      <w:r>
        <w:t>The frontier is estimated separately for several reference groups. The groups embody different assumptions about which firms form the relevant comparison set and yield correspondingly different utilisation series.</w:t>
      </w:r>
    </w:p>
    <w:p w14:paraId="1A71666C" w14:textId="6E95C55E" w:rsidR="00BC1539" w:rsidRDefault="00BC1539" w:rsidP="00011592">
      <w:pPr>
        <w:pStyle w:val="Heading3"/>
        <w:rPr>
          <w:rStyle w:val="Strong"/>
        </w:rPr>
      </w:pPr>
      <w:r w:rsidRPr="00C56C9B">
        <w:rPr>
          <w:b/>
          <w:bCs/>
        </w:rPr>
        <w:lastRenderedPageBreak/>
        <w:t>Estimating values for 2024</w:t>
      </w:r>
      <w:r w:rsidR="0090267A" w:rsidRPr="00C56C9B">
        <w:rPr>
          <w:b/>
          <w:bCs/>
        </w:rPr>
        <w:t>–</w:t>
      </w:r>
      <w:r w:rsidRPr="00C56C9B">
        <w:rPr>
          <w:b/>
          <w:bCs/>
        </w:rPr>
        <w:t>25</w:t>
      </w:r>
    </w:p>
    <w:p w14:paraId="0B7302B2" w14:textId="18815DDF" w:rsidR="00BC1539" w:rsidRDefault="00BC1539" w:rsidP="00011592">
      <w:pPr>
        <w:pStyle w:val="BodyText"/>
      </w:pPr>
      <w:r>
        <w:t xml:space="preserve">While injury measures based on business activity statement and </w:t>
      </w:r>
      <w:r w:rsidR="000B3E49">
        <w:t>PAYG</w:t>
      </w:r>
      <w:r>
        <w:t xml:space="preserve"> data were available to 2024</w:t>
      </w:r>
      <w:r w:rsidR="0090267A">
        <w:t>–</w:t>
      </w:r>
      <w:r>
        <w:t>25, BIT data was only available to 2023</w:t>
      </w:r>
      <w:r w:rsidR="0090267A">
        <w:t>–</w:t>
      </w:r>
      <w:r>
        <w:t>24. To estimate 2024</w:t>
      </w:r>
      <w:r w:rsidR="0090267A">
        <w:t>–</w:t>
      </w:r>
      <w:r>
        <w:t>25 data, the average ratio of the trimmed mean of the injury measure to turnover for the first 4 years of the investigation period was applied to the 2024</w:t>
      </w:r>
      <w:r w:rsidR="0090267A">
        <w:t>–</w:t>
      </w:r>
      <w:r>
        <w:t>25 turnover figure. Trimmed means were estimated based on the population of businesses which provided data for turnover and the variable being projected. Estimates for 2024</w:t>
      </w:r>
      <w:r w:rsidR="0090267A">
        <w:t>–</w:t>
      </w:r>
      <w:r>
        <w:t>25 imputed in this manner should be considered as indicative only.</w:t>
      </w:r>
    </w:p>
    <w:p w14:paraId="563B28C0" w14:textId="77777777" w:rsidR="00BC1539" w:rsidRDefault="00BC1539" w:rsidP="00011592">
      <w:pPr>
        <w:pStyle w:val="BodyText"/>
      </w:pPr>
      <w:r>
        <w:t>Approaches to estimate missing data through regression analysis were investigated (for example, lasso fixed effects regressions). However, the limited number of predictive variables and missing data across the sample led these approaches to misspecification issues</w:t>
      </w:r>
      <w:r w:rsidRPr="001C2A01">
        <w:t xml:space="preserve"> </w:t>
      </w:r>
      <w:r>
        <w:t>and poor predictive power.</w:t>
      </w:r>
    </w:p>
    <w:p w14:paraId="3D4700FE" w14:textId="77777777" w:rsidR="00B55AB1" w:rsidRDefault="00B55AB1" w:rsidP="005B5676">
      <w:pPr>
        <w:pStyle w:val="BodyText"/>
        <w:sectPr w:rsidR="00B55AB1" w:rsidSect="006C3934">
          <w:headerReference w:type="even" r:id="rId101"/>
          <w:headerReference w:type="default" r:id="rId102"/>
          <w:footerReference w:type="even" r:id="rId103"/>
          <w:footerReference w:type="default" r:id="rId104"/>
          <w:headerReference w:type="first" r:id="rId105"/>
          <w:type w:val="oddPage"/>
          <w:pgSz w:w="11906" w:h="16838" w:code="9"/>
          <w:pgMar w:top="1134" w:right="1134" w:bottom="1134" w:left="1134" w:header="794" w:footer="510" w:gutter="0"/>
          <w:cols w:space="708"/>
          <w:docGrid w:linePitch="360"/>
        </w:sectPr>
      </w:pPr>
    </w:p>
    <w:p w14:paraId="71D0D7BB" w14:textId="77777777" w:rsidR="00B55AB1" w:rsidRPr="00610627" w:rsidRDefault="00B55AB1" w:rsidP="00011592">
      <w:pPr>
        <w:pStyle w:val="Heading1-nobackground"/>
      </w:pPr>
      <w:bookmarkStart w:id="59" w:name="_Toc78901540"/>
      <w:bookmarkStart w:id="60" w:name="_Toc238643926"/>
      <w:r w:rsidRPr="00C71BE6">
        <w:lastRenderedPageBreak/>
        <w:t>Abbreviations</w:t>
      </w:r>
      <w:bookmarkEnd w:id="59"/>
      <w:bookmarkEnd w:id="60"/>
    </w:p>
    <w:tbl>
      <w:tblPr>
        <w:tblStyle w:val="ProductivityCommissionTable1"/>
        <w:tblW w:w="5000" w:type="pct"/>
        <w:tblBorders>
          <w:top w:val="none" w:sz="0" w:space="0" w:color="auto"/>
          <w:insideH w:val="none" w:sz="0" w:space="0" w:color="auto"/>
        </w:tblBorders>
        <w:shd w:val="clear" w:color="000000" w:fill="auto"/>
        <w:tblLayout w:type="fixed"/>
        <w:tblCellMar>
          <w:top w:w="0" w:type="dxa"/>
          <w:bottom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1700"/>
        <w:gridCol w:w="7938"/>
      </w:tblGrid>
      <w:tr w:rsidR="00B55AB1" w:rsidRPr="0087128E" w14:paraId="223638B3" w14:textId="77777777" w:rsidTr="008712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82" w:type="pct"/>
            <w:tcBorders>
              <w:bottom w:val="single" w:sz="4" w:space="0" w:color="B3B3B3"/>
            </w:tcBorders>
            <w:shd w:val="clear" w:color="000000" w:fill="auto"/>
            <w:vAlign w:val="bottom"/>
          </w:tcPr>
          <w:p w14:paraId="73F127CD" w14:textId="77777777" w:rsidR="00B55AB1" w:rsidRPr="0087128E" w:rsidRDefault="00B55AB1" w:rsidP="006D08F0">
            <w:pPr>
              <w:pStyle w:val="TableBody"/>
              <w:spacing w:before="40" w:after="45"/>
              <w:ind w:right="108"/>
              <w:rPr>
                <w:rFonts w:cs="Open Sans"/>
                <w:bCs/>
                <w:color w:val="1D4374"/>
              </w:rPr>
            </w:pPr>
            <w:r w:rsidRPr="0087128E">
              <w:rPr>
                <w:rFonts w:cs="Open Sans"/>
                <w:bCs/>
                <w:color w:val="1D4374"/>
              </w:rPr>
              <w:t>Abbreviation</w:t>
            </w:r>
          </w:p>
        </w:tc>
        <w:tc>
          <w:tcPr>
            <w:tcW w:w="4118" w:type="pct"/>
            <w:tcBorders>
              <w:bottom w:val="single" w:sz="4" w:space="0" w:color="B3B3B3"/>
            </w:tcBorders>
            <w:shd w:val="clear" w:color="000000" w:fill="auto"/>
            <w:vAlign w:val="bottom"/>
          </w:tcPr>
          <w:p w14:paraId="0590E1E1" w14:textId="77777777" w:rsidR="00B55AB1" w:rsidRPr="0087128E" w:rsidRDefault="00B55AB1" w:rsidP="006D08F0">
            <w:pPr>
              <w:pStyle w:val="TableBody"/>
              <w:spacing w:before="40" w:after="45"/>
              <w:ind w:right="108"/>
              <w:cnfStyle w:val="100000000000" w:firstRow="1" w:lastRow="0" w:firstColumn="0" w:lastColumn="0" w:oddVBand="0" w:evenVBand="0" w:oddHBand="0" w:evenHBand="0" w:firstRowFirstColumn="0" w:firstRowLastColumn="0" w:lastRowFirstColumn="0" w:lastRowLastColumn="0"/>
              <w:rPr>
                <w:rFonts w:cs="Open Sans"/>
                <w:color w:val="1D4374"/>
              </w:rPr>
            </w:pPr>
            <w:r w:rsidRPr="0087128E">
              <w:rPr>
                <w:rFonts w:cs="Open Sans"/>
                <w:color w:val="1D4374"/>
              </w:rPr>
              <w:t>Definition</w:t>
            </w:r>
          </w:p>
        </w:tc>
      </w:tr>
      <w:tr w:rsidR="00B55AB1" w:rsidRPr="0087128E" w14:paraId="0231C79A" w14:textId="77777777" w:rsidTr="00871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 w:type="pct"/>
            <w:tcBorders>
              <w:top w:val="single" w:sz="4" w:space="0" w:color="B3B3B3"/>
              <w:bottom w:val="nil"/>
            </w:tcBorders>
            <w:shd w:val="clear" w:color="000000" w:fill="E6E6E6"/>
          </w:tcPr>
          <w:p w14:paraId="555259C7" w14:textId="77777777" w:rsidR="00B55AB1" w:rsidRPr="0087128E" w:rsidRDefault="00B55AB1" w:rsidP="006D08F0">
            <w:pPr>
              <w:pStyle w:val="TableBody"/>
              <w:spacing w:before="40" w:after="45"/>
              <w:ind w:right="108"/>
              <w:rPr>
                <w:rFonts w:cs="Open Sans"/>
                <w:bCs/>
                <w:color w:val="1D4374"/>
              </w:rPr>
            </w:pPr>
            <w:r w:rsidRPr="0087128E">
              <w:rPr>
                <w:rFonts w:cs="Open Sans"/>
                <w:bCs/>
                <w:color w:val="1D4374"/>
              </w:rPr>
              <w:t>ABN</w:t>
            </w:r>
          </w:p>
        </w:tc>
        <w:tc>
          <w:tcPr>
            <w:tcW w:w="4118" w:type="pct"/>
            <w:tcBorders>
              <w:top w:val="single" w:sz="4" w:space="0" w:color="B3B3B3"/>
              <w:bottom w:val="nil"/>
            </w:tcBorders>
            <w:shd w:val="clear" w:color="000000" w:fill="E6E6E6"/>
          </w:tcPr>
          <w:p w14:paraId="534B1357" w14:textId="77777777" w:rsidR="00B55AB1" w:rsidRPr="0087128E" w:rsidRDefault="00B55AB1" w:rsidP="006D08F0">
            <w:pPr>
              <w:pStyle w:val="TableBody"/>
              <w:spacing w:before="40" w:after="45"/>
              <w:ind w:right="108"/>
              <w:cnfStyle w:val="000000100000" w:firstRow="0" w:lastRow="0" w:firstColumn="0" w:lastColumn="0" w:oddVBand="0" w:evenVBand="0" w:oddHBand="1" w:evenHBand="0" w:firstRowFirstColumn="0" w:firstRowLastColumn="0" w:lastRowFirstColumn="0" w:lastRowLastColumn="0"/>
              <w:rPr>
                <w:rFonts w:cs="Open Sans"/>
                <w:bCs/>
                <w:color w:val="000000"/>
              </w:rPr>
            </w:pPr>
            <w:r w:rsidRPr="0087128E">
              <w:rPr>
                <w:rFonts w:cs="Open Sans"/>
                <w:bCs/>
                <w:color w:val="000000"/>
              </w:rPr>
              <w:t>Australian Business Number</w:t>
            </w:r>
          </w:p>
        </w:tc>
      </w:tr>
      <w:tr w:rsidR="00B55AB1" w:rsidRPr="0087128E" w14:paraId="7DF16F1F" w14:textId="77777777" w:rsidTr="0087128E">
        <w:tc>
          <w:tcPr>
            <w:cnfStyle w:val="001000000000" w:firstRow="0" w:lastRow="0" w:firstColumn="1" w:lastColumn="0" w:oddVBand="0" w:evenVBand="0" w:oddHBand="0" w:evenHBand="0" w:firstRowFirstColumn="0" w:firstRowLastColumn="0" w:lastRowFirstColumn="0" w:lastRowLastColumn="0"/>
            <w:tcW w:w="882" w:type="pct"/>
            <w:tcBorders>
              <w:top w:val="nil"/>
              <w:bottom w:val="nil"/>
            </w:tcBorders>
            <w:shd w:val="clear" w:color="000000" w:fill="auto"/>
          </w:tcPr>
          <w:p w14:paraId="4AC30E00" w14:textId="77777777" w:rsidR="00B55AB1" w:rsidRPr="0087128E" w:rsidRDefault="00B55AB1" w:rsidP="006D08F0">
            <w:pPr>
              <w:pStyle w:val="TableBody"/>
              <w:spacing w:before="40" w:after="45"/>
              <w:ind w:right="108"/>
              <w:rPr>
                <w:rFonts w:cs="Open Sans"/>
                <w:bCs/>
                <w:color w:val="1D4374"/>
              </w:rPr>
            </w:pPr>
            <w:r w:rsidRPr="0087128E">
              <w:rPr>
                <w:rFonts w:cs="Open Sans"/>
                <w:bCs/>
                <w:color w:val="1D4374"/>
              </w:rPr>
              <w:t>ABS</w:t>
            </w:r>
          </w:p>
        </w:tc>
        <w:tc>
          <w:tcPr>
            <w:tcW w:w="4118" w:type="pct"/>
            <w:tcBorders>
              <w:top w:val="nil"/>
              <w:bottom w:val="nil"/>
            </w:tcBorders>
            <w:shd w:val="clear" w:color="000000" w:fill="auto"/>
          </w:tcPr>
          <w:p w14:paraId="37FCF28A" w14:textId="77777777" w:rsidR="00B55AB1" w:rsidRPr="0087128E" w:rsidRDefault="00B55AB1" w:rsidP="006D08F0">
            <w:pPr>
              <w:pStyle w:val="TableBody"/>
              <w:spacing w:before="40" w:after="45"/>
              <w:ind w:right="108"/>
              <w:cnfStyle w:val="000000000000" w:firstRow="0" w:lastRow="0" w:firstColumn="0" w:lastColumn="0" w:oddVBand="0" w:evenVBand="0" w:oddHBand="0" w:evenHBand="0" w:firstRowFirstColumn="0" w:firstRowLastColumn="0" w:lastRowFirstColumn="0" w:lastRowLastColumn="0"/>
              <w:rPr>
                <w:rFonts w:cs="Open Sans"/>
                <w:bCs/>
                <w:color w:val="000000"/>
              </w:rPr>
            </w:pPr>
            <w:r w:rsidRPr="0087128E">
              <w:rPr>
                <w:rFonts w:cs="Open Sans"/>
                <w:bCs/>
                <w:color w:val="000000"/>
              </w:rPr>
              <w:t xml:space="preserve">Australian Bureau of Statistics </w:t>
            </w:r>
          </w:p>
        </w:tc>
      </w:tr>
      <w:tr w:rsidR="00B55AB1" w:rsidRPr="0087128E" w14:paraId="0BD615C3" w14:textId="77777777" w:rsidTr="00871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 w:type="pct"/>
            <w:tcBorders>
              <w:bottom w:val="nil"/>
            </w:tcBorders>
            <w:shd w:val="clear" w:color="000000" w:fill="E6E6E6"/>
          </w:tcPr>
          <w:p w14:paraId="3240F40B" w14:textId="77777777" w:rsidR="00B55AB1" w:rsidRPr="0087128E" w:rsidRDefault="00B55AB1" w:rsidP="006D08F0">
            <w:pPr>
              <w:pStyle w:val="TableBody"/>
              <w:spacing w:before="40" w:after="45"/>
              <w:ind w:right="108"/>
              <w:rPr>
                <w:rFonts w:cs="Open Sans"/>
                <w:bCs/>
                <w:color w:val="1D4374"/>
              </w:rPr>
            </w:pPr>
            <w:r w:rsidRPr="0087128E">
              <w:rPr>
                <w:rFonts w:cs="Open Sans"/>
                <w:bCs/>
                <w:color w:val="1D4374"/>
              </w:rPr>
              <w:t>ADC</w:t>
            </w:r>
          </w:p>
        </w:tc>
        <w:tc>
          <w:tcPr>
            <w:tcW w:w="4118" w:type="pct"/>
            <w:tcBorders>
              <w:bottom w:val="nil"/>
            </w:tcBorders>
            <w:shd w:val="clear" w:color="000000" w:fill="E6E6E6"/>
          </w:tcPr>
          <w:p w14:paraId="00DF2689" w14:textId="12F5CB5E" w:rsidR="00B55AB1" w:rsidRPr="0087128E" w:rsidRDefault="00B55AB1" w:rsidP="006D08F0">
            <w:pPr>
              <w:pStyle w:val="TableBody"/>
              <w:spacing w:before="40" w:after="45"/>
              <w:ind w:right="108"/>
              <w:cnfStyle w:val="000000100000" w:firstRow="0" w:lastRow="0" w:firstColumn="0" w:lastColumn="0" w:oddVBand="0" w:evenVBand="0" w:oddHBand="1" w:evenHBand="0" w:firstRowFirstColumn="0" w:firstRowLastColumn="0" w:lastRowFirstColumn="0" w:lastRowLastColumn="0"/>
              <w:rPr>
                <w:rFonts w:cs="Open Sans"/>
                <w:bCs/>
                <w:color w:val="000000"/>
              </w:rPr>
            </w:pPr>
            <w:r w:rsidRPr="0087128E">
              <w:rPr>
                <w:rFonts w:cs="Open Sans"/>
                <w:bCs/>
                <w:color w:val="000000"/>
              </w:rPr>
              <w:t>Anti</w:t>
            </w:r>
            <w:r w:rsidR="00541146" w:rsidRPr="0087128E">
              <w:rPr>
                <w:rFonts w:cs="Open Sans"/>
                <w:bCs/>
                <w:color w:val="000000"/>
              </w:rPr>
              <w:noBreakHyphen/>
            </w:r>
            <w:r w:rsidRPr="0087128E">
              <w:rPr>
                <w:rFonts w:cs="Open Sans"/>
                <w:bCs/>
                <w:color w:val="000000"/>
              </w:rPr>
              <w:t>Dumping Commission</w:t>
            </w:r>
          </w:p>
        </w:tc>
      </w:tr>
      <w:tr w:rsidR="00B55AB1" w:rsidRPr="0087128E" w14:paraId="3815D147" w14:textId="77777777" w:rsidTr="0087128E">
        <w:tc>
          <w:tcPr>
            <w:cnfStyle w:val="001000000000" w:firstRow="0" w:lastRow="0" w:firstColumn="1" w:lastColumn="0" w:oddVBand="0" w:evenVBand="0" w:oddHBand="0" w:evenHBand="0" w:firstRowFirstColumn="0" w:firstRowLastColumn="0" w:lastRowFirstColumn="0" w:lastRowLastColumn="0"/>
            <w:tcW w:w="882" w:type="pct"/>
            <w:tcBorders>
              <w:top w:val="nil"/>
              <w:bottom w:val="nil"/>
            </w:tcBorders>
            <w:shd w:val="clear" w:color="000000" w:fill="auto"/>
          </w:tcPr>
          <w:p w14:paraId="094F3103" w14:textId="77777777" w:rsidR="00B55AB1" w:rsidRPr="0087128E" w:rsidRDefault="00B55AB1" w:rsidP="006D08F0">
            <w:pPr>
              <w:pStyle w:val="TableBody"/>
              <w:spacing w:before="40" w:after="45"/>
              <w:ind w:right="108"/>
              <w:rPr>
                <w:rFonts w:cs="Open Sans"/>
                <w:bCs/>
                <w:color w:val="1D4374"/>
              </w:rPr>
            </w:pPr>
            <w:r w:rsidRPr="0087128E">
              <w:rPr>
                <w:rFonts w:cs="Open Sans"/>
                <w:bCs/>
                <w:color w:val="1D4374"/>
              </w:rPr>
              <w:t>ASI</w:t>
            </w:r>
          </w:p>
        </w:tc>
        <w:tc>
          <w:tcPr>
            <w:tcW w:w="4118" w:type="pct"/>
            <w:tcBorders>
              <w:top w:val="nil"/>
              <w:bottom w:val="nil"/>
            </w:tcBorders>
            <w:shd w:val="clear" w:color="000000" w:fill="auto"/>
          </w:tcPr>
          <w:p w14:paraId="3E17F4C4" w14:textId="77777777" w:rsidR="00B55AB1" w:rsidRPr="0087128E" w:rsidRDefault="00B55AB1" w:rsidP="006D08F0">
            <w:pPr>
              <w:pStyle w:val="TableBody"/>
              <w:spacing w:before="40" w:after="45"/>
              <w:ind w:right="108"/>
              <w:cnfStyle w:val="000000000000" w:firstRow="0" w:lastRow="0" w:firstColumn="0" w:lastColumn="0" w:oddVBand="0" w:evenVBand="0" w:oddHBand="0" w:evenHBand="0" w:firstRowFirstColumn="0" w:firstRowLastColumn="0" w:lastRowFirstColumn="0" w:lastRowLastColumn="0"/>
              <w:rPr>
                <w:rFonts w:cs="Open Sans"/>
                <w:bCs/>
                <w:color w:val="000000"/>
              </w:rPr>
            </w:pPr>
            <w:r w:rsidRPr="0087128E">
              <w:rPr>
                <w:rFonts w:cs="Open Sans"/>
                <w:bCs/>
                <w:color w:val="000000"/>
              </w:rPr>
              <w:t xml:space="preserve">Australian Steel Institute </w:t>
            </w:r>
          </w:p>
        </w:tc>
      </w:tr>
      <w:tr w:rsidR="00B55AB1" w:rsidRPr="0087128E" w14:paraId="318EF4FB" w14:textId="77777777" w:rsidTr="00871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 w:type="pct"/>
            <w:tcBorders>
              <w:bottom w:val="nil"/>
            </w:tcBorders>
            <w:shd w:val="clear" w:color="000000" w:fill="E6E6E6"/>
          </w:tcPr>
          <w:p w14:paraId="380A74F9" w14:textId="77777777" w:rsidR="00B55AB1" w:rsidRPr="0087128E" w:rsidRDefault="00B55AB1" w:rsidP="006D08F0">
            <w:pPr>
              <w:pStyle w:val="TableBody"/>
              <w:spacing w:before="40" w:after="45"/>
              <w:ind w:right="108"/>
              <w:rPr>
                <w:rFonts w:cs="Open Sans"/>
                <w:bCs/>
                <w:color w:val="1D4374"/>
              </w:rPr>
            </w:pPr>
            <w:r w:rsidRPr="0087128E">
              <w:rPr>
                <w:rFonts w:cs="Open Sans"/>
                <w:bCs/>
                <w:color w:val="1D4374"/>
              </w:rPr>
              <w:t>ASIC</w:t>
            </w:r>
          </w:p>
        </w:tc>
        <w:tc>
          <w:tcPr>
            <w:tcW w:w="4118" w:type="pct"/>
            <w:tcBorders>
              <w:bottom w:val="nil"/>
            </w:tcBorders>
            <w:shd w:val="clear" w:color="000000" w:fill="E6E6E6"/>
          </w:tcPr>
          <w:p w14:paraId="043648AE" w14:textId="77777777" w:rsidR="00B55AB1" w:rsidRPr="0087128E" w:rsidRDefault="00B55AB1" w:rsidP="006D08F0">
            <w:pPr>
              <w:pStyle w:val="TableBody"/>
              <w:spacing w:before="40" w:after="45"/>
              <w:ind w:right="108"/>
              <w:cnfStyle w:val="000000100000" w:firstRow="0" w:lastRow="0" w:firstColumn="0" w:lastColumn="0" w:oddVBand="0" w:evenVBand="0" w:oddHBand="1" w:evenHBand="0" w:firstRowFirstColumn="0" w:firstRowLastColumn="0" w:lastRowFirstColumn="0" w:lastRowLastColumn="0"/>
              <w:rPr>
                <w:rFonts w:cs="Open Sans"/>
                <w:bCs/>
                <w:color w:val="000000"/>
              </w:rPr>
            </w:pPr>
            <w:r w:rsidRPr="0087128E">
              <w:rPr>
                <w:rFonts w:cs="Open Sans"/>
                <w:bCs/>
                <w:color w:val="000000"/>
              </w:rPr>
              <w:t>Australian Securities and Investments Commission</w:t>
            </w:r>
          </w:p>
        </w:tc>
      </w:tr>
      <w:tr w:rsidR="00B55AB1" w:rsidRPr="0087128E" w14:paraId="088BB613" w14:textId="77777777" w:rsidTr="0087128E">
        <w:tc>
          <w:tcPr>
            <w:cnfStyle w:val="001000000000" w:firstRow="0" w:lastRow="0" w:firstColumn="1" w:lastColumn="0" w:oddVBand="0" w:evenVBand="0" w:oddHBand="0" w:evenHBand="0" w:firstRowFirstColumn="0" w:firstRowLastColumn="0" w:lastRowFirstColumn="0" w:lastRowLastColumn="0"/>
            <w:tcW w:w="882" w:type="pct"/>
            <w:tcBorders>
              <w:top w:val="nil"/>
              <w:bottom w:val="nil"/>
            </w:tcBorders>
            <w:shd w:val="clear" w:color="000000" w:fill="auto"/>
          </w:tcPr>
          <w:p w14:paraId="54591CBF" w14:textId="77777777" w:rsidR="00B55AB1" w:rsidRPr="0087128E" w:rsidRDefault="00B55AB1" w:rsidP="006D08F0">
            <w:pPr>
              <w:pStyle w:val="TableBody"/>
              <w:spacing w:before="40" w:after="45"/>
              <w:ind w:right="108"/>
              <w:rPr>
                <w:rFonts w:cs="Open Sans"/>
                <w:bCs/>
                <w:color w:val="1D4374"/>
              </w:rPr>
            </w:pPr>
            <w:r w:rsidRPr="0087128E">
              <w:rPr>
                <w:rFonts w:cs="Open Sans"/>
                <w:bCs/>
                <w:color w:val="1D4374"/>
              </w:rPr>
              <w:t>ATO</w:t>
            </w:r>
          </w:p>
        </w:tc>
        <w:tc>
          <w:tcPr>
            <w:tcW w:w="4118" w:type="pct"/>
            <w:tcBorders>
              <w:top w:val="nil"/>
              <w:bottom w:val="nil"/>
            </w:tcBorders>
            <w:shd w:val="clear" w:color="000000" w:fill="auto"/>
          </w:tcPr>
          <w:p w14:paraId="79B0A3E0" w14:textId="77777777" w:rsidR="00B55AB1" w:rsidRPr="0087128E" w:rsidRDefault="00B55AB1" w:rsidP="006D08F0">
            <w:pPr>
              <w:pStyle w:val="TableBody"/>
              <w:spacing w:before="40" w:after="45"/>
              <w:ind w:right="108"/>
              <w:cnfStyle w:val="000000000000" w:firstRow="0" w:lastRow="0" w:firstColumn="0" w:lastColumn="0" w:oddVBand="0" w:evenVBand="0" w:oddHBand="0" w:evenHBand="0" w:firstRowFirstColumn="0" w:firstRowLastColumn="0" w:lastRowFirstColumn="0" w:lastRowLastColumn="0"/>
              <w:rPr>
                <w:rFonts w:cs="Open Sans"/>
                <w:bCs/>
                <w:color w:val="000000"/>
              </w:rPr>
            </w:pPr>
            <w:r w:rsidRPr="0087128E">
              <w:rPr>
                <w:rFonts w:cs="Open Sans"/>
                <w:bCs/>
                <w:color w:val="000000"/>
              </w:rPr>
              <w:t xml:space="preserve">Australian Taxation Office </w:t>
            </w:r>
          </w:p>
        </w:tc>
      </w:tr>
      <w:tr w:rsidR="00B55AB1" w:rsidRPr="0087128E" w14:paraId="7EE918F3" w14:textId="77777777" w:rsidTr="00871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 w:type="pct"/>
            <w:tcBorders>
              <w:bottom w:val="nil"/>
            </w:tcBorders>
            <w:shd w:val="clear" w:color="000000" w:fill="E6E6E6"/>
          </w:tcPr>
          <w:p w14:paraId="2F7C8F20" w14:textId="77777777" w:rsidR="00B55AB1" w:rsidRPr="0087128E" w:rsidRDefault="00B55AB1" w:rsidP="006D08F0">
            <w:pPr>
              <w:pStyle w:val="TableBody"/>
              <w:spacing w:before="40" w:after="45"/>
              <w:ind w:right="108"/>
              <w:rPr>
                <w:rFonts w:cs="Open Sans"/>
                <w:bCs/>
                <w:color w:val="1D4374"/>
              </w:rPr>
            </w:pPr>
            <w:r w:rsidRPr="0087128E">
              <w:rPr>
                <w:rFonts w:cs="Open Sans"/>
                <w:bCs/>
                <w:color w:val="1D4374"/>
              </w:rPr>
              <w:t>BAS</w:t>
            </w:r>
          </w:p>
        </w:tc>
        <w:tc>
          <w:tcPr>
            <w:tcW w:w="4118" w:type="pct"/>
            <w:tcBorders>
              <w:bottom w:val="nil"/>
            </w:tcBorders>
            <w:shd w:val="clear" w:color="000000" w:fill="E6E6E6"/>
          </w:tcPr>
          <w:p w14:paraId="588B9BE9" w14:textId="77777777" w:rsidR="00B55AB1" w:rsidRPr="0087128E" w:rsidRDefault="00B55AB1" w:rsidP="006D08F0">
            <w:pPr>
              <w:pStyle w:val="TableBody"/>
              <w:spacing w:before="40" w:after="45"/>
              <w:ind w:right="108"/>
              <w:cnfStyle w:val="000000100000" w:firstRow="0" w:lastRow="0" w:firstColumn="0" w:lastColumn="0" w:oddVBand="0" w:evenVBand="0" w:oddHBand="1" w:evenHBand="0" w:firstRowFirstColumn="0" w:firstRowLastColumn="0" w:lastRowFirstColumn="0" w:lastRowLastColumn="0"/>
              <w:rPr>
                <w:rFonts w:cs="Open Sans"/>
                <w:bCs/>
                <w:color w:val="000000"/>
              </w:rPr>
            </w:pPr>
            <w:r w:rsidRPr="0087128E">
              <w:rPr>
                <w:rFonts w:cs="Open Sans"/>
                <w:bCs/>
                <w:color w:val="000000"/>
              </w:rPr>
              <w:t xml:space="preserve">Business Activity Statement </w:t>
            </w:r>
          </w:p>
        </w:tc>
      </w:tr>
      <w:tr w:rsidR="00B55AB1" w:rsidRPr="0087128E" w14:paraId="37ED3BB2" w14:textId="77777777" w:rsidTr="0087128E">
        <w:tc>
          <w:tcPr>
            <w:cnfStyle w:val="001000000000" w:firstRow="0" w:lastRow="0" w:firstColumn="1" w:lastColumn="0" w:oddVBand="0" w:evenVBand="0" w:oddHBand="0" w:evenHBand="0" w:firstRowFirstColumn="0" w:firstRowLastColumn="0" w:lastRowFirstColumn="0" w:lastRowLastColumn="0"/>
            <w:tcW w:w="882" w:type="pct"/>
            <w:tcBorders>
              <w:top w:val="nil"/>
              <w:bottom w:val="nil"/>
            </w:tcBorders>
            <w:shd w:val="clear" w:color="000000" w:fill="auto"/>
          </w:tcPr>
          <w:p w14:paraId="4F6F2447" w14:textId="77777777" w:rsidR="00B55AB1" w:rsidRPr="0087128E" w:rsidRDefault="00B55AB1" w:rsidP="006D08F0">
            <w:pPr>
              <w:pStyle w:val="TableBody"/>
              <w:spacing w:before="40" w:after="45"/>
              <w:ind w:right="108"/>
              <w:rPr>
                <w:rFonts w:cs="Open Sans"/>
                <w:bCs/>
                <w:color w:val="1D4374"/>
              </w:rPr>
            </w:pPr>
            <w:r w:rsidRPr="0087128E">
              <w:rPr>
                <w:rFonts w:cs="Open Sans"/>
                <w:bCs/>
                <w:color w:val="1D4374"/>
              </w:rPr>
              <w:t>BIT</w:t>
            </w:r>
          </w:p>
        </w:tc>
        <w:tc>
          <w:tcPr>
            <w:tcW w:w="4118" w:type="pct"/>
            <w:tcBorders>
              <w:top w:val="nil"/>
              <w:bottom w:val="nil"/>
            </w:tcBorders>
            <w:shd w:val="clear" w:color="000000" w:fill="auto"/>
          </w:tcPr>
          <w:p w14:paraId="75CF9753" w14:textId="77777777" w:rsidR="00B55AB1" w:rsidRPr="0087128E" w:rsidRDefault="00B55AB1" w:rsidP="006D08F0">
            <w:pPr>
              <w:pStyle w:val="TableBody"/>
              <w:spacing w:before="40" w:after="45"/>
              <w:ind w:right="108"/>
              <w:cnfStyle w:val="000000000000" w:firstRow="0" w:lastRow="0" w:firstColumn="0" w:lastColumn="0" w:oddVBand="0" w:evenVBand="0" w:oddHBand="0" w:evenHBand="0" w:firstRowFirstColumn="0" w:firstRowLastColumn="0" w:lastRowFirstColumn="0" w:lastRowLastColumn="0"/>
              <w:rPr>
                <w:rFonts w:cs="Open Sans"/>
                <w:bCs/>
                <w:color w:val="000000"/>
              </w:rPr>
            </w:pPr>
            <w:r w:rsidRPr="0087128E">
              <w:rPr>
                <w:rFonts w:cs="Open Sans"/>
                <w:bCs/>
                <w:color w:val="000000"/>
              </w:rPr>
              <w:t>Business Income Tax</w:t>
            </w:r>
          </w:p>
        </w:tc>
      </w:tr>
      <w:tr w:rsidR="00B55AB1" w:rsidRPr="0087128E" w14:paraId="5BEF25C7" w14:textId="77777777" w:rsidTr="00871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 w:type="pct"/>
            <w:tcBorders>
              <w:bottom w:val="nil"/>
            </w:tcBorders>
            <w:shd w:val="clear" w:color="000000" w:fill="E6E6E6"/>
          </w:tcPr>
          <w:p w14:paraId="2317EEE9" w14:textId="77777777" w:rsidR="00B55AB1" w:rsidRPr="0087128E" w:rsidRDefault="00B55AB1" w:rsidP="006D08F0">
            <w:pPr>
              <w:pStyle w:val="TableBody"/>
              <w:spacing w:before="40" w:after="45"/>
              <w:ind w:right="108"/>
              <w:rPr>
                <w:rFonts w:cs="Open Sans"/>
                <w:bCs/>
                <w:color w:val="1D4374"/>
              </w:rPr>
            </w:pPr>
            <w:r w:rsidRPr="0087128E">
              <w:rPr>
                <w:rFonts w:cs="Open Sans"/>
                <w:bCs/>
                <w:color w:val="1D4374"/>
              </w:rPr>
              <w:t>BLADE</w:t>
            </w:r>
          </w:p>
        </w:tc>
        <w:tc>
          <w:tcPr>
            <w:tcW w:w="4118" w:type="pct"/>
            <w:tcBorders>
              <w:bottom w:val="nil"/>
            </w:tcBorders>
            <w:shd w:val="clear" w:color="000000" w:fill="E6E6E6"/>
          </w:tcPr>
          <w:p w14:paraId="683532EA" w14:textId="77777777" w:rsidR="00B55AB1" w:rsidRPr="0087128E" w:rsidRDefault="00B55AB1" w:rsidP="006D08F0">
            <w:pPr>
              <w:pStyle w:val="TableBody"/>
              <w:spacing w:before="40" w:after="45"/>
              <w:ind w:right="108"/>
              <w:cnfStyle w:val="000000100000" w:firstRow="0" w:lastRow="0" w:firstColumn="0" w:lastColumn="0" w:oddVBand="0" w:evenVBand="0" w:oddHBand="1" w:evenHBand="0" w:firstRowFirstColumn="0" w:firstRowLastColumn="0" w:lastRowFirstColumn="0" w:lastRowLastColumn="0"/>
              <w:rPr>
                <w:rFonts w:cs="Open Sans"/>
                <w:bCs/>
                <w:color w:val="000000"/>
              </w:rPr>
            </w:pPr>
            <w:r w:rsidRPr="0087128E">
              <w:rPr>
                <w:rFonts w:cs="Open Sans"/>
                <w:bCs/>
                <w:color w:val="000000"/>
              </w:rPr>
              <w:t>Business Longitudinal Analysis Data Environment</w:t>
            </w:r>
          </w:p>
        </w:tc>
      </w:tr>
      <w:tr w:rsidR="00B55AB1" w:rsidRPr="0087128E" w14:paraId="2E5BF9AB" w14:textId="77777777" w:rsidTr="0087128E">
        <w:tc>
          <w:tcPr>
            <w:cnfStyle w:val="001000000000" w:firstRow="0" w:lastRow="0" w:firstColumn="1" w:lastColumn="0" w:oddVBand="0" w:evenVBand="0" w:oddHBand="0" w:evenHBand="0" w:firstRowFirstColumn="0" w:firstRowLastColumn="0" w:lastRowFirstColumn="0" w:lastRowLastColumn="0"/>
            <w:tcW w:w="882" w:type="pct"/>
            <w:tcBorders>
              <w:top w:val="nil"/>
              <w:bottom w:val="nil"/>
            </w:tcBorders>
            <w:shd w:val="clear" w:color="000000" w:fill="auto"/>
          </w:tcPr>
          <w:p w14:paraId="00893D48" w14:textId="77777777" w:rsidR="00B55AB1" w:rsidRPr="0087128E" w:rsidRDefault="00B55AB1" w:rsidP="006D08F0">
            <w:pPr>
              <w:pStyle w:val="TableBody"/>
              <w:spacing w:before="40" w:after="45"/>
              <w:ind w:right="108"/>
              <w:rPr>
                <w:rFonts w:cs="Open Sans"/>
                <w:bCs/>
                <w:color w:val="1D4374"/>
              </w:rPr>
            </w:pPr>
            <w:r w:rsidRPr="0087128E">
              <w:rPr>
                <w:rFonts w:cs="Open Sans"/>
                <w:bCs/>
                <w:color w:val="1D4374"/>
              </w:rPr>
              <w:t>CPI</w:t>
            </w:r>
          </w:p>
        </w:tc>
        <w:tc>
          <w:tcPr>
            <w:tcW w:w="4118" w:type="pct"/>
            <w:tcBorders>
              <w:top w:val="nil"/>
              <w:bottom w:val="nil"/>
            </w:tcBorders>
            <w:shd w:val="clear" w:color="000000" w:fill="auto"/>
          </w:tcPr>
          <w:p w14:paraId="2C009B8B" w14:textId="77777777" w:rsidR="00B55AB1" w:rsidRPr="0087128E" w:rsidRDefault="00B55AB1" w:rsidP="006D08F0">
            <w:pPr>
              <w:pStyle w:val="TableBody"/>
              <w:spacing w:before="40" w:after="45"/>
              <w:ind w:right="108"/>
              <w:cnfStyle w:val="000000000000" w:firstRow="0" w:lastRow="0" w:firstColumn="0" w:lastColumn="0" w:oddVBand="0" w:evenVBand="0" w:oddHBand="0" w:evenHBand="0" w:firstRowFirstColumn="0" w:firstRowLastColumn="0" w:lastRowFirstColumn="0" w:lastRowLastColumn="0"/>
              <w:rPr>
                <w:rFonts w:cs="Open Sans"/>
                <w:bCs/>
                <w:color w:val="000000"/>
              </w:rPr>
            </w:pPr>
            <w:r w:rsidRPr="0087128E">
              <w:rPr>
                <w:rFonts w:cs="Open Sans"/>
                <w:bCs/>
                <w:color w:val="000000"/>
              </w:rPr>
              <w:t>Consumer Price Index</w:t>
            </w:r>
          </w:p>
        </w:tc>
      </w:tr>
      <w:tr w:rsidR="00B55AB1" w:rsidRPr="0087128E" w14:paraId="6F63828F" w14:textId="77777777" w:rsidTr="00871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 w:type="pct"/>
            <w:tcBorders>
              <w:bottom w:val="nil"/>
            </w:tcBorders>
            <w:shd w:val="clear" w:color="000000" w:fill="E6E6E6"/>
          </w:tcPr>
          <w:p w14:paraId="1985CFC1" w14:textId="77777777" w:rsidR="00B55AB1" w:rsidRPr="0087128E" w:rsidRDefault="00B55AB1" w:rsidP="006D08F0">
            <w:pPr>
              <w:pStyle w:val="TableBody"/>
              <w:spacing w:before="40" w:after="45"/>
              <w:ind w:right="108"/>
              <w:rPr>
                <w:rFonts w:cs="Open Sans"/>
                <w:bCs/>
                <w:color w:val="1D4374"/>
              </w:rPr>
            </w:pPr>
            <w:r w:rsidRPr="0087128E">
              <w:rPr>
                <w:rFonts w:cs="Open Sans"/>
                <w:bCs/>
                <w:color w:val="1D4374"/>
              </w:rPr>
              <w:t>CCCMC</w:t>
            </w:r>
          </w:p>
        </w:tc>
        <w:tc>
          <w:tcPr>
            <w:tcW w:w="4118" w:type="pct"/>
            <w:tcBorders>
              <w:bottom w:val="nil"/>
            </w:tcBorders>
            <w:shd w:val="clear" w:color="000000" w:fill="E6E6E6"/>
          </w:tcPr>
          <w:p w14:paraId="3D7FEAE7" w14:textId="77777777" w:rsidR="00B55AB1" w:rsidRPr="0087128E" w:rsidRDefault="00B55AB1" w:rsidP="006D08F0">
            <w:pPr>
              <w:pStyle w:val="TableBody"/>
              <w:spacing w:before="40" w:after="45"/>
              <w:ind w:right="108"/>
              <w:cnfStyle w:val="000000100000" w:firstRow="0" w:lastRow="0" w:firstColumn="0" w:lastColumn="0" w:oddVBand="0" w:evenVBand="0" w:oddHBand="1" w:evenHBand="0" w:firstRowFirstColumn="0" w:firstRowLastColumn="0" w:lastRowFirstColumn="0" w:lastRowLastColumn="0"/>
              <w:rPr>
                <w:rFonts w:cs="Open Sans"/>
                <w:bCs/>
                <w:color w:val="000000"/>
              </w:rPr>
            </w:pPr>
            <w:r w:rsidRPr="0087128E">
              <w:rPr>
                <w:rFonts w:cs="Open Sans"/>
                <w:bCs/>
                <w:color w:val="000000"/>
              </w:rPr>
              <w:t>China Chamber of Commerce of Metals, Minerals and Chemicals Importers and Exporters</w:t>
            </w:r>
          </w:p>
        </w:tc>
      </w:tr>
      <w:tr w:rsidR="00B55AB1" w:rsidRPr="0087128E" w14:paraId="27D3F0E7" w14:textId="77777777" w:rsidTr="0087128E">
        <w:tc>
          <w:tcPr>
            <w:cnfStyle w:val="001000000000" w:firstRow="0" w:lastRow="0" w:firstColumn="1" w:lastColumn="0" w:oddVBand="0" w:evenVBand="0" w:oddHBand="0" w:evenHBand="0" w:firstRowFirstColumn="0" w:firstRowLastColumn="0" w:lastRowFirstColumn="0" w:lastRowLastColumn="0"/>
            <w:tcW w:w="882" w:type="pct"/>
            <w:tcBorders>
              <w:top w:val="nil"/>
              <w:bottom w:val="nil"/>
            </w:tcBorders>
            <w:shd w:val="clear" w:color="000000" w:fill="auto"/>
          </w:tcPr>
          <w:p w14:paraId="579499FD" w14:textId="77777777" w:rsidR="00B55AB1" w:rsidRPr="0087128E" w:rsidRDefault="00B55AB1" w:rsidP="006D08F0">
            <w:pPr>
              <w:pStyle w:val="TableBody"/>
              <w:spacing w:before="40" w:after="45"/>
              <w:ind w:right="108"/>
              <w:rPr>
                <w:rFonts w:cs="Open Sans"/>
                <w:bCs/>
                <w:color w:val="1D4374"/>
              </w:rPr>
            </w:pPr>
            <w:r w:rsidRPr="0087128E">
              <w:rPr>
                <w:rFonts w:cs="Open Sans"/>
                <w:bCs/>
                <w:color w:val="1D4374"/>
              </w:rPr>
              <w:t>DFAT</w:t>
            </w:r>
          </w:p>
        </w:tc>
        <w:tc>
          <w:tcPr>
            <w:tcW w:w="4118" w:type="pct"/>
            <w:tcBorders>
              <w:top w:val="nil"/>
              <w:bottom w:val="nil"/>
            </w:tcBorders>
            <w:shd w:val="clear" w:color="000000" w:fill="auto"/>
          </w:tcPr>
          <w:p w14:paraId="7AE46A6E" w14:textId="77777777" w:rsidR="00B55AB1" w:rsidRPr="0087128E" w:rsidRDefault="00B55AB1" w:rsidP="006D08F0">
            <w:pPr>
              <w:pStyle w:val="TableBody"/>
              <w:spacing w:before="40" w:after="45"/>
              <w:ind w:right="108"/>
              <w:cnfStyle w:val="000000000000" w:firstRow="0" w:lastRow="0" w:firstColumn="0" w:lastColumn="0" w:oddVBand="0" w:evenVBand="0" w:oddHBand="0" w:evenHBand="0" w:firstRowFirstColumn="0" w:firstRowLastColumn="0" w:lastRowFirstColumn="0" w:lastRowLastColumn="0"/>
              <w:rPr>
                <w:rFonts w:cs="Open Sans"/>
                <w:bCs/>
                <w:color w:val="000000"/>
              </w:rPr>
            </w:pPr>
            <w:r w:rsidRPr="0087128E">
              <w:rPr>
                <w:rFonts w:cs="Open Sans"/>
                <w:bCs/>
                <w:color w:val="000000"/>
              </w:rPr>
              <w:t xml:space="preserve">Department of Foreign Affairs and Trade </w:t>
            </w:r>
          </w:p>
        </w:tc>
      </w:tr>
      <w:tr w:rsidR="00B55AB1" w:rsidRPr="0087128E" w14:paraId="45496250" w14:textId="77777777" w:rsidTr="00871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 w:type="pct"/>
            <w:tcBorders>
              <w:bottom w:val="nil"/>
            </w:tcBorders>
            <w:shd w:val="clear" w:color="000000" w:fill="E6E6E6"/>
          </w:tcPr>
          <w:p w14:paraId="08CD99F9" w14:textId="77777777" w:rsidR="00B55AB1" w:rsidRPr="0087128E" w:rsidRDefault="00B55AB1" w:rsidP="006D08F0">
            <w:pPr>
              <w:pStyle w:val="TableBody"/>
              <w:spacing w:before="40" w:after="45"/>
              <w:ind w:right="108"/>
              <w:rPr>
                <w:rFonts w:cs="Open Sans"/>
                <w:bCs/>
                <w:color w:val="1D4374"/>
              </w:rPr>
            </w:pPr>
            <w:r w:rsidRPr="0087128E">
              <w:rPr>
                <w:rFonts w:cs="Open Sans"/>
                <w:bCs/>
                <w:color w:val="1D4374"/>
              </w:rPr>
              <w:t>DPMC</w:t>
            </w:r>
          </w:p>
        </w:tc>
        <w:tc>
          <w:tcPr>
            <w:tcW w:w="4118" w:type="pct"/>
            <w:tcBorders>
              <w:bottom w:val="nil"/>
            </w:tcBorders>
            <w:shd w:val="clear" w:color="000000" w:fill="E6E6E6"/>
          </w:tcPr>
          <w:p w14:paraId="5298A6F2" w14:textId="77777777" w:rsidR="00B55AB1" w:rsidRPr="0087128E" w:rsidRDefault="00B55AB1" w:rsidP="006D08F0">
            <w:pPr>
              <w:pStyle w:val="TableBody"/>
              <w:spacing w:before="40" w:after="45"/>
              <w:ind w:right="108"/>
              <w:cnfStyle w:val="000000100000" w:firstRow="0" w:lastRow="0" w:firstColumn="0" w:lastColumn="0" w:oddVBand="0" w:evenVBand="0" w:oddHBand="1" w:evenHBand="0" w:firstRowFirstColumn="0" w:firstRowLastColumn="0" w:lastRowFirstColumn="0" w:lastRowLastColumn="0"/>
              <w:rPr>
                <w:rFonts w:cs="Open Sans"/>
                <w:bCs/>
                <w:color w:val="000000"/>
              </w:rPr>
            </w:pPr>
            <w:r w:rsidRPr="0087128E">
              <w:rPr>
                <w:rFonts w:cs="Open Sans"/>
                <w:bCs/>
                <w:color w:val="000000"/>
              </w:rPr>
              <w:t>Department of the Prime Minister and Cabinet</w:t>
            </w:r>
          </w:p>
        </w:tc>
      </w:tr>
      <w:tr w:rsidR="00B55AB1" w:rsidRPr="0087128E" w14:paraId="4A99CAA2" w14:textId="77777777" w:rsidTr="0087128E">
        <w:tc>
          <w:tcPr>
            <w:cnfStyle w:val="001000000000" w:firstRow="0" w:lastRow="0" w:firstColumn="1" w:lastColumn="0" w:oddVBand="0" w:evenVBand="0" w:oddHBand="0" w:evenHBand="0" w:firstRowFirstColumn="0" w:firstRowLastColumn="0" w:lastRowFirstColumn="0" w:lastRowLastColumn="0"/>
            <w:tcW w:w="882" w:type="pct"/>
            <w:tcBorders>
              <w:top w:val="nil"/>
              <w:bottom w:val="nil"/>
            </w:tcBorders>
            <w:shd w:val="clear" w:color="000000" w:fill="auto"/>
          </w:tcPr>
          <w:p w14:paraId="6915EDC5" w14:textId="77777777" w:rsidR="00B55AB1" w:rsidRPr="0087128E" w:rsidRDefault="00B55AB1" w:rsidP="006D08F0">
            <w:pPr>
              <w:pStyle w:val="TableBody"/>
              <w:spacing w:before="40" w:after="45"/>
              <w:ind w:right="108"/>
              <w:rPr>
                <w:rFonts w:cs="Open Sans"/>
                <w:bCs/>
                <w:color w:val="1D4374"/>
              </w:rPr>
            </w:pPr>
            <w:r w:rsidRPr="0087128E">
              <w:rPr>
                <w:rFonts w:cs="Open Sans"/>
                <w:bCs/>
                <w:color w:val="1D4374"/>
              </w:rPr>
              <w:t>EBITDA</w:t>
            </w:r>
          </w:p>
        </w:tc>
        <w:tc>
          <w:tcPr>
            <w:tcW w:w="4118" w:type="pct"/>
            <w:tcBorders>
              <w:top w:val="nil"/>
              <w:bottom w:val="nil"/>
            </w:tcBorders>
            <w:shd w:val="clear" w:color="000000" w:fill="auto"/>
          </w:tcPr>
          <w:p w14:paraId="094F8479" w14:textId="77777777" w:rsidR="00B55AB1" w:rsidRPr="0087128E" w:rsidRDefault="00B55AB1" w:rsidP="006D08F0">
            <w:pPr>
              <w:pStyle w:val="TableBody"/>
              <w:spacing w:before="40" w:after="45"/>
              <w:ind w:right="108"/>
              <w:cnfStyle w:val="000000000000" w:firstRow="0" w:lastRow="0" w:firstColumn="0" w:lastColumn="0" w:oddVBand="0" w:evenVBand="0" w:oddHBand="0" w:evenHBand="0" w:firstRowFirstColumn="0" w:firstRowLastColumn="0" w:lastRowFirstColumn="0" w:lastRowLastColumn="0"/>
              <w:rPr>
                <w:rFonts w:cs="Open Sans"/>
                <w:bCs/>
                <w:color w:val="000000"/>
              </w:rPr>
            </w:pPr>
            <w:r w:rsidRPr="0087128E">
              <w:rPr>
                <w:rFonts w:cs="Open Sans"/>
                <w:bCs/>
                <w:color w:val="000000"/>
              </w:rPr>
              <w:t>Earnings before interest, taxes, depreciation and amortisation</w:t>
            </w:r>
          </w:p>
        </w:tc>
      </w:tr>
      <w:tr w:rsidR="00B55AB1" w:rsidRPr="0087128E" w14:paraId="5FCEE603" w14:textId="77777777" w:rsidTr="00871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 w:type="pct"/>
            <w:tcBorders>
              <w:bottom w:val="nil"/>
            </w:tcBorders>
            <w:shd w:val="clear" w:color="000000" w:fill="E6E6E6"/>
          </w:tcPr>
          <w:p w14:paraId="08FF76EE" w14:textId="77777777" w:rsidR="00B55AB1" w:rsidRPr="0087128E" w:rsidRDefault="00B55AB1" w:rsidP="006D08F0">
            <w:pPr>
              <w:pStyle w:val="TableBody"/>
              <w:spacing w:before="40" w:after="45"/>
              <w:ind w:right="108"/>
              <w:rPr>
                <w:rFonts w:cs="Open Sans"/>
                <w:bCs/>
                <w:color w:val="1D4374"/>
              </w:rPr>
            </w:pPr>
            <w:r w:rsidRPr="0087128E">
              <w:rPr>
                <w:rFonts w:cs="Open Sans"/>
                <w:bCs/>
                <w:color w:val="1D4374"/>
              </w:rPr>
              <w:t>EU</w:t>
            </w:r>
          </w:p>
        </w:tc>
        <w:tc>
          <w:tcPr>
            <w:tcW w:w="4118" w:type="pct"/>
            <w:tcBorders>
              <w:bottom w:val="nil"/>
            </w:tcBorders>
            <w:shd w:val="clear" w:color="000000" w:fill="E6E6E6"/>
          </w:tcPr>
          <w:p w14:paraId="4B824647" w14:textId="77777777" w:rsidR="00B55AB1" w:rsidRPr="0087128E" w:rsidRDefault="00B55AB1" w:rsidP="006D08F0">
            <w:pPr>
              <w:pStyle w:val="TableBody"/>
              <w:spacing w:before="40" w:after="45"/>
              <w:ind w:right="108"/>
              <w:cnfStyle w:val="000000100000" w:firstRow="0" w:lastRow="0" w:firstColumn="0" w:lastColumn="0" w:oddVBand="0" w:evenVBand="0" w:oddHBand="1" w:evenHBand="0" w:firstRowFirstColumn="0" w:firstRowLastColumn="0" w:lastRowFirstColumn="0" w:lastRowLastColumn="0"/>
              <w:rPr>
                <w:rFonts w:cs="Open Sans"/>
                <w:bCs/>
                <w:color w:val="000000"/>
              </w:rPr>
            </w:pPr>
            <w:r w:rsidRPr="0087128E">
              <w:rPr>
                <w:rFonts w:cs="Open Sans"/>
                <w:bCs/>
                <w:color w:val="000000"/>
              </w:rPr>
              <w:t>European Union</w:t>
            </w:r>
          </w:p>
        </w:tc>
      </w:tr>
      <w:tr w:rsidR="00B55AB1" w:rsidRPr="0087128E" w14:paraId="08D7C960" w14:textId="77777777" w:rsidTr="0087128E">
        <w:tc>
          <w:tcPr>
            <w:cnfStyle w:val="001000000000" w:firstRow="0" w:lastRow="0" w:firstColumn="1" w:lastColumn="0" w:oddVBand="0" w:evenVBand="0" w:oddHBand="0" w:evenHBand="0" w:firstRowFirstColumn="0" w:firstRowLastColumn="0" w:lastRowFirstColumn="0" w:lastRowLastColumn="0"/>
            <w:tcW w:w="882" w:type="pct"/>
            <w:tcBorders>
              <w:top w:val="nil"/>
              <w:bottom w:val="nil"/>
            </w:tcBorders>
            <w:shd w:val="clear" w:color="000000" w:fill="auto"/>
          </w:tcPr>
          <w:p w14:paraId="1D31C35C" w14:textId="77777777" w:rsidR="00B55AB1" w:rsidRPr="0087128E" w:rsidRDefault="00B55AB1" w:rsidP="006D08F0">
            <w:pPr>
              <w:pStyle w:val="TableBody"/>
              <w:spacing w:before="40" w:after="45"/>
              <w:ind w:right="108"/>
              <w:rPr>
                <w:rFonts w:cs="Open Sans"/>
                <w:bCs/>
                <w:color w:val="1D4374"/>
              </w:rPr>
            </w:pPr>
            <w:r w:rsidRPr="0087128E">
              <w:rPr>
                <w:rFonts w:cs="Open Sans"/>
                <w:bCs/>
                <w:color w:val="1D4374"/>
              </w:rPr>
              <w:t>FSS</w:t>
            </w:r>
          </w:p>
        </w:tc>
        <w:tc>
          <w:tcPr>
            <w:tcW w:w="4118" w:type="pct"/>
            <w:tcBorders>
              <w:top w:val="nil"/>
              <w:bottom w:val="nil"/>
            </w:tcBorders>
            <w:shd w:val="clear" w:color="000000" w:fill="auto"/>
          </w:tcPr>
          <w:p w14:paraId="192057DF" w14:textId="77777777" w:rsidR="00B55AB1" w:rsidRPr="0087128E" w:rsidRDefault="00B55AB1" w:rsidP="006D08F0">
            <w:pPr>
              <w:pStyle w:val="TableBody"/>
              <w:spacing w:before="40" w:after="45"/>
              <w:ind w:right="108"/>
              <w:cnfStyle w:val="000000000000" w:firstRow="0" w:lastRow="0" w:firstColumn="0" w:lastColumn="0" w:oddVBand="0" w:evenVBand="0" w:oddHBand="0" w:evenHBand="0" w:firstRowFirstColumn="0" w:firstRowLastColumn="0" w:lastRowFirstColumn="0" w:lastRowLastColumn="0"/>
              <w:rPr>
                <w:rFonts w:cs="Open Sans"/>
                <w:bCs/>
                <w:color w:val="000000"/>
              </w:rPr>
            </w:pPr>
            <w:r w:rsidRPr="0087128E">
              <w:rPr>
                <w:rFonts w:cs="Open Sans"/>
                <w:bCs/>
                <w:color w:val="000000"/>
              </w:rPr>
              <w:t>Fabricated structural steel</w:t>
            </w:r>
          </w:p>
        </w:tc>
      </w:tr>
      <w:tr w:rsidR="00B55AB1" w:rsidRPr="0087128E" w14:paraId="0486EE08" w14:textId="77777777" w:rsidTr="00871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 w:type="pct"/>
            <w:tcBorders>
              <w:bottom w:val="nil"/>
            </w:tcBorders>
            <w:shd w:val="clear" w:color="000000" w:fill="E6E6E6"/>
          </w:tcPr>
          <w:p w14:paraId="595526AA" w14:textId="77777777" w:rsidR="00B55AB1" w:rsidRPr="0087128E" w:rsidRDefault="00B55AB1" w:rsidP="006D08F0">
            <w:pPr>
              <w:pStyle w:val="TableBody"/>
              <w:spacing w:before="40" w:after="45"/>
              <w:ind w:right="108"/>
              <w:rPr>
                <w:rFonts w:cs="Open Sans"/>
                <w:bCs/>
                <w:color w:val="1D4374"/>
              </w:rPr>
            </w:pPr>
            <w:r w:rsidRPr="0087128E">
              <w:rPr>
                <w:rFonts w:cs="Open Sans"/>
                <w:bCs/>
                <w:color w:val="1D4374"/>
              </w:rPr>
              <w:t>FTE</w:t>
            </w:r>
          </w:p>
        </w:tc>
        <w:tc>
          <w:tcPr>
            <w:tcW w:w="4118" w:type="pct"/>
            <w:tcBorders>
              <w:bottom w:val="nil"/>
            </w:tcBorders>
            <w:shd w:val="clear" w:color="000000" w:fill="E6E6E6"/>
          </w:tcPr>
          <w:p w14:paraId="32B929D7" w14:textId="4F1CC10D" w:rsidR="00B55AB1" w:rsidRPr="0087128E" w:rsidRDefault="00B55AB1" w:rsidP="006D08F0">
            <w:pPr>
              <w:pStyle w:val="TableBody"/>
              <w:spacing w:before="40" w:after="45"/>
              <w:ind w:right="108"/>
              <w:cnfStyle w:val="000000100000" w:firstRow="0" w:lastRow="0" w:firstColumn="0" w:lastColumn="0" w:oddVBand="0" w:evenVBand="0" w:oddHBand="1" w:evenHBand="0" w:firstRowFirstColumn="0" w:firstRowLastColumn="0" w:lastRowFirstColumn="0" w:lastRowLastColumn="0"/>
              <w:rPr>
                <w:rFonts w:cs="Open Sans"/>
                <w:bCs/>
                <w:color w:val="000000"/>
              </w:rPr>
            </w:pPr>
            <w:r w:rsidRPr="0087128E">
              <w:rPr>
                <w:rFonts w:cs="Open Sans"/>
                <w:bCs/>
                <w:color w:val="000000"/>
              </w:rPr>
              <w:t>Full</w:t>
            </w:r>
            <w:r w:rsidR="00541146" w:rsidRPr="0087128E">
              <w:rPr>
                <w:rFonts w:cs="Open Sans"/>
                <w:bCs/>
                <w:color w:val="000000"/>
              </w:rPr>
              <w:noBreakHyphen/>
            </w:r>
            <w:r w:rsidRPr="0087128E">
              <w:rPr>
                <w:rFonts w:cs="Open Sans"/>
                <w:bCs/>
                <w:color w:val="000000"/>
              </w:rPr>
              <w:t>time equivalent</w:t>
            </w:r>
          </w:p>
        </w:tc>
      </w:tr>
      <w:tr w:rsidR="00B55AB1" w:rsidRPr="0087128E" w14:paraId="36B9D633" w14:textId="77777777" w:rsidTr="0087128E">
        <w:tc>
          <w:tcPr>
            <w:cnfStyle w:val="001000000000" w:firstRow="0" w:lastRow="0" w:firstColumn="1" w:lastColumn="0" w:oddVBand="0" w:evenVBand="0" w:oddHBand="0" w:evenHBand="0" w:firstRowFirstColumn="0" w:firstRowLastColumn="0" w:lastRowFirstColumn="0" w:lastRowLastColumn="0"/>
            <w:tcW w:w="882" w:type="pct"/>
            <w:tcBorders>
              <w:top w:val="nil"/>
              <w:bottom w:val="nil"/>
            </w:tcBorders>
            <w:shd w:val="clear" w:color="000000" w:fill="auto"/>
          </w:tcPr>
          <w:p w14:paraId="476662FA" w14:textId="77777777" w:rsidR="00B55AB1" w:rsidRPr="0087128E" w:rsidRDefault="00B55AB1" w:rsidP="006D08F0">
            <w:pPr>
              <w:pStyle w:val="TableBody"/>
              <w:spacing w:before="40" w:after="45"/>
              <w:ind w:right="108"/>
              <w:rPr>
                <w:rFonts w:cs="Open Sans"/>
                <w:color w:val="1D4374"/>
              </w:rPr>
            </w:pPr>
            <w:r w:rsidRPr="0087128E">
              <w:rPr>
                <w:rFonts w:cs="Open Sans"/>
                <w:color w:val="1D4374"/>
              </w:rPr>
              <w:t>GATT</w:t>
            </w:r>
          </w:p>
        </w:tc>
        <w:tc>
          <w:tcPr>
            <w:tcW w:w="4118" w:type="pct"/>
            <w:tcBorders>
              <w:top w:val="nil"/>
              <w:bottom w:val="nil"/>
            </w:tcBorders>
            <w:shd w:val="clear" w:color="000000" w:fill="auto"/>
          </w:tcPr>
          <w:p w14:paraId="3DEFE1E5" w14:textId="77777777" w:rsidR="00B55AB1" w:rsidRPr="0087128E" w:rsidRDefault="00B55AB1" w:rsidP="006D08F0">
            <w:pPr>
              <w:pStyle w:val="TableBody"/>
              <w:spacing w:before="40" w:after="45"/>
              <w:ind w:right="108"/>
              <w:cnfStyle w:val="000000000000" w:firstRow="0" w:lastRow="0" w:firstColumn="0" w:lastColumn="0" w:oddVBand="0" w:evenVBand="0" w:oddHBand="0" w:evenHBand="0" w:firstRowFirstColumn="0" w:firstRowLastColumn="0" w:lastRowFirstColumn="0" w:lastRowLastColumn="0"/>
              <w:rPr>
                <w:rFonts w:cs="Open Sans"/>
                <w:color w:val="000000"/>
              </w:rPr>
            </w:pPr>
            <w:r w:rsidRPr="0087128E">
              <w:rPr>
                <w:rFonts w:cs="Open Sans"/>
                <w:color w:val="000000"/>
              </w:rPr>
              <w:t>General Agreement on Tariffs and Trade 1994</w:t>
            </w:r>
          </w:p>
        </w:tc>
      </w:tr>
      <w:tr w:rsidR="00B55AB1" w:rsidRPr="0087128E" w14:paraId="32BA7380" w14:textId="77777777" w:rsidTr="00871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 w:type="pct"/>
            <w:tcBorders>
              <w:bottom w:val="nil"/>
            </w:tcBorders>
            <w:shd w:val="clear" w:color="000000" w:fill="E6E6E6"/>
          </w:tcPr>
          <w:p w14:paraId="125B2B5C" w14:textId="77777777" w:rsidR="00B55AB1" w:rsidRPr="0087128E" w:rsidRDefault="00B55AB1" w:rsidP="006D08F0">
            <w:pPr>
              <w:pStyle w:val="TableBody"/>
              <w:spacing w:before="40" w:after="45"/>
              <w:ind w:right="108"/>
              <w:rPr>
                <w:rFonts w:cs="Open Sans"/>
                <w:bCs/>
                <w:color w:val="1D4374"/>
              </w:rPr>
            </w:pPr>
            <w:r w:rsidRPr="0087128E">
              <w:rPr>
                <w:rFonts w:cs="Open Sans"/>
                <w:bCs/>
                <w:color w:val="1D4374"/>
              </w:rPr>
              <w:t>GFCF</w:t>
            </w:r>
          </w:p>
        </w:tc>
        <w:tc>
          <w:tcPr>
            <w:tcW w:w="4118" w:type="pct"/>
            <w:tcBorders>
              <w:bottom w:val="nil"/>
            </w:tcBorders>
            <w:shd w:val="clear" w:color="000000" w:fill="E6E6E6"/>
          </w:tcPr>
          <w:p w14:paraId="4E9B312D" w14:textId="77777777" w:rsidR="00B55AB1" w:rsidRPr="0087128E" w:rsidRDefault="00B55AB1" w:rsidP="006D08F0">
            <w:pPr>
              <w:pStyle w:val="TableBody"/>
              <w:spacing w:before="40" w:after="45"/>
              <w:ind w:right="108"/>
              <w:cnfStyle w:val="000000100000" w:firstRow="0" w:lastRow="0" w:firstColumn="0" w:lastColumn="0" w:oddVBand="0" w:evenVBand="0" w:oddHBand="1" w:evenHBand="0" w:firstRowFirstColumn="0" w:firstRowLastColumn="0" w:lastRowFirstColumn="0" w:lastRowLastColumn="0"/>
              <w:rPr>
                <w:rFonts w:cs="Open Sans"/>
                <w:color w:val="000000"/>
              </w:rPr>
            </w:pPr>
            <w:r w:rsidRPr="0087128E">
              <w:rPr>
                <w:rFonts w:cs="Open Sans"/>
                <w:color w:val="000000"/>
              </w:rPr>
              <w:t>Gross fixed capital formation</w:t>
            </w:r>
          </w:p>
        </w:tc>
      </w:tr>
      <w:tr w:rsidR="00B55AB1" w:rsidRPr="0087128E" w14:paraId="0F5E8C45" w14:textId="77777777" w:rsidTr="0087128E">
        <w:tc>
          <w:tcPr>
            <w:cnfStyle w:val="001000000000" w:firstRow="0" w:lastRow="0" w:firstColumn="1" w:lastColumn="0" w:oddVBand="0" w:evenVBand="0" w:oddHBand="0" w:evenHBand="0" w:firstRowFirstColumn="0" w:firstRowLastColumn="0" w:lastRowFirstColumn="0" w:lastRowLastColumn="0"/>
            <w:tcW w:w="882" w:type="pct"/>
            <w:tcBorders>
              <w:top w:val="nil"/>
              <w:bottom w:val="nil"/>
            </w:tcBorders>
            <w:shd w:val="clear" w:color="000000" w:fill="auto"/>
          </w:tcPr>
          <w:p w14:paraId="35EDBB69" w14:textId="77777777" w:rsidR="00B55AB1" w:rsidRPr="0087128E" w:rsidRDefault="00B55AB1" w:rsidP="006D08F0">
            <w:pPr>
              <w:pStyle w:val="TableBody"/>
              <w:spacing w:before="40" w:after="45"/>
              <w:ind w:right="108"/>
              <w:rPr>
                <w:rFonts w:cs="Open Sans"/>
                <w:bCs/>
                <w:color w:val="1D4374"/>
              </w:rPr>
            </w:pPr>
            <w:r w:rsidRPr="0087128E">
              <w:rPr>
                <w:rFonts w:cs="Open Sans"/>
                <w:bCs/>
                <w:color w:val="1D4374"/>
              </w:rPr>
              <w:t>GST</w:t>
            </w:r>
          </w:p>
        </w:tc>
        <w:tc>
          <w:tcPr>
            <w:tcW w:w="4118" w:type="pct"/>
            <w:tcBorders>
              <w:top w:val="nil"/>
              <w:bottom w:val="nil"/>
            </w:tcBorders>
            <w:shd w:val="clear" w:color="000000" w:fill="auto"/>
          </w:tcPr>
          <w:p w14:paraId="7C3B70AD" w14:textId="77777777" w:rsidR="00B55AB1" w:rsidRPr="0087128E" w:rsidRDefault="00B55AB1" w:rsidP="006D08F0">
            <w:pPr>
              <w:pStyle w:val="TableBody"/>
              <w:spacing w:before="40" w:after="45"/>
              <w:ind w:right="108"/>
              <w:cnfStyle w:val="000000000000" w:firstRow="0" w:lastRow="0" w:firstColumn="0" w:lastColumn="0" w:oddVBand="0" w:evenVBand="0" w:oddHBand="0" w:evenHBand="0" w:firstRowFirstColumn="0" w:firstRowLastColumn="0" w:lastRowFirstColumn="0" w:lastRowLastColumn="0"/>
              <w:rPr>
                <w:rFonts w:cs="Open Sans"/>
                <w:bCs/>
                <w:color w:val="000000"/>
              </w:rPr>
            </w:pPr>
            <w:r w:rsidRPr="0087128E">
              <w:rPr>
                <w:rFonts w:cs="Open Sans"/>
                <w:bCs/>
                <w:color w:val="000000"/>
              </w:rPr>
              <w:t>Goods and Services Tax</w:t>
            </w:r>
          </w:p>
        </w:tc>
      </w:tr>
      <w:tr w:rsidR="00B55AB1" w:rsidRPr="0087128E" w14:paraId="26EFB154" w14:textId="77777777" w:rsidTr="00871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 w:type="pct"/>
            <w:tcBorders>
              <w:bottom w:val="nil"/>
            </w:tcBorders>
            <w:shd w:val="clear" w:color="000000" w:fill="E6E6E6"/>
          </w:tcPr>
          <w:p w14:paraId="3937EA70" w14:textId="77777777" w:rsidR="00B55AB1" w:rsidRPr="0087128E" w:rsidRDefault="00B55AB1" w:rsidP="006D08F0">
            <w:pPr>
              <w:pStyle w:val="TableBody"/>
              <w:spacing w:before="40" w:after="45"/>
              <w:ind w:right="108"/>
              <w:rPr>
                <w:rFonts w:cs="Open Sans"/>
                <w:bCs/>
                <w:color w:val="1D4374"/>
              </w:rPr>
            </w:pPr>
            <w:r w:rsidRPr="0087128E">
              <w:rPr>
                <w:rFonts w:cs="Open Sans"/>
                <w:bCs/>
                <w:color w:val="1D4374"/>
              </w:rPr>
              <w:t>HTISC</w:t>
            </w:r>
          </w:p>
        </w:tc>
        <w:tc>
          <w:tcPr>
            <w:tcW w:w="4118" w:type="pct"/>
            <w:tcBorders>
              <w:bottom w:val="nil"/>
            </w:tcBorders>
            <w:shd w:val="clear" w:color="000000" w:fill="E6E6E6"/>
          </w:tcPr>
          <w:p w14:paraId="3129AD72" w14:textId="77777777" w:rsidR="00B55AB1" w:rsidRPr="0087128E" w:rsidRDefault="00B55AB1" w:rsidP="006D08F0">
            <w:pPr>
              <w:pStyle w:val="TableBody"/>
              <w:spacing w:before="40" w:after="45"/>
              <w:ind w:right="108"/>
              <w:cnfStyle w:val="000000100000" w:firstRow="0" w:lastRow="0" w:firstColumn="0" w:lastColumn="0" w:oddVBand="0" w:evenVBand="0" w:oddHBand="1" w:evenHBand="0" w:firstRowFirstColumn="0" w:firstRowLastColumn="0" w:lastRowFirstColumn="0" w:lastRowLastColumn="0"/>
              <w:rPr>
                <w:rFonts w:cs="Open Sans"/>
                <w:bCs/>
                <w:color w:val="000000"/>
              </w:rPr>
            </w:pPr>
            <w:r w:rsidRPr="0087128E">
              <w:rPr>
                <w:rFonts w:cs="Open Sans"/>
                <w:bCs/>
                <w:color w:val="000000"/>
              </w:rPr>
              <w:t>Harmonized Tariff Item Statistical Code</w:t>
            </w:r>
          </w:p>
        </w:tc>
      </w:tr>
      <w:tr w:rsidR="00B55AB1" w:rsidRPr="0087128E" w14:paraId="15AA0ED3" w14:textId="77777777" w:rsidTr="0087128E">
        <w:tc>
          <w:tcPr>
            <w:cnfStyle w:val="001000000000" w:firstRow="0" w:lastRow="0" w:firstColumn="1" w:lastColumn="0" w:oddVBand="0" w:evenVBand="0" w:oddHBand="0" w:evenHBand="0" w:firstRowFirstColumn="0" w:firstRowLastColumn="0" w:lastRowFirstColumn="0" w:lastRowLastColumn="0"/>
            <w:tcW w:w="882" w:type="pct"/>
            <w:tcBorders>
              <w:top w:val="nil"/>
              <w:bottom w:val="nil"/>
            </w:tcBorders>
            <w:shd w:val="clear" w:color="000000" w:fill="auto"/>
          </w:tcPr>
          <w:p w14:paraId="54729EDC" w14:textId="77777777" w:rsidR="00B55AB1" w:rsidRPr="0087128E" w:rsidRDefault="00B55AB1" w:rsidP="006D08F0">
            <w:pPr>
              <w:pStyle w:val="TableBody"/>
              <w:spacing w:before="40" w:after="45"/>
              <w:ind w:right="108"/>
              <w:rPr>
                <w:rFonts w:cs="Open Sans"/>
                <w:bCs/>
                <w:color w:val="1D4374"/>
              </w:rPr>
            </w:pPr>
            <w:r w:rsidRPr="0087128E">
              <w:rPr>
                <w:rFonts w:cs="Open Sans"/>
                <w:bCs/>
                <w:color w:val="1D4374"/>
              </w:rPr>
              <w:t>OECD</w:t>
            </w:r>
          </w:p>
        </w:tc>
        <w:tc>
          <w:tcPr>
            <w:tcW w:w="4118" w:type="pct"/>
            <w:tcBorders>
              <w:top w:val="nil"/>
              <w:bottom w:val="nil"/>
            </w:tcBorders>
            <w:shd w:val="clear" w:color="000000" w:fill="auto"/>
          </w:tcPr>
          <w:p w14:paraId="4C45325E" w14:textId="614472B3" w:rsidR="00B55AB1" w:rsidRPr="0087128E" w:rsidRDefault="00B55AB1" w:rsidP="006D08F0">
            <w:pPr>
              <w:pStyle w:val="TableBody"/>
              <w:spacing w:before="40" w:after="45"/>
              <w:ind w:right="108"/>
              <w:cnfStyle w:val="000000000000" w:firstRow="0" w:lastRow="0" w:firstColumn="0" w:lastColumn="0" w:oddVBand="0" w:evenVBand="0" w:oddHBand="0" w:evenHBand="0" w:firstRowFirstColumn="0" w:firstRowLastColumn="0" w:lastRowFirstColumn="0" w:lastRowLastColumn="0"/>
              <w:rPr>
                <w:rFonts w:cs="Open Sans"/>
                <w:bCs/>
                <w:color w:val="000000"/>
              </w:rPr>
            </w:pPr>
            <w:r w:rsidRPr="0087128E">
              <w:rPr>
                <w:rFonts w:cs="Open Sans"/>
                <w:bCs/>
                <w:color w:val="000000"/>
              </w:rPr>
              <w:t>Organisation for Economic Co</w:t>
            </w:r>
            <w:r w:rsidR="00541146" w:rsidRPr="0087128E">
              <w:rPr>
                <w:rFonts w:cs="Open Sans"/>
                <w:bCs/>
                <w:color w:val="000000"/>
              </w:rPr>
              <w:noBreakHyphen/>
            </w:r>
            <w:r w:rsidRPr="0087128E">
              <w:rPr>
                <w:rFonts w:cs="Open Sans"/>
                <w:bCs/>
                <w:color w:val="000000"/>
              </w:rPr>
              <w:t xml:space="preserve">operation and Development </w:t>
            </w:r>
          </w:p>
        </w:tc>
      </w:tr>
      <w:tr w:rsidR="00B55AB1" w:rsidRPr="0087128E" w14:paraId="02E9B755" w14:textId="77777777" w:rsidTr="00871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 w:type="pct"/>
            <w:tcBorders>
              <w:bottom w:val="nil"/>
            </w:tcBorders>
            <w:shd w:val="clear" w:color="000000" w:fill="E6E6E6"/>
          </w:tcPr>
          <w:p w14:paraId="380783DA" w14:textId="77777777" w:rsidR="00B55AB1" w:rsidRPr="0087128E" w:rsidRDefault="00B55AB1" w:rsidP="006D08F0">
            <w:pPr>
              <w:pStyle w:val="TableBody"/>
              <w:spacing w:before="40" w:after="45"/>
              <w:ind w:right="108"/>
              <w:rPr>
                <w:rFonts w:cs="Open Sans"/>
                <w:bCs/>
                <w:color w:val="1D4374"/>
              </w:rPr>
            </w:pPr>
            <w:r w:rsidRPr="0087128E">
              <w:rPr>
                <w:rFonts w:cs="Open Sans"/>
                <w:bCs/>
                <w:color w:val="1D4374"/>
              </w:rPr>
              <w:t>PAYG</w:t>
            </w:r>
          </w:p>
        </w:tc>
        <w:tc>
          <w:tcPr>
            <w:tcW w:w="4118" w:type="pct"/>
            <w:tcBorders>
              <w:bottom w:val="nil"/>
            </w:tcBorders>
            <w:shd w:val="clear" w:color="000000" w:fill="E6E6E6"/>
          </w:tcPr>
          <w:p w14:paraId="135A1BD0" w14:textId="77777777" w:rsidR="00B55AB1" w:rsidRPr="0087128E" w:rsidRDefault="00B55AB1" w:rsidP="006D08F0">
            <w:pPr>
              <w:pStyle w:val="TableBody"/>
              <w:spacing w:before="40" w:after="45"/>
              <w:ind w:right="108"/>
              <w:cnfStyle w:val="000000100000" w:firstRow="0" w:lastRow="0" w:firstColumn="0" w:lastColumn="0" w:oddVBand="0" w:evenVBand="0" w:oddHBand="1" w:evenHBand="0" w:firstRowFirstColumn="0" w:firstRowLastColumn="0" w:lastRowFirstColumn="0" w:lastRowLastColumn="0"/>
              <w:rPr>
                <w:rFonts w:cs="Open Sans"/>
                <w:bCs/>
                <w:color w:val="000000"/>
              </w:rPr>
            </w:pPr>
            <w:r w:rsidRPr="0087128E">
              <w:rPr>
                <w:rFonts w:cs="Open Sans"/>
                <w:bCs/>
                <w:color w:val="000000"/>
              </w:rPr>
              <w:t>Pay As You Go</w:t>
            </w:r>
          </w:p>
        </w:tc>
      </w:tr>
      <w:tr w:rsidR="000F5826" w:rsidRPr="0087128E" w14:paraId="1AFE1D96" w14:textId="77777777" w:rsidTr="0087128E">
        <w:tc>
          <w:tcPr>
            <w:cnfStyle w:val="001000000000" w:firstRow="0" w:lastRow="0" w:firstColumn="1" w:lastColumn="0" w:oddVBand="0" w:evenVBand="0" w:oddHBand="0" w:evenHBand="0" w:firstRowFirstColumn="0" w:firstRowLastColumn="0" w:lastRowFirstColumn="0" w:lastRowLastColumn="0"/>
            <w:tcW w:w="882" w:type="pct"/>
            <w:tcBorders>
              <w:top w:val="nil"/>
              <w:bottom w:val="nil"/>
            </w:tcBorders>
            <w:shd w:val="clear" w:color="000000" w:fill="auto"/>
          </w:tcPr>
          <w:p w14:paraId="49FC1797" w14:textId="3B260D53" w:rsidR="000F5826" w:rsidRPr="0087128E" w:rsidRDefault="000F5826" w:rsidP="006D08F0">
            <w:pPr>
              <w:pStyle w:val="TableBody"/>
              <w:spacing w:before="40" w:after="45"/>
              <w:ind w:right="108"/>
              <w:rPr>
                <w:rFonts w:cs="Open Sans"/>
                <w:bCs/>
                <w:color w:val="1D4374"/>
              </w:rPr>
            </w:pPr>
            <w:r w:rsidRPr="0087128E">
              <w:rPr>
                <w:rFonts w:cs="Open Sans"/>
                <w:bCs/>
                <w:color w:val="1D4374"/>
              </w:rPr>
              <w:t>PPI</w:t>
            </w:r>
          </w:p>
        </w:tc>
        <w:tc>
          <w:tcPr>
            <w:tcW w:w="4118" w:type="pct"/>
            <w:tcBorders>
              <w:top w:val="nil"/>
              <w:bottom w:val="nil"/>
            </w:tcBorders>
            <w:shd w:val="clear" w:color="000000" w:fill="auto"/>
          </w:tcPr>
          <w:p w14:paraId="6721E940" w14:textId="578E9225" w:rsidR="000F5826" w:rsidRPr="0087128E" w:rsidRDefault="000F5826" w:rsidP="006D08F0">
            <w:pPr>
              <w:pStyle w:val="TableBody"/>
              <w:spacing w:before="40" w:after="45"/>
              <w:ind w:right="108"/>
              <w:cnfStyle w:val="000000000000" w:firstRow="0" w:lastRow="0" w:firstColumn="0" w:lastColumn="0" w:oddVBand="0" w:evenVBand="0" w:oddHBand="0" w:evenHBand="0" w:firstRowFirstColumn="0" w:firstRowLastColumn="0" w:lastRowFirstColumn="0" w:lastRowLastColumn="0"/>
              <w:rPr>
                <w:rFonts w:cs="Open Sans"/>
                <w:bCs/>
                <w:color w:val="000000"/>
              </w:rPr>
            </w:pPr>
            <w:r w:rsidRPr="0087128E">
              <w:rPr>
                <w:rFonts w:cs="Open Sans"/>
                <w:bCs/>
                <w:color w:val="000000"/>
              </w:rPr>
              <w:t>Producer Price Index</w:t>
            </w:r>
          </w:p>
        </w:tc>
      </w:tr>
      <w:tr w:rsidR="00B55AB1" w:rsidRPr="0087128E" w14:paraId="77EA61F0" w14:textId="77777777" w:rsidTr="00871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 w:type="pct"/>
            <w:tcBorders>
              <w:bottom w:val="nil"/>
            </w:tcBorders>
            <w:shd w:val="clear" w:color="000000" w:fill="E6E6E6"/>
          </w:tcPr>
          <w:p w14:paraId="5B2AF744" w14:textId="77777777" w:rsidR="00B55AB1" w:rsidRPr="0087128E" w:rsidRDefault="00B55AB1" w:rsidP="006D08F0">
            <w:pPr>
              <w:pStyle w:val="TableBody"/>
              <w:spacing w:before="40" w:after="45"/>
              <w:ind w:right="108"/>
              <w:rPr>
                <w:rFonts w:cs="Open Sans"/>
                <w:bCs/>
                <w:color w:val="1D4374"/>
              </w:rPr>
            </w:pPr>
            <w:r w:rsidRPr="0087128E">
              <w:rPr>
                <w:rFonts w:cs="Open Sans"/>
                <w:bCs/>
                <w:color w:val="1D4374"/>
              </w:rPr>
              <w:t>PIM</w:t>
            </w:r>
          </w:p>
        </w:tc>
        <w:tc>
          <w:tcPr>
            <w:tcW w:w="4118" w:type="pct"/>
            <w:tcBorders>
              <w:bottom w:val="nil"/>
            </w:tcBorders>
            <w:shd w:val="clear" w:color="000000" w:fill="E6E6E6"/>
          </w:tcPr>
          <w:p w14:paraId="1A5CDF2C" w14:textId="77777777" w:rsidR="00B55AB1" w:rsidRPr="0087128E" w:rsidRDefault="00B55AB1" w:rsidP="006D08F0">
            <w:pPr>
              <w:pStyle w:val="TableBody"/>
              <w:spacing w:before="40" w:after="45"/>
              <w:ind w:right="108"/>
              <w:cnfStyle w:val="000000100000" w:firstRow="0" w:lastRow="0" w:firstColumn="0" w:lastColumn="0" w:oddVBand="0" w:evenVBand="0" w:oddHBand="1" w:evenHBand="0" w:firstRowFirstColumn="0" w:firstRowLastColumn="0" w:lastRowFirstColumn="0" w:lastRowLastColumn="0"/>
              <w:rPr>
                <w:rFonts w:cs="Open Sans"/>
                <w:bCs/>
                <w:color w:val="000000"/>
              </w:rPr>
            </w:pPr>
            <w:r w:rsidRPr="0087128E">
              <w:rPr>
                <w:rFonts w:cs="Open Sans"/>
                <w:bCs/>
                <w:color w:val="000000"/>
              </w:rPr>
              <w:t>Perpetual inventory method</w:t>
            </w:r>
          </w:p>
        </w:tc>
      </w:tr>
      <w:tr w:rsidR="00B55AB1" w:rsidRPr="0087128E" w14:paraId="47D62871" w14:textId="77777777" w:rsidTr="0087128E">
        <w:tc>
          <w:tcPr>
            <w:cnfStyle w:val="001000000000" w:firstRow="0" w:lastRow="0" w:firstColumn="1" w:lastColumn="0" w:oddVBand="0" w:evenVBand="0" w:oddHBand="0" w:evenHBand="0" w:firstRowFirstColumn="0" w:firstRowLastColumn="0" w:lastRowFirstColumn="0" w:lastRowLastColumn="0"/>
            <w:tcW w:w="882" w:type="pct"/>
            <w:tcBorders>
              <w:top w:val="nil"/>
              <w:bottom w:val="nil"/>
            </w:tcBorders>
            <w:shd w:val="clear" w:color="000000" w:fill="auto"/>
          </w:tcPr>
          <w:p w14:paraId="75BC34E9" w14:textId="77777777" w:rsidR="00B55AB1" w:rsidRPr="0087128E" w:rsidRDefault="00B55AB1" w:rsidP="006D08F0">
            <w:pPr>
              <w:pStyle w:val="TableBody"/>
              <w:spacing w:before="40" w:after="45"/>
              <w:ind w:right="108"/>
              <w:rPr>
                <w:rFonts w:cs="Open Sans"/>
                <w:bCs/>
                <w:color w:val="1D4374"/>
              </w:rPr>
            </w:pPr>
            <w:r w:rsidRPr="0087128E">
              <w:rPr>
                <w:rFonts w:cs="Open Sans"/>
                <w:bCs/>
                <w:color w:val="1D4374"/>
              </w:rPr>
              <w:t>RBA</w:t>
            </w:r>
          </w:p>
        </w:tc>
        <w:tc>
          <w:tcPr>
            <w:tcW w:w="4118" w:type="pct"/>
            <w:tcBorders>
              <w:top w:val="nil"/>
              <w:bottom w:val="nil"/>
            </w:tcBorders>
            <w:shd w:val="clear" w:color="000000" w:fill="auto"/>
          </w:tcPr>
          <w:p w14:paraId="5046D13E" w14:textId="77777777" w:rsidR="00B55AB1" w:rsidRPr="0087128E" w:rsidRDefault="00B55AB1" w:rsidP="006D08F0">
            <w:pPr>
              <w:pStyle w:val="TableBody"/>
              <w:spacing w:before="40" w:after="45"/>
              <w:ind w:right="108"/>
              <w:cnfStyle w:val="000000000000" w:firstRow="0" w:lastRow="0" w:firstColumn="0" w:lastColumn="0" w:oddVBand="0" w:evenVBand="0" w:oddHBand="0" w:evenHBand="0" w:firstRowFirstColumn="0" w:firstRowLastColumn="0" w:lastRowFirstColumn="0" w:lastRowLastColumn="0"/>
              <w:rPr>
                <w:rFonts w:cs="Open Sans"/>
                <w:bCs/>
                <w:color w:val="000000"/>
              </w:rPr>
            </w:pPr>
            <w:r w:rsidRPr="0087128E">
              <w:rPr>
                <w:rFonts w:cs="Open Sans"/>
                <w:bCs/>
                <w:color w:val="000000"/>
              </w:rPr>
              <w:t>Reserve Bank of Australia</w:t>
            </w:r>
          </w:p>
        </w:tc>
      </w:tr>
      <w:tr w:rsidR="00B55AB1" w:rsidRPr="0087128E" w14:paraId="1E63B8F2" w14:textId="77777777" w:rsidTr="00871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 w:type="pct"/>
            <w:tcBorders>
              <w:bottom w:val="nil"/>
            </w:tcBorders>
            <w:shd w:val="clear" w:color="000000" w:fill="E6E6E6"/>
          </w:tcPr>
          <w:p w14:paraId="7DDA469F" w14:textId="77777777" w:rsidR="00B55AB1" w:rsidRPr="0087128E" w:rsidRDefault="00B55AB1" w:rsidP="006D08F0">
            <w:pPr>
              <w:pStyle w:val="TableBody"/>
              <w:spacing w:before="40" w:after="45"/>
              <w:ind w:right="108"/>
              <w:rPr>
                <w:rFonts w:cs="Open Sans"/>
                <w:bCs/>
                <w:color w:val="1D4374"/>
              </w:rPr>
            </w:pPr>
            <w:r w:rsidRPr="0087128E">
              <w:rPr>
                <w:rFonts w:cs="Open Sans"/>
                <w:bCs/>
                <w:color w:val="1D4374"/>
              </w:rPr>
              <w:t>SA</w:t>
            </w:r>
          </w:p>
        </w:tc>
        <w:tc>
          <w:tcPr>
            <w:tcW w:w="4118" w:type="pct"/>
            <w:tcBorders>
              <w:bottom w:val="nil"/>
            </w:tcBorders>
            <w:shd w:val="clear" w:color="000000" w:fill="E6E6E6"/>
          </w:tcPr>
          <w:p w14:paraId="39D43E38" w14:textId="77777777" w:rsidR="00B55AB1" w:rsidRPr="0087128E" w:rsidRDefault="00B55AB1" w:rsidP="006D08F0">
            <w:pPr>
              <w:pStyle w:val="TableBody"/>
              <w:spacing w:before="40" w:after="45"/>
              <w:ind w:right="108"/>
              <w:cnfStyle w:val="000000100000" w:firstRow="0" w:lastRow="0" w:firstColumn="0" w:lastColumn="0" w:oddVBand="0" w:evenVBand="0" w:oddHBand="1" w:evenHBand="0" w:firstRowFirstColumn="0" w:firstRowLastColumn="0" w:lastRowFirstColumn="0" w:lastRowLastColumn="0"/>
              <w:rPr>
                <w:rFonts w:cs="Open Sans"/>
                <w:bCs/>
                <w:color w:val="000000"/>
              </w:rPr>
            </w:pPr>
            <w:r w:rsidRPr="0087128E">
              <w:rPr>
                <w:rFonts w:cs="Open Sans"/>
                <w:bCs/>
                <w:color w:val="000000"/>
              </w:rPr>
              <w:t xml:space="preserve">Agreement on Safeguards </w:t>
            </w:r>
          </w:p>
        </w:tc>
      </w:tr>
      <w:tr w:rsidR="00B55AB1" w:rsidRPr="0087128E" w14:paraId="576ACA2D" w14:textId="77777777" w:rsidTr="0087128E">
        <w:tc>
          <w:tcPr>
            <w:cnfStyle w:val="001000000000" w:firstRow="0" w:lastRow="0" w:firstColumn="1" w:lastColumn="0" w:oddVBand="0" w:evenVBand="0" w:oddHBand="0" w:evenHBand="0" w:firstRowFirstColumn="0" w:firstRowLastColumn="0" w:lastRowFirstColumn="0" w:lastRowLastColumn="0"/>
            <w:tcW w:w="882" w:type="pct"/>
            <w:tcBorders>
              <w:top w:val="nil"/>
              <w:bottom w:val="nil"/>
            </w:tcBorders>
            <w:shd w:val="clear" w:color="000000" w:fill="auto"/>
          </w:tcPr>
          <w:p w14:paraId="72BAE424" w14:textId="77777777" w:rsidR="00B55AB1" w:rsidRPr="0087128E" w:rsidRDefault="00B55AB1" w:rsidP="006D08F0">
            <w:pPr>
              <w:pStyle w:val="TableBody"/>
              <w:spacing w:before="40" w:after="45"/>
              <w:ind w:right="108"/>
              <w:rPr>
                <w:rFonts w:cs="Open Sans"/>
                <w:bCs/>
                <w:color w:val="1D4374"/>
              </w:rPr>
            </w:pPr>
            <w:r w:rsidRPr="0087128E">
              <w:rPr>
                <w:rFonts w:cs="Open Sans"/>
                <w:bCs/>
                <w:color w:val="1D4374"/>
              </w:rPr>
              <w:t>TFP</w:t>
            </w:r>
          </w:p>
        </w:tc>
        <w:tc>
          <w:tcPr>
            <w:tcW w:w="4118" w:type="pct"/>
            <w:tcBorders>
              <w:top w:val="nil"/>
              <w:bottom w:val="nil"/>
            </w:tcBorders>
            <w:shd w:val="clear" w:color="000000" w:fill="auto"/>
          </w:tcPr>
          <w:p w14:paraId="06CF3D2E" w14:textId="77777777" w:rsidR="00B55AB1" w:rsidRPr="0087128E" w:rsidRDefault="00B55AB1" w:rsidP="006D08F0">
            <w:pPr>
              <w:pStyle w:val="TableBody"/>
              <w:spacing w:before="40" w:after="45"/>
              <w:ind w:right="108"/>
              <w:cnfStyle w:val="000000000000" w:firstRow="0" w:lastRow="0" w:firstColumn="0" w:lastColumn="0" w:oddVBand="0" w:evenVBand="0" w:oddHBand="0" w:evenHBand="0" w:firstRowFirstColumn="0" w:firstRowLastColumn="0" w:lastRowFirstColumn="0" w:lastRowLastColumn="0"/>
              <w:rPr>
                <w:rFonts w:cs="Open Sans"/>
                <w:bCs/>
                <w:color w:val="000000"/>
              </w:rPr>
            </w:pPr>
            <w:r w:rsidRPr="0087128E">
              <w:rPr>
                <w:rFonts w:cs="Open Sans"/>
                <w:bCs/>
                <w:color w:val="000000"/>
              </w:rPr>
              <w:t>Total factor productivity</w:t>
            </w:r>
          </w:p>
        </w:tc>
      </w:tr>
      <w:tr w:rsidR="00B55AB1" w:rsidRPr="0087128E" w14:paraId="788619DE" w14:textId="77777777" w:rsidTr="00871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 w:type="pct"/>
            <w:tcBorders>
              <w:bottom w:val="nil"/>
            </w:tcBorders>
            <w:shd w:val="clear" w:color="000000" w:fill="E6E6E6"/>
          </w:tcPr>
          <w:p w14:paraId="36DB1097" w14:textId="77777777" w:rsidR="00B55AB1" w:rsidRPr="0087128E" w:rsidRDefault="00B55AB1" w:rsidP="006D08F0">
            <w:pPr>
              <w:pStyle w:val="TableBody"/>
              <w:spacing w:before="40" w:after="45"/>
              <w:ind w:right="108"/>
              <w:rPr>
                <w:rFonts w:cs="Open Sans"/>
                <w:bCs/>
                <w:color w:val="1D4374"/>
              </w:rPr>
            </w:pPr>
            <w:r w:rsidRPr="0087128E">
              <w:rPr>
                <w:rFonts w:cs="Open Sans"/>
                <w:bCs/>
                <w:color w:val="1D4374"/>
              </w:rPr>
              <w:t>UC</w:t>
            </w:r>
          </w:p>
        </w:tc>
        <w:tc>
          <w:tcPr>
            <w:tcW w:w="4118" w:type="pct"/>
            <w:tcBorders>
              <w:bottom w:val="nil"/>
            </w:tcBorders>
            <w:shd w:val="clear" w:color="000000" w:fill="E6E6E6"/>
          </w:tcPr>
          <w:p w14:paraId="0D184E72" w14:textId="77777777" w:rsidR="00B55AB1" w:rsidRPr="0087128E" w:rsidRDefault="00B55AB1" w:rsidP="006D08F0">
            <w:pPr>
              <w:pStyle w:val="TableBody"/>
              <w:spacing w:before="40" w:after="45"/>
              <w:ind w:right="108"/>
              <w:cnfStyle w:val="000000100000" w:firstRow="0" w:lastRow="0" w:firstColumn="0" w:lastColumn="0" w:oddVBand="0" w:evenVBand="0" w:oddHBand="1" w:evenHBand="0" w:firstRowFirstColumn="0" w:firstRowLastColumn="0" w:lastRowFirstColumn="0" w:lastRowLastColumn="0"/>
              <w:rPr>
                <w:rFonts w:cs="Open Sans"/>
                <w:bCs/>
                <w:color w:val="000000"/>
              </w:rPr>
            </w:pPr>
            <w:r w:rsidRPr="0087128E">
              <w:rPr>
                <w:rFonts w:cs="Open Sans"/>
                <w:bCs/>
                <w:color w:val="000000"/>
              </w:rPr>
              <w:t>User cost of capital</w:t>
            </w:r>
          </w:p>
        </w:tc>
      </w:tr>
      <w:tr w:rsidR="00B55AB1" w:rsidRPr="0087128E" w14:paraId="41E3D857" w14:textId="77777777" w:rsidTr="0087128E">
        <w:tc>
          <w:tcPr>
            <w:cnfStyle w:val="001000000000" w:firstRow="0" w:lastRow="0" w:firstColumn="1" w:lastColumn="0" w:oddVBand="0" w:evenVBand="0" w:oddHBand="0" w:evenHBand="0" w:firstRowFirstColumn="0" w:firstRowLastColumn="0" w:lastRowFirstColumn="0" w:lastRowLastColumn="0"/>
            <w:tcW w:w="882" w:type="pct"/>
            <w:tcBorders>
              <w:top w:val="nil"/>
            </w:tcBorders>
            <w:shd w:val="clear" w:color="000000" w:fill="auto"/>
          </w:tcPr>
          <w:p w14:paraId="4B9B4B2A" w14:textId="77777777" w:rsidR="00B55AB1" w:rsidRPr="0087128E" w:rsidRDefault="00B55AB1" w:rsidP="006D08F0">
            <w:pPr>
              <w:pStyle w:val="TableBody"/>
              <w:spacing w:before="40" w:after="45"/>
              <w:ind w:right="108"/>
              <w:rPr>
                <w:rFonts w:cs="Open Sans"/>
                <w:bCs/>
                <w:color w:val="1D4374"/>
              </w:rPr>
            </w:pPr>
            <w:r w:rsidRPr="0087128E">
              <w:rPr>
                <w:rFonts w:cs="Open Sans"/>
                <w:bCs/>
                <w:color w:val="1D4374"/>
              </w:rPr>
              <w:t>WTO</w:t>
            </w:r>
          </w:p>
        </w:tc>
        <w:tc>
          <w:tcPr>
            <w:tcW w:w="4118" w:type="pct"/>
            <w:tcBorders>
              <w:top w:val="nil"/>
            </w:tcBorders>
            <w:shd w:val="clear" w:color="000000" w:fill="auto"/>
          </w:tcPr>
          <w:p w14:paraId="1F9F6B4B" w14:textId="77777777" w:rsidR="00B55AB1" w:rsidRPr="0087128E" w:rsidRDefault="00B55AB1" w:rsidP="006D08F0">
            <w:pPr>
              <w:pStyle w:val="TableBody"/>
              <w:spacing w:before="40" w:after="45"/>
              <w:ind w:right="108"/>
              <w:cnfStyle w:val="000000000000" w:firstRow="0" w:lastRow="0" w:firstColumn="0" w:lastColumn="0" w:oddVBand="0" w:evenVBand="0" w:oddHBand="0" w:evenHBand="0" w:firstRowFirstColumn="0" w:firstRowLastColumn="0" w:lastRowFirstColumn="0" w:lastRowLastColumn="0"/>
              <w:rPr>
                <w:rFonts w:cs="Open Sans"/>
                <w:bCs/>
                <w:color w:val="000000"/>
              </w:rPr>
            </w:pPr>
            <w:r w:rsidRPr="0087128E">
              <w:rPr>
                <w:rFonts w:cs="Open Sans"/>
                <w:bCs/>
                <w:color w:val="000000"/>
              </w:rPr>
              <w:t>World Trade Organization</w:t>
            </w:r>
          </w:p>
        </w:tc>
      </w:tr>
    </w:tbl>
    <w:p w14:paraId="4B7B2613" w14:textId="77777777" w:rsidR="0095176B" w:rsidRDefault="0095176B" w:rsidP="00C51975">
      <w:pPr>
        <w:pStyle w:val="BodyText"/>
        <w:sectPr w:rsidR="0095176B" w:rsidSect="007B7B72">
          <w:headerReference w:type="default" r:id="rId106"/>
          <w:footerReference w:type="even" r:id="rId107"/>
          <w:footerReference w:type="default" r:id="rId108"/>
          <w:headerReference w:type="first" r:id="rId109"/>
          <w:pgSz w:w="11906" w:h="16838" w:code="9"/>
          <w:pgMar w:top="1134" w:right="1134" w:bottom="1134" w:left="1134" w:header="794" w:footer="510" w:gutter="0"/>
          <w:cols w:space="708"/>
          <w:docGrid w:linePitch="360"/>
        </w:sectPr>
      </w:pPr>
    </w:p>
    <w:p w14:paraId="48783BC8" w14:textId="15A15CAA" w:rsidR="006A0C9B" w:rsidRDefault="006A0C9B" w:rsidP="00C51975">
      <w:pPr>
        <w:pStyle w:val="BodyText"/>
      </w:pPr>
    </w:p>
    <w:p w14:paraId="07B9B756" w14:textId="77777777" w:rsidR="00C51975" w:rsidRDefault="00C51975" w:rsidP="00C51975">
      <w:pPr>
        <w:pStyle w:val="BodyText"/>
      </w:pPr>
    </w:p>
    <w:p w14:paraId="610E23AD" w14:textId="77777777" w:rsidR="0095176B" w:rsidRPr="00C51975" w:rsidRDefault="0095176B" w:rsidP="00C51975">
      <w:pPr>
        <w:pStyle w:val="BodyText"/>
        <w:sectPr w:rsidR="0095176B" w:rsidRPr="00C51975" w:rsidSect="007B7B72">
          <w:headerReference w:type="even" r:id="rId110"/>
          <w:pgSz w:w="11906" w:h="16838" w:code="9"/>
          <w:pgMar w:top="1134" w:right="1134" w:bottom="1134" w:left="1134" w:header="794" w:footer="510" w:gutter="0"/>
          <w:cols w:space="708"/>
          <w:docGrid w:linePitch="360"/>
        </w:sectPr>
      </w:pPr>
    </w:p>
    <w:p w14:paraId="3F6E2894" w14:textId="77777777" w:rsidR="00771BC3" w:rsidRPr="00610627" w:rsidRDefault="00771BC3" w:rsidP="00771BC3">
      <w:pPr>
        <w:pStyle w:val="Heading1-nobackground"/>
      </w:pPr>
      <w:bookmarkStart w:id="61" w:name="_Toc238643927"/>
      <w:r>
        <w:lastRenderedPageBreak/>
        <w:t>References</w:t>
      </w:r>
      <w:bookmarkEnd w:id="61"/>
    </w:p>
    <w:p w14:paraId="57760FE5" w14:textId="77777777" w:rsidR="000D68F9" w:rsidRDefault="000D68F9" w:rsidP="00637173">
      <w:pPr>
        <w:pStyle w:val="Bibliography"/>
        <w:sectPr w:rsidR="000D68F9" w:rsidSect="006D08F0">
          <w:headerReference w:type="default" r:id="rId111"/>
          <w:pgSz w:w="11906" w:h="16838" w:code="9"/>
          <w:pgMar w:top="1134" w:right="1134" w:bottom="1134" w:left="1134" w:header="794" w:footer="510" w:gutter="0"/>
          <w:cols w:space="708"/>
          <w:docGrid w:linePitch="360"/>
        </w:sectPr>
      </w:pPr>
    </w:p>
    <w:p w14:paraId="1120A295" w14:textId="5503F2C0" w:rsidR="00637173" w:rsidRPr="00637173" w:rsidRDefault="00637173" w:rsidP="00A866F3">
      <w:pPr>
        <w:pStyle w:val="Reference"/>
      </w:pPr>
      <w:r w:rsidRPr="00637173">
        <w:t>ABS 2025, BLADE Modular Product: Data Item List. Microdata, TableBuilder: Business Longitudinal Analysis Data Environment, BLADE | Australian Bureau of Statistics, Australian Bureau of Statistics, https://www.abs.gov.au/</w:t>
      </w:r>
      <w:r w:rsidR="00A866F3">
        <w:br/>
      </w:r>
      <w:r w:rsidRPr="00637173">
        <w:t>statistics/microdata-tablebuilder/available-microdata-tablebuilder/business-longitudinal-analysis-data-environment-blade (accessed 25 August 2026).</w:t>
      </w:r>
    </w:p>
    <w:p w14:paraId="2C09EE32" w14:textId="1241AC8C" w:rsidR="00637173" w:rsidRPr="00637173" w:rsidRDefault="00637173" w:rsidP="00A866F3">
      <w:pPr>
        <w:pStyle w:val="Reference"/>
      </w:pPr>
      <w:r w:rsidRPr="00637173">
        <w:t>——</w:t>
      </w:r>
      <w:r w:rsidR="00A866F3">
        <w:t> </w:t>
      </w:r>
      <w:r w:rsidRPr="00637173">
        <w:t>2022, International Merchandise Trade, Australia: Concepts, Sources and Methods, 2018 | Australian Bureau of Statistics, https://www.abs.gov.au/statistics/detailed-methodology-information/concepts-sources-methods/international-merchandise-trade-australia-concepts-sources-and-methods/latest-release (accessed 25</w:t>
      </w:r>
      <w:r w:rsidR="00A866F3">
        <w:t> </w:t>
      </w:r>
      <w:r w:rsidRPr="00637173">
        <w:t>August 2026).</w:t>
      </w:r>
    </w:p>
    <w:p w14:paraId="1403B342" w14:textId="74263860" w:rsidR="00637173" w:rsidRPr="00637173" w:rsidRDefault="00637173" w:rsidP="00A866F3">
      <w:pPr>
        <w:pStyle w:val="Reference"/>
      </w:pPr>
      <w:r w:rsidRPr="00637173">
        <w:t>——</w:t>
      </w:r>
      <w:r w:rsidR="00A866F3">
        <w:t> </w:t>
      </w:r>
      <w:r w:rsidRPr="00637173">
        <w:t>2026, International Trade in Goods methodology, June 2026 | Australian Bureau of Statistics, https://www.abs.gov.au/methodologies/international-trade-goods-methodology/jun-2026 (accessed 22 August 2026).</w:t>
      </w:r>
    </w:p>
    <w:p w14:paraId="6D009C34" w14:textId="77777777" w:rsidR="00637173" w:rsidRPr="00637173" w:rsidRDefault="00637173" w:rsidP="00A866F3">
      <w:pPr>
        <w:pStyle w:val="Reference"/>
      </w:pPr>
      <w:r w:rsidRPr="00637173">
        <w:t xml:space="preserve">ADC (Anti-Dumping Commission) 2026, </w:t>
      </w:r>
      <w:r w:rsidRPr="00C9760D">
        <w:rPr>
          <w:i/>
          <w:iCs/>
        </w:rPr>
        <w:t>Dumping commodity register: Hot rolled structural steel sections</w:t>
      </w:r>
      <w:r w:rsidRPr="00637173">
        <w:t>.</w:t>
      </w:r>
    </w:p>
    <w:p w14:paraId="4B755DB1" w14:textId="77777777" w:rsidR="00637173" w:rsidRPr="00637173" w:rsidRDefault="00637173" w:rsidP="00A866F3">
      <w:pPr>
        <w:pStyle w:val="Reference"/>
      </w:pPr>
      <w:r w:rsidRPr="00637173">
        <w:t xml:space="preserve">ASI (Australian Steel Institute) 2016, </w:t>
      </w:r>
      <w:r w:rsidRPr="00C9760D">
        <w:rPr>
          <w:i/>
          <w:iCs/>
        </w:rPr>
        <w:t>Submission to the Senate Economics References Committee inquiry into the future of Australia’s steel industry.</w:t>
      </w:r>
    </w:p>
    <w:p w14:paraId="19A58DC9" w14:textId="7FA3429B" w:rsidR="00637173" w:rsidRPr="00637173" w:rsidRDefault="00637173" w:rsidP="00A866F3">
      <w:pPr>
        <w:pStyle w:val="Reference"/>
      </w:pPr>
      <w:r w:rsidRPr="00637173">
        <w:t>——</w:t>
      </w:r>
      <w:r w:rsidR="00A866F3">
        <w:t> </w:t>
      </w:r>
      <w:r w:rsidR="00762450" w:rsidRPr="00762450">
        <w:t>2026</w:t>
      </w:r>
      <w:r w:rsidRPr="00637173">
        <w:t>, Application for Australian provisional and definitive safeguards: fabricated structural steel (public file).</w:t>
      </w:r>
    </w:p>
    <w:p w14:paraId="7F3D1A7A" w14:textId="22571CA7" w:rsidR="00637173" w:rsidRPr="00637173" w:rsidRDefault="00637173" w:rsidP="00A866F3">
      <w:pPr>
        <w:pStyle w:val="Reference"/>
      </w:pPr>
      <w:r w:rsidRPr="00637173">
        <w:t>Australian Border Force 2024, Current tariff classification Schedule 3 - Section XV - Base metals and articles of base metal Chapter 73 - Articles of iron or steel, Australian Border Force Website, https://www.abf.gov.au/ (accessed 5</w:t>
      </w:r>
      <w:r w:rsidR="00C9760D">
        <w:t> </w:t>
      </w:r>
      <w:r w:rsidRPr="00637173">
        <w:t>August 2026).</w:t>
      </w:r>
    </w:p>
    <w:p w14:paraId="662DBEF1" w14:textId="6F8291CE" w:rsidR="00637173" w:rsidRPr="00A866F3" w:rsidRDefault="00637173" w:rsidP="00A866F3">
      <w:pPr>
        <w:pStyle w:val="Reference"/>
        <w:rPr>
          <w:spacing w:val="-2"/>
        </w:rPr>
      </w:pPr>
      <w:r w:rsidRPr="00A866F3">
        <w:rPr>
          <w:spacing w:val="-2"/>
        </w:rPr>
        <w:t>——</w:t>
      </w:r>
      <w:r w:rsidR="00A866F3" w:rsidRPr="00A866F3">
        <w:rPr>
          <w:spacing w:val="-2"/>
        </w:rPr>
        <w:t> </w:t>
      </w:r>
      <w:r w:rsidRPr="00A866F3">
        <w:rPr>
          <w:spacing w:val="-2"/>
        </w:rPr>
        <w:t xml:space="preserve">2025a, </w:t>
      </w:r>
      <w:r w:rsidRPr="00C9760D">
        <w:rPr>
          <w:i/>
          <w:iCs/>
          <w:spacing w:val="-2"/>
        </w:rPr>
        <w:t>Australian Customs Notice No. 2025/15: Cheese and Curd Quota Scheme - change to allocations for 2025-26</w:t>
      </w:r>
      <w:r w:rsidRPr="00A866F3">
        <w:rPr>
          <w:spacing w:val="-2"/>
        </w:rPr>
        <w:t>.</w:t>
      </w:r>
    </w:p>
    <w:p w14:paraId="040310E0" w14:textId="3B881AAC" w:rsidR="00637173" w:rsidRPr="00637173" w:rsidRDefault="00637173" w:rsidP="00A866F3">
      <w:pPr>
        <w:pStyle w:val="Reference"/>
      </w:pPr>
      <w:r w:rsidRPr="00637173">
        <w:t>——</w:t>
      </w:r>
      <w:r w:rsidR="00A866F3">
        <w:t> </w:t>
      </w:r>
      <w:r w:rsidRPr="00637173">
        <w:t>2025b, Current tariff classification, Australian Border Force Website, https://www.abf.gov.au/ (accessed 5 August 2026).</w:t>
      </w:r>
    </w:p>
    <w:p w14:paraId="04AB1561" w14:textId="77777777" w:rsidR="00637173" w:rsidRPr="00637173" w:rsidRDefault="00637173" w:rsidP="00A866F3">
      <w:pPr>
        <w:pStyle w:val="Reference"/>
      </w:pPr>
      <w:r w:rsidRPr="00637173">
        <w:t xml:space="preserve">Dixon, P, Rimmer, M and </w:t>
      </w:r>
      <w:proofErr w:type="spellStart"/>
      <w:r w:rsidRPr="00637173">
        <w:t>Tsigas</w:t>
      </w:r>
      <w:proofErr w:type="spellEnd"/>
      <w:r w:rsidRPr="00637173">
        <w:t xml:space="preserve">, M 2007, ‘Regionalising results from a detailed CGE model: macro, industry and state effects in the US of removing major tariffs and quotas’, </w:t>
      </w:r>
      <w:r w:rsidRPr="00C9760D">
        <w:rPr>
          <w:i/>
          <w:iCs/>
        </w:rPr>
        <w:t>Papers in Regional Science</w:t>
      </w:r>
      <w:r w:rsidRPr="00637173">
        <w:t>, vol. 86, no. 1.</w:t>
      </w:r>
    </w:p>
    <w:p w14:paraId="325FDFF7" w14:textId="77777777" w:rsidR="00637173" w:rsidRPr="00637173" w:rsidRDefault="00637173" w:rsidP="00A866F3">
      <w:pPr>
        <w:pStyle w:val="Reference"/>
      </w:pPr>
      <w:r w:rsidRPr="00637173">
        <w:t xml:space="preserve">DPMC (Australian Government Department of the Prime Minister and Cabinet) 2026, </w:t>
      </w:r>
      <w:r w:rsidRPr="00C9760D">
        <w:rPr>
          <w:i/>
          <w:iCs/>
        </w:rPr>
        <w:t>Australian Government impact analysis framework</w:t>
      </w:r>
      <w:r w:rsidRPr="00637173">
        <w:t>.</w:t>
      </w:r>
    </w:p>
    <w:p w14:paraId="231FC346" w14:textId="77777777" w:rsidR="00637173" w:rsidRPr="00637173" w:rsidRDefault="00637173" w:rsidP="00A866F3">
      <w:pPr>
        <w:pStyle w:val="Reference"/>
      </w:pPr>
      <w:r w:rsidRPr="00637173">
        <w:t xml:space="preserve">Grossman, G, </w:t>
      </w:r>
      <w:proofErr w:type="spellStart"/>
      <w:r w:rsidRPr="00637173">
        <w:t>Helpman</w:t>
      </w:r>
      <w:proofErr w:type="spellEnd"/>
      <w:r w:rsidRPr="00637173">
        <w:t xml:space="preserve">, E and Redding, S 2024, ‘When tariffs disrupt global supply chains’, </w:t>
      </w:r>
      <w:r w:rsidRPr="00C9760D">
        <w:rPr>
          <w:i/>
          <w:iCs/>
        </w:rPr>
        <w:t>American Economic Review</w:t>
      </w:r>
      <w:r w:rsidRPr="00637173">
        <w:t>, vol. 114, no. 4.</w:t>
      </w:r>
    </w:p>
    <w:p w14:paraId="14932548" w14:textId="3FB9F8DA" w:rsidR="00637173" w:rsidRPr="00637173" w:rsidRDefault="00637173" w:rsidP="00A866F3">
      <w:pPr>
        <w:pStyle w:val="Reference"/>
      </w:pPr>
      <w:proofErr w:type="spellStart"/>
      <w:r w:rsidRPr="00637173">
        <w:t>Hambur</w:t>
      </w:r>
      <w:proofErr w:type="spellEnd"/>
      <w:r w:rsidRPr="00637173">
        <w:t>, J and Andrews, D 2023</w:t>
      </w:r>
      <w:r w:rsidR="00626A83">
        <w:t>a</w:t>
      </w:r>
      <w:r w:rsidRPr="00637173">
        <w:t xml:space="preserve">, </w:t>
      </w:r>
      <w:r w:rsidR="00C9760D" w:rsidRPr="00637173">
        <w:t>‘Supplementary Information for RDP 2023-03: Doing Less, with Less: Capital Misallocation, Investment and the Productivity Slowdown in Australia’, Reserve Bank of Australia, Research Discussion Papers, March, https://www.rba.gov.au/publications/</w:t>
      </w:r>
      <w:r w:rsidR="00C9760D">
        <w:br/>
      </w:r>
      <w:proofErr w:type="spellStart"/>
      <w:r w:rsidR="00C9760D" w:rsidRPr="00637173">
        <w:t>rdp</w:t>
      </w:r>
      <w:proofErr w:type="spellEnd"/>
      <w:r w:rsidR="00C9760D" w:rsidRPr="00637173">
        <w:t>/2023/2023-03/supplementary-information.html (accessed 25 August 2026).</w:t>
      </w:r>
    </w:p>
    <w:p w14:paraId="6C09EE41" w14:textId="4981B0DF" w:rsidR="00637173" w:rsidRPr="00637173" w:rsidRDefault="00637173" w:rsidP="00A866F3">
      <w:pPr>
        <w:pStyle w:val="Reference"/>
      </w:pPr>
      <w:r w:rsidRPr="00637173">
        <w:t>—— and ——</w:t>
      </w:r>
      <w:r w:rsidR="00A866F3">
        <w:t> </w:t>
      </w:r>
      <w:r w:rsidRPr="00637173">
        <w:t xml:space="preserve">2023b, </w:t>
      </w:r>
      <w:r w:rsidR="00C9760D" w:rsidRPr="00C9760D">
        <w:rPr>
          <w:i/>
          <w:iCs/>
        </w:rPr>
        <w:t>Doing Less, with Less: Capital Misallocation, Investment and the Productivity Slowdown in Australia</w:t>
      </w:r>
      <w:r w:rsidR="00C9760D" w:rsidRPr="00637173">
        <w:t>, RBA Research Discussion Papers, 22</w:t>
      </w:r>
      <w:r w:rsidR="00C9760D">
        <w:t> </w:t>
      </w:r>
      <w:r w:rsidR="00C9760D" w:rsidRPr="00637173">
        <w:t xml:space="preserve">March, RBA </w:t>
      </w:r>
      <w:r w:rsidR="00C9760D" w:rsidRPr="00637173">
        <w:t>Research Discussion Papers, Reserve Bank of Australia, https://www.rba.gov.au/publications/rdp/2023/2023-03.html (accessed 22 August 2026).</w:t>
      </w:r>
    </w:p>
    <w:p w14:paraId="54062F2B" w14:textId="77777777" w:rsidR="00637173" w:rsidRPr="00637173" w:rsidRDefault="00637173" w:rsidP="00A866F3">
      <w:pPr>
        <w:pStyle w:val="Reference"/>
      </w:pPr>
      <w:r w:rsidRPr="00637173">
        <w:t xml:space="preserve">Infrastructure Australia 2025, </w:t>
      </w:r>
      <w:r w:rsidRPr="00C9760D">
        <w:rPr>
          <w:i/>
          <w:iCs/>
        </w:rPr>
        <w:t>Infrastructure Market Capacity 2025 Report</w:t>
      </w:r>
      <w:r w:rsidRPr="00637173">
        <w:t>, November, Infrastructure Australia.</w:t>
      </w:r>
    </w:p>
    <w:p w14:paraId="0C4C72B2" w14:textId="77777777" w:rsidR="00637173" w:rsidRPr="00C9760D" w:rsidRDefault="00637173" w:rsidP="00A866F3">
      <w:pPr>
        <w:pStyle w:val="Reference"/>
        <w:rPr>
          <w:spacing w:val="-2"/>
        </w:rPr>
      </w:pPr>
      <w:r w:rsidRPr="00C9760D">
        <w:rPr>
          <w:spacing w:val="-2"/>
        </w:rPr>
        <w:t xml:space="preserve">McMillan, H and Burns, C 2021, </w:t>
      </w:r>
      <w:r w:rsidRPr="00C9760D">
        <w:rPr>
          <w:i/>
          <w:iCs/>
          <w:spacing w:val="-2"/>
        </w:rPr>
        <w:t>BLADE for productivity research</w:t>
      </w:r>
      <w:r w:rsidRPr="00C9760D">
        <w:rPr>
          <w:spacing w:val="-2"/>
        </w:rPr>
        <w:t>, Staff Working Paper, May, Productivity Commission.</w:t>
      </w:r>
    </w:p>
    <w:p w14:paraId="6BD8C39E" w14:textId="77777777" w:rsidR="00637173" w:rsidRPr="00637173" w:rsidRDefault="00637173" w:rsidP="00A866F3">
      <w:pPr>
        <w:pStyle w:val="Reference"/>
      </w:pPr>
      <w:r w:rsidRPr="00637173">
        <w:t xml:space="preserve">OECD 1998, </w:t>
      </w:r>
      <w:r w:rsidRPr="00C9760D">
        <w:rPr>
          <w:i/>
          <w:iCs/>
        </w:rPr>
        <w:t>OECD Steel Outlook 1998</w:t>
      </w:r>
      <w:r w:rsidRPr="00637173">
        <w:t>, 23 October, OECD.</w:t>
      </w:r>
    </w:p>
    <w:p w14:paraId="75D58400" w14:textId="79B7C45B" w:rsidR="00637173" w:rsidRPr="00637173" w:rsidRDefault="00637173" w:rsidP="00A866F3">
      <w:pPr>
        <w:pStyle w:val="Reference"/>
      </w:pPr>
      <w:r w:rsidRPr="00637173">
        <w:t>——</w:t>
      </w:r>
      <w:r w:rsidR="00A866F3">
        <w:t> </w:t>
      </w:r>
      <w:r w:rsidRPr="00637173">
        <w:t xml:space="preserve">2026, </w:t>
      </w:r>
      <w:r w:rsidRPr="00C9760D">
        <w:rPr>
          <w:i/>
          <w:iCs/>
        </w:rPr>
        <w:t>OECD Steel Outlook 2026</w:t>
      </w:r>
      <w:r w:rsidRPr="00637173">
        <w:t>, 4 June, OECD Publishing.</w:t>
      </w:r>
    </w:p>
    <w:p w14:paraId="1B35DABB" w14:textId="2BC3E8E3" w:rsidR="00637173" w:rsidRPr="00A866F3" w:rsidRDefault="00637173" w:rsidP="00A866F3">
      <w:pPr>
        <w:pStyle w:val="Reference"/>
        <w:rPr>
          <w:spacing w:val="-4"/>
        </w:rPr>
      </w:pPr>
      <w:r w:rsidRPr="00A866F3">
        <w:rPr>
          <w:spacing w:val="-4"/>
        </w:rPr>
        <w:t>——</w:t>
      </w:r>
      <w:r w:rsidR="00A866F3" w:rsidRPr="00A866F3">
        <w:rPr>
          <w:spacing w:val="-4"/>
        </w:rPr>
        <w:t> </w:t>
      </w:r>
      <w:r w:rsidRPr="00A866F3">
        <w:rPr>
          <w:spacing w:val="-4"/>
        </w:rPr>
        <w:t xml:space="preserve">2009, </w:t>
      </w:r>
      <w:r w:rsidRPr="00C9760D">
        <w:rPr>
          <w:i/>
          <w:iCs/>
          <w:spacing w:val="-4"/>
        </w:rPr>
        <w:t>Measuring Capital - OECD Manual 2009</w:t>
      </w:r>
      <w:r w:rsidRPr="00A866F3">
        <w:rPr>
          <w:spacing w:val="-4"/>
        </w:rPr>
        <w:t xml:space="preserve">, 2nd </w:t>
      </w:r>
      <w:proofErr w:type="spellStart"/>
      <w:r w:rsidRPr="00A866F3">
        <w:rPr>
          <w:spacing w:val="-4"/>
        </w:rPr>
        <w:t>edn</w:t>
      </w:r>
      <w:proofErr w:type="spellEnd"/>
      <w:r w:rsidRPr="00A866F3">
        <w:rPr>
          <w:spacing w:val="-4"/>
        </w:rPr>
        <w:t>.</w:t>
      </w:r>
    </w:p>
    <w:p w14:paraId="7C14EC9B" w14:textId="2B4BE136" w:rsidR="00637173" w:rsidRPr="00637173" w:rsidRDefault="00637173" w:rsidP="00A866F3">
      <w:pPr>
        <w:pStyle w:val="Reference"/>
      </w:pPr>
      <w:r w:rsidRPr="00637173">
        <w:t xml:space="preserve">Oxford Economics Australia 2025, </w:t>
      </w:r>
      <w:r w:rsidRPr="00C9760D">
        <w:rPr>
          <w:i/>
          <w:iCs/>
        </w:rPr>
        <w:t>Australian Fabricated Steel Market</w:t>
      </w:r>
      <w:r w:rsidRPr="00637173">
        <w:t xml:space="preserve">, Report for </w:t>
      </w:r>
      <w:r w:rsidR="00C9760D">
        <w:t xml:space="preserve">the </w:t>
      </w:r>
      <w:r w:rsidRPr="00637173">
        <w:t>Australian Steel Institute, August, Oxford Economics Australia.</w:t>
      </w:r>
    </w:p>
    <w:p w14:paraId="49C5EABF" w14:textId="77777777" w:rsidR="00637173" w:rsidRPr="00637173" w:rsidRDefault="00637173" w:rsidP="00A866F3">
      <w:pPr>
        <w:pStyle w:val="Reference"/>
      </w:pPr>
      <w:r w:rsidRPr="00637173">
        <w:t xml:space="preserve">PC (Productivity Commission) 1998, </w:t>
      </w:r>
      <w:r w:rsidRPr="00C9760D">
        <w:rPr>
          <w:i/>
          <w:iCs/>
        </w:rPr>
        <w:t>Pig and pigmeat industries: safeguard action against imports</w:t>
      </w:r>
      <w:r w:rsidRPr="00637173">
        <w:t>, Report no. 3, Canberra.</w:t>
      </w:r>
    </w:p>
    <w:p w14:paraId="48CB85B7" w14:textId="494AE856" w:rsidR="00637173" w:rsidRPr="00637173" w:rsidRDefault="00637173" w:rsidP="00A866F3">
      <w:pPr>
        <w:pStyle w:val="Reference"/>
      </w:pPr>
      <w:r w:rsidRPr="00637173">
        <w:t>——</w:t>
      </w:r>
      <w:r w:rsidR="00A866F3">
        <w:t> </w:t>
      </w:r>
      <w:r w:rsidRPr="00637173">
        <w:t xml:space="preserve">2000, </w:t>
      </w:r>
      <w:r w:rsidRPr="00C9760D">
        <w:rPr>
          <w:i/>
          <w:iCs/>
        </w:rPr>
        <w:t>Review of Australia’s General Tariff Arrangements</w:t>
      </w:r>
      <w:r w:rsidRPr="00637173">
        <w:t>, Report no. 12, Canberra.</w:t>
      </w:r>
    </w:p>
    <w:p w14:paraId="42D59FA3" w14:textId="4941236C" w:rsidR="00637173" w:rsidRPr="00637173" w:rsidRDefault="00637173" w:rsidP="00A866F3">
      <w:pPr>
        <w:pStyle w:val="Reference"/>
      </w:pPr>
      <w:r w:rsidRPr="00637173">
        <w:t>——</w:t>
      </w:r>
      <w:r w:rsidR="00A866F3">
        <w:t> </w:t>
      </w:r>
      <w:r w:rsidRPr="00637173">
        <w:t xml:space="preserve">2010, </w:t>
      </w:r>
      <w:r w:rsidRPr="00C9760D">
        <w:rPr>
          <w:i/>
          <w:iCs/>
        </w:rPr>
        <w:t>Australia’s Anti-dumping and Countervailing System</w:t>
      </w:r>
      <w:r w:rsidRPr="00637173">
        <w:t>, Report no. 48, Canberra.</w:t>
      </w:r>
    </w:p>
    <w:p w14:paraId="185A081C" w14:textId="3FC42CAB" w:rsidR="00637173" w:rsidRPr="00637173" w:rsidRDefault="00637173" w:rsidP="00A866F3">
      <w:pPr>
        <w:pStyle w:val="Reference"/>
      </w:pPr>
      <w:r w:rsidRPr="00637173">
        <w:t>——</w:t>
      </w:r>
      <w:r w:rsidR="00A866F3">
        <w:t> </w:t>
      </w:r>
      <w:r w:rsidRPr="00637173">
        <w:t xml:space="preserve">2021, </w:t>
      </w:r>
      <w:r w:rsidRPr="00C9760D">
        <w:rPr>
          <w:i/>
          <w:iCs/>
        </w:rPr>
        <w:t>Vulnerable Supply Chains</w:t>
      </w:r>
      <w:r w:rsidRPr="00637173">
        <w:t xml:space="preserve">, Study </w:t>
      </w:r>
      <w:r w:rsidR="00C9760D">
        <w:t>r</w:t>
      </w:r>
      <w:r w:rsidRPr="00637173">
        <w:t>eport.</w:t>
      </w:r>
    </w:p>
    <w:p w14:paraId="50F5D01F" w14:textId="31C80B83" w:rsidR="00637173" w:rsidRPr="00637173" w:rsidRDefault="00637173" w:rsidP="00A866F3">
      <w:pPr>
        <w:pStyle w:val="Reference"/>
      </w:pPr>
      <w:r w:rsidRPr="00637173">
        <w:t>——</w:t>
      </w:r>
      <w:r w:rsidR="00A866F3">
        <w:t> </w:t>
      </w:r>
      <w:r w:rsidRPr="00637173">
        <w:t>2025, Guardrails for modern industry policy, Research paper.</w:t>
      </w:r>
    </w:p>
    <w:p w14:paraId="013E06B7" w14:textId="77777777" w:rsidR="00637173" w:rsidRPr="00637173" w:rsidRDefault="00637173" w:rsidP="00A866F3">
      <w:pPr>
        <w:pStyle w:val="Reference"/>
      </w:pPr>
      <w:r w:rsidRPr="00637173">
        <w:t xml:space="preserve">Senate Economics References Committee 2017, </w:t>
      </w:r>
      <w:r w:rsidRPr="000B7A21">
        <w:rPr>
          <w:i/>
          <w:iCs/>
        </w:rPr>
        <w:t>Australia’s steel industry: forging ahead</w:t>
      </w:r>
      <w:r w:rsidRPr="00637173">
        <w:t>, Parliament of Australia, Canberra.</w:t>
      </w:r>
    </w:p>
    <w:p w14:paraId="4394389A" w14:textId="77777777" w:rsidR="00637173" w:rsidRPr="00637173" w:rsidRDefault="00637173" w:rsidP="00A866F3">
      <w:pPr>
        <w:pStyle w:val="Reference"/>
      </w:pPr>
      <w:r w:rsidRPr="00637173">
        <w:t xml:space="preserve">Van den Bossche, P and </w:t>
      </w:r>
      <w:proofErr w:type="spellStart"/>
      <w:r w:rsidRPr="00637173">
        <w:t>Zdouc</w:t>
      </w:r>
      <w:proofErr w:type="spellEnd"/>
      <w:r w:rsidRPr="00637173">
        <w:t xml:space="preserve">, W 2022, </w:t>
      </w:r>
      <w:r w:rsidRPr="000B7A21">
        <w:rPr>
          <w:i/>
          <w:iCs/>
        </w:rPr>
        <w:t>The Law and Policy of the World Trade Organization: Text, Cases, and Materials</w:t>
      </w:r>
      <w:r w:rsidRPr="00637173">
        <w:t xml:space="preserve">, 5th </w:t>
      </w:r>
      <w:proofErr w:type="spellStart"/>
      <w:r w:rsidRPr="00637173">
        <w:t>edn</w:t>
      </w:r>
      <w:proofErr w:type="spellEnd"/>
      <w:r w:rsidRPr="00637173">
        <w:t>, Cambridge University Press.</w:t>
      </w:r>
    </w:p>
    <w:p w14:paraId="284C4689" w14:textId="77777777" w:rsidR="00637173" w:rsidRPr="00637173" w:rsidRDefault="00637173" w:rsidP="00A866F3">
      <w:pPr>
        <w:pStyle w:val="Reference"/>
      </w:pPr>
      <w:r w:rsidRPr="00637173">
        <w:t xml:space="preserve">WTO (World Trade Organization) 1994, </w:t>
      </w:r>
      <w:r w:rsidRPr="000B7A21">
        <w:rPr>
          <w:i/>
          <w:iCs/>
        </w:rPr>
        <w:t>Australia - Schedule I: Schedule of concessions on goods</w:t>
      </w:r>
      <w:r w:rsidRPr="00637173">
        <w:t>.</w:t>
      </w:r>
    </w:p>
    <w:p w14:paraId="113ACBDE" w14:textId="72201E01" w:rsidR="00637173" w:rsidRPr="00637173" w:rsidRDefault="00637173" w:rsidP="00A866F3">
      <w:pPr>
        <w:pStyle w:val="Reference"/>
      </w:pPr>
      <w:r w:rsidRPr="00637173">
        <w:t>——</w:t>
      </w:r>
      <w:r w:rsidR="00A866F3">
        <w:t> </w:t>
      </w:r>
      <w:r w:rsidRPr="00637173">
        <w:t xml:space="preserve">2026, </w:t>
      </w:r>
      <w:r w:rsidRPr="000B7A21">
        <w:rPr>
          <w:i/>
          <w:iCs/>
        </w:rPr>
        <w:t>Notification under Article 12.1(a) of the Agreement on Safeguards on Initiation of an Investigation and the Reasons for it: Australia - Fabricated Structural Steel</w:t>
      </w:r>
      <w:r w:rsidRPr="00637173">
        <w:t>, G/SG/N/6/AUS/5, WTO Committee on Safeguards.</w:t>
      </w:r>
    </w:p>
    <w:p w14:paraId="17ABABD0" w14:textId="0868F88A" w:rsidR="00637173" w:rsidRPr="00637173" w:rsidRDefault="00637173" w:rsidP="00A866F3">
      <w:pPr>
        <w:pStyle w:val="Reference"/>
      </w:pPr>
      <w:r w:rsidRPr="00637173">
        <w:t xml:space="preserve">Zhou, W and Fang, MM 2023, ‘“Unforeseen Developments” Before and After US – Safeguard Measure on PV Products: High Standard or New Standard?’, </w:t>
      </w:r>
      <w:r w:rsidRPr="00A40F9D">
        <w:rPr>
          <w:i/>
          <w:iCs/>
        </w:rPr>
        <w:t>World Trade Review</w:t>
      </w:r>
      <w:r w:rsidRPr="00637173">
        <w:t>, vol. 22, no. 5, pp. 541–561.</w:t>
      </w:r>
    </w:p>
    <w:p w14:paraId="2440F9D1" w14:textId="4097A45B" w:rsidR="003C3B31" w:rsidRPr="001170D5" w:rsidRDefault="003C3B31" w:rsidP="00A866F3">
      <w:pPr>
        <w:pStyle w:val="Reference"/>
      </w:pPr>
    </w:p>
    <w:sectPr w:rsidR="003C3B31" w:rsidRPr="001170D5" w:rsidSect="00515EA5">
      <w:type w:val="continuous"/>
      <w:pgSz w:w="11906" w:h="16838" w:code="9"/>
      <w:pgMar w:top="1134" w:right="1134" w:bottom="1134" w:left="1134" w:header="680" w:footer="510"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8BBFC" w14:textId="77777777" w:rsidR="0086264E" w:rsidRDefault="0086264E" w:rsidP="008017BC">
      <w:r>
        <w:separator/>
      </w:r>
    </w:p>
    <w:p w14:paraId="5AB0662C" w14:textId="77777777" w:rsidR="0086264E" w:rsidRDefault="0086264E"/>
  </w:endnote>
  <w:endnote w:type="continuationSeparator" w:id="0">
    <w:p w14:paraId="5EADE95D" w14:textId="77777777" w:rsidR="0086264E" w:rsidRDefault="0086264E" w:rsidP="008017BC">
      <w:r>
        <w:continuationSeparator/>
      </w:r>
    </w:p>
    <w:p w14:paraId="50DE8A1F" w14:textId="77777777" w:rsidR="0086264E" w:rsidRDefault="008626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Open Sans Extrabold">
    <w:panose1 w:val="020B0906030804020204"/>
    <w:charset w:val="00"/>
    <w:family w:val="swiss"/>
    <w:pitch w:val="variable"/>
    <w:sig w:usb0="E00002EF" w:usb1="4000205B" w:usb2="00000028" w:usb3="00000000" w:csb0="0000019F" w:csb1="00000000"/>
  </w:font>
  <w:font w:name="SimHei">
    <w:panose1 w:val="02010600030101010101"/>
    <w:charset w:val="86"/>
    <w:family w:val="modern"/>
    <w:pitch w:val="fixed"/>
    <w:sig w:usb0="800002BF" w:usb1="38CF7CFA"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Open Sans Semibold">
    <w:panose1 w:val="020B07060308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78C60" w14:textId="77777777" w:rsidR="00F04EA7" w:rsidRPr="00187F05" w:rsidRDefault="00F04EA7" w:rsidP="00A471AE">
    <w:pPr>
      <w:pStyle w:val="Footer"/>
      <w:jc w:val="right"/>
    </w:pPr>
    <w:r w:rsidRPr="00187F05">
      <w:fldChar w:fldCharType="begin"/>
    </w:r>
    <w:r w:rsidRPr="00187F05">
      <w:instrText xml:space="preserve"> PAGE   \* MERGEFORMAT </w:instrText>
    </w:r>
    <w:r w:rsidRPr="00187F05">
      <w:fldChar w:fldCharType="separate"/>
    </w:r>
    <w:r w:rsidRPr="00187F05">
      <w:t>1</w:t>
    </w:r>
    <w:r w:rsidRPr="00187F05">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CBB34" w14:textId="77777777" w:rsidR="00D15113" w:rsidRDefault="00F04EA7" w:rsidP="002E3F19">
    <w:pPr>
      <w:pStyle w:val="Footer"/>
    </w:pPr>
    <w:r w:rsidRPr="00187F05">
      <w:fldChar w:fldCharType="begin"/>
    </w:r>
    <w:r w:rsidRPr="00187F05">
      <w:instrText xml:space="preserve"> PAGE   \* MERGEFORMAT </w:instrText>
    </w:r>
    <w:r w:rsidRPr="00187F05">
      <w:fldChar w:fldCharType="separate"/>
    </w:r>
    <w:r w:rsidRPr="00187F05">
      <w:t>1</w:t>
    </w:r>
    <w:r w:rsidRPr="00187F05">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6362068"/>
      <w:docPartObj>
        <w:docPartGallery w:val="Page Numbers (Bottom of Page)"/>
        <w:docPartUnique/>
      </w:docPartObj>
    </w:sdtPr>
    <w:sdtContent>
      <w:sdt>
        <w:sdtPr>
          <w:id w:val="-1604177381"/>
          <w:docPartObj>
            <w:docPartGallery w:val="Page Numbers (Top of Page)"/>
            <w:docPartUnique/>
          </w:docPartObj>
        </w:sdtPr>
        <w:sdtContent>
          <w:p w14:paraId="09C507A9" w14:textId="77777777" w:rsidR="00D15113" w:rsidRDefault="00F04EA7" w:rsidP="002E3F19">
            <w:pPr>
              <w:pStyle w:val="Footer-right"/>
            </w:pPr>
            <w:r w:rsidRPr="0042508F">
              <w:rPr>
                <w:sz w:val="24"/>
              </w:rPr>
              <w:fldChar w:fldCharType="begin"/>
            </w:r>
            <w:r w:rsidRPr="0042508F">
              <w:instrText xml:space="preserve"> PAGE </w:instrText>
            </w:r>
            <w:r w:rsidRPr="0042508F">
              <w:rPr>
                <w:sz w:val="24"/>
              </w:rPr>
              <w:fldChar w:fldCharType="separate"/>
            </w:r>
            <w:r>
              <w:rPr>
                <w:noProof/>
              </w:rPr>
              <w:t>1</w:t>
            </w:r>
            <w:r w:rsidRPr="0042508F">
              <w:rPr>
                <w:sz w:val="24"/>
              </w:rPr>
              <w:fldChar w:fldCharType="end"/>
            </w:r>
          </w:p>
        </w:sdtContent>
      </w:sdt>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0CD28" w14:textId="77777777" w:rsidR="00D15113" w:rsidRDefault="00F04EA7" w:rsidP="002E3F19">
    <w:pPr>
      <w:pStyle w:val="Footer"/>
    </w:pPr>
    <w:r w:rsidRPr="00187F05">
      <w:fldChar w:fldCharType="begin"/>
    </w:r>
    <w:r w:rsidRPr="00187F05">
      <w:instrText xml:space="preserve"> PAGE   \* MERGEFORMAT </w:instrText>
    </w:r>
    <w:r w:rsidRPr="00187F05">
      <w:fldChar w:fldCharType="separate"/>
    </w:r>
    <w:r w:rsidRPr="00187F05">
      <w:t>1</w:t>
    </w:r>
    <w:r w:rsidRPr="00187F05">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4387279"/>
      <w:docPartObj>
        <w:docPartGallery w:val="Page Numbers (Bottom of Page)"/>
        <w:docPartUnique/>
      </w:docPartObj>
    </w:sdtPr>
    <w:sdtContent>
      <w:sdt>
        <w:sdtPr>
          <w:id w:val="-1841297134"/>
          <w:docPartObj>
            <w:docPartGallery w:val="Page Numbers (Top of Page)"/>
            <w:docPartUnique/>
          </w:docPartObj>
        </w:sdtPr>
        <w:sdtContent>
          <w:p w14:paraId="4CFDA271" w14:textId="77777777" w:rsidR="00D15113" w:rsidRDefault="00F04EA7" w:rsidP="002E3F19">
            <w:pPr>
              <w:pStyle w:val="Footer-right"/>
            </w:pPr>
            <w:r w:rsidRPr="0042508F">
              <w:rPr>
                <w:sz w:val="24"/>
              </w:rPr>
              <w:fldChar w:fldCharType="begin"/>
            </w:r>
            <w:r w:rsidRPr="0042508F">
              <w:instrText xml:space="preserve"> PAGE </w:instrText>
            </w:r>
            <w:r w:rsidRPr="0042508F">
              <w:rPr>
                <w:sz w:val="24"/>
              </w:rPr>
              <w:fldChar w:fldCharType="separate"/>
            </w:r>
            <w:r>
              <w:rPr>
                <w:noProof/>
              </w:rPr>
              <w:t>1</w:t>
            </w:r>
            <w:r w:rsidRPr="0042508F">
              <w:rPr>
                <w:sz w:val="24"/>
              </w:rPr>
              <w:fldChar w:fldCharType="end"/>
            </w:r>
          </w:p>
        </w:sdtContent>
      </w:sdt>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B87E9" w14:textId="77777777" w:rsidR="00D15113" w:rsidRDefault="00F04EA7" w:rsidP="002E3F19">
    <w:pPr>
      <w:pStyle w:val="Footer"/>
    </w:pPr>
    <w:r w:rsidRPr="00187F05">
      <w:fldChar w:fldCharType="begin"/>
    </w:r>
    <w:r w:rsidRPr="00187F05">
      <w:instrText xml:space="preserve"> PAGE   \* MERGEFORMAT </w:instrText>
    </w:r>
    <w:r w:rsidRPr="00187F05">
      <w:fldChar w:fldCharType="separate"/>
    </w:r>
    <w:r w:rsidRPr="00187F05">
      <w:t>1</w:t>
    </w:r>
    <w:r w:rsidRPr="00187F05">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9534768"/>
      <w:docPartObj>
        <w:docPartGallery w:val="Page Numbers (Bottom of Page)"/>
        <w:docPartUnique/>
      </w:docPartObj>
    </w:sdtPr>
    <w:sdtContent>
      <w:sdt>
        <w:sdtPr>
          <w:id w:val="877284772"/>
          <w:docPartObj>
            <w:docPartGallery w:val="Page Numbers (Top of Page)"/>
            <w:docPartUnique/>
          </w:docPartObj>
        </w:sdtPr>
        <w:sdtContent>
          <w:p w14:paraId="1DF17069" w14:textId="77777777" w:rsidR="00D15113" w:rsidRDefault="00F04EA7" w:rsidP="002E3F19">
            <w:pPr>
              <w:pStyle w:val="Footer-right"/>
            </w:pPr>
            <w:r w:rsidRPr="0042508F">
              <w:rPr>
                <w:sz w:val="24"/>
              </w:rPr>
              <w:fldChar w:fldCharType="begin"/>
            </w:r>
            <w:r w:rsidRPr="0042508F">
              <w:instrText xml:space="preserve"> PAGE </w:instrText>
            </w:r>
            <w:r w:rsidRPr="0042508F">
              <w:rPr>
                <w:sz w:val="24"/>
              </w:rPr>
              <w:fldChar w:fldCharType="separate"/>
            </w:r>
            <w:r>
              <w:rPr>
                <w:noProof/>
              </w:rPr>
              <w:t>1</w:t>
            </w:r>
            <w:r w:rsidRPr="0042508F">
              <w:rPr>
                <w:sz w:val="24"/>
              </w:rPr>
              <w:fldChar w:fldCharType="end"/>
            </w:r>
          </w:p>
        </w:sdtContent>
      </w:sdt>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7A42E" w14:textId="77777777" w:rsidR="00D15113" w:rsidRDefault="00F04EA7" w:rsidP="002E3F19">
    <w:pPr>
      <w:pStyle w:val="Footer"/>
    </w:pPr>
    <w:r w:rsidRPr="00187F05">
      <w:fldChar w:fldCharType="begin"/>
    </w:r>
    <w:r w:rsidRPr="00187F05">
      <w:instrText xml:space="preserve"> PAGE   \* MERGEFORMAT </w:instrText>
    </w:r>
    <w:r w:rsidRPr="00187F05">
      <w:fldChar w:fldCharType="separate"/>
    </w:r>
    <w:r w:rsidRPr="00187F05">
      <w:t>1</w:t>
    </w:r>
    <w:r w:rsidRPr="00187F05">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4881602"/>
      <w:docPartObj>
        <w:docPartGallery w:val="Page Numbers (Bottom of Page)"/>
        <w:docPartUnique/>
      </w:docPartObj>
    </w:sdtPr>
    <w:sdtContent>
      <w:sdt>
        <w:sdtPr>
          <w:id w:val="1269423976"/>
          <w:docPartObj>
            <w:docPartGallery w:val="Page Numbers (Top of Page)"/>
            <w:docPartUnique/>
          </w:docPartObj>
        </w:sdtPr>
        <w:sdtContent>
          <w:p w14:paraId="59293600" w14:textId="77777777" w:rsidR="00D15113" w:rsidRDefault="00F04EA7" w:rsidP="002E3F19">
            <w:pPr>
              <w:pStyle w:val="Footer-right"/>
            </w:pPr>
            <w:r w:rsidRPr="0042508F">
              <w:rPr>
                <w:sz w:val="24"/>
              </w:rPr>
              <w:fldChar w:fldCharType="begin"/>
            </w:r>
            <w:r w:rsidRPr="0042508F">
              <w:instrText xml:space="preserve"> PAGE </w:instrText>
            </w:r>
            <w:r w:rsidRPr="0042508F">
              <w:rPr>
                <w:sz w:val="24"/>
              </w:rPr>
              <w:fldChar w:fldCharType="separate"/>
            </w:r>
            <w:r>
              <w:rPr>
                <w:noProof/>
              </w:rPr>
              <w:t>1</w:t>
            </w:r>
            <w:r w:rsidRPr="0042508F">
              <w:rPr>
                <w:sz w:val="24"/>
              </w:rPr>
              <w:fldChar w:fldCharType="end"/>
            </w:r>
          </w:p>
        </w:sdtContent>
      </w:sdt>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435BD" w14:textId="77777777" w:rsidR="00DF47E9" w:rsidRDefault="00DF47E9" w:rsidP="002E3F19">
    <w:pPr>
      <w:pStyle w:val="Footer"/>
    </w:pPr>
    <w:r w:rsidRPr="00187F05">
      <w:fldChar w:fldCharType="begin"/>
    </w:r>
    <w:r w:rsidRPr="00187F05">
      <w:instrText xml:space="preserve"> PAGE   \* MERGEFORMAT </w:instrText>
    </w:r>
    <w:r w:rsidRPr="00187F05">
      <w:fldChar w:fldCharType="separate"/>
    </w:r>
    <w:r w:rsidRPr="00187F05">
      <w:t>1</w:t>
    </w:r>
    <w:r w:rsidRPr="00187F05">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9211056"/>
      <w:docPartObj>
        <w:docPartGallery w:val="Page Numbers (Bottom of Page)"/>
        <w:docPartUnique/>
      </w:docPartObj>
    </w:sdtPr>
    <w:sdtContent>
      <w:sdt>
        <w:sdtPr>
          <w:id w:val="1821303657"/>
          <w:docPartObj>
            <w:docPartGallery w:val="Page Numbers (Top of Page)"/>
            <w:docPartUnique/>
          </w:docPartObj>
        </w:sdtPr>
        <w:sdtContent>
          <w:p w14:paraId="77EDFCA9" w14:textId="77777777" w:rsidR="00DF47E9" w:rsidRDefault="00DF47E9" w:rsidP="002E3F19">
            <w:pPr>
              <w:pStyle w:val="Footer-right"/>
            </w:pPr>
            <w:r w:rsidRPr="0042508F">
              <w:rPr>
                <w:sz w:val="24"/>
              </w:rPr>
              <w:fldChar w:fldCharType="begin"/>
            </w:r>
            <w:r w:rsidRPr="0042508F">
              <w:instrText xml:space="preserve"> PAGE </w:instrText>
            </w:r>
            <w:r w:rsidRPr="0042508F">
              <w:rPr>
                <w:sz w:val="24"/>
              </w:rPr>
              <w:fldChar w:fldCharType="separate"/>
            </w:r>
            <w:r>
              <w:rPr>
                <w:noProof/>
              </w:rPr>
              <w:t>1</w:t>
            </w:r>
            <w:r w:rsidRPr="0042508F">
              <w:rPr>
                <w:sz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91E9D" w14:textId="77777777" w:rsidR="00C31E23" w:rsidRDefault="00C31E23">
    <w:pPr>
      <w:pStyle w:val="Footer"/>
    </w:pPr>
    <w:r>
      <w:fldChar w:fldCharType="begin"/>
    </w:r>
    <w:r>
      <w:instrText xml:space="preserve"> PAGE   \* MERGEFORMAT </w:instrText>
    </w:r>
    <w:r>
      <w:fldChar w:fldCharType="separate"/>
    </w:r>
    <w:r>
      <w:rPr>
        <w:noProof/>
      </w:rPr>
      <w:t>1</w:t>
    </w:r>
    <w:r>
      <w:rPr>
        <w:noProof/>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544AD" w14:textId="77777777" w:rsidR="00D15113" w:rsidRDefault="00F04EA7" w:rsidP="002E3F19">
    <w:pPr>
      <w:pStyle w:val="Footer"/>
    </w:pPr>
    <w:r w:rsidRPr="00187F05">
      <w:fldChar w:fldCharType="begin"/>
    </w:r>
    <w:r w:rsidRPr="00187F05">
      <w:instrText xml:space="preserve"> PAGE   \* MERGEFORMAT </w:instrText>
    </w:r>
    <w:r w:rsidRPr="00187F05">
      <w:fldChar w:fldCharType="separate"/>
    </w:r>
    <w:r w:rsidRPr="00187F05">
      <w:t>1</w:t>
    </w:r>
    <w:r w:rsidRPr="00187F05">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018319"/>
      <w:docPartObj>
        <w:docPartGallery w:val="Page Numbers (Bottom of Page)"/>
        <w:docPartUnique/>
      </w:docPartObj>
    </w:sdtPr>
    <w:sdtContent>
      <w:sdt>
        <w:sdtPr>
          <w:id w:val="-1644415426"/>
          <w:docPartObj>
            <w:docPartGallery w:val="Page Numbers (Top of Page)"/>
            <w:docPartUnique/>
          </w:docPartObj>
        </w:sdtPr>
        <w:sdtContent>
          <w:p w14:paraId="0F26ABF6" w14:textId="77777777" w:rsidR="00D15113" w:rsidRDefault="00F04EA7" w:rsidP="002E3F19">
            <w:pPr>
              <w:pStyle w:val="Footer-right"/>
            </w:pPr>
            <w:r w:rsidRPr="0042508F">
              <w:rPr>
                <w:sz w:val="24"/>
              </w:rPr>
              <w:fldChar w:fldCharType="begin"/>
            </w:r>
            <w:r w:rsidRPr="0042508F">
              <w:instrText xml:space="preserve"> PAGE </w:instrText>
            </w:r>
            <w:r w:rsidRPr="0042508F">
              <w:rPr>
                <w:sz w:val="24"/>
              </w:rPr>
              <w:fldChar w:fldCharType="separate"/>
            </w:r>
            <w:r>
              <w:rPr>
                <w:noProof/>
              </w:rPr>
              <w:t>1</w:t>
            </w:r>
            <w:r w:rsidRPr="0042508F">
              <w:rPr>
                <w:sz w:val="24"/>
              </w:rPr>
              <w:fldChar w:fldCharType="end"/>
            </w:r>
          </w:p>
        </w:sdtContent>
      </w:sdt>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60867" w14:textId="77777777" w:rsidR="00D15113" w:rsidRDefault="00F04EA7" w:rsidP="002E3F19">
    <w:pPr>
      <w:pStyle w:val="Footer"/>
    </w:pPr>
    <w:r w:rsidRPr="00187F05">
      <w:fldChar w:fldCharType="begin"/>
    </w:r>
    <w:r w:rsidRPr="00187F05">
      <w:instrText xml:space="preserve"> PAGE   \* MERGEFORMAT </w:instrText>
    </w:r>
    <w:r w:rsidRPr="00187F05">
      <w:fldChar w:fldCharType="separate"/>
    </w:r>
    <w:r w:rsidRPr="00187F05">
      <w:t>1</w:t>
    </w:r>
    <w:r w:rsidRPr="00187F05">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162666"/>
      <w:docPartObj>
        <w:docPartGallery w:val="Page Numbers (Bottom of Page)"/>
        <w:docPartUnique/>
      </w:docPartObj>
    </w:sdtPr>
    <w:sdtContent>
      <w:sdt>
        <w:sdtPr>
          <w:id w:val="1938403577"/>
          <w:docPartObj>
            <w:docPartGallery w:val="Page Numbers (Top of Page)"/>
            <w:docPartUnique/>
          </w:docPartObj>
        </w:sdtPr>
        <w:sdtContent>
          <w:p w14:paraId="7F30DEF3" w14:textId="77777777" w:rsidR="00D15113" w:rsidRDefault="00F04EA7" w:rsidP="002E3F19">
            <w:pPr>
              <w:pStyle w:val="Footer-right"/>
            </w:pPr>
            <w:r w:rsidRPr="0042508F">
              <w:rPr>
                <w:sz w:val="24"/>
              </w:rPr>
              <w:fldChar w:fldCharType="begin"/>
            </w:r>
            <w:r w:rsidRPr="0042508F">
              <w:instrText xml:space="preserve"> PAGE </w:instrText>
            </w:r>
            <w:r w:rsidRPr="0042508F">
              <w:rPr>
                <w:sz w:val="24"/>
              </w:rPr>
              <w:fldChar w:fldCharType="separate"/>
            </w:r>
            <w:r>
              <w:rPr>
                <w:noProof/>
              </w:rPr>
              <w:t>1</w:t>
            </w:r>
            <w:r w:rsidRPr="0042508F">
              <w:rPr>
                <w:sz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671E1" w14:textId="77777777" w:rsidR="00F04EA7" w:rsidRDefault="00C31E23">
    <w:pPr>
      <w:pStyle w:val="Footer"/>
    </w:pPr>
    <w:r>
      <w:fldChar w:fldCharType="begin"/>
    </w:r>
    <w:r>
      <w:instrText xml:space="preserve"> PAGE   \* MERGEFORMAT </w:instrText>
    </w:r>
    <w:r>
      <w:fldChar w:fldCharType="separate"/>
    </w:r>
    <w:r>
      <w:rPr>
        <w:noProof/>
      </w:rPr>
      <w:t>1</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CC080" w14:textId="77777777" w:rsidR="00D15113" w:rsidRDefault="00F04EA7" w:rsidP="002E3F19">
    <w:pPr>
      <w:pStyle w:val="Footer"/>
    </w:pPr>
    <w:r w:rsidRPr="00187F05">
      <w:fldChar w:fldCharType="begin"/>
    </w:r>
    <w:r w:rsidRPr="00187F05">
      <w:instrText xml:space="preserve"> PAGE   \* MERGEFORMAT </w:instrText>
    </w:r>
    <w:r w:rsidRPr="00187F05">
      <w:fldChar w:fldCharType="separate"/>
    </w:r>
    <w:r w:rsidRPr="00187F05">
      <w:t>1</w:t>
    </w:r>
    <w:r w:rsidRPr="00187F05">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0765408"/>
      <w:docPartObj>
        <w:docPartGallery w:val="Page Numbers (Bottom of Page)"/>
        <w:docPartUnique/>
      </w:docPartObj>
    </w:sdtPr>
    <w:sdtContent>
      <w:sdt>
        <w:sdtPr>
          <w:id w:val="783309045"/>
          <w:docPartObj>
            <w:docPartGallery w:val="Page Numbers (Top of Page)"/>
            <w:docPartUnique/>
          </w:docPartObj>
        </w:sdtPr>
        <w:sdtContent>
          <w:p w14:paraId="7B9D1B88" w14:textId="77777777" w:rsidR="00D15113" w:rsidRDefault="00F04EA7" w:rsidP="002E3F19">
            <w:pPr>
              <w:pStyle w:val="Footer-right"/>
            </w:pPr>
            <w:r w:rsidRPr="0042508F">
              <w:rPr>
                <w:sz w:val="24"/>
              </w:rPr>
              <w:fldChar w:fldCharType="begin"/>
            </w:r>
            <w:r w:rsidRPr="0042508F">
              <w:instrText xml:space="preserve"> PAGE </w:instrText>
            </w:r>
            <w:r w:rsidRPr="0042508F">
              <w:rPr>
                <w:sz w:val="24"/>
              </w:rPr>
              <w:fldChar w:fldCharType="separate"/>
            </w:r>
            <w:r>
              <w:rPr>
                <w:noProof/>
              </w:rPr>
              <w:t>1</w:t>
            </w:r>
            <w:r w:rsidRPr="0042508F">
              <w:rPr>
                <w:sz w:val="24"/>
              </w:rPr>
              <w:fldChar w:fldCharType="end"/>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5C995" w14:textId="77777777" w:rsidR="00E76EEC" w:rsidRPr="00187F05" w:rsidRDefault="00E76EEC" w:rsidP="004544D6">
    <w:pPr>
      <w:pStyle w:val="Footer"/>
    </w:pPr>
    <w:r w:rsidRPr="00187F05">
      <w:fldChar w:fldCharType="begin"/>
    </w:r>
    <w:r w:rsidRPr="00187F05">
      <w:instrText xml:space="preserve"> PAGE   \* MERGEFORMAT </w:instrText>
    </w:r>
    <w:r w:rsidRPr="00187F05">
      <w:fldChar w:fldCharType="separate"/>
    </w:r>
    <w:r w:rsidRPr="00187F05">
      <w:t>1</w:t>
    </w:r>
    <w:r w:rsidRPr="00187F05">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4105459"/>
      <w:docPartObj>
        <w:docPartGallery w:val="Page Numbers (Bottom of Page)"/>
        <w:docPartUnique/>
      </w:docPartObj>
    </w:sdtPr>
    <w:sdtContent>
      <w:sdt>
        <w:sdtPr>
          <w:id w:val="372884374"/>
          <w:docPartObj>
            <w:docPartGallery w:val="Page Numbers (Top of Page)"/>
            <w:docPartUnique/>
          </w:docPartObj>
        </w:sdtPr>
        <w:sdtContent>
          <w:p w14:paraId="076B65F9" w14:textId="77777777" w:rsidR="00E76EEC" w:rsidRPr="0042508F" w:rsidRDefault="00E76EEC" w:rsidP="004544D6">
            <w:pPr>
              <w:pStyle w:val="Footer-right"/>
            </w:pPr>
            <w:r w:rsidRPr="0042508F">
              <w:fldChar w:fldCharType="begin"/>
            </w:r>
            <w:r w:rsidRPr="0042508F">
              <w:instrText xml:space="preserve"> PAGE </w:instrText>
            </w:r>
            <w:r w:rsidRPr="0042508F">
              <w:fldChar w:fldCharType="separate"/>
            </w:r>
            <w:r>
              <w:rPr>
                <w:noProof/>
              </w:rPr>
              <w:t>1</w:t>
            </w:r>
            <w:r w:rsidRPr="0042508F">
              <w:fldChar w:fldCharType="end"/>
            </w:r>
          </w:p>
        </w:sdtContent>
      </w:sdt>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0F904" w14:textId="77777777" w:rsidR="00D15113" w:rsidRDefault="00F04EA7" w:rsidP="002E3F19">
    <w:pPr>
      <w:pStyle w:val="Footer"/>
    </w:pPr>
    <w:r w:rsidRPr="00187F05">
      <w:fldChar w:fldCharType="begin"/>
    </w:r>
    <w:r w:rsidRPr="00187F05">
      <w:instrText xml:space="preserve"> PAGE   \* MERGEFORMAT </w:instrText>
    </w:r>
    <w:r w:rsidRPr="00187F05">
      <w:fldChar w:fldCharType="separate"/>
    </w:r>
    <w:r w:rsidRPr="00187F05">
      <w:t>1</w:t>
    </w:r>
    <w:r w:rsidRPr="00187F05">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7658541"/>
      <w:docPartObj>
        <w:docPartGallery w:val="Page Numbers (Bottom of Page)"/>
        <w:docPartUnique/>
      </w:docPartObj>
    </w:sdtPr>
    <w:sdtContent>
      <w:sdt>
        <w:sdtPr>
          <w:id w:val="1512259992"/>
          <w:docPartObj>
            <w:docPartGallery w:val="Page Numbers (Top of Page)"/>
            <w:docPartUnique/>
          </w:docPartObj>
        </w:sdtPr>
        <w:sdtContent>
          <w:p w14:paraId="56ED7400" w14:textId="77777777" w:rsidR="00D15113" w:rsidRDefault="00F04EA7" w:rsidP="002E3F19">
            <w:pPr>
              <w:pStyle w:val="Footer-right"/>
            </w:pPr>
            <w:r w:rsidRPr="0042508F">
              <w:rPr>
                <w:sz w:val="24"/>
              </w:rPr>
              <w:fldChar w:fldCharType="begin"/>
            </w:r>
            <w:r w:rsidRPr="0042508F">
              <w:instrText xml:space="preserve"> PAGE </w:instrText>
            </w:r>
            <w:r w:rsidRPr="0042508F">
              <w:rPr>
                <w:sz w:val="24"/>
              </w:rPr>
              <w:fldChar w:fldCharType="separate"/>
            </w:r>
            <w:r>
              <w:rPr>
                <w:noProof/>
              </w:rPr>
              <w:t>1</w:t>
            </w:r>
            <w:r w:rsidRPr="0042508F">
              <w:rPr>
                <w:sz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AE1A2" w14:textId="77777777" w:rsidR="0086264E" w:rsidRPr="00C238D1" w:rsidRDefault="0086264E" w:rsidP="00273E86">
      <w:pPr>
        <w:spacing w:after="0" w:line="240" w:lineRule="auto"/>
        <w:rPr>
          <w:rStyle w:val="ColourDarkBlue"/>
        </w:rPr>
      </w:pPr>
      <w:r w:rsidRPr="00C238D1">
        <w:rPr>
          <w:rStyle w:val="ColourDarkBlue"/>
        </w:rPr>
        <w:continuationSeparator/>
      </w:r>
    </w:p>
  </w:footnote>
  <w:footnote w:type="continuationSeparator" w:id="0">
    <w:p w14:paraId="6AA368EF" w14:textId="77777777" w:rsidR="0086264E" w:rsidRPr="001D7D9B" w:rsidRDefault="0086264E" w:rsidP="001D7D9B">
      <w:pPr>
        <w:spacing w:after="0" w:line="240" w:lineRule="auto"/>
        <w:rPr>
          <w:color w:val="265A9A" w:themeColor="background2"/>
        </w:rPr>
      </w:pPr>
      <w:r w:rsidRPr="00C238D1">
        <w:rPr>
          <w:rStyle w:val="ColourDarkBlue"/>
        </w:rPr>
        <w:continuationSeparator/>
      </w:r>
    </w:p>
  </w:footnote>
  <w:footnote w:type="continuationNotice" w:id="1">
    <w:p w14:paraId="2C32E946" w14:textId="77777777" w:rsidR="0086264E" w:rsidRDefault="0086264E"/>
  </w:footnote>
  <w:footnote w:id="2">
    <w:p w14:paraId="11630928" w14:textId="6BE6FF83" w:rsidR="007B4C5A" w:rsidRPr="00E76B8B" w:rsidRDefault="007B4C5A">
      <w:pPr>
        <w:pStyle w:val="FootnoteText"/>
        <w:rPr>
          <w:lang w:val="en-US"/>
        </w:rPr>
      </w:pPr>
      <w:r>
        <w:rPr>
          <w:rStyle w:val="FootnoteReference"/>
        </w:rPr>
        <w:footnoteRef/>
      </w:r>
      <w:r>
        <w:t xml:space="preserve"> </w:t>
      </w:r>
      <w:r w:rsidRPr="00107D69">
        <w:t>As of August 2026</w:t>
      </w:r>
      <w:r w:rsidRPr="000A49A0">
        <w:t>, there</w:t>
      </w:r>
      <w:r>
        <w:t xml:space="preserve"> is a bill before the Senate that </w:t>
      </w:r>
      <w:r w:rsidR="00A45ED1">
        <w:t xml:space="preserve">would </w:t>
      </w:r>
      <w:r>
        <w:t xml:space="preserve">rename the Anti-Dumping Commission the Australian Trade Remedies Commission. </w:t>
      </w:r>
      <w:r w:rsidR="008572F4">
        <w:t>If passed, t</w:t>
      </w:r>
      <w:r>
        <w:t>he bill will</w:t>
      </w:r>
      <w:r w:rsidR="00A45ED1">
        <w:t xml:space="preserve"> </w:t>
      </w:r>
      <w:r>
        <w:t xml:space="preserve">transfer responsibility for future safeguard </w:t>
      </w:r>
      <w:r w:rsidRPr="006A316E">
        <w:rPr>
          <w:lang w:val="en-US"/>
        </w:rPr>
        <w:t>investigations</w:t>
      </w:r>
      <w:r>
        <w:t xml:space="preserve"> from the PC to the Australian Trade Remedies Commission</w:t>
      </w:r>
      <w:r>
        <w:rPr>
          <w:lang w:val="en-US"/>
        </w:rPr>
        <w:t xml:space="preserve">. The safeguard investigation into fabricated structural steel will be </w:t>
      </w:r>
      <w:proofErr w:type="spellStart"/>
      <w:r>
        <w:rPr>
          <w:lang w:val="en-US"/>
        </w:rPr>
        <w:t>finalised</w:t>
      </w:r>
      <w:proofErr w:type="spellEnd"/>
      <w:r>
        <w:rPr>
          <w:lang w:val="en-US"/>
        </w:rPr>
        <w:t xml:space="preserve"> by the PC.</w:t>
      </w:r>
    </w:p>
  </w:footnote>
  <w:footnote w:id="3">
    <w:p w14:paraId="11DACB7C" w14:textId="77777777" w:rsidR="004C31F5" w:rsidRPr="00AB7D5E" w:rsidRDefault="004C31F5">
      <w:pPr>
        <w:pStyle w:val="FootnoteText"/>
        <w:rPr>
          <w:lang w:val="en-US"/>
        </w:rPr>
      </w:pPr>
      <w:r w:rsidRPr="00DE26DB">
        <w:rPr>
          <w:rStyle w:val="FootnoteReference"/>
        </w:rPr>
        <w:footnoteRef/>
      </w:r>
      <w:r>
        <w:t xml:space="preserve"> </w:t>
      </w:r>
      <w:r w:rsidRPr="00AB7D5E">
        <w:t xml:space="preserve">For example: </w:t>
      </w:r>
      <w:proofErr w:type="spellStart"/>
      <w:r w:rsidRPr="00AB7D5E">
        <w:t>Brezac</w:t>
      </w:r>
      <w:proofErr w:type="spellEnd"/>
      <w:r w:rsidRPr="00AB7D5E">
        <w:t xml:space="preserve"> Constructions (sub. 38, p. 2); EDCON Steel (sub. 22, p. 2); First Line Engineering (sub. 34, p. 1); </w:t>
      </w:r>
      <w:r w:rsidRPr="006A316E">
        <w:rPr>
          <w:lang w:val="en-US"/>
        </w:rPr>
        <w:t>Gonzales</w:t>
      </w:r>
      <w:r w:rsidRPr="00AB7D5E">
        <w:t xml:space="preserve"> Steel (sub. 43, p. 1); HF Hand Constructors (sub. 25, p. 1); name withheld (sub. 44, p. 1; sub. 58, p. 1); Prince Engineering (sub. 3, p. 1); </w:t>
      </w:r>
      <w:proofErr w:type="spellStart"/>
      <w:r w:rsidRPr="00AB7D5E">
        <w:t>Sencova</w:t>
      </w:r>
      <w:proofErr w:type="spellEnd"/>
      <w:r w:rsidRPr="00AB7D5E">
        <w:t xml:space="preserve"> Steel Fabricators (sub. 26, p. 1); </w:t>
      </w:r>
      <w:proofErr w:type="spellStart"/>
      <w:r w:rsidRPr="00AB7D5E">
        <w:t>Westys</w:t>
      </w:r>
      <w:proofErr w:type="spellEnd"/>
      <w:r w:rsidRPr="00AB7D5E">
        <w:t xml:space="preserve"> Steel Fabrication (sub. 27, p. 1).</w:t>
      </w:r>
    </w:p>
  </w:footnote>
  <w:footnote w:id="4">
    <w:p w14:paraId="11BCFD09" w14:textId="5E21FA28" w:rsidR="004C31F5" w:rsidRPr="00136D73" w:rsidRDefault="004C31F5" w:rsidP="00765BCB">
      <w:pPr>
        <w:pStyle w:val="FootnoteText"/>
        <w:spacing w:line="240" w:lineRule="atLeast"/>
        <w:rPr>
          <w:lang w:val="en-US"/>
        </w:rPr>
      </w:pPr>
      <w:r w:rsidRPr="00DE26DB">
        <w:rPr>
          <w:rStyle w:val="FootnoteReference"/>
        </w:rPr>
        <w:footnoteRef/>
      </w:r>
      <w:r>
        <w:t xml:space="preserve"> The following submitters indicated they produce products within 7308.90.00.57 and 7308.90.00.60:</w:t>
      </w:r>
      <w:r w:rsidRPr="00596E71">
        <w:rPr>
          <w:color w:val="C00000"/>
          <w:lang w:val="en-US"/>
        </w:rPr>
        <w:t xml:space="preserve"> </w:t>
      </w:r>
      <w:proofErr w:type="spellStart"/>
      <w:r>
        <w:rPr>
          <w:lang w:val="en-US"/>
        </w:rPr>
        <w:t>Brezac</w:t>
      </w:r>
      <w:proofErr w:type="spellEnd"/>
      <w:r>
        <w:rPr>
          <w:lang w:val="en-US"/>
        </w:rPr>
        <w:t xml:space="preserve"> Constructions (sub. 38, p. 2)</w:t>
      </w:r>
      <w:r>
        <w:t>;</w:t>
      </w:r>
      <w:r>
        <w:rPr>
          <w:lang w:val="en-US"/>
        </w:rPr>
        <w:t xml:space="preserve"> Gonzales Steel (sub. 43, p. 1)</w:t>
      </w:r>
      <w:r>
        <w:t>;</w:t>
      </w:r>
      <w:r>
        <w:rPr>
          <w:lang w:val="en-US"/>
        </w:rPr>
        <w:t xml:space="preserve"> name withheld (sub. 58, p. 1)</w:t>
      </w:r>
      <w:r>
        <w:t>;</w:t>
      </w:r>
      <w:r>
        <w:rPr>
          <w:lang w:val="en-US"/>
        </w:rPr>
        <w:t xml:space="preserve"> </w:t>
      </w:r>
      <w:proofErr w:type="spellStart"/>
      <w:r>
        <w:rPr>
          <w:lang w:val="en-US"/>
        </w:rPr>
        <w:t>Weldlok</w:t>
      </w:r>
      <w:proofErr w:type="spellEnd"/>
      <w:r>
        <w:rPr>
          <w:lang w:val="en-US"/>
        </w:rPr>
        <w:t xml:space="preserve"> Industries (sub.</w:t>
      </w:r>
      <w:r w:rsidR="000934A6">
        <w:rPr>
          <w:lang w:val="en-US"/>
        </w:rPr>
        <w:t> </w:t>
      </w:r>
      <w:r>
        <w:rPr>
          <w:lang w:val="en-US"/>
        </w:rPr>
        <w:t>36, p. 1). HF Hand Constructors (sub. 25, p. 1) indicated they produce products within 7308.90.00.57. First Line Engineering (sub. 34, p. 1) indicated they produce products within 7308.90.00.60.</w:t>
      </w:r>
    </w:p>
  </w:footnote>
  <w:footnote w:id="5">
    <w:p w14:paraId="1A440376" w14:textId="269FA83D" w:rsidR="004C31F5" w:rsidRPr="00136D73" w:rsidRDefault="004C31F5" w:rsidP="00144235">
      <w:pPr>
        <w:pStyle w:val="FootnoteText"/>
        <w:spacing w:line="240" w:lineRule="atLeast"/>
        <w:rPr>
          <w:lang w:val="en-US"/>
        </w:rPr>
      </w:pPr>
      <w:r w:rsidRPr="00DE26DB">
        <w:rPr>
          <w:rStyle w:val="FootnoteReference"/>
        </w:rPr>
        <w:footnoteRef/>
      </w:r>
      <w:r>
        <w:t xml:space="preserve"> </w:t>
      </w:r>
      <w:r>
        <w:rPr>
          <w:lang w:val="en-US"/>
        </w:rPr>
        <w:t>AMARCON (sub. 16, p. 1)</w:t>
      </w:r>
      <w:r w:rsidR="004932D2">
        <w:rPr>
          <w:lang w:val="en-US"/>
        </w:rPr>
        <w:t>;</w:t>
      </w:r>
      <w:r>
        <w:rPr>
          <w:lang w:val="en-US"/>
        </w:rPr>
        <w:t xml:space="preserve"> </w:t>
      </w:r>
      <w:proofErr w:type="spellStart"/>
      <w:r>
        <w:rPr>
          <w:lang w:val="en-US"/>
        </w:rPr>
        <w:t>Brezac</w:t>
      </w:r>
      <w:proofErr w:type="spellEnd"/>
      <w:r>
        <w:rPr>
          <w:lang w:val="en-US"/>
        </w:rPr>
        <w:t xml:space="preserve"> Constructions (sub. 38, p. 2)</w:t>
      </w:r>
      <w:r w:rsidR="004932D2">
        <w:rPr>
          <w:lang w:val="en-US"/>
        </w:rPr>
        <w:t>;</w:t>
      </w:r>
      <w:r>
        <w:rPr>
          <w:lang w:val="en-US"/>
        </w:rPr>
        <w:t xml:space="preserve"> CSF Industries (sub. 17, p. 1)</w:t>
      </w:r>
      <w:r w:rsidR="004932D2">
        <w:rPr>
          <w:lang w:val="en-US"/>
        </w:rPr>
        <w:t>;</w:t>
      </w:r>
      <w:r>
        <w:rPr>
          <w:lang w:val="en-US"/>
        </w:rPr>
        <w:t xml:space="preserve"> EDCON (sub. 22, p. 3)</w:t>
      </w:r>
      <w:r w:rsidR="004932D2">
        <w:rPr>
          <w:lang w:val="en-US"/>
        </w:rPr>
        <w:t>;</w:t>
      </w:r>
      <w:r>
        <w:rPr>
          <w:lang w:val="en-US"/>
        </w:rPr>
        <w:t xml:space="preserve"> First Line Engineering (sub. 34, p. 1)</w:t>
      </w:r>
      <w:r w:rsidR="004932D2">
        <w:rPr>
          <w:lang w:val="en-US"/>
        </w:rPr>
        <w:t>;</w:t>
      </w:r>
      <w:r>
        <w:rPr>
          <w:lang w:val="en-US"/>
        </w:rPr>
        <w:t xml:space="preserve"> Gonzalez Steel (sub. 43, p. 1)</w:t>
      </w:r>
      <w:r w:rsidR="004932D2">
        <w:rPr>
          <w:lang w:val="en-US"/>
        </w:rPr>
        <w:t>;</w:t>
      </w:r>
      <w:r>
        <w:rPr>
          <w:lang w:val="en-US"/>
        </w:rPr>
        <w:t xml:space="preserve"> Kyst Engineering (sub. 18, p. 1), name withheld (sub. 7, p. 1; sub. 9, p. 1; sub. 31, p. 1; sub. 58, p. 1)</w:t>
      </w:r>
      <w:r w:rsidR="004932D2">
        <w:rPr>
          <w:lang w:val="en-US"/>
        </w:rPr>
        <w:t>;</w:t>
      </w:r>
      <w:r>
        <w:rPr>
          <w:lang w:val="en-US"/>
        </w:rPr>
        <w:t xml:space="preserve"> Prince Engineering (sub. 3, p. 1)</w:t>
      </w:r>
      <w:r w:rsidR="004932D2">
        <w:rPr>
          <w:lang w:val="en-US"/>
        </w:rPr>
        <w:t>;</w:t>
      </w:r>
      <w:r>
        <w:rPr>
          <w:lang w:val="en-US"/>
        </w:rPr>
        <w:t xml:space="preserve"> Stevens Group (sub. 5, p. 1)</w:t>
      </w:r>
      <w:r w:rsidR="004932D2">
        <w:rPr>
          <w:lang w:val="en-US"/>
        </w:rPr>
        <w:t>;</w:t>
      </w:r>
      <w:r>
        <w:rPr>
          <w:lang w:val="en-US"/>
        </w:rPr>
        <w:t xml:space="preserve"> </w:t>
      </w:r>
      <w:proofErr w:type="spellStart"/>
      <w:r>
        <w:rPr>
          <w:lang w:val="en-US"/>
        </w:rPr>
        <w:t>Westys</w:t>
      </w:r>
      <w:proofErr w:type="spellEnd"/>
      <w:r>
        <w:rPr>
          <w:lang w:val="en-US"/>
        </w:rPr>
        <w:t xml:space="preserve"> Steel Fabrication (sub. 27, p. 1). Where submissions have estimated a range for the share of revenue exposure to direct import competition (for example, ‘50</w:t>
      </w:r>
      <w:r w:rsidR="0078729A">
        <w:rPr>
          <w:lang w:val="en-US"/>
        </w:rPr>
        <w:t>–</w:t>
      </w:r>
      <w:r>
        <w:rPr>
          <w:lang w:val="en-US"/>
        </w:rPr>
        <w:t xml:space="preserve">70%’) we have used the midpoint of this range for calculating the median across all submissions. </w:t>
      </w:r>
    </w:p>
  </w:footnote>
  <w:footnote w:id="6">
    <w:p w14:paraId="3E457A64" w14:textId="77777777" w:rsidR="004C31F5" w:rsidRPr="00345145" w:rsidRDefault="004C31F5">
      <w:pPr>
        <w:pStyle w:val="FootnoteText"/>
        <w:rPr>
          <w:lang w:val="en-US"/>
        </w:rPr>
      </w:pPr>
      <w:r w:rsidRPr="00DE26DB">
        <w:rPr>
          <w:rStyle w:val="FootnoteReference"/>
        </w:rPr>
        <w:footnoteRef/>
      </w:r>
      <w:r>
        <w:t xml:space="preserve"> S</w:t>
      </w:r>
      <w:r w:rsidRPr="007E1129">
        <w:t>ee article 17 of the Australia–New Zealand Closer Economic Relations Trade Agreement and article 15 of the Singapore–Australia Free Trade Agreement</w:t>
      </w:r>
      <w:r>
        <w:t>.</w:t>
      </w:r>
    </w:p>
  </w:footnote>
  <w:footnote w:id="7">
    <w:p w14:paraId="58522881" w14:textId="77777777" w:rsidR="00401855" w:rsidRPr="00EF458D" w:rsidRDefault="00401855" w:rsidP="00011592">
      <w:pPr>
        <w:pStyle w:val="FootnoteText"/>
        <w:rPr>
          <w:lang w:val="en-US"/>
        </w:rPr>
      </w:pPr>
      <w:r>
        <w:rPr>
          <w:rStyle w:val="FootnoteReference"/>
        </w:rPr>
        <w:footnoteRef/>
      </w:r>
      <w:r>
        <w:t xml:space="preserve"> Domestic production was estimated </w:t>
      </w:r>
      <w:r>
        <w:rPr>
          <w:lang w:val="en-US"/>
        </w:rPr>
        <w:t xml:space="preserve">by multiplying the FSS population’s cost of sales (drawn from administrative data) by the estimated share spent on steel inputs. This figure was then divided by the estimated weighted average steel inputs price based on data from key industry stakeholders, then adjusted for offcuts and wastage. Additional </w:t>
      </w:r>
      <w:proofErr w:type="gramStart"/>
      <w:r>
        <w:rPr>
          <w:lang w:val="en-US"/>
        </w:rPr>
        <w:t>detail is</w:t>
      </w:r>
      <w:proofErr w:type="gramEnd"/>
      <w:r>
        <w:rPr>
          <w:lang w:val="en-US"/>
        </w:rPr>
        <w:t xml:space="preserve"> included in appendix B.</w:t>
      </w:r>
    </w:p>
  </w:footnote>
  <w:footnote w:id="8">
    <w:p w14:paraId="62E8BBCC" w14:textId="77777777" w:rsidR="00401855" w:rsidRPr="00BA145F" w:rsidRDefault="00401855">
      <w:pPr>
        <w:pStyle w:val="FootnoteText"/>
        <w:rPr>
          <w:lang w:val="en-US"/>
        </w:rPr>
      </w:pPr>
      <w:r>
        <w:rPr>
          <w:rStyle w:val="FootnoteReference"/>
        </w:rPr>
        <w:footnoteRef/>
      </w:r>
      <w:r>
        <w:t xml:space="preserve"> </w:t>
      </w:r>
      <w:r>
        <w:rPr>
          <w:lang w:val="en-US"/>
        </w:rPr>
        <w:t>Figures of over 100% are possible because what is being calculated is imports divided by estimated domestic production: this will be greater than 100% if imports are greater than estimated domestic production.</w:t>
      </w:r>
    </w:p>
  </w:footnote>
  <w:footnote w:id="9">
    <w:p w14:paraId="15796045" w14:textId="7145B082" w:rsidR="00401855" w:rsidRPr="00CD6540" w:rsidRDefault="00401855" w:rsidP="00011592">
      <w:pPr>
        <w:pStyle w:val="FootnoteText"/>
        <w:rPr>
          <w:lang w:val="en-US"/>
        </w:rPr>
      </w:pPr>
      <w:r>
        <w:rPr>
          <w:rStyle w:val="FootnoteReference"/>
        </w:rPr>
        <w:footnoteRef/>
      </w:r>
      <w:r>
        <w:t xml:space="preserve"> </w:t>
      </w:r>
      <w:r w:rsidRPr="00502891">
        <w:rPr>
          <w:szCs w:val="18"/>
        </w:rPr>
        <w:t xml:space="preserve">Under GATT, Australia agreed not to impose tariffs on </w:t>
      </w:r>
      <w:r>
        <w:rPr>
          <w:szCs w:val="18"/>
        </w:rPr>
        <w:t xml:space="preserve">the relevant products above bound rates of 7.7% or 10%, depending on their tariff classification </w:t>
      </w:r>
      <w:r>
        <w:rPr>
          <w:szCs w:val="18"/>
        </w:rPr>
        <w:fldChar w:fldCharType="begin"/>
      </w:r>
      <w:r w:rsidR="00762450">
        <w:rPr>
          <w:szCs w:val="18"/>
        </w:rPr>
        <w:instrText xml:space="preserve"> ADDIN ZOTERO_ITEM CSL_CITATION {"citationID":"5MhECCdg","properties":{"unsorted":false,"formattedCitation":"(WTO\\uc0\\u160{}1994, p.\\uc0\\u160{}202)","plainCitation":"(WTO 1994, p. 202)","noteIndex":8},"citationItems":[{"id":8280,"uris":["http://zotero.org/groups/6381618/items/V926S8ZI"],"itemData":{"id":8280,"type":"report","language":"en","source":"Zotero","title":"Australia - Schedule I: Schedule of concessions on goods","URL":"https://www.dfat.gov.au/sites/default/files/schedule.pdf","author":[{"literal":"World Trade Organization"}],"translator":[{"family":"WTO","given":""}],"issued":{"date-parts":[["1994"]]}},"locator":"202","label":"page"}],"schema":"https://github.com/citation-style-language/schema/raw/master/csl-citation.json"} </w:instrText>
      </w:r>
      <w:r>
        <w:rPr>
          <w:szCs w:val="18"/>
        </w:rPr>
        <w:fldChar w:fldCharType="separate"/>
      </w:r>
      <w:r w:rsidRPr="008D25E0">
        <w:rPr>
          <w:rFonts w:cs="Open Sans"/>
        </w:rPr>
        <w:t>(WTO 1994, p. 202)</w:t>
      </w:r>
      <w:r>
        <w:rPr>
          <w:szCs w:val="18"/>
        </w:rPr>
        <w:fldChar w:fldCharType="end"/>
      </w:r>
      <w:r w:rsidRPr="00502891">
        <w:rPr>
          <w:szCs w:val="18"/>
        </w:rPr>
        <w:t xml:space="preserve">. </w:t>
      </w:r>
      <w:r>
        <w:rPr>
          <w:szCs w:val="18"/>
        </w:rPr>
        <w:t xml:space="preserve">Australia generally applies tariffs of no </w:t>
      </w:r>
      <w:r w:rsidRPr="00502891">
        <w:rPr>
          <w:szCs w:val="18"/>
        </w:rPr>
        <w:t xml:space="preserve">more than 5% </w:t>
      </w:r>
      <w:r>
        <w:rPr>
          <w:szCs w:val="18"/>
        </w:rPr>
        <w:t>to these products</w:t>
      </w:r>
      <w:r w:rsidRPr="00502891">
        <w:rPr>
          <w:szCs w:val="18"/>
        </w:rPr>
        <w:t xml:space="preserve"> </w:t>
      </w:r>
      <w:r w:rsidRPr="00502891">
        <w:rPr>
          <w:szCs w:val="18"/>
        </w:rPr>
        <w:fldChar w:fldCharType="begin"/>
      </w:r>
      <w:r w:rsidR="00762450">
        <w:rPr>
          <w:szCs w:val="18"/>
        </w:rPr>
        <w:instrText xml:space="preserve"> ADDIN ZOTERO_ITEM CSL_CITATION {"citationID":"mARlPF3F","properties":{"unsorted":false,"formattedCitation":"(Australian Border Force\\uc0\\u160{}2024)","plainCitation":"(Australian Border Force 2024)","noteIndex":8},"citationItems":[{"id":8281,"uris":["http://zotero.org/groups/6381618/items/AQRND8P9"],"itemData":{"id":8281,"type":"webpage","abstract":"Our mission is to protect Australia’s border and enable legitimate travel and trade.","container-title":"Australian Border Force Website","language":"en","title":"Current tariff classification Schedule 3 - Section XV - Base metals and articles of base metal Chapter 73 - Articles of iron or steel","URL":"https://www.abf.gov.au/","author":[{"literal":"Australian Border Force"}],"accessed":{"date-parts":[["2026",8,5]]},"issued":{"date-parts":[["2024",9]]}}}],"schema":"https://github.com/citation-style-language/schema/raw/master/csl-citation.json"} </w:instrText>
      </w:r>
      <w:r w:rsidRPr="00502891">
        <w:rPr>
          <w:szCs w:val="18"/>
        </w:rPr>
        <w:fldChar w:fldCharType="separate"/>
      </w:r>
      <w:r w:rsidRPr="00BA145F">
        <w:rPr>
          <w:rFonts w:ascii="Arial" w:hAnsi="Arial" w:cs="Arial"/>
          <w:szCs w:val="18"/>
        </w:rPr>
        <w:t>(Australian Border Force 2024)</w:t>
      </w:r>
      <w:r w:rsidRPr="00502891">
        <w:rPr>
          <w:szCs w:val="18"/>
        </w:rPr>
        <w:fldChar w:fldCharType="end"/>
      </w:r>
      <w:r w:rsidRPr="00502891">
        <w:rPr>
          <w:szCs w:val="18"/>
        </w:rPr>
        <w:t xml:space="preserve">. Provided the goods satisfy </w:t>
      </w:r>
      <w:r>
        <w:rPr>
          <w:szCs w:val="18"/>
        </w:rPr>
        <w:t>applicable</w:t>
      </w:r>
      <w:r w:rsidRPr="00502891">
        <w:rPr>
          <w:szCs w:val="18"/>
        </w:rPr>
        <w:t xml:space="preserve"> rules of origin, </w:t>
      </w:r>
      <w:r>
        <w:rPr>
          <w:szCs w:val="18"/>
        </w:rPr>
        <w:t>imports from several countries Australia imports FSS from enter tariff free, including</w:t>
      </w:r>
      <w:r w:rsidRPr="00502891">
        <w:rPr>
          <w:szCs w:val="18"/>
        </w:rPr>
        <w:t xml:space="preserve"> </w:t>
      </w:r>
      <w:r>
        <w:rPr>
          <w:szCs w:val="18"/>
        </w:rPr>
        <w:t>China and Vietnam</w:t>
      </w:r>
      <w:r w:rsidRPr="00502891">
        <w:rPr>
          <w:szCs w:val="18"/>
        </w:rPr>
        <w:t xml:space="preserve"> </w:t>
      </w:r>
      <w:r w:rsidRPr="00502891">
        <w:rPr>
          <w:szCs w:val="18"/>
        </w:rPr>
        <w:fldChar w:fldCharType="begin"/>
      </w:r>
      <w:r w:rsidR="00762450">
        <w:rPr>
          <w:szCs w:val="18"/>
        </w:rPr>
        <w:instrText xml:space="preserve"> ADDIN ZOTERO_ITEM CSL_CITATION {"citationID":"wB2kvnqk","properties":{"unsorted":false,"formattedCitation":"(Australian Border Force\\uc0\\u160{}2025b, schedules 12 and 8)","plainCitation":"(Australian Border Force 2025b, schedules 12 and 8)","noteIndex":8},"citationItems":[{"id":8279,"uris":["http://zotero.org/groups/6381618/items/VXV24C84"],"itemData":{"id":8279,"type":"webpage","abstract":"Our mission is to protect Australia’s border and enable legitimate travel and trade.","container-title":"Australian Border Force Website","language":"en","title":"Current tariff classification","URL":"https://www.abf.gov.au/","author":[{"literal":"Australian Border Force"}],"accessed":{"date-parts":[["2026",8,5]]},"issued":{"date-parts":[["2025",10]]}},"suffix":", schedules 12 and 8"}],"schema":"https://github.com/citation-style-language/schema/raw/master/csl-citation.json"} </w:instrText>
      </w:r>
      <w:r w:rsidRPr="00502891">
        <w:rPr>
          <w:szCs w:val="18"/>
        </w:rPr>
        <w:fldChar w:fldCharType="separate"/>
      </w:r>
      <w:r w:rsidR="00637173" w:rsidRPr="00637173">
        <w:rPr>
          <w:rFonts w:ascii="Arial" w:hAnsi="Arial" w:cs="Arial"/>
        </w:rPr>
        <w:t xml:space="preserve">(Australian Border </w:t>
      </w:r>
      <w:r w:rsidR="00637173" w:rsidRPr="006A316E">
        <w:rPr>
          <w:lang w:val="en-US"/>
        </w:rPr>
        <w:t>Force</w:t>
      </w:r>
      <w:r w:rsidR="00637173" w:rsidRPr="00637173">
        <w:rPr>
          <w:rFonts w:ascii="Arial" w:hAnsi="Arial" w:cs="Arial"/>
        </w:rPr>
        <w:t> 2025b, schedules 12 and 8)</w:t>
      </w:r>
      <w:r w:rsidRPr="00502891">
        <w:rPr>
          <w:szCs w:val="18"/>
        </w:rPr>
        <w:fldChar w:fldCharType="end"/>
      </w:r>
      <w:r w:rsidRPr="00502891">
        <w:rPr>
          <w:szCs w:val="18"/>
        </w:rPr>
        <w:t>.</w:t>
      </w:r>
    </w:p>
  </w:footnote>
  <w:footnote w:id="10">
    <w:p w14:paraId="6C6F04C4" w14:textId="77777777" w:rsidR="00401855" w:rsidRPr="00BA145F" w:rsidRDefault="00401855" w:rsidP="00011592">
      <w:pPr>
        <w:pStyle w:val="FootnoteText"/>
        <w:rPr>
          <w:lang w:val="en-US"/>
        </w:rPr>
      </w:pPr>
      <w:r>
        <w:rPr>
          <w:rStyle w:val="FootnoteReference"/>
        </w:rPr>
        <w:footnoteRef/>
      </w:r>
      <w:r>
        <w:t xml:space="preserve"> </w:t>
      </w:r>
      <w:r w:rsidRPr="00AB407F">
        <w:t>The PC</w:t>
      </w:r>
      <w:r>
        <w:t xml:space="preserve"> noted</w:t>
      </w:r>
      <w:r w:rsidRPr="00AB407F">
        <w:t xml:space="preserve"> a case in which anti-dumping measures on a key input used to manufacture mobile garbage bins were followed by anti-dumping</w:t>
      </w:r>
      <w:r>
        <w:t xml:space="preserve"> measures on </w:t>
      </w:r>
      <w:r w:rsidRPr="00AB407F">
        <w:t>imported garbage bins</w:t>
      </w:r>
      <w:r>
        <w:t xml:space="preserve"> themselves (2009, p. 39)</w:t>
      </w:r>
      <w:r w:rsidRPr="00AB407F">
        <w:t xml:space="preserve">. The example </w:t>
      </w:r>
      <w:r w:rsidRPr="006A316E">
        <w:rPr>
          <w:lang w:val="en-US"/>
        </w:rPr>
        <w:t>illustrates</w:t>
      </w:r>
      <w:r w:rsidRPr="00AB407F">
        <w:t xml:space="preserve"> how measures applied to an input can increase pressure from imports of more processed products.</w:t>
      </w:r>
    </w:p>
  </w:footnote>
  <w:footnote w:id="11">
    <w:p w14:paraId="7A16BAE7" w14:textId="77777777" w:rsidR="00401855" w:rsidRPr="00757A14" w:rsidRDefault="00401855" w:rsidP="00011592">
      <w:pPr>
        <w:pStyle w:val="FootnoteText"/>
        <w:rPr>
          <w:lang w:val="en-US"/>
        </w:rPr>
      </w:pPr>
      <w:r>
        <w:rPr>
          <w:rStyle w:val="FootnoteReference"/>
        </w:rPr>
        <w:footnoteRef/>
      </w:r>
      <w:r>
        <w:t xml:space="preserve"> </w:t>
      </w:r>
      <w:r>
        <w:rPr>
          <w:lang w:val="en-US"/>
        </w:rPr>
        <w:t xml:space="preserve">For example: name withheld (sub. 7, p. 4; sub. 44, p. 2), Prince Engineering (sub. 3, p. 3), </w:t>
      </w:r>
      <w:proofErr w:type="spellStart"/>
      <w:r>
        <w:rPr>
          <w:lang w:val="en-US"/>
        </w:rPr>
        <w:t>Westys</w:t>
      </w:r>
      <w:proofErr w:type="spellEnd"/>
      <w:r>
        <w:rPr>
          <w:lang w:val="en-US"/>
        </w:rPr>
        <w:t xml:space="preserve"> Steel Fabrication (sub. 27, p. 2).</w:t>
      </w:r>
    </w:p>
  </w:footnote>
  <w:footnote w:id="12">
    <w:p w14:paraId="059765AD" w14:textId="77777777" w:rsidR="00692657" w:rsidRPr="00136D73" w:rsidRDefault="00692657" w:rsidP="00011592">
      <w:pPr>
        <w:pStyle w:val="FootnoteText"/>
        <w:rPr>
          <w:lang w:val="en-US"/>
        </w:rPr>
      </w:pPr>
      <w:r w:rsidRPr="00DE26DB">
        <w:rPr>
          <w:rStyle w:val="FootnoteReference"/>
        </w:rPr>
        <w:footnoteRef/>
      </w:r>
      <w:r>
        <w:t xml:space="preserve"> </w:t>
      </w:r>
      <w:r>
        <w:rPr>
          <w:lang w:val="en-US"/>
        </w:rPr>
        <w:t xml:space="preserve">AMARCON (sub. 16, p. 1); </w:t>
      </w:r>
      <w:proofErr w:type="spellStart"/>
      <w:r>
        <w:rPr>
          <w:lang w:val="en-US"/>
        </w:rPr>
        <w:t>Brezac</w:t>
      </w:r>
      <w:proofErr w:type="spellEnd"/>
      <w:r>
        <w:rPr>
          <w:lang w:val="en-US"/>
        </w:rPr>
        <w:t xml:space="preserve"> Constructions (sub. 38, p. 2); CSF Industries Pty Ltd (sub. 17, p. 1); EDCON Steel (sub. 22, p. 3); First Line Engineering (sub. 34, p. 1); Gonzalez Steel Pty Ltd (sub. 43, p. 1); Kyst Engineering (sub. 18, p. 1); name withheld (sub. 7, p. 1; sub. 9, p. 1; sub. 31, p. 1; sub. 58, p. 1); Prince Engineering (sub. 3, p. 1); Stevens Group (sub. 5, p. 1); </w:t>
      </w:r>
      <w:proofErr w:type="spellStart"/>
      <w:r>
        <w:rPr>
          <w:lang w:val="en-US"/>
        </w:rPr>
        <w:t>Westys</w:t>
      </w:r>
      <w:proofErr w:type="spellEnd"/>
      <w:r>
        <w:rPr>
          <w:lang w:val="en-US"/>
        </w:rPr>
        <w:t xml:space="preserve"> Steel Fabrication (sub. 27, p. 1). Where submissions have estimated a range for the share of revenue exposure to direct import competition (for example, ‘50–70%’) we have used the midpoint of this range for calculating the median across all submissions. </w:t>
      </w:r>
    </w:p>
  </w:footnote>
  <w:footnote w:id="13">
    <w:p w14:paraId="1C244E8E" w14:textId="77777777" w:rsidR="00692657" w:rsidRPr="002A5A4E" w:rsidRDefault="00692657" w:rsidP="00011592">
      <w:pPr>
        <w:pStyle w:val="FootnoteText"/>
        <w:rPr>
          <w:lang w:val="en-US"/>
        </w:rPr>
      </w:pPr>
      <w:r>
        <w:rPr>
          <w:rStyle w:val="FootnoteReference"/>
        </w:rPr>
        <w:footnoteRef/>
      </w:r>
      <w:r>
        <w:t xml:space="preserve"> </w:t>
      </w:r>
      <w:r w:rsidRPr="00EB2CFB">
        <w:t xml:space="preserve">It is </w:t>
      </w:r>
      <w:r w:rsidRPr="006A316E">
        <w:rPr>
          <w:lang w:val="en-US"/>
        </w:rPr>
        <w:t>unclear</w:t>
      </w:r>
      <w:r w:rsidRPr="00EB2CFB">
        <w:t xml:space="preserve"> whether these firms overlap with the six fabricators included in the ASI survey.</w:t>
      </w:r>
    </w:p>
  </w:footnote>
  <w:footnote w:id="14">
    <w:p w14:paraId="37E6539C" w14:textId="0329528B" w:rsidR="00692657" w:rsidRDefault="00692657" w:rsidP="00011592">
      <w:pPr>
        <w:pStyle w:val="FootnoteText"/>
      </w:pPr>
      <w:r>
        <w:rPr>
          <w:rStyle w:val="FootnoteReference"/>
        </w:rPr>
        <w:footnoteRef/>
      </w:r>
      <w:r>
        <w:t xml:space="preserve"> Name </w:t>
      </w:r>
      <w:r w:rsidRPr="006A316E">
        <w:rPr>
          <w:lang w:val="en-US"/>
        </w:rPr>
        <w:t>withheld</w:t>
      </w:r>
      <w:r>
        <w:t xml:space="preserve"> (sub. 7, </w:t>
      </w:r>
      <w:r w:rsidRPr="00D21768">
        <w:t>p</w:t>
      </w:r>
      <w:r>
        <w:t>p</w:t>
      </w:r>
      <w:r w:rsidRPr="00D21768">
        <w:t>. 5</w:t>
      </w:r>
      <w:r w:rsidR="009F0542">
        <w:t>–</w:t>
      </w:r>
      <w:r>
        <w:t>7</w:t>
      </w:r>
      <w:r w:rsidRPr="00D21768">
        <w:t>)</w:t>
      </w:r>
      <w:r>
        <w:t xml:space="preserve"> provided evidence of fluctuating profit (earnings before interest and tax) between 2020–21 and 2023–24, then a 21% decrease in 2024–25 and a recovery in profit to date in 2025–26. Sales hovered around $12 million in 2019–20 and 2020–21, spiked to $17 million 2021–22 and dropped to $4 million in 2023–2024, before returning to trend at $13 million in 2024–25 YTD. Employment, in contrast, has only partially recovered, </w:t>
      </w:r>
      <w:r w:rsidRPr="006A316E">
        <w:rPr>
          <w:lang w:val="en-US"/>
        </w:rPr>
        <w:t>dropping</w:t>
      </w:r>
      <w:r>
        <w:t xml:space="preserve"> to 16 in 2023–24 from between 45-50 in earlier periods, recovering to 36 in 2024–25 YTD. </w:t>
      </w:r>
    </w:p>
  </w:footnote>
  <w:footnote w:id="15">
    <w:p w14:paraId="1A226017" w14:textId="7133AF7D" w:rsidR="00692657" w:rsidRDefault="00692657" w:rsidP="00011592">
      <w:pPr>
        <w:pStyle w:val="FootnoteText"/>
      </w:pPr>
      <w:r>
        <w:rPr>
          <w:rStyle w:val="FootnoteReference"/>
        </w:rPr>
        <w:footnoteRef/>
      </w:r>
      <w:r>
        <w:t xml:space="preserve"> </w:t>
      </w:r>
      <w:r w:rsidRPr="0099320B">
        <w:t xml:space="preserve">Kyst </w:t>
      </w:r>
      <w:r w:rsidRPr="006A316E">
        <w:rPr>
          <w:lang w:val="en-US"/>
        </w:rPr>
        <w:t>Engineering</w:t>
      </w:r>
      <w:r>
        <w:t xml:space="preserve"> (s</w:t>
      </w:r>
      <w:r w:rsidRPr="00CC5F00">
        <w:t>ub</w:t>
      </w:r>
      <w:r>
        <w:t>.</w:t>
      </w:r>
      <w:r w:rsidRPr="00CC5F00">
        <w:t xml:space="preserve"> 18, p. 1)</w:t>
      </w:r>
      <w:r>
        <w:t xml:space="preserve"> </w:t>
      </w:r>
      <w:r w:rsidR="00D6480B" w:rsidRPr="00A54E0E">
        <w:t xml:space="preserve">only provides </w:t>
      </w:r>
      <w:r w:rsidR="00D6480B">
        <w:t>turnover</w:t>
      </w:r>
      <w:r w:rsidR="00D6480B" w:rsidRPr="00A54E0E">
        <w:t xml:space="preserve"> figures</w:t>
      </w:r>
      <w:r w:rsidR="000B22A7">
        <w:t>.</w:t>
      </w:r>
    </w:p>
  </w:footnote>
  <w:footnote w:id="16">
    <w:p w14:paraId="33CD12B8" w14:textId="2A05F756" w:rsidR="00692657" w:rsidRDefault="00692657" w:rsidP="00011592">
      <w:pPr>
        <w:pStyle w:val="FootnoteText"/>
      </w:pPr>
      <w:r>
        <w:rPr>
          <w:rStyle w:val="FootnoteReference"/>
        </w:rPr>
        <w:footnoteRef/>
      </w:r>
      <w:r>
        <w:t xml:space="preserve"> Referenced by ASI (2026, </w:t>
      </w:r>
      <w:r w:rsidRPr="00310F67">
        <w:t xml:space="preserve">p. </w:t>
      </w:r>
      <w:r>
        <w:t>22)</w:t>
      </w:r>
      <w:r w:rsidR="00FA7965">
        <w:t>.</w:t>
      </w:r>
      <w:r>
        <w:t xml:space="preserve"> </w:t>
      </w:r>
    </w:p>
  </w:footnote>
  <w:footnote w:id="17">
    <w:p w14:paraId="5D53F7CE" w14:textId="00D202C8" w:rsidR="00692657" w:rsidRDefault="00692657" w:rsidP="00011592">
      <w:pPr>
        <w:pStyle w:val="FootnoteText"/>
      </w:pPr>
      <w:r>
        <w:rPr>
          <w:rStyle w:val="FootnoteReference"/>
        </w:rPr>
        <w:footnoteRef/>
      </w:r>
      <w:r>
        <w:t xml:space="preserve"> Excluding </w:t>
      </w:r>
      <w:r w:rsidRPr="006A316E">
        <w:rPr>
          <w:lang w:val="en-US"/>
        </w:rPr>
        <w:t>2024</w:t>
      </w:r>
      <w:r>
        <w:t>–25, which is a PC estimate, total industry sales increased by an average of 9.3% per year over 2020–21 to 2023–24</w:t>
      </w:r>
      <w:r w:rsidR="00FA7965">
        <w:t>.</w:t>
      </w:r>
    </w:p>
  </w:footnote>
  <w:footnote w:id="18">
    <w:p w14:paraId="7956874E" w14:textId="7003871C" w:rsidR="00692657" w:rsidRDefault="00692657" w:rsidP="00011592">
      <w:pPr>
        <w:pStyle w:val="FootnoteText"/>
      </w:pPr>
      <w:r>
        <w:rPr>
          <w:rStyle w:val="FootnoteReference"/>
        </w:rPr>
        <w:footnoteRef/>
      </w:r>
      <w:r>
        <w:t xml:space="preserve"> As in [</w:t>
      </w:r>
      <w:r w:rsidR="00B716B8">
        <w:t>1</w:t>
      </w:r>
      <w:r>
        <w:t>6], profit increased by 18.7% per year.</w:t>
      </w:r>
    </w:p>
  </w:footnote>
  <w:footnote w:id="19">
    <w:p w14:paraId="0791A3A4" w14:textId="77777777" w:rsidR="00692657" w:rsidRPr="004D03F5" w:rsidRDefault="00692657" w:rsidP="00011592">
      <w:pPr>
        <w:pStyle w:val="FootnoteText"/>
        <w:rPr>
          <w:spacing w:val="-2"/>
        </w:rPr>
      </w:pPr>
      <w:r>
        <w:rPr>
          <w:rStyle w:val="FootnoteReference"/>
        </w:rPr>
        <w:footnoteRef/>
      </w:r>
      <w:r>
        <w:t xml:space="preserve"> </w:t>
      </w:r>
      <w:r w:rsidRPr="004D03F5">
        <w:rPr>
          <w:spacing w:val="-2"/>
        </w:rPr>
        <w:t xml:space="preserve">Profit is directly from BIT, while EBITDA is calculated from variables in BIT. Appendix B provides more </w:t>
      </w:r>
      <w:r w:rsidRPr="006A316E">
        <w:rPr>
          <w:lang w:val="en-US"/>
        </w:rPr>
        <w:t>information</w:t>
      </w:r>
      <w:r w:rsidRPr="004D03F5">
        <w:rPr>
          <w:spacing w:val="-2"/>
        </w:rPr>
        <w:t>.</w:t>
      </w:r>
    </w:p>
  </w:footnote>
  <w:footnote w:id="20">
    <w:p w14:paraId="793F780E" w14:textId="2AD91AAC" w:rsidR="00692657" w:rsidRDefault="00692657" w:rsidP="00011592">
      <w:pPr>
        <w:pStyle w:val="FootnoteText"/>
      </w:pPr>
      <w:r>
        <w:rPr>
          <w:rStyle w:val="FootnoteReference"/>
        </w:rPr>
        <w:footnoteRef/>
      </w:r>
      <w:r>
        <w:t xml:space="preserve"> </w:t>
      </w:r>
      <w:r w:rsidRPr="008D2BD6">
        <w:t>As in [</w:t>
      </w:r>
      <w:r w:rsidR="00B716B8">
        <w:t>1</w:t>
      </w:r>
      <w:r>
        <w:t>6</w:t>
      </w:r>
      <w:r w:rsidRPr="008D2BD6">
        <w:t>],</w:t>
      </w:r>
      <w:r>
        <w:t xml:space="preserve"> </w:t>
      </w:r>
      <w:r w:rsidRPr="006A316E">
        <w:rPr>
          <w:lang w:val="en-US"/>
        </w:rPr>
        <w:t>EBITDA</w:t>
      </w:r>
      <w:r>
        <w:t xml:space="preserve"> increased by 12.8% per year.</w:t>
      </w:r>
    </w:p>
  </w:footnote>
  <w:footnote w:id="21">
    <w:p w14:paraId="12EDBB1B" w14:textId="41C0F72B" w:rsidR="00692657" w:rsidRDefault="00692657" w:rsidP="00011592">
      <w:pPr>
        <w:pStyle w:val="FootnoteText"/>
      </w:pPr>
      <w:r>
        <w:rPr>
          <w:rStyle w:val="FootnoteReference"/>
        </w:rPr>
        <w:footnoteRef/>
      </w:r>
      <w:r>
        <w:t xml:space="preserve"> </w:t>
      </w:r>
      <w:r w:rsidR="00C468DB" w:rsidRPr="00C468DB">
        <w:t xml:space="preserve">Firms are assigned to quartiles based on their full-time equivalent employment in 2020–21 and remain in those quartiles </w:t>
      </w:r>
      <w:r w:rsidR="00C468DB" w:rsidRPr="006A316E">
        <w:rPr>
          <w:lang w:val="en-US"/>
        </w:rPr>
        <w:t>throughout</w:t>
      </w:r>
      <w:r w:rsidR="00C468DB" w:rsidRPr="00C468DB">
        <w:t xml:space="preserve"> the analysis</w:t>
      </w:r>
      <w:r w:rsidR="001A3AA7">
        <w:t>.</w:t>
      </w:r>
    </w:p>
  </w:footnote>
  <w:footnote w:id="22">
    <w:p w14:paraId="452FC4C3" w14:textId="71A1927F" w:rsidR="00692657" w:rsidRDefault="00692657">
      <w:pPr>
        <w:pStyle w:val="FootnoteText"/>
      </w:pPr>
      <w:r>
        <w:rPr>
          <w:rStyle w:val="FootnoteReference"/>
        </w:rPr>
        <w:footnoteRef/>
      </w:r>
      <w:r>
        <w:t xml:space="preserve"> </w:t>
      </w:r>
      <w:r w:rsidRPr="00710761">
        <w:t>For this industry, the labour expenses are over 10 times higher than the equivalent capital measure per year</w:t>
      </w:r>
      <w:r w:rsidR="00164383">
        <w:t xml:space="preserve"> – this </w:t>
      </w:r>
      <w:r w:rsidRPr="00710761">
        <w:t xml:space="preserve">has </w:t>
      </w:r>
      <w:r w:rsidRPr="006A316E">
        <w:rPr>
          <w:lang w:val="en-US"/>
        </w:rPr>
        <w:t>little</w:t>
      </w:r>
      <w:r w:rsidRPr="00710761">
        <w:t xml:space="preserve"> impact.</w:t>
      </w:r>
    </w:p>
  </w:footnote>
  <w:footnote w:id="23">
    <w:p w14:paraId="549C5165" w14:textId="77777777" w:rsidR="00692657" w:rsidRDefault="00692657" w:rsidP="00011592">
      <w:pPr>
        <w:pStyle w:val="FootnoteText"/>
      </w:pPr>
      <w:r>
        <w:rPr>
          <w:rStyle w:val="FootnoteReference"/>
        </w:rPr>
        <w:footnoteRef/>
      </w:r>
      <w:r>
        <w:t xml:space="preserve"> A</w:t>
      </w:r>
      <w:r w:rsidRPr="00122C40">
        <w:t xml:space="preserve">ppendix </w:t>
      </w:r>
      <w:r>
        <w:t>B</w:t>
      </w:r>
      <w:r w:rsidRPr="00122C40">
        <w:t xml:space="preserve"> </w:t>
      </w:r>
      <w:r>
        <w:t>provides</w:t>
      </w:r>
      <w:r w:rsidRPr="00122C40">
        <w:t xml:space="preserve"> further information.</w:t>
      </w:r>
    </w:p>
  </w:footnote>
  <w:footnote w:id="24">
    <w:p w14:paraId="0BEB6065" w14:textId="77777777" w:rsidR="00692657" w:rsidRPr="009F22FF" w:rsidRDefault="00692657" w:rsidP="00011592">
      <w:pPr>
        <w:pStyle w:val="FootnoteText"/>
        <w:rPr>
          <w:lang w:val="en-US"/>
        </w:rPr>
      </w:pPr>
      <w:r>
        <w:rPr>
          <w:rStyle w:val="FootnoteReference"/>
        </w:rPr>
        <w:footnoteRef/>
      </w:r>
      <w:r>
        <w:t xml:space="preserve"> </w:t>
      </w:r>
      <w:r>
        <w:rPr>
          <w:lang w:val="en-US"/>
        </w:rPr>
        <w:t>Imputed prices are calculated by dividing a value figure by a volume figure. As discussed in chapter 3, the PC has had to estimate the volume of domestic production. And the value of sales may include income from sources other than the sale of FSS (which would lead to imputed prices being higher than actual prices).</w:t>
      </w:r>
    </w:p>
  </w:footnote>
  <w:footnote w:id="25">
    <w:p w14:paraId="5FDDA7DB" w14:textId="77777777" w:rsidR="00692657" w:rsidRPr="000545FC" w:rsidRDefault="00692657" w:rsidP="00011592">
      <w:pPr>
        <w:pStyle w:val="FootnoteText"/>
        <w:rPr>
          <w:lang w:val="en-US"/>
        </w:rPr>
      </w:pPr>
      <w:r w:rsidRPr="00AA655A">
        <w:rPr>
          <w:rStyle w:val="FootnoteReference"/>
        </w:rPr>
        <w:footnoteRef/>
      </w:r>
      <w:r w:rsidRPr="00AA655A">
        <w:t xml:space="preserve"> </w:t>
      </w:r>
      <w:r w:rsidRPr="00271A7B">
        <w:rPr>
          <w:lang w:val="en-US"/>
        </w:rPr>
        <w:t>CASA Engineering (sub. 14, p. 5)</w:t>
      </w:r>
      <w:r>
        <w:rPr>
          <w:lang w:val="en-US"/>
        </w:rPr>
        <w:t xml:space="preserve">; </w:t>
      </w:r>
      <w:r w:rsidRPr="00271A7B">
        <w:rPr>
          <w:lang w:val="en-US"/>
        </w:rPr>
        <w:t>First Line Engineering (sub. 34, p. 1)</w:t>
      </w:r>
      <w:r>
        <w:rPr>
          <w:lang w:val="en-US"/>
        </w:rPr>
        <w:t>;</w:t>
      </w:r>
      <w:r w:rsidRPr="005E2346">
        <w:rPr>
          <w:lang w:val="en-US"/>
        </w:rPr>
        <w:t xml:space="preserve"> </w:t>
      </w:r>
      <w:proofErr w:type="spellStart"/>
      <w:r w:rsidRPr="005E2346">
        <w:rPr>
          <w:lang w:val="en-US"/>
        </w:rPr>
        <w:t>Galintel</w:t>
      </w:r>
      <w:proofErr w:type="spellEnd"/>
      <w:r w:rsidRPr="005E2346">
        <w:rPr>
          <w:lang w:val="en-US"/>
        </w:rPr>
        <w:t xml:space="preserve"> </w:t>
      </w:r>
      <w:r>
        <w:rPr>
          <w:lang w:val="en-US"/>
        </w:rPr>
        <w:t xml:space="preserve">Pty Ltd </w:t>
      </w:r>
      <w:r w:rsidRPr="005E2346">
        <w:rPr>
          <w:lang w:val="en-US"/>
        </w:rPr>
        <w:t>(sub. 33, pp. 1 and 4)</w:t>
      </w:r>
      <w:r>
        <w:rPr>
          <w:lang w:val="en-US"/>
        </w:rPr>
        <w:t xml:space="preserve">; </w:t>
      </w:r>
      <w:r w:rsidRPr="005E2346">
        <w:rPr>
          <w:lang w:val="en-US"/>
        </w:rPr>
        <w:t>NEACH (sub. 15, pp. 4–5)</w:t>
      </w:r>
      <w:r>
        <w:rPr>
          <w:lang w:val="en-US"/>
        </w:rPr>
        <w:t>;</w:t>
      </w:r>
      <w:r w:rsidRPr="005E2346">
        <w:rPr>
          <w:lang w:val="en-US"/>
        </w:rPr>
        <w:t xml:space="preserve"> Prince Engineering (sub. 3, pp. 8–10).</w:t>
      </w:r>
    </w:p>
  </w:footnote>
  <w:footnote w:id="26">
    <w:p w14:paraId="557D59FE" w14:textId="0C2A22C7" w:rsidR="00692657" w:rsidRDefault="00692657" w:rsidP="00011592">
      <w:pPr>
        <w:pStyle w:val="FootnoteText"/>
      </w:pPr>
      <w:r>
        <w:rPr>
          <w:rStyle w:val="FootnoteReference"/>
        </w:rPr>
        <w:footnoteRef/>
      </w:r>
      <w:r>
        <w:t xml:space="preserve"> </w:t>
      </w:r>
      <w:r w:rsidRPr="008F762D">
        <w:t xml:space="preserve">For </w:t>
      </w:r>
      <w:r w:rsidRPr="006A316E">
        <w:rPr>
          <w:lang w:val="en-US"/>
        </w:rPr>
        <w:t>example</w:t>
      </w:r>
      <w:r w:rsidRPr="008F762D">
        <w:t>: CASA</w:t>
      </w:r>
      <w:r>
        <w:t xml:space="preserve"> </w:t>
      </w:r>
      <w:r w:rsidRPr="009142FA">
        <w:t>Engineering</w:t>
      </w:r>
      <w:r>
        <w:t xml:space="preserve"> (s</w:t>
      </w:r>
      <w:r w:rsidRPr="008F762D">
        <w:t>ub</w:t>
      </w:r>
      <w:r>
        <w:t>.</w:t>
      </w:r>
      <w:r w:rsidRPr="008F762D">
        <w:t xml:space="preserve"> 14</w:t>
      </w:r>
      <w:r>
        <w:t>, p. 5);</w:t>
      </w:r>
      <w:r w:rsidRPr="008F762D">
        <w:t xml:space="preserve"> </w:t>
      </w:r>
      <w:proofErr w:type="spellStart"/>
      <w:r>
        <w:t>idec</w:t>
      </w:r>
      <w:proofErr w:type="spellEnd"/>
      <w:r>
        <w:t xml:space="preserve"> Solutions (s</w:t>
      </w:r>
      <w:r w:rsidRPr="008F762D">
        <w:t>ub</w:t>
      </w:r>
      <w:r>
        <w:t>.</w:t>
      </w:r>
      <w:r w:rsidRPr="008F762D">
        <w:t xml:space="preserve"> 2</w:t>
      </w:r>
      <w:r>
        <w:t>1, p.</w:t>
      </w:r>
      <w:r w:rsidR="006C698C">
        <w:t> </w:t>
      </w:r>
      <w:r>
        <w:t>3).</w:t>
      </w:r>
      <w:r w:rsidRPr="008F762D">
        <w:t xml:space="preserve"> </w:t>
      </w:r>
    </w:p>
  </w:footnote>
  <w:footnote w:id="27">
    <w:p w14:paraId="44F25285" w14:textId="5A19F331" w:rsidR="00692657" w:rsidRPr="00A13B9F" w:rsidRDefault="00692657">
      <w:pPr>
        <w:pStyle w:val="FootnoteText"/>
        <w:rPr>
          <w:lang w:val="en-US"/>
        </w:rPr>
      </w:pPr>
      <w:r>
        <w:rPr>
          <w:rStyle w:val="FootnoteReference"/>
        </w:rPr>
        <w:footnoteRef/>
      </w:r>
      <w:r>
        <w:t xml:space="preserve"> </w:t>
      </w:r>
      <w:r w:rsidRPr="007E1E3F">
        <w:t xml:space="preserve">PC </w:t>
      </w:r>
      <w:r w:rsidRPr="006A316E">
        <w:rPr>
          <w:lang w:val="en-US"/>
        </w:rPr>
        <w:t>analysis</w:t>
      </w:r>
      <w:r w:rsidRPr="007E1E3F">
        <w:t xml:space="preserve"> using ABS data</w:t>
      </w:r>
      <w:r>
        <w:t>, deflated using PPI for industry code 2221</w:t>
      </w:r>
      <w:r w:rsidR="006C698C">
        <w:t>.</w:t>
      </w:r>
    </w:p>
  </w:footnote>
  <w:footnote w:id="28">
    <w:p w14:paraId="29FAF8A4" w14:textId="77777777" w:rsidR="00762328" w:rsidRPr="00617950" w:rsidRDefault="00762328" w:rsidP="00011592">
      <w:pPr>
        <w:pStyle w:val="FootnoteText"/>
        <w:rPr>
          <w:lang w:val="en-US"/>
        </w:rPr>
      </w:pPr>
      <w:r w:rsidRPr="004B6C6B">
        <w:rPr>
          <w:rStyle w:val="FootnoteReference"/>
        </w:rPr>
        <w:footnoteRef/>
      </w:r>
      <w:r w:rsidRPr="004B6C6B">
        <w:t xml:space="preserve"> </w:t>
      </w:r>
      <w:r w:rsidRPr="00617950">
        <w:t xml:space="preserve">For example: </w:t>
      </w:r>
      <w:r w:rsidRPr="00617950">
        <w:rPr>
          <w:lang w:val="en-US"/>
        </w:rPr>
        <w:t>BlueScope Steel (sub. 48, pp. 14</w:t>
      </w:r>
      <w:r w:rsidRPr="00617950">
        <w:rPr>
          <w:lang w:val="en-US" w:eastAsia="en-AU"/>
        </w:rPr>
        <w:t>–</w:t>
      </w:r>
      <w:r w:rsidRPr="00617950">
        <w:rPr>
          <w:lang w:val="en-US"/>
        </w:rPr>
        <w:t xml:space="preserve">16); </w:t>
      </w:r>
      <w:r w:rsidRPr="00617950">
        <w:t xml:space="preserve">CASA Engineering (sub. 14, p. 6); </w:t>
      </w:r>
      <w:proofErr w:type="spellStart"/>
      <w:r w:rsidRPr="00617950">
        <w:rPr>
          <w:lang w:val="en-US"/>
        </w:rPr>
        <w:t>InfraBuild</w:t>
      </w:r>
      <w:proofErr w:type="spellEnd"/>
      <w:r w:rsidRPr="00617950">
        <w:rPr>
          <w:lang w:val="en-US"/>
        </w:rPr>
        <w:t xml:space="preserve"> (sub. 40, pp. 2, 14); OneSteel Manufacturing (sub. 45, p. 3); Weld Australia (sub. 24, pp. 7, 9).</w:t>
      </w:r>
    </w:p>
  </w:footnote>
  <w:footnote w:id="29">
    <w:p w14:paraId="1C2181C0" w14:textId="2466ED47" w:rsidR="00762328" w:rsidRDefault="00762328" w:rsidP="00011592">
      <w:pPr>
        <w:pStyle w:val="FootnoteText"/>
      </w:pPr>
      <w:r>
        <w:rPr>
          <w:rStyle w:val="FootnoteReference"/>
        </w:rPr>
        <w:footnoteRef/>
      </w:r>
      <w:r>
        <w:t xml:space="preserve"> For </w:t>
      </w:r>
      <w:r w:rsidRPr="006A316E">
        <w:rPr>
          <w:lang w:val="en-US"/>
        </w:rPr>
        <w:t>example</w:t>
      </w:r>
      <w:r>
        <w:t xml:space="preserve">: </w:t>
      </w:r>
      <w:r w:rsidRPr="005332AE">
        <w:t>AMARCON</w:t>
      </w:r>
      <w:r>
        <w:t xml:space="preserve"> (sub. 16, p. 1); CASA Engineering (sub. 14, p. 3)</w:t>
      </w:r>
      <w:r w:rsidR="00EE07E1">
        <w:t>;</w:t>
      </w:r>
      <w:r>
        <w:t xml:space="preserve"> </w:t>
      </w:r>
      <w:proofErr w:type="spellStart"/>
      <w:r>
        <w:t>idec</w:t>
      </w:r>
      <w:proofErr w:type="spellEnd"/>
      <w:r w:rsidRPr="00603F74">
        <w:t xml:space="preserve"> Solutions</w:t>
      </w:r>
      <w:r>
        <w:t xml:space="preserve"> (sub. 21, p. 1)</w:t>
      </w:r>
      <w:r w:rsidR="00EE07E1">
        <w:t>;</w:t>
      </w:r>
      <w:r>
        <w:t xml:space="preserve"> name withheld</w:t>
      </w:r>
      <w:r w:rsidRPr="00545773">
        <w:t xml:space="preserve"> </w:t>
      </w:r>
      <w:r>
        <w:t>(s</w:t>
      </w:r>
      <w:r w:rsidRPr="00D47D11">
        <w:t>ub</w:t>
      </w:r>
      <w:r>
        <w:t>.</w:t>
      </w:r>
      <w:r w:rsidRPr="00D47D11">
        <w:t xml:space="preserve"> </w:t>
      </w:r>
      <w:r>
        <w:t xml:space="preserve">7, p. 9; sub. </w:t>
      </w:r>
      <w:r w:rsidRPr="00D47D11">
        <w:t>31</w:t>
      </w:r>
      <w:r>
        <w:t>, p. 1)</w:t>
      </w:r>
      <w:r w:rsidR="00EE07E1">
        <w:t>;</w:t>
      </w:r>
      <w:r>
        <w:t xml:space="preserve"> </w:t>
      </w:r>
      <w:r w:rsidRPr="00460579">
        <w:t>Stevens Group</w:t>
      </w:r>
      <w:r>
        <w:t xml:space="preserve"> (sub. 5, p. 1). </w:t>
      </w:r>
    </w:p>
  </w:footnote>
  <w:footnote w:id="30">
    <w:p w14:paraId="2C3AAEDE" w14:textId="69C83D0F" w:rsidR="006B26A5" w:rsidRPr="00F05597" w:rsidRDefault="006B26A5" w:rsidP="00011592">
      <w:pPr>
        <w:pStyle w:val="FootnoteText"/>
        <w:rPr>
          <w:spacing w:val="-4"/>
          <w:lang w:val="en-US"/>
        </w:rPr>
      </w:pPr>
      <w:r w:rsidRPr="00F05597">
        <w:rPr>
          <w:rStyle w:val="FootnoteReference"/>
          <w:spacing w:val="-4"/>
        </w:rPr>
        <w:footnoteRef/>
      </w:r>
      <w:r w:rsidRPr="00F05597">
        <w:rPr>
          <w:spacing w:val="-4"/>
        </w:rPr>
        <w:t xml:space="preserve"> </w:t>
      </w:r>
      <w:r w:rsidRPr="00F05597">
        <w:rPr>
          <w:spacing w:val="-4"/>
          <w:lang w:val="en-US"/>
        </w:rPr>
        <w:t xml:space="preserve">For example: AMARCON (sub. 16, p. 2); </w:t>
      </w:r>
      <w:proofErr w:type="spellStart"/>
      <w:r w:rsidRPr="00F05597">
        <w:rPr>
          <w:spacing w:val="-4"/>
          <w:lang w:val="en-US"/>
        </w:rPr>
        <w:t>Brezac</w:t>
      </w:r>
      <w:proofErr w:type="spellEnd"/>
      <w:r w:rsidRPr="00F05597">
        <w:rPr>
          <w:spacing w:val="-4"/>
          <w:lang w:val="en-US"/>
        </w:rPr>
        <w:t xml:space="preserve"> Constructions (post-hearings submission, p. 5); CSF Industries (sub. 17, p. 6); </w:t>
      </w:r>
      <w:proofErr w:type="spellStart"/>
      <w:r w:rsidRPr="00F05597">
        <w:rPr>
          <w:spacing w:val="-4"/>
          <w:lang w:val="en-US"/>
        </w:rPr>
        <w:t>idec</w:t>
      </w:r>
      <w:proofErr w:type="spellEnd"/>
      <w:r w:rsidRPr="00F05597">
        <w:rPr>
          <w:spacing w:val="-4"/>
          <w:lang w:val="en-US"/>
        </w:rPr>
        <w:t xml:space="preserve"> Solutions (sub. 21, p. 4); name withheld (sub. 31, p. 3; sub. 58, p. 5); NEACH (sub. 15, p. 5); Prince Engineering (sub. 3, p. 10); Roam Engineering (sub. 47, p. 4); </w:t>
      </w:r>
      <w:r w:rsidR="00F05597" w:rsidRPr="00F05597">
        <w:rPr>
          <w:spacing w:val="-4"/>
          <w:lang w:val="en-US"/>
        </w:rPr>
        <w:t xml:space="preserve">SEMMA (transcript, 15 May, p. 11); </w:t>
      </w:r>
      <w:r w:rsidRPr="00F05597">
        <w:rPr>
          <w:spacing w:val="-4"/>
          <w:lang w:val="en-US"/>
        </w:rPr>
        <w:t>Watkins Steel (sub. 20, p. 3).</w:t>
      </w:r>
    </w:p>
  </w:footnote>
  <w:footnote w:id="31">
    <w:p w14:paraId="62535443" w14:textId="667FB1C3" w:rsidR="006B26A5" w:rsidRPr="00FF1B1A" w:rsidRDefault="006B26A5">
      <w:pPr>
        <w:pStyle w:val="FootnoteText"/>
        <w:rPr>
          <w:lang w:val="en-US"/>
        </w:rPr>
      </w:pPr>
      <w:r>
        <w:rPr>
          <w:rStyle w:val="FootnoteReference"/>
        </w:rPr>
        <w:footnoteRef/>
      </w:r>
      <w:r>
        <w:t xml:space="preserve"> </w:t>
      </w:r>
      <w:r>
        <w:rPr>
          <w:lang w:val="en-US"/>
        </w:rPr>
        <w:t>For example: ASI (transcript, 13 May, p. 11), Gonzales Steel (sub. 43, p. 8), Rowville Engineering (transcript, 13</w:t>
      </w:r>
      <w:r w:rsidR="00EC764E">
        <w:rPr>
          <w:lang w:val="en-US"/>
        </w:rPr>
        <w:t> </w:t>
      </w:r>
      <w:r>
        <w:rPr>
          <w:lang w:val="en-US"/>
        </w:rPr>
        <w:t>May, pp. 22</w:t>
      </w:r>
      <w:r>
        <w:rPr>
          <w:rFonts w:ascii="Arial" w:eastAsia="Times New Roman" w:hAnsi="Arial" w:cs="Arial"/>
          <w:color w:val="000000"/>
          <w:sz w:val="16"/>
          <w:szCs w:val="16"/>
          <w:lang w:val="en-US" w:eastAsia="en-AU"/>
        </w:rPr>
        <w:t>–</w:t>
      </w:r>
      <w:r>
        <w:rPr>
          <w:lang w:val="en-US"/>
        </w:rPr>
        <w:t xml:space="preserve">23), </w:t>
      </w:r>
      <w:proofErr w:type="spellStart"/>
      <w:r>
        <w:rPr>
          <w:lang w:val="en-US"/>
        </w:rPr>
        <w:t>Westys</w:t>
      </w:r>
      <w:proofErr w:type="spellEnd"/>
      <w:r>
        <w:rPr>
          <w:lang w:val="en-US"/>
        </w:rPr>
        <w:t xml:space="preserve"> Steel Fabrication (sub. 27, p. 6).</w:t>
      </w:r>
    </w:p>
  </w:footnote>
  <w:footnote w:id="32">
    <w:p w14:paraId="31D47179" w14:textId="77777777" w:rsidR="006B26A5" w:rsidRPr="00CC2AAC" w:rsidRDefault="006B26A5" w:rsidP="00011592">
      <w:pPr>
        <w:pStyle w:val="FootnoteText"/>
        <w:rPr>
          <w:spacing w:val="-4"/>
          <w:lang w:val="en-US"/>
        </w:rPr>
      </w:pPr>
      <w:r w:rsidRPr="00850EC8">
        <w:rPr>
          <w:rStyle w:val="FootnoteReference"/>
          <w:color w:val="000000" w:themeColor="text1"/>
        </w:rPr>
        <w:footnoteRef/>
      </w:r>
      <w:r w:rsidRPr="00850EC8">
        <w:rPr>
          <w:color w:val="000000" w:themeColor="text1"/>
        </w:rPr>
        <w:t xml:space="preserve"> </w:t>
      </w:r>
      <w:r w:rsidRPr="00CC2AAC">
        <w:rPr>
          <w:color w:val="000000" w:themeColor="text1"/>
          <w:spacing w:val="-4"/>
        </w:rPr>
        <w:t xml:space="preserve">For example: </w:t>
      </w:r>
      <w:r w:rsidRPr="00CC2AAC">
        <w:rPr>
          <w:color w:val="000000" w:themeColor="text1"/>
          <w:spacing w:val="-4"/>
          <w:lang w:val="en-US"/>
        </w:rPr>
        <w:t xml:space="preserve">AMARCON (sub. 16, p. 3); ASI (sub. 30, p. 4); CSF Industries (sub. 17, p. 7); First Line Engineering (sub. 34, p. 2); HVAC Australia (sub. 13, p. 4); </w:t>
      </w:r>
      <w:proofErr w:type="spellStart"/>
      <w:r w:rsidRPr="00CC2AAC">
        <w:rPr>
          <w:color w:val="000000" w:themeColor="text1"/>
          <w:spacing w:val="-4"/>
          <w:lang w:val="en-US"/>
        </w:rPr>
        <w:t>idec</w:t>
      </w:r>
      <w:proofErr w:type="spellEnd"/>
      <w:r w:rsidRPr="00CC2AAC">
        <w:rPr>
          <w:color w:val="000000" w:themeColor="text1"/>
          <w:spacing w:val="-4"/>
          <w:lang w:val="en-US"/>
        </w:rPr>
        <w:t xml:space="preserve"> Solutions (sub. 21, p. 3); name withheld (sub. 28, pp. 6, 7); SEMMA (sub. 6, p. 3).</w:t>
      </w:r>
    </w:p>
  </w:footnote>
  <w:footnote w:id="33">
    <w:p w14:paraId="3E11EE59" w14:textId="0276EE54" w:rsidR="006B26A5" w:rsidRPr="00A01290" w:rsidRDefault="006B26A5">
      <w:pPr>
        <w:pStyle w:val="FootnoteText"/>
        <w:rPr>
          <w:lang w:val="en-US"/>
        </w:rPr>
      </w:pPr>
      <w:r>
        <w:rPr>
          <w:rStyle w:val="FootnoteReference"/>
        </w:rPr>
        <w:footnoteRef/>
      </w:r>
      <w:r>
        <w:t xml:space="preserve"> The PC’s </w:t>
      </w:r>
      <w:r w:rsidRPr="006A316E">
        <w:rPr>
          <w:lang w:val="en-US"/>
        </w:rPr>
        <w:t>2021</w:t>
      </w:r>
      <w:r>
        <w:t xml:space="preserve"> report on vulnerable supply chains found that d</w:t>
      </w:r>
      <w:r w:rsidRPr="00CC6617">
        <w:t>isruptions to the supply of capital goods are unlikely to affect wellbeing in the short term</w:t>
      </w:r>
      <w:r>
        <w:t xml:space="preserve"> </w:t>
      </w:r>
      <w:r>
        <w:fldChar w:fldCharType="begin"/>
      </w:r>
      <w:r w:rsidR="00762450">
        <w:instrText xml:space="preserve"> ADDIN ZOTERO_ITEM CSL_CITATION {"citationID":"dH387m1l","properties":{"unsorted":false,"formattedCitation":"(PC\\uc0\\u160{}2021, p.\\uc0\\u160{}64)","plainCitation":"(PC 2021, p. 64)","noteIndex":32},"citationItems":[{"id":1331,"uris":["http://zotero.org/groups/164861/items/FIEXKB8K"],"itemData":{"id":1331,"type":"report","genre":"Study Report","title":"Vulnerable Supply Chains","author":[{"family":"Productivity Commission","given":""}],"translator":[{"family":"PC","given":""}],"issued":{"date-parts":[["2021"]]}},"locator":"64","label":"page"}],"schema":"https://github.com/citation-style-language/schema/raw/master/csl-citation.json"} </w:instrText>
      </w:r>
      <w:r>
        <w:fldChar w:fldCharType="separate"/>
      </w:r>
      <w:r w:rsidRPr="00F75DAB">
        <w:rPr>
          <w:rFonts w:cs="Open Sans"/>
        </w:rPr>
        <w:t>(PC 2021, p. 64)</w:t>
      </w:r>
      <w:r>
        <w:fldChar w:fldCharType="end"/>
      </w:r>
      <w:r w:rsidRPr="00CC6617">
        <w:t>.</w:t>
      </w:r>
    </w:p>
  </w:footnote>
  <w:footnote w:id="34">
    <w:p w14:paraId="50F1996F" w14:textId="77777777" w:rsidR="006B26A5" w:rsidRPr="005928CE" w:rsidRDefault="006B26A5" w:rsidP="00011592">
      <w:pPr>
        <w:pStyle w:val="FootnoteText"/>
        <w:rPr>
          <w:lang w:val="en-US"/>
        </w:rPr>
      </w:pPr>
      <w:r>
        <w:rPr>
          <w:rStyle w:val="FootnoteReference"/>
        </w:rPr>
        <w:footnoteRef/>
      </w:r>
      <w:r>
        <w:t xml:space="preserve"> </w:t>
      </w:r>
      <w:r>
        <w:rPr>
          <w:lang w:val="en-US"/>
        </w:rPr>
        <w:t>Australian Workers Union (sub. 53, p. 7), BlueScope Steel (sub. 48, p. 2), OneSteel Manufacturing (sub. 45).</w:t>
      </w:r>
    </w:p>
  </w:footnote>
  <w:footnote w:id="35">
    <w:p w14:paraId="5F980DA4" w14:textId="77777777" w:rsidR="006B26A5" w:rsidRPr="00364E1F" w:rsidRDefault="006B26A5" w:rsidP="00011592">
      <w:pPr>
        <w:pStyle w:val="FootnoteText"/>
        <w:rPr>
          <w:lang w:val="en-US"/>
        </w:rPr>
      </w:pPr>
      <w:r>
        <w:rPr>
          <w:rStyle w:val="FootnoteReference"/>
        </w:rPr>
        <w:footnoteRef/>
      </w:r>
      <w:r>
        <w:t xml:space="preserve"> For example: First Line Engineering (sub. 34, pp. 1</w:t>
      </w:r>
      <w:r>
        <w:rPr>
          <w:rFonts w:ascii="Arial" w:eastAsia="Times New Roman" w:hAnsi="Arial" w:cs="Arial"/>
          <w:color w:val="000000"/>
          <w:sz w:val="16"/>
          <w:szCs w:val="16"/>
          <w:lang w:val="en-US" w:eastAsia="en-AU"/>
        </w:rPr>
        <w:t>–</w:t>
      </w:r>
      <w:r>
        <w:t xml:space="preserve">2); name withheld (sub. 7, p. 10; sub. 28, p. 7); NEACH (sub. 15, p. 5); Roam Engineering (sub. 47, p. 3); SEMMA (sub. 6, pp. 2, 5); </w:t>
      </w:r>
      <w:proofErr w:type="spellStart"/>
      <w:r>
        <w:t>Sencova</w:t>
      </w:r>
      <w:proofErr w:type="spellEnd"/>
      <w:r>
        <w:t xml:space="preserve"> Steel Fabrication (sub. 26, pp. 4</w:t>
      </w:r>
      <w:r>
        <w:rPr>
          <w:rFonts w:ascii="Arial" w:eastAsia="Times New Roman" w:hAnsi="Arial" w:cs="Arial"/>
          <w:color w:val="000000"/>
          <w:sz w:val="16"/>
          <w:szCs w:val="16"/>
          <w:lang w:val="en-US" w:eastAsia="en-AU"/>
        </w:rPr>
        <w:t>–</w:t>
      </w:r>
      <w:r>
        <w:t>5); Steel Builder Australia (sub. 42, p. 3); Weld Australia (sub. 24, p. 1).</w:t>
      </w:r>
    </w:p>
  </w:footnote>
  <w:footnote w:id="36">
    <w:p w14:paraId="67503002" w14:textId="77777777" w:rsidR="006B26A5" w:rsidRPr="008924AF" w:rsidRDefault="006B26A5">
      <w:pPr>
        <w:pStyle w:val="FootnoteText"/>
        <w:rPr>
          <w:lang w:val="en-US"/>
        </w:rPr>
      </w:pPr>
      <w:r>
        <w:rPr>
          <w:rStyle w:val="FootnoteReference"/>
        </w:rPr>
        <w:footnoteRef/>
      </w:r>
      <w:r>
        <w:t xml:space="preserve"> </w:t>
      </w:r>
      <w:r>
        <w:rPr>
          <w:lang w:val="en-US"/>
        </w:rPr>
        <w:t xml:space="preserve">For example: CASA Engineering (transcript, 13 May, p. 28); </w:t>
      </w:r>
      <w:proofErr w:type="spellStart"/>
      <w:r>
        <w:rPr>
          <w:lang w:val="en-US"/>
        </w:rPr>
        <w:t>Technoweld</w:t>
      </w:r>
      <w:proofErr w:type="spellEnd"/>
      <w:r>
        <w:rPr>
          <w:lang w:val="en-US"/>
        </w:rPr>
        <w:t xml:space="preserve"> (transcript, 13 May, p. 34).</w:t>
      </w:r>
    </w:p>
  </w:footnote>
  <w:footnote w:id="37">
    <w:p w14:paraId="0A4E97FE" w14:textId="77777777" w:rsidR="006B26A5" w:rsidRPr="00FC7C40" w:rsidRDefault="006B26A5">
      <w:pPr>
        <w:pStyle w:val="FootnoteText"/>
        <w:rPr>
          <w:color w:val="C00000"/>
          <w:lang w:val="en-US"/>
        </w:rPr>
      </w:pPr>
      <w:r>
        <w:rPr>
          <w:rStyle w:val="FootnoteReference"/>
        </w:rPr>
        <w:footnoteRef/>
      </w:r>
      <w:r>
        <w:t xml:space="preserve"> For </w:t>
      </w:r>
      <w:r w:rsidRPr="006A316E">
        <w:rPr>
          <w:lang w:val="en-US"/>
        </w:rPr>
        <w:t>example</w:t>
      </w:r>
      <w:r>
        <w:t xml:space="preserve">: name withheld (sub. 28, p. 8); SEMMA (sub. 6, p. 5); </w:t>
      </w:r>
      <w:proofErr w:type="spellStart"/>
      <w:r>
        <w:t>Sencova</w:t>
      </w:r>
      <w:proofErr w:type="spellEnd"/>
      <w:r>
        <w:t xml:space="preserve"> Steel Fabrication (sub. 26, p. 5); Steel Builder Australia (sub. 42, pp. 8</w:t>
      </w:r>
      <w:r>
        <w:rPr>
          <w:rFonts w:ascii="Arial" w:eastAsia="Times New Roman" w:hAnsi="Arial" w:cs="Arial"/>
          <w:color w:val="000000"/>
          <w:sz w:val="16"/>
          <w:szCs w:val="16"/>
          <w:lang w:val="en-US" w:eastAsia="en-AU"/>
        </w:rPr>
        <w:t>–</w:t>
      </w:r>
      <w:r>
        <w:t>9); Weld Australia (sub. 24, p. 8).</w:t>
      </w:r>
    </w:p>
  </w:footnote>
  <w:footnote w:id="38">
    <w:p w14:paraId="468C68FA" w14:textId="77777777" w:rsidR="00BC1539" w:rsidRPr="00C36A2B" w:rsidRDefault="00BC1539">
      <w:pPr>
        <w:pStyle w:val="FootnoteText"/>
        <w:rPr>
          <w:lang w:val="en-US"/>
        </w:rPr>
      </w:pPr>
      <w:r w:rsidRPr="007C273A">
        <w:rPr>
          <w:rStyle w:val="FootnoteReference"/>
        </w:rPr>
        <w:footnoteRef/>
      </w:r>
      <w:r>
        <w:t xml:space="preserve"> </w:t>
      </w:r>
      <w:r w:rsidRPr="00F744B8">
        <w:t xml:space="preserve">Monthly ABS merchandise trade data is subject to a 6-month revision window. Therefore, the </w:t>
      </w:r>
      <w:r>
        <w:t>20</w:t>
      </w:r>
      <w:r w:rsidRPr="00F744B8">
        <w:t>25</w:t>
      </w:r>
      <w:r>
        <w:t>–</w:t>
      </w:r>
      <w:r w:rsidRPr="00F744B8">
        <w:t xml:space="preserve">26 merchandise </w:t>
      </w:r>
      <w:r w:rsidRPr="006A316E">
        <w:rPr>
          <w:lang w:val="en-US"/>
        </w:rPr>
        <w:t>trade</w:t>
      </w:r>
      <w:r w:rsidRPr="00F744B8">
        <w:t xml:space="preserve"> data </w:t>
      </w:r>
      <w:r>
        <w:t xml:space="preserve">is preliminary and </w:t>
      </w:r>
      <w:r w:rsidRPr="00F744B8">
        <w:t xml:space="preserve">still subject to further revision. </w:t>
      </w:r>
    </w:p>
  </w:footnote>
  <w:footnote w:id="39">
    <w:p w14:paraId="13A4166A" w14:textId="77777777" w:rsidR="00BC1539" w:rsidRPr="006C4EF9" w:rsidRDefault="00BC1539" w:rsidP="00011592">
      <w:pPr>
        <w:pStyle w:val="FootnoteText"/>
        <w:rPr>
          <w:lang w:val="en-US"/>
        </w:rPr>
      </w:pPr>
      <w:r w:rsidRPr="007C273A">
        <w:rPr>
          <w:rStyle w:val="FootnoteReference"/>
        </w:rPr>
        <w:footnoteRef/>
      </w:r>
      <w:r>
        <w:t xml:space="preserve"> </w:t>
      </w:r>
      <w:r>
        <w:rPr>
          <w:lang w:val="en-US"/>
        </w:rPr>
        <w:t>For example, a declaration can include any number of transactions of any number of HTISC codes. The weight variable will include the ‘heaviness’ of all transactions and associated packaging within a given declaration and will be attributed to the first transaction within a declaration.</w:t>
      </w:r>
    </w:p>
  </w:footnote>
  <w:footnote w:id="40">
    <w:p w14:paraId="18FCA0F3" w14:textId="77777777" w:rsidR="00BC1539" w:rsidRPr="00DF4D75" w:rsidRDefault="00BC1539" w:rsidP="00011592">
      <w:pPr>
        <w:pStyle w:val="FootnoteText"/>
        <w:rPr>
          <w:lang w:val="en-US"/>
        </w:rPr>
      </w:pPr>
      <w:r w:rsidRPr="007C273A">
        <w:rPr>
          <w:rStyle w:val="FootnoteReference"/>
        </w:rPr>
        <w:footnoteRef/>
      </w:r>
      <w:r>
        <w:t xml:space="preserve"> </w:t>
      </w:r>
      <w:r>
        <w:rPr>
          <w:lang w:val="en-US"/>
        </w:rPr>
        <w:t xml:space="preserve">While the new classifications were implemented from 2015-16, evidence from </w:t>
      </w:r>
      <w:proofErr w:type="spellStart"/>
      <w:r>
        <w:rPr>
          <w:lang w:val="en-US"/>
        </w:rPr>
        <w:t>DataLab</w:t>
      </w:r>
      <w:proofErr w:type="spellEnd"/>
      <w:r>
        <w:rPr>
          <w:lang w:val="en-US"/>
        </w:rPr>
        <w:t xml:space="preserve"> suggested that imports may have been inaccurately allocated in many cases during the first year of implementation.</w:t>
      </w:r>
    </w:p>
  </w:footnote>
  <w:footnote w:id="41">
    <w:p w14:paraId="2EB745D9" w14:textId="77777777" w:rsidR="00BC1539" w:rsidRPr="00297A10" w:rsidRDefault="00BC1539">
      <w:pPr>
        <w:pStyle w:val="FootnoteText"/>
        <w:rPr>
          <w:lang w:val="en-US"/>
        </w:rPr>
      </w:pPr>
      <w:r w:rsidRPr="007C273A">
        <w:rPr>
          <w:rStyle w:val="FootnoteReference"/>
        </w:rPr>
        <w:footnoteRef/>
      </w:r>
      <w:r>
        <w:t xml:space="preserve"> Analysis was done using R Studio. Scripts will be made available on the inquiry website.</w:t>
      </w:r>
    </w:p>
  </w:footnote>
  <w:footnote w:id="42">
    <w:p w14:paraId="47FF58D1" w14:textId="5CB63890" w:rsidR="00BC1539" w:rsidRPr="003E20E9" w:rsidRDefault="00BC1539">
      <w:pPr>
        <w:pStyle w:val="FootnoteText"/>
        <w:rPr>
          <w:lang w:val="en-US"/>
        </w:rPr>
      </w:pPr>
      <w:r w:rsidRPr="007C273A">
        <w:rPr>
          <w:rStyle w:val="FootnoteReference"/>
        </w:rPr>
        <w:footnoteRef/>
      </w:r>
      <w:r>
        <w:t xml:space="preserve"> The data </w:t>
      </w:r>
      <w:r w:rsidRPr="006A316E">
        <w:rPr>
          <w:lang w:val="en-US"/>
        </w:rPr>
        <w:t>appeared</w:t>
      </w:r>
      <w:r>
        <w:t xml:space="preserve"> normally distributed. </w:t>
      </w:r>
      <w:r w:rsidDel="00C74358">
        <w:t>U</w:t>
      </w:r>
      <w:proofErr w:type="spellStart"/>
      <w:r w:rsidR="00CE2EA3">
        <w:rPr>
          <w:lang w:val="en-US"/>
        </w:rPr>
        <w:t>nder</w:t>
      </w:r>
      <w:proofErr w:type="spellEnd"/>
      <w:r>
        <w:rPr>
          <w:lang w:val="en-US"/>
        </w:rPr>
        <w:t xml:space="preserve"> a normal distribution, approximately 0.3% of datapoints fall outside three standard deviations.</w:t>
      </w:r>
    </w:p>
  </w:footnote>
  <w:footnote w:id="43">
    <w:p w14:paraId="29FF329A" w14:textId="77777777" w:rsidR="00BC1539" w:rsidRPr="001D1A3B" w:rsidRDefault="00BC1539" w:rsidP="00011592">
      <w:pPr>
        <w:pStyle w:val="FootnoteText"/>
        <w:rPr>
          <w:lang w:val="en-US"/>
        </w:rPr>
      </w:pPr>
      <w:r w:rsidRPr="007C273A">
        <w:rPr>
          <w:rStyle w:val="FootnoteReference"/>
        </w:rPr>
        <w:footnoteRef/>
      </w:r>
      <w:r>
        <w:t xml:space="preserve"> </w:t>
      </w:r>
      <w:r>
        <w:rPr>
          <w:lang w:val="en-US"/>
        </w:rPr>
        <w:t xml:space="preserve">This </w:t>
      </w:r>
      <w:proofErr w:type="gramStart"/>
      <w:r>
        <w:rPr>
          <w:lang w:val="en-US"/>
        </w:rPr>
        <w:t>mean</w:t>
      </w:r>
      <w:proofErr w:type="gramEnd"/>
      <w:r>
        <w:rPr>
          <w:lang w:val="en-US"/>
        </w:rPr>
        <w:t xml:space="preserve"> was restricted to declarations with only one transaction to ensure only relevant products were included in the ratio. </w:t>
      </w:r>
    </w:p>
  </w:footnote>
  <w:footnote w:id="44">
    <w:p w14:paraId="3E450E45" w14:textId="77777777" w:rsidR="00BC1539" w:rsidRPr="001D1A3B" w:rsidRDefault="00BC1539" w:rsidP="00011592">
      <w:pPr>
        <w:pStyle w:val="FootnoteText"/>
        <w:rPr>
          <w:lang w:val="en-US"/>
        </w:rPr>
      </w:pPr>
      <w:r w:rsidRPr="007C273A">
        <w:rPr>
          <w:rStyle w:val="FootnoteReference"/>
        </w:rPr>
        <w:footnoteRef/>
      </w:r>
      <w:r>
        <w:t xml:space="preserve"> As with 7308.10.00.01, t</w:t>
      </w:r>
      <w:r>
        <w:rPr>
          <w:lang w:val="en-US"/>
        </w:rPr>
        <w:t xml:space="preserve">his mean was restricted to declarations with only one transaction to ensure only relevant products were included in the ratio. </w:t>
      </w:r>
    </w:p>
  </w:footnote>
  <w:footnote w:id="45">
    <w:p w14:paraId="7A413C1D" w14:textId="77777777" w:rsidR="00BC1539" w:rsidRPr="00FC0D22" w:rsidRDefault="00BC1539" w:rsidP="00011592">
      <w:pPr>
        <w:pStyle w:val="FootnoteText"/>
        <w:rPr>
          <w:lang w:val="en-US"/>
        </w:rPr>
      </w:pPr>
      <w:r w:rsidRPr="007C273A">
        <w:rPr>
          <w:rStyle w:val="FootnoteReference"/>
        </w:rPr>
        <w:footnoteRef/>
      </w:r>
      <w:r>
        <w:t xml:space="preserve"> </w:t>
      </w:r>
      <w:r>
        <w:rPr>
          <w:lang w:val="en-US"/>
        </w:rPr>
        <w:t>Testing of the outlier analysis approach was also undertaken by removing outliers rather than imputing quantities, and it was found that this series did not notably vary from the imputed series.</w:t>
      </w:r>
      <w:r w:rsidRPr="008A40CF">
        <w:t xml:space="preserve"> </w:t>
      </w:r>
      <w:r>
        <w:t>The broader method was tested internally and with the international statistics team at the ABS.</w:t>
      </w:r>
    </w:p>
  </w:footnote>
  <w:footnote w:id="46">
    <w:p w14:paraId="33AC1694" w14:textId="77777777" w:rsidR="00BC1539" w:rsidRPr="005C0E7D" w:rsidRDefault="00BC1539">
      <w:pPr>
        <w:pStyle w:val="FootnoteText"/>
        <w:rPr>
          <w:lang w:val="en-US"/>
        </w:rPr>
      </w:pPr>
      <w:r w:rsidRPr="007C273A">
        <w:rPr>
          <w:rStyle w:val="FootnoteReference"/>
        </w:rPr>
        <w:footnoteRef/>
      </w:r>
      <w:r>
        <w:t xml:space="preserve"> </w:t>
      </w:r>
      <w:r>
        <w:rPr>
          <w:lang w:val="en-US"/>
        </w:rPr>
        <w:t>The relative analysis was based on import code 7308.90.00.65 and confidential estimates of Australian sales of hot rolled structural sections.</w:t>
      </w:r>
    </w:p>
  </w:footnote>
  <w:footnote w:id="47">
    <w:p w14:paraId="6BEAF0EC" w14:textId="703C7900" w:rsidR="00BC1539" w:rsidRPr="003835C7" w:rsidRDefault="00BC1539" w:rsidP="00011592">
      <w:pPr>
        <w:pStyle w:val="FootnoteText"/>
        <w:rPr>
          <w:lang w:val="en-US"/>
        </w:rPr>
      </w:pPr>
      <w:r w:rsidRPr="007C273A">
        <w:rPr>
          <w:rStyle w:val="FootnoteReference"/>
        </w:rPr>
        <w:footnoteRef/>
      </w:r>
      <w:r>
        <w:t xml:space="preserve"> </w:t>
      </w:r>
      <w:r w:rsidRPr="00004821">
        <w:t xml:space="preserve">For example, </w:t>
      </w:r>
      <w:r w:rsidR="00924882" w:rsidRPr="00004821">
        <w:t>Estimate One</w:t>
      </w:r>
      <w:r w:rsidRPr="00004821">
        <w:t xml:space="preserve"> </w:t>
      </w:r>
      <w:r w:rsidRPr="006A316E">
        <w:rPr>
          <w:lang w:val="en-US"/>
        </w:rPr>
        <w:t>allows</w:t>
      </w:r>
      <w:r w:rsidRPr="00004821">
        <w:t xml:space="preserve"> projects to be filtered by structural steel, but does not report the value or quantity of the structural steel component, which is often subcontracted separately</w:t>
      </w:r>
      <w:r>
        <w:t xml:space="preserve">. </w:t>
      </w:r>
      <w:r>
        <w:rPr>
          <w:lang w:val="en-US"/>
        </w:rPr>
        <w:t xml:space="preserve">Tender websites investigated included: </w:t>
      </w:r>
      <w:r w:rsidR="00924882">
        <w:rPr>
          <w:lang w:val="en-US"/>
        </w:rPr>
        <w:t>Estimate One</w:t>
      </w:r>
      <w:r>
        <w:rPr>
          <w:lang w:val="en-US"/>
        </w:rPr>
        <w:t xml:space="preserve">, Procore, BCI central and </w:t>
      </w:r>
      <w:r w:rsidR="004D7A39">
        <w:rPr>
          <w:lang w:val="en-US"/>
        </w:rPr>
        <w:t>Australian, state and territory</w:t>
      </w:r>
      <w:r>
        <w:rPr>
          <w:lang w:val="en-US"/>
        </w:rPr>
        <w:t xml:space="preserve"> government tender websites.</w:t>
      </w:r>
    </w:p>
  </w:footnote>
  <w:footnote w:id="48">
    <w:p w14:paraId="2F2980AD" w14:textId="77777777" w:rsidR="00BC1539" w:rsidRPr="00D30957" w:rsidRDefault="00BC1539" w:rsidP="006A316E">
      <w:pPr>
        <w:pStyle w:val="FootnoteText"/>
        <w:spacing w:line="240" w:lineRule="exact"/>
        <w:rPr>
          <w:lang w:val="en-US"/>
        </w:rPr>
      </w:pPr>
      <w:r w:rsidRPr="007C273A">
        <w:rPr>
          <w:rStyle w:val="FootnoteReference"/>
        </w:rPr>
        <w:footnoteRef/>
      </w:r>
      <w:r>
        <w:t xml:space="preserve"> </w:t>
      </w:r>
      <w:r>
        <w:rPr>
          <w:lang w:val="en-US"/>
        </w:rPr>
        <w:t>Attempts were made to attain the largest sample possible; however, t</w:t>
      </w:r>
      <w:r>
        <w:t xml:space="preserve">he PC acknowledges </w:t>
      </w:r>
      <w:r>
        <w:rPr>
          <w:lang w:val="en-US"/>
        </w:rPr>
        <w:t xml:space="preserve">that this is a small sample and that there will be uncertainty associated with the application of this data. </w:t>
      </w:r>
    </w:p>
  </w:footnote>
  <w:footnote w:id="49">
    <w:p w14:paraId="62A5B767" w14:textId="093F999A" w:rsidR="00BC1539" w:rsidRPr="006B122A" w:rsidRDefault="00BC1539" w:rsidP="006B122A">
      <w:pPr>
        <w:spacing w:before="0" w:after="0" w:line="240" w:lineRule="auto"/>
        <w:rPr>
          <w:sz w:val="18"/>
          <w:lang w:eastAsia="en-AU"/>
        </w:rPr>
      </w:pPr>
      <w:r>
        <w:rPr>
          <w:rStyle w:val="FootnoteReference"/>
        </w:rPr>
        <w:footnoteRef/>
      </w:r>
      <w:r w:rsidR="001E0BAB">
        <w:t xml:space="preserve"> </w:t>
      </w:r>
      <w:r w:rsidR="005A0ED5">
        <w:t>‘</w:t>
      </w:r>
      <w:r w:rsidRPr="00207503">
        <w:rPr>
          <w:rStyle w:val="FootnoteTextChar"/>
          <w:lang w:eastAsia="en-AU"/>
        </w:rPr>
        <w:t xml:space="preserve">Small business entity simplified depreciation </w:t>
      </w:r>
      <w:r w:rsidR="006B122A">
        <w:rPr>
          <w:rStyle w:val="FootnoteTextChar"/>
          <w:lang w:eastAsia="en-AU"/>
        </w:rPr>
        <w:t>–</w:t>
      </w:r>
      <w:r w:rsidRPr="00207503">
        <w:rPr>
          <w:rStyle w:val="FootnoteTextChar"/>
          <w:lang w:eastAsia="en-AU"/>
        </w:rPr>
        <w:t xml:space="preserve"> Deduction for certain asset</w:t>
      </w:r>
      <w:r w:rsidR="005A0ED5" w:rsidRPr="00207503">
        <w:rPr>
          <w:rStyle w:val="FootnoteTextChar"/>
          <w:lang w:eastAsia="en-AU"/>
        </w:rPr>
        <w:t>’</w:t>
      </w:r>
      <w:r w:rsidRPr="00207503">
        <w:rPr>
          <w:rStyle w:val="FootnoteTextChar"/>
          <w:lang w:eastAsia="en-AU"/>
        </w:rPr>
        <w:t xml:space="preserve"> and similar in </w:t>
      </w:r>
      <w:r w:rsidRPr="00207503">
        <w:rPr>
          <w:rStyle w:val="FootnoteTextChar"/>
        </w:rPr>
        <w:t xml:space="preserve">Sheet 6 (BIT) of BLADE Modular Product: Data Item List </w:t>
      </w:r>
      <w:r w:rsidRPr="00207503">
        <w:rPr>
          <w:rStyle w:val="FootnoteTextChar"/>
        </w:rPr>
        <w:fldChar w:fldCharType="begin"/>
      </w:r>
      <w:r w:rsidR="00762450" w:rsidRPr="00207503">
        <w:rPr>
          <w:rStyle w:val="FootnoteTextChar"/>
        </w:rPr>
        <w:instrText xml:space="preserve"> ADDIN ZOTERO_ITEM CSL_CITATION {"citationID":"r47t5Q7V","properties":{"unsorted":false,"formattedCitation":"(ABS\\uc0\\u160{}2025)","plainCitation":"(ABS 2025)","noteIndex":48},"citationItems":[{"id":8321,"uris":["http://zotero.org/groups/6381618/items/EB3AWHAQ"],"itemData":{"id":8321,"type":"webpage","abstract":"Combines administrative and business tax data to provide a better understanding of the characteristics of Australian businesses","container-title":"Australian Bureau of Statistics","language":"en","title":"BLADE Modular Product: Data Item List. Microdata, TableBuilder: Business Longitudinal Analysis Data Environment, BLADE | Australian Bureau of Statistics","title-short":"Microdata,TableBuilder","URL":"https://www.abs.gov.au/statistics/microdata-tablebuilder/available-microdata-tablebuilder/business-longitudinal-analysis-data-environment-blade","author":[{"family":"ABS","given":""}],"accessed":{"date-parts":[["2026",8,25]]},"issued":{"date-parts":[["2025"]]}}}],"schema":"https://github.com/citation-style-language/schema/raw/master/csl-citation.json"} </w:instrText>
      </w:r>
      <w:r w:rsidRPr="00207503">
        <w:rPr>
          <w:rStyle w:val="FootnoteTextChar"/>
        </w:rPr>
        <w:fldChar w:fldCharType="separate"/>
      </w:r>
      <w:r w:rsidRPr="00207503">
        <w:rPr>
          <w:rStyle w:val="FootnoteTextChar"/>
        </w:rPr>
        <w:t>(ABS 2025)</w:t>
      </w:r>
      <w:r w:rsidRPr="00207503">
        <w:rPr>
          <w:rStyle w:val="FootnoteTextChar"/>
        </w:rPr>
        <w:fldChar w:fldCharType="end"/>
      </w:r>
      <w:r w:rsidRPr="00207503">
        <w:rPr>
          <w:rStyle w:val="FootnoteTextChar"/>
        </w:rPr>
        <w:t>.</w:t>
      </w:r>
    </w:p>
  </w:footnote>
  <w:footnote w:id="50">
    <w:p w14:paraId="0A79E12F" w14:textId="5729DC54" w:rsidR="00BC1539" w:rsidRDefault="00BC1539" w:rsidP="00011592">
      <w:pPr>
        <w:pStyle w:val="FootnoteText"/>
      </w:pPr>
      <w:r>
        <w:rPr>
          <w:rStyle w:val="FootnoteReference"/>
        </w:rPr>
        <w:footnoteRef/>
      </w:r>
      <w:r w:rsidR="001E0BAB">
        <w:t xml:space="preserve"> ‘</w:t>
      </w:r>
      <w:r w:rsidRPr="00E61AB2">
        <w:rPr>
          <w:rFonts w:ascii="Arial" w:eastAsia="Times New Roman" w:hAnsi="Arial" w:cs="Arial"/>
          <w:color w:val="000000"/>
          <w:lang w:eastAsia="en-AU"/>
        </w:rPr>
        <w:t>Current assets</w:t>
      </w:r>
      <w:r w:rsidR="00DE7B4C">
        <w:rPr>
          <w:rFonts w:ascii="Arial" w:eastAsia="Times New Roman" w:hAnsi="Arial" w:cs="Arial"/>
          <w:color w:val="000000"/>
          <w:lang w:eastAsia="en-AU"/>
        </w:rPr>
        <w:t>’</w:t>
      </w:r>
      <w:r>
        <w:rPr>
          <w:rFonts w:ascii="Arial" w:eastAsia="Times New Roman" w:hAnsi="Arial" w:cs="Arial"/>
          <w:color w:val="000000"/>
          <w:lang w:eastAsia="en-AU"/>
        </w:rPr>
        <w:t xml:space="preserve"> and </w:t>
      </w:r>
      <w:r w:rsidR="00DE7B4C">
        <w:rPr>
          <w:rFonts w:ascii="Arial" w:eastAsia="Times New Roman" w:hAnsi="Arial" w:cs="Arial"/>
          <w:color w:val="000000"/>
          <w:lang w:eastAsia="en-AU"/>
        </w:rPr>
        <w:t>‘</w:t>
      </w:r>
      <w:r w:rsidRPr="00E61AB2">
        <w:rPr>
          <w:rFonts w:ascii="Arial" w:eastAsia="Times New Roman" w:hAnsi="Arial" w:cs="Arial"/>
          <w:color w:val="000000"/>
          <w:lang w:eastAsia="en-AU"/>
        </w:rPr>
        <w:t>Total assets</w:t>
      </w:r>
      <w:r w:rsidR="00DE7B4C">
        <w:rPr>
          <w:rFonts w:ascii="Arial" w:eastAsia="Times New Roman" w:hAnsi="Arial" w:cs="Arial"/>
          <w:color w:val="000000"/>
          <w:lang w:eastAsia="en-AU"/>
        </w:rPr>
        <w:t>’</w:t>
      </w:r>
      <w:r>
        <w:rPr>
          <w:rFonts w:ascii="Arial" w:eastAsia="Times New Roman" w:hAnsi="Arial" w:cs="Arial"/>
          <w:color w:val="000000"/>
          <w:lang w:eastAsia="en-AU"/>
        </w:rPr>
        <w:t xml:space="preserve"> in </w:t>
      </w:r>
      <w:r>
        <w:t xml:space="preserve">Shet 6 (BIT) of </w:t>
      </w:r>
      <w:r w:rsidRPr="0055775F">
        <w:t>BLADE Modular Product: Data Item List</w:t>
      </w:r>
      <w:r>
        <w:t xml:space="preserve"> </w:t>
      </w:r>
      <w:r>
        <w:fldChar w:fldCharType="begin"/>
      </w:r>
      <w:r w:rsidR="00762450">
        <w:instrText xml:space="preserve"> ADDIN ZOTERO_ITEM CSL_CITATION {"citationID":"SCyNPnhN","properties":{"unsorted":false,"formattedCitation":"(ABS\\uc0\\u160{}2025)","plainCitation":"(ABS 2025)","noteIndex":49},"citationItems":[{"id":8321,"uris":["http://zotero.org/groups/6381618/items/EB3AWHAQ"],"itemData":{"id":8321,"type":"webpage","abstract":"Combines administrative and business tax data to provide a better understanding of the characteristics of Australian businesses","container-title":"Australian Bureau of Statistics","language":"en","title":"BLADE Modular Product: Data Item List. Microdata, TableBuilder: Business Longitudinal Analysis Data Environment, BLADE | Australian Bureau of Statistics","title-short":"Microdata,TableBuilder","URL":"https://www.abs.gov.au/statistics/microdata-tablebuilder/available-microdata-tablebuilder/business-longitudinal-analysis-data-environment-blade","author":[{"family":"ABS","given":""}],"accessed":{"date-parts":[["2026",8,25]]},"issued":{"date-parts":[["2025"]]}}}],"schema":"https://github.com/citation-style-language/schema/raw/master/csl-citation.json"} </w:instrText>
      </w:r>
      <w:r>
        <w:fldChar w:fldCharType="separate"/>
      </w:r>
      <w:r w:rsidRPr="00B0312E">
        <w:rPr>
          <w:rFonts w:cs="Open Sans"/>
        </w:rPr>
        <w:t>(ABS 2025)</w:t>
      </w:r>
      <w:r>
        <w:fldChar w:fldCharType="end"/>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16139" w14:textId="60E0A5A8" w:rsidR="001E2FE4" w:rsidRDefault="00000000" w:rsidP="001E2FE4">
    <w:pPr>
      <w:pStyle w:val="Header-Keyline"/>
    </w:pPr>
    <w:sdt>
      <w:sdtPr>
        <w:rPr>
          <w:rStyle w:val="Strong"/>
        </w:rPr>
        <w:alias w:val="Title"/>
        <w:tag w:val=""/>
        <w:id w:val="-1701777645"/>
        <w:placeholder>
          <w:docPart w:val="50BDF5AF418B4321AF19AE91FC740170"/>
        </w:placeholder>
        <w:dataBinding w:prefixMappings="xmlns:ns0='http://purl.org/dc/elements/1.1/' xmlns:ns1='http://schemas.openxmlformats.org/package/2006/metadata/core-properties' " w:xpath="/ns1:coreProperties[1]/ns0:title[1]" w:storeItemID="{6C3C8BC8-F283-45AE-878A-BAB7291924A1}"/>
        <w:text/>
      </w:sdtPr>
      <w:sdtContent>
        <w:r w:rsidR="00DC3F47">
          <w:rPr>
            <w:rStyle w:val="Strong"/>
          </w:rPr>
          <w:t>Interim report - Fabricated structural steel safeguards</w:t>
        </w:r>
      </w:sdtContent>
    </w:sdt>
    <w:r w:rsidR="001E2FE4">
      <w:t xml:space="preserve"> Inquiry Report</w:t>
    </w:r>
  </w:p>
  <w:p w14:paraId="4C1BC25D" w14:textId="08981D68" w:rsidR="001E2FE4" w:rsidRDefault="00000000" w:rsidP="001E2FE4">
    <w:pPr>
      <w:pStyle w:val="Header-Keyline"/>
    </w:pPr>
    <w:sdt>
      <w:sdtPr>
        <w:rPr>
          <w:rStyle w:val="Strong"/>
        </w:rPr>
        <w:alias w:val="Title"/>
        <w:tag w:val=""/>
        <w:id w:val="1209687023"/>
        <w:placeholder>
          <w:docPart w:val="96B08AB5A4334DE7B9E365749434222B"/>
        </w:placeholder>
        <w:dataBinding w:prefixMappings="xmlns:ns0='http://purl.org/dc/elements/1.1/' xmlns:ns1='http://schemas.openxmlformats.org/package/2006/metadata/core-properties' " w:xpath="/ns1:coreProperties[1]/ns0:title[1]" w:storeItemID="{6C3C8BC8-F283-45AE-878A-BAB7291924A1}"/>
        <w:text/>
      </w:sdtPr>
      <w:sdtContent>
        <w:r w:rsidR="00DC3F47">
          <w:rPr>
            <w:rStyle w:val="Strong"/>
          </w:rPr>
          <w:t>Interim report - Fabricated structural steel safeguards</w:t>
        </w:r>
      </w:sdtContent>
    </w:sdt>
    <w:r w:rsidR="001E2FE4">
      <w:t xml:space="preserve"> Inquiry Report</w:t>
    </w:r>
  </w:p>
  <w:p w14:paraId="5FFC50E3" w14:textId="77777777" w:rsidR="001E2FE4" w:rsidRDefault="001E2FE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64F53" w14:textId="6C4D0A6D" w:rsidR="00DF7276" w:rsidRDefault="00DF7276" w:rsidP="00DF7276">
    <w:pPr>
      <w:pStyle w:val="Header-Keyline"/>
    </w:pPr>
    <w:r>
      <w:rPr>
        <w:rStyle w:val="Strong"/>
      </w:rPr>
      <w:t>Fabricated structural steel safeguards</w:t>
    </w:r>
    <w:r>
      <w:t xml:space="preserve"> Interim report</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92510" w14:textId="69EC9C83" w:rsidR="00E76EEC" w:rsidRPr="00201320" w:rsidRDefault="00E76EEC" w:rsidP="00160FEC">
    <w:pPr>
      <w:pStyle w:val="Header-KeylineRight"/>
      <w:rPr>
        <w:rStyle w:val="Strong"/>
        <w:b w:val="0"/>
        <w:bCs w:val="0"/>
      </w:rPr>
    </w:pPr>
    <w:r>
      <w:rPr>
        <w:rStyle w:val="Strong"/>
        <w:b w:val="0"/>
        <w:bCs w:val="0"/>
      </w:rPr>
      <w:fldChar w:fldCharType="begin"/>
    </w:r>
    <w:r>
      <w:rPr>
        <w:rStyle w:val="Strong"/>
        <w:b w:val="0"/>
        <w:bCs w:val="0"/>
      </w:rPr>
      <w:instrText xml:space="preserve"> STYLEREF  "Heading 1-no background"  \* MERGEFORMAT </w:instrText>
    </w:r>
    <w:r>
      <w:rPr>
        <w:rStyle w:val="Strong"/>
        <w:b w:val="0"/>
        <w:bCs w:val="0"/>
      </w:rPr>
      <w:fldChar w:fldCharType="separate"/>
    </w:r>
    <w:r w:rsidR="009D1E99">
      <w:rPr>
        <w:rStyle w:val="Strong"/>
        <w:b w:val="0"/>
        <w:bCs w:val="0"/>
        <w:noProof/>
      </w:rPr>
      <w:t>Contents</w:t>
    </w:r>
    <w:r>
      <w:rPr>
        <w:rStyle w:val="Strong"/>
        <w:b w:val="0"/>
        <w:bCs w:val="0"/>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929C3" w14:textId="7332946A" w:rsidR="00E76EEC" w:rsidRDefault="00E76EEC">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0D4CB" w14:textId="075F4D8A" w:rsidR="007C5184" w:rsidRPr="00B9468D" w:rsidRDefault="003E7032" w:rsidP="009D1F14">
    <w:pPr>
      <w:pStyle w:val="Header-KeylineRight"/>
    </w:pPr>
    <w:fldSimple w:instr=" STYLEREF  &quot;Heading 1-Section-full page&quot;  \* MERGEFORMAT ">
      <w:r w:rsidR="009D1E99" w:rsidRPr="009D1E99">
        <w:rPr>
          <w:noProof/>
          <w:lang w:val="en-US"/>
        </w:rPr>
        <w:t>Overview</w:t>
      </w:r>
    </w:fldSimple>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10C40" w14:textId="21907B92" w:rsidR="007C5184" w:rsidRDefault="007C5184">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4F9ED" w14:textId="304804CA" w:rsidR="00B1261A" w:rsidRDefault="004744E4" w:rsidP="00011592">
    <w:pPr>
      <w:pStyle w:val="Header-Keyline"/>
    </w:pPr>
    <w:r>
      <w:rPr>
        <w:rStyle w:val="Strong"/>
      </w:rPr>
      <w:t>Fabricated structural steel safeguards</w:t>
    </w:r>
    <w:r>
      <w:t xml:space="preserve"> Interim report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E264F" w14:textId="1E36E00F" w:rsidR="00B1261A" w:rsidRDefault="0059055C" w:rsidP="00011592">
    <w:pPr>
      <w:pStyle w:val="Header-KeylineRight"/>
    </w:pPr>
    <w:fldSimple w:instr=" STYLEREF  &quot;Heading 1&quot;  \* MERGEFORMAT ">
      <w:r w:rsidR="009D1E99">
        <w:rPr>
          <w:noProof/>
        </w:rPr>
        <w:t>About the inquiry</w:t>
      </w:r>
    </w:fldSimple>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AF3CF" w14:textId="6F16A9D0" w:rsidR="00B1261A" w:rsidRDefault="00B1261A">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ED46D" w14:textId="7BC6F5C8" w:rsidR="00B1261A" w:rsidRDefault="004744E4" w:rsidP="00011592">
    <w:pPr>
      <w:pStyle w:val="Header-Keyline"/>
    </w:pPr>
    <w:r>
      <w:rPr>
        <w:rStyle w:val="Strong"/>
      </w:rPr>
      <w:t>Fabricated structural steel safeguards</w:t>
    </w:r>
    <w:r>
      <w:t xml:space="preserve"> Interim report</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94DF7" w14:textId="29138183" w:rsidR="00B1261A" w:rsidRDefault="0059055C" w:rsidP="00011592">
    <w:pPr>
      <w:pStyle w:val="Header-KeylineRight"/>
    </w:pPr>
    <w:fldSimple w:instr=" STYLEREF  &quot;Heading 1&quot;  \* MERGEFORMAT ">
      <w:r w:rsidR="009D1E99">
        <w:rPr>
          <w:noProof/>
        </w:rPr>
        <w:t>Scope of the safeguard investigation</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1FC25" w14:textId="70AB553D" w:rsidR="001E2FE4" w:rsidRDefault="00B1487B" w:rsidP="001E2FE4">
    <w:pPr>
      <w:pStyle w:val="Header-KeylineRight"/>
    </w:pPr>
    <w:r>
      <w:fldChar w:fldCharType="begin"/>
    </w:r>
    <w:r>
      <w:instrText xml:space="preserve"> STYLEREF  "Heading 1"  \* MERGEFORMAT </w:instrText>
    </w:r>
    <w:r>
      <w:rPr>
        <w:noProof/>
      </w:rPr>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B480E" w14:textId="4CFF31FC" w:rsidR="00B1261A" w:rsidRDefault="00B1261A">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AFB7B" w14:textId="59D0FFB4" w:rsidR="00F9487B" w:rsidRDefault="00000000" w:rsidP="00011592">
    <w:pPr>
      <w:pStyle w:val="Header-Keyline"/>
    </w:pPr>
    <w:sdt>
      <w:sdtPr>
        <w:rPr>
          <w:rStyle w:val="Strong"/>
        </w:rPr>
        <w:alias w:val="Title"/>
        <w:tag w:val=""/>
        <w:id w:val="580953416"/>
        <w:dataBinding w:prefixMappings="xmlns:ns0='http://purl.org/dc/elements/1.1/' xmlns:ns1='http://schemas.openxmlformats.org/package/2006/metadata/core-properties' " w:xpath="/ns1:coreProperties[1]/ns0:title[1]" w:storeItemID="{6C3C8BC8-F283-45AE-878A-BAB7291924A1}"/>
        <w:text/>
      </w:sdtPr>
      <w:sdtContent>
        <w:r w:rsidR="00DC3F47">
          <w:rPr>
            <w:rStyle w:val="Strong"/>
          </w:rPr>
          <w:t>Interim report - Fabricated structural steel safeguards</w:t>
        </w:r>
      </w:sdtContent>
    </w:sdt>
    <w:r w:rsidR="00F9487B">
      <w:t xml:space="preserve"> Interim report</w:t>
    </w:r>
    <w:r w:rsidR="004F4943">
      <w:rPr>
        <w:noProof/>
      </w:rPr>
      <w:drawing>
        <wp:anchor distT="0" distB="0" distL="114300" distR="114300" simplePos="0" relativeHeight="251658241" behindDoc="1" locked="0" layoutInCell="1" allowOverlap="1" wp14:anchorId="6C3A5B94" wp14:editId="3135E1D9">
          <wp:simplePos x="0" y="0"/>
          <wp:positionH relativeFrom="column">
            <wp:posOffset>-720090</wp:posOffset>
          </wp:positionH>
          <wp:positionV relativeFrom="paragraph">
            <wp:posOffset>-504190</wp:posOffset>
          </wp:positionV>
          <wp:extent cx="7560000" cy="10681108"/>
          <wp:effectExtent l="0" t="0" r="3175" b="6350"/>
          <wp:wrapNone/>
          <wp:docPr id="1425123530"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123530" name="Picture 2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1108"/>
                  </a:xfrm>
                  <a:prstGeom prst="rect">
                    <a:avLst/>
                  </a:prstGeom>
                </pic:spPr>
              </pic:pic>
            </a:graphicData>
          </a:graphic>
          <wp14:sizeRelH relativeFrom="margin">
            <wp14:pctWidth>0</wp14:pctWidth>
          </wp14:sizeRelH>
          <wp14:sizeRelV relativeFrom="margin">
            <wp14:pctHeight>0</wp14:pctHeight>
          </wp14:sizeRelV>
        </wp:anchor>
      </w:drawing>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2CBDE" w14:textId="12AFC75D" w:rsidR="004F4943" w:rsidRDefault="004F4943" w:rsidP="00011592">
    <w:pPr>
      <w:pStyle w:val="Header-Keyline"/>
    </w:pPr>
    <w:r>
      <w:rPr>
        <w:rStyle w:val="Strong"/>
      </w:rPr>
      <w:t>Fabricated structural steel safeguards</w:t>
    </w:r>
    <w:r>
      <w:t xml:space="preserve"> Interim report</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DEF22" w14:textId="231E2FCC" w:rsidR="00B1261A" w:rsidRDefault="0059055C" w:rsidP="00011592">
    <w:pPr>
      <w:pStyle w:val="Header-KeylineRight"/>
    </w:pPr>
    <w:fldSimple w:instr=" STYLEREF  &quot;Heading 1&quot;  \* MERGEFORMAT ">
      <w:r w:rsidR="00F760BE">
        <w:rPr>
          <w:noProof/>
        </w:rPr>
        <w:t>Imports</w:t>
      </w:r>
    </w:fldSimple>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46ABA" w14:textId="1B584671" w:rsidR="00B1261A" w:rsidRDefault="00B1261A">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CCB99" w14:textId="2456DD30" w:rsidR="00B1261A" w:rsidRDefault="004744E4" w:rsidP="00011592">
    <w:pPr>
      <w:pStyle w:val="Header-Keyline"/>
    </w:pPr>
    <w:r>
      <w:rPr>
        <w:rStyle w:val="Strong"/>
      </w:rPr>
      <w:t>Fabricated structural steel safeguards</w:t>
    </w:r>
    <w:r>
      <w:t xml:space="preserve"> Interim report</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352B7" w14:textId="40C5B3DF" w:rsidR="00B1261A" w:rsidRDefault="003E7032" w:rsidP="00011592">
    <w:pPr>
      <w:pStyle w:val="Header-KeylineRight"/>
    </w:pPr>
    <w:fldSimple w:instr="STYLEREF  &quot;Heading 1&quot;  \* MERGEFORMAT">
      <w:r w:rsidR="00F760BE">
        <w:rPr>
          <w:noProof/>
        </w:rPr>
        <w:t>Are the conditions for safeguard measures met?</w:t>
      </w:r>
    </w:fldSimple>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5D3CD" w14:textId="4DDC7ABC" w:rsidR="00B1261A" w:rsidRDefault="00B1261A">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BC7D0" w14:textId="5724AAD6" w:rsidR="00B1261A" w:rsidRDefault="004744E4" w:rsidP="00011592">
    <w:pPr>
      <w:pStyle w:val="Header-Keyline"/>
    </w:pPr>
    <w:r>
      <w:rPr>
        <w:rStyle w:val="Strong"/>
      </w:rPr>
      <w:t>Fabricated structural steel safeguards</w:t>
    </w:r>
    <w:r>
      <w:t xml:space="preserve"> Interim report</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AE64C" w14:textId="50A06785" w:rsidR="00B1261A" w:rsidRDefault="001E5CD7" w:rsidP="00011592">
    <w:pPr>
      <w:pStyle w:val="Header-KeylineRight"/>
    </w:pPr>
    <w:fldSimple w:instr=" STYLEREF  &quot;Heading 1&quot;  \* MERGEFORMAT ">
      <w:r w:rsidR="00F760BE">
        <w:rPr>
          <w:noProof/>
        </w:rPr>
        <w:t>Public interest assessment and measure design considerations</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7B413" w14:textId="14076985" w:rsidR="00F04EA7" w:rsidRPr="007215EF" w:rsidRDefault="00E74787" w:rsidP="007215EF">
    <w:r>
      <w:rPr>
        <w:noProof/>
      </w:rPr>
      <w:drawing>
        <wp:anchor distT="0" distB="0" distL="114300" distR="114300" simplePos="0" relativeHeight="251658240" behindDoc="0" locked="0" layoutInCell="1" allowOverlap="1" wp14:anchorId="47AEDB50" wp14:editId="4641812A">
          <wp:simplePos x="0" y="0"/>
          <wp:positionH relativeFrom="page">
            <wp:posOffset>0</wp:posOffset>
          </wp:positionH>
          <wp:positionV relativeFrom="paragraph">
            <wp:posOffset>-396240</wp:posOffset>
          </wp:positionV>
          <wp:extent cx="7559998" cy="10690797"/>
          <wp:effectExtent l="0" t="0" r="3175" b="0"/>
          <wp:wrapNone/>
          <wp:docPr id="1862824584" name="Picture 1" descr="Australian Government | Productivity Commission logo: draft report 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2824584" name="Picture 1" descr="Australian Government | Productivity Commission logo: draft report cover"/>
                  <pic:cNvPicPr/>
                </pic:nvPicPr>
                <pic:blipFill>
                  <a:blip r:embed="rId1">
                    <a:extLst>
                      <a:ext uri="{28A0092B-C50C-407E-A947-70E740481C1C}">
                        <a14:useLocalDpi xmlns:a14="http://schemas.microsoft.com/office/drawing/2010/main" val="0"/>
                      </a:ext>
                    </a:extLst>
                  </a:blip>
                  <a:stretch>
                    <a:fillRect/>
                  </a:stretch>
                </pic:blipFill>
                <pic:spPr>
                  <a:xfrm>
                    <a:off x="0" y="0"/>
                    <a:ext cx="7559998" cy="10690797"/>
                  </a:xfrm>
                  <a:prstGeom prst="rect">
                    <a:avLst/>
                  </a:prstGeom>
                </pic:spPr>
              </pic:pic>
            </a:graphicData>
          </a:graphic>
          <wp14:sizeRelH relativeFrom="margin">
            <wp14:pctWidth>0</wp14:pctWidth>
          </wp14:sizeRelH>
          <wp14:sizeRelV relativeFrom="margin">
            <wp14:pctHeight>0</wp14:pctHeight>
          </wp14:sizeRelV>
        </wp:anchor>
      </w:drawing>
    </w:r>
  </w:p>
  <w:p w14:paraId="55743A68" w14:textId="77777777" w:rsidR="00F04EA7" w:rsidRPr="005965BC" w:rsidRDefault="00F04EA7" w:rsidP="005965BC">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A24A7" w14:textId="02346C3F" w:rsidR="00B1261A" w:rsidRDefault="00B1261A">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88CEA" w14:textId="1B09918B" w:rsidR="00CF38BE" w:rsidRDefault="001E5CD7" w:rsidP="00011592">
    <w:pPr>
      <w:pStyle w:val="Header-KeylineRight"/>
    </w:pPr>
    <w:fldSimple w:instr=" STYLEREF  Heading-Appendix  \* MERGEFORMAT ">
      <w:r w:rsidR="00F760BE">
        <w:rPr>
          <w:noProof/>
        </w:rPr>
        <w:t>Public engagement</w:t>
      </w:r>
    </w:fldSimple>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4E9C7" w14:textId="122B97E3" w:rsidR="00DF47E9" w:rsidRDefault="00DF47E9">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AAB17" w14:textId="76D848F8" w:rsidR="00472F03" w:rsidRDefault="00D426EF" w:rsidP="00011592">
    <w:pPr>
      <w:pStyle w:val="Header-Keyline"/>
    </w:pPr>
    <w:r>
      <w:rPr>
        <w:noProof/>
      </w:rPr>
      <w:drawing>
        <wp:anchor distT="0" distB="0" distL="114300" distR="114300" simplePos="0" relativeHeight="251658242" behindDoc="1" locked="0" layoutInCell="1" allowOverlap="1" wp14:anchorId="684F8320" wp14:editId="77DFDFE4">
          <wp:simplePos x="0" y="0"/>
          <wp:positionH relativeFrom="page">
            <wp:align>left</wp:align>
          </wp:positionH>
          <wp:positionV relativeFrom="paragraph">
            <wp:posOffset>-504330</wp:posOffset>
          </wp:positionV>
          <wp:extent cx="7560000" cy="10681108"/>
          <wp:effectExtent l="0" t="0" r="3175" b="6350"/>
          <wp:wrapNone/>
          <wp:docPr id="187367893"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123530" name="Picture 2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1108"/>
                  </a:xfrm>
                  <a:prstGeom prst="rect">
                    <a:avLst/>
                  </a:prstGeom>
                </pic:spPr>
              </pic:pic>
            </a:graphicData>
          </a:graphic>
          <wp14:sizeRelH relativeFrom="margin">
            <wp14:pctWidth>0</wp14:pctWidth>
          </wp14:sizeRelH>
          <wp14:sizeRelV relativeFrom="margin">
            <wp14:pctHeight>0</wp14:pctHeight>
          </wp14:sizeRelV>
        </wp:anchor>
      </w:drawing>
    </w:r>
    <w:sdt>
      <w:sdtPr>
        <w:rPr>
          <w:rStyle w:val="Strong"/>
        </w:rPr>
        <w:alias w:val="Title"/>
        <w:tag w:val=""/>
        <w:id w:val="573862399"/>
        <w:dataBinding w:prefixMappings="xmlns:ns0='http://purl.org/dc/elements/1.1/' xmlns:ns1='http://schemas.openxmlformats.org/package/2006/metadata/core-properties' " w:xpath="/ns1:coreProperties[1]/ns0:title[1]" w:storeItemID="{6C3C8BC8-F283-45AE-878A-BAB7291924A1}"/>
        <w:text/>
      </w:sdtPr>
      <w:sdtContent>
        <w:r w:rsidR="00DC3F47">
          <w:rPr>
            <w:rStyle w:val="Strong"/>
          </w:rPr>
          <w:t>Interim report - Fabricated structural steel safeguards</w:t>
        </w:r>
      </w:sdtContent>
    </w:sdt>
    <w:r w:rsidR="00472F03">
      <w:t xml:space="preserve"> Interim report</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B6E61" w14:textId="055599CF" w:rsidR="00472F03" w:rsidRDefault="00472F03" w:rsidP="00011592">
    <w:pPr>
      <w:pStyle w:val="Header-Keyline"/>
    </w:pPr>
    <w:r>
      <w:rPr>
        <w:rStyle w:val="Strong"/>
      </w:rPr>
      <w:t>Fabricated structural steel safeguards</w:t>
    </w:r>
    <w:r>
      <w:t xml:space="preserve"> Interim report</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EAF04" w14:textId="2852C3CE" w:rsidR="00D426EF" w:rsidRDefault="001E5CD7" w:rsidP="00011592">
    <w:pPr>
      <w:pStyle w:val="Header-KeylineRight"/>
    </w:pPr>
    <w:fldSimple w:instr=" STYLEREF  Heading-Appendix  \* MERGEFORMAT ">
      <w:r w:rsidR="00F760BE">
        <w:rPr>
          <w:noProof/>
        </w:rPr>
        <w:t>Technical appendix</w:t>
      </w:r>
    </w:fldSimple>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F61C6" w14:textId="50F0C721" w:rsidR="00B1261A" w:rsidRDefault="00B1261A">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9B5C7" w14:textId="0EC63C78" w:rsidR="00F347A4" w:rsidRDefault="001E5CD7" w:rsidP="00011592">
    <w:pPr>
      <w:pStyle w:val="Header-KeylineRight"/>
    </w:pPr>
    <w:fldSimple w:instr=" STYLEREF  &quot;Heading 1-no background&quot;  \* MERGEFORMAT ">
      <w:r w:rsidR="00F760BE">
        <w:rPr>
          <w:noProof/>
        </w:rPr>
        <w:t>Abbreviations</w:t>
      </w:r>
    </w:fldSimple>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739ED" w14:textId="17E8DFDD" w:rsidR="00B1261A" w:rsidRDefault="00B1261A">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FCCD1" w14:textId="6290C13E" w:rsidR="0095176B" w:rsidRDefault="0095176B" w:rsidP="00011592">
    <w:pPr>
      <w:pStyle w:val="Header-Keyline"/>
    </w:pPr>
    <w:r>
      <w:rPr>
        <w:noProof/>
      </w:rPr>
      <w:drawing>
        <wp:anchor distT="0" distB="0" distL="114300" distR="114300" simplePos="0" relativeHeight="251658243" behindDoc="1" locked="0" layoutInCell="1" allowOverlap="1" wp14:anchorId="1493C54E" wp14:editId="0C14BBF5">
          <wp:simplePos x="0" y="0"/>
          <wp:positionH relativeFrom="page">
            <wp:align>right</wp:align>
          </wp:positionH>
          <wp:positionV relativeFrom="paragraph">
            <wp:posOffset>-512079</wp:posOffset>
          </wp:positionV>
          <wp:extent cx="7560000" cy="10681108"/>
          <wp:effectExtent l="0" t="0" r="3175" b="6350"/>
          <wp:wrapNone/>
          <wp:docPr id="1562822268"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123530" name="Picture 2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1108"/>
                  </a:xfrm>
                  <a:prstGeom prst="rect">
                    <a:avLst/>
                  </a:prstGeom>
                </pic:spPr>
              </pic:pic>
            </a:graphicData>
          </a:graphic>
          <wp14:sizeRelH relativeFrom="margin">
            <wp14:pctWidth>0</wp14:pctWidth>
          </wp14:sizeRelH>
          <wp14:sizeRelV relativeFrom="margin">
            <wp14:pctHeight>0</wp14:pctHeight>
          </wp14:sizeRelV>
        </wp:anchor>
      </w:drawing>
    </w:r>
    <w:r>
      <w:rPr>
        <w:rStyle w:val="Strong"/>
      </w:rPr>
      <w:t>Fabricated structural steel safeguards</w:t>
    </w:r>
    <w:r>
      <w:t xml:space="preserve"> Interim report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E15A8" w14:textId="1D23ED14" w:rsidR="001E2FE4" w:rsidRDefault="008213BF" w:rsidP="00390E05">
    <w:pPr>
      <w:pStyle w:val="Header-Keyline"/>
    </w:pPr>
    <w:r>
      <w:rPr>
        <w:rStyle w:val="Strong"/>
      </w:rPr>
      <w:t>Fabricated structural steel safeguards</w:t>
    </w:r>
    <w:r w:rsidR="001E2FE4">
      <w:t xml:space="preserve"> </w:t>
    </w:r>
    <w:r w:rsidR="0085334C">
      <w:t>Interim</w:t>
    </w:r>
    <w:r w:rsidR="001E2FE4">
      <w:t xml:space="preserve"> </w:t>
    </w:r>
    <w:r w:rsidR="00BE5E7E">
      <w:t>r</w:t>
    </w:r>
    <w:r w:rsidR="001E2FE4">
      <w:t>eport</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9905A" w14:textId="42F548D1" w:rsidR="00C51975" w:rsidRDefault="001E5CD7" w:rsidP="00011592">
    <w:pPr>
      <w:pStyle w:val="Header-KeylineRight"/>
    </w:pPr>
    <w:fldSimple w:instr=" STYLEREF  &quot;Heading 1-no background&quot;  \* MERGEFORMAT ">
      <w:r w:rsidR="00F760BE">
        <w:rPr>
          <w:noProof/>
        </w:rPr>
        <w:t>References</w:t>
      </w:r>
    </w:fldSimple>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52D4E" w14:textId="1AD8B1B4" w:rsidR="001E2FE4" w:rsidRPr="00EA3238" w:rsidRDefault="00070ED7" w:rsidP="00EA3238">
    <w:pPr>
      <w:pStyle w:val="Header-KeylineRight"/>
    </w:pPr>
    <w:r>
      <w:fldChar w:fldCharType="begin"/>
    </w:r>
    <w:r>
      <w:instrText xml:space="preserve"> STYLEREF  "Heading 1"  \* MERGEFORMAT </w:instrText>
    </w:r>
    <w:r>
      <w:rPr>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5B50B" w14:textId="07AE1561" w:rsidR="00C73D38" w:rsidRDefault="00C73D3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35B57" w14:textId="2F421716" w:rsidR="00E76EEC" w:rsidRDefault="00000000" w:rsidP="001D7D9B">
    <w:pPr>
      <w:pStyle w:val="Header-Keyline"/>
    </w:pPr>
    <w:sdt>
      <w:sdtPr>
        <w:rPr>
          <w:rStyle w:val="Strong"/>
        </w:rPr>
        <w:alias w:val="Title"/>
        <w:tag w:val=""/>
        <w:id w:val="-847643246"/>
        <w:placeholder>
          <w:docPart w:val="75598EE123964B159994FD532B2B6D34"/>
        </w:placeholder>
        <w:dataBinding w:prefixMappings="xmlns:ns0='http://purl.org/dc/elements/1.1/' xmlns:ns1='http://schemas.openxmlformats.org/package/2006/metadata/core-properties' " w:xpath="/ns1:coreProperties[1]/ns0:title[1]" w:storeItemID="{6C3C8BC8-F283-45AE-878A-BAB7291924A1}"/>
        <w:text/>
      </w:sdtPr>
      <w:sdtContent>
        <w:r w:rsidR="00DC3F47">
          <w:rPr>
            <w:rStyle w:val="Strong"/>
          </w:rPr>
          <w:t>Interim report - Fabricated structural steel safeguards</w:t>
        </w:r>
      </w:sdtContent>
    </w:sdt>
    <w:r w:rsidR="00E76EEC">
      <w:t xml:space="preserve"> Inquiry report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CBA44" w14:textId="2C293622" w:rsidR="00E76EEC" w:rsidRPr="00201320" w:rsidRDefault="00112D8E" w:rsidP="00160FEC">
    <w:pPr>
      <w:pStyle w:val="Header-KeylineRight"/>
      <w:rPr>
        <w:rStyle w:val="Strong"/>
        <w:b w:val="0"/>
        <w:bCs w:val="0"/>
      </w:rPr>
    </w:pPr>
    <w:r>
      <w:rPr>
        <w:rStyle w:val="Strong"/>
        <w:b w:val="0"/>
        <w:bCs w:val="0"/>
      </w:rPr>
      <w:t>Opportunity for comment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CF7F4" w14:textId="5F583815" w:rsidR="00E76EEC" w:rsidRDefault="00E76E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F5454E4"/>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022C7C08"/>
    <w:multiLevelType w:val="hybridMultilevel"/>
    <w:tmpl w:val="0302C9A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74A6380"/>
    <w:multiLevelType w:val="multilevel"/>
    <w:tmpl w:val="C47EA3E6"/>
    <w:styleLink w:val="AppendixHeading"/>
    <w:lvl w:ilvl="0">
      <w:start w:val="1"/>
      <w:numFmt w:val="decimal"/>
      <w:pStyle w:val="TableHeading-numbered"/>
      <w:suff w:val="space"/>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9C1734A"/>
    <w:multiLevelType w:val="multilevel"/>
    <w:tmpl w:val="72768BCE"/>
    <w:lvl w:ilvl="0">
      <w:start w:val="1"/>
      <w:numFmt w:val="upperLetter"/>
      <w:lvlText w:val="%1."/>
      <w:lvlJc w:val="left"/>
      <w:pPr>
        <w:ind w:left="1418" w:hanging="851"/>
      </w:pPr>
      <w:rPr>
        <w:rFonts w:hint="default"/>
      </w:rPr>
    </w:lvl>
    <w:lvl w:ilvl="1">
      <w:start w:val="1"/>
      <w:numFmt w:val="decimal"/>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AC2735F"/>
    <w:multiLevelType w:val="multilevel"/>
    <w:tmpl w:val="EE6A07A2"/>
    <w:styleLink w:val="AppendixHeadingList"/>
    <w:lvl w:ilvl="0">
      <w:start w:val="1"/>
      <w:numFmt w:val="decimal"/>
      <w:isLgl/>
      <w:lvlText w:val="%1."/>
      <w:lvlJc w:val="left"/>
      <w:pPr>
        <w:ind w:left="1418" w:hanging="851"/>
      </w:pPr>
      <w:rPr>
        <w:rFonts w:hint="default"/>
      </w:rPr>
    </w:lvl>
    <w:lvl w:ilvl="1">
      <w:start w:val="1"/>
      <w:numFmt w:val="decimal"/>
      <w:suff w:val="space"/>
      <w:lvlText w:val="Box %1.%2"/>
      <w:lvlJc w:val="left"/>
      <w:pPr>
        <w:ind w:left="1134" w:hanging="1134"/>
      </w:pPr>
      <w:rPr>
        <w:rFonts w:hint="default"/>
      </w:rPr>
    </w:lvl>
    <w:lvl w:ilvl="2">
      <w:start w:val="1"/>
      <w:numFmt w:val="decimal"/>
      <w:lvlText w:val="%1.%3"/>
      <w:lvlJc w:val="left"/>
      <w:pPr>
        <w:ind w:left="851" w:hanging="85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F3E6C9D"/>
    <w:multiLevelType w:val="multilevel"/>
    <w:tmpl w:val="FF8069A4"/>
    <w:styleLink w:val="ListHeadings"/>
    <w:lvl w:ilvl="0">
      <w:start w:val="1"/>
      <w:numFmt w:val="bullet"/>
      <w:lvlText w:val="•"/>
      <w:lvlJc w:val="left"/>
      <w:pPr>
        <w:ind w:left="227" w:hanging="227"/>
      </w:pPr>
      <w:rPr>
        <w:rFonts w:ascii="Times New Roman" w:hAnsi="Times New Roman" w:cs="Times New Roman" w:hint="default"/>
        <w:color w:val="auto"/>
      </w:rPr>
    </w:lvl>
    <w:lvl w:ilvl="1">
      <w:start w:val="1"/>
      <w:numFmt w:val="bullet"/>
      <w:lvlText w:val="–"/>
      <w:lvlJc w:val="left"/>
      <w:pPr>
        <w:ind w:left="454" w:hanging="227"/>
      </w:pPr>
      <w:rPr>
        <w:rFonts w:ascii="Arial" w:hAnsi="Arial" w:hint="default"/>
        <w:color w:val="auto"/>
      </w:rPr>
    </w:lvl>
    <w:lvl w:ilvl="2">
      <w:start w:val="1"/>
      <w:numFmt w:val="bullet"/>
      <w:lvlText w:val="»"/>
      <w:lvlJc w:val="left"/>
      <w:pPr>
        <w:ind w:left="907" w:hanging="227"/>
      </w:pPr>
      <w:rPr>
        <w:rFonts w:ascii="Arial" w:hAnsi="Arial" w:hint="default"/>
        <w:color w:val="auto"/>
      </w:rPr>
    </w:lvl>
    <w:lvl w:ilvl="3">
      <w:start w:val="1"/>
      <w:numFmt w:val="bullet"/>
      <w:lvlText w:val="–"/>
      <w:lvlJc w:val="left"/>
      <w:pPr>
        <w:tabs>
          <w:tab w:val="num" w:pos="851"/>
        </w:tabs>
        <w:ind w:left="907" w:hanging="227"/>
      </w:pPr>
      <w:rPr>
        <w:rFonts w:ascii="Arial" w:hAnsi="Arial" w:hint="default"/>
        <w:color w:val="auto"/>
      </w:rPr>
    </w:lvl>
    <w:lvl w:ilvl="4">
      <w:start w:val="1"/>
      <w:numFmt w:val="bullet"/>
      <w:lvlText w:val="–"/>
      <w:lvlJc w:val="left"/>
      <w:pPr>
        <w:ind w:left="1134" w:hanging="227"/>
      </w:pPr>
      <w:rPr>
        <w:rFonts w:ascii="Arial" w:hAnsi="Arial" w:hint="default"/>
        <w:color w:val="auto"/>
      </w:rPr>
    </w:lvl>
    <w:lvl w:ilvl="5">
      <w:start w:val="1"/>
      <w:numFmt w:val="bullet"/>
      <w:lvlText w:val="–"/>
      <w:lvlJc w:val="left"/>
      <w:pPr>
        <w:ind w:left="1361" w:hanging="227"/>
      </w:pPr>
      <w:rPr>
        <w:rFonts w:ascii="Arial" w:hAnsi="Arial" w:hint="default"/>
      </w:rPr>
    </w:lvl>
    <w:lvl w:ilvl="6">
      <w:start w:val="1"/>
      <w:numFmt w:val="bullet"/>
      <w:lvlText w:val="–"/>
      <w:lvlJc w:val="left"/>
      <w:pPr>
        <w:ind w:left="1588" w:hanging="227"/>
      </w:pPr>
      <w:rPr>
        <w:rFonts w:ascii="Arial" w:hAnsi="Arial" w:hint="default"/>
      </w:rPr>
    </w:lvl>
    <w:lvl w:ilvl="7">
      <w:start w:val="1"/>
      <w:numFmt w:val="bullet"/>
      <w:lvlText w:val="–"/>
      <w:lvlJc w:val="left"/>
      <w:pPr>
        <w:ind w:left="1814" w:hanging="226"/>
      </w:pPr>
      <w:rPr>
        <w:rFonts w:ascii="Arial" w:hAnsi="Arial" w:hint="default"/>
      </w:rPr>
    </w:lvl>
    <w:lvl w:ilvl="8">
      <w:start w:val="1"/>
      <w:numFmt w:val="bullet"/>
      <w:lvlText w:val="–"/>
      <w:lvlJc w:val="left"/>
      <w:pPr>
        <w:tabs>
          <w:tab w:val="num" w:pos="2211"/>
        </w:tabs>
        <w:ind w:left="2041" w:hanging="227"/>
      </w:pPr>
      <w:rPr>
        <w:rFonts w:ascii="Arial" w:hAnsi="Arial" w:hint="default"/>
      </w:rPr>
    </w:lvl>
  </w:abstractNum>
  <w:abstractNum w:abstractNumId="6" w15:restartNumberingAfterBreak="0">
    <w:nsid w:val="0F6F37EA"/>
    <w:multiLevelType w:val="multilevel"/>
    <w:tmpl w:val="1FA8DC2A"/>
    <w:lvl w:ilvl="0">
      <w:start w:val="1"/>
      <w:numFmt w:val="decimal"/>
      <w:pStyle w:val="ListNumber"/>
      <w:lvlText w:val="%1."/>
      <w:lvlJc w:val="left"/>
      <w:pPr>
        <w:ind w:left="454" w:hanging="454"/>
      </w:pPr>
      <w:rPr>
        <w:rFonts w:hint="default"/>
      </w:rPr>
    </w:lvl>
    <w:lvl w:ilvl="1">
      <w:start w:val="1"/>
      <w:numFmt w:val="decimal"/>
      <w:pStyle w:val="ListNumber2"/>
      <w:lvlText w:val="%1.%2."/>
      <w:lvlJc w:val="left"/>
      <w:pPr>
        <w:ind w:left="680" w:hanging="680"/>
      </w:pPr>
      <w:rPr>
        <w:rFonts w:hint="default"/>
      </w:rPr>
    </w:lvl>
    <w:lvl w:ilvl="2">
      <w:start w:val="1"/>
      <w:numFmt w:val="decimal"/>
      <w:pStyle w:val="ListNumber3"/>
      <w:lvlText w:val="%1.%2.%3."/>
      <w:lvlJc w:val="left"/>
      <w:pPr>
        <w:ind w:left="907" w:hanging="907"/>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361" w:hanging="1361"/>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7" w15:restartNumberingAfterBreak="0">
    <w:nsid w:val="12377B66"/>
    <w:multiLevelType w:val="multilevel"/>
    <w:tmpl w:val="4F48000A"/>
    <w:styleLink w:val="Alphalist"/>
    <w:lvl w:ilvl="0">
      <w:start w:val="1"/>
      <w:numFmt w:val="lowerLetter"/>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454" w:hanging="227"/>
      </w:pPr>
      <w:rPr>
        <w:rFonts w:hint="default"/>
      </w:rPr>
    </w:lvl>
    <w:lvl w:ilvl="3">
      <w:start w:val="1"/>
      <w:numFmt w:val="lowerRoman"/>
      <w:lvlText w:val="%4."/>
      <w:lvlJc w:val="left"/>
      <w:pPr>
        <w:ind w:left="680" w:hanging="226"/>
      </w:pPr>
      <w:rPr>
        <w:rFonts w:hint="default"/>
      </w:rPr>
    </w:lvl>
    <w:lvl w:ilvl="4">
      <w:start w:val="1"/>
      <w:numFmt w:val="lowerLetter"/>
      <w:lvlText w:val="(%5)"/>
      <w:lvlJc w:val="left"/>
      <w:pPr>
        <w:ind w:left="907" w:hanging="227"/>
      </w:pPr>
      <w:rPr>
        <w:rFonts w:hint="default"/>
      </w:rPr>
    </w:lvl>
    <w:lvl w:ilvl="5">
      <w:start w:val="1"/>
      <w:numFmt w:val="lowerRoman"/>
      <w:lvlText w:val="(%6)"/>
      <w:lvlJc w:val="left"/>
      <w:pPr>
        <w:ind w:left="1134" w:hanging="227"/>
      </w:pPr>
      <w:rPr>
        <w:rFonts w:hint="default"/>
      </w:rPr>
    </w:lvl>
    <w:lvl w:ilvl="6">
      <w:start w:val="1"/>
      <w:numFmt w:val="decimal"/>
      <w:lvlText w:val="%7."/>
      <w:lvlJc w:val="left"/>
      <w:pPr>
        <w:ind w:left="1361" w:hanging="227"/>
      </w:pPr>
      <w:rPr>
        <w:rFonts w:hint="default"/>
      </w:rPr>
    </w:lvl>
    <w:lvl w:ilvl="7">
      <w:start w:val="1"/>
      <w:numFmt w:val="lowerLetter"/>
      <w:lvlText w:val="%8."/>
      <w:lvlJc w:val="left"/>
      <w:pPr>
        <w:ind w:left="1588" w:hanging="227"/>
      </w:pPr>
      <w:rPr>
        <w:rFonts w:hint="default"/>
      </w:rPr>
    </w:lvl>
    <w:lvl w:ilvl="8">
      <w:start w:val="1"/>
      <w:numFmt w:val="lowerRoman"/>
      <w:lvlText w:val="%9."/>
      <w:lvlJc w:val="left"/>
      <w:pPr>
        <w:ind w:left="1814" w:hanging="226"/>
      </w:pPr>
      <w:rPr>
        <w:rFonts w:hint="default"/>
      </w:rPr>
    </w:lvl>
  </w:abstractNum>
  <w:abstractNum w:abstractNumId="8" w15:restartNumberingAfterBreak="0">
    <w:nsid w:val="136300BE"/>
    <w:multiLevelType w:val="hybridMultilevel"/>
    <w:tmpl w:val="4CA6CA88"/>
    <w:styleLink w:val="Numbering"/>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A1A0E47"/>
    <w:multiLevelType w:val="multilevel"/>
    <w:tmpl w:val="BCC2EEC0"/>
    <w:lvl w:ilvl="0">
      <w:start w:val="1"/>
      <w:numFmt w:val="decimal"/>
      <w:pStyle w:val="Heading1"/>
      <w:isLgl/>
      <w:lvlText w:val="%1."/>
      <w:lvlJc w:val="left"/>
      <w:pPr>
        <w:ind w:left="1418" w:hanging="851"/>
      </w:pPr>
      <w:rPr>
        <w:rFonts w:hint="default"/>
      </w:rPr>
    </w:lvl>
    <w:lvl w:ilvl="1">
      <w:start w:val="1"/>
      <w:numFmt w:val="decimal"/>
      <w:suff w:val="space"/>
      <w:lvlText w:val="Box %1.%2"/>
      <w:lvlJc w:val="left"/>
      <w:pPr>
        <w:ind w:left="1134" w:hanging="1134"/>
      </w:pPr>
      <w:rPr>
        <w:rFonts w:hint="default"/>
      </w:rPr>
    </w:lvl>
    <w:lvl w:ilvl="2">
      <w:start w:val="1"/>
      <w:numFmt w:val="decimal"/>
      <w:pStyle w:val="Heading2"/>
      <w:lvlText w:val="%1.%3"/>
      <w:lvlJc w:val="left"/>
      <w:pPr>
        <w:ind w:left="851" w:hanging="85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15905EC"/>
    <w:multiLevelType w:val="multilevel"/>
    <w:tmpl w:val="14F2CE60"/>
    <w:styleLink w:val="BoxList"/>
    <w:lvl w:ilvl="0">
      <w:start w:val="1"/>
      <w:numFmt w:val="upperLetter"/>
      <w:lvlText w:val="%1."/>
      <w:lvlJc w:val="left"/>
      <w:pPr>
        <w:ind w:left="1418" w:hanging="851"/>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D665246"/>
    <w:multiLevelType w:val="multilevel"/>
    <w:tmpl w:val="4F48000A"/>
    <w:numStyleLink w:val="LetteredList"/>
  </w:abstractNum>
  <w:abstractNum w:abstractNumId="12" w15:restartNumberingAfterBreak="0">
    <w:nsid w:val="2DFE29AF"/>
    <w:multiLevelType w:val="multilevel"/>
    <w:tmpl w:val="72768BCE"/>
    <w:styleLink w:val="Figure"/>
    <w:lvl w:ilvl="0">
      <w:start w:val="1"/>
      <w:numFmt w:val="upperLetter"/>
      <w:pStyle w:val="Heading-Appendix"/>
      <w:lvlText w:val="%1."/>
      <w:lvlJc w:val="left"/>
      <w:pPr>
        <w:ind w:left="1418" w:hanging="851"/>
      </w:pPr>
      <w:rPr>
        <w:rFonts w:hint="default"/>
      </w:rPr>
    </w:lvl>
    <w:lvl w:ilvl="1">
      <w:start w:val="1"/>
      <w:numFmt w:val="decimal"/>
      <w:pStyle w:val="Heading2-Appendix"/>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BC7028C"/>
    <w:multiLevelType w:val="hybridMultilevel"/>
    <w:tmpl w:val="E29E66A0"/>
    <w:styleLink w:val="TOCList"/>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558B07DD"/>
    <w:multiLevelType w:val="hybridMultilevel"/>
    <w:tmpl w:val="9A8A4A8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5C9D2A1C"/>
    <w:multiLevelType w:val="hybridMultilevel"/>
    <w:tmpl w:val="3C4A3CA4"/>
    <w:styleLink w:val="TableList"/>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60E1502C"/>
    <w:multiLevelType w:val="multilevel"/>
    <w:tmpl w:val="FF8069A4"/>
    <w:styleLink w:val="Bullets"/>
    <w:lvl w:ilvl="0">
      <w:start w:val="1"/>
      <w:numFmt w:val="bullet"/>
      <w:pStyle w:val="ListBullet"/>
      <w:lvlText w:val="•"/>
      <w:lvlJc w:val="left"/>
      <w:pPr>
        <w:ind w:left="227" w:hanging="227"/>
      </w:pPr>
      <w:rPr>
        <w:rFonts w:ascii="Open Sans" w:hAnsi="Open Sans" w:cs="Times New Roman" w:hint="default"/>
        <w:color w:val="auto"/>
      </w:rPr>
    </w:lvl>
    <w:lvl w:ilvl="1">
      <w:start w:val="1"/>
      <w:numFmt w:val="bullet"/>
      <w:pStyle w:val="ListBullet2"/>
      <w:lvlText w:val="–"/>
      <w:lvlJc w:val="left"/>
      <w:pPr>
        <w:ind w:left="454" w:hanging="227"/>
      </w:pPr>
      <w:rPr>
        <w:rFonts w:ascii="Arial" w:hAnsi="Arial" w:hint="default"/>
        <w:color w:val="auto"/>
      </w:rPr>
    </w:lvl>
    <w:lvl w:ilvl="2">
      <w:start w:val="1"/>
      <w:numFmt w:val="bullet"/>
      <w:pStyle w:val="ListBullet3"/>
      <w:lvlText w:val="»"/>
      <w:lvlJc w:val="left"/>
      <w:pPr>
        <w:ind w:left="907" w:hanging="227"/>
      </w:pPr>
      <w:rPr>
        <w:rFonts w:ascii="Arial" w:hAnsi="Arial" w:hint="default"/>
        <w:color w:val="auto"/>
      </w:rPr>
    </w:lvl>
    <w:lvl w:ilvl="3">
      <w:start w:val="1"/>
      <w:numFmt w:val="bullet"/>
      <w:lvlText w:val="–"/>
      <w:lvlJc w:val="left"/>
      <w:pPr>
        <w:tabs>
          <w:tab w:val="num" w:pos="851"/>
        </w:tabs>
        <w:ind w:left="907" w:hanging="227"/>
      </w:pPr>
      <w:rPr>
        <w:rFonts w:ascii="Arial" w:hAnsi="Arial" w:hint="default"/>
        <w:color w:val="auto"/>
      </w:rPr>
    </w:lvl>
    <w:lvl w:ilvl="4">
      <w:start w:val="1"/>
      <w:numFmt w:val="bullet"/>
      <w:lvlText w:val="–"/>
      <w:lvlJc w:val="left"/>
      <w:pPr>
        <w:ind w:left="1134" w:hanging="227"/>
      </w:pPr>
      <w:rPr>
        <w:rFonts w:ascii="Arial" w:hAnsi="Arial" w:hint="default"/>
        <w:color w:val="auto"/>
      </w:rPr>
    </w:lvl>
    <w:lvl w:ilvl="5">
      <w:start w:val="1"/>
      <w:numFmt w:val="bullet"/>
      <w:lvlText w:val="–"/>
      <w:lvlJc w:val="left"/>
      <w:pPr>
        <w:ind w:left="1361" w:hanging="227"/>
      </w:pPr>
      <w:rPr>
        <w:rFonts w:ascii="Arial" w:hAnsi="Arial" w:hint="default"/>
      </w:rPr>
    </w:lvl>
    <w:lvl w:ilvl="6">
      <w:start w:val="1"/>
      <w:numFmt w:val="bullet"/>
      <w:lvlText w:val="–"/>
      <w:lvlJc w:val="left"/>
      <w:pPr>
        <w:ind w:left="1588" w:hanging="227"/>
      </w:pPr>
      <w:rPr>
        <w:rFonts w:ascii="Arial" w:hAnsi="Arial" w:hint="default"/>
      </w:rPr>
    </w:lvl>
    <w:lvl w:ilvl="7">
      <w:start w:val="1"/>
      <w:numFmt w:val="bullet"/>
      <w:lvlText w:val="–"/>
      <w:lvlJc w:val="left"/>
      <w:pPr>
        <w:ind w:left="1814" w:hanging="226"/>
      </w:pPr>
      <w:rPr>
        <w:rFonts w:ascii="Arial" w:hAnsi="Arial" w:hint="default"/>
      </w:rPr>
    </w:lvl>
    <w:lvl w:ilvl="8">
      <w:start w:val="1"/>
      <w:numFmt w:val="bullet"/>
      <w:lvlText w:val="–"/>
      <w:lvlJc w:val="left"/>
      <w:pPr>
        <w:tabs>
          <w:tab w:val="num" w:pos="2211"/>
        </w:tabs>
        <w:ind w:left="2041" w:hanging="227"/>
      </w:pPr>
      <w:rPr>
        <w:rFonts w:ascii="Arial" w:hAnsi="Arial" w:hint="default"/>
      </w:rPr>
    </w:lvl>
  </w:abstractNum>
  <w:abstractNum w:abstractNumId="17" w15:restartNumberingAfterBreak="0">
    <w:nsid w:val="67EB6AB0"/>
    <w:multiLevelType w:val="multilevel"/>
    <w:tmpl w:val="FF8069A4"/>
    <w:numStyleLink w:val="Bullets"/>
  </w:abstractNum>
  <w:abstractNum w:abstractNumId="18" w15:restartNumberingAfterBreak="0">
    <w:nsid w:val="761B4A1B"/>
    <w:multiLevelType w:val="multilevel"/>
    <w:tmpl w:val="4F48000A"/>
    <w:styleLink w:val="LetteredList"/>
    <w:lvl w:ilvl="0">
      <w:start w:val="1"/>
      <w:numFmt w:val="lowerLetter"/>
      <w:pStyle w:val="ListAlpha1"/>
      <w:lvlText w:val="%1."/>
      <w:lvlJc w:val="left"/>
      <w:pPr>
        <w:ind w:left="227" w:hanging="227"/>
      </w:pPr>
      <w:rPr>
        <w:rFonts w:hint="default"/>
      </w:rPr>
    </w:lvl>
    <w:lvl w:ilvl="1">
      <w:start w:val="1"/>
      <w:numFmt w:val="lowerLetter"/>
      <w:pStyle w:val="ListAlpha2"/>
      <w:lvlText w:val="%2."/>
      <w:lvlJc w:val="left"/>
      <w:pPr>
        <w:ind w:left="454" w:hanging="227"/>
      </w:pPr>
      <w:rPr>
        <w:rFonts w:hint="default"/>
      </w:rPr>
    </w:lvl>
    <w:lvl w:ilvl="2">
      <w:start w:val="1"/>
      <w:numFmt w:val="lowerRoman"/>
      <w:pStyle w:val="ListAlpha3"/>
      <w:lvlText w:val="%3."/>
      <w:lvlJc w:val="left"/>
      <w:pPr>
        <w:ind w:left="454" w:hanging="227"/>
      </w:pPr>
      <w:rPr>
        <w:rFonts w:hint="default"/>
      </w:rPr>
    </w:lvl>
    <w:lvl w:ilvl="3">
      <w:start w:val="1"/>
      <w:numFmt w:val="lowerRoman"/>
      <w:pStyle w:val="ListAlpha4"/>
      <w:lvlText w:val="%4."/>
      <w:lvlJc w:val="left"/>
      <w:pPr>
        <w:ind w:left="680" w:hanging="226"/>
      </w:pPr>
      <w:rPr>
        <w:rFonts w:hint="default"/>
      </w:rPr>
    </w:lvl>
    <w:lvl w:ilvl="4">
      <w:start w:val="1"/>
      <w:numFmt w:val="lowerLetter"/>
      <w:lvlText w:val="(%5)"/>
      <w:lvlJc w:val="left"/>
      <w:pPr>
        <w:ind w:left="907" w:hanging="227"/>
      </w:pPr>
      <w:rPr>
        <w:rFonts w:hint="default"/>
      </w:rPr>
    </w:lvl>
    <w:lvl w:ilvl="5">
      <w:start w:val="1"/>
      <w:numFmt w:val="lowerRoman"/>
      <w:lvlText w:val="(%6)"/>
      <w:lvlJc w:val="left"/>
      <w:pPr>
        <w:ind w:left="1134" w:hanging="227"/>
      </w:pPr>
      <w:rPr>
        <w:rFonts w:hint="default"/>
      </w:rPr>
    </w:lvl>
    <w:lvl w:ilvl="6">
      <w:start w:val="1"/>
      <w:numFmt w:val="decimal"/>
      <w:lvlText w:val="%7."/>
      <w:lvlJc w:val="left"/>
      <w:pPr>
        <w:ind w:left="1361" w:hanging="227"/>
      </w:pPr>
      <w:rPr>
        <w:rFonts w:hint="default"/>
      </w:rPr>
    </w:lvl>
    <w:lvl w:ilvl="7">
      <w:start w:val="1"/>
      <w:numFmt w:val="lowerLetter"/>
      <w:lvlText w:val="%8."/>
      <w:lvlJc w:val="left"/>
      <w:pPr>
        <w:ind w:left="1588" w:hanging="227"/>
      </w:pPr>
      <w:rPr>
        <w:rFonts w:hint="default"/>
      </w:rPr>
    </w:lvl>
    <w:lvl w:ilvl="8">
      <w:start w:val="1"/>
      <w:numFmt w:val="lowerRoman"/>
      <w:lvlText w:val="%9."/>
      <w:lvlJc w:val="left"/>
      <w:pPr>
        <w:ind w:left="1814" w:hanging="226"/>
      </w:pPr>
      <w:rPr>
        <w:rFonts w:hint="default"/>
      </w:rPr>
    </w:lvl>
  </w:abstractNum>
  <w:num w:numId="1" w16cid:durableId="2059621589">
    <w:abstractNumId w:val="16"/>
  </w:num>
  <w:num w:numId="2" w16cid:durableId="675377460">
    <w:abstractNumId w:val="6"/>
  </w:num>
  <w:num w:numId="3" w16cid:durableId="664821553">
    <w:abstractNumId w:val="4"/>
  </w:num>
  <w:num w:numId="4" w16cid:durableId="813451545">
    <w:abstractNumId w:val="7"/>
  </w:num>
  <w:num w:numId="5" w16cid:durableId="1813060801">
    <w:abstractNumId w:val="2"/>
  </w:num>
  <w:num w:numId="6" w16cid:durableId="1206793917">
    <w:abstractNumId w:val="10"/>
  </w:num>
  <w:num w:numId="7" w16cid:durableId="780956312">
    <w:abstractNumId w:val="3"/>
  </w:num>
  <w:num w:numId="8" w16cid:durableId="1665887734">
    <w:abstractNumId w:val="12"/>
  </w:num>
  <w:num w:numId="9" w16cid:durableId="1888759763">
    <w:abstractNumId w:val="18"/>
  </w:num>
  <w:num w:numId="10" w16cid:durableId="1941643818">
    <w:abstractNumId w:val="5"/>
  </w:num>
  <w:num w:numId="11" w16cid:durableId="1288198670">
    <w:abstractNumId w:val="8"/>
  </w:num>
  <w:num w:numId="12" w16cid:durableId="982730932">
    <w:abstractNumId w:val="15"/>
  </w:num>
  <w:num w:numId="13" w16cid:durableId="2090273736">
    <w:abstractNumId w:val="13"/>
  </w:num>
  <w:num w:numId="14" w16cid:durableId="119881140">
    <w:abstractNumId w:val="14"/>
  </w:num>
  <w:num w:numId="15" w16cid:durableId="307366625">
    <w:abstractNumId w:val="1"/>
  </w:num>
  <w:num w:numId="16" w16cid:durableId="4109329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74375556">
    <w:abstractNumId w:val="12"/>
  </w:num>
  <w:num w:numId="18" w16cid:durableId="771516056">
    <w:abstractNumId w:val="11"/>
  </w:num>
  <w:num w:numId="19" w16cid:durableId="116918046">
    <w:abstractNumId w:val="18"/>
  </w:num>
  <w:num w:numId="20" w16cid:durableId="1395662897">
    <w:abstractNumId w:val="0"/>
  </w:num>
  <w:num w:numId="21" w16cid:durableId="1541360402">
    <w:abstractNumId w:val="9"/>
  </w:num>
  <w:num w:numId="22" w16cid:durableId="616833772">
    <w:abstractNumId w:val="6"/>
  </w:num>
  <w:num w:numId="23" w16cid:durableId="586228015">
    <w:abstractNumId w:val="17"/>
  </w:num>
  <w:num w:numId="24" w16cid:durableId="811673473">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mirrorMargin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71D"/>
    <w:rsid w:val="00000075"/>
    <w:rsid w:val="00000EB7"/>
    <w:rsid w:val="00000F3C"/>
    <w:rsid w:val="00002622"/>
    <w:rsid w:val="000029ED"/>
    <w:rsid w:val="00002D7E"/>
    <w:rsid w:val="000030F8"/>
    <w:rsid w:val="00003ED7"/>
    <w:rsid w:val="00004489"/>
    <w:rsid w:val="000047E0"/>
    <w:rsid w:val="00005B0D"/>
    <w:rsid w:val="00005C79"/>
    <w:rsid w:val="000060EB"/>
    <w:rsid w:val="00006309"/>
    <w:rsid w:val="000073B8"/>
    <w:rsid w:val="00007650"/>
    <w:rsid w:val="000102E7"/>
    <w:rsid w:val="0001053C"/>
    <w:rsid w:val="00010AB5"/>
    <w:rsid w:val="00011592"/>
    <w:rsid w:val="00011702"/>
    <w:rsid w:val="000121AB"/>
    <w:rsid w:val="000122D1"/>
    <w:rsid w:val="000124B8"/>
    <w:rsid w:val="00013717"/>
    <w:rsid w:val="00014320"/>
    <w:rsid w:val="00014854"/>
    <w:rsid w:val="00016132"/>
    <w:rsid w:val="000164BC"/>
    <w:rsid w:val="000164D8"/>
    <w:rsid w:val="00017062"/>
    <w:rsid w:val="00017555"/>
    <w:rsid w:val="00020FFA"/>
    <w:rsid w:val="00021330"/>
    <w:rsid w:val="00021D9B"/>
    <w:rsid w:val="00022397"/>
    <w:rsid w:val="00022CB1"/>
    <w:rsid w:val="000248B1"/>
    <w:rsid w:val="0002494B"/>
    <w:rsid w:val="000249A5"/>
    <w:rsid w:val="00024B6A"/>
    <w:rsid w:val="00024C0C"/>
    <w:rsid w:val="000258EC"/>
    <w:rsid w:val="00025A63"/>
    <w:rsid w:val="00026614"/>
    <w:rsid w:val="00026C04"/>
    <w:rsid w:val="000300AF"/>
    <w:rsid w:val="00030322"/>
    <w:rsid w:val="0003123B"/>
    <w:rsid w:val="000322E9"/>
    <w:rsid w:val="00032B83"/>
    <w:rsid w:val="00032F41"/>
    <w:rsid w:val="000331E4"/>
    <w:rsid w:val="0003338D"/>
    <w:rsid w:val="00033619"/>
    <w:rsid w:val="000338E4"/>
    <w:rsid w:val="0003400C"/>
    <w:rsid w:val="000361AF"/>
    <w:rsid w:val="0003653F"/>
    <w:rsid w:val="000367B5"/>
    <w:rsid w:val="0003762E"/>
    <w:rsid w:val="0003797B"/>
    <w:rsid w:val="00037D37"/>
    <w:rsid w:val="00037D5F"/>
    <w:rsid w:val="000407DF"/>
    <w:rsid w:val="00040F8C"/>
    <w:rsid w:val="00041074"/>
    <w:rsid w:val="000411E8"/>
    <w:rsid w:val="0004160E"/>
    <w:rsid w:val="00041791"/>
    <w:rsid w:val="00041E59"/>
    <w:rsid w:val="00042E38"/>
    <w:rsid w:val="00043162"/>
    <w:rsid w:val="00043D7C"/>
    <w:rsid w:val="00046035"/>
    <w:rsid w:val="00046656"/>
    <w:rsid w:val="0004733C"/>
    <w:rsid w:val="00047894"/>
    <w:rsid w:val="0004790C"/>
    <w:rsid w:val="00051173"/>
    <w:rsid w:val="000513E7"/>
    <w:rsid w:val="0005151B"/>
    <w:rsid w:val="00053414"/>
    <w:rsid w:val="00053BFD"/>
    <w:rsid w:val="00053C89"/>
    <w:rsid w:val="00054522"/>
    <w:rsid w:val="00054835"/>
    <w:rsid w:val="00054C95"/>
    <w:rsid w:val="00055BDF"/>
    <w:rsid w:val="000561CF"/>
    <w:rsid w:val="00056EB7"/>
    <w:rsid w:val="00057613"/>
    <w:rsid w:val="0005774F"/>
    <w:rsid w:val="000578C7"/>
    <w:rsid w:val="000579F8"/>
    <w:rsid w:val="000618FF"/>
    <w:rsid w:val="0006205D"/>
    <w:rsid w:val="00062864"/>
    <w:rsid w:val="00062A44"/>
    <w:rsid w:val="00063208"/>
    <w:rsid w:val="00065D17"/>
    <w:rsid w:val="00065EF5"/>
    <w:rsid w:val="000668FA"/>
    <w:rsid w:val="00067AEA"/>
    <w:rsid w:val="00070ED7"/>
    <w:rsid w:val="000724AE"/>
    <w:rsid w:val="00072B2F"/>
    <w:rsid w:val="00072C49"/>
    <w:rsid w:val="00073213"/>
    <w:rsid w:val="0007776A"/>
    <w:rsid w:val="00077A76"/>
    <w:rsid w:val="0008010D"/>
    <w:rsid w:val="000802FA"/>
    <w:rsid w:val="0008037D"/>
    <w:rsid w:val="00081026"/>
    <w:rsid w:val="00081C0E"/>
    <w:rsid w:val="00081EB5"/>
    <w:rsid w:val="0008251D"/>
    <w:rsid w:val="000833C3"/>
    <w:rsid w:val="00083BDA"/>
    <w:rsid w:val="00084660"/>
    <w:rsid w:val="000850E0"/>
    <w:rsid w:val="0008552C"/>
    <w:rsid w:val="00085AF6"/>
    <w:rsid w:val="00085B0E"/>
    <w:rsid w:val="00085CC4"/>
    <w:rsid w:val="00085FB9"/>
    <w:rsid w:val="00087F56"/>
    <w:rsid w:val="00090573"/>
    <w:rsid w:val="00091286"/>
    <w:rsid w:val="0009162D"/>
    <w:rsid w:val="00091DFB"/>
    <w:rsid w:val="00092550"/>
    <w:rsid w:val="00092672"/>
    <w:rsid w:val="00092730"/>
    <w:rsid w:val="00092D40"/>
    <w:rsid w:val="00092D4E"/>
    <w:rsid w:val="00092DA2"/>
    <w:rsid w:val="00092E62"/>
    <w:rsid w:val="00093056"/>
    <w:rsid w:val="000934A6"/>
    <w:rsid w:val="00093F04"/>
    <w:rsid w:val="00095521"/>
    <w:rsid w:val="00095C5D"/>
    <w:rsid w:val="00097C86"/>
    <w:rsid w:val="00097DBE"/>
    <w:rsid w:val="000A02BA"/>
    <w:rsid w:val="000A0F08"/>
    <w:rsid w:val="000A1EFA"/>
    <w:rsid w:val="000A2243"/>
    <w:rsid w:val="000A377F"/>
    <w:rsid w:val="000A38AA"/>
    <w:rsid w:val="000A53E8"/>
    <w:rsid w:val="000A592F"/>
    <w:rsid w:val="000A5C2E"/>
    <w:rsid w:val="000A74FF"/>
    <w:rsid w:val="000B03BA"/>
    <w:rsid w:val="000B092F"/>
    <w:rsid w:val="000B0BA2"/>
    <w:rsid w:val="000B0F46"/>
    <w:rsid w:val="000B14A9"/>
    <w:rsid w:val="000B15D7"/>
    <w:rsid w:val="000B17CF"/>
    <w:rsid w:val="000B18BF"/>
    <w:rsid w:val="000B1972"/>
    <w:rsid w:val="000B1A18"/>
    <w:rsid w:val="000B22A7"/>
    <w:rsid w:val="000B3008"/>
    <w:rsid w:val="000B33FA"/>
    <w:rsid w:val="000B389D"/>
    <w:rsid w:val="000B3CC5"/>
    <w:rsid w:val="000B3E49"/>
    <w:rsid w:val="000B4720"/>
    <w:rsid w:val="000B497F"/>
    <w:rsid w:val="000B4A72"/>
    <w:rsid w:val="000B5105"/>
    <w:rsid w:val="000B52D1"/>
    <w:rsid w:val="000B653F"/>
    <w:rsid w:val="000B769C"/>
    <w:rsid w:val="000B7A21"/>
    <w:rsid w:val="000C0781"/>
    <w:rsid w:val="000C2216"/>
    <w:rsid w:val="000C272E"/>
    <w:rsid w:val="000C2D27"/>
    <w:rsid w:val="000C3625"/>
    <w:rsid w:val="000C3AB0"/>
    <w:rsid w:val="000C46B1"/>
    <w:rsid w:val="000C500F"/>
    <w:rsid w:val="000C52B2"/>
    <w:rsid w:val="000C5962"/>
    <w:rsid w:val="000C6B77"/>
    <w:rsid w:val="000C7C61"/>
    <w:rsid w:val="000D085F"/>
    <w:rsid w:val="000D1021"/>
    <w:rsid w:val="000D169B"/>
    <w:rsid w:val="000D1F64"/>
    <w:rsid w:val="000D1FE7"/>
    <w:rsid w:val="000D26DC"/>
    <w:rsid w:val="000D27E7"/>
    <w:rsid w:val="000D2CFB"/>
    <w:rsid w:val="000D378B"/>
    <w:rsid w:val="000D44DE"/>
    <w:rsid w:val="000D4861"/>
    <w:rsid w:val="000D4C08"/>
    <w:rsid w:val="000D4FD9"/>
    <w:rsid w:val="000D5239"/>
    <w:rsid w:val="000D52C3"/>
    <w:rsid w:val="000D541F"/>
    <w:rsid w:val="000D5A14"/>
    <w:rsid w:val="000D68F9"/>
    <w:rsid w:val="000D6923"/>
    <w:rsid w:val="000D6D4E"/>
    <w:rsid w:val="000D6D75"/>
    <w:rsid w:val="000E03A8"/>
    <w:rsid w:val="000E0659"/>
    <w:rsid w:val="000E07E6"/>
    <w:rsid w:val="000E0880"/>
    <w:rsid w:val="000E13B2"/>
    <w:rsid w:val="000E3605"/>
    <w:rsid w:val="000E3D91"/>
    <w:rsid w:val="000E3E43"/>
    <w:rsid w:val="000E43B0"/>
    <w:rsid w:val="000E4BB3"/>
    <w:rsid w:val="000E5183"/>
    <w:rsid w:val="000E5E58"/>
    <w:rsid w:val="000E5F72"/>
    <w:rsid w:val="000F1E7D"/>
    <w:rsid w:val="000F3FE3"/>
    <w:rsid w:val="000F4218"/>
    <w:rsid w:val="000F4488"/>
    <w:rsid w:val="000F45C2"/>
    <w:rsid w:val="000F4688"/>
    <w:rsid w:val="000F468A"/>
    <w:rsid w:val="000F57FA"/>
    <w:rsid w:val="000F5826"/>
    <w:rsid w:val="000F58D6"/>
    <w:rsid w:val="000F6264"/>
    <w:rsid w:val="000F759C"/>
    <w:rsid w:val="00100819"/>
    <w:rsid w:val="00100B6B"/>
    <w:rsid w:val="00100FAB"/>
    <w:rsid w:val="00101BF1"/>
    <w:rsid w:val="00102EE5"/>
    <w:rsid w:val="0010431A"/>
    <w:rsid w:val="00104A94"/>
    <w:rsid w:val="00104C67"/>
    <w:rsid w:val="001073C1"/>
    <w:rsid w:val="001073F5"/>
    <w:rsid w:val="00107FE7"/>
    <w:rsid w:val="0011044C"/>
    <w:rsid w:val="0011061F"/>
    <w:rsid w:val="00110A2B"/>
    <w:rsid w:val="0011217E"/>
    <w:rsid w:val="00112CF4"/>
    <w:rsid w:val="00112D8E"/>
    <w:rsid w:val="00112E8F"/>
    <w:rsid w:val="00113812"/>
    <w:rsid w:val="001154B0"/>
    <w:rsid w:val="00116568"/>
    <w:rsid w:val="001166F6"/>
    <w:rsid w:val="00116735"/>
    <w:rsid w:val="00116C80"/>
    <w:rsid w:val="00116EA8"/>
    <w:rsid w:val="00116FBC"/>
    <w:rsid w:val="001170D5"/>
    <w:rsid w:val="00117805"/>
    <w:rsid w:val="00117C99"/>
    <w:rsid w:val="00117DAC"/>
    <w:rsid w:val="00120792"/>
    <w:rsid w:val="00120C88"/>
    <w:rsid w:val="00120CC2"/>
    <w:rsid w:val="001215E9"/>
    <w:rsid w:val="00121884"/>
    <w:rsid w:val="00123062"/>
    <w:rsid w:val="00123296"/>
    <w:rsid w:val="00123F2E"/>
    <w:rsid w:val="001240C5"/>
    <w:rsid w:val="00124199"/>
    <w:rsid w:val="00124F03"/>
    <w:rsid w:val="00125857"/>
    <w:rsid w:val="00126055"/>
    <w:rsid w:val="00126229"/>
    <w:rsid w:val="0012639E"/>
    <w:rsid w:val="0012688B"/>
    <w:rsid w:val="001268BC"/>
    <w:rsid w:val="00127CD3"/>
    <w:rsid w:val="00130C47"/>
    <w:rsid w:val="00130C85"/>
    <w:rsid w:val="00130D76"/>
    <w:rsid w:val="00131402"/>
    <w:rsid w:val="0013175B"/>
    <w:rsid w:val="0013285E"/>
    <w:rsid w:val="00132DD9"/>
    <w:rsid w:val="00132E5A"/>
    <w:rsid w:val="00133065"/>
    <w:rsid w:val="00133FB3"/>
    <w:rsid w:val="00134FDC"/>
    <w:rsid w:val="0013605A"/>
    <w:rsid w:val="0013722E"/>
    <w:rsid w:val="00137D94"/>
    <w:rsid w:val="00137FAB"/>
    <w:rsid w:val="0014060E"/>
    <w:rsid w:val="00141F4D"/>
    <w:rsid w:val="00142582"/>
    <w:rsid w:val="00142EBA"/>
    <w:rsid w:val="0014323B"/>
    <w:rsid w:val="00143831"/>
    <w:rsid w:val="00144235"/>
    <w:rsid w:val="00145F68"/>
    <w:rsid w:val="0014771E"/>
    <w:rsid w:val="00150176"/>
    <w:rsid w:val="001502C0"/>
    <w:rsid w:val="00150F80"/>
    <w:rsid w:val="0015180B"/>
    <w:rsid w:val="00151F09"/>
    <w:rsid w:val="00151FF1"/>
    <w:rsid w:val="00154E0D"/>
    <w:rsid w:val="00154F23"/>
    <w:rsid w:val="00155809"/>
    <w:rsid w:val="00155E5B"/>
    <w:rsid w:val="0015673B"/>
    <w:rsid w:val="00157326"/>
    <w:rsid w:val="001600E9"/>
    <w:rsid w:val="001603C5"/>
    <w:rsid w:val="00160878"/>
    <w:rsid w:val="00160EE7"/>
    <w:rsid w:val="00160FEC"/>
    <w:rsid w:val="001610E5"/>
    <w:rsid w:val="00161BC8"/>
    <w:rsid w:val="00161DA1"/>
    <w:rsid w:val="00162D0E"/>
    <w:rsid w:val="00164383"/>
    <w:rsid w:val="0016472A"/>
    <w:rsid w:val="00164D33"/>
    <w:rsid w:val="00165F4C"/>
    <w:rsid w:val="001668DF"/>
    <w:rsid w:val="001674EC"/>
    <w:rsid w:val="001676DE"/>
    <w:rsid w:val="00170483"/>
    <w:rsid w:val="001714F3"/>
    <w:rsid w:val="001722B8"/>
    <w:rsid w:val="0017265C"/>
    <w:rsid w:val="0017386F"/>
    <w:rsid w:val="00173899"/>
    <w:rsid w:val="0017452A"/>
    <w:rsid w:val="00174746"/>
    <w:rsid w:val="0017521B"/>
    <w:rsid w:val="0017529C"/>
    <w:rsid w:val="0017657A"/>
    <w:rsid w:val="00180086"/>
    <w:rsid w:val="00180E84"/>
    <w:rsid w:val="0018142B"/>
    <w:rsid w:val="00182A32"/>
    <w:rsid w:val="00183A35"/>
    <w:rsid w:val="00183E7C"/>
    <w:rsid w:val="0018432C"/>
    <w:rsid w:val="0018547D"/>
    <w:rsid w:val="00186139"/>
    <w:rsid w:val="0018613D"/>
    <w:rsid w:val="00186571"/>
    <w:rsid w:val="001867A7"/>
    <w:rsid w:val="00186B75"/>
    <w:rsid w:val="00186D5C"/>
    <w:rsid w:val="00187F05"/>
    <w:rsid w:val="0019005C"/>
    <w:rsid w:val="001902D6"/>
    <w:rsid w:val="00193510"/>
    <w:rsid w:val="001957BF"/>
    <w:rsid w:val="0019627E"/>
    <w:rsid w:val="0019690C"/>
    <w:rsid w:val="0019778C"/>
    <w:rsid w:val="001A0D77"/>
    <w:rsid w:val="001A196A"/>
    <w:rsid w:val="001A1D95"/>
    <w:rsid w:val="001A2016"/>
    <w:rsid w:val="001A2565"/>
    <w:rsid w:val="001A3AA7"/>
    <w:rsid w:val="001A3B79"/>
    <w:rsid w:val="001A5014"/>
    <w:rsid w:val="001A5555"/>
    <w:rsid w:val="001A5A86"/>
    <w:rsid w:val="001A6373"/>
    <w:rsid w:val="001A66CC"/>
    <w:rsid w:val="001A6989"/>
    <w:rsid w:val="001A7CE7"/>
    <w:rsid w:val="001B0F82"/>
    <w:rsid w:val="001B1762"/>
    <w:rsid w:val="001B17AC"/>
    <w:rsid w:val="001B18FA"/>
    <w:rsid w:val="001B26A8"/>
    <w:rsid w:val="001B2EAC"/>
    <w:rsid w:val="001B30B7"/>
    <w:rsid w:val="001B3158"/>
    <w:rsid w:val="001B32D8"/>
    <w:rsid w:val="001B336C"/>
    <w:rsid w:val="001B51DB"/>
    <w:rsid w:val="001B53AA"/>
    <w:rsid w:val="001B588D"/>
    <w:rsid w:val="001C00A5"/>
    <w:rsid w:val="001C00C5"/>
    <w:rsid w:val="001C080F"/>
    <w:rsid w:val="001C1AC6"/>
    <w:rsid w:val="001C204E"/>
    <w:rsid w:val="001C3733"/>
    <w:rsid w:val="001C3D50"/>
    <w:rsid w:val="001C4036"/>
    <w:rsid w:val="001C4C87"/>
    <w:rsid w:val="001C4ECC"/>
    <w:rsid w:val="001C55A8"/>
    <w:rsid w:val="001C56BA"/>
    <w:rsid w:val="001C5CED"/>
    <w:rsid w:val="001C6388"/>
    <w:rsid w:val="001C67DD"/>
    <w:rsid w:val="001C6901"/>
    <w:rsid w:val="001C6F66"/>
    <w:rsid w:val="001C7425"/>
    <w:rsid w:val="001C7612"/>
    <w:rsid w:val="001C7694"/>
    <w:rsid w:val="001C7835"/>
    <w:rsid w:val="001C7E41"/>
    <w:rsid w:val="001D0D84"/>
    <w:rsid w:val="001D134C"/>
    <w:rsid w:val="001D1DA7"/>
    <w:rsid w:val="001D21F3"/>
    <w:rsid w:val="001D2219"/>
    <w:rsid w:val="001D2F29"/>
    <w:rsid w:val="001D34A2"/>
    <w:rsid w:val="001D3995"/>
    <w:rsid w:val="001D3A56"/>
    <w:rsid w:val="001D4050"/>
    <w:rsid w:val="001D5114"/>
    <w:rsid w:val="001D6812"/>
    <w:rsid w:val="001D7442"/>
    <w:rsid w:val="001D787C"/>
    <w:rsid w:val="001D7D9B"/>
    <w:rsid w:val="001E0585"/>
    <w:rsid w:val="001E0590"/>
    <w:rsid w:val="001E06F7"/>
    <w:rsid w:val="001E0B0F"/>
    <w:rsid w:val="001E0BAB"/>
    <w:rsid w:val="001E1387"/>
    <w:rsid w:val="001E2FE4"/>
    <w:rsid w:val="001E3097"/>
    <w:rsid w:val="001E3153"/>
    <w:rsid w:val="001E4AD9"/>
    <w:rsid w:val="001E54FF"/>
    <w:rsid w:val="001E5CCF"/>
    <w:rsid w:val="001E5CD7"/>
    <w:rsid w:val="001E73CC"/>
    <w:rsid w:val="001E7EA6"/>
    <w:rsid w:val="001F011A"/>
    <w:rsid w:val="001F0991"/>
    <w:rsid w:val="001F13C1"/>
    <w:rsid w:val="001F156A"/>
    <w:rsid w:val="001F15E0"/>
    <w:rsid w:val="001F1E9A"/>
    <w:rsid w:val="001F2F03"/>
    <w:rsid w:val="001F446D"/>
    <w:rsid w:val="001F49D9"/>
    <w:rsid w:val="001F6B0A"/>
    <w:rsid w:val="001F780D"/>
    <w:rsid w:val="001F78BD"/>
    <w:rsid w:val="001F7DC5"/>
    <w:rsid w:val="0020077D"/>
    <w:rsid w:val="00201320"/>
    <w:rsid w:val="00201475"/>
    <w:rsid w:val="0020161B"/>
    <w:rsid w:val="00201E78"/>
    <w:rsid w:val="00201FB4"/>
    <w:rsid w:val="0020204A"/>
    <w:rsid w:val="00202767"/>
    <w:rsid w:val="00203952"/>
    <w:rsid w:val="00203A3D"/>
    <w:rsid w:val="00203E11"/>
    <w:rsid w:val="0020410B"/>
    <w:rsid w:val="00204DE9"/>
    <w:rsid w:val="002050DC"/>
    <w:rsid w:val="00205F71"/>
    <w:rsid w:val="00207503"/>
    <w:rsid w:val="00207645"/>
    <w:rsid w:val="00207C47"/>
    <w:rsid w:val="00210D51"/>
    <w:rsid w:val="00211208"/>
    <w:rsid w:val="002112EC"/>
    <w:rsid w:val="0021214F"/>
    <w:rsid w:val="00213958"/>
    <w:rsid w:val="00214BDD"/>
    <w:rsid w:val="0021548C"/>
    <w:rsid w:val="002159CD"/>
    <w:rsid w:val="00216BFE"/>
    <w:rsid w:val="00216C84"/>
    <w:rsid w:val="00220F8E"/>
    <w:rsid w:val="002216CC"/>
    <w:rsid w:val="00221800"/>
    <w:rsid w:val="00221939"/>
    <w:rsid w:val="00221AB7"/>
    <w:rsid w:val="002239D7"/>
    <w:rsid w:val="00224458"/>
    <w:rsid w:val="00225354"/>
    <w:rsid w:val="002263B0"/>
    <w:rsid w:val="00226508"/>
    <w:rsid w:val="0022675B"/>
    <w:rsid w:val="00226A2E"/>
    <w:rsid w:val="0022740C"/>
    <w:rsid w:val="00227712"/>
    <w:rsid w:val="00230099"/>
    <w:rsid w:val="0023077A"/>
    <w:rsid w:val="00230BAA"/>
    <w:rsid w:val="00231225"/>
    <w:rsid w:val="002322AA"/>
    <w:rsid w:val="002338E2"/>
    <w:rsid w:val="00233C58"/>
    <w:rsid w:val="00234963"/>
    <w:rsid w:val="00234FFD"/>
    <w:rsid w:val="00236505"/>
    <w:rsid w:val="00236A72"/>
    <w:rsid w:val="002371FA"/>
    <w:rsid w:val="0023735B"/>
    <w:rsid w:val="00240219"/>
    <w:rsid w:val="0024038F"/>
    <w:rsid w:val="00240AB8"/>
    <w:rsid w:val="00240F47"/>
    <w:rsid w:val="00241AF6"/>
    <w:rsid w:val="00242BBC"/>
    <w:rsid w:val="00242F31"/>
    <w:rsid w:val="002430D0"/>
    <w:rsid w:val="0024521D"/>
    <w:rsid w:val="002454EF"/>
    <w:rsid w:val="002457DE"/>
    <w:rsid w:val="00246435"/>
    <w:rsid w:val="002466C7"/>
    <w:rsid w:val="00246BCF"/>
    <w:rsid w:val="002472AC"/>
    <w:rsid w:val="00247FBF"/>
    <w:rsid w:val="00250F70"/>
    <w:rsid w:val="00251245"/>
    <w:rsid w:val="002518C9"/>
    <w:rsid w:val="00251CA2"/>
    <w:rsid w:val="002522BE"/>
    <w:rsid w:val="00253FA5"/>
    <w:rsid w:val="00255522"/>
    <w:rsid w:val="00255ECD"/>
    <w:rsid w:val="00255F08"/>
    <w:rsid w:val="00255F30"/>
    <w:rsid w:val="00256089"/>
    <w:rsid w:val="00256CD5"/>
    <w:rsid w:val="0025706B"/>
    <w:rsid w:val="002570A7"/>
    <w:rsid w:val="00257F08"/>
    <w:rsid w:val="00257F19"/>
    <w:rsid w:val="002601BB"/>
    <w:rsid w:val="002609AC"/>
    <w:rsid w:val="00261D0D"/>
    <w:rsid w:val="00261FEC"/>
    <w:rsid w:val="002624A8"/>
    <w:rsid w:val="00262E84"/>
    <w:rsid w:val="00263280"/>
    <w:rsid w:val="00263AB8"/>
    <w:rsid w:val="00264021"/>
    <w:rsid w:val="002647A4"/>
    <w:rsid w:val="00265918"/>
    <w:rsid w:val="00265C81"/>
    <w:rsid w:val="00270834"/>
    <w:rsid w:val="00270F0D"/>
    <w:rsid w:val="002712C3"/>
    <w:rsid w:val="00271A30"/>
    <w:rsid w:val="0027236D"/>
    <w:rsid w:val="002727FB"/>
    <w:rsid w:val="0027339A"/>
    <w:rsid w:val="00273E86"/>
    <w:rsid w:val="002743A7"/>
    <w:rsid w:val="0027479B"/>
    <w:rsid w:val="00276374"/>
    <w:rsid w:val="00277DF2"/>
    <w:rsid w:val="0028063E"/>
    <w:rsid w:val="002814E6"/>
    <w:rsid w:val="0028155F"/>
    <w:rsid w:val="002815B9"/>
    <w:rsid w:val="00281A54"/>
    <w:rsid w:val="00282AE5"/>
    <w:rsid w:val="00282D22"/>
    <w:rsid w:val="00284716"/>
    <w:rsid w:val="00286890"/>
    <w:rsid w:val="00287114"/>
    <w:rsid w:val="00287AEF"/>
    <w:rsid w:val="00287C3E"/>
    <w:rsid w:val="002915D3"/>
    <w:rsid w:val="00291BD7"/>
    <w:rsid w:val="00291D23"/>
    <w:rsid w:val="0029245C"/>
    <w:rsid w:val="002936B4"/>
    <w:rsid w:val="002945D3"/>
    <w:rsid w:val="00294C13"/>
    <w:rsid w:val="002951E6"/>
    <w:rsid w:val="00295330"/>
    <w:rsid w:val="002967D1"/>
    <w:rsid w:val="00297549"/>
    <w:rsid w:val="002975DE"/>
    <w:rsid w:val="002A01A5"/>
    <w:rsid w:val="002A0E41"/>
    <w:rsid w:val="002A112A"/>
    <w:rsid w:val="002A19C8"/>
    <w:rsid w:val="002A1E62"/>
    <w:rsid w:val="002A229E"/>
    <w:rsid w:val="002A3B39"/>
    <w:rsid w:val="002A4CF2"/>
    <w:rsid w:val="002A72A0"/>
    <w:rsid w:val="002B0541"/>
    <w:rsid w:val="002B0577"/>
    <w:rsid w:val="002B061E"/>
    <w:rsid w:val="002B0947"/>
    <w:rsid w:val="002B0CE8"/>
    <w:rsid w:val="002B13F0"/>
    <w:rsid w:val="002B2B56"/>
    <w:rsid w:val="002B43A6"/>
    <w:rsid w:val="002B4997"/>
    <w:rsid w:val="002B66F8"/>
    <w:rsid w:val="002C051F"/>
    <w:rsid w:val="002C0758"/>
    <w:rsid w:val="002C1B29"/>
    <w:rsid w:val="002C1FC5"/>
    <w:rsid w:val="002C257B"/>
    <w:rsid w:val="002C26C0"/>
    <w:rsid w:val="002C36B0"/>
    <w:rsid w:val="002C3EE5"/>
    <w:rsid w:val="002C4C55"/>
    <w:rsid w:val="002C797E"/>
    <w:rsid w:val="002C7F4D"/>
    <w:rsid w:val="002D152F"/>
    <w:rsid w:val="002D23A1"/>
    <w:rsid w:val="002D2AD1"/>
    <w:rsid w:val="002D3156"/>
    <w:rsid w:val="002D427C"/>
    <w:rsid w:val="002D44C3"/>
    <w:rsid w:val="002D484A"/>
    <w:rsid w:val="002D4EA1"/>
    <w:rsid w:val="002D4F80"/>
    <w:rsid w:val="002D50CB"/>
    <w:rsid w:val="002D5363"/>
    <w:rsid w:val="002D54C1"/>
    <w:rsid w:val="002D5CBD"/>
    <w:rsid w:val="002D5FD0"/>
    <w:rsid w:val="002D66B1"/>
    <w:rsid w:val="002D74D8"/>
    <w:rsid w:val="002E0207"/>
    <w:rsid w:val="002E0354"/>
    <w:rsid w:val="002E0788"/>
    <w:rsid w:val="002E098D"/>
    <w:rsid w:val="002E0E6A"/>
    <w:rsid w:val="002E137D"/>
    <w:rsid w:val="002E2063"/>
    <w:rsid w:val="002E3F19"/>
    <w:rsid w:val="002E465A"/>
    <w:rsid w:val="002E478B"/>
    <w:rsid w:val="002E51D2"/>
    <w:rsid w:val="002E66C2"/>
    <w:rsid w:val="002E6AF8"/>
    <w:rsid w:val="002E6AFF"/>
    <w:rsid w:val="002E77DC"/>
    <w:rsid w:val="002E7A0E"/>
    <w:rsid w:val="002E7EFA"/>
    <w:rsid w:val="002F0CCD"/>
    <w:rsid w:val="002F0EC8"/>
    <w:rsid w:val="002F35CB"/>
    <w:rsid w:val="002F3A27"/>
    <w:rsid w:val="002F3F5F"/>
    <w:rsid w:val="002F6386"/>
    <w:rsid w:val="002F72B7"/>
    <w:rsid w:val="002F771D"/>
    <w:rsid w:val="002F77D8"/>
    <w:rsid w:val="003001EC"/>
    <w:rsid w:val="003005BA"/>
    <w:rsid w:val="003011AF"/>
    <w:rsid w:val="00301ADF"/>
    <w:rsid w:val="00302168"/>
    <w:rsid w:val="00302348"/>
    <w:rsid w:val="00302763"/>
    <w:rsid w:val="00302E3B"/>
    <w:rsid w:val="00303704"/>
    <w:rsid w:val="00305171"/>
    <w:rsid w:val="00306323"/>
    <w:rsid w:val="00310423"/>
    <w:rsid w:val="00310B28"/>
    <w:rsid w:val="00310E8D"/>
    <w:rsid w:val="00311E13"/>
    <w:rsid w:val="00312357"/>
    <w:rsid w:val="003129B1"/>
    <w:rsid w:val="00312C4C"/>
    <w:rsid w:val="0031391D"/>
    <w:rsid w:val="00315123"/>
    <w:rsid w:val="00316D5A"/>
    <w:rsid w:val="00316EEC"/>
    <w:rsid w:val="00317D16"/>
    <w:rsid w:val="003205AD"/>
    <w:rsid w:val="00320C71"/>
    <w:rsid w:val="00320D50"/>
    <w:rsid w:val="00321CC4"/>
    <w:rsid w:val="00322081"/>
    <w:rsid w:val="003231DE"/>
    <w:rsid w:val="003233E8"/>
    <w:rsid w:val="00323400"/>
    <w:rsid w:val="003243E6"/>
    <w:rsid w:val="003244B0"/>
    <w:rsid w:val="003244CC"/>
    <w:rsid w:val="0032477A"/>
    <w:rsid w:val="003257BE"/>
    <w:rsid w:val="0032649B"/>
    <w:rsid w:val="00326631"/>
    <w:rsid w:val="00326A36"/>
    <w:rsid w:val="00326F98"/>
    <w:rsid w:val="0032758E"/>
    <w:rsid w:val="003278B9"/>
    <w:rsid w:val="00330544"/>
    <w:rsid w:val="0033105F"/>
    <w:rsid w:val="00331845"/>
    <w:rsid w:val="00331CF0"/>
    <w:rsid w:val="0033360E"/>
    <w:rsid w:val="0033434C"/>
    <w:rsid w:val="003356F3"/>
    <w:rsid w:val="003358C8"/>
    <w:rsid w:val="00336BF9"/>
    <w:rsid w:val="00336C85"/>
    <w:rsid w:val="00336ECB"/>
    <w:rsid w:val="003378A8"/>
    <w:rsid w:val="003412DB"/>
    <w:rsid w:val="0034134C"/>
    <w:rsid w:val="003416E8"/>
    <w:rsid w:val="00341C64"/>
    <w:rsid w:val="0034224C"/>
    <w:rsid w:val="00342B13"/>
    <w:rsid w:val="0034482D"/>
    <w:rsid w:val="00344EC8"/>
    <w:rsid w:val="0034680A"/>
    <w:rsid w:val="00346EE5"/>
    <w:rsid w:val="003472FA"/>
    <w:rsid w:val="00347355"/>
    <w:rsid w:val="0035076A"/>
    <w:rsid w:val="00352C43"/>
    <w:rsid w:val="00354696"/>
    <w:rsid w:val="0035469E"/>
    <w:rsid w:val="00354B92"/>
    <w:rsid w:val="0035519A"/>
    <w:rsid w:val="003560C6"/>
    <w:rsid w:val="003569B8"/>
    <w:rsid w:val="0036059A"/>
    <w:rsid w:val="00361E8E"/>
    <w:rsid w:val="003631AE"/>
    <w:rsid w:val="00363483"/>
    <w:rsid w:val="003639CD"/>
    <w:rsid w:val="00363FF8"/>
    <w:rsid w:val="003640E1"/>
    <w:rsid w:val="0036466C"/>
    <w:rsid w:val="00364A11"/>
    <w:rsid w:val="00364C05"/>
    <w:rsid w:val="00365521"/>
    <w:rsid w:val="00365642"/>
    <w:rsid w:val="003658A3"/>
    <w:rsid w:val="00366674"/>
    <w:rsid w:val="00366799"/>
    <w:rsid w:val="00367A3F"/>
    <w:rsid w:val="0037089F"/>
    <w:rsid w:val="003721BD"/>
    <w:rsid w:val="00372BA3"/>
    <w:rsid w:val="00374938"/>
    <w:rsid w:val="00375245"/>
    <w:rsid w:val="00375B45"/>
    <w:rsid w:val="0037646B"/>
    <w:rsid w:val="00376491"/>
    <w:rsid w:val="003768F2"/>
    <w:rsid w:val="0037721D"/>
    <w:rsid w:val="00377C44"/>
    <w:rsid w:val="0038000A"/>
    <w:rsid w:val="0038102A"/>
    <w:rsid w:val="00381875"/>
    <w:rsid w:val="00382A1C"/>
    <w:rsid w:val="003833B4"/>
    <w:rsid w:val="00384A90"/>
    <w:rsid w:val="00384AA8"/>
    <w:rsid w:val="003867DF"/>
    <w:rsid w:val="00386E57"/>
    <w:rsid w:val="003870D1"/>
    <w:rsid w:val="0038741A"/>
    <w:rsid w:val="00387A9D"/>
    <w:rsid w:val="00390109"/>
    <w:rsid w:val="00390483"/>
    <w:rsid w:val="00390573"/>
    <w:rsid w:val="00390E05"/>
    <w:rsid w:val="00390F0B"/>
    <w:rsid w:val="003919AE"/>
    <w:rsid w:val="00391A7A"/>
    <w:rsid w:val="0039227B"/>
    <w:rsid w:val="0039230F"/>
    <w:rsid w:val="003940DD"/>
    <w:rsid w:val="00394749"/>
    <w:rsid w:val="00394AD2"/>
    <w:rsid w:val="00397D02"/>
    <w:rsid w:val="00397FDB"/>
    <w:rsid w:val="003A0C36"/>
    <w:rsid w:val="003A188F"/>
    <w:rsid w:val="003A1B6A"/>
    <w:rsid w:val="003A3471"/>
    <w:rsid w:val="003A3A9B"/>
    <w:rsid w:val="003A473C"/>
    <w:rsid w:val="003A4BC9"/>
    <w:rsid w:val="003A5146"/>
    <w:rsid w:val="003A5181"/>
    <w:rsid w:val="003A53D8"/>
    <w:rsid w:val="003A611F"/>
    <w:rsid w:val="003A65CB"/>
    <w:rsid w:val="003A67E9"/>
    <w:rsid w:val="003A743E"/>
    <w:rsid w:val="003A7722"/>
    <w:rsid w:val="003A79F2"/>
    <w:rsid w:val="003A7ADE"/>
    <w:rsid w:val="003B017C"/>
    <w:rsid w:val="003B0723"/>
    <w:rsid w:val="003B1E67"/>
    <w:rsid w:val="003B2349"/>
    <w:rsid w:val="003B2A34"/>
    <w:rsid w:val="003B311F"/>
    <w:rsid w:val="003B3C62"/>
    <w:rsid w:val="003B4707"/>
    <w:rsid w:val="003B5B89"/>
    <w:rsid w:val="003B5E2C"/>
    <w:rsid w:val="003B6E2C"/>
    <w:rsid w:val="003B7DB1"/>
    <w:rsid w:val="003B7DC9"/>
    <w:rsid w:val="003C01D4"/>
    <w:rsid w:val="003C0A0D"/>
    <w:rsid w:val="003C0D7A"/>
    <w:rsid w:val="003C0FD6"/>
    <w:rsid w:val="003C103A"/>
    <w:rsid w:val="003C16B7"/>
    <w:rsid w:val="003C251B"/>
    <w:rsid w:val="003C26BF"/>
    <w:rsid w:val="003C2CC3"/>
    <w:rsid w:val="003C305D"/>
    <w:rsid w:val="003C3358"/>
    <w:rsid w:val="003C3B31"/>
    <w:rsid w:val="003C51FB"/>
    <w:rsid w:val="003C53E7"/>
    <w:rsid w:val="003C585D"/>
    <w:rsid w:val="003C5937"/>
    <w:rsid w:val="003C5B03"/>
    <w:rsid w:val="003C5EE1"/>
    <w:rsid w:val="003C69BF"/>
    <w:rsid w:val="003C7400"/>
    <w:rsid w:val="003D055A"/>
    <w:rsid w:val="003D077F"/>
    <w:rsid w:val="003D09EE"/>
    <w:rsid w:val="003D23A3"/>
    <w:rsid w:val="003D48DD"/>
    <w:rsid w:val="003D5856"/>
    <w:rsid w:val="003D66D0"/>
    <w:rsid w:val="003D6C63"/>
    <w:rsid w:val="003D790D"/>
    <w:rsid w:val="003E0C72"/>
    <w:rsid w:val="003E1CBE"/>
    <w:rsid w:val="003E1F09"/>
    <w:rsid w:val="003E226E"/>
    <w:rsid w:val="003E2616"/>
    <w:rsid w:val="003E38FE"/>
    <w:rsid w:val="003E3E05"/>
    <w:rsid w:val="003E6055"/>
    <w:rsid w:val="003E670C"/>
    <w:rsid w:val="003E6B22"/>
    <w:rsid w:val="003E7032"/>
    <w:rsid w:val="003E77C5"/>
    <w:rsid w:val="003F0A69"/>
    <w:rsid w:val="003F0A86"/>
    <w:rsid w:val="003F11CD"/>
    <w:rsid w:val="003F1243"/>
    <w:rsid w:val="003F3073"/>
    <w:rsid w:val="003F46E7"/>
    <w:rsid w:val="003F6F1A"/>
    <w:rsid w:val="0040060F"/>
    <w:rsid w:val="0040093E"/>
    <w:rsid w:val="00400FB2"/>
    <w:rsid w:val="00401855"/>
    <w:rsid w:val="00401BE4"/>
    <w:rsid w:val="00401D79"/>
    <w:rsid w:val="00403058"/>
    <w:rsid w:val="00403168"/>
    <w:rsid w:val="00403458"/>
    <w:rsid w:val="00403829"/>
    <w:rsid w:val="00403DD0"/>
    <w:rsid w:val="00404373"/>
    <w:rsid w:val="00404713"/>
    <w:rsid w:val="00404A91"/>
    <w:rsid w:val="00404E4F"/>
    <w:rsid w:val="004055FB"/>
    <w:rsid w:val="004064F7"/>
    <w:rsid w:val="004074A7"/>
    <w:rsid w:val="00407618"/>
    <w:rsid w:val="004078AB"/>
    <w:rsid w:val="00407A1D"/>
    <w:rsid w:val="00407AA2"/>
    <w:rsid w:val="0041009B"/>
    <w:rsid w:val="00410665"/>
    <w:rsid w:val="004114DF"/>
    <w:rsid w:val="00411817"/>
    <w:rsid w:val="0041283D"/>
    <w:rsid w:val="00412895"/>
    <w:rsid w:val="0041372E"/>
    <w:rsid w:val="00413A57"/>
    <w:rsid w:val="004140F9"/>
    <w:rsid w:val="00414C84"/>
    <w:rsid w:val="0041561E"/>
    <w:rsid w:val="00415C16"/>
    <w:rsid w:val="00416A51"/>
    <w:rsid w:val="004176CE"/>
    <w:rsid w:val="00420F0E"/>
    <w:rsid w:val="00421C65"/>
    <w:rsid w:val="00422BB2"/>
    <w:rsid w:val="0042339A"/>
    <w:rsid w:val="00423B15"/>
    <w:rsid w:val="00424CB8"/>
    <w:rsid w:val="0042508F"/>
    <w:rsid w:val="004257EC"/>
    <w:rsid w:val="00425CD2"/>
    <w:rsid w:val="00426D00"/>
    <w:rsid w:val="00426DCF"/>
    <w:rsid w:val="004278CB"/>
    <w:rsid w:val="00430ABD"/>
    <w:rsid w:val="00430B17"/>
    <w:rsid w:val="00431F68"/>
    <w:rsid w:val="00432C67"/>
    <w:rsid w:val="0043326D"/>
    <w:rsid w:val="004336D7"/>
    <w:rsid w:val="00434A53"/>
    <w:rsid w:val="00435B69"/>
    <w:rsid w:val="00435C44"/>
    <w:rsid w:val="0043606B"/>
    <w:rsid w:val="00436CC0"/>
    <w:rsid w:val="00436F53"/>
    <w:rsid w:val="004379A9"/>
    <w:rsid w:val="004379C2"/>
    <w:rsid w:val="004400E8"/>
    <w:rsid w:val="004412DC"/>
    <w:rsid w:val="0044158A"/>
    <w:rsid w:val="00443336"/>
    <w:rsid w:val="004433EB"/>
    <w:rsid w:val="004438CD"/>
    <w:rsid w:val="0044446D"/>
    <w:rsid w:val="00444602"/>
    <w:rsid w:val="00446470"/>
    <w:rsid w:val="004479EB"/>
    <w:rsid w:val="00447EA6"/>
    <w:rsid w:val="00450C80"/>
    <w:rsid w:val="004510C0"/>
    <w:rsid w:val="00451945"/>
    <w:rsid w:val="00451DD9"/>
    <w:rsid w:val="00452590"/>
    <w:rsid w:val="004526E5"/>
    <w:rsid w:val="0045399D"/>
    <w:rsid w:val="004544D6"/>
    <w:rsid w:val="00454BB0"/>
    <w:rsid w:val="00454F3F"/>
    <w:rsid w:val="004555CF"/>
    <w:rsid w:val="00455A01"/>
    <w:rsid w:val="00455D89"/>
    <w:rsid w:val="0045795D"/>
    <w:rsid w:val="0046020F"/>
    <w:rsid w:val="0046114C"/>
    <w:rsid w:val="00461CE9"/>
    <w:rsid w:val="00462407"/>
    <w:rsid w:val="004625F0"/>
    <w:rsid w:val="00462DEE"/>
    <w:rsid w:val="004631DD"/>
    <w:rsid w:val="004635FD"/>
    <w:rsid w:val="00465A1A"/>
    <w:rsid w:val="00466827"/>
    <w:rsid w:val="004678F3"/>
    <w:rsid w:val="00467BE0"/>
    <w:rsid w:val="00467D3A"/>
    <w:rsid w:val="00470129"/>
    <w:rsid w:val="00471CF8"/>
    <w:rsid w:val="004728A0"/>
    <w:rsid w:val="00472F03"/>
    <w:rsid w:val="004742DD"/>
    <w:rsid w:val="004744E4"/>
    <w:rsid w:val="00474C20"/>
    <w:rsid w:val="00475231"/>
    <w:rsid w:val="004755E1"/>
    <w:rsid w:val="00475BF0"/>
    <w:rsid w:val="00476C75"/>
    <w:rsid w:val="00476E20"/>
    <w:rsid w:val="00477512"/>
    <w:rsid w:val="0047777C"/>
    <w:rsid w:val="00477F20"/>
    <w:rsid w:val="004808D8"/>
    <w:rsid w:val="00481980"/>
    <w:rsid w:val="0048261B"/>
    <w:rsid w:val="00482ACA"/>
    <w:rsid w:val="00484E96"/>
    <w:rsid w:val="00485FBD"/>
    <w:rsid w:val="00486FC1"/>
    <w:rsid w:val="0048774A"/>
    <w:rsid w:val="00492BB2"/>
    <w:rsid w:val="004932D2"/>
    <w:rsid w:val="0049412B"/>
    <w:rsid w:val="0049471C"/>
    <w:rsid w:val="00496700"/>
    <w:rsid w:val="00496937"/>
    <w:rsid w:val="00496D32"/>
    <w:rsid w:val="0049748A"/>
    <w:rsid w:val="00497710"/>
    <w:rsid w:val="0049790C"/>
    <w:rsid w:val="00497A3A"/>
    <w:rsid w:val="00497A6A"/>
    <w:rsid w:val="00497D09"/>
    <w:rsid w:val="00497EE0"/>
    <w:rsid w:val="004A05A6"/>
    <w:rsid w:val="004A2F9E"/>
    <w:rsid w:val="004A2FB8"/>
    <w:rsid w:val="004A327A"/>
    <w:rsid w:val="004A40A8"/>
    <w:rsid w:val="004A461D"/>
    <w:rsid w:val="004A511C"/>
    <w:rsid w:val="004A5586"/>
    <w:rsid w:val="004A58B3"/>
    <w:rsid w:val="004A6DD1"/>
    <w:rsid w:val="004A7414"/>
    <w:rsid w:val="004A79B8"/>
    <w:rsid w:val="004B0061"/>
    <w:rsid w:val="004B0296"/>
    <w:rsid w:val="004B1531"/>
    <w:rsid w:val="004B433E"/>
    <w:rsid w:val="004B4746"/>
    <w:rsid w:val="004B4FCB"/>
    <w:rsid w:val="004B50FC"/>
    <w:rsid w:val="004B609E"/>
    <w:rsid w:val="004B761B"/>
    <w:rsid w:val="004C0D6C"/>
    <w:rsid w:val="004C2556"/>
    <w:rsid w:val="004C2887"/>
    <w:rsid w:val="004C31F5"/>
    <w:rsid w:val="004C34D2"/>
    <w:rsid w:val="004C3521"/>
    <w:rsid w:val="004C35BA"/>
    <w:rsid w:val="004C4823"/>
    <w:rsid w:val="004C5751"/>
    <w:rsid w:val="004C58CF"/>
    <w:rsid w:val="004C5E24"/>
    <w:rsid w:val="004C7441"/>
    <w:rsid w:val="004D03F5"/>
    <w:rsid w:val="004D0B8D"/>
    <w:rsid w:val="004D18DA"/>
    <w:rsid w:val="004D195A"/>
    <w:rsid w:val="004D1D8C"/>
    <w:rsid w:val="004D2201"/>
    <w:rsid w:val="004D23A3"/>
    <w:rsid w:val="004D4050"/>
    <w:rsid w:val="004D5015"/>
    <w:rsid w:val="004D588D"/>
    <w:rsid w:val="004D5FBA"/>
    <w:rsid w:val="004D672B"/>
    <w:rsid w:val="004D7A39"/>
    <w:rsid w:val="004E0EF5"/>
    <w:rsid w:val="004E1233"/>
    <w:rsid w:val="004E1B21"/>
    <w:rsid w:val="004E226A"/>
    <w:rsid w:val="004E22C9"/>
    <w:rsid w:val="004E28C6"/>
    <w:rsid w:val="004E6DE1"/>
    <w:rsid w:val="004E6E3B"/>
    <w:rsid w:val="004E7BA9"/>
    <w:rsid w:val="004F10E0"/>
    <w:rsid w:val="004F138F"/>
    <w:rsid w:val="004F1892"/>
    <w:rsid w:val="004F2CEA"/>
    <w:rsid w:val="004F2D0A"/>
    <w:rsid w:val="004F2E0B"/>
    <w:rsid w:val="004F420C"/>
    <w:rsid w:val="004F46B8"/>
    <w:rsid w:val="004F46FA"/>
    <w:rsid w:val="004F4943"/>
    <w:rsid w:val="004F4A4D"/>
    <w:rsid w:val="004F4CAE"/>
    <w:rsid w:val="004F581E"/>
    <w:rsid w:val="004F6FD6"/>
    <w:rsid w:val="004F76FF"/>
    <w:rsid w:val="00500123"/>
    <w:rsid w:val="00500893"/>
    <w:rsid w:val="00500DAD"/>
    <w:rsid w:val="005010DC"/>
    <w:rsid w:val="0050212D"/>
    <w:rsid w:val="00502A32"/>
    <w:rsid w:val="00502CC7"/>
    <w:rsid w:val="0050388A"/>
    <w:rsid w:val="00503A29"/>
    <w:rsid w:val="00504B61"/>
    <w:rsid w:val="00504D8F"/>
    <w:rsid w:val="00506483"/>
    <w:rsid w:val="0050656C"/>
    <w:rsid w:val="0050670B"/>
    <w:rsid w:val="00507C92"/>
    <w:rsid w:val="00510784"/>
    <w:rsid w:val="00510D90"/>
    <w:rsid w:val="00510E27"/>
    <w:rsid w:val="00511B29"/>
    <w:rsid w:val="00511D56"/>
    <w:rsid w:val="005124ED"/>
    <w:rsid w:val="00513EFE"/>
    <w:rsid w:val="005141E8"/>
    <w:rsid w:val="00514D24"/>
    <w:rsid w:val="00514EA7"/>
    <w:rsid w:val="00515060"/>
    <w:rsid w:val="00515238"/>
    <w:rsid w:val="00515606"/>
    <w:rsid w:val="00515EA5"/>
    <w:rsid w:val="00516212"/>
    <w:rsid w:val="0051673A"/>
    <w:rsid w:val="00516A89"/>
    <w:rsid w:val="00516B17"/>
    <w:rsid w:val="00517257"/>
    <w:rsid w:val="005174B4"/>
    <w:rsid w:val="0051779C"/>
    <w:rsid w:val="00520AB6"/>
    <w:rsid w:val="005210DF"/>
    <w:rsid w:val="005216B2"/>
    <w:rsid w:val="005241AF"/>
    <w:rsid w:val="0052464C"/>
    <w:rsid w:val="00526428"/>
    <w:rsid w:val="005269C2"/>
    <w:rsid w:val="00527098"/>
    <w:rsid w:val="00527224"/>
    <w:rsid w:val="005272F2"/>
    <w:rsid w:val="0052752D"/>
    <w:rsid w:val="00527A18"/>
    <w:rsid w:val="005321B3"/>
    <w:rsid w:val="00533EA9"/>
    <w:rsid w:val="005344E9"/>
    <w:rsid w:val="00534928"/>
    <w:rsid w:val="00534CD8"/>
    <w:rsid w:val="00534FD7"/>
    <w:rsid w:val="00535B79"/>
    <w:rsid w:val="005365B7"/>
    <w:rsid w:val="005366E8"/>
    <w:rsid w:val="005401F4"/>
    <w:rsid w:val="005403D6"/>
    <w:rsid w:val="005406BE"/>
    <w:rsid w:val="0054095D"/>
    <w:rsid w:val="00540B70"/>
    <w:rsid w:val="00540FDB"/>
    <w:rsid w:val="00541021"/>
    <w:rsid w:val="00541146"/>
    <w:rsid w:val="00541EAA"/>
    <w:rsid w:val="00543D13"/>
    <w:rsid w:val="005444E1"/>
    <w:rsid w:val="00545A2F"/>
    <w:rsid w:val="00546E2A"/>
    <w:rsid w:val="0054725E"/>
    <w:rsid w:val="00547725"/>
    <w:rsid w:val="00547BAF"/>
    <w:rsid w:val="00547BE3"/>
    <w:rsid w:val="00550C99"/>
    <w:rsid w:val="00553413"/>
    <w:rsid w:val="005544F0"/>
    <w:rsid w:val="005552EA"/>
    <w:rsid w:val="00555AB2"/>
    <w:rsid w:val="00555F6A"/>
    <w:rsid w:val="00556848"/>
    <w:rsid w:val="00556962"/>
    <w:rsid w:val="00557036"/>
    <w:rsid w:val="00557BDA"/>
    <w:rsid w:val="00560E94"/>
    <w:rsid w:val="00561030"/>
    <w:rsid w:val="00561129"/>
    <w:rsid w:val="00561B0E"/>
    <w:rsid w:val="00562410"/>
    <w:rsid w:val="00565007"/>
    <w:rsid w:val="0056528B"/>
    <w:rsid w:val="0056585F"/>
    <w:rsid w:val="00565AFF"/>
    <w:rsid w:val="00565DBD"/>
    <w:rsid w:val="00566065"/>
    <w:rsid w:val="0056658F"/>
    <w:rsid w:val="0056696D"/>
    <w:rsid w:val="00566A32"/>
    <w:rsid w:val="00566F5D"/>
    <w:rsid w:val="005671E4"/>
    <w:rsid w:val="00567FE7"/>
    <w:rsid w:val="00571371"/>
    <w:rsid w:val="00571549"/>
    <w:rsid w:val="00571687"/>
    <w:rsid w:val="00571A0D"/>
    <w:rsid w:val="00571C54"/>
    <w:rsid w:val="00571F4F"/>
    <w:rsid w:val="005722D4"/>
    <w:rsid w:val="00572A54"/>
    <w:rsid w:val="0057349A"/>
    <w:rsid w:val="005743FE"/>
    <w:rsid w:val="00574874"/>
    <w:rsid w:val="005754AB"/>
    <w:rsid w:val="005755F8"/>
    <w:rsid w:val="00575BA6"/>
    <w:rsid w:val="00576594"/>
    <w:rsid w:val="005774C1"/>
    <w:rsid w:val="005802CE"/>
    <w:rsid w:val="005802F8"/>
    <w:rsid w:val="00580952"/>
    <w:rsid w:val="00581150"/>
    <w:rsid w:val="00581789"/>
    <w:rsid w:val="00581898"/>
    <w:rsid w:val="005826F4"/>
    <w:rsid w:val="0058369E"/>
    <w:rsid w:val="005839E6"/>
    <w:rsid w:val="00584EAF"/>
    <w:rsid w:val="005850BC"/>
    <w:rsid w:val="00585395"/>
    <w:rsid w:val="00587593"/>
    <w:rsid w:val="005902F3"/>
    <w:rsid w:val="0059055C"/>
    <w:rsid w:val="0059070D"/>
    <w:rsid w:val="00590D09"/>
    <w:rsid w:val="0059156A"/>
    <w:rsid w:val="005917C4"/>
    <w:rsid w:val="00593314"/>
    <w:rsid w:val="0059368E"/>
    <w:rsid w:val="00593BF5"/>
    <w:rsid w:val="00593F72"/>
    <w:rsid w:val="00594496"/>
    <w:rsid w:val="005951FB"/>
    <w:rsid w:val="005956D3"/>
    <w:rsid w:val="005957EE"/>
    <w:rsid w:val="0059617B"/>
    <w:rsid w:val="0059623B"/>
    <w:rsid w:val="00596365"/>
    <w:rsid w:val="005965BC"/>
    <w:rsid w:val="00596856"/>
    <w:rsid w:val="00597460"/>
    <w:rsid w:val="005A0050"/>
    <w:rsid w:val="005A0C04"/>
    <w:rsid w:val="005A0ED5"/>
    <w:rsid w:val="005A0F09"/>
    <w:rsid w:val="005A1077"/>
    <w:rsid w:val="005A11FF"/>
    <w:rsid w:val="005A13D7"/>
    <w:rsid w:val="005A1691"/>
    <w:rsid w:val="005A19B5"/>
    <w:rsid w:val="005A2168"/>
    <w:rsid w:val="005A35F6"/>
    <w:rsid w:val="005A366D"/>
    <w:rsid w:val="005A37FA"/>
    <w:rsid w:val="005A3DAB"/>
    <w:rsid w:val="005A4858"/>
    <w:rsid w:val="005A53A6"/>
    <w:rsid w:val="005A5FC4"/>
    <w:rsid w:val="005A5FD7"/>
    <w:rsid w:val="005A6102"/>
    <w:rsid w:val="005A6DB5"/>
    <w:rsid w:val="005A6F97"/>
    <w:rsid w:val="005A718D"/>
    <w:rsid w:val="005A72AD"/>
    <w:rsid w:val="005A7805"/>
    <w:rsid w:val="005A7E78"/>
    <w:rsid w:val="005B03ED"/>
    <w:rsid w:val="005B0C5C"/>
    <w:rsid w:val="005B1776"/>
    <w:rsid w:val="005B1BA3"/>
    <w:rsid w:val="005B1F88"/>
    <w:rsid w:val="005B32FB"/>
    <w:rsid w:val="005B3E51"/>
    <w:rsid w:val="005B4EA5"/>
    <w:rsid w:val="005B5676"/>
    <w:rsid w:val="005B7FE4"/>
    <w:rsid w:val="005C05E0"/>
    <w:rsid w:val="005C0CD0"/>
    <w:rsid w:val="005C14E7"/>
    <w:rsid w:val="005C1582"/>
    <w:rsid w:val="005C1E5C"/>
    <w:rsid w:val="005C2813"/>
    <w:rsid w:val="005C37E0"/>
    <w:rsid w:val="005C3D57"/>
    <w:rsid w:val="005C474A"/>
    <w:rsid w:val="005C4B67"/>
    <w:rsid w:val="005C4D57"/>
    <w:rsid w:val="005C54B9"/>
    <w:rsid w:val="005C575B"/>
    <w:rsid w:val="005C5A1C"/>
    <w:rsid w:val="005C6069"/>
    <w:rsid w:val="005C6618"/>
    <w:rsid w:val="005C663C"/>
    <w:rsid w:val="005C668D"/>
    <w:rsid w:val="005C702F"/>
    <w:rsid w:val="005D0189"/>
    <w:rsid w:val="005D089C"/>
    <w:rsid w:val="005D0FE6"/>
    <w:rsid w:val="005D1270"/>
    <w:rsid w:val="005D12FB"/>
    <w:rsid w:val="005D183B"/>
    <w:rsid w:val="005D2706"/>
    <w:rsid w:val="005D2714"/>
    <w:rsid w:val="005D280C"/>
    <w:rsid w:val="005D4A87"/>
    <w:rsid w:val="005D545D"/>
    <w:rsid w:val="005D6C39"/>
    <w:rsid w:val="005D76CB"/>
    <w:rsid w:val="005D7E19"/>
    <w:rsid w:val="005E027D"/>
    <w:rsid w:val="005E09CB"/>
    <w:rsid w:val="005E0EB8"/>
    <w:rsid w:val="005E1AF9"/>
    <w:rsid w:val="005E2402"/>
    <w:rsid w:val="005E2DEE"/>
    <w:rsid w:val="005E3195"/>
    <w:rsid w:val="005E3306"/>
    <w:rsid w:val="005E34AB"/>
    <w:rsid w:val="005E4470"/>
    <w:rsid w:val="005E46A2"/>
    <w:rsid w:val="005E5794"/>
    <w:rsid w:val="005F0677"/>
    <w:rsid w:val="005F15E5"/>
    <w:rsid w:val="005F1997"/>
    <w:rsid w:val="005F53F1"/>
    <w:rsid w:val="005F56C1"/>
    <w:rsid w:val="005F58AA"/>
    <w:rsid w:val="005F5C05"/>
    <w:rsid w:val="005F6AD5"/>
    <w:rsid w:val="00600567"/>
    <w:rsid w:val="00600C69"/>
    <w:rsid w:val="00600D0D"/>
    <w:rsid w:val="00601570"/>
    <w:rsid w:val="006017F5"/>
    <w:rsid w:val="00601BBF"/>
    <w:rsid w:val="00601E9B"/>
    <w:rsid w:val="006028F9"/>
    <w:rsid w:val="00602995"/>
    <w:rsid w:val="00603FD5"/>
    <w:rsid w:val="006040DC"/>
    <w:rsid w:val="00604B12"/>
    <w:rsid w:val="0060542D"/>
    <w:rsid w:val="00605AB3"/>
    <w:rsid w:val="00605BD1"/>
    <w:rsid w:val="00606375"/>
    <w:rsid w:val="006064C1"/>
    <w:rsid w:val="006065CD"/>
    <w:rsid w:val="0060663F"/>
    <w:rsid w:val="00606AFB"/>
    <w:rsid w:val="00606DC9"/>
    <w:rsid w:val="006071E3"/>
    <w:rsid w:val="00607337"/>
    <w:rsid w:val="00607893"/>
    <w:rsid w:val="00607CD0"/>
    <w:rsid w:val="00607F03"/>
    <w:rsid w:val="00607FB3"/>
    <w:rsid w:val="0061023E"/>
    <w:rsid w:val="00610627"/>
    <w:rsid w:val="00610F6C"/>
    <w:rsid w:val="0061161E"/>
    <w:rsid w:val="00611826"/>
    <w:rsid w:val="00613856"/>
    <w:rsid w:val="006164F5"/>
    <w:rsid w:val="0061650E"/>
    <w:rsid w:val="00616DC8"/>
    <w:rsid w:val="00617950"/>
    <w:rsid w:val="00617BC3"/>
    <w:rsid w:val="006204CA"/>
    <w:rsid w:val="00620548"/>
    <w:rsid w:val="00621B65"/>
    <w:rsid w:val="00622383"/>
    <w:rsid w:val="006226E0"/>
    <w:rsid w:val="00622ADA"/>
    <w:rsid w:val="00622B7D"/>
    <w:rsid w:val="00622D88"/>
    <w:rsid w:val="00622D94"/>
    <w:rsid w:val="00622EA9"/>
    <w:rsid w:val="00623AD7"/>
    <w:rsid w:val="00623D32"/>
    <w:rsid w:val="006249C8"/>
    <w:rsid w:val="00624A3F"/>
    <w:rsid w:val="00624B90"/>
    <w:rsid w:val="0062500D"/>
    <w:rsid w:val="006252A7"/>
    <w:rsid w:val="006256BA"/>
    <w:rsid w:val="00625957"/>
    <w:rsid w:val="00625A71"/>
    <w:rsid w:val="0062606F"/>
    <w:rsid w:val="006264B6"/>
    <w:rsid w:val="00626853"/>
    <w:rsid w:val="00626A83"/>
    <w:rsid w:val="00626BFD"/>
    <w:rsid w:val="00626E85"/>
    <w:rsid w:val="00630F02"/>
    <w:rsid w:val="006316BF"/>
    <w:rsid w:val="00631D76"/>
    <w:rsid w:val="00633E37"/>
    <w:rsid w:val="00634958"/>
    <w:rsid w:val="00635354"/>
    <w:rsid w:val="00635EA9"/>
    <w:rsid w:val="006368C7"/>
    <w:rsid w:val="00637173"/>
    <w:rsid w:val="006371FB"/>
    <w:rsid w:val="006374ED"/>
    <w:rsid w:val="0064002F"/>
    <w:rsid w:val="0064102E"/>
    <w:rsid w:val="006435CD"/>
    <w:rsid w:val="00643C1B"/>
    <w:rsid w:val="00644E96"/>
    <w:rsid w:val="006452AC"/>
    <w:rsid w:val="0064650B"/>
    <w:rsid w:val="00647058"/>
    <w:rsid w:val="006475BD"/>
    <w:rsid w:val="006477BE"/>
    <w:rsid w:val="006478EB"/>
    <w:rsid w:val="006505F6"/>
    <w:rsid w:val="00652111"/>
    <w:rsid w:val="006527FF"/>
    <w:rsid w:val="00652A82"/>
    <w:rsid w:val="0065392D"/>
    <w:rsid w:val="00653930"/>
    <w:rsid w:val="006544A7"/>
    <w:rsid w:val="00654B81"/>
    <w:rsid w:val="00654F07"/>
    <w:rsid w:val="00656A8A"/>
    <w:rsid w:val="006572DD"/>
    <w:rsid w:val="00657543"/>
    <w:rsid w:val="00660382"/>
    <w:rsid w:val="006603A3"/>
    <w:rsid w:val="00660724"/>
    <w:rsid w:val="0066099E"/>
    <w:rsid w:val="006619F2"/>
    <w:rsid w:val="00662209"/>
    <w:rsid w:val="006622CB"/>
    <w:rsid w:val="00662B35"/>
    <w:rsid w:val="00664099"/>
    <w:rsid w:val="006643CD"/>
    <w:rsid w:val="006643F5"/>
    <w:rsid w:val="00664522"/>
    <w:rsid w:val="00664910"/>
    <w:rsid w:val="0066563A"/>
    <w:rsid w:val="0066569A"/>
    <w:rsid w:val="0066634E"/>
    <w:rsid w:val="00666446"/>
    <w:rsid w:val="0066700A"/>
    <w:rsid w:val="00667EF9"/>
    <w:rsid w:val="00670132"/>
    <w:rsid w:val="00670EBE"/>
    <w:rsid w:val="00672910"/>
    <w:rsid w:val="00672F71"/>
    <w:rsid w:val="00673817"/>
    <w:rsid w:val="0067401D"/>
    <w:rsid w:val="00674338"/>
    <w:rsid w:val="006745E7"/>
    <w:rsid w:val="0067498F"/>
    <w:rsid w:val="00674EC1"/>
    <w:rsid w:val="00674F57"/>
    <w:rsid w:val="0067559A"/>
    <w:rsid w:val="006757C5"/>
    <w:rsid w:val="006777E1"/>
    <w:rsid w:val="006803E1"/>
    <w:rsid w:val="0068073A"/>
    <w:rsid w:val="00681434"/>
    <w:rsid w:val="00682373"/>
    <w:rsid w:val="00682889"/>
    <w:rsid w:val="00682EC1"/>
    <w:rsid w:val="0068302D"/>
    <w:rsid w:val="00684349"/>
    <w:rsid w:val="00685170"/>
    <w:rsid w:val="00685194"/>
    <w:rsid w:val="00685BEB"/>
    <w:rsid w:val="0068724F"/>
    <w:rsid w:val="00690FD7"/>
    <w:rsid w:val="00691E83"/>
    <w:rsid w:val="006920F0"/>
    <w:rsid w:val="00692584"/>
    <w:rsid w:val="00692657"/>
    <w:rsid w:val="006928D6"/>
    <w:rsid w:val="00693F8B"/>
    <w:rsid w:val="00694B1A"/>
    <w:rsid w:val="006950B5"/>
    <w:rsid w:val="00695608"/>
    <w:rsid w:val="00696719"/>
    <w:rsid w:val="00697322"/>
    <w:rsid w:val="00697450"/>
    <w:rsid w:val="006977E4"/>
    <w:rsid w:val="006A0A13"/>
    <w:rsid w:val="006A0C9B"/>
    <w:rsid w:val="006A1B91"/>
    <w:rsid w:val="006A1DEF"/>
    <w:rsid w:val="006A2BB6"/>
    <w:rsid w:val="006A2E67"/>
    <w:rsid w:val="006A316E"/>
    <w:rsid w:val="006A32EF"/>
    <w:rsid w:val="006A3345"/>
    <w:rsid w:val="006A455C"/>
    <w:rsid w:val="006A4F41"/>
    <w:rsid w:val="006A5244"/>
    <w:rsid w:val="006A7069"/>
    <w:rsid w:val="006B0171"/>
    <w:rsid w:val="006B122A"/>
    <w:rsid w:val="006B26A5"/>
    <w:rsid w:val="006B3217"/>
    <w:rsid w:val="006B33DD"/>
    <w:rsid w:val="006B366E"/>
    <w:rsid w:val="006B4B81"/>
    <w:rsid w:val="006B56B9"/>
    <w:rsid w:val="006B5C0F"/>
    <w:rsid w:val="006B60E4"/>
    <w:rsid w:val="006B62DB"/>
    <w:rsid w:val="006B6AF0"/>
    <w:rsid w:val="006B6C70"/>
    <w:rsid w:val="006B7410"/>
    <w:rsid w:val="006B7FC5"/>
    <w:rsid w:val="006C07EB"/>
    <w:rsid w:val="006C0F9A"/>
    <w:rsid w:val="006C11FF"/>
    <w:rsid w:val="006C1661"/>
    <w:rsid w:val="006C1C55"/>
    <w:rsid w:val="006C26E3"/>
    <w:rsid w:val="006C2750"/>
    <w:rsid w:val="006C2BA2"/>
    <w:rsid w:val="006C2FEC"/>
    <w:rsid w:val="006C2FF4"/>
    <w:rsid w:val="006C3517"/>
    <w:rsid w:val="006C36D5"/>
    <w:rsid w:val="006C3934"/>
    <w:rsid w:val="006C4AF4"/>
    <w:rsid w:val="006C4C82"/>
    <w:rsid w:val="006C698C"/>
    <w:rsid w:val="006C6D30"/>
    <w:rsid w:val="006C6F82"/>
    <w:rsid w:val="006C7ED5"/>
    <w:rsid w:val="006D000D"/>
    <w:rsid w:val="006D08F0"/>
    <w:rsid w:val="006D095B"/>
    <w:rsid w:val="006D1020"/>
    <w:rsid w:val="006D2C06"/>
    <w:rsid w:val="006D33E0"/>
    <w:rsid w:val="006D3F2F"/>
    <w:rsid w:val="006D4DEE"/>
    <w:rsid w:val="006D4F09"/>
    <w:rsid w:val="006D5580"/>
    <w:rsid w:val="006D59BF"/>
    <w:rsid w:val="006D5F4F"/>
    <w:rsid w:val="006D60EE"/>
    <w:rsid w:val="006D635F"/>
    <w:rsid w:val="006D6F73"/>
    <w:rsid w:val="006D7652"/>
    <w:rsid w:val="006E0511"/>
    <w:rsid w:val="006E1ACD"/>
    <w:rsid w:val="006E29C6"/>
    <w:rsid w:val="006E3536"/>
    <w:rsid w:val="006E353B"/>
    <w:rsid w:val="006E50B5"/>
    <w:rsid w:val="006E53FC"/>
    <w:rsid w:val="006E5F39"/>
    <w:rsid w:val="006E5F88"/>
    <w:rsid w:val="006E69D7"/>
    <w:rsid w:val="006E6FED"/>
    <w:rsid w:val="006E77C9"/>
    <w:rsid w:val="006E7DD9"/>
    <w:rsid w:val="006F0545"/>
    <w:rsid w:val="006F0F2C"/>
    <w:rsid w:val="006F14FA"/>
    <w:rsid w:val="006F2C97"/>
    <w:rsid w:val="006F3019"/>
    <w:rsid w:val="006F39B0"/>
    <w:rsid w:val="006F3DD5"/>
    <w:rsid w:val="006F42D2"/>
    <w:rsid w:val="006F53CF"/>
    <w:rsid w:val="006F65E5"/>
    <w:rsid w:val="006F66FA"/>
    <w:rsid w:val="006F6E2B"/>
    <w:rsid w:val="006F7646"/>
    <w:rsid w:val="00700700"/>
    <w:rsid w:val="007010FC"/>
    <w:rsid w:val="00701100"/>
    <w:rsid w:val="007041EE"/>
    <w:rsid w:val="00704DCF"/>
    <w:rsid w:val="00706404"/>
    <w:rsid w:val="00706C93"/>
    <w:rsid w:val="00707A12"/>
    <w:rsid w:val="00710F72"/>
    <w:rsid w:val="00712A96"/>
    <w:rsid w:val="007133C9"/>
    <w:rsid w:val="00713404"/>
    <w:rsid w:val="00713768"/>
    <w:rsid w:val="00714488"/>
    <w:rsid w:val="007158C6"/>
    <w:rsid w:val="00715BCA"/>
    <w:rsid w:val="00720507"/>
    <w:rsid w:val="007215EF"/>
    <w:rsid w:val="00721F58"/>
    <w:rsid w:val="00723A6D"/>
    <w:rsid w:val="00723D28"/>
    <w:rsid w:val="00723D3B"/>
    <w:rsid w:val="00725B69"/>
    <w:rsid w:val="007263DC"/>
    <w:rsid w:val="0072734A"/>
    <w:rsid w:val="007301C9"/>
    <w:rsid w:val="00730208"/>
    <w:rsid w:val="00730A1B"/>
    <w:rsid w:val="00730DF8"/>
    <w:rsid w:val="0073324C"/>
    <w:rsid w:val="00735716"/>
    <w:rsid w:val="00736061"/>
    <w:rsid w:val="0073612C"/>
    <w:rsid w:val="00736CC6"/>
    <w:rsid w:val="007373F6"/>
    <w:rsid w:val="00740108"/>
    <w:rsid w:val="00741BF5"/>
    <w:rsid w:val="00741EC2"/>
    <w:rsid w:val="00742894"/>
    <w:rsid w:val="00742EEC"/>
    <w:rsid w:val="00742F0D"/>
    <w:rsid w:val="00743548"/>
    <w:rsid w:val="00744120"/>
    <w:rsid w:val="0074488D"/>
    <w:rsid w:val="00744B50"/>
    <w:rsid w:val="007453FC"/>
    <w:rsid w:val="00747571"/>
    <w:rsid w:val="00747635"/>
    <w:rsid w:val="007500D1"/>
    <w:rsid w:val="00751881"/>
    <w:rsid w:val="00751E1C"/>
    <w:rsid w:val="007522C2"/>
    <w:rsid w:val="00752B14"/>
    <w:rsid w:val="00753003"/>
    <w:rsid w:val="0075386F"/>
    <w:rsid w:val="0075396A"/>
    <w:rsid w:val="00754BB5"/>
    <w:rsid w:val="007559E7"/>
    <w:rsid w:val="007573FC"/>
    <w:rsid w:val="00760304"/>
    <w:rsid w:val="00760E1B"/>
    <w:rsid w:val="00761854"/>
    <w:rsid w:val="00761C2D"/>
    <w:rsid w:val="00762328"/>
    <w:rsid w:val="0076234C"/>
    <w:rsid w:val="00762450"/>
    <w:rsid w:val="00762554"/>
    <w:rsid w:val="00762F69"/>
    <w:rsid w:val="0076304D"/>
    <w:rsid w:val="007630EA"/>
    <w:rsid w:val="007648C3"/>
    <w:rsid w:val="00764DEA"/>
    <w:rsid w:val="00764FE1"/>
    <w:rsid w:val="0076596A"/>
    <w:rsid w:val="00765BCB"/>
    <w:rsid w:val="0076616C"/>
    <w:rsid w:val="007662A5"/>
    <w:rsid w:val="007669DE"/>
    <w:rsid w:val="00767EAE"/>
    <w:rsid w:val="0077020C"/>
    <w:rsid w:val="007705F4"/>
    <w:rsid w:val="00770967"/>
    <w:rsid w:val="00770DB0"/>
    <w:rsid w:val="00771A36"/>
    <w:rsid w:val="00771B68"/>
    <w:rsid w:val="00771BC3"/>
    <w:rsid w:val="00773FAE"/>
    <w:rsid w:val="0077420B"/>
    <w:rsid w:val="00774660"/>
    <w:rsid w:val="00775165"/>
    <w:rsid w:val="00775422"/>
    <w:rsid w:val="00775C40"/>
    <w:rsid w:val="00775ECC"/>
    <w:rsid w:val="007766E3"/>
    <w:rsid w:val="00776AC3"/>
    <w:rsid w:val="00777260"/>
    <w:rsid w:val="00777B69"/>
    <w:rsid w:val="0078002A"/>
    <w:rsid w:val="0078085F"/>
    <w:rsid w:val="00783148"/>
    <w:rsid w:val="007832D7"/>
    <w:rsid w:val="0078533C"/>
    <w:rsid w:val="00786743"/>
    <w:rsid w:val="0078699E"/>
    <w:rsid w:val="0078729A"/>
    <w:rsid w:val="00787394"/>
    <w:rsid w:val="007904DD"/>
    <w:rsid w:val="00790BFF"/>
    <w:rsid w:val="00791B80"/>
    <w:rsid w:val="00792947"/>
    <w:rsid w:val="00793B90"/>
    <w:rsid w:val="00795582"/>
    <w:rsid w:val="00795727"/>
    <w:rsid w:val="00795928"/>
    <w:rsid w:val="00796C2E"/>
    <w:rsid w:val="00796DF8"/>
    <w:rsid w:val="00797C00"/>
    <w:rsid w:val="007A0363"/>
    <w:rsid w:val="007A1B3F"/>
    <w:rsid w:val="007A2315"/>
    <w:rsid w:val="007A2563"/>
    <w:rsid w:val="007A2B5E"/>
    <w:rsid w:val="007A2F3C"/>
    <w:rsid w:val="007A3699"/>
    <w:rsid w:val="007A3EED"/>
    <w:rsid w:val="007A423F"/>
    <w:rsid w:val="007A424D"/>
    <w:rsid w:val="007A483B"/>
    <w:rsid w:val="007A6208"/>
    <w:rsid w:val="007A6572"/>
    <w:rsid w:val="007A703A"/>
    <w:rsid w:val="007B058F"/>
    <w:rsid w:val="007B1AA9"/>
    <w:rsid w:val="007B26B5"/>
    <w:rsid w:val="007B3175"/>
    <w:rsid w:val="007B410F"/>
    <w:rsid w:val="007B4C08"/>
    <w:rsid w:val="007B4C5A"/>
    <w:rsid w:val="007B4CBD"/>
    <w:rsid w:val="007B5014"/>
    <w:rsid w:val="007B5694"/>
    <w:rsid w:val="007B5813"/>
    <w:rsid w:val="007B593B"/>
    <w:rsid w:val="007B62FF"/>
    <w:rsid w:val="007B66FC"/>
    <w:rsid w:val="007B69FC"/>
    <w:rsid w:val="007B6AAA"/>
    <w:rsid w:val="007B780B"/>
    <w:rsid w:val="007B7ADD"/>
    <w:rsid w:val="007B7B72"/>
    <w:rsid w:val="007C0059"/>
    <w:rsid w:val="007C044A"/>
    <w:rsid w:val="007C0FA0"/>
    <w:rsid w:val="007C113A"/>
    <w:rsid w:val="007C11E5"/>
    <w:rsid w:val="007C1D40"/>
    <w:rsid w:val="007C200F"/>
    <w:rsid w:val="007C25C1"/>
    <w:rsid w:val="007C25D8"/>
    <w:rsid w:val="007C3475"/>
    <w:rsid w:val="007C3A59"/>
    <w:rsid w:val="007C3FC4"/>
    <w:rsid w:val="007C4801"/>
    <w:rsid w:val="007C4857"/>
    <w:rsid w:val="007C4916"/>
    <w:rsid w:val="007C5184"/>
    <w:rsid w:val="007C62C0"/>
    <w:rsid w:val="007C6ADB"/>
    <w:rsid w:val="007C72C3"/>
    <w:rsid w:val="007D1569"/>
    <w:rsid w:val="007D23D4"/>
    <w:rsid w:val="007D25EB"/>
    <w:rsid w:val="007D2885"/>
    <w:rsid w:val="007D3B79"/>
    <w:rsid w:val="007D42EE"/>
    <w:rsid w:val="007D4571"/>
    <w:rsid w:val="007D5920"/>
    <w:rsid w:val="007D5951"/>
    <w:rsid w:val="007D6B1D"/>
    <w:rsid w:val="007D7365"/>
    <w:rsid w:val="007D7385"/>
    <w:rsid w:val="007D75B9"/>
    <w:rsid w:val="007E1598"/>
    <w:rsid w:val="007E19C8"/>
    <w:rsid w:val="007E1A38"/>
    <w:rsid w:val="007E1DA7"/>
    <w:rsid w:val="007E1DFA"/>
    <w:rsid w:val="007E2C4F"/>
    <w:rsid w:val="007E32B4"/>
    <w:rsid w:val="007E4494"/>
    <w:rsid w:val="007E4865"/>
    <w:rsid w:val="007E6511"/>
    <w:rsid w:val="007E667D"/>
    <w:rsid w:val="007E6689"/>
    <w:rsid w:val="007E6A64"/>
    <w:rsid w:val="007E79B8"/>
    <w:rsid w:val="007F0DC0"/>
    <w:rsid w:val="007F0ED1"/>
    <w:rsid w:val="007F1435"/>
    <w:rsid w:val="007F1C12"/>
    <w:rsid w:val="007F2238"/>
    <w:rsid w:val="007F460F"/>
    <w:rsid w:val="007F62BF"/>
    <w:rsid w:val="007F7315"/>
    <w:rsid w:val="007F7540"/>
    <w:rsid w:val="007F7D14"/>
    <w:rsid w:val="00800CC5"/>
    <w:rsid w:val="00800FF1"/>
    <w:rsid w:val="0080117C"/>
    <w:rsid w:val="00801374"/>
    <w:rsid w:val="008017BC"/>
    <w:rsid w:val="00802B42"/>
    <w:rsid w:val="00802F48"/>
    <w:rsid w:val="008030BB"/>
    <w:rsid w:val="0080322B"/>
    <w:rsid w:val="008032B2"/>
    <w:rsid w:val="0080339E"/>
    <w:rsid w:val="008035C3"/>
    <w:rsid w:val="00803859"/>
    <w:rsid w:val="00803F26"/>
    <w:rsid w:val="008047EB"/>
    <w:rsid w:val="00804B8B"/>
    <w:rsid w:val="00805BCA"/>
    <w:rsid w:val="00805E66"/>
    <w:rsid w:val="00805F00"/>
    <w:rsid w:val="008065DD"/>
    <w:rsid w:val="00806F63"/>
    <w:rsid w:val="008078DE"/>
    <w:rsid w:val="00807F06"/>
    <w:rsid w:val="00810965"/>
    <w:rsid w:val="00811196"/>
    <w:rsid w:val="0081131E"/>
    <w:rsid w:val="00812AD8"/>
    <w:rsid w:val="008131CB"/>
    <w:rsid w:val="0081341C"/>
    <w:rsid w:val="0081533C"/>
    <w:rsid w:val="00815EE5"/>
    <w:rsid w:val="008161D7"/>
    <w:rsid w:val="0081627A"/>
    <w:rsid w:val="00817146"/>
    <w:rsid w:val="0081743C"/>
    <w:rsid w:val="00817EC8"/>
    <w:rsid w:val="00820661"/>
    <w:rsid w:val="008213BF"/>
    <w:rsid w:val="00821620"/>
    <w:rsid w:val="00822F30"/>
    <w:rsid w:val="0082331C"/>
    <w:rsid w:val="008236EB"/>
    <w:rsid w:val="008239A4"/>
    <w:rsid w:val="0082437F"/>
    <w:rsid w:val="00825672"/>
    <w:rsid w:val="008258BD"/>
    <w:rsid w:val="00826363"/>
    <w:rsid w:val="008267AD"/>
    <w:rsid w:val="00826F92"/>
    <w:rsid w:val="00826FED"/>
    <w:rsid w:val="008270ED"/>
    <w:rsid w:val="008271B3"/>
    <w:rsid w:val="008275DD"/>
    <w:rsid w:val="00827CEC"/>
    <w:rsid w:val="008306DD"/>
    <w:rsid w:val="008313B9"/>
    <w:rsid w:val="0083178C"/>
    <w:rsid w:val="00831FB4"/>
    <w:rsid w:val="00833B5E"/>
    <w:rsid w:val="00833CFB"/>
    <w:rsid w:val="0083428E"/>
    <w:rsid w:val="00834B91"/>
    <w:rsid w:val="00834C04"/>
    <w:rsid w:val="00834C2C"/>
    <w:rsid w:val="008361ED"/>
    <w:rsid w:val="00836262"/>
    <w:rsid w:val="008362BA"/>
    <w:rsid w:val="00836BBF"/>
    <w:rsid w:val="00836E3A"/>
    <w:rsid w:val="00837210"/>
    <w:rsid w:val="00837895"/>
    <w:rsid w:val="00840AFB"/>
    <w:rsid w:val="00840B08"/>
    <w:rsid w:val="0084238D"/>
    <w:rsid w:val="00843974"/>
    <w:rsid w:val="008445D0"/>
    <w:rsid w:val="00844EDF"/>
    <w:rsid w:val="00846557"/>
    <w:rsid w:val="00846573"/>
    <w:rsid w:val="00846948"/>
    <w:rsid w:val="00846F05"/>
    <w:rsid w:val="008472B8"/>
    <w:rsid w:val="008473D8"/>
    <w:rsid w:val="00847547"/>
    <w:rsid w:val="00851F7B"/>
    <w:rsid w:val="008529A2"/>
    <w:rsid w:val="008531E2"/>
    <w:rsid w:val="0085334C"/>
    <w:rsid w:val="00854206"/>
    <w:rsid w:val="0085439B"/>
    <w:rsid w:val="0085520D"/>
    <w:rsid w:val="00855851"/>
    <w:rsid w:val="008567A3"/>
    <w:rsid w:val="008572F4"/>
    <w:rsid w:val="008578B1"/>
    <w:rsid w:val="008579B4"/>
    <w:rsid w:val="00857F95"/>
    <w:rsid w:val="00860844"/>
    <w:rsid w:val="008616E8"/>
    <w:rsid w:val="0086264E"/>
    <w:rsid w:val="00862D78"/>
    <w:rsid w:val="00862FE6"/>
    <w:rsid w:val="008647FE"/>
    <w:rsid w:val="008649C2"/>
    <w:rsid w:val="00865D29"/>
    <w:rsid w:val="00865F7E"/>
    <w:rsid w:val="0087128E"/>
    <w:rsid w:val="008716E0"/>
    <w:rsid w:val="00871A6C"/>
    <w:rsid w:val="00872A6F"/>
    <w:rsid w:val="008734EC"/>
    <w:rsid w:val="0087391C"/>
    <w:rsid w:val="00875CCB"/>
    <w:rsid w:val="008763A7"/>
    <w:rsid w:val="008765E4"/>
    <w:rsid w:val="008766D9"/>
    <w:rsid w:val="0087716B"/>
    <w:rsid w:val="00877982"/>
    <w:rsid w:val="00877D93"/>
    <w:rsid w:val="00880E18"/>
    <w:rsid w:val="008821E5"/>
    <w:rsid w:val="00883337"/>
    <w:rsid w:val="008833F3"/>
    <w:rsid w:val="0088356A"/>
    <w:rsid w:val="0088444A"/>
    <w:rsid w:val="00884474"/>
    <w:rsid w:val="00885760"/>
    <w:rsid w:val="00886894"/>
    <w:rsid w:val="008869A6"/>
    <w:rsid w:val="0088714A"/>
    <w:rsid w:val="00890519"/>
    <w:rsid w:val="00890840"/>
    <w:rsid w:val="008909A8"/>
    <w:rsid w:val="00891187"/>
    <w:rsid w:val="008912F2"/>
    <w:rsid w:val="008946E6"/>
    <w:rsid w:val="00897793"/>
    <w:rsid w:val="00897B23"/>
    <w:rsid w:val="008A0620"/>
    <w:rsid w:val="008A0B83"/>
    <w:rsid w:val="008A0BC2"/>
    <w:rsid w:val="008A1620"/>
    <w:rsid w:val="008A1632"/>
    <w:rsid w:val="008A191A"/>
    <w:rsid w:val="008A19BF"/>
    <w:rsid w:val="008A2503"/>
    <w:rsid w:val="008A3102"/>
    <w:rsid w:val="008A3797"/>
    <w:rsid w:val="008A4444"/>
    <w:rsid w:val="008A4FDE"/>
    <w:rsid w:val="008A55DD"/>
    <w:rsid w:val="008A5AA6"/>
    <w:rsid w:val="008A5EC3"/>
    <w:rsid w:val="008A6E79"/>
    <w:rsid w:val="008A6F83"/>
    <w:rsid w:val="008A7A44"/>
    <w:rsid w:val="008A7BF2"/>
    <w:rsid w:val="008B048D"/>
    <w:rsid w:val="008B04C3"/>
    <w:rsid w:val="008B05C3"/>
    <w:rsid w:val="008B0FEE"/>
    <w:rsid w:val="008B11D9"/>
    <w:rsid w:val="008B2874"/>
    <w:rsid w:val="008B28E1"/>
    <w:rsid w:val="008B406F"/>
    <w:rsid w:val="008B4891"/>
    <w:rsid w:val="008B4965"/>
    <w:rsid w:val="008B4E1E"/>
    <w:rsid w:val="008B4E5B"/>
    <w:rsid w:val="008B55E2"/>
    <w:rsid w:val="008B5753"/>
    <w:rsid w:val="008B664F"/>
    <w:rsid w:val="008B66C8"/>
    <w:rsid w:val="008B6BB1"/>
    <w:rsid w:val="008B78B1"/>
    <w:rsid w:val="008B79BF"/>
    <w:rsid w:val="008C0838"/>
    <w:rsid w:val="008C0C3A"/>
    <w:rsid w:val="008C10CC"/>
    <w:rsid w:val="008C10F7"/>
    <w:rsid w:val="008C1CCF"/>
    <w:rsid w:val="008C1E50"/>
    <w:rsid w:val="008C2045"/>
    <w:rsid w:val="008C31D4"/>
    <w:rsid w:val="008C393E"/>
    <w:rsid w:val="008C3944"/>
    <w:rsid w:val="008C3ADA"/>
    <w:rsid w:val="008C4743"/>
    <w:rsid w:val="008D061C"/>
    <w:rsid w:val="008D185A"/>
    <w:rsid w:val="008D19FD"/>
    <w:rsid w:val="008D1ABD"/>
    <w:rsid w:val="008D34D9"/>
    <w:rsid w:val="008D3A0D"/>
    <w:rsid w:val="008D3B62"/>
    <w:rsid w:val="008D3CE0"/>
    <w:rsid w:val="008D5CA5"/>
    <w:rsid w:val="008D7B97"/>
    <w:rsid w:val="008D7D33"/>
    <w:rsid w:val="008E0A50"/>
    <w:rsid w:val="008E1798"/>
    <w:rsid w:val="008E1D0F"/>
    <w:rsid w:val="008E25D6"/>
    <w:rsid w:val="008E562D"/>
    <w:rsid w:val="008E6354"/>
    <w:rsid w:val="008E7410"/>
    <w:rsid w:val="008E7664"/>
    <w:rsid w:val="008E7BD4"/>
    <w:rsid w:val="008E7C2C"/>
    <w:rsid w:val="008F0041"/>
    <w:rsid w:val="008F050E"/>
    <w:rsid w:val="008F0875"/>
    <w:rsid w:val="008F0A95"/>
    <w:rsid w:val="008F0F0D"/>
    <w:rsid w:val="008F0F90"/>
    <w:rsid w:val="008F10D1"/>
    <w:rsid w:val="008F1138"/>
    <w:rsid w:val="008F1C22"/>
    <w:rsid w:val="008F31C9"/>
    <w:rsid w:val="008F3889"/>
    <w:rsid w:val="008F5293"/>
    <w:rsid w:val="008F567D"/>
    <w:rsid w:val="008F6884"/>
    <w:rsid w:val="008F6DEE"/>
    <w:rsid w:val="008F6DF1"/>
    <w:rsid w:val="008F6F1A"/>
    <w:rsid w:val="008F7897"/>
    <w:rsid w:val="0090137A"/>
    <w:rsid w:val="00901BA5"/>
    <w:rsid w:val="0090267A"/>
    <w:rsid w:val="0090281D"/>
    <w:rsid w:val="00902A23"/>
    <w:rsid w:val="00903370"/>
    <w:rsid w:val="009034E1"/>
    <w:rsid w:val="009037F4"/>
    <w:rsid w:val="009040C8"/>
    <w:rsid w:val="00904FB0"/>
    <w:rsid w:val="009051CB"/>
    <w:rsid w:val="0090545D"/>
    <w:rsid w:val="00906B2D"/>
    <w:rsid w:val="009070D1"/>
    <w:rsid w:val="009074D2"/>
    <w:rsid w:val="00910B25"/>
    <w:rsid w:val="0091210D"/>
    <w:rsid w:val="00912D98"/>
    <w:rsid w:val="00912DD4"/>
    <w:rsid w:val="0091349A"/>
    <w:rsid w:val="0091433A"/>
    <w:rsid w:val="00914399"/>
    <w:rsid w:val="0091453F"/>
    <w:rsid w:val="0091530C"/>
    <w:rsid w:val="00915439"/>
    <w:rsid w:val="009158BF"/>
    <w:rsid w:val="009160D9"/>
    <w:rsid w:val="009178F1"/>
    <w:rsid w:val="0092017F"/>
    <w:rsid w:val="00920EE0"/>
    <w:rsid w:val="00920F1D"/>
    <w:rsid w:val="009210DC"/>
    <w:rsid w:val="009213DD"/>
    <w:rsid w:val="00921D02"/>
    <w:rsid w:val="00921EE1"/>
    <w:rsid w:val="0092214A"/>
    <w:rsid w:val="0092274C"/>
    <w:rsid w:val="00923AFF"/>
    <w:rsid w:val="00924882"/>
    <w:rsid w:val="00925258"/>
    <w:rsid w:val="00925BAD"/>
    <w:rsid w:val="0092606F"/>
    <w:rsid w:val="00927149"/>
    <w:rsid w:val="00930735"/>
    <w:rsid w:val="0093275B"/>
    <w:rsid w:val="009328DE"/>
    <w:rsid w:val="00933302"/>
    <w:rsid w:val="00933932"/>
    <w:rsid w:val="00933CBE"/>
    <w:rsid w:val="00933E08"/>
    <w:rsid w:val="009342FC"/>
    <w:rsid w:val="00934D5C"/>
    <w:rsid w:val="00936068"/>
    <w:rsid w:val="009364DE"/>
    <w:rsid w:val="00937752"/>
    <w:rsid w:val="009377C7"/>
    <w:rsid w:val="0094148D"/>
    <w:rsid w:val="009414A7"/>
    <w:rsid w:val="00942573"/>
    <w:rsid w:val="00943051"/>
    <w:rsid w:val="009433C5"/>
    <w:rsid w:val="00943806"/>
    <w:rsid w:val="00944945"/>
    <w:rsid w:val="00946351"/>
    <w:rsid w:val="0094697E"/>
    <w:rsid w:val="00946BB4"/>
    <w:rsid w:val="00947983"/>
    <w:rsid w:val="00950731"/>
    <w:rsid w:val="00950843"/>
    <w:rsid w:val="00950C59"/>
    <w:rsid w:val="009511AE"/>
    <w:rsid w:val="0095176B"/>
    <w:rsid w:val="009517CC"/>
    <w:rsid w:val="00951CEE"/>
    <w:rsid w:val="009532D0"/>
    <w:rsid w:val="00954020"/>
    <w:rsid w:val="0095493F"/>
    <w:rsid w:val="00954B31"/>
    <w:rsid w:val="00955097"/>
    <w:rsid w:val="00955E18"/>
    <w:rsid w:val="0095661A"/>
    <w:rsid w:val="00956C0F"/>
    <w:rsid w:val="00957CD6"/>
    <w:rsid w:val="00960B1D"/>
    <w:rsid w:val="009615D4"/>
    <w:rsid w:val="009616E9"/>
    <w:rsid w:val="00961A0D"/>
    <w:rsid w:val="009624FE"/>
    <w:rsid w:val="009625F5"/>
    <w:rsid w:val="00962755"/>
    <w:rsid w:val="00962905"/>
    <w:rsid w:val="00962A14"/>
    <w:rsid w:val="00962AD1"/>
    <w:rsid w:val="00962E85"/>
    <w:rsid w:val="009631E6"/>
    <w:rsid w:val="009636B7"/>
    <w:rsid w:val="0096511E"/>
    <w:rsid w:val="00965526"/>
    <w:rsid w:val="00965F3F"/>
    <w:rsid w:val="00966B70"/>
    <w:rsid w:val="00970A20"/>
    <w:rsid w:val="0097163D"/>
    <w:rsid w:val="00971B5F"/>
    <w:rsid w:val="00971F2E"/>
    <w:rsid w:val="009721F8"/>
    <w:rsid w:val="00972730"/>
    <w:rsid w:val="0097298E"/>
    <w:rsid w:val="00972C85"/>
    <w:rsid w:val="00974677"/>
    <w:rsid w:val="00974803"/>
    <w:rsid w:val="00974B07"/>
    <w:rsid w:val="009752D0"/>
    <w:rsid w:val="00976023"/>
    <w:rsid w:val="009762DD"/>
    <w:rsid w:val="009766CC"/>
    <w:rsid w:val="00980461"/>
    <w:rsid w:val="009806B7"/>
    <w:rsid w:val="00980EE6"/>
    <w:rsid w:val="00981614"/>
    <w:rsid w:val="00981A26"/>
    <w:rsid w:val="00981C30"/>
    <w:rsid w:val="00981F3F"/>
    <w:rsid w:val="00982804"/>
    <w:rsid w:val="009839BA"/>
    <w:rsid w:val="00983F17"/>
    <w:rsid w:val="00984171"/>
    <w:rsid w:val="009845C3"/>
    <w:rsid w:val="00985520"/>
    <w:rsid w:val="00985C65"/>
    <w:rsid w:val="0098615D"/>
    <w:rsid w:val="009864AF"/>
    <w:rsid w:val="009868FE"/>
    <w:rsid w:val="00986C54"/>
    <w:rsid w:val="0098703C"/>
    <w:rsid w:val="009874EC"/>
    <w:rsid w:val="009876AB"/>
    <w:rsid w:val="00987F15"/>
    <w:rsid w:val="009901F4"/>
    <w:rsid w:val="0099088B"/>
    <w:rsid w:val="00991CF0"/>
    <w:rsid w:val="00991DF6"/>
    <w:rsid w:val="00991F48"/>
    <w:rsid w:val="0099378A"/>
    <w:rsid w:val="009943C9"/>
    <w:rsid w:val="00995C2F"/>
    <w:rsid w:val="00995D6C"/>
    <w:rsid w:val="009969C3"/>
    <w:rsid w:val="00996D09"/>
    <w:rsid w:val="00997276"/>
    <w:rsid w:val="009978BC"/>
    <w:rsid w:val="009A093F"/>
    <w:rsid w:val="009A09A5"/>
    <w:rsid w:val="009A1556"/>
    <w:rsid w:val="009A1968"/>
    <w:rsid w:val="009A1AB1"/>
    <w:rsid w:val="009A21E6"/>
    <w:rsid w:val="009A25C6"/>
    <w:rsid w:val="009A2B94"/>
    <w:rsid w:val="009A2F17"/>
    <w:rsid w:val="009A31DF"/>
    <w:rsid w:val="009A3C2B"/>
    <w:rsid w:val="009A436C"/>
    <w:rsid w:val="009A4B34"/>
    <w:rsid w:val="009A4C76"/>
    <w:rsid w:val="009A65FD"/>
    <w:rsid w:val="009A672A"/>
    <w:rsid w:val="009A70B5"/>
    <w:rsid w:val="009A7DF6"/>
    <w:rsid w:val="009A7EF6"/>
    <w:rsid w:val="009B00CD"/>
    <w:rsid w:val="009B170C"/>
    <w:rsid w:val="009B1BD8"/>
    <w:rsid w:val="009B4702"/>
    <w:rsid w:val="009B48C6"/>
    <w:rsid w:val="009B4F45"/>
    <w:rsid w:val="009B52BF"/>
    <w:rsid w:val="009B57F4"/>
    <w:rsid w:val="009B595A"/>
    <w:rsid w:val="009B6116"/>
    <w:rsid w:val="009B66D3"/>
    <w:rsid w:val="009B6E04"/>
    <w:rsid w:val="009B72F2"/>
    <w:rsid w:val="009B7F66"/>
    <w:rsid w:val="009C00E1"/>
    <w:rsid w:val="009C1685"/>
    <w:rsid w:val="009C1AB3"/>
    <w:rsid w:val="009C1CAD"/>
    <w:rsid w:val="009C21B8"/>
    <w:rsid w:val="009C2FD9"/>
    <w:rsid w:val="009C307C"/>
    <w:rsid w:val="009C4380"/>
    <w:rsid w:val="009C4B1E"/>
    <w:rsid w:val="009C6075"/>
    <w:rsid w:val="009C7650"/>
    <w:rsid w:val="009C7A72"/>
    <w:rsid w:val="009D0429"/>
    <w:rsid w:val="009D0598"/>
    <w:rsid w:val="009D0816"/>
    <w:rsid w:val="009D0D2C"/>
    <w:rsid w:val="009D165E"/>
    <w:rsid w:val="009D18CF"/>
    <w:rsid w:val="009D1E99"/>
    <w:rsid w:val="009D1F14"/>
    <w:rsid w:val="009D21AF"/>
    <w:rsid w:val="009D24F5"/>
    <w:rsid w:val="009D2D88"/>
    <w:rsid w:val="009D35C2"/>
    <w:rsid w:val="009D400B"/>
    <w:rsid w:val="009D4914"/>
    <w:rsid w:val="009D4BA7"/>
    <w:rsid w:val="009D4FDB"/>
    <w:rsid w:val="009D526C"/>
    <w:rsid w:val="009D55D4"/>
    <w:rsid w:val="009D5642"/>
    <w:rsid w:val="009D660B"/>
    <w:rsid w:val="009E028A"/>
    <w:rsid w:val="009E19A3"/>
    <w:rsid w:val="009E19EC"/>
    <w:rsid w:val="009E2530"/>
    <w:rsid w:val="009E2BF5"/>
    <w:rsid w:val="009E368D"/>
    <w:rsid w:val="009E3A6D"/>
    <w:rsid w:val="009E3BEA"/>
    <w:rsid w:val="009E3C5C"/>
    <w:rsid w:val="009E4ADB"/>
    <w:rsid w:val="009E4DC0"/>
    <w:rsid w:val="009E53BB"/>
    <w:rsid w:val="009E5C2B"/>
    <w:rsid w:val="009E5D1B"/>
    <w:rsid w:val="009E6C03"/>
    <w:rsid w:val="009E7C9D"/>
    <w:rsid w:val="009E7D11"/>
    <w:rsid w:val="009E7F8C"/>
    <w:rsid w:val="009F02F7"/>
    <w:rsid w:val="009F03DF"/>
    <w:rsid w:val="009F0542"/>
    <w:rsid w:val="009F05DD"/>
    <w:rsid w:val="009F0888"/>
    <w:rsid w:val="009F0E21"/>
    <w:rsid w:val="009F100E"/>
    <w:rsid w:val="009F2C5D"/>
    <w:rsid w:val="009F3362"/>
    <w:rsid w:val="009F4C3E"/>
    <w:rsid w:val="009F76F9"/>
    <w:rsid w:val="009F7803"/>
    <w:rsid w:val="009F7D7D"/>
    <w:rsid w:val="009F7FAB"/>
    <w:rsid w:val="00A000CD"/>
    <w:rsid w:val="00A00726"/>
    <w:rsid w:val="00A012D1"/>
    <w:rsid w:val="00A01C48"/>
    <w:rsid w:val="00A02459"/>
    <w:rsid w:val="00A03E1C"/>
    <w:rsid w:val="00A03ECA"/>
    <w:rsid w:val="00A045C3"/>
    <w:rsid w:val="00A04BD3"/>
    <w:rsid w:val="00A05200"/>
    <w:rsid w:val="00A05580"/>
    <w:rsid w:val="00A05B83"/>
    <w:rsid w:val="00A0757A"/>
    <w:rsid w:val="00A079B5"/>
    <w:rsid w:val="00A11124"/>
    <w:rsid w:val="00A127E7"/>
    <w:rsid w:val="00A128B7"/>
    <w:rsid w:val="00A132DC"/>
    <w:rsid w:val="00A13664"/>
    <w:rsid w:val="00A1396A"/>
    <w:rsid w:val="00A1414A"/>
    <w:rsid w:val="00A15BD3"/>
    <w:rsid w:val="00A16C8B"/>
    <w:rsid w:val="00A2070D"/>
    <w:rsid w:val="00A20D93"/>
    <w:rsid w:val="00A22F2A"/>
    <w:rsid w:val="00A251BC"/>
    <w:rsid w:val="00A251FB"/>
    <w:rsid w:val="00A25715"/>
    <w:rsid w:val="00A2713A"/>
    <w:rsid w:val="00A275CD"/>
    <w:rsid w:val="00A31393"/>
    <w:rsid w:val="00A3171D"/>
    <w:rsid w:val="00A32D86"/>
    <w:rsid w:val="00A335B8"/>
    <w:rsid w:val="00A347ED"/>
    <w:rsid w:val="00A35270"/>
    <w:rsid w:val="00A354F0"/>
    <w:rsid w:val="00A35923"/>
    <w:rsid w:val="00A35E89"/>
    <w:rsid w:val="00A37C7E"/>
    <w:rsid w:val="00A40F9D"/>
    <w:rsid w:val="00A41234"/>
    <w:rsid w:val="00A416AD"/>
    <w:rsid w:val="00A42B4E"/>
    <w:rsid w:val="00A431AB"/>
    <w:rsid w:val="00A4395E"/>
    <w:rsid w:val="00A43C25"/>
    <w:rsid w:val="00A447E0"/>
    <w:rsid w:val="00A45387"/>
    <w:rsid w:val="00A4589D"/>
    <w:rsid w:val="00A45ED1"/>
    <w:rsid w:val="00A46E02"/>
    <w:rsid w:val="00A471AE"/>
    <w:rsid w:val="00A50A26"/>
    <w:rsid w:val="00A50C8C"/>
    <w:rsid w:val="00A50CD9"/>
    <w:rsid w:val="00A51374"/>
    <w:rsid w:val="00A52516"/>
    <w:rsid w:val="00A52B39"/>
    <w:rsid w:val="00A52C98"/>
    <w:rsid w:val="00A52F69"/>
    <w:rsid w:val="00A53680"/>
    <w:rsid w:val="00A53E45"/>
    <w:rsid w:val="00A53F10"/>
    <w:rsid w:val="00A5529A"/>
    <w:rsid w:val="00A55B91"/>
    <w:rsid w:val="00A56136"/>
    <w:rsid w:val="00A5703F"/>
    <w:rsid w:val="00A60711"/>
    <w:rsid w:val="00A60A09"/>
    <w:rsid w:val="00A613D3"/>
    <w:rsid w:val="00A613E7"/>
    <w:rsid w:val="00A626C4"/>
    <w:rsid w:val="00A62FC5"/>
    <w:rsid w:val="00A63EEE"/>
    <w:rsid w:val="00A64E37"/>
    <w:rsid w:val="00A65DCB"/>
    <w:rsid w:val="00A664A6"/>
    <w:rsid w:val="00A66A33"/>
    <w:rsid w:val="00A66BA0"/>
    <w:rsid w:val="00A6791B"/>
    <w:rsid w:val="00A7052A"/>
    <w:rsid w:val="00A71A41"/>
    <w:rsid w:val="00A73218"/>
    <w:rsid w:val="00A732B0"/>
    <w:rsid w:val="00A74803"/>
    <w:rsid w:val="00A75954"/>
    <w:rsid w:val="00A75DCB"/>
    <w:rsid w:val="00A762DE"/>
    <w:rsid w:val="00A76354"/>
    <w:rsid w:val="00A76B08"/>
    <w:rsid w:val="00A771F1"/>
    <w:rsid w:val="00A80D4B"/>
    <w:rsid w:val="00A8183A"/>
    <w:rsid w:val="00A818FC"/>
    <w:rsid w:val="00A823CA"/>
    <w:rsid w:val="00A82CC9"/>
    <w:rsid w:val="00A83DDF"/>
    <w:rsid w:val="00A842DC"/>
    <w:rsid w:val="00A8495E"/>
    <w:rsid w:val="00A84F65"/>
    <w:rsid w:val="00A858E3"/>
    <w:rsid w:val="00A85A75"/>
    <w:rsid w:val="00A85F87"/>
    <w:rsid w:val="00A86051"/>
    <w:rsid w:val="00A8617F"/>
    <w:rsid w:val="00A8625F"/>
    <w:rsid w:val="00A866F3"/>
    <w:rsid w:val="00A8782B"/>
    <w:rsid w:val="00A879A3"/>
    <w:rsid w:val="00A87AB4"/>
    <w:rsid w:val="00A90151"/>
    <w:rsid w:val="00A90256"/>
    <w:rsid w:val="00A90D2D"/>
    <w:rsid w:val="00A9212A"/>
    <w:rsid w:val="00A929B5"/>
    <w:rsid w:val="00A9300C"/>
    <w:rsid w:val="00A9309E"/>
    <w:rsid w:val="00A9359B"/>
    <w:rsid w:val="00A9545C"/>
    <w:rsid w:val="00A96132"/>
    <w:rsid w:val="00A970A6"/>
    <w:rsid w:val="00A970BE"/>
    <w:rsid w:val="00A97625"/>
    <w:rsid w:val="00AA033D"/>
    <w:rsid w:val="00AA0E2C"/>
    <w:rsid w:val="00AA1602"/>
    <w:rsid w:val="00AA163B"/>
    <w:rsid w:val="00AA1BE2"/>
    <w:rsid w:val="00AA285E"/>
    <w:rsid w:val="00AA321F"/>
    <w:rsid w:val="00AA3303"/>
    <w:rsid w:val="00AA3569"/>
    <w:rsid w:val="00AA35A3"/>
    <w:rsid w:val="00AA39AE"/>
    <w:rsid w:val="00AA3B9A"/>
    <w:rsid w:val="00AA3D8B"/>
    <w:rsid w:val="00AA4001"/>
    <w:rsid w:val="00AA5F8B"/>
    <w:rsid w:val="00AA6E49"/>
    <w:rsid w:val="00AA7322"/>
    <w:rsid w:val="00AA7D2E"/>
    <w:rsid w:val="00AA7D54"/>
    <w:rsid w:val="00AB052F"/>
    <w:rsid w:val="00AB0BDC"/>
    <w:rsid w:val="00AB10F4"/>
    <w:rsid w:val="00AB1117"/>
    <w:rsid w:val="00AB1316"/>
    <w:rsid w:val="00AB1E24"/>
    <w:rsid w:val="00AB236D"/>
    <w:rsid w:val="00AB2D17"/>
    <w:rsid w:val="00AB34AD"/>
    <w:rsid w:val="00AB3A13"/>
    <w:rsid w:val="00AB4613"/>
    <w:rsid w:val="00AB46E2"/>
    <w:rsid w:val="00AB4A58"/>
    <w:rsid w:val="00AB53B3"/>
    <w:rsid w:val="00AB5804"/>
    <w:rsid w:val="00AB5B2E"/>
    <w:rsid w:val="00AB61CB"/>
    <w:rsid w:val="00AB66AE"/>
    <w:rsid w:val="00AB6928"/>
    <w:rsid w:val="00AB6937"/>
    <w:rsid w:val="00AB6BAD"/>
    <w:rsid w:val="00AB7068"/>
    <w:rsid w:val="00AB7D5E"/>
    <w:rsid w:val="00AC118A"/>
    <w:rsid w:val="00AC1FE3"/>
    <w:rsid w:val="00AC42AB"/>
    <w:rsid w:val="00AC4DC0"/>
    <w:rsid w:val="00AC4F7C"/>
    <w:rsid w:val="00AC587D"/>
    <w:rsid w:val="00AC5D43"/>
    <w:rsid w:val="00AC61B4"/>
    <w:rsid w:val="00AC66FC"/>
    <w:rsid w:val="00AC6732"/>
    <w:rsid w:val="00AC7A27"/>
    <w:rsid w:val="00AC7D08"/>
    <w:rsid w:val="00AD0025"/>
    <w:rsid w:val="00AD03B6"/>
    <w:rsid w:val="00AD05EE"/>
    <w:rsid w:val="00AD0A89"/>
    <w:rsid w:val="00AD0D40"/>
    <w:rsid w:val="00AD19DC"/>
    <w:rsid w:val="00AD1AA2"/>
    <w:rsid w:val="00AD41D7"/>
    <w:rsid w:val="00AD4691"/>
    <w:rsid w:val="00AD7A30"/>
    <w:rsid w:val="00AD7EB4"/>
    <w:rsid w:val="00AE016D"/>
    <w:rsid w:val="00AE079A"/>
    <w:rsid w:val="00AE102A"/>
    <w:rsid w:val="00AE1347"/>
    <w:rsid w:val="00AE331C"/>
    <w:rsid w:val="00AE4046"/>
    <w:rsid w:val="00AE4048"/>
    <w:rsid w:val="00AE406E"/>
    <w:rsid w:val="00AE4299"/>
    <w:rsid w:val="00AE515E"/>
    <w:rsid w:val="00AE5C3D"/>
    <w:rsid w:val="00AE60B2"/>
    <w:rsid w:val="00AE60C4"/>
    <w:rsid w:val="00AE62C3"/>
    <w:rsid w:val="00AE6569"/>
    <w:rsid w:val="00AE6A4C"/>
    <w:rsid w:val="00AE73A4"/>
    <w:rsid w:val="00AE7927"/>
    <w:rsid w:val="00AF19CA"/>
    <w:rsid w:val="00AF28A2"/>
    <w:rsid w:val="00AF28D0"/>
    <w:rsid w:val="00AF2912"/>
    <w:rsid w:val="00AF2F02"/>
    <w:rsid w:val="00AF3BD9"/>
    <w:rsid w:val="00AF3DB6"/>
    <w:rsid w:val="00AF45AF"/>
    <w:rsid w:val="00AF479F"/>
    <w:rsid w:val="00AF4B6A"/>
    <w:rsid w:val="00AF4F3B"/>
    <w:rsid w:val="00AF5192"/>
    <w:rsid w:val="00AF7C57"/>
    <w:rsid w:val="00B02389"/>
    <w:rsid w:val="00B02AA7"/>
    <w:rsid w:val="00B03016"/>
    <w:rsid w:val="00B03841"/>
    <w:rsid w:val="00B044BC"/>
    <w:rsid w:val="00B05367"/>
    <w:rsid w:val="00B070F7"/>
    <w:rsid w:val="00B1006D"/>
    <w:rsid w:val="00B10DF1"/>
    <w:rsid w:val="00B11F80"/>
    <w:rsid w:val="00B1261A"/>
    <w:rsid w:val="00B1377A"/>
    <w:rsid w:val="00B13C2B"/>
    <w:rsid w:val="00B1487B"/>
    <w:rsid w:val="00B15539"/>
    <w:rsid w:val="00B176A5"/>
    <w:rsid w:val="00B17826"/>
    <w:rsid w:val="00B21149"/>
    <w:rsid w:val="00B21DE3"/>
    <w:rsid w:val="00B21F97"/>
    <w:rsid w:val="00B22319"/>
    <w:rsid w:val="00B2256B"/>
    <w:rsid w:val="00B230DC"/>
    <w:rsid w:val="00B23163"/>
    <w:rsid w:val="00B23258"/>
    <w:rsid w:val="00B232D1"/>
    <w:rsid w:val="00B23603"/>
    <w:rsid w:val="00B23705"/>
    <w:rsid w:val="00B247E5"/>
    <w:rsid w:val="00B2582F"/>
    <w:rsid w:val="00B26095"/>
    <w:rsid w:val="00B268EE"/>
    <w:rsid w:val="00B27092"/>
    <w:rsid w:val="00B27337"/>
    <w:rsid w:val="00B27B92"/>
    <w:rsid w:val="00B30120"/>
    <w:rsid w:val="00B302FA"/>
    <w:rsid w:val="00B30450"/>
    <w:rsid w:val="00B3050C"/>
    <w:rsid w:val="00B316EA"/>
    <w:rsid w:val="00B322DE"/>
    <w:rsid w:val="00B3235E"/>
    <w:rsid w:val="00B3262D"/>
    <w:rsid w:val="00B32859"/>
    <w:rsid w:val="00B32D6C"/>
    <w:rsid w:val="00B339A4"/>
    <w:rsid w:val="00B33CA9"/>
    <w:rsid w:val="00B34048"/>
    <w:rsid w:val="00B341F3"/>
    <w:rsid w:val="00B35049"/>
    <w:rsid w:val="00B36A8D"/>
    <w:rsid w:val="00B36FE6"/>
    <w:rsid w:val="00B3749D"/>
    <w:rsid w:val="00B40C02"/>
    <w:rsid w:val="00B41787"/>
    <w:rsid w:val="00B419DC"/>
    <w:rsid w:val="00B440C1"/>
    <w:rsid w:val="00B443CC"/>
    <w:rsid w:val="00B44B0C"/>
    <w:rsid w:val="00B44BF6"/>
    <w:rsid w:val="00B4593C"/>
    <w:rsid w:val="00B46983"/>
    <w:rsid w:val="00B47440"/>
    <w:rsid w:val="00B50C12"/>
    <w:rsid w:val="00B51DDF"/>
    <w:rsid w:val="00B523D1"/>
    <w:rsid w:val="00B52494"/>
    <w:rsid w:val="00B530A8"/>
    <w:rsid w:val="00B5342D"/>
    <w:rsid w:val="00B5417B"/>
    <w:rsid w:val="00B543DB"/>
    <w:rsid w:val="00B555AB"/>
    <w:rsid w:val="00B55AB1"/>
    <w:rsid w:val="00B55BD6"/>
    <w:rsid w:val="00B564E7"/>
    <w:rsid w:val="00B56564"/>
    <w:rsid w:val="00B56798"/>
    <w:rsid w:val="00B56A0A"/>
    <w:rsid w:val="00B57921"/>
    <w:rsid w:val="00B60047"/>
    <w:rsid w:val="00B601BB"/>
    <w:rsid w:val="00B60C45"/>
    <w:rsid w:val="00B60D8A"/>
    <w:rsid w:val="00B60DCC"/>
    <w:rsid w:val="00B6147F"/>
    <w:rsid w:val="00B63BC1"/>
    <w:rsid w:val="00B63CB6"/>
    <w:rsid w:val="00B64EF3"/>
    <w:rsid w:val="00B65058"/>
    <w:rsid w:val="00B65A81"/>
    <w:rsid w:val="00B65DAA"/>
    <w:rsid w:val="00B65DB3"/>
    <w:rsid w:val="00B66B2F"/>
    <w:rsid w:val="00B67FE1"/>
    <w:rsid w:val="00B70537"/>
    <w:rsid w:val="00B711B2"/>
    <w:rsid w:val="00B715BF"/>
    <w:rsid w:val="00B716B8"/>
    <w:rsid w:val="00B720EC"/>
    <w:rsid w:val="00B724EB"/>
    <w:rsid w:val="00B72C74"/>
    <w:rsid w:val="00B73514"/>
    <w:rsid w:val="00B73D81"/>
    <w:rsid w:val="00B74F7F"/>
    <w:rsid w:val="00B75B08"/>
    <w:rsid w:val="00B7663C"/>
    <w:rsid w:val="00B76CBE"/>
    <w:rsid w:val="00B77EDD"/>
    <w:rsid w:val="00B802CE"/>
    <w:rsid w:val="00B80323"/>
    <w:rsid w:val="00B80DBE"/>
    <w:rsid w:val="00B8236E"/>
    <w:rsid w:val="00B828AB"/>
    <w:rsid w:val="00B835B4"/>
    <w:rsid w:val="00B84562"/>
    <w:rsid w:val="00B84869"/>
    <w:rsid w:val="00B85749"/>
    <w:rsid w:val="00B85D5B"/>
    <w:rsid w:val="00B86607"/>
    <w:rsid w:val="00B8719F"/>
    <w:rsid w:val="00B87859"/>
    <w:rsid w:val="00B902E6"/>
    <w:rsid w:val="00B90BE8"/>
    <w:rsid w:val="00B91519"/>
    <w:rsid w:val="00B91D47"/>
    <w:rsid w:val="00B9272A"/>
    <w:rsid w:val="00B928ED"/>
    <w:rsid w:val="00B93766"/>
    <w:rsid w:val="00B94206"/>
    <w:rsid w:val="00B9468D"/>
    <w:rsid w:val="00B953E2"/>
    <w:rsid w:val="00B961E2"/>
    <w:rsid w:val="00B971AA"/>
    <w:rsid w:val="00BA0CC7"/>
    <w:rsid w:val="00BA2796"/>
    <w:rsid w:val="00BA3CB8"/>
    <w:rsid w:val="00BA518C"/>
    <w:rsid w:val="00BA54FF"/>
    <w:rsid w:val="00BA737F"/>
    <w:rsid w:val="00BA7623"/>
    <w:rsid w:val="00BA7F3B"/>
    <w:rsid w:val="00BB08DA"/>
    <w:rsid w:val="00BB214C"/>
    <w:rsid w:val="00BB44DB"/>
    <w:rsid w:val="00BB4C66"/>
    <w:rsid w:val="00BB5E59"/>
    <w:rsid w:val="00BB6BFF"/>
    <w:rsid w:val="00BC0DCE"/>
    <w:rsid w:val="00BC127C"/>
    <w:rsid w:val="00BC1539"/>
    <w:rsid w:val="00BC29F9"/>
    <w:rsid w:val="00BC449A"/>
    <w:rsid w:val="00BC44C3"/>
    <w:rsid w:val="00BC6606"/>
    <w:rsid w:val="00BC6CC7"/>
    <w:rsid w:val="00BC72F3"/>
    <w:rsid w:val="00BC7C1B"/>
    <w:rsid w:val="00BD09D8"/>
    <w:rsid w:val="00BD1743"/>
    <w:rsid w:val="00BD190D"/>
    <w:rsid w:val="00BD1C8C"/>
    <w:rsid w:val="00BD2D19"/>
    <w:rsid w:val="00BD3539"/>
    <w:rsid w:val="00BD42F5"/>
    <w:rsid w:val="00BD4613"/>
    <w:rsid w:val="00BD503C"/>
    <w:rsid w:val="00BD5043"/>
    <w:rsid w:val="00BD5342"/>
    <w:rsid w:val="00BD5BCD"/>
    <w:rsid w:val="00BD65CC"/>
    <w:rsid w:val="00BD7E11"/>
    <w:rsid w:val="00BE0245"/>
    <w:rsid w:val="00BE0F78"/>
    <w:rsid w:val="00BE1B85"/>
    <w:rsid w:val="00BE2314"/>
    <w:rsid w:val="00BE27B2"/>
    <w:rsid w:val="00BE2BCF"/>
    <w:rsid w:val="00BE3E23"/>
    <w:rsid w:val="00BE4E16"/>
    <w:rsid w:val="00BE53DF"/>
    <w:rsid w:val="00BE54DF"/>
    <w:rsid w:val="00BE5E7E"/>
    <w:rsid w:val="00BE7244"/>
    <w:rsid w:val="00BF0EF2"/>
    <w:rsid w:val="00BF11A0"/>
    <w:rsid w:val="00BF1FD0"/>
    <w:rsid w:val="00BF27C9"/>
    <w:rsid w:val="00BF2CF4"/>
    <w:rsid w:val="00BF3052"/>
    <w:rsid w:val="00BF3396"/>
    <w:rsid w:val="00BF3BA4"/>
    <w:rsid w:val="00BF4A07"/>
    <w:rsid w:val="00BF4A14"/>
    <w:rsid w:val="00BF68C8"/>
    <w:rsid w:val="00C016A3"/>
    <w:rsid w:val="00C016C4"/>
    <w:rsid w:val="00C01770"/>
    <w:rsid w:val="00C01DDC"/>
    <w:rsid w:val="00C01E68"/>
    <w:rsid w:val="00C01F0A"/>
    <w:rsid w:val="00C02184"/>
    <w:rsid w:val="00C02604"/>
    <w:rsid w:val="00C047D1"/>
    <w:rsid w:val="00C04AAD"/>
    <w:rsid w:val="00C04E3B"/>
    <w:rsid w:val="00C05249"/>
    <w:rsid w:val="00C0524E"/>
    <w:rsid w:val="00C054BD"/>
    <w:rsid w:val="00C0678D"/>
    <w:rsid w:val="00C06BF5"/>
    <w:rsid w:val="00C077E4"/>
    <w:rsid w:val="00C10BF2"/>
    <w:rsid w:val="00C11600"/>
    <w:rsid w:val="00C117F1"/>
    <w:rsid w:val="00C11924"/>
    <w:rsid w:val="00C12B3A"/>
    <w:rsid w:val="00C12C86"/>
    <w:rsid w:val="00C13347"/>
    <w:rsid w:val="00C138F6"/>
    <w:rsid w:val="00C14016"/>
    <w:rsid w:val="00C142E6"/>
    <w:rsid w:val="00C149C3"/>
    <w:rsid w:val="00C14F81"/>
    <w:rsid w:val="00C15124"/>
    <w:rsid w:val="00C15479"/>
    <w:rsid w:val="00C17B40"/>
    <w:rsid w:val="00C204FA"/>
    <w:rsid w:val="00C206B1"/>
    <w:rsid w:val="00C21828"/>
    <w:rsid w:val="00C2211C"/>
    <w:rsid w:val="00C221A0"/>
    <w:rsid w:val="00C238D1"/>
    <w:rsid w:val="00C24419"/>
    <w:rsid w:val="00C25927"/>
    <w:rsid w:val="00C25C46"/>
    <w:rsid w:val="00C26B54"/>
    <w:rsid w:val="00C27722"/>
    <w:rsid w:val="00C27852"/>
    <w:rsid w:val="00C30453"/>
    <w:rsid w:val="00C31B9E"/>
    <w:rsid w:val="00C31E23"/>
    <w:rsid w:val="00C320ED"/>
    <w:rsid w:val="00C326F9"/>
    <w:rsid w:val="00C32886"/>
    <w:rsid w:val="00C32A67"/>
    <w:rsid w:val="00C33B39"/>
    <w:rsid w:val="00C33BFD"/>
    <w:rsid w:val="00C34802"/>
    <w:rsid w:val="00C34BFA"/>
    <w:rsid w:val="00C36563"/>
    <w:rsid w:val="00C366DE"/>
    <w:rsid w:val="00C369B3"/>
    <w:rsid w:val="00C36A4C"/>
    <w:rsid w:val="00C36FB1"/>
    <w:rsid w:val="00C36FFC"/>
    <w:rsid w:val="00C37A29"/>
    <w:rsid w:val="00C4036D"/>
    <w:rsid w:val="00C405E7"/>
    <w:rsid w:val="00C40643"/>
    <w:rsid w:val="00C40D8B"/>
    <w:rsid w:val="00C41A80"/>
    <w:rsid w:val="00C427CF"/>
    <w:rsid w:val="00C42AB4"/>
    <w:rsid w:val="00C4325D"/>
    <w:rsid w:val="00C43B75"/>
    <w:rsid w:val="00C43E83"/>
    <w:rsid w:val="00C4445D"/>
    <w:rsid w:val="00C44DEC"/>
    <w:rsid w:val="00C45EA5"/>
    <w:rsid w:val="00C46317"/>
    <w:rsid w:val="00C468DB"/>
    <w:rsid w:val="00C46BF8"/>
    <w:rsid w:val="00C47BA8"/>
    <w:rsid w:val="00C51363"/>
    <w:rsid w:val="00C51975"/>
    <w:rsid w:val="00C5198D"/>
    <w:rsid w:val="00C52051"/>
    <w:rsid w:val="00C522C4"/>
    <w:rsid w:val="00C5279C"/>
    <w:rsid w:val="00C53577"/>
    <w:rsid w:val="00C537A9"/>
    <w:rsid w:val="00C53FB4"/>
    <w:rsid w:val="00C544F4"/>
    <w:rsid w:val="00C55095"/>
    <w:rsid w:val="00C554BB"/>
    <w:rsid w:val="00C55525"/>
    <w:rsid w:val="00C56C9B"/>
    <w:rsid w:val="00C577B7"/>
    <w:rsid w:val="00C57D19"/>
    <w:rsid w:val="00C604A3"/>
    <w:rsid w:val="00C604C1"/>
    <w:rsid w:val="00C60580"/>
    <w:rsid w:val="00C607B7"/>
    <w:rsid w:val="00C60F8C"/>
    <w:rsid w:val="00C60FA7"/>
    <w:rsid w:val="00C619D6"/>
    <w:rsid w:val="00C626D8"/>
    <w:rsid w:val="00C63529"/>
    <w:rsid w:val="00C63CE1"/>
    <w:rsid w:val="00C64596"/>
    <w:rsid w:val="00C64AC3"/>
    <w:rsid w:val="00C65450"/>
    <w:rsid w:val="00C65845"/>
    <w:rsid w:val="00C669E3"/>
    <w:rsid w:val="00C67598"/>
    <w:rsid w:val="00C70014"/>
    <w:rsid w:val="00C70672"/>
    <w:rsid w:val="00C70745"/>
    <w:rsid w:val="00C709C3"/>
    <w:rsid w:val="00C70D80"/>
    <w:rsid w:val="00C70EFC"/>
    <w:rsid w:val="00C71195"/>
    <w:rsid w:val="00C71688"/>
    <w:rsid w:val="00C734D3"/>
    <w:rsid w:val="00C73D38"/>
    <w:rsid w:val="00C74058"/>
    <w:rsid w:val="00C74CB9"/>
    <w:rsid w:val="00C74EEE"/>
    <w:rsid w:val="00C752A8"/>
    <w:rsid w:val="00C752B0"/>
    <w:rsid w:val="00C75BA9"/>
    <w:rsid w:val="00C75BE3"/>
    <w:rsid w:val="00C75C56"/>
    <w:rsid w:val="00C776FF"/>
    <w:rsid w:val="00C778D7"/>
    <w:rsid w:val="00C7797D"/>
    <w:rsid w:val="00C802EA"/>
    <w:rsid w:val="00C8072D"/>
    <w:rsid w:val="00C80BFF"/>
    <w:rsid w:val="00C8174B"/>
    <w:rsid w:val="00C82B78"/>
    <w:rsid w:val="00C82E61"/>
    <w:rsid w:val="00C835EC"/>
    <w:rsid w:val="00C84063"/>
    <w:rsid w:val="00C853C0"/>
    <w:rsid w:val="00C85BD5"/>
    <w:rsid w:val="00C85E66"/>
    <w:rsid w:val="00C87152"/>
    <w:rsid w:val="00C90061"/>
    <w:rsid w:val="00C909A7"/>
    <w:rsid w:val="00C915B5"/>
    <w:rsid w:val="00C92967"/>
    <w:rsid w:val="00C932F3"/>
    <w:rsid w:val="00C93DED"/>
    <w:rsid w:val="00C9458B"/>
    <w:rsid w:val="00C95086"/>
    <w:rsid w:val="00C96117"/>
    <w:rsid w:val="00C97159"/>
    <w:rsid w:val="00C9760D"/>
    <w:rsid w:val="00C97CB0"/>
    <w:rsid w:val="00CA0B3F"/>
    <w:rsid w:val="00CA2BDF"/>
    <w:rsid w:val="00CA3191"/>
    <w:rsid w:val="00CA42F1"/>
    <w:rsid w:val="00CA577C"/>
    <w:rsid w:val="00CA5DD9"/>
    <w:rsid w:val="00CB003A"/>
    <w:rsid w:val="00CB0E5D"/>
    <w:rsid w:val="00CB1AA7"/>
    <w:rsid w:val="00CB21C4"/>
    <w:rsid w:val="00CB24D2"/>
    <w:rsid w:val="00CB294B"/>
    <w:rsid w:val="00CB2C08"/>
    <w:rsid w:val="00CB3049"/>
    <w:rsid w:val="00CB323D"/>
    <w:rsid w:val="00CB3458"/>
    <w:rsid w:val="00CB4235"/>
    <w:rsid w:val="00CB46C5"/>
    <w:rsid w:val="00CB770F"/>
    <w:rsid w:val="00CC0522"/>
    <w:rsid w:val="00CC1062"/>
    <w:rsid w:val="00CC108F"/>
    <w:rsid w:val="00CC24A5"/>
    <w:rsid w:val="00CC250F"/>
    <w:rsid w:val="00CC27DA"/>
    <w:rsid w:val="00CC2AAC"/>
    <w:rsid w:val="00CC3493"/>
    <w:rsid w:val="00CC3748"/>
    <w:rsid w:val="00CC3DE4"/>
    <w:rsid w:val="00CC459B"/>
    <w:rsid w:val="00CC49A5"/>
    <w:rsid w:val="00CC5F5B"/>
    <w:rsid w:val="00CD0463"/>
    <w:rsid w:val="00CD0E92"/>
    <w:rsid w:val="00CD0E93"/>
    <w:rsid w:val="00CD0ECA"/>
    <w:rsid w:val="00CD13ED"/>
    <w:rsid w:val="00CD187B"/>
    <w:rsid w:val="00CD18D3"/>
    <w:rsid w:val="00CD19C8"/>
    <w:rsid w:val="00CD2B59"/>
    <w:rsid w:val="00CD3CCB"/>
    <w:rsid w:val="00CD43FF"/>
    <w:rsid w:val="00CD49C5"/>
    <w:rsid w:val="00CD4B4B"/>
    <w:rsid w:val="00CD4E5B"/>
    <w:rsid w:val="00CD585F"/>
    <w:rsid w:val="00CD61EB"/>
    <w:rsid w:val="00CD7B8D"/>
    <w:rsid w:val="00CD7CD0"/>
    <w:rsid w:val="00CD7F44"/>
    <w:rsid w:val="00CE01BF"/>
    <w:rsid w:val="00CE2EA3"/>
    <w:rsid w:val="00CE3DC7"/>
    <w:rsid w:val="00CE3DFF"/>
    <w:rsid w:val="00CE43AF"/>
    <w:rsid w:val="00CE4BF4"/>
    <w:rsid w:val="00CE4D3A"/>
    <w:rsid w:val="00CE4E06"/>
    <w:rsid w:val="00CE64FD"/>
    <w:rsid w:val="00CE6A0E"/>
    <w:rsid w:val="00CE7236"/>
    <w:rsid w:val="00CE7C83"/>
    <w:rsid w:val="00CF02F0"/>
    <w:rsid w:val="00CF05A7"/>
    <w:rsid w:val="00CF13F1"/>
    <w:rsid w:val="00CF1BEA"/>
    <w:rsid w:val="00CF1CE5"/>
    <w:rsid w:val="00CF3112"/>
    <w:rsid w:val="00CF32DB"/>
    <w:rsid w:val="00CF38BE"/>
    <w:rsid w:val="00CF3C09"/>
    <w:rsid w:val="00CF3CFA"/>
    <w:rsid w:val="00CF3F2F"/>
    <w:rsid w:val="00CF433E"/>
    <w:rsid w:val="00CF4AF4"/>
    <w:rsid w:val="00CF4BC6"/>
    <w:rsid w:val="00CF649D"/>
    <w:rsid w:val="00CF69E9"/>
    <w:rsid w:val="00CF6CB5"/>
    <w:rsid w:val="00CF6E6C"/>
    <w:rsid w:val="00CF7047"/>
    <w:rsid w:val="00CF7F06"/>
    <w:rsid w:val="00D01615"/>
    <w:rsid w:val="00D02433"/>
    <w:rsid w:val="00D02A52"/>
    <w:rsid w:val="00D0352E"/>
    <w:rsid w:val="00D03E30"/>
    <w:rsid w:val="00D045B4"/>
    <w:rsid w:val="00D04676"/>
    <w:rsid w:val="00D04EE1"/>
    <w:rsid w:val="00D0528C"/>
    <w:rsid w:val="00D0585D"/>
    <w:rsid w:val="00D05E36"/>
    <w:rsid w:val="00D0682C"/>
    <w:rsid w:val="00D068C9"/>
    <w:rsid w:val="00D10E7D"/>
    <w:rsid w:val="00D10F14"/>
    <w:rsid w:val="00D110B6"/>
    <w:rsid w:val="00D11A3F"/>
    <w:rsid w:val="00D13C2F"/>
    <w:rsid w:val="00D14172"/>
    <w:rsid w:val="00D150CB"/>
    <w:rsid w:val="00D15113"/>
    <w:rsid w:val="00D15B7C"/>
    <w:rsid w:val="00D15B7D"/>
    <w:rsid w:val="00D165AA"/>
    <w:rsid w:val="00D166CA"/>
    <w:rsid w:val="00D16F74"/>
    <w:rsid w:val="00D17F56"/>
    <w:rsid w:val="00D2053A"/>
    <w:rsid w:val="00D20B05"/>
    <w:rsid w:val="00D20B19"/>
    <w:rsid w:val="00D20E82"/>
    <w:rsid w:val="00D21030"/>
    <w:rsid w:val="00D216F5"/>
    <w:rsid w:val="00D21D76"/>
    <w:rsid w:val="00D21D93"/>
    <w:rsid w:val="00D22F04"/>
    <w:rsid w:val="00D23353"/>
    <w:rsid w:val="00D23646"/>
    <w:rsid w:val="00D236F5"/>
    <w:rsid w:val="00D23CFC"/>
    <w:rsid w:val="00D2492C"/>
    <w:rsid w:val="00D24DCB"/>
    <w:rsid w:val="00D2559A"/>
    <w:rsid w:val="00D27BDD"/>
    <w:rsid w:val="00D304F6"/>
    <w:rsid w:val="00D30791"/>
    <w:rsid w:val="00D30D9D"/>
    <w:rsid w:val="00D31CC2"/>
    <w:rsid w:val="00D31E3E"/>
    <w:rsid w:val="00D31EBB"/>
    <w:rsid w:val="00D330CA"/>
    <w:rsid w:val="00D3316D"/>
    <w:rsid w:val="00D331EA"/>
    <w:rsid w:val="00D3347F"/>
    <w:rsid w:val="00D34619"/>
    <w:rsid w:val="00D34DF5"/>
    <w:rsid w:val="00D36E59"/>
    <w:rsid w:val="00D37882"/>
    <w:rsid w:val="00D37F8A"/>
    <w:rsid w:val="00D40CE5"/>
    <w:rsid w:val="00D423D4"/>
    <w:rsid w:val="00D426EF"/>
    <w:rsid w:val="00D427CB"/>
    <w:rsid w:val="00D42E5B"/>
    <w:rsid w:val="00D43336"/>
    <w:rsid w:val="00D43748"/>
    <w:rsid w:val="00D44795"/>
    <w:rsid w:val="00D45809"/>
    <w:rsid w:val="00D4598B"/>
    <w:rsid w:val="00D45A6D"/>
    <w:rsid w:val="00D464F8"/>
    <w:rsid w:val="00D46C3E"/>
    <w:rsid w:val="00D46FD9"/>
    <w:rsid w:val="00D500C3"/>
    <w:rsid w:val="00D50E5F"/>
    <w:rsid w:val="00D52BAB"/>
    <w:rsid w:val="00D53555"/>
    <w:rsid w:val="00D53AF0"/>
    <w:rsid w:val="00D54490"/>
    <w:rsid w:val="00D55BA3"/>
    <w:rsid w:val="00D56EC2"/>
    <w:rsid w:val="00D578CB"/>
    <w:rsid w:val="00D5795C"/>
    <w:rsid w:val="00D6011A"/>
    <w:rsid w:val="00D602CB"/>
    <w:rsid w:val="00D60649"/>
    <w:rsid w:val="00D61473"/>
    <w:rsid w:val="00D61695"/>
    <w:rsid w:val="00D61E88"/>
    <w:rsid w:val="00D61E93"/>
    <w:rsid w:val="00D6398A"/>
    <w:rsid w:val="00D63BB5"/>
    <w:rsid w:val="00D64395"/>
    <w:rsid w:val="00D6480B"/>
    <w:rsid w:val="00D64D72"/>
    <w:rsid w:val="00D656F9"/>
    <w:rsid w:val="00D67ABC"/>
    <w:rsid w:val="00D67E65"/>
    <w:rsid w:val="00D707F5"/>
    <w:rsid w:val="00D708CE"/>
    <w:rsid w:val="00D712C9"/>
    <w:rsid w:val="00D7266F"/>
    <w:rsid w:val="00D738EC"/>
    <w:rsid w:val="00D73FE3"/>
    <w:rsid w:val="00D74119"/>
    <w:rsid w:val="00D74A1C"/>
    <w:rsid w:val="00D75A77"/>
    <w:rsid w:val="00D75F65"/>
    <w:rsid w:val="00D7644F"/>
    <w:rsid w:val="00D772C9"/>
    <w:rsid w:val="00D777AD"/>
    <w:rsid w:val="00D77A27"/>
    <w:rsid w:val="00D80E0B"/>
    <w:rsid w:val="00D822CA"/>
    <w:rsid w:val="00D83368"/>
    <w:rsid w:val="00D83684"/>
    <w:rsid w:val="00D83923"/>
    <w:rsid w:val="00D84E88"/>
    <w:rsid w:val="00D86157"/>
    <w:rsid w:val="00D86621"/>
    <w:rsid w:val="00D87C96"/>
    <w:rsid w:val="00D90AD7"/>
    <w:rsid w:val="00D90DB8"/>
    <w:rsid w:val="00D90E47"/>
    <w:rsid w:val="00D91A75"/>
    <w:rsid w:val="00D92316"/>
    <w:rsid w:val="00D9260A"/>
    <w:rsid w:val="00D93A32"/>
    <w:rsid w:val="00D9419D"/>
    <w:rsid w:val="00D94744"/>
    <w:rsid w:val="00D94945"/>
    <w:rsid w:val="00D95F29"/>
    <w:rsid w:val="00D9683D"/>
    <w:rsid w:val="00D96F65"/>
    <w:rsid w:val="00D97374"/>
    <w:rsid w:val="00D97E41"/>
    <w:rsid w:val="00DA05A4"/>
    <w:rsid w:val="00DA0F73"/>
    <w:rsid w:val="00DA136C"/>
    <w:rsid w:val="00DA1EE5"/>
    <w:rsid w:val="00DA2083"/>
    <w:rsid w:val="00DA2176"/>
    <w:rsid w:val="00DA21C5"/>
    <w:rsid w:val="00DA3017"/>
    <w:rsid w:val="00DA31EB"/>
    <w:rsid w:val="00DA3AE9"/>
    <w:rsid w:val="00DA3CA6"/>
    <w:rsid w:val="00DA4392"/>
    <w:rsid w:val="00DA5484"/>
    <w:rsid w:val="00DA54BF"/>
    <w:rsid w:val="00DB06CF"/>
    <w:rsid w:val="00DB172F"/>
    <w:rsid w:val="00DB179C"/>
    <w:rsid w:val="00DB1C0F"/>
    <w:rsid w:val="00DB1E26"/>
    <w:rsid w:val="00DB2CCD"/>
    <w:rsid w:val="00DB3A09"/>
    <w:rsid w:val="00DB3C86"/>
    <w:rsid w:val="00DB5BE8"/>
    <w:rsid w:val="00DB5C0A"/>
    <w:rsid w:val="00DB636E"/>
    <w:rsid w:val="00DB75F2"/>
    <w:rsid w:val="00DB7E8D"/>
    <w:rsid w:val="00DC1012"/>
    <w:rsid w:val="00DC18D8"/>
    <w:rsid w:val="00DC1B37"/>
    <w:rsid w:val="00DC237A"/>
    <w:rsid w:val="00DC346E"/>
    <w:rsid w:val="00DC38CA"/>
    <w:rsid w:val="00DC3A61"/>
    <w:rsid w:val="00DC3F47"/>
    <w:rsid w:val="00DC5DFF"/>
    <w:rsid w:val="00DC6337"/>
    <w:rsid w:val="00DC64DE"/>
    <w:rsid w:val="00DC655D"/>
    <w:rsid w:val="00DC7038"/>
    <w:rsid w:val="00DC74CB"/>
    <w:rsid w:val="00DC769B"/>
    <w:rsid w:val="00DD00FB"/>
    <w:rsid w:val="00DD01A8"/>
    <w:rsid w:val="00DD0900"/>
    <w:rsid w:val="00DD12EE"/>
    <w:rsid w:val="00DD134A"/>
    <w:rsid w:val="00DD2518"/>
    <w:rsid w:val="00DD261B"/>
    <w:rsid w:val="00DD2F67"/>
    <w:rsid w:val="00DD3210"/>
    <w:rsid w:val="00DD3685"/>
    <w:rsid w:val="00DD3FBF"/>
    <w:rsid w:val="00DD4FED"/>
    <w:rsid w:val="00DD51BD"/>
    <w:rsid w:val="00DD6376"/>
    <w:rsid w:val="00DD6473"/>
    <w:rsid w:val="00DD65E2"/>
    <w:rsid w:val="00DD7227"/>
    <w:rsid w:val="00DE0239"/>
    <w:rsid w:val="00DE05C5"/>
    <w:rsid w:val="00DE1D95"/>
    <w:rsid w:val="00DE27FA"/>
    <w:rsid w:val="00DE3753"/>
    <w:rsid w:val="00DE4C44"/>
    <w:rsid w:val="00DE4D47"/>
    <w:rsid w:val="00DE510D"/>
    <w:rsid w:val="00DE5597"/>
    <w:rsid w:val="00DE55A9"/>
    <w:rsid w:val="00DE58CB"/>
    <w:rsid w:val="00DE6C05"/>
    <w:rsid w:val="00DE70B9"/>
    <w:rsid w:val="00DE79C7"/>
    <w:rsid w:val="00DE7B4C"/>
    <w:rsid w:val="00DF05E4"/>
    <w:rsid w:val="00DF0E77"/>
    <w:rsid w:val="00DF3018"/>
    <w:rsid w:val="00DF3896"/>
    <w:rsid w:val="00DF47E9"/>
    <w:rsid w:val="00DF4E3E"/>
    <w:rsid w:val="00DF57D9"/>
    <w:rsid w:val="00DF60B9"/>
    <w:rsid w:val="00DF63B7"/>
    <w:rsid w:val="00DF63E5"/>
    <w:rsid w:val="00DF7276"/>
    <w:rsid w:val="00DF78A0"/>
    <w:rsid w:val="00DF7DB3"/>
    <w:rsid w:val="00E0098E"/>
    <w:rsid w:val="00E010CD"/>
    <w:rsid w:val="00E01635"/>
    <w:rsid w:val="00E01A71"/>
    <w:rsid w:val="00E04187"/>
    <w:rsid w:val="00E0453D"/>
    <w:rsid w:val="00E04782"/>
    <w:rsid w:val="00E051AC"/>
    <w:rsid w:val="00E052C5"/>
    <w:rsid w:val="00E05FA6"/>
    <w:rsid w:val="00E061A2"/>
    <w:rsid w:val="00E06B64"/>
    <w:rsid w:val="00E06E9C"/>
    <w:rsid w:val="00E0724D"/>
    <w:rsid w:val="00E07E0D"/>
    <w:rsid w:val="00E10DBE"/>
    <w:rsid w:val="00E1128D"/>
    <w:rsid w:val="00E11E0C"/>
    <w:rsid w:val="00E13128"/>
    <w:rsid w:val="00E133E0"/>
    <w:rsid w:val="00E1352B"/>
    <w:rsid w:val="00E15A2F"/>
    <w:rsid w:val="00E15C7B"/>
    <w:rsid w:val="00E15D65"/>
    <w:rsid w:val="00E16080"/>
    <w:rsid w:val="00E168DE"/>
    <w:rsid w:val="00E16F0D"/>
    <w:rsid w:val="00E17F28"/>
    <w:rsid w:val="00E210F3"/>
    <w:rsid w:val="00E214CC"/>
    <w:rsid w:val="00E21C8D"/>
    <w:rsid w:val="00E22094"/>
    <w:rsid w:val="00E238AD"/>
    <w:rsid w:val="00E25474"/>
    <w:rsid w:val="00E26089"/>
    <w:rsid w:val="00E264D6"/>
    <w:rsid w:val="00E27D52"/>
    <w:rsid w:val="00E30D0C"/>
    <w:rsid w:val="00E31475"/>
    <w:rsid w:val="00E31AC3"/>
    <w:rsid w:val="00E31B5A"/>
    <w:rsid w:val="00E32EBB"/>
    <w:rsid w:val="00E32EE5"/>
    <w:rsid w:val="00E32F93"/>
    <w:rsid w:val="00E33856"/>
    <w:rsid w:val="00E33A21"/>
    <w:rsid w:val="00E3526D"/>
    <w:rsid w:val="00E3653D"/>
    <w:rsid w:val="00E3715D"/>
    <w:rsid w:val="00E379F7"/>
    <w:rsid w:val="00E423EF"/>
    <w:rsid w:val="00E427D0"/>
    <w:rsid w:val="00E43DF1"/>
    <w:rsid w:val="00E45084"/>
    <w:rsid w:val="00E453CC"/>
    <w:rsid w:val="00E45D98"/>
    <w:rsid w:val="00E46C45"/>
    <w:rsid w:val="00E4702B"/>
    <w:rsid w:val="00E47107"/>
    <w:rsid w:val="00E50B65"/>
    <w:rsid w:val="00E51DB6"/>
    <w:rsid w:val="00E53014"/>
    <w:rsid w:val="00E53538"/>
    <w:rsid w:val="00E53B37"/>
    <w:rsid w:val="00E53DC5"/>
    <w:rsid w:val="00E548F1"/>
    <w:rsid w:val="00E54ACD"/>
    <w:rsid w:val="00E54AF7"/>
    <w:rsid w:val="00E54B2B"/>
    <w:rsid w:val="00E54D64"/>
    <w:rsid w:val="00E54E43"/>
    <w:rsid w:val="00E564A7"/>
    <w:rsid w:val="00E56CEF"/>
    <w:rsid w:val="00E57610"/>
    <w:rsid w:val="00E57760"/>
    <w:rsid w:val="00E57B35"/>
    <w:rsid w:val="00E606E5"/>
    <w:rsid w:val="00E6111D"/>
    <w:rsid w:val="00E61632"/>
    <w:rsid w:val="00E61F5F"/>
    <w:rsid w:val="00E6214D"/>
    <w:rsid w:val="00E62AD2"/>
    <w:rsid w:val="00E63160"/>
    <w:rsid w:val="00E64495"/>
    <w:rsid w:val="00E64871"/>
    <w:rsid w:val="00E64B5C"/>
    <w:rsid w:val="00E65118"/>
    <w:rsid w:val="00E65F95"/>
    <w:rsid w:val="00E668EF"/>
    <w:rsid w:val="00E7015F"/>
    <w:rsid w:val="00E70DD7"/>
    <w:rsid w:val="00E72EE0"/>
    <w:rsid w:val="00E73103"/>
    <w:rsid w:val="00E73281"/>
    <w:rsid w:val="00E741FB"/>
    <w:rsid w:val="00E74787"/>
    <w:rsid w:val="00E75004"/>
    <w:rsid w:val="00E754CC"/>
    <w:rsid w:val="00E75CE8"/>
    <w:rsid w:val="00E76088"/>
    <w:rsid w:val="00E76EEC"/>
    <w:rsid w:val="00E771F1"/>
    <w:rsid w:val="00E77D0C"/>
    <w:rsid w:val="00E81579"/>
    <w:rsid w:val="00E81612"/>
    <w:rsid w:val="00E8211B"/>
    <w:rsid w:val="00E821B2"/>
    <w:rsid w:val="00E834B2"/>
    <w:rsid w:val="00E84C73"/>
    <w:rsid w:val="00E858CE"/>
    <w:rsid w:val="00E87930"/>
    <w:rsid w:val="00E8796C"/>
    <w:rsid w:val="00E87F0A"/>
    <w:rsid w:val="00E901DF"/>
    <w:rsid w:val="00E90561"/>
    <w:rsid w:val="00E91A7E"/>
    <w:rsid w:val="00E91BE2"/>
    <w:rsid w:val="00E91FED"/>
    <w:rsid w:val="00E925E0"/>
    <w:rsid w:val="00E9339E"/>
    <w:rsid w:val="00E9373B"/>
    <w:rsid w:val="00E957AD"/>
    <w:rsid w:val="00E95C3A"/>
    <w:rsid w:val="00E96ACE"/>
    <w:rsid w:val="00EA0280"/>
    <w:rsid w:val="00EA07EA"/>
    <w:rsid w:val="00EA0B30"/>
    <w:rsid w:val="00EA1943"/>
    <w:rsid w:val="00EA1B98"/>
    <w:rsid w:val="00EA2514"/>
    <w:rsid w:val="00EA2C93"/>
    <w:rsid w:val="00EA2F19"/>
    <w:rsid w:val="00EA3238"/>
    <w:rsid w:val="00EA387C"/>
    <w:rsid w:val="00EA4988"/>
    <w:rsid w:val="00EA51E7"/>
    <w:rsid w:val="00EA55B4"/>
    <w:rsid w:val="00EA59E0"/>
    <w:rsid w:val="00EA5A02"/>
    <w:rsid w:val="00EA5A86"/>
    <w:rsid w:val="00EA61EB"/>
    <w:rsid w:val="00EA7867"/>
    <w:rsid w:val="00EA786B"/>
    <w:rsid w:val="00EB0945"/>
    <w:rsid w:val="00EB095D"/>
    <w:rsid w:val="00EB1109"/>
    <w:rsid w:val="00EB1981"/>
    <w:rsid w:val="00EB2B92"/>
    <w:rsid w:val="00EB2C1E"/>
    <w:rsid w:val="00EB3469"/>
    <w:rsid w:val="00EB37C2"/>
    <w:rsid w:val="00EB3E0D"/>
    <w:rsid w:val="00EB3F9D"/>
    <w:rsid w:val="00EB5DC6"/>
    <w:rsid w:val="00EB6314"/>
    <w:rsid w:val="00EB6795"/>
    <w:rsid w:val="00EC129B"/>
    <w:rsid w:val="00EC12A8"/>
    <w:rsid w:val="00EC1F89"/>
    <w:rsid w:val="00EC29E8"/>
    <w:rsid w:val="00EC315E"/>
    <w:rsid w:val="00EC32E7"/>
    <w:rsid w:val="00EC43D3"/>
    <w:rsid w:val="00EC444D"/>
    <w:rsid w:val="00EC458E"/>
    <w:rsid w:val="00EC48ED"/>
    <w:rsid w:val="00EC4C63"/>
    <w:rsid w:val="00EC4E1C"/>
    <w:rsid w:val="00EC65F7"/>
    <w:rsid w:val="00EC764E"/>
    <w:rsid w:val="00EC79D8"/>
    <w:rsid w:val="00EC7EE4"/>
    <w:rsid w:val="00ED0782"/>
    <w:rsid w:val="00ED09EC"/>
    <w:rsid w:val="00ED0C2F"/>
    <w:rsid w:val="00ED13A8"/>
    <w:rsid w:val="00ED21E5"/>
    <w:rsid w:val="00ED3681"/>
    <w:rsid w:val="00ED37EF"/>
    <w:rsid w:val="00ED3A55"/>
    <w:rsid w:val="00ED3EEA"/>
    <w:rsid w:val="00ED45CB"/>
    <w:rsid w:val="00ED4983"/>
    <w:rsid w:val="00ED49FA"/>
    <w:rsid w:val="00ED4AD7"/>
    <w:rsid w:val="00ED5969"/>
    <w:rsid w:val="00ED5E0E"/>
    <w:rsid w:val="00ED61B1"/>
    <w:rsid w:val="00ED657C"/>
    <w:rsid w:val="00ED6A24"/>
    <w:rsid w:val="00ED76EB"/>
    <w:rsid w:val="00ED7B71"/>
    <w:rsid w:val="00EE07E1"/>
    <w:rsid w:val="00EE0DE0"/>
    <w:rsid w:val="00EE10D8"/>
    <w:rsid w:val="00EE182A"/>
    <w:rsid w:val="00EE2374"/>
    <w:rsid w:val="00EE2A63"/>
    <w:rsid w:val="00EE2BB1"/>
    <w:rsid w:val="00EE2F59"/>
    <w:rsid w:val="00EE3078"/>
    <w:rsid w:val="00EE39DC"/>
    <w:rsid w:val="00EE6BE2"/>
    <w:rsid w:val="00EE6F14"/>
    <w:rsid w:val="00EE7297"/>
    <w:rsid w:val="00EE7397"/>
    <w:rsid w:val="00EE7F94"/>
    <w:rsid w:val="00EF0461"/>
    <w:rsid w:val="00EF0F33"/>
    <w:rsid w:val="00EF13C1"/>
    <w:rsid w:val="00EF35C4"/>
    <w:rsid w:val="00EF3F23"/>
    <w:rsid w:val="00EF4083"/>
    <w:rsid w:val="00EF41C0"/>
    <w:rsid w:val="00EF4A26"/>
    <w:rsid w:val="00EF6974"/>
    <w:rsid w:val="00EF72C3"/>
    <w:rsid w:val="00EF7466"/>
    <w:rsid w:val="00F000F6"/>
    <w:rsid w:val="00F0023F"/>
    <w:rsid w:val="00F00C90"/>
    <w:rsid w:val="00F010D1"/>
    <w:rsid w:val="00F01672"/>
    <w:rsid w:val="00F01AC1"/>
    <w:rsid w:val="00F03854"/>
    <w:rsid w:val="00F04EA7"/>
    <w:rsid w:val="00F05423"/>
    <w:rsid w:val="00F05597"/>
    <w:rsid w:val="00F07FAF"/>
    <w:rsid w:val="00F1019A"/>
    <w:rsid w:val="00F1024D"/>
    <w:rsid w:val="00F1192D"/>
    <w:rsid w:val="00F1280F"/>
    <w:rsid w:val="00F13631"/>
    <w:rsid w:val="00F15088"/>
    <w:rsid w:val="00F162D4"/>
    <w:rsid w:val="00F16A5D"/>
    <w:rsid w:val="00F16F97"/>
    <w:rsid w:val="00F1704C"/>
    <w:rsid w:val="00F17478"/>
    <w:rsid w:val="00F2058B"/>
    <w:rsid w:val="00F205BB"/>
    <w:rsid w:val="00F223CE"/>
    <w:rsid w:val="00F224D4"/>
    <w:rsid w:val="00F22FA9"/>
    <w:rsid w:val="00F23197"/>
    <w:rsid w:val="00F23655"/>
    <w:rsid w:val="00F238BB"/>
    <w:rsid w:val="00F23E25"/>
    <w:rsid w:val="00F254A8"/>
    <w:rsid w:val="00F25AE6"/>
    <w:rsid w:val="00F26394"/>
    <w:rsid w:val="00F266E5"/>
    <w:rsid w:val="00F26B54"/>
    <w:rsid w:val="00F3008F"/>
    <w:rsid w:val="00F30DE0"/>
    <w:rsid w:val="00F30FE8"/>
    <w:rsid w:val="00F3209B"/>
    <w:rsid w:val="00F320A1"/>
    <w:rsid w:val="00F3214C"/>
    <w:rsid w:val="00F33ACF"/>
    <w:rsid w:val="00F33F8D"/>
    <w:rsid w:val="00F3451B"/>
    <w:rsid w:val="00F347A4"/>
    <w:rsid w:val="00F34A64"/>
    <w:rsid w:val="00F35265"/>
    <w:rsid w:val="00F35475"/>
    <w:rsid w:val="00F356AB"/>
    <w:rsid w:val="00F36048"/>
    <w:rsid w:val="00F36F31"/>
    <w:rsid w:val="00F37CB6"/>
    <w:rsid w:val="00F37F65"/>
    <w:rsid w:val="00F4010B"/>
    <w:rsid w:val="00F40E35"/>
    <w:rsid w:val="00F415E6"/>
    <w:rsid w:val="00F423B4"/>
    <w:rsid w:val="00F42695"/>
    <w:rsid w:val="00F42B01"/>
    <w:rsid w:val="00F42B05"/>
    <w:rsid w:val="00F443AA"/>
    <w:rsid w:val="00F45254"/>
    <w:rsid w:val="00F45469"/>
    <w:rsid w:val="00F45961"/>
    <w:rsid w:val="00F46D35"/>
    <w:rsid w:val="00F46E42"/>
    <w:rsid w:val="00F4702C"/>
    <w:rsid w:val="00F47982"/>
    <w:rsid w:val="00F503CE"/>
    <w:rsid w:val="00F505B8"/>
    <w:rsid w:val="00F524B7"/>
    <w:rsid w:val="00F52E61"/>
    <w:rsid w:val="00F53282"/>
    <w:rsid w:val="00F53392"/>
    <w:rsid w:val="00F539C4"/>
    <w:rsid w:val="00F53E89"/>
    <w:rsid w:val="00F53EFE"/>
    <w:rsid w:val="00F55258"/>
    <w:rsid w:val="00F56ED1"/>
    <w:rsid w:val="00F60468"/>
    <w:rsid w:val="00F60BA2"/>
    <w:rsid w:val="00F6171E"/>
    <w:rsid w:val="00F62299"/>
    <w:rsid w:val="00F62561"/>
    <w:rsid w:val="00F634F6"/>
    <w:rsid w:val="00F642AD"/>
    <w:rsid w:val="00F65C3B"/>
    <w:rsid w:val="00F65ED0"/>
    <w:rsid w:val="00F66461"/>
    <w:rsid w:val="00F666D2"/>
    <w:rsid w:val="00F66BF2"/>
    <w:rsid w:val="00F7144B"/>
    <w:rsid w:val="00F73441"/>
    <w:rsid w:val="00F74090"/>
    <w:rsid w:val="00F746AD"/>
    <w:rsid w:val="00F74BFF"/>
    <w:rsid w:val="00F74C00"/>
    <w:rsid w:val="00F760BE"/>
    <w:rsid w:val="00F763B8"/>
    <w:rsid w:val="00F76545"/>
    <w:rsid w:val="00F77B4D"/>
    <w:rsid w:val="00F8076C"/>
    <w:rsid w:val="00F81322"/>
    <w:rsid w:val="00F82A9F"/>
    <w:rsid w:val="00F831C0"/>
    <w:rsid w:val="00F84ACC"/>
    <w:rsid w:val="00F853A4"/>
    <w:rsid w:val="00F86A1D"/>
    <w:rsid w:val="00F86BD8"/>
    <w:rsid w:val="00F87B07"/>
    <w:rsid w:val="00F87DC7"/>
    <w:rsid w:val="00F90768"/>
    <w:rsid w:val="00F913D1"/>
    <w:rsid w:val="00F91DF1"/>
    <w:rsid w:val="00F92627"/>
    <w:rsid w:val="00F932B1"/>
    <w:rsid w:val="00F93336"/>
    <w:rsid w:val="00F93EFC"/>
    <w:rsid w:val="00F9423C"/>
    <w:rsid w:val="00F945E6"/>
    <w:rsid w:val="00F9487B"/>
    <w:rsid w:val="00F94880"/>
    <w:rsid w:val="00F94A07"/>
    <w:rsid w:val="00F94B2A"/>
    <w:rsid w:val="00F9523F"/>
    <w:rsid w:val="00F96A53"/>
    <w:rsid w:val="00F96D31"/>
    <w:rsid w:val="00F96D70"/>
    <w:rsid w:val="00F979CB"/>
    <w:rsid w:val="00FA0420"/>
    <w:rsid w:val="00FA0466"/>
    <w:rsid w:val="00FA27B5"/>
    <w:rsid w:val="00FA33D2"/>
    <w:rsid w:val="00FA3528"/>
    <w:rsid w:val="00FA4AC5"/>
    <w:rsid w:val="00FA5C15"/>
    <w:rsid w:val="00FA6A10"/>
    <w:rsid w:val="00FA6FF6"/>
    <w:rsid w:val="00FA794D"/>
    <w:rsid w:val="00FA7965"/>
    <w:rsid w:val="00FA7ED1"/>
    <w:rsid w:val="00FB016C"/>
    <w:rsid w:val="00FB2E49"/>
    <w:rsid w:val="00FB2E4C"/>
    <w:rsid w:val="00FB3FFF"/>
    <w:rsid w:val="00FB4E93"/>
    <w:rsid w:val="00FB66BA"/>
    <w:rsid w:val="00FB736C"/>
    <w:rsid w:val="00FC159E"/>
    <w:rsid w:val="00FC1FC9"/>
    <w:rsid w:val="00FC2D8B"/>
    <w:rsid w:val="00FC2DA3"/>
    <w:rsid w:val="00FC3ED3"/>
    <w:rsid w:val="00FC470A"/>
    <w:rsid w:val="00FC4D99"/>
    <w:rsid w:val="00FC5243"/>
    <w:rsid w:val="00FC532C"/>
    <w:rsid w:val="00FC5511"/>
    <w:rsid w:val="00FC5949"/>
    <w:rsid w:val="00FC5DC5"/>
    <w:rsid w:val="00FC6135"/>
    <w:rsid w:val="00FC646A"/>
    <w:rsid w:val="00FC6559"/>
    <w:rsid w:val="00FC7463"/>
    <w:rsid w:val="00FC752D"/>
    <w:rsid w:val="00FC78FF"/>
    <w:rsid w:val="00FD0616"/>
    <w:rsid w:val="00FD1F18"/>
    <w:rsid w:val="00FD2188"/>
    <w:rsid w:val="00FD286A"/>
    <w:rsid w:val="00FD2BD6"/>
    <w:rsid w:val="00FD3170"/>
    <w:rsid w:val="00FD3306"/>
    <w:rsid w:val="00FD36B1"/>
    <w:rsid w:val="00FD37C5"/>
    <w:rsid w:val="00FD3F48"/>
    <w:rsid w:val="00FD4A45"/>
    <w:rsid w:val="00FD4E5F"/>
    <w:rsid w:val="00FD5020"/>
    <w:rsid w:val="00FD5F6A"/>
    <w:rsid w:val="00FD63B2"/>
    <w:rsid w:val="00FD6579"/>
    <w:rsid w:val="00FD68BE"/>
    <w:rsid w:val="00FD74D9"/>
    <w:rsid w:val="00FD7608"/>
    <w:rsid w:val="00FE0A3F"/>
    <w:rsid w:val="00FE19E5"/>
    <w:rsid w:val="00FE319E"/>
    <w:rsid w:val="00FE4975"/>
    <w:rsid w:val="00FE59FD"/>
    <w:rsid w:val="00FE6005"/>
    <w:rsid w:val="00FE629E"/>
    <w:rsid w:val="00FE74F2"/>
    <w:rsid w:val="00FE7F98"/>
    <w:rsid w:val="00FF01FE"/>
    <w:rsid w:val="00FF05BA"/>
    <w:rsid w:val="00FF0A56"/>
    <w:rsid w:val="00FF0CB8"/>
    <w:rsid w:val="00FF0CF9"/>
    <w:rsid w:val="00FF2E7F"/>
    <w:rsid w:val="00FF306D"/>
    <w:rsid w:val="00FF3DBB"/>
    <w:rsid w:val="00FF494D"/>
    <w:rsid w:val="00FF4CF9"/>
    <w:rsid w:val="00FF54FD"/>
    <w:rsid w:val="00FF5BE4"/>
    <w:rsid w:val="00FF6C96"/>
    <w:rsid w:val="00FF6EE9"/>
    <w:rsid w:val="00FF7535"/>
    <w:rsid w:val="00FF7D71"/>
    <w:rsid w:val="0A27BA93"/>
    <w:rsid w:val="11C6FAD4"/>
    <w:rsid w:val="29A67B04"/>
    <w:rsid w:val="3037393E"/>
    <w:rsid w:val="3CB902F9"/>
    <w:rsid w:val="48FE6C5F"/>
    <w:rsid w:val="7222DF97"/>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B6C3F7"/>
  <w15:chartTrackingRefBased/>
  <w15:docId w15:val="{6B7E4246-BD96-4306-B126-40BA65895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lsdException w:name="List 4" w:semiHidden="1" w:unhideWhenUsed="1"/>
    <w:lsdException w:name="List 5" w:semiHidden="1"/>
    <w:lsdException w:name="List Bullet 2" w:semiHidden="1" w:unhideWhenUsed="1" w:qFormat="1"/>
    <w:lsdException w:name="List Bullet 3" w:semiHidden="1" w:unhideWhenUsed="1" w:qFormat="1"/>
    <w:lsdException w:name="List Bullet 4" w:semiHidden="1" w:uiPriority="13"/>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2"/>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0"/>
    <w:unhideWhenUsed/>
    <w:qFormat/>
    <w:rsid w:val="00AB53B3"/>
    <w:pPr>
      <w:spacing w:before="120" w:after="120" w:line="280" w:lineRule="atLeast"/>
    </w:pPr>
    <w:rPr>
      <w:rFonts w:ascii="Open Sans" w:hAnsi="Open Sans"/>
      <w:sz w:val="20"/>
      <w:szCs w:val="20"/>
    </w:rPr>
  </w:style>
  <w:style w:type="paragraph" w:styleId="Heading1">
    <w:name w:val="heading 1"/>
    <w:basedOn w:val="Normal"/>
    <w:next w:val="BodyText"/>
    <w:link w:val="Heading1Char"/>
    <w:uiPriority w:val="9"/>
    <w:qFormat/>
    <w:rsid w:val="00AB53B3"/>
    <w:pPr>
      <w:numPr>
        <w:numId w:val="21"/>
      </w:numPr>
      <w:pBdr>
        <w:top w:val="single" w:sz="4" w:space="31" w:color="E7F6FD"/>
        <w:left w:val="single" w:sz="4" w:space="26" w:color="E7F6FD"/>
        <w:bottom w:val="single" w:sz="4" w:space="26" w:color="E7F6FD"/>
        <w:right w:val="single" w:sz="4" w:space="26" w:color="E7F6FD"/>
      </w:pBdr>
      <w:shd w:val="clear" w:color="auto" w:fill="E7F6FD"/>
      <w:spacing w:before="240" w:after="480" w:line="504" w:lineRule="atLeast"/>
      <w:ind w:right="567"/>
      <w:outlineLvl w:val="0"/>
    </w:pPr>
    <w:rPr>
      <w:rFonts w:ascii="Open Sans Extrabold" w:hAnsi="Open Sans Extrabold"/>
      <w:color w:val="1C4373" w:themeColor="background2" w:themeShade="BF"/>
      <w:sz w:val="42"/>
    </w:rPr>
  </w:style>
  <w:style w:type="paragraph" w:styleId="Heading2">
    <w:name w:val="heading 2"/>
    <w:basedOn w:val="Normal"/>
    <w:next w:val="BodyText"/>
    <w:link w:val="Heading2Char"/>
    <w:uiPriority w:val="9"/>
    <w:qFormat/>
    <w:rsid w:val="00AB53B3"/>
    <w:pPr>
      <w:keepNext/>
      <w:keepLines/>
      <w:numPr>
        <w:ilvl w:val="2"/>
        <w:numId w:val="21"/>
      </w:numPr>
      <w:spacing w:before="480" w:line="340" w:lineRule="atLeast"/>
      <w:outlineLvl w:val="1"/>
    </w:pPr>
    <w:rPr>
      <w:rFonts w:ascii="Open Sans Extrabold" w:eastAsiaTheme="majorEastAsia" w:hAnsi="Open Sans Extrabold" w:cstheme="majorBidi"/>
      <w:color w:val="1C4373" w:themeColor="background2" w:themeShade="BF"/>
      <w:sz w:val="30"/>
      <w:szCs w:val="60"/>
    </w:rPr>
  </w:style>
  <w:style w:type="paragraph" w:styleId="Heading3">
    <w:name w:val="heading 3"/>
    <w:basedOn w:val="Normal"/>
    <w:next w:val="BodyText"/>
    <w:link w:val="Heading3Char"/>
    <w:uiPriority w:val="9"/>
    <w:qFormat/>
    <w:rsid w:val="00AB53B3"/>
    <w:pPr>
      <w:keepNext/>
      <w:keepLines/>
      <w:spacing w:before="240" w:line="300" w:lineRule="atLeast"/>
      <w:outlineLvl w:val="2"/>
    </w:pPr>
    <w:rPr>
      <w:rFonts w:ascii="Open Sans Extrabold" w:eastAsiaTheme="majorEastAsia" w:hAnsi="Open Sans Extrabold" w:cstheme="majorBidi"/>
      <w:color w:val="207291" w:themeColor="text2" w:themeShade="BF"/>
      <w:sz w:val="26"/>
      <w:szCs w:val="37"/>
    </w:rPr>
  </w:style>
  <w:style w:type="paragraph" w:styleId="Heading4">
    <w:name w:val="heading 4"/>
    <w:basedOn w:val="Normal"/>
    <w:next w:val="BodyText"/>
    <w:link w:val="Heading4Char"/>
    <w:uiPriority w:val="9"/>
    <w:qFormat/>
    <w:rsid w:val="00AB53B3"/>
    <w:pPr>
      <w:keepNext/>
      <w:keepLines/>
      <w:spacing w:before="240" w:line="264" w:lineRule="atLeast"/>
      <w:outlineLvl w:val="3"/>
    </w:pPr>
    <w:rPr>
      <w:rFonts w:ascii="Open Sans Extrabold" w:eastAsiaTheme="majorEastAsia" w:hAnsi="Open Sans Extrabold" w:cstheme="majorBidi"/>
      <w:iCs/>
      <w:color w:val="1C4373" w:themeColor="background2" w:themeShade="BF"/>
      <w:sz w:val="22"/>
      <w:szCs w:val="33"/>
    </w:rPr>
  </w:style>
  <w:style w:type="paragraph" w:styleId="Heading5">
    <w:name w:val="heading 5"/>
    <w:basedOn w:val="Normal"/>
    <w:next w:val="BodyText"/>
    <w:link w:val="Heading5Char"/>
    <w:uiPriority w:val="9"/>
    <w:qFormat/>
    <w:rsid w:val="00AB53B3"/>
    <w:pPr>
      <w:keepNext/>
      <w:keepLines/>
      <w:spacing w:before="240" w:line="264" w:lineRule="atLeast"/>
      <w:outlineLvl w:val="4"/>
    </w:pPr>
    <w:rPr>
      <w:rFonts w:eastAsiaTheme="majorEastAsia" w:cstheme="majorBidi"/>
      <w:b/>
      <w:color w:val="265A9A" w:themeColor="background2"/>
      <w:sz w:val="22"/>
      <w:szCs w:val="29"/>
    </w:rPr>
  </w:style>
  <w:style w:type="paragraph" w:styleId="Heading6">
    <w:name w:val="heading 6"/>
    <w:basedOn w:val="Normal"/>
    <w:next w:val="BodyText"/>
    <w:link w:val="Heading6Char"/>
    <w:uiPriority w:val="9"/>
    <w:rsid w:val="00AB53B3"/>
    <w:pPr>
      <w:keepNext/>
      <w:keepLines/>
      <w:spacing w:line="240" w:lineRule="atLeast"/>
      <w:outlineLvl w:val="5"/>
    </w:pPr>
    <w:rPr>
      <w:rFonts w:eastAsiaTheme="majorEastAsia" w:cstheme="minorHAnsi"/>
      <w:b/>
      <w:bCs/>
      <w:i/>
      <w:color w:val="265A9A" w:themeColor="background2"/>
      <w:szCs w:val="24"/>
    </w:rPr>
  </w:style>
  <w:style w:type="paragraph" w:styleId="Heading7">
    <w:name w:val="heading 7"/>
    <w:basedOn w:val="Normal"/>
    <w:next w:val="Normal"/>
    <w:link w:val="Heading7Char"/>
    <w:uiPriority w:val="9"/>
    <w:semiHidden/>
    <w:qFormat/>
    <w:rsid w:val="00AB53B3"/>
    <w:pPr>
      <w:keepNext/>
      <w:keepLines/>
      <w:spacing w:line="240" w:lineRule="atLeast"/>
      <w:outlineLvl w:val="6"/>
    </w:pPr>
    <w:rPr>
      <w:rFonts w:eastAsiaTheme="majorEastAsia" w:cstheme="minorHAnsi"/>
      <w:b/>
      <w:bCs/>
      <w:i/>
      <w:iCs/>
      <w:color w:val="265A9A" w:themeColor="background2"/>
      <w:szCs w:val="22"/>
    </w:rPr>
  </w:style>
  <w:style w:type="paragraph" w:styleId="Heading8">
    <w:name w:val="heading 8"/>
    <w:basedOn w:val="Normal"/>
    <w:next w:val="Normal"/>
    <w:link w:val="Heading8Char"/>
    <w:uiPriority w:val="9"/>
    <w:semiHidden/>
    <w:qFormat/>
    <w:rsid w:val="00AB53B3"/>
    <w:pPr>
      <w:keepNext/>
      <w:keepLines/>
      <w:spacing w:after="0" w:line="293" w:lineRule="auto"/>
      <w:outlineLvl w:val="7"/>
    </w:pPr>
    <w:rPr>
      <w:rFonts w:eastAsiaTheme="majorEastAsia" w:cstheme="majorBidi"/>
      <w:b/>
      <w:sz w:val="18"/>
      <w:szCs w:val="21"/>
    </w:rPr>
  </w:style>
  <w:style w:type="paragraph" w:styleId="Heading9">
    <w:name w:val="heading 9"/>
    <w:basedOn w:val="Normal"/>
    <w:next w:val="Normal"/>
    <w:link w:val="Heading9Char"/>
    <w:uiPriority w:val="9"/>
    <w:semiHidden/>
    <w:rsid w:val="00AB53B3"/>
    <w:pPr>
      <w:spacing w:line="240" w:lineRule="auto"/>
      <w:outlineLvl w:val="8"/>
    </w:pPr>
    <w:rPr>
      <w:rFonts w:asciiTheme="majorHAnsi" w:hAnsiTheme="majorHAnsi"/>
      <w:color w:val="8956A3" w:themeColor="accent2"/>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53B3"/>
    <w:rPr>
      <w:color w:val="808080"/>
    </w:rPr>
  </w:style>
  <w:style w:type="paragraph" w:styleId="Date">
    <w:name w:val="Date"/>
    <w:basedOn w:val="Normal"/>
    <w:next w:val="Normal"/>
    <w:link w:val="DateChar"/>
    <w:uiPriority w:val="99"/>
    <w:unhideWhenUsed/>
    <w:rsid w:val="00AB53B3"/>
    <w:pPr>
      <w:spacing w:after="360" w:line="293" w:lineRule="auto"/>
    </w:pPr>
  </w:style>
  <w:style w:type="character" w:customStyle="1" w:styleId="DateChar">
    <w:name w:val="Date Char"/>
    <w:basedOn w:val="DefaultParagraphFont"/>
    <w:link w:val="Date"/>
    <w:uiPriority w:val="99"/>
    <w:rsid w:val="00AB53B3"/>
    <w:rPr>
      <w:rFonts w:ascii="Open Sans" w:hAnsi="Open Sans"/>
      <w:sz w:val="20"/>
      <w:szCs w:val="20"/>
    </w:rPr>
  </w:style>
  <w:style w:type="paragraph" w:styleId="NoSpacing">
    <w:name w:val="No Spacing"/>
    <w:basedOn w:val="Normal"/>
    <w:link w:val="NoSpacingChar"/>
    <w:uiPriority w:val="10"/>
    <w:qFormat/>
    <w:rsid w:val="00AB53B3"/>
    <w:pPr>
      <w:spacing w:before="0" w:after="0"/>
    </w:pPr>
  </w:style>
  <w:style w:type="paragraph" w:styleId="ListBullet">
    <w:name w:val="List Bullet"/>
    <w:basedOn w:val="Normal"/>
    <w:link w:val="ListBulletChar"/>
    <w:uiPriority w:val="1"/>
    <w:qFormat/>
    <w:rsid w:val="00AB53B3"/>
    <w:pPr>
      <w:numPr>
        <w:numId w:val="23"/>
      </w:numPr>
      <w:contextualSpacing/>
    </w:pPr>
  </w:style>
  <w:style w:type="paragraph" w:styleId="ListBullet2">
    <w:name w:val="List Bullet 2"/>
    <w:basedOn w:val="Normal"/>
    <w:uiPriority w:val="1"/>
    <w:qFormat/>
    <w:rsid w:val="00AB53B3"/>
    <w:pPr>
      <w:numPr>
        <w:ilvl w:val="1"/>
        <w:numId w:val="23"/>
      </w:numPr>
      <w:contextualSpacing/>
    </w:pPr>
  </w:style>
  <w:style w:type="paragraph" w:styleId="ListNumber">
    <w:name w:val="List Number"/>
    <w:basedOn w:val="Normal"/>
    <w:uiPriority w:val="2"/>
    <w:qFormat/>
    <w:rsid w:val="00AB53B3"/>
    <w:pPr>
      <w:numPr>
        <w:numId w:val="22"/>
      </w:numPr>
      <w:spacing w:before="60"/>
      <w:contextualSpacing/>
    </w:pPr>
  </w:style>
  <w:style w:type="numbering" w:customStyle="1" w:styleId="Bullets">
    <w:name w:val="Bullets"/>
    <w:uiPriority w:val="99"/>
    <w:rsid w:val="00AB53B3"/>
    <w:pPr>
      <w:numPr>
        <w:numId w:val="1"/>
      </w:numPr>
    </w:pPr>
  </w:style>
  <w:style w:type="character" w:customStyle="1" w:styleId="Heading1Char">
    <w:name w:val="Heading 1 Char"/>
    <w:basedOn w:val="DefaultParagraphFont"/>
    <w:link w:val="Heading1"/>
    <w:uiPriority w:val="9"/>
    <w:rsid w:val="00AB53B3"/>
    <w:rPr>
      <w:rFonts w:ascii="Open Sans Extrabold" w:hAnsi="Open Sans Extrabold"/>
      <w:color w:val="1C4373" w:themeColor="background2" w:themeShade="BF"/>
      <w:sz w:val="42"/>
      <w:szCs w:val="20"/>
      <w:shd w:val="clear" w:color="auto" w:fill="E7F6FD"/>
    </w:rPr>
  </w:style>
  <w:style w:type="paragraph" w:styleId="ListNumber2">
    <w:name w:val="List Number 2"/>
    <w:basedOn w:val="Normal"/>
    <w:uiPriority w:val="13"/>
    <w:semiHidden/>
    <w:qFormat/>
    <w:rsid w:val="00AB53B3"/>
    <w:pPr>
      <w:numPr>
        <w:ilvl w:val="1"/>
        <w:numId w:val="22"/>
      </w:numPr>
      <w:spacing w:before="60"/>
      <w:contextualSpacing/>
    </w:pPr>
  </w:style>
  <w:style w:type="character" w:customStyle="1" w:styleId="Heading2Char">
    <w:name w:val="Heading 2 Char"/>
    <w:basedOn w:val="DefaultParagraphFont"/>
    <w:link w:val="Heading2"/>
    <w:uiPriority w:val="9"/>
    <w:rsid w:val="00AB53B3"/>
    <w:rPr>
      <w:rFonts w:ascii="Open Sans Extrabold" w:eastAsiaTheme="majorEastAsia" w:hAnsi="Open Sans Extrabold" w:cstheme="majorBidi"/>
      <w:color w:val="1C4373" w:themeColor="background2" w:themeShade="BF"/>
      <w:sz w:val="30"/>
      <w:szCs w:val="60"/>
    </w:rPr>
  </w:style>
  <w:style w:type="paragraph" w:styleId="ListParagraph">
    <w:name w:val="List Paragraph"/>
    <w:basedOn w:val="Normal"/>
    <w:uiPriority w:val="34"/>
    <w:rsid w:val="00AB53B3"/>
    <w:pPr>
      <w:spacing w:line="293" w:lineRule="auto"/>
      <w:ind w:left="284"/>
      <w:contextualSpacing/>
    </w:pPr>
  </w:style>
  <w:style w:type="paragraph" w:styleId="Header">
    <w:name w:val="header"/>
    <w:basedOn w:val="Normal"/>
    <w:link w:val="HeaderChar"/>
    <w:uiPriority w:val="99"/>
    <w:unhideWhenUsed/>
    <w:rsid w:val="00AB53B3"/>
    <w:pPr>
      <w:tabs>
        <w:tab w:val="center" w:pos="4513"/>
        <w:tab w:val="right" w:pos="9026"/>
      </w:tabs>
      <w:spacing w:after="0" w:line="240" w:lineRule="auto"/>
    </w:pPr>
    <w:rPr>
      <w:sz w:val="16"/>
    </w:rPr>
  </w:style>
  <w:style w:type="character" w:customStyle="1" w:styleId="HeaderChar">
    <w:name w:val="Header Char"/>
    <w:basedOn w:val="DefaultParagraphFont"/>
    <w:link w:val="Header"/>
    <w:uiPriority w:val="99"/>
    <w:rsid w:val="00AB53B3"/>
    <w:rPr>
      <w:rFonts w:ascii="Open Sans" w:hAnsi="Open Sans"/>
      <w:sz w:val="16"/>
      <w:szCs w:val="20"/>
    </w:rPr>
  </w:style>
  <w:style w:type="paragraph" w:styleId="Footer">
    <w:name w:val="footer"/>
    <w:basedOn w:val="Normal"/>
    <w:link w:val="FooterChar"/>
    <w:uiPriority w:val="11"/>
    <w:rsid w:val="00AB53B3"/>
    <w:pPr>
      <w:tabs>
        <w:tab w:val="center" w:pos="4513"/>
        <w:tab w:val="right" w:pos="9026"/>
      </w:tabs>
      <w:spacing w:after="0" w:line="240" w:lineRule="auto"/>
      <w:contextualSpacing/>
    </w:pPr>
    <w:rPr>
      <w:rFonts w:ascii="Open Sans Extrabold" w:hAnsi="Open Sans Extrabold"/>
      <w:sz w:val="17"/>
      <w:szCs w:val="22"/>
    </w:rPr>
  </w:style>
  <w:style w:type="character" w:customStyle="1" w:styleId="FooterChar">
    <w:name w:val="Footer Char"/>
    <w:basedOn w:val="DefaultParagraphFont"/>
    <w:link w:val="Footer"/>
    <w:uiPriority w:val="11"/>
    <w:rsid w:val="00AB53B3"/>
    <w:rPr>
      <w:rFonts w:ascii="Open Sans Extrabold" w:hAnsi="Open Sans Extrabold"/>
      <w:sz w:val="17"/>
    </w:rPr>
  </w:style>
  <w:style w:type="numbering" w:customStyle="1" w:styleId="Numbering">
    <w:name w:val="Numbering"/>
    <w:uiPriority w:val="99"/>
    <w:rsid w:val="00AB53B3"/>
    <w:pPr>
      <w:numPr>
        <w:numId w:val="11"/>
      </w:numPr>
    </w:pPr>
  </w:style>
  <w:style w:type="paragraph" w:styleId="ListBullet3">
    <w:name w:val="List Bullet 3"/>
    <w:basedOn w:val="Normal"/>
    <w:uiPriority w:val="1"/>
    <w:qFormat/>
    <w:rsid w:val="00AB53B3"/>
    <w:pPr>
      <w:numPr>
        <w:ilvl w:val="2"/>
        <w:numId w:val="23"/>
      </w:numPr>
      <w:contextualSpacing/>
    </w:pPr>
  </w:style>
  <w:style w:type="paragraph" w:styleId="ListContinue2">
    <w:name w:val="List Continue 2"/>
    <w:basedOn w:val="Normal"/>
    <w:uiPriority w:val="3"/>
    <w:unhideWhenUsed/>
    <w:qFormat/>
    <w:rsid w:val="00AB53B3"/>
    <w:pPr>
      <w:spacing w:before="60"/>
      <w:ind w:left="454"/>
    </w:pPr>
  </w:style>
  <w:style w:type="paragraph" w:styleId="ListNumber3">
    <w:name w:val="List Number 3"/>
    <w:basedOn w:val="Normal"/>
    <w:uiPriority w:val="13"/>
    <w:semiHidden/>
    <w:qFormat/>
    <w:rsid w:val="00AB53B3"/>
    <w:pPr>
      <w:numPr>
        <w:ilvl w:val="2"/>
        <w:numId w:val="22"/>
      </w:numPr>
      <w:spacing w:before="60"/>
      <w:contextualSpacing/>
    </w:pPr>
  </w:style>
  <w:style w:type="paragraph" w:styleId="ListNumber4">
    <w:name w:val="List Number 4"/>
    <w:basedOn w:val="Normal"/>
    <w:uiPriority w:val="13"/>
    <w:semiHidden/>
    <w:qFormat/>
    <w:rsid w:val="00AB53B3"/>
    <w:pPr>
      <w:numPr>
        <w:ilvl w:val="3"/>
        <w:numId w:val="22"/>
      </w:numPr>
      <w:spacing w:after="200" w:line="293" w:lineRule="auto"/>
      <w:contextualSpacing/>
    </w:pPr>
  </w:style>
  <w:style w:type="paragraph" w:styleId="ListNumber5">
    <w:name w:val="List Number 5"/>
    <w:basedOn w:val="Normal"/>
    <w:uiPriority w:val="13"/>
    <w:semiHidden/>
    <w:rsid w:val="00AB53B3"/>
    <w:pPr>
      <w:numPr>
        <w:ilvl w:val="4"/>
        <w:numId w:val="22"/>
      </w:numPr>
      <w:spacing w:after="200" w:line="293" w:lineRule="auto"/>
      <w:contextualSpacing/>
    </w:pPr>
  </w:style>
  <w:style w:type="paragraph" w:styleId="ListContinue">
    <w:name w:val="List Continue"/>
    <w:basedOn w:val="Normal"/>
    <w:uiPriority w:val="3"/>
    <w:unhideWhenUsed/>
    <w:qFormat/>
    <w:rsid w:val="00AB53B3"/>
    <w:pPr>
      <w:spacing w:before="60"/>
      <w:ind w:left="227"/>
    </w:pPr>
  </w:style>
  <w:style w:type="paragraph" w:styleId="ListContinue3">
    <w:name w:val="List Continue 3"/>
    <w:basedOn w:val="Normal"/>
    <w:uiPriority w:val="3"/>
    <w:unhideWhenUsed/>
    <w:qFormat/>
    <w:rsid w:val="00AB53B3"/>
    <w:pPr>
      <w:spacing w:before="60"/>
      <w:ind w:left="907"/>
    </w:pPr>
  </w:style>
  <w:style w:type="paragraph" w:styleId="ListContinue4">
    <w:name w:val="List Continue 4"/>
    <w:basedOn w:val="Normal"/>
    <w:uiPriority w:val="3"/>
    <w:unhideWhenUsed/>
    <w:qFormat/>
    <w:rsid w:val="00AB53B3"/>
    <w:pPr>
      <w:spacing w:line="293" w:lineRule="auto"/>
      <w:ind w:left="907"/>
      <w:contextualSpacing/>
    </w:pPr>
  </w:style>
  <w:style w:type="character" w:customStyle="1" w:styleId="Heading3Char">
    <w:name w:val="Heading 3 Char"/>
    <w:basedOn w:val="DefaultParagraphFont"/>
    <w:link w:val="Heading3"/>
    <w:uiPriority w:val="9"/>
    <w:rsid w:val="00AB53B3"/>
    <w:rPr>
      <w:rFonts w:ascii="Open Sans Extrabold" w:eastAsiaTheme="majorEastAsia" w:hAnsi="Open Sans Extrabold" w:cstheme="majorBidi"/>
      <w:color w:val="207291" w:themeColor="text2" w:themeShade="BF"/>
      <w:sz w:val="26"/>
      <w:szCs w:val="37"/>
    </w:rPr>
  </w:style>
  <w:style w:type="character" w:customStyle="1" w:styleId="Heading4Char">
    <w:name w:val="Heading 4 Char"/>
    <w:basedOn w:val="DefaultParagraphFont"/>
    <w:link w:val="Heading4"/>
    <w:uiPriority w:val="9"/>
    <w:rsid w:val="00AB53B3"/>
    <w:rPr>
      <w:rFonts w:ascii="Open Sans Extrabold" w:eastAsiaTheme="majorEastAsia" w:hAnsi="Open Sans Extrabold" w:cstheme="majorBidi"/>
      <w:iCs/>
      <w:color w:val="1C4373" w:themeColor="background2" w:themeShade="BF"/>
      <w:szCs w:val="33"/>
    </w:rPr>
  </w:style>
  <w:style w:type="character" w:customStyle="1" w:styleId="Heading5Char">
    <w:name w:val="Heading 5 Char"/>
    <w:basedOn w:val="DefaultParagraphFont"/>
    <w:link w:val="Heading5"/>
    <w:uiPriority w:val="9"/>
    <w:rsid w:val="00AB53B3"/>
    <w:rPr>
      <w:rFonts w:ascii="Open Sans" w:eastAsiaTheme="majorEastAsia" w:hAnsi="Open Sans" w:cstheme="majorBidi"/>
      <w:b/>
      <w:color w:val="265A9A" w:themeColor="background2"/>
      <w:szCs w:val="29"/>
    </w:rPr>
  </w:style>
  <w:style w:type="numbering" w:customStyle="1" w:styleId="ListHeadings">
    <w:name w:val="List Headings"/>
    <w:uiPriority w:val="99"/>
    <w:rsid w:val="00AB53B3"/>
    <w:pPr>
      <w:numPr>
        <w:numId w:val="10"/>
      </w:numPr>
    </w:pPr>
  </w:style>
  <w:style w:type="paragraph" w:styleId="Title">
    <w:name w:val="Title"/>
    <w:basedOn w:val="Heading1"/>
    <w:next w:val="Normal"/>
    <w:link w:val="TitleChar"/>
    <w:uiPriority w:val="39"/>
    <w:rsid w:val="00AB53B3"/>
    <w:pPr>
      <w:numPr>
        <w:numId w:val="0"/>
      </w:numPr>
      <w:pBdr>
        <w:top w:val="none" w:sz="0" w:space="0" w:color="auto"/>
        <w:left w:val="none" w:sz="0" w:space="0" w:color="auto"/>
        <w:bottom w:val="none" w:sz="0" w:space="0" w:color="auto"/>
        <w:right w:val="none" w:sz="0" w:space="0" w:color="auto"/>
      </w:pBdr>
      <w:shd w:val="clear" w:color="auto" w:fill="auto"/>
      <w:spacing w:before="560" w:line="204" w:lineRule="auto"/>
      <w:ind w:right="2268"/>
      <w:contextualSpacing/>
    </w:pPr>
    <w:rPr>
      <w:rFonts w:eastAsiaTheme="majorEastAsia" w:cstheme="majorBidi"/>
      <w:kern w:val="28"/>
      <w:sz w:val="56"/>
      <w:szCs w:val="56"/>
    </w:rPr>
  </w:style>
  <w:style w:type="character" w:customStyle="1" w:styleId="TitleChar">
    <w:name w:val="Title Char"/>
    <w:basedOn w:val="DefaultParagraphFont"/>
    <w:link w:val="Title"/>
    <w:uiPriority w:val="39"/>
    <w:rsid w:val="00AB53B3"/>
    <w:rPr>
      <w:rFonts w:ascii="Open Sans Extrabold" w:eastAsiaTheme="majorEastAsia" w:hAnsi="Open Sans Extrabold" w:cstheme="majorBidi"/>
      <w:color w:val="1C4373" w:themeColor="background2" w:themeShade="BF"/>
      <w:kern w:val="28"/>
      <w:sz w:val="56"/>
      <w:szCs w:val="56"/>
    </w:rPr>
  </w:style>
  <w:style w:type="paragraph" w:customStyle="1" w:styleId="Pull-outQuote">
    <w:name w:val="Pull-out Quote"/>
    <w:basedOn w:val="Normal"/>
    <w:link w:val="Pull-outQuoteChar"/>
    <w:uiPriority w:val="99"/>
    <w:semiHidden/>
    <w:rsid w:val="00AB53B3"/>
    <w:pPr>
      <w:pBdr>
        <w:top w:val="single" w:sz="4" w:space="4" w:color="2B9AC2" w:themeColor="text2"/>
        <w:left w:val="single" w:sz="4" w:space="4" w:color="2B9AC2" w:themeColor="text2"/>
        <w:bottom w:val="single" w:sz="4" w:space="4" w:color="2B9AC2" w:themeColor="text2"/>
        <w:right w:val="single" w:sz="4" w:space="4" w:color="2B9AC2" w:themeColor="text2"/>
      </w:pBdr>
      <w:shd w:val="clear" w:color="auto" w:fill="2B9AC2" w:themeFill="text2"/>
      <w:spacing w:line="293" w:lineRule="auto"/>
      <w:ind w:left="113" w:right="113"/>
    </w:pPr>
    <w:rPr>
      <w:color w:val="FFFFFF" w:themeColor="background1"/>
    </w:rPr>
  </w:style>
  <w:style w:type="paragraph" w:customStyle="1" w:styleId="Pull-outQuoteHeading">
    <w:name w:val="Pull-out Quote Heading"/>
    <w:basedOn w:val="Pull-outQuote"/>
    <w:next w:val="Pull-outQuote"/>
    <w:link w:val="Pull-outQuoteHeadingChar"/>
    <w:uiPriority w:val="99"/>
    <w:semiHidden/>
    <w:rsid w:val="00AB53B3"/>
    <w:rPr>
      <w:b/>
    </w:rPr>
  </w:style>
  <w:style w:type="character" w:customStyle="1" w:styleId="Pull-outQuoteChar">
    <w:name w:val="Pull-out Quote Char"/>
    <w:basedOn w:val="DefaultParagraphFont"/>
    <w:link w:val="Pull-outQuote"/>
    <w:uiPriority w:val="99"/>
    <w:semiHidden/>
    <w:rsid w:val="00AB53B3"/>
    <w:rPr>
      <w:rFonts w:ascii="Open Sans" w:hAnsi="Open Sans"/>
      <w:color w:val="FFFFFF" w:themeColor="background1"/>
      <w:sz w:val="20"/>
      <w:szCs w:val="20"/>
      <w:shd w:val="clear" w:color="auto" w:fill="2B9AC2" w:themeFill="text2"/>
    </w:rPr>
  </w:style>
  <w:style w:type="character" w:customStyle="1" w:styleId="Pull-outQuoteHeadingChar">
    <w:name w:val="Pull-out Quote Heading Char"/>
    <w:basedOn w:val="Pull-outQuoteChar"/>
    <w:link w:val="Pull-outQuoteHeading"/>
    <w:uiPriority w:val="99"/>
    <w:semiHidden/>
    <w:rsid w:val="00AB53B3"/>
    <w:rPr>
      <w:rFonts w:ascii="Open Sans" w:hAnsi="Open Sans"/>
      <w:b/>
      <w:color w:val="FFFFFF" w:themeColor="background1"/>
      <w:sz w:val="20"/>
      <w:szCs w:val="20"/>
      <w:shd w:val="clear" w:color="auto" w:fill="2B9AC2" w:themeFill="text2"/>
    </w:rPr>
  </w:style>
  <w:style w:type="paragraph" w:customStyle="1" w:styleId="NumberedHeading1">
    <w:name w:val="Numbered Heading 1"/>
    <w:basedOn w:val="Heading1"/>
    <w:next w:val="Normal"/>
    <w:link w:val="NumberedHeading1Char"/>
    <w:uiPriority w:val="9"/>
    <w:semiHidden/>
    <w:rsid w:val="00AB53B3"/>
  </w:style>
  <w:style w:type="paragraph" w:customStyle="1" w:styleId="NumberedHeading2">
    <w:name w:val="Numbered Heading 2"/>
    <w:basedOn w:val="Heading2"/>
    <w:next w:val="Normal"/>
    <w:link w:val="NumberedHeading2Char"/>
    <w:uiPriority w:val="9"/>
    <w:semiHidden/>
    <w:rsid w:val="00AB53B3"/>
  </w:style>
  <w:style w:type="character" w:customStyle="1" w:styleId="NumberedHeading1Char">
    <w:name w:val="Numbered Heading 1 Char"/>
    <w:basedOn w:val="Heading1Char"/>
    <w:link w:val="NumberedHeading1"/>
    <w:uiPriority w:val="9"/>
    <w:semiHidden/>
    <w:rsid w:val="00AB53B3"/>
    <w:rPr>
      <w:rFonts w:ascii="Open Sans Extrabold" w:hAnsi="Open Sans Extrabold"/>
      <w:color w:val="1C4373" w:themeColor="background2" w:themeShade="BF"/>
      <w:sz w:val="42"/>
      <w:szCs w:val="20"/>
      <w:shd w:val="clear" w:color="auto" w:fill="E7F6FD"/>
    </w:rPr>
  </w:style>
  <w:style w:type="character" w:customStyle="1" w:styleId="NumberedHeading2Char">
    <w:name w:val="Numbered Heading 2 Char"/>
    <w:basedOn w:val="Heading2Char"/>
    <w:link w:val="NumberedHeading2"/>
    <w:uiPriority w:val="9"/>
    <w:semiHidden/>
    <w:rsid w:val="00AB53B3"/>
    <w:rPr>
      <w:rFonts w:ascii="Open Sans Extrabold" w:eastAsiaTheme="majorEastAsia" w:hAnsi="Open Sans Extrabold" w:cstheme="majorBidi"/>
      <w:color w:val="1C4373" w:themeColor="background2" w:themeShade="BF"/>
      <w:sz w:val="30"/>
      <w:szCs w:val="60"/>
    </w:rPr>
  </w:style>
  <w:style w:type="paragraph" w:styleId="ListContinue5">
    <w:name w:val="List Continue 5"/>
    <w:basedOn w:val="Normal"/>
    <w:uiPriority w:val="3"/>
    <w:unhideWhenUsed/>
    <w:qFormat/>
    <w:rsid w:val="00AB53B3"/>
    <w:pPr>
      <w:ind w:left="1134"/>
      <w:contextualSpacing/>
    </w:pPr>
  </w:style>
  <w:style w:type="table" w:styleId="TableGrid">
    <w:name w:val="Table Grid"/>
    <w:basedOn w:val="TableNormal"/>
    <w:uiPriority w:val="39"/>
    <w:rsid w:val="00AB53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4"/>
    <w:qFormat/>
    <w:rsid w:val="00AB53B3"/>
    <w:pPr>
      <w:spacing w:before="0" w:after="40"/>
    </w:pPr>
    <w:rPr>
      <w:rFonts w:ascii="Open Sans Extrabold" w:hAnsi="Open Sans Extrabold"/>
      <w:iCs/>
      <w:color w:val="000000" w:themeColor="text1"/>
      <w:szCs w:val="18"/>
    </w:rPr>
  </w:style>
  <w:style w:type="paragraph" w:styleId="List">
    <w:name w:val="List"/>
    <w:basedOn w:val="Normal"/>
    <w:uiPriority w:val="99"/>
    <w:semiHidden/>
    <w:qFormat/>
    <w:rsid w:val="00AB53B3"/>
    <w:pPr>
      <w:numPr>
        <w:numId w:val="18"/>
      </w:numPr>
      <w:spacing w:before="60"/>
    </w:pPr>
  </w:style>
  <w:style w:type="paragraph" w:styleId="List2">
    <w:name w:val="List 2"/>
    <w:basedOn w:val="Normal"/>
    <w:uiPriority w:val="99"/>
    <w:semiHidden/>
    <w:qFormat/>
    <w:rsid w:val="00AB53B3"/>
    <w:pPr>
      <w:numPr>
        <w:ilvl w:val="1"/>
        <w:numId w:val="18"/>
      </w:numPr>
      <w:spacing w:before="60"/>
    </w:pPr>
  </w:style>
  <w:style w:type="numbering" w:customStyle="1" w:styleId="LetteredList">
    <w:name w:val="Lettered List"/>
    <w:uiPriority w:val="99"/>
    <w:rsid w:val="00AB53B3"/>
    <w:pPr>
      <w:numPr>
        <w:numId w:val="9"/>
      </w:numPr>
    </w:pPr>
  </w:style>
  <w:style w:type="paragraph" w:styleId="Subtitle">
    <w:name w:val="Subtitle"/>
    <w:basedOn w:val="Normal"/>
    <w:next w:val="Normal"/>
    <w:link w:val="SubtitleChar"/>
    <w:uiPriority w:val="39"/>
    <w:rsid w:val="00AB53B3"/>
    <w:pPr>
      <w:numPr>
        <w:ilvl w:val="1"/>
      </w:numPr>
      <w:spacing w:before="240" w:after="240" w:line="240" w:lineRule="auto"/>
    </w:pPr>
    <w:rPr>
      <w:rFonts w:eastAsiaTheme="minorEastAsia"/>
      <w:color w:val="1C4373" w:themeColor="background2" w:themeShade="BF"/>
      <w:sz w:val="48"/>
    </w:rPr>
  </w:style>
  <w:style w:type="character" w:customStyle="1" w:styleId="SubtitleChar">
    <w:name w:val="Subtitle Char"/>
    <w:basedOn w:val="DefaultParagraphFont"/>
    <w:link w:val="Subtitle"/>
    <w:uiPriority w:val="39"/>
    <w:rsid w:val="00AB53B3"/>
    <w:rPr>
      <w:rFonts w:ascii="Open Sans" w:eastAsiaTheme="minorEastAsia" w:hAnsi="Open Sans"/>
      <w:color w:val="1C4373" w:themeColor="background2" w:themeShade="BF"/>
      <w:sz w:val="48"/>
      <w:szCs w:val="20"/>
    </w:rPr>
  </w:style>
  <w:style w:type="character" w:styleId="Strong">
    <w:name w:val="Strong"/>
    <w:basedOn w:val="DefaultParagraphFont"/>
    <w:uiPriority w:val="22"/>
    <w:qFormat/>
    <w:rsid w:val="00AB53B3"/>
    <w:rPr>
      <w:rFonts w:ascii="Open Sans" w:hAnsi="Open Sans"/>
      <w:b/>
      <w:bCs/>
    </w:rPr>
  </w:style>
  <w:style w:type="paragraph" w:customStyle="1" w:styleId="Header-Keyline">
    <w:name w:val="Header - Keyline"/>
    <w:basedOn w:val="Header"/>
    <w:link w:val="Header-KeylineChar"/>
    <w:uiPriority w:val="99"/>
    <w:rsid w:val="00AB53B3"/>
    <w:pPr>
      <w:pBdr>
        <w:bottom w:val="single" w:sz="4" w:space="31" w:color="2B9AC2" w:themeColor="text2"/>
      </w:pBdr>
      <w:spacing w:after="600"/>
    </w:pPr>
  </w:style>
  <w:style w:type="character" w:customStyle="1" w:styleId="Heading6Char">
    <w:name w:val="Heading 6 Char"/>
    <w:basedOn w:val="DefaultParagraphFont"/>
    <w:link w:val="Heading6"/>
    <w:uiPriority w:val="9"/>
    <w:rsid w:val="00AB53B3"/>
    <w:rPr>
      <w:rFonts w:ascii="Open Sans" w:eastAsiaTheme="majorEastAsia" w:hAnsi="Open Sans" w:cstheme="minorHAnsi"/>
      <w:b/>
      <w:bCs/>
      <w:i/>
      <w:color w:val="265A9A" w:themeColor="background2"/>
      <w:sz w:val="20"/>
      <w:szCs w:val="24"/>
    </w:rPr>
  </w:style>
  <w:style w:type="character" w:customStyle="1" w:styleId="Header-KeylineChar">
    <w:name w:val="Header - Keyline Char"/>
    <w:basedOn w:val="HeaderChar"/>
    <w:link w:val="Header-Keyline"/>
    <w:uiPriority w:val="99"/>
    <w:rsid w:val="00AB53B3"/>
    <w:rPr>
      <w:rFonts w:ascii="Open Sans" w:hAnsi="Open Sans"/>
      <w:sz w:val="16"/>
      <w:szCs w:val="20"/>
    </w:rPr>
  </w:style>
  <w:style w:type="character" w:customStyle="1" w:styleId="Heading7Char">
    <w:name w:val="Heading 7 Char"/>
    <w:basedOn w:val="DefaultParagraphFont"/>
    <w:link w:val="Heading7"/>
    <w:uiPriority w:val="9"/>
    <w:semiHidden/>
    <w:rsid w:val="00AB53B3"/>
    <w:rPr>
      <w:rFonts w:ascii="Open Sans" w:eastAsiaTheme="majorEastAsia" w:hAnsi="Open Sans" w:cstheme="minorHAnsi"/>
      <w:b/>
      <w:bCs/>
      <w:i/>
      <w:iCs/>
      <w:color w:val="265A9A" w:themeColor="background2"/>
      <w:sz w:val="20"/>
    </w:rPr>
  </w:style>
  <w:style w:type="character" w:customStyle="1" w:styleId="Heading8Char">
    <w:name w:val="Heading 8 Char"/>
    <w:basedOn w:val="DefaultParagraphFont"/>
    <w:link w:val="Heading8"/>
    <w:uiPriority w:val="9"/>
    <w:semiHidden/>
    <w:rsid w:val="00AB53B3"/>
    <w:rPr>
      <w:rFonts w:ascii="Open Sans" w:eastAsiaTheme="majorEastAsia" w:hAnsi="Open Sans" w:cstheme="majorBidi"/>
      <w:b/>
      <w:sz w:val="18"/>
      <w:szCs w:val="21"/>
    </w:rPr>
  </w:style>
  <w:style w:type="table" w:customStyle="1" w:styleId="ProductivityCommissionTable1">
    <w:name w:val="Productivity Commission Table 1"/>
    <w:basedOn w:val="TableNormal"/>
    <w:uiPriority w:val="99"/>
    <w:rsid w:val="00AB53B3"/>
    <w:pPr>
      <w:spacing w:after="0" w:line="240" w:lineRule="auto"/>
    </w:pPr>
    <w:tblPr>
      <w:tblStyleRowBandSize w:val="1"/>
      <w:tblBorders>
        <w:top w:val="single" w:sz="4" w:space="0" w:color="BFBFBF"/>
        <w:bottom w:val="single" w:sz="4" w:space="0" w:color="B3B3B3"/>
        <w:insideH w:val="single" w:sz="4" w:space="0" w:color="B3B3B3"/>
      </w:tblBorders>
      <w:tblCellMar>
        <w:top w:w="45" w:type="dxa"/>
        <w:left w:w="0" w:type="dxa"/>
        <w:bottom w:w="45" w:type="dxa"/>
      </w:tblCellMar>
    </w:tblPr>
    <w:tblStylePr w:type="firstRow">
      <w:rPr>
        <w:b/>
        <w:color w:val="265A9A" w:themeColor="background2"/>
      </w:rPr>
    </w:tblStylePr>
    <w:tblStylePr w:type="firstCol">
      <w:rPr>
        <w:b/>
        <w:color w:val="265A9A" w:themeColor="background2"/>
      </w:rPr>
    </w:tblStylePr>
    <w:tblStylePr w:type="band1Horz">
      <w:tblPr/>
      <w:tcPr>
        <w:shd w:val="clear" w:color="auto" w:fill="F1F1F2"/>
      </w:tcPr>
    </w:tblStylePr>
  </w:style>
  <w:style w:type="character" w:customStyle="1" w:styleId="Heading9Char">
    <w:name w:val="Heading 9 Char"/>
    <w:basedOn w:val="DefaultParagraphFont"/>
    <w:link w:val="Heading9"/>
    <w:uiPriority w:val="9"/>
    <w:semiHidden/>
    <w:rsid w:val="00AB53B3"/>
    <w:rPr>
      <w:rFonts w:asciiTheme="majorHAnsi" w:hAnsiTheme="majorHAnsi"/>
      <w:color w:val="8956A3" w:themeColor="accent2"/>
      <w:sz w:val="18"/>
      <w:szCs w:val="18"/>
    </w:rPr>
  </w:style>
  <w:style w:type="table" w:customStyle="1" w:styleId="ProductivityCommissionTable3">
    <w:name w:val="Productivity Commission Table 3"/>
    <w:basedOn w:val="TableNormal"/>
    <w:uiPriority w:val="99"/>
    <w:rsid w:val="00AB53B3"/>
    <w:pPr>
      <w:spacing w:after="0" w:line="240" w:lineRule="auto"/>
      <w:jc w:val="right"/>
    </w:pPr>
    <w:tblPr>
      <w:tblCellMar>
        <w:top w:w="45" w:type="dxa"/>
        <w:left w:w="0" w:type="dxa"/>
        <w:bottom w:w="45" w:type="dxa"/>
        <w:right w:w="28" w:type="dxa"/>
      </w:tblCellMar>
    </w:tblPr>
    <w:tblStylePr w:type="firstRow">
      <w:rPr>
        <w:b/>
        <w:color w:val="2B9AC2" w:themeColor="text2"/>
      </w:rPr>
      <w:tblPr/>
      <w:tcPr>
        <w:tcBorders>
          <w:top w:val="nil"/>
          <w:left w:val="nil"/>
          <w:bottom w:val="single" w:sz="4" w:space="0" w:color="71CBD5" w:themeColor="accent3"/>
          <w:right w:val="nil"/>
          <w:insideH w:val="nil"/>
          <w:insideV w:val="nil"/>
          <w:tl2br w:val="nil"/>
          <w:tr2bl w:val="nil"/>
        </w:tcBorders>
      </w:tcPr>
    </w:tblStylePr>
    <w:tblStylePr w:type="lastRow">
      <w:rPr>
        <w:b/>
      </w:rPr>
      <w:tblPr/>
      <w:tcPr>
        <w:tcBorders>
          <w:top w:val="single" w:sz="4" w:space="0" w:color="71CBD5" w:themeColor="accent3"/>
          <w:left w:val="nil"/>
          <w:bottom w:val="single" w:sz="4" w:space="0" w:color="71CBD5" w:themeColor="accent3"/>
          <w:right w:val="nil"/>
          <w:insideH w:val="nil"/>
          <w:insideV w:val="nil"/>
          <w:tl2br w:val="nil"/>
          <w:tr2bl w:val="nil"/>
        </w:tcBorders>
      </w:tcPr>
    </w:tblStylePr>
    <w:tblStylePr w:type="firstCol">
      <w:pPr>
        <w:jc w:val="left"/>
      </w:pPr>
    </w:tblStylePr>
  </w:style>
  <w:style w:type="paragraph" w:styleId="TOCHeading">
    <w:name w:val="TOC Heading"/>
    <w:next w:val="Normal"/>
    <w:uiPriority w:val="39"/>
    <w:unhideWhenUsed/>
    <w:rsid w:val="00AB53B3"/>
    <w:pPr>
      <w:spacing w:before="240" w:after="240" w:line="500" w:lineRule="atLeast"/>
      <w:outlineLvl w:val="0"/>
    </w:pPr>
    <w:rPr>
      <w:rFonts w:ascii="Open Sans Extrabold" w:hAnsi="Open Sans Extrabold"/>
      <w:color w:val="1C4373" w:themeColor="background2" w:themeShade="BF"/>
      <w:sz w:val="42"/>
      <w:szCs w:val="20"/>
    </w:rPr>
  </w:style>
  <w:style w:type="paragraph" w:styleId="FootnoteText">
    <w:name w:val="footnote text"/>
    <w:basedOn w:val="Normal"/>
    <w:link w:val="FootnoteTextChar"/>
    <w:uiPriority w:val="99"/>
    <w:rsid w:val="00AB53B3"/>
    <w:pPr>
      <w:spacing w:before="60" w:after="60" w:line="293" w:lineRule="auto"/>
      <w:contextualSpacing/>
    </w:pPr>
    <w:rPr>
      <w:sz w:val="18"/>
    </w:rPr>
  </w:style>
  <w:style w:type="paragraph" w:styleId="TOC1">
    <w:name w:val="toc 1"/>
    <w:basedOn w:val="Normal"/>
    <w:next w:val="BodyText"/>
    <w:autoRedefine/>
    <w:uiPriority w:val="39"/>
    <w:unhideWhenUsed/>
    <w:rsid w:val="00AB53B3"/>
    <w:pPr>
      <w:tabs>
        <w:tab w:val="left" w:pos="567"/>
        <w:tab w:val="right" w:pos="7938"/>
      </w:tabs>
      <w:spacing w:after="100" w:line="293" w:lineRule="auto"/>
      <w:ind w:left="567" w:right="1701" w:hanging="567"/>
    </w:pPr>
    <w:rPr>
      <w:rFonts w:ascii="Open Sans Extrabold" w:hAnsi="Open Sans Extrabold"/>
      <w:color w:val="1C4373" w:themeColor="background2" w:themeShade="BF"/>
    </w:rPr>
  </w:style>
  <w:style w:type="character" w:customStyle="1" w:styleId="FootnoteTextChar">
    <w:name w:val="Footnote Text Char"/>
    <w:basedOn w:val="DefaultParagraphFont"/>
    <w:link w:val="FootnoteText"/>
    <w:uiPriority w:val="99"/>
    <w:rsid w:val="00AB53B3"/>
    <w:rPr>
      <w:rFonts w:ascii="Open Sans" w:hAnsi="Open Sans"/>
      <w:sz w:val="18"/>
      <w:szCs w:val="20"/>
    </w:rPr>
  </w:style>
  <w:style w:type="character" w:styleId="FootnoteReference">
    <w:name w:val="footnote reference"/>
    <w:basedOn w:val="DefaultParagraphFont"/>
    <w:uiPriority w:val="99"/>
    <w:semiHidden/>
    <w:unhideWhenUsed/>
    <w:rsid w:val="00AB53B3"/>
    <w:rPr>
      <w:vertAlign w:val="superscript"/>
    </w:rPr>
  </w:style>
  <w:style w:type="character" w:styleId="Hyperlink">
    <w:name w:val="Hyperlink"/>
    <w:basedOn w:val="DefaultParagraphFont"/>
    <w:uiPriority w:val="99"/>
    <w:unhideWhenUsed/>
    <w:rsid w:val="00AB53B3"/>
    <w:rPr>
      <w:color w:val="000000" w:themeColor="hyperlink"/>
      <w:u w:val="single"/>
    </w:rPr>
  </w:style>
  <w:style w:type="character" w:styleId="HTMLVariable">
    <w:name w:val="HTML Variable"/>
    <w:basedOn w:val="DefaultParagraphFont"/>
    <w:uiPriority w:val="99"/>
    <w:unhideWhenUsed/>
    <w:rsid w:val="00AB53B3"/>
    <w:rPr>
      <w:i/>
      <w:iCs/>
    </w:rPr>
  </w:style>
  <w:style w:type="paragraph" w:styleId="TOC2">
    <w:name w:val="toc 2"/>
    <w:basedOn w:val="Normal"/>
    <w:next w:val="Normal"/>
    <w:autoRedefine/>
    <w:uiPriority w:val="39"/>
    <w:unhideWhenUsed/>
    <w:rsid w:val="00AB53B3"/>
    <w:pPr>
      <w:tabs>
        <w:tab w:val="left" w:pos="567"/>
        <w:tab w:val="left" w:pos="1134"/>
        <w:tab w:val="right" w:pos="7938"/>
      </w:tabs>
      <w:spacing w:after="100" w:line="293" w:lineRule="auto"/>
      <w:ind w:left="567" w:right="1701"/>
    </w:pPr>
    <w:rPr>
      <w:noProof/>
    </w:rPr>
  </w:style>
  <w:style w:type="paragraph" w:styleId="TOC3">
    <w:name w:val="toc 3"/>
    <w:basedOn w:val="Normal"/>
    <w:next w:val="Normal"/>
    <w:autoRedefine/>
    <w:uiPriority w:val="39"/>
    <w:unhideWhenUsed/>
    <w:rsid w:val="00AB53B3"/>
    <w:pPr>
      <w:tabs>
        <w:tab w:val="right" w:pos="7938"/>
      </w:tabs>
      <w:spacing w:after="100" w:line="293" w:lineRule="auto"/>
      <w:ind w:right="1701"/>
    </w:pPr>
    <w:rPr>
      <w:rFonts w:asciiTheme="majorHAnsi" w:hAnsiTheme="majorHAnsi"/>
      <w:color w:val="1C4373" w:themeColor="background2" w:themeShade="BF"/>
    </w:rPr>
  </w:style>
  <w:style w:type="paragraph" w:customStyle="1" w:styleId="Subtitle2">
    <w:name w:val="Subtitle 2"/>
    <w:basedOn w:val="Normal"/>
    <w:link w:val="Subtitle2Char"/>
    <w:uiPriority w:val="39"/>
    <w:rsid w:val="00AB53B3"/>
    <w:pPr>
      <w:spacing w:before="0" w:after="160" w:line="259" w:lineRule="auto"/>
    </w:pPr>
    <w:rPr>
      <w:color w:val="1C4373" w:themeColor="background2" w:themeShade="BF"/>
      <w:sz w:val="28"/>
      <w:szCs w:val="36"/>
    </w:rPr>
  </w:style>
  <w:style w:type="paragraph" w:customStyle="1" w:styleId="Copyrightpage-Heading2">
    <w:name w:val="Copyright page-Heading 2"/>
    <w:basedOn w:val="NoSpacing"/>
    <w:link w:val="Copyrightpage-Heading2Char"/>
    <w:uiPriority w:val="19"/>
    <w:rsid w:val="00AB53B3"/>
    <w:pPr>
      <w:spacing w:before="240" w:after="60"/>
    </w:pPr>
    <w:rPr>
      <w:b/>
      <w:color w:val="FFFFFF" w:themeColor="background1"/>
      <w:sz w:val="16"/>
      <w:szCs w:val="16"/>
    </w:rPr>
  </w:style>
  <w:style w:type="character" w:customStyle="1" w:styleId="Subtitle2Char">
    <w:name w:val="Subtitle 2 Char"/>
    <w:basedOn w:val="DefaultParagraphFont"/>
    <w:link w:val="Subtitle2"/>
    <w:uiPriority w:val="39"/>
    <w:rsid w:val="00AB53B3"/>
    <w:rPr>
      <w:rFonts w:ascii="Open Sans" w:hAnsi="Open Sans"/>
      <w:color w:val="1C4373" w:themeColor="background2" w:themeShade="BF"/>
      <w:sz w:val="28"/>
      <w:szCs w:val="36"/>
    </w:rPr>
  </w:style>
  <w:style w:type="paragraph" w:customStyle="1" w:styleId="Copyrightpage-BodyText">
    <w:name w:val="Copyright page-Body Text"/>
    <w:basedOn w:val="Normal"/>
    <w:link w:val="Copyrightpage-BodyTextChar"/>
    <w:uiPriority w:val="19"/>
    <w:rsid w:val="00AB53B3"/>
    <w:pPr>
      <w:spacing w:before="80" w:line="250" w:lineRule="atLeast"/>
    </w:pPr>
    <w:rPr>
      <w:color w:val="000000" w:themeColor="text1"/>
      <w:sz w:val="16"/>
    </w:rPr>
  </w:style>
  <w:style w:type="character" w:customStyle="1" w:styleId="NoSpacingChar">
    <w:name w:val="No Spacing Char"/>
    <w:basedOn w:val="DefaultParagraphFont"/>
    <w:link w:val="NoSpacing"/>
    <w:uiPriority w:val="10"/>
    <w:rsid w:val="00AB53B3"/>
    <w:rPr>
      <w:rFonts w:ascii="Open Sans" w:hAnsi="Open Sans"/>
      <w:sz w:val="20"/>
      <w:szCs w:val="20"/>
    </w:rPr>
  </w:style>
  <w:style w:type="character" w:customStyle="1" w:styleId="Copyrightpage-Heading2Char">
    <w:name w:val="Copyright page-Heading 2 Char"/>
    <w:basedOn w:val="NoSpacingChar"/>
    <w:link w:val="Copyrightpage-Heading2"/>
    <w:uiPriority w:val="19"/>
    <w:rsid w:val="00AB53B3"/>
    <w:rPr>
      <w:rFonts w:ascii="Open Sans" w:hAnsi="Open Sans"/>
      <w:b/>
      <w:color w:val="FFFFFF" w:themeColor="background1"/>
      <w:sz w:val="16"/>
      <w:szCs w:val="16"/>
    </w:rPr>
  </w:style>
  <w:style w:type="paragraph" w:customStyle="1" w:styleId="Copyrightpage-Heading">
    <w:name w:val="Copyright page-Heading"/>
    <w:basedOn w:val="Subtitle2"/>
    <w:link w:val="Copyrightpage-HeadingChar"/>
    <w:uiPriority w:val="19"/>
    <w:rsid w:val="00AB53B3"/>
    <w:pPr>
      <w:spacing w:line="240" w:lineRule="auto"/>
    </w:pPr>
    <w:rPr>
      <w:rFonts w:ascii="Open Sans Semibold" w:hAnsi="Open Sans Semibold"/>
      <w:spacing w:val="4"/>
      <w:sz w:val="19"/>
      <w:szCs w:val="18"/>
    </w:rPr>
  </w:style>
  <w:style w:type="character" w:customStyle="1" w:styleId="Copyrightpage-BodyTextChar">
    <w:name w:val="Copyright page-Body Text Char"/>
    <w:basedOn w:val="DefaultParagraphFont"/>
    <w:link w:val="Copyrightpage-BodyText"/>
    <w:uiPriority w:val="19"/>
    <w:rsid w:val="00AB53B3"/>
    <w:rPr>
      <w:rFonts w:ascii="Open Sans" w:hAnsi="Open Sans"/>
      <w:color w:val="000000" w:themeColor="text1"/>
      <w:sz w:val="16"/>
      <w:szCs w:val="20"/>
    </w:rPr>
  </w:style>
  <w:style w:type="character" w:customStyle="1" w:styleId="Copyrightpage-HeadingChar">
    <w:name w:val="Copyright page-Heading Char"/>
    <w:basedOn w:val="Subtitle2Char"/>
    <w:link w:val="Copyrightpage-Heading"/>
    <w:uiPriority w:val="19"/>
    <w:rsid w:val="00AB53B3"/>
    <w:rPr>
      <w:rFonts w:ascii="Open Sans Semibold" w:hAnsi="Open Sans Semibold"/>
      <w:color w:val="1C4373" w:themeColor="background2" w:themeShade="BF"/>
      <w:spacing w:val="4"/>
      <w:sz w:val="19"/>
      <w:szCs w:val="18"/>
    </w:rPr>
  </w:style>
  <w:style w:type="paragraph" w:customStyle="1" w:styleId="Heading1-noTOC">
    <w:name w:val="Heading 1-no TOC"/>
    <w:next w:val="BodyText"/>
    <w:uiPriority w:val="9"/>
    <w:qFormat/>
    <w:rsid w:val="00AB53B3"/>
    <w:pPr>
      <w:spacing w:before="600" w:after="480" w:line="504" w:lineRule="atLeast"/>
    </w:pPr>
    <w:rPr>
      <w:rFonts w:ascii="Open Sans Extrabold" w:eastAsiaTheme="majorEastAsia" w:hAnsi="Open Sans Extrabold" w:cstheme="majorBidi"/>
      <w:b/>
      <w:color w:val="1C4373" w:themeColor="background2" w:themeShade="BF"/>
      <w:sz w:val="42"/>
      <w:szCs w:val="68"/>
    </w:rPr>
  </w:style>
  <w:style w:type="paragraph" w:customStyle="1" w:styleId="Heading2-noTOC">
    <w:name w:val="Heading 2-no TOC"/>
    <w:next w:val="BodyText"/>
    <w:uiPriority w:val="9"/>
    <w:unhideWhenUsed/>
    <w:qFormat/>
    <w:rsid w:val="00AB53B3"/>
    <w:pPr>
      <w:spacing w:before="240" w:after="120" w:line="360" w:lineRule="atLeast"/>
    </w:pPr>
    <w:rPr>
      <w:rFonts w:ascii="Open Sans Extrabold" w:eastAsiaTheme="majorEastAsia" w:hAnsi="Open Sans Extrabold" w:cstheme="majorBidi"/>
      <w:color w:val="1C4373" w:themeColor="background2" w:themeShade="BF"/>
      <w:sz w:val="30"/>
      <w:szCs w:val="60"/>
    </w:rPr>
  </w:style>
  <w:style w:type="paragraph" w:styleId="TOC4">
    <w:name w:val="toc 4"/>
    <w:basedOn w:val="Normal"/>
    <w:next w:val="Normal"/>
    <w:autoRedefine/>
    <w:uiPriority w:val="39"/>
    <w:unhideWhenUsed/>
    <w:rsid w:val="00AB53B3"/>
    <w:pPr>
      <w:tabs>
        <w:tab w:val="right" w:pos="7938"/>
        <w:tab w:val="right" w:pos="9628"/>
      </w:tabs>
      <w:spacing w:after="100" w:line="293" w:lineRule="auto"/>
      <w:ind w:left="567" w:right="1701"/>
    </w:pPr>
  </w:style>
  <w:style w:type="paragraph" w:customStyle="1" w:styleId="LetterRight">
    <w:name w:val="Letter Right"/>
    <w:basedOn w:val="Normal"/>
    <w:link w:val="LetterRightChar"/>
    <w:uiPriority w:val="99"/>
    <w:rsid w:val="00AB53B3"/>
    <w:pPr>
      <w:spacing w:line="360" w:lineRule="auto"/>
      <w:jc w:val="right"/>
    </w:pPr>
    <w:rPr>
      <w:sz w:val="16"/>
    </w:rPr>
  </w:style>
  <w:style w:type="paragraph" w:customStyle="1" w:styleId="Letterlogo">
    <w:name w:val="Letter logo"/>
    <w:basedOn w:val="LetterRight"/>
    <w:uiPriority w:val="99"/>
    <w:rsid w:val="00AB53B3"/>
    <w:pPr>
      <w:spacing w:after="320"/>
    </w:pPr>
  </w:style>
  <w:style w:type="character" w:customStyle="1" w:styleId="LetterRightChar">
    <w:name w:val="Letter Right Char"/>
    <w:basedOn w:val="DefaultParagraphFont"/>
    <w:link w:val="LetterRight"/>
    <w:uiPriority w:val="99"/>
    <w:rsid w:val="00AB53B3"/>
    <w:rPr>
      <w:rFonts w:ascii="Open Sans" w:hAnsi="Open Sans"/>
      <w:sz w:val="16"/>
      <w:szCs w:val="20"/>
    </w:rPr>
  </w:style>
  <w:style w:type="character" w:styleId="UnresolvedMention">
    <w:name w:val="Unresolved Mention"/>
    <w:basedOn w:val="DefaultParagraphFont"/>
    <w:uiPriority w:val="99"/>
    <w:semiHidden/>
    <w:unhideWhenUsed/>
    <w:rsid w:val="00AB53B3"/>
    <w:rPr>
      <w:color w:val="605E5C"/>
      <w:shd w:val="clear" w:color="auto" w:fill="E1DFDD"/>
    </w:rPr>
  </w:style>
  <w:style w:type="paragraph" w:customStyle="1" w:styleId="LetterRight-NoSpace">
    <w:name w:val="Letter Right-No Space"/>
    <w:basedOn w:val="LetterRight"/>
    <w:uiPriority w:val="99"/>
    <w:rsid w:val="00AB53B3"/>
    <w:pPr>
      <w:spacing w:after="0"/>
    </w:pPr>
  </w:style>
  <w:style w:type="table" w:customStyle="1" w:styleId="Blank">
    <w:name w:val="Blank"/>
    <w:basedOn w:val="TableNormal"/>
    <w:uiPriority w:val="99"/>
    <w:rsid w:val="00AB53B3"/>
    <w:pPr>
      <w:spacing w:after="0" w:line="240" w:lineRule="auto"/>
    </w:pPr>
    <w:tblPr>
      <w:tblCellMar>
        <w:top w:w="57" w:type="dxa"/>
        <w:left w:w="0" w:type="dxa"/>
        <w:bottom w:w="57" w:type="dxa"/>
        <w:right w:w="0" w:type="dxa"/>
      </w:tblCellMar>
    </w:tblPr>
  </w:style>
  <w:style w:type="paragraph" w:styleId="ListBullet5">
    <w:name w:val="List Bullet 5"/>
    <w:basedOn w:val="Normal"/>
    <w:uiPriority w:val="13"/>
    <w:semiHidden/>
    <w:rsid w:val="00AB53B3"/>
    <w:pPr>
      <w:numPr>
        <w:numId w:val="20"/>
      </w:numPr>
      <w:contextualSpacing/>
    </w:pPr>
  </w:style>
  <w:style w:type="paragraph" w:customStyle="1" w:styleId="Coverdate">
    <w:name w:val="Cover date"/>
    <w:basedOn w:val="Normal"/>
    <w:uiPriority w:val="29"/>
    <w:rsid w:val="00AB53B3"/>
    <w:pPr>
      <w:framePr w:wrap="around" w:vAnchor="page" w:hAnchor="margin" w:xAlign="right" w:y="1135" w:anchorLock="1"/>
      <w:spacing w:before="0" w:after="0"/>
      <w:jc w:val="right"/>
    </w:pPr>
    <w:rPr>
      <w:rFonts w:ascii="Open Sans Semibold" w:hAnsi="Open Sans Semibold"/>
      <w:sz w:val="18"/>
    </w:rPr>
  </w:style>
  <w:style w:type="table" w:customStyle="1" w:styleId="ProductivityCommissionTable2">
    <w:name w:val="Productivity Commission Table 2"/>
    <w:basedOn w:val="ProductivityCommissionTable1"/>
    <w:uiPriority w:val="99"/>
    <w:rsid w:val="00AB53B3"/>
    <w:tblPr>
      <w:tblBorders>
        <w:top w:val="single" w:sz="4" w:space="0" w:color="B3B3B3"/>
        <w:bottom w:val="none" w:sz="0" w:space="0" w:color="auto"/>
        <w:insideH w:val="none" w:sz="0" w:space="0" w:color="auto"/>
      </w:tblBorders>
      <w:tblCellMar>
        <w:top w:w="57" w:type="dxa"/>
        <w:left w:w="57" w:type="dxa"/>
        <w:bottom w:w="57" w:type="dxa"/>
        <w:right w:w="85" w:type="dxa"/>
      </w:tblCellMar>
    </w:tblPr>
    <w:tblStylePr w:type="firstRow">
      <w:rPr>
        <w:b/>
        <w:color w:val="265A9A" w:themeColor="background2"/>
      </w:rPr>
    </w:tblStylePr>
    <w:tblStylePr w:type="firstCol">
      <w:rPr>
        <w:b/>
        <w:color w:val="265A9A" w:themeColor="background2"/>
      </w:rPr>
    </w:tblStylePr>
    <w:tblStylePr w:type="band1Horz">
      <w:tblPr/>
      <w:tcPr>
        <w:shd w:val="clear" w:color="auto" w:fill="F1F1F2"/>
      </w:tcPr>
    </w:tblStylePr>
  </w:style>
  <w:style w:type="character" w:customStyle="1" w:styleId="White">
    <w:name w:val="White"/>
    <w:basedOn w:val="DefaultParagraphFont"/>
    <w:uiPriority w:val="10"/>
    <w:rsid w:val="00AB53B3"/>
    <w:rPr>
      <w:color w:val="FFFFFF" w:themeColor="background1"/>
    </w:rPr>
  </w:style>
  <w:style w:type="paragraph" w:customStyle="1" w:styleId="Copyrightpage-Keylinenotext">
    <w:name w:val="Copyright page-Keyline (no text)"/>
    <w:basedOn w:val="Copyrightpage-Heading2"/>
    <w:uiPriority w:val="19"/>
    <w:rsid w:val="00AB53B3"/>
    <w:pPr>
      <w:pBdr>
        <w:top w:val="single" w:sz="4" w:space="8" w:color="2B9AC2" w:themeColor="text2"/>
      </w:pBdr>
      <w:spacing w:after="0" w:line="168" w:lineRule="auto"/>
    </w:pPr>
    <w:rPr>
      <w:b w:val="0"/>
      <w:color w:val="265A9A" w:themeColor="background2"/>
    </w:rPr>
  </w:style>
  <w:style w:type="table" w:customStyle="1" w:styleId="ProductivityCommissionTable4">
    <w:name w:val="Productivity Commission Table 4"/>
    <w:basedOn w:val="ProductivityCommissionTable3"/>
    <w:uiPriority w:val="99"/>
    <w:rsid w:val="00AB53B3"/>
    <w:pPr>
      <w:jc w:val="left"/>
    </w:pPr>
    <w:tblPr/>
    <w:tblStylePr w:type="firstRow">
      <w:rPr>
        <w:b/>
        <w:color w:val="265A9A" w:themeColor="background2"/>
      </w:rPr>
      <w:tblPr/>
      <w:tcPr>
        <w:tcBorders>
          <w:top w:val="nil"/>
          <w:left w:val="nil"/>
          <w:bottom w:val="single" w:sz="4" w:space="0" w:color="B3B3B3"/>
          <w:right w:val="nil"/>
          <w:insideH w:val="nil"/>
          <w:insideV w:val="nil"/>
          <w:tl2br w:val="nil"/>
          <w:tr2bl w:val="nil"/>
        </w:tcBorders>
      </w:tcPr>
    </w:tblStylePr>
    <w:tblStylePr w:type="lastRow">
      <w:rPr>
        <w:b/>
      </w:rPr>
      <w:tblPr/>
      <w:tcPr>
        <w:tcBorders>
          <w:top w:val="single" w:sz="4" w:space="0" w:color="B3B3B3"/>
          <w:left w:val="nil"/>
          <w:bottom w:val="single" w:sz="4" w:space="0" w:color="B3B3B3"/>
          <w:right w:val="nil"/>
          <w:insideH w:val="nil"/>
          <w:insideV w:val="nil"/>
          <w:tl2br w:val="nil"/>
          <w:tr2bl w:val="nil"/>
        </w:tcBorders>
      </w:tcPr>
    </w:tblStylePr>
    <w:tblStylePr w:type="firstCol">
      <w:pPr>
        <w:jc w:val="left"/>
      </w:pPr>
    </w:tblStylePr>
    <w:tblStylePr w:type="lastCol">
      <w:pPr>
        <w:jc w:val="right"/>
      </w:pPr>
    </w:tblStylePr>
  </w:style>
  <w:style w:type="paragraph" w:customStyle="1" w:styleId="TableHeading-Subheading">
    <w:name w:val="Table Heading - Subheading"/>
    <w:basedOn w:val="NoSpacing"/>
    <w:uiPriority w:val="40"/>
    <w:rsid w:val="00AB53B3"/>
    <w:pPr>
      <w:spacing w:before="46" w:after="46"/>
      <w:ind w:left="57" w:right="108"/>
    </w:pPr>
    <w:rPr>
      <w:b/>
      <w:sz w:val="18"/>
    </w:rPr>
  </w:style>
  <w:style w:type="paragraph" w:customStyle="1" w:styleId="CoverImage">
    <w:name w:val="Cover Image"/>
    <w:basedOn w:val="Normal"/>
    <w:uiPriority w:val="29"/>
    <w:rsid w:val="00AB53B3"/>
    <w:pPr>
      <w:framePr w:w="11913" w:h="4536" w:hRule="exact" w:wrap="around" w:vAnchor="page" w:hAnchor="page" w:y="2269" w:anchorLock="1"/>
      <w:spacing w:before="0" w:after="0" w:line="240" w:lineRule="auto"/>
    </w:pPr>
  </w:style>
  <w:style w:type="table" w:customStyle="1" w:styleId="NoBorderwithPadding">
    <w:name w:val="No Border with Padding"/>
    <w:basedOn w:val="TableNormal"/>
    <w:uiPriority w:val="99"/>
    <w:rsid w:val="00AB53B3"/>
    <w:pPr>
      <w:spacing w:after="0" w:line="240" w:lineRule="auto"/>
    </w:pPr>
    <w:tblPr>
      <w:tblCellMar>
        <w:top w:w="284" w:type="dxa"/>
        <w:left w:w="284" w:type="dxa"/>
        <w:bottom w:w="284" w:type="dxa"/>
        <w:right w:w="284" w:type="dxa"/>
      </w:tblCellMar>
    </w:tblPr>
  </w:style>
  <w:style w:type="table" w:customStyle="1" w:styleId="OverviewPageBannerTableStyle">
    <w:name w:val="Overview/Page Banner Table Style"/>
    <w:basedOn w:val="TableNormal"/>
    <w:uiPriority w:val="99"/>
    <w:rsid w:val="00AB53B3"/>
    <w:pPr>
      <w:spacing w:after="0" w:line="240" w:lineRule="auto"/>
    </w:pPr>
    <w:tblPr>
      <w:tblCellMar>
        <w:top w:w="567" w:type="dxa"/>
        <w:left w:w="567" w:type="dxa"/>
        <w:bottom w:w="680" w:type="dxa"/>
        <w:right w:w="1134" w:type="dxa"/>
      </w:tblCellMar>
    </w:tblPr>
    <w:tcPr>
      <w:shd w:val="clear" w:color="auto" w:fill="265A9A" w:themeFill="background2"/>
      <w:vAlign w:val="bottom"/>
    </w:tcPr>
  </w:style>
  <w:style w:type="paragraph" w:styleId="Quote">
    <w:name w:val="Quote"/>
    <w:basedOn w:val="BodyText"/>
    <w:next w:val="BodyText"/>
    <w:link w:val="QuoteChar"/>
    <w:uiPriority w:val="1"/>
    <w:qFormat/>
    <w:rsid w:val="00AB53B3"/>
    <w:pPr>
      <w:spacing w:before="60"/>
      <w:ind w:left="113" w:right="851"/>
    </w:pPr>
    <w:rPr>
      <w:color w:val="58585B"/>
    </w:rPr>
  </w:style>
  <w:style w:type="numbering" w:customStyle="1" w:styleId="TOCList">
    <w:name w:val="TOC List"/>
    <w:uiPriority w:val="99"/>
    <w:rsid w:val="00AB53B3"/>
    <w:pPr>
      <w:numPr>
        <w:numId w:val="13"/>
      </w:numPr>
    </w:pPr>
  </w:style>
  <w:style w:type="paragraph" w:customStyle="1" w:styleId="Heading1-Section-fullpage">
    <w:name w:val="Heading 1-Section-full page"/>
    <w:basedOn w:val="Heading1-nobackground"/>
    <w:uiPriority w:val="9"/>
    <w:qFormat/>
    <w:rsid w:val="00AB53B3"/>
    <w:pPr>
      <w:framePr w:w="9639" w:h="13041" w:hRule="exact" w:wrap="around" w:vAnchor="text" w:hAnchor="text" w:y="1" w:anchorLock="1"/>
      <w:pBdr>
        <w:top w:val="single" w:sz="4" w:space="31" w:color="E7F6FD"/>
        <w:left w:val="single" w:sz="4" w:space="26" w:color="E7F6FD"/>
        <w:bottom w:val="single" w:sz="4" w:space="26" w:color="E7F6FD"/>
        <w:right w:val="single" w:sz="4" w:space="26" w:color="E7F6FD"/>
      </w:pBdr>
      <w:shd w:val="clear" w:color="auto" w:fill="E7F6FD"/>
      <w:spacing w:before="0"/>
      <w:ind w:left="567" w:right="567"/>
    </w:pPr>
  </w:style>
  <w:style w:type="table" w:customStyle="1" w:styleId="Texttable-Paleblue">
    <w:name w:val="Text table-Pale blue"/>
    <w:basedOn w:val="TableNormal"/>
    <w:uiPriority w:val="99"/>
    <w:rsid w:val="00AB53B3"/>
    <w:pPr>
      <w:spacing w:after="0" w:line="240" w:lineRule="auto"/>
    </w:pPr>
    <w:tblPr>
      <w:tblCellMar>
        <w:top w:w="113" w:type="dxa"/>
        <w:left w:w="113" w:type="dxa"/>
        <w:bottom w:w="113" w:type="dxa"/>
        <w:right w:w="113" w:type="dxa"/>
      </w:tblCellMar>
    </w:tblPr>
    <w:tcPr>
      <w:shd w:val="clear" w:color="auto" w:fill="EFF9FE"/>
    </w:tcPr>
  </w:style>
  <w:style w:type="paragraph" w:customStyle="1" w:styleId="FigureTableHeading">
    <w:name w:val="Figure/Table Heading"/>
    <w:basedOn w:val="Caption"/>
    <w:uiPriority w:val="4"/>
    <w:qFormat/>
    <w:rsid w:val="00AB53B3"/>
    <w:pPr>
      <w:keepNext/>
      <w:spacing w:before="240"/>
    </w:pPr>
  </w:style>
  <w:style w:type="paragraph" w:customStyle="1" w:styleId="Source">
    <w:name w:val="Source"/>
    <w:basedOn w:val="Normal"/>
    <w:uiPriority w:val="9"/>
    <w:qFormat/>
    <w:rsid w:val="00AB53B3"/>
    <w:pPr>
      <w:spacing w:before="80" w:after="240" w:line="216" w:lineRule="atLeast"/>
    </w:pPr>
    <w:rPr>
      <w:sz w:val="18"/>
    </w:rPr>
  </w:style>
  <w:style w:type="paragraph" w:customStyle="1" w:styleId="Note">
    <w:name w:val="Note"/>
    <w:basedOn w:val="Source"/>
    <w:uiPriority w:val="9"/>
    <w:qFormat/>
    <w:rsid w:val="00AB53B3"/>
    <w:pPr>
      <w:spacing w:after="20"/>
    </w:pPr>
  </w:style>
  <w:style w:type="numbering" w:customStyle="1" w:styleId="Figure">
    <w:name w:val="Figure"/>
    <w:uiPriority w:val="99"/>
    <w:rsid w:val="00AB53B3"/>
    <w:pPr>
      <w:numPr>
        <w:numId w:val="8"/>
      </w:numPr>
    </w:pPr>
  </w:style>
  <w:style w:type="table" w:customStyle="1" w:styleId="Boxtable">
    <w:name w:val="Box table"/>
    <w:basedOn w:val="Texttable-Paleblue"/>
    <w:uiPriority w:val="99"/>
    <w:rsid w:val="00AB53B3"/>
    <w:tblPr>
      <w:tblCellMar>
        <w:top w:w="170" w:type="dxa"/>
        <w:left w:w="170" w:type="dxa"/>
        <w:bottom w:w="170" w:type="dxa"/>
        <w:right w:w="170" w:type="dxa"/>
      </w:tblCellMar>
    </w:tblPr>
    <w:tcPr>
      <w:shd w:val="clear" w:color="auto" w:fill="F4F5F6"/>
    </w:tcPr>
  </w:style>
  <w:style w:type="numbering" w:customStyle="1" w:styleId="BoxList">
    <w:name w:val="Box List"/>
    <w:uiPriority w:val="99"/>
    <w:rsid w:val="00AB53B3"/>
    <w:pPr>
      <w:numPr>
        <w:numId w:val="6"/>
      </w:numPr>
    </w:pPr>
  </w:style>
  <w:style w:type="paragraph" w:customStyle="1" w:styleId="BoxHeading2">
    <w:name w:val="Box Heading 2"/>
    <w:basedOn w:val="Normal"/>
    <w:next w:val="BodyText"/>
    <w:uiPriority w:val="4"/>
    <w:qFormat/>
    <w:rsid w:val="00AB53B3"/>
    <w:rPr>
      <w:b/>
    </w:rPr>
  </w:style>
  <w:style w:type="table" w:customStyle="1" w:styleId="ProductivityCommissionTable2-Dark">
    <w:name w:val="Productivity Commission Table 2 - Dark"/>
    <w:basedOn w:val="ProductivityCommissionTable2"/>
    <w:uiPriority w:val="99"/>
    <w:rsid w:val="00AB53B3"/>
    <w:tblPr>
      <w:tblBorders>
        <w:top w:val="none" w:sz="0" w:space="0" w:color="auto"/>
        <w:bottom w:val="single" w:sz="4" w:space="0" w:color="B3B3B3"/>
        <w:insideH w:val="single" w:sz="4" w:space="0" w:color="B3B3B3"/>
      </w:tblBorders>
    </w:tblPr>
    <w:tblStylePr w:type="firstRow">
      <w:rPr>
        <w:b/>
        <w:color w:val="265A9A" w:themeColor="background2"/>
      </w:rPr>
    </w:tblStylePr>
    <w:tblStylePr w:type="firstCol">
      <w:rPr>
        <w:b/>
        <w:color w:val="265A9A" w:themeColor="background2"/>
      </w:rPr>
    </w:tblStylePr>
    <w:tblStylePr w:type="band1Horz">
      <w:tblPr/>
      <w:tcPr>
        <w:shd w:val="clear" w:color="auto" w:fill="DCDDDE"/>
      </w:tcPr>
    </w:tblStylePr>
  </w:style>
  <w:style w:type="paragraph" w:customStyle="1" w:styleId="BoxHeading3">
    <w:name w:val="Box Heading 3"/>
    <w:basedOn w:val="BoxHeading2"/>
    <w:uiPriority w:val="4"/>
    <w:qFormat/>
    <w:rsid w:val="00AB53B3"/>
    <w:rPr>
      <w:i/>
    </w:rPr>
  </w:style>
  <w:style w:type="paragraph" w:customStyle="1" w:styleId="TableListBullet">
    <w:name w:val="Table List Bullet"/>
    <w:basedOn w:val="ListBullet"/>
    <w:uiPriority w:val="10"/>
    <w:qFormat/>
    <w:rsid w:val="00AB53B3"/>
    <w:pPr>
      <w:spacing w:before="46" w:after="46"/>
      <w:ind w:left="170" w:hanging="113"/>
    </w:pPr>
    <w:rPr>
      <w:sz w:val="18"/>
    </w:rPr>
  </w:style>
  <w:style w:type="paragraph" w:customStyle="1" w:styleId="BodyText-Blue">
    <w:name w:val="Body Text-Blue"/>
    <w:basedOn w:val="BodyText"/>
    <w:link w:val="BodyText-BlueChar"/>
    <w:semiHidden/>
    <w:qFormat/>
    <w:rsid w:val="00AB53B3"/>
    <w:rPr>
      <w:color w:val="265A9A" w:themeColor="background2"/>
    </w:rPr>
  </w:style>
  <w:style w:type="table" w:customStyle="1" w:styleId="Texttable-Keyline">
    <w:name w:val="Text table-Keyline"/>
    <w:basedOn w:val="Texttable-Paleblue"/>
    <w:uiPriority w:val="99"/>
    <w:rsid w:val="00AB53B3"/>
    <w:tblPr>
      <w:tblBorders>
        <w:top w:val="single" w:sz="4" w:space="0" w:color="2B9AC2" w:themeColor="text2"/>
        <w:left w:val="single" w:sz="4" w:space="0" w:color="2B9AC2" w:themeColor="text2"/>
        <w:bottom w:val="single" w:sz="4" w:space="0" w:color="2B9AC2" w:themeColor="text2"/>
        <w:right w:val="single" w:sz="4" w:space="0" w:color="2B9AC2" w:themeColor="text2"/>
      </w:tblBorders>
    </w:tblPr>
    <w:tcPr>
      <w:shd w:val="clear" w:color="auto" w:fill="auto"/>
    </w:tcPr>
  </w:style>
  <w:style w:type="paragraph" w:customStyle="1" w:styleId="Header-KeylineRight">
    <w:name w:val="Header - Keyline Right"/>
    <w:basedOn w:val="Header-Keyline"/>
    <w:uiPriority w:val="99"/>
    <w:rsid w:val="00AB53B3"/>
    <w:pPr>
      <w:jc w:val="right"/>
    </w:pPr>
  </w:style>
  <w:style w:type="table" w:customStyle="1" w:styleId="CopyrightPage">
    <w:name w:val="Copyright Page"/>
    <w:basedOn w:val="OverviewPageBannerTableStyle"/>
    <w:uiPriority w:val="99"/>
    <w:rsid w:val="00AB53B3"/>
    <w:rPr>
      <w:color w:val="FFFFFF" w:themeColor="background1"/>
    </w:rPr>
    <w:tblPr>
      <w:tblCellMar>
        <w:top w:w="284" w:type="dxa"/>
        <w:left w:w="284" w:type="dxa"/>
        <w:bottom w:w="284" w:type="dxa"/>
        <w:right w:w="3119" w:type="dxa"/>
      </w:tblCellMar>
    </w:tblPr>
  </w:style>
  <w:style w:type="paragraph" w:customStyle="1" w:styleId="Heading3-noTOC">
    <w:name w:val="Heading 3-no TOC"/>
    <w:basedOn w:val="Heading3"/>
    <w:uiPriority w:val="9"/>
    <w:qFormat/>
    <w:rsid w:val="00AB53B3"/>
    <w:pPr>
      <w:spacing w:line="312" w:lineRule="atLeast"/>
    </w:pPr>
  </w:style>
  <w:style w:type="paragraph" w:styleId="BodyText">
    <w:name w:val="Body Text"/>
    <w:basedOn w:val="Normal"/>
    <w:link w:val="BodyTextChar"/>
    <w:qFormat/>
    <w:rsid w:val="00AB53B3"/>
  </w:style>
  <w:style w:type="character" w:customStyle="1" w:styleId="BodyTextChar">
    <w:name w:val="Body Text Char"/>
    <w:basedOn w:val="DefaultParagraphFont"/>
    <w:link w:val="BodyText"/>
    <w:rsid w:val="00AB53B3"/>
    <w:rPr>
      <w:rFonts w:ascii="Open Sans" w:hAnsi="Open Sans"/>
      <w:sz w:val="20"/>
      <w:szCs w:val="20"/>
    </w:rPr>
  </w:style>
  <w:style w:type="paragraph" w:styleId="List4">
    <w:name w:val="List 4"/>
    <w:basedOn w:val="Normal"/>
    <w:uiPriority w:val="99"/>
    <w:semiHidden/>
    <w:rsid w:val="00AB53B3"/>
    <w:pPr>
      <w:numPr>
        <w:ilvl w:val="3"/>
        <w:numId w:val="18"/>
      </w:numPr>
      <w:contextualSpacing/>
    </w:pPr>
  </w:style>
  <w:style w:type="paragraph" w:styleId="List3">
    <w:name w:val="List 3"/>
    <w:basedOn w:val="Normal"/>
    <w:uiPriority w:val="99"/>
    <w:semiHidden/>
    <w:rsid w:val="00AB53B3"/>
    <w:pPr>
      <w:numPr>
        <w:ilvl w:val="2"/>
        <w:numId w:val="18"/>
      </w:numPr>
      <w:contextualSpacing/>
    </w:pPr>
  </w:style>
  <w:style w:type="paragraph" w:customStyle="1" w:styleId="Heading1-nonumber">
    <w:name w:val="Heading 1-no number"/>
    <w:basedOn w:val="Heading1"/>
    <w:next w:val="BodyText"/>
    <w:uiPriority w:val="9"/>
    <w:qFormat/>
    <w:rsid w:val="00AB53B3"/>
    <w:pPr>
      <w:numPr>
        <w:numId w:val="0"/>
      </w:numPr>
      <w:ind w:left="567"/>
    </w:pPr>
  </w:style>
  <w:style w:type="paragraph" w:customStyle="1" w:styleId="ListAlpha1">
    <w:name w:val="List Alpha 1"/>
    <w:basedOn w:val="Normal"/>
    <w:uiPriority w:val="3"/>
    <w:qFormat/>
    <w:rsid w:val="00AB53B3"/>
    <w:pPr>
      <w:numPr>
        <w:numId w:val="19"/>
      </w:numPr>
      <w:spacing w:before="60"/>
      <w:contextualSpacing/>
    </w:pPr>
  </w:style>
  <w:style w:type="paragraph" w:customStyle="1" w:styleId="ListAlpha2">
    <w:name w:val="List Alpha 2"/>
    <w:basedOn w:val="ListAlpha1"/>
    <w:uiPriority w:val="3"/>
    <w:qFormat/>
    <w:rsid w:val="00AB53B3"/>
    <w:pPr>
      <w:numPr>
        <w:ilvl w:val="1"/>
      </w:numPr>
    </w:pPr>
  </w:style>
  <w:style w:type="paragraph" w:customStyle="1" w:styleId="ListAlpha3">
    <w:name w:val="List Alpha 3"/>
    <w:basedOn w:val="ListAlpha2"/>
    <w:uiPriority w:val="3"/>
    <w:qFormat/>
    <w:rsid w:val="00AB53B3"/>
    <w:pPr>
      <w:numPr>
        <w:ilvl w:val="2"/>
      </w:numPr>
    </w:pPr>
  </w:style>
  <w:style w:type="paragraph" w:customStyle="1" w:styleId="ListAlpha4">
    <w:name w:val="List Alpha 4"/>
    <w:basedOn w:val="ListAlpha3"/>
    <w:uiPriority w:val="3"/>
    <w:semiHidden/>
    <w:qFormat/>
    <w:rsid w:val="00AB53B3"/>
    <w:pPr>
      <w:numPr>
        <w:ilvl w:val="3"/>
      </w:numPr>
    </w:pPr>
  </w:style>
  <w:style w:type="numbering" w:customStyle="1" w:styleId="Alphalist">
    <w:name w:val="Alpha list"/>
    <w:uiPriority w:val="99"/>
    <w:rsid w:val="00AB53B3"/>
    <w:pPr>
      <w:numPr>
        <w:numId w:val="4"/>
      </w:numPr>
    </w:pPr>
  </w:style>
  <w:style w:type="paragraph" w:customStyle="1" w:styleId="KeyPoints-Bold">
    <w:name w:val="Key Points-Bold"/>
    <w:basedOn w:val="Normal"/>
    <w:uiPriority w:val="10"/>
    <w:qFormat/>
    <w:rsid w:val="00AB53B3"/>
    <w:pPr>
      <w:spacing w:before="40" w:after="60" w:line="274" w:lineRule="atLeast"/>
    </w:pPr>
    <w:rPr>
      <w:b/>
      <w:sz w:val="18"/>
    </w:rPr>
  </w:style>
  <w:style w:type="paragraph" w:customStyle="1" w:styleId="Copyrightpage-BodyBold">
    <w:name w:val="Copyright page-Body Bold"/>
    <w:basedOn w:val="Copyrightpage-BodyText"/>
    <w:uiPriority w:val="19"/>
    <w:rsid w:val="00AB53B3"/>
    <w:rPr>
      <w:b/>
    </w:rPr>
  </w:style>
  <w:style w:type="paragraph" w:customStyle="1" w:styleId="KeyPoints-Bullet">
    <w:name w:val="Key Points-Bullet"/>
    <w:basedOn w:val="ListBullet"/>
    <w:uiPriority w:val="10"/>
    <w:qFormat/>
    <w:rsid w:val="00AB53B3"/>
    <w:pPr>
      <w:spacing w:after="60" w:line="274" w:lineRule="atLeast"/>
    </w:pPr>
    <w:rPr>
      <w:sz w:val="18"/>
    </w:rPr>
  </w:style>
  <w:style w:type="paragraph" w:customStyle="1" w:styleId="BodyText-Grey">
    <w:name w:val="Body Text-Grey"/>
    <w:basedOn w:val="BodyText"/>
    <w:link w:val="BodyText-GreyChar"/>
    <w:semiHidden/>
    <w:qFormat/>
    <w:rsid w:val="00AB53B3"/>
    <w:rPr>
      <w:color w:val="58585B"/>
    </w:rPr>
  </w:style>
  <w:style w:type="character" w:customStyle="1" w:styleId="BodyText-GreyChar">
    <w:name w:val="Body Text-Grey Char"/>
    <w:basedOn w:val="BodyTextChar"/>
    <w:link w:val="BodyText-Grey"/>
    <w:semiHidden/>
    <w:rsid w:val="00AB53B3"/>
    <w:rPr>
      <w:rFonts w:ascii="Open Sans" w:hAnsi="Open Sans"/>
      <w:color w:val="58585B"/>
      <w:sz w:val="20"/>
      <w:szCs w:val="20"/>
    </w:rPr>
  </w:style>
  <w:style w:type="paragraph" w:styleId="BalloonText">
    <w:name w:val="Balloon Text"/>
    <w:basedOn w:val="Normal"/>
    <w:link w:val="BalloonTextChar"/>
    <w:uiPriority w:val="99"/>
    <w:semiHidden/>
    <w:unhideWhenUsed/>
    <w:rsid w:val="00AB53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53B3"/>
    <w:rPr>
      <w:rFonts w:ascii="Segoe UI" w:hAnsi="Segoe UI" w:cs="Segoe UI"/>
      <w:sz w:val="18"/>
      <w:szCs w:val="18"/>
    </w:rPr>
  </w:style>
  <w:style w:type="character" w:styleId="CommentReference">
    <w:name w:val="annotation reference"/>
    <w:basedOn w:val="DefaultParagraphFont"/>
    <w:uiPriority w:val="99"/>
    <w:semiHidden/>
    <w:unhideWhenUsed/>
    <w:rsid w:val="00AB53B3"/>
    <w:rPr>
      <w:sz w:val="16"/>
      <w:szCs w:val="16"/>
    </w:rPr>
  </w:style>
  <w:style w:type="paragraph" w:styleId="CommentText">
    <w:name w:val="annotation text"/>
    <w:basedOn w:val="Normal"/>
    <w:link w:val="CommentTextChar"/>
    <w:uiPriority w:val="99"/>
    <w:unhideWhenUsed/>
    <w:rsid w:val="00AB53B3"/>
    <w:pPr>
      <w:spacing w:line="240" w:lineRule="auto"/>
    </w:pPr>
  </w:style>
  <w:style w:type="character" w:customStyle="1" w:styleId="CommentTextChar">
    <w:name w:val="Comment Text Char"/>
    <w:basedOn w:val="DefaultParagraphFont"/>
    <w:link w:val="CommentText"/>
    <w:uiPriority w:val="99"/>
    <w:rsid w:val="00AB53B3"/>
    <w:rPr>
      <w:rFonts w:ascii="Open Sans" w:hAnsi="Open Sans"/>
      <w:sz w:val="20"/>
      <w:szCs w:val="20"/>
    </w:rPr>
  </w:style>
  <w:style w:type="paragraph" w:styleId="CommentSubject">
    <w:name w:val="annotation subject"/>
    <w:basedOn w:val="CommentText"/>
    <w:next w:val="CommentText"/>
    <w:link w:val="CommentSubjectChar"/>
    <w:uiPriority w:val="99"/>
    <w:semiHidden/>
    <w:unhideWhenUsed/>
    <w:rsid w:val="00AB53B3"/>
    <w:rPr>
      <w:b/>
      <w:bCs/>
    </w:rPr>
  </w:style>
  <w:style w:type="character" w:customStyle="1" w:styleId="CommentSubjectChar">
    <w:name w:val="Comment Subject Char"/>
    <w:basedOn w:val="CommentTextChar"/>
    <w:link w:val="CommentSubject"/>
    <w:uiPriority w:val="99"/>
    <w:semiHidden/>
    <w:rsid w:val="00AB53B3"/>
    <w:rPr>
      <w:rFonts w:ascii="Open Sans" w:hAnsi="Open Sans"/>
      <w:b/>
      <w:bCs/>
      <w:sz w:val="20"/>
      <w:szCs w:val="20"/>
    </w:rPr>
  </w:style>
  <w:style w:type="character" w:customStyle="1" w:styleId="ColourBlue">
    <w:name w:val="Colour Blue"/>
    <w:basedOn w:val="DefaultParagraphFont"/>
    <w:uiPriority w:val="22"/>
    <w:qFormat/>
    <w:rsid w:val="00AB53B3"/>
    <w:rPr>
      <w:color w:val="2B9AC2" w:themeColor="text2"/>
    </w:rPr>
  </w:style>
  <w:style w:type="character" w:customStyle="1" w:styleId="ColourDarkBlue">
    <w:name w:val="Colour Dark Blue"/>
    <w:basedOn w:val="ColourBlue"/>
    <w:uiPriority w:val="22"/>
    <w:qFormat/>
    <w:rsid w:val="00AB53B3"/>
    <w:rPr>
      <w:color w:val="265A9A" w:themeColor="background2"/>
    </w:rPr>
  </w:style>
  <w:style w:type="paragraph" w:customStyle="1" w:styleId="BodyText-Beforebullet">
    <w:name w:val="Body Text-Before bullet"/>
    <w:basedOn w:val="BodyText"/>
    <w:link w:val="BodyText-BeforebulletChar"/>
    <w:semiHidden/>
    <w:unhideWhenUsed/>
    <w:rsid w:val="00AB53B3"/>
    <w:pPr>
      <w:spacing w:after="20"/>
    </w:pPr>
  </w:style>
  <w:style w:type="paragraph" w:customStyle="1" w:styleId="PullQuote">
    <w:name w:val="Pull Quote"/>
    <w:basedOn w:val="BodyText"/>
    <w:next w:val="BodyText"/>
    <w:uiPriority w:val="10"/>
    <w:qFormat/>
    <w:rsid w:val="00AB53B3"/>
    <w:pPr>
      <w:spacing w:before="60"/>
      <w:ind w:left="113" w:right="1134"/>
    </w:pPr>
    <w:rPr>
      <w:rFonts w:ascii="Open Sans Extrabold" w:hAnsi="Open Sans Extrabold"/>
      <w:color w:val="207291" w:themeColor="text2" w:themeShade="BF"/>
      <w:sz w:val="24"/>
    </w:rPr>
  </w:style>
  <w:style w:type="character" w:customStyle="1" w:styleId="BodyText-BeforebulletChar">
    <w:name w:val="Body Text-Before bullet Char"/>
    <w:basedOn w:val="BodyTextChar"/>
    <w:link w:val="BodyText-Beforebullet"/>
    <w:semiHidden/>
    <w:rsid w:val="00AB53B3"/>
    <w:rPr>
      <w:rFonts w:ascii="Open Sans" w:hAnsi="Open Sans"/>
      <w:sz w:val="20"/>
      <w:szCs w:val="20"/>
    </w:rPr>
  </w:style>
  <w:style w:type="paragraph" w:customStyle="1" w:styleId="TableHeading">
    <w:name w:val="Table Heading"/>
    <w:basedOn w:val="NoSpacing"/>
    <w:link w:val="TableHeadingChar"/>
    <w:uiPriority w:val="4"/>
    <w:qFormat/>
    <w:rsid w:val="00AB53B3"/>
    <w:pPr>
      <w:spacing w:before="46" w:after="46"/>
      <w:ind w:left="57" w:right="108"/>
    </w:pPr>
    <w:rPr>
      <w:b/>
      <w:color w:val="132D4D" w:themeColor="background2" w:themeShade="80"/>
      <w:sz w:val="18"/>
    </w:rPr>
  </w:style>
  <w:style w:type="paragraph" w:customStyle="1" w:styleId="TableBody">
    <w:name w:val="Table Body"/>
    <w:basedOn w:val="NoSpacing"/>
    <w:uiPriority w:val="4"/>
    <w:qFormat/>
    <w:rsid w:val="00AB53B3"/>
    <w:pPr>
      <w:spacing w:before="46" w:after="46"/>
      <w:ind w:left="57"/>
    </w:pPr>
    <w:rPr>
      <w:sz w:val="18"/>
    </w:rPr>
  </w:style>
  <w:style w:type="paragraph" w:styleId="Revision">
    <w:name w:val="Revision"/>
    <w:hidden/>
    <w:uiPriority w:val="99"/>
    <w:semiHidden/>
    <w:rsid w:val="008D19FD"/>
    <w:pPr>
      <w:spacing w:after="0" w:line="240" w:lineRule="auto"/>
    </w:pPr>
    <w:rPr>
      <w:sz w:val="20"/>
      <w:szCs w:val="20"/>
    </w:rPr>
  </w:style>
  <w:style w:type="paragraph" w:customStyle="1" w:styleId="KeyPointsicon">
    <w:name w:val="Key Points icon"/>
    <w:basedOn w:val="Normal"/>
    <w:uiPriority w:val="10"/>
    <w:qFormat/>
    <w:rsid w:val="00AB53B3"/>
    <w:pPr>
      <w:spacing w:before="60"/>
      <w:jc w:val="right"/>
    </w:pPr>
  </w:style>
  <w:style w:type="paragraph" w:customStyle="1" w:styleId="FigureTableSubheading">
    <w:name w:val="Figure/Table Subheading"/>
    <w:basedOn w:val="FigureTableHeading"/>
    <w:uiPriority w:val="4"/>
    <w:qFormat/>
    <w:rsid w:val="00AB53B3"/>
    <w:pPr>
      <w:spacing w:before="40"/>
    </w:pPr>
    <w:rPr>
      <w:color w:val="58585B"/>
    </w:rPr>
  </w:style>
  <w:style w:type="table" w:customStyle="1" w:styleId="TextTable-Grey">
    <w:name w:val="Text Table-Grey"/>
    <w:basedOn w:val="Texttable-Paleblue"/>
    <w:uiPriority w:val="99"/>
    <w:rsid w:val="00AB53B3"/>
    <w:rPr>
      <w:color w:val="265A9A" w:themeColor="background2"/>
    </w:rPr>
    <w:tblPr/>
    <w:tcPr>
      <w:shd w:val="clear" w:color="auto" w:fill="F2F2F2"/>
    </w:tcPr>
  </w:style>
  <w:style w:type="character" w:customStyle="1" w:styleId="BodyText-BlueChar">
    <w:name w:val="Body Text-Blue Char"/>
    <w:basedOn w:val="BodyTextChar"/>
    <w:link w:val="BodyText-Blue"/>
    <w:semiHidden/>
    <w:rsid w:val="00AB53B3"/>
    <w:rPr>
      <w:rFonts w:ascii="Open Sans" w:hAnsi="Open Sans"/>
      <w:color w:val="265A9A" w:themeColor="background2"/>
      <w:sz w:val="20"/>
      <w:szCs w:val="20"/>
    </w:rPr>
  </w:style>
  <w:style w:type="paragraph" w:customStyle="1" w:styleId="Heading3-nonumber">
    <w:name w:val="Heading 3-no number"/>
    <w:basedOn w:val="Heading3"/>
    <w:uiPriority w:val="9"/>
    <w:semiHidden/>
    <w:qFormat/>
    <w:rsid w:val="00AB53B3"/>
  </w:style>
  <w:style w:type="paragraph" w:customStyle="1" w:styleId="Heading1-nobackground">
    <w:name w:val="Heading 1-no background"/>
    <w:basedOn w:val="Heading1"/>
    <w:next w:val="BodyText"/>
    <w:uiPriority w:val="9"/>
    <w:qFormat/>
    <w:rsid w:val="00AB53B3"/>
    <w:pPr>
      <w:numPr>
        <w:numId w:val="0"/>
      </w:numPr>
      <w:pBdr>
        <w:top w:val="none" w:sz="0" w:space="0" w:color="auto"/>
        <w:left w:val="none" w:sz="0" w:space="0" w:color="auto"/>
        <w:bottom w:val="none" w:sz="0" w:space="0" w:color="auto"/>
        <w:right w:val="none" w:sz="0" w:space="0" w:color="auto"/>
      </w:pBdr>
      <w:shd w:val="clear" w:color="auto" w:fill="auto"/>
      <w:spacing w:before="600"/>
      <w:ind w:right="0"/>
    </w:pPr>
  </w:style>
  <w:style w:type="character" w:customStyle="1" w:styleId="QuoteChar">
    <w:name w:val="Quote Char"/>
    <w:basedOn w:val="DefaultParagraphFont"/>
    <w:link w:val="Quote"/>
    <w:uiPriority w:val="1"/>
    <w:rsid w:val="00AB53B3"/>
    <w:rPr>
      <w:rFonts w:ascii="Open Sans" w:hAnsi="Open Sans"/>
      <w:color w:val="58585B"/>
      <w:sz w:val="20"/>
      <w:szCs w:val="20"/>
    </w:rPr>
  </w:style>
  <w:style w:type="paragraph" w:customStyle="1" w:styleId="TableHeading-numbered">
    <w:name w:val="Table Heading-numbered"/>
    <w:basedOn w:val="Normal"/>
    <w:semiHidden/>
    <w:qFormat/>
    <w:rsid w:val="00AB53B3"/>
    <w:pPr>
      <w:numPr>
        <w:numId w:val="24"/>
      </w:numPr>
      <w:spacing w:before="60"/>
      <w:contextualSpacing/>
    </w:pPr>
    <w:rPr>
      <w:b/>
      <w:color w:val="265A9A" w:themeColor="background2"/>
    </w:rPr>
  </w:style>
  <w:style w:type="numbering" w:customStyle="1" w:styleId="TableList">
    <w:name w:val="TableList"/>
    <w:uiPriority w:val="99"/>
    <w:rsid w:val="00AB53B3"/>
    <w:pPr>
      <w:numPr>
        <w:numId w:val="12"/>
      </w:numPr>
    </w:pPr>
  </w:style>
  <w:style w:type="paragraph" w:customStyle="1" w:styleId="Footer-right">
    <w:name w:val="Footer-right"/>
    <w:basedOn w:val="Footer"/>
    <w:uiPriority w:val="11"/>
    <w:rsid w:val="00AB53B3"/>
    <w:pPr>
      <w:jc w:val="right"/>
    </w:pPr>
    <w:rPr>
      <w:szCs w:val="24"/>
    </w:rPr>
  </w:style>
  <w:style w:type="paragraph" w:customStyle="1" w:styleId="Heading2-nonumber">
    <w:name w:val="Heading 2-no number"/>
    <w:basedOn w:val="Heading2"/>
    <w:uiPriority w:val="9"/>
    <w:qFormat/>
    <w:rsid w:val="00AB53B3"/>
    <w:pPr>
      <w:numPr>
        <w:ilvl w:val="0"/>
        <w:numId w:val="0"/>
      </w:numPr>
    </w:pPr>
  </w:style>
  <w:style w:type="paragraph" w:customStyle="1" w:styleId="Heading-Appendix">
    <w:name w:val="Heading-Appendix"/>
    <w:basedOn w:val="Heading1-nonumber"/>
    <w:next w:val="BodyText"/>
    <w:uiPriority w:val="9"/>
    <w:qFormat/>
    <w:rsid w:val="00AB53B3"/>
    <w:pPr>
      <w:numPr>
        <w:numId w:val="17"/>
      </w:numPr>
    </w:pPr>
  </w:style>
  <w:style w:type="numbering" w:customStyle="1" w:styleId="AppendixHeading">
    <w:name w:val="AppendixHeading"/>
    <w:uiPriority w:val="99"/>
    <w:rsid w:val="00AB53B3"/>
    <w:pPr>
      <w:numPr>
        <w:numId w:val="5"/>
      </w:numPr>
    </w:pPr>
  </w:style>
  <w:style w:type="paragraph" w:customStyle="1" w:styleId="DraftingNote">
    <w:name w:val="Drafting Note"/>
    <w:basedOn w:val="BodyText"/>
    <w:link w:val="DraftingNoteChar"/>
    <w:qFormat/>
    <w:rsid w:val="00AB53B3"/>
    <w:pPr>
      <w:contextualSpacing/>
    </w:pPr>
    <w:rPr>
      <w:color w:val="A22D2B"/>
      <w:sz w:val="24"/>
      <w:u w:val="dotted"/>
    </w:rPr>
  </w:style>
  <w:style w:type="character" w:customStyle="1" w:styleId="DraftingNoteChar">
    <w:name w:val="Drafting Note Char"/>
    <w:basedOn w:val="BodyTextChar"/>
    <w:link w:val="DraftingNote"/>
    <w:rsid w:val="00AB53B3"/>
    <w:rPr>
      <w:rFonts w:ascii="Open Sans" w:hAnsi="Open Sans"/>
      <w:color w:val="A22D2B"/>
      <w:sz w:val="24"/>
      <w:szCs w:val="20"/>
      <w:u w:val="dotted"/>
    </w:rPr>
  </w:style>
  <w:style w:type="paragraph" w:customStyle="1" w:styleId="BoxHeading1">
    <w:name w:val="Box Heading 1"/>
    <w:basedOn w:val="FigureTableHeading"/>
    <w:next w:val="BodyText"/>
    <w:uiPriority w:val="4"/>
    <w:qFormat/>
    <w:rsid w:val="00AB53B3"/>
    <w:pPr>
      <w:spacing w:after="0"/>
    </w:pPr>
  </w:style>
  <w:style w:type="character" w:styleId="Emphasis">
    <w:name w:val="Emphasis"/>
    <w:basedOn w:val="DefaultParagraphFont"/>
    <w:uiPriority w:val="22"/>
    <w:qFormat/>
    <w:rsid w:val="00AB53B3"/>
    <w:rPr>
      <w:i/>
      <w:iCs/>
    </w:rPr>
  </w:style>
  <w:style w:type="paragraph" w:customStyle="1" w:styleId="Reference">
    <w:name w:val="Reference"/>
    <w:basedOn w:val="BodyText"/>
    <w:qFormat/>
    <w:rsid w:val="00AB53B3"/>
    <w:pPr>
      <w:spacing w:before="0" w:after="60" w:line="200" w:lineRule="exact"/>
    </w:pPr>
    <w:rPr>
      <w:sz w:val="16"/>
    </w:rPr>
  </w:style>
  <w:style w:type="paragraph" w:customStyle="1" w:styleId="Keypoints-heading">
    <w:name w:val="Key points-heading"/>
    <w:basedOn w:val="Heading3"/>
    <w:uiPriority w:val="10"/>
    <w:qFormat/>
    <w:rsid w:val="00AB53B3"/>
    <w:rPr>
      <w:color w:val="auto"/>
    </w:rPr>
  </w:style>
  <w:style w:type="paragraph" w:customStyle="1" w:styleId="Heading2-Appendix">
    <w:name w:val="Heading 2-Appendix"/>
    <w:basedOn w:val="Heading2-nonumber"/>
    <w:next w:val="Normal"/>
    <w:uiPriority w:val="10"/>
    <w:qFormat/>
    <w:rsid w:val="00AB53B3"/>
    <w:pPr>
      <w:numPr>
        <w:ilvl w:val="1"/>
        <w:numId w:val="17"/>
      </w:numPr>
    </w:pPr>
  </w:style>
  <w:style w:type="numbering" w:customStyle="1" w:styleId="AppendixHeadingList">
    <w:name w:val="Appendix Heading List"/>
    <w:uiPriority w:val="99"/>
    <w:rsid w:val="00AB53B3"/>
    <w:pPr>
      <w:numPr>
        <w:numId w:val="3"/>
      </w:numPr>
    </w:pPr>
  </w:style>
  <w:style w:type="paragraph" w:customStyle="1" w:styleId="Space">
    <w:name w:val="Space"/>
    <w:basedOn w:val="BodyText"/>
    <w:uiPriority w:val="1"/>
    <w:rsid w:val="00AB53B3"/>
    <w:pPr>
      <w:spacing w:before="0" w:after="0"/>
    </w:pPr>
  </w:style>
  <w:style w:type="paragraph" w:customStyle="1" w:styleId="QuoteBullet">
    <w:name w:val="Quote Bullet"/>
    <w:basedOn w:val="ListBullet"/>
    <w:link w:val="QuoteBulletChar"/>
    <w:uiPriority w:val="1"/>
    <w:qFormat/>
    <w:rsid w:val="00AB53B3"/>
    <w:pPr>
      <w:spacing w:before="60"/>
      <w:ind w:left="340" w:right="851"/>
    </w:pPr>
    <w:rPr>
      <w:color w:val="58585B"/>
    </w:rPr>
  </w:style>
  <w:style w:type="character" w:customStyle="1" w:styleId="ListBulletChar">
    <w:name w:val="List Bullet Char"/>
    <w:basedOn w:val="DefaultParagraphFont"/>
    <w:link w:val="ListBullet"/>
    <w:uiPriority w:val="1"/>
    <w:rsid w:val="00AB53B3"/>
    <w:rPr>
      <w:rFonts w:ascii="Open Sans" w:hAnsi="Open Sans"/>
      <w:sz w:val="20"/>
      <w:szCs w:val="20"/>
    </w:rPr>
  </w:style>
  <w:style w:type="character" w:customStyle="1" w:styleId="QuoteBulletChar">
    <w:name w:val="Quote Bullet Char"/>
    <w:basedOn w:val="ListBulletChar"/>
    <w:link w:val="QuoteBullet"/>
    <w:uiPriority w:val="1"/>
    <w:rsid w:val="00AB53B3"/>
    <w:rPr>
      <w:rFonts w:ascii="Open Sans" w:hAnsi="Open Sans"/>
      <w:color w:val="58585B"/>
      <w:sz w:val="20"/>
      <w:szCs w:val="20"/>
    </w:rPr>
  </w:style>
  <w:style w:type="paragraph" w:customStyle="1" w:styleId="Figurecharttitle">
    <w:name w:val="Figure chart title"/>
    <w:basedOn w:val="BodyText"/>
    <w:uiPriority w:val="10"/>
    <w:qFormat/>
    <w:rsid w:val="00AB53B3"/>
    <w:pPr>
      <w:spacing w:before="0" w:after="0"/>
      <w:ind w:left="284" w:hanging="284"/>
    </w:pPr>
    <w:rPr>
      <w:sz w:val="18"/>
      <w:szCs w:val="18"/>
    </w:rPr>
  </w:style>
  <w:style w:type="paragraph" w:customStyle="1" w:styleId="PullQuoteNoSpacing">
    <w:name w:val="Pull Quote No Spacing"/>
    <w:basedOn w:val="NoSpacing"/>
    <w:link w:val="PullQuoteNoSpacingChar"/>
    <w:uiPriority w:val="10"/>
    <w:qFormat/>
    <w:rsid w:val="00AB53B3"/>
    <w:pPr>
      <w:spacing w:line="160" w:lineRule="exact"/>
    </w:pPr>
  </w:style>
  <w:style w:type="character" w:customStyle="1" w:styleId="PullQuoteNoSpacingChar">
    <w:name w:val="Pull Quote No Spacing Char"/>
    <w:basedOn w:val="NoSpacingChar"/>
    <w:link w:val="PullQuoteNoSpacing"/>
    <w:uiPriority w:val="10"/>
    <w:rsid w:val="00AB53B3"/>
    <w:rPr>
      <w:rFonts w:ascii="Open Sans" w:hAnsi="Open Sans"/>
      <w:sz w:val="20"/>
      <w:szCs w:val="20"/>
    </w:rPr>
  </w:style>
  <w:style w:type="paragraph" w:customStyle="1" w:styleId="PullQuote-Indigenous">
    <w:name w:val="Pull Quote-Indigenous"/>
    <w:basedOn w:val="PullQuote"/>
    <w:uiPriority w:val="10"/>
    <w:qFormat/>
    <w:rsid w:val="00AB53B3"/>
    <w:pPr>
      <w:ind w:right="680"/>
    </w:pPr>
    <w:rPr>
      <w:rFonts w:ascii="Open Sans" w:hAnsi="Open Sans" w:cs="Arial"/>
      <w:color w:val="auto"/>
      <w:spacing w:val="6"/>
      <w:sz w:val="22"/>
      <w:szCs w:val="22"/>
    </w:rPr>
  </w:style>
  <w:style w:type="paragraph" w:customStyle="1" w:styleId="CoverdisclaimerwhiteCover">
    <w:name w:val="Cover – disclaimer (white) (Cover)"/>
    <w:basedOn w:val="Normal"/>
    <w:uiPriority w:val="99"/>
    <w:rsid w:val="00AB53B3"/>
    <w:pPr>
      <w:tabs>
        <w:tab w:val="left" w:pos="170"/>
        <w:tab w:val="left" w:pos="6236"/>
      </w:tabs>
      <w:suppressAutoHyphens/>
      <w:autoSpaceDE w:val="0"/>
      <w:autoSpaceDN w:val="0"/>
      <w:adjustRightInd w:val="0"/>
      <w:spacing w:before="0" w:after="0" w:line="288" w:lineRule="auto"/>
      <w:textAlignment w:val="center"/>
    </w:pPr>
    <w:rPr>
      <w:rFonts w:cs="Open Sans"/>
      <w:color w:val="FFFFFF" w:themeColor="background1"/>
      <w:sz w:val="18"/>
      <w:szCs w:val="18"/>
      <w:lang w:val="en-US"/>
    </w:rPr>
  </w:style>
  <w:style w:type="character" w:customStyle="1" w:styleId="TableHeadingChar">
    <w:name w:val="Table Heading Char"/>
    <w:basedOn w:val="NoSpacingChar"/>
    <w:link w:val="TableHeading"/>
    <w:uiPriority w:val="4"/>
    <w:rsid w:val="00AB53B3"/>
    <w:rPr>
      <w:rFonts w:ascii="Open Sans" w:hAnsi="Open Sans"/>
      <w:b/>
      <w:color w:val="132D4D" w:themeColor="background2" w:themeShade="80"/>
      <w:sz w:val="18"/>
      <w:szCs w:val="20"/>
    </w:rPr>
  </w:style>
  <w:style w:type="paragraph" w:customStyle="1" w:styleId="FindingRecRequesttitle">
    <w:name w:val="Finding/Rec/Request title"/>
    <w:basedOn w:val="TableHeading"/>
    <w:link w:val="FindingRecRequesttitleChar"/>
    <w:uiPriority w:val="10"/>
    <w:qFormat/>
    <w:rsid w:val="00AB53B3"/>
    <w:pPr>
      <w:keepNext/>
      <w:keepLines/>
      <w:spacing w:before="120" w:after="120"/>
      <w:contextualSpacing/>
    </w:pPr>
    <w:rPr>
      <w:color w:val="265A9A" w:themeColor="background2"/>
      <w:sz w:val="20"/>
    </w:rPr>
  </w:style>
  <w:style w:type="character" w:customStyle="1" w:styleId="FindingRecRequesttitleChar">
    <w:name w:val="Finding/Rec/Request title Char"/>
    <w:basedOn w:val="TableHeadingChar"/>
    <w:link w:val="FindingRecRequesttitle"/>
    <w:uiPriority w:val="10"/>
    <w:rsid w:val="00AB53B3"/>
    <w:rPr>
      <w:rFonts w:ascii="Open Sans" w:hAnsi="Open Sans"/>
      <w:b/>
      <w:color w:val="265A9A" w:themeColor="background2"/>
      <w:sz w:val="20"/>
      <w:szCs w:val="20"/>
    </w:rPr>
  </w:style>
  <w:style w:type="character" w:styleId="FollowedHyperlink">
    <w:name w:val="FollowedHyperlink"/>
    <w:basedOn w:val="DefaultParagraphFont"/>
    <w:uiPriority w:val="99"/>
    <w:semiHidden/>
    <w:unhideWhenUsed/>
    <w:rsid w:val="00C13347"/>
    <w:rPr>
      <w:color w:val="BFBFBF" w:themeColor="followedHyperlink"/>
      <w:u w:val="single"/>
    </w:rPr>
  </w:style>
  <w:style w:type="character" w:styleId="Mention">
    <w:name w:val="Mention"/>
    <w:basedOn w:val="DefaultParagraphFont"/>
    <w:uiPriority w:val="99"/>
    <w:unhideWhenUsed/>
    <w:rsid w:val="003E1F09"/>
    <w:rPr>
      <w:color w:val="2B579A"/>
      <w:shd w:val="clear" w:color="auto" w:fill="E1DFDD"/>
    </w:rPr>
  </w:style>
  <w:style w:type="paragraph" w:customStyle="1" w:styleId="Findingtitle">
    <w:name w:val="Finding title"/>
    <w:basedOn w:val="TableHeading"/>
    <w:link w:val="FindingtitleChar"/>
    <w:uiPriority w:val="10"/>
    <w:qFormat/>
    <w:rsid w:val="00401855"/>
    <w:pPr>
      <w:keepNext/>
      <w:keepLines/>
      <w:spacing w:before="120" w:after="120"/>
      <w:contextualSpacing/>
    </w:pPr>
    <w:rPr>
      <w:sz w:val="20"/>
    </w:rPr>
  </w:style>
  <w:style w:type="character" w:customStyle="1" w:styleId="FindingtitleChar">
    <w:name w:val="Finding title Char"/>
    <w:basedOn w:val="DefaultParagraphFont"/>
    <w:link w:val="Findingtitle"/>
    <w:uiPriority w:val="10"/>
    <w:rsid w:val="00401855"/>
    <w:rPr>
      <w:rFonts w:ascii="Open Sans" w:hAnsi="Open Sans"/>
      <w:b/>
      <w:color w:val="132D4D" w:themeColor="background2" w:themeShade="80"/>
      <w:sz w:val="20"/>
      <w:szCs w:val="20"/>
    </w:rPr>
  </w:style>
  <w:style w:type="paragraph" w:customStyle="1" w:styleId="Subtitle4">
    <w:name w:val="Subtitle 4"/>
    <w:basedOn w:val="Copyrightpage-Heading"/>
    <w:link w:val="Subtitle4Char"/>
    <w:uiPriority w:val="39"/>
    <w:rsid w:val="00692657"/>
    <w:pPr>
      <w:spacing w:after="40"/>
    </w:pPr>
    <w:rPr>
      <w:b/>
      <w:sz w:val="16"/>
    </w:rPr>
  </w:style>
  <w:style w:type="character" w:customStyle="1" w:styleId="Subtitle4Char">
    <w:name w:val="Subtitle 4 Char"/>
    <w:basedOn w:val="Copyrightpage-HeadingChar"/>
    <w:link w:val="Subtitle4"/>
    <w:uiPriority w:val="39"/>
    <w:rsid w:val="00692657"/>
    <w:rPr>
      <w:rFonts w:ascii="Open Sans Semibold" w:hAnsi="Open Sans Semibold"/>
      <w:b/>
      <w:color w:val="1C4373" w:themeColor="background2" w:themeShade="BF"/>
      <w:spacing w:val="4"/>
      <w:sz w:val="16"/>
      <w:szCs w:val="18"/>
    </w:rPr>
  </w:style>
  <w:style w:type="paragraph" w:styleId="EndnoteText">
    <w:name w:val="endnote text"/>
    <w:basedOn w:val="Normal"/>
    <w:link w:val="EndnoteTextChar"/>
    <w:uiPriority w:val="99"/>
    <w:semiHidden/>
    <w:unhideWhenUsed/>
    <w:rsid w:val="00692657"/>
    <w:pPr>
      <w:spacing w:before="0" w:after="0" w:line="240" w:lineRule="auto"/>
    </w:pPr>
  </w:style>
  <w:style w:type="character" w:customStyle="1" w:styleId="EndnoteTextChar">
    <w:name w:val="Endnote Text Char"/>
    <w:basedOn w:val="DefaultParagraphFont"/>
    <w:link w:val="EndnoteText"/>
    <w:uiPriority w:val="99"/>
    <w:semiHidden/>
    <w:rsid w:val="00692657"/>
    <w:rPr>
      <w:rFonts w:ascii="Open Sans" w:hAnsi="Open Sans"/>
      <w:sz w:val="20"/>
      <w:szCs w:val="20"/>
    </w:rPr>
  </w:style>
  <w:style w:type="character" w:styleId="EndnoteReference">
    <w:name w:val="endnote reference"/>
    <w:basedOn w:val="DefaultParagraphFont"/>
    <w:uiPriority w:val="99"/>
    <w:semiHidden/>
    <w:unhideWhenUsed/>
    <w:rsid w:val="00692657"/>
    <w:rPr>
      <w:vertAlign w:val="superscript"/>
    </w:rPr>
  </w:style>
  <w:style w:type="paragraph" w:styleId="NormalWeb">
    <w:name w:val="Normal (Web)"/>
    <w:basedOn w:val="Normal"/>
    <w:uiPriority w:val="99"/>
    <w:semiHidden/>
    <w:unhideWhenUsed/>
    <w:rsid w:val="00692657"/>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Bibliography">
    <w:name w:val="Bibliography"/>
    <w:basedOn w:val="Normal"/>
    <w:next w:val="Normal"/>
    <w:uiPriority w:val="37"/>
    <w:unhideWhenUsed/>
    <w:rsid w:val="00692657"/>
    <w:pPr>
      <w:spacing w:after="240" w:line="240" w:lineRule="atLeast"/>
      <w:ind w:left="720" w:hanging="720"/>
    </w:pPr>
  </w:style>
  <w:style w:type="paragraph" w:customStyle="1" w:styleId="TableBodyHeading">
    <w:name w:val="Table Body Heading"/>
    <w:basedOn w:val="NoSpacing"/>
    <w:qFormat/>
    <w:rsid w:val="00BC1539"/>
    <w:pPr>
      <w:spacing w:after="20"/>
      <w:ind w:left="57"/>
    </w:pPr>
    <w:rPr>
      <w:b/>
      <w:color w:val="265A9A" w:themeColor="background2"/>
      <w:sz w:val="18"/>
    </w:rPr>
  </w:style>
  <w:style w:type="character" w:styleId="HTMLCode">
    <w:name w:val="HTML Code"/>
    <w:basedOn w:val="DefaultParagraphFont"/>
    <w:uiPriority w:val="99"/>
    <w:semiHidden/>
    <w:unhideWhenUsed/>
    <w:rsid w:val="00BC1539"/>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5.xml"/><Relationship Id="rId21" Type="http://schemas.openxmlformats.org/officeDocument/2006/relationships/hyperlink" Target="https://www.pc.gov.au" TargetMode="External"/><Relationship Id="rId42" Type="http://schemas.openxmlformats.org/officeDocument/2006/relationships/image" Target="media/image8.emf"/><Relationship Id="rId47" Type="http://schemas.openxmlformats.org/officeDocument/2006/relationships/footer" Target="footer8.xml"/><Relationship Id="rId63" Type="http://schemas.openxmlformats.org/officeDocument/2006/relationships/footer" Target="footer13.xml"/><Relationship Id="rId68" Type="http://schemas.openxmlformats.org/officeDocument/2006/relationships/image" Target="media/image17.emf"/><Relationship Id="rId84" Type="http://schemas.openxmlformats.org/officeDocument/2006/relationships/header" Target="header30.xml"/><Relationship Id="rId89" Type="http://schemas.openxmlformats.org/officeDocument/2006/relationships/header" Target="header33.xml"/><Relationship Id="rId112" Type="http://schemas.openxmlformats.org/officeDocument/2006/relationships/fontTable" Target="fontTable.xml"/><Relationship Id="rId16" Type="http://schemas.openxmlformats.org/officeDocument/2006/relationships/footer" Target="footer1.xml"/><Relationship Id="rId107" Type="http://schemas.openxmlformats.org/officeDocument/2006/relationships/footer" Target="footer22.xml"/><Relationship Id="rId11" Type="http://schemas.openxmlformats.org/officeDocument/2006/relationships/webSettings" Target="webSettings.xml"/><Relationship Id="rId32" Type="http://schemas.openxmlformats.org/officeDocument/2006/relationships/header" Target="header8.xml"/><Relationship Id="rId37" Type="http://schemas.openxmlformats.org/officeDocument/2006/relationships/header" Target="header11.xml"/><Relationship Id="rId53" Type="http://schemas.openxmlformats.org/officeDocument/2006/relationships/footer" Target="footer11.xml"/><Relationship Id="rId58" Type="http://schemas.openxmlformats.org/officeDocument/2006/relationships/image" Target="media/image12.emf"/><Relationship Id="rId74" Type="http://schemas.openxmlformats.org/officeDocument/2006/relationships/header" Target="header25.xml"/><Relationship Id="rId79" Type="http://schemas.openxmlformats.org/officeDocument/2006/relationships/image" Target="media/image23.emf"/><Relationship Id="rId102" Type="http://schemas.openxmlformats.org/officeDocument/2006/relationships/header" Target="header35.xml"/><Relationship Id="rId5" Type="http://schemas.openxmlformats.org/officeDocument/2006/relationships/customXml" Target="../customXml/item5.xml"/><Relationship Id="rId90" Type="http://schemas.openxmlformats.org/officeDocument/2006/relationships/image" Target="media/image24.emf"/><Relationship Id="rId95" Type="http://schemas.openxmlformats.org/officeDocument/2006/relationships/image" Target="media/image29.emf"/><Relationship Id="rId22" Type="http://schemas.openxmlformats.org/officeDocument/2006/relationships/image" Target="media/image3.png"/><Relationship Id="rId27" Type="http://schemas.openxmlformats.org/officeDocument/2006/relationships/footer" Target="footer4.xml"/><Relationship Id="rId43" Type="http://schemas.openxmlformats.org/officeDocument/2006/relationships/header" Target="header13.xml"/><Relationship Id="rId48" Type="http://schemas.openxmlformats.org/officeDocument/2006/relationships/footer" Target="footer9.xml"/><Relationship Id="rId64" Type="http://schemas.openxmlformats.org/officeDocument/2006/relationships/header" Target="header24.xml"/><Relationship Id="rId69" Type="http://schemas.openxmlformats.org/officeDocument/2006/relationships/image" Target="media/image18.emf"/><Relationship Id="rId113" Type="http://schemas.openxmlformats.org/officeDocument/2006/relationships/glossaryDocument" Target="glossary/document.xml"/><Relationship Id="rId80" Type="http://schemas.openxmlformats.org/officeDocument/2006/relationships/header" Target="header28.xml"/><Relationship Id="rId85" Type="http://schemas.openxmlformats.org/officeDocument/2006/relationships/header" Target="header31.xml"/><Relationship Id="rId12" Type="http://schemas.openxmlformats.org/officeDocument/2006/relationships/footnotes" Target="footnotes.xml"/><Relationship Id="rId17" Type="http://schemas.openxmlformats.org/officeDocument/2006/relationships/footer" Target="footer2.xml"/><Relationship Id="rId33" Type="http://schemas.openxmlformats.org/officeDocument/2006/relationships/footer" Target="footer6.xml"/><Relationship Id="rId38" Type="http://schemas.openxmlformats.org/officeDocument/2006/relationships/header" Target="header12.xml"/><Relationship Id="rId59" Type="http://schemas.openxmlformats.org/officeDocument/2006/relationships/image" Target="media/image13.png"/><Relationship Id="rId103" Type="http://schemas.openxmlformats.org/officeDocument/2006/relationships/footer" Target="footer20.xml"/><Relationship Id="rId108" Type="http://schemas.openxmlformats.org/officeDocument/2006/relationships/footer" Target="footer23.xml"/><Relationship Id="rId54" Type="http://schemas.openxmlformats.org/officeDocument/2006/relationships/header" Target="header20.xml"/><Relationship Id="rId70" Type="http://schemas.openxmlformats.org/officeDocument/2006/relationships/image" Target="media/image19.emf"/><Relationship Id="rId75" Type="http://schemas.openxmlformats.org/officeDocument/2006/relationships/header" Target="header26.xml"/><Relationship Id="rId91" Type="http://schemas.openxmlformats.org/officeDocument/2006/relationships/image" Target="media/image25.emf"/><Relationship Id="rId96" Type="http://schemas.openxmlformats.org/officeDocument/2006/relationships/image" Target="media/image30.emf"/><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2.xml"/><Relationship Id="rId23" Type="http://schemas.openxmlformats.org/officeDocument/2006/relationships/image" Target="media/image4.svg"/><Relationship Id="rId28" Type="http://schemas.openxmlformats.org/officeDocument/2006/relationships/footer" Target="footer5.xml"/><Relationship Id="rId36" Type="http://schemas.openxmlformats.org/officeDocument/2006/relationships/header" Target="header10.xml"/><Relationship Id="rId49" Type="http://schemas.openxmlformats.org/officeDocument/2006/relationships/header" Target="header17.xml"/><Relationship Id="rId57" Type="http://schemas.openxmlformats.org/officeDocument/2006/relationships/image" Target="media/image11.emf"/><Relationship Id="rId106" Type="http://schemas.openxmlformats.org/officeDocument/2006/relationships/header" Target="header37.xml"/><Relationship Id="rId114" Type="http://schemas.openxmlformats.org/officeDocument/2006/relationships/theme" Target="theme/theme1.xml"/><Relationship Id="rId10" Type="http://schemas.openxmlformats.org/officeDocument/2006/relationships/settings" Target="settings.xml"/><Relationship Id="rId31" Type="http://schemas.openxmlformats.org/officeDocument/2006/relationships/header" Target="header7.xml"/><Relationship Id="rId44" Type="http://schemas.openxmlformats.org/officeDocument/2006/relationships/header" Target="header14.xml"/><Relationship Id="rId52" Type="http://schemas.openxmlformats.org/officeDocument/2006/relationships/footer" Target="footer10.xml"/><Relationship Id="rId60" Type="http://schemas.openxmlformats.org/officeDocument/2006/relationships/header" Target="header22.xml"/><Relationship Id="rId65" Type="http://schemas.openxmlformats.org/officeDocument/2006/relationships/image" Target="media/image14.emf"/><Relationship Id="rId73" Type="http://schemas.openxmlformats.org/officeDocument/2006/relationships/image" Target="media/image22.emf"/><Relationship Id="rId78" Type="http://schemas.openxmlformats.org/officeDocument/2006/relationships/header" Target="header27.xml"/><Relationship Id="rId81" Type="http://schemas.openxmlformats.org/officeDocument/2006/relationships/header" Target="header29.xml"/><Relationship Id="rId86" Type="http://schemas.openxmlformats.org/officeDocument/2006/relationships/footer" Target="footer18.xml"/><Relationship Id="rId94" Type="http://schemas.openxmlformats.org/officeDocument/2006/relationships/image" Target="media/image28.emf"/><Relationship Id="rId99" Type="http://schemas.openxmlformats.org/officeDocument/2006/relationships/image" Target="media/image33.emf"/><Relationship Id="rId101" Type="http://schemas.openxmlformats.org/officeDocument/2006/relationships/header" Target="header34.xml"/><Relationship Id="rId4" Type="http://schemas.openxmlformats.org/officeDocument/2006/relationships/customXml" Target="../customXml/item4.xml"/><Relationship Id="rId9"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eader" Target="header3.xml"/><Relationship Id="rId39" Type="http://schemas.openxmlformats.org/officeDocument/2006/relationships/image" Target="media/image5.png"/><Relationship Id="rId109" Type="http://schemas.openxmlformats.org/officeDocument/2006/relationships/header" Target="header38.xml"/><Relationship Id="rId34" Type="http://schemas.openxmlformats.org/officeDocument/2006/relationships/footer" Target="footer7.xml"/><Relationship Id="rId50" Type="http://schemas.openxmlformats.org/officeDocument/2006/relationships/header" Target="header18.xml"/><Relationship Id="rId55" Type="http://schemas.openxmlformats.org/officeDocument/2006/relationships/header" Target="header21.xml"/><Relationship Id="rId76" Type="http://schemas.openxmlformats.org/officeDocument/2006/relationships/footer" Target="footer14.xml"/><Relationship Id="rId97" Type="http://schemas.openxmlformats.org/officeDocument/2006/relationships/image" Target="media/image31.emf"/><Relationship Id="rId104" Type="http://schemas.openxmlformats.org/officeDocument/2006/relationships/footer" Target="footer21.xml"/><Relationship Id="rId7" Type="http://schemas.openxmlformats.org/officeDocument/2006/relationships/customXml" Target="../customXml/item7.xml"/><Relationship Id="rId71" Type="http://schemas.openxmlformats.org/officeDocument/2006/relationships/image" Target="media/image20.emf"/><Relationship Id="rId92" Type="http://schemas.openxmlformats.org/officeDocument/2006/relationships/image" Target="media/image26.emf"/><Relationship Id="rId2" Type="http://schemas.openxmlformats.org/officeDocument/2006/relationships/customXml" Target="../customXml/item2.xml"/><Relationship Id="rId29" Type="http://schemas.openxmlformats.org/officeDocument/2006/relationships/header" Target="header6.xml"/><Relationship Id="rId24" Type="http://schemas.openxmlformats.org/officeDocument/2006/relationships/hyperlink" Target="mailto:publications@pc.gov.au" TargetMode="External"/><Relationship Id="rId40" Type="http://schemas.openxmlformats.org/officeDocument/2006/relationships/image" Target="media/image6.svg"/><Relationship Id="rId45" Type="http://schemas.openxmlformats.org/officeDocument/2006/relationships/header" Target="header15.xml"/><Relationship Id="rId66" Type="http://schemas.openxmlformats.org/officeDocument/2006/relationships/image" Target="media/image15.emf"/><Relationship Id="rId87" Type="http://schemas.openxmlformats.org/officeDocument/2006/relationships/footer" Target="footer19.xml"/><Relationship Id="rId110" Type="http://schemas.openxmlformats.org/officeDocument/2006/relationships/header" Target="header39.xml"/><Relationship Id="rId61" Type="http://schemas.openxmlformats.org/officeDocument/2006/relationships/header" Target="header23.xml"/><Relationship Id="rId82" Type="http://schemas.openxmlformats.org/officeDocument/2006/relationships/footer" Target="footer16.xml"/><Relationship Id="rId19" Type="http://schemas.openxmlformats.org/officeDocument/2006/relationships/footer" Target="footer3.xml"/><Relationship Id="rId14" Type="http://schemas.openxmlformats.org/officeDocument/2006/relationships/header" Target="header1.xml"/><Relationship Id="rId30" Type="http://schemas.openxmlformats.org/officeDocument/2006/relationships/hyperlink" Target="http://www.pc.gov.au/inquiries-and-research/steel-safeguards/" TargetMode="External"/><Relationship Id="rId35" Type="http://schemas.openxmlformats.org/officeDocument/2006/relationships/header" Target="header9.xml"/><Relationship Id="rId56" Type="http://schemas.openxmlformats.org/officeDocument/2006/relationships/image" Target="media/image10.emf"/><Relationship Id="rId77" Type="http://schemas.openxmlformats.org/officeDocument/2006/relationships/footer" Target="footer15.xml"/><Relationship Id="rId100" Type="http://schemas.openxmlformats.org/officeDocument/2006/relationships/image" Target="media/image34.emf"/><Relationship Id="rId105" Type="http://schemas.openxmlformats.org/officeDocument/2006/relationships/header" Target="header36.xml"/><Relationship Id="rId8" Type="http://schemas.openxmlformats.org/officeDocument/2006/relationships/numbering" Target="numbering.xml"/><Relationship Id="rId51" Type="http://schemas.openxmlformats.org/officeDocument/2006/relationships/header" Target="header19.xml"/><Relationship Id="rId72" Type="http://schemas.openxmlformats.org/officeDocument/2006/relationships/image" Target="media/image21.emf"/><Relationship Id="rId93" Type="http://schemas.openxmlformats.org/officeDocument/2006/relationships/image" Target="media/image27.emf"/><Relationship Id="rId98" Type="http://schemas.openxmlformats.org/officeDocument/2006/relationships/image" Target="media/image32.emf"/><Relationship Id="rId3" Type="http://schemas.openxmlformats.org/officeDocument/2006/relationships/customXml" Target="../customXml/item3.xml"/><Relationship Id="rId25" Type="http://schemas.openxmlformats.org/officeDocument/2006/relationships/header" Target="header4.xml"/><Relationship Id="rId46" Type="http://schemas.openxmlformats.org/officeDocument/2006/relationships/header" Target="header16.xml"/><Relationship Id="rId67" Type="http://schemas.openxmlformats.org/officeDocument/2006/relationships/image" Target="media/image16.emf"/><Relationship Id="rId20" Type="http://schemas.openxmlformats.org/officeDocument/2006/relationships/image" Target="media/image2.png"/><Relationship Id="rId41" Type="http://schemas.openxmlformats.org/officeDocument/2006/relationships/image" Target="media/image7.emf"/><Relationship Id="rId62" Type="http://schemas.openxmlformats.org/officeDocument/2006/relationships/footer" Target="footer12.xml"/><Relationship Id="rId83" Type="http://schemas.openxmlformats.org/officeDocument/2006/relationships/footer" Target="footer17.xml"/><Relationship Id="rId88" Type="http://schemas.openxmlformats.org/officeDocument/2006/relationships/header" Target="header32.xml"/><Relationship Id="rId111" Type="http://schemas.openxmlformats.org/officeDocument/2006/relationships/header" Target="header40.xml"/></Relationships>
</file>

<file path=word/_rels/header21.xml.rels><?xml version="1.0" encoding="UTF-8" standalone="yes"?>
<Relationships xmlns="http://schemas.openxmlformats.org/package/2006/relationships"><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33.xml.rels><?xml version="1.0" encoding="UTF-8" standalone="yes"?>
<Relationships xmlns="http://schemas.openxmlformats.org/package/2006/relationships"><Relationship Id="rId1" Type="http://schemas.openxmlformats.org/officeDocument/2006/relationships/image" Target="media/image9.png"/></Relationships>
</file>

<file path=word/_rels/header39.xml.rels><?xml version="1.0" encoding="UTF-8" standalone="yes"?>
<Relationships xmlns="http://schemas.openxmlformats.org/package/2006/relationships"><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https://pcgov.sharepoint.com/sites/sce/FormServerTemplates/PC-report-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BDF5AF418B4321AF19AE91FC740170"/>
        <w:category>
          <w:name w:val="General"/>
          <w:gallery w:val="placeholder"/>
        </w:category>
        <w:types>
          <w:type w:val="bbPlcHdr"/>
        </w:types>
        <w:behaviors>
          <w:behavior w:val="content"/>
        </w:behaviors>
        <w:guid w:val="{3AF22ED2-E4B8-4849-B1C4-590A7A67E728}"/>
      </w:docPartPr>
      <w:docPartBody>
        <w:p w:rsidR="00670132" w:rsidRDefault="00670132">
          <w:pPr>
            <w:pStyle w:val="50BDF5AF418B4321AF19AE91FC740170"/>
          </w:pPr>
          <w:r w:rsidRPr="00A25715">
            <w:rPr>
              <w:i/>
              <w:iCs/>
            </w:rPr>
            <w:t>[Title]</w:t>
          </w:r>
        </w:p>
      </w:docPartBody>
    </w:docPart>
    <w:docPart>
      <w:docPartPr>
        <w:name w:val="96B08AB5A4334DE7B9E365749434222B"/>
        <w:category>
          <w:name w:val="General"/>
          <w:gallery w:val="placeholder"/>
        </w:category>
        <w:types>
          <w:type w:val="bbPlcHdr"/>
        </w:types>
        <w:behaviors>
          <w:behavior w:val="content"/>
        </w:behaviors>
        <w:guid w:val="{595A626F-C996-414C-93F9-579B0AF11AA3}"/>
      </w:docPartPr>
      <w:docPartBody>
        <w:p w:rsidR="00670132" w:rsidRDefault="00670132">
          <w:pPr>
            <w:pStyle w:val="96B08AB5A4334DE7B9E365749434222B"/>
          </w:pPr>
          <w:r w:rsidRPr="00F2058B">
            <w:rPr>
              <w:highlight w:val="lightGray"/>
            </w:rPr>
            <w:t>[click to add text]</w:t>
          </w:r>
        </w:p>
      </w:docPartBody>
    </w:docPart>
    <w:docPart>
      <w:docPartPr>
        <w:name w:val="75598EE123964B159994FD532B2B6D34"/>
        <w:category>
          <w:name w:val="General"/>
          <w:gallery w:val="placeholder"/>
        </w:category>
        <w:types>
          <w:type w:val="bbPlcHdr"/>
        </w:types>
        <w:behaviors>
          <w:behavior w:val="content"/>
        </w:behaviors>
        <w:guid w:val="{2BD9C962-DAD8-4CCE-85A2-869B8D83A555}"/>
      </w:docPartPr>
      <w:docPartBody>
        <w:p w:rsidR="00670132" w:rsidRDefault="00670132">
          <w:pPr>
            <w:pStyle w:val="75598EE123964B159994FD532B2B6D34"/>
          </w:pPr>
          <w:r w:rsidRPr="00201320">
            <w:rPr>
              <w:rStyle w:val="Strong"/>
            </w:rPr>
            <w:t>[Title]</w:t>
          </w:r>
        </w:p>
      </w:docPartBody>
    </w:docPart>
    <w:docPart>
      <w:docPartPr>
        <w:name w:val="260886A51358417E9A824009AC3BE5F6"/>
        <w:category>
          <w:name w:val="General"/>
          <w:gallery w:val="placeholder"/>
        </w:category>
        <w:types>
          <w:type w:val="bbPlcHdr"/>
        </w:types>
        <w:behaviors>
          <w:behavior w:val="content"/>
        </w:behaviors>
        <w:guid w:val="{BA94FE76-FA36-42E5-86EA-5205B18C8A4A}"/>
      </w:docPartPr>
      <w:docPartBody>
        <w:p w:rsidR="00182978" w:rsidRDefault="003E3E05">
          <w:pPr>
            <w:pStyle w:val="260886A51358417E9A824009AC3BE5F6"/>
          </w:pPr>
          <w:r w:rsidRPr="00265918">
            <w:rPr>
              <w:highlight w:val="lightGray"/>
            </w:rPr>
            <w:t>[Choose Received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Open Sans Extrabold">
    <w:panose1 w:val="020B0906030804020204"/>
    <w:charset w:val="00"/>
    <w:family w:val="swiss"/>
    <w:pitch w:val="variable"/>
    <w:sig w:usb0="E00002EF" w:usb1="4000205B" w:usb2="00000028" w:usb3="00000000" w:csb0="0000019F" w:csb1="00000000"/>
  </w:font>
  <w:font w:name="SimHei">
    <w:panose1 w:val="02010600030101010101"/>
    <w:charset w:val="86"/>
    <w:family w:val="modern"/>
    <w:pitch w:val="fixed"/>
    <w:sig w:usb0="800002BF" w:usb1="38CF7CFA"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Open Sans Semibold">
    <w:panose1 w:val="020B07060308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E05"/>
    <w:rsid w:val="00012DF7"/>
    <w:rsid w:val="00020FFA"/>
    <w:rsid w:val="00041E59"/>
    <w:rsid w:val="000609A2"/>
    <w:rsid w:val="00070C99"/>
    <w:rsid w:val="00123F2E"/>
    <w:rsid w:val="00126229"/>
    <w:rsid w:val="00127D62"/>
    <w:rsid w:val="00134FDC"/>
    <w:rsid w:val="00182978"/>
    <w:rsid w:val="001A1C69"/>
    <w:rsid w:val="001A61D8"/>
    <w:rsid w:val="001B2DD3"/>
    <w:rsid w:val="001B713B"/>
    <w:rsid w:val="001E6E10"/>
    <w:rsid w:val="002478BC"/>
    <w:rsid w:val="0029245C"/>
    <w:rsid w:val="002C283C"/>
    <w:rsid w:val="002F0464"/>
    <w:rsid w:val="0030211D"/>
    <w:rsid w:val="003639CD"/>
    <w:rsid w:val="003919AE"/>
    <w:rsid w:val="00395E04"/>
    <w:rsid w:val="003E3E05"/>
    <w:rsid w:val="00422BB2"/>
    <w:rsid w:val="00442262"/>
    <w:rsid w:val="00454CC8"/>
    <w:rsid w:val="004719A0"/>
    <w:rsid w:val="004A511C"/>
    <w:rsid w:val="00515060"/>
    <w:rsid w:val="005A2AE9"/>
    <w:rsid w:val="005F56C1"/>
    <w:rsid w:val="0060663F"/>
    <w:rsid w:val="00670132"/>
    <w:rsid w:val="00676D5E"/>
    <w:rsid w:val="00686047"/>
    <w:rsid w:val="00686FE7"/>
    <w:rsid w:val="00695608"/>
    <w:rsid w:val="006C2BA2"/>
    <w:rsid w:val="00752CAB"/>
    <w:rsid w:val="007B6AAA"/>
    <w:rsid w:val="007C4916"/>
    <w:rsid w:val="007F1435"/>
    <w:rsid w:val="00800B63"/>
    <w:rsid w:val="008F0875"/>
    <w:rsid w:val="0094697E"/>
    <w:rsid w:val="00982895"/>
    <w:rsid w:val="00A771F1"/>
    <w:rsid w:val="00B3262D"/>
    <w:rsid w:val="00BA426E"/>
    <w:rsid w:val="00BD1967"/>
    <w:rsid w:val="00C948B5"/>
    <w:rsid w:val="00C94B59"/>
    <w:rsid w:val="00D67ABC"/>
    <w:rsid w:val="00DC3A61"/>
    <w:rsid w:val="00DD727C"/>
    <w:rsid w:val="00E31B5A"/>
    <w:rsid w:val="00E43FDD"/>
    <w:rsid w:val="00E55DE4"/>
    <w:rsid w:val="00E63949"/>
    <w:rsid w:val="00E84C73"/>
    <w:rsid w:val="00ED607A"/>
    <w:rsid w:val="00F86BD8"/>
    <w:rsid w:val="00FA794D"/>
    <w:rsid w:val="00FD37C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5C1F3AB"/>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50BDF5AF418B4321AF19AE91FC740170">
    <w:name w:val="50BDF5AF418B4321AF19AE91FC740170"/>
  </w:style>
  <w:style w:type="paragraph" w:customStyle="1" w:styleId="96B08AB5A4334DE7B9E365749434222B">
    <w:name w:val="96B08AB5A4334DE7B9E365749434222B"/>
  </w:style>
  <w:style w:type="character" w:styleId="Strong">
    <w:name w:val="Strong"/>
    <w:basedOn w:val="DefaultParagraphFont"/>
    <w:uiPriority w:val="22"/>
    <w:qFormat/>
    <w:rsid w:val="00686FE7"/>
    <w:rPr>
      <w:rFonts w:asciiTheme="minorHAnsi" w:hAnsiTheme="minorHAnsi"/>
      <w:b/>
      <w:bCs/>
    </w:rPr>
  </w:style>
  <w:style w:type="paragraph" w:customStyle="1" w:styleId="75598EE123964B159994FD532B2B6D34">
    <w:name w:val="75598EE123964B159994FD532B2B6D34"/>
  </w:style>
  <w:style w:type="paragraph" w:customStyle="1" w:styleId="260886A51358417E9A824009AC3BE5F6">
    <w:name w:val="260886A51358417E9A824009AC3BE5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PC colour scheme 2025">
      <a:dk1>
        <a:srgbClr val="000000"/>
      </a:dk1>
      <a:lt1>
        <a:srgbClr val="FFFFFF"/>
      </a:lt1>
      <a:dk2>
        <a:srgbClr val="2B9AC2"/>
      </a:dk2>
      <a:lt2>
        <a:srgbClr val="265A9A"/>
      </a:lt2>
      <a:accent1>
        <a:srgbClr val="66BCDB"/>
      </a:accent1>
      <a:accent2>
        <a:srgbClr val="8956A3"/>
      </a:accent2>
      <a:accent3>
        <a:srgbClr val="71CBD5"/>
      </a:accent3>
      <a:accent4>
        <a:srgbClr val="90D8F7"/>
      </a:accent4>
      <a:accent5>
        <a:srgbClr val="14315B"/>
      </a:accent5>
      <a:accent6>
        <a:srgbClr val="542972"/>
      </a:accent6>
      <a:hlink>
        <a:srgbClr val="000000"/>
      </a:hlink>
      <a:folHlink>
        <a:srgbClr val="BFBFBF"/>
      </a:folHlink>
    </a:clrScheme>
    <a:fontScheme name="ACDC">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PC Dark Blue">
      <a:srgbClr val="265999"/>
    </a:custClr>
    <a:custClr name="PC Mid Blue">
      <a:srgbClr val="2C9BC2"/>
    </a:custClr>
    <a:custClr name="PC Blue">
      <a:srgbClr val="66B9DA"/>
    </a:custClr>
    <a:custClr name="PC Light Blue">
      <a:srgbClr val="EEF8FD"/>
    </a:custClr>
    <a:custClr name="PC Light Grey">
      <a:srgbClr val="F2F2F2"/>
    </a:custClr>
    <a:custClr name="PC Grey">
      <a:srgbClr val="DBDCDE"/>
    </a:custClr>
    <a:custClr name="PC Dark Grey">
      <a:srgbClr val="58585B"/>
    </a:custClr>
    <a:custClr name="PC Green">
      <a:srgbClr val="7AA644"/>
    </a:custClr>
    <a:custClr name="PC Dark green">
      <a:srgbClr val="3A703A"/>
    </a:custClr>
    <a:custClr name="PC Yellow">
      <a:srgbClr val="FCB221"/>
    </a:custClr>
    <a:custClr name="PC Orange">
      <a:srgbClr val="F15A2B"/>
    </a:custClr>
    <a:custClr name="PC Dark Red">
      <a:srgbClr val="A22D2B"/>
    </a:custClr>
    <a:custClr name="PC Purple">
      <a:srgbClr val="8857A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emplafyFormConfiguration><![CDATA[{"formFields":[],"formDataEntries":[]}]]></TemplafyFormConfiguration>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TemplafyTemplateConfiguration><![CDATA[{"elementsMetadata":[],"transformationConfigurations":[],"templateName":"prelims-draft report","templateDescription":"Prelims for draft inquiry and study reports","enableDocumentContentUpdater":false,"version":"2.0"}]]></TemplafyTemplateConfiguration>
</file>

<file path=customXml/item6.xml><?xml version="1.0" encoding="utf-8"?>
<ct:contentTypeSchema xmlns:ct="http://schemas.microsoft.com/office/2006/metadata/contentType" xmlns:ma="http://schemas.microsoft.com/office/2006/metadata/properties/metaAttributes" ct:_="" ma:_="" ma:contentTypeName="MPW Document" ma:contentTypeID="0x0101006C0B5E815648EF46B6FA6D42F17E5E9F000C963E276195B04F83BC027CFDC94A8D" ma:contentTypeVersion="21" ma:contentTypeDescription="" ma:contentTypeScope="" ma:versionID="ed33417c44d3d52a9f11aeb7b400085f">
  <xsd:schema xmlns:xsd="http://www.w3.org/2001/XMLSchema" xmlns:xs="http://www.w3.org/2001/XMLSchema" xmlns:p="http://schemas.microsoft.com/office/2006/metadata/properties" xmlns:ns2="20393cdf-440a-4521-8f19-00ba43423d00" xmlns:ns3="3d385984-9344-419b-a80b-49c06a2bdab8" targetNamespace="http://schemas.microsoft.com/office/2006/metadata/properties" ma:root="true" ma:fieldsID="dd3b6a415f3ae46be983115a0290fd1c" ns2:_="" ns3:_="">
    <xsd:import namespace="20393cdf-440a-4521-8f19-00ba43423d00"/>
    <xsd:import namespace="3d385984-9344-419b-a80b-49c06a2bdab8"/>
    <xsd:element name="properties">
      <xsd:complexType>
        <xsd:sequence>
          <xsd:element name="documentManagement">
            <xsd:complexType>
              <xsd:all>
                <xsd:element ref="ns2:_dlc_DocId" minOccurs="0"/>
                <xsd:element ref="ns2:_dlc_DocIdUrl" minOccurs="0"/>
                <xsd:element ref="ns2:_dlc_DocIdPersistId"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ServiceLocation" minOccurs="0"/>
                <xsd:element ref="ns2:i0f84bba906045b4af568ee102a52dcb" minOccurs="0"/>
                <xsd:element ref="ns2:TaxCatchAll" minOccurs="0"/>
                <xsd:element ref="ns3:MediaLengthInSeconds" minOccurs="0"/>
                <xsd:element ref="ns3:thumbnail" minOccurs="0"/>
                <xsd:element ref="ns3:lcf76f155ced4ddcb4097134ff3c332f" minOccurs="0"/>
                <xsd:element ref="ns3:_Flow_SignoffStatus" minOccurs="0"/>
                <xsd:element ref="ns3:MediaServiceObjectDetectorVersions" minOccurs="0"/>
                <xsd:element ref="ns3:MediaServiceSearchProperties" minOccurs="0"/>
                <xsd:element ref="ns3:Status" minOccurs="0"/>
                <xsd:element ref="ns3:Acc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393cdf-440a-4521-8f19-00ba43423d0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i0f84bba906045b4af568ee102a52dcb" ma:index="20" nillable="true" ma:taxonomy="true" ma:internalName="i0f84bba906045b4af568ee102a52dcb" ma:taxonomyFieldName="RevIMBCS" ma:displayName="Record" ma:indexed="true" ma:default="" ma:fieldId="{20f84bba-9060-45b4-af56-8ee102a52dcb}" ma:sspId="9e7832e3-0c1d-4697-8be2-0d137dca2da6" ma:termSetId="3c672b5e-1100-4960-a8a3-535520ee1155" ma:anchorId="00000000-0000-0000-0000-000000000000" ma:open="false" ma:isKeyword="false">
      <xsd:complexType>
        <xsd:sequence>
          <xsd:element ref="pc:Terms" minOccurs="0" maxOccurs="1"/>
        </xsd:sequence>
      </xsd:complexType>
    </xsd:element>
    <xsd:element name="TaxCatchAll" ma:index="21" nillable="true" ma:displayName="Taxonomy Catch All Column" ma:hidden="true" ma:list="{af6d4cc1-c529-4b5b-a8f1-9797b2b9eddf}" ma:internalName="TaxCatchAll" ma:showField="CatchAllData" ma:web="20393cdf-440a-4521-8f19-00ba43423d0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d385984-9344-419b-a80b-49c06a2bdab8" elementFormDefault="qualified">
    <xsd:import namespace="http://schemas.microsoft.com/office/2006/documentManagement/types"/>
    <xsd:import namespace="http://schemas.microsoft.com/office/infopath/2007/PartnerControls"/>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thumbnail" ma:index="23" nillable="true" ma:displayName="thumbnail" ma:format="Thumbnail" ma:internalName="thumbnail">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9e7832e3-0c1d-4697-8be2-0d137dca2da6" ma:termSetId="09814cd3-568e-fe90-9814-8d621ff8fb84" ma:anchorId="fba54fb3-c3e1-fe81-a776-ca4b69148c4d" ma:open="true" ma:isKeyword="false">
      <xsd:complexType>
        <xsd:sequence>
          <xsd:element ref="pc:Terms" minOccurs="0" maxOccurs="1"/>
        </xsd:sequence>
      </xsd:complexType>
    </xsd:element>
    <xsd:element name="_Flow_SignoffStatus" ma:index="26" nillable="true" ma:displayName="Sign-off status" ma:internalName="Sign_x002d_off_x0020_status">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Status" ma:index="29" nillable="true" ma:displayName="Status" ma:format="Dropdown" ma:internalName="Status">
      <xsd:simpleType>
        <xsd:restriction base="dms:Choice">
          <xsd:enumeration value="In progress"/>
          <xsd:enumeration value="Ready for review"/>
          <xsd:enumeration value="Sent"/>
        </xsd:restriction>
      </xsd:simpleType>
    </xsd:element>
    <xsd:element name="Access" ma:index="30" nillable="true" ma:displayName="Access" ma:format="Dropdown" ma:list="UserInfo" ma:SharePointGroup="0" ma:internalName="Acces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i0f84bba906045b4af568ee102a52dcb xmlns="20393cdf-440a-4521-8f19-00ba43423d00">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3955eeb1-2d18-4582-aeb2-00144ec3aaf5</TermId>
        </TermInfo>
      </Terms>
    </i0f84bba906045b4af568ee102a52dcb>
    <TaxCatchAll xmlns="20393cdf-440a-4521-8f19-00ba43423d00">
      <Value>1</Value>
    </TaxCatchAll>
    <lcf76f155ced4ddcb4097134ff3c332f xmlns="3d385984-9344-419b-a80b-49c06a2bdab8">
      <Terms xmlns="http://schemas.microsoft.com/office/infopath/2007/PartnerControls"/>
    </lcf76f155ced4ddcb4097134ff3c332f>
    <thumbnail xmlns="3d385984-9344-419b-a80b-49c06a2bdab8" xsi:nil="true"/>
    <Status xmlns="3d385984-9344-419b-a80b-49c06a2bdab8" xsi:nil="true"/>
    <_Flow_SignoffStatus xmlns="3d385984-9344-419b-a80b-49c06a2bdab8" xsi:nil="true"/>
    <_dlc_DocId xmlns="20393cdf-440a-4521-8f19-00ba43423d00">MPWT-2140667901-110317</_dlc_DocId>
    <_dlc_DocIdUrl xmlns="20393cdf-440a-4521-8f19-00ba43423d00">
      <Url>https://pcgov.sharepoint.com/sites/sceteam/_layouts/15/DocIdRedir.aspx?ID=MPWT-2140667901-110317</Url>
      <Description>MPWT-2140667901-110317</Description>
    </_dlc_DocIdUrl>
    <Access xmlns="3d385984-9344-419b-a80b-49c06a2bdab8">
      <UserInfo>
        <DisplayName/>
        <AccountId xsi:nil="true"/>
        <AccountType/>
      </UserInfo>
    </Access>
  </documentManagement>
</p:properties>
</file>

<file path=customXml/itemProps1.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customXml/itemProps2.xml><?xml version="1.0" encoding="utf-8"?>
<ds:datastoreItem xmlns:ds="http://schemas.openxmlformats.org/officeDocument/2006/customXml" ds:itemID="{9897F752-2238-441E-ABA5-DB8C10DEA577}">
  <ds:schemaRefs/>
</ds:datastoreItem>
</file>

<file path=customXml/itemProps3.xml><?xml version="1.0" encoding="utf-8"?>
<ds:datastoreItem xmlns:ds="http://schemas.openxmlformats.org/officeDocument/2006/customXml" ds:itemID="{2E5ABCBC-0F8C-4BE3-8BEE-A5E8F5C69364}">
  <ds:schemaRefs>
    <ds:schemaRef ds:uri="http://schemas.microsoft.com/sharepoint/events"/>
  </ds:schemaRefs>
</ds:datastoreItem>
</file>

<file path=customXml/itemProps4.xml><?xml version="1.0" encoding="utf-8"?>
<ds:datastoreItem xmlns:ds="http://schemas.openxmlformats.org/officeDocument/2006/customXml" ds:itemID="{21ED88CD-FE2F-4F77-901D-672651A1376B}">
  <ds:schemaRefs>
    <ds:schemaRef ds:uri="http://schemas.microsoft.com/sharepoint/v3/contenttype/forms"/>
  </ds:schemaRefs>
</ds:datastoreItem>
</file>

<file path=customXml/itemProps5.xml><?xml version="1.0" encoding="utf-8"?>
<ds:datastoreItem xmlns:ds="http://schemas.openxmlformats.org/officeDocument/2006/customXml" ds:itemID="{5CCDCE8C-2FF2-479D-91C1-79A7A7683D3C}">
  <ds:schemaRefs/>
</ds:datastoreItem>
</file>

<file path=customXml/itemProps6.xml><?xml version="1.0" encoding="utf-8"?>
<ds:datastoreItem xmlns:ds="http://schemas.openxmlformats.org/officeDocument/2006/customXml" ds:itemID="{5CE79077-105F-4D87-A570-A901DD1DE3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393cdf-440a-4521-8f19-00ba43423d00"/>
    <ds:schemaRef ds:uri="3d385984-9344-419b-a80b-49c06a2bda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E55B0D2D-7B8E-44EE-8991-D7DEA56F5C1C}">
  <ds:schemaRefs>
    <ds:schemaRef ds:uri="http://schemas.microsoft.com/office/2006/metadata/properties"/>
    <ds:schemaRef ds:uri="http://schemas.microsoft.com/office/infopath/2007/PartnerControls"/>
    <ds:schemaRef ds:uri="20393cdf-440a-4521-8f19-00ba43423d00"/>
    <ds:schemaRef ds:uri="3d385984-9344-419b-a80b-49c06a2bdab8"/>
  </ds:schemaRefs>
</ds:datastoreItem>
</file>

<file path=docProps/app.xml><?xml version="1.0" encoding="utf-8"?>
<Properties xmlns="http://schemas.openxmlformats.org/officeDocument/2006/extended-properties" xmlns:vt="http://schemas.openxmlformats.org/officeDocument/2006/docPropsVTypes">
  <Template>PC-report-template.dotx</Template>
  <TotalTime>509</TotalTime>
  <Pages>101</Pages>
  <Words>32806</Words>
  <Characters>182406</Characters>
  <Application>Microsoft Office Word</Application>
  <DocSecurity>0</DocSecurity>
  <Lines>3965</Lines>
  <Paragraphs>2391</Paragraphs>
  <ScaleCrop>false</ScaleCrop>
  <HeadingPairs>
    <vt:vector size="2" baseType="variant">
      <vt:variant>
        <vt:lpstr>Title</vt:lpstr>
      </vt:variant>
      <vt:variant>
        <vt:i4>1</vt:i4>
      </vt:variant>
    </vt:vector>
  </HeadingPairs>
  <TitlesOfParts>
    <vt:vector size="1" baseType="lpstr">
      <vt:lpstr>Fabricated structural steel safeguards</vt:lpstr>
    </vt:vector>
  </TitlesOfParts>
  <Company>Productivity Commission</Company>
  <LinksUpToDate>false</LinksUpToDate>
  <CharactersWithSpaces>212821</CharactersWithSpaces>
  <SharedDoc>false</SharedDoc>
  <HLinks>
    <vt:vector size="66" baseType="variant">
      <vt:variant>
        <vt:i4>7602286</vt:i4>
      </vt:variant>
      <vt:variant>
        <vt:i4>297</vt:i4>
      </vt:variant>
      <vt:variant>
        <vt:i4>0</vt:i4>
      </vt:variant>
      <vt:variant>
        <vt:i4>5</vt:i4>
      </vt:variant>
      <vt:variant>
        <vt:lpwstr>https://www.ato.gov.au/forms-and-instructions/trust-tax-return-2025-instructions/instructions-to-complete-the-trust-tax-return-2025/instructions-for-trust-information-and-items-1-to-15/income-excluding-foreign-income-item-5</vt:lpwstr>
      </vt:variant>
      <vt:variant>
        <vt:lpwstr/>
      </vt:variant>
      <vt:variant>
        <vt:i4>8192050</vt:i4>
      </vt:variant>
      <vt:variant>
        <vt:i4>294</vt:i4>
      </vt:variant>
      <vt:variant>
        <vt:i4>0</vt:i4>
      </vt:variant>
      <vt:variant>
        <vt:i4>5</vt:i4>
      </vt:variant>
      <vt:variant>
        <vt:lpwstr>https://www.ato.gov.au/forms-and-instructions/partnership-tax-return-2025-instructions/instructions-to-complete-the-partnership-tax-return-2025/income-excluding-foreign-income-item-5/reconciliation-items-and-net-income-or-loss-item-5</vt:lpwstr>
      </vt:variant>
      <vt:variant>
        <vt:lpwstr>ato-Netincomeorlossfrombusiness</vt:lpwstr>
      </vt:variant>
      <vt:variant>
        <vt:i4>7798907</vt:i4>
      </vt:variant>
      <vt:variant>
        <vt:i4>291</vt:i4>
      </vt:variant>
      <vt:variant>
        <vt:i4>0</vt:i4>
      </vt:variant>
      <vt:variant>
        <vt:i4>5</vt:i4>
      </vt:variant>
      <vt:variant>
        <vt:lpwstr>https://www.ato.gov.au/forms-and-instructions/business-and-professional-items-schedule-2025-instructions/instructions-to-complete-the-bpi-schedule-2025/business-income-and-expenses-p8/income-p8</vt:lpwstr>
      </vt:variant>
      <vt:variant>
        <vt:lpwstr>ato-Totalbusinessincome</vt:lpwstr>
      </vt:variant>
      <vt:variant>
        <vt:i4>3211383</vt:i4>
      </vt:variant>
      <vt:variant>
        <vt:i4>288</vt:i4>
      </vt:variant>
      <vt:variant>
        <vt:i4>0</vt:i4>
      </vt:variant>
      <vt:variant>
        <vt:i4>5</vt:i4>
      </vt:variant>
      <vt:variant>
        <vt:lpwstr>https://www.ato.gov.au/forms-and-instructions/company-tax-return-2025-instructions/instructions-to-complete-the-company-tax-return-2025/items-6-to-14/6-expenses</vt:lpwstr>
      </vt:variant>
      <vt:variant>
        <vt:lpwstr>ato-TTotalprofitorloss</vt:lpwstr>
      </vt:variant>
      <vt:variant>
        <vt:i4>5636144</vt:i4>
      </vt:variant>
      <vt:variant>
        <vt:i4>285</vt:i4>
      </vt:variant>
      <vt:variant>
        <vt:i4>0</vt:i4>
      </vt:variant>
      <vt:variant>
        <vt:i4>5</vt:i4>
      </vt:variant>
      <vt:variant>
        <vt:lpwstr>https://www.ato.gov.au/businesses-and-organisations/income-deductions-and-concessions/small-business-benchmarks/small-business-benchmarks-methodology-and-ratio-calculations/how-we-calculate-benchmark-ratios?utm_source=chatgpt.com</vt:lpwstr>
      </vt:variant>
      <vt:variant>
        <vt:lpwstr/>
      </vt:variant>
      <vt:variant>
        <vt:i4>5636144</vt:i4>
      </vt:variant>
      <vt:variant>
        <vt:i4>282</vt:i4>
      </vt:variant>
      <vt:variant>
        <vt:i4>0</vt:i4>
      </vt:variant>
      <vt:variant>
        <vt:i4>5</vt:i4>
      </vt:variant>
      <vt:variant>
        <vt:lpwstr>https://www.ato.gov.au/businesses-and-organisations/income-deductions-and-concessions/small-business-benchmarks/small-business-benchmarks-methodology-and-ratio-calculations/how-we-calculate-benchmark-ratios?utm_source=chatgpt.com</vt:lpwstr>
      </vt:variant>
      <vt:variant>
        <vt:lpwstr/>
      </vt:variant>
      <vt:variant>
        <vt:i4>5636144</vt:i4>
      </vt:variant>
      <vt:variant>
        <vt:i4>279</vt:i4>
      </vt:variant>
      <vt:variant>
        <vt:i4>0</vt:i4>
      </vt:variant>
      <vt:variant>
        <vt:i4>5</vt:i4>
      </vt:variant>
      <vt:variant>
        <vt:lpwstr>https://www.ato.gov.au/businesses-and-organisations/income-deductions-and-concessions/small-business-benchmarks/small-business-benchmarks-methodology-and-ratio-calculations/how-we-calculate-benchmark-ratios?utm_source=chatgpt.com</vt:lpwstr>
      </vt:variant>
      <vt:variant>
        <vt:lpwstr/>
      </vt:variant>
      <vt:variant>
        <vt:i4>5636144</vt:i4>
      </vt:variant>
      <vt:variant>
        <vt:i4>276</vt:i4>
      </vt:variant>
      <vt:variant>
        <vt:i4>0</vt:i4>
      </vt:variant>
      <vt:variant>
        <vt:i4>5</vt:i4>
      </vt:variant>
      <vt:variant>
        <vt:lpwstr>https://www.ato.gov.au/businesses-and-organisations/income-deductions-and-concessions/small-business-benchmarks/small-business-benchmarks-methodology-and-ratio-calculations/how-we-calculate-benchmark-ratios?utm_source=chatgpt.com</vt:lpwstr>
      </vt:variant>
      <vt:variant>
        <vt:lpwstr/>
      </vt:variant>
      <vt:variant>
        <vt:i4>5177369</vt:i4>
      </vt:variant>
      <vt:variant>
        <vt:i4>6</vt:i4>
      </vt:variant>
      <vt:variant>
        <vt:i4>0</vt:i4>
      </vt:variant>
      <vt:variant>
        <vt:i4>5</vt:i4>
      </vt:variant>
      <vt:variant>
        <vt:lpwstr>http://www.pc.gov.au/inquiries-and-research/steel-safeguards</vt:lpwstr>
      </vt:variant>
      <vt:variant>
        <vt:lpwstr/>
      </vt:variant>
      <vt:variant>
        <vt:i4>2883655</vt:i4>
      </vt:variant>
      <vt:variant>
        <vt:i4>3</vt:i4>
      </vt:variant>
      <vt:variant>
        <vt:i4>0</vt:i4>
      </vt:variant>
      <vt:variant>
        <vt:i4>5</vt:i4>
      </vt:variant>
      <vt:variant>
        <vt:lpwstr>mailto:publications@pc.gov.au</vt:lpwstr>
      </vt:variant>
      <vt:variant>
        <vt:lpwstr/>
      </vt:variant>
      <vt:variant>
        <vt:i4>7602218</vt:i4>
      </vt:variant>
      <vt:variant>
        <vt:i4>0</vt:i4>
      </vt:variant>
      <vt:variant>
        <vt:i4>0</vt:i4>
      </vt:variant>
      <vt:variant>
        <vt:i4>5</vt:i4>
      </vt:variant>
      <vt:variant>
        <vt:lpwstr>https://www.pc.gov.au/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Interim report - Fabricated structural steel safeguards</dc:title>
  <dc:subject>Interim report</dc:subject>
  <dc:creator>Productivity Commission</dc:creator>
  <cp:keywords/>
  <dc:description/>
  <cp:lastModifiedBy>Michelle Cross</cp:lastModifiedBy>
  <cp:revision>386</cp:revision>
  <cp:lastPrinted>2026-08-28T03:31:00Z</cp:lastPrinted>
  <dcterms:created xsi:type="dcterms:W3CDTF">2026-08-26T13:37:00Z</dcterms:created>
  <dcterms:modified xsi:type="dcterms:W3CDTF">2026-09-02T07:01:00Z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0x0101006C0B5E815648EF46B6FA6D42F17E5E9F000C963E276195B04F83BC027CFDC94A8D</vt:lpwstr>
  </property>
  <property fmtid="{D5CDD505-2E9C-101B-9397-08002B2CF9AE}" pid="3" name="_dlc_DocIdItemGuid">
    <vt:lpwstr>7c0e6de7-6c24-4e95-a679-ec4d4817fcb8</vt:lpwstr>
  </property>
  <property fmtid="{D5CDD505-2E9C-101B-9397-08002B2CF9AE}" pid="4" name="RevIMBCS">
    <vt:lpwstr>1;#Unclassified|3955eeb1-2d18-4582-aeb2-00144ec3aaf5</vt:lpwstr>
  </property>
  <property fmtid="{D5CDD505-2E9C-101B-9397-08002B2CF9AE}" pid="5" name="MediaServiceImageTags">
    <vt:lpwstr/>
  </property>
  <property fmtid="{D5CDD505-2E9C-101B-9397-08002B2CF9AE}" pid="6" name="TemplafyTenantId">
    <vt:lpwstr>productivitycommission</vt:lpwstr>
  </property>
  <property fmtid="{D5CDD505-2E9C-101B-9397-08002B2CF9AE}" pid="7" name="TemplafyTemplateId">
    <vt:lpwstr>637629323326921041</vt:lpwstr>
  </property>
  <property fmtid="{D5CDD505-2E9C-101B-9397-08002B2CF9AE}" pid="8" name="TemplafyUserProfileId">
    <vt:lpwstr>637853189818630385</vt:lpwstr>
  </property>
  <property fmtid="{D5CDD505-2E9C-101B-9397-08002B2CF9AE}" pid="9" name="TemplafyFromBlank">
    <vt:bool>false</vt:bool>
  </property>
  <property fmtid="{D5CDD505-2E9C-101B-9397-08002B2CF9AE}" pid="10" name="docLang">
    <vt:lpwstr>en</vt:lpwstr>
  </property>
  <property fmtid="{D5CDD505-2E9C-101B-9397-08002B2CF9AE}" pid="11" name="ZOTERO_PREF_2">
    <vt:lpwstr>ournalAbbreviations" value="true"/&gt;&lt;/prefs&gt;&lt;/data&gt;</vt:lpwstr>
  </property>
  <property fmtid="{D5CDD505-2E9C-101B-9397-08002B2CF9AE}" pid="12" name="GrammarlyDocumentId">
    <vt:lpwstr>e06f3de3-103b-438e-b350-3274d898ecac</vt:lpwstr>
  </property>
  <property fmtid="{D5CDD505-2E9C-101B-9397-08002B2CF9AE}" pid="13" name="ZOTERO_PREF_1">
    <vt:lpwstr>&lt;data data-version="3" zotero-version="9.0.6"&gt;&lt;session id="X2VFfutt"/&gt;&lt;style id="http://www.zotero.org/styles/Productivity-Commission" hasBibliography="1" bibliographyStyleHasBeenSet="1"/&gt;&lt;prefs&gt;&lt;pref name="fieldType" value="Field"/&gt;&lt;pref name="automaticJ</vt:lpwstr>
  </property>
  <property fmtid="{D5CDD505-2E9C-101B-9397-08002B2CF9AE}" pid="14" name="MSIP_Label_c1f2b1ce-4212-46db-a901-dd8453f57141_Enabled">
    <vt:lpwstr>true</vt:lpwstr>
  </property>
  <property fmtid="{D5CDD505-2E9C-101B-9397-08002B2CF9AE}" pid="15" name="MSIP_Label_c1f2b1ce-4212-46db-a901-dd8453f57141_SetDate">
    <vt:lpwstr>2026-08-26T13:37:14Z</vt:lpwstr>
  </property>
  <property fmtid="{D5CDD505-2E9C-101B-9397-08002B2CF9AE}" pid="16" name="MSIP_Label_c1f2b1ce-4212-46db-a901-dd8453f57141_Method">
    <vt:lpwstr>Privileged</vt:lpwstr>
  </property>
  <property fmtid="{D5CDD505-2E9C-101B-9397-08002B2CF9AE}" pid="17" name="MSIP_Label_c1f2b1ce-4212-46db-a901-dd8453f57141_Name">
    <vt:lpwstr>Publish</vt:lpwstr>
  </property>
  <property fmtid="{D5CDD505-2E9C-101B-9397-08002B2CF9AE}" pid="18" name="MSIP_Label_c1f2b1ce-4212-46db-a901-dd8453f57141_SiteId">
    <vt:lpwstr>29f9330b-c0fe-4244-830e-ba9f275d6c34</vt:lpwstr>
  </property>
  <property fmtid="{D5CDD505-2E9C-101B-9397-08002B2CF9AE}" pid="19" name="MSIP_Label_c1f2b1ce-4212-46db-a901-dd8453f57141_ActionId">
    <vt:lpwstr>9af43047-014e-4ec3-9be9-aafa678161c1</vt:lpwstr>
  </property>
  <property fmtid="{D5CDD505-2E9C-101B-9397-08002B2CF9AE}" pid="20" name="MSIP_Label_c1f2b1ce-4212-46db-a901-dd8453f57141_ContentBits">
    <vt:lpwstr>0</vt:lpwstr>
  </property>
  <property fmtid="{D5CDD505-2E9C-101B-9397-08002B2CF9AE}" pid="21" name="MSIP_Label_c1f2b1ce-4212-46db-a901-dd8453f57141_Tag">
    <vt:lpwstr>10, 0, 1, 1</vt:lpwstr>
  </property>
  <property fmtid="{D5CDD505-2E9C-101B-9397-08002B2CF9AE}" pid="22" name="ClassificationContentMarkingHeaderText">
    <vt:lpwstr> OFFICIAL</vt:lpwstr>
  </property>
  <property fmtid="{D5CDD505-2E9C-101B-9397-08002B2CF9AE}" pid="23" name="MSIP_Label_f7467c1a-e0ed-413c-a72b-aac8e8e94f41_Name">
    <vt:lpwstr>OFFICIAL</vt:lpwstr>
  </property>
  <property fmtid="{D5CDD505-2E9C-101B-9397-08002B2CF9AE}" pid="24" name="ClassificationContentMarkingHeaderFontProps">
    <vt:lpwstr>#000000,12,Calibri</vt:lpwstr>
  </property>
  <property fmtid="{D5CDD505-2E9C-101B-9397-08002B2CF9AE}" pid="25" name="MSIP_Label_f7467c1a-e0ed-413c-a72b-aac8e8e94f41_ActionId">
    <vt:lpwstr>9ea14bf4-01ff-4416-a691-aeae544dcba6</vt:lpwstr>
  </property>
  <property fmtid="{D5CDD505-2E9C-101B-9397-08002B2CF9AE}" pid="26" name="MSIP_Label_f7467c1a-e0ed-413c-a72b-aac8e8e94f41_SiteId">
    <vt:lpwstr>29f9330b-c0fe-4244-830e-ba9f275d6c34</vt:lpwstr>
  </property>
  <property fmtid="{D5CDD505-2E9C-101B-9397-08002B2CF9AE}" pid="27" name="MSIP_Label_f7467c1a-e0ed-413c-a72b-aac8e8e94f41_ContentBits">
    <vt:lpwstr>1</vt:lpwstr>
  </property>
  <property fmtid="{D5CDD505-2E9C-101B-9397-08002B2CF9AE}" pid="28" name="MSIP_Label_f7467c1a-e0ed-413c-a72b-aac8e8e94f41_Method">
    <vt:lpwstr>Privileged</vt:lpwstr>
  </property>
  <property fmtid="{D5CDD505-2E9C-101B-9397-08002B2CF9AE}" pid="29" name="ClassificationContentMarkingHeaderShapeIds">
    <vt:lpwstr>208e0136,7dd81ee4,4eae76be,7e12c541,2f387c3e,72c4bdd8</vt:lpwstr>
  </property>
  <property fmtid="{D5CDD505-2E9C-101B-9397-08002B2CF9AE}" pid="30" name="MSIP_Label_f7467c1a-e0ed-413c-a72b-aac8e8e94f41_Enabled">
    <vt:lpwstr>true</vt:lpwstr>
  </property>
  <property fmtid="{D5CDD505-2E9C-101B-9397-08002B2CF9AE}" pid="31" name="MSIP_Label_f7467c1a-e0ed-413c-a72b-aac8e8e94f41_SetDate">
    <vt:lpwstr>2024-10-29T07:48:45Z</vt:lpwstr>
  </property>
</Properties>
</file>